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47C1E" w:rsidRPr="00BD1DD0" w:rsidP="00447C1E" w14:paraId="6907570A"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A </w:t>
      </w:r>
      <w:r w:rsidRPr="00BD1DD0" w:rsidR="0062567E">
        <w:rPr>
          <w:rFonts w:ascii="Times New Roman" w:hAnsi="Times New Roman"/>
          <w:b/>
          <w:szCs w:val="24"/>
        </w:rPr>
        <w:t>for</w:t>
      </w:r>
    </w:p>
    <w:p w:rsidR="00BD1DD0" w:rsidP="00447C1E" w14:paraId="6907570B" w14:textId="0231F7A0">
      <w:pPr>
        <w:tabs>
          <w:tab w:val="right" w:pos="9360"/>
        </w:tabs>
        <w:spacing w:line="480" w:lineRule="auto"/>
        <w:jc w:val="center"/>
        <w:rPr>
          <w:rFonts w:ascii="Times New Roman" w:hAnsi="Times New Roman"/>
          <w:b/>
          <w:szCs w:val="24"/>
          <w:lang w:val=""/>
        </w:rPr>
      </w:pPr>
      <w:r w:rsidRPr="00BD1DD0">
        <w:rPr>
          <w:rFonts w:ascii="Times New Roman" w:hAnsi="Times New Roman"/>
          <w:b/>
          <w:szCs w:val="24"/>
          <w:lang w:val=""/>
        </w:rPr>
        <w:t xml:space="preserve">OMB </w:t>
      </w:r>
      <w:r w:rsidRPr="00BD1DD0" w:rsidR="009F7E1A">
        <w:rPr>
          <w:rFonts w:ascii="Times New Roman" w:hAnsi="Times New Roman"/>
          <w:b/>
          <w:szCs w:val="24"/>
          <w:lang w:val=""/>
        </w:rPr>
        <w:t xml:space="preserve">Control </w:t>
      </w:r>
      <w:r w:rsidRPr="00BD1DD0" w:rsidR="009F7E1A">
        <w:rPr>
          <w:rFonts w:ascii="Times New Roman" w:hAnsi="Times New Roman"/>
          <w:b/>
          <w:szCs w:val="24"/>
        </w:rPr>
        <w:t>Number</w:t>
      </w:r>
      <w:r w:rsidRPr="00BD1DD0">
        <w:rPr>
          <w:rFonts w:ascii="Times New Roman" w:hAnsi="Times New Roman"/>
          <w:b/>
          <w:szCs w:val="24"/>
          <w:lang w:val=""/>
        </w:rPr>
        <w:t xml:space="preserve"> 0</w:t>
      </w:r>
      <w:r w:rsidR="009901A6">
        <w:rPr>
          <w:rFonts w:ascii="Times New Roman" w:hAnsi="Times New Roman"/>
          <w:b/>
          <w:szCs w:val="24"/>
          <w:lang w:val=""/>
        </w:rPr>
        <w:t>524</w:t>
      </w:r>
      <w:r w:rsidRPr="00BD1DD0">
        <w:rPr>
          <w:rFonts w:ascii="Times New Roman" w:hAnsi="Times New Roman"/>
          <w:b/>
          <w:szCs w:val="24"/>
          <w:lang w:val=""/>
        </w:rPr>
        <w:t>-</w:t>
      </w:r>
      <w:r w:rsidR="009901A6">
        <w:rPr>
          <w:rFonts w:ascii="Times New Roman" w:hAnsi="Times New Roman"/>
          <w:b/>
          <w:szCs w:val="24"/>
          <w:lang w:val=""/>
        </w:rPr>
        <w:t>0050</w:t>
      </w:r>
      <w:r w:rsidRPr="00BD1DD0" w:rsidR="00B335C9">
        <w:rPr>
          <w:rFonts w:ascii="Times New Roman" w:hAnsi="Times New Roman"/>
          <w:b/>
          <w:szCs w:val="24"/>
          <w:lang w:val=""/>
        </w:rPr>
        <w:t xml:space="preserve">:  </w:t>
      </w:r>
    </w:p>
    <w:p w:rsidR="00447C1E" w:rsidRPr="00BD1DD0" w:rsidP="00447C1E" w14:paraId="6907570C" w14:textId="2CBA0D0D">
      <w:pPr>
        <w:tabs>
          <w:tab w:val="right" w:pos="9360"/>
        </w:tabs>
        <w:spacing w:line="480" w:lineRule="auto"/>
        <w:jc w:val="center"/>
        <w:rPr>
          <w:rFonts w:ascii="Times New Roman" w:hAnsi="Times New Roman"/>
          <w:b/>
          <w:szCs w:val="24"/>
        </w:rPr>
      </w:pPr>
      <w:r>
        <w:rPr>
          <w:rFonts w:ascii="Times New Roman" w:hAnsi="Times New Roman"/>
          <w:b/>
          <w:szCs w:val="24"/>
        </w:rPr>
        <w:t>Veterinary Medicine Loan Repayment Program</w:t>
      </w:r>
    </w:p>
    <w:p w:rsidR="00447C1E" w:rsidRPr="002568E6" w:rsidP="00447C1E" w14:paraId="69075711" w14:textId="55305D08">
      <w:pPr>
        <w:spacing w:line="480" w:lineRule="auto"/>
        <w:jc w:val="center"/>
        <w:rPr>
          <w:rFonts w:ascii="Times New Roman" w:hAnsi="Times New Roman"/>
          <w:szCs w:val="24"/>
          <w:lang w:val=""/>
        </w:rPr>
      </w:pPr>
      <w:r>
        <w:rPr>
          <w:rFonts w:ascii="Times New Roman" w:hAnsi="Times New Roman"/>
          <w:szCs w:val="24"/>
          <w:lang w:val=""/>
        </w:rPr>
        <w:t>Marline</w:t>
      </w:r>
      <w:r w:rsidR="00130907">
        <w:rPr>
          <w:rFonts w:ascii="Times New Roman" w:hAnsi="Times New Roman"/>
          <w:szCs w:val="24"/>
          <w:lang w:val=""/>
        </w:rPr>
        <w:t xml:space="preserve"> Azevedo</w:t>
      </w:r>
    </w:p>
    <w:p w:rsidR="00447C1E" w:rsidRPr="002568E6" w:rsidP="00447C1E" w14:paraId="69075712" w14:textId="3B6DE2EF">
      <w:pPr>
        <w:spacing w:line="480" w:lineRule="auto"/>
        <w:jc w:val="center"/>
        <w:rPr>
          <w:rFonts w:ascii="Times New Roman" w:hAnsi="Times New Roman"/>
          <w:szCs w:val="24"/>
        </w:rPr>
      </w:pPr>
      <w:r>
        <w:rPr>
          <w:rFonts w:ascii="Times New Roman" w:hAnsi="Times New Roman"/>
          <w:szCs w:val="24"/>
        </w:rPr>
        <w:t xml:space="preserve">Program Coordinator, Institute of </w:t>
      </w:r>
      <w:r w:rsidR="0097389E">
        <w:rPr>
          <w:rFonts w:ascii="Times New Roman" w:hAnsi="Times New Roman"/>
          <w:szCs w:val="24"/>
        </w:rPr>
        <w:t>Food Production and Sustainability, Division of Animal Systems</w:t>
      </w:r>
    </w:p>
    <w:p w:rsidR="00447C1E" w:rsidRPr="002568E6" w:rsidP="00447C1E" w14:paraId="69075713" w14:textId="01A7BB4D">
      <w:pPr>
        <w:tabs>
          <w:tab w:val="left" w:pos="-720"/>
        </w:tabs>
        <w:suppressAutoHyphens/>
        <w:spacing w:line="480" w:lineRule="auto"/>
        <w:jc w:val="center"/>
        <w:rPr>
          <w:rFonts w:ascii="Times New Roman" w:hAnsi="Times New Roman"/>
          <w:szCs w:val="24"/>
        </w:rPr>
      </w:pPr>
      <w:r>
        <w:rPr>
          <w:rFonts w:ascii="Times New Roman" w:hAnsi="Times New Roman"/>
          <w:szCs w:val="24"/>
        </w:rPr>
        <w:t>Veterinary Medicine Loan Repayment Program</w:t>
      </w:r>
    </w:p>
    <w:p w:rsidR="00447C1E" w:rsidRPr="002568E6" w:rsidP="00447C1E" w14:paraId="69075715" w14:textId="2973E9E2">
      <w:pPr>
        <w:spacing w:line="480" w:lineRule="auto"/>
        <w:jc w:val="center"/>
        <w:rPr>
          <w:rFonts w:ascii="Times New Roman" w:hAnsi="Times New Roman"/>
          <w:szCs w:val="24"/>
        </w:rPr>
      </w:pPr>
      <w:r w:rsidRPr="002568E6">
        <w:rPr>
          <w:rFonts w:ascii="Times New Roman" w:hAnsi="Times New Roman"/>
          <w:szCs w:val="24"/>
        </w:rPr>
        <w:t xml:space="preserve">USDA, </w:t>
      </w:r>
      <w:r w:rsidR="00D77C0B">
        <w:rPr>
          <w:rFonts w:ascii="Times New Roman" w:hAnsi="Times New Roman"/>
          <w:szCs w:val="24"/>
        </w:rPr>
        <w:t>National Institute of Food and Agriculture</w:t>
      </w:r>
    </w:p>
    <w:p w:rsidR="00447C1E" w:rsidRPr="002568E6" w:rsidP="00447C1E" w14:paraId="69075716" w14:textId="614B942E">
      <w:pPr>
        <w:spacing w:line="480" w:lineRule="auto"/>
        <w:jc w:val="center"/>
        <w:rPr>
          <w:rFonts w:ascii="Times New Roman" w:hAnsi="Times New Roman"/>
          <w:szCs w:val="24"/>
        </w:rPr>
      </w:pPr>
      <w:r>
        <w:rPr>
          <w:rFonts w:ascii="Times New Roman" w:hAnsi="Times New Roman"/>
          <w:szCs w:val="24"/>
        </w:rPr>
        <w:t>805 Pennsylvania Avenue</w:t>
      </w:r>
    </w:p>
    <w:p w:rsidR="00447C1E" w:rsidRPr="002568E6" w:rsidP="00447C1E" w14:paraId="69075717" w14:textId="7675D575">
      <w:pPr>
        <w:spacing w:line="480" w:lineRule="auto"/>
        <w:jc w:val="center"/>
        <w:rPr>
          <w:rFonts w:ascii="Times New Roman" w:hAnsi="Times New Roman"/>
          <w:szCs w:val="24"/>
        </w:rPr>
      </w:pPr>
      <w:r>
        <w:rPr>
          <w:rFonts w:ascii="Times New Roman" w:hAnsi="Times New Roman"/>
          <w:szCs w:val="24"/>
        </w:rPr>
        <w:t>Kansas City, MO 64105</w:t>
      </w:r>
    </w:p>
    <w:p w:rsidR="00447C1E" w:rsidRPr="002568E6" w:rsidP="00447C1E" w14:paraId="69075718" w14:textId="77777777">
      <w:pPr>
        <w:spacing w:line="480" w:lineRule="auto"/>
        <w:jc w:val="center"/>
        <w:rPr>
          <w:rFonts w:ascii="Times New Roman" w:hAnsi="Times New Roman"/>
          <w:szCs w:val="24"/>
        </w:rPr>
      </w:pPr>
    </w:p>
    <w:p w:rsidR="00905A5F" w14:paraId="69075719"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P="009F7E1A" w14:paraId="6907571A" w14:textId="77777777">
      <w:pPr>
        <w:tabs>
          <w:tab w:val="center" w:pos="4680"/>
        </w:tabs>
        <w:rPr>
          <w:rFonts w:ascii="Times New Roman" w:hAnsi="Times New Roman"/>
          <w:b/>
          <w:szCs w:val="24"/>
          <w:u w:val="single"/>
        </w:rPr>
      </w:pPr>
      <w:r>
        <w:rPr>
          <w:rFonts w:ascii="Times New Roman" w:hAnsi="Times New Roman"/>
          <w:b/>
          <w:szCs w:val="24"/>
          <w:u w:val="single"/>
        </w:rPr>
        <w:t>Table of Contents</w:t>
      </w:r>
    </w:p>
    <w:p w:rsidR="00BD1DD0" w14:paraId="6907571B" w14:textId="1C063900">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32401" w:history="1">
        <w:r w:rsidRPr="00F2228F">
          <w:rPr>
            <w:rStyle w:val="Hyperlink"/>
          </w:rPr>
          <w:t>A1. Circumstances that make the collection of information necessary.</w:t>
        </w:r>
        <w:r>
          <w:rPr>
            <w:webHidden/>
          </w:rPr>
          <w:tab/>
        </w:r>
        <w:r>
          <w:rPr>
            <w:webHidden/>
          </w:rPr>
          <w:fldChar w:fldCharType="begin"/>
        </w:r>
        <w:r>
          <w:rPr>
            <w:webHidden/>
          </w:rPr>
          <w:instrText xml:space="preserve"> PAGEREF _Toc401832401 \h </w:instrText>
        </w:r>
        <w:r>
          <w:rPr>
            <w:webHidden/>
          </w:rPr>
          <w:fldChar w:fldCharType="separate"/>
        </w:r>
        <w:r>
          <w:rPr>
            <w:webHidden/>
          </w:rPr>
          <w:t>3</w:t>
        </w:r>
        <w:r>
          <w:rPr>
            <w:webHidden/>
          </w:rPr>
          <w:fldChar w:fldCharType="end"/>
        </w:r>
      </w:hyperlink>
    </w:p>
    <w:p w:rsidR="00BD1DD0" w14:paraId="6907571C" w14:textId="58B3BC3C">
      <w:pPr>
        <w:pStyle w:val="TOC1"/>
        <w:rPr>
          <w:rFonts w:asciiTheme="minorHAnsi" w:eastAsiaTheme="minorEastAsia" w:hAnsiTheme="minorHAnsi" w:cstheme="minorBidi"/>
          <w:b w:val="0"/>
          <w:bCs w:val="0"/>
          <w:caps w:val="0"/>
          <w:sz w:val="22"/>
          <w:szCs w:val="22"/>
        </w:rPr>
      </w:pPr>
      <w:hyperlink w:anchor="_Toc401832402" w:history="1">
        <w:r w:rsidRPr="00F2228F">
          <w:rPr>
            <w:rStyle w:val="Hyperlink"/>
          </w:rPr>
          <w:t>A2. Purpose and Use of the Information.</w:t>
        </w:r>
        <w:r>
          <w:rPr>
            <w:webHidden/>
          </w:rPr>
          <w:tab/>
        </w:r>
        <w:r>
          <w:rPr>
            <w:webHidden/>
          </w:rPr>
          <w:fldChar w:fldCharType="begin"/>
        </w:r>
        <w:r>
          <w:rPr>
            <w:webHidden/>
          </w:rPr>
          <w:instrText xml:space="preserve"> PAGEREF _Toc401832402 \h </w:instrText>
        </w:r>
        <w:r>
          <w:rPr>
            <w:webHidden/>
          </w:rPr>
          <w:fldChar w:fldCharType="separate"/>
        </w:r>
        <w:r>
          <w:rPr>
            <w:webHidden/>
          </w:rPr>
          <w:t>3</w:t>
        </w:r>
        <w:r>
          <w:rPr>
            <w:webHidden/>
          </w:rPr>
          <w:fldChar w:fldCharType="end"/>
        </w:r>
      </w:hyperlink>
    </w:p>
    <w:p w:rsidR="00BD1DD0" w14:paraId="6907571D" w14:textId="6D0A4428">
      <w:pPr>
        <w:pStyle w:val="TOC1"/>
        <w:rPr>
          <w:rFonts w:asciiTheme="minorHAnsi" w:eastAsiaTheme="minorEastAsia" w:hAnsiTheme="minorHAnsi" w:cstheme="minorBidi"/>
          <w:b w:val="0"/>
          <w:bCs w:val="0"/>
          <w:caps w:val="0"/>
          <w:sz w:val="22"/>
          <w:szCs w:val="22"/>
        </w:rPr>
      </w:pPr>
      <w:hyperlink w:anchor="_Toc401832403" w:history="1">
        <w:r w:rsidRPr="00F2228F">
          <w:rPr>
            <w:rStyle w:val="Hyperlink"/>
          </w:rPr>
          <w:t>A3.  Use of information technology and burden reduction.</w:t>
        </w:r>
        <w:r>
          <w:rPr>
            <w:webHidden/>
          </w:rPr>
          <w:tab/>
        </w:r>
        <w:r>
          <w:rPr>
            <w:webHidden/>
          </w:rPr>
          <w:fldChar w:fldCharType="begin"/>
        </w:r>
        <w:r>
          <w:rPr>
            <w:webHidden/>
          </w:rPr>
          <w:instrText xml:space="preserve"> PAGEREF _Toc401832403 \h </w:instrText>
        </w:r>
        <w:r>
          <w:rPr>
            <w:webHidden/>
          </w:rPr>
          <w:fldChar w:fldCharType="separate"/>
        </w:r>
        <w:r>
          <w:rPr>
            <w:webHidden/>
          </w:rPr>
          <w:t>5</w:t>
        </w:r>
        <w:r>
          <w:rPr>
            <w:webHidden/>
          </w:rPr>
          <w:fldChar w:fldCharType="end"/>
        </w:r>
      </w:hyperlink>
    </w:p>
    <w:p w:rsidR="00BD1DD0" w14:paraId="6907571E" w14:textId="3DE5A4A6">
      <w:pPr>
        <w:pStyle w:val="TOC1"/>
        <w:rPr>
          <w:rFonts w:asciiTheme="minorHAnsi" w:eastAsiaTheme="minorEastAsia" w:hAnsiTheme="minorHAnsi" w:cstheme="minorBidi"/>
          <w:b w:val="0"/>
          <w:bCs w:val="0"/>
          <w:caps w:val="0"/>
          <w:sz w:val="22"/>
          <w:szCs w:val="22"/>
        </w:rPr>
      </w:pPr>
      <w:hyperlink w:anchor="_Toc401832404" w:history="1">
        <w:r w:rsidRPr="00F2228F">
          <w:rPr>
            <w:rStyle w:val="Hyperlink"/>
          </w:rPr>
          <w:t>A4.  Efforts to identify duplication.</w:t>
        </w:r>
        <w:r>
          <w:rPr>
            <w:webHidden/>
          </w:rPr>
          <w:tab/>
        </w:r>
        <w:r>
          <w:rPr>
            <w:webHidden/>
          </w:rPr>
          <w:fldChar w:fldCharType="begin"/>
        </w:r>
        <w:r>
          <w:rPr>
            <w:webHidden/>
          </w:rPr>
          <w:instrText xml:space="preserve"> PAGEREF _Toc401832404 \h </w:instrText>
        </w:r>
        <w:r>
          <w:rPr>
            <w:webHidden/>
          </w:rPr>
          <w:fldChar w:fldCharType="separate"/>
        </w:r>
        <w:r>
          <w:rPr>
            <w:webHidden/>
          </w:rPr>
          <w:t>5</w:t>
        </w:r>
        <w:r>
          <w:rPr>
            <w:webHidden/>
          </w:rPr>
          <w:fldChar w:fldCharType="end"/>
        </w:r>
      </w:hyperlink>
    </w:p>
    <w:p w:rsidR="00BD1DD0" w14:paraId="6907571F" w14:textId="2DEA405C">
      <w:pPr>
        <w:pStyle w:val="TOC1"/>
        <w:rPr>
          <w:rFonts w:asciiTheme="minorHAnsi" w:eastAsiaTheme="minorEastAsia" w:hAnsiTheme="minorHAnsi" w:cstheme="minorBidi"/>
          <w:b w:val="0"/>
          <w:bCs w:val="0"/>
          <w:caps w:val="0"/>
          <w:sz w:val="22"/>
          <w:szCs w:val="22"/>
        </w:rPr>
      </w:pPr>
      <w:hyperlink w:anchor="_Toc401832405" w:history="1">
        <w:r w:rsidRPr="00F2228F">
          <w:rPr>
            <w:rStyle w:val="Hyperlink"/>
          </w:rPr>
          <w:t>A5.  Impacts on small businesses or other small entities.</w:t>
        </w:r>
        <w:r>
          <w:rPr>
            <w:webHidden/>
          </w:rPr>
          <w:tab/>
        </w:r>
        <w:r>
          <w:rPr>
            <w:webHidden/>
          </w:rPr>
          <w:fldChar w:fldCharType="begin"/>
        </w:r>
        <w:r>
          <w:rPr>
            <w:webHidden/>
          </w:rPr>
          <w:instrText xml:space="preserve"> PAGEREF _Toc401832405 \h </w:instrText>
        </w:r>
        <w:r>
          <w:rPr>
            <w:webHidden/>
          </w:rPr>
          <w:fldChar w:fldCharType="separate"/>
        </w:r>
        <w:r>
          <w:rPr>
            <w:webHidden/>
          </w:rPr>
          <w:t>6</w:t>
        </w:r>
        <w:r>
          <w:rPr>
            <w:webHidden/>
          </w:rPr>
          <w:fldChar w:fldCharType="end"/>
        </w:r>
      </w:hyperlink>
    </w:p>
    <w:p w:rsidR="00BD1DD0" w14:paraId="69075720" w14:textId="0EB3CAEA">
      <w:pPr>
        <w:pStyle w:val="TOC1"/>
        <w:rPr>
          <w:rFonts w:asciiTheme="minorHAnsi" w:eastAsiaTheme="minorEastAsia" w:hAnsiTheme="minorHAnsi" w:cstheme="minorBidi"/>
          <w:b w:val="0"/>
          <w:bCs w:val="0"/>
          <w:caps w:val="0"/>
          <w:sz w:val="22"/>
          <w:szCs w:val="22"/>
        </w:rPr>
      </w:pPr>
      <w:hyperlink w:anchor="_Toc401832406" w:history="1">
        <w:r w:rsidRPr="00F2228F">
          <w:rPr>
            <w:rStyle w:val="Hyperlink"/>
          </w:rPr>
          <w:t>A6.  Consequences of collecting the information less frequently.</w:t>
        </w:r>
        <w:r>
          <w:rPr>
            <w:webHidden/>
          </w:rPr>
          <w:tab/>
        </w:r>
        <w:r>
          <w:rPr>
            <w:webHidden/>
          </w:rPr>
          <w:fldChar w:fldCharType="begin"/>
        </w:r>
        <w:r>
          <w:rPr>
            <w:webHidden/>
          </w:rPr>
          <w:instrText xml:space="preserve"> PAGEREF _Toc401832406 \h </w:instrText>
        </w:r>
        <w:r>
          <w:rPr>
            <w:webHidden/>
          </w:rPr>
          <w:fldChar w:fldCharType="separate"/>
        </w:r>
        <w:r>
          <w:rPr>
            <w:webHidden/>
          </w:rPr>
          <w:t>6</w:t>
        </w:r>
        <w:r>
          <w:rPr>
            <w:webHidden/>
          </w:rPr>
          <w:fldChar w:fldCharType="end"/>
        </w:r>
      </w:hyperlink>
    </w:p>
    <w:p w:rsidR="00BD1DD0" w14:paraId="69075721" w14:textId="227C1D0B">
      <w:pPr>
        <w:pStyle w:val="TOC1"/>
        <w:rPr>
          <w:rFonts w:asciiTheme="minorHAnsi" w:eastAsiaTheme="minorEastAsia" w:hAnsiTheme="minorHAnsi" w:cstheme="minorBidi"/>
          <w:b w:val="0"/>
          <w:bCs w:val="0"/>
          <w:caps w:val="0"/>
          <w:sz w:val="22"/>
          <w:szCs w:val="22"/>
        </w:rPr>
      </w:pPr>
      <w:hyperlink w:anchor="_Toc401832407" w:history="1">
        <w:r w:rsidRPr="00F2228F">
          <w:rPr>
            <w:rStyle w:val="Hyperlink"/>
          </w:rPr>
          <w:t>A7.  Special circumstances relating to the Guidelines of 5 CFR 1320.5.</w:t>
        </w:r>
        <w:r>
          <w:rPr>
            <w:webHidden/>
          </w:rPr>
          <w:tab/>
        </w:r>
        <w:r>
          <w:rPr>
            <w:webHidden/>
          </w:rPr>
          <w:fldChar w:fldCharType="begin"/>
        </w:r>
        <w:r>
          <w:rPr>
            <w:webHidden/>
          </w:rPr>
          <w:instrText xml:space="preserve"> PAGEREF _Toc401832407 \h </w:instrText>
        </w:r>
        <w:r>
          <w:rPr>
            <w:webHidden/>
          </w:rPr>
          <w:fldChar w:fldCharType="separate"/>
        </w:r>
        <w:r>
          <w:rPr>
            <w:webHidden/>
          </w:rPr>
          <w:t>7</w:t>
        </w:r>
        <w:r>
          <w:rPr>
            <w:webHidden/>
          </w:rPr>
          <w:fldChar w:fldCharType="end"/>
        </w:r>
      </w:hyperlink>
    </w:p>
    <w:p w:rsidR="00BD1DD0" w14:paraId="69075722" w14:textId="0E730504">
      <w:pPr>
        <w:pStyle w:val="TOC1"/>
        <w:rPr>
          <w:rFonts w:asciiTheme="minorHAnsi" w:eastAsiaTheme="minorEastAsia" w:hAnsiTheme="minorHAnsi" w:cstheme="minorBidi"/>
          <w:b w:val="0"/>
          <w:bCs w:val="0"/>
          <w:caps w:val="0"/>
          <w:sz w:val="22"/>
          <w:szCs w:val="22"/>
        </w:rPr>
      </w:pPr>
      <w:hyperlink w:anchor="_Toc401832408" w:history="1">
        <w:r w:rsidRPr="00F2228F">
          <w:rPr>
            <w:rStyle w:val="Hyperlink"/>
          </w:rPr>
          <w:t>A8.  Comments to the Federal Register Notice and efforts for consultation.</w:t>
        </w:r>
        <w:r>
          <w:rPr>
            <w:webHidden/>
          </w:rPr>
          <w:tab/>
        </w:r>
        <w:r>
          <w:rPr>
            <w:webHidden/>
          </w:rPr>
          <w:fldChar w:fldCharType="begin"/>
        </w:r>
        <w:r>
          <w:rPr>
            <w:webHidden/>
          </w:rPr>
          <w:instrText xml:space="preserve"> PAGEREF _Toc401832408 \h </w:instrText>
        </w:r>
        <w:r>
          <w:rPr>
            <w:webHidden/>
          </w:rPr>
          <w:fldChar w:fldCharType="separate"/>
        </w:r>
        <w:r>
          <w:rPr>
            <w:webHidden/>
          </w:rPr>
          <w:t>7</w:t>
        </w:r>
        <w:r>
          <w:rPr>
            <w:webHidden/>
          </w:rPr>
          <w:fldChar w:fldCharType="end"/>
        </w:r>
      </w:hyperlink>
    </w:p>
    <w:p w:rsidR="00BD1DD0" w14:paraId="69075723" w14:textId="6D943202">
      <w:pPr>
        <w:pStyle w:val="TOC1"/>
        <w:rPr>
          <w:rFonts w:asciiTheme="minorHAnsi" w:eastAsiaTheme="minorEastAsia" w:hAnsiTheme="minorHAnsi" w:cstheme="minorBidi"/>
          <w:b w:val="0"/>
          <w:bCs w:val="0"/>
          <w:caps w:val="0"/>
          <w:sz w:val="22"/>
          <w:szCs w:val="22"/>
        </w:rPr>
      </w:pPr>
      <w:hyperlink w:anchor="_Toc401832409" w:history="1">
        <w:r w:rsidRPr="00F2228F">
          <w:rPr>
            <w:rStyle w:val="Hyperlink"/>
          </w:rPr>
          <w:t>A9.  Explain any decisions to provide any payment or gift to respondents.</w:t>
        </w:r>
        <w:r>
          <w:rPr>
            <w:webHidden/>
          </w:rPr>
          <w:tab/>
        </w:r>
        <w:r>
          <w:rPr>
            <w:webHidden/>
          </w:rPr>
          <w:fldChar w:fldCharType="begin"/>
        </w:r>
        <w:r>
          <w:rPr>
            <w:webHidden/>
          </w:rPr>
          <w:instrText xml:space="preserve"> PAGEREF _Toc401832409 \h </w:instrText>
        </w:r>
        <w:r>
          <w:rPr>
            <w:webHidden/>
          </w:rPr>
          <w:fldChar w:fldCharType="separate"/>
        </w:r>
        <w:r>
          <w:rPr>
            <w:webHidden/>
          </w:rPr>
          <w:t>8</w:t>
        </w:r>
        <w:r>
          <w:rPr>
            <w:webHidden/>
          </w:rPr>
          <w:fldChar w:fldCharType="end"/>
        </w:r>
      </w:hyperlink>
    </w:p>
    <w:p w:rsidR="00BD1DD0" w14:paraId="69075724" w14:textId="694F6279">
      <w:pPr>
        <w:pStyle w:val="TOC1"/>
        <w:rPr>
          <w:rFonts w:asciiTheme="minorHAnsi" w:eastAsiaTheme="minorEastAsia" w:hAnsiTheme="minorHAnsi" w:cstheme="minorBidi"/>
          <w:b w:val="0"/>
          <w:bCs w:val="0"/>
          <w:caps w:val="0"/>
          <w:sz w:val="22"/>
          <w:szCs w:val="22"/>
        </w:rPr>
      </w:pPr>
      <w:hyperlink w:anchor="_Toc401832410" w:history="1">
        <w:r w:rsidRPr="00F2228F">
          <w:rPr>
            <w:rStyle w:val="Hyperlink"/>
          </w:rPr>
          <w:t>A10.  Assurances of confidentiality provided to respondents.</w:t>
        </w:r>
        <w:r>
          <w:rPr>
            <w:webHidden/>
          </w:rPr>
          <w:tab/>
        </w:r>
        <w:r>
          <w:rPr>
            <w:webHidden/>
          </w:rPr>
          <w:fldChar w:fldCharType="begin"/>
        </w:r>
        <w:r>
          <w:rPr>
            <w:webHidden/>
          </w:rPr>
          <w:instrText xml:space="preserve"> PAGEREF _Toc401832410 \h </w:instrText>
        </w:r>
        <w:r>
          <w:rPr>
            <w:webHidden/>
          </w:rPr>
          <w:fldChar w:fldCharType="separate"/>
        </w:r>
        <w:r>
          <w:rPr>
            <w:webHidden/>
          </w:rPr>
          <w:t>9</w:t>
        </w:r>
        <w:r>
          <w:rPr>
            <w:webHidden/>
          </w:rPr>
          <w:fldChar w:fldCharType="end"/>
        </w:r>
      </w:hyperlink>
    </w:p>
    <w:p w:rsidR="00BD1DD0" w14:paraId="69075725" w14:textId="25819D97">
      <w:pPr>
        <w:pStyle w:val="TOC1"/>
        <w:rPr>
          <w:rFonts w:asciiTheme="minorHAnsi" w:eastAsiaTheme="minorEastAsia" w:hAnsiTheme="minorHAnsi" w:cstheme="minorBidi"/>
          <w:b w:val="0"/>
          <w:bCs w:val="0"/>
          <w:caps w:val="0"/>
          <w:sz w:val="22"/>
          <w:szCs w:val="22"/>
        </w:rPr>
      </w:pPr>
      <w:hyperlink w:anchor="_Toc401832411" w:history="1">
        <w:r w:rsidRPr="00F2228F">
          <w:rPr>
            <w:rStyle w:val="Hyperlink"/>
          </w:rPr>
          <w:t>A11.  Justification for any questions of a sensitive nature.</w:t>
        </w:r>
        <w:r>
          <w:rPr>
            <w:webHidden/>
          </w:rPr>
          <w:tab/>
        </w:r>
        <w:r>
          <w:rPr>
            <w:webHidden/>
          </w:rPr>
          <w:fldChar w:fldCharType="begin"/>
        </w:r>
        <w:r>
          <w:rPr>
            <w:webHidden/>
          </w:rPr>
          <w:instrText xml:space="preserve"> PAGEREF _Toc401832411 \h </w:instrText>
        </w:r>
        <w:r>
          <w:rPr>
            <w:webHidden/>
          </w:rPr>
          <w:fldChar w:fldCharType="separate"/>
        </w:r>
        <w:r>
          <w:rPr>
            <w:webHidden/>
          </w:rPr>
          <w:t>9</w:t>
        </w:r>
        <w:r>
          <w:rPr>
            <w:webHidden/>
          </w:rPr>
          <w:fldChar w:fldCharType="end"/>
        </w:r>
      </w:hyperlink>
    </w:p>
    <w:p w:rsidR="00BD1DD0" w14:paraId="69075726" w14:textId="78877754">
      <w:pPr>
        <w:pStyle w:val="TOC1"/>
        <w:rPr>
          <w:rFonts w:asciiTheme="minorHAnsi" w:eastAsiaTheme="minorEastAsia" w:hAnsiTheme="minorHAnsi" w:cstheme="minorBidi"/>
          <w:b w:val="0"/>
          <w:bCs w:val="0"/>
          <w:caps w:val="0"/>
          <w:sz w:val="22"/>
          <w:szCs w:val="22"/>
        </w:rPr>
      </w:pPr>
      <w:hyperlink w:anchor="_Toc401832412" w:history="1">
        <w:r w:rsidRPr="00F2228F">
          <w:rPr>
            <w:rStyle w:val="Hyperlink"/>
          </w:rPr>
          <w:t>A12.  Estimates of the hour burden of the collection of information.</w:t>
        </w:r>
        <w:r>
          <w:rPr>
            <w:webHidden/>
          </w:rPr>
          <w:tab/>
        </w:r>
        <w:r>
          <w:rPr>
            <w:webHidden/>
          </w:rPr>
          <w:fldChar w:fldCharType="begin"/>
        </w:r>
        <w:r>
          <w:rPr>
            <w:webHidden/>
          </w:rPr>
          <w:instrText xml:space="preserve"> PAGEREF _Toc401832412 \h </w:instrText>
        </w:r>
        <w:r>
          <w:rPr>
            <w:webHidden/>
          </w:rPr>
          <w:fldChar w:fldCharType="separate"/>
        </w:r>
        <w:r>
          <w:rPr>
            <w:webHidden/>
          </w:rPr>
          <w:t>9</w:t>
        </w:r>
        <w:r>
          <w:rPr>
            <w:webHidden/>
          </w:rPr>
          <w:fldChar w:fldCharType="end"/>
        </w:r>
      </w:hyperlink>
    </w:p>
    <w:p w:rsidR="00BD1DD0" w14:paraId="69075727" w14:textId="7FF9CAAC">
      <w:pPr>
        <w:pStyle w:val="TOC1"/>
        <w:rPr>
          <w:rFonts w:asciiTheme="minorHAnsi" w:eastAsiaTheme="minorEastAsia" w:hAnsiTheme="minorHAnsi" w:cstheme="minorBidi"/>
          <w:b w:val="0"/>
          <w:bCs w:val="0"/>
          <w:caps w:val="0"/>
          <w:sz w:val="22"/>
          <w:szCs w:val="22"/>
        </w:rPr>
      </w:pPr>
      <w:hyperlink w:anchor="_Toc401832413" w:history="1">
        <w:r w:rsidRPr="00F2228F">
          <w:rPr>
            <w:rStyle w:val="Hyperlink"/>
          </w:rPr>
          <w:t>A13.  Estimates of other total annual cost burden.</w:t>
        </w:r>
        <w:r>
          <w:rPr>
            <w:webHidden/>
          </w:rPr>
          <w:tab/>
        </w:r>
        <w:r>
          <w:rPr>
            <w:webHidden/>
          </w:rPr>
          <w:fldChar w:fldCharType="begin"/>
        </w:r>
        <w:r>
          <w:rPr>
            <w:webHidden/>
          </w:rPr>
          <w:instrText xml:space="preserve"> PAGEREF _Toc401832413 \h </w:instrText>
        </w:r>
        <w:r>
          <w:rPr>
            <w:webHidden/>
          </w:rPr>
          <w:fldChar w:fldCharType="separate"/>
        </w:r>
        <w:r>
          <w:rPr>
            <w:webHidden/>
          </w:rPr>
          <w:t>11</w:t>
        </w:r>
        <w:r>
          <w:rPr>
            <w:webHidden/>
          </w:rPr>
          <w:fldChar w:fldCharType="end"/>
        </w:r>
      </w:hyperlink>
    </w:p>
    <w:p w:rsidR="00BD1DD0" w14:paraId="69075728" w14:textId="2CE11DC0">
      <w:pPr>
        <w:pStyle w:val="TOC1"/>
        <w:rPr>
          <w:rFonts w:asciiTheme="minorHAnsi" w:eastAsiaTheme="minorEastAsia" w:hAnsiTheme="minorHAnsi" w:cstheme="minorBidi"/>
          <w:b w:val="0"/>
          <w:bCs w:val="0"/>
          <w:caps w:val="0"/>
          <w:sz w:val="22"/>
          <w:szCs w:val="22"/>
        </w:rPr>
      </w:pPr>
      <w:hyperlink w:anchor="_Toc401832414" w:history="1">
        <w:r w:rsidRPr="00F2228F">
          <w:rPr>
            <w:rStyle w:val="Hyperlink"/>
          </w:rPr>
          <w:t>A14.  Provide estimates of annualized cost to the Federal government.</w:t>
        </w:r>
        <w:r>
          <w:rPr>
            <w:webHidden/>
          </w:rPr>
          <w:tab/>
        </w:r>
        <w:r>
          <w:rPr>
            <w:webHidden/>
          </w:rPr>
          <w:fldChar w:fldCharType="begin"/>
        </w:r>
        <w:r>
          <w:rPr>
            <w:webHidden/>
          </w:rPr>
          <w:instrText xml:space="preserve"> PAGEREF _Toc401832414 \h </w:instrText>
        </w:r>
        <w:r>
          <w:rPr>
            <w:webHidden/>
          </w:rPr>
          <w:fldChar w:fldCharType="separate"/>
        </w:r>
        <w:r>
          <w:rPr>
            <w:webHidden/>
          </w:rPr>
          <w:t>11</w:t>
        </w:r>
        <w:r>
          <w:rPr>
            <w:webHidden/>
          </w:rPr>
          <w:fldChar w:fldCharType="end"/>
        </w:r>
      </w:hyperlink>
    </w:p>
    <w:p w:rsidR="00BD1DD0" w14:paraId="69075729" w14:textId="533F0C91">
      <w:pPr>
        <w:pStyle w:val="TOC1"/>
        <w:rPr>
          <w:rFonts w:asciiTheme="minorHAnsi" w:eastAsiaTheme="minorEastAsia" w:hAnsiTheme="minorHAnsi" w:cstheme="minorBidi"/>
          <w:b w:val="0"/>
          <w:bCs w:val="0"/>
          <w:caps w:val="0"/>
          <w:sz w:val="22"/>
          <w:szCs w:val="22"/>
        </w:rPr>
      </w:pPr>
      <w:hyperlink w:anchor="_Toc401832415" w:history="1">
        <w:r w:rsidRPr="00F2228F">
          <w:rPr>
            <w:rStyle w:val="Hyperlink"/>
          </w:rPr>
          <w:t>A15.  Explanation of program changes or adjustments.</w:t>
        </w:r>
        <w:r>
          <w:rPr>
            <w:webHidden/>
          </w:rPr>
          <w:tab/>
        </w:r>
        <w:r>
          <w:rPr>
            <w:webHidden/>
          </w:rPr>
          <w:fldChar w:fldCharType="begin"/>
        </w:r>
        <w:r>
          <w:rPr>
            <w:webHidden/>
          </w:rPr>
          <w:instrText xml:space="preserve"> PAGEREF _Toc401832415 \h </w:instrText>
        </w:r>
        <w:r>
          <w:rPr>
            <w:webHidden/>
          </w:rPr>
          <w:fldChar w:fldCharType="separate"/>
        </w:r>
        <w:r>
          <w:rPr>
            <w:webHidden/>
          </w:rPr>
          <w:t>12</w:t>
        </w:r>
        <w:r>
          <w:rPr>
            <w:webHidden/>
          </w:rPr>
          <w:fldChar w:fldCharType="end"/>
        </w:r>
      </w:hyperlink>
    </w:p>
    <w:p w:rsidR="00BD1DD0" w14:paraId="6907572A" w14:textId="34D1EAE5">
      <w:pPr>
        <w:pStyle w:val="TOC1"/>
        <w:rPr>
          <w:rFonts w:asciiTheme="minorHAnsi" w:eastAsiaTheme="minorEastAsia" w:hAnsiTheme="minorHAnsi" w:cstheme="minorBidi"/>
          <w:b w:val="0"/>
          <w:bCs w:val="0"/>
          <w:caps w:val="0"/>
          <w:sz w:val="22"/>
          <w:szCs w:val="22"/>
        </w:rPr>
      </w:pPr>
      <w:hyperlink w:anchor="_Toc401832416" w:history="1">
        <w:r w:rsidRPr="00F2228F">
          <w:rPr>
            <w:rStyle w:val="Hyperlink"/>
          </w:rPr>
          <w:t>A16.  Plans for tabulation, and publication and project time schedule.</w:t>
        </w:r>
        <w:r>
          <w:rPr>
            <w:webHidden/>
          </w:rPr>
          <w:tab/>
        </w:r>
        <w:r>
          <w:rPr>
            <w:webHidden/>
          </w:rPr>
          <w:fldChar w:fldCharType="begin"/>
        </w:r>
        <w:r>
          <w:rPr>
            <w:webHidden/>
          </w:rPr>
          <w:instrText xml:space="preserve"> PAGEREF _Toc401832416 \h </w:instrText>
        </w:r>
        <w:r>
          <w:rPr>
            <w:webHidden/>
          </w:rPr>
          <w:fldChar w:fldCharType="separate"/>
        </w:r>
        <w:r>
          <w:rPr>
            <w:webHidden/>
          </w:rPr>
          <w:t>13</w:t>
        </w:r>
        <w:r>
          <w:rPr>
            <w:webHidden/>
          </w:rPr>
          <w:fldChar w:fldCharType="end"/>
        </w:r>
      </w:hyperlink>
    </w:p>
    <w:p w:rsidR="00BD1DD0" w14:paraId="6907572B" w14:textId="742D3352">
      <w:pPr>
        <w:pStyle w:val="TOC1"/>
        <w:rPr>
          <w:rFonts w:asciiTheme="minorHAnsi" w:eastAsiaTheme="minorEastAsia" w:hAnsiTheme="minorHAnsi" w:cstheme="minorBidi"/>
          <w:b w:val="0"/>
          <w:bCs w:val="0"/>
          <w:caps w:val="0"/>
          <w:sz w:val="22"/>
          <w:szCs w:val="22"/>
        </w:rPr>
      </w:pPr>
      <w:hyperlink w:anchor="_Toc401832417" w:history="1">
        <w:r w:rsidRPr="00F2228F">
          <w:rPr>
            <w:rStyle w:val="Hyperlink"/>
          </w:rPr>
          <w:t>A17.  Displaying the OMB Approval Expiration Date.</w:t>
        </w:r>
        <w:r>
          <w:rPr>
            <w:webHidden/>
          </w:rPr>
          <w:tab/>
        </w:r>
        <w:r>
          <w:rPr>
            <w:webHidden/>
          </w:rPr>
          <w:fldChar w:fldCharType="begin"/>
        </w:r>
        <w:r>
          <w:rPr>
            <w:webHidden/>
          </w:rPr>
          <w:instrText xml:space="preserve"> PAGEREF _Toc401832417 \h </w:instrText>
        </w:r>
        <w:r>
          <w:rPr>
            <w:webHidden/>
          </w:rPr>
          <w:fldChar w:fldCharType="separate"/>
        </w:r>
        <w:r>
          <w:rPr>
            <w:webHidden/>
          </w:rPr>
          <w:t>13</w:t>
        </w:r>
        <w:r>
          <w:rPr>
            <w:webHidden/>
          </w:rPr>
          <w:fldChar w:fldCharType="end"/>
        </w:r>
      </w:hyperlink>
    </w:p>
    <w:p w:rsidR="00BD1DD0" w14:paraId="6907572C" w14:textId="0516D2B8">
      <w:pPr>
        <w:pStyle w:val="TOC1"/>
        <w:rPr>
          <w:rFonts w:asciiTheme="minorHAnsi" w:eastAsiaTheme="minorEastAsia" w:hAnsiTheme="minorHAnsi" w:cstheme="minorBidi"/>
          <w:b w:val="0"/>
          <w:bCs w:val="0"/>
          <w:caps w:val="0"/>
          <w:sz w:val="22"/>
          <w:szCs w:val="22"/>
        </w:rPr>
      </w:pPr>
      <w:hyperlink w:anchor="_Toc401832418" w:history="1">
        <w:r w:rsidRPr="00F2228F">
          <w:rPr>
            <w:rStyle w:val="Hyperlink"/>
          </w:rPr>
          <w:t>A18.  Exceptions to the certification statement identified in Item 19.</w:t>
        </w:r>
        <w:r>
          <w:rPr>
            <w:webHidden/>
          </w:rPr>
          <w:tab/>
        </w:r>
        <w:r>
          <w:rPr>
            <w:webHidden/>
          </w:rPr>
          <w:fldChar w:fldCharType="begin"/>
        </w:r>
        <w:r>
          <w:rPr>
            <w:webHidden/>
          </w:rPr>
          <w:instrText xml:space="preserve"> PAGEREF _Toc401832418 \h </w:instrText>
        </w:r>
        <w:r>
          <w:rPr>
            <w:webHidden/>
          </w:rPr>
          <w:fldChar w:fldCharType="separate"/>
        </w:r>
        <w:r>
          <w:rPr>
            <w:webHidden/>
          </w:rPr>
          <w:t>13</w:t>
        </w:r>
        <w:r>
          <w:rPr>
            <w:webHidden/>
          </w:rPr>
          <w:fldChar w:fldCharType="end"/>
        </w:r>
      </w:hyperlink>
    </w:p>
    <w:p w:rsidR="00AB3888" w:rsidP="009F7E1A" w14:paraId="6907572D" w14:textId="07452BEA">
      <w:pPr>
        <w:tabs>
          <w:tab w:val="center" w:pos="4680"/>
        </w:tabs>
        <w:rPr>
          <w:rFonts w:ascii="Times New Roman" w:hAnsi="Times New Roman"/>
          <w:b/>
          <w:szCs w:val="24"/>
          <w:u w:val="single"/>
        </w:rPr>
      </w:pPr>
      <w:r>
        <w:rPr>
          <w:rFonts w:ascii="Times New Roman" w:hAnsi="Times New Roman"/>
          <w:b/>
          <w:szCs w:val="24"/>
          <w:u w:val="single"/>
        </w:rPr>
        <w:fldChar w:fldCharType="end"/>
      </w:r>
    </w:p>
    <w:p w:rsidR="00AB3888" w14:paraId="03B26CA1" w14:textId="77777777">
      <w:pPr>
        <w:widowControl/>
        <w:overflowPunct/>
        <w:autoSpaceDE/>
        <w:autoSpaceDN/>
        <w:adjustRightInd/>
        <w:textAlignment w:val="auto"/>
        <w:rPr>
          <w:rFonts w:ascii="Times New Roman" w:hAnsi="Times New Roman"/>
          <w:b/>
          <w:szCs w:val="24"/>
          <w:u w:val="single"/>
        </w:rPr>
      </w:pPr>
      <w:r>
        <w:rPr>
          <w:rFonts w:ascii="Times New Roman" w:hAnsi="Times New Roman"/>
          <w:b/>
          <w:szCs w:val="24"/>
          <w:u w:val="single"/>
        </w:rPr>
        <w:br w:type="page"/>
      </w:r>
    </w:p>
    <w:p w:rsidR="005A3F80" w:rsidRPr="002568E6" w:rsidP="0062567E" w14:paraId="69075736" w14:textId="77777777">
      <w:pPr>
        <w:pStyle w:val="Heading1"/>
        <w:rPr>
          <w:szCs w:val="24"/>
        </w:rPr>
      </w:pPr>
      <w:bookmarkStart w:id="0" w:name="_Toc401831357"/>
      <w:bookmarkStart w:id="1" w:name="_Toc401832401"/>
      <w:r w:rsidRPr="002568E6">
        <w:rPr>
          <w:szCs w:val="24"/>
        </w:rPr>
        <w:t xml:space="preserve">A1. </w:t>
      </w:r>
      <w:r w:rsidR="002568E6">
        <w:rPr>
          <w:szCs w:val="24"/>
        </w:rPr>
        <w:t>C</w:t>
      </w:r>
      <w:r w:rsidRPr="002568E6">
        <w:rPr>
          <w:szCs w:val="24"/>
        </w:rPr>
        <w:t>ircumstances that make the collection of information necessary.</w:t>
      </w:r>
      <w:bookmarkEnd w:id="0"/>
      <w:bookmarkEnd w:id="1"/>
    </w:p>
    <w:p w:rsidR="003333DF" w:rsidRPr="002568E6" w:rsidP="003333DF" w14:paraId="69075737" w14:textId="77777777">
      <w:pPr>
        <w:tabs>
          <w:tab w:val="left" w:pos="-720"/>
        </w:tabs>
        <w:suppressAutoHyphens/>
        <w:rPr>
          <w:rFonts w:ascii="Times New Roman" w:hAnsi="Times New Roman"/>
          <w:b/>
          <w:szCs w:val="24"/>
        </w:rPr>
      </w:pPr>
    </w:p>
    <w:p w:rsidR="003333DF" w:rsidRPr="002568E6" w:rsidP="003333DF" w14:paraId="69075738" w14:textId="77777777">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A308DB" w:rsidRPr="002568E6" w:rsidP="009F7E1A" w14:paraId="69075739" w14:textId="77777777">
      <w:pPr>
        <w:tabs>
          <w:tab w:val="left" w:pos="-720"/>
        </w:tabs>
        <w:suppressAutoHyphens/>
        <w:rPr>
          <w:rFonts w:ascii="Times New Roman" w:hAnsi="Times New Roman"/>
          <w:szCs w:val="24"/>
        </w:rPr>
      </w:pPr>
    </w:p>
    <w:p w:rsidR="00E40EBC" w:rsidRPr="00B438F9" w:rsidP="00E40EBC" w14:paraId="0A1A0BA2" w14:textId="5C10E5E9">
      <w:pPr>
        <w:rPr>
          <w:rFonts w:ascii="Times New Roman" w:hAnsi="Times New Roman"/>
          <w:szCs w:val="24"/>
        </w:rPr>
      </w:pPr>
      <w:r w:rsidRPr="00B438F9">
        <w:rPr>
          <w:rFonts w:ascii="Times New Roman" w:hAnsi="Times New Roman"/>
          <w:szCs w:val="24"/>
        </w:rPr>
        <w:t xml:space="preserve">The National Institute of Food and Agriculture (NIFA) is requesting a revision of a currently approved information collection. </w:t>
      </w:r>
      <w:r w:rsidRPr="00B438F9" w:rsidR="00EA6484">
        <w:rPr>
          <w:rFonts w:ascii="Times New Roman" w:hAnsi="Times New Roman"/>
          <w:szCs w:val="24"/>
        </w:rPr>
        <w:t xml:space="preserve">In December 2003, the National Veterinary Medical Service Act (NVMSA) was passed into law adding section 1415A to the National Agricultural Research, Extension, and Teaching Policy Act of 1997 (NARETPA). This law established a new Veterinary Medicine Loan Repayment Program (7 U.S.C. 3151a) authorizing the Secretary of Agriculture to carry out a program of entering into agreements with veterinarians under which they agree to provide veterinary services in veterinarian shortage situations. The purpose of the program is to assure an adequate supply of trained food animal veterinarians in shortage situations. </w:t>
      </w:r>
    </w:p>
    <w:p w:rsidR="00E40EBC" w:rsidRPr="00B438F9" w:rsidP="00E40EBC" w14:paraId="243CEC71" w14:textId="77777777">
      <w:pPr>
        <w:rPr>
          <w:rFonts w:ascii="Times New Roman" w:hAnsi="Times New Roman"/>
          <w:szCs w:val="24"/>
        </w:rPr>
      </w:pPr>
    </w:p>
    <w:p w:rsidR="00E40EBC" w:rsidRPr="00B438F9" w:rsidP="00E40EBC" w14:paraId="5047736E" w14:textId="70573172">
      <w:pPr>
        <w:rPr>
          <w:rFonts w:ascii="Times New Roman" w:hAnsi="Times New Roman"/>
          <w:szCs w:val="24"/>
        </w:rPr>
      </w:pPr>
      <w:r w:rsidRPr="00B438F9">
        <w:rPr>
          <w:rFonts w:ascii="Times New Roman" w:hAnsi="Times New Roman"/>
          <w:szCs w:val="24"/>
        </w:rPr>
        <w:t>NIFA</w:t>
      </w:r>
      <w:r w:rsidRPr="00B438F9" w:rsidR="00EA6484">
        <w:rPr>
          <w:rFonts w:ascii="Times New Roman" w:hAnsi="Times New Roman"/>
          <w:szCs w:val="24"/>
        </w:rPr>
        <w:t xml:space="preserve"> will designate geographic and practice areas that have a shortage of food supply veterinarians to carry out the VMLRP goals of strengthening the nation’s animal health infrastructure. NIFA will carry out NVMSA by entering into educational loan repayment agreements with veterinarians who agree to provide veterinary services in veterinarian shortage situations for a determined period of time.</w:t>
      </w:r>
    </w:p>
    <w:p w:rsidR="00E40EBC" w:rsidRPr="00B438F9" w:rsidP="00E40EBC" w14:paraId="60242EA2" w14:textId="77777777">
      <w:pPr>
        <w:rPr>
          <w:rFonts w:ascii="Times New Roman" w:hAnsi="Times New Roman"/>
          <w:szCs w:val="24"/>
        </w:rPr>
      </w:pPr>
    </w:p>
    <w:p w:rsidR="00E40EBC" w:rsidRPr="00B438F9" w:rsidP="00E40EBC" w14:paraId="671DD75D" w14:textId="46C2E1BF">
      <w:pPr>
        <w:rPr>
          <w:rFonts w:ascii="Times New Roman" w:hAnsi="Times New Roman"/>
          <w:szCs w:val="24"/>
        </w:rPr>
      </w:pPr>
      <w:r w:rsidRPr="00B438F9">
        <w:rPr>
          <w:rFonts w:ascii="Times New Roman" w:hAnsi="Times New Roman"/>
          <w:szCs w:val="24"/>
        </w:rPr>
        <w:t>Before NIFA educational loan repayment agreements can be issued, certain nomination information is required from State Animal Health Officials (SAHO). This information is obtained via a</w:t>
      </w:r>
      <w:r w:rsidRPr="00B438F9" w:rsidR="00C37AA8">
        <w:rPr>
          <w:rFonts w:ascii="Times New Roman" w:hAnsi="Times New Roman"/>
          <w:szCs w:val="24"/>
        </w:rPr>
        <w:t xml:space="preserve"> </w:t>
      </w:r>
      <w:r w:rsidRPr="00B438F9">
        <w:rPr>
          <w:rFonts w:ascii="Times New Roman" w:hAnsi="Times New Roman"/>
          <w:szCs w:val="24"/>
        </w:rPr>
        <w:t xml:space="preserve">Veterinarian Shortage Situation Nomination Form. The nominations submitted are reviewed and it is particularly important that the information be provided in a standardized document to ensure </w:t>
      </w:r>
      <w:r w:rsidRPr="00B438F9" w:rsidR="00BB0DDA">
        <w:rPr>
          <w:rFonts w:ascii="Times New Roman" w:hAnsi="Times New Roman"/>
          <w:szCs w:val="24"/>
        </w:rPr>
        <w:t xml:space="preserve">a consistent </w:t>
      </w:r>
      <w:r w:rsidRPr="00B438F9">
        <w:rPr>
          <w:rFonts w:ascii="Times New Roman" w:hAnsi="Times New Roman"/>
          <w:szCs w:val="24"/>
        </w:rPr>
        <w:t>review for all nominations.</w:t>
      </w:r>
    </w:p>
    <w:p w:rsidR="00E40EBC" w:rsidRPr="00B438F9" w:rsidP="00E40EBC" w14:paraId="7EDBF4CE" w14:textId="77777777">
      <w:pPr>
        <w:rPr>
          <w:rFonts w:ascii="Times New Roman" w:hAnsi="Times New Roman"/>
          <w:szCs w:val="24"/>
        </w:rPr>
      </w:pPr>
    </w:p>
    <w:p w:rsidR="00E40EBC" w:rsidRPr="00B438F9" w:rsidP="00E40EBC" w14:paraId="574B83DD" w14:textId="3D5B4044">
      <w:pPr>
        <w:rPr>
          <w:rFonts w:ascii="Times New Roman" w:hAnsi="Times New Roman"/>
          <w:szCs w:val="24"/>
        </w:rPr>
      </w:pPr>
      <w:r w:rsidRPr="00B438F9">
        <w:rPr>
          <w:rFonts w:ascii="Times New Roman" w:hAnsi="Times New Roman"/>
          <w:szCs w:val="24"/>
        </w:rPr>
        <w:t xml:space="preserve">After shortage situations are designated, the VMLRP requests information from applicants related to eligibility, qualifications, career interests, and recommendations necessary to evaluate their applications for repayment of educational indebtedness in return for agreeing to provide veterinary services in veterinarian shortage situations. The information for collection is also used to determine an applicant’s eligibility for participation in the program. It is important that the information be provided to NIFA in a standardized fashion to ensure </w:t>
      </w:r>
      <w:r w:rsidRPr="00B438F9" w:rsidR="004B3468">
        <w:rPr>
          <w:rFonts w:ascii="Times New Roman" w:hAnsi="Times New Roman"/>
          <w:szCs w:val="24"/>
        </w:rPr>
        <w:t xml:space="preserve">a consistent </w:t>
      </w:r>
      <w:r w:rsidRPr="00B438F9">
        <w:rPr>
          <w:rFonts w:ascii="Times New Roman" w:hAnsi="Times New Roman"/>
          <w:szCs w:val="24"/>
        </w:rPr>
        <w:t>review for all applicants.</w:t>
      </w:r>
    </w:p>
    <w:p w:rsidR="00E40EBC" w:rsidRPr="00B438F9" w:rsidP="00E40EBC" w14:paraId="070E8709" w14:textId="77777777">
      <w:pPr>
        <w:rPr>
          <w:rFonts w:ascii="Times New Roman" w:hAnsi="Times New Roman"/>
          <w:szCs w:val="24"/>
        </w:rPr>
      </w:pPr>
    </w:p>
    <w:p w:rsidR="00E40EBC" w:rsidRPr="00B438F9" w:rsidP="00E40EBC" w14:paraId="535F1E43" w14:textId="70BD4F69">
      <w:pPr>
        <w:rPr>
          <w:rFonts w:ascii="Times New Roman" w:hAnsi="Times New Roman"/>
          <w:szCs w:val="24"/>
        </w:rPr>
      </w:pPr>
      <w:r w:rsidRPr="00B438F9">
        <w:rPr>
          <w:rFonts w:ascii="Times New Roman" w:hAnsi="Times New Roman"/>
          <w:szCs w:val="24"/>
        </w:rPr>
        <w:t xml:space="preserve">Once veterinarians are selected for participation in the VMLRP and enter into an educational loan repayment agreement with NIFA the participant must report service and payment information on an annual basis to the VMLRP for oversight of the agreement. This information must be provided in a standardized document to ensure </w:t>
      </w:r>
      <w:r w:rsidRPr="00B438F9" w:rsidR="0017484F">
        <w:rPr>
          <w:rFonts w:ascii="Times New Roman" w:hAnsi="Times New Roman"/>
          <w:szCs w:val="24"/>
        </w:rPr>
        <w:t xml:space="preserve">uniform </w:t>
      </w:r>
      <w:r w:rsidRPr="00B438F9">
        <w:rPr>
          <w:rFonts w:ascii="Times New Roman" w:hAnsi="Times New Roman"/>
          <w:szCs w:val="24"/>
        </w:rPr>
        <w:t xml:space="preserve">oversight for all participants and for monitoring the program’s short-term impacts. </w:t>
      </w:r>
    </w:p>
    <w:p w:rsidR="009F7E1A" w:rsidRPr="00B438F9" w:rsidP="009F7E1A" w14:paraId="6907573B" w14:textId="77777777">
      <w:pPr>
        <w:tabs>
          <w:tab w:val="left" w:pos="-720"/>
        </w:tabs>
        <w:suppressAutoHyphens/>
        <w:spacing w:line="480" w:lineRule="auto"/>
        <w:rPr>
          <w:rFonts w:ascii="Times New Roman" w:hAnsi="Times New Roman"/>
          <w:b/>
          <w:szCs w:val="24"/>
        </w:rPr>
      </w:pPr>
    </w:p>
    <w:p w:rsidR="00A308DB" w:rsidRPr="00B438F9" w:rsidP="0062567E" w14:paraId="6907573C" w14:textId="77777777">
      <w:pPr>
        <w:pStyle w:val="Heading1"/>
        <w:rPr>
          <w:szCs w:val="24"/>
        </w:rPr>
      </w:pPr>
      <w:bookmarkStart w:id="2" w:name="_Toc401831358"/>
      <w:bookmarkStart w:id="3" w:name="_Toc401832402"/>
      <w:r w:rsidRPr="00B438F9">
        <w:rPr>
          <w:szCs w:val="24"/>
        </w:rPr>
        <w:t xml:space="preserve">A2. </w:t>
      </w:r>
      <w:r w:rsidRPr="00B438F9" w:rsidR="00447C1E">
        <w:rPr>
          <w:szCs w:val="24"/>
        </w:rPr>
        <w:t>Purpose and Use of the Information.</w:t>
      </w:r>
      <w:bookmarkEnd w:id="2"/>
      <w:bookmarkEnd w:id="3"/>
    </w:p>
    <w:p w:rsidR="0062567E" w:rsidRPr="00B438F9" w14:paraId="6907573D" w14:textId="77777777">
      <w:pPr>
        <w:tabs>
          <w:tab w:val="left" w:pos="-720"/>
        </w:tabs>
        <w:suppressAutoHyphens/>
        <w:rPr>
          <w:rFonts w:ascii="Times New Roman" w:hAnsi="Times New Roman"/>
          <w:b/>
          <w:szCs w:val="24"/>
        </w:rPr>
      </w:pPr>
    </w:p>
    <w:p w:rsidR="003333DF" w:rsidRPr="00B438F9" w14:paraId="6907573E" w14:textId="77777777">
      <w:pPr>
        <w:tabs>
          <w:tab w:val="left" w:pos="-720"/>
        </w:tabs>
        <w:suppressAutoHyphens/>
        <w:rPr>
          <w:rFonts w:ascii="Times New Roman" w:hAnsi="Times New Roman"/>
          <w:b/>
          <w:szCs w:val="24"/>
        </w:rPr>
      </w:pPr>
      <w:r w:rsidRPr="00B438F9">
        <w:rPr>
          <w:rFonts w:ascii="Times New Roman" w:hAnsi="Times New Roman"/>
          <w:b/>
          <w:szCs w:val="24"/>
        </w:rPr>
        <w:t>Indicate</w:t>
      </w:r>
      <w:r w:rsidRPr="00B438F9" w:rsidR="009F0786">
        <w:rPr>
          <w:rFonts w:ascii="Times New Roman" w:hAnsi="Times New Roman"/>
          <w:b/>
          <w:szCs w:val="24"/>
        </w:rPr>
        <w:t xml:space="preserve"> how, by whom, and for what pur</w:t>
      </w:r>
      <w:r w:rsidRPr="00B438F9">
        <w:rPr>
          <w:rFonts w:ascii="Times New Roman" w:hAnsi="Times New Roman"/>
          <w:b/>
          <w:szCs w:val="24"/>
        </w:rPr>
        <w:t>pose the information is to be used.</w:t>
      </w:r>
      <w:r w:rsidRPr="00B438F9" w:rsidR="009F0786">
        <w:rPr>
          <w:rFonts w:ascii="Times New Roman" w:hAnsi="Times New Roman"/>
          <w:b/>
          <w:szCs w:val="24"/>
        </w:rPr>
        <w:t xml:space="preserve">  Except for a </w:t>
      </w:r>
      <w:r w:rsidRPr="00B438F9" w:rsidR="009F0786">
        <w:rPr>
          <w:rFonts w:ascii="Times New Roman" w:hAnsi="Times New Roman"/>
          <w:b/>
          <w:szCs w:val="24"/>
        </w:rPr>
        <w:t>new collec</w:t>
      </w:r>
      <w:r w:rsidRPr="00B438F9">
        <w:rPr>
          <w:rFonts w:ascii="Times New Roman" w:hAnsi="Times New Roman"/>
          <w:b/>
          <w:szCs w:val="24"/>
        </w:rPr>
        <w:t>tion, indicate how the agency has ac</w:t>
      </w:r>
      <w:r w:rsidRPr="00B438F9" w:rsidR="00E27BE9">
        <w:rPr>
          <w:rFonts w:ascii="Times New Roman" w:hAnsi="Times New Roman"/>
          <w:b/>
          <w:szCs w:val="24"/>
        </w:rPr>
        <w:t>tually used the informa</w:t>
      </w:r>
      <w:r w:rsidRPr="00B438F9">
        <w:rPr>
          <w:rFonts w:ascii="Times New Roman" w:hAnsi="Times New Roman"/>
          <w:b/>
          <w:szCs w:val="24"/>
        </w:rPr>
        <w:t>tion r</w:t>
      </w:r>
      <w:r w:rsidRPr="00B438F9" w:rsidR="00E27BE9">
        <w:rPr>
          <w:rFonts w:ascii="Times New Roman" w:hAnsi="Times New Roman"/>
          <w:b/>
          <w:szCs w:val="24"/>
        </w:rPr>
        <w:t>eceived from the current collec</w:t>
      </w:r>
      <w:r w:rsidRPr="00B438F9">
        <w:rPr>
          <w:rFonts w:ascii="Times New Roman" w:hAnsi="Times New Roman"/>
          <w:b/>
          <w:szCs w:val="24"/>
        </w:rPr>
        <w:t>tion.</w:t>
      </w:r>
    </w:p>
    <w:p w:rsidR="00AC11A1" w:rsidRPr="00B438F9" w14:paraId="3BFFE12C" w14:textId="77777777">
      <w:pPr>
        <w:tabs>
          <w:tab w:val="left" w:pos="-720"/>
        </w:tabs>
        <w:suppressAutoHyphens/>
        <w:rPr>
          <w:rFonts w:ascii="Times New Roman" w:hAnsi="Times New Roman"/>
          <w:b/>
          <w:szCs w:val="24"/>
        </w:rPr>
      </w:pPr>
    </w:p>
    <w:p w:rsidR="00835727" w:rsidRPr="00B438F9" w:rsidP="00B13B07" w14:paraId="7EB948C4" w14:textId="618B6A81">
      <w:pPr>
        <w:rPr>
          <w:rFonts w:ascii="Times New Roman" w:hAnsi="Times New Roman"/>
          <w:szCs w:val="24"/>
        </w:rPr>
      </w:pPr>
      <w:r w:rsidRPr="00B438F9">
        <w:rPr>
          <w:rFonts w:ascii="Times New Roman" w:hAnsi="Times New Roman"/>
          <w:szCs w:val="24"/>
          <w:u w:val="single"/>
        </w:rPr>
        <w:t>Veterinarian Shortage Situation Nomination.</w:t>
      </w:r>
      <w:r w:rsidRPr="00B438F9">
        <w:rPr>
          <w:rFonts w:ascii="Times New Roman" w:hAnsi="Times New Roman"/>
          <w:szCs w:val="24"/>
        </w:rPr>
        <w:t xml:space="preserve"> NIFA will publish a solicitation in the Federal Register or on the VMLRP website for veterinarian shortage situations every one, two or three years. SAHO’s will submit the necessary information to NIFA using the Veterinarian Shortage</w:t>
      </w:r>
      <w:r w:rsidRPr="00B438F9" w:rsidR="00B13B07">
        <w:rPr>
          <w:rFonts w:ascii="Times New Roman" w:hAnsi="Times New Roman"/>
          <w:szCs w:val="24"/>
        </w:rPr>
        <w:t xml:space="preserve"> </w:t>
      </w:r>
      <w:r w:rsidRPr="00B438F9">
        <w:rPr>
          <w:rFonts w:ascii="Times New Roman" w:hAnsi="Times New Roman"/>
          <w:szCs w:val="24"/>
        </w:rPr>
        <w:t xml:space="preserve">Situation Nomination form on an annual basis or as determined by Program Staff. </w:t>
      </w:r>
    </w:p>
    <w:p w:rsidR="00835727" w:rsidRPr="00B438F9" w:rsidP="00B13B07" w14:paraId="2529720E" w14:textId="77777777">
      <w:pPr>
        <w:rPr>
          <w:rFonts w:ascii="Times New Roman" w:hAnsi="Times New Roman"/>
          <w:szCs w:val="24"/>
        </w:rPr>
      </w:pPr>
      <w:r w:rsidRPr="00B438F9">
        <w:rPr>
          <w:rFonts w:ascii="Times New Roman" w:hAnsi="Times New Roman"/>
          <w:szCs w:val="24"/>
        </w:rPr>
        <w:t xml:space="preserve">NIFA will convene a committee of food supply veterinary medicine experts from Federal and/or state agencies, industry, private mixed or large animal practice, to review the nominations and make recommendations to the National Program Leader. Nominations designated as veterinarian shortage situations are made available via the VMLRP website for applicants to review. The Veterinarian Shortage Situation Nomination form defines the location and the species or veterinary discipline and outlines the services a VMLRP participant agrees to provide.  </w:t>
      </w:r>
    </w:p>
    <w:p w:rsidR="00835727" w:rsidRPr="00B438F9" w:rsidP="00B13B07" w14:paraId="42093776" w14:textId="77777777">
      <w:pPr>
        <w:rPr>
          <w:rFonts w:ascii="Times New Roman" w:hAnsi="Times New Roman"/>
          <w:szCs w:val="24"/>
        </w:rPr>
      </w:pPr>
    </w:p>
    <w:p w:rsidR="00835727" w:rsidRPr="00B438F9" w:rsidP="00B13B07" w14:paraId="76A1826E" w14:textId="77777777">
      <w:pPr>
        <w:rPr>
          <w:rFonts w:ascii="Times New Roman" w:hAnsi="Times New Roman"/>
          <w:szCs w:val="24"/>
        </w:rPr>
      </w:pPr>
      <w:r w:rsidRPr="00B438F9">
        <w:rPr>
          <w:rFonts w:ascii="Times New Roman" w:hAnsi="Times New Roman"/>
          <w:szCs w:val="24"/>
          <w:u w:val="single"/>
        </w:rPr>
        <w:t>Application.</w:t>
      </w:r>
      <w:r w:rsidRPr="00B438F9">
        <w:rPr>
          <w:rFonts w:ascii="Times New Roman" w:hAnsi="Times New Roman"/>
          <w:szCs w:val="24"/>
        </w:rPr>
        <w:t xml:space="preserve">  NIFA will publish the Notice of Funding Opportunity (NOFO) on the NIFA website for VMLRP loan repayment applications from individual veterinarians on an annual basis. Interested individuals submit the necessary information to NIFA using the application forms: </w:t>
      </w:r>
    </w:p>
    <w:p w:rsidR="00835727" w:rsidRPr="00B438F9" w:rsidP="00B13B07" w14:paraId="2D15AAA0" w14:textId="77777777">
      <w:pPr>
        <w:rPr>
          <w:rFonts w:ascii="Times New Roman" w:hAnsi="Times New Roman"/>
          <w:szCs w:val="24"/>
        </w:rPr>
      </w:pPr>
    </w:p>
    <w:p w:rsidR="00835727" w:rsidRPr="00B438F9" w:rsidP="00B13B07" w14:paraId="333F8EEC" w14:textId="77777777">
      <w:pPr>
        <w:pStyle w:val="ListParagraph"/>
        <w:numPr>
          <w:ilvl w:val="0"/>
          <w:numId w:val="24"/>
        </w:numPr>
        <w:spacing w:line="240" w:lineRule="auto"/>
        <w:rPr>
          <w:szCs w:val="24"/>
        </w:rPr>
      </w:pPr>
      <w:r w:rsidRPr="00B438F9">
        <w:rPr>
          <w:szCs w:val="24"/>
        </w:rPr>
        <w:t xml:space="preserve">Application Part 1: Program, </w:t>
      </w:r>
    </w:p>
    <w:p w:rsidR="00835727" w:rsidRPr="00B438F9" w:rsidP="00B13B07" w14:paraId="285AC290" w14:textId="77777777">
      <w:pPr>
        <w:pStyle w:val="ListParagraph"/>
        <w:numPr>
          <w:ilvl w:val="0"/>
          <w:numId w:val="24"/>
        </w:numPr>
        <w:spacing w:line="240" w:lineRule="auto"/>
        <w:rPr>
          <w:szCs w:val="24"/>
        </w:rPr>
      </w:pPr>
      <w:r w:rsidRPr="00B438F9">
        <w:rPr>
          <w:szCs w:val="24"/>
        </w:rPr>
        <w:t xml:space="preserve">Application Part 2: Financial; and </w:t>
      </w:r>
    </w:p>
    <w:p w:rsidR="00835727" w:rsidRPr="00B438F9" w:rsidP="00B13B07" w14:paraId="3CE6C516" w14:textId="77777777">
      <w:pPr>
        <w:pStyle w:val="ListParagraph"/>
        <w:numPr>
          <w:ilvl w:val="0"/>
          <w:numId w:val="24"/>
        </w:numPr>
        <w:spacing w:line="240" w:lineRule="auto"/>
        <w:rPr>
          <w:szCs w:val="24"/>
        </w:rPr>
      </w:pPr>
      <w:r w:rsidRPr="00B438F9">
        <w:rPr>
          <w:szCs w:val="24"/>
        </w:rPr>
        <w:t>Application Part 3: Recommendation.</w:t>
      </w:r>
    </w:p>
    <w:p w:rsidR="00835727" w:rsidRPr="00B438F9" w:rsidP="00B13B07" w14:paraId="7C23AE5C" w14:textId="77777777">
      <w:pPr>
        <w:rPr>
          <w:rFonts w:ascii="Times New Roman" w:hAnsi="Times New Roman"/>
          <w:szCs w:val="24"/>
        </w:rPr>
      </w:pPr>
    </w:p>
    <w:p w:rsidR="00835727" w:rsidRPr="00B438F9" w:rsidP="00B13B07" w14:paraId="7FE509A9" w14:textId="77777777">
      <w:pPr>
        <w:rPr>
          <w:rFonts w:ascii="Times New Roman" w:hAnsi="Times New Roman"/>
          <w:szCs w:val="24"/>
        </w:rPr>
      </w:pPr>
      <w:r w:rsidRPr="00B438F9">
        <w:rPr>
          <w:rFonts w:ascii="Times New Roman" w:hAnsi="Times New Roman"/>
          <w:szCs w:val="24"/>
        </w:rPr>
        <w:t>NIFA convenes an external peer review panel to review submitted and eligible applications to make recommendations to the NIFA National Program Leader.  The panelists include food supply veterinary medicine experts from Federal and state agencies, private veterinarians, private associations, and other relevant organizations.</w:t>
      </w:r>
    </w:p>
    <w:p w:rsidR="00835727" w:rsidRPr="00B438F9" w:rsidP="00B13B07" w14:paraId="10B09D8C" w14:textId="77777777">
      <w:pPr>
        <w:rPr>
          <w:rFonts w:ascii="Times New Roman" w:hAnsi="Times New Roman"/>
          <w:szCs w:val="24"/>
        </w:rPr>
      </w:pPr>
    </w:p>
    <w:p w:rsidR="00835727" w:rsidRPr="00B438F9" w:rsidP="00B13B07" w14:paraId="6298AECB" w14:textId="77777777">
      <w:pPr>
        <w:rPr>
          <w:rFonts w:ascii="Times New Roman" w:hAnsi="Times New Roman"/>
          <w:szCs w:val="24"/>
        </w:rPr>
      </w:pPr>
      <w:r w:rsidRPr="00B438F9">
        <w:rPr>
          <w:rFonts w:ascii="Times New Roman" w:hAnsi="Times New Roman"/>
          <w:szCs w:val="24"/>
        </w:rPr>
        <w:t>The information collected allows the peer review panel to evaluate each applicant’s qualifications, career interests, and letters of recommendation to identify the most meritorious applications for repayment of educational indebtedness in return for agreeing to provide veterinary services in veterinarian shortage situations. The information collected is also used by NIFA staff to determine an applicant’s eligibility for participation in the VMLRP and to establish their award amount.</w:t>
      </w:r>
    </w:p>
    <w:p w:rsidR="00835727" w:rsidRPr="00B438F9" w:rsidP="00B13B07" w14:paraId="16767EA9" w14:textId="77777777">
      <w:pPr>
        <w:rPr>
          <w:rFonts w:ascii="Times New Roman" w:hAnsi="Times New Roman"/>
          <w:szCs w:val="24"/>
        </w:rPr>
      </w:pPr>
    </w:p>
    <w:p w:rsidR="00835727" w:rsidRPr="00B438F9" w:rsidP="00B13B07" w14:paraId="5AE5D5DC" w14:textId="7D9B7B81">
      <w:pPr>
        <w:rPr>
          <w:rFonts w:ascii="Times New Roman" w:hAnsi="Times New Roman"/>
          <w:szCs w:val="24"/>
        </w:rPr>
      </w:pPr>
      <w:r w:rsidRPr="00B438F9">
        <w:rPr>
          <w:rFonts w:ascii="Times New Roman" w:hAnsi="Times New Roman"/>
          <w:szCs w:val="24"/>
          <w:u w:val="single"/>
        </w:rPr>
        <w:t>Records and Reports.</w:t>
      </w:r>
      <w:r w:rsidRPr="00B438F9">
        <w:rPr>
          <w:rFonts w:ascii="Times New Roman" w:hAnsi="Times New Roman"/>
          <w:szCs w:val="24"/>
        </w:rPr>
        <w:t xml:space="preserve"> NIFA requires a Service Verification </w:t>
      </w:r>
      <w:r w:rsidRPr="00B438F9" w:rsidR="00B13B07">
        <w:rPr>
          <w:rFonts w:ascii="Times New Roman" w:hAnsi="Times New Roman"/>
          <w:szCs w:val="24"/>
        </w:rPr>
        <w:t>to be</w:t>
      </w:r>
      <w:r w:rsidRPr="00B438F9">
        <w:rPr>
          <w:rFonts w:ascii="Times New Roman" w:hAnsi="Times New Roman"/>
          <w:szCs w:val="24"/>
        </w:rPr>
        <w:t xml:space="preserve"> collected each quarter. This is an affidavit signed by the participant certifying they are still employed and provided the services as required by the terms and conditions of their service agreement. The Service Verification is submitted via a secure cloud-based content management tool or other electronic system. Payment is issued upon receipt of this form.</w:t>
      </w:r>
    </w:p>
    <w:p w:rsidR="00835727" w:rsidRPr="00B438F9" w:rsidP="00B13B07" w14:paraId="3E4A492A" w14:textId="77777777">
      <w:pPr>
        <w:rPr>
          <w:rFonts w:ascii="Times New Roman" w:hAnsi="Times New Roman"/>
          <w:szCs w:val="24"/>
        </w:rPr>
      </w:pPr>
    </w:p>
    <w:p w:rsidR="00835727" w:rsidRPr="00B438F9" w:rsidP="00B13B07" w14:paraId="42E5ADD8" w14:textId="107D6589">
      <w:pPr>
        <w:rPr>
          <w:rFonts w:ascii="Times New Roman" w:hAnsi="Times New Roman"/>
          <w:szCs w:val="24"/>
        </w:rPr>
      </w:pPr>
      <w:r w:rsidRPr="00B438F9">
        <w:rPr>
          <w:rFonts w:ascii="Times New Roman" w:hAnsi="Times New Roman"/>
          <w:szCs w:val="24"/>
        </w:rPr>
        <w:t xml:space="preserve">NIFA requires the Annual and Final Progress Reports to be collected annually. </w:t>
      </w:r>
      <w:r w:rsidRPr="00B438F9" w:rsidR="00841682">
        <w:rPr>
          <w:rFonts w:ascii="Times New Roman" w:hAnsi="Times New Roman"/>
          <w:szCs w:val="24"/>
        </w:rPr>
        <w:t xml:space="preserve">These forms replace the service logs </w:t>
      </w:r>
      <w:r w:rsidRPr="00B438F9" w:rsidR="00282B23">
        <w:rPr>
          <w:rFonts w:ascii="Times New Roman" w:hAnsi="Times New Roman"/>
          <w:szCs w:val="24"/>
        </w:rPr>
        <w:t xml:space="preserve">from the previous information collection. </w:t>
      </w:r>
      <w:r w:rsidRPr="00B438F9">
        <w:rPr>
          <w:rFonts w:ascii="Times New Roman" w:hAnsi="Times New Roman"/>
          <w:szCs w:val="24"/>
        </w:rPr>
        <w:t xml:space="preserve">The Final Progress Report document is provided to the participants in the last year of their service </w:t>
      </w:r>
      <w:r w:rsidRPr="00B438F9" w:rsidR="00B13B07">
        <w:rPr>
          <w:rFonts w:ascii="Times New Roman" w:hAnsi="Times New Roman"/>
          <w:szCs w:val="24"/>
        </w:rPr>
        <w:t>agreement.</w:t>
      </w:r>
      <w:r w:rsidRPr="00B438F9">
        <w:rPr>
          <w:rFonts w:ascii="Times New Roman" w:hAnsi="Times New Roman"/>
          <w:szCs w:val="24"/>
        </w:rPr>
        <w:t xml:space="preserve"> Participants must submit the progress reports to verify services provided by the participant are consistent with the terms and conditions of the service agreement. The Annual and Final Progress Reports are </w:t>
      </w:r>
      <w:r w:rsidRPr="00B438F9">
        <w:rPr>
          <w:rFonts w:ascii="Times New Roman" w:hAnsi="Times New Roman"/>
          <w:szCs w:val="24"/>
        </w:rPr>
        <w:t xml:space="preserve">fillable PDF forms submitted via a secure cloud-based content management tool or other electronic system. Obtaining this information any less frequently could result in delayed payments, increased financial burden on the participant due to compounded interest, and delayed identification of service agreement breaches after release of government funds. </w:t>
      </w:r>
    </w:p>
    <w:p w:rsidR="00835727" w:rsidRPr="00B438F9" w:rsidP="00835727" w14:paraId="004B0C4B" w14:textId="77777777">
      <w:pPr>
        <w:rPr>
          <w:rFonts w:ascii="Times New Roman" w:hAnsi="Times New Roman"/>
          <w:szCs w:val="24"/>
        </w:rPr>
      </w:pPr>
    </w:p>
    <w:p w:rsidR="00835727" w:rsidRPr="00B438F9" w:rsidP="00B13B07" w14:paraId="5A233E09" w14:textId="3F7B0497">
      <w:pPr>
        <w:rPr>
          <w:rFonts w:ascii="Times New Roman" w:hAnsi="Times New Roman"/>
          <w:szCs w:val="24"/>
        </w:rPr>
      </w:pPr>
      <w:r w:rsidRPr="00B438F9">
        <w:rPr>
          <w:rFonts w:ascii="Times New Roman" w:hAnsi="Times New Roman"/>
          <w:szCs w:val="24"/>
        </w:rPr>
        <w:t xml:space="preserve">The information collected enables VMLRP staff to provide program oversight ensuring participants are providing services as outlined in the veterinarian shortage situation form for the shortage situation they have agreed to serve and that federal funds are being distributed properly. Additionally, the Annual and Final Progress Reports enable </w:t>
      </w:r>
      <w:r w:rsidRPr="00B438F9" w:rsidR="00B13B07">
        <w:rPr>
          <w:rFonts w:ascii="Times New Roman" w:hAnsi="Times New Roman"/>
          <w:szCs w:val="24"/>
        </w:rPr>
        <w:t>VMLRP</w:t>
      </w:r>
      <w:r w:rsidRPr="00B438F9">
        <w:rPr>
          <w:rFonts w:ascii="Times New Roman" w:hAnsi="Times New Roman"/>
          <w:szCs w:val="24"/>
        </w:rPr>
        <w:t xml:space="preserve"> to evaluate program impacts and projected outcomes.  </w:t>
      </w:r>
    </w:p>
    <w:p w:rsidR="00835727" w:rsidRPr="00B438F9" w:rsidP="00835727" w14:paraId="150FC03B" w14:textId="77777777">
      <w:pPr>
        <w:rPr>
          <w:rFonts w:ascii="Times New Roman" w:hAnsi="Times New Roman"/>
          <w:szCs w:val="24"/>
        </w:rPr>
      </w:pPr>
    </w:p>
    <w:p w:rsidR="00835727" w:rsidRPr="00B438F9" w:rsidP="00B13B07" w14:paraId="184E5AF2" w14:textId="77777777">
      <w:pPr>
        <w:rPr>
          <w:rFonts w:ascii="Times New Roman" w:hAnsi="Times New Roman"/>
          <w:szCs w:val="24"/>
        </w:rPr>
      </w:pPr>
      <w:r w:rsidRPr="00B438F9">
        <w:rPr>
          <w:rFonts w:ascii="Times New Roman" w:hAnsi="Times New Roman"/>
          <w:szCs w:val="24"/>
        </w:rPr>
        <w:t xml:space="preserve">All information submitted to the VMLRP is subject to reporting as aggregate data in the program’s annual report or as requested by stakeholders and Congress. </w:t>
      </w:r>
    </w:p>
    <w:p w:rsidR="00341DEE" w:rsidRPr="00B438F9" w:rsidP="006F575B" w14:paraId="69075741" w14:textId="77777777">
      <w:pPr>
        <w:pStyle w:val="Heading2"/>
        <w:spacing w:line="480" w:lineRule="auto"/>
        <w:jc w:val="left"/>
        <w:rPr>
          <w:szCs w:val="24"/>
        </w:rPr>
      </w:pPr>
    </w:p>
    <w:p w:rsidR="00A308DB" w:rsidRPr="00B438F9" w:rsidP="0062567E" w14:paraId="69075742" w14:textId="77777777">
      <w:pPr>
        <w:pStyle w:val="Heading1"/>
        <w:rPr>
          <w:szCs w:val="24"/>
        </w:rPr>
      </w:pPr>
      <w:bookmarkStart w:id="4" w:name="_Toc401831359"/>
      <w:bookmarkStart w:id="5" w:name="_Toc401832403"/>
      <w:r w:rsidRPr="00B438F9">
        <w:rPr>
          <w:szCs w:val="24"/>
        </w:rPr>
        <w:t xml:space="preserve">A3.  </w:t>
      </w:r>
      <w:r w:rsidRPr="00B438F9" w:rsidR="00831EA7">
        <w:rPr>
          <w:szCs w:val="24"/>
        </w:rPr>
        <w:t xml:space="preserve">Use of </w:t>
      </w:r>
      <w:r w:rsidRPr="00B438F9" w:rsidR="00826253">
        <w:rPr>
          <w:szCs w:val="24"/>
        </w:rPr>
        <w:t>i</w:t>
      </w:r>
      <w:r w:rsidRPr="00B438F9" w:rsidR="00831EA7">
        <w:rPr>
          <w:szCs w:val="24"/>
        </w:rPr>
        <w:t xml:space="preserve">nformation </w:t>
      </w:r>
      <w:r w:rsidRPr="00B438F9" w:rsidR="00826253">
        <w:rPr>
          <w:szCs w:val="24"/>
        </w:rPr>
        <w:t>t</w:t>
      </w:r>
      <w:r w:rsidRPr="00B438F9" w:rsidR="00831EA7">
        <w:rPr>
          <w:szCs w:val="24"/>
        </w:rPr>
        <w:t xml:space="preserve">echnology and </w:t>
      </w:r>
      <w:r w:rsidRPr="00B438F9" w:rsidR="00826253">
        <w:rPr>
          <w:szCs w:val="24"/>
        </w:rPr>
        <w:t>b</w:t>
      </w:r>
      <w:r w:rsidRPr="00B438F9" w:rsidR="00831EA7">
        <w:rPr>
          <w:szCs w:val="24"/>
        </w:rPr>
        <w:t xml:space="preserve">urden </w:t>
      </w:r>
      <w:r w:rsidRPr="00B438F9" w:rsidR="00826253">
        <w:rPr>
          <w:szCs w:val="24"/>
        </w:rPr>
        <w:t>r</w:t>
      </w:r>
      <w:r w:rsidRPr="00B438F9" w:rsidR="00831EA7">
        <w:rPr>
          <w:szCs w:val="24"/>
        </w:rPr>
        <w:t>eduction</w:t>
      </w:r>
      <w:r w:rsidRPr="00B438F9">
        <w:rPr>
          <w:szCs w:val="24"/>
        </w:rPr>
        <w:t>.</w:t>
      </w:r>
      <w:bookmarkEnd w:id="4"/>
      <w:bookmarkEnd w:id="5"/>
      <w:r w:rsidRPr="00B438F9">
        <w:rPr>
          <w:szCs w:val="24"/>
        </w:rPr>
        <w:t xml:space="preserve">  </w:t>
      </w:r>
    </w:p>
    <w:p w:rsidR="003333DF" w:rsidRPr="00B438F9" w14:paraId="69075743" w14:textId="77777777">
      <w:pPr>
        <w:tabs>
          <w:tab w:val="left" w:pos="0"/>
        </w:tabs>
        <w:suppressAutoHyphens/>
        <w:rPr>
          <w:rFonts w:ascii="Times New Roman" w:hAnsi="Times New Roman"/>
          <w:szCs w:val="24"/>
        </w:rPr>
      </w:pPr>
    </w:p>
    <w:p w:rsidR="003333DF" w:rsidRPr="00B438F9" w:rsidP="0062567E" w14:paraId="69075744" w14:textId="77777777">
      <w:pPr>
        <w:rPr>
          <w:rFonts w:ascii="Times New Roman" w:hAnsi="Times New Roman"/>
          <w:b/>
          <w:szCs w:val="24"/>
        </w:rPr>
      </w:pPr>
      <w:r w:rsidRPr="00B438F9">
        <w:rPr>
          <w:rFonts w:ascii="Times New Roman" w:hAnsi="Times New Roman"/>
          <w:b/>
          <w:szCs w:val="24"/>
        </w:rPr>
        <w:t xml:space="preserve">Describe whether, and to what extent, the collection of information involves the use of </w:t>
      </w:r>
      <w:r w:rsidRPr="00B438F9" w:rsidR="00542C4F">
        <w:rPr>
          <w:rFonts w:ascii="Times New Roman" w:hAnsi="Times New Roman"/>
          <w:b/>
          <w:szCs w:val="24"/>
        </w:rPr>
        <w:t>automated, electronic, mechanical, or other technolog</w:t>
      </w:r>
      <w:r w:rsidRPr="00B438F9">
        <w:rPr>
          <w:rFonts w:ascii="Times New Roman" w:hAnsi="Times New Roman"/>
          <w:b/>
          <w:szCs w:val="24"/>
        </w:rPr>
        <w:t>ical collection techniques or oth</w:t>
      </w:r>
      <w:r w:rsidRPr="00B438F9" w:rsidR="00542C4F">
        <w:rPr>
          <w:rFonts w:ascii="Times New Roman" w:hAnsi="Times New Roman"/>
          <w:b/>
          <w:szCs w:val="24"/>
        </w:rPr>
        <w:t>er forms of information technology, e.g., permitting electronic sub</w:t>
      </w:r>
      <w:r w:rsidRPr="00B438F9">
        <w:rPr>
          <w:rFonts w:ascii="Times New Roman" w:hAnsi="Times New Roman"/>
          <w:b/>
          <w:szCs w:val="24"/>
        </w:rPr>
        <w:t>mission of responses, and the basis for the decision for adopting this means of co</w:t>
      </w:r>
      <w:r w:rsidRPr="00B438F9" w:rsidR="00542C4F">
        <w:rPr>
          <w:rFonts w:ascii="Times New Roman" w:hAnsi="Times New Roman"/>
          <w:b/>
          <w:szCs w:val="24"/>
        </w:rPr>
        <w:t>llection. Also describe any con</w:t>
      </w:r>
      <w:r w:rsidRPr="00B438F9">
        <w:rPr>
          <w:rFonts w:ascii="Times New Roman" w:hAnsi="Times New Roman"/>
          <w:b/>
          <w:szCs w:val="24"/>
        </w:rPr>
        <w:t>sideratio</w:t>
      </w:r>
      <w:r w:rsidRPr="00B438F9" w:rsidR="00542C4F">
        <w:rPr>
          <w:rFonts w:ascii="Times New Roman" w:hAnsi="Times New Roman"/>
          <w:b/>
          <w:szCs w:val="24"/>
        </w:rPr>
        <w:t>n of using information technology to reduce bur</w:t>
      </w:r>
      <w:r w:rsidRPr="00B438F9">
        <w:rPr>
          <w:rFonts w:ascii="Times New Roman" w:hAnsi="Times New Roman"/>
          <w:b/>
          <w:szCs w:val="24"/>
        </w:rPr>
        <w:t>den.</w:t>
      </w:r>
    </w:p>
    <w:p w:rsidR="00A308DB" w:rsidRPr="00B438F9" w14:paraId="69075745" w14:textId="77777777">
      <w:pPr>
        <w:tabs>
          <w:tab w:val="left" w:pos="0"/>
        </w:tabs>
        <w:suppressAutoHyphens/>
        <w:rPr>
          <w:rFonts w:ascii="Times New Roman" w:hAnsi="Times New Roman"/>
          <w:szCs w:val="24"/>
        </w:rPr>
      </w:pPr>
    </w:p>
    <w:p w:rsidR="001630F8" w:rsidRPr="00B438F9" w14:paraId="124D8ED4" w14:textId="20028DAE">
      <w:pPr>
        <w:tabs>
          <w:tab w:val="left" w:pos="0"/>
        </w:tabs>
        <w:suppressAutoHyphens/>
        <w:rPr>
          <w:rFonts w:ascii="Times New Roman" w:hAnsi="Times New Roman"/>
          <w:szCs w:val="24"/>
        </w:rPr>
      </w:pPr>
      <w:r w:rsidRPr="00B438F9">
        <w:rPr>
          <w:rFonts w:ascii="Times New Roman" w:hAnsi="Times New Roman"/>
          <w:szCs w:val="24"/>
        </w:rPr>
        <w:t>NIFA makes every effort to comply with the E-Government Act, 2002 (E-Gov) (Pub. L. 107-347) and to provide for alternative submission of information collections.</w:t>
      </w:r>
    </w:p>
    <w:p w:rsidR="001630F8" w:rsidRPr="00B438F9" w14:paraId="734FEEE1" w14:textId="77777777">
      <w:pPr>
        <w:tabs>
          <w:tab w:val="left" w:pos="0"/>
        </w:tabs>
        <w:suppressAutoHyphens/>
        <w:rPr>
          <w:rFonts w:ascii="Times New Roman" w:hAnsi="Times New Roman"/>
          <w:szCs w:val="24"/>
        </w:rPr>
      </w:pPr>
    </w:p>
    <w:p w:rsidR="006D73B6" w:rsidRPr="00B438F9" w:rsidP="006D73B6" w14:paraId="775A903F" w14:textId="3D564B0D">
      <w:pPr>
        <w:rPr>
          <w:rFonts w:ascii="Times New Roman" w:hAnsi="Times New Roman"/>
          <w:szCs w:val="24"/>
        </w:rPr>
      </w:pPr>
      <w:r w:rsidRPr="00B438F9">
        <w:rPr>
          <w:rFonts w:ascii="Times New Roman" w:hAnsi="Times New Roman"/>
          <w:szCs w:val="24"/>
        </w:rPr>
        <w:t>In consultation with external stakeholders, NIFA has reviewed and evaluated this collection and proposes to implement numerous technological changes that will improve accessibility. NIFA will now provide the Veterinarian Shortage Situation Nomination Form, the Application Forms, Service Verification, Annual Progress Report and Final Progress Report in the accessible and PDF-fillable format</w:t>
      </w:r>
      <w:r w:rsidRPr="00B438F9" w:rsidR="00754F1E">
        <w:rPr>
          <w:rFonts w:ascii="Times New Roman" w:hAnsi="Times New Roman"/>
          <w:szCs w:val="24"/>
        </w:rPr>
        <w:t xml:space="preserve">.  The agency is currently in development of the electronic web system </w:t>
      </w:r>
      <w:r w:rsidRPr="00B438F9" w:rsidR="00754F1E">
        <w:rPr>
          <w:rFonts w:ascii="Times New Roman" w:hAnsi="Times New Roman"/>
          <w:szCs w:val="24"/>
        </w:rPr>
        <w:t>eRA</w:t>
      </w:r>
      <w:r w:rsidRPr="00B438F9" w:rsidR="00754F1E">
        <w:rPr>
          <w:rFonts w:ascii="Times New Roman" w:hAnsi="Times New Roman"/>
          <w:szCs w:val="24"/>
        </w:rPr>
        <w:t xml:space="preserve"> which has</w:t>
      </w:r>
      <w:r w:rsidRPr="00B438F9" w:rsidR="00966BFC">
        <w:rPr>
          <w:rFonts w:ascii="Times New Roman" w:hAnsi="Times New Roman"/>
          <w:szCs w:val="24"/>
        </w:rPr>
        <w:t xml:space="preserve"> not been </w:t>
      </w:r>
      <w:r w:rsidRPr="00B438F9" w:rsidR="00754F1E">
        <w:rPr>
          <w:rFonts w:ascii="Times New Roman" w:hAnsi="Times New Roman"/>
          <w:szCs w:val="24"/>
        </w:rPr>
        <w:t xml:space="preserve">rolled out </w:t>
      </w:r>
      <w:r w:rsidRPr="00B438F9" w:rsidR="00966BFC">
        <w:rPr>
          <w:rFonts w:ascii="Times New Roman" w:hAnsi="Times New Roman"/>
          <w:szCs w:val="24"/>
        </w:rPr>
        <w:t>for respondents use; once it has been fully developed, the agency will seek public comment and submit a revision to OMB for approval before the system is deployed.</w:t>
      </w:r>
      <w:r w:rsidRPr="00B438F9">
        <w:rPr>
          <w:rFonts w:ascii="Times New Roman" w:hAnsi="Times New Roman"/>
          <w:szCs w:val="24"/>
        </w:rPr>
        <w:t xml:space="preserve"> The proposed technological updates will also reduce the time needed to complete the information collection, as well as the time needed for NIFA staff to review the information collected. </w:t>
      </w:r>
    </w:p>
    <w:p w:rsidR="005A3F80" w:rsidRPr="00B438F9" w:rsidP="006F575B" w14:paraId="69075747" w14:textId="77777777">
      <w:pPr>
        <w:tabs>
          <w:tab w:val="left" w:pos="0"/>
        </w:tabs>
        <w:suppressAutoHyphens/>
        <w:spacing w:line="480" w:lineRule="auto"/>
        <w:rPr>
          <w:rFonts w:ascii="Times New Roman" w:hAnsi="Times New Roman"/>
          <w:szCs w:val="24"/>
        </w:rPr>
      </w:pPr>
    </w:p>
    <w:p w:rsidR="00A308DB" w:rsidRPr="00B438F9" w:rsidP="0062567E" w14:paraId="69075748" w14:textId="77777777">
      <w:pPr>
        <w:pStyle w:val="Heading1"/>
        <w:rPr>
          <w:szCs w:val="24"/>
        </w:rPr>
      </w:pPr>
      <w:bookmarkStart w:id="6" w:name="_Toc401831360"/>
      <w:bookmarkStart w:id="7" w:name="_Toc401832404"/>
      <w:r w:rsidRPr="00B438F9">
        <w:rPr>
          <w:szCs w:val="24"/>
        </w:rPr>
        <w:t xml:space="preserve">A4.  </w:t>
      </w:r>
      <w:r w:rsidRPr="00B438F9" w:rsidR="002568E6">
        <w:rPr>
          <w:szCs w:val="24"/>
        </w:rPr>
        <w:t>E</w:t>
      </w:r>
      <w:r w:rsidRPr="00B438F9">
        <w:rPr>
          <w:szCs w:val="24"/>
        </w:rPr>
        <w:t>fforts to identify duplication.</w:t>
      </w:r>
      <w:bookmarkEnd w:id="6"/>
      <w:bookmarkEnd w:id="7"/>
      <w:r w:rsidRPr="00B438F9">
        <w:rPr>
          <w:szCs w:val="24"/>
        </w:rPr>
        <w:t xml:space="preserve"> </w:t>
      </w:r>
    </w:p>
    <w:p w:rsidR="003333DF" w:rsidRPr="00B438F9" w14:paraId="69075749" w14:textId="77777777">
      <w:pPr>
        <w:tabs>
          <w:tab w:val="left" w:pos="0"/>
        </w:tabs>
        <w:suppressAutoHyphens/>
        <w:rPr>
          <w:rFonts w:ascii="Times New Roman" w:hAnsi="Times New Roman"/>
          <w:szCs w:val="24"/>
        </w:rPr>
      </w:pPr>
    </w:p>
    <w:p w:rsidR="003333DF" w:rsidRPr="00B438F9" w14:paraId="6907574A" w14:textId="77777777">
      <w:pPr>
        <w:tabs>
          <w:tab w:val="left" w:pos="0"/>
        </w:tabs>
        <w:suppressAutoHyphens/>
        <w:rPr>
          <w:rFonts w:ascii="Times New Roman" w:hAnsi="Times New Roman"/>
          <w:szCs w:val="24"/>
        </w:rPr>
      </w:pPr>
      <w:r w:rsidRPr="00B438F9">
        <w:rPr>
          <w:rFonts w:ascii="Times New Roman" w:hAnsi="Times New Roman"/>
          <w:b/>
          <w:szCs w:val="24"/>
        </w:rPr>
        <w:t>Descr</w:t>
      </w:r>
      <w:r w:rsidRPr="00B438F9" w:rsidR="00751946">
        <w:rPr>
          <w:rFonts w:ascii="Times New Roman" w:hAnsi="Times New Roman"/>
          <w:b/>
          <w:szCs w:val="24"/>
        </w:rPr>
        <w:t>ibe efforts to identify duplica</w:t>
      </w:r>
      <w:r w:rsidRPr="00B438F9">
        <w:rPr>
          <w:rFonts w:ascii="Times New Roman" w:hAnsi="Times New Roman"/>
          <w:b/>
          <w:szCs w:val="24"/>
        </w:rPr>
        <w:t>tion.</w:t>
      </w:r>
      <w:r w:rsidRPr="00B438F9" w:rsidR="00751946">
        <w:rPr>
          <w:rFonts w:ascii="Times New Roman" w:hAnsi="Times New Roman"/>
          <w:b/>
          <w:szCs w:val="24"/>
        </w:rPr>
        <w:t xml:space="preserve">  Show specifically why any similar information already avail</w:t>
      </w:r>
      <w:r w:rsidRPr="00B438F9">
        <w:rPr>
          <w:rFonts w:ascii="Times New Roman" w:hAnsi="Times New Roman"/>
          <w:b/>
          <w:szCs w:val="24"/>
        </w:rPr>
        <w:t xml:space="preserve">able cannot be used or </w:t>
      </w:r>
      <w:r w:rsidRPr="00B438F9" w:rsidR="00751946">
        <w:rPr>
          <w:rFonts w:ascii="Times New Roman" w:hAnsi="Times New Roman"/>
          <w:b/>
          <w:szCs w:val="24"/>
        </w:rPr>
        <w:t>modified for use for the purposes descri</w:t>
      </w:r>
      <w:r w:rsidRPr="00B438F9">
        <w:rPr>
          <w:rFonts w:ascii="Times New Roman" w:hAnsi="Times New Roman"/>
          <w:b/>
          <w:szCs w:val="24"/>
        </w:rPr>
        <w:t>bed in Question 2.</w:t>
      </w:r>
    </w:p>
    <w:p w:rsidR="009F7E1A" w:rsidRPr="00B438F9" w:rsidP="009F7E1A" w14:paraId="6907574B" w14:textId="77777777">
      <w:pPr>
        <w:tabs>
          <w:tab w:val="left" w:pos="-720"/>
        </w:tabs>
        <w:suppressAutoHyphens/>
        <w:rPr>
          <w:rFonts w:ascii="Times New Roman" w:hAnsi="Times New Roman"/>
          <w:szCs w:val="24"/>
        </w:rPr>
      </w:pPr>
    </w:p>
    <w:p w:rsidR="00604A34" w:rsidRPr="00B438F9" w:rsidP="00604A34" w14:paraId="352B039E" w14:textId="130CFCF7">
      <w:pPr>
        <w:pStyle w:val="HTMLPreformatted"/>
        <w:rPr>
          <w:rFonts w:ascii="Times New Roman" w:hAnsi="Times New Roman" w:cs="Times New Roman"/>
          <w:sz w:val="24"/>
          <w:szCs w:val="24"/>
        </w:rPr>
      </w:pPr>
      <w:r w:rsidRPr="00B438F9">
        <w:rPr>
          <w:rFonts w:ascii="Times New Roman" w:hAnsi="Times New Roman" w:cs="Times New Roman"/>
          <w:sz w:val="24"/>
          <w:szCs w:val="24"/>
        </w:rPr>
        <w:t xml:space="preserve">This is the only loan repayment program administered by NIFA. </w:t>
      </w:r>
      <w:r w:rsidRPr="00B438F9">
        <w:rPr>
          <w:rFonts w:ascii="Times New Roman" w:hAnsi="Times New Roman" w:cs="Times New Roman"/>
          <w:sz w:val="24"/>
          <w:szCs w:val="24"/>
        </w:rPr>
        <w:fldChar w:fldCharType="begin"/>
      </w:r>
      <w:r w:rsidRPr="00B438F9">
        <w:rPr>
          <w:rFonts w:ascii="Times New Roman" w:hAnsi="Times New Roman" w:cs="Times New Roman"/>
          <w:sz w:val="24"/>
          <w:szCs w:val="24"/>
        </w:rPr>
        <w:instrText xml:space="preserve"> SEQ CHAPTER \h \r 1</w:instrText>
      </w:r>
      <w:r w:rsidRPr="00B438F9">
        <w:rPr>
          <w:rFonts w:ascii="Times New Roman" w:hAnsi="Times New Roman" w:cs="Times New Roman"/>
          <w:sz w:val="24"/>
          <w:szCs w:val="24"/>
        </w:rPr>
        <w:fldChar w:fldCharType="separate"/>
      </w:r>
      <w:r w:rsidRPr="00B438F9">
        <w:rPr>
          <w:rFonts w:ascii="Times New Roman" w:hAnsi="Times New Roman" w:cs="Times New Roman"/>
          <w:sz w:val="24"/>
          <w:szCs w:val="24"/>
        </w:rPr>
        <w:fldChar w:fldCharType="end"/>
      </w:r>
      <w:r w:rsidRPr="00B438F9">
        <w:rPr>
          <w:rFonts w:ascii="Times New Roman" w:hAnsi="Times New Roman" w:cs="Times New Roman"/>
          <w:sz w:val="24"/>
          <w:szCs w:val="24"/>
        </w:rPr>
        <w:t xml:space="preserve">There is no similar information available which can be used or modified to meet the informational needs of this program. The </w:t>
      </w:r>
      <w:r w:rsidRPr="00B438F9">
        <w:rPr>
          <w:rFonts w:ascii="Times New Roman" w:hAnsi="Times New Roman" w:cs="Times New Roman"/>
          <w:sz w:val="24"/>
          <w:szCs w:val="24"/>
        </w:rPr>
        <w:t xml:space="preserve">information requested is specific to the VMLRP. NIFA has evaluated the forms included in this collection and has eliminated redundant and repetitive questions. </w:t>
      </w:r>
    </w:p>
    <w:p w:rsidR="00E11A38" w:rsidRPr="00B438F9" w:rsidP="009F7E1A" w14:paraId="6907574D" w14:textId="77777777">
      <w:pPr>
        <w:tabs>
          <w:tab w:val="left" w:pos="-720"/>
        </w:tabs>
        <w:suppressAutoHyphens/>
        <w:spacing w:line="480" w:lineRule="auto"/>
        <w:rPr>
          <w:rFonts w:ascii="Times New Roman" w:hAnsi="Times New Roman"/>
          <w:szCs w:val="24"/>
        </w:rPr>
      </w:pPr>
    </w:p>
    <w:p w:rsidR="00A308DB" w:rsidRPr="00B438F9" w:rsidP="0062567E" w14:paraId="6907574E" w14:textId="77777777">
      <w:pPr>
        <w:pStyle w:val="Heading1"/>
        <w:rPr>
          <w:szCs w:val="24"/>
        </w:rPr>
      </w:pPr>
      <w:bookmarkStart w:id="8" w:name="_Toc401831361"/>
      <w:bookmarkStart w:id="9" w:name="_Toc401832405"/>
      <w:r w:rsidRPr="00B438F9">
        <w:rPr>
          <w:szCs w:val="24"/>
        </w:rPr>
        <w:t>A5.  Impacts on small businesses or other small entities.</w:t>
      </w:r>
      <w:bookmarkEnd w:id="8"/>
      <w:bookmarkEnd w:id="9"/>
      <w:r w:rsidRPr="00B438F9">
        <w:rPr>
          <w:szCs w:val="24"/>
        </w:rPr>
        <w:t xml:space="preserve">  </w:t>
      </w:r>
    </w:p>
    <w:p w:rsidR="003333DF" w:rsidRPr="00B438F9" w14:paraId="6907574F" w14:textId="77777777">
      <w:pPr>
        <w:tabs>
          <w:tab w:val="left" w:pos="0"/>
        </w:tabs>
        <w:suppressAutoHyphens/>
        <w:rPr>
          <w:rFonts w:ascii="Times New Roman" w:hAnsi="Times New Roman"/>
          <w:szCs w:val="24"/>
        </w:rPr>
      </w:pPr>
    </w:p>
    <w:p w:rsidR="003333DF" w:rsidRPr="00B438F9" w14:paraId="69075750" w14:textId="77777777">
      <w:pPr>
        <w:tabs>
          <w:tab w:val="left" w:pos="0"/>
        </w:tabs>
        <w:suppressAutoHyphens/>
        <w:rPr>
          <w:rFonts w:ascii="Times New Roman" w:hAnsi="Times New Roman"/>
          <w:szCs w:val="24"/>
        </w:rPr>
      </w:pPr>
      <w:r w:rsidRPr="00B438F9">
        <w:rPr>
          <w:rFonts w:ascii="Times New Roman" w:hAnsi="Times New Roman"/>
          <w:b/>
          <w:szCs w:val="24"/>
        </w:rPr>
        <w:t>If t</w:t>
      </w:r>
      <w:r w:rsidRPr="00B438F9" w:rsidR="006E4B7F">
        <w:rPr>
          <w:rFonts w:ascii="Times New Roman" w:hAnsi="Times New Roman"/>
          <w:b/>
          <w:szCs w:val="24"/>
        </w:rPr>
        <w:t>he collection of information im</w:t>
      </w:r>
      <w:r w:rsidRPr="00B438F9">
        <w:rPr>
          <w:rFonts w:ascii="Times New Roman" w:hAnsi="Times New Roman"/>
          <w:b/>
          <w:szCs w:val="24"/>
        </w:rPr>
        <w:t>pacts small businesses or other small entities (Item 5 of OMB Form 83-I), de</w:t>
      </w:r>
      <w:r w:rsidRPr="00B438F9" w:rsidR="006E4B7F">
        <w:rPr>
          <w:rFonts w:ascii="Times New Roman" w:hAnsi="Times New Roman"/>
          <w:b/>
          <w:szCs w:val="24"/>
        </w:rPr>
        <w:t>scribe any methods used to mini</w:t>
      </w:r>
      <w:r w:rsidRPr="00B438F9">
        <w:rPr>
          <w:rFonts w:ascii="Times New Roman" w:hAnsi="Times New Roman"/>
          <w:b/>
          <w:szCs w:val="24"/>
        </w:rPr>
        <w:t>mize burden.</w:t>
      </w:r>
    </w:p>
    <w:p w:rsidR="00A308DB" w:rsidRPr="00B438F9" w14:paraId="69075751" w14:textId="77777777">
      <w:pPr>
        <w:tabs>
          <w:tab w:val="left" w:pos="0"/>
        </w:tabs>
        <w:suppressAutoHyphens/>
        <w:rPr>
          <w:rFonts w:ascii="Times New Roman" w:hAnsi="Times New Roman"/>
          <w:szCs w:val="24"/>
        </w:rPr>
      </w:pPr>
    </w:p>
    <w:p w:rsidR="00A80633" w:rsidRPr="00B438F9" w:rsidP="00A80633" w14:paraId="1D13F1E9" w14:textId="77777777">
      <w:pPr>
        <w:spacing w:line="277" w:lineRule="exact"/>
        <w:jc w:val="both"/>
        <w:rPr>
          <w:rFonts w:ascii="Times New Roman" w:hAnsi="Times New Roman"/>
          <w:szCs w:val="24"/>
        </w:rPr>
      </w:pPr>
      <w:r w:rsidRPr="00B438F9">
        <w:rPr>
          <w:rFonts w:ascii="Times New Roman" w:hAnsi="Times New Roman"/>
          <w:szCs w:val="24"/>
        </w:rPr>
        <w:t>This information collection will have no impact on small businesses or small entities as the respondents do not include any small businesses or entities.</w:t>
      </w:r>
    </w:p>
    <w:p w:rsidR="001158EF" w:rsidRPr="00B438F9" w:rsidP="006F575B" w14:paraId="2C1DF481" w14:textId="77777777">
      <w:pPr>
        <w:spacing w:line="480" w:lineRule="auto"/>
        <w:jc w:val="both"/>
        <w:rPr>
          <w:rFonts w:ascii="Times New Roman" w:hAnsi="Times New Roman"/>
          <w:szCs w:val="24"/>
        </w:rPr>
      </w:pPr>
    </w:p>
    <w:p w:rsidR="00A308DB" w:rsidRPr="00B438F9" w:rsidP="0062567E" w14:paraId="69075754" w14:textId="1B781401">
      <w:pPr>
        <w:pStyle w:val="Heading1"/>
        <w:rPr>
          <w:szCs w:val="24"/>
        </w:rPr>
      </w:pPr>
      <w:bookmarkStart w:id="10" w:name="_Toc401831362"/>
      <w:bookmarkStart w:id="11" w:name="_Toc401832406"/>
      <w:r w:rsidRPr="00B438F9">
        <w:rPr>
          <w:szCs w:val="24"/>
        </w:rPr>
        <w:t xml:space="preserve">A6.  Consequences </w:t>
      </w:r>
      <w:r w:rsidRPr="00B438F9" w:rsidR="00826253">
        <w:rPr>
          <w:szCs w:val="24"/>
        </w:rPr>
        <w:t xml:space="preserve">of collecting the </w:t>
      </w:r>
      <w:r w:rsidRPr="00B438F9" w:rsidR="00DA0E06">
        <w:rPr>
          <w:szCs w:val="24"/>
        </w:rPr>
        <w:t>i</w:t>
      </w:r>
      <w:r w:rsidRPr="00B438F9" w:rsidR="00826253">
        <w:rPr>
          <w:szCs w:val="24"/>
        </w:rPr>
        <w:t xml:space="preserve">nformation </w:t>
      </w:r>
      <w:r w:rsidRPr="00B438F9">
        <w:rPr>
          <w:szCs w:val="24"/>
        </w:rPr>
        <w:t>less frequently.</w:t>
      </w:r>
      <w:bookmarkEnd w:id="10"/>
      <w:bookmarkEnd w:id="11"/>
      <w:r w:rsidRPr="00B438F9">
        <w:rPr>
          <w:szCs w:val="24"/>
        </w:rPr>
        <w:t xml:space="preserve">  </w:t>
      </w:r>
    </w:p>
    <w:p w:rsidR="003333DF" w:rsidRPr="00B438F9" w:rsidP="005C04BB" w14:paraId="69075755" w14:textId="77777777">
      <w:pPr>
        <w:tabs>
          <w:tab w:val="left" w:pos="0"/>
        </w:tabs>
        <w:suppressAutoHyphens/>
        <w:rPr>
          <w:rFonts w:ascii="Times New Roman" w:hAnsi="Times New Roman"/>
          <w:szCs w:val="24"/>
        </w:rPr>
      </w:pPr>
    </w:p>
    <w:p w:rsidR="003333DF" w:rsidRPr="00B438F9" w:rsidP="0062567E" w14:paraId="69075756" w14:textId="77777777">
      <w:pPr>
        <w:rPr>
          <w:rFonts w:ascii="Times New Roman" w:hAnsi="Times New Roman"/>
          <w:b/>
          <w:szCs w:val="24"/>
        </w:rPr>
      </w:pPr>
      <w:r w:rsidRPr="00B438F9">
        <w:rPr>
          <w:rFonts w:ascii="Times New Roman" w:hAnsi="Times New Roman"/>
          <w:b/>
          <w:szCs w:val="24"/>
        </w:rPr>
        <w:t>Describe the consequence to Federal program or policy activities if the collect</w:t>
      </w:r>
      <w:r w:rsidRPr="00B438F9" w:rsidR="00E315C8">
        <w:rPr>
          <w:rFonts w:ascii="Times New Roman" w:hAnsi="Times New Roman"/>
          <w:b/>
          <w:szCs w:val="24"/>
        </w:rPr>
        <w:t>ion is not conducted, or is conducted less frequent</w:t>
      </w:r>
      <w:r w:rsidRPr="00B438F9">
        <w:rPr>
          <w:rFonts w:ascii="Times New Roman" w:hAnsi="Times New Roman"/>
          <w:b/>
          <w:szCs w:val="24"/>
        </w:rPr>
        <w:t>ly, as well as any technical or legal obstacles to reducing burden.</w:t>
      </w:r>
    </w:p>
    <w:p w:rsidR="00E11A38" w:rsidRPr="00B438F9" w:rsidP="00E11A38" w14:paraId="69075757" w14:textId="77777777">
      <w:pPr>
        <w:tabs>
          <w:tab w:val="left" w:pos="-720"/>
        </w:tabs>
        <w:suppressAutoHyphens/>
        <w:rPr>
          <w:rFonts w:ascii="Times New Roman" w:hAnsi="Times New Roman"/>
          <w:szCs w:val="24"/>
        </w:rPr>
      </w:pPr>
    </w:p>
    <w:p w:rsidR="004709BB" w:rsidRPr="00B438F9" w:rsidP="00EF636C" w14:paraId="056458C0" w14:textId="57395448">
      <w:pPr>
        <w:rPr>
          <w:rFonts w:ascii="Times New Roman" w:hAnsi="Times New Roman"/>
          <w:szCs w:val="24"/>
        </w:rPr>
      </w:pPr>
      <w:r w:rsidRPr="00B438F9">
        <w:rPr>
          <w:rFonts w:ascii="Times New Roman" w:hAnsi="Times New Roman"/>
          <w:szCs w:val="24"/>
        </w:rPr>
        <w:t xml:space="preserve">This is </w:t>
      </w:r>
      <w:r w:rsidRPr="00B438F9" w:rsidR="00101A73">
        <w:rPr>
          <w:rFonts w:ascii="Times New Roman" w:hAnsi="Times New Roman"/>
          <w:szCs w:val="24"/>
        </w:rPr>
        <w:t>an</w:t>
      </w:r>
      <w:r w:rsidRPr="00B438F9">
        <w:rPr>
          <w:rFonts w:ascii="Times New Roman" w:hAnsi="Times New Roman"/>
          <w:szCs w:val="24"/>
        </w:rPr>
        <w:t xml:space="preserve"> ongoing, mandatory information collection. </w:t>
      </w:r>
    </w:p>
    <w:p w:rsidR="004709BB" w:rsidRPr="00B438F9" w:rsidP="00EF636C" w14:paraId="1784CAC6" w14:textId="77777777">
      <w:pPr>
        <w:rPr>
          <w:rFonts w:ascii="Times New Roman" w:hAnsi="Times New Roman"/>
          <w:szCs w:val="24"/>
          <w:u w:val="single"/>
        </w:rPr>
      </w:pPr>
    </w:p>
    <w:p w:rsidR="00EF636C" w:rsidRPr="00B438F9" w:rsidP="00EF636C" w14:paraId="4BA9B95C" w14:textId="75AD6190">
      <w:pPr>
        <w:rPr>
          <w:rFonts w:ascii="Times New Roman" w:hAnsi="Times New Roman"/>
          <w:szCs w:val="24"/>
        </w:rPr>
      </w:pPr>
      <w:r w:rsidRPr="00B438F9">
        <w:rPr>
          <w:rFonts w:ascii="Times New Roman" w:hAnsi="Times New Roman"/>
          <w:szCs w:val="24"/>
          <w:u w:val="single"/>
        </w:rPr>
        <w:t>Shortage Situation Nomination.</w:t>
      </w:r>
      <w:r w:rsidRPr="00B438F9">
        <w:rPr>
          <w:rFonts w:ascii="Times New Roman" w:hAnsi="Times New Roman"/>
          <w:szCs w:val="24"/>
        </w:rPr>
        <w:t xml:space="preserve"> SAHOs identify shortage situations in their own state and determine which areas to submit to NIFA on the VMLRP Veterinarian Shortage Situation Nomination forms. These forms are submitted only when requested by NIFA, usually on an annual basis. If nomination forms are not collected, the dynamic nature of the shortage situations would not be recognized leaving gaps in critical food animal veterinary services.  Additionally, NIFA would be unable to properly screen and evaluate nominations for established criteria.</w:t>
      </w:r>
    </w:p>
    <w:p w:rsidR="00EF636C" w:rsidRPr="00B438F9" w:rsidP="00EF636C" w14:paraId="4938CC46" w14:textId="77777777">
      <w:pPr>
        <w:rPr>
          <w:rFonts w:ascii="Times New Roman" w:hAnsi="Times New Roman"/>
          <w:szCs w:val="24"/>
        </w:rPr>
      </w:pPr>
    </w:p>
    <w:p w:rsidR="00EF636C" w:rsidRPr="00B438F9" w:rsidP="00EF636C" w14:paraId="230168B5" w14:textId="667BB9AB">
      <w:pPr>
        <w:rPr>
          <w:rFonts w:ascii="Times New Roman" w:hAnsi="Times New Roman"/>
          <w:szCs w:val="24"/>
        </w:rPr>
      </w:pPr>
      <w:r w:rsidRPr="00B438F9">
        <w:rPr>
          <w:rFonts w:ascii="Times New Roman" w:hAnsi="Times New Roman"/>
          <w:szCs w:val="24"/>
          <w:u w:val="single"/>
        </w:rPr>
        <w:t>Application.</w:t>
      </w:r>
      <w:r w:rsidRPr="00B438F9">
        <w:rPr>
          <w:rFonts w:ascii="Times New Roman" w:hAnsi="Times New Roman"/>
          <w:szCs w:val="24"/>
        </w:rPr>
        <w:t xml:space="preserve"> Individual veterinarians interested in applying for a loan repayment agreement with the VMLRP will submit VMLRP application forms only during the designated application period.  If application materials are not collected during a limited application window, NIFA would be unable to evaluate applications in a fair and timely manner to determine which applicants will receive funding through the VMLRP.</w:t>
      </w:r>
    </w:p>
    <w:p w:rsidR="00EF636C" w:rsidRPr="00B438F9" w:rsidP="00EF636C" w14:paraId="081AA1FA" w14:textId="77777777">
      <w:pPr>
        <w:rPr>
          <w:rFonts w:ascii="Times New Roman" w:hAnsi="Times New Roman"/>
          <w:szCs w:val="24"/>
        </w:rPr>
      </w:pPr>
    </w:p>
    <w:p w:rsidR="00EF636C" w:rsidRPr="00B438F9" w:rsidP="00EF636C" w14:paraId="00C4AC78" w14:textId="77777777">
      <w:pPr>
        <w:rPr>
          <w:rFonts w:ascii="Times New Roman" w:hAnsi="Times New Roman"/>
          <w:szCs w:val="24"/>
        </w:rPr>
      </w:pPr>
      <w:r w:rsidRPr="00B438F9">
        <w:rPr>
          <w:rFonts w:ascii="Times New Roman" w:hAnsi="Times New Roman"/>
          <w:szCs w:val="24"/>
          <w:u w:val="single"/>
        </w:rPr>
        <w:t>Records and Reporting</w:t>
      </w:r>
      <w:r w:rsidRPr="00B438F9">
        <w:rPr>
          <w:rFonts w:ascii="Times New Roman" w:hAnsi="Times New Roman"/>
          <w:szCs w:val="24"/>
        </w:rPr>
        <w:t>. On a quarterly basis a participant will submit the Service Verification form affirming employment and service under the terms and conditions of the VMLRP service agreement. Obtaining this information less frequently could result in delayed payments, increased financial burden on the participant due to compounded interest, and delayed identification of agreement breaches after release of government funds.</w:t>
      </w:r>
    </w:p>
    <w:p w:rsidR="00EF636C" w:rsidRPr="00B438F9" w:rsidP="00EF636C" w14:paraId="1419375C" w14:textId="77777777">
      <w:pPr>
        <w:rPr>
          <w:rFonts w:ascii="Times New Roman" w:hAnsi="Times New Roman"/>
          <w:szCs w:val="24"/>
        </w:rPr>
      </w:pPr>
    </w:p>
    <w:p w:rsidR="00EF636C" w:rsidRPr="00B438F9" w:rsidP="00EF636C" w14:paraId="266D8E01" w14:textId="33A98EF5">
      <w:pPr>
        <w:rPr>
          <w:rFonts w:ascii="Times New Roman" w:hAnsi="Times New Roman"/>
          <w:szCs w:val="24"/>
        </w:rPr>
      </w:pPr>
      <w:r w:rsidRPr="00B438F9">
        <w:rPr>
          <w:rFonts w:ascii="Times New Roman" w:hAnsi="Times New Roman"/>
          <w:szCs w:val="24"/>
        </w:rPr>
        <w:t xml:space="preserve">Participants must submit an Annual and Final Progress Report to VMLRP staff on an annual basis. Without these progress reports, VMLRP staff are unable to verify services provided by a participant are consistent with the terms and conditions of the service agreement. Obtaining this information less frequently could result in delayed payments, increased financial burden on the participant due to compounded interest, and delayed identification of service agreement breaches after release of government funds. </w:t>
      </w:r>
    </w:p>
    <w:p w:rsidR="00EF636C" w:rsidRPr="00B438F9" w:rsidP="00EF636C" w14:paraId="53ED8993" w14:textId="77777777">
      <w:pPr>
        <w:rPr>
          <w:rFonts w:ascii="Times New Roman" w:hAnsi="Times New Roman"/>
          <w:szCs w:val="24"/>
        </w:rPr>
      </w:pPr>
    </w:p>
    <w:p w:rsidR="00EF636C" w:rsidRPr="00B438F9" w:rsidP="00EF636C" w14:paraId="5AC3C05A" w14:textId="2E3E09B2">
      <w:pPr>
        <w:rPr>
          <w:rFonts w:ascii="Times New Roman" w:hAnsi="Times New Roman"/>
          <w:szCs w:val="24"/>
        </w:rPr>
      </w:pPr>
      <w:r w:rsidRPr="00B438F9">
        <w:rPr>
          <w:rFonts w:ascii="Times New Roman" w:hAnsi="Times New Roman"/>
          <w:szCs w:val="24"/>
        </w:rPr>
        <w:t xml:space="preserve">If the data is not collected the VMLRP will not be able to highlight services provided by participants, describe the impact the program is having on shortage situations in the short-term, assess the potential retention of a participant’s services for the shortage situation, or provide this information to Members of Congress, USDA, and stakeholders. The participant completes and submits the final progress report at the end of their contract period. </w:t>
      </w:r>
    </w:p>
    <w:p w:rsidR="00A308DB" w:rsidRPr="00B438F9" w:rsidP="0062567E" w14:paraId="6907575A" w14:textId="77777777">
      <w:pPr>
        <w:pStyle w:val="Heading1"/>
        <w:rPr>
          <w:szCs w:val="24"/>
        </w:rPr>
      </w:pPr>
      <w:bookmarkStart w:id="12" w:name="_Toc401831363"/>
      <w:bookmarkStart w:id="13" w:name="_Toc401832407"/>
      <w:r w:rsidRPr="00B438F9">
        <w:rPr>
          <w:szCs w:val="24"/>
        </w:rPr>
        <w:t xml:space="preserve">A7.  </w:t>
      </w:r>
      <w:r w:rsidRPr="00B438F9" w:rsidR="00A37C87">
        <w:rPr>
          <w:szCs w:val="24"/>
        </w:rPr>
        <w:t>Special c</w:t>
      </w:r>
      <w:r w:rsidRPr="00B438F9">
        <w:rPr>
          <w:szCs w:val="24"/>
        </w:rPr>
        <w:t xml:space="preserve">ircumstances </w:t>
      </w:r>
      <w:r w:rsidRPr="00B438F9" w:rsidR="00A37C87">
        <w:rPr>
          <w:szCs w:val="24"/>
        </w:rPr>
        <w:t>relating to the Guidelines of</w:t>
      </w:r>
      <w:r w:rsidRPr="00B438F9">
        <w:rPr>
          <w:szCs w:val="24"/>
        </w:rPr>
        <w:t xml:space="preserve"> 5 CFR 1320.</w:t>
      </w:r>
      <w:r w:rsidRPr="00B438F9" w:rsidR="003C6BDD">
        <w:rPr>
          <w:szCs w:val="24"/>
        </w:rPr>
        <w:t>5</w:t>
      </w:r>
      <w:r w:rsidRPr="00B438F9">
        <w:rPr>
          <w:szCs w:val="24"/>
        </w:rPr>
        <w:t>.</w:t>
      </w:r>
      <w:bookmarkEnd w:id="12"/>
      <w:bookmarkEnd w:id="13"/>
      <w:r w:rsidRPr="00B438F9">
        <w:rPr>
          <w:szCs w:val="24"/>
        </w:rPr>
        <w:t xml:space="preserve">  </w:t>
      </w:r>
    </w:p>
    <w:p w:rsidR="00A308DB" w:rsidRPr="00B438F9" w:rsidP="00213436" w14:paraId="6907575B" w14:textId="77777777">
      <w:pPr>
        <w:tabs>
          <w:tab w:val="left" w:pos="0"/>
        </w:tabs>
        <w:suppressAutoHyphens/>
        <w:rPr>
          <w:rFonts w:ascii="Times New Roman" w:hAnsi="Times New Roman"/>
          <w:szCs w:val="24"/>
        </w:rPr>
      </w:pPr>
    </w:p>
    <w:p w:rsidR="003333DF" w:rsidRPr="00B438F9" w:rsidP="0062567E" w14:paraId="6907575C" w14:textId="77777777">
      <w:pPr>
        <w:widowControl/>
        <w:rPr>
          <w:rFonts w:ascii="Times New Roman" w:hAnsi="Times New Roman"/>
          <w:b/>
          <w:szCs w:val="24"/>
        </w:rPr>
      </w:pPr>
      <w:r w:rsidRPr="00B438F9">
        <w:rPr>
          <w:rFonts w:ascii="Times New Roman" w:hAnsi="Times New Roman"/>
          <w:b/>
          <w:szCs w:val="24"/>
        </w:rPr>
        <w:t>Explain any special circumstances that woul</w:t>
      </w:r>
      <w:r w:rsidRPr="00B438F9" w:rsidR="00CF7CB1">
        <w:rPr>
          <w:rFonts w:ascii="Times New Roman" w:hAnsi="Times New Roman"/>
          <w:b/>
          <w:szCs w:val="24"/>
        </w:rPr>
        <w:t>d cause an information collecti</w:t>
      </w:r>
      <w:r w:rsidRPr="00B438F9">
        <w:rPr>
          <w:rFonts w:ascii="Times New Roman" w:hAnsi="Times New Roman"/>
          <w:b/>
          <w:szCs w:val="24"/>
        </w:rPr>
        <w:t>on to</w:t>
      </w:r>
      <w:r w:rsidRPr="00B438F9" w:rsidR="00CF7CB1">
        <w:rPr>
          <w:rFonts w:ascii="Times New Roman" w:hAnsi="Times New Roman"/>
          <w:b/>
          <w:szCs w:val="24"/>
        </w:rPr>
        <w:t xml:space="preserve"> be con</w:t>
      </w:r>
      <w:r w:rsidRPr="00B438F9">
        <w:rPr>
          <w:rFonts w:ascii="Times New Roman" w:hAnsi="Times New Roman"/>
          <w:b/>
          <w:szCs w:val="24"/>
        </w:rPr>
        <w:t xml:space="preserve">ducted in a manner: </w:t>
      </w:r>
    </w:p>
    <w:p w:rsidR="002D571D" w:rsidRPr="00B438F9" w:rsidP="002D571D" w14:paraId="2AB9E65B" w14:textId="1D1209BA">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B438F9">
        <w:rPr>
          <w:rFonts w:ascii="Times New Roman" w:hAnsi="Times New Roman"/>
          <w:b/>
          <w:szCs w:val="24"/>
        </w:rPr>
        <w:t>Requirin</w:t>
      </w:r>
      <w:r w:rsidRPr="00B438F9" w:rsidR="00CF7CB1">
        <w:rPr>
          <w:rFonts w:ascii="Times New Roman" w:hAnsi="Times New Roman"/>
          <w:b/>
          <w:szCs w:val="24"/>
        </w:rPr>
        <w:t>g respondents to report informa</w:t>
      </w:r>
      <w:r w:rsidRPr="00B438F9">
        <w:rPr>
          <w:rFonts w:ascii="Times New Roman" w:hAnsi="Times New Roman"/>
          <w:b/>
          <w:szCs w:val="24"/>
        </w:rPr>
        <w:t>tion to the agency more often than quarterly;</w:t>
      </w:r>
    </w:p>
    <w:p w:rsidR="003333DF" w:rsidRPr="00B438F9" w:rsidP="0062567E" w14:paraId="6907575E"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B438F9">
        <w:rPr>
          <w:rFonts w:ascii="Times New Roman" w:hAnsi="Times New Roman"/>
          <w:b/>
          <w:szCs w:val="24"/>
        </w:rPr>
        <w:t>Requirin</w:t>
      </w:r>
      <w:r w:rsidRPr="00B438F9" w:rsidR="008F3F14">
        <w:rPr>
          <w:rFonts w:ascii="Times New Roman" w:hAnsi="Times New Roman"/>
          <w:b/>
          <w:szCs w:val="24"/>
        </w:rPr>
        <w:t>g respondents to prepare a writ</w:t>
      </w:r>
      <w:r w:rsidRPr="00B438F9">
        <w:rPr>
          <w:rFonts w:ascii="Times New Roman" w:hAnsi="Times New Roman"/>
          <w:b/>
          <w:szCs w:val="24"/>
        </w:rPr>
        <w:t>ten re</w:t>
      </w:r>
      <w:r w:rsidRPr="00B438F9" w:rsidR="008F3F14">
        <w:rPr>
          <w:rFonts w:ascii="Times New Roman" w:hAnsi="Times New Roman"/>
          <w:b/>
          <w:szCs w:val="24"/>
        </w:rPr>
        <w:t>sponse to a collection of informa</w:t>
      </w:r>
      <w:r w:rsidRPr="00B438F9">
        <w:rPr>
          <w:rFonts w:ascii="Times New Roman" w:hAnsi="Times New Roman"/>
          <w:b/>
          <w:szCs w:val="24"/>
        </w:rPr>
        <w:t xml:space="preserve">tion in fewer than 30 days after receipt of it; </w:t>
      </w:r>
    </w:p>
    <w:p w:rsidR="003333DF" w:rsidRPr="00B438F9" w:rsidP="0062567E" w14:paraId="6907575F"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B438F9">
        <w:rPr>
          <w:rFonts w:ascii="Times New Roman" w:hAnsi="Times New Roman"/>
          <w:b/>
          <w:szCs w:val="24"/>
        </w:rPr>
        <w:t>Requiring respondents to submit more than an orig</w:t>
      </w:r>
      <w:r w:rsidRPr="00B438F9" w:rsidR="008F3F14">
        <w:rPr>
          <w:rFonts w:ascii="Times New Roman" w:hAnsi="Times New Roman"/>
          <w:b/>
          <w:szCs w:val="24"/>
        </w:rPr>
        <w:t>inal and two copies of any docu</w:t>
      </w:r>
      <w:r w:rsidRPr="00B438F9">
        <w:rPr>
          <w:rFonts w:ascii="Times New Roman" w:hAnsi="Times New Roman"/>
          <w:b/>
          <w:szCs w:val="24"/>
        </w:rPr>
        <w:t xml:space="preserve">ment; </w:t>
      </w:r>
    </w:p>
    <w:p w:rsidR="003333DF" w:rsidRPr="00B438F9" w:rsidP="0062567E" w14:paraId="69075760"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B438F9">
        <w:rPr>
          <w:rFonts w:ascii="Times New Roman" w:hAnsi="Times New Roman"/>
          <w:b/>
          <w:szCs w:val="24"/>
        </w:rPr>
        <w:t>Req</w:t>
      </w:r>
      <w:r w:rsidRPr="00B438F9" w:rsidR="008F3F14">
        <w:rPr>
          <w:rFonts w:ascii="Times New Roman" w:hAnsi="Times New Roman"/>
          <w:b/>
          <w:szCs w:val="24"/>
        </w:rPr>
        <w:t>uiring respondents to retain re</w:t>
      </w:r>
      <w:r w:rsidRPr="00B438F9">
        <w:rPr>
          <w:rFonts w:ascii="Times New Roman" w:hAnsi="Times New Roman"/>
          <w:b/>
          <w:szCs w:val="24"/>
        </w:rPr>
        <w:t>cords, othe</w:t>
      </w:r>
      <w:r w:rsidRPr="00B438F9" w:rsidR="008F3F14">
        <w:rPr>
          <w:rFonts w:ascii="Times New Roman" w:hAnsi="Times New Roman"/>
          <w:b/>
          <w:szCs w:val="24"/>
        </w:rPr>
        <w:t>r than health, medical, governm</w:t>
      </w:r>
      <w:r w:rsidRPr="00B438F9">
        <w:rPr>
          <w:rFonts w:ascii="Times New Roman" w:hAnsi="Times New Roman"/>
          <w:b/>
          <w:szCs w:val="24"/>
        </w:rPr>
        <w:t>ent contract, grant-in-aid, or tax records for more than three years</w:t>
      </w:r>
      <w:r w:rsidRPr="00B438F9" w:rsidR="008F3F14">
        <w:rPr>
          <w:rFonts w:ascii="Times New Roman" w:hAnsi="Times New Roman"/>
          <w:b/>
          <w:szCs w:val="24"/>
        </w:rPr>
        <w:t>;</w:t>
      </w:r>
    </w:p>
    <w:p w:rsidR="003333DF" w:rsidRPr="00B438F9" w:rsidP="0062567E" w14:paraId="69075761"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B438F9">
        <w:rPr>
          <w:rFonts w:ascii="Times New Roman" w:hAnsi="Times New Roman"/>
          <w:b/>
          <w:szCs w:val="24"/>
        </w:rPr>
        <w:t xml:space="preserve">In connection with a statistical survey, that is not designed to produce valid and reliable results that can be generalized to the universe of study; </w:t>
      </w:r>
    </w:p>
    <w:p w:rsidR="003333DF" w:rsidRPr="00B438F9" w:rsidP="0062567E" w14:paraId="69075762"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B438F9">
        <w:rPr>
          <w:rFonts w:ascii="Times New Roman" w:hAnsi="Times New Roman"/>
          <w:b/>
          <w:szCs w:val="24"/>
        </w:rPr>
        <w:t>Requiring the use of a statistical data classification that has not been reviewed and approved by OMB;</w:t>
      </w:r>
    </w:p>
    <w:p w:rsidR="003333DF" w:rsidRPr="00B438F9" w:rsidP="0062567E" w14:paraId="69075763"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B438F9">
        <w:rPr>
          <w:rFonts w:ascii="Times New Roman" w:hAnsi="Times New Roman"/>
          <w:b/>
          <w:szCs w:val="24"/>
        </w:rPr>
        <w:t>That includ</w:t>
      </w:r>
      <w:r w:rsidRPr="00B438F9" w:rsidR="00383C0A">
        <w:rPr>
          <w:rFonts w:ascii="Times New Roman" w:hAnsi="Times New Roman"/>
          <w:b/>
          <w:szCs w:val="24"/>
        </w:rPr>
        <w:t>es a pledge of confidentiality that is not supported by authority established in statute or regulation, that is not supported by dis</w:t>
      </w:r>
      <w:r w:rsidRPr="00B438F9">
        <w:rPr>
          <w:rFonts w:ascii="Times New Roman" w:hAnsi="Times New Roman"/>
          <w:b/>
          <w:szCs w:val="24"/>
        </w:rPr>
        <w:t>closure and data security policies that are consistent wi</w:t>
      </w:r>
      <w:r w:rsidRPr="00B438F9" w:rsidR="00383C0A">
        <w:rPr>
          <w:rFonts w:ascii="Times New Roman" w:hAnsi="Times New Roman"/>
          <w:b/>
          <w:szCs w:val="24"/>
        </w:rPr>
        <w:t>th the pledge, or which unnecessarily impedes shar</w:t>
      </w:r>
      <w:r w:rsidRPr="00B438F9">
        <w:rPr>
          <w:rFonts w:ascii="Times New Roman" w:hAnsi="Times New Roman"/>
          <w:b/>
          <w:szCs w:val="24"/>
        </w:rPr>
        <w:t>ing of d</w:t>
      </w:r>
      <w:r w:rsidRPr="00B438F9" w:rsidR="00383C0A">
        <w:rPr>
          <w:rFonts w:ascii="Times New Roman" w:hAnsi="Times New Roman"/>
          <w:b/>
          <w:szCs w:val="24"/>
        </w:rPr>
        <w:t>ata with other agencies for com</w:t>
      </w:r>
      <w:r w:rsidRPr="00B438F9" w:rsidR="00D3753F">
        <w:rPr>
          <w:rFonts w:ascii="Times New Roman" w:hAnsi="Times New Roman"/>
          <w:b/>
          <w:szCs w:val="24"/>
        </w:rPr>
        <w:t>patible confiden</w:t>
      </w:r>
      <w:r w:rsidRPr="00B438F9">
        <w:rPr>
          <w:rFonts w:ascii="Times New Roman" w:hAnsi="Times New Roman"/>
          <w:b/>
          <w:szCs w:val="24"/>
        </w:rPr>
        <w:t xml:space="preserve">tial use; or </w:t>
      </w:r>
    </w:p>
    <w:p w:rsidR="003333DF" w:rsidRPr="00B438F9" w:rsidP="0062567E" w14:paraId="69075764" w14:textId="77777777">
      <w:pPr>
        <w:pStyle w:val="BodyText"/>
        <w:numPr>
          <w:ilvl w:val="0"/>
          <w:numId w:val="19"/>
        </w:numPr>
        <w:rPr>
          <w:b w:val="0"/>
          <w:szCs w:val="24"/>
        </w:rPr>
      </w:pPr>
      <w:r w:rsidRPr="00B438F9">
        <w:rPr>
          <w:szCs w:val="24"/>
        </w:rPr>
        <w:t>Requiri</w:t>
      </w:r>
      <w:r w:rsidRPr="00B438F9" w:rsidR="0032533B">
        <w:rPr>
          <w:szCs w:val="24"/>
        </w:rPr>
        <w:t>ng respondents to submit propri</w:t>
      </w:r>
      <w:r w:rsidRPr="00B438F9">
        <w:rPr>
          <w:szCs w:val="24"/>
        </w:rPr>
        <w:t>etary trade secret, or other confidential informat</w:t>
      </w:r>
      <w:r w:rsidRPr="00B438F9" w:rsidR="0032533B">
        <w:rPr>
          <w:szCs w:val="24"/>
        </w:rPr>
        <w:t>ion unless the agency can demon</w:t>
      </w:r>
      <w:r w:rsidRPr="00B438F9">
        <w:rPr>
          <w:szCs w:val="24"/>
        </w:rPr>
        <w:t>strate that it has instituted procedures to protect the information's confidentiali</w:t>
      </w:r>
      <w:r w:rsidRPr="00B438F9" w:rsidR="0032533B">
        <w:rPr>
          <w:szCs w:val="24"/>
        </w:rPr>
        <w:t>ty to the extent permit</w:t>
      </w:r>
      <w:r w:rsidRPr="00B438F9">
        <w:rPr>
          <w:szCs w:val="24"/>
        </w:rPr>
        <w:t>ted by law.</w:t>
      </w:r>
    </w:p>
    <w:p w:rsidR="003333DF" w:rsidRPr="00B438F9" w:rsidP="00213436" w14:paraId="69075765" w14:textId="77777777">
      <w:pPr>
        <w:tabs>
          <w:tab w:val="left" w:pos="0"/>
        </w:tabs>
        <w:suppressAutoHyphens/>
        <w:rPr>
          <w:rFonts w:ascii="Times New Roman" w:hAnsi="Times New Roman"/>
          <w:szCs w:val="24"/>
        </w:rPr>
      </w:pPr>
    </w:p>
    <w:p w:rsidR="000024EE" w:rsidRPr="00B438F9" w:rsidP="000024EE" w14:paraId="49B5487B" w14:textId="77777777">
      <w:pPr>
        <w:tabs>
          <w:tab w:val="left" w:pos="0"/>
        </w:tabs>
        <w:suppressAutoHyphens/>
        <w:rPr>
          <w:rFonts w:ascii="Times New Roman" w:hAnsi="Times New Roman"/>
          <w:szCs w:val="24"/>
        </w:rPr>
      </w:pPr>
      <w:r w:rsidRPr="00B438F9">
        <w:rPr>
          <w:rFonts w:ascii="Times New Roman" w:hAnsi="Times New Roman"/>
          <w:szCs w:val="24"/>
        </w:rPr>
        <w:t>There are no special circumstances. The collection of information is conducted in a manner consistent with the guidelines in 5 CFR 1320.5.</w:t>
      </w:r>
    </w:p>
    <w:p w:rsidR="00BE0B08" w:rsidRPr="00B438F9" w:rsidP="006F575B" w14:paraId="69075768" w14:textId="77777777">
      <w:pPr>
        <w:tabs>
          <w:tab w:val="left" w:pos="0"/>
        </w:tabs>
        <w:suppressAutoHyphens/>
        <w:spacing w:line="480" w:lineRule="auto"/>
        <w:rPr>
          <w:rFonts w:ascii="Times New Roman" w:hAnsi="Times New Roman"/>
          <w:szCs w:val="24"/>
        </w:rPr>
      </w:pPr>
    </w:p>
    <w:p w:rsidR="00BE0B08" w:rsidRPr="00B438F9" w:rsidP="0062567E" w14:paraId="69075769" w14:textId="77777777">
      <w:pPr>
        <w:pStyle w:val="Heading1"/>
        <w:rPr>
          <w:szCs w:val="24"/>
        </w:rPr>
      </w:pPr>
      <w:bookmarkStart w:id="14" w:name="_Toc401831364"/>
      <w:bookmarkStart w:id="15" w:name="_Toc401832408"/>
      <w:r w:rsidRPr="00B438F9">
        <w:rPr>
          <w:szCs w:val="24"/>
        </w:rPr>
        <w:t xml:space="preserve">A8.  </w:t>
      </w:r>
      <w:r w:rsidRPr="00B438F9" w:rsidR="005917B8">
        <w:rPr>
          <w:szCs w:val="24"/>
        </w:rPr>
        <w:t xml:space="preserve">Comments to the Federal Register Notice and efforts </w:t>
      </w:r>
      <w:r w:rsidRPr="00B438F9" w:rsidR="002568E6">
        <w:rPr>
          <w:szCs w:val="24"/>
        </w:rPr>
        <w:t xml:space="preserve">for </w:t>
      </w:r>
      <w:r w:rsidRPr="00B438F9" w:rsidR="005917B8">
        <w:rPr>
          <w:szCs w:val="24"/>
        </w:rPr>
        <w:t>consult</w:t>
      </w:r>
      <w:r w:rsidRPr="00B438F9" w:rsidR="002568E6">
        <w:rPr>
          <w:szCs w:val="24"/>
        </w:rPr>
        <w:t>ation</w:t>
      </w:r>
      <w:r w:rsidRPr="00B438F9" w:rsidR="005917B8">
        <w:rPr>
          <w:szCs w:val="24"/>
        </w:rPr>
        <w:t>.</w:t>
      </w:r>
      <w:bookmarkEnd w:id="14"/>
      <w:bookmarkEnd w:id="15"/>
      <w:r w:rsidRPr="00B438F9">
        <w:rPr>
          <w:szCs w:val="24"/>
        </w:rPr>
        <w:t xml:space="preserve">  </w:t>
      </w:r>
    </w:p>
    <w:p w:rsidR="003333DF" w:rsidRPr="00B438F9" w:rsidP="005917B8" w14:paraId="6907576A" w14:textId="77777777">
      <w:pPr>
        <w:tabs>
          <w:tab w:val="left" w:pos="450"/>
        </w:tabs>
        <w:suppressAutoHyphens/>
        <w:ind w:left="450" w:hanging="450"/>
        <w:rPr>
          <w:rFonts w:ascii="Times New Roman" w:hAnsi="Times New Roman"/>
          <w:szCs w:val="24"/>
        </w:rPr>
      </w:pPr>
    </w:p>
    <w:p w:rsidR="003333DF" w:rsidRPr="00B438F9" w:rsidP="0062567E" w14:paraId="6907576B" w14:textId="77777777">
      <w:pPr>
        <w:rPr>
          <w:rFonts w:ascii="Times New Roman" w:hAnsi="Times New Roman"/>
          <w:b/>
          <w:szCs w:val="24"/>
        </w:rPr>
      </w:pPr>
      <w:r w:rsidRPr="00B438F9">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B438F9">
        <w:rPr>
          <w:rFonts w:ascii="Times New Roman" w:hAnsi="Times New Roman"/>
          <w:b/>
          <w:szCs w:val="24"/>
        </w:rPr>
        <w:tab/>
      </w:r>
    </w:p>
    <w:p w:rsidR="003333DF" w:rsidRPr="00B438F9" w:rsidP="0062567E" w14:paraId="6907576C" w14:textId="77777777">
      <w:pPr>
        <w:rPr>
          <w:rFonts w:ascii="Times New Roman" w:hAnsi="Times New Roman"/>
          <w:b/>
          <w:szCs w:val="24"/>
        </w:rPr>
      </w:pPr>
    </w:p>
    <w:p w:rsidR="003333DF" w:rsidRPr="00B438F9" w:rsidP="0062567E" w14:paraId="6907576D" w14:textId="77777777">
      <w:pPr>
        <w:rPr>
          <w:rFonts w:ascii="Times New Roman" w:hAnsi="Times New Roman"/>
          <w:b/>
          <w:szCs w:val="24"/>
        </w:rPr>
      </w:pPr>
      <w:r w:rsidRPr="00B438F9">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3333DF" w:rsidRPr="00B438F9" w:rsidP="0062567E" w14:paraId="6907576E" w14:textId="77777777">
      <w:pPr>
        <w:rPr>
          <w:rFonts w:ascii="Times New Roman" w:hAnsi="Times New Roman"/>
          <w:b/>
          <w:szCs w:val="24"/>
        </w:rPr>
      </w:pPr>
    </w:p>
    <w:p w:rsidR="003333DF" w:rsidRPr="00B438F9" w:rsidP="0062567E" w14:paraId="6907576F" w14:textId="77777777">
      <w:pPr>
        <w:rPr>
          <w:rFonts w:ascii="Times New Roman" w:hAnsi="Times New Roman"/>
          <w:b/>
          <w:szCs w:val="24"/>
        </w:rPr>
      </w:pPr>
      <w:r w:rsidRPr="00B438F9">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ED28F2" w:rsidRPr="00B438F9" w:rsidP="00ED28F2" w14:paraId="69075770" w14:textId="77777777">
      <w:pPr>
        <w:tabs>
          <w:tab w:val="left" w:pos="-720"/>
        </w:tabs>
        <w:suppressAutoHyphens/>
        <w:rPr>
          <w:rFonts w:ascii="Times New Roman" w:hAnsi="Times New Roman"/>
          <w:szCs w:val="24"/>
        </w:rPr>
      </w:pPr>
      <w:bookmarkStart w:id="16" w:name="OLE_LINK1"/>
      <w:bookmarkStart w:id="17" w:name="OLE_LINK2"/>
    </w:p>
    <w:p w:rsidR="00733746" w:rsidRPr="00B438F9" w:rsidP="00733746" w14:paraId="47DBFF0E" w14:textId="088430E0">
      <w:pPr>
        <w:spacing w:line="277" w:lineRule="exact"/>
        <w:rPr>
          <w:rFonts w:ascii="Times New Roman" w:hAnsi="Times New Roman"/>
          <w:szCs w:val="24"/>
        </w:rPr>
      </w:pPr>
      <w:r w:rsidRPr="00B438F9">
        <w:rPr>
          <w:rFonts w:ascii="Times New Roman" w:hAnsi="Times New Roman"/>
          <w:szCs w:val="24"/>
        </w:rPr>
        <w:t xml:space="preserve">Notice of intent to renew and revise this information collection was published in the </w:t>
      </w:r>
      <w:r w:rsidRPr="00B438F9">
        <w:rPr>
          <w:rFonts w:ascii="Times New Roman" w:hAnsi="Times New Roman"/>
          <w:i/>
          <w:iCs/>
          <w:szCs w:val="24"/>
        </w:rPr>
        <w:t>Federal Register</w:t>
      </w:r>
      <w:r w:rsidRPr="00B438F9">
        <w:rPr>
          <w:rFonts w:ascii="Times New Roman" w:hAnsi="Times New Roman"/>
          <w:szCs w:val="24"/>
        </w:rPr>
        <w:t xml:space="preserve"> on Tuesday, July 15, 2025, Vol. 90, No. 133 (90 FR 31600). NIFA received two comments from this announcement, one of which was not relevant to this information collection and the other supported the approval of this collection.</w:t>
      </w:r>
      <w:r w:rsidRPr="00B438F9" w:rsidR="000721A4">
        <w:rPr>
          <w:rFonts w:ascii="Times New Roman" w:hAnsi="Times New Roman"/>
          <w:szCs w:val="24"/>
        </w:rPr>
        <w:t xml:space="preserve"> No specific changes were made to this collection in response </w:t>
      </w:r>
      <w:r w:rsidRPr="00B438F9" w:rsidR="00AC0E61">
        <w:rPr>
          <w:rFonts w:ascii="Times New Roman" w:hAnsi="Times New Roman"/>
          <w:szCs w:val="24"/>
        </w:rPr>
        <w:t>to the comments.</w:t>
      </w:r>
    </w:p>
    <w:p w:rsidR="007D0040" w:rsidRPr="00B438F9" w:rsidP="00733746" w14:paraId="6B4493DE" w14:textId="77777777">
      <w:pPr>
        <w:spacing w:line="277" w:lineRule="exact"/>
        <w:rPr>
          <w:rFonts w:ascii="Times New Roman" w:hAnsi="Times New Roman"/>
          <w:szCs w:val="24"/>
        </w:rPr>
      </w:pPr>
    </w:p>
    <w:p w:rsidR="007D0040" w:rsidRPr="00B438F9" w:rsidP="007D0040" w14:paraId="44DFC159" w14:textId="4CE3C93E">
      <w:pPr>
        <w:rPr>
          <w:rFonts w:ascii="Times New Roman" w:hAnsi="Times New Roman"/>
          <w:szCs w:val="24"/>
        </w:rPr>
      </w:pPr>
      <w:r w:rsidRPr="00B438F9">
        <w:rPr>
          <w:rFonts w:ascii="Times New Roman" w:hAnsi="Times New Roman"/>
          <w:szCs w:val="24"/>
          <w:u w:val="single"/>
        </w:rPr>
        <w:t xml:space="preserve">Consultation with </w:t>
      </w:r>
      <w:r w:rsidRPr="00B438F9" w:rsidR="00485F71">
        <w:rPr>
          <w:rFonts w:ascii="Times New Roman" w:hAnsi="Times New Roman"/>
          <w:szCs w:val="24"/>
          <w:u w:val="single"/>
        </w:rPr>
        <w:t>persons outside the agency</w:t>
      </w:r>
      <w:r w:rsidRPr="00B438F9" w:rsidR="00BA032B">
        <w:rPr>
          <w:rFonts w:ascii="Times New Roman" w:hAnsi="Times New Roman"/>
          <w:szCs w:val="24"/>
          <w:u w:val="single"/>
        </w:rPr>
        <w:t>.</w:t>
      </w:r>
      <w:r w:rsidRPr="00B438F9">
        <w:rPr>
          <w:rFonts w:ascii="Times New Roman" w:hAnsi="Times New Roman"/>
          <w:szCs w:val="24"/>
        </w:rPr>
        <w:t xml:space="preserve"> </w:t>
      </w:r>
      <w:r w:rsidRPr="00B438F9" w:rsidR="002E240B">
        <w:rPr>
          <w:rFonts w:ascii="Times New Roman" w:hAnsi="Times New Roman"/>
          <w:szCs w:val="24"/>
        </w:rPr>
        <w:t xml:space="preserve">VMRLP participants </w:t>
      </w:r>
      <w:r w:rsidRPr="00B438F9">
        <w:rPr>
          <w:rFonts w:ascii="Times New Roman" w:hAnsi="Times New Roman"/>
          <w:szCs w:val="24"/>
        </w:rPr>
        <w:t>provided information related to time needed to complete the collection, provided suggestions to improve instructions and formatting, and recommended that redundant questions be eliminated. In response, NIFA has eliminated redundant questions, updated the formatting, and reviewed instruction language to improve clarity.</w:t>
      </w:r>
      <w:r w:rsidRPr="00B438F9" w:rsidR="00703554">
        <w:rPr>
          <w:rFonts w:ascii="Times New Roman" w:hAnsi="Times New Roman"/>
          <w:szCs w:val="24"/>
        </w:rPr>
        <w:t xml:space="preserve"> NIFA has consulted with the following people regarding this collection: </w:t>
      </w:r>
    </w:p>
    <w:p w:rsidR="00ED13A9" w:rsidRPr="00B438F9" w:rsidP="007D0040" w14:paraId="0465795D" w14:textId="77777777">
      <w:pPr>
        <w:rPr>
          <w:rFonts w:ascii="Times New Roman" w:hAnsi="Times New Roman"/>
          <w:szCs w:val="24"/>
        </w:rPr>
      </w:pPr>
    </w:p>
    <w:p w:rsidR="00FB747A" w:rsidRPr="00B438F9" w:rsidP="00FB747A" w14:paraId="615E9DB1" w14:textId="77777777">
      <w:pPr>
        <w:tabs>
          <w:tab w:val="left" w:pos="450"/>
        </w:tabs>
        <w:ind w:left="1440"/>
        <w:rPr>
          <w:rFonts w:ascii="Times New Roman" w:hAnsi="Times New Roman"/>
          <w:szCs w:val="24"/>
        </w:rPr>
      </w:pPr>
      <w:r w:rsidRPr="00B438F9">
        <w:rPr>
          <w:rFonts w:ascii="Times New Roman" w:hAnsi="Times New Roman"/>
          <w:szCs w:val="24"/>
        </w:rPr>
        <w:t>Justin Cunfer</w:t>
      </w:r>
    </w:p>
    <w:p w:rsidR="00FB747A" w:rsidRPr="00B438F9" w:rsidP="00FB747A" w14:paraId="05D48671" w14:textId="77777777">
      <w:pPr>
        <w:autoSpaceDE/>
        <w:autoSpaceDN/>
        <w:adjustRightInd/>
        <w:ind w:left="720" w:firstLine="720"/>
        <w:rPr>
          <w:rFonts w:ascii="Times New Roman" w:hAnsi="Times New Roman"/>
          <w:szCs w:val="24"/>
        </w:rPr>
      </w:pPr>
      <w:r w:rsidRPr="00B438F9">
        <w:rPr>
          <w:rFonts w:ascii="Times New Roman" w:hAnsi="Times New Roman"/>
          <w:szCs w:val="24"/>
        </w:rPr>
        <w:t>Cunfer Veterinary Services</w:t>
      </w:r>
    </w:p>
    <w:p w:rsidR="00FB747A" w:rsidRPr="00B438F9" w:rsidP="00FB747A" w14:paraId="4536492F" w14:textId="77777777">
      <w:pPr>
        <w:autoSpaceDE/>
        <w:autoSpaceDN/>
        <w:adjustRightInd/>
        <w:rPr>
          <w:rFonts w:ascii="Times New Roman" w:hAnsi="Times New Roman"/>
          <w:szCs w:val="24"/>
        </w:rPr>
      </w:pPr>
      <w:r w:rsidRPr="00B438F9">
        <w:rPr>
          <w:rFonts w:ascii="Times New Roman" w:hAnsi="Times New Roman"/>
          <w:szCs w:val="24"/>
        </w:rPr>
        <w:tab/>
      </w:r>
      <w:r w:rsidRPr="00B438F9">
        <w:rPr>
          <w:rFonts w:ascii="Times New Roman" w:hAnsi="Times New Roman"/>
          <w:szCs w:val="24"/>
        </w:rPr>
        <w:tab/>
      </w:r>
      <w:r w:rsidRPr="00B438F9">
        <w:rPr>
          <w:rFonts w:ascii="Times New Roman" w:hAnsi="Times New Roman"/>
          <w:szCs w:val="24"/>
        </w:rPr>
        <w:fldChar w:fldCharType="begin"/>
      </w:r>
      <w:r w:rsidRPr="00B438F9">
        <w:rPr>
          <w:rFonts w:ascii="Times New Roman" w:hAnsi="Times New Roman"/>
          <w:szCs w:val="24"/>
        </w:rPr>
        <w:instrText>HYPERLINK "mailto:cunfervetservices@ptd.net</w:instrText>
      </w:r>
    </w:p>
    <w:p w:rsidR="00FB747A" w:rsidRPr="00B438F9" w:rsidP="00FB747A" w14:paraId="4EA26963" w14:textId="77777777">
      <w:pPr>
        <w:autoSpaceDE/>
        <w:autoSpaceDN/>
        <w:adjustRightInd/>
        <w:rPr>
          <w:rStyle w:val="Hyperlink"/>
          <w:rFonts w:ascii="Times New Roman" w:hAnsi="Times New Roman"/>
          <w:color w:val="auto"/>
          <w:szCs w:val="24"/>
        </w:rPr>
      </w:pPr>
      <w:r w:rsidRPr="00B438F9">
        <w:rPr>
          <w:rFonts w:ascii="Times New Roman" w:hAnsi="Times New Roman"/>
          <w:szCs w:val="24"/>
        </w:rPr>
        <w:instrText>"</w:instrText>
      </w:r>
      <w:r w:rsidRPr="00B438F9">
        <w:rPr>
          <w:rFonts w:ascii="Times New Roman" w:hAnsi="Times New Roman"/>
          <w:szCs w:val="24"/>
        </w:rPr>
        <w:fldChar w:fldCharType="separate"/>
      </w:r>
      <w:r w:rsidRPr="00B438F9">
        <w:rPr>
          <w:rStyle w:val="Hyperlink"/>
          <w:rFonts w:ascii="Times New Roman" w:hAnsi="Times New Roman"/>
          <w:color w:val="auto"/>
          <w:szCs w:val="24"/>
        </w:rPr>
        <w:t>cunfervetservices@ptd.net</w:t>
      </w:r>
    </w:p>
    <w:p w:rsidR="00FB747A" w:rsidRPr="00FB747A" w:rsidP="00FB747A" w14:paraId="47B1E896" w14:textId="77777777">
      <w:pPr>
        <w:tabs>
          <w:tab w:val="left" w:pos="450"/>
        </w:tabs>
        <w:rPr>
          <w:rFonts w:ascii="Times New Roman" w:hAnsi="Times New Roman"/>
          <w:szCs w:val="24"/>
        </w:rPr>
      </w:pPr>
      <w:r w:rsidRPr="00B438F9">
        <w:rPr>
          <w:rFonts w:ascii="Times New Roman" w:hAnsi="Times New Roman"/>
          <w:szCs w:val="24"/>
        </w:rPr>
        <w:fldChar w:fldCharType="end"/>
      </w:r>
    </w:p>
    <w:p w:rsidR="00FB747A" w:rsidRPr="00FB747A" w:rsidP="00FB747A" w14:paraId="0F34925E" w14:textId="77777777">
      <w:pPr>
        <w:autoSpaceDE/>
        <w:autoSpaceDN/>
        <w:adjustRightInd/>
        <w:rPr>
          <w:rFonts w:ascii="Times New Roman" w:hAnsi="Times New Roman"/>
          <w:color w:val="000000"/>
          <w:szCs w:val="24"/>
        </w:rPr>
      </w:pPr>
      <w:r w:rsidRPr="00FB747A">
        <w:rPr>
          <w:rFonts w:ascii="Times New Roman" w:hAnsi="Times New Roman"/>
          <w:color w:val="000000"/>
          <w:szCs w:val="24"/>
        </w:rPr>
        <w:tab/>
      </w:r>
      <w:r w:rsidRPr="00FB747A">
        <w:rPr>
          <w:rFonts w:ascii="Times New Roman" w:hAnsi="Times New Roman"/>
          <w:color w:val="000000"/>
          <w:szCs w:val="24"/>
        </w:rPr>
        <w:tab/>
        <w:t>Charlotte Detmer</w:t>
      </w:r>
    </w:p>
    <w:p w:rsidR="00FB747A" w:rsidRPr="00FB747A" w:rsidP="00FB747A" w14:paraId="6EDFEBC0" w14:textId="77777777">
      <w:pPr>
        <w:autoSpaceDE/>
        <w:autoSpaceDN/>
        <w:adjustRightInd/>
        <w:rPr>
          <w:rFonts w:ascii="Times New Roman" w:hAnsi="Times New Roman"/>
          <w:color w:val="000000"/>
          <w:szCs w:val="24"/>
        </w:rPr>
      </w:pPr>
      <w:r w:rsidRPr="00FB747A">
        <w:rPr>
          <w:rFonts w:ascii="Times New Roman" w:hAnsi="Times New Roman"/>
          <w:color w:val="000000"/>
          <w:szCs w:val="24"/>
        </w:rPr>
        <w:tab/>
      </w:r>
      <w:r w:rsidRPr="00FB747A">
        <w:rPr>
          <w:rFonts w:ascii="Times New Roman" w:hAnsi="Times New Roman"/>
          <w:color w:val="000000"/>
          <w:szCs w:val="24"/>
        </w:rPr>
        <w:tab/>
        <w:t>Illinois Department of Agriculture </w:t>
      </w:r>
    </w:p>
    <w:p w:rsidR="00FB747A" w:rsidRPr="00FB747A" w:rsidP="00FB747A" w14:paraId="1F640928" w14:textId="77777777">
      <w:pPr>
        <w:autoSpaceDE/>
        <w:autoSpaceDN/>
        <w:adjustRightInd/>
        <w:ind w:left="720" w:firstLine="720"/>
        <w:rPr>
          <w:rFonts w:ascii="Times New Roman" w:hAnsi="Times New Roman"/>
          <w:color w:val="000000"/>
          <w:szCs w:val="24"/>
        </w:rPr>
      </w:pPr>
      <w:hyperlink r:id="rId10" w:history="1">
        <w:r w:rsidRPr="00FB747A">
          <w:rPr>
            <w:rStyle w:val="Hyperlink"/>
            <w:rFonts w:ascii="Times New Roman" w:hAnsi="Times New Roman"/>
            <w:szCs w:val="24"/>
          </w:rPr>
          <w:t>Charlotte.detmer@illinois.gov</w:t>
        </w:r>
      </w:hyperlink>
    </w:p>
    <w:p w:rsidR="00FB747A" w:rsidRPr="00FB747A" w:rsidP="00FB747A" w14:paraId="5BC0064A" w14:textId="77777777">
      <w:pPr>
        <w:tabs>
          <w:tab w:val="left" w:pos="450"/>
        </w:tabs>
        <w:ind w:left="1440"/>
        <w:rPr>
          <w:rFonts w:ascii="Times New Roman" w:hAnsi="Times New Roman"/>
          <w:color w:val="000000"/>
          <w:szCs w:val="24"/>
        </w:rPr>
      </w:pPr>
      <w:hyperlink r:id="rId11" w:history="1"/>
    </w:p>
    <w:p w:rsidR="00FB747A" w:rsidRPr="00FB747A" w:rsidP="00FB747A" w14:paraId="70BE3F03" w14:textId="77777777">
      <w:pPr>
        <w:autoSpaceDE/>
        <w:autoSpaceDN/>
        <w:adjustRightInd/>
        <w:ind w:left="1440"/>
        <w:rPr>
          <w:rFonts w:ascii="Times New Roman" w:hAnsi="Times New Roman"/>
          <w:color w:val="000000"/>
          <w:szCs w:val="24"/>
        </w:rPr>
      </w:pPr>
      <w:r w:rsidRPr="00FB747A">
        <w:rPr>
          <w:rFonts w:ascii="Times New Roman" w:hAnsi="Times New Roman"/>
          <w:color w:val="000000"/>
          <w:szCs w:val="24"/>
        </w:rPr>
        <w:t>Hannah Ennis</w:t>
      </w:r>
    </w:p>
    <w:p w:rsidR="00FB747A" w:rsidRPr="00FB747A" w:rsidP="00FB747A" w14:paraId="4D845924" w14:textId="77777777">
      <w:pPr>
        <w:autoSpaceDE/>
        <w:autoSpaceDN/>
        <w:adjustRightInd/>
        <w:ind w:left="1440"/>
        <w:rPr>
          <w:rFonts w:ascii="Times New Roman" w:hAnsi="Times New Roman"/>
          <w:color w:val="000000"/>
          <w:szCs w:val="24"/>
        </w:rPr>
      </w:pPr>
      <w:r w:rsidRPr="00FB747A">
        <w:rPr>
          <w:rFonts w:ascii="Times New Roman" w:hAnsi="Times New Roman"/>
          <w:color w:val="000000"/>
          <w:szCs w:val="24"/>
        </w:rPr>
        <w:t>Alabama Department of Agriculture &amp; Industries</w:t>
      </w:r>
    </w:p>
    <w:p w:rsidR="00FB747A" w:rsidRPr="00FB747A" w:rsidP="00FB747A" w14:paraId="695C8814" w14:textId="77777777">
      <w:pPr>
        <w:autoSpaceDE/>
        <w:autoSpaceDN/>
        <w:adjustRightInd/>
        <w:ind w:left="1440"/>
        <w:rPr>
          <w:rFonts w:ascii="Times New Roman" w:hAnsi="Times New Roman"/>
          <w:color w:val="000000"/>
          <w:szCs w:val="24"/>
        </w:rPr>
      </w:pPr>
      <w:hyperlink r:id="rId12" w:history="1">
        <w:r w:rsidRPr="00FB747A">
          <w:rPr>
            <w:rStyle w:val="Hyperlink"/>
            <w:rFonts w:ascii="Times New Roman" w:hAnsi="Times New Roman"/>
            <w:szCs w:val="24"/>
          </w:rPr>
          <w:t>Hannah.ennis@agi.alabama.gov</w:t>
        </w:r>
      </w:hyperlink>
    </w:p>
    <w:p w:rsidR="00FB747A" w:rsidRPr="00FB747A" w:rsidP="00FB747A" w14:paraId="1DDD447B" w14:textId="77777777">
      <w:pPr>
        <w:autoSpaceDE/>
        <w:autoSpaceDN/>
        <w:adjustRightInd/>
        <w:ind w:left="1440"/>
        <w:rPr>
          <w:rFonts w:ascii="Times New Roman" w:hAnsi="Times New Roman"/>
          <w:color w:val="000000"/>
          <w:szCs w:val="24"/>
        </w:rPr>
      </w:pPr>
    </w:p>
    <w:p w:rsidR="00FB747A" w:rsidRPr="00FB747A" w:rsidP="00FB747A" w14:paraId="4C98D4A9" w14:textId="77777777">
      <w:pPr>
        <w:autoSpaceDE/>
        <w:autoSpaceDN/>
        <w:adjustRightInd/>
        <w:ind w:left="1440"/>
        <w:rPr>
          <w:rFonts w:ascii="Times New Roman" w:hAnsi="Times New Roman"/>
          <w:color w:val="000000"/>
          <w:szCs w:val="24"/>
        </w:rPr>
      </w:pPr>
      <w:r w:rsidRPr="00FB747A">
        <w:rPr>
          <w:rFonts w:ascii="Times New Roman" w:hAnsi="Times New Roman"/>
          <w:color w:val="000000"/>
          <w:szCs w:val="24"/>
        </w:rPr>
        <w:t>Andrea Gutierrez</w:t>
      </w:r>
    </w:p>
    <w:p w:rsidR="00FB747A" w:rsidRPr="00FB747A" w:rsidP="00FB747A" w14:paraId="1E233728" w14:textId="77777777">
      <w:pPr>
        <w:autoSpaceDE/>
        <w:autoSpaceDN/>
        <w:adjustRightInd/>
        <w:ind w:left="1440"/>
        <w:rPr>
          <w:rFonts w:ascii="Times New Roman" w:hAnsi="Times New Roman"/>
          <w:color w:val="000000"/>
          <w:szCs w:val="24"/>
        </w:rPr>
      </w:pPr>
      <w:r w:rsidRPr="00FB747A">
        <w:rPr>
          <w:rFonts w:ascii="Times New Roman" w:hAnsi="Times New Roman"/>
          <w:color w:val="000000"/>
          <w:szCs w:val="24"/>
        </w:rPr>
        <w:t>Southwest Veterinary Services LLC</w:t>
      </w:r>
    </w:p>
    <w:p w:rsidR="00FB747A" w:rsidRPr="00FB747A" w:rsidP="00FB747A" w14:paraId="4807B240" w14:textId="77777777">
      <w:pPr>
        <w:autoSpaceDE/>
        <w:autoSpaceDN/>
        <w:adjustRightInd/>
        <w:ind w:left="1440"/>
        <w:rPr>
          <w:rFonts w:ascii="Times New Roman" w:hAnsi="Times New Roman"/>
          <w:color w:val="467886"/>
          <w:szCs w:val="24"/>
          <w:u w:val="single"/>
        </w:rPr>
      </w:pPr>
      <w:hyperlink r:id="rId13" w:history="1">
        <w:r w:rsidRPr="00FB747A">
          <w:rPr>
            <w:rFonts w:ascii="Times New Roman" w:hAnsi="Times New Roman"/>
            <w:color w:val="467886"/>
            <w:szCs w:val="24"/>
            <w:u w:val="single"/>
          </w:rPr>
          <w:t>southwestvetnm@gmail.com</w:t>
        </w:r>
      </w:hyperlink>
    </w:p>
    <w:p w:rsidR="00FB747A" w:rsidRPr="00FB747A" w:rsidP="00FB747A" w14:paraId="6A4E2E58" w14:textId="77777777">
      <w:pPr>
        <w:autoSpaceDE/>
        <w:autoSpaceDN/>
        <w:adjustRightInd/>
        <w:rPr>
          <w:rFonts w:ascii="Times New Roman" w:hAnsi="Times New Roman"/>
          <w:color w:val="000000"/>
          <w:szCs w:val="24"/>
        </w:rPr>
      </w:pPr>
    </w:p>
    <w:p w:rsidR="00FB747A" w:rsidRPr="00FB747A" w:rsidP="00FB747A" w14:paraId="5454D1CA" w14:textId="77777777">
      <w:pPr>
        <w:tabs>
          <w:tab w:val="left" w:pos="450"/>
        </w:tabs>
        <w:spacing w:after="20"/>
        <w:ind w:left="1440"/>
        <w:rPr>
          <w:rFonts w:ascii="Times New Roman" w:hAnsi="Times New Roman"/>
          <w:szCs w:val="24"/>
        </w:rPr>
      </w:pPr>
      <w:r w:rsidRPr="00FB747A">
        <w:rPr>
          <w:rFonts w:ascii="Times New Roman" w:hAnsi="Times New Roman"/>
          <w:szCs w:val="24"/>
        </w:rPr>
        <w:t>Steve Crawford</w:t>
      </w:r>
    </w:p>
    <w:p w:rsidR="00FB747A" w:rsidRPr="00FB747A" w:rsidP="00FB747A" w14:paraId="55011AD5" w14:textId="77777777">
      <w:pPr>
        <w:tabs>
          <w:tab w:val="left" w:pos="450"/>
        </w:tabs>
        <w:spacing w:after="20"/>
        <w:ind w:left="1440"/>
        <w:rPr>
          <w:rFonts w:ascii="Times New Roman" w:hAnsi="Times New Roman"/>
          <w:szCs w:val="24"/>
        </w:rPr>
      </w:pPr>
      <w:r w:rsidRPr="00FB747A">
        <w:rPr>
          <w:rFonts w:ascii="Times New Roman" w:hAnsi="Times New Roman"/>
          <w:szCs w:val="24"/>
        </w:rPr>
        <w:t>NH Department of Agriculture, Markets, and Food</w:t>
      </w:r>
    </w:p>
    <w:p w:rsidR="00FB747A" w:rsidRPr="00FB747A" w:rsidP="00FB747A" w14:paraId="266F3F2A" w14:textId="77777777">
      <w:pPr>
        <w:autoSpaceDE/>
        <w:autoSpaceDN/>
        <w:adjustRightInd/>
        <w:rPr>
          <w:rFonts w:ascii="Times New Roman" w:hAnsi="Times New Roman"/>
          <w:color w:val="467886"/>
          <w:szCs w:val="24"/>
          <w:u w:val="single"/>
        </w:rPr>
      </w:pPr>
      <w:r w:rsidRPr="00FB747A">
        <w:rPr>
          <w:rFonts w:ascii="Times New Roman" w:hAnsi="Times New Roman"/>
          <w:szCs w:val="24"/>
        </w:rPr>
        <w:tab/>
      </w:r>
      <w:r w:rsidRPr="00FB747A">
        <w:rPr>
          <w:rFonts w:ascii="Times New Roman" w:hAnsi="Times New Roman"/>
          <w:szCs w:val="24"/>
        </w:rPr>
        <w:tab/>
      </w:r>
      <w:hyperlink r:id="rId14" w:history="1">
        <w:r w:rsidRPr="00FB747A">
          <w:rPr>
            <w:rStyle w:val="Hyperlink"/>
            <w:rFonts w:ascii="Times New Roman" w:hAnsi="Times New Roman"/>
            <w:szCs w:val="24"/>
          </w:rPr>
          <w:t>stephen.k.crawford@agr.nh.gov</w:t>
        </w:r>
      </w:hyperlink>
    </w:p>
    <w:p w:rsidR="00FB747A" w:rsidRPr="00FB747A" w:rsidP="00FB747A" w14:paraId="5946E801" w14:textId="77777777">
      <w:pPr>
        <w:tabs>
          <w:tab w:val="left" w:pos="450"/>
        </w:tabs>
        <w:ind w:left="1440"/>
        <w:rPr>
          <w:rFonts w:ascii="Times New Roman" w:hAnsi="Times New Roman"/>
          <w:color w:val="C00000"/>
          <w:szCs w:val="24"/>
        </w:rPr>
      </w:pPr>
    </w:p>
    <w:p w:rsidR="00FB747A" w:rsidRPr="00FB747A" w:rsidP="00FB747A" w14:paraId="103F5CF6" w14:textId="77777777">
      <w:pPr>
        <w:tabs>
          <w:tab w:val="left" w:pos="450"/>
        </w:tabs>
        <w:ind w:left="1440"/>
        <w:rPr>
          <w:rFonts w:ascii="Times New Roman" w:hAnsi="Times New Roman"/>
          <w:szCs w:val="24"/>
        </w:rPr>
      </w:pPr>
      <w:r w:rsidRPr="00FB747A">
        <w:rPr>
          <w:rFonts w:ascii="Times New Roman" w:hAnsi="Times New Roman"/>
          <w:szCs w:val="24"/>
        </w:rPr>
        <w:t>Marissa Silva</w:t>
      </w:r>
    </w:p>
    <w:p w:rsidR="00FB747A" w:rsidRPr="00FB747A" w:rsidP="00FB747A" w14:paraId="69DE00BD" w14:textId="77777777">
      <w:pPr>
        <w:autoSpaceDE/>
        <w:autoSpaceDN/>
        <w:adjustRightInd/>
        <w:ind w:left="720" w:firstLine="720"/>
        <w:rPr>
          <w:rFonts w:ascii="Times New Roman" w:hAnsi="Times New Roman"/>
          <w:color w:val="000000"/>
          <w:szCs w:val="24"/>
        </w:rPr>
      </w:pPr>
      <w:r w:rsidRPr="00FB747A">
        <w:rPr>
          <w:rFonts w:ascii="Times New Roman" w:hAnsi="Times New Roman"/>
          <w:color w:val="000000"/>
          <w:szCs w:val="24"/>
        </w:rPr>
        <w:t>CA Department of Food and Agriculture</w:t>
      </w:r>
    </w:p>
    <w:p w:rsidR="00FB747A" w:rsidRPr="007F6BFE" w:rsidP="00FB747A" w14:paraId="04CF356B" w14:textId="77777777">
      <w:pPr>
        <w:autoSpaceDE/>
        <w:autoSpaceDN/>
        <w:adjustRightInd/>
        <w:ind w:left="720" w:firstLine="720"/>
        <w:rPr>
          <w:rFonts w:ascii="Times New Roman" w:hAnsi="Times New Roman"/>
          <w:color w:val="000000"/>
          <w:szCs w:val="24"/>
        </w:rPr>
      </w:pPr>
      <w:hyperlink r:id="rId15" w:history="1">
        <w:r w:rsidRPr="00FB747A">
          <w:rPr>
            <w:rStyle w:val="Hyperlink"/>
            <w:rFonts w:ascii="Times New Roman" w:hAnsi="Times New Roman"/>
            <w:szCs w:val="24"/>
          </w:rPr>
          <w:t xml:space="preserve">marissa.silva@cdfa.ca.gov </w:t>
        </w:r>
      </w:hyperlink>
    </w:p>
    <w:p w:rsidR="00ED13A9" w:rsidRPr="00FD616E" w:rsidP="007D0040" w14:paraId="5A862794" w14:textId="77777777">
      <w:pPr>
        <w:rPr>
          <w:rFonts w:ascii="Times New Roman" w:hAnsi="Times New Roman"/>
          <w:szCs w:val="24"/>
        </w:rPr>
      </w:pPr>
    </w:p>
    <w:p w:rsidR="007D0040" w:rsidP="0062567E" w14:paraId="03347E21" w14:textId="77777777">
      <w:pPr>
        <w:pStyle w:val="Heading1"/>
        <w:rPr>
          <w:szCs w:val="24"/>
        </w:rPr>
      </w:pPr>
      <w:bookmarkStart w:id="18" w:name="_Toc401831365"/>
      <w:bookmarkStart w:id="19" w:name="_Toc401832409"/>
      <w:bookmarkEnd w:id="16"/>
      <w:bookmarkEnd w:id="17"/>
    </w:p>
    <w:p w:rsidR="00BE0B08" w:rsidRPr="002568E6" w:rsidP="0062567E" w14:paraId="69075773" w14:textId="107F6AE5">
      <w:pPr>
        <w:pStyle w:val="Heading1"/>
        <w:rPr>
          <w:szCs w:val="24"/>
        </w:rPr>
      </w:pPr>
      <w:r w:rsidRPr="002568E6">
        <w:rPr>
          <w:szCs w:val="24"/>
        </w:rPr>
        <w:t>A9.  Explain any decisions to provide any payment or gift to respondents.</w:t>
      </w:r>
      <w:bookmarkEnd w:id="18"/>
      <w:bookmarkEnd w:id="19"/>
      <w:r w:rsidRPr="002568E6">
        <w:rPr>
          <w:szCs w:val="24"/>
        </w:rPr>
        <w:t xml:space="preserve">  </w:t>
      </w:r>
    </w:p>
    <w:p w:rsidR="003333DF" w:rsidRPr="002568E6" w:rsidP="00BE0B08" w14:paraId="69075774" w14:textId="77777777">
      <w:pPr>
        <w:tabs>
          <w:tab w:val="left" w:pos="0"/>
        </w:tabs>
        <w:suppressAutoHyphens/>
        <w:rPr>
          <w:rFonts w:ascii="Times New Roman" w:hAnsi="Times New Roman"/>
          <w:szCs w:val="24"/>
        </w:rPr>
      </w:pPr>
    </w:p>
    <w:p w:rsidR="003333DF" w:rsidRPr="002568E6" w:rsidP="00BE0B08" w14:paraId="69075775" w14:textId="77777777">
      <w:pPr>
        <w:tabs>
          <w:tab w:val="left" w:pos="0"/>
        </w:tabs>
        <w:suppressAutoHyphens/>
        <w:rPr>
          <w:rFonts w:ascii="Times New Roman" w:hAnsi="Times New Roman"/>
          <w:b/>
          <w:szCs w:val="24"/>
        </w:rPr>
      </w:pPr>
      <w:r w:rsidRPr="002568E6">
        <w:rPr>
          <w:rFonts w:ascii="Times New Roman" w:hAnsi="Times New Roman"/>
          <w:b/>
          <w:szCs w:val="24"/>
        </w:rPr>
        <w:t xml:space="preserve">Explain any decision to provide any payment or gift to respondents, other than </w:t>
      </w:r>
      <w:r w:rsidRPr="002568E6">
        <w:rPr>
          <w:rFonts w:ascii="Times New Roman" w:hAnsi="Times New Roman"/>
          <w:b/>
          <w:szCs w:val="24"/>
        </w:rPr>
        <w:t>remuneration of contractors or grantees.</w:t>
      </w:r>
    </w:p>
    <w:p w:rsidR="00ED28F2" w:rsidRPr="002568E6" w:rsidP="00ED28F2" w14:paraId="69075776" w14:textId="77777777">
      <w:pPr>
        <w:tabs>
          <w:tab w:val="left" w:pos="-720"/>
        </w:tabs>
        <w:suppressAutoHyphens/>
        <w:rPr>
          <w:rFonts w:ascii="Times New Roman" w:hAnsi="Times New Roman"/>
          <w:szCs w:val="24"/>
        </w:rPr>
      </w:pPr>
    </w:p>
    <w:p w:rsidR="00ED28F2" w:rsidP="001971F1" w14:paraId="69075778" w14:textId="61F4419A">
      <w:pPr>
        <w:rPr>
          <w:rFonts w:ascii="Times New Roman" w:hAnsi="Times New Roman"/>
          <w:szCs w:val="24"/>
        </w:rPr>
      </w:pPr>
      <w:r w:rsidRPr="00FD616E">
        <w:rPr>
          <w:rFonts w:ascii="Times New Roman" w:hAnsi="Times New Roman"/>
          <w:szCs w:val="24"/>
        </w:rPr>
        <w:t>The agency does not provide payment or gifts to respondents, other than remuneration of contractors or grantees.</w:t>
      </w:r>
    </w:p>
    <w:p w:rsidR="001971F1" w:rsidRPr="002568E6" w:rsidP="006F575B" w14:paraId="0BFB66B9" w14:textId="77777777">
      <w:pPr>
        <w:spacing w:line="480" w:lineRule="auto"/>
        <w:rPr>
          <w:rFonts w:ascii="Times New Roman" w:hAnsi="Times New Roman"/>
          <w:szCs w:val="24"/>
        </w:rPr>
      </w:pPr>
    </w:p>
    <w:p w:rsidR="00BE0B08" w:rsidRPr="002568E6" w:rsidP="0062567E" w14:paraId="69075779" w14:textId="77777777">
      <w:pPr>
        <w:pStyle w:val="Heading1"/>
        <w:rPr>
          <w:szCs w:val="24"/>
        </w:rPr>
      </w:pPr>
      <w:bookmarkStart w:id="20" w:name="_Toc401831366"/>
      <w:bookmarkStart w:id="21" w:name="_Toc401832410"/>
      <w:r w:rsidRPr="002568E6">
        <w:rPr>
          <w:szCs w:val="24"/>
        </w:rPr>
        <w:t>A10.  Assurances of confidentiality provided to respondents.</w:t>
      </w:r>
      <w:bookmarkEnd w:id="20"/>
      <w:bookmarkEnd w:id="21"/>
      <w:r w:rsidRPr="002568E6">
        <w:rPr>
          <w:szCs w:val="24"/>
        </w:rPr>
        <w:t xml:space="preserve">  </w:t>
      </w:r>
    </w:p>
    <w:p w:rsidR="003333DF" w:rsidRPr="002568E6" w:rsidP="00BE0B08" w14:paraId="6907577A" w14:textId="77777777">
      <w:pPr>
        <w:rPr>
          <w:rFonts w:ascii="Times New Roman" w:hAnsi="Times New Roman"/>
          <w:szCs w:val="24"/>
        </w:rPr>
      </w:pPr>
    </w:p>
    <w:p w:rsidR="003333DF" w:rsidRPr="002568E6" w:rsidP="0062567E" w14:paraId="6907577B" w14:textId="77777777">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003333DF" w:rsidRPr="002568E6" w:rsidP="00BE0B08" w14:paraId="6907577C" w14:textId="77777777">
      <w:pPr>
        <w:rPr>
          <w:rFonts w:ascii="Times New Roman" w:hAnsi="Times New Roman"/>
          <w:szCs w:val="24"/>
        </w:rPr>
      </w:pPr>
    </w:p>
    <w:p w:rsidR="00F0711F" w:rsidRPr="00FD616E" w:rsidP="00F0711F" w14:paraId="0988B862" w14:textId="77777777">
      <w:pPr>
        <w:rPr>
          <w:rFonts w:ascii="Times New Roman" w:hAnsi="Times New Roman"/>
          <w:szCs w:val="24"/>
        </w:rPr>
      </w:pPr>
      <w:r w:rsidRPr="1DD2BEBF">
        <w:rPr>
          <w:rFonts w:ascii="Times New Roman" w:hAnsi="Times New Roman"/>
          <w:szCs w:val="24"/>
        </w:rPr>
        <w:t xml:space="preserve">The information collection is handled in accordance with the Freedom of Information Act and the Privacy Act. A Veterinarian Medicine Loan Repayment System of Records Notification (SORN) appeared in the </w:t>
      </w:r>
      <w:r w:rsidRPr="1DD2BEBF">
        <w:rPr>
          <w:rFonts w:ascii="Times New Roman" w:hAnsi="Times New Roman"/>
          <w:i/>
          <w:iCs/>
          <w:szCs w:val="24"/>
        </w:rPr>
        <w:t>Federal Register</w:t>
      </w:r>
      <w:r w:rsidRPr="1DD2BEBF">
        <w:rPr>
          <w:rFonts w:ascii="Times New Roman" w:hAnsi="Times New Roman"/>
          <w:szCs w:val="24"/>
        </w:rPr>
        <w:t xml:space="preserve"> on March 9, 2018.</w:t>
      </w:r>
    </w:p>
    <w:p w:rsidR="00F0711F" w:rsidP="006F575B" w14:paraId="24BC366E" w14:textId="77777777">
      <w:pPr>
        <w:pStyle w:val="Heading1"/>
        <w:spacing w:line="480" w:lineRule="auto"/>
        <w:rPr>
          <w:szCs w:val="24"/>
        </w:rPr>
      </w:pPr>
      <w:bookmarkStart w:id="22" w:name="_Toc401831367"/>
      <w:bookmarkStart w:id="23" w:name="_Toc401832411"/>
    </w:p>
    <w:p w:rsidR="00A308DB" w:rsidRPr="002568E6" w:rsidP="0062567E" w14:paraId="6907577F" w14:textId="0A096033">
      <w:pPr>
        <w:pStyle w:val="Heading1"/>
        <w:rPr>
          <w:szCs w:val="24"/>
        </w:rPr>
      </w:pPr>
      <w:r w:rsidRPr="002568E6">
        <w:rPr>
          <w:szCs w:val="24"/>
        </w:rPr>
        <w:t>A11.  Justification for any questions of a sensitive nature.</w:t>
      </w:r>
      <w:bookmarkEnd w:id="22"/>
      <w:bookmarkEnd w:id="23"/>
      <w:r w:rsidRPr="002568E6">
        <w:rPr>
          <w:szCs w:val="24"/>
        </w:rPr>
        <w:t xml:space="preserve">  </w:t>
      </w:r>
      <w:r w:rsidRPr="002568E6" w:rsidR="005A3F80">
        <w:rPr>
          <w:szCs w:val="24"/>
        </w:rPr>
        <w:t xml:space="preserve">  </w:t>
      </w:r>
    </w:p>
    <w:p w:rsidR="003333DF" w:rsidRPr="002568E6" w:rsidP="00BE0B08" w14:paraId="69075780" w14:textId="77777777">
      <w:pPr>
        <w:tabs>
          <w:tab w:val="left" w:pos="0"/>
        </w:tabs>
        <w:suppressAutoHyphens/>
        <w:rPr>
          <w:rFonts w:ascii="Times New Roman" w:hAnsi="Times New Roman"/>
          <w:szCs w:val="24"/>
        </w:rPr>
      </w:pPr>
    </w:p>
    <w:p w:rsidR="003333DF" w:rsidRPr="002568E6" w:rsidP="00BE0B08" w14:paraId="69075781" w14:textId="77777777">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2568E6" w:rsidP="00ED28F2" w14:paraId="69075782" w14:textId="77777777">
      <w:pPr>
        <w:tabs>
          <w:tab w:val="left" w:pos="-720"/>
        </w:tabs>
        <w:suppressAutoHyphens/>
        <w:rPr>
          <w:rFonts w:ascii="Times New Roman" w:hAnsi="Times New Roman"/>
          <w:szCs w:val="24"/>
        </w:rPr>
      </w:pPr>
    </w:p>
    <w:p w:rsidR="0094524E" w:rsidRPr="00FD616E" w:rsidP="0094524E" w14:paraId="0B1B4159" w14:textId="77777777">
      <w:pPr>
        <w:spacing w:line="259" w:lineRule="auto"/>
        <w:rPr>
          <w:rFonts w:ascii="Times New Roman" w:hAnsi="Times New Roman"/>
          <w:szCs w:val="24"/>
        </w:rPr>
      </w:pPr>
      <w:r w:rsidRPr="1DD2BEBF">
        <w:rPr>
          <w:rFonts w:ascii="Times New Roman" w:hAnsi="Times New Roman"/>
          <w:szCs w:val="24"/>
        </w:rPr>
        <w:t>Information is requested involving the applicant’s name, address, service payback obligations, employment data, professional performance and credentialing history (of licensed veterinarians); personal, and professional information; financial data including loan balances, deferment, forbearance, and repayment/delinquent/default status information. This information is used to: (1) Evaluate applicants and select participants for the VMLRP; (2) monitor loan repayment activities, such as payment tracking, deferment of service obligation, and default; and (3) assist NIFA officials in the collection of overdue debts owed under the VMLRP.</w:t>
      </w:r>
    </w:p>
    <w:p w:rsidR="0094524E" w:rsidRPr="00FD616E" w:rsidP="0094524E" w14:paraId="2FA6AADB" w14:textId="77777777">
      <w:pPr>
        <w:ind w:left="720"/>
        <w:rPr>
          <w:rFonts w:ascii="Times New Roman" w:hAnsi="Times New Roman"/>
          <w:szCs w:val="24"/>
        </w:rPr>
      </w:pPr>
    </w:p>
    <w:p w:rsidR="00ED28F2" w:rsidP="0094524E" w14:paraId="69075784" w14:textId="78893D78">
      <w:pPr>
        <w:rPr>
          <w:rFonts w:ascii="Times New Roman" w:hAnsi="Times New Roman"/>
          <w:szCs w:val="24"/>
        </w:rPr>
      </w:pPr>
      <w:r w:rsidRPr="00FD616E">
        <w:rPr>
          <w:rFonts w:ascii="Times New Roman" w:hAnsi="Times New Roman"/>
          <w:szCs w:val="24"/>
        </w:rPr>
        <w:t xml:space="preserve">None of the information maintained in </w:t>
      </w:r>
      <w:r>
        <w:rPr>
          <w:rFonts w:ascii="Times New Roman" w:hAnsi="Times New Roman"/>
          <w:szCs w:val="24"/>
        </w:rPr>
        <w:t xml:space="preserve">or </w:t>
      </w:r>
      <w:r w:rsidRPr="00FD616E">
        <w:rPr>
          <w:rFonts w:ascii="Times New Roman" w:hAnsi="Times New Roman"/>
          <w:szCs w:val="24"/>
        </w:rPr>
        <w:t xml:space="preserve">requested on the </w:t>
      </w:r>
      <w:r>
        <w:rPr>
          <w:rFonts w:ascii="Times New Roman" w:hAnsi="Times New Roman"/>
          <w:szCs w:val="24"/>
        </w:rPr>
        <w:t xml:space="preserve">Annual Progress Report, Final Progress Report and </w:t>
      </w:r>
      <w:r w:rsidRPr="00FD616E">
        <w:rPr>
          <w:rFonts w:ascii="Times New Roman" w:hAnsi="Times New Roman"/>
          <w:szCs w:val="24"/>
        </w:rPr>
        <w:t>Veterinarian Shortage Situation Nomination Form is of a sensitive nature.</w:t>
      </w:r>
    </w:p>
    <w:p w:rsidR="0094524E" w:rsidRPr="002568E6" w:rsidP="006F575B" w14:paraId="06BAC065" w14:textId="77777777">
      <w:pPr>
        <w:spacing w:line="480" w:lineRule="auto"/>
        <w:rPr>
          <w:rFonts w:ascii="Times New Roman" w:hAnsi="Times New Roman"/>
          <w:szCs w:val="24"/>
        </w:rPr>
      </w:pPr>
    </w:p>
    <w:p w:rsidR="000438E8" w:rsidRPr="002568E6" w:rsidP="0062567E" w14:paraId="69075785" w14:textId="77777777">
      <w:pPr>
        <w:pStyle w:val="Heading1"/>
        <w:rPr>
          <w:szCs w:val="24"/>
        </w:rPr>
      </w:pPr>
      <w:bookmarkStart w:id="24" w:name="_Toc401831368"/>
      <w:bookmarkStart w:id="25" w:name="_Toc401832412"/>
      <w:r w:rsidRPr="002568E6">
        <w:rPr>
          <w:szCs w:val="24"/>
        </w:rPr>
        <w:t>A12.  Estimates of the hour burden of the collection of information.</w:t>
      </w:r>
      <w:bookmarkEnd w:id="24"/>
      <w:bookmarkEnd w:id="25"/>
      <w:r w:rsidRPr="002568E6">
        <w:rPr>
          <w:szCs w:val="24"/>
        </w:rPr>
        <w:t xml:space="preserve">  </w:t>
      </w:r>
    </w:p>
    <w:p w:rsidR="003333DF" w:rsidRPr="002568E6" w:rsidP="000438E8" w14:paraId="69075786" w14:textId="77777777">
      <w:pPr>
        <w:tabs>
          <w:tab w:val="left" w:pos="0"/>
        </w:tabs>
        <w:suppressAutoHyphens/>
        <w:rPr>
          <w:rFonts w:ascii="Times New Roman" w:hAnsi="Times New Roman"/>
          <w:b/>
          <w:szCs w:val="24"/>
        </w:rPr>
      </w:pPr>
    </w:p>
    <w:p w:rsidR="003333DF" w:rsidRPr="002568E6" w:rsidP="000438E8" w14:paraId="69075787"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3333DF" w:rsidRPr="002568E6" w:rsidP="000438E8" w14:paraId="69075788" w14:textId="77777777">
      <w:pPr>
        <w:tabs>
          <w:tab w:val="left" w:pos="0"/>
        </w:tabs>
        <w:suppressAutoHyphens/>
        <w:rPr>
          <w:rFonts w:ascii="Times New Roman" w:hAnsi="Times New Roman"/>
          <w:b/>
          <w:szCs w:val="24"/>
        </w:rPr>
      </w:pPr>
    </w:p>
    <w:p w:rsidR="003333DF" w:rsidRPr="002568E6" w:rsidP="003333DF" w14:paraId="69075789" w14:textId="77777777">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 xml:space="preserve">Indicate the number of respondents, frequency of response, annual hour burden, and an explanation of how the burden was estimated.  If this request for approval covers more than one form, provide separate hour burden estimates for each form and aggregate </w:t>
      </w:r>
      <w:r w:rsidRPr="002568E6">
        <w:rPr>
          <w:rFonts w:ascii="Times New Roman" w:hAnsi="Times New Roman"/>
          <w:b/>
          <w:szCs w:val="24"/>
        </w:rPr>
        <w:t>the hour burdens in Item 13 of OMB Form 83-I.</w:t>
      </w:r>
    </w:p>
    <w:p w:rsidR="00ED28F2" w:rsidRPr="002568E6" w:rsidP="00ED28F2" w14:paraId="6907578A" w14:textId="77777777">
      <w:pPr>
        <w:tabs>
          <w:tab w:val="left" w:pos="-720"/>
        </w:tabs>
        <w:suppressAutoHyphens/>
        <w:rPr>
          <w:rFonts w:ascii="Times New Roman" w:hAnsi="Times New Roman"/>
          <w:szCs w:val="24"/>
        </w:rPr>
      </w:pPr>
    </w:p>
    <w:p w:rsidR="0049318E" w:rsidRPr="00FD616E" w:rsidP="0049318E" w14:paraId="378E3C6C" w14:textId="77777777">
      <w:pPr>
        <w:pStyle w:val="ListParagraph"/>
        <w:numPr>
          <w:ilvl w:val="0"/>
          <w:numId w:val="26"/>
        </w:numPr>
        <w:tabs>
          <w:tab w:val="clear" w:pos="-720"/>
        </w:tabs>
        <w:suppressAutoHyphens w:val="0"/>
        <w:autoSpaceDE w:val="0"/>
        <w:autoSpaceDN w:val="0"/>
        <w:adjustRightInd w:val="0"/>
        <w:spacing w:line="240" w:lineRule="auto"/>
      </w:pPr>
      <w:r w:rsidRPr="00FD616E">
        <w:rPr>
          <w:u w:val="single"/>
        </w:rPr>
        <w:t>Veterinarian Shortage Situation Nomination.</w:t>
      </w:r>
      <w:r w:rsidRPr="00FD616E">
        <w:t xml:space="preserve"> The Veterinarian Shortage Situation Nomination form is completed by SAHOs. It is estimated completion of this form, which includes checkboxes and text-limiting fields to minimize the overall burden, will take approximately two hours.</w:t>
      </w:r>
    </w:p>
    <w:p w:rsidR="0049318E" w:rsidRPr="00FD616E" w:rsidP="0049318E" w14:paraId="27475E75" w14:textId="5E2D99E9">
      <w:pPr>
        <w:pStyle w:val="ListParagraph"/>
        <w:numPr>
          <w:ilvl w:val="0"/>
          <w:numId w:val="26"/>
        </w:numPr>
        <w:tabs>
          <w:tab w:val="clear" w:pos="-720"/>
        </w:tabs>
        <w:suppressAutoHyphens w:val="0"/>
        <w:autoSpaceDE w:val="0"/>
        <w:autoSpaceDN w:val="0"/>
        <w:adjustRightInd w:val="0"/>
        <w:spacing w:line="240" w:lineRule="auto"/>
      </w:pPr>
      <w:r w:rsidRPr="00FD616E">
        <w:rPr>
          <w:u w:val="single"/>
        </w:rPr>
        <w:t>Application.</w:t>
      </w:r>
      <w:r w:rsidRPr="00FD616E">
        <w:t xml:space="preserve"> The application is completed by individuals applying to the VMLRP program. It is estimated it will take each applicant approximately </w:t>
      </w:r>
      <w:r w:rsidR="009F5FB3">
        <w:t>five</w:t>
      </w:r>
      <w:r w:rsidRPr="00FD616E">
        <w:t xml:space="preserve"> hours to complete the forms.  It is also estimated it will take each recommender approximately one hour to complete the recommendation form. All of these forms are PDF-fillable with checkboxes and text-limiting fields to minimize the overall burden. The application forms were consolidated to be more streamlined for the application process. </w:t>
      </w:r>
    </w:p>
    <w:p w:rsidR="0049318E" w:rsidRPr="00FD616E" w:rsidP="009F5FB3" w14:paraId="77FF7BC0" w14:textId="77777777"/>
    <w:p w:rsidR="0049318E" w:rsidRPr="00FD616E" w:rsidP="0049318E" w14:paraId="1F3B7F5F" w14:textId="2DB3EF81">
      <w:pPr>
        <w:pStyle w:val="ListParagraph"/>
        <w:numPr>
          <w:ilvl w:val="0"/>
          <w:numId w:val="26"/>
        </w:numPr>
        <w:tabs>
          <w:tab w:val="clear" w:pos="-720"/>
        </w:tabs>
        <w:suppressAutoHyphens w:val="0"/>
        <w:autoSpaceDE w:val="0"/>
        <w:autoSpaceDN w:val="0"/>
        <w:adjustRightInd w:val="0"/>
        <w:spacing w:line="240" w:lineRule="auto"/>
      </w:pPr>
      <w:r w:rsidRPr="00FD616E">
        <w:rPr>
          <w:u w:val="single"/>
        </w:rPr>
        <w:t>Records and Reports.</w:t>
      </w:r>
      <w:r w:rsidRPr="00FD616E">
        <w:t xml:space="preserve"> Records and Reports are completed for all participants in the VMLRP. For each participant a Service Verification form must be completed and submitted on a quarterly basis. </w:t>
      </w:r>
      <w:r>
        <w:t xml:space="preserve">An Annual Progress Report must be provided on an annual basis. </w:t>
      </w:r>
      <w:r w:rsidRPr="00FD616E">
        <w:t xml:space="preserve">A </w:t>
      </w:r>
      <w:r>
        <w:t>Final Progress Report</w:t>
      </w:r>
      <w:r w:rsidRPr="00FD616E">
        <w:t xml:space="preserve"> must be provided at the completion of the service agreement. It is estimated it will take approximately fifteen minutes to complete the Service Verification form, and approximately </w:t>
      </w:r>
      <w:r w:rsidR="004A0A19">
        <w:t>one hour each</w:t>
      </w:r>
      <w:r w:rsidRPr="00FD616E">
        <w:t xml:space="preserve"> to complete the </w:t>
      </w:r>
      <w:r>
        <w:t>Annual and Final Progress Reports</w:t>
      </w:r>
      <w:r w:rsidRPr="00FD616E">
        <w:t>.</w:t>
      </w:r>
    </w:p>
    <w:p w:rsidR="0049318E" w:rsidRPr="00E03EA7" w:rsidP="0049318E" w14:paraId="4892147C" w14:textId="77777777">
      <w:pPr>
        <w:pStyle w:val="ListParagraph"/>
        <w:rPr>
          <w:sz w:val="22"/>
          <w:szCs w:val="18"/>
        </w:rPr>
      </w:pPr>
    </w:p>
    <w:p w:rsidR="0049318E" w:rsidRPr="007F6BFE" w:rsidP="0049318E" w14:paraId="5AD0C12B" w14:textId="4412D869">
      <w:pPr>
        <w:rPr>
          <w:rFonts w:ascii="Times New Roman" w:hAnsi="Times New Roman"/>
          <w:szCs w:val="24"/>
        </w:rPr>
      </w:pPr>
      <w:r>
        <w:rPr>
          <w:rFonts w:ascii="Times New Roman" w:hAnsi="Times New Roman"/>
          <w:szCs w:val="24"/>
        </w:rPr>
        <w:t>E</w:t>
      </w:r>
      <w:r w:rsidR="00893793">
        <w:rPr>
          <w:rFonts w:ascii="Times New Roman" w:hAnsi="Times New Roman"/>
          <w:szCs w:val="24"/>
        </w:rPr>
        <w:t xml:space="preserve">stimated Annual Burden – Table </w:t>
      </w:r>
      <w:r w:rsidR="009326A4">
        <w:rPr>
          <w:rFonts w:ascii="Times New Roman" w:hAnsi="Times New Roman"/>
          <w:szCs w:val="24"/>
        </w:rPr>
        <w:t>1</w:t>
      </w:r>
    </w:p>
    <w:tbl>
      <w:tblPr>
        <w:tblpPr w:leftFromText="180" w:rightFromText="180" w:vertAnchor="text" w:horzAnchor="margin" w:tblpXSpec="center" w:tblpY="62"/>
        <w:tblW w:w="0" w:type="auto"/>
        <w:tblLayout w:type="fixed"/>
        <w:tblCellMar>
          <w:left w:w="120" w:type="dxa"/>
          <w:right w:w="120" w:type="dxa"/>
        </w:tblCellMar>
        <w:tblLook w:val="0000"/>
      </w:tblPr>
      <w:tblGrid>
        <w:gridCol w:w="2965"/>
        <w:gridCol w:w="1295"/>
        <w:gridCol w:w="1530"/>
        <w:gridCol w:w="1260"/>
        <w:gridCol w:w="1260"/>
        <w:gridCol w:w="1530"/>
      </w:tblGrid>
      <w:tr w14:paraId="791F088F" w14:textId="77777777" w:rsidTr="007F6BFE">
        <w:tblPrEx>
          <w:tblW w:w="0" w:type="auto"/>
          <w:tblLayout w:type="fixed"/>
          <w:tblCellMar>
            <w:left w:w="120" w:type="dxa"/>
            <w:right w:w="120" w:type="dxa"/>
          </w:tblCellMar>
          <w:tblLook w:val="0000"/>
        </w:tblPrEx>
        <w:tc>
          <w:tcPr>
            <w:tcW w:w="2965" w:type="dxa"/>
            <w:tcBorders>
              <w:top w:val="single" w:sz="4" w:space="0" w:color="000000" w:themeColor="text1"/>
              <w:left w:val="single" w:sz="4" w:space="0" w:color="000000" w:themeColor="text1"/>
              <w:bottom w:val="double" w:sz="4" w:space="0" w:color="auto"/>
              <w:right w:val="single" w:sz="4" w:space="0" w:color="000000" w:themeColor="text1"/>
            </w:tcBorders>
            <w:vAlign w:val="center"/>
          </w:tcPr>
          <w:p w:rsidR="0049318E" w:rsidRPr="007F6BFE" w:rsidP="007F6BFE" w14:paraId="158F6BAF" w14:textId="77777777">
            <w:pPr>
              <w:spacing w:after="58"/>
              <w:jc w:val="center"/>
              <w:rPr>
                <w:rFonts w:ascii="Times New Roman" w:hAnsi="Times New Roman"/>
                <w:szCs w:val="24"/>
              </w:rPr>
            </w:pPr>
            <w:r w:rsidRPr="007F6BFE">
              <w:rPr>
                <w:rFonts w:ascii="Times New Roman" w:hAnsi="Times New Roman"/>
                <w:szCs w:val="24"/>
              </w:rPr>
              <w:t>Type of Respondent</w:t>
            </w:r>
          </w:p>
          <w:p w:rsidR="0049318E" w:rsidRPr="007F6BFE" w:rsidP="007F6BFE" w14:paraId="3A22E2FB" w14:textId="77777777">
            <w:pPr>
              <w:spacing w:after="58"/>
              <w:jc w:val="center"/>
              <w:rPr>
                <w:rFonts w:ascii="Times New Roman" w:hAnsi="Times New Roman"/>
                <w:szCs w:val="24"/>
              </w:rPr>
            </w:pPr>
            <w:r w:rsidRPr="007F6BFE">
              <w:rPr>
                <w:rFonts w:ascii="Times New Roman" w:hAnsi="Times New Roman"/>
                <w:szCs w:val="24"/>
              </w:rPr>
              <w:t>and Form</w:t>
            </w:r>
          </w:p>
        </w:tc>
        <w:tc>
          <w:tcPr>
            <w:tcW w:w="1295" w:type="dxa"/>
            <w:tcBorders>
              <w:top w:val="single" w:sz="4" w:space="0" w:color="000000" w:themeColor="text1"/>
              <w:left w:val="single" w:sz="4" w:space="0" w:color="000000" w:themeColor="text1"/>
              <w:bottom w:val="double" w:sz="4" w:space="0" w:color="auto"/>
              <w:right w:val="single" w:sz="4" w:space="0" w:color="000000" w:themeColor="text1"/>
            </w:tcBorders>
            <w:vAlign w:val="center"/>
          </w:tcPr>
          <w:p w:rsidR="0049318E" w:rsidRPr="007F6BFE" w:rsidP="007F6BFE" w14:paraId="676A78D2" w14:textId="77777777">
            <w:pPr>
              <w:tabs>
                <w:tab w:val="left" w:pos="420"/>
              </w:tabs>
              <w:spacing w:after="58"/>
              <w:jc w:val="center"/>
              <w:rPr>
                <w:rFonts w:ascii="Times New Roman" w:hAnsi="Times New Roman"/>
                <w:szCs w:val="24"/>
              </w:rPr>
            </w:pPr>
            <w:r w:rsidRPr="007F6BFE">
              <w:rPr>
                <w:rFonts w:ascii="Times New Roman" w:hAnsi="Times New Roman"/>
                <w:szCs w:val="24"/>
              </w:rPr>
              <w:t>No. of Respondents</w:t>
            </w:r>
          </w:p>
        </w:tc>
        <w:tc>
          <w:tcPr>
            <w:tcW w:w="1530" w:type="dxa"/>
            <w:tcBorders>
              <w:top w:val="single" w:sz="4" w:space="0" w:color="000000" w:themeColor="text1"/>
              <w:left w:val="single" w:sz="4" w:space="0" w:color="000000" w:themeColor="text1"/>
              <w:bottom w:val="double" w:sz="4" w:space="0" w:color="auto"/>
              <w:right w:val="single" w:sz="4" w:space="0" w:color="000000" w:themeColor="text1"/>
            </w:tcBorders>
            <w:vAlign w:val="center"/>
          </w:tcPr>
          <w:p w:rsidR="0049318E" w:rsidRPr="007F6BFE" w:rsidP="007F6BFE" w14:paraId="7AA9EE9F" w14:textId="77777777">
            <w:pPr>
              <w:spacing w:after="58"/>
              <w:jc w:val="center"/>
              <w:rPr>
                <w:rFonts w:ascii="Times New Roman" w:hAnsi="Times New Roman"/>
                <w:szCs w:val="24"/>
              </w:rPr>
            </w:pPr>
            <w:r w:rsidRPr="007F6BFE">
              <w:rPr>
                <w:rFonts w:ascii="Times New Roman" w:hAnsi="Times New Roman"/>
                <w:szCs w:val="24"/>
              </w:rPr>
              <w:t>Annual Frequency per Response</w:t>
            </w:r>
          </w:p>
        </w:tc>
        <w:tc>
          <w:tcPr>
            <w:tcW w:w="1260" w:type="dxa"/>
            <w:tcBorders>
              <w:top w:val="single" w:sz="4" w:space="0" w:color="000000" w:themeColor="text1"/>
              <w:left w:val="single" w:sz="4" w:space="0" w:color="000000" w:themeColor="text1"/>
              <w:bottom w:val="double" w:sz="4" w:space="0" w:color="auto"/>
              <w:right w:val="single" w:sz="4" w:space="0" w:color="000000" w:themeColor="text1"/>
            </w:tcBorders>
            <w:vAlign w:val="center"/>
          </w:tcPr>
          <w:p w:rsidR="0049318E" w:rsidRPr="007F6BFE" w:rsidP="007F6BFE" w14:paraId="64343DE6" w14:textId="77777777">
            <w:pPr>
              <w:spacing w:after="58"/>
              <w:jc w:val="center"/>
              <w:rPr>
                <w:rFonts w:ascii="Times New Roman" w:hAnsi="Times New Roman"/>
                <w:szCs w:val="24"/>
              </w:rPr>
            </w:pPr>
            <w:r w:rsidRPr="007F6BFE">
              <w:rPr>
                <w:rFonts w:ascii="Times New Roman" w:hAnsi="Times New Roman"/>
                <w:szCs w:val="24"/>
              </w:rPr>
              <w:t>Total Annual Responses</w:t>
            </w:r>
          </w:p>
        </w:tc>
        <w:tc>
          <w:tcPr>
            <w:tcW w:w="1260" w:type="dxa"/>
            <w:tcBorders>
              <w:top w:val="single" w:sz="4" w:space="0" w:color="000000" w:themeColor="text1"/>
              <w:left w:val="single" w:sz="4" w:space="0" w:color="000000" w:themeColor="text1"/>
              <w:bottom w:val="double" w:sz="4" w:space="0" w:color="auto"/>
              <w:right w:val="single" w:sz="4" w:space="0" w:color="000000" w:themeColor="text1"/>
            </w:tcBorders>
            <w:vAlign w:val="center"/>
          </w:tcPr>
          <w:p w:rsidR="0049318E" w:rsidRPr="007F6BFE" w:rsidP="007F6BFE" w14:paraId="43378F60" w14:textId="77777777">
            <w:pPr>
              <w:spacing w:after="58"/>
              <w:jc w:val="center"/>
              <w:rPr>
                <w:rFonts w:ascii="Times New Roman" w:hAnsi="Times New Roman"/>
                <w:szCs w:val="24"/>
              </w:rPr>
            </w:pPr>
            <w:r w:rsidRPr="007F6BFE">
              <w:rPr>
                <w:rFonts w:ascii="Times New Roman" w:hAnsi="Times New Roman"/>
                <w:szCs w:val="24"/>
              </w:rPr>
              <w:t>Hours per Response</w:t>
            </w:r>
          </w:p>
        </w:tc>
        <w:tc>
          <w:tcPr>
            <w:tcW w:w="1530" w:type="dxa"/>
            <w:tcBorders>
              <w:top w:val="single" w:sz="4" w:space="0" w:color="000000" w:themeColor="text1"/>
              <w:left w:val="single" w:sz="4" w:space="0" w:color="000000" w:themeColor="text1"/>
              <w:bottom w:val="double" w:sz="4" w:space="0" w:color="auto"/>
              <w:right w:val="single" w:sz="4" w:space="0" w:color="000000" w:themeColor="text1"/>
            </w:tcBorders>
            <w:vAlign w:val="center"/>
          </w:tcPr>
          <w:p w:rsidR="0049318E" w:rsidRPr="007F6BFE" w:rsidP="007F6BFE" w14:paraId="45842227" w14:textId="77777777">
            <w:pPr>
              <w:spacing w:after="58"/>
              <w:jc w:val="center"/>
              <w:rPr>
                <w:rFonts w:ascii="Times New Roman" w:hAnsi="Times New Roman"/>
                <w:szCs w:val="24"/>
              </w:rPr>
            </w:pPr>
            <w:r w:rsidRPr="007F6BFE">
              <w:rPr>
                <w:rFonts w:ascii="Times New Roman" w:hAnsi="Times New Roman"/>
                <w:szCs w:val="24"/>
              </w:rPr>
              <w:t>Total Hours</w:t>
            </w:r>
          </w:p>
        </w:tc>
      </w:tr>
      <w:tr w14:paraId="345FC0B9" w14:textId="77777777" w:rsidTr="007F6BFE">
        <w:tblPrEx>
          <w:tblW w:w="0" w:type="auto"/>
          <w:tblLayout w:type="fixed"/>
          <w:tblCellMar>
            <w:left w:w="120" w:type="dxa"/>
            <w:right w:w="120" w:type="dxa"/>
          </w:tblCellMar>
          <w:tblLook w:val="0000"/>
        </w:tblPrEx>
        <w:tc>
          <w:tcPr>
            <w:tcW w:w="2965" w:type="dxa"/>
            <w:tcBorders>
              <w:top w:val="double" w:sz="4" w:space="0" w:color="auto"/>
              <w:left w:val="single" w:sz="4" w:space="0" w:color="000000" w:themeColor="text1"/>
              <w:right w:val="single" w:sz="4" w:space="0" w:color="000000" w:themeColor="text1"/>
            </w:tcBorders>
          </w:tcPr>
          <w:p w:rsidR="0049318E" w:rsidRPr="007F6BFE" w:rsidP="007F6BFE" w14:paraId="36984059" w14:textId="77777777">
            <w:pPr>
              <w:spacing w:after="58"/>
              <w:rPr>
                <w:rFonts w:ascii="Times New Roman" w:hAnsi="Times New Roman"/>
                <w:i/>
                <w:szCs w:val="24"/>
              </w:rPr>
            </w:pPr>
            <w:r w:rsidRPr="007F6BFE">
              <w:rPr>
                <w:rFonts w:ascii="Times New Roman" w:hAnsi="Times New Roman"/>
                <w:i/>
                <w:szCs w:val="24"/>
              </w:rPr>
              <w:t>State Animal Health Officials:</w:t>
            </w:r>
          </w:p>
        </w:tc>
        <w:tc>
          <w:tcPr>
            <w:tcW w:w="1295" w:type="dxa"/>
            <w:tcBorders>
              <w:top w:val="double" w:sz="4" w:space="0" w:color="auto"/>
              <w:left w:val="single" w:sz="4" w:space="0" w:color="000000" w:themeColor="text1"/>
              <w:right w:val="single" w:sz="4" w:space="0" w:color="000000" w:themeColor="text1"/>
            </w:tcBorders>
          </w:tcPr>
          <w:p w:rsidR="0049318E" w:rsidRPr="007F6BFE" w:rsidP="007F6BFE" w14:paraId="09E96D7A" w14:textId="77777777">
            <w:pPr>
              <w:spacing w:after="58"/>
              <w:jc w:val="center"/>
              <w:rPr>
                <w:rFonts w:ascii="Times New Roman" w:hAnsi="Times New Roman"/>
                <w:szCs w:val="24"/>
              </w:rPr>
            </w:pPr>
          </w:p>
        </w:tc>
        <w:tc>
          <w:tcPr>
            <w:tcW w:w="1530" w:type="dxa"/>
            <w:tcBorders>
              <w:top w:val="double" w:sz="4" w:space="0" w:color="auto"/>
              <w:left w:val="single" w:sz="4" w:space="0" w:color="000000" w:themeColor="text1"/>
              <w:right w:val="single" w:sz="4" w:space="0" w:color="000000" w:themeColor="text1"/>
            </w:tcBorders>
          </w:tcPr>
          <w:p w:rsidR="0049318E" w:rsidRPr="007F6BFE" w:rsidP="007F6BFE" w14:paraId="5B199E50" w14:textId="77777777">
            <w:pPr>
              <w:spacing w:after="58"/>
              <w:jc w:val="center"/>
              <w:rPr>
                <w:rFonts w:ascii="Times New Roman" w:hAnsi="Times New Roman"/>
                <w:szCs w:val="24"/>
              </w:rPr>
            </w:pPr>
          </w:p>
        </w:tc>
        <w:tc>
          <w:tcPr>
            <w:tcW w:w="1260" w:type="dxa"/>
            <w:tcBorders>
              <w:top w:val="double" w:sz="4" w:space="0" w:color="auto"/>
              <w:left w:val="single" w:sz="4" w:space="0" w:color="000000" w:themeColor="text1"/>
              <w:right w:val="single" w:sz="4" w:space="0" w:color="000000" w:themeColor="text1"/>
            </w:tcBorders>
          </w:tcPr>
          <w:p w:rsidR="0049318E" w:rsidRPr="007F6BFE" w:rsidP="007F6BFE" w14:paraId="00DB375C" w14:textId="77777777">
            <w:pPr>
              <w:spacing w:after="58"/>
              <w:jc w:val="center"/>
              <w:rPr>
                <w:rFonts w:ascii="Times New Roman" w:hAnsi="Times New Roman"/>
                <w:szCs w:val="24"/>
              </w:rPr>
            </w:pPr>
          </w:p>
        </w:tc>
        <w:tc>
          <w:tcPr>
            <w:tcW w:w="1260" w:type="dxa"/>
            <w:tcBorders>
              <w:top w:val="double" w:sz="4" w:space="0" w:color="auto"/>
              <w:left w:val="single" w:sz="4" w:space="0" w:color="000000" w:themeColor="text1"/>
              <w:right w:val="single" w:sz="4" w:space="0" w:color="000000" w:themeColor="text1"/>
            </w:tcBorders>
          </w:tcPr>
          <w:p w:rsidR="0049318E" w:rsidRPr="007F6BFE" w:rsidP="007F6BFE" w14:paraId="74E78528" w14:textId="77777777">
            <w:pPr>
              <w:spacing w:after="58"/>
              <w:jc w:val="center"/>
              <w:rPr>
                <w:rFonts w:ascii="Times New Roman" w:hAnsi="Times New Roman"/>
                <w:szCs w:val="24"/>
              </w:rPr>
            </w:pPr>
          </w:p>
        </w:tc>
        <w:tc>
          <w:tcPr>
            <w:tcW w:w="1530" w:type="dxa"/>
            <w:tcBorders>
              <w:top w:val="double" w:sz="4" w:space="0" w:color="auto"/>
              <w:left w:val="single" w:sz="4" w:space="0" w:color="000000" w:themeColor="text1"/>
              <w:right w:val="single" w:sz="4" w:space="0" w:color="000000" w:themeColor="text1"/>
            </w:tcBorders>
          </w:tcPr>
          <w:p w:rsidR="0049318E" w:rsidRPr="007F6BFE" w:rsidP="007F6BFE" w14:paraId="70EC4D56" w14:textId="77777777">
            <w:pPr>
              <w:spacing w:after="58"/>
              <w:jc w:val="center"/>
              <w:rPr>
                <w:rFonts w:ascii="Times New Roman" w:hAnsi="Times New Roman"/>
                <w:szCs w:val="24"/>
              </w:rPr>
            </w:pPr>
          </w:p>
        </w:tc>
      </w:tr>
      <w:tr w14:paraId="1DAF24D5" w14:textId="77777777" w:rsidTr="007F6BFE">
        <w:tblPrEx>
          <w:tblW w:w="0" w:type="auto"/>
          <w:tblLayout w:type="fixed"/>
          <w:tblCellMar>
            <w:left w:w="120" w:type="dxa"/>
            <w:right w:w="120" w:type="dxa"/>
          </w:tblCellMar>
          <w:tblLook w:val="0000"/>
        </w:tblPrEx>
        <w:tc>
          <w:tcPr>
            <w:tcW w:w="2965" w:type="dxa"/>
            <w:tcBorders>
              <w:left w:val="single" w:sz="4" w:space="0" w:color="000000" w:themeColor="text1"/>
              <w:right w:val="single" w:sz="4" w:space="0" w:color="000000" w:themeColor="text1"/>
            </w:tcBorders>
          </w:tcPr>
          <w:p w:rsidR="0049318E" w:rsidRPr="007F6BFE" w:rsidP="007F6BFE" w14:paraId="58714303" w14:textId="77777777">
            <w:pPr>
              <w:spacing w:after="58"/>
              <w:rPr>
                <w:rFonts w:ascii="Times New Roman" w:hAnsi="Times New Roman"/>
                <w:szCs w:val="24"/>
              </w:rPr>
            </w:pPr>
            <w:r w:rsidRPr="007F6BFE">
              <w:rPr>
                <w:rFonts w:ascii="Times New Roman" w:hAnsi="Times New Roman"/>
                <w:szCs w:val="24"/>
              </w:rPr>
              <w:t>Veterinarian Shortage Situation Nomination Form</w:t>
            </w:r>
          </w:p>
          <w:p w:rsidR="0049318E" w:rsidRPr="007F6BFE" w:rsidP="007F6BFE" w14:paraId="0C24A0B6" w14:textId="77777777">
            <w:pPr>
              <w:spacing w:after="58"/>
              <w:rPr>
                <w:rFonts w:ascii="Times New Roman" w:hAnsi="Times New Roman"/>
                <w:szCs w:val="24"/>
              </w:rPr>
            </w:pPr>
          </w:p>
        </w:tc>
        <w:tc>
          <w:tcPr>
            <w:tcW w:w="1295" w:type="dxa"/>
            <w:tcBorders>
              <w:left w:val="single" w:sz="4" w:space="0" w:color="000000" w:themeColor="text1"/>
              <w:bottom w:val="single" w:sz="4" w:space="0" w:color="auto"/>
              <w:right w:val="single" w:sz="4" w:space="0" w:color="000000" w:themeColor="text1"/>
            </w:tcBorders>
          </w:tcPr>
          <w:p w:rsidR="0049318E" w:rsidRPr="007F6BFE" w:rsidP="007F6BFE" w14:paraId="743618B1" w14:textId="77777777">
            <w:pPr>
              <w:jc w:val="center"/>
              <w:rPr>
                <w:rFonts w:ascii="Times New Roman" w:hAnsi="Times New Roman"/>
                <w:szCs w:val="24"/>
              </w:rPr>
            </w:pPr>
          </w:p>
          <w:p w:rsidR="0049318E" w:rsidRPr="007F6BFE" w:rsidP="007F6BFE" w14:paraId="5A5E2F71" w14:textId="77777777">
            <w:pPr>
              <w:jc w:val="center"/>
              <w:rPr>
                <w:rFonts w:ascii="Times New Roman" w:hAnsi="Times New Roman"/>
                <w:szCs w:val="24"/>
              </w:rPr>
            </w:pPr>
            <w:r w:rsidRPr="007F6BFE">
              <w:rPr>
                <w:rFonts w:ascii="Times New Roman" w:hAnsi="Times New Roman"/>
                <w:szCs w:val="24"/>
              </w:rPr>
              <w:t>60</w:t>
            </w:r>
          </w:p>
          <w:p w:rsidR="0049318E" w:rsidRPr="007F6BFE" w:rsidP="007F6BFE" w14:paraId="6A4EE6AD" w14:textId="77777777">
            <w:pPr>
              <w:rPr>
                <w:rFonts w:ascii="Times New Roman" w:hAnsi="Times New Roman"/>
                <w:szCs w:val="24"/>
              </w:rPr>
            </w:pPr>
          </w:p>
        </w:tc>
        <w:tc>
          <w:tcPr>
            <w:tcW w:w="1530" w:type="dxa"/>
            <w:tcBorders>
              <w:left w:val="single" w:sz="4" w:space="0" w:color="000000" w:themeColor="text1"/>
              <w:bottom w:val="single" w:sz="4" w:space="0" w:color="auto"/>
              <w:right w:val="single" w:sz="4" w:space="0" w:color="000000" w:themeColor="text1"/>
            </w:tcBorders>
          </w:tcPr>
          <w:p w:rsidR="0049318E" w:rsidRPr="007F6BFE" w:rsidP="007F6BFE" w14:paraId="6FF478E0" w14:textId="77777777">
            <w:pPr>
              <w:jc w:val="center"/>
              <w:rPr>
                <w:rFonts w:ascii="Times New Roman" w:hAnsi="Times New Roman"/>
                <w:szCs w:val="24"/>
              </w:rPr>
            </w:pPr>
          </w:p>
          <w:p w:rsidR="0049318E" w:rsidRPr="007F6BFE" w:rsidP="007F6BFE" w14:paraId="10CE1726" w14:textId="77777777">
            <w:pPr>
              <w:jc w:val="center"/>
              <w:rPr>
                <w:rFonts w:ascii="Times New Roman" w:hAnsi="Times New Roman"/>
                <w:szCs w:val="24"/>
              </w:rPr>
            </w:pPr>
            <w:r w:rsidRPr="007F6BFE">
              <w:rPr>
                <w:rFonts w:ascii="Times New Roman" w:hAnsi="Times New Roman"/>
                <w:szCs w:val="24"/>
              </w:rPr>
              <w:t>4</w:t>
            </w:r>
          </w:p>
          <w:p w:rsidR="0049318E" w:rsidRPr="007F6BFE" w:rsidP="007F6BFE" w14:paraId="4D5AC453" w14:textId="77777777">
            <w:pPr>
              <w:jc w:val="center"/>
              <w:rPr>
                <w:rFonts w:ascii="Times New Roman" w:hAnsi="Times New Roman"/>
                <w:szCs w:val="24"/>
              </w:rPr>
            </w:pPr>
          </w:p>
          <w:p w:rsidR="0049318E" w:rsidRPr="007F6BFE" w:rsidP="007F6BFE" w14:paraId="2E2A94D9" w14:textId="77777777">
            <w:pPr>
              <w:rPr>
                <w:rFonts w:ascii="Times New Roman" w:hAnsi="Times New Roman"/>
                <w:szCs w:val="24"/>
              </w:rPr>
            </w:pPr>
          </w:p>
        </w:tc>
        <w:tc>
          <w:tcPr>
            <w:tcW w:w="1260" w:type="dxa"/>
            <w:tcBorders>
              <w:left w:val="single" w:sz="4" w:space="0" w:color="000000" w:themeColor="text1"/>
              <w:bottom w:val="single" w:sz="4" w:space="0" w:color="auto"/>
              <w:right w:val="single" w:sz="4" w:space="0" w:color="000000" w:themeColor="text1"/>
            </w:tcBorders>
          </w:tcPr>
          <w:p w:rsidR="0049318E" w:rsidRPr="007F6BFE" w:rsidP="007F6BFE" w14:paraId="329D0381" w14:textId="77777777">
            <w:pPr>
              <w:jc w:val="center"/>
              <w:rPr>
                <w:rFonts w:ascii="Times New Roman" w:hAnsi="Times New Roman"/>
                <w:szCs w:val="24"/>
              </w:rPr>
            </w:pPr>
          </w:p>
          <w:p w:rsidR="0049318E" w:rsidRPr="007F6BFE" w:rsidP="007F6BFE" w14:paraId="4C9C27F5" w14:textId="77777777">
            <w:pPr>
              <w:jc w:val="center"/>
              <w:rPr>
                <w:rFonts w:ascii="Times New Roman" w:hAnsi="Times New Roman"/>
                <w:szCs w:val="24"/>
              </w:rPr>
            </w:pPr>
            <w:r w:rsidRPr="007F6BFE">
              <w:rPr>
                <w:rFonts w:ascii="Times New Roman" w:hAnsi="Times New Roman"/>
                <w:szCs w:val="24"/>
              </w:rPr>
              <w:t>240</w:t>
            </w:r>
          </w:p>
          <w:p w:rsidR="0049318E" w:rsidRPr="007F6BFE" w:rsidP="007F6BFE" w14:paraId="1DB5AF68" w14:textId="77777777">
            <w:pPr>
              <w:jc w:val="center"/>
              <w:rPr>
                <w:rFonts w:ascii="Times New Roman" w:hAnsi="Times New Roman"/>
                <w:szCs w:val="24"/>
              </w:rPr>
            </w:pPr>
          </w:p>
          <w:p w:rsidR="0049318E" w:rsidRPr="007F6BFE" w:rsidP="007F6BFE" w14:paraId="5E16F49B" w14:textId="77777777">
            <w:pPr>
              <w:rPr>
                <w:rFonts w:ascii="Times New Roman" w:hAnsi="Times New Roman"/>
                <w:szCs w:val="24"/>
              </w:rPr>
            </w:pPr>
          </w:p>
        </w:tc>
        <w:tc>
          <w:tcPr>
            <w:tcW w:w="1260" w:type="dxa"/>
            <w:tcBorders>
              <w:left w:val="single" w:sz="4" w:space="0" w:color="000000" w:themeColor="text1"/>
              <w:bottom w:val="single" w:sz="4" w:space="0" w:color="auto"/>
              <w:right w:val="single" w:sz="4" w:space="0" w:color="000000" w:themeColor="text1"/>
            </w:tcBorders>
          </w:tcPr>
          <w:p w:rsidR="0049318E" w:rsidRPr="007F6BFE" w:rsidP="007F6BFE" w14:paraId="31B2D79E" w14:textId="77777777">
            <w:pPr>
              <w:jc w:val="center"/>
              <w:rPr>
                <w:rFonts w:ascii="Times New Roman" w:hAnsi="Times New Roman"/>
                <w:szCs w:val="24"/>
              </w:rPr>
            </w:pPr>
          </w:p>
          <w:p w:rsidR="0049318E" w:rsidRPr="007F6BFE" w:rsidP="007F6BFE" w14:paraId="3506A529" w14:textId="77777777">
            <w:pPr>
              <w:jc w:val="center"/>
              <w:rPr>
                <w:rFonts w:ascii="Times New Roman" w:hAnsi="Times New Roman"/>
                <w:szCs w:val="24"/>
              </w:rPr>
            </w:pPr>
            <w:r w:rsidRPr="007F6BFE">
              <w:rPr>
                <w:rFonts w:ascii="Times New Roman" w:hAnsi="Times New Roman"/>
                <w:szCs w:val="24"/>
              </w:rPr>
              <w:t>2</w:t>
            </w:r>
          </w:p>
          <w:p w:rsidR="0049318E" w:rsidRPr="007F6BFE" w:rsidP="007F6BFE" w14:paraId="5AFAEAC9" w14:textId="77777777">
            <w:pPr>
              <w:rPr>
                <w:rFonts w:ascii="Times New Roman" w:hAnsi="Times New Roman"/>
                <w:szCs w:val="24"/>
              </w:rPr>
            </w:pPr>
          </w:p>
        </w:tc>
        <w:tc>
          <w:tcPr>
            <w:tcW w:w="1530" w:type="dxa"/>
            <w:tcBorders>
              <w:left w:val="single" w:sz="4" w:space="0" w:color="000000" w:themeColor="text1"/>
              <w:bottom w:val="single" w:sz="4" w:space="0" w:color="auto"/>
              <w:right w:val="single" w:sz="4" w:space="0" w:color="000000" w:themeColor="text1"/>
            </w:tcBorders>
          </w:tcPr>
          <w:p w:rsidR="0049318E" w:rsidRPr="007F6BFE" w:rsidP="007F6BFE" w14:paraId="670E1981" w14:textId="77777777">
            <w:pPr>
              <w:jc w:val="center"/>
              <w:rPr>
                <w:rFonts w:ascii="Times New Roman" w:hAnsi="Times New Roman"/>
                <w:szCs w:val="24"/>
              </w:rPr>
            </w:pPr>
          </w:p>
          <w:p w:rsidR="0049318E" w:rsidRPr="007F6BFE" w:rsidP="007F6BFE" w14:paraId="22F546B4" w14:textId="77777777">
            <w:pPr>
              <w:jc w:val="center"/>
              <w:rPr>
                <w:rFonts w:ascii="Times New Roman" w:hAnsi="Times New Roman"/>
                <w:szCs w:val="24"/>
              </w:rPr>
            </w:pPr>
            <w:r w:rsidRPr="007F6BFE">
              <w:rPr>
                <w:rFonts w:ascii="Times New Roman" w:hAnsi="Times New Roman"/>
                <w:szCs w:val="24"/>
              </w:rPr>
              <w:t>480</w:t>
            </w:r>
          </w:p>
          <w:p w:rsidR="0049318E" w:rsidRPr="007F6BFE" w:rsidP="007F6BFE" w14:paraId="36A61CE4" w14:textId="77777777">
            <w:pPr>
              <w:rPr>
                <w:rFonts w:ascii="Times New Roman" w:hAnsi="Times New Roman"/>
                <w:szCs w:val="24"/>
              </w:rPr>
            </w:pPr>
          </w:p>
        </w:tc>
      </w:tr>
      <w:tr w14:paraId="3E273695" w14:textId="77777777" w:rsidTr="007F6BFE">
        <w:tblPrEx>
          <w:tblW w:w="0" w:type="auto"/>
          <w:tblLayout w:type="fixed"/>
          <w:tblCellMar>
            <w:left w:w="120" w:type="dxa"/>
            <w:right w:w="120" w:type="dxa"/>
          </w:tblCellMar>
          <w:tblLook w:val="0000"/>
        </w:tblPrEx>
        <w:tc>
          <w:tcPr>
            <w:tcW w:w="2965" w:type="dxa"/>
            <w:tcBorders>
              <w:left w:val="single" w:sz="4" w:space="0" w:color="000000" w:themeColor="text1"/>
              <w:right w:val="single" w:sz="4" w:space="0" w:color="000000" w:themeColor="text1"/>
            </w:tcBorders>
          </w:tcPr>
          <w:p w:rsidR="0049318E" w:rsidRPr="007F6BFE" w:rsidP="007F6BFE" w14:paraId="6324B639" w14:textId="77777777">
            <w:pPr>
              <w:spacing w:after="58"/>
              <w:rPr>
                <w:rFonts w:ascii="Times New Roman" w:hAnsi="Times New Roman"/>
                <w:szCs w:val="24"/>
              </w:rPr>
            </w:pPr>
            <w:r w:rsidRPr="007F6BFE">
              <w:rPr>
                <w:rFonts w:ascii="Times New Roman" w:hAnsi="Times New Roman"/>
                <w:szCs w:val="24"/>
              </w:rPr>
              <w:t>Animal Health Officials subtotal</w:t>
            </w:r>
          </w:p>
        </w:tc>
        <w:tc>
          <w:tcPr>
            <w:tcW w:w="1295" w:type="dxa"/>
            <w:tcBorders>
              <w:top w:val="single" w:sz="4" w:space="0" w:color="000000" w:themeColor="text1"/>
              <w:left w:val="single" w:sz="4" w:space="0" w:color="000000" w:themeColor="text1"/>
              <w:bottom w:val="double" w:sz="4" w:space="0" w:color="auto"/>
              <w:right w:val="single" w:sz="4" w:space="0" w:color="000000" w:themeColor="text1"/>
            </w:tcBorders>
          </w:tcPr>
          <w:p w:rsidR="0049318E" w:rsidRPr="007F6BFE" w:rsidP="007F6BFE" w14:paraId="126FA76A" w14:textId="77777777">
            <w:pPr>
              <w:spacing w:after="58"/>
              <w:jc w:val="center"/>
              <w:rPr>
                <w:rFonts w:ascii="Times New Roman" w:hAnsi="Times New Roman"/>
                <w:szCs w:val="24"/>
              </w:rPr>
            </w:pPr>
            <w:r w:rsidRPr="007F6BFE">
              <w:rPr>
                <w:rFonts w:ascii="Times New Roman" w:hAnsi="Times New Roman"/>
                <w:szCs w:val="24"/>
              </w:rPr>
              <w:t>60</w:t>
            </w:r>
          </w:p>
        </w:tc>
        <w:tc>
          <w:tcPr>
            <w:tcW w:w="1530" w:type="dxa"/>
            <w:tcBorders>
              <w:top w:val="single" w:sz="4" w:space="0" w:color="000000" w:themeColor="text1"/>
              <w:left w:val="single" w:sz="4" w:space="0" w:color="000000" w:themeColor="text1"/>
              <w:bottom w:val="double" w:sz="4" w:space="0" w:color="auto"/>
              <w:right w:val="single" w:sz="4" w:space="0" w:color="000000" w:themeColor="text1"/>
            </w:tcBorders>
          </w:tcPr>
          <w:p w:rsidR="0049318E" w:rsidRPr="007F6BFE" w:rsidP="007F6BFE" w14:paraId="607646E7" w14:textId="77777777">
            <w:pPr>
              <w:spacing w:after="58"/>
              <w:jc w:val="center"/>
              <w:rPr>
                <w:rFonts w:ascii="Times New Roman" w:hAnsi="Times New Roman"/>
                <w:szCs w:val="24"/>
              </w:rPr>
            </w:pPr>
            <w:r w:rsidRPr="007F6BFE">
              <w:rPr>
                <w:rFonts w:ascii="Times New Roman" w:hAnsi="Times New Roman"/>
                <w:szCs w:val="24"/>
              </w:rPr>
              <w:t>---</w:t>
            </w:r>
          </w:p>
        </w:tc>
        <w:tc>
          <w:tcPr>
            <w:tcW w:w="1260" w:type="dxa"/>
            <w:tcBorders>
              <w:top w:val="single" w:sz="4" w:space="0" w:color="000000" w:themeColor="text1"/>
              <w:left w:val="single" w:sz="4" w:space="0" w:color="000000" w:themeColor="text1"/>
              <w:bottom w:val="double" w:sz="4" w:space="0" w:color="auto"/>
              <w:right w:val="single" w:sz="4" w:space="0" w:color="000000" w:themeColor="text1"/>
            </w:tcBorders>
          </w:tcPr>
          <w:p w:rsidR="0049318E" w:rsidRPr="007F6BFE" w:rsidP="007F6BFE" w14:paraId="348AEB01" w14:textId="77777777">
            <w:pPr>
              <w:spacing w:after="58"/>
              <w:jc w:val="center"/>
              <w:rPr>
                <w:rFonts w:ascii="Times New Roman" w:hAnsi="Times New Roman"/>
                <w:szCs w:val="24"/>
              </w:rPr>
            </w:pPr>
            <w:r>
              <w:rPr>
                <w:rFonts w:ascii="Times New Roman" w:hAnsi="Times New Roman"/>
                <w:szCs w:val="24"/>
              </w:rPr>
              <w:t>240</w:t>
            </w:r>
          </w:p>
        </w:tc>
        <w:tc>
          <w:tcPr>
            <w:tcW w:w="1260" w:type="dxa"/>
            <w:tcBorders>
              <w:top w:val="single" w:sz="4" w:space="0" w:color="000000" w:themeColor="text1"/>
              <w:left w:val="single" w:sz="4" w:space="0" w:color="000000" w:themeColor="text1"/>
              <w:bottom w:val="double" w:sz="4" w:space="0" w:color="auto"/>
              <w:right w:val="single" w:sz="4" w:space="0" w:color="000000" w:themeColor="text1"/>
            </w:tcBorders>
          </w:tcPr>
          <w:p w:rsidR="0049318E" w:rsidRPr="007F6BFE" w:rsidP="007F6BFE" w14:paraId="50664C18" w14:textId="77777777">
            <w:pPr>
              <w:spacing w:after="58"/>
              <w:jc w:val="center"/>
              <w:rPr>
                <w:rFonts w:ascii="Times New Roman" w:hAnsi="Times New Roman"/>
                <w:szCs w:val="24"/>
              </w:rPr>
            </w:pPr>
            <w:r w:rsidRPr="007F6BFE">
              <w:rPr>
                <w:rFonts w:ascii="Times New Roman" w:hAnsi="Times New Roman"/>
                <w:szCs w:val="24"/>
              </w:rPr>
              <w:t>---</w:t>
            </w:r>
          </w:p>
        </w:tc>
        <w:tc>
          <w:tcPr>
            <w:tcW w:w="1530" w:type="dxa"/>
            <w:tcBorders>
              <w:top w:val="single" w:sz="4" w:space="0" w:color="auto"/>
              <w:left w:val="single" w:sz="4" w:space="0" w:color="000000" w:themeColor="text1"/>
              <w:bottom w:val="single" w:sz="4" w:space="0" w:color="000000" w:themeColor="text1"/>
              <w:right w:val="single" w:sz="4" w:space="0" w:color="000000" w:themeColor="text1"/>
            </w:tcBorders>
          </w:tcPr>
          <w:p w:rsidR="0049318E" w:rsidRPr="007F6BFE" w:rsidP="007F6BFE" w14:paraId="7F822089" w14:textId="77777777">
            <w:pPr>
              <w:spacing w:after="58"/>
              <w:jc w:val="center"/>
              <w:rPr>
                <w:rFonts w:ascii="Times New Roman" w:hAnsi="Times New Roman"/>
                <w:szCs w:val="24"/>
              </w:rPr>
            </w:pPr>
            <w:r>
              <w:rPr>
                <w:rFonts w:ascii="Times New Roman" w:hAnsi="Times New Roman"/>
                <w:szCs w:val="24"/>
              </w:rPr>
              <w:t>480</w:t>
            </w:r>
          </w:p>
        </w:tc>
      </w:tr>
      <w:tr w14:paraId="4F23CE86" w14:textId="77777777" w:rsidTr="007F6BFE">
        <w:tblPrEx>
          <w:tblW w:w="0" w:type="auto"/>
          <w:tblLayout w:type="fixed"/>
          <w:tblCellMar>
            <w:left w:w="120" w:type="dxa"/>
            <w:right w:w="120" w:type="dxa"/>
          </w:tblCellMar>
          <w:tblLook w:val="0000"/>
        </w:tblPrEx>
        <w:tc>
          <w:tcPr>
            <w:tcW w:w="2965" w:type="dxa"/>
            <w:tcBorders>
              <w:top w:val="double" w:sz="4" w:space="0" w:color="auto"/>
              <w:left w:val="single" w:sz="4" w:space="0" w:color="000000" w:themeColor="text1"/>
              <w:right w:val="single" w:sz="4" w:space="0" w:color="000000" w:themeColor="text1"/>
            </w:tcBorders>
          </w:tcPr>
          <w:p w:rsidR="0049318E" w:rsidRPr="007F6BFE" w:rsidP="007F6BFE" w14:paraId="0165D410" w14:textId="77777777">
            <w:pPr>
              <w:spacing w:after="58"/>
              <w:rPr>
                <w:rFonts w:ascii="Times New Roman" w:hAnsi="Times New Roman"/>
                <w:i/>
                <w:szCs w:val="24"/>
              </w:rPr>
            </w:pPr>
            <w:r w:rsidRPr="007F6BFE">
              <w:rPr>
                <w:rFonts w:ascii="Times New Roman" w:hAnsi="Times New Roman"/>
                <w:i/>
                <w:szCs w:val="24"/>
              </w:rPr>
              <w:t>Applicants:</w:t>
            </w:r>
            <w:r>
              <w:rPr>
                <w:rFonts w:ascii="Times New Roman" w:hAnsi="Times New Roman"/>
                <w:i/>
                <w:szCs w:val="24"/>
              </w:rPr>
              <w:t xml:space="preserve"> VMLRP Application Package</w:t>
            </w:r>
          </w:p>
          <w:p w:rsidR="0049318E" w:rsidRPr="007F6BFE" w:rsidP="007F6BFE" w14:paraId="3A852CCD" w14:textId="77777777">
            <w:pPr>
              <w:spacing w:after="58"/>
              <w:rPr>
                <w:rFonts w:ascii="Times New Roman" w:hAnsi="Times New Roman"/>
                <w:szCs w:val="24"/>
              </w:rPr>
            </w:pPr>
            <w:r w:rsidRPr="007F6BFE">
              <w:rPr>
                <w:rFonts w:ascii="Times New Roman" w:hAnsi="Times New Roman"/>
                <w:szCs w:val="24"/>
              </w:rPr>
              <w:t>Application Part 1: Program</w:t>
            </w:r>
          </w:p>
          <w:p w:rsidR="0049318E" w:rsidRPr="007F6BFE" w:rsidP="007F6BFE" w14:paraId="221476CA" w14:textId="77777777">
            <w:pPr>
              <w:spacing w:after="58"/>
              <w:rPr>
                <w:rFonts w:ascii="Times New Roman" w:hAnsi="Times New Roman"/>
                <w:szCs w:val="24"/>
              </w:rPr>
            </w:pPr>
            <w:r w:rsidRPr="007F6BFE">
              <w:rPr>
                <w:rFonts w:ascii="Times New Roman" w:hAnsi="Times New Roman"/>
                <w:szCs w:val="24"/>
              </w:rPr>
              <w:t>Application Part 2: Financial</w:t>
            </w:r>
          </w:p>
        </w:tc>
        <w:tc>
          <w:tcPr>
            <w:tcW w:w="1295" w:type="dxa"/>
            <w:tcBorders>
              <w:top w:val="double" w:sz="4" w:space="0" w:color="auto"/>
              <w:left w:val="single" w:sz="4" w:space="0" w:color="000000" w:themeColor="text1"/>
              <w:bottom w:val="single" w:sz="4" w:space="0" w:color="000000" w:themeColor="text1"/>
              <w:right w:val="single" w:sz="4" w:space="0" w:color="000000" w:themeColor="text1"/>
            </w:tcBorders>
          </w:tcPr>
          <w:p w:rsidR="0049318E" w:rsidRPr="007F6BFE" w:rsidP="007F6BFE" w14:paraId="061DD8D0" w14:textId="77777777">
            <w:pPr>
              <w:spacing w:after="58"/>
              <w:jc w:val="center"/>
              <w:rPr>
                <w:rFonts w:ascii="Times New Roman" w:hAnsi="Times New Roman"/>
                <w:szCs w:val="24"/>
              </w:rPr>
            </w:pPr>
          </w:p>
          <w:p w:rsidR="0049318E" w:rsidP="007F6BFE" w14:paraId="4213443B" w14:textId="77777777">
            <w:pPr>
              <w:spacing w:after="58"/>
              <w:jc w:val="center"/>
              <w:rPr>
                <w:rFonts w:ascii="Times New Roman" w:hAnsi="Times New Roman"/>
                <w:szCs w:val="24"/>
              </w:rPr>
            </w:pPr>
          </w:p>
          <w:p w:rsidR="0049318E" w:rsidRPr="007F6BFE" w:rsidP="007F6BFE" w14:paraId="782D6CC3" w14:textId="77777777">
            <w:pPr>
              <w:spacing w:after="58"/>
              <w:jc w:val="center"/>
              <w:rPr>
                <w:rFonts w:ascii="Times New Roman" w:hAnsi="Times New Roman"/>
                <w:szCs w:val="24"/>
              </w:rPr>
            </w:pPr>
            <w:r>
              <w:rPr>
                <w:rFonts w:ascii="Times New Roman" w:hAnsi="Times New Roman"/>
                <w:szCs w:val="24"/>
              </w:rPr>
              <w:t>200</w:t>
            </w:r>
          </w:p>
          <w:p w:rsidR="0049318E" w:rsidRPr="007F6BFE" w:rsidP="007F6BFE" w14:paraId="01B2732C" w14:textId="77777777">
            <w:pPr>
              <w:spacing w:after="58"/>
              <w:jc w:val="center"/>
              <w:rPr>
                <w:rFonts w:ascii="Times New Roman" w:hAnsi="Times New Roman"/>
                <w:szCs w:val="24"/>
              </w:rPr>
            </w:pPr>
            <w:r>
              <w:rPr>
                <w:rFonts w:ascii="Times New Roman" w:hAnsi="Times New Roman"/>
                <w:szCs w:val="24"/>
              </w:rPr>
              <w:t>200</w:t>
            </w:r>
          </w:p>
          <w:p w:rsidR="0049318E" w:rsidRPr="007F6BFE" w:rsidP="007F6BFE" w14:paraId="35F91C0D" w14:textId="77777777">
            <w:pPr>
              <w:spacing w:after="58"/>
              <w:jc w:val="center"/>
              <w:rPr>
                <w:rFonts w:ascii="Times New Roman" w:hAnsi="Times New Roman"/>
                <w:szCs w:val="24"/>
              </w:rPr>
            </w:pPr>
          </w:p>
        </w:tc>
        <w:tc>
          <w:tcPr>
            <w:tcW w:w="1530" w:type="dxa"/>
            <w:tcBorders>
              <w:top w:val="double" w:sz="4" w:space="0" w:color="auto"/>
              <w:left w:val="single" w:sz="4" w:space="0" w:color="000000" w:themeColor="text1"/>
              <w:bottom w:val="single" w:sz="4" w:space="0" w:color="000000" w:themeColor="text1"/>
              <w:right w:val="single" w:sz="4" w:space="0" w:color="000000" w:themeColor="text1"/>
            </w:tcBorders>
          </w:tcPr>
          <w:p w:rsidR="0049318E" w:rsidRPr="007F6BFE" w:rsidP="007F6BFE" w14:paraId="30B5F9FD" w14:textId="77777777">
            <w:pPr>
              <w:spacing w:after="58"/>
              <w:jc w:val="center"/>
              <w:rPr>
                <w:rFonts w:ascii="Times New Roman" w:hAnsi="Times New Roman"/>
                <w:szCs w:val="24"/>
              </w:rPr>
            </w:pPr>
          </w:p>
          <w:p w:rsidR="0049318E" w:rsidP="007F6BFE" w14:paraId="50443288" w14:textId="77777777">
            <w:pPr>
              <w:spacing w:after="58"/>
              <w:jc w:val="center"/>
              <w:rPr>
                <w:rFonts w:ascii="Times New Roman" w:hAnsi="Times New Roman"/>
                <w:szCs w:val="24"/>
              </w:rPr>
            </w:pPr>
          </w:p>
          <w:p w:rsidR="0049318E" w:rsidRPr="007F6BFE" w:rsidP="007F6BFE" w14:paraId="63535A27" w14:textId="77777777">
            <w:pPr>
              <w:spacing w:after="58"/>
              <w:jc w:val="center"/>
              <w:rPr>
                <w:rFonts w:ascii="Times New Roman" w:hAnsi="Times New Roman"/>
                <w:szCs w:val="24"/>
              </w:rPr>
            </w:pPr>
            <w:r w:rsidRPr="007F6BFE">
              <w:rPr>
                <w:rFonts w:ascii="Times New Roman" w:hAnsi="Times New Roman"/>
                <w:szCs w:val="24"/>
              </w:rPr>
              <w:t>1</w:t>
            </w:r>
          </w:p>
          <w:p w:rsidR="0049318E" w:rsidRPr="007F6BFE" w:rsidP="007F6BFE" w14:paraId="0FB686B4" w14:textId="77777777">
            <w:pPr>
              <w:spacing w:after="58"/>
              <w:jc w:val="center"/>
              <w:rPr>
                <w:rFonts w:ascii="Times New Roman" w:hAnsi="Times New Roman"/>
                <w:szCs w:val="24"/>
              </w:rPr>
            </w:pPr>
            <w:r w:rsidRPr="007F6BFE">
              <w:rPr>
                <w:rFonts w:ascii="Times New Roman" w:hAnsi="Times New Roman"/>
                <w:szCs w:val="24"/>
              </w:rPr>
              <w:t>1</w:t>
            </w:r>
          </w:p>
          <w:p w:rsidR="0049318E" w:rsidRPr="007F6BFE" w:rsidP="007F6BFE" w14:paraId="685A5685" w14:textId="77777777">
            <w:pPr>
              <w:spacing w:after="58"/>
              <w:jc w:val="center"/>
              <w:rPr>
                <w:rFonts w:ascii="Times New Roman" w:hAnsi="Times New Roman"/>
                <w:szCs w:val="24"/>
              </w:rPr>
            </w:pPr>
          </w:p>
        </w:tc>
        <w:tc>
          <w:tcPr>
            <w:tcW w:w="1260" w:type="dxa"/>
            <w:tcBorders>
              <w:top w:val="double" w:sz="4" w:space="0" w:color="auto"/>
              <w:left w:val="single" w:sz="4" w:space="0" w:color="000000" w:themeColor="text1"/>
              <w:bottom w:val="single" w:sz="4" w:space="0" w:color="000000" w:themeColor="text1"/>
              <w:right w:val="single" w:sz="4" w:space="0" w:color="000000" w:themeColor="text1"/>
            </w:tcBorders>
          </w:tcPr>
          <w:p w:rsidR="0049318E" w:rsidRPr="007F6BFE" w:rsidP="007F6BFE" w14:paraId="6CB60FD2" w14:textId="77777777">
            <w:pPr>
              <w:spacing w:after="58"/>
              <w:jc w:val="center"/>
              <w:rPr>
                <w:rFonts w:ascii="Times New Roman" w:hAnsi="Times New Roman"/>
                <w:szCs w:val="24"/>
              </w:rPr>
            </w:pPr>
          </w:p>
          <w:p w:rsidR="0049318E" w:rsidP="007F6BFE" w14:paraId="1F89CD86" w14:textId="77777777">
            <w:pPr>
              <w:spacing w:after="58"/>
              <w:jc w:val="center"/>
              <w:rPr>
                <w:rFonts w:ascii="Times New Roman" w:hAnsi="Times New Roman"/>
                <w:szCs w:val="24"/>
              </w:rPr>
            </w:pPr>
          </w:p>
          <w:p w:rsidR="0049318E" w:rsidRPr="007F6BFE" w:rsidP="007F6BFE" w14:paraId="049E4641" w14:textId="77777777">
            <w:pPr>
              <w:spacing w:after="58"/>
              <w:jc w:val="center"/>
              <w:rPr>
                <w:rFonts w:ascii="Times New Roman" w:hAnsi="Times New Roman"/>
                <w:szCs w:val="24"/>
              </w:rPr>
            </w:pPr>
            <w:r>
              <w:rPr>
                <w:rFonts w:ascii="Times New Roman" w:hAnsi="Times New Roman"/>
                <w:szCs w:val="24"/>
              </w:rPr>
              <w:t>200</w:t>
            </w:r>
          </w:p>
          <w:p w:rsidR="0049318E" w:rsidRPr="007F6BFE" w:rsidP="007F6BFE" w14:paraId="46F9E469" w14:textId="77777777">
            <w:pPr>
              <w:spacing w:after="58"/>
              <w:jc w:val="center"/>
              <w:rPr>
                <w:rFonts w:ascii="Times New Roman" w:hAnsi="Times New Roman"/>
                <w:szCs w:val="24"/>
              </w:rPr>
            </w:pPr>
            <w:r>
              <w:rPr>
                <w:rFonts w:ascii="Times New Roman" w:hAnsi="Times New Roman"/>
                <w:szCs w:val="24"/>
              </w:rPr>
              <w:t>200</w:t>
            </w:r>
          </w:p>
          <w:p w:rsidR="0049318E" w:rsidRPr="007F6BFE" w:rsidP="007F6BFE" w14:paraId="7BBC5DD8" w14:textId="77777777">
            <w:pPr>
              <w:spacing w:after="58"/>
              <w:jc w:val="center"/>
              <w:rPr>
                <w:rFonts w:ascii="Times New Roman" w:hAnsi="Times New Roman"/>
                <w:szCs w:val="24"/>
              </w:rPr>
            </w:pPr>
          </w:p>
        </w:tc>
        <w:tc>
          <w:tcPr>
            <w:tcW w:w="1260" w:type="dxa"/>
            <w:tcBorders>
              <w:top w:val="double" w:sz="4" w:space="0" w:color="auto"/>
              <w:left w:val="single" w:sz="4" w:space="0" w:color="000000" w:themeColor="text1"/>
              <w:bottom w:val="single" w:sz="4" w:space="0" w:color="000000" w:themeColor="text1"/>
              <w:right w:val="single" w:sz="4" w:space="0" w:color="000000" w:themeColor="text1"/>
            </w:tcBorders>
          </w:tcPr>
          <w:p w:rsidR="0049318E" w:rsidRPr="007F6BFE" w:rsidP="007F6BFE" w14:paraId="04690F2C" w14:textId="77777777">
            <w:pPr>
              <w:spacing w:after="58"/>
              <w:jc w:val="center"/>
              <w:rPr>
                <w:rFonts w:ascii="Times New Roman" w:hAnsi="Times New Roman"/>
                <w:szCs w:val="24"/>
              </w:rPr>
            </w:pPr>
          </w:p>
          <w:p w:rsidR="0049318E" w:rsidP="007F6BFE" w14:paraId="4D77CD72" w14:textId="77777777">
            <w:pPr>
              <w:spacing w:after="58"/>
              <w:jc w:val="center"/>
              <w:rPr>
                <w:rFonts w:ascii="Times New Roman" w:hAnsi="Times New Roman"/>
                <w:szCs w:val="24"/>
              </w:rPr>
            </w:pPr>
          </w:p>
          <w:p w:rsidR="0049318E" w:rsidRPr="007F6BFE" w:rsidP="007F6BFE" w14:paraId="08116CAD" w14:textId="77777777">
            <w:pPr>
              <w:spacing w:after="58"/>
              <w:jc w:val="center"/>
              <w:rPr>
                <w:rFonts w:ascii="Times New Roman" w:hAnsi="Times New Roman"/>
                <w:szCs w:val="24"/>
              </w:rPr>
            </w:pPr>
            <w:r>
              <w:rPr>
                <w:rFonts w:ascii="Times New Roman" w:hAnsi="Times New Roman"/>
                <w:szCs w:val="24"/>
              </w:rPr>
              <w:t>3</w:t>
            </w:r>
          </w:p>
          <w:p w:rsidR="0049318E" w:rsidRPr="007F6BFE" w:rsidP="007F6BFE" w14:paraId="1F82EFA8" w14:textId="77777777">
            <w:pPr>
              <w:spacing w:after="58"/>
              <w:jc w:val="center"/>
              <w:rPr>
                <w:rFonts w:ascii="Times New Roman" w:hAnsi="Times New Roman"/>
                <w:szCs w:val="24"/>
              </w:rPr>
            </w:pPr>
            <w:r>
              <w:rPr>
                <w:rFonts w:ascii="Times New Roman" w:hAnsi="Times New Roman"/>
                <w:szCs w:val="24"/>
              </w:rPr>
              <w:t>2</w:t>
            </w:r>
          </w:p>
          <w:p w:rsidR="0049318E" w:rsidRPr="007F6BFE" w:rsidP="007F6BFE" w14:paraId="7D30CC74" w14:textId="77777777">
            <w:pPr>
              <w:spacing w:after="58"/>
              <w:jc w:val="center"/>
              <w:rPr>
                <w:rFonts w:ascii="Times New Roman" w:hAnsi="Times New Roman"/>
                <w:szCs w:val="24"/>
              </w:rPr>
            </w:pPr>
          </w:p>
        </w:tc>
        <w:tc>
          <w:tcPr>
            <w:tcW w:w="1530" w:type="dxa"/>
            <w:tcBorders>
              <w:top w:val="double" w:sz="4" w:space="0" w:color="auto"/>
              <w:left w:val="single" w:sz="4" w:space="0" w:color="000000" w:themeColor="text1"/>
              <w:bottom w:val="single" w:sz="4" w:space="0" w:color="000000" w:themeColor="text1"/>
              <w:right w:val="single" w:sz="4" w:space="0" w:color="000000" w:themeColor="text1"/>
            </w:tcBorders>
          </w:tcPr>
          <w:p w:rsidR="0049318E" w:rsidRPr="007F6BFE" w:rsidP="007F6BFE" w14:paraId="542088D5" w14:textId="77777777">
            <w:pPr>
              <w:spacing w:after="58"/>
              <w:jc w:val="center"/>
              <w:rPr>
                <w:rFonts w:ascii="Times New Roman" w:hAnsi="Times New Roman"/>
                <w:szCs w:val="24"/>
              </w:rPr>
            </w:pPr>
          </w:p>
          <w:p w:rsidR="0049318E" w:rsidP="007F6BFE" w14:paraId="7F2E359B" w14:textId="77777777">
            <w:pPr>
              <w:spacing w:after="58"/>
              <w:jc w:val="center"/>
              <w:rPr>
                <w:rFonts w:ascii="Times New Roman" w:hAnsi="Times New Roman"/>
                <w:szCs w:val="24"/>
              </w:rPr>
            </w:pPr>
          </w:p>
          <w:p w:rsidR="0049318E" w:rsidRPr="007F6BFE" w:rsidP="007F6BFE" w14:paraId="2ACB8088" w14:textId="77777777">
            <w:pPr>
              <w:spacing w:after="58"/>
              <w:jc w:val="center"/>
              <w:rPr>
                <w:rFonts w:ascii="Times New Roman" w:hAnsi="Times New Roman"/>
                <w:szCs w:val="24"/>
              </w:rPr>
            </w:pPr>
            <w:r>
              <w:rPr>
                <w:rFonts w:ascii="Times New Roman" w:hAnsi="Times New Roman"/>
                <w:szCs w:val="24"/>
              </w:rPr>
              <w:t>600</w:t>
            </w:r>
          </w:p>
          <w:p w:rsidR="0049318E" w:rsidRPr="007F6BFE" w:rsidP="007F6BFE" w14:paraId="5C0EB9BF" w14:textId="77777777">
            <w:pPr>
              <w:spacing w:after="58"/>
              <w:jc w:val="center"/>
              <w:rPr>
                <w:rFonts w:ascii="Times New Roman" w:hAnsi="Times New Roman"/>
                <w:szCs w:val="24"/>
              </w:rPr>
            </w:pPr>
            <w:r>
              <w:rPr>
                <w:rFonts w:ascii="Times New Roman" w:hAnsi="Times New Roman"/>
                <w:szCs w:val="24"/>
              </w:rPr>
              <w:t>400</w:t>
            </w:r>
          </w:p>
          <w:p w:rsidR="0049318E" w:rsidRPr="007F6BFE" w:rsidP="007F6BFE" w14:paraId="3BF8B425" w14:textId="77777777">
            <w:pPr>
              <w:spacing w:after="58"/>
              <w:jc w:val="center"/>
              <w:rPr>
                <w:rFonts w:ascii="Times New Roman" w:hAnsi="Times New Roman"/>
                <w:szCs w:val="24"/>
              </w:rPr>
            </w:pPr>
          </w:p>
        </w:tc>
      </w:tr>
      <w:tr w14:paraId="154630EF" w14:textId="77777777" w:rsidTr="007F6BFE">
        <w:tblPrEx>
          <w:tblW w:w="0" w:type="auto"/>
          <w:tblLayout w:type="fixed"/>
          <w:tblCellMar>
            <w:left w:w="120" w:type="dxa"/>
            <w:right w:w="120" w:type="dxa"/>
          </w:tblCellMar>
          <w:tblLook w:val="0000"/>
        </w:tblPrEx>
        <w:tc>
          <w:tcPr>
            <w:tcW w:w="2965" w:type="dxa"/>
            <w:tcBorders>
              <w:left w:val="single" w:sz="4" w:space="0" w:color="000000" w:themeColor="text1"/>
              <w:bottom w:val="double" w:sz="4" w:space="0" w:color="auto"/>
              <w:right w:val="single" w:sz="4" w:space="0" w:color="000000" w:themeColor="text1"/>
            </w:tcBorders>
          </w:tcPr>
          <w:p w:rsidR="0049318E" w:rsidRPr="007F6BFE" w:rsidP="007F6BFE" w14:paraId="2BB6D7C7" w14:textId="77777777">
            <w:pPr>
              <w:spacing w:after="58"/>
              <w:rPr>
                <w:rFonts w:ascii="Times New Roman" w:hAnsi="Times New Roman"/>
                <w:szCs w:val="24"/>
              </w:rPr>
            </w:pPr>
            <w:r w:rsidRPr="007F6BFE">
              <w:rPr>
                <w:rFonts w:ascii="Times New Roman" w:hAnsi="Times New Roman"/>
                <w:szCs w:val="24"/>
              </w:rPr>
              <w:t xml:space="preserve">  Applicants subtotal</w:t>
            </w:r>
          </w:p>
        </w:tc>
        <w:tc>
          <w:tcPr>
            <w:tcW w:w="1295" w:type="dxa"/>
            <w:tcBorders>
              <w:top w:val="single" w:sz="4" w:space="0" w:color="000000" w:themeColor="text1"/>
              <w:left w:val="single" w:sz="4" w:space="0" w:color="000000" w:themeColor="text1"/>
              <w:bottom w:val="double" w:sz="4" w:space="0" w:color="auto"/>
              <w:right w:val="single" w:sz="4" w:space="0" w:color="000000" w:themeColor="text1"/>
            </w:tcBorders>
          </w:tcPr>
          <w:p w:rsidR="0049318E" w:rsidRPr="007F6BFE" w:rsidP="007F6BFE" w14:paraId="2080B2C1" w14:textId="77777777">
            <w:pPr>
              <w:spacing w:after="58"/>
              <w:jc w:val="center"/>
              <w:rPr>
                <w:rFonts w:ascii="Times New Roman" w:hAnsi="Times New Roman"/>
                <w:szCs w:val="24"/>
              </w:rPr>
            </w:pPr>
            <w:r>
              <w:rPr>
                <w:rFonts w:ascii="Times New Roman" w:hAnsi="Times New Roman"/>
                <w:szCs w:val="24"/>
              </w:rPr>
              <w:t>200</w:t>
            </w:r>
          </w:p>
        </w:tc>
        <w:tc>
          <w:tcPr>
            <w:tcW w:w="1530" w:type="dxa"/>
            <w:tcBorders>
              <w:top w:val="single" w:sz="4" w:space="0" w:color="000000" w:themeColor="text1"/>
              <w:left w:val="single" w:sz="4" w:space="0" w:color="000000" w:themeColor="text1"/>
              <w:bottom w:val="double" w:sz="4" w:space="0" w:color="auto"/>
              <w:right w:val="single" w:sz="4" w:space="0" w:color="000000" w:themeColor="text1"/>
            </w:tcBorders>
          </w:tcPr>
          <w:p w:rsidR="0049318E" w:rsidRPr="007F6BFE" w:rsidP="007F6BFE" w14:paraId="04565834" w14:textId="77777777">
            <w:pPr>
              <w:spacing w:after="58"/>
              <w:jc w:val="center"/>
              <w:rPr>
                <w:rFonts w:ascii="Times New Roman" w:hAnsi="Times New Roman"/>
                <w:szCs w:val="24"/>
              </w:rPr>
            </w:pPr>
            <w:r w:rsidRPr="007F6BFE">
              <w:rPr>
                <w:rFonts w:ascii="Times New Roman" w:hAnsi="Times New Roman"/>
                <w:szCs w:val="24"/>
              </w:rPr>
              <w:t>---</w:t>
            </w:r>
          </w:p>
        </w:tc>
        <w:tc>
          <w:tcPr>
            <w:tcW w:w="1260" w:type="dxa"/>
            <w:tcBorders>
              <w:top w:val="single" w:sz="4" w:space="0" w:color="000000" w:themeColor="text1"/>
              <w:left w:val="single" w:sz="4" w:space="0" w:color="000000" w:themeColor="text1"/>
              <w:bottom w:val="double" w:sz="4" w:space="0" w:color="auto"/>
              <w:right w:val="single" w:sz="4" w:space="0" w:color="000000" w:themeColor="text1"/>
            </w:tcBorders>
          </w:tcPr>
          <w:p w:rsidR="0049318E" w:rsidRPr="007F6BFE" w:rsidP="007F6BFE" w14:paraId="7F827E4E" w14:textId="77777777">
            <w:pPr>
              <w:spacing w:after="58"/>
              <w:jc w:val="center"/>
              <w:rPr>
                <w:rFonts w:ascii="Times New Roman" w:hAnsi="Times New Roman"/>
                <w:szCs w:val="24"/>
              </w:rPr>
            </w:pPr>
            <w:r>
              <w:rPr>
                <w:rFonts w:ascii="Times New Roman" w:hAnsi="Times New Roman"/>
                <w:szCs w:val="24"/>
              </w:rPr>
              <w:t>400</w:t>
            </w:r>
          </w:p>
        </w:tc>
        <w:tc>
          <w:tcPr>
            <w:tcW w:w="1260" w:type="dxa"/>
            <w:tcBorders>
              <w:top w:val="single" w:sz="4" w:space="0" w:color="000000" w:themeColor="text1"/>
              <w:left w:val="single" w:sz="4" w:space="0" w:color="000000" w:themeColor="text1"/>
              <w:bottom w:val="double" w:sz="4" w:space="0" w:color="auto"/>
              <w:right w:val="single" w:sz="4" w:space="0" w:color="000000" w:themeColor="text1"/>
            </w:tcBorders>
          </w:tcPr>
          <w:p w:rsidR="0049318E" w:rsidRPr="007F6BFE" w:rsidP="007F6BFE" w14:paraId="4C34781C" w14:textId="77777777">
            <w:pPr>
              <w:spacing w:after="58"/>
              <w:jc w:val="center"/>
              <w:rPr>
                <w:rFonts w:ascii="Times New Roman" w:hAnsi="Times New Roman"/>
                <w:szCs w:val="24"/>
              </w:rPr>
            </w:pPr>
            <w:r w:rsidRPr="007F6BFE">
              <w:rPr>
                <w:rFonts w:ascii="Times New Roman" w:hAnsi="Times New Roman"/>
                <w:szCs w:val="24"/>
              </w:rPr>
              <w:t>---</w:t>
            </w:r>
          </w:p>
        </w:tc>
        <w:tc>
          <w:tcPr>
            <w:tcW w:w="1530" w:type="dxa"/>
            <w:tcBorders>
              <w:top w:val="single" w:sz="4" w:space="0" w:color="000000" w:themeColor="text1"/>
              <w:left w:val="single" w:sz="4" w:space="0" w:color="000000" w:themeColor="text1"/>
              <w:bottom w:val="double" w:sz="4" w:space="0" w:color="auto"/>
              <w:right w:val="single" w:sz="4" w:space="0" w:color="000000" w:themeColor="text1"/>
            </w:tcBorders>
          </w:tcPr>
          <w:p w:rsidR="0049318E" w:rsidRPr="007F6BFE" w:rsidP="007F6BFE" w14:paraId="13F0BB18" w14:textId="77777777">
            <w:pPr>
              <w:spacing w:after="58"/>
              <w:jc w:val="center"/>
              <w:rPr>
                <w:rFonts w:ascii="Times New Roman" w:hAnsi="Times New Roman"/>
                <w:szCs w:val="24"/>
              </w:rPr>
            </w:pPr>
            <w:r>
              <w:rPr>
                <w:rFonts w:ascii="Times New Roman" w:hAnsi="Times New Roman"/>
                <w:szCs w:val="24"/>
              </w:rPr>
              <w:t>1000</w:t>
            </w:r>
          </w:p>
        </w:tc>
      </w:tr>
      <w:tr w14:paraId="7949F3CA" w14:textId="77777777" w:rsidTr="007F6BFE">
        <w:tblPrEx>
          <w:tblW w:w="0" w:type="auto"/>
          <w:tblLayout w:type="fixed"/>
          <w:tblCellMar>
            <w:left w:w="120" w:type="dxa"/>
            <w:right w:w="120" w:type="dxa"/>
          </w:tblCellMar>
          <w:tblLook w:val="0000"/>
        </w:tblPrEx>
        <w:tc>
          <w:tcPr>
            <w:tcW w:w="2965" w:type="dxa"/>
            <w:tcBorders>
              <w:top w:val="double" w:sz="4" w:space="0" w:color="auto"/>
              <w:left w:val="single" w:sz="4" w:space="0" w:color="000000" w:themeColor="text1"/>
              <w:right w:val="single" w:sz="4" w:space="0" w:color="000000" w:themeColor="text1"/>
            </w:tcBorders>
          </w:tcPr>
          <w:p w:rsidR="0049318E" w:rsidRPr="007F6BFE" w:rsidP="007F6BFE" w14:paraId="40CFF08E" w14:textId="77777777">
            <w:pPr>
              <w:spacing w:after="58"/>
              <w:rPr>
                <w:rFonts w:ascii="Times New Roman" w:hAnsi="Times New Roman"/>
                <w:i/>
                <w:szCs w:val="24"/>
              </w:rPr>
            </w:pPr>
            <w:r w:rsidRPr="007F6BFE">
              <w:rPr>
                <w:rFonts w:ascii="Times New Roman" w:hAnsi="Times New Roman"/>
                <w:i/>
                <w:szCs w:val="24"/>
              </w:rPr>
              <w:t>Recommenders:</w:t>
            </w:r>
          </w:p>
          <w:p w:rsidR="0049318E" w:rsidRPr="007F6BFE" w:rsidP="007F6BFE" w14:paraId="044C461D" w14:textId="77777777">
            <w:pPr>
              <w:spacing w:after="58"/>
              <w:rPr>
                <w:rFonts w:ascii="Times New Roman" w:hAnsi="Times New Roman"/>
                <w:szCs w:val="24"/>
              </w:rPr>
            </w:pPr>
            <w:r w:rsidRPr="007F6BFE">
              <w:rPr>
                <w:rFonts w:ascii="Times New Roman" w:hAnsi="Times New Roman"/>
                <w:szCs w:val="24"/>
              </w:rPr>
              <w:t>Application Part 3: Recommendation</w:t>
            </w:r>
          </w:p>
        </w:tc>
        <w:tc>
          <w:tcPr>
            <w:tcW w:w="1295" w:type="dxa"/>
            <w:tcBorders>
              <w:top w:val="double" w:sz="4" w:space="0" w:color="auto"/>
              <w:left w:val="single" w:sz="4" w:space="0" w:color="000000" w:themeColor="text1"/>
              <w:bottom w:val="single" w:sz="4" w:space="0" w:color="auto"/>
              <w:right w:val="single" w:sz="4" w:space="0" w:color="000000" w:themeColor="text1"/>
            </w:tcBorders>
          </w:tcPr>
          <w:p w:rsidR="0049318E" w:rsidRPr="007F6BFE" w:rsidP="007F6BFE" w14:paraId="7D2A87CB" w14:textId="77777777">
            <w:pPr>
              <w:spacing w:after="58"/>
              <w:jc w:val="center"/>
              <w:rPr>
                <w:rFonts w:ascii="Times New Roman" w:hAnsi="Times New Roman"/>
                <w:szCs w:val="24"/>
              </w:rPr>
            </w:pPr>
          </w:p>
          <w:p w:rsidR="0049318E" w:rsidRPr="007F6BFE" w:rsidP="007F6BFE" w14:paraId="63A87EF7" w14:textId="77777777">
            <w:pPr>
              <w:spacing w:after="58"/>
              <w:jc w:val="center"/>
              <w:rPr>
                <w:rFonts w:ascii="Times New Roman" w:hAnsi="Times New Roman"/>
                <w:szCs w:val="24"/>
              </w:rPr>
            </w:pPr>
            <w:r>
              <w:rPr>
                <w:rFonts w:ascii="Times New Roman" w:hAnsi="Times New Roman"/>
                <w:szCs w:val="24"/>
              </w:rPr>
              <w:t>400</w:t>
            </w:r>
          </w:p>
        </w:tc>
        <w:tc>
          <w:tcPr>
            <w:tcW w:w="1530" w:type="dxa"/>
            <w:tcBorders>
              <w:top w:val="double" w:sz="4" w:space="0" w:color="auto"/>
              <w:left w:val="single" w:sz="4" w:space="0" w:color="000000" w:themeColor="text1"/>
              <w:bottom w:val="single" w:sz="4" w:space="0" w:color="auto"/>
              <w:right w:val="single" w:sz="4" w:space="0" w:color="000000" w:themeColor="text1"/>
            </w:tcBorders>
          </w:tcPr>
          <w:p w:rsidR="0049318E" w:rsidRPr="007F6BFE" w:rsidP="007F6BFE" w14:paraId="521BAC43" w14:textId="77777777">
            <w:pPr>
              <w:spacing w:after="58"/>
              <w:jc w:val="center"/>
              <w:rPr>
                <w:rFonts w:ascii="Times New Roman" w:hAnsi="Times New Roman"/>
                <w:szCs w:val="24"/>
              </w:rPr>
            </w:pPr>
          </w:p>
          <w:p w:rsidR="0049318E" w:rsidRPr="007F6BFE" w:rsidP="007F6BFE" w14:paraId="0AAC5AB6" w14:textId="77777777">
            <w:pPr>
              <w:spacing w:after="58"/>
              <w:jc w:val="center"/>
              <w:rPr>
                <w:rFonts w:ascii="Times New Roman" w:hAnsi="Times New Roman"/>
                <w:szCs w:val="24"/>
              </w:rPr>
            </w:pPr>
            <w:r w:rsidRPr="007F6BFE">
              <w:rPr>
                <w:rFonts w:ascii="Times New Roman" w:hAnsi="Times New Roman"/>
                <w:szCs w:val="24"/>
              </w:rPr>
              <w:t>1</w:t>
            </w:r>
          </w:p>
        </w:tc>
        <w:tc>
          <w:tcPr>
            <w:tcW w:w="1260" w:type="dxa"/>
            <w:tcBorders>
              <w:top w:val="double" w:sz="4" w:space="0" w:color="auto"/>
              <w:left w:val="single" w:sz="4" w:space="0" w:color="000000" w:themeColor="text1"/>
              <w:bottom w:val="single" w:sz="4" w:space="0" w:color="auto"/>
              <w:right w:val="single" w:sz="4" w:space="0" w:color="000000" w:themeColor="text1"/>
            </w:tcBorders>
          </w:tcPr>
          <w:p w:rsidR="0049318E" w:rsidRPr="007F6BFE" w:rsidP="007F6BFE" w14:paraId="1120BFD4" w14:textId="77777777">
            <w:pPr>
              <w:spacing w:after="58"/>
              <w:jc w:val="center"/>
              <w:rPr>
                <w:rFonts w:ascii="Times New Roman" w:hAnsi="Times New Roman"/>
                <w:szCs w:val="24"/>
              </w:rPr>
            </w:pPr>
          </w:p>
          <w:p w:rsidR="0049318E" w:rsidRPr="007F6BFE" w:rsidP="007F6BFE" w14:paraId="306BD4F9" w14:textId="77777777">
            <w:pPr>
              <w:spacing w:after="58"/>
              <w:jc w:val="center"/>
              <w:rPr>
                <w:rFonts w:ascii="Times New Roman" w:hAnsi="Times New Roman"/>
                <w:szCs w:val="24"/>
              </w:rPr>
            </w:pPr>
            <w:r>
              <w:rPr>
                <w:rFonts w:ascii="Times New Roman" w:hAnsi="Times New Roman"/>
                <w:szCs w:val="24"/>
              </w:rPr>
              <w:t>400</w:t>
            </w:r>
          </w:p>
        </w:tc>
        <w:tc>
          <w:tcPr>
            <w:tcW w:w="1260" w:type="dxa"/>
            <w:tcBorders>
              <w:top w:val="double" w:sz="4" w:space="0" w:color="auto"/>
              <w:left w:val="single" w:sz="4" w:space="0" w:color="000000" w:themeColor="text1"/>
              <w:bottom w:val="single" w:sz="4" w:space="0" w:color="auto"/>
              <w:right w:val="single" w:sz="4" w:space="0" w:color="000000" w:themeColor="text1"/>
            </w:tcBorders>
          </w:tcPr>
          <w:p w:rsidR="0049318E" w:rsidRPr="007F6BFE" w:rsidP="007F6BFE" w14:paraId="33D62DB3" w14:textId="77777777">
            <w:pPr>
              <w:spacing w:after="58"/>
              <w:jc w:val="center"/>
              <w:rPr>
                <w:rFonts w:ascii="Times New Roman" w:hAnsi="Times New Roman"/>
                <w:szCs w:val="24"/>
              </w:rPr>
            </w:pPr>
          </w:p>
          <w:p w:rsidR="0049318E" w:rsidRPr="007F6BFE" w:rsidP="007F6BFE" w14:paraId="3AA3EC51" w14:textId="77777777">
            <w:pPr>
              <w:spacing w:after="58"/>
              <w:jc w:val="center"/>
              <w:rPr>
                <w:rFonts w:ascii="Times New Roman" w:hAnsi="Times New Roman"/>
                <w:szCs w:val="24"/>
              </w:rPr>
            </w:pPr>
            <w:r w:rsidRPr="007F6BFE">
              <w:rPr>
                <w:rFonts w:ascii="Times New Roman" w:hAnsi="Times New Roman"/>
                <w:szCs w:val="24"/>
              </w:rPr>
              <w:t>1</w:t>
            </w:r>
          </w:p>
        </w:tc>
        <w:tc>
          <w:tcPr>
            <w:tcW w:w="1530" w:type="dxa"/>
            <w:tcBorders>
              <w:top w:val="double" w:sz="4" w:space="0" w:color="auto"/>
              <w:left w:val="single" w:sz="4" w:space="0" w:color="000000" w:themeColor="text1"/>
              <w:bottom w:val="single" w:sz="4" w:space="0" w:color="auto"/>
              <w:right w:val="single" w:sz="4" w:space="0" w:color="000000" w:themeColor="text1"/>
            </w:tcBorders>
          </w:tcPr>
          <w:p w:rsidR="0049318E" w:rsidRPr="007F6BFE" w:rsidP="007F6BFE" w14:paraId="3DADB36C" w14:textId="77777777">
            <w:pPr>
              <w:spacing w:after="58"/>
              <w:jc w:val="center"/>
              <w:rPr>
                <w:rFonts w:ascii="Times New Roman" w:hAnsi="Times New Roman"/>
                <w:szCs w:val="24"/>
              </w:rPr>
            </w:pPr>
          </w:p>
          <w:p w:rsidR="0049318E" w:rsidRPr="007F6BFE" w:rsidP="007F6BFE" w14:paraId="4BC90176" w14:textId="77777777">
            <w:pPr>
              <w:spacing w:after="58"/>
              <w:jc w:val="center"/>
              <w:rPr>
                <w:rFonts w:ascii="Times New Roman" w:hAnsi="Times New Roman"/>
                <w:szCs w:val="24"/>
              </w:rPr>
            </w:pPr>
            <w:r>
              <w:rPr>
                <w:rFonts w:ascii="Times New Roman" w:hAnsi="Times New Roman"/>
                <w:szCs w:val="24"/>
              </w:rPr>
              <w:t>400</w:t>
            </w:r>
          </w:p>
        </w:tc>
      </w:tr>
      <w:tr w14:paraId="22B2639D" w14:textId="77777777" w:rsidTr="007F6BFE">
        <w:tblPrEx>
          <w:tblW w:w="0" w:type="auto"/>
          <w:tblLayout w:type="fixed"/>
          <w:tblCellMar>
            <w:left w:w="120" w:type="dxa"/>
            <w:right w:w="120" w:type="dxa"/>
          </w:tblCellMar>
          <w:tblLook w:val="0000"/>
        </w:tblPrEx>
        <w:tc>
          <w:tcPr>
            <w:tcW w:w="2965" w:type="dxa"/>
            <w:tcBorders>
              <w:left w:val="single" w:sz="4" w:space="0" w:color="000000" w:themeColor="text1"/>
              <w:bottom w:val="double" w:sz="4" w:space="0" w:color="auto"/>
              <w:right w:val="single" w:sz="4" w:space="0" w:color="000000" w:themeColor="text1"/>
            </w:tcBorders>
          </w:tcPr>
          <w:p w:rsidR="0049318E" w:rsidRPr="007F6BFE" w:rsidP="007F6BFE" w14:paraId="251A8A1D" w14:textId="77777777">
            <w:pPr>
              <w:spacing w:after="58"/>
              <w:rPr>
                <w:rFonts w:ascii="Times New Roman" w:hAnsi="Times New Roman"/>
                <w:i/>
                <w:szCs w:val="24"/>
              </w:rPr>
            </w:pPr>
            <w:r w:rsidRPr="007F6BFE">
              <w:rPr>
                <w:rFonts w:ascii="Times New Roman" w:hAnsi="Times New Roman"/>
                <w:szCs w:val="24"/>
              </w:rPr>
              <w:t xml:space="preserve">  Recommenders subtotal:</w:t>
            </w:r>
          </w:p>
        </w:tc>
        <w:tc>
          <w:tcPr>
            <w:tcW w:w="1295" w:type="dxa"/>
            <w:tcBorders>
              <w:top w:val="single" w:sz="4" w:space="0" w:color="auto"/>
              <w:left w:val="single" w:sz="4" w:space="0" w:color="000000" w:themeColor="text1"/>
              <w:bottom w:val="double" w:sz="4" w:space="0" w:color="auto"/>
              <w:right w:val="single" w:sz="4" w:space="0" w:color="000000" w:themeColor="text1"/>
            </w:tcBorders>
          </w:tcPr>
          <w:p w:rsidR="0049318E" w:rsidRPr="007F6BFE" w:rsidP="007F6BFE" w14:paraId="06314C96" w14:textId="77777777">
            <w:pPr>
              <w:spacing w:after="58"/>
              <w:jc w:val="center"/>
              <w:rPr>
                <w:rFonts w:ascii="Times New Roman" w:hAnsi="Times New Roman"/>
                <w:szCs w:val="24"/>
              </w:rPr>
            </w:pPr>
            <w:r>
              <w:rPr>
                <w:rFonts w:ascii="Times New Roman" w:hAnsi="Times New Roman"/>
                <w:szCs w:val="24"/>
              </w:rPr>
              <w:t>400</w:t>
            </w:r>
          </w:p>
        </w:tc>
        <w:tc>
          <w:tcPr>
            <w:tcW w:w="1530" w:type="dxa"/>
            <w:tcBorders>
              <w:top w:val="single" w:sz="4" w:space="0" w:color="auto"/>
              <w:left w:val="single" w:sz="4" w:space="0" w:color="000000" w:themeColor="text1"/>
              <w:bottom w:val="double" w:sz="4" w:space="0" w:color="auto"/>
              <w:right w:val="single" w:sz="4" w:space="0" w:color="000000" w:themeColor="text1"/>
            </w:tcBorders>
          </w:tcPr>
          <w:p w:rsidR="0049318E" w:rsidRPr="007F6BFE" w:rsidP="007F6BFE" w14:paraId="2C53C600" w14:textId="77777777">
            <w:pPr>
              <w:spacing w:after="58"/>
              <w:jc w:val="center"/>
              <w:rPr>
                <w:rFonts w:ascii="Times New Roman" w:hAnsi="Times New Roman"/>
                <w:szCs w:val="24"/>
              </w:rPr>
            </w:pPr>
            <w:r w:rsidRPr="007F6BFE">
              <w:rPr>
                <w:rFonts w:ascii="Times New Roman" w:hAnsi="Times New Roman"/>
                <w:szCs w:val="24"/>
              </w:rPr>
              <w:t>---</w:t>
            </w:r>
          </w:p>
        </w:tc>
        <w:tc>
          <w:tcPr>
            <w:tcW w:w="1260" w:type="dxa"/>
            <w:tcBorders>
              <w:top w:val="single" w:sz="4" w:space="0" w:color="auto"/>
              <w:left w:val="single" w:sz="4" w:space="0" w:color="000000" w:themeColor="text1"/>
              <w:bottom w:val="double" w:sz="4" w:space="0" w:color="auto"/>
              <w:right w:val="single" w:sz="4" w:space="0" w:color="000000" w:themeColor="text1"/>
            </w:tcBorders>
          </w:tcPr>
          <w:p w:rsidR="0049318E" w:rsidRPr="007F6BFE" w:rsidP="007F6BFE" w14:paraId="24DFA79F" w14:textId="77777777">
            <w:pPr>
              <w:spacing w:after="58"/>
              <w:jc w:val="center"/>
              <w:rPr>
                <w:rFonts w:ascii="Times New Roman" w:hAnsi="Times New Roman"/>
                <w:szCs w:val="24"/>
              </w:rPr>
            </w:pPr>
            <w:r>
              <w:rPr>
                <w:rFonts w:ascii="Times New Roman" w:hAnsi="Times New Roman"/>
                <w:szCs w:val="24"/>
              </w:rPr>
              <w:t>400</w:t>
            </w:r>
          </w:p>
        </w:tc>
        <w:tc>
          <w:tcPr>
            <w:tcW w:w="1260" w:type="dxa"/>
            <w:tcBorders>
              <w:top w:val="single" w:sz="4" w:space="0" w:color="auto"/>
              <w:left w:val="single" w:sz="4" w:space="0" w:color="000000" w:themeColor="text1"/>
              <w:bottom w:val="double" w:sz="4" w:space="0" w:color="auto"/>
              <w:right w:val="single" w:sz="4" w:space="0" w:color="000000" w:themeColor="text1"/>
            </w:tcBorders>
          </w:tcPr>
          <w:p w:rsidR="0049318E" w:rsidRPr="007F6BFE" w:rsidP="007F6BFE" w14:paraId="332E4C63" w14:textId="77777777">
            <w:pPr>
              <w:spacing w:after="58"/>
              <w:jc w:val="center"/>
              <w:rPr>
                <w:rFonts w:ascii="Times New Roman" w:hAnsi="Times New Roman"/>
                <w:szCs w:val="24"/>
              </w:rPr>
            </w:pPr>
            <w:r w:rsidRPr="007F6BFE">
              <w:rPr>
                <w:rFonts w:ascii="Times New Roman" w:hAnsi="Times New Roman"/>
                <w:szCs w:val="24"/>
              </w:rPr>
              <w:t>---</w:t>
            </w:r>
          </w:p>
        </w:tc>
        <w:tc>
          <w:tcPr>
            <w:tcW w:w="1530" w:type="dxa"/>
            <w:tcBorders>
              <w:top w:val="single" w:sz="4" w:space="0" w:color="auto"/>
              <w:left w:val="single" w:sz="4" w:space="0" w:color="000000" w:themeColor="text1"/>
              <w:bottom w:val="double" w:sz="4" w:space="0" w:color="auto"/>
              <w:right w:val="single" w:sz="4" w:space="0" w:color="000000" w:themeColor="text1"/>
            </w:tcBorders>
          </w:tcPr>
          <w:p w:rsidR="0049318E" w:rsidRPr="007F6BFE" w:rsidP="007F6BFE" w14:paraId="123552B3" w14:textId="77777777">
            <w:pPr>
              <w:spacing w:after="58"/>
              <w:jc w:val="center"/>
              <w:rPr>
                <w:rFonts w:ascii="Times New Roman" w:hAnsi="Times New Roman"/>
                <w:szCs w:val="24"/>
              </w:rPr>
            </w:pPr>
            <w:r>
              <w:rPr>
                <w:rFonts w:ascii="Times New Roman" w:hAnsi="Times New Roman"/>
                <w:szCs w:val="24"/>
              </w:rPr>
              <w:t>400</w:t>
            </w:r>
          </w:p>
        </w:tc>
      </w:tr>
      <w:tr w14:paraId="6AF84EAD" w14:textId="77777777" w:rsidTr="007F6BFE">
        <w:tblPrEx>
          <w:tblW w:w="0" w:type="auto"/>
          <w:tblLayout w:type="fixed"/>
          <w:tblCellMar>
            <w:left w:w="120" w:type="dxa"/>
            <w:right w:w="120" w:type="dxa"/>
          </w:tblCellMar>
          <w:tblLook w:val="0000"/>
        </w:tblPrEx>
        <w:tc>
          <w:tcPr>
            <w:tcW w:w="2965" w:type="dxa"/>
            <w:tcBorders>
              <w:top w:val="double" w:sz="4" w:space="0" w:color="auto"/>
              <w:left w:val="single" w:sz="4" w:space="0" w:color="000000" w:themeColor="text1"/>
              <w:right w:val="single" w:sz="4" w:space="0" w:color="000000" w:themeColor="text1"/>
            </w:tcBorders>
          </w:tcPr>
          <w:p w:rsidR="0049318E" w:rsidRPr="007F6BFE" w:rsidP="007F6BFE" w14:paraId="30A4358F" w14:textId="77777777">
            <w:pPr>
              <w:spacing w:after="58"/>
              <w:rPr>
                <w:rFonts w:ascii="Times New Roman" w:hAnsi="Times New Roman"/>
                <w:szCs w:val="24"/>
              </w:rPr>
            </w:pPr>
            <w:r>
              <w:rPr>
                <w:rFonts w:ascii="Times New Roman" w:hAnsi="Times New Roman"/>
                <w:i/>
                <w:szCs w:val="24"/>
              </w:rPr>
              <w:t>Active</w:t>
            </w:r>
            <w:r w:rsidRPr="007F6BFE">
              <w:rPr>
                <w:rFonts w:ascii="Times New Roman" w:hAnsi="Times New Roman"/>
                <w:i/>
                <w:szCs w:val="24"/>
              </w:rPr>
              <w:t xml:space="preserve"> Participants:</w:t>
            </w:r>
          </w:p>
        </w:tc>
        <w:tc>
          <w:tcPr>
            <w:tcW w:w="1295" w:type="dxa"/>
            <w:tcBorders>
              <w:top w:val="double" w:sz="4" w:space="0" w:color="auto"/>
              <w:left w:val="single" w:sz="4" w:space="0" w:color="000000" w:themeColor="text1"/>
              <w:right w:val="single" w:sz="4" w:space="0" w:color="000000" w:themeColor="text1"/>
            </w:tcBorders>
            <w:vAlign w:val="center"/>
          </w:tcPr>
          <w:p w:rsidR="0049318E" w:rsidRPr="007F6BFE" w:rsidP="007F6BFE" w14:paraId="26A77948" w14:textId="77777777">
            <w:pPr>
              <w:spacing w:after="58"/>
              <w:jc w:val="center"/>
              <w:rPr>
                <w:rFonts w:ascii="Times New Roman" w:hAnsi="Times New Roman"/>
                <w:szCs w:val="24"/>
              </w:rPr>
            </w:pPr>
          </w:p>
        </w:tc>
        <w:tc>
          <w:tcPr>
            <w:tcW w:w="1530" w:type="dxa"/>
            <w:tcBorders>
              <w:top w:val="double" w:sz="4" w:space="0" w:color="auto"/>
              <w:left w:val="single" w:sz="4" w:space="0" w:color="000000" w:themeColor="text1"/>
              <w:right w:val="single" w:sz="4" w:space="0" w:color="000000" w:themeColor="text1"/>
            </w:tcBorders>
            <w:vAlign w:val="center"/>
          </w:tcPr>
          <w:p w:rsidR="0049318E" w:rsidRPr="007F6BFE" w:rsidP="007F6BFE" w14:paraId="01E479D4" w14:textId="77777777">
            <w:pPr>
              <w:spacing w:after="58"/>
              <w:jc w:val="center"/>
              <w:rPr>
                <w:rFonts w:ascii="Times New Roman" w:hAnsi="Times New Roman"/>
                <w:szCs w:val="24"/>
              </w:rPr>
            </w:pPr>
          </w:p>
        </w:tc>
        <w:tc>
          <w:tcPr>
            <w:tcW w:w="1260" w:type="dxa"/>
            <w:tcBorders>
              <w:top w:val="double" w:sz="4" w:space="0" w:color="auto"/>
              <w:left w:val="single" w:sz="4" w:space="0" w:color="000000" w:themeColor="text1"/>
              <w:right w:val="single" w:sz="4" w:space="0" w:color="000000" w:themeColor="text1"/>
            </w:tcBorders>
            <w:vAlign w:val="center"/>
          </w:tcPr>
          <w:p w:rsidR="0049318E" w:rsidRPr="007F6BFE" w:rsidP="007F6BFE" w14:paraId="3522761C" w14:textId="77777777">
            <w:pPr>
              <w:spacing w:after="58"/>
              <w:jc w:val="center"/>
              <w:rPr>
                <w:rFonts w:ascii="Times New Roman" w:hAnsi="Times New Roman"/>
                <w:szCs w:val="24"/>
              </w:rPr>
            </w:pPr>
          </w:p>
        </w:tc>
        <w:tc>
          <w:tcPr>
            <w:tcW w:w="1260" w:type="dxa"/>
            <w:tcBorders>
              <w:top w:val="double" w:sz="4" w:space="0" w:color="auto"/>
              <w:left w:val="single" w:sz="4" w:space="0" w:color="000000" w:themeColor="text1"/>
              <w:right w:val="single" w:sz="4" w:space="0" w:color="000000" w:themeColor="text1"/>
            </w:tcBorders>
            <w:vAlign w:val="center"/>
          </w:tcPr>
          <w:p w:rsidR="0049318E" w:rsidRPr="007F6BFE" w:rsidP="007F6BFE" w14:paraId="0619DD94" w14:textId="77777777">
            <w:pPr>
              <w:spacing w:after="58"/>
              <w:jc w:val="center"/>
              <w:rPr>
                <w:rFonts w:ascii="Times New Roman" w:hAnsi="Times New Roman"/>
                <w:szCs w:val="24"/>
              </w:rPr>
            </w:pPr>
          </w:p>
        </w:tc>
        <w:tc>
          <w:tcPr>
            <w:tcW w:w="1530" w:type="dxa"/>
            <w:tcBorders>
              <w:top w:val="double" w:sz="4" w:space="0" w:color="auto"/>
              <w:left w:val="single" w:sz="4" w:space="0" w:color="000000" w:themeColor="text1"/>
              <w:right w:val="single" w:sz="4" w:space="0" w:color="000000" w:themeColor="text1"/>
            </w:tcBorders>
            <w:vAlign w:val="center"/>
          </w:tcPr>
          <w:p w:rsidR="0049318E" w:rsidRPr="007F6BFE" w:rsidP="007F6BFE" w14:paraId="2956333C" w14:textId="77777777">
            <w:pPr>
              <w:spacing w:after="58"/>
              <w:jc w:val="center"/>
              <w:rPr>
                <w:rFonts w:ascii="Times New Roman" w:hAnsi="Times New Roman"/>
                <w:szCs w:val="24"/>
              </w:rPr>
            </w:pPr>
          </w:p>
        </w:tc>
      </w:tr>
      <w:tr w14:paraId="065FA011" w14:textId="77777777" w:rsidTr="007F6BFE">
        <w:tblPrEx>
          <w:tblW w:w="0" w:type="auto"/>
          <w:tblLayout w:type="fixed"/>
          <w:tblCellMar>
            <w:left w:w="120" w:type="dxa"/>
            <w:right w:w="120" w:type="dxa"/>
          </w:tblCellMar>
          <w:tblLook w:val="0000"/>
        </w:tblPrEx>
        <w:tc>
          <w:tcPr>
            <w:tcW w:w="2965" w:type="dxa"/>
            <w:tcBorders>
              <w:left w:val="single" w:sz="4" w:space="0" w:color="000000" w:themeColor="text1"/>
              <w:right w:val="single" w:sz="4" w:space="0" w:color="000000" w:themeColor="text1"/>
            </w:tcBorders>
          </w:tcPr>
          <w:p w:rsidR="0049318E" w:rsidRPr="007F6BFE" w:rsidP="007F6BFE" w14:paraId="52EF206F" w14:textId="77777777">
            <w:pPr>
              <w:spacing w:after="58"/>
              <w:rPr>
                <w:rFonts w:ascii="Times New Roman" w:hAnsi="Times New Roman"/>
                <w:szCs w:val="24"/>
              </w:rPr>
            </w:pPr>
            <w:r w:rsidRPr="007F6BFE">
              <w:rPr>
                <w:rFonts w:ascii="Times New Roman" w:hAnsi="Times New Roman"/>
                <w:szCs w:val="24"/>
              </w:rPr>
              <w:t>Service Verification</w:t>
            </w:r>
          </w:p>
        </w:tc>
        <w:tc>
          <w:tcPr>
            <w:tcW w:w="1295" w:type="dxa"/>
            <w:tcBorders>
              <w:left w:val="single" w:sz="4" w:space="0" w:color="000000" w:themeColor="text1"/>
              <w:right w:val="single" w:sz="4" w:space="0" w:color="000000" w:themeColor="text1"/>
            </w:tcBorders>
            <w:vAlign w:val="center"/>
          </w:tcPr>
          <w:p w:rsidR="0049318E" w:rsidRPr="007F6BFE" w:rsidP="007F6BFE" w14:paraId="3ABC1738" w14:textId="77777777">
            <w:pPr>
              <w:spacing w:after="58"/>
              <w:jc w:val="center"/>
              <w:rPr>
                <w:rFonts w:ascii="Times New Roman" w:hAnsi="Times New Roman"/>
                <w:szCs w:val="24"/>
              </w:rPr>
            </w:pPr>
            <w:r w:rsidRPr="007F6BFE">
              <w:rPr>
                <w:rFonts w:ascii="Times New Roman" w:hAnsi="Times New Roman"/>
                <w:szCs w:val="24"/>
              </w:rPr>
              <w:t>220</w:t>
            </w:r>
          </w:p>
        </w:tc>
        <w:tc>
          <w:tcPr>
            <w:tcW w:w="1530" w:type="dxa"/>
            <w:tcBorders>
              <w:left w:val="single" w:sz="4" w:space="0" w:color="000000" w:themeColor="text1"/>
              <w:right w:val="single" w:sz="4" w:space="0" w:color="000000" w:themeColor="text1"/>
            </w:tcBorders>
            <w:vAlign w:val="center"/>
          </w:tcPr>
          <w:p w:rsidR="0049318E" w:rsidRPr="007F6BFE" w:rsidP="007F6BFE" w14:paraId="5CD39177" w14:textId="77777777">
            <w:pPr>
              <w:spacing w:after="58"/>
              <w:jc w:val="center"/>
              <w:rPr>
                <w:rFonts w:ascii="Times New Roman" w:hAnsi="Times New Roman"/>
                <w:szCs w:val="24"/>
              </w:rPr>
            </w:pPr>
            <w:r w:rsidRPr="007F6BFE">
              <w:rPr>
                <w:rFonts w:ascii="Times New Roman" w:hAnsi="Times New Roman"/>
                <w:szCs w:val="24"/>
              </w:rPr>
              <w:t>4</w:t>
            </w:r>
          </w:p>
        </w:tc>
        <w:tc>
          <w:tcPr>
            <w:tcW w:w="1260" w:type="dxa"/>
            <w:tcBorders>
              <w:left w:val="single" w:sz="4" w:space="0" w:color="000000" w:themeColor="text1"/>
              <w:right w:val="single" w:sz="4" w:space="0" w:color="000000" w:themeColor="text1"/>
            </w:tcBorders>
            <w:vAlign w:val="center"/>
          </w:tcPr>
          <w:p w:rsidR="0049318E" w:rsidRPr="007F6BFE" w:rsidP="007F6BFE" w14:paraId="3B805F11" w14:textId="77777777">
            <w:pPr>
              <w:spacing w:after="58"/>
              <w:jc w:val="center"/>
              <w:rPr>
                <w:rFonts w:ascii="Times New Roman" w:hAnsi="Times New Roman"/>
                <w:szCs w:val="24"/>
              </w:rPr>
            </w:pPr>
            <w:r w:rsidRPr="007F6BFE">
              <w:rPr>
                <w:rFonts w:ascii="Times New Roman" w:hAnsi="Times New Roman"/>
                <w:szCs w:val="24"/>
              </w:rPr>
              <w:t>880</w:t>
            </w:r>
          </w:p>
        </w:tc>
        <w:tc>
          <w:tcPr>
            <w:tcW w:w="1260" w:type="dxa"/>
            <w:tcBorders>
              <w:left w:val="single" w:sz="4" w:space="0" w:color="000000" w:themeColor="text1"/>
              <w:right w:val="single" w:sz="4" w:space="0" w:color="000000" w:themeColor="text1"/>
            </w:tcBorders>
            <w:vAlign w:val="center"/>
          </w:tcPr>
          <w:p w:rsidR="0049318E" w:rsidRPr="007F6BFE" w:rsidP="007F6BFE" w14:paraId="46CBEB0A" w14:textId="77777777">
            <w:pPr>
              <w:spacing w:after="58"/>
              <w:jc w:val="center"/>
              <w:rPr>
                <w:rFonts w:ascii="Times New Roman" w:hAnsi="Times New Roman"/>
                <w:szCs w:val="24"/>
              </w:rPr>
            </w:pPr>
            <w:r w:rsidRPr="007F6BFE">
              <w:rPr>
                <w:rFonts w:ascii="Times New Roman" w:hAnsi="Times New Roman"/>
                <w:szCs w:val="24"/>
              </w:rPr>
              <w:t>.25</w:t>
            </w:r>
          </w:p>
        </w:tc>
        <w:tc>
          <w:tcPr>
            <w:tcW w:w="1530" w:type="dxa"/>
            <w:tcBorders>
              <w:left w:val="single" w:sz="4" w:space="0" w:color="000000" w:themeColor="text1"/>
              <w:right w:val="single" w:sz="4" w:space="0" w:color="000000" w:themeColor="text1"/>
            </w:tcBorders>
            <w:vAlign w:val="center"/>
          </w:tcPr>
          <w:p w:rsidR="0049318E" w:rsidRPr="007F6BFE" w:rsidP="007F6BFE" w14:paraId="1804ACA3" w14:textId="77777777">
            <w:pPr>
              <w:spacing w:after="58"/>
              <w:jc w:val="center"/>
              <w:rPr>
                <w:rFonts w:ascii="Times New Roman" w:hAnsi="Times New Roman"/>
                <w:szCs w:val="24"/>
              </w:rPr>
            </w:pPr>
            <w:r w:rsidRPr="007F6BFE">
              <w:rPr>
                <w:rFonts w:ascii="Times New Roman" w:hAnsi="Times New Roman"/>
                <w:szCs w:val="24"/>
              </w:rPr>
              <w:t>220</w:t>
            </w:r>
          </w:p>
        </w:tc>
      </w:tr>
      <w:tr w14:paraId="4466EC56" w14:textId="77777777" w:rsidTr="007F6BFE">
        <w:tblPrEx>
          <w:tblW w:w="0" w:type="auto"/>
          <w:tblLayout w:type="fixed"/>
          <w:tblCellMar>
            <w:left w:w="120" w:type="dxa"/>
            <w:right w:w="120" w:type="dxa"/>
          </w:tblCellMar>
          <w:tblLook w:val="0000"/>
        </w:tblPrEx>
        <w:tc>
          <w:tcPr>
            <w:tcW w:w="2965" w:type="dxa"/>
            <w:tcBorders>
              <w:left w:val="single" w:sz="4" w:space="0" w:color="000000" w:themeColor="text1"/>
              <w:right w:val="single" w:sz="4" w:space="0" w:color="000000" w:themeColor="text1"/>
            </w:tcBorders>
          </w:tcPr>
          <w:p w:rsidR="0049318E" w:rsidRPr="007F6BFE" w:rsidP="007F6BFE" w14:paraId="1D8C5E28" w14:textId="77777777">
            <w:pPr>
              <w:spacing w:after="58"/>
              <w:rPr>
                <w:rFonts w:ascii="Times New Roman" w:hAnsi="Times New Roman"/>
                <w:szCs w:val="24"/>
              </w:rPr>
            </w:pPr>
            <w:r w:rsidRPr="007F6BFE">
              <w:rPr>
                <w:rFonts w:ascii="Times New Roman" w:hAnsi="Times New Roman"/>
                <w:szCs w:val="24"/>
              </w:rPr>
              <w:t>A</w:t>
            </w:r>
            <w:r w:rsidRPr="1DD2BEBF">
              <w:rPr>
                <w:rFonts w:ascii="Times New Roman" w:hAnsi="Times New Roman"/>
                <w:szCs w:val="24"/>
              </w:rPr>
              <w:t>nnual Progress Report</w:t>
            </w:r>
            <w:r w:rsidRPr="007F6BFE">
              <w:rPr>
                <w:rFonts w:ascii="Times New Roman" w:hAnsi="Times New Roman"/>
                <w:szCs w:val="24"/>
              </w:rPr>
              <w:t xml:space="preserve"> </w:t>
            </w:r>
          </w:p>
        </w:tc>
        <w:tc>
          <w:tcPr>
            <w:tcW w:w="1295" w:type="dxa"/>
            <w:tcBorders>
              <w:left w:val="single" w:sz="4" w:space="0" w:color="000000" w:themeColor="text1"/>
              <w:right w:val="single" w:sz="4" w:space="0" w:color="000000" w:themeColor="text1"/>
            </w:tcBorders>
            <w:vAlign w:val="center"/>
          </w:tcPr>
          <w:p w:rsidR="0049318E" w:rsidRPr="007F6BFE" w:rsidP="007F6BFE" w14:paraId="2D04DDEE" w14:textId="77777777">
            <w:pPr>
              <w:spacing w:after="58"/>
              <w:jc w:val="center"/>
              <w:rPr>
                <w:rFonts w:ascii="Times New Roman" w:hAnsi="Times New Roman"/>
                <w:szCs w:val="24"/>
              </w:rPr>
            </w:pPr>
            <w:r>
              <w:rPr>
                <w:rFonts w:ascii="Times New Roman" w:hAnsi="Times New Roman"/>
                <w:szCs w:val="24"/>
              </w:rPr>
              <w:t>220</w:t>
            </w:r>
          </w:p>
        </w:tc>
        <w:tc>
          <w:tcPr>
            <w:tcW w:w="1530" w:type="dxa"/>
            <w:tcBorders>
              <w:left w:val="single" w:sz="4" w:space="0" w:color="000000" w:themeColor="text1"/>
              <w:right w:val="single" w:sz="4" w:space="0" w:color="000000" w:themeColor="text1"/>
            </w:tcBorders>
            <w:vAlign w:val="center"/>
          </w:tcPr>
          <w:p w:rsidR="0049318E" w:rsidRPr="007F6BFE" w:rsidP="007F6BFE" w14:paraId="2EC2AC2F" w14:textId="77777777">
            <w:pPr>
              <w:spacing w:after="58"/>
              <w:jc w:val="center"/>
              <w:rPr>
                <w:rFonts w:ascii="Times New Roman" w:hAnsi="Times New Roman"/>
                <w:szCs w:val="24"/>
              </w:rPr>
            </w:pPr>
            <w:r w:rsidRPr="007F6BFE">
              <w:rPr>
                <w:rFonts w:ascii="Times New Roman" w:hAnsi="Times New Roman"/>
                <w:szCs w:val="24"/>
              </w:rPr>
              <w:t>1</w:t>
            </w:r>
          </w:p>
        </w:tc>
        <w:tc>
          <w:tcPr>
            <w:tcW w:w="1260" w:type="dxa"/>
            <w:tcBorders>
              <w:left w:val="single" w:sz="4" w:space="0" w:color="000000" w:themeColor="text1"/>
              <w:right w:val="single" w:sz="4" w:space="0" w:color="000000" w:themeColor="text1"/>
            </w:tcBorders>
            <w:vAlign w:val="center"/>
          </w:tcPr>
          <w:p w:rsidR="0049318E" w:rsidRPr="007F6BFE" w:rsidP="007F6BFE" w14:paraId="7D544DCE" w14:textId="77777777">
            <w:pPr>
              <w:spacing w:after="58"/>
              <w:jc w:val="center"/>
              <w:rPr>
                <w:rFonts w:ascii="Times New Roman" w:hAnsi="Times New Roman"/>
                <w:szCs w:val="24"/>
              </w:rPr>
            </w:pPr>
            <w:r>
              <w:rPr>
                <w:rFonts w:ascii="Times New Roman" w:hAnsi="Times New Roman"/>
                <w:szCs w:val="24"/>
              </w:rPr>
              <w:t>220</w:t>
            </w:r>
          </w:p>
        </w:tc>
        <w:tc>
          <w:tcPr>
            <w:tcW w:w="1260" w:type="dxa"/>
            <w:tcBorders>
              <w:left w:val="single" w:sz="4" w:space="0" w:color="000000" w:themeColor="text1"/>
              <w:right w:val="single" w:sz="4" w:space="0" w:color="000000" w:themeColor="text1"/>
            </w:tcBorders>
            <w:vAlign w:val="center"/>
          </w:tcPr>
          <w:p w:rsidR="0049318E" w:rsidRPr="007F6BFE" w:rsidP="007F6BFE" w14:paraId="2639C3A9" w14:textId="77777777">
            <w:pPr>
              <w:spacing w:after="58"/>
              <w:jc w:val="center"/>
              <w:rPr>
                <w:rFonts w:ascii="Times New Roman" w:hAnsi="Times New Roman"/>
                <w:szCs w:val="24"/>
              </w:rPr>
            </w:pPr>
            <w:r>
              <w:rPr>
                <w:rFonts w:ascii="Times New Roman" w:hAnsi="Times New Roman"/>
                <w:szCs w:val="24"/>
              </w:rPr>
              <w:t>1</w:t>
            </w:r>
          </w:p>
        </w:tc>
        <w:tc>
          <w:tcPr>
            <w:tcW w:w="1530" w:type="dxa"/>
            <w:tcBorders>
              <w:left w:val="single" w:sz="4" w:space="0" w:color="000000" w:themeColor="text1"/>
              <w:right w:val="single" w:sz="4" w:space="0" w:color="000000" w:themeColor="text1"/>
            </w:tcBorders>
            <w:vAlign w:val="center"/>
          </w:tcPr>
          <w:p w:rsidR="0049318E" w:rsidRPr="007F6BFE" w:rsidP="007F6BFE" w14:paraId="1113EC8F" w14:textId="77777777">
            <w:pPr>
              <w:spacing w:after="58"/>
              <w:jc w:val="center"/>
              <w:rPr>
                <w:rFonts w:ascii="Times New Roman" w:hAnsi="Times New Roman"/>
                <w:szCs w:val="24"/>
              </w:rPr>
            </w:pPr>
            <w:r>
              <w:rPr>
                <w:rFonts w:ascii="Times New Roman" w:hAnsi="Times New Roman"/>
                <w:szCs w:val="24"/>
              </w:rPr>
              <w:t>220</w:t>
            </w:r>
          </w:p>
        </w:tc>
      </w:tr>
      <w:tr w14:paraId="3964660C" w14:textId="77777777" w:rsidTr="007F6BFE">
        <w:tblPrEx>
          <w:tblW w:w="0" w:type="auto"/>
          <w:tblLayout w:type="fixed"/>
          <w:tblCellMar>
            <w:left w:w="120" w:type="dxa"/>
            <w:right w:w="120" w:type="dxa"/>
          </w:tblCellMar>
          <w:tblLook w:val="0000"/>
        </w:tblPrEx>
        <w:tc>
          <w:tcPr>
            <w:tcW w:w="2965" w:type="dxa"/>
            <w:tcBorders>
              <w:left w:val="single" w:sz="4" w:space="0" w:color="000000" w:themeColor="text1"/>
              <w:bottom w:val="single" w:sz="4" w:space="0" w:color="auto"/>
              <w:right w:val="single" w:sz="4" w:space="0" w:color="000000" w:themeColor="text1"/>
            </w:tcBorders>
          </w:tcPr>
          <w:p w:rsidR="0049318E" w:rsidRPr="007F6BFE" w:rsidP="007F6BFE" w14:paraId="3B857689" w14:textId="77777777">
            <w:pPr>
              <w:spacing w:after="58"/>
              <w:rPr>
                <w:rFonts w:ascii="Times New Roman" w:hAnsi="Times New Roman"/>
                <w:szCs w:val="24"/>
                <w:vertAlign w:val="superscript"/>
              </w:rPr>
            </w:pPr>
            <w:r>
              <w:rPr>
                <w:rFonts w:ascii="Times New Roman" w:hAnsi="Times New Roman"/>
                <w:szCs w:val="24"/>
              </w:rPr>
              <w:t>Final Progress Report</w:t>
            </w:r>
          </w:p>
        </w:tc>
        <w:tc>
          <w:tcPr>
            <w:tcW w:w="1295" w:type="dxa"/>
            <w:tcBorders>
              <w:left w:val="single" w:sz="4" w:space="0" w:color="000000" w:themeColor="text1"/>
              <w:bottom w:val="single" w:sz="4" w:space="0" w:color="auto"/>
              <w:right w:val="single" w:sz="4" w:space="0" w:color="000000" w:themeColor="text1"/>
            </w:tcBorders>
            <w:vAlign w:val="center"/>
          </w:tcPr>
          <w:p w:rsidR="0049318E" w:rsidRPr="007F6BFE" w:rsidP="007F6BFE" w14:paraId="0A2130B4" w14:textId="77777777">
            <w:pPr>
              <w:spacing w:after="58"/>
              <w:jc w:val="center"/>
              <w:rPr>
                <w:rFonts w:ascii="Times New Roman" w:hAnsi="Times New Roman"/>
                <w:szCs w:val="24"/>
                <w:vertAlign w:val="superscript"/>
              </w:rPr>
            </w:pPr>
            <w:r>
              <w:rPr>
                <w:rFonts w:ascii="Times New Roman" w:hAnsi="Times New Roman"/>
                <w:szCs w:val="24"/>
              </w:rPr>
              <w:t>220</w:t>
            </w:r>
          </w:p>
        </w:tc>
        <w:tc>
          <w:tcPr>
            <w:tcW w:w="1530" w:type="dxa"/>
            <w:tcBorders>
              <w:left w:val="single" w:sz="4" w:space="0" w:color="000000" w:themeColor="text1"/>
              <w:bottom w:val="single" w:sz="4" w:space="0" w:color="auto"/>
              <w:right w:val="single" w:sz="4" w:space="0" w:color="000000" w:themeColor="text1"/>
            </w:tcBorders>
            <w:vAlign w:val="center"/>
          </w:tcPr>
          <w:p w:rsidR="0049318E" w:rsidRPr="007F6BFE" w:rsidP="007F6BFE" w14:paraId="36560F15" w14:textId="77777777">
            <w:pPr>
              <w:spacing w:after="58"/>
              <w:jc w:val="center"/>
              <w:rPr>
                <w:rFonts w:ascii="Times New Roman" w:hAnsi="Times New Roman"/>
                <w:szCs w:val="24"/>
              </w:rPr>
            </w:pPr>
            <w:r w:rsidRPr="007F6BFE">
              <w:rPr>
                <w:rFonts w:ascii="Times New Roman" w:hAnsi="Times New Roman"/>
                <w:szCs w:val="24"/>
              </w:rPr>
              <w:t>1</w:t>
            </w:r>
          </w:p>
        </w:tc>
        <w:tc>
          <w:tcPr>
            <w:tcW w:w="1260" w:type="dxa"/>
            <w:tcBorders>
              <w:left w:val="single" w:sz="4" w:space="0" w:color="000000" w:themeColor="text1"/>
              <w:bottom w:val="single" w:sz="4" w:space="0" w:color="auto"/>
              <w:right w:val="single" w:sz="4" w:space="0" w:color="000000" w:themeColor="text1"/>
            </w:tcBorders>
            <w:vAlign w:val="center"/>
          </w:tcPr>
          <w:p w:rsidR="0049318E" w:rsidRPr="007F6BFE" w:rsidP="007F6BFE" w14:paraId="1E8D5A1E" w14:textId="77777777">
            <w:pPr>
              <w:spacing w:after="58"/>
              <w:jc w:val="center"/>
              <w:rPr>
                <w:rFonts w:ascii="Times New Roman" w:hAnsi="Times New Roman"/>
                <w:szCs w:val="24"/>
              </w:rPr>
            </w:pPr>
            <w:r>
              <w:rPr>
                <w:rFonts w:ascii="Times New Roman" w:hAnsi="Times New Roman"/>
                <w:szCs w:val="24"/>
              </w:rPr>
              <w:t>220</w:t>
            </w:r>
          </w:p>
        </w:tc>
        <w:tc>
          <w:tcPr>
            <w:tcW w:w="1260" w:type="dxa"/>
            <w:tcBorders>
              <w:left w:val="single" w:sz="4" w:space="0" w:color="000000" w:themeColor="text1"/>
              <w:bottom w:val="single" w:sz="4" w:space="0" w:color="auto"/>
              <w:right w:val="single" w:sz="4" w:space="0" w:color="000000" w:themeColor="text1"/>
            </w:tcBorders>
            <w:vAlign w:val="center"/>
          </w:tcPr>
          <w:p w:rsidR="0049318E" w:rsidRPr="007F6BFE" w:rsidP="007F6BFE" w14:paraId="2FC7014C" w14:textId="77777777">
            <w:pPr>
              <w:spacing w:after="58"/>
              <w:jc w:val="center"/>
              <w:rPr>
                <w:rFonts w:ascii="Times New Roman" w:hAnsi="Times New Roman"/>
                <w:szCs w:val="24"/>
              </w:rPr>
            </w:pPr>
            <w:r>
              <w:rPr>
                <w:rFonts w:ascii="Times New Roman" w:hAnsi="Times New Roman"/>
                <w:szCs w:val="24"/>
              </w:rPr>
              <w:t>1</w:t>
            </w:r>
          </w:p>
        </w:tc>
        <w:tc>
          <w:tcPr>
            <w:tcW w:w="1530" w:type="dxa"/>
            <w:tcBorders>
              <w:left w:val="single" w:sz="4" w:space="0" w:color="000000" w:themeColor="text1"/>
              <w:bottom w:val="single" w:sz="4" w:space="0" w:color="auto"/>
              <w:right w:val="single" w:sz="4" w:space="0" w:color="000000" w:themeColor="text1"/>
            </w:tcBorders>
            <w:vAlign w:val="center"/>
          </w:tcPr>
          <w:p w:rsidR="0049318E" w:rsidRPr="007F6BFE" w:rsidP="007F6BFE" w14:paraId="008996A2" w14:textId="77777777">
            <w:pPr>
              <w:spacing w:after="58"/>
              <w:jc w:val="center"/>
              <w:rPr>
                <w:rFonts w:ascii="Times New Roman" w:hAnsi="Times New Roman"/>
                <w:szCs w:val="24"/>
              </w:rPr>
            </w:pPr>
            <w:r>
              <w:rPr>
                <w:rFonts w:ascii="Times New Roman" w:hAnsi="Times New Roman"/>
                <w:szCs w:val="24"/>
              </w:rPr>
              <w:t>220</w:t>
            </w:r>
          </w:p>
        </w:tc>
      </w:tr>
      <w:tr w14:paraId="687D23BE" w14:textId="77777777" w:rsidTr="007F6BFE">
        <w:tblPrEx>
          <w:tblW w:w="0" w:type="auto"/>
          <w:tblLayout w:type="fixed"/>
          <w:tblCellMar>
            <w:left w:w="120" w:type="dxa"/>
            <w:right w:w="120" w:type="dxa"/>
          </w:tblCellMar>
          <w:tblLook w:val="0000"/>
        </w:tblPrEx>
        <w:tc>
          <w:tcPr>
            <w:tcW w:w="2965" w:type="dxa"/>
            <w:tcBorders>
              <w:top w:val="single" w:sz="4" w:space="0" w:color="auto"/>
              <w:left w:val="single" w:sz="4" w:space="0" w:color="000000" w:themeColor="text1"/>
              <w:right w:val="single" w:sz="4" w:space="0" w:color="000000" w:themeColor="text1"/>
            </w:tcBorders>
          </w:tcPr>
          <w:p w:rsidR="0049318E" w:rsidRPr="007F6BFE" w:rsidP="007F6BFE" w14:paraId="5BAB9FBE" w14:textId="7A1881D5">
            <w:pPr>
              <w:spacing w:after="58"/>
              <w:rPr>
                <w:rFonts w:ascii="Times New Roman" w:hAnsi="Times New Roman"/>
                <w:szCs w:val="24"/>
              </w:rPr>
            </w:pPr>
            <w:r w:rsidRPr="007F6BFE">
              <w:rPr>
                <w:rFonts w:ascii="Times New Roman" w:hAnsi="Times New Roman"/>
                <w:szCs w:val="24"/>
              </w:rPr>
              <w:t xml:space="preserve"> </w:t>
            </w:r>
            <w:r>
              <w:rPr>
                <w:rFonts w:ascii="Times New Roman" w:hAnsi="Times New Roman"/>
                <w:szCs w:val="24"/>
              </w:rPr>
              <w:t>Active</w:t>
            </w:r>
            <w:r w:rsidRPr="007F6BFE">
              <w:rPr>
                <w:rFonts w:ascii="Times New Roman" w:hAnsi="Times New Roman"/>
                <w:szCs w:val="24"/>
              </w:rPr>
              <w:t xml:space="preserve"> Participant subtotal:</w:t>
            </w:r>
          </w:p>
        </w:tc>
        <w:tc>
          <w:tcPr>
            <w:tcW w:w="1295" w:type="dxa"/>
            <w:tcBorders>
              <w:top w:val="single" w:sz="4" w:space="0" w:color="auto"/>
              <w:left w:val="single" w:sz="4" w:space="0" w:color="000000" w:themeColor="text1"/>
              <w:bottom w:val="double" w:sz="4" w:space="0" w:color="auto"/>
              <w:right w:val="single" w:sz="4" w:space="0" w:color="000000" w:themeColor="text1"/>
            </w:tcBorders>
          </w:tcPr>
          <w:p w:rsidR="0049318E" w:rsidRPr="007F6BFE" w:rsidP="007F6BFE" w14:paraId="621C28F8" w14:textId="77777777">
            <w:pPr>
              <w:spacing w:after="58"/>
              <w:jc w:val="center"/>
              <w:rPr>
                <w:rFonts w:ascii="Times New Roman" w:hAnsi="Times New Roman"/>
                <w:szCs w:val="24"/>
              </w:rPr>
            </w:pPr>
            <w:r w:rsidRPr="007F6BFE">
              <w:rPr>
                <w:rFonts w:ascii="Times New Roman" w:hAnsi="Times New Roman"/>
                <w:szCs w:val="24"/>
              </w:rPr>
              <w:t>220</w:t>
            </w:r>
          </w:p>
        </w:tc>
        <w:tc>
          <w:tcPr>
            <w:tcW w:w="1530" w:type="dxa"/>
            <w:tcBorders>
              <w:top w:val="single" w:sz="4" w:space="0" w:color="auto"/>
              <w:left w:val="single" w:sz="4" w:space="0" w:color="000000" w:themeColor="text1"/>
              <w:bottom w:val="double" w:sz="4" w:space="0" w:color="auto"/>
              <w:right w:val="single" w:sz="4" w:space="0" w:color="000000" w:themeColor="text1"/>
            </w:tcBorders>
          </w:tcPr>
          <w:p w:rsidR="0049318E" w:rsidRPr="007F6BFE" w:rsidP="007F6BFE" w14:paraId="6D5C8FFA" w14:textId="77777777">
            <w:pPr>
              <w:spacing w:after="58"/>
              <w:jc w:val="center"/>
              <w:rPr>
                <w:rFonts w:ascii="Times New Roman" w:hAnsi="Times New Roman"/>
                <w:szCs w:val="24"/>
              </w:rPr>
            </w:pPr>
            <w:r w:rsidRPr="007F6BFE">
              <w:rPr>
                <w:rFonts w:ascii="Times New Roman" w:hAnsi="Times New Roman"/>
                <w:szCs w:val="24"/>
              </w:rPr>
              <w:t>---</w:t>
            </w:r>
          </w:p>
        </w:tc>
        <w:tc>
          <w:tcPr>
            <w:tcW w:w="1260" w:type="dxa"/>
            <w:tcBorders>
              <w:top w:val="single" w:sz="4" w:space="0" w:color="auto"/>
              <w:left w:val="single" w:sz="4" w:space="0" w:color="000000" w:themeColor="text1"/>
              <w:bottom w:val="double" w:sz="4" w:space="0" w:color="auto"/>
              <w:right w:val="single" w:sz="4" w:space="0" w:color="000000" w:themeColor="text1"/>
            </w:tcBorders>
          </w:tcPr>
          <w:p w:rsidR="0049318E" w:rsidRPr="007F6BFE" w:rsidP="007F6BFE" w14:paraId="130C5A84" w14:textId="77777777">
            <w:pPr>
              <w:spacing w:after="58"/>
              <w:jc w:val="center"/>
              <w:rPr>
                <w:rFonts w:ascii="Times New Roman" w:hAnsi="Times New Roman"/>
                <w:szCs w:val="24"/>
              </w:rPr>
            </w:pPr>
            <w:r>
              <w:rPr>
                <w:rFonts w:ascii="Times New Roman" w:hAnsi="Times New Roman"/>
                <w:szCs w:val="24"/>
              </w:rPr>
              <w:t>1,320</w:t>
            </w:r>
          </w:p>
        </w:tc>
        <w:tc>
          <w:tcPr>
            <w:tcW w:w="1260" w:type="dxa"/>
            <w:tcBorders>
              <w:top w:val="single" w:sz="4" w:space="0" w:color="auto"/>
              <w:left w:val="single" w:sz="4" w:space="0" w:color="000000" w:themeColor="text1"/>
              <w:bottom w:val="double" w:sz="4" w:space="0" w:color="auto"/>
              <w:right w:val="single" w:sz="4" w:space="0" w:color="000000" w:themeColor="text1"/>
            </w:tcBorders>
          </w:tcPr>
          <w:p w:rsidR="0049318E" w:rsidRPr="007F6BFE" w:rsidP="007F6BFE" w14:paraId="5BF9349F" w14:textId="77777777">
            <w:pPr>
              <w:spacing w:after="58"/>
              <w:jc w:val="center"/>
              <w:rPr>
                <w:rFonts w:ascii="Times New Roman" w:hAnsi="Times New Roman"/>
                <w:szCs w:val="24"/>
              </w:rPr>
            </w:pPr>
            <w:r w:rsidRPr="007F6BFE">
              <w:rPr>
                <w:rFonts w:ascii="Times New Roman" w:hAnsi="Times New Roman"/>
                <w:szCs w:val="24"/>
              </w:rPr>
              <w:t>---</w:t>
            </w:r>
          </w:p>
        </w:tc>
        <w:tc>
          <w:tcPr>
            <w:tcW w:w="1530" w:type="dxa"/>
            <w:tcBorders>
              <w:top w:val="single" w:sz="4" w:space="0" w:color="auto"/>
              <w:left w:val="single" w:sz="4" w:space="0" w:color="000000" w:themeColor="text1"/>
              <w:bottom w:val="double" w:sz="4" w:space="0" w:color="auto"/>
              <w:right w:val="single" w:sz="4" w:space="0" w:color="000000" w:themeColor="text1"/>
            </w:tcBorders>
            <w:vAlign w:val="center"/>
          </w:tcPr>
          <w:p w:rsidR="0049318E" w:rsidRPr="007F6BFE" w:rsidP="007F6BFE" w14:paraId="02649A39" w14:textId="77777777">
            <w:pPr>
              <w:jc w:val="center"/>
              <w:rPr>
                <w:rFonts w:ascii="Times New Roman" w:hAnsi="Times New Roman"/>
                <w:szCs w:val="24"/>
              </w:rPr>
            </w:pPr>
            <w:r>
              <w:rPr>
                <w:rFonts w:ascii="Times New Roman" w:hAnsi="Times New Roman"/>
                <w:szCs w:val="24"/>
              </w:rPr>
              <w:t>660</w:t>
            </w:r>
          </w:p>
        </w:tc>
      </w:tr>
      <w:tr w14:paraId="530BBD4D" w14:textId="77777777" w:rsidTr="007F6BFE">
        <w:tblPrEx>
          <w:tblW w:w="0" w:type="auto"/>
          <w:tblLayout w:type="fixed"/>
          <w:tblCellMar>
            <w:left w:w="120" w:type="dxa"/>
            <w:right w:w="120" w:type="dxa"/>
          </w:tblCellMar>
          <w:tblLook w:val="0000"/>
        </w:tblPrEx>
        <w:tc>
          <w:tcPr>
            <w:tcW w:w="2965" w:type="dxa"/>
            <w:tcBorders>
              <w:top w:val="single" w:sz="4" w:space="0" w:color="auto"/>
              <w:left w:val="single" w:sz="4" w:space="0" w:color="000000" w:themeColor="text1"/>
              <w:bottom w:val="single" w:sz="4" w:space="0" w:color="auto"/>
              <w:right w:val="single" w:sz="4" w:space="0" w:color="000000" w:themeColor="text1"/>
            </w:tcBorders>
          </w:tcPr>
          <w:p w:rsidR="0049318E" w:rsidRPr="007F6BFE" w:rsidP="007F6BFE" w14:paraId="23D12238" w14:textId="77777777">
            <w:pPr>
              <w:spacing w:after="58"/>
              <w:rPr>
                <w:rFonts w:ascii="Times New Roman" w:hAnsi="Times New Roman"/>
                <w:szCs w:val="24"/>
              </w:rPr>
            </w:pPr>
          </w:p>
        </w:tc>
        <w:tc>
          <w:tcPr>
            <w:tcW w:w="129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49318E" w:rsidRPr="007F6BFE" w:rsidP="007F6BFE" w14:paraId="291A81EE" w14:textId="77777777">
            <w:pPr>
              <w:spacing w:after="58"/>
              <w:jc w:val="center"/>
              <w:rPr>
                <w:rFonts w:ascii="Times New Roman" w:hAnsi="Times New Roman"/>
                <w:szCs w:val="24"/>
              </w:rPr>
            </w:pPr>
          </w:p>
        </w:tc>
        <w:tc>
          <w:tcPr>
            <w:tcW w:w="1530" w:type="dxa"/>
            <w:tcBorders>
              <w:top w:val="single" w:sz="4" w:space="0" w:color="auto"/>
              <w:left w:val="single" w:sz="4" w:space="0" w:color="000000" w:themeColor="text1"/>
              <w:bottom w:val="single" w:sz="4" w:space="0" w:color="000000" w:themeColor="text1"/>
              <w:right w:val="single" w:sz="4" w:space="0" w:color="000000" w:themeColor="text1"/>
            </w:tcBorders>
          </w:tcPr>
          <w:p w:rsidR="0049318E" w:rsidRPr="007F6BFE" w:rsidP="007F6BFE" w14:paraId="78F75B27" w14:textId="77777777">
            <w:pPr>
              <w:spacing w:after="58"/>
              <w:jc w:val="center"/>
              <w:rPr>
                <w:rFonts w:ascii="Times New Roman" w:hAnsi="Times New Roman"/>
                <w:szCs w:val="24"/>
              </w:rPr>
            </w:pPr>
          </w:p>
        </w:tc>
        <w:tc>
          <w:tcPr>
            <w:tcW w:w="1260" w:type="dxa"/>
            <w:tcBorders>
              <w:top w:val="single" w:sz="4" w:space="0" w:color="auto"/>
              <w:left w:val="single" w:sz="4" w:space="0" w:color="000000" w:themeColor="text1"/>
              <w:bottom w:val="single" w:sz="4" w:space="0" w:color="000000" w:themeColor="text1"/>
              <w:right w:val="single" w:sz="4" w:space="0" w:color="000000" w:themeColor="text1"/>
            </w:tcBorders>
          </w:tcPr>
          <w:p w:rsidR="0049318E" w:rsidRPr="007F6BFE" w:rsidP="007F6BFE" w14:paraId="4470E340" w14:textId="77777777">
            <w:pPr>
              <w:spacing w:after="58"/>
              <w:jc w:val="center"/>
              <w:rPr>
                <w:rFonts w:ascii="Times New Roman" w:hAnsi="Times New Roman"/>
                <w:szCs w:val="24"/>
              </w:rPr>
            </w:pPr>
          </w:p>
        </w:tc>
        <w:tc>
          <w:tcPr>
            <w:tcW w:w="1260" w:type="dxa"/>
            <w:tcBorders>
              <w:top w:val="single" w:sz="4" w:space="0" w:color="auto"/>
              <w:left w:val="single" w:sz="4" w:space="0" w:color="000000" w:themeColor="text1"/>
              <w:bottom w:val="single" w:sz="4" w:space="0" w:color="000000" w:themeColor="text1"/>
              <w:right w:val="single" w:sz="4" w:space="0" w:color="000000" w:themeColor="text1"/>
            </w:tcBorders>
          </w:tcPr>
          <w:p w:rsidR="0049318E" w:rsidRPr="007F6BFE" w:rsidP="007F6BFE" w14:paraId="39CAE04C" w14:textId="77777777">
            <w:pPr>
              <w:spacing w:after="58"/>
              <w:jc w:val="center"/>
              <w:rPr>
                <w:rFonts w:ascii="Times New Roman" w:hAnsi="Times New Roman"/>
                <w:szCs w:val="24"/>
              </w:rPr>
            </w:pPr>
          </w:p>
        </w:tc>
        <w:tc>
          <w:tcPr>
            <w:tcW w:w="153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49318E" w:rsidRPr="007F6BFE" w:rsidP="007F6BFE" w14:paraId="370B997A" w14:textId="77777777">
            <w:pPr>
              <w:spacing w:after="58"/>
              <w:jc w:val="center"/>
              <w:rPr>
                <w:rFonts w:ascii="Times New Roman" w:hAnsi="Times New Roman"/>
                <w:szCs w:val="24"/>
              </w:rPr>
            </w:pPr>
          </w:p>
        </w:tc>
      </w:tr>
      <w:tr w14:paraId="7E89DEF1" w14:textId="77777777" w:rsidTr="007F6BFE">
        <w:tblPrEx>
          <w:tblW w:w="0" w:type="auto"/>
          <w:tblLayout w:type="fixed"/>
          <w:tblCellMar>
            <w:left w:w="120" w:type="dxa"/>
            <w:right w:w="120" w:type="dxa"/>
          </w:tblCellMar>
          <w:tblLook w:val="0000"/>
        </w:tblPrEx>
        <w:tc>
          <w:tcPr>
            <w:tcW w:w="2965" w:type="dxa"/>
            <w:tcBorders>
              <w:left w:val="single" w:sz="4" w:space="0" w:color="000000" w:themeColor="text1"/>
              <w:bottom w:val="single" w:sz="4" w:space="0" w:color="auto"/>
              <w:right w:val="single" w:sz="4" w:space="0" w:color="000000" w:themeColor="text1"/>
            </w:tcBorders>
          </w:tcPr>
          <w:p w:rsidR="0049318E" w:rsidRPr="007F6BFE" w:rsidP="007F6BFE" w14:paraId="046A26F7" w14:textId="77777777">
            <w:pPr>
              <w:spacing w:after="58"/>
              <w:rPr>
                <w:rFonts w:ascii="Times New Roman" w:hAnsi="Times New Roman"/>
                <w:szCs w:val="24"/>
              </w:rPr>
            </w:pPr>
            <w:r w:rsidRPr="007F6BFE">
              <w:rPr>
                <w:rFonts w:ascii="Times New Roman" w:hAnsi="Times New Roman"/>
                <w:b/>
                <w:szCs w:val="24"/>
              </w:rPr>
              <w:t xml:space="preserve">    Grand Total:</w:t>
            </w:r>
          </w:p>
        </w:tc>
        <w:tc>
          <w:tcPr>
            <w:tcW w:w="1295" w:type="dxa"/>
            <w:tcBorders>
              <w:top w:val="double" w:sz="4" w:space="0" w:color="auto"/>
              <w:left w:val="single" w:sz="4" w:space="0" w:color="000000" w:themeColor="text1"/>
              <w:bottom w:val="single" w:sz="4" w:space="0" w:color="000000" w:themeColor="text1"/>
              <w:right w:val="single" w:sz="4" w:space="0" w:color="000000" w:themeColor="text1"/>
            </w:tcBorders>
            <w:vAlign w:val="center"/>
          </w:tcPr>
          <w:p w:rsidR="0049318E" w:rsidRPr="007F6BFE" w:rsidP="007F6BFE" w14:paraId="77658C19" w14:textId="77777777">
            <w:pPr>
              <w:spacing w:after="58"/>
              <w:jc w:val="center"/>
              <w:rPr>
                <w:rFonts w:ascii="Times New Roman" w:hAnsi="Times New Roman"/>
                <w:szCs w:val="24"/>
                <w:vertAlign w:val="superscript"/>
              </w:rPr>
            </w:pPr>
            <w:r>
              <w:rPr>
                <w:rFonts w:ascii="Times New Roman" w:hAnsi="Times New Roman"/>
                <w:b/>
                <w:szCs w:val="24"/>
              </w:rPr>
              <w:t>880</w:t>
            </w:r>
          </w:p>
        </w:tc>
        <w:tc>
          <w:tcPr>
            <w:tcW w:w="1530" w:type="dxa"/>
            <w:tcBorders>
              <w:top w:val="double" w:sz="4" w:space="0" w:color="auto"/>
              <w:left w:val="single" w:sz="4" w:space="0" w:color="000000" w:themeColor="text1"/>
              <w:bottom w:val="single" w:sz="4" w:space="0" w:color="000000" w:themeColor="text1"/>
              <w:right w:val="single" w:sz="4" w:space="0" w:color="000000" w:themeColor="text1"/>
            </w:tcBorders>
            <w:vAlign w:val="center"/>
          </w:tcPr>
          <w:p w:rsidR="0049318E" w:rsidRPr="007F6BFE" w:rsidP="007F6BFE" w14:paraId="0DBC8808" w14:textId="77777777">
            <w:pPr>
              <w:spacing w:after="58"/>
              <w:jc w:val="center"/>
              <w:rPr>
                <w:rFonts w:ascii="Times New Roman" w:hAnsi="Times New Roman"/>
                <w:szCs w:val="24"/>
              </w:rPr>
            </w:pPr>
            <w:r w:rsidRPr="007F6BFE">
              <w:rPr>
                <w:rFonts w:ascii="Times New Roman" w:hAnsi="Times New Roman"/>
                <w:b/>
                <w:szCs w:val="24"/>
              </w:rPr>
              <w:t>---</w:t>
            </w:r>
          </w:p>
        </w:tc>
        <w:tc>
          <w:tcPr>
            <w:tcW w:w="1260" w:type="dxa"/>
            <w:tcBorders>
              <w:top w:val="double" w:sz="4" w:space="0" w:color="auto"/>
              <w:left w:val="single" w:sz="4" w:space="0" w:color="000000" w:themeColor="text1"/>
              <w:bottom w:val="single" w:sz="4" w:space="0" w:color="000000" w:themeColor="text1"/>
              <w:right w:val="single" w:sz="4" w:space="0" w:color="000000" w:themeColor="text1"/>
            </w:tcBorders>
            <w:vAlign w:val="center"/>
          </w:tcPr>
          <w:p w:rsidR="0049318E" w:rsidRPr="007F6BFE" w:rsidP="007F6BFE" w14:paraId="14BB5295" w14:textId="77777777">
            <w:pPr>
              <w:spacing w:after="58"/>
              <w:jc w:val="center"/>
              <w:rPr>
                <w:rFonts w:ascii="Times New Roman" w:hAnsi="Times New Roman"/>
                <w:szCs w:val="24"/>
              </w:rPr>
            </w:pPr>
            <w:r>
              <w:rPr>
                <w:rFonts w:ascii="Times New Roman" w:hAnsi="Times New Roman"/>
                <w:b/>
                <w:szCs w:val="24"/>
              </w:rPr>
              <w:t>2</w:t>
            </w:r>
            <w:r w:rsidRPr="007F6BFE">
              <w:rPr>
                <w:rFonts w:ascii="Times New Roman" w:hAnsi="Times New Roman"/>
                <w:b/>
                <w:szCs w:val="24"/>
              </w:rPr>
              <w:t>,</w:t>
            </w:r>
            <w:r>
              <w:rPr>
                <w:rFonts w:ascii="Times New Roman" w:hAnsi="Times New Roman"/>
                <w:b/>
                <w:szCs w:val="24"/>
              </w:rPr>
              <w:t>360</w:t>
            </w:r>
          </w:p>
        </w:tc>
        <w:tc>
          <w:tcPr>
            <w:tcW w:w="1260" w:type="dxa"/>
            <w:tcBorders>
              <w:top w:val="double" w:sz="4" w:space="0" w:color="auto"/>
              <w:left w:val="single" w:sz="4" w:space="0" w:color="000000" w:themeColor="text1"/>
              <w:bottom w:val="single" w:sz="4" w:space="0" w:color="000000" w:themeColor="text1"/>
              <w:right w:val="single" w:sz="4" w:space="0" w:color="000000" w:themeColor="text1"/>
            </w:tcBorders>
            <w:vAlign w:val="center"/>
          </w:tcPr>
          <w:p w:rsidR="0049318E" w:rsidRPr="007F6BFE" w:rsidP="007F6BFE" w14:paraId="715BD007" w14:textId="77777777">
            <w:pPr>
              <w:spacing w:after="58"/>
              <w:jc w:val="center"/>
              <w:rPr>
                <w:rFonts w:ascii="Times New Roman" w:hAnsi="Times New Roman"/>
                <w:szCs w:val="24"/>
              </w:rPr>
            </w:pPr>
            <w:r w:rsidRPr="007F6BFE">
              <w:rPr>
                <w:rFonts w:ascii="Times New Roman" w:hAnsi="Times New Roman"/>
                <w:b/>
                <w:szCs w:val="24"/>
              </w:rPr>
              <w:t>---</w:t>
            </w:r>
          </w:p>
        </w:tc>
        <w:tc>
          <w:tcPr>
            <w:tcW w:w="1530" w:type="dxa"/>
            <w:tcBorders>
              <w:top w:val="double" w:sz="4" w:space="0" w:color="auto"/>
              <w:left w:val="single" w:sz="4" w:space="0" w:color="000000" w:themeColor="text1"/>
              <w:bottom w:val="single" w:sz="4" w:space="0" w:color="000000" w:themeColor="text1"/>
              <w:right w:val="single" w:sz="4" w:space="0" w:color="000000" w:themeColor="text1"/>
            </w:tcBorders>
            <w:vAlign w:val="center"/>
          </w:tcPr>
          <w:p w:rsidR="0049318E" w:rsidRPr="007F6BFE" w:rsidP="007F6BFE" w14:paraId="6A489BB2" w14:textId="1E60E3A8">
            <w:pPr>
              <w:spacing w:after="58"/>
              <w:jc w:val="center"/>
              <w:rPr>
                <w:rFonts w:ascii="Times New Roman" w:hAnsi="Times New Roman"/>
                <w:szCs w:val="24"/>
              </w:rPr>
            </w:pPr>
            <w:r>
              <w:rPr>
                <w:rFonts w:ascii="Times New Roman" w:hAnsi="Times New Roman"/>
                <w:b/>
                <w:szCs w:val="24"/>
              </w:rPr>
              <w:t>2</w:t>
            </w:r>
            <w:r w:rsidRPr="007F6BFE">
              <w:rPr>
                <w:rFonts w:ascii="Times New Roman" w:hAnsi="Times New Roman"/>
                <w:b/>
                <w:szCs w:val="24"/>
              </w:rPr>
              <w:t>,</w:t>
            </w:r>
            <w:r w:rsidR="009A4115">
              <w:rPr>
                <w:rFonts w:ascii="Times New Roman" w:hAnsi="Times New Roman"/>
                <w:b/>
                <w:szCs w:val="24"/>
              </w:rPr>
              <w:t>540</w:t>
            </w:r>
          </w:p>
        </w:tc>
      </w:tr>
    </w:tbl>
    <w:p w:rsidR="00514648" w:rsidP="006F575B" w14:paraId="50867E2C" w14:textId="7F8F10DE">
      <w:pPr>
        <w:tabs>
          <w:tab w:val="left" w:pos="1890"/>
        </w:tabs>
        <w:spacing w:line="276" w:lineRule="auto"/>
        <w:ind w:left="-270"/>
        <w:rPr>
          <w:rFonts w:ascii="Times New Roman" w:hAnsi="Times New Roman"/>
          <w:szCs w:val="24"/>
        </w:rPr>
      </w:pPr>
      <w:r w:rsidRPr="00FD616E">
        <w:rPr>
          <w:rFonts w:ascii="Times New Roman" w:hAnsi="Times New Roman"/>
          <w:szCs w:val="24"/>
          <w:vertAlign w:val="superscript"/>
        </w:rPr>
        <w:t xml:space="preserve"> </w:t>
      </w:r>
      <w:r w:rsidRPr="00FD616E">
        <w:rPr>
          <w:rFonts w:ascii="Times New Roman" w:hAnsi="Times New Roman"/>
          <w:szCs w:val="24"/>
        </w:rPr>
        <w:t xml:space="preserve">Assumes a 100% response rate. </w:t>
      </w:r>
    </w:p>
    <w:p w:rsidR="00ED28F2" w:rsidRPr="002568E6" w:rsidP="00ED28F2" w14:paraId="6907578C" w14:textId="77777777">
      <w:pPr>
        <w:tabs>
          <w:tab w:val="left" w:pos="-720"/>
        </w:tabs>
        <w:suppressAutoHyphens/>
        <w:spacing w:line="480" w:lineRule="auto"/>
        <w:rPr>
          <w:rFonts w:ascii="Times New Roman" w:hAnsi="Times New Roman"/>
          <w:szCs w:val="24"/>
        </w:rPr>
      </w:pPr>
    </w:p>
    <w:p w:rsidR="0062567E" w:rsidRPr="002568E6" w:rsidP="000438E8" w14:paraId="6907578D" w14:textId="77777777">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rsidR="00A308DB" w:rsidRPr="002568E6" w:rsidP="000438E8" w14:paraId="6907578E" w14:textId="77777777">
      <w:pPr>
        <w:tabs>
          <w:tab w:val="left" w:pos="0"/>
        </w:tabs>
        <w:suppressAutoHyphens/>
        <w:rPr>
          <w:rFonts w:ascii="Times New Roman" w:hAnsi="Times New Roman"/>
          <w:b/>
          <w:szCs w:val="24"/>
        </w:rPr>
      </w:pPr>
    </w:p>
    <w:p w:rsidR="00E7033D" w:rsidP="00E7033D" w14:paraId="4A92F085" w14:textId="77777777">
      <w:pPr>
        <w:rPr>
          <w:rFonts w:ascii="Times New Roman" w:hAnsi="Times New Roman"/>
          <w:szCs w:val="24"/>
        </w:rPr>
      </w:pPr>
      <w:r w:rsidRPr="00E03EA7">
        <w:rPr>
          <w:rFonts w:ascii="Times New Roman" w:hAnsi="Times New Roman"/>
          <w:szCs w:val="24"/>
        </w:rPr>
        <w:t xml:space="preserve">Annualized Costs to Respondents – Table </w:t>
      </w:r>
      <w:r>
        <w:rPr>
          <w:rFonts w:ascii="Times New Roman" w:hAnsi="Times New Roman"/>
          <w:szCs w:val="24"/>
        </w:rPr>
        <w:t>2</w:t>
      </w:r>
    </w:p>
    <w:p w:rsidR="00E7033D" w:rsidRPr="00E03EA7" w:rsidP="00E7033D" w14:paraId="0221EBF2" w14:textId="77777777">
      <w:pPr>
        <w:rPr>
          <w:rFonts w:ascii="Times New Roman" w:hAnsi="Times New Roman"/>
          <w:szCs w:val="24"/>
        </w:rPr>
      </w:pPr>
    </w:p>
    <w:tbl>
      <w:tblPr>
        <w:tblpPr w:leftFromText="180" w:rightFromText="180" w:vertAnchor="text" w:horzAnchor="margin" w:tblpX="-275" w:tblpY="62"/>
        <w:tblW w:w="0" w:type="auto"/>
        <w:tblLayout w:type="fixed"/>
        <w:tblCellMar>
          <w:left w:w="120" w:type="dxa"/>
          <w:right w:w="120" w:type="dxa"/>
        </w:tblCellMar>
        <w:tblLook w:val="0000"/>
      </w:tblPr>
      <w:tblGrid>
        <w:gridCol w:w="3055"/>
        <w:gridCol w:w="1440"/>
        <w:gridCol w:w="2075"/>
        <w:gridCol w:w="2070"/>
      </w:tblGrid>
      <w:tr w14:paraId="419074B8" w14:textId="77777777" w:rsidTr="007F6BFE">
        <w:tblPrEx>
          <w:tblW w:w="0" w:type="auto"/>
          <w:tblLayout w:type="fixed"/>
          <w:tblCellMar>
            <w:left w:w="120" w:type="dxa"/>
            <w:right w:w="120" w:type="dxa"/>
          </w:tblCellMar>
          <w:tblLook w:val="0000"/>
        </w:tblPrEx>
        <w:trPr>
          <w:trHeight w:val="620"/>
        </w:trPr>
        <w:tc>
          <w:tcPr>
            <w:tcW w:w="3055" w:type="dxa"/>
            <w:tcBorders>
              <w:top w:val="single" w:sz="4" w:space="0" w:color="000000"/>
              <w:left w:val="single" w:sz="4" w:space="0" w:color="000000"/>
              <w:bottom w:val="single" w:sz="4" w:space="0" w:color="auto"/>
              <w:right w:val="single" w:sz="4" w:space="0" w:color="000000"/>
            </w:tcBorders>
            <w:vAlign w:val="center"/>
          </w:tcPr>
          <w:p w:rsidR="00E7033D" w:rsidRPr="00FD616E" w:rsidP="007F6BFE" w14:paraId="6A655D48" w14:textId="77777777">
            <w:pPr>
              <w:spacing w:after="58"/>
              <w:jc w:val="center"/>
              <w:rPr>
                <w:rFonts w:ascii="Times New Roman" w:hAnsi="Times New Roman"/>
                <w:szCs w:val="24"/>
              </w:rPr>
            </w:pPr>
            <w:r w:rsidRPr="00FD616E">
              <w:rPr>
                <w:rFonts w:ascii="Times New Roman" w:hAnsi="Times New Roman"/>
                <w:szCs w:val="24"/>
              </w:rPr>
              <w:t>Type of Respondent</w:t>
            </w:r>
          </w:p>
        </w:tc>
        <w:tc>
          <w:tcPr>
            <w:tcW w:w="1440" w:type="dxa"/>
            <w:tcBorders>
              <w:top w:val="single" w:sz="4" w:space="0" w:color="000000"/>
              <w:left w:val="single" w:sz="4" w:space="0" w:color="000000"/>
              <w:bottom w:val="single" w:sz="4" w:space="0" w:color="auto"/>
              <w:right w:val="single" w:sz="4" w:space="0" w:color="000000"/>
            </w:tcBorders>
            <w:vAlign w:val="center"/>
          </w:tcPr>
          <w:p w:rsidR="00E7033D" w:rsidRPr="00FD616E" w:rsidP="007F6BFE" w14:paraId="4DB8801B" w14:textId="77777777">
            <w:pPr>
              <w:tabs>
                <w:tab w:val="left" w:pos="420"/>
              </w:tabs>
              <w:spacing w:after="58"/>
              <w:jc w:val="center"/>
              <w:rPr>
                <w:rFonts w:ascii="Times New Roman" w:hAnsi="Times New Roman"/>
                <w:szCs w:val="24"/>
              </w:rPr>
            </w:pPr>
            <w:r w:rsidRPr="00FD616E">
              <w:rPr>
                <w:rFonts w:ascii="Times New Roman" w:hAnsi="Times New Roman"/>
                <w:szCs w:val="24"/>
              </w:rPr>
              <w:t>Total Hours</w:t>
            </w:r>
          </w:p>
        </w:tc>
        <w:tc>
          <w:tcPr>
            <w:tcW w:w="2075" w:type="dxa"/>
            <w:tcBorders>
              <w:top w:val="single" w:sz="4" w:space="0" w:color="000000"/>
              <w:left w:val="single" w:sz="4" w:space="0" w:color="000000"/>
              <w:bottom w:val="single" w:sz="4" w:space="0" w:color="auto"/>
              <w:right w:val="single" w:sz="4" w:space="0" w:color="000000"/>
            </w:tcBorders>
            <w:vAlign w:val="center"/>
          </w:tcPr>
          <w:p w:rsidR="00E7033D" w:rsidRPr="00FD616E" w:rsidP="007F6BFE" w14:paraId="3A175A56" w14:textId="77777777">
            <w:pPr>
              <w:spacing w:after="58"/>
              <w:jc w:val="center"/>
              <w:rPr>
                <w:rFonts w:ascii="Times New Roman" w:hAnsi="Times New Roman"/>
                <w:szCs w:val="24"/>
                <w:vertAlign w:val="superscript"/>
              </w:rPr>
            </w:pPr>
            <w:r w:rsidRPr="00FD616E">
              <w:rPr>
                <w:rFonts w:ascii="Times New Roman" w:hAnsi="Times New Roman"/>
                <w:szCs w:val="24"/>
              </w:rPr>
              <w:t>Hourly wage</w:t>
            </w:r>
            <w:r w:rsidRPr="00FD616E">
              <w:rPr>
                <w:rFonts w:ascii="Times New Roman" w:hAnsi="Times New Roman"/>
                <w:szCs w:val="24"/>
                <w:vertAlign w:val="superscript"/>
              </w:rPr>
              <w:t>1</w:t>
            </w:r>
          </w:p>
        </w:tc>
        <w:tc>
          <w:tcPr>
            <w:tcW w:w="2070" w:type="dxa"/>
            <w:tcBorders>
              <w:top w:val="single" w:sz="4" w:space="0" w:color="000000"/>
              <w:left w:val="single" w:sz="4" w:space="0" w:color="000000"/>
              <w:bottom w:val="single" w:sz="4" w:space="0" w:color="auto"/>
              <w:right w:val="single" w:sz="4" w:space="0" w:color="000000"/>
            </w:tcBorders>
            <w:vAlign w:val="center"/>
          </w:tcPr>
          <w:p w:rsidR="00E7033D" w:rsidRPr="00FD616E" w:rsidP="007F6BFE" w14:paraId="2CF15682" w14:textId="77777777">
            <w:pPr>
              <w:spacing w:after="58"/>
              <w:jc w:val="center"/>
              <w:rPr>
                <w:rFonts w:ascii="Times New Roman" w:hAnsi="Times New Roman"/>
                <w:szCs w:val="24"/>
              </w:rPr>
            </w:pPr>
            <w:r w:rsidRPr="00FD616E">
              <w:rPr>
                <w:rFonts w:ascii="Times New Roman" w:hAnsi="Times New Roman"/>
                <w:szCs w:val="24"/>
              </w:rPr>
              <w:t>Total Cost Burden</w:t>
            </w:r>
          </w:p>
        </w:tc>
      </w:tr>
      <w:tr w14:paraId="78FABEA2" w14:textId="77777777" w:rsidTr="007F6BFE">
        <w:tblPrEx>
          <w:tblW w:w="0" w:type="auto"/>
          <w:tblLayout w:type="fixed"/>
          <w:tblCellMar>
            <w:left w:w="120" w:type="dxa"/>
            <w:right w:w="120" w:type="dxa"/>
          </w:tblCellMar>
          <w:tblLook w:val="0000"/>
        </w:tblPrEx>
        <w:tc>
          <w:tcPr>
            <w:tcW w:w="3055" w:type="dxa"/>
            <w:tcBorders>
              <w:top w:val="single" w:sz="4" w:space="0" w:color="auto"/>
              <w:left w:val="single" w:sz="4" w:space="0" w:color="auto"/>
              <w:bottom w:val="single" w:sz="4" w:space="0" w:color="auto"/>
              <w:right w:val="single" w:sz="4" w:space="0" w:color="auto"/>
            </w:tcBorders>
          </w:tcPr>
          <w:p w:rsidR="00E7033D" w:rsidRPr="007F6BFE" w:rsidP="007F6BFE" w14:paraId="5DDA9939" w14:textId="77777777">
            <w:pPr>
              <w:spacing w:after="58"/>
              <w:rPr>
                <w:rFonts w:ascii="Times New Roman" w:hAnsi="Times New Roman"/>
                <w:i/>
                <w:szCs w:val="24"/>
              </w:rPr>
            </w:pPr>
            <w:r w:rsidRPr="007F6BFE">
              <w:rPr>
                <w:rFonts w:ascii="Times New Roman" w:hAnsi="Times New Roman"/>
                <w:i/>
                <w:szCs w:val="24"/>
              </w:rPr>
              <w:t>State Animal Health Officials</w:t>
            </w:r>
          </w:p>
        </w:tc>
        <w:tc>
          <w:tcPr>
            <w:tcW w:w="1440" w:type="dxa"/>
            <w:tcBorders>
              <w:top w:val="single" w:sz="4" w:space="0" w:color="auto"/>
              <w:left w:val="single" w:sz="4" w:space="0" w:color="auto"/>
              <w:bottom w:val="single" w:sz="4" w:space="0" w:color="auto"/>
              <w:right w:val="single" w:sz="4" w:space="0" w:color="auto"/>
            </w:tcBorders>
          </w:tcPr>
          <w:p w:rsidR="00E7033D" w:rsidRPr="007F6BFE" w:rsidP="007F6BFE" w14:paraId="26350C81" w14:textId="77777777">
            <w:pPr>
              <w:spacing w:after="58"/>
              <w:jc w:val="center"/>
              <w:rPr>
                <w:rFonts w:ascii="Times New Roman" w:hAnsi="Times New Roman"/>
                <w:szCs w:val="24"/>
              </w:rPr>
            </w:pPr>
            <w:r>
              <w:rPr>
                <w:rFonts w:ascii="Times New Roman" w:hAnsi="Times New Roman"/>
                <w:szCs w:val="24"/>
              </w:rPr>
              <w:t>480</w:t>
            </w:r>
          </w:p>
        </w:tc>
        <w:tc>
          <w:tcPr>
            <w:tcW w:w="2075" w:type="dxa"/>
            <w:tcBorders>
              <w:top w:val="single" w:sz="4" w:space="0" w:color="auto"/>
              <w:left w:val="single" w:sz="4" w:space="0" w:color="auto"/>
              <w:bottom w:val="single" w:sz="4" w:space="0" w:color="auto"/>
              <w:right w:val="single" w:sz="4" w:space="0" w:color="auto"/>
            </w:tcBorders>
          </w:tcPr>
          <w:p w:rsidR="00E7033D" w:rsidRPr="007F6BFE" w:rsidP="007F6BFE" w14:paraId="5C2D80CF" w14:textId="77777777">
            <w:pPr>
              <w:spacing w:after="58"/>
              <w:jc w:val="center"/>
              <w:rPr>
                <w:rFonts w:ascii="Times New Roman" w:hAnsi="Times New Roman"/>
                <w:szCs w:val="24"/>
              </w:rPr>
            </w:pPr>
            <w:r w:rsidRPr="007F6BFE">
              <w:rPr>
                <w:rFonts w:ascii="Times New Roman" w:hAnsi="Times New Roman"/>
                <w:szCs w:val="24"/>
              </w:rPr>
              <w:t>$</w:t>
            </w:r>
            <w:r>
              <w:rPr>
                <w:rFonts w:ascii="Times New Roman" w:hAnsi="Times New Roman"/>
                <w:szCs w:val="24"/>
              </w:rPr>
              <w:t>77.70</w:t>
            </w:r>
          </w:p>
        </w:tc>
        <w:tc>
          <w:tcPr>
            <w:tcW w:w="2070" w:type="dxa"/>
            <w:tcBorders>
              <w:top w:val="single" w:sz="4" w:space="0" w:color="auto"/>
              <w:left w:val="single" w:sz="4" w:space="0" w:color="auto"/>
              <w:bottom w:val="single" w:sz="4" w:space="0" w:color="auto"/>
              <w:right w:val="single" w:sz="4" w:space="0" w:color="auto"/>
            </w:tcBorders>
          </w:tcPr>
          <w:p w:rsidR="00E7033D" w:rsidRPr="007F6BFE" w:rsidP="007F6BFE" w14:paraId="58B37E22" w14:textId="77777777">
            <w:pPr>
              <w:spacing w:after="58"/>
              <w:jc w:val="center"/>
              <w:rPr>
                <w:rFonts w:ascii="Times New Roman" w:hAnsi="Times New Roman"/>
                <w:szCs w:val="24"/>
              </w:rPr>
            </w:pPr>
            <w:r w:rsidRPr="007F6BFE">
              <w:rPr>
                <w:rFonts w:ascii="Times New Roman" w:hAnsi="Times New Roman"/>
                <w:szCs w:val="24"/>
              </w:rPr>
              <w:t>$</w:t>
            </w:r>
            <w:r>
              <w:rPr>
                <w:rFonts w:ascii="Times New Roman" w:hAnsi="Times New Roman"/>
                <w:szCs w:val="24"/>
              </w:rPr>
              <w:t>37,296</w:t>
            </w:r>
          </w:p>
        </w:tc>
      </w:tr>
      <w:tr w14:paraId="7164F052" w14:textId="77777777" w:rsidTr="007F6BFE">
        <w:tblPrEx>
          <w:tblW w:w="0" w:type="auto"/>
          <w:tblLayout w:type="fixed"/>
          <w:tblCellMar>
            <w:left w:w="120" w:type="dxa"/>
            <w:right w:w="120" w:type="dxa"/>
          </w:tblCellMar>
          <w:tblLook w:val="0000"/>
        </w:tblPrEx>
        <w:tc>
          <w:tcPr>
            <w:tcW w:w="3055" w:type="dxa"/>
            <w:tcBorders>
              <w:top w:val="single" w:sz="4" w:space="0" w:color="auto"/>
              <w:left w:val="single" w:sz="4" w:space="0" w:color="auto"/>
              <w:bottom w:val="single" w:sz="4" w:space="0" w:color="auto"/>
              <w:right w:val="single" w:sz="4" w:space="0" w:color="auto"/>
            </w:tcBorders>
          </w:tcPr>
          <w:p w:rsidR="00E7033D" w:rsidRPr="007F6BFE" w:rsidP="007F6BFE" w14:paraId="4670365A" w14:textId="77777777">
            <w:pPr>
              <w:spacing w:after="58"/>
              <w:rPr>
                <w:rFonts w:ascii="Times New Roman" w:hAnsi="Times New Roman"/>
                <w:szCs w:val="24"/>
              </w:rPr>
            </w:pPr>
            <w:r w:rsidRPr="007F6BFE">
              <w:rPr>
                <w:rFonts w:ascii="Times New Roman" w:hAnsi="Times New Roman"/>
                <w:i/>
                <w:szCs w:val="24"/>
              </w:rPr>
              <w:t>Applicants</w:t>
            </w:r>
          </w:p>
        </w:tc>
        <w:tc>
          <w:tcPr>
            <w:tcW w:w="1440" w:type="dxa"/>
            <w:tcBorders>
              <w:top w:val="single" w:sz="4" w:space="0" w:color="auto"/>
              <w:left w:val="single" w:sz="4" w:space="0" w:color="auto"/>
              <w:bottom w:val="single" w:sz="4" w:space="0" w:color="auto"/>
              <w:right w:val="single" w:sz="4" w:space="0" w:color="auto"/>
            </w:tcBorders>
          </w:tcPr>
          <w:p w:rsidR="00E7033D" w:rsidRPr="007F6BFE" w:rsidP="007F6BFE" w14:paraId="59E1EAF1" w14:textId="77777777">
            <w:pPr>
              <w:spacing w:after="58"/>
              <w:jc w:val="center"/>
              <w:rPr>
                <w:rFonts w:ascii="Times New Roman" w:hAnsi="Times New Roman"/>
                <w:szCs w:val="24"/>
              </w:rPr>
            </w:pPr>
            <w:r w:rsidRPr="007F6BFE">
              <w:rPr>
                <w:rFonts w:ascii="Times New Roman" w:hAnsi="Times New Roman"/>
                <w:szCs w:val="24"/>
              </w:rPr>
              <w:t>1,</w:t>
            </w:r>
            <w:r>
              <w:rPr>
                <w:rFonts w:ascii="Times New Roman" w:hAnsi="Times New Roman"/>
                <w:szCs w:val="24"/>
              </w:rPr>
              <w:t>000</w:t>
            </w:r>
          </w:p>
        </w:tc>
        <w:tc>
          <w:tcPr>
            <w:tcW w:w="2075" w:type="dxa"/>
            <w:tcBorders>
              <w:top w:val="single" w:sz="4" w:space="0" w:color="auto"/>
              <w:left w:val="single" w:sz="4" w:space="0" w:color="auto"/>
              <w:bottom w:val="single" w:sz="4" w:space="0" w:color="auto"/>
              <w:right w:val="single" w:sz="4" w:space="0" w:color="auto"/>
            </w:tcBorders>
          </w:tcPr>
          <w:p w:rsidR="00E7033D" w:rsidRPr="007F6BFE" w:rsidP="007F6BFE" w14:paraId="4AFF0DFF" w14:textId="77777777">
            <w:pPr>
              <w:spacing w:after="58"/>
              <w:jc w:val="center"/>
              <w:rPr>
                <w:rFonts w:ascii="Times New Roman" w:hAnsi="Times New Roman"/>
                <w:szCs w:val="24"/>
              </w:rPr>
            </w:pPr>
            <w:r w:rsidRPr="007F6BFE">
              <w:rPr>
                <w:rFonts w:ascii="Times New Roman" w:hAnsi="Times New Roman"/>
                <w:szCs w:val="24"/>
              </w:rPr>
              <w:t>$</w:t>
            </w:r>
            <w:r>
              <w:rPr>
                <w:rFonts w:ascii="Times New Roman" w:hAnsi="Times New Roman"/>
                <w:szCs w:val="24"/>
              </w:rPr>
              <w:t>60.34</w:t>
            </w:r>
          </w:p>
        </w:tc>
        <w:tc>
          <w:tcPr>
            <w:tcW w:w="2070" w:type="dxa"/>
            <w:tcBorders>
              <w:top w:val="single" w:sz="4" w:space="0" w:color="auto"/>
              <w:left w:val="single" w:sz="4" w:space="0" w:color="auto"/>
              <w:bottom w:val="single" w:sz="4" w:space="0" w:color="auto"/>
              <w:right w:val="single" w:sz="4" w:space="0" w:color="auto"/>
            </w:tcBorders>
          </w:tcPr>
          <w:p w:rsidR="00E7033D" w:rsidRPr="007F6BFE" w:rsidP="007F6BFE" w14:paraId="35C8BF70" w14:textId="77777777">
            <w:pPr>
              <w:spacing w:after="58"/>
              <w:jc w:val="center"/>
              <w:rPr>
                <w:rFonts w:ascii="Times New Roman" w:hAnsi="Times New Roman"/>
                <w:szCs w:val="24"/>
              </w:rPr>
            </w:pPr>
            <w:r w:rsidRPr="007F6BFE">
              <w:rPr>
                <w:rFonts w:ascii="Times New Roman" w:hAnsi="Times New Roman"/>
                <w:szCs w:val="24"/>
              </w:rPr>
              <w:t>$</w:t>
            </w:r>
            <w:r>
              <w:rPr>
                <w:rFonts w:ascii="Times New Roman" w:hAnsi="Times New Roman"/>
                <w:szCs w:val="24"/>
              </w:rPr>
              <w:t>60</w:t>
            </w:r>
            <w:r w:rsidRPr="007F6BFE">
              <w:rPr>
                <w:rFonts w:ascii="Times New Roman" w:hAnsi="Times New Roman"/>
                <w:szCs w:val="24"/>
              </w:rPr>
              <w:t>,</w:t>
            </w:r>
            <w:r>
              <w:rPr>
                <w:rFonts w:ascii="Times New Roman" w:hAnsi="Times New Roman"/>
                <w:szCs w:val="24"/>
              </w:rPr>
              <w:t>340</w:t>
            </w:r>
          </w:p>
        </w:tc>
      </w:tr>
      <w:tr w14:paraId="0AF390AB" w14:textId="77777777" w:rsidTr="007F6BFE">
        <w:tblPrEx>
          <w:tblW w:w="0" w:type="auto"/>
          <w:tblLayout w:type="fixed"/>
          <w:tblCellMar>
            <w:left w:w="120" w:type="dxa"/>
            <w:right w:w="120" w:type="dxa"/>
          </w:tblCellMar>
          <w:tblLook w:val="0000"/>
        </w:tblPrEx>
        <w:tc>
          <w:tcPr>
            <w:tcW w:w="3055" w:type="dxa"/>
            <w:tcBorders>
              <w:top w:val="single" w:sz="4" w:space="0" w:color="auto"/>
              <w:left w:val="single" w:sz="4" w:space="0" w:color="auto"/>
              <w:bottom w:val="single" w:sz="4" w:space="0" w:color="auto"/>
              <w:right w:val="single" w:sz="4" w:space="0" w:color="auto"/>
            </w:tcBorders>
          </w:tcPr>
          <w:p w:rsidR="00E7033D" w:rsidRPr="007F6BFE" w:rsidP="007F6BFE" w14:paraId="48646250" w14:textId="77777777">
            <w:pPr>
              <w:spacing w:after="58"/>
              <w:rPr>
                <w:rFonts w:ascii="Times New Roman" w:hAnsi="Times New Roman"/>
                <w:i/>
                <w:szCs w:val="24"/>
              </w:rPr>
            </w:pPr>
            <w:r w:rsidRPr="007F6BFE">
              <w:rPr>
                <w:rFonts w:ascii="Times New Roman" w:hAnsi="Times New Roman"/>
                <w:i/>
                <w:szCs w:val="24"/>
              </w:rPr>
              <w:t>Recommenders</w:t>
            </w:r>
          </w:p>
        </w:tc>
        <w:tc>
          <w:tcPr>
            <w:tcW w:w="1440" w:type="dxa"/>
            <w:tcBorders>
              <w:top w:val="single" w:sz="4" w:space="0" w:color="auto"/>
              <w:left w:val="single" w:sz="4" w:space="0" w:color="auto"/>
              <w:bottom w:val="single" w:sz="4" w:space="0" w:color="auto"/>
              <w:right w:val="single" w:sz="4" w:space="0" w:color="auto"/>
            </w:tcBorders>
          </w:tcPr>
          <w:p w:rsidR="00E7033D" w:rsidRPr="007F6BFE" w:rsidP="007F6BFE" w14:paraId="4E1C7FE3" w14:textId="77777777">
            <w:pPr>
              <w:spacing w:after="58"/>
              <w:jc w:val="center"/>
              <w:rPr>
                <w:rFonts w:ascii="Times New Roman" w:hAnsi="Times New Roman"/>
                <w:szCs w:val="24"/>
              </w:rPr>
            </w:pPr>
            <w:r w:rsidRPr="007F6BFE">
              <w:rPr>
                <w:rFonts w:ascii="Times New Roman" w:hAnsi="Times New Roman"/>
                <w:szCs w:val="24"/>
              </w:rPr>
              <w:t>4</w:t>
            </w:r>
            <w:r>
              <w:rPr>
                <w:rFonts w:ascii="Times New Roman" w:hAnsi="Times New Roman"/>
                <w:szCs w:val="24"/>
              </w:rPr>
              <w:t>00</w:t>
            </w:r>
          </w:p>
        </w:tc>
        <w:tc>
          <w:tcPr>
            <w:tcW w:w="2075" w:type="dxa"/>
            <w:tcBorders>
              <w:top w:val="single" w:sz="4" w:space="0" w:color="auto"/>
              <w:left w:val="single" w:sz="4" w:space="0" w:color="auto"/>
              <w:bottom w:val="single" w:sz="4" w:space="0" w:color="auto"/>
              <w:right w:val="single" w:sz="4" w:space="0" w:color="auto"/>
            </w:tcBorders>
          </w:tcPr>
          <w:p w:rsidR="00E7033D" w:rsidRPr="007F6BFE" w:rsidP="007F6BFE" w14:paraId="366305BA" w14:textId="77777777">
            <w:pPr>
              <w:spacing w:after="58"/>
              <w:jc w:val="center"/>
              <w:rPr>
                <w:rFonts w:ascii="Times New Roman" w:hAnsi="Times New Roman"/>
                <w:szCs w:val="24"/>
              </w:rPr>
            </w:pPr>
            <w:r w:rsidRPr="007F6BFE">
              <w:rPr>
                <w:rFonts w:ascii="Times New Roman" w:hAnsi="Times New Roman"/>
                <w:szCs w:val="24"/>
              </w:rPr>
              <w:t>$</w:t>
            </w:r>
            <w:r>
              <w:rPr>
                <w:rFonts w:ascii="Times New Roman" w:hAnsi="Times New Roman"/>
                <w:szCs w:val="24"/>
              </w:rPr>
              <w:t>60.34</w:t>
            </w:r>
          </w:p>
        </w:tc>
        <w:tc>
          <w:tcPr>
            <w:tcW w:w="2070" w:type="dxa"/>
            <w:tcBorders>
              <w:top w:val="single" w:sz="4" w:space="0" w:color="auto"/>
              <w:left w:val="single" w:sz="4" w:space="0" w:color="auto"/>
              <w:bottom w:val="single" w:sz="4" w:space="0" w:color="auto"/>
              <w:right w:val="single" w:sz="4" w:space="0" w:color="auto"/>
            </w:tcBorders>
          </w:tcPr>
          <w:p w:rsidR="00E7033D" w:rsidRPr="007F6BFE" w:rsidP="007F6BFE" w14:paraId="0FDF7761" w14:textId="77777777">
            <w:pPr>
              <w:spacing w:after="58"/>
              <w:jc w:val="center"/>
              <w:rPr>
                <w:rFonts w:ascii="Times New Roman" w:hAnsi="Times New Roman"/>
                <w:szCs w:val="24"/>
              </w:rPr>
            </w:pPr>
            <w:r w:rsidRPr="007F6BFE">
              <w:rPr>
                <w:rFonts w:ascii="Times New Roman" w:hAnsi="Times New Roman"/>
                <w:szCs w:val="24"/>
              </w:rPr>
              <w:t>$2</w:t>
            </w:r>
            <w:r>
              <w:rPr>
                <w:rFonts w:ascii="Times New Roman" w:hAnsi="Times New Roman"/>
                <w:szCs w:val="24"/>
              </w:rPr>
              <w:t>4</w:t>
            </w:r>
            <w:r w:rsidRPr="007F6BFE">
              <w:rPr>
                <w:rFonts w:ascii="Times New Roman" w:hAnsi="Times New Roman"/>
                <w:szCs w:val="24"/>
              </w:rPr>
              <w:t>,</w:t>
            </w:r>
            <w:r>
              <w:rPr>
                <w:rFonts w:ascii="Times New Roman" w:hAnsi="Times New Roman"/>
                <w:szCs w:val="24"/>
              </w:rPr>
              <w:t>136</w:t>
            </w:r>
          </w:p>
        </w:tc>
      </w:tr>
      <w:tr w14:paraId="4F133544" w14:textId="77777777" w:rsidTr="007F6BFE">
        <w:tblPrEx>
          <w:tblW w:w="0" w:type="auto"/>
          <w:tblLayout w:type="fixed"/>
          <w:tblCellMar>
            <w:left w:w="120" w:type="dxa"/>
            <w:right w:w="120" w:type="dxa"/>
          </w:tblCellMar>
          <w:tblLook w:val="0000"/>
        </w:tblPrEx>
        <w:tc>
          <w:tcPr>
            <w:tcW w:w="3055" w:type="dxa"/>
            <w:tcBorders>
              <w:top w:val="single" w:sz="4" w:space="0" w:color="auto"/>
              <w:left w:val="single" w:sz="4" w:space="0" w:color="auto"/>
              <w:bottom w:val="single" w:sz="4" w:space="0" w:color="auto"/>
              <w:right w:val="single" w:sz="4" w:space="0" w:color="auto"/>
            </w:tcBorders>
          </w:tcPr>
          <w:p w:rsidR="00E7033D" w:rsidRPr="007F6BFE" w:rsidP="007F6BFE" w14:paraId="3D01AE16" w14:textId="77777777">
            <w:pPr>
              <w:spacing w:after="58"/>
              <w:rPr>
                <w:rFonts w:ascii="Times New Roman" w:hAnsi="Times New Roman"/>
                <w:szCs w:val="24"/>
              </w:rPr>
            </w:pPr>
            <w:r>
              <w:rPr>
                <w:rFonts w:ascii="Times New Roman" w:hAnsi="Times New Roman"/>
                <w:i/>
                <w:szCs w:val="24"/>
              </w:rPr>
              <w:t>Active</w:t>
            </w:r>
            <w:r w:rsidRPr="007F6BFE">
              <w:rPr>
                <w:rFonts w:ascii="Times New Roman" w:hAnsi="Times New Roman"/>
                <w:i/>
                <w:szCs w:val="24"/>
              </w:rPr>
              <w:t xml:space="preserve"> Participants</w:t>
            </w:r>
          </w:p>
        </w:tc>
        <w:tc>
          <w:tcPr>
            <w:tcW w:w="1440" w:type="dxa"/>
            <w:tcBorders>
              <w:top w:val="single" w:sz="4" w:space="0" w:color="auto"/>
              <w:left w:val="single" w:sz="4" w:space="0" w:color="auto"/>
              <w:bottom w:val="single" w:sz="4" w:space="0" w:color="auto"/>
              <w:right w:val="single" w:sz="4" w:space="0" w:color="auto"/>
            </w:tcBorders>
          </w:tcPr>
          <w:p w:rsidR="00E7033D" w:rsidRPr="007F6BFE" w:rsidP="007F6BFE" w14:paraId="04806427" w14:textId="77777777">
            <w:pPr>
              <w:spacing w:after="58"/>
              <w:jc w:val="center"/>
              <w:rPr>
                <w:rFonts w:ascii="Times New Roman" w:hAnsi="Times New Roman"/>
                <w:szCs w:val="24"/>
              </w:rPr>
            </w:pPr>
            <w:r>
              <w:rPr>
                <w:rFonts w:ascii="Times New Roman" w:hAnsi="Times New Roman"/>
                <w:szCs w:val="24"/>
              </w:rPr>
              <w:t>660</w:t>
            </w:r>
          </w:p>
        </w:tc>
        <w:tc>
          <w:tcPr>
            <w:tcW w:w="2075" w:type="dxa"/>
            <w:tcBorders>
              <w:top w:val="single" w:sz="4" w:space="0" w:color="auto"/>
              <w:left w:val="single" w:sz="4" w:space="0" w:color="auto"/>
              <w:bottom w:val="single" w:sz="4" w:space="0" w:color="auto"/>
              <w:right w:val="single" w:sz="4" w:space="0" w:color="auto"/>
            </w:tcBorders>
          </w:tcPr>
          <w:p w:rsidR="00E7033D" w:rsidRPr="007F6BFE" w:rsidP="007F6BFE" w14:paraId="4C8EDDB2" w14:textId="77777777">
            <w:pPr>
              <w:spacing w:after="58"/>
              <w:jc w:val="center"/>
              <w:rPr>
                <w:rFonts w:ascii="Times New Roman" w:hAnsi="Times New Roman"/>
                <w:szCs w:val="24"/>
              </w:rPr>
            </w:pPr>
            <w:r w:rsidRPr="007F6BFE">
              <w:rPr>
                <w:rFonts w:ascii="Times New Roman" w:hAnsi="Times New Roman"/>
                <w:szCs w:val="24"/>
              </w:rPr>
              <w:t>$</w:t>
            </w:r>
            <w:r>
              <w:rPr>
                <w:rFonts w:ascii="Times New Roman" w:hAnsi="Times New Roman"/>
                <w:szCs w:val="24"/>
              </w:rPr>
              <w:t>60.34</w:t>
            </w:r>
          </w:p>
        </w:tc>
        <w:tc>
          <w:tcPr>
            <w:tcW w:w="2070" w:type="dxa"/>
            <w:tcBorders>
              <w:top w:val="single" w:sz="4" w:space="0" w:color="auto"/>
              <w:left w:val="single" w:sz="4" w:space="0" w:color="auto"/>
              <w:bottom w:val="single" w:sz="4" w:space="0" w:color="auto"/>
              <w:right w:val="single" w:sz="4" w:space="0" w:color="auto"/>
            </w:tcBorders>
          </w:tcPr>
          <w:p w:rsidR="00E7033D" w:rsidRPr="007F6BFE" w:rsidP="007F6BFE" w14:paraId="1FDBD1FA" w14:textId="77777777">
            <w:pPr>
              <w:spacing w:after="58"/>
              <w:jc w:val="center"/>
              <w:rPr>
                <w:rFonts w:ascii="Times New Roman" w:hAnsi="Times New Roman"/>
                <w:szCs w:val="24"/>
              </w:rPr>
            </w:pPr>
            <w:r w:rsidRPr="007F6BFE">
              <w:rPr>
                <w:rFonts w:ascii="Times New Roman" w:hAnsi="Times New Roman"/>
                <w:szCs w:val="24"/>
              </w:rPr>
              <w:t>$</w:t>
            </w:r>
            <w:r>
              <w:rPr>
                <w:rFonts w:ascii="Times New Roman" w:hAnsi="Times New Roman"/>
                <w:szCs w:val="24"/>
              </w:rPr>
              <w:t>39,825</w:t>
            </w:r>
          </w:p>
        </w:tc>
      </w:tr>
      <w:tr w14:paraId="5894E0F0" w14:textId="77777777" w:rsidTr="007F6BFE">
        <w:tblPrEx>
          <w:tblW w:w="0" w:type="auto"/>
          <w:tblLayout w:type="fixed"/>
          <w:tblCellMar>
            <w:left w:w="120" w:type="dxa"/>
            <w:right w:w="120" w:type="dxa"/>
          </w:tblCellMar>
          <w:tblLook w:val="0000"/>
        </w:tblPrEx>
        <w:tc>
          <w:tcPr>
            <w:tcW w:w="3055" w:type="dxa"/>
            <w:tcBorders>
              <w:top w:val="single" w:sz="4" w:space="0" w:color="auto"/>
              <w:left w:val="single" w:sz="4" w:space="0" w:color="auto"/>
              <w:bottom w:val="double" w:sz="4" w:space="0" w:color="auto"/>
              <w:right w:val="single" w:sz="4" w:space="0" w:color="auto"/>
            </w:tcBorders>
          </w:tcPr>
          <w:p w:rsidR="00E7033D" w:rsidRPr="007F6BFE" w:rsidP="007F6BFE" w14:paraId="2EEF5C8D" w14:textId="77777777">
            <w:pPr>
              <w:spacing w:after="58"/>
              <w:rPr>
                <w:rFonts w:ascii="Times New Roman" w:hAnsi="Times New Roman"/>
                <w:szCs w:val="24"/>
              </w:rPr>
            </w:pPr>
          </w:p>
        </w:tc>
        <w:tc>
          <w:tcPr>
            <w:tcW w:w="1440" w:type="dxa"/>
            <w:tcBorders>
              <w:top w:val="single" w:sz="4" w:space="0" w:color="auto"/>
              <w:left w:val="single" w:sz="4" w:space="0" w:color="auto"/>
              <w:bottom w:val="double" w:sz="4" w:space="0" w:color="auto"/>
              <w:right w:val="single" w:sz="4" w:space="0" w:color="auto"/>
            </w:tcBorders>
            <w:vAlign w:val="center"/>
          </w:tcPr>
          <w:p w:rsidR="00E7033D" w:rsidRPr="007F6BFE" w:rsidP="007F6BFE" w14:paraId="2FBE67D0" w14:textId="77777777">
            <w:pPr>
              <w:spacing w:after="58"/>
              <w:jc w:val="center"/>
              <w:rPr>
                <w:rFonts w:ascii="Times New Roman" w:hAnsi="Times New Roman"/>
                <w:szCs w:val="24"/>
              </w:rPr>
            </w:pPr>
          </w:p>
        </w:tc>
        <w:tc>
          <w:tcPr>
            <w:tcW w:w="2075" w:type="dxa"/>
            <w:tcBorders>
              <w:top w:val="single" w:sz="4" w:space="0" w:color="auto"/>
              <w:left w:val="single" w:sz="4" w:space="0" w:color="auto"/>
              <w:bottom w:val="double" w:sz="4" w:space="0" w:color="auto"/>
              <w:right w:val="single" w:sz="4" w:space="0" w:color="auto"/>
            </w:tcBorders>
          </w:tcPr>
          <w:p w:rsidR="00E7033D" w:rsidRPr="007F6BFE" w:rsidP="007F6BFE" w14:paraId="36A16131" w14:textId="77777777">
            <w:pPr>
              <w:spacing w:after="58"/>
              <w:jc w:val="center"/>
              <w:rPr>
                <w:rFonts w:ascii="Times New Roman" w:hAnsi="Times New Roman"/>
                <w:szCs w:val="24"/>
              </w:rPr>
            </w:pPr>
          </w:p>
        </w:tc>
        <w:tc>
          <w:tcPr>
            <w:tcW w:w="2070" w:type="dxa"/>
            <w:tcBorders>
              <w:top w:val="single" w:sz="4" w:space="0" w:color="auto"/>
              <w:left w:val="single" w:sz="4" w:space="0" w:color="auto"/>
              <w:bottom w:val="double" w:sz="4" w:space="0" w:color="auto"/>
              <w:right w:val="single" w:sz="4" w:space="0" w:color="auto"/>
            </w:tcBorders>
          </w:tcPr>
          <w:p w:rsidR="00E7033D" w:rsidRPr="007F6BFE" w:rsidP="007F6BFE" w14:paraId="681A6B57" w14:textId="77777777">
            <w:pPr>
              <w:spacing w:after="58"/>
              <w:jc w:val="center"/>
              <w:rPr>
                <w:rFonts w:ascii="Times New Roman" w:hAnsi="Times New Roman"/>
                <w:szCs w:val="24"/>
              </w:rPr>
            </w:pPr>
          </w:p>
        </w:tc>
      </w:tr>
      <w:tr w14:paraId="53F00F77" w14:textId="77777777" w:rsidTr="007F6BFE">
        <w:tblPrEx>
          <w:tblW w:w="0" w:type="auto"/>
          <w:tblLayout w:type="fixed"/>
          <w:tblCellMar>
            <w:left w:w="120" w:type="dxa"/>
            <w:right w:w="120" w:type="dxa"/>
          </w:tblCellMar>
          <w:tblLook w:val="0000"/>
        </w:tblPrEx>
        <w:trPr>
          <w:trHeight w:val="265"/>
        </w:trPr>
        <w:tc>
          <w:tcPr>
            <w:tcW w:w="3055" w:type="dxa"/>
            <w:tcBorders>
              <w:top w:val="double" w:sz="4" w:space="0" w:color="auto"/>
              <w:left w:val="single" w:sz="4" w:space="0" w:color="000000"/>
              <w:bottom w:val="single" w:sz="4" w:space="0" w:color="auto"/>
              <w:right w:val="single" w:sz="4" w:space="0" w:color="000000"/>
            </w:tcBorders>
          </w:tcPr>
          <w:p w:rsidR="00E7033D" w:rsidRPr="00FD616E" w:rsidP="007F6BFE" w14:paraId="62864C73" w14:textId="77777777">
            <w:pPr>
              <w:spacing w:after="58"/>
              <w:rPr>
                <w:rFonts w:ascii="Times New Roman" w:hAnsi="Times New Roman"/>
                <w:b/>
                <w:szCs w:val="24"/>
              </w:rPr>
            </w:pPr>
            <w:r w:rsidRPr="00FD616E">
              <w:rPr>
                <w:rFonts w:ascii="Times New Roman" w:hAnsi="Times New Roman"/>
                <w:b/>
                <w:szCs w:val="24"/>
              </w:rPr>
              <w:t xml:space="preserve">    Grand Total:</w:t>
            </w:r>
          </w:p>
        </w:tc>
        <w:tc>
          <w:tcPr>
            <w:tcW w:w="1440" w:type="dxa"/>
            <w:tcBorders>
              <w:top w:val="double" w:sz="4" w:space="0" w:color="auto"/>
              <w:left w:val="single" w:sz="4" w:space="0" w:color="000000"/>
              <w:bottom w:val="single" w:sz="4" w:space="0" w:color="000000"/>
              <w:right w:val="single" w:sz="4" w:space="0" w:color="000000"/>
            </w:tcBorders>
            <w:vAlign w:val="center"/>
          </w:tcPr>
          <w:p w:rsidR="00E7033D" w:rsidRPr="00FD616E" w:rsidP="007F6BFE" w14:paraId="552FBBE1" w14:textId="77777777">
            <w:pPr>
              <w:spacing w:after="58"/>
              <w:jc w:val="center"/>
              <w:rPr>
                <w:rFonts w:ascii="Times New Roman" w:hAnsi="Times New Roman"/>
                <w:b/>
                <w:szCs w:val="24"/>
              </w:rPr>
            </w:pPr>
            <w:r>
              <w:rPr>
                <w:rFonts w:ascii="Times New Roman" w:hAnsi="Times New Roman"/>
                <w:b/>
                <w:szCs w:val="24"/>
              </w:rPr>
              <w:t>2</w:t>
            </w:r>
            <w:r w:rsidRPr="00FD616E">
              <w:rPr>
                <w:rFonts w:ascii="Times New Roman" w:hAnsi="Times New Roman"/>
                <w:b/>
                <w:szCs w:val="24"/>
              </w:rPr>
              <w:t>,</w:t>
            </w:r>
            <w:r>
              <w:rPr>
                <w:rFonts w:ascii="Times New Roman" w:hAnsi="Times New Roman"/>
                <w:b/>
                <w:szCs w:val="24"/>
              </w:rPr>
              <w:t>540</w:t>
            </w:r>
          </w:p>
        </w:tc>
        <w:tc>
          <w:tcPr>
            <w:tcW w:w="2075" w:type="dxa"/>
            <w:tcBorders>
              <w:top w:val="double" w:sz="4" w:space="0" w:color="auto"/>
              <w:left w:val="single" w:sz="4" w:space="0" w:color="000000"/>
              <w:bottom w:val="single" w:sz="4" w:space="0" w:color="000000"/>
              <w:right w:val="single" w:sz="4" w:space="0" w:color="000000"/>
            </w:tcBorders>
            <w:vAlign w:val="center"/>
          </w:tcPr>
          <w:p w:rsidR="00E7033D" w:rsidRPr="00FD616E" w:rsidP="007F6BFE" w14:paraId="23479A5B" w14:textId="77777777">
            <w:pPr>
              <w:spacing w:after="58"/>
              <w:jc w:val="center"/>
              <w:rPr>
                <w:rFonts w:ascii="Times New Roman" w:hAnsi="Times New Roman"/>
                <w:b/>
                <w:szCs w:val="24"/>
              </w:rPr>
            </w:pPr>
            <w:r w:rsidRPr="00FD616E">
              <w:rPr>
                <w:rFonts w:ascii="Times New Roman" w:hAnsi="Times New Roman"/>
                <w:b/>
                <w:szCs w:val="24"/>
              </w:rPr>
              <w:t>---</w:t>
            </w:r>
          </w:p>
        </w:tc>
        <w:tc>
          <w:tcPr>
            <w:tcW w:w="2070" w:type="dxa"/>
            <w:tcBorders>
              <w:top w:val="double" w:sz="4" w:space="0" w:color="auto"/>
              <w:left w:val="single" w:sz="4" w:space="0" w:color="000000"/>
              <w:bottom w:val="single" w:sz="4" w:space="0" w:color="000000"/>
              <w:right w:val="single" w:sz="4" w:space="0" w:color="000000"/>
            </w:tcBorders>
            <w:vAlign w:val="center"/>
          </w:tcPr>
          <w:p w:rsidR="00E7033D" w:rsidRPr="00FD616E" w:rsidP="007F6BFE" w14:paraId="0CF952F4" w14:textId="77777777">
            <w:pPr>
              <w:spacing w:after="58"/>
              <w:jc w:val="center"/>
              <w:rPr>
                <w:rFonts w:ascii="Times New Roman" w:hAnsi="Times New Roman"/>
                <w:b/>
                <w:szCs w:val="24"/>
              </w:rPr>
            </w:pPr>
            <w:r w:rsidRPr="00FD616E">
              <w:rPr>
                <w:rFonts w:ascii="Times New Roman" w:hAnsi="Times New Roman"/>
                <w:b/>
                <w:szCs w:val="24"/>
              </w:rPr>
              <w:t>$</w:t>
            </w:r>
            <w:r>
              <w:rPr>
                <w:rFonts w:ascii="Times New Roman" w:hAnsi="Times New Roman"/>
                <w:b/>
                <w:szCs w:val="24"/>
              </w:rPr>
              <w:t>161,597</w:t>
            </w:r>
          </w:p>
        </w:tc>
      </w:tr>
    </w:tbl>
    <w:p w:rsidR="00E7033D" w:rsidRPr="00FD616E" w:rsidP="00E7033D" w14:paraId="3B8E243E" w14:textId="77777777">
      <w:pPr>
        <w:rPr>
          <w:rFonts w:ascii="Times New Roman" w:hAnsi="Times New Roman"/>
          <w:szCs w:val="24"/>
        </w:rPr>
      </w:pPr>
      <w:r w:rsidRPr="00FD616E">
        <w:rPr>
          <w:rFonts w:ascii="Times New Roman" w:hAnsi="Times New Roman"/>
          <w:szCs w:val="24"/>
        </w:rPr>
        <w:tab/>
      </w:r>
    </w:p>
    <w:p w:rsidR="00E7033D" w:rsidRPr="007F6BFE" w:rsidP="00E7033D" w14:paraId="57113A76" w14:textId="77777777">
      <w:pPr>
        <w:rPr>
          <w:rFonts w:ascii="Times New Roman" w:hAnsi="Times New Roman"/>
          <w:szCs w:val="24"/>
        </w:rPr>
      </w:pPr>
    </w:p>
    <w:p w:rsidR="00E7033D" w:rsidRPr="00FD616E" w:rsidP="00E7033D" w14:paraId="4AFC95D6" w14:textId="77777777">
      <w:pPr>
        <w:pStyle w:val="ListParagraph"/>
      </w:pPr>
    </w:p>
    <w:p w:rsidR="00E7033D" w:rsidRPr="00FD616E" w:rsidP="00E7033D" w14:paraId="570D0BD5" w14:textId="77777777">
      <w:pPr>
        <w:pStyle w:val="ListParagraph"/>
      </w:pPr>
    </w:p>
    <w:p w:rsidR="00E7033D" w:rsidRPr="00FD616E" w:rsidP="00E7033D" w14:paraId="2A8BC318" w14:textId="77777777">
      <w:pPr>
        <w:pStyle w:val="ListParagraph"/>
        <w:ind w:left="1080"/>
        <w:rPr>
          <w:vertAlign w:val="superscript"/>
        </w:rPr>
      </w:pPr>
    </w:p>
    <w:p w:rsidR="00E7033D" w:rsidRPr="00FD616E" w:rsidP="00E7033D" w14:paraId="4EC84BF4" w14:textId="77777777">
      <w:pPr>
        <w:pStyle w:val="ListParagraph"/>
        <w:ind w:left="1080"/>
        <w:rPr>
          <w:vertAlign w:val="superscript"/>
        </w:rPr>
      </w:pPr>
    </w:p>
    <w:p w:rsidR="00E7033D" w:rsidRPr="00FD616E" w:rsidP="00E7033D" w14:paraId="7516C07B" w14:textId="77777777">
      <w:pPr>
        <w:pStyle w:val="ListParagraph"/>
        <w:spacing w:line="360" w:lineRule="auto"/>
        <w:ind w:left="1080"/>
        <w:rPr>
          <w:vertAlign w:val="superscript"/>
        </w:rPr>
      </w:pPr>
    </w:p>
    <w:p w:rsidR="00E7033D" w:rsidRPr="00FD616E" w:rsidP="006F575B" w14:paraId="04E31DA8" w14:textId="04D06822">
      <w:pPr>
        <w:pStyle w:val="ListParagraph"/>
        <w:spacing w:line="240" w:lineRule="auto"/>
        <w:ind w:left="0"/>
      </w:pPr>
      <w:r w:rsidRPr="00FD616E">
        <w:t>All salaries were obtained from Bureau of Labor Statistics, median wage used unless a mean specifically posted for the position (</w:t>
      </w:r>
      <w:hyperlink r:id="rId16" w:history="1">
        <w:r w:rsidRPr="00FD616E">
          <w:rPr>
            <w:rStyle w:val="Hyperlink"/>
          </w:rPr>
          <w:t>http://www.bls.gov/oes/current/oes291131.htm</w:t>
        </w:r>
      </w:hyperlink>
      <w:r w:rsidRPr="00FD616E">
        <w:rPr>
          <w:rStyle w:val="Hyperlink"/>
        </w:rPr>
        <w:t>).</w:t>
      </w:r>
      <w:r w:rsidR="00E34F3C">
        <w:rPr>
          <w:rStyle w:val="Hyperlink"/>
        </w:rPr>
        <w:t xml:space="preserve"> </w:t>
      </w:r>
      <w:r w:rsidRPr="00FD616E" w:rsidR="00E34F3C">
        <w:rPr>
          <w:szCs w:val="24"/>
        </w:rPr>
        <w:t>This estimate accounts for the cost of fringe benefit cost for the respondents.</w:t>
      </w:r>
    </w:p>
    <w:p w:rsidR="00ED28F2" w:rsidRPr="002568E6" w:rsidP="00ED28F2" w14:paraId="69075790" w14:textId="77777777">
      <w:pPr>
        <w:tabs>
          <w:tab w:val="left" w:pos="-720"/>
        </w:tabs>
        <w:suppressAutoHyphens/>
        <w:spacing w:line="480" w:lineRule="auto"/>
        <w:rPr>
          <w:rFonts w:ascii="Times New Roman" w:hAnsi="Times New Roman"/>
          <w:szCs w:val="24"/>
        </w:rPr>
      </w:pPr>
    </w:p>
    <w:p w:rsidR="000438E8" w:rsidRPr="002568E6" w:rsidP="0062567E" w14:paraId="69075791" w14:textId="77777777">
      <w:pPr>
        <w:pStyle w:val="Heading1"/>
        <w:rPr>
          <w:szCs w:val="24"/>
        </w:rPr>
      </w:pPr>
      <w:bookmarkStart w:id="26" w:name="_Toc401831369"/>
      <w:bookmarkStart w:id="27" w:name="_Toc401832413"/>
      <w:r w:rsidRPr="002568E6">
        <w:rPr>
          <w:szCs w:val="24"/>
        </w:rPr>
        <w:t xml:space="preserve">A13.  Estimates of other total annual cost </w:t>
      </w:r>
      <w:r w:rsidRPr="002568E6" w:rsidR="00ED28F2">
        <w:rPr>
          <w:szCs w:val="24"/>
        </w:rPr>
        <w:t>burden</w:t>
      </w:r>
      <w:r w:rsidRPr="002568E6">
        <w:rPr>
          <w:szCs w:val="24"/>
        </w:rPr>
        <w:t>.</w:t>
      </w:r>
      <w:bookmarkEnd w:id="26"/>
      <w:bookmarkEnd w:id="27"/>
    </w:p>
    <w:p w:rsidR="0062567E" w:rsidRPr="002568E6" w:rsidP="000438E8" w14:paraId="69075792" w14:textId="77777777">
      <w:pPr>
        <w:tabs>
          <w:tab w:val="left" w:pos="0"/>
        </w:tabs>
        <w:suppressAutoHyphens/>
        <w:rPr>
          <w:rFonts w:ascii="Times New Roman" w:hAnsi="Times New Roman"/>
          <w:b/>
          <w:szCs w:val="24"/>
        </w:rPr>
      </w:pPr>
    </w:p>
    <w:p w:rsidR="0062567E" w:rsidRPr="002568E6" w:rsidP="000438E8" w14:paraId="69075793"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2568E6" w:rsidP="00ED28F2" w14:paraId="69075794" w14:textId="77777777">
      <w:pPr>
        <w:tabs>
          <w:tab w:val="left" w:pos="-720"/>
        </w:tabs>
        <w:suppressAutoHyphens/>
        <w:rPr>
          <w:rFonts w:ascii="Times New Roman" w:hAnsi="Times New Roman"/>
          <w:szCs w:val="24"/>
        </w:rPr>
      </w:pPr>
    </w:p>
    <w:p w:rsidR="00851CF4" w:rsidP="0062567E" w14:paraId="2EEAA982" w14:textId="68B3D48B">
      <w:pPr>
        <w:pStyle w:val="Heading1"/>
        <w:rPr>
          <w:szCs w:val="24"/>
        </w:rPr>
      </w:pPr>
      <w:r w:rsidRPr="006F575B">
        <w:rPr>
          <w:b w:val="0"/>
          <w:szCs w:val="24"/>
        </w:rPr>
        <w:t>There are no capital</w:t>
      </w:r>
      <w:r w:rsidRPr="006F575B" w:rsidR="00F51A8E">
        <w:rPr>
          <w:b w:val="0"/>
          <w:szCs w:val="24"/>
        </w:rPr>
        <w:t>/</w:t>
      </w:r>
      <w:r w:rsidRPr="006F575B">
        <w:rPr>
          <w:b w:val="0"/>
          <w:szCs w:val="24"/>
        </w:rPr>
        <w:t>startup cost</w:t>
      </w:r>
      <w:r w:rsidRPr="006F575B" w:rsidR="00F51A8E">
        <w:rPr>
          <w:b w:val="0"/>
          <w:szCs w:val="24"/>
        </w:rPr>
        <w:t>s or ongoing operation/maintenance costs</w:t>
      </w:r>
      <w:r w:rsidRPr="006F575B">
        <w:rPr>
          <w:b w:val="0"/>
          <w:szCs w:val="24"/>
        </w:rPr>
        <w:t xml:space="preserve"> </w:t>
      </w:r>
      <w:r w:rsidRPr="006F575B" w:rsidR="008C71A9">
        <w:rPr>
          <w:b w:val="0"/>
          <w:szCs w:val="24"/>
        </w:rPr>
        <w:t xml:space="preserve">associated with this </w:t>
      </w:r>
      <w:r w:rsidRPr="006F575B" w:rsidR="008C71A9">
        <w:rPr>
          <w:b w:val="0"/>
          <w:szCs w:val="24"/>
        </w:rPr>
        <w:t>information collection</w:t>
      </w:r>
      <w:r w:rsidRPr="006F575B">
        <w:rPr>
          <w:b w:val="0"/>
          <w:szCs w:val="24"/>
        </w:rPr>
        <w:t>.</w:t>
      </w:r>
      <w:bookmarkStart w:id="28" w:name="_Toc401831370"/>
      <w:bookmarkStart w:id="29" w:name="_Toc401832414"/>
    </w:p>
    <w:p w:rsidR="00806C1C" w:rsidP="006F575B" w14:paraId="1F523D62" w14:textId="77777777">
      <w:pPr>
        <w:pStyle w:val="Heading1"/>
        <w:spacing w:line="480" w:lineRule="auto"/>
        <w:rPr>
          <w:szCs w:val="24"/>
        </w:rPr>
      </w:pPr>
    </w:p>
    <w:p w:rsidR="00A308DB" w:rsidRPr="002568E6" w:rsidP="0062567E" w14:paraId="69075797" w14:textId="4B2681E6">
      <w:pPr>
        <w:pStyle w:val="Heading1"/>
        <w:rPr>
          <w:szCs w:val="24"/>
        </w:rPr>
      </w:pPr>
      <w:r w:rsidRPr="002568E6">
        <w:rPr>
          <w:szCs w:val="24"/>
        </w:rPr>
        <w:t>A14.  Provide estimates of annualized cost to the Federal government.</w:t>
      </w:r>
      <w:bookmarkEnd w:id="28"/>
      <w:bookmarkEnd w:id="29"/>
      <w:r w:rsidRPr="002568E6" w:rsidR="0088245A">
        <w:rPr>
          <w:szCs w:val="24"/>
        </w:rPr>
        <w:t xml:space="preserve">  </w:t>
      </w:r>
    </w:p>
    <w:p w:rsidR="0062567E" w:rsidP="0062567E" w14:paraId="69075799" w14:textId="77777777">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002876A8" w:rsidRPr="002568E6" w:rsidP="0062567E" w14:paraId="29A92A1A" w14:textId="77777777">
      <w:pPr>
        <w:pStyle w:val="ListParagraph"/>
        <w:widowControl/>
        <w:spacing w:line="240" w:lineRule="auto"/>
        <w:ind w:left="0"/>
        <w:rPr>
          <w:b/>
          <w:szCs w:val="24"/>
        </w:rPr>
      </w:pPr>
    </w:p>
    <w:p w:rsidR="0099054F" w:rsidP="0099054F" w14:paraId="4D54CE4C" w14:textId="77777777">
      <w:pPr>
        <w:rPr>
          <w:rFonts w:ascii="Times New Roman" w:hAnsi="Times New Roman"/>
          <w:szCs w:val="24"/>
        </w:rPr>
      </w:pPr>
      <w:r w:rsidRPr="00FD616E">
        <w:rPr>
          <w:rFonts w:ascii="Times New Roman" w:hAnsi="Times New Roman"/>
          <w:szCs w:val="24"/>
          <w:lang w:val="en-CA"/>
        </w:rPr>
        <w:fldChar w:fldCharType="begin"/>
      </w:r>
      <w:r w:rsidRPr="00FD616E">
        <w:rPr>
          <w:rFonts w:ascii="Times New Roman" w:hAnsi="Times New Roman"/>
          <w:szCs w:val="24"/>
          <w:lang w:val="en-CA"/>
        </w:rPr>
        <w:instrText xml:space="preserve"> SEQ CHAPTER \h \r 1</w:instrText>
      </w:r>
      <w:r w:rsidRPr="00FD616E">
        <w:rPr>
          <w:rFonts w:ascii="Times New Roman" w:hAnsi="Times New Roman"/>
          <w:szCs w:val="24"/>
          <w:lang w:val="en-CA"/>
        </w:rPr>
        <w:fldChar w:fldCharType="separate"/>
      </w:r>
      <w:r w:rsidRPr="00FD616E">
        <w:rPr>
          <w:rFonts w:ascii="Times New Roman" w:hAnsi="Times New Roman"/>
          <w:szCs w:val="24"/>
          <w:lang w:val="en-CA"/>
        </w:rPr>
        <w:fldChar w:fldCharType="end"/>
      </w:r>
      <w:r w:rsidRPr="00FD616E">
        <w:rPr>
          <w:rFonts w:ascii="Times New Roman" w:hAnsi="Times New Roman"/>
          <w:szCs w:val="24"/>
        </w:rPr>
        <w:t>The staff members responsible for administering the VMLRP are full-time employees ranging in grade levels GS-9 to GS-15. Processing of VMLRP forms and data associated with these forms is included in their regularly assigned duties. This estimate includes the cost of fringe benefits.</w:t>
      </w:r>
    </w:p>
    <w:p w:rsidR="009D121C" w:rsidRPr="00FD616E" w:rsidP="0099054F" w14:paraId="72D9AC6B" w14:textId="77777777">
      <w:pPr>
        <w:rPr>
          <w:rFonts w:ascii="Times New Roman" w:hAnsi="Times New Roman"/>
          <w:szCs w:val="24"/>
        </w:rPr>
      </w:pPr>
    </w:p>
    <w:p w:rsidR="0099054F" w:rsidRPr="00FD616E" w:rsidP="0099054F" w14:paraId="497B1DB7" w14:textId="77777777">
      <w:pPr>
        <w:ind w:left="720"/>
        <w:rPr>
          <w:rFonts w:ascii="Times New Roman" w:hAnsi="Times New Roman"/>
          <w:szCs w:val="24"/>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45"/>
        <w:gridCol w:w="3780"/>
        <w:gridCol w:w="1620"/>
        <w:gridCol w:w="1350"/>
        <w:gridCol w:w="1490"/>
      </w:tblGrid>
      <w:tr w14:paraId="757F33A2" w14:textId="77777777" w:rsidTr="0099054F">
        <w:tblPrEx>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2245" w:type="dxa"/>
            <w:vAlign w:val="center"/>
          </w:tcPr>
          <w:p w:rsidR="0099054F" w:rsidRPr="00FD616E" w:rsidP="000445C1" w14:paraId="132FC2BC" w14:textId="77777777">
            <w:pPr>
              <w:jc w:val="center"/>
              <w:rPr>
                <w:rFonts w:ascii="Times New Roman" w:hAnsi="Times New Roman"/>
                <w:b/>
                <w:szCs w:val="24"/>
              </w:rPr>
            </w:pPr>
            <w:r w:rsidRPr="00FD616E">
              <w:rPr>
                <w:rFonts w:ascii="Times New Roman" w:hAnsi="Times New Roman"/>
                <w:b/>
                <w:szCs w:val="24"/>
              </w:rPr>
              <w:t>Staff</w:t>
            </w:r>
          </w:p>
        </w:tc>
        <w:tc>
          <w:tcPr>
            <w:tcW w:w="3780" w:type="dxa"/>
            <w:vAlign w:val="center"/>
          </w:tcPr>
          <w:p w:rsidR="0099054F" w:rsidRPr="00FD616E" w:rsidP="000445C1" w14:paraId="2A4E6430" w14:textId="77777777">
            <w:pPr>
              <w:jc w:val="center"/>
              <w:rPr>
                <w:rFonts w:ascii="Times New Roman" w:hAnsi="Times New Roman"/>
                <w:b/>
                <w:szCs w:val="24"/>
              </w:rPr>
            </w:pPr>
            <w:r w:rsidRPr="00FD616E">
              <w:rPr>
                <w:rFonts w:ascii="Times New Roman" w:hAnsi="Times New Roman"/>
                <w:b/>
                <w:szCs w:val="24"/>
              </w:rPr>
              <w:t>Action</w:t>
            </w:r>
          </w:p>
        </w:tc>
        <w:tc>
          <w:tcPr>
            <w:tcW w:w="1620" w:type="dxa"/>
            <w:vAlign w:val="center"/>
          </w:tcPr>
          <w:p w:rsidR="0099054F" w:rsidRPr="00FD616E" w:rsidP="000445C1" w14:paraId="1C6660A1" w14:textId="77777777">
            <w:pPr>
              <w:jc w:val="center"/>
              <w:rPr>
                <w:rFonts w:ascii="Times New Roman" w:hAnsi="Times New Roman"/>
                <w:b/>
                <w:szCs w:val="24"/>
              </w:rPr>
            </w:pPr>
            <w:r w:rsidRPr="00FD616E">
              <w:rPr>
                <w:rFonts w:ascii="Times New Roman" w:hAnsi="Times New Roman"/>
                <w:b/>
                <w:szCs w:val="24"/>
              </w:rPr>
              <w:t>Annual Salary*</w:t>
            </w:r>
          </w:p>
        </w:tc>
        <w:tc>
          <w:tcPr>
            <w:tcW w:w="1350" w:type="dxa"/>
            <w:vAlign w:val="center"/>
          </w:tcPr>
          <w:p w:rsidR="0099054F" w:rsidRPr="00FD616E" w:rsidP="000445C1" w14:paraId="1E95B624" w14:textId="77777777">
            <w:pPr>
              <w:jc w:val="center"/>
              <w:rPr>
                <w:rFonts w:ascii="Times New Roman" w:hAnsi="Times New Roman"/>
                <w:b/>
                <w:szCs w:val="24"/>
              </w:rPr>
            </w:pPr>
            <w:r w:rsidRPr="00FD616E">
              <w:rPr>
                <w:rFonts w:ascii="Times New Roman" w:hAnsi="Times New Roman"/>
                <w:b/>
                <w:szCs w:val="24"/>
              </w:rPr>
              <w:t>%FTE for Program</w:t>
            </w:r>
          </w:p>
        </w:tc>
        <w:tc>
          <w:tcPr>
            <w:tcW w:w="1490" w:type="dxa"/>
            <w:vAlign w:val="center"/>
          </w:tcPr>
          <w:p w:rsidR="0099054F" w:rsidRPr="00FD616E" w:rsidP="000445C1" w14:paraId="707938A6" w14:textId="77777777">
            <w:pPr>
              <w:jc w:val="center"/>
              <w:rPr>
                <w:rFonts w:ascii="Times New Roman" w:hAnsi="Times New Roman"/>
                <w:b/>
                <w:szCs w:val="24"/>
              </w:rPr>
            </w:pPr>
            <w:r w:rsidRPr="00FD616E">
              <w:rPr>
                <w:rFonts w:ascii="Times New Roman" w:hAnsi="Times New Roman"/>
                <w:b/>
                <w:szCs w:val="24"/>
              </w:rPr>
              <w:t>Total Annualized Cost</w:t>
            </w:r>
          </w:p>
        </w:tc>
      </w:tr>
      <w:tr w14:paraId="4DDBC015" w14:textId="77777777" w:rsidTr="0099054F">
        <w:tblPrEx>
          <w:tblW w:w="10485" w:type="dxa"/>
          <w:jc w:val="center"/>
          <w:tblLayout w:type="fixed"/>
          <w:tblLook w:val="01E0"/>
        </w:tblPrEx>
        <w:trPr>
          <w:jc w:val="center"/>
        </w:trPr>
        <w:tc>
          <w:tcPr>
            <w:tcW w:w="2245" w:type="dxa"/>
          </w:tcPr>
          <w:p w:rsidR="0099054F" w:rsidRPr="00FD616E" w:rsidP="000445C1" w14:paraId="2BECCD75" w14:textId="77777777">
            <w:pPr>
              <w:rPr>
                <w:rFonts w:ascii="Times New Roman" w:hAnsi="Times New Roman"/>
                <w:szCs w:val="24"/>
              </w:rPr>
            </w:pPr>
            <w:r w:rsidRPr="1DD2BEBF">
              <w:rPr>
                <w:rFonts w:ascii="Times New Roman" w:hAnsi="Times New Roman"/>
                <w:szCs w:val="24"/>
              </w:rPr>
              <w:t>Program Assistant, GS-7</w:t>
            </w:r>
          </w:p>
        </w:tc>
        <w:tc>
          <w:tcPr>
            <w:tcW w:w="3780" w:type="dxa"/>
          </w:tcPr>
          <w:p w:rsidR="0099054F" w:rsidRPr="00FD616E" w:rsidP="000445C1" w14:paraId="3692C1DE" w14:textId="77777777">
            <w:pPr>
              <w:rPr>
                <w:rFonts w:ascii="Times New Roman" w:hAnsi="Times New Roman"/>
                <w:szCs w:val="24"/>
              </w:rPr>
            </w:pPr>
            <w:r w:rsidRPr="00FD616E">
              <w:rPr>
                <w:rFonts w:ascii="Times New Roman" w:hAnsi="Times New Roman"/>
                <w:szCs w:val="24"/>
              </w:rPr>
              <w:t>Processes applications for preliminary review, assists with data entry</w:t>
            </w:r>
          </w:p>
        </w:tc>
        <w:tc>
          <w:tcPr>
            <w:tcW w:w="1620" w:type="dxa"/>
            <w:vAlign w:val="center"/>
          </w:tcPr>
          <w:p w:rsidR="0099054F" w:rsidRPr="00FD616E" w:rsidP="000445C1" w14:paraId="37243C9D" w14:textId="3E13D310">
            <w:pPr>
              <w:jc w:val="center"/>
              <w:rPr>
                <w:rFonts w:ascii="Times New Roman" w:hAnsi="Times New Roman"/>
                <w:szCs w:val="24"/>
              </w:rPr>
            </w:pPr>
            <w:r w:rsidRPr="1DD2BEBF">
              <w:rPr>
                <w:rFonts w:ascii="Times New Roman" w:hAnsi="Times New Roman"/>
                <w:szCs w:val="24"/>
              </w:rPr>
              <w:t>$</w:t>
            </w:r>
            <w:r w:rsidR="0059680B">
              <w:rPr>
                <w:rFonts w:ascii="Times New Roman" w:hAnsi="Times New Roman"/>
                <w:szCs w:val="24"/>
              </w:rPr>
              <w:t>58,122</w:t>
            </w:r>
          </w:p>
        </w:tc>
        <w:tc>
          <w:tcPr>
            <w:tcW w:w="1350" w:type="dxa"/>
            <w:vAlign w:val="center"/>
          </w:tcPr>
          <w:p w:rsidR="0099054F" w:rsidRPr="00FD616E" w:rsidP="000445C1" w14:paraId="04361A25" w14:textId="77777777">
            <w:pPr>
              <w:jc w:val="center"/>
              <w:rPr>
                <w:rFonts w:ascii="Times New Roman" w:hAnsi="Times New Roman"/>
                <w:szCs w:val="24"/>
              </w:rPr>
            </w:pPr>
            <w:r w:rsidRPr="1DD2BEBF">
              <w:rPr>
                <w:rFonts w:ascii="Times New Roman" w:hAnsi="Times New Roman"/>
                <w:szCs w:val="24"/>
              </w:rPr>
              <w:t>25</w:t>
            </w:r>
          </w:p>
        </w:tc>
        <w:tc>
          <w:tcPr>
            <w:tcW w:w="1490" w:type="dxa"/>
            <w:vAlign w:val="center"/>
          </w:tcPr>
          <w:p w:rsidR="0099054F" w:rsidRPr="00FD616E" w:rsidP="000445C1" w14:paraId="2A95BF61" w14:textId="1994D1D3">
            <w:pPr>
              <w:spacing w:line="259" w:lineRule="auto"/>
              <w:jc w:val="center"/>
              <w:rPr>
                <w:rFonts w:ascii="Times New Roman" w:hAnsi="Times New Roman"/>
                <w:szCs w:val="24"/>
              </w:rPr>
            </w:pPr>
            <w:r w:rsidRPr="1DD2BEBF">
              <w:rPr>
                <w:rFonts w:ascii="Times New Roman" w:hAnsi="Times New Roman"/>
                <w:szCs w:val="24"/>
              </w:rPr>
              <w:t>$</w:t>
            </w:r>
            <w:r w:rsidR="00D32413">
              <w:rPr>
                <w:rFonts w:ascii="Times New Roman" w:hAnsi="Times New Roman"/>
                <w:szCs w:val="24"/>
              </w:rPr>
              <w:t>14,531</w:t>
            </w:r>
          </w:p>
        </w:tc>
      </w:tr>
      <w:tr w14:paraId="65D8FA2A" w14:textId="77777777" w:rsidTr="0099054F">
        <w:tblPrEx>
          <w:tblW w:w="10485" w:type="dxa"/>
          <w:jc w:val="center"/>
          <w:tblLayout w:type="fixed"/>
          <w:tblLook w:val="01E0"/>
        </w:tblPrEx>
        <w:trPr>
          <w:jc w:val="center"/>
        </w:trPr>
        <w:tc>
          <w:tcPr>
            <w:tcW w:w="2245" w:type="dxa"/>
          </w:tcPr>
          <w:p w:rsidR="0099054F" w:rsidRPr="00FD616E" w:rsidP="000445C1" w14:paraId="0264C94A" w14:textId="77777777">
            <w:pPr>
              <w:rPr>
                <w:rFonts w:ascii="Times New Roman" w:hAnsi="Times New Roman"/>
                <w:szCs w:val="24"/>
              </w:rPr>
            </w:pPr>
            <w:r w:rsidRPr="00FD616E">
              <w:rPr>
                <w:rFonts w:ascii="Times New Roman" w:hAnsi="Times New Roman"/>
                <w:szCs w:val="24"/>
              </w:rPr>
              <w:t>Grants Management Specialist, GS-12</w:t>
            </w:r>
          </w:p>
        </w:tc>
        <w:tc>
          <w:tcPr>
            <w:tcW w:w="3780" w:type="dxa"/>
          </w:tcPr>
          <w:p w:rsidR="0099054F" w:rsidRPr="00FD616E" w:rsidP="000445C1" w14:paraId="6F8ABF52" w14:textId="77777777">
            <w:pPr>
              <w:rPr>
                <w:rFonts w:ascii="Times New Roman" w:hAnsi="Times New Roman"/>
                <w:szCs w:val="24"/>
              </w:rPr>
            </w:pPr>
            <w:r w:rsidRPr="00FD616E">
              <w:rPr>
                <w:rFonts w:ascii="Times New Roman" w:hAnsi="Times New Roman"/>
                <w:szCs w:val="24"/>
              </w:rPr>
              <w:t>They Assess Loan Eligibility, process service verifications quarterly, validate number of hours worked quarterly, provide technical assistance, process payment verifications, and customer service.</w:t>
            </w:r>
          </w:p>
        </w:tc>
        <w:tc>
          <w:tcPr>
            <w:tcW w:w="1620" w:type="dxa"/>
            <w:vAlign w:val="center"/>
          </w:tcPr>
          <w:p w:rsidR="0099054F" w:rsidRPr="00FD616E" w:rsidP="000445C1" w14:paraId="38DAA9C6" w14:textId="050E1C92">
            <w:pPr>
              <w:jc w:val="center"/>
              <w:rPr>
                <w:rFonts w:ascii="Times New Roman" w:hAnsi="Times New Roman"/>
                <w:szCs w:val="24"/>
              </w:rPr>
            </w:pPr>
            <w:r w:rsidRPr="00FD616E">
              <w:rPr>
                <w:rFonts w:ascii="Times New Roman" w:hAnsi="Times New Roman"/>
                <w:szCs w:val="24"/>
              </w:rPr>
              <w:t>$</w:t>
            </w:r>
            <w:r w:rsidR="00D32413">
              <w:rPr>
                <w:rFonts w:ascii="Times New Roman" w:hAnsi="Times New Roman"/>
                <w:szCs w:val="24"/>
              </w:rPr>
              <w:t>103,098</w:t>
            </w:r>
          </w:p>
        </w:tc>
        <w:tc>
          <w:tcPr>
            <w:tcW w:w="1350" w:type="dxa"/>
            <w:vAlign w:val="center"/>
          </w:tcPr>
          <w:p w:rsidR="0099054F" w:rsidRPr="00FD616E" w:rsidP="000445C1" w14:paraId="37AFDA96" w14:textId="77777777">
            <w:pPr>
              <w:jc w:val="center"/>
              <w:rPr>
                <w:rFonts w:ascii="Times New Roman" w:hAnsi="Times New Roman"/>
                <w:szCs w:val="24"/>
              </w:rPr>
            </w:pPr>
            <w:r w:rsidRPr="00FD616E">
              <w:rPr>
                <w:rFonts w:ascii="Times New Roman" w:hAnsi="Times New Roman"/>
                <w:szCs w:val="24"/>
              </w:rPr>
              <w:t>100</w:t>
            </w:r>
          </w:p>
        </w:tc>
        <w:tc>
          <w:tcPr>
            <w:tcW w:w="1490" w:type="dxa"/>
            <w:vAlign w:val="center"/>
          </w:tcPr>
          <w:p w:rsidR="0099054F" w:rsidRPr="00FD616E" w:rsidP="000445C1" w14:paraId="7061752C" w14:textId="096ACD68">
            <w:pPr>
              <w:jc w:val="center"/>
              <w:rPr>
                <w:rFonts w:ascii="Times New Roman" w:hAnsi="Times New Roman"/>
                <w:szCs w:val="24"/>
              </w:rPr>
            </w:pPr>
            <w:r w:rsidRPr="00FD616E">
              <w:rPr>
                <w:rFonts w:ascii="Times New Roman" w:hAnsi="Times New Roman"/>
                <w:szCs w:val="24"/>
              </w:rPr>
              <w:t>$</w:t>
            </w:r>
            <w:r>
              <w:rPr>
                <w:rFonts w:ascii="Times New Roman" w:hAnsi="Times New Roman"/>
                <w:szCs w:val="24"/>
              </w:rPr>
              <w:t>10</w:t>
            </w:r>
            <w:r w:rsidR="00D32413">
              <w:rPr>
                <w:rFonts w:ascii="Times New Roman" w:hAnsi="Times New Roman"/>
                <w:szCs w:val="24"/>
              </w:rPr>
              <w:t>3,098</w:t>
            </w:r>
          </w:p>
        </w:tc>
      </w:tr>
      <w:tr w14:paraId="038B6ACA" w14:textId="77777777" w:rsidTr="0099054F">
        <w:tblPrEx>
          <w:tblW w:w="10485" w:type="dxa"/>
          <w:jc w:val="center"/>
          <w:tblLayout w:type="fixed"/>
          <w:tblLook w:val="01E0"/>
        </w:tblPrEx>
        <w:trPr>
          <w:jc w:val="center"/>
        </w:trPr>
        <w:tc>
          <w:tcPr>
            <w:tcW w:w="2245" w:type="dxa"/>
          </w:tcPr>
          <w:p w:rsidR="0099054F" w:rsidRPr="00FD616E" w:rsidP="000445C1" w14:paraId="50020DB9" w14:textId="77777777">
            <w:pPr>
              <w:rPr>
                <w:rFonts w:ascii="Times New Roman" w:hAnsi="Times New Roman"/>
                <w:szCs w:val="24"/>
              </w:rPr>
            </w:pPr>
            <w:r w:rsidRPr="00FD616E">
              <w:rPr>
                <w:rFonts w:ascii="Times New Roman" w:hAnsi="Times New Roman"/>
                <w:szCs w:val="24"/>
              </w:rPr>
              <w:t>Capacity Branch Chief, GS 14</w:t>
            </w:r>
          </w:p>
        </w:tc>
        <w:tc>
          <w:tcPr>
            <w:tcW w:w="3780" w:type="dxa"/>
          </w:tcPr>
          <w:p w:rsidR="0099054F" w:rsidRPr="00FD616E" w:rsidP="000445C1" w14:paraId="79D564B2" w14:textId="77777777">
            <w:pPr>
              <w:rPr>
                <w:rFonts w:ascii="Times New Roman" w:hAnsi="Times New Roman"/>
                <w:szCs w:val="24"/>
              </w:rPr>
            </w:pPr>
            <w:bookmarkStart w:id="30" w:name="_Hlk118443485"/>
            <w:r w:rsidRPr="00FD616E">
              <w:rPr>
                <w:rFonts w:ascii="Times New Roman" w:hAnsi="Times New Roman"/>
                <w:szCs w:val="24"/>
              </w:rPr>
              <w:t>Signature designee on award offers and service agreements to awarded participants.</w:t>
            </w:r>
            <w:bookmarkEnd w:id="30"/>
          </w:p>
        </w:tc>
        <w:tc>
          <w:tcPr>
            <w:tcW w:w="1620" w:type="dxa"/>
            <w:vAlign w:val="center"/>
          </w:tcPr>
          <w:p w:rsidR="0099054F" w:rsidRPr="00FD616E" w:rsidP="000445C1" w14:paraId="0A84EF7D" w14:textId="58924DB5">
            <w:pPr>
              <w:jc w:val="center"/>
              <w:rPr>
                <w:rFonts w:ascii="Times New Roman" w:hAnsi="Times New Roman"/>
                <w:szCs w:val="24"/>
              </w:rPr>
            </w:pPr>
            <w:r w:rsidRPr="00FD616E">
              <w:rPr>
                <w:rFonts w:ascii="Times New Roman" w:hAnsi="Times New Roman"/>
                <w:szCs w:val="24"/>
              </w:rPr>
              <w:t>$</w:t>
            </w:r>
            <w:r>
              <w:rPr>
                <w:rFonts w:ascii="Times New Roman" w:hAnsi="Times New Roman"/>
                <w:szCs w:val="24"/>
              </w:rPr>
              <w:t>14</w:t>
            </w:r>
            <w:r w:rsidR="00C73E93">
              <w:rPr>
                <w:rFonts w:ascii="Times New Roman" w:hAnsi="Times New Roman"/>
                <w:szCs w:val="24"/>
              </w:rPr>
              <w:t>4,875</w:t>
            </w:r>
          </w:p>
        </w:tc>
        <w:tc>
          <w:tcPr>
            <w:tcW w:w="1350" w:type="dxa"/>
            <w:vAlign w:val="center"/>
          </w:tcPr>
          <w:p w:rsidR="0099054F" w:rsidRPr="00FD616E" w:rsidP="000445C1" w14:paraId="28E43467" w14:textId="77777777">
            <w:pPr>
              <w:jc w:val="center"/>
              <w:rPr>
                <w:rFonts w:ascii="Times New Roman" w:hAnsi="Times New Roman"/>
                <w:szCs w:val="24"/>
              </w:rPr>
            </w:pPr>
            <w:r w:rsidRPr="00FD616E">
              <w:rPr>
                <w:rFonts w:ascii="Times New Roman" w:hAnsi="Times New Roman"/>
                <w:szCs w:val="24"/>
              </w:rPr>
              <w:t>10</w:t>
            </w:r>
          </w:p>
        </w:tc>
        <w:tc>
          <w:tcPr>
            <w:tcW w:w="1490" w:type="dxa"/>
            <w:vAlign w:val="center"/>
          </w:tcPr>
          <w:p w:rsidR="0099054F" w:rsidRPr="00FD616E" w:rsidP="000445C1" w14:paraId="55BB0A6A" w14:textId="7FBC010D">
            <w:pPr>
              <w:jc w:val="center"/>
              <w:rPr>
                <w:rFonts w:ascii="Times New Roman" w:hAnsi="Times New Roman"/>
                <w:szCs w:val="24"/>
              </w:rPr>
            </w:pPr>
            <w:r w:rsidRPr="00FD616E">
              <w:rPr>
                <w:rFonts w:ascii="Times New Roman" w:hAnsi="Times New Roman"/>
                <w:szCs w:val="24"/>
              </w:rPr>
              <w:t>$1</w:t>
            </w:r>
            <w:r>
              <w:rPr>
                <w:rFonts w:ascii="Times New Roman" w:hAnsi="Times New Roman"/>
                <w:szCs w:val="24"/>
              </w:rPr>
              <w:t>4</w:t>
            </w:r>
            <w:r w:rsidRPr="00FD616E">
              <w:rPr>
                <w:rFonts w:ascii="Times New Roman" w:hAnsi="Times New Roman"/>
                <w:szCs w:val="24"/>
              </w:rPr>
              <w:t>,</w:t>
            </w:r>
            <w:r w:rsidR="00C73E93">
              <w:rPr>
                <w:rFonts w:ascii="Times New Roman" w:hAnsi="Times New Roman"/>
                <w:szCs w:val="24"/>
              </w:rPr>
              <w:t>488</w:t>
            </w:r>
          </w:p>
        </w:tc>
      </w:tr>
      <w:tr w14:paraId="00C92895" w14:textId="77777777" w:rsidTr="0099054F">
        <w:tblPrEx>
          <w:tblW w:w="10485" w:type="dxa"/>
          <w:jc w:val="center"/>
          <w:tblLayout w:type="fixed"/>
          <w:tblLook w:val="01E0"/>
        </w:tblPrEx>
        <w:trPr>
          <w:jc w:val="center"/>
        </w:trPr>
        <w:tc>
          <w:tcPr>
            <w:tcW w:w="2245" w:type="dxa"/>
          </w:tcPr>
          <w:p w:rsidR="0099054F" w:rsidRPr="00FD616E" w:rsidP="000445C1" w14:paraId="168C788A" w14:textId="77777777">
            <w:pPr>
              <w:rPr>
                <w:rFonts w:ascii="Times New Roman" w:hAnsi="Times New Roman"/>
                <w:szCs w:val="24"/>
              </w:rPr>
            </w:pPr>
            <w:r w:rsidRPr="00FD616E">
              <w:rPr>
                <w:rFonts w:ascii="Times New Roman" w:hAnsi="Times New Roman"/>
                <w:szCs w:val="24"/>
              </w:rPr>
              <w:t>Program Specialist, GS-12</w:t>
            </w:r>
          </w:p>
        </w:tc>
        <w:tc>
          <w:tcPr>
            <w:tcW w:w="3780" w:type="dxa"/>
          </w:tcPr>
          <w:p w:rsidR="0099054F" w:rsidRPr="00FD616E" w:rsidP="000445C1" w14:paraId="25F8FF9B" w14:textId="77777777">
            <w:pPr>
              <w:rPr>
                <w:rFonts w:ascii="Times New Roman" w:hAnsi="Times New Roman"/>
                <w:szCs w:val="24"/>
              </w:rPr>
            </w:pPr>
            <w:r w:rsidRPr="00FD616E">
              <w:rPr>
                <w:rFonts w:ascii="Times New Roman" w:hAnsi="Times New Roman"/>
                <w:szCs w:val="24"/>
              </w:rPr>
              <w:t>Reviews applications for administrative compliance, coordinates panel meetings, distributes and collects surveys, assists with data analysis and reports</w:t>
            </w:r>
          </w:p>
        </w:tc>
        <w:tc>
          <w:tcPr>
            <w:tcW w:w="1620" w:type="dxa"/>
            <w:vAlign w:val="center"/>
          </w:tcPr>
          <w:p w:rsidR="0099054F" w:rsidRPr="00FD616E" w:rsidP="000445C1" w14:paraId="5C729CFF" w14:textId="3A330F93">
            <w:pPr>
              <w:jc w:val="center"/>
              <w:rPr>
                <w:rFonts w:ascii="Times New Roman" w:hAnsi="Times New Roman"/>
                <w:szCs w:val="24"/>
              </w:rPr>
            </w:pPr>
            <w:r w:rsidRPr="00FD616E">
              <w:rPr>
                <w:rFonts w:ascii="Times New Roman" w:hAnsi="Times New Roman"/>
                <w:szCs w:val="24"/>
              </w:rPr>
              <w:t>$</w:t>
            </w:r>
            <w:r>
              <w:rPr>
                <w:rFonts w:ascii="Times New Roman" w:hAnsi="Times New Roman"/>
                <w:szCs w:val="24"/>
              </w:rPr>
              <w:t>10</w:t>
            </w:r>
            <w:r w:rsidR="00E00C8E">
              <w:rPr>
                <w:rFonts w:ascii="Times New Roman" w:hAnsi="Times New Roman"/>
                <w:szCs w:val="24"/>
              </w:rPr>
              <w:t>3,098</w:t>
            </w:r>
          </w:p>
        </w:tc>
        <w:tc>
          <w:tcPr>
            <w:tcW w:w="1350" w:type="dxa"/>
            <w:vAlign w:val="center"/>
          </w:tcPr>
          <w:p w:rsidR="0099054F" w:rsidRPr="00FD616E" w:rsidP="000445C1" w14:paraId="33FDCB9D" w14:textId="77777777">
            <w:pPr>
              <w:jc w:val="center"/>
              <w:rPr>
                <w:rFonts w:ascii="Times New Roman" w:hAnsi="Times New Roman"/>
                <w:szCs w:val="24"/>
              </w:rPr>
            </w:pPr>
            <w:r w:rsidRPr="00FD616E">
              <w:rPr>
                <w:rFonts w:ascii="Times New Roman" w:hAnsi="Times New Roman"/>
                <w:szCs w:val="24"/>
              </w:rPr>
              <w:t>40</w:t>
            </w:r>
          </w:p>
        </w:tc>
        <w:tc>
          <w:tcPr>
            <w:tcW w:w="1490" w:type="dxa"/>
            <w:vAlign w:val="center"/>
          </w:tcPr>
          <w:p w:rsidR="0099054F" w:rsidRPr="00FD616E" w:rsidP="000445C1" w14:paraId="2A790BDF" w14:textId="53E94D0C">
            <w:pPr>
              <w:jc w:val="center"/>
              <w:rPr>
                <w:rFonts w:ascii="Times New Roman" w:hAnsi="Times New Roman"/>
                <w:szCs w:val="24"/>
              </w:rPr>
            </w:pPr>
            <w:r w:rsidRPr="00FD616E">
              <w:rPr>
                <w:rFonts w:ascii="Times New Roman" w:hAnsi="Times New Roman"/>
                <w:szCs w:val="24"/>
              </w:rPr>
              <w:t>$</w:t>
            </w:r>
            <w:r w:rsidR="00E00C8E">
              <w:rPr>
                <w:rFonts w:ascii="Times New Roman" w:hAnsi="Times New Roman"/>
                <w:szCs w:val="24"/>
              </w:rPr>
              <w:t>41,239</w:t>
            </w:r>
          </w:p>
        </w:tc>
      </w:tr>
      <w:tr w14:paraId="35F87F56" w14:textId="77777777" w:rsidTr="0099054F">
        <w:tblPrEx>
          <w:tblW w:w="10485" w:type="dxa"/>
          <w:jc w:val="center"/>
          <w:tblLayout w:type="fixed"/>
          <w:tblLook w:val="01E0"/>
        </w:tblPrEx>
        <w:trPr>
          <w:jc w:val="center"/>
        </w:trPr>
        <w:tc>
          <w:tcPr>
            <w:tcW w:w="2245" w:type="dxa"/>
          </w:tcPr>
          <w:p w:rsidR="0099054F" w:rsidRPr="00FD616E" w:rsidP="000445C1" w14:paraId="402682F1" w14:textId="77777777">
            <w:pPr>
              <w:rPr>
                <w:rFonts w:ascii="Times New Roman" w:hAnsi="Times New Roman"/>
                <w:szCs w:val="24"/>
              </w:rPr>
            </w:pPr>
            <w:r w:rsidRPr="00FD616E">
              <w:rPr>
                <w:rFonts w:ascii="Times New Roman" w:hAnsi="Times New Roman"/>
                <w:szCs w:val="24"/>
              </w:rPr>
              <w:t>Program Coordinator,</w:t>
            </w:r>
            <w:r w:rsidRPr="00FD616E">
              <w:rPr>
                <w:rFonts w:ascii="Times New Roman" w:hAnsi="Times New Roman"/>
                <w:szCs w:val="24"/>
              </w:rPr>
              <w:br/>
              <w:t>GS-13</w:t>
            </w:r>
          </w:p>
        </w:tc>
        <w:tc>
          <w:tcPr>
            <w:tcW w:w="3780" w:type="dxa"/>
          </w:tcPr>
          <w:p w:rsidR="0099054F" w:rsidRPr="00FD616E" w:rsidP="000445C1" w14:paraId="207A34D7" w14:textId="77777777">
            <w:pPr>
              <w:rPr>
                <w:rFonts w:ascii="Times New Roman" w:hAnsi="Times New Roman"/>
                <w:szCs w:val="24"/>
              </w:rPr>
            </w:pPr>
            <w:r w:rsidRPr="00FD616E">
              <w:rPr>
                <w:rFonts w:ascii="Times New Roman" w:hAnsi="Times New Roman"/>
                <w:szCs w:val="24"/>
              </w:rPr>
              <w:t>Evaluates applications, coordinates panel members, announces awards, audits service, analyzes data and develops reports</w:t>
            </w:r>
          </w:p>
        </w:tc>
        <w:tc>
          <w:tcPr>
            <w:tcW w:w="1620" w:type="dxa"/>
            <w:vAlign w:val="center"/>
          </w:tcPr>
          <w:p w:rsidR="0099054F" w:rsidRPr="00FD616E" w:rsidP="000445C1" w14:paraId="0B49E085" w14:textId="383DAC9D">
            <w:pPr>
              <w:jc w:val="center"/>
              <w:rPr>
                <w:rFonts w:ascii="Times New Roman" w:hAnsi="Times New Roman"/>
                <w:szCs w:val="24"/>
              </w:rPr>
            </w:pPr>
            <w:r w:rsidRPr="00FD616E">
              <w:rPr>
                <w:rFonts w:ascii="Times New Roman" w:hAnsi="Times New Roman"/>
                <w:szCs w:val="24"/>
              </w:rPr>
              <w:t>$</w:t>
            </w:r>
            <w:r w:rsidR="00E00C8E">
              <w:rPr>
                <w:rFonts w:ascii="Times New Roman" w:hAnsi="Times New Roman"/>
                <w:szCs w:val="24"/>
              </w:rPr>
              <w:t>122,597</w:t>
            </w:r>
          </w:p>
        </w:tc>
        <w:tc>
          <w:tcPr>
            <w:tcW w:w="1350" w:type="dxa"/>
            <w:vAlign w:val="center"/>
          </w:tcPr>
          <w:p w:rsidR="0099054F" w:rsidRPr="00FD616E" w:rsidP="000445C1" w14:paraId="2C36FB93" w14:textId="77777777">
            <w:pPr>
              <w:jc w:val="center"/>
              <w:rPr>
                <w:rFonts w:ascii="Times New Roman" w:hAnsi="Times New Roman"/>
                <w:szCs w:val="24"/>
              </w:rPr>
            </w:pPr>
            <w:r>
              <w:rPr>
                <w:rFonts w:ascii="Times New Roman" w:hAnsi="Times New Roman"/>
                <w:szCs w:val="24"/>
              </w:rPr>
              <w:t>80</w:t>
            </w:r>
          </w:p>
        </w:tc>
        <w:tc>
          <w:tcPr>
            <w:tcW w:w="1490" w:type="dxa"/>
            <w:vAlign w:val="center"/>
          </w:tcPr>
          <w:p w:rsidR="0099054F" w:rsidRPr="00FD616E" w:rsidP="000445C1" w14:paraId="545E0527" w14:textId="3113C20D">
            <w:pPr>
              <w:jc w:val="center"/>
              <w:rPr>
                <w:rFonts w:ascii="Times New Roman" w:hAnsi="Times New Roman"/>
                <w:szCs w:val="24"/>
              </w:rPr>
            </w:pPr>
            <w:r w:rsidRPr="00FD616E">
              <w:rPr>
                <w:rFonts w:ascii="Times New Roman" w:hAnsi="Times New Roman"/>
                <w:szCs w:val="24"/>
              </w:rPr>
              <w:t>$</w:t>
            </w:r>
            <w:r w:rsidR="00FE231B">
              <w:rPr>
                <w:rFonts w:ascii="Times New Roman" w:hAnsi="Times New Roman"/>
                <w:szCs w:val="24"/>
              </w:rPr>
              <w:t>98,078</w:t>
            </w:r>
          </w:p>
        </w:tc>
      </w:tr>
      <w:tr w14:paraId="74A06BB0" w14:textId="77777777" w:rsidTr="0099054F">
        <w:tblPrEx>
          <w:tblW w:w="10485" w:type="dxa"/>
          <w:jc w:val="center"/>
          <w:tblLayout w:type="fixed"/>
          <w:tblLook w:val="01E0"/>
        </w:tblPrEx>
        <w:trPr>
          <w:jc w:val="center"/>
        </w:trPr>
        <w:tc>
          <w:tcPr>
            <w:tcW w:w="2245" w:type="dxa"/>
          </w:tcPr>
          <w:p w:rsidR="0099054F" w:rsidRPr="00FD616E" w:rsidP="000445C1" w14:paraId="1939DBBD" w14:textId="77777777">
            <w:pPr>
              <w:rPr>
                <w:rFonts w:ascii="Times New Roman" w:hAnsi="Times New Roman"/>
                <w:szCs w:val="24"/>
              </w:rPr>
            </w:pPr>
            <w:r w:rsidRPr="00FD616E">
              <w:rPr>
                <w:rFonts w:ascii="Times New Roman" w:hAnsi="Times New Roman"/>
                <w:szCs w:val="24"/>
              </w:rPr>
              <w:t>National Program Leader, GS-15</w:t>
            </w:r>
          </w:p>
        </w:tc>
        <w:tc>
          <w:tcPr>
            <w:tcW w:w="3780" w:type="dxa"/>
          </w:tcPr>
          <w:p w:rsidR="0099054F" w:rsidRPr="00FD616E" w:rsidP="000445C1" w14:paraId="5BAF9ECD" w14:textId="77777777">
            <w:pPr>
              <w:rPr>
                <w:rFonts w:ascii="Times New Roman" w:hAnsi="Times New Roman"/>
                <w:szCs w:val="24"/>
              </w:rPr>
            </w:pPr>
            <w:r w:rsidRPr="00FD616E">
              <w:rPr>
                <w:rFonts w:ascii="Times New Roman" w:hAnsi="Times New Roman"/>
                <w:szCs w:val="24"/>
              </w:rPr>
              <w:t>Program direction and oversight, stakeholder relations, direct programmatic interaction with awardees and State Animal Health Officials, review and validation of service logs, analysis of survey data.</w:t>
            </w:r>
          </w:p>
        </w:tc>
        <w:tc>
          <w:tcPr>
            <w:tcW w:w="1620" w:type="dxa"/>
            <w:vAlign w:val="center"/>
          </w:tcPr>
          <w:p w:rsidR="0099054F" w:rsidRPr="00FD616E" w:rsidP="000445C1" w14:paraId="7B6C00B3" w14:textId="40076363">
            <w:pPr>
              <w:jc w:val="center"/>
              <w:rPr>
                <w:rFonts w:ascii="Times New Roman" w:hAnsi="Times New Roman"/>
                <w:szCs w:val="24"/>
              </w:rPr>
            </w:pPr>
            <w:r w:rsidRPr="00FD616E">
              <w:rPr>
                <w:rFonts w:ascii="Times New Roman" w:hAnsi="Times New Roman"/>
                <w:szCs w:val="24"/>
              </w:rPr>
              <w:t>$</w:t>
            </w:r>
            <w:r w:rsidR="00FE231B">
              <w:rPr>
                <w:rFonts w:ascii="Times New Roman" w:hAnsi="Times New Roman"/>
                <w:szCs w:val="24"/>
              </w:rPr>
              <w:t>170,408</w:t>
            </w:r>
          </w:p>
        </w:tc>
        <w:tc>
          <w:tcPr>
            <w:tcW w:w="1350" w:type="dxa"/>
            <w:vAlign w:val="center"/>
          </w:tcPr>
          <w:p w:rsidR="0099054F" w:rsidRPr="00FD616E" w:rsidP="000445C1" w14:paraId="7963D83F" w14:textId="77777777">
            <w:pPr>
              <w:jc w:val="center"/>
              <w:rPr>
                <w:rFonts w:ascii="Times New Roman" w:hAnsi="Times New Roman"/>
                <w:szCs w:val="24"/>
              </w:rPr>
            </w:pPr>
            <w:r w:rsidRPr="00FD616E">
              <w:rPr>
                <w:rFonts w:ascii="Times New Roman" w:hAnsi="Times New Roman"/>
                <w:szCs w:val="24"/>
              </w:rPr>
              <w:t>60</w:t>
            </w:r>
          </w:p>
        </w:tc>
        <w:tc>
          <w:tcPr>
            <w:tcW w:w="1490" w:type="dxa"/>
            <w:vAlign w:val="center"/>
          </w:tcPr>
          <w:p w:rsidR="0099054F" w:rsidRPr="00FD616E" w:rsidP="000445C1" w14:paraId="066BE798" w14:textId="767C939F">
            <w:pPr>
              <w:jc w:val="center"/>
              <w:rPr>
                <w:rFonts w:ascii="Times New Roman" w:hAnsi="Times New Roman"/>
                <w:szCs w:val="24"/>
              </w:rPr>
            </w:pPr>
            <w:r w:rsidRPr="00FD616E">
              <w:rPr>
                <w:rFonts w:ascii="Times New Roman" w:hAnsi="Times New Roman"/>
                <w:szCs w:val="24"/>
              </w:rPr>
              <w:t>$</w:t>
            </w:r>
            <w:r w:rsidR="009C5B89">
              <w:rPr>
                <w:rFonts w:ascii="Times New Roman" w:hAnsi="Times New Roman"/>
                <w:szCs w:val="24"/>
              </w:rPr>
              <w:t>102,245</w:t>
            </w:r>
          </w:p>
        </w:tc>
      </w:tr>
      <w:tr w14:paraId="0E421453" w14:textId="77777777" w:rsidTr="0099054F">
        <w:tblPrEx>
          <w:tblW w:w="10485" w:type="dxa"/>
          <w:jc w:val="center"/>
          <w:tblLayout w:type="fixed"/>
          <w:tblLook w:val="01E0"/>
        </w:tblPrEx>
        <w:trPr>
          <w:jc w:val="center"/>
        </w:trPr>
        <w:tc>
          <w:tcPr>
            <w:tcW w:w="7645" w:type="dxa"/>
            <w:gridSpan w:val="3"/>
          </w:tcPr>
          <w:p w:rsidR="0099054F" w:rsidRPr="00FD616E" w:rsidP="000445C1" w14:paraId="495024FD" w14:textId="77777777">
            <w:pPr>
              <w:jc w:val="center"/>
              <w:rPr>
                <w:rFonts w:ascii="Times New Roman" w:hAnsi="Times New Roman"/>
                <w:szCs w:val="24"/>
              </w:rPr>
            </w:pPr>
            <w:r w:rsidRPr="00FD616E">
              <w:rPr>
                <w:rFonts w:ascii="Times New Roman" w:hAnsi="Times New Roman"/>
                <w:b/>
                <w:szCs w:val="24"/>
              </w:rPr>
              <w:t>TOTALS</w:t>
            </w:r>
          </w:p>
        </w:tc>
        <w:tc>
          <w:tcPr>
            <w:tcW w:w="1350" w:type="dxa"/>
            <w:vAlign w:val="center"/>
          </w:tcPr>
          <w:p w:rsidR="0099054F" w:rsidRPr="00FD616E" w:rsidP="000445C1" w14:paraId="22A7E709" w14:textId="77777777">
            <w:pPr>
              <w:jc w:val="center"/>
              <w:rPr>
                <w:rFonts w:ascii="Times New Roman" w:hAnsi="Times New Roman"/>
                <w:b/>
                <w:szCs w:val="24"/>
              </w:rPr>
            </w:pPr>
            <w:r w:rsidRPr="00FD616E">
              <w:rPr>
                <w:rFonts w:ascii="Times New Roman" w:hAnsi="Times New Roman"/>
                <w:b/>
                <w:szCs w:val="24"/>
              </w:rPr>
              <w:t>3 FTEs</w:t>
            </w:r>
          </w:p>
        </w:tc>
        <w:tc>
          <w:tcPr>
            <w:tcW w:w="1490" w:type="dxa"/>
            <w:vAlign w:val="center"/>
          </w:tcPr>
          <w:p w:rsidR="0099054F" w:rsidRPr="00FD616E" w:rsidP="000445C1" w14:paraId="1E57180B" w14:textId="24381F9E">
            <w:pPr>
              <w:jc w:val="center"/>
              <w:rPr>
                <w:rFonts w:ascii="Times New Roman" w:hAnsi="Times New Roman"/>
                <w:b/>
                <w:szCs w:val="24"/>
              </w:rPr>
            </w:pPr>
            <w:r w:rsidRPr="00FD616E">
              <w:rPr>
                <w:rFonts w:ascii="Times New Roman" w:hAnsi="Times New Roman"/>
                <w:b/>
                <w:szCs w:val="24"/>
              </w:rPr>
              <w:t>$</w:t>
            </w:r>
            <w:r w:rsidR="002B752A">
              <w:rPr>
                <w:rFonts w:ascii="Times New Roman" w:hAnsi="Times New Roman"/>
                <w:b/>
                <w:szCs w:val="24"/>
              </w:rPr>
              <w:t>373,679</w:t>
            </w:r>
          </w:p>
        </w:tc>
      </w:tr>
    </w:tbl>
    <w:p w:rsidR="0099054F" w:rsidP="00B614CE" w14:paraId="18125BB8" w14:textId="4FAAD432">
      <w:pPr>
        <w:rPr>
          <w:rFonts w:ascii="Times New Roman" w:hAnsi="Times New Roman"/>
          <w:szCs w:val="24"/>
        </w:rPr>
      </w:pPr>
      <w:r w:rsidRPr="00FD616E">
        <w:rPr>
          <w:rFonts w:ascii="Times New Roman" w:hAnsi="Times New Roman"/>
          <w:szCs w:val="24"/>
        </w:rPr>
        <w:t>*</w:t>
      </w:r>
      <w:r w:rsidRPr="000445C1">
        <w:rPr>
          <w:rFonts w:ascii="Times New Roman" w:hAnsi="Times New Roman"/>
          <w:szCs w:val="24"/>
        </w:rPr>
        <w:t xml:space="preserve">Dollar amounts derived from the </w:t>
      </w:r>
      <w:r w:rsidRPr="000445C1" w:rsidR="00623528">
        <w:rPr>
          <w:rFonts w:ascii="Times New Roman" w:hAnsi="Times New Roman"/>
          <w:szCs w:val="24"/>
        </w:rPr>
        <w:t>202</w:t>
      </w:r>
      <w:r w:rsidR="00623528">
        <w:rPr>
          <w:rFonts w:ascii="Times New Roman" w:hAnsi="Times New Roman"/>
          <w:szCs w:val="24"/>
        </w:rPr>
        <w:t>6</w:t>
      </w:r>
      <w:r w:rsidRPr="000445C1" w:rsidR="00623528">
        <w:rPr>
          <w:rFonts w:ascii="Times New Roman" w:hAnsi="Times New Roman"/>
          <w:szCs w:val="24"/>
        </w:rPr>
        <w:t xml:space="preserve"> </w:t>
      </w:r>
      <w:r w:rsidRPr="000445C1">
        <w:rPr>
          <w:rFonts w:ascii="Times New Roman" w:hAnsi="Times New Roman"/>
          <w:szCs w:val="24"/>
        </w:rPr>
        <w:t xml:space="preserve">Federal Pay Tables for Kansas City-Overland Park-Kansas City, MO-KS assuming each step 5 annual salary for each GS level listed. </w:t>
      </w:r>
    </w:p>
    <w:p w:rsidR="00B614CE" w:rsidP="00B614CE" w14:paraId="262FA207" w14:textId="77777777">
      <w:pPr>
        <w:rPr>
          <w:rFonts w:ascii="Times New Roman" w:hAnsi="Times New Roman"/>
          <w:szCs w:val="24"/>
        </w:rPr>
      </w:pPr>
    </w:p>
    <w:p w:rsidR="00B614CE" w:rsidRPr="000445C1" w:rsidP="00B614CE" w14:paraId="19815449" w14:textId="77777777">
      <w:pPr>
        <w:rPr>
          <w:rFonts w:ascii="Times New Roman" w:hAnsi="Times New Roman"/>
          <w:szCs w:val="24"/>
        </w:rPr>
      </w:pPr>
    </w:p>
    <w:p w:rsidR="000438E8" w:rsidRPr="002568E6" w:rsidP="0062567E" w14:paraId="6907579D" w14:textId="50B005AB">
      <w:pPr>
        <w:pStyle w:val="Heading1"/>
        <w:rPr>
          <w:szCs w:val="24"/>
        </w:rPr>
      </w:pPr>
      <w:bookmarkStart w:id="31" w:name="_Toc401831371"/>
      <w:bookmarkStart w:id="32" w:name="_Toc401832415"/>
      <w:r w:rsidRPr="002568E6">
        <w:rPr>
          <w:szCs w:val="24"/>
        </w:rPr>
        <w:t xml:space="preserve">A15.  </w:t>
      </w:r>
      <w:r w:rsidRPr="002568E6" w:rsidR="00C619D0">
        <w:rPr>
          <w:szCs w:val="24"/>
        </w:rPr>
        <w:t xml:space="preserve">Explanation of </w:t>
      </w:r>
      <w:r w:rsidRPr="002568E6" w:rsidR="00E0371E">
        <w:rPr>
          <w:szCs w:val="24"/>
        </w:rPr>
        <w:t xml:space="preserve">program </w:t>
      </w:r>
      <w:r w:rsidRPr="002568E6" w:rsidR="00C619D0">
        <w:rPr>
          <w:szCs w:val="24"/>
        </w:rPr>
        <w:t>changes or adjustments</w:t>
      </w:r>
      <w:r w:rsidRPr="002568E6" w:rsidR="005E0A1A">
        <w:rPr>
          <w:szCs w:val="24"/>
        </w:rPr>
        <w:t>.</w:t>
      </w:r>
      <w:bookmarkEnd w:id="31"/>
      <w:bookmarkEnd w:id="32"/>
    </w:p>
    <w:p w:rsidR="0062567E" w:rsidRPr="002568E6" w:rsidP="0062567E" w14:paraId="6907579E" w14:textId="77777777">
      <w:pPr>
        <w:tabs>
          <w:tab w:val="left" w:pos="0"/>
        </w:tabs>
        <w:suppressAutoHyphens/>
        <w:jc w:val="center"/>
        <w:rPr>
          <w:rFonts w:ascii="Times New Roman" w:hAnsi="Times New Roman"/>
          <w:b/>
          <w:szCs w:val="24"/>
        </w:rPr>
      </w:pPr>
    </w:p>
    <w:p w:rsidR="0062567E" w:rsidRPr="002568E6" w:rsidP="006F575B" w14:paraId="6907579F" w14:textId="77777777">
      <w:pPr>
        <w:pStyle w:val="ListParagraph"/>
        <w:widowControl/>
        <w:spacing w:line="240" w:lineRule="auto"/>
        <w:ind w:left="0"/>
        <w:rPr>
          <w:b/>
          <w:szCs w:val="24"/>
        </w:rPr>
      </w:pPr>
      <w:r w:rsidRPr="002568E6">
        <w:rPr>
          <w:b/>
          <w:szCs w:val="24"/>
        </w:rPr>
        <w:t>Explain the reasons for any program changes or adjustments reported in Items 13 or 14 of the OMB Form 83-</w:t>
      </w:r>
      <w:r w:rsidRPr="002568E6" w:rsidR="00ED28F2">
        <w:rPr>
          <w:b/>
          <w:szCs w:val="24"/>
        </w:rPr>
        <w:t>I</w:t>
      </w:r>
      <w:r w:rsidRPr="002568E6">
        <w:rPr>
          <w:b/>
          <w:szCs w:val="24"/>
        </w:rPr>
        <w:t>.</w:t>
      </w:r>
    </w:p>
    <w:p w:rsidR="00756BAD" w:rsidP="009A1FA7" w14:paraId="317130E8" w14:textId="77777777">
      <w:pPr>
        <w:tabs>
          <w:tab w:val="left" w:pos="-720"/>
        </w:tabs>
        <w:suppressAutoHyphens/>
        <w:rPr>
          <w:rFonts w:ascii="Times New Roman" w:hAnsi="Times New Roman"/>
          <w:szCs w:val="24"/>
        </w:rPr>
      </w:pPr>
    </w:p>
    <w:p w:rsidR="00756BAD" w:rsidRPr="002568E6" w:rsidP="009A1FA7" w14:paraId="725A6518" w14:textId="3FA49DA6">
      <w:pPr>
        <w:tabs>
          <w:tab w:val="left" w:pos="-720"/>
        </w:tabs>
        <w:suppressAutoHyphens/>
        <w:rPr>
          <w:rFonts w:ascii="Times New Roman" w:hAnsi="Times New Roman"/>
          <w:szCs w:val="24"/>
        </w:rPr>
      </w:pPr>
      <w:r>
        <w:rPr>
          <w:rFonts w:ascii="Times New Roman" w:hAnsi="Times New Roman"/>
          <w:szCs w:val="24"/>
        </w:rPr>
        <w:t>The burden estimate for this collection has decreased by</w:t>
      </w:r>
      <w:r w:rsidR="00C976AA">
        <w:rPr>
          <w:rFonts w:ascii="Times New Roman" w:hAnsi="Times New Roman"/>
          <w:szCs w:val="24"/>
        </w:rPr>
        <w:t xml:space="preserve"> approximately</w:t>
      </w:r>
      <w:r>
        <w:rPr>
          <w:rFonts w:ascii="Times New Roman" w:hAnsi="Times New Roman"/>
          <w:szCs w:val="24"/>
        </w:rPr>
        <w:t xml:space="preserve"> </w:t>
      </w:r>
      <w:r w:rsidR="00C976AA">
        <w:rPr>
          <w:rFonts w:ascii="Times New Roman" w:hAnsi="Times New Roman"/>
          <w:szCs w:val="24"/>
        </w:rPr>
        <w:t>14,258 hours each year (from 16,798</w:t>
      </w:r>
      <w:r w:rsidR="00205D78">
        <w:rPr>
          <w:rFonts w:ascii="Times New Roman" w:hAnsi="Times New Roman"/>
          <w:szCs w:val="24"/>
        </w:rPr>
        <w:t xml:space="preserve"> hours to 2,540 hours). </w:t>
      </w:r>
      <w:r w:rsidR="00E6358D">
        <w:rPr>
          <w:rFonts w:ascii="Times New Roman" w:hAnsi="Times New Roman"/>
          <w:szCs w:val="24"/>
        </w:rPr>
        <w:t xml:space="preserve">Consequently, the number of </w:t>
      </w:r>
      <w:r w:rsidR="00041A79">
        <w:rPr>
          <w:rFonts w:ascii="Times New Roman" w:hAnsi="Times New Roman"/>
          <w:szCs w:val="24"/>
        </w:rPr>
        <w:t>annual responses</w:t>
      </w:r>
      <w:r w:rsidR="00E743D6">
        <w:rPr>
          <w:rFonts w:ascii="Times New Roman" w:hAnsi="Times New Roman"/>
          <w:szCs w:val="24"/>
        </w:rPr>
        <w:t xml:space="preserve"> has decreased</w:t>
      </w:r>
      <w:r w:rsidR="00041A79">
        <w:rPr>
          <w:rFonts w:ascii="Times New Roman" w:hAnsi="Times New Roman"/>
          <w:szCs w:val="24"/>
        </w:rPr>
        <w:t xml:space="preserve"> </w:t>
      </w:r>
      <w:r w:rsidR="003B408A">
        <w:rPr>
          <w:rFonts w:ascii="Times New Roman" w:hAnsi="Times New Roman"/>
          <w:szCs w:val="24"/>
        </w:rPr>
        <w:t>by over 57,000 responses per year</w:t>
      </w:r>
      <w:r w:rsidR="00831769">
        <w:rPr>
          <w:rFonts w:ascii="Times New Roman" w:hAnsi="Times New Roman"/>
          <w:szCs w:val="24"/>
        </w:rPr>
        <w:t xml:space="preserve"> (from 59,590 in 2022 to 2,360 currently) </w:t>
      </w:r>
      <w:r w:rsidR="00205D78">
        <w:rPr>
          <w:rFonts w:ascii="Times New Roman" w:hAnsi="Times New Roman"/>
          <w:szCs w:val="24"/>
        </w:rPr>
        <w:t xml:space="preserve">The decrease is the result of </w:t>
      </w:r>
      <w:r w:rsidR="00667C33">
        <w:rPr>
          <w:rFonts w:ascii="Times New Roman" w:hAnsi="Times New Roman"/>
          <w:szCs w:val="24"/>
        </w:rPr>
        <w:t>streamlin</w:t>
      </w:r>
      <w:r w:rsidR="00831769">
        <w:rPr>
          <w:rFonts w:ascii="Times New Roman" w:hAnsi="Times New Roman"/>
          <w:szCs w:val="24"/>
        </w:rPr>
        <w:t>ing</w:t>
      </w:r>
      <w:r w:rsidR="00667C33">
        <w:rPr>
          <w:rFonts w:ascii="Times New Roman" w:hAnsi="Times New Roman"/>
          <w:szCs w:val="24"/>
        </w:rPr>
        <w:t xml:space="preserve"> and </w:t>
      </w:r>
      <w:r w:rsidR="00205D78">
        <w:rPr>
          <w:rFonts w:ascii="Times New Roman" w:hAnsi="Times New Roman"/>
          <w:szCs w:val="24"/>
        </w:rPr>
        <w:t xml:space="preserve">removal of </w:t>
      </w:r>
      <w:r w:rsidR="00667C33">
        <w:rPr>
          <w:rFonts w:ascii="Times New Roman" w:hAnsi="Times New Roman"/>
          <w:szCs w:val="24"/>
        </w:rPr>
        <w:t>forms that are no longer required due to program policy changes and stakeholder input</w:t>
      </w:r>
      <w:r w:rsidR="00F5254E">
        <w:rPr>
          <w:rFonts w:ascii="Times New Roman" w:hAnsi="Times New Roman"/>
          <w:szCs w:val="24"/>
        </w:rPr>
        <w:t>.</w:t>
      </w:r>
      <w:r w:rsidR="00667C33">
        <w:rPr>
          <w:rFonts w:ascii="Times New Roman" w:hAnsi="Times New Roman"/>
          <w:szCs w:val="24"/>
        </w:rPr>
        <w:t xml:space="preserve"> </w:t>
      </w:r>
    </w:p>
    <w:p w:rsidR="006B4BFE" w:rsidRPr="002568E6" w:rsidP="006F575B" w14:paraId="690757A2" w14:textId="77777777">
      <w:pPr>
        <w:tabs>
          <w:tab w:val="left" w:pos="0"/>
        </w:tabs>
        <w:suppressAutoHyphens/>
        <w:spacing w:line="480" w:lineRule="auto"/>
        <w:rPr>
          <w:rFonts w:ascii="Times New Roman" w:hAnsi="Times New Roman"/>
          <w:szCs w:val="24"/>
        </w:rPr>
      </w:pPr>
    </w:p>
    <w:p w:rsidR="00A308DB" w:rsidRPr="002568E6" w:rsidP="0062567E" w14:paraId="690757A3" w14:textId="77777777">
      <w:pPr>
        <w:pStyle w:val="Heading1"/>
        <w:rPr>
          <w:szCs w:val="24"/>
        </w:rPr>
      </w:pPr>
      <w:bookmarkStart w:id="33" w:name="_Toc401831372"/>
      <w:bookmarkStart w:id="34" w:name="_Toc401832416"/>
      <w:r w:rsidRPr="002568E6">
        <w:rPr>
          <w:szCs w:val="24"/>
        </w:rPr>
        <w:t xml:space="preserve">A16.  </w:t>
      </w:r>
      <w:r w:rsidRPr="002568E6" w:rsidR="00842E02">
        <w:rPr>
          <w:szCs w:val="24"/>
        </w:rPr>
        <w:t>Plans</w:t>
      </w:r>
      <w:r w:rsidRPr="002568E6">
        <w:rPr>
          <w:szCs w:val="24"/>
        </w:rPr>
        <w:t xml:space="preserve"> for tabulation, and publication</w:t>
      </w:r>
      <w:r w:rsidRPr="002568E6" w:rsidR="00842E02">
        <w:rPr>
          <w:szCs w:val="24"/>
        </w:rPr>
        <w:t xml:space="preserve"> and project time schedule</w:t>
      </w:r>
      <w:r w:rsidRPr="002568E6">
        <w:rPr>
          <w:szCs w:val="24"/>
        </w:rPr>
        <w:t>.</w:t>
      </w:r>
      <w:bookmarkEnd w:id="33"/>
      <w:bookmarkEnd w:id="34"/>
      <w:r w:rsidRPr="002568E6">
        <w:rPr>
          <w:szCs w:val="24"/>
        </w:rPr>
        <w:t xml:space="preserve"> </w:t>
      </w:r>
    </w:p>
    <w:p w:rsidR="00A308DB" w:rsidRPr="002568E6" w:rsidP="000438E8" w14:paraId="690757A4" w14:textId="77777777">
      <w:pPr>
        <w:tabs>
          <w:tab w:val="left" w:pos="0"/>
        </w:tabs>
        <w:suppressAutoHyphens/>
        <w:rPr>
          <w:rFonts w:ascii="Times New Roman" w:hAnsi="Times New Roman"/>
          <w:b/>
          <w:szCs w:val="24"/>
        </w:rPr>
      </w:pPr>
    </w:p>
    <w:p w:rsidR="0062567E" w:rsidRPr="002568E6" w:rsidP="006F575B" w14:paraId="690757A5" w14:textId="77777777">
      <w:pPr>
        <w:pStyle w:val="ListParagraph"/>
        <w:widowControl/>
        <w:spacing w:line="240" w:lineRule="auto"/>
        <w:ind w:left="0"/>
        <w:rPr>
          <w:b/>
          <w:szCs w:val="24"/>
        </w:rPr>
      </w:pPr>
      <w:r w:rsidRPr="002568E6">
        <w:rPr>
          <w:b/>
          <w:szCs w:val="24"/>
        </w:rPr>
        <w:t>For collections of information whose results are planned to be published, outline plans for tabulation and publication.</w:t>
      </w:r>
    </w:p>
    <w:p w:rsidR="00ED28F2" w:rsidRPr="002568E6" w:rsidP="00ED28F2" w14:paraId="690757A6" w14:textId="77777777">
      <w:pPr>
        <w:tabs>
          <w:tab w:val="left" w:pos="-720"/>
        </w:tabs>
        <w:suppressAutoHyphens/>
        <w:rPr>
          <w:rFonts w:ascii="Times New Roman" w:hAnsi="Times New Roman"/>
          <w:szCs w:val="24"/>
        </w:rPr>
      </w:pPr>
    </w:p>
    <w:p w:rsidR="0046738D" w:rsidRPr="00FD616E" w:rsidP="0046738D" w14:paraId="37C5DDE9" w14:textId="606C8EB5">
      <w:pPr>
        <w:rPr>
          <w:rFonts w:ascii="Times New Roman" w:hAnsi="Times New Roman"/>
          <w:szCs w:val="24"/>
        </w:rPr>
      </w:pPr>
      <w:r w:rsidRPr="00FD616E">
        <w:rPr>
          <w:rFonts w:ascii="Times New Roman" w:hAnsi="Times New Roman"/>
          <w:szCs w:val="24"/>
        </w:rPr>
        <w:t>All information submitted to VMLRP is subject to reporting as aggregate data in the program’s annual report, which is posted on the NIFA website,</w:t>
      </w:r>
      <w:r>
        <w:rPr>
          <w:rFonts w:ascii="Times New Roman" w:hAnsi="Times New Roman"/>
          <w:szCs w:val="24"/>
        </w:rPr>
        <w:t xml:space="preserve"> </w:t>
      </w:r>
      <w:hyperlink r:id="rId17" w:history="1">
        <w:r w:rsidRPr="001F103E">
          <w:rPr>
            <w:rStyle w:val="Hyperlink"/>
            <w:rFonts w:ascii="Times New Roman" w:hAnsi="Times New Roman"/>
            <w:szCs w:val="24"/>
          </w:rPr>
          <w:t>http://nifa.usda.gov/vmlrp-reports-and-statistics</w:t>
        </w:r>
      </w:hyperlink>
      <w:r w:rsidRPr="00FD616E">
        <w:rPr>
          <w:rFonts w:ascii="Times New Roman" w:hAnsi="Times New Roman"/>
          <w:szCs w:val="24"/>
        </w:rPr>
        <w:t xml:space="preserve">. </w:t>
      </w:r>
    </w:p>
    <w:p w:rsidR="000438E8" w:rsidRPr="002568E6" w:rsidP="006F575B" w14:paraId="690757A8" w14:textId="77777777">
      <w:pPr>
        <w:tabs>
          <w:tab w:val="left" w:pos="0"/>
        </w:tabs>
        <w:suppressAutoHyphens/>
        <w:spacing w:line="480" w:lineRule="auto"/>
        <w:rPr>
          <w:rFonts w:ascii="Times New Roman" w:hAnsi="Times New Roman"/>
          <w:szCs w:val="24"/>
        </w:rPr>
      </w:pPr>
    </w:p>
    <w:p w:rsidR="00A308DB" w:rsidRPr="002568E6" w:rsidP="0062567E" w14:paraId="690757A9" w14:textId="77777777">
      <w:pPr>
        <w:pStyle w:val="Heading1"/>
        <w:rPr>
          <w:szCs w:val="24"/>
        </w:rPr>
      </w:pPr>
      <w:bookmarkStart w:id="35" w:name="_Toc401831373"/>
      <w:bookmarkStart w:id="36" w:name="_Toc401832417"/>
      <w:r w:rsidRPr="002568E6">
        <w:rPr>
          <w:szCs w:val="24"/>
        </w:rPr>
        <w:t xml:space="preserve">A17.  </w:t>
      </w:r>
      <w:r w:rsidRPr="002568E6" w:rsidR="001C6CBE">
        <w:rPr>
          <w:szCs w:val="24"/>
        </w:rPr>
        <w:t>Displaying the OMB Approval Expiration Date.</w:t>
      </w:r>
      <w:bookmarkEnd w:id="35"/>
      <w:bookmarkEnd w:id="36"/>
    </w:p>
    <w:p w:rsidR="0062567E" w:rsidRPr="002568E6" w:rsidP="0062567E" w14:paraId="690757AA" w14:textId="77777777">
      <w:pPr>
        <w:pStyle w:val="ListParagraph"/>
        <w:widowControl/>
        <w:spacing w:line="240" w:lineRule="auto"/>
        <w:ind w:left="0"/>
        <w:rPr>
          <w:b/>
          <w:szCs w:val="24"/>
        </w:rPr>
      </w:pPr>
    </w:p>
    <w:p w:rsidR="0062567E" w:rsidRPr="002568E6" w:rsidP="0062567E" w14:paraId="690757AB"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00ED28F2" w:rsidRPr="002568E6" w:rsidP="00ED28F2" w14:paraId="690757AC" w14:textId="77777777">
      <w:pPr>
        <w:tabs>
          <w:tab w:val="left" w:pos="-720"/>
        </w:tabs>
        <w:suppressAutoHyphens/>
        <w:rPr>
          <w:rFonts w:ascii="Times New Roman" w:hAnsi="Times New Roman"/>
          <w:szCs w:val="24"/>
        </w:rPr>
      </w:pPr>
    </w:p>
    <w:p w:rsidR="00ED28F2" w:rsidRPr="002568E6" w:rsidP="00452C56" w14:paraId="690757AD" w14:textId="040354A1">
      <w:pPr>
        <w:rPr>
          <w:rFonts w:ascii="Times New Roman" w:hAnsi="Times New Roman"/>
          <w:szCs w:val="24"/>
        </w:rPr>
      </w:pPr>
      <w:r w:rsidRPr="00FD616E">
        <w:rPr>
          <w:rFonts w:ascii="Times New Roman" w:hAnsi="Times New Roman"/>
          <w:szCs w:val="24"/>
        </w:rPr>
        <w:t>All VMLRP forms will display the OMB approval date.</w:t>
      </w:r>
    </w:p>
    <w:p w:rsidR="000438E8" w:rsidRPr="002568E6" w:rsidP="006F575B" w14:paraId="690757AE" w14:textId="77777777">
      <w:pPr>
        <w:tabs>
          <w:tab w:val="left" w:pos="0"/>
        </w:tabs>
        <w:suppressAutoHyphens/>
        <w:spacing w:line="480" w:lineRule="auto"/>
        <w:rPr>
          <w:rFonts w:ascii="Times New Roman" w:hAnsi="Times New Roman"/>
          <w:szCs w:val="24"/>
        </w:rPr>
      </w:pPr>
    </w:p>
    <w:p w:rsidR="00A308DB" w:rsidRPr="002568E6" w:rsidP="0062567E" w14:paraId="690757AF" w14:textId="77777777">
      <w:pPr>
        <w:pStyle w:val="Heading1"/>
        <w:rPr>
          <w:szCs w:val="24"/>
        </w:rPr>
      </w:pPr>
      <w:bookmarkStart w:id="37" w:name="_Toc401831374"/>
      <w:bookmarkStart w:id="38" w:name="_Toc401832418"/>
      <w:r w:rsidRPr="002568E6">
        <w:rPr>
          <w:szCs w:val="24"/>
        </w:rPr>
        <w:t>A18.  Exception</w:t>
      </w:r>
      <w:r w:rsidR="002568E6">
        <w:rPr>
          <w:szCs w:val="24"/>
        </w:rPr>
        <w:t>s</w:t>
      </w:r>
      <w:r w:rsidRPr="002568E6">
        <w:rPr>
          <w:szCs w:val="24"/>
        </w:rPr>
        <w:t xml:space="preserve"> to the certification statement identified in Item 19.</w:t>
      </w:r>
      <w:bookmarkEnd w:id="37"/>
      <w:bookmarkEnd w:id="38"/>
      <w:r w:rsidRPr="002568E6" w:rsidR="006F346E">
        <w:rPr>
          <w:szCs w:val="24"/>
        </w:rPr>
        <w:t xml:space="preserve">  </w:t>
      </w:r>
    </w:p>
    <w:p w:rsidR="0062567E" w:rsidRPr="002568E6" w:rsidP="000438E8" w14:paraId="690757B0" w14:textId="77777777">
      <w:pPr>
        <w:tabs>
          <w:tab w:val="left" w:pos="0"/>
        </w:tabs>
        <w:suppressAutoHyphens/>
        <w:rPr>
          <w:rFonts w:ascii="Times New Roman" w:hAnsi="Times New Roman"/>
          <w:b/>
          <w:szCs w:val="24"/>
        </w:rPr>
      </w:pPr>
    </w:p>
    <w:p w:rsidR="0062567E" w:rsidRPr="002568E6" w:rsidP="000438E8" w14:paraId="690757B1" w14:textId="77777777">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  83-I" Certification for Paperwork Reduction Act."</w:t>
      </w:r>
    </w:p>
    <w:p w:rsidR="00ED28F2" w:rsidRPr="002568E6" w:rsidP="00ED28F2" w14:paraId="690757B2" w14:textId="77777777">
      <w:pPr>
        <w:tabs>
          <w:tab w:val="left" w:pos="-720"/>
        </w:tabs>
        <w:suppressAutoHyphens/>
        <w:rPr>
          <w:rFonts w:ascii="Times New Roman" w:hAnsi="Times New Roman"/>
          <w:szCs w:val="24"/>
        </w:rPr>
      </w:pPr>
    </w:p>
    <w:p w:rsidR="00FA3F4A" w:rsidRPr="00FD616E" w:rsidP="00FA3F4A" w14:paraId="1F35A788" w14:textId="24D5CB5B">
      <w:pPr>
        <w:rPr>
          <w:rFonts w:ascii="Times New Roman" w:hAnsi="Times New Roman"/>
          <w:szCs w:val="24"/>
        </w:rPr>
      </w:pPr>
      <w:r>
        <w:rPr>
          <w:rFonts w:ascii="Times New Roman" w:hAnsi="Times New Roman"/>
          <w:szCs w:val="24"/>
        </w:rPr>
        <w:t>There are no exceptions to item 19 of OMB Form 83-I.</w:t>
      </w:r>
      <w:r w:rsidRPr="00FD616E">
        <w:rPr>
          <w:rFonts w:ascii="Times New Roman" w:hAnsi="Times New Roman"/>
          <w:szCs w:val="24"/>
        </w:rPr>
        <w:t xml:space="preserve"> </w:t>
      </w:r>
    </w:p>
    <w:p w:rsidR="00ED28F2" w:rsidRPr="002568E6" w:rsidP="00ED28F2" w14:paraId="690757B3" w14:textId="069BB9DB">
      <w:pPr>
        <w:tabs>
          <w:tab w:val="left" w:pos="-720"/>
        </w:tabs>
        <w:suppressAutoHyphens/>
        <w:spacing w:line="480" w:lineRule="auto"/>
        <w:rPr>
          <w:rFonts w:ascii="Times New Roman" w:hAnsi="Times New Roman"/>
          <w:szCs w:val="24"/>
        </w:rPr>
      </w:pPr>
    </w:p>
    <w:p w:rsidR="006F346E" w:rsidRPr="002568E6" w:rsidP="00ED28F2" w14:paraId="690757B4" w14:textId="77777777">
      <w:pPr>
        <w:tabs>
          <w:tab w:val="left" w:pos="0"/>
        </w:tabs>
        <w:suppressAutoHyphens/>
        <w:rPr>
          <w:rFonts w:ascii="Times New Roman" w:hAnsi="Times New Roman"/>
          <w:szCs w:val="24"/>
        </w:rPr>
      </w:pPr>
    </w:p>
    <w:sectPr w:rsidSect="002568E6">
      <w:footerReference w:type="default" r:id="rId18"/>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368D9" w14:paraId="524D2356" w14:textId="77777777">
      <w:pPr>
        <w:spacing w:line="20" w:lineRule="exact"/>
      </w:pPr>
    </w:p>
  </w:endnote>
  <w:endnote w:type="continuationSeparator" w:id="1">
    <w:p w:rsidR="00A368D9" w14:paraId="73E7BAE9" w14:textId="77777777">
      <w:r>
        <w:t xml:space="preserve"> </w:t>
      </w:r>
    </w:p>
  </w:endnote>
  <w:endnote w:type="continuationNotice" w:id="2">
    <w:p w:rsidR="00A368D9" w14:paraId="71ABB890"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ascii="Times New Roman" w:hAnsi="Times New Roman"/>
        <w:noProof/>
      </w:rPr>
    </w:sdtEndPr>
    <w:sdtContent>
      <w:p w:rsidR="002568E6" w:rsidRPr="002568E6" w14:paraId="690757C3" w14:textId="4E937FEF">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AF6C98">
          <w:rPr>
            <w:rFonts w:ascii="Times New Roman" w:hAnsi="Times New Roman"/>
            <w:noProof/>
          </w:rPr>
          <w:t>3</w:t>
        </w:r>
        <w:r w:rsidRPr="002568E6">
          <w:rPr>
            <w:rFonts w:ascii="Times New Roman" w:hAnsi="Times New Roman"/>
            <w:noProof/>
          </w:rPr>
          <w:fldChar w:fldCharType="end"/>
        </w:r>
      </w:p>
    </w:sdtContent>
  </w:sdt>
  <w:p w:rsidR="00BF780B" w14:paraId="690757C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368D9" w14:paraId="1B307E03" w14:textId="77777777">
      <w:r>
        <w:separator/>
      </w:r>
    </w:p>
  </w:footnote>
  <w:footnote w:type="continuationSeparator" w:id="1">
    <w:p w:rsidR="00A368D9" w14:paraId="0F2134C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0F67F48"/>
    <w:multiLevelType w:val="hybridMultilevel"/>
    <w:tmpl w:val="62605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1401537"/>
    <w:multiLevelType w:val="hybridMultilevel"/>
    <w:tmpl w:val="C2D291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1EAF499A"/>
    <w:multiLevelType w:val="hybridMultilevel"/>
    <w:tmpl w:val="9EA492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3D437074"/>
    <w:multiLevelType w:val="hybridMultilevel"/>
    <w:tmpl w:val="9474984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5A50AFB"/>
    <w:multiLevelType w:val="hybridMultilevel"/>
    <w:tmpl w:val="39446FA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1">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2">
    <w:nsid w:val="7BA11FB4"/>
    <w:multiLevelType w:val="hybridMultilevel"/>
    <w:tmpl w:val="3AF64CF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7CB5713B"/>
    <w:multiLevelType w:val="hybridMultilevel"/>
    <w:tmpl w:val="869C80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85304535">
    <w:abstractNumId w:val="14"/>
  </w:num>
  <w:num w:numId="2" w16cid:durableId="824974414">
    <w:abstractNumId w:val="21"/>
  </w:num>
  <w:num w:numId="3" w16cid:durableId="1818456814">
    <w:abstractNumId w:val="20"/>
  </w:num>
  <w:num w:numId="4" w16cid:durableId="1067462822">
    <w:abstractNumId w:val="12"/>
  </w:num>
  <w:num w:numId="5" w16cid:durableId="1841114690">
    <w:abstractNumId w:val="24"/>
  </w:num>
  <w:num w:numId="6" w16cid:durableId="973099555">
    <w:abstractNumId w:val="13"/>
  </w:num>
  <w:num w:numId="7" w16cid:durableId="1929848653">
    <w:abstractNumId w:val="9"/>
  </w:num>
  <w:num w:numId="8" w16cid:durableId="1677686283">
    <w:abstractNumId w:val="7"/>
  </w:num>
  <w:num w:numId="9" w16cid:durableId="1119104746">
    <w:abstractNumId w:val="6"/>
  </w:num>
  <w:num w:numId="10" w16cid:durableId="56322561">
    <w:abstractNumId w:val="5"/>
  </w:num>
  <w:num w:numId="11" w16cid:durableId="2014448798">
    <w:abstractNumId w:val="4"/>
  </w:num>
  <w:num w:numId="12" w16cid:durableId="1015693793">
    <w:abstractNumId w:val="8"/>
  </w:num>
  <w:num w:numId="13" w16cid:durableId="668681935">
    <w:abstractNumId w:val="3"/>
  </w:num>
  <w:num w:numId="14" w16cid:durableId="1952937764">
    <w:abstractNumId w:val="2"/>
  </w:num>
  <w:num w:numId="15" w16cid:durableId="775565980">
    <w:abstractNumId w:val="1"/>
  </w:num>
  <w:num w:numId="16" w16cid:durableId="1238398235">
    <w:abstractNumId w:val="0"/>
  </w:num>
  <w:num w:numId="17" w16cid:durableId="1211267084">
    <w:abstractNumId w:val="19"/>
  </w:num>
  <w:num w:numId="18" w16cid:durableId="717242431">
    <w:abstractNumId w:val="15"/>
  </w:num>
  <w:num w:numId="19" w16cid:durableId="1070081644">
    <w:abstractNumId w:val="11"/>
  </w:num>
  <w:num w:numId="20" w16cid:durableId="8487872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0264695">
    <w:abstractNumId w:val="22"/>
  </w:num>
  <w:num w:numId="22" w16cid:durableId="1705905882">
    <w:abstractNumId w:val="16"/>
  </w:num>
  <w:num w:numId="23" w16cid:durableId="613170329">
    <w:abstractNumId w:val="23"/>
  </w:num>
  <w:num w:numId="24" w16cid:durableId="32511427">
    <w:abstractNumId w:val="10"/>
  </w:num>
  <w:num w:numId="25" w16cid:durableId="318047510">
    <w:abstractNumId w:val="18"/>
  </w:num>
  <w:num w:numId="26" w16cid:durableId="16411816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24EE"/>
    <w:rsid w:val="00003E15"/>
    <w:rsid w:val="00003EA5"/>
    <w:rsid w:val="000076A1"/>
    <w:rsid w:val="00007847"/>
    <w:rsid w:val="0000790A"/>
    <w:rsid w:val="00010DE3"/>
    <w:rsid w:val="00010DEC"/>
    <w:rsid w:val="00010E31"/>
    <w:rsid w:val="000145E1"/>
    <w:rsid w:val="00014B4D"/>
    <w:rsid w:val="00015FCF"/>
    <w:rsid w:val="000223C1"/>
    <w:rsid w:val="00022592"/>
    <w:rsid w:val="000234FF"/>
    <w:rsid w:val="00023BFF"/>
    <w:rsid w:val="00027233"/>
    <w:rsid w:val="00032621"/>
    <w:rsid w:val="000329F0"/>
    <w:rsid w:val="000373C7"/>
    <w:rsid w:val="00040718"/>
    <w:rsid w:val="000417D2"/>
    <w:rsid w:val="00041A79"/>
    <w:rsid w:val="000431A5"/>
    <w:rsid w:val="0004364B"/>
    <w:rsid w:val="000438E8"/>
    <w:rsid w:val="000445C1"/>
    <w:rsid w:val="000447C0"/>
    <w:rsid w:val="0004539F"/>
    <w:rsid w:val="000460EC"/>
    <w:rsid w:val="0004668E"/>
    <w:rsid w:val="00047338"/>
    <w:rsid w:val="000507EA"/>
    <w:rsid w:val="00052C5C"/>
    <w:rsid w:val="00053AB5"/>
    <w:rsid w:val="00054647"/>
    <w:rsid w:val="00054E5E"/>
    <w:rsid w:val="00056479"/>
    <w:rsid w:val="0006089A"/>
    <w:rsid w:val="00061892"/>
    <w:rsid w:val="00061FC3"/>
    <w:rsid w:val="000621C5"/>
    <w:rsid w:val="00063761"/>
    <w:rsid w:val="00063800"/>
    <w:rsid w:val="0006449A"/>
    <w:rsid w:val="00064754"/>
    <w:rsid w:val="0006609B"/>
    <w:rsid w:val="00070A9C"/>
    <w:rsid w:val="00071ACF"/>
    <w:rsid w:val="00072177"/>
    <w:rsid w:val="000721A4"/>
    <w:rsid w:val="00072C97"/>
    <w:rsid w:val="000750F4"/>
    <w:rsid w:val="00075687"/>
    <w:rsid w:val="00075AFC"/>
    <w:rsid w:val="00076D3A"/>
    <w:rsid w:val="00080C3F"/>
    <w:rsid w:val="000812F7"/>
    <w:rsid w:val="000814FD"/>
    <w:rsid w:val="00084B36"/>
    <w:rsid w:val="00084B8D"/>
    <w:rsid w:val="00086831"/>
    <w:rsid w:val="00090155"/>
    <w:rsid w:val="00090C98"/>
    <w:rsid w:val="00093427"/>
    <w:rsid w:val="0009567D"/>
    <w:rsid w:val="00095C26"/>
    <w:rsid w:val="000A28C4"/>
    <w:rsid w:val="000A34BE"/>
    <w:rsid w:val="000A3781"/>
    <w:rsid w:val="000A4F8D"/>
    <w:rsid w:val="000A7424"/>
    <w:rsid w:val="000B26F3"/>
    <w:rsid w:val="000B50C9"/>
    <w:rsid w:val="000B7836"/>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5AF"/>
    <w:rsid w:val="000E6CC9"/>
    <w:rsid w:val="000E7D6D"/>
    <w:rsid w:val="000F1BD4"/>
    <w:rsid w:val="000F24C8"/>
    <w:rsid w:val="000F2BAE"/>
    <w:rsid w:val="000F409F"/>
    <w:rsid w:val="000F4EE7"/>
    <w:rsid w:val="000F6F74"/>
    <w:rsid w:val="00101A73"/>
    <w:rsid w:val="001052BD"/>
    <w:rsid w:val="00105736"/>
    <w:rsid w:val="0010590A"/>
    <w:rsid w:val="0010698D"/>
    <w:rsid w:val="001077BF"/>
    <w:rsid w:val="00110773"/>
    <w:rsid w:val="001158EF"/>
    <w:rsid w:val="00115E73"/>
    <w:rsid w:val="001161E8"/>
    <w:rsid w:val="001170E4"/>
    <w:rsid w:val="00117A58"/>
    <w:rsid w:val="00120E7F"/>
    <w:rsid w:val="00121633"/>
    <w:rsid w:val="00122007"/>
    <w:rsid w:val="0012249E"/>
    <w:rsid w:val="0012531F"/>
    <w:rsid w:val="00127364"/>
    <w:rsid w:val="00130907"/>
    <w:rsid w:val="00130FB4"/>
    <w:rsid w:val="00132EF8"/>
    <w:rsid w:val="00132F0C"/>
    <w:rsid w:val="0013306C"/>
    <w:rsid w:val="001334EF"/>
    <w:rsid w:val="0013469F"/>
    <w:rsid w:val="001363FB"/>
    <w:rsid w:val="00143411"/>
    <w:rsid w:val="0014383A"/>
    <w:rsid w:val="00143852"/>
    <w:rsid w:val="00145FCB"/>
    <w:rsid w:val="0015099D"/>
    <w:rsid w:val="0015139F"/>
    <w:rsid w:val="00151DF5"/>
    <w:rsid w:val="00154D85"/>
    <w:rsid w:val="00156839"/>
    <w:rsid w:val="00157282"/>
    <w:rsid w:val="00160DAC"/>
    <w:rsid w:val="001613F6"/>
    <w:rsid w:val="001630F8"/>
    <w:rsid w:val="00166501"/>
    <w:rsid w:val="00167686"/>
    <w:rsid w:val="001707E2"/>
    <w:rsid w:val="00171619"/>
    <w:rsid w:val="00172B17"/>
    <w:rsid w:val="0017348C"/>
    <w:rsid w:val="0017484F"/>
    <w:rsid w:val="00180150"/>
    <w:rsid w:val="00182728"/>
    <w:rsid w:val="001829D2"/>
    <w:rsid w:val="0018306B"/>
    <w:rsid w:val="001834A9"/>
    <w:rsid w:val="0018456B"/>
    <w:rsid w:val="00185270"/>
    <w:rsid w:val="0018740F"/>
    <w:rsid w:val="001912C2"/>
    <w:rsid w:val="001964E8"/>
    <w:rsid w:val="001971F1"/>
    <w:rsid w:val="001A01C9"/>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5E66"/>
    <w:rsid w:val="001F054A"/>
    <w:rsid w:val="001F103E"/>
    <w:rsid w:val="001F549E"/>
    <w:rsid w:val="001F5ABD"/>
    <w:rsid w:val="001F6BC7"/>
    <w:rsid w:val="001F6E85"/>
    <w:rsid w:val="001F73D9"/>
    <w:rsid w:val="00201068"/>
    <w:rsid w:val="00201287"/>
    <w:rsid w:val="00204E6E"/>
    <w:rsid w:val="00205B44"/>
    <w:rsid w:val="00205D78"/>
    <w:rsid w:val="002062CF"/>
    <w:rsid w:val="002075EB"/>
    <w:rsid w:val="00210D68"/>
    <w:rsid w:val="00210F2A"/>
    <w:rsid w:val="00210FA8"/>
    <w:rsid w:val="00212905"/>
    <w:rsid w:val="00213436"/>
    <w:rsid w:val="00215CC6"/>
    <w:rsid w:val="00222EDC"/>
    <w:rsid w:val="0022443A"/>
    <w:rsid w:val="002251B2"/>
    <w:rsid w:val="00231C61"/>
    <w:rsid w:val="00235EB3"/>
    <w:rsid w:val="002370B7"/>
    <w:rsid w:val="00241834"/>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57A1"/>
    <w:rsid w:val="00267E64"/>
    <w:rsid w:val="00270D71"/>
    <w:rsid w:val="00272DD6"/>
    <w:rsid w:val="002737E9"/>
    <w:rsid w:val="002748C7"/>
    <w:rsid w:val="00275494"/>
    <w:rsid w:val="0027695F"/>
    <w:rsid w:val="00282B23"/>
    <w:rsid w:val="00283364"/>
    <w:rsid w:val="002876A8"/>
    <w:rsid w:val="002900F6"/>
    <w:rsid w:val="002954B1"/>
    <w:rsid w:val="002A1B3D"/>
    <w:rsid w:val="002A7390"/>
    <w:rsid w:val="002B0654"/>
    <w:rsid w:val="002B46E1"/>
    <w:rsid w:val="002B4F85"/>
    <w:rsid w:val="002B6598"/>
    <w:rsid w:val="002B752A"/>
    <w:rsid w:val="002C05AC"/>
    <w:rsid w:val="002C2401"/>
    <w:rsid w:val="002C4936"/>
    <w:rsid w:val="002C6748"/>
    <w:rsid w:val="002C7B26"/>
    <w:rsid w:val="002D0DED"/>
    <w:rsid w:val="002D1E33"/>
    <w:rsid w:val="002D47CD"/>
    <w:rsid w:val="002D571D"/>
    <w:rsid w:val="002E1315"/>
    <w:rsid w:val="002E1A35"/>
    <w:rsid w:val="002E240B"/>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5029"/>
    <w:rsid w:val="003164E9"/>
    <w:rsid w:val="00324C06"/>
    <w:rsid w:val="00325195"/>
    <w:rsid w:val="0032533B"/>
    <w:rsid w:val="00326F10"/>
    <w:rsid w:val="00333190"/>
    <w:rsid w:val="003333DF"/>
    <w:rsid w:val="00334635"/>
    <w:rsid w:val="0033630C"/>
    <w:rsid w:val="0033721D"/>
    <w:rsid w:val="003374B9"/>
    <w:rsid w:val="00341DA8"/>
    <w:rsid w:val="00341DEE"/>
    <w:rsid w:val="00342170"/>
    <w:rsid w:val="00343967"/>
    <w:rsid w:val="0034535B"/>
    <w:rsid w:val="0034537B"/>
    <w:rsid w:val="00350550"/>
    <w:rsid w:val="003521A9"/>
    <w:rsid w:val="00353F90"/>
    <w:rsid w:val="00356D92"/>
    <w:rsid w:val="00357DBD"/>
    <w:rsid w:val="00360B8B"/>
    <w:rsid w:val="003637E7"/>
    <w:rsid w:val="00364718"/>
    <w:rsid w:val="0036497A"/>
    <w:rsid w:val="00366BB8"/>
    <w:rsid w:val="0037115C"/>
    <w:rsid w:val="00372784"/>
    <w:rsid w:val="00376E39"/>
    <w:rsid w:val="003770FE"/>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408A"/>
    <w:rsid w:val="003B4C92"/>
    <w:rsid w:val="003C2346"/>
    <w:rsid w:val="003C3FCC"/>
    <w:rsid w:val="003C41FC"/>
    <w:rsid w:val="003C5E7D"/>
    <w:rsid w:val="003C646A"/>
    <w:rsid w:val="003C6BDD"/>
    <w:rsid w:val="003D05A9"/>
    <w:rsid w:val="003D2FA4"/>
    <w:rsid w:val="003D3135"/>
    <w:rsid w:val="003D6927"/>
    <w:rsid w:val="003E0D93"/>
    <w:rsid w:val="003E2F2D"/>
    <w:rsid w:val="003E64F6"/>
    <w:rsid w:val="003F4932"/>
    <w:rsid w:val="003F7EFD"/>
    <w:rsid w:val="004000FA"/>
    <w:rsid w:val="00400754"/>
    <w:rsid w:val="004033DD"/>
    <w:rsid w:val="004037F9"/>
    <w:rsid w:val="0040495B"/>
    <w:rsid w:val="004060BE"/>
    <w:rsid w:val="004061F0"/>
    <w:rsid w:val="00407AEA"/>
    <w:rsid w:val="004113AB"/>
    <w:rsid w:val="00411D76"/>
    <w:rsid w:val="004127EA"/>
    <w:rsid w:val="00415AE6"/>
    <w:rsid w:val="00417C54"/>
    <w:rsid w:val="00420723"/>
    <w:rsid w:val="00422327"/>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C56"/>
    <w:rsid w:val="00452E03"/>
    <w:rsid w:val="00455134"/>
    <w:rsid w:val="004600D7"/>
    <w:rsid w:val="00462B00"/>
    <w:rsid w:val="00462C4E"/>
    <w:rsid w:val="0046423B"/>
    <w:rsid w:val="0046738D"/>
    <w:rsid w:val="004708FD"/>
    <w:rsid w:val="004709BB"/>
    <w:rsid w:val="004714B1"/>
    <w:rsid w:val="00472A8F"/>
    <w:rsid w:val="00472E23"/>
    <w:rsid w:val="00474A8E"/>
    <w:rsid w:val="004752E2"/>
    <w:rsid w:val="0047544E"/>
    <w:rsid w:val="0047561A"/>
    <w:rsid w:val="00476676"/>
    <w:rsid w:val="00477E91"/>
    <w:rsid w:val="00482056"/>
    <w:rsid w:val="00483781"/>
    <w:rsid w:val="00483CCC"/>
    <w:rsid w:val="00483F2C"/>
    <w:rsid w:val="00485F71"/>
    <w:rsid w:val="0049318E"/>
    <w:rsid w:val="00494A82"/>
    <w:rsid w:val="004957AD"/>
    <w:rsid w:val="004A0A19"/>
    <w:rsid w:val="004A2D34"/>
    <w:rsid w:val="004A2F08"/>
    <w:rsid w:val="004A48CA"/>
    <w:rsid w:val="004A543C"/>
    <w:rsid w:val="004A6286"/>
    <w:rsid w:val="004A6581"/>
    <w:rsid w:val="004B3468"/>
    <w:rsid w:val="004B46EC"/>
    <w:rsid w:val="004C0CD9"/>
    <w:rsid w:val="004C2E49"/>
    <w:rsid w:val="004C50AE"/>
    <w:rsid w:val="004C615B"/>
    <w:rsid w:val="004C69A7"/>
    <w:rsid w:val="004D04AD"/>
    <w:rsid w:val="004D1FDB"/>
    <w:rsid w:val="004D3638"/>
    <w:rsid w:val="004D43D3"/>
    <w:rsid w:val="004D5E86"/>
    <w:rsid w:val="004D76F4"/>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14648"/>
    <w:rsid w:val="00520A94"/>
    <w:rsid w:val="005234BE"/>
    <w:rsid w:val="005254DF"/>
    <w:rsid w:val="005256BF"/>
    <w:rsid w:val="005266CA"/>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74F7"/>
    <w:rsid w:val="00567DE7"/>
    <w:rsid w:val="005721E3"/>
    <w:rsid w:val="00572DE7"/>
    <w:rsid w:val="00573F29"/>
    <w:rsid w:val="00580507"/>
    <w:rsid w:val="00581E48"/>
    <w:rsid w:val="005827E8"/>
    <w:rsid w:val="00586F6C"/>
    <w:rsid w:val="005912FB"/>
    <w:rsid w:val="005917B8"/>
    <w:rsid w:val="00591AD7"/>
    <w:rsid w:val="005940EB"/>
    <w:rsid w:val="0059545A"/>
    <w:rsid w:val="005955C7"/>
    <w:rsid w:val="00596675"/>
    <w:rsid w:val="005967BB"/>
    <w:rsid w:val="0059680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418E"/>
    <w:rsid w:val="005E6A3C"/>
    <w:rsid w:val="005E7295"/>
    <w:rsid w:val="005F0A77"/>
    <w:rsid w:val="005F18C1"/>
    <w:rsid w:val="005F2D36"/>
    <w:rsid w:val="005F31C0"/>
    <w:rsid w:val="005F43D7"/>
    <w:rsid w:val="005F5FFE"/>
    <w:rsid w:val="005F6830"/>
    <w:rsid w:val="005F7C5A"/>
    <w:rsid w:val="00600B7F"/>
    <w:rsid w:val="00600F05"/>
    <w:rsid w:val="00603FF7"/>
    <w:rsid w:val="00604A34"/>
    <w:rsid w:val="00604BE2"/>
    <w:rsid w:val="006059DF"/>
    <w:rsid w:val="0060707B"/>
    <w:rsid w:val="00616358"/>
    <w:rsid w:val="00617B1B"/>
    <w:rsid w:val="0062182F"/>
    <w:rsid w:val="0062241E"/>
    <w:rsid w:val="006226A2"/>
    <w:rsid w:val="006228E2"/>
    <w:rsid w:val="00623528"/>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67C33"/>
    <w:rsid w:val="00673E6A"/>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E01"/>
    <w:rsid w:val="006A7A14"/>
    <w:rsid w:val="006A7F48"/>
    <w:rsid w:val="006B005F"/>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3B6"/>
    <w:rsid w:val="006D7835"/>
    <w:rsid w:val="006D7F88"/>
    <w:rsid w:val="006E4AC6"/>
    <w:rsid w:val="006E4B7F"/>
    <w:rsid w:val="006E5418"/>
    <w:rsid w:val="006E5E54"/>
    <w:rsid w:val="006F05C3"/>
    <w:rsid w:val="006F15B1"/>
    <w:rsid w:val="006F174B"/>
    <w:rsid w:val="006F3032"/>
    <w:rsid w:val="006F346E"/>
    <w:rsid w:val="006F575B"/>
    <w:rsid w:val="006F5B38"/>
    <w:rsid w:val="006F68C4"/>
    <w:rsid w:val="006F6A9F"/>
    <w:rsid w:val="00700579"/>
    <w:rsid w:val="00700F3B"/>
    <w:rsid w:val="00701E5A"/>
    <w:rsid w:val="00702822"/>
    <w:rsid w:val="00703554"/>
    <w:rsid w:val="0070367B"/>
    <w:rsid w:val="00707ED6"/>
    <w:rsid w:val="00710CF7"/>
    <w:rsid w:val="0071282D"/>
    <w:rsid w:val="007135AF"/>
    <w:rsid w:val="00717835"/>
    <w:rsid w:val="00720489"/>
    <w:rsid w:val="0072072E"/>
    <w:rsid w:val="00720BC7"/>
    <w:rsid w:val="00722B78"/>
    <w:rsid w:val="00723374"/>
    <w:rsid w:val="00730697"/>
    <w:rsid w:val="0073096B"/>
    <w:rsid w:val="007317BC"/>
    <w:rsid w:val="0073357B"/>
    <w:rsid w:val="00733746"/>
    <w:rsid w:val="00733A77"/>
    <w:rsid w:val="00734D74"/>
    <w:rsid w:val="00736CE0"/>
    <w:rsid w:val="007377F1"/>
    <w:rsid w:val="0074205E"/>
    <w:rsid w:val="00742246"/>
    <w:rsid w:val="007439F4"/>
    <w:rsid w:val="00745F3B"/>
    <w:rsid w:val="0074676D"/>
    <w:rsid w:val="00746993"/>
    <w:rsid w:val="00747267"/>
    <w:rsid w:val="007505B0"/>
    <w:rsid w:val="00750E7D"/>
    <w:rsid w:val="00751946"/>
    <w:rsid w:val="007532C9"/>
    <w:rsid w:val="00754981"/>
    <w:rsid w:val="00754F1E"/>
    <w:rsid w:val="00756119"/>
    <w:rsid w:val="00756BAD"/>
    <w:rsid w:val="00760434"/>
    <w:rsid w:val="00761877"/>
    <w:rsid w:val="00763D19"/>
    <w:rsid w:val="00764AB6"/>
    <w:rsid w:val="007704A9"/>
    <w:rsid w:val="00770E12"/>
    <w:rsid w:val="00772867"/>
    <w:rsid w:val="00772B26"/>
    <w:rsid w:val="0077330C"/>
    <w:rsid w:val="00776D16"/>
    <w:rsid w:val="00783919"/>
    <w:rsid w:val="00783DA7"/>
    <w:rsid w:val="00784603"/>
    <w:rsid w:val="0078653A"/>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0040"/>
    <w:rsid w:val="007D1FBD"/>
    <w:rsid w:val="007D46EC"/>
    <w:rsid w:val="007D4D5F"/>
    <w:rsid w:val="007D76FB"/>
    <w:rsid w:val="007E0B9B"/>
    <w:rsid w:val="007E3170"/>
    <w:rsid w:val="007E4256"/>
    <w:rsid w:val="007E5364"/>
    <w:rsid w:val="007F2B2C"/>
    <w:rsid w:val="007F6BFE"/>
    <w:rsid w:val="00800EE9"/>
    <w:rsid w:val="00801786"/>
    <w:rsid w:val="00803F61"/>
    <w:rsid w:val="00804792"/>
    <w:rsid w:val="00805072"/>
    <w:rsid w:val="008050EE"/>
    <w:rsid w:val="00806C1C"/>
    <w:rsid w:val="008071C5"/>
    <w:rsid w:val="00810BB3"/>
    <w:rsid w:val="00813EE2"/>
    <w:rsid w:val="00816EB4"/>
    <w:rsid w:val="0082083D"/>
    <w:rsid w:val="00821AC8"/>
    <w:rsid w:val="008221AA"/>
    <w:rsid w:val="0082448C"/>
    <w:rsid w:val="00826253"/>
    <w:rsid w:val="0082671D"/>
    <w:rsid w:val="00826C8E"/>
    <w:rsid w:val="00826DD8"/>
    <w:rsid w:val="008270DC"/>
    <w:rsid w:val="0083118E"/>
    <w:rsid w:val="00831769"/>
    <w:rsid w:val="00831EA7"/>
    <w:rsid w:val="008323F9"/>
    <w:rsid w:val="00833324"/>
    <w:rsid w:val="00833520"/>
    <w:rsid w:val="00835727"/>
    <w:rsid w:val="00835A63"/>
    <w:rsid w:val="008377B5"/>
    <w:rsid w:val="00837807"/>
    <w:rsid w:val="00841477"/>
    <w:rsid w:val="00841682"/>
    <w:rsid w:val="00842E02"/>
    <w:rsid w:val="008502C2"/>
    <w:rsid w:val="008507EF"/>
    <w:rsid w:val="00850904"/>
    <w:rsid w:val="00851CF4"/>
    <w:rsid w:val="008525DD"/>
    <w:rsid w:val="00853829"/>
    <w:rsid w:val="00853BF9"/>
    <w:rsid w:val="00855DB1"/>
    <w:rsid w:val="00856AB0"/>
    <w:rsid w:val="00861FED"/>
    <w:rsid w:val="00862A3F"/>
    <w:rsid w:val="008648BF"/>
    <w:rsid w:val="00867C20"/>
    <w:rsid w:val="00870BB1"/>
    <w:rsid w:val="0087187D"/>
    <w:rsid w:val="00871E93"/>
    <w:rsid w:val="00872B95"/>
    <w:rsid w:val="008733D8"/>
    <w:rsid w:val="008745A8"/>
    <w:rsid w:val="00877A93"/>
    <w:rsid w:val="00880D4D"/>
    <w:rsid w:val="0088245A"/>
    <w:rsid w:val="008832DB"/>
    <w:rsid w:val="00884B5C"/>
    <w:rsid w:val="0088500E"/>
    <w:rsid w:val="00886AC1"/>
    <w:rsid w:val="008876AB"/>
    <w:rsid w:val="00887CD4"/>
    <w:rsid w:val="008915FB"/>
    <w:rsid w:val="00893793"/>
    <w:rsid w:val="0089577E"/>
    <w:rsid w:val="00895CB0"/>
    <w:rsid w:val="00897DE4"/>
    <w:rsid w:val="008A1A85"/>
    <w:rsid w:val="008A1F39"/>
    <w:rsid w:val="008A2948"/>
    <w:rsid w:val="008A7380"/>
    <w:rsid w:val="008B0F94"/>
    <w:rsid w:val="008B25E6"/>
    <w:rsid w:val="008B3FDA"/>
    <w:rsid w:val="008B4683"/>
    <w:rsid w:val="008B472E"/>
    <w:rsid w:val="008B57A8"/>
    <w:rsid w:val="008C00B4"/>
    <w:rsid w:val="008C1668"/>
    <w:rsid w:val="008C2EB3"/>
    <w:rsid w:val="008C3FAF"/>
    <w:rsid w:val="008C62AD"/>
    <w:rsid w:val="008C6BEB"/>
    <w:rsid w:val="008C71A9"/>
    <w:rsid w:val="008D1717"/>
    <w:rsid w:val="008D174D"/>
    <w:rsid w:val="008D2E1A"/>
    <w:rsid w:val="008D2FF6"/>
    <w:rsid w:val="008D554A"/>
    <w:rsid w:val="008D5DC5"/>
    <w:rsid w:val="008E2B05"/>
    <w:rsid w:val="008E569D"/>
    <w:rsid w:val="008F0099"/>
    <w:rsid w:val="008F0605"/>
    <w:rsid w:val="008F0A60"/>
    <w:rsid w:val="008F2DEC"/>
    <w:rsid w:val="008F3F14"/>
    <w:rsid w:val="008F6EB7"/>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26A4"/>
    <w:rsid w:val="009361A2"/>
    <w:rsid w:val="009379DE"/>
    <w:rsid w:val="0094179F"/>
    <w:rsid w:val="00944853"/>
    <w:rsid w:val="0094524E"/>
    <w:rsid w:val="009500BC"/>
    <w:rsid w:val="009536A2"/>
    <w:rsid w:val="00956D8E"/>
    <w:rsid w:val="009575CF"/>
    <w:rsid w:val="00961994"/>
    <w:rsid w:val="00962F5F"/>
    <w:rsid w:val="00964E59"/>
    <w:rsid w:val="009666C0"/>
    <w:rsid w:val="00966860"/>
    <w:rsid w:val="00966BFC"/>
    <w:rsid w:val="00967F46"/>
    <w:rsid w:val="00971C3A"/>
    <w:rsid w:val="00972641"/>
    <w:rsid w:val="009727E2"/>
    <w:rsid w:val="0097389E"/>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1A6"/>
    <w:rsid w:val="0099054F"/>
    <w:rsid w:val="00990736"/>
    <w:rsid w:val="00991650"/>
    <w:rsid w:val="00991FC3"/>
    <w:rsid w:val="00992CA5"/>
    <w:rsid w:val="00993BC1"/>
    <w:rsid w:val="00994791"/>
    <w:rsid w:val="00994BF3"/>
    <w:rsid w:val="00997530"/>
    <w:rsid w:val="009A1FA7"/>
    <w:rsid w:val="009A28AF"/>
    <w:rsid w:val="009A3AAC"/>
    <w:rsid w:val="009A4115"/>
    <w:rsid w:val="009A5A09"/>
    <w:rsid w:val="009A6BE0"/>
    <w:rsid w:val="009A6E3B"/>
    <w:rsid w:val="009A7BE0"/>
    <w:rsid w:val="009B2E15"/>
    <w:rsid w:val="009B4B0D"/>
    <w:rsid w:val="009B6105"/>
    <w:rsid w:val="009C1A67"/>
    <w:rsid w:val="009C32A5"/>
    <w:rsid w:val="009C419C"/>
    <w:rsid w:val="009C5170"/>
    <w:rsid w:val="009C5B28"/>
    <w:rsid w:val="009C5B89"/>
    <w:rsid w:val="009C7411"/>
    <w:rsid w:val="009D121C"/>
    <w:rsid w:val="009D2F27"/>
    <w:rsid w:val="009D5A73"/>
    <w:rsid w:val="009D5B4E"/>
    <w:rsid w:val="009D5C70"/>
    <w:rsid w:val="009D7A98"/>
    <w:rsid w:val="009E07EA"/>
    <w:rsid w:val="009E0DFB"/>
    <w:rsid w:val="009E0E79"/>
    <w:rsid w:val="009E1059"/>
    <w:rsid w:val="009E120D"/>
    <w:rsid w:val="009E1234"/>
    <w:rsid w:val="009E3311"/>
    <w:rsid w:val="009E6159"/>
    <w:rsid w:val="009F0360"/>
    <w:rsid w:val="009F0786"/>
    <w:rsid w:val="009F0EAB"/>
    <w:rsid w:val="009F104D"/>
    <w:rsid w:val="009F146E"/>
    <w:rsid w:val="009F14CE"/>
    <w:rsid w:val="009F228E"/>
    <w:rsid w:val="009F54AE"/>
    <w:rsid w:val="009F5FB3"/>
    <w:rsid w:val="009F67CC"/>
    <w:rsid w:val="009F6BAA"/>
    <w:rsid w:val="009F7643"/>
    <w:rsid w:val="009F7E1A"/>
    <w:rsid w:val="00A021C3"/>
    <w:rsid w:val="00A04FE7"/>
    <w:rsid w:val="00A1154D"/>
    <w:rsid w:val="00A12F4D"/>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68D9"/>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E02"/>
    <w:rsid w:val="00A714D0"/>
    <w:rsid w:val="00A7252E"/>
    <w:rsid w:val="00A73197"/>
    <w:rsid w:val="00A73507"/>
    <w:rsid w:val="00A7459E"/>
    <w:rsid w:val="00A75998"/>
    <w:rsid w:val="00A7688B"/>
    <w:rsid w:val="00A80633"/>
    <w:rsid w:val="00A81B52"/>
    <w:rsid w:val="00A82AA1"/>
    <w:rsid w:val="00A82BB4"/>
    <w:rsid w:val="00A83FB0"/>
    <w:rsid w:val="00A905F5"/>
    <w:rsid w:val="00A925C9"/>
    <w:rsid w:val="00A92D91"/>
    <w:rsid w:val="00A95DB5"/>
    <w:rsid w:val="00A969EB"/>
    <w:rsid w:val="00A96B59"/>
    <w:rsid w:val="00AA21A1"/>
    <w:rsid w:val="00AA55D2"/>
    <w:rsid w:val="00AA6BEE"/>
    <w:rsid w:val="00AB3888"/>
    <w:rsid w:val="00AB5F42"/>
    <w:rsid w:val="00AB6592"/>
    <w:rsid w:val="00AB67B2"/>
    <w:rsid w:val="00AB6B56"/>
    <w:rsid w:val="00AC0DA1"/>
    <w:rsid w:val="00AC0E61"/>
    <w:rsid w:val="00AC11A1"/>
    <w:rsid w:val="00AC1CF7"/>
    <w:rsid w:val="00AC2B52"/>
    <w:rsid w:val="00AC61A8"/>
    <w:rsid w:val="00AD1B31"/>
    <w:rsid w:val="00AD2642"/>
    <w:rsid w:val="00AD2800"/>
    <w:rsid w:val="00AD4629"/>
    <w:rsid w:val="00AD6ECF"/>
    <w:rsid w:val="00AE0DA1"/>
    <w:rsid w:val="00AE3C19"/>
    <w:rsid w:val="00AE4F48"/>
    <w:rsid w:val="00AE5974"/>
    <w:rsid w:val="00AE6A0B"/>
    <w:rsid w:val="00AE7A2F"/>
    <w:rsid w:val="00AF143D"/>
    <w:rsid w:val="00AF32EA"/>
    <w:rsid w:val="00AF55EF"/>
    <w:rsid w:val="00AF6C98"/>
    <w:rsid w:val="00AF7AC8"/>
    <w:rsid w:val="00B01286"/>
    <w:rsid w:val="00B01769"/>
    <w:rsid w:val="00B01B6B"/>
    <w:rsid w:val="00B06CD9"/>
    <w:rsid w:val="00B12FBB"/>
    <w:rsid w:val="00B13B07"/>
    <w:rsid w:val="00B20E43"/>
    <w:rsid w:val="00B2117C"/>
    <w:rsid w:val="00B22E0E"/>
    <w:rsid w:val="00B27696"/>
    <w:rsid w:val="00B303B9"/>
    <w:rsid w:val="00B30A20"/>
    <w:rsid w:val="00B335C9"/>
    <w:rsid w:val="00B33FB9"/>
    <w:rsid w:val="00B35984"/>
    <w:rsid w:val="00B35F66"/>
    <w:rsid w:val="00B36D92"/>
    <w:rsid w:val="00B40E2C"/>
    <w:rsid w:val="00B410B9"/>
    <w:rsid w:val="00B4117A"/>
    <w:rsid w:val="00B42633"/>
    <w:rsid w:val="00B42A4C"/>
    <w:rsid w:val="00B438F9"/>
    <w:rsid w:val="00B44520"/>
    <w:rsid w:val="00B45036"/>
    <w:rsid w:val="00B46119"/>
    <w:rsid w:val="00B5016E"/>
    <w:rsid w:val="00B502BF"/>
    <w:rsid w:val="00B52C79"/>
    <w:rsid w:val="00B534DA"/>
    <w:rsid w:val="00B55CA4"/>
    <w:rsid w:val="00B614CE"/>
    <w:rsid w:val="00B616CD"/>
    <w:rsid w:val="00B62726"/>
    <w:rsid w:val="00B6562C"/>
    <w:rsid w:val="00B677F2"/>
    <w:rsid w:val="00B73492"/>
    <w:rsid w:val="00B77958"/>
    <w:rsid w:val="00B77C3D"/>
    <w:rsid w:val="00B8362B"/>
    <w:rsid w:val="00B92C27"/>
    <w:rsid w:val="00B9315A"/>
    <w:rsid w:val="00B932BE"/>
    <w:rsid w:val="00B9352B"/>
    <w:rsid w:val="00B93A5E"/>
    <w:rsid w:val="00B94086"/>
    <w:rsid w:val="00B942FD"/>
    <w:rsid w:val="00B95B69"/>
    <w:rsid w:val="00B96662"/>
    <w:rsid w:val="00BA032B"/>
    <w:rsid w:val="00BA0965"/>
    <w:rsid w:val="00BA2E7F"/>
    <w:rsid w:val="00BA4BA8"/>
    <w:rsid w:val="00BA6345"/>
    <w:rsid w:val="00BB0DDA"/>
    <w:rsid w:val="00BB1681"/>
    <w:rsid w:val="00BB329A"/>
    <w:rsid w:val="00BB4B24"/>
    <w:rsid w:val="00BB6B52"/>
    <w:rsid w:val="00BC1F50"/>
    <w:rsid w:val="00BC207F"/>
    <w:rsid w:val="00BC23B8"/>
    <w:rsid w:val="00BC4AAA"/>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780B"/>
    <w:rsid w:val="00C00128"/>
    <w:rsid w:val="00C00CA3"/>
    <w:rsid w:val="00C02236"/>
    <w:rsid w:val="00C02C23"/>
    <w:rsid w:val="00C02C6A"/>
    <w:rsid w:val="00C05443"/>
    <w:rsid w:val="00C05589"/>
    <w:rsid w:val="00C06A0B"/>
    <w:rsid w:val="00C075A4"/>
    <w:rsid w:val="00C10D1F"/>
    <w:rsid w:val="00C13E67"/>
    <w:rsid w:val="00C15742"/>
    <w:rsid w:val="00C15AB7"/>
    <w:rsid w:val="00C16031"/>
    <w:rsid w:val="00C17A13"/>
    <w:rsid w:val="00C24355"/>
    <w:rsid w:val="00C24C23"/>
    <w:rsid w:val="00C25057"/>
    <w:rsid w:val="00C25696"/>
    <w:rsid w:val="00C279DD"/>
    <w:rsid w:val="00C315EE"/>
    <w:rsid w:val="00C32641"/>
    <w:rsid w:val="00C32B1D"/>
    <w:rsid w:val="00C32DEF"/>
    <w:rsid w:val="00C333A0"/>
    <w:rsid w:val="00C34D0E"/>
    <w:rsid w:val="00C351B7"/>
    <w:rsid w:val="00C365BA"/>
    <w:rsid w:val="00C36E90"/>
    <w:rsid w:val="00C37760"/>
    <w:rsid w:val="00C379C4"/>
    <w:rsid w:val="00C37AA8"/>
    <w:rsid w:val="00C408EC"/>
    <w:rsid w:val="00C40BC0"/>
    <w:rsid w:val="00C41E75"/>
    <w:rsid w:val="00C427D6"/>
    <w:rsid w:val="00C45064"/>
    <w:rsid w:val="00C4592B"/>
    <w:rsid w:val="00C46F3C"/>
    <w:rsid w:val="00C5330F"/>
    <w:rsid w:val="00C54A1A"/>
    <w:rsid w:val="00C557D4"/>
    <w:rsid w:val="00C55A6C"/>
    <w:rsid w:val="00C5617B"/>
    <w:rsid w:val="00C6025D"/>
    <w:rsid w:val="00C619D0"/>
    <w:rsid w:val="00C61B37"/>
    <w:rsid w:val="00C7097C"/>
    <w:rsid w:val="00C70AD9"/>
    <w:rsid w:val="00C72374"/>
    <w:rsid w:val="00C73E93"/>
    <w:rsid w:val="00C77545"/>
    <w:rsid w:val="00C77CDA"/>
    <w:rsid w:val="00C80BCF"/>
    <w:rsid w:val="00C81187"/>
    <w:rsid w:val="00C82339"/>
    <w:rsid w:val="00C84CA9"/>
    <w:rsid w:val="00C84D5A"/>
    <w:rsid w:val="00C851FC"/>
    <w:rsid w:val="00C860DE"/>
    <w:rsid w:val="00C867FB"/>
    <w:rsid w:val="00C90227"/>
    <w:rsid w:val="00C915DE"/>
    <w:rsid w:val="00C929DD"/>
    <w:rsid w:val="00C93698"/>
    <w:rsid w:val="00C976AA"/>
    <w:rsid w:val="00CA0412"/>
    <w:rsid w:val="00CA1F00"/>
    <w:rsid w:val="00CA26A6"/>
    <w:rsid w:val="00CA2EE6"/>
    <w:rsid w:val="00CA33C7"/>
    <w:rsid w:val="00CA5F04"/>
    <w:rsid w:val="00CA61A0"/>
    <w:rsid w:val="00CA72FE"/>
    <w:rsid w:val="00CB022F"/>
    <w:rsid w:val="00CB462E"/>
    <w:rsid w:val="00CB4BAA"/>
    <w:rsid w:val="00CC03DA"/>
    <w:rsid w:val="00CC3B51"/>
    <w:rsid w:val="00CC400E"/>
    <w:rsid w:val="00CC5EE3"/>
    <w:rsid w:val="00CC7714"/>
    <w:rsid w:val="00CC78E0"/>
    <w:rsid w:val="00CC7D21"/>
    <w:rsid w:val="00CD11B6"/>
    <w:rsid w:val="00CD4EFE"/>
    <w:rsid w:val="00CE2F33"/>
    <w:rsid w:val="00CE5DF7"/>
    <w:rsid w:val="00CF0312"/>
    <w:rsid w:val="00CF0BBA"/>
    <w:rsid w:val="00CF198E"/>
    <w:rsid w:val="00CF2F46"/>
    <w:rsid w:val="00CF3028"/>
    <w:rsid w:val="00CF7201"/>
    <w:rsid w:val="00CF7CB1"/>
    <w:rsid w:val="00D0059B"/>
    <w:rsid w:val="00D01018"/>
    <w:rsid w:val="00D04910"/>
    <w:rsid w:val="00D04B01"/>
    <w:rsid w:val="00D076D5"/>
    <w:rsid w:val="00D100BF"/>
    <w:rsid w:val="00D12812"/>
    <w:rsid w:val="00D13013"/>
    <w:rsid w:val="00D15723"/>
    <w:rsid w:val="00D1795D"/>
    <w:rsid w:val="00D17F46"/>
    <w:rsid w:val="00D2213B"/>
    <w:rsid w:val="00D227C2"/>
    <w:rsid w:val="00D245FB"/>
    <w:rsid w:val="00D254A5"/>
    <w:rsid w:val="00D32413"/>
    <w:rsid w:val="00D33375"/>
    <w:rsid w:val="00D352D9"/>
    <w:rsid w:val="00D373E1"/>
    <w:rsid w:val="00D3753F"/>
    <w:rsid w:val="00D37A4B"/>
    <w:rsid w:val="00D41FA8"/>
    <w:rsid w:val="00D42417"/>
    <w:rsid w:val="00D4297F"/>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7E5"/>
    <w:rsid w:val="00D77B69"/>
    <w:rsid w:val="00D77C0B"/>
    <w:rsid w:val="00D77F76"/>
    <w:rsid w:val="00D803BD"/>
    <w:rsid w:val="00D815E8"/>
    <w:rsid w:val="00D82746"/>
    <w:rsid w:val="00D83489"/>
    <w:rsid w:val="00D84706"/>
    <w:rsid w:val="00D84C83"/>
    <w:rsid w:val="00D91BC2"/>
    <w:rsid w:val="00D91CEF"/>
    <w:rsid w:val="00D93106"/>
    <w:rsid w:val="00D93DB0"/>
    <w:rsid w:val="00D94CD1"/>
    <w:rsid w:val="00D952EF"/>
    <w:rsid w:val="00D96C21"/>
    <w:rsid w:val="00DA0E06"/>
    <w:rsid w:val="00DA40F0"/>
    <w:rsid w:val="00DA5801"/>
    <w:rsid w:val="00DA6090"/>
    <w:rsid w:val="00DA6CF2"/>
    <w:rsid w:val="00DB4209"/>
    <w:rsid w:val="00DB71BA"/>
    <w:rsid w:val="00DB739F"/>
    <w:rsid w:val="00DB7E31"/>
    <w:rsid w:val="00DC1BD4"/>
    <w:rsid w:val="00DC36ED"/>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0AC5"/>
    <w:rsid w:val="00E00C8E"/>
    <w:rsid w:val="00E0371E"/>
    <w:rsid w:val="00E03B56"/>
    <w:rsid w:val="00E03EA7"/>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4F3C"/>
    <w:rsid w:val="00E35B7D"/>
    <w:rsid w:val="00E368D6"/>
    <w:rsid w:val="00E37B85"/>
    <w:rsid w:val="00E37CF7"/>
    <w:rsid w:val="00E403BF"/>
    <w:rsid w:val="00E40EBC"/>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358D"/>
    <w:rsid w:val="00E63ADA"/>
    <w:rsid w:val="00E63BDA"/>
    <w:rsid w:val="00E674D5"/>
    <w:rsid w:val="00E7033D"/>
    <w:rsid w:val="00E70ABD"/>
    <w:rsid w:val="00E724EC"/>
    <w:rsid w:val="00E730BC"/>
    <w:rsid w:val="00E743D6"/>
    <w:rsid w:val="00E757B4"/>
    <w:rsid w:val="00E76B95"/>
    <w:rsid w:val="00E779B7"/>
    <w:rsid w:val="00E77A50"/>
    <w:rsid w:val="00E8084A"/>
    <w:rsid w:val="00E810A3"/>
    <w:rsid w:val="00E812B2"/>
    <w:rsid w:val="00E84E10"/>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6484"/>
    <w:rsid w:val="00EA755E"/>
    <w:rsid w:val="00EB0163"/>
    <w:rsid w:val="00EB2A7D"/>
    <w:rsid w:val="00EB3649"/>
    <w:rsid w:val="00EB3985"/>
    <w:rsid w:val="00EB4A80"/>
    <w:rsid w:val="00EB7D33"/>
    <w:rsid w:val="00EC0443"/>
    <w:rsid w:val="00EC17A9"/>
    <w:rsid w:val="00EC1D6A"/>
    <w:rsid w:val="00EC35EA"/>
    <w:rsid w:val="00EC6954"/>
    <w:rsid w:val="00ED13A9"/>
    <w:rsid w:val="00ED28F2"/>
    <w:rsid w:val="00ED3465"/>
    <w:rsid w:val="00ED3E7D"/>
    <w:rsid w:val="00ED5039"/>
    <w:rsid w:val="00EE0069"/>
    <w:rsid w:val="00EE50D2"/>
    <w:rsid w:val="00EE53F4"/>
    <w:rsid w:val="00EE574A"/>
    <w:rsid w:val="00EE59C2"/>
    <w:rsid w:val="00EE76C5"/>
    <w:rsid w:val="00EF249A"/>
    <w:rsid w:val="00EF347D"/>
    <w:rsid w:val="00EF3E6A"/>
    <w:rsid w:val="00EF415A"/>
    <w:rsid w:val="00EF46A2"/>
    <w:rsid w:val="00EF636C"/>
    <w:rsid w:val="00F00259"/>
    <w:rsid w:val="00F026D5"/>
    <w:rsid w:val="00F028D8"/>
    <w:rsid w:val="00F02BFD"/>
    <w:rsid w:val="00F05414"/>
    <w:rsid w:val="00F05D6B"/>
    <w:rsid w:val="00F0711F"/>
    <w:rsid w:val="00F07336"/>
    <w:rsid w:val="00F10753"/>
    <w:rsid w:val="00F10FA6"/>
    <w:rsid w:val="00F1599B"/>
    <w:rsid w:val="00F15ACC"/>
    <w:rsid w:val="00F178A6"/>
    <w:rsid w:val="00F20AEF"/>
    <w:rsid w:val="00F2228F"/>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507F6"/>
    <w:rsid w:val="00F51A73"/>
    <w:rsid w:val="00F51A8E"/>
    <w:rsid w:val="00F5254E"/>
    <w:rsid w:val="00F54087"/>
    <w:rsid w:val="00F55F14"/>
    <w:rsid w:val="00F56824"/>
    <w:rsid w:val="00F570E0"/>
    <w:rsid w:val="00F62E54"/>
    <w:rsid w:val="00F63FAF"/>
    <w:rsid w:val="00F64EFC"/>
    <w:rsid w:val="00F65818"/>
    <w:rsid w:val="00F7052B"/>
    <w:rsid w:val="00F7632B"/>
    <w:rsid w:val="00F80F6C"/>
    <w:rsid w:val="00F8269D"/>
    <w:rsid w:val="00F82BCE"/>
    <w:rsid w:val="00F83F0C"/>
    <w:rsid w:val="00F84248"/>
    <w:rsid w:val="00F854FE"/>
    <w:rsid w:val="00F858F1"/>
    <w:rsid w:val="00F85B86"/>
    <w:rsid w:val="00F868A2"/>
    <w:rsid w:val="00F8793E"/>
    <w:rsid w:val="00F91587"/>
    <w:rsid w:val="00F943AD"/>
    <w:rsid w:val="00F95373"/>
    <w:rsid w:val="00F960C4"/>
    <w:rsid w:val="00F96207"/>
    <w:rsid w:val="00F96722"/>
    <w:rsid w:val="00F97372"/>
    <w:rsid w:val="00FA03F2"/>
    <w:rsid w:val="00FA2369"/>
    <w:rsid w:val="00FA37DD"/>
    <w:rsid w:val="00FA3F4A"/>
    <w:rsid w:val="00FA5256"/>
    <w:rsid w:val="00FB41E1"/>
    <w:rsid w:val="00FB6150"/>
    <w:rsid w:val="00FB6DFE"/>
    <w:rsid w:val="00FB747A"/>
    <w:rsid w:val="00FB7807"/>
    <w:rsid w:val="00FB7AB0"/>
    <w:rsid w:val="00FC26B5"/>
    <w:rsid w:val="00FC54F6"/>
    <w:rsid w:val="00FC5505"/>
    <w:rsid w:val="00FC5EF5"/>
    <w:rsid w:val="00FD14C0"/>
    <w:rsid w:val="00FD1B1E"/>
    <w:rsid w:val="00FD48F4"/>
    <w:rsid w:val="00FD616E"/>
    <w:rsid w:val="00FD65F1"/>
    <w:rsid w:val="00FD71D3"/>
    <w:rsid w:val="00FE09E0"/>
    <w:rsid w:val="00FE1B20"/>
    <w:rsid w:val="00FE21EF"/>
    <w:rsid w:val="00FE231B"/>
    <w:rsid w:val="00FE37C1"/>
    <w:rsid w:val="00FE4809"/>
    <w:rsid w:val="00FE4AC5"/>
    <w:rsid w:val="00FE7D9F"/>
    <w:rsid w:val="00FF5B04"/>
    <w:rsid w:val="00FF704D"/>
    <w:rsid w:val="00FF7E68"/>
    <w:rsid w:val="1DD2BE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07570A"/>
  <w15:docId w15:val="{BC7C9F9F-71A4-4480-84A2-FC83FFBC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link w:val="HTMLPreformattedChar"/>
    <w:uiPriority w:val="99"/>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CommentTextChar">
    <w:name w:val="Comment Text Char"/>
    <w:basedOn w:val="DefaultParagraphFont"/>
    <w:link w:val="CommentText"/>
    <w:semiHidden/>
    <w:rsid w:val="00AF6C98"/>
    <w:rPr>
      <w:rFonts w:ascii="Courier" w:hAnsi="Courier"/>
    </w:rPr>
  </w:style>
  <w:style w:type="character" w:customStyle="1" w:styleId="HTMLPreformattedChar">
    <w:name w:val="HTML Preformatted Char"/>
    <w:basedOn w:val="DefaultParagraphFont"/>
    <w:link w:val="HTMLPreformatted"/>
    <w:uiPriority w:val="99"/>
    <w:rsid w:val="00604A34"/>
    <w:rPr>
      <w:rFonts w:ascii="Courier New" w:hAnsi="Courier New" w:cs="Courier New"/>
    </w:rPr>
  </w:style>
  <w:style w:type="paragraph" w:customStyle="1" w:styleId="a">
    <w:name w:val="!"/>
    <w:rsid w:val="00A714D0"/>
    <w:pPr>
      <w:autoSpaceDE w:val="0"/>
      <w:autoSpaceDN w:val="0"/>
      <w:adjustRightInd w:val="0"/>
      <w:ind w:left="720"/>
    </w:pPr>
    <w:rPr>
      <w:rFonts w:ascii="CG Times" w:hAnsi="CG Times"/>
      <w:sz w:val="24"/>
      <w:szCs w:val="24"/>
    </w:rPr>
  </w:style>
  <w:style w:type="character" w:styleId="UnresolvedMention">
    <w:name w:val="Unresolved Mention"/>
    <w:basedOn w:val="DefaultParagraphFont"/>
    <w:uiPriority w:val="99"/>
    <w:semiHidden/>
    <w:unhideWhenUsed/>
    <w:rsid w:val="00467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harlotte.detmer@illinois.gov" TargetMode="External" /><Relationship Id="rId11" Type="http://schemas.openxmlformats.org/officeDocument/2006/relationships/hyperlink" Target="mailto:vmvs@verizon.net" TargetMode="External" /><Relationship Id="rId12" Type="http://schemas.openxmlformats.org/officeDocument/2006/relationships/hyperlink" Target="mailto:Hannah.ennis@agi.alabama.gov" TargetMode="External" /><Relationship Id="rId13" Type="http://schemas.openxmlformats.org/officeDocument/2006/relationships/hyperlink" Target="mailto:southwestvetnm@gmail.com" TargetMode="External" /><Relationship Id="rId14" Type="http://schemas.openxmlformats.org/officeDocument/2006/relationships/hyperlink" Target="mailto:stephen.k.crawford@agr.nh.gov" TargetMode="External" /><Relationship Id="rId15" Type="http://schemas.openxmlformats.org/officeDocument/2006/relationships/hyperlink" Target="mailto:marissa.silva@cdfa.ca.gov%20" TargetMode="External" /><Relationship Id="rId16" Type="http://schemas.openxmlformats.org/officeDocument/2006/relationships/hyperlink" Target="http://www.bls.gov/oes/current/oes291131.htm" TargetMode="External" /><Relationship Id="rId17" Type="http://schemas.openxmlformats.org/officeDocument/2006/relationships/hyperlink" Target="http://nifa.usda.gov/vmlrp-reports-and-statistics" TargetMode="Externa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03316C2E3781E4EB22E2545026A4922" ma:contentTypeVersion="19" ma:contentTypeDescription="Create a new document." ma:contentTypeScope="" ma:versionID="93a565f27b613c6022aa603ddee55b52">
  <xsd:schema xmlns:xsd="http://www.w3.org/2001/XMLSchema" xmlns:xs="http://www.w3.org/2001/XMLSchema" xmlns:p="http://schemas.microsoft.com/office/2006/metadata/properties" xmlns:ns1="http://schemas.microsoft.com/sharepoint/v3" xmlns:ns2="e0e830cf-fa80-4a1f-9556-2f9b87cacae9" xmlns:ns3="b47d352e-de42-46e4-9128-a55ac4aa993f" xmlns:ns4="73fb875a-8af9-4255-b008-0995492d31cd" targetNamespace="http://schemas.microsoft.com/office/2006/metadata/properties" ma:root="true" ma:fieldsID="0235d1a571ee34c5a61a2c6a3bc28bd3" ns1:_="" ns2:_="" ns3:_="" ns4:_="">
    <xsd:import namespace="http://schemas.microsoft.com/sharepoint/v3"/>
    <xsd:import namespace="e0e830cf-fa80-4a1f-9556-2f9b87cacae9"/>
    <xsd:import namespace="b47d352e-de42-46e4-9128-a55ac4aa993f"/>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4:TaxCatchAll" minOccurs="0"/>
                <xsd:element ref="ns2:MediaServiceLocation" minOccurs="0"/>
                <xsd:element ref="ns2:Document_x0020_Type"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830cf-fa80-4a1f-9556-2f9b87cac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Document_x0020_Type" ma:index="21" nillable="true" ma:displayName="Document Type" ma:default="Panel" ma:description="Describe the Type of Document within the agency" ma:format="Dropdown" ma:internalName="Document_x0020_Type">
      <xsd:simpleType>
        <xsd:restriction base="dms:Choice">
          <xsd:enumeration value="Panel"/>
          <xsd:enumeration value="RFA"/>
          <xsd:enumeration value="Award"/>
          <xsd:enumeration value="Application"/>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7d352e-de42-46e4-9128-a55ac4aa99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6d635c4-946a-4f93-9b44-634b4e1a59a1}" ma:internalName="TaxCatchAll" ma:showField="CatchAllData" ma:web="b47d352e-de42-46e4-9128-a55ac4aa99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lcf76f155ced4ddcb4097134ff3c332f xmlns="e0e830cf-fa80-4a1f-9556-2f9b87cacae9">
      <Terms xmlns="http://schemas.microsoft.com/office/infopath/2007/PartnerControls"/>
    </lcf76f155ced4ddcb4097134ff3c332f>
    <TaxCatchAll xmlns="73fb875a-8af9-4255-b008-0995492d31cd" xsi:nil="true"/>
    <Document_x0020_Type xmlns="e0e830cf-fa80-4a1f-9556-2f9b87cacae9">Panel</Document_x0020_Type>
  </documentManagement>
</p:properties>
</file>

<file path=customXml/itemProps1.xml><?xml version="1.0" encoding="utf-8"?>
<ds:datastoreItem xmlns:ds="http://schemas.openxmlformats.org/officeDocument/2006/customXml" ds:itemID="{490EBA4D-6921-4C59-8EE3-C478A1DF2A85}">
  <ds:schemaRefs>
    <ds:schemaRef ds:uri="http://schemas.openxmlformats.org/officeDocument/2006/bibliography"/>
  </ds:schemaRefs>
</ds:datastoreItem>
</file>

<file path=customXml/itemProps2.xml><?xml version="1.0" encoding="utf-8"?>
<ds:datastoreItem xmlns:ds="http://schemas.openxmlformats.org/officeDocument/2006/customXml" ds:itemID="{C077957A-233B-40EF-B353-15B9B85E9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e830cf-fa80-4a1f-9556-2f9b87cacae9"/>
    <ds:schemaRef ds:uri="b47d352e-de42-46e4-9128-a55ac4aa993f"/>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C5DD7420-095D-468C-BC80-9E7A41869B57}">
  <ds:schemaRefs>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 ds:uri="e0e830cf-fa80-4a1f-9556-2f9b87cacae9"/>
    <ds:schemaRef ds:uri="http://schemas.microsoft.com/office/2006/documentManagement/types"/>
    <ds:schemaRef ds:uri="http://www.w3.org/XML/1998/namespace"/>
    <ds:schemaRef ds:uri="http://schemas.microsoft.com/sharepoint/v3"/>
    <ds:schemaRef ds:uri="73fb875a-8af9-4255-b008-0995492d31cd"/>
    <ds:schemaRef ds:uri="b47d352e-de42-46e4-9128-a55ac4aa993f"/>
    <ds:schemaRef ds:uri="http://schemas.microsoft.com/office/2006/metadata/propertie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3976</Words>
  <Characters>23225</Characters>
  <Application>Microsoft Office Word</Application>
  <DocSecurity>0</DocSecurity>
  <Lines>689</Lines>
  <Paragraphs>287</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Ragland-Greene, Rachelle - OCIO-OCIO, DC</cp:lastModifiedBy>
  <cp:revision>2</cp:revision>
  <cp:lastPrinted>2013-08-08T14:23:00Z</cp:lastPrinted>
  <dcterms:created xsi:type="dcterms:W3CDTF">2026-01-30T18:54:00Z</dcterms:created>
  <dcterms:modified xsi:type="dcterms:W3CDTF">2026-01-30T18:54:00Z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0x010100803316C2E3781E4EB22E2545026A4922</vt:lpwstr>
  </property>
  <property fmtid="{D5CDD505-2E9C-101B-9397-08002B2CF9AE}" pid="3" name="MediaServiceImageTags">
    <vt:lpwstr/>
  </property>
  <property fmtid="{D5CDD505-2E9C-101B-9397-08002B2CF9AE}" pid="4" name="Order">
    <vt:r8>500</vt:r8>
  </property>
  <property fmtid="{D5CDD505-2E9C-101B-9397-08002B2CF9AE}" pid="5" name="TemplateUrl">
    <vt:lpwstr/>
  </property>
  <property fmtid="{D5CDD505-2E9C-101B-9397-08002B2CF9AE}" pid="6" name="xd_ProgID">
    <vt:lpwstr/>
  </property>
  <property fmtid="{D5CDD505-2E9C-101B-9397-08002B2CF9AE}" pid="7" name="_dlc_DocId">
    <vt:lpwstr>PAT56XDWNNC6-1500440792-5</vt:lpwstr>
  </property>
  <property fmtid="{D5CDD505-2E9C-101B-9397-08002B2CF9AE}" pid="8" name="_dlc_DocIdItemGuid">
    <vt:lpwstr>f9460f86-ccb2-45e2-9293-8cbabf720072</vt:lpwstr>
  </property>
  <property fmtid="{D5CDD505-2E9C-101B-9397-08002B2CF9AE}" pid="9" name="_dlc_DocIdUrl">
    <vt:lpwstr>https://fncspro.usda.net/offices/ops/prao/_layouts/15/DocIdRedir.aspx?ID=PAT56XDWNNC6-1500440792-5, PAT56XDWNNC6-1500440792-5</vt:lpwstr>
  </property>
</Properties>
</file>