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D2D" w14:paraId="2636E5C4" w14:textId="77777777">
      <w:pPr>
        <w:widowControl/>
        <w:rPr>
          <w:rFonts w:ascii="Arial" w:eastAsia="Arial" w:hAnsi="Arial" w:cs="Arial"/>
        </w:rPr>
      </w:pPr>
    </w:p>
    <w:p w:rsidR="00D26D2D" w14:paraId="2319499A" w14:textId="77777777">
      <w:pPr>
        <w:widowControl/>
        <w:jc w:val="center"/>
        <w:rPr>
          <w:rFonts w:ascii="Arial" w:eastAsia="Arial" w:hAnsi="Arial" w:cs="Arial"/>
          <w:b/>
        </w:rPr>
      </w:pPr>
      <w:r>
        <w:rPr>
          <w:rFonts w:ascii="Arial" w:eastAsia="Arial" w:hAnsi="Arial" w:cs="Arial"/>
          <w:b/>
        </w:rPr>
        <w:t>Supporting Statement for Information Collection</w:t>
      </w:r>
    </w:p>
    <w:p w:rsidR="00D26D2D" w14:paraId="1C2951AB" w14:textId="77777777">
      <w:pPr>
        <w:pBdr>
          <w:top w:val="nil"/>
          <w:left w:val="nil"/>
          <w:bottom w:val="nil"/>
          <w:right w:val="nil"/>
          <w:between w:val="nil"/>
        </w:pBdr>
        <w:tabs>
          <w:tab w:val="left" w:pos="7148"/>
        </w:tabs>
        <w:jc w:val="center"/>
        <w:rPr>
          <w:rFonts w:ascii="Arial" w:eastAsia="Arial" w:hAnsi="Arial" w:cs="Arial"/>
          <w:b/>
        </w:rPr>
      </w:pPr>
      <w:bookmarkStart w:id="0" w:name="_1fob9te" w:colFirst="0" w:colLast="0"/>
      <w:bookmarkEnd w:id="0"/>
      <w:r>
        <w:rPr>
          <w:rFonts w:ascii="Arial" w:eastAsia="Arial" w:hAnsi="Arial" w:cs="Arial"/>
          <w:b/>
        </w:rPr>
        <w:t>OMB Control Number 3090-0320</w:t>
      </w:r>
    </w:p>
    <w:p w:rsidR="00D26D2D" w14:paraId="782ED3DA" w14:textId="77777777">
      <w:pPr>
        <w:tabs>
          <w:tab w:val="left" w:pos="7148"/>
        </w:tabs>
        <w:jc w:val="center"/>
        <w:rPr>
          <w:rFonts w:ascii="Arial" w:eastAsia="Arial" w:hAnsi="Arial" w:cs="Arial"/>
          <w:b/>
        </w:rPr>
      </w:pPr>
      <w:r>
        <w:rPr>
          <w:rFonts w:ascii="Arial" w:eastAsia="Arial" w:hAnsi="Arial" w:cs="Arial"/>
          <w:b/>
        </w:rPr>
        <w:t>Construction Manager as Constructor (CMc)</w:t>
      </w:r>
    </w:p>
    <w:p w:rsidR="00D26D2D" w14:paraId="37823E05" w14:textId="77777777">
      <w:pPr>
        <w:widowControl/>
        <w:tabs>
          <w:tab w:val="left" w:pos="360"/>
        </w:tabs>
        <w:rPr>
          <w:rFonts w:ascii="Arial" w:eastAsia="Arial" w:hAnsi="Arial" w:cs="Arial"/>
          <w:b/>
        </w:rPr>
      </w:pPr>
    </w:p>
    <w:p w:rsidR="00D26D2D" w14:paraId="1A9207FB" w14:textId="77777777">
      <w:pPr>
        <w:widowControl/>
        <w:tabs>
          <w:tab w:val="left" w:pos="360"/>
        </w:tabs>
        <w:rPr>
          <w:rFonts w:ascii="Arial" w:eastAsia="Arial" w:hAnsi="Arial" w:cs="Arial"/>
          <w:b/>
          <w:highlight w:val="yellow"/>
        </w:rPr>
      </w:pPr>
    </w:p>
    <w:p w:rsidR="00D26D2D" w14:paraId="6F48EA91" w14:textId="77777777">
      <w:pPr>
        <w:widowControl/>
        <w:tabs>
          <w:tab w:val="left" w:pos="360"/>
        </w:tabs>
        <w:rPr>
          <w:rFonts w:ascii="Arial" w:eastAsia="Arial" w:hAnsi="Arial" w:cs="Arial"/>
          <w:b/>
          <w:u w:val="single"/>
        </w:rPr>
      </w:pPr>
      <w:r>
        <w:rPr>
          <w:rFonts w:ascii="Arial" w:eastAsia="Arial" w:hAnsi="Arial" w:cs="Arial"/>
          <w:b/>
          <w:u w:val="single"/>
        </w:rPr>
        <w:t>Overview of Information Collection.</w:t>
      </w:r>
    </w:p>
    <w:p w:rsidR="00D26D2D" w14:paraId="5B5BBA54" w14:textId="77777777">
      <w:pPr>
        <w:widowControl/>
        <w:tabs>
          <w:tab w:val="left" w:pos="360"/>
        </w:tabs>
        <w:rPr>
          <w:rFonts w:ascii="Arial" w:eastAsia="Arial" w:hAnsi="Arial" w:cs="Arial"/>
          <w:b/>
        </w:rPr>
      </w:pPr>
    </w:p>
    <w:p w:rsidR="00D26D2D" w14:paraId="690819E1" w14:textId="77777777">
      <w:pPr>
        <w:tabs>
          <w:tab w:val="left" w:pos="820"/>
          <w:tab w:val="left" w:pos="821"/>
        </w:tabs>
        <w:ind w:right="195"/>
        <w:rPr>
          <w:rFonts w:ascii="Arial" w:eastAsia="Arial" w:hAnsi="Arial" w:cs="Arial"/>
        </w:rPr>
      </w:pPr>
      <w:r>
        <w:rPr>
          <w:rFonts w:ascii="Arial" w:eastAsia="Arial" w:hAnsi="Arial" w:cs="Arial"/>
        </w:rPr>
        <w:t xml:space="preserve">This is a request for approval of an extension to an existing information collection. </w:t>
      </w:r>
    </w:p>
    <w:p w:rsidR="00D26D2D" w14:paraId="76D5C61E" w14:textId="77777777">
      <w:pPr>
        <w:widowControl/>
        <w:rPr>
          <w:rFonts w:ascii="Arial" w:eastAsia="Arial" w:hAnsi="Arial" w:cs="Arial"/>
          <w:highlight w:val="yellow"/>
        </w:rPr>
      </w:pPr>
    </w:p>
    <w:p w:rsidR="00D26D2D" w14:paraId="021E76FF" w14:textId="77777777">
      <w:pPr>
        <w:widowControl/>
        <w:tabs>
          <w:tab w:val="left" w:pos="657"/>
        </w:tabs>
        <w:rPr>
          <w:rFonts w:ascii="Arial" w:eastAsia="Arial" w:hAnsi="Arial" w:cs="Arial"/>
        </w:rPr>
      </w:pPr>
      <w:r>
        <w:rPr>
          <w:rFonts w:ascii="Arial" w:eastAsia="Arial" w:hAnsi="Arial" w:cs="Arial"/>
        </w:rPr>
        <w:t>There are no significant changes since the last approval of this information collection.  Updates to previous estimates include:</w:t>
      </w:r>
    </w:p>
    <w:p w:rsidR="00D26D2D" w14:paraId="65C7BF1E" w14:textId="77777777">
      <w:pPr>
        <w:widowControl/>
        <w:rPr>
          <w:rFonts w:ascii="Arial" w:eastAsia="Arial" w:hAnsi="Arial" w:cs="Arial"/>
          <w:highlight w:val="yellow"/>
        </w:rPr>
      </w:pPr>
    </w:p>
    <w:p w:rsidR="00D26D2D" w14:paraId="3AFBE1BB" w14:textId="77777777">
      <w:pPr>
        <w:widowControl/>
        <w:numPr>
          <w:ilvl w:val="0"/>
          <w:numId w:val="1"/>
        </w:numPr>
        <w:rPr>
          <w:rFonts w:ascii="Arial" w:eastAsia="Arial" w:hAnsi="Arial" w:cs="Arial"/>
        </w:rPr>
      </w:pPr>
      <w:r>
        <w:rPr>
          <w:rFonts w:ascii="Arial" w:eastAsia="Arial" w:hAnsi="Arial" w:cs="Arial"/>
        </w:rPr>
        <w:t>The total estimated annual cost burden to the public increased due to the use of updated data. The total estimated annual public cost burden changed-</w:t>
      </w:r>
    </w:p>
    <w:p w:rsidR="00D26D2D" w14:paraId="6C0F88C4" w14:textId="77777777">
      <w:pPr>
        <w:widowControl/>
        <w:numPr>
          <w:ilvl w:val="1"/>
          <w:numId w:val="1"/>
        </w:numPr>
        <w:rPr>
          <w:rFonts w:ascii="Arial" w:eastAsia="Arial" w:hAnsi="Arial" w:cs="Arial"/>
        </w:rPr>
      </w:pPr>
      <w:r>
        <w:rPr>
          <w:rFonts w:ascii="Arial" w:eastAsia="Arial" w:hAnsi="Arial" w:cs="Arial"/>
        </w:rPr>
        <w:t>From: $33,004</w:t>
      </w:r>
    </w:p>
    <w:p w:rsidR="00D26D2D" w14:paraId="2AFEAC22" w14:textId="77777777">
      <w:pPr>
        <w:widowControl/>
        <w:numPr>
          <w:ilvl w:val="1"/>
          <w:numId w:val="1"/>
        </w:numPr>
        <w:rPr>
          <w:rFonts w:ascii="Arial" w:eastAsia="Arial" w:hAnsi="Arial" w:cs="Arial"/>
        </w:rPr>
      </w:pPr>
      <w:r>
        <w:rPr>
          <w:rFonts w:ascii="Arial" w:eastAsia="Arial" w:hAnsi="Arial" w:cs="Arial"/>
        </w:rPr>
        <w:t>To: $33,300</w:t>
      </w:r>
    </w:p>
    <w:p w:rsidR="00D26D2D" w14:paraId="071E619B" w14:textId="77777777">
      <w:pPr>
        <w:widowControl/>
        <w:ind w:left="1440"/>
        <w:rPr>
          <w:rFonts w:ascii="Arial" w:eastAsia="Arial" w:hAnsi="Arial" w:cs="Arial"/>
          <w:highlight w:val="yellow"/>
        </w:rPr>
      </w:pPr>
    </w:p>
    <w:p w:rsidR="00D26D2D" w14:paraId="33933533" w14:textId="77777777">
      <w:pPr>
        <w:widowControl/>
        <w:numPr>
          <w:ilvl w:val="0"/>
          <w:numId w:val="1"/>
        </w:numPr>
        <w:rPr>
          <w:rFonts w:ascii="Arial" w:eastAsia="Arial" w:hAnsi="Arial" w:cs="Arial"/>
        </w:rPr>
      </w:pPr>
      <w:r>
        <w:rPr>
          <w:rFonts w:ascii="Arial" w:eastAsia="Arial" w:hAnsi="Arial" w:cs="Arial"/>
        </w:rPr>
        <w:t>The total estimated annual cost burden to the Government increased due to the use of updated data. The total estimated annual cost to the Government changed-</w:t>
      </w:r>
    </w:p>
    <w:p w:rsidR="00D26D2D" w14:paraId="316CC0B7" w14:textId="77777777">
      <w:pPr>
        <w:widowControl/>
        <w:numPr>
          <w:ilvl w:val="1"/>
          <w:numId w:val="1"/>
        </w:numPr>
        <w:rPr>
          <w:rFonts w:ascii="Arial" w:eastAsia="Arial" w:hAnsi="Arial" w:cs="Arial"/>
        </w:rPr>
      </w:pPr>
      <w:r>
        <w:rPr>
          <w:rFonts w:ascii="Arial" w:eastAsia="Arial" w:hAnsi="Arial" w:cs="Arial"/>
        </w:rPr>
        <w:t>From: $16,502</w:t>
      </w:r>
    </w:p>
    <w:p w:rsidR="00D26D2D" w14:paraId="342A087E" w14:textId="77777777">
      <w:pPr>
        <w:widowControl/>
        <w:numPr>
          <w:ilvl w:val="1"/>
          <w:numId w:val="1"/>
        </w:numPr>
        <w:rPr>
          <w:rFonts w:ascii="Arial" w:eastAsia="Arial" w:hAnsi="Arial" w:cs="Arial"/>
        </w:rPr>
      </w:pPr>
      <w:r>
        <w:rPr>
          <w:rFonts w:ascii="Arial" w:eastAsia="Arial" w:hAnsi="Arial" w:cs="Arial"/>
        </w:rPr>
        <w:t>To: $16,650</w:t>
      </w:r>
    </w:p>
    <w:p w:rsidR="00D26D2D" w14:paraId="4B94A5B6" w14:textId="77777777">
      <w:pPr>
        <w:widowControl/>
        <w:rPr>
          <w:rFonts w:ascii="Arial" w:eastAsia="Arial" w:hAnsi="Arial" w:cs="Arial"/>
          <w:highlight w:val="yellow"/>
        </w:rPr>
      </w:pPr>
    </w:p>
    <w:p w:rsidR="00D26D2D" w14:paraId="20A60C17" w14:textId="77777777">
      <w:pPr>
        <w:tabs>
          <w:tab w:val="left" w:pos="657"/>
        </w:tabs>
        <w:rPr>
          <w:rFonts w:ascii="Arial" w:eastAsia="Arial" w:hAnsi="Arial" w:cs="Arial"/>
          <w:b/>
          <w:u w:val="single"/>
        </w:rPr>
      </w:pPr>
      <w:r>
        <w:rPr>
          <w:rFonts w:ascii="Arial" w:eastAsia="Arial" w:hAnsi="Arial" w:cs="Arial"/>
          <w:b/>
          <w:u w:val="single"/>
        </w:rPr>
        <w:t>1. Need and Method for the Information Collection.</w:t>
      </w:r>
    </w:p>
    <w:p w:rsidR="00D26D2D" w14:paraId="1D2A8116" w14:textId="77777777">
      <w:pPr>
        <w:widowControl/>
        <w:spacing w:before="240" w:after="240"/>
        <w:rPr>
          <w:rFonts w:ascii="Arial" w:eastAsia="Arial" w:hAnsi="Arial" w:cs="Arial"/>
        </w:rPr>
      </w:pPr>
      <w:r>
        <w:rPr>
          <w:rFonts w:ascii="Arial" w:eastAsia="Arial" w:hAnsi="Arial" w:cs="Arial"/>
        </w:rPr>
        <w:t>This information collection applies to General Services Administration (GSA) construction contractors’ proposals to establish the final estimated cost of the work, to convert the contract to a firm-fixed-price, and to determine the final settlement.</w:t>
      </w:r>
    </w:p>
    <w:p w:rsidR="00D26D2D" w14:paraId="02A6DB59" w14:textId="77777777">
      <w:pPr>
        <w:widowControl/>
        <w:spacing w:before="240" w:after="240"/>
        <w:rPr>
          <w:rFonts w:ascii="Arial" w:eastAsia="Arial" w:hAnsi="Arial" w:cs="Arial"/>
        </w:rPr>
      </w:pPr>
      <w:r>
        <w:rPr>
          <w:rFonts w:ascii="Arial" w:eastAsia="Arial" w:hAnsi="Arial" w:cs="Arial"/>
        </w:rPr>
        <w:t>Construction Manager as Constructor (CMc) refers to a project management and contracting technique that is one of three predominant methods used for acquiring construction services by GSA. The other two methods are design-bid-build and design-build.</w:t>
      </w:r>
    </w:p>
    <w:p w:rsidR="00D26D2D" w14:paraId="56399B34" w14:textId="77777777">
      <w:pPr>
        <w:tabs>
          <w:tab w:val="left" w:pos="657"/>
        </w:tabs>
        <w:spacing w:before="240" w:after="240"/>
        <w:rPr>
          <w:rFonts w:ascii="Arial" w:eastAsia="Arial" w:hAnsi="Arial" w:cs="Arial"/>
        </w:rPr>
      </w:pPr>
      <w:r>
        <w:rPr>
          <w:rFonts w:ascii="Arial" w:eastAsia="Arial" w:hAnsi="Arial" w:cs="Arial"/>
        </w:rPr>
        <w:t>The information is used by contracting officers to evaluate proposals and negotiate contract modifications during contract administration. GSA would be unable to assess readily and equitably offers fairly and competitively if they were not allowed to collect data required in the information collection.</w:t>
      </w:r>
    </w:p>
    <w:p w:rsidR="00D26D2D" w14:paraId="7B040ABB" w14:textId="77777777">
      <w:pPr>
        <w:tabs>
          <w:tab w:val="left" w:pos="657"/>
        </w:tabs>
        <w:spacing w:before="240" w:after="240"/>
        <w:rPr>
          <w:rFonts w:ascii="Arial" w:eastAsia="Arial" w:hAnsi="Arial" w:cs="Arial"/>
        </w:rPr>
      </w:pPr>
      <w:r>
        <w:rPr>
          <w:rFonts w:ascii="Arial" w:eastAsia="Arial" w:hAnsi="Arial" w:cs="Arial"/>
        </w:rPr>
        <w:t xml:space="preserve">Method: GSAR 552.236-79, Construction-Contractor-as-Constructor, requires the contractor to submit a proposal to establish the final estimated cost of the work, to convert the contract to a firm-fixed-price, and to determine the final settlement.  </w:t>
      </w:r>
    </w:p>
    <w:p w:rsidR="00D26D2D" w14:paraId="651CADE7" w14:textId="77777777">
      <w:pPr>
        <w:tabs>
          <w:tab w:val="left" w:pos="657"/>
        </w:tabs>
        <w:spacing w:before="240" w:after="240"/>
        <w:ind w:right="200"/>
        <w:rPr>
          <w:rFonts w:ascii="Arial" w:eastAsia="Arial" w:hAnsi="Arial" w:cs="Arial"/>
          <w:highlight w:val="yellow"/>
        </w:rPr>
      </w:pPr>
      <w:r>
        <w:rPr>
          <w:rFonts w:ascii="Arial" w:eastAsia="Arial" w:hAnsi="Arial" w:cs="Arial"/>
        </w:rPr>
        <w:t xml:space="preserve">See Item 6 below for the consequences if the information collection is not conducted or conducted less frequently.   </w:t>
      </w:r>
    </w:p>
    <w:p w:rsidR="00D26D2D" w14:paraId="18486E6E" w14:textId="77777777">
      <w:pPr>
        <w:tabs>
          <w:tab w:val="left" w:pos="657"/>
        </w:tabs>
        <w:rPr>
          <w:rFonts w:ascii="Arial" w:eastAsia="Arial" w:hAnsi="Arial" w:cs="Arial"/>
          <w:b/>
          <w:u w:val="single"/>
        </w:rPr>
      </w:pPr>
      <w:r>
        <w:rPr>
          <w:rFonts w:ascii="Arial" w:eastAsia="Arial" w:hAnsi="Arial" w:cs="Arial"/>
          <w:b/>
          <w:u w:val="single"/>
        </w:rPr>
        <w:t>2. Use of the Information.</w:t>
      </w:r>
    </w:p>
    <w:p w:rsidR="00D26D2D" w14:paraId="2DC140F0" w14:textId="77777777">
      <w:pPr>
        <w:tabs>
          <w:tab w:val="left" w:pos="657"/>
        </w:tabs>
        <w:spacing w:before="240" w:after="240"/>
        <w:rPr>
          <w:rFonts w:ascii="Arial" w:eastAsia="Arial" w:hAnsi="Arial" w:cs="Arial"/>
        </w:rPr>
      </w:pPr>
      <w:r>
        <w:rPr>
          <w:rFonts w:ascii="Arial" w:eastAsia="Arial" w:hAnsi="Arial" w:cs="Arial"/>
        </w:rPr>
        <w:t>Contracting officers use the information to evaluate contractors’ proposals and negotiate contract modifications during contract administration.</w:t>
      </w:r>
    </w:p>
    <w:p w:rsidR="00D26D2D" w14:paraId="69E4FBE5" w14:textId="77777777">
      <w:pPr>
        <w:tabs>
          <w:tab w:val="left" w:pos="657"/>
        </w:tabs>
        <w:rPr>
          <w:rFonts w:ascii="Arial" w:eastAsia="Arial" w:hAnsi="Arial" w:cs="Arial"/>
          <w:b/>
          <w:u w:val="single"/>
        </w:rPr>
      </w:pPr>
      <w:r>
        <w:rPr>
          <w:rFonts w:ascii="Arial" w:eastAsia="Arial" w:hAnsi="Arial" w:cs="Arial"/>
          <w:b/>
          <w:u w:val="single"/>
        </w:rPr>
        <w:t>3. Use of Information Technology.</w:t>
      </w:r>
    </w:p>
    <w:p w:rsidR="00D26D2D" w14:paraId="10A06FB0" w14:textId="77777777">
      <w:pPr>
        <w:widowControl/>
        <w:tabs>
          <w:tab w:val="left" w:pos="90"/>
        </w:tabs>
        <w:rPr>
          <w:rFonts w:ascii="Arial" w:eastAsia="Arial" w:hAnsi="Arial" w:cs="Arial"/>
        </w:rPr>
      </w:pPr>
      <w:r>
        <w:rPr>
          <w:rFonts w:ascii="Arial" w:eastAsia="Arial" w:hAnsi="Arial" w:cs="Arial"/>
        </w:rPr>
        <w:t xml:space="preserve">GSA continues to improve and expand the use of information technology to the maximum extent practicable. Where both the Government and the contractor are capable of electronic interchange, these information collection requirements may be submitted electronically. </w:t>
      </w:r>
    </w:p>
    <w:p w:rsidR="00D26D2D" w14:paraId="75E97133" w14:textId="77777777">
      <w:pPr>
        <w:pBdr>
          <w:top w:val="nil"/>
          <w:left w:val="nil"/>
          <w:bottom w:val="nil"/>
          <w:right w:val="nil"/>
          <w:between w:val="nil"/>
        </w:pBdr>
        <w:tabs>
          <w:tab w:val="left" w:pos="657"/>
        </w:tabs>
        <w:rPr>
          <w:rFonts w:ascii="Arial" w:eastAsia="Arial" w:hAnsi="Arial" w:cs="Arial"/>
          <w:highlight w:val="yellow"/>
        </w:rPr>
      </w:pPr>
    </w:p>
    <w:p w:rsidR="00D26D2D" w14:paraId="17A8AF8F" w14:textId="77777777">
      <w:pPr>
        <w:tabs>
          <w:tab w:val="left" w:pos="657"/>
        </w:tabs>
        <w:rPr>
          <w:rFonts w:ascii="Arial" w:eastAsia="Arial" w:hAnsi="Arial" w:cs="Arial"/>
          <w:b/>
          <w:u w:val="single"/>
        </w:rPr>
      </w:pPr>
      <w:r>
        <w:rPr>
          <w:rFonts w:ascii="Arial" w:eastAsia="Arial" w:hAnsi="Arial" w:cs="Arial"/>
          <w:b/>
          <w:u w:val="single"/>
        </w:rPr>
        <w:t>4. Non-duplication.</w:t>
      </w:r>
    </w:p>
    <w:p w:rsidR="00D26D2D" w14:paraId="3D63C882" w14:textId="77777777">
      <w:pPr>
        <w:tabs>
          <w:tab w:val="left" w:pos="657"/>
        </w:tabs>
        <w:spacing w:before="240" w:line="276" w:lineRule="auto"/>
        <w:rPr>
          <w:rFonts w:ascii="Arial" w:eastAsia="Arial" w:hAnsi="Arial" w:cs="Arial"/>
        </w:rPr>
      </w:pPr>
      <w:r>
        <w:rPr>
          <w:rFonts w:ascii="Arial" w:eastAsia="Arial" w:hAnsi="Arial" w:cs="Arial"/>
        </w:rPr>
        <w:t xml:space="preserve">GSA did not identify any duplication of information being collected under this information collection.   </w:t>
      </w:r>
    </w:p>
    <w:p w:rsidR="00D26D2D" w14:paraId="380FE89C" w14:textId="77777777">
      <w:pPr>
        <w:tabs>
          <w:tab w:val="left" w:pos="657"/>
        </w:tabs>
        <w:rPr>
          <w:rFonts w:ascii="Arial" w:eastAsia="Arial" w:hAnsi="Arial" w:cs="Arial"/>
          <w:b/>
          <w:u w:val="single"/>
        </w:rPr>
      </w:pPr>
    </w:p>
    <w:p w:rsidR="00D26D2D" w14:paraId="555B8A27" w14:textId="77777777">
      <w:pPr>
        <w:tabs>
          <w:tab w:val="left" w:pos="657"/>
        </w:tabs>
        <w:rPr>
          <w:rFonts w:ascii="Arial" w:eastAsia="Arial" w:hAnsi="Arial" w:cs="Arial"/>
          <w:b/>
          <w:u w:val="single"/>
        </w:rPr>
      </w:pPr>
      <w:r>
        <w:rPr>
          <w:rFonts w:ascii="Arial" w:eastAsia="Arial" w:hAnsi="Arial" w:cs="Arial"/>
          <w:b/>
          <w:u w:val="single"/>
        </w:rPr>
        <w:t>5. Burden on Small Business.</w:t>
      </w:r>
    </w:p>
    <w:p w:rsidR="00D26D2D" w14:paraId="33CFE012" w14:textId="77777777">
      <w:pPr>
        <w:tabs>
          <w:tab w:val="left" w:pos="657"/>
        </w:tabs>
        <w:spacing w:before="240" w:after="240"/>
        <w:rPr>
          <w:rFonts w:ascii="Arial" w:eastAsia="Arial" w:hAnsi="Arial" w:cs="Arial"/>
        </w:rPr>
      </w:pPr>
      <w:r>
        <w:rPr>
          <w:rFonts w:ascii="Arial" w:eastAsia="Arial" w:hAnsi="Arial" w:cs="Arial"/>
        </w:rPr>
        <w:t>The burden applies equally to small businesses that opt to do business with GSA. This information collected is necessary to meet the specific objectives of the contract.</w:t>
      </w:r>
    </w:p>
    <w:p w:rsidR="00D26D2D" w14:paraId="48D3ED94" w14:textId="77777777">
      <w:pPr>
        <w:tabs>
          <w:tab w:val="left" w:pos="657"/>
        </w:tabs>
        <w:rPr>
          <w:rFonts w:ascii="Arial" w:eastAsia="Arial" w:hAnsi="Arial" w:cs="Arial"/>
          <w:b/>
          <w:u w:val="single"/>
        </w:rPr>
      </w:pPr>
      <w:r>
        <w:rPr>
          <w:rFonts w:ascii="Arial" w:eastAsia="Arial" w:hAnsi="Arial" w:cs="Arial"/>
          <w:b/>
          <w:u w:val="single"/>
        </w:rPr>
        <w:t>6. Less Frequent Collection.</w:t>
      </w:r>
    </w:p>
    <w:p w:rsidR="00D26D2D" w14:paraId="054E14D8" w14:textId="77777777">
      <w:pPr>
        <w:tabs>
          <w:tab w:val="left" w:pos="657"/>
        </w:tabs>
        <w:spacing w:before="240" w:line="276" w:lineRule="auto"/>
        <w:rPr>
          <w:rFonts w:ascii="Arial" w:eastAsia="Arial" w:hAnsi="Arial" w:cs="Arial"/>
        </w:rPr>
      </w:pPr>
      <w:r>
        <w:rPr>
          <w:rFonts w:ascii="Arial" w:eastAsia="Arial" w:hAnsi="Arial" w:cs="Arial"/>
        </w:rPr>
        <w:t>Not collecting this information or collecting this information less frequently would impede contracting officers from performing their administrative functions in an efficient and effective manner.</w:t>
      </w:r>
    </w:p>
    <w:p w:rsidR="00D26D2D" w14:paraId="1F826049" w14:textId="77777777">
      <w:pPr>
        <w:tabs>
          <w:tab w:val="left" w:pos="657"/>
        </w:tabs>
        <w:rPr>
          <w:rFonts w:ascii="Arial" w:eastAsia="Arial" w:hAnsi="Arial" w:cs="Arial"/>
        </w:rPr>
      </w:pPr>
    </w:p>
    <w:p w:rsidR="00D26D2D" w14:paraId="67B4A4BD" w14:textId="77777777">
      <w:pPr>
        <w:tabs>
          <w:tab w:val="left" w:pos="657"/>
        </w:tabs>
        <w:rPr>
          <w:rFonts w:ascii="Arial" w:eastAsia="Arial" w:hAnsi="Arial" w:cs="Arial"/>
          <w:b/>
          <w:u w:val="single"/>
        </w:rPr>
      </w:pPr>
      <w:r>
        <w:rPr>
          <w:rFonts w:ascii="Arial" w:eastAsia="Arial" w:hAnsi="Arial" w:cs="Arial"/>
          <w:b/>
          <w:u w:val="single"/>
        </w:rPr>
        <w:t>7. Paperwork Reduction Act Guidelines.</w:t>
      </w:r>
    </w:p>
    <w:p w:rsidR="00D26D2D" w14:paraId="1820C6CC" w14:textId="77777777">
      <w:pPr>
        <w:tabs>
          <w:tab w:val="left" w:pos="657"/>
        </w:tabs>
        <w:rPr>
          <w:rFonts w:ascii="Arial" w:eastAsia="Arial" w:hAnsi="Arial" w:cs="Arial"/>
        </w:rPr>
      </w:pPr>
    </w:p>
    <w:p w:rsidR="00D26D2D" w14:paraId="3C77354F" w14:textId="77777777">
      <w:pPr>
        <w:tabs>
          <w:tab w:val="left" w:pos="657"/>
        </w:tabs>
        <w:rPr>
          <w:rFonts w:ascii="Arial" w:eastAsia="Arial" w:hAnsi="Arial" w:cs="Arial"/>
        </w:rPr>
      </w:pPr>
      <w:r>
        <w:rPr>
          <w:rFonts w:ascii="Arial" w:eastAsia="Arial" w:hAnsi="Arial" w:cs="Arial"/>
        </w:rPr>
        <w:t>Not applicable. No special circumstances exist for this information collection.</w:t>
      </w:r>
    </w:p>
    <w:p w:rsidR="00D26D2D" w14:paraId="4444F031" w14:textId="77777777">
      <w:pPr>
        <w:tabs>
          <w:tab w:val="left" w:pos="657"/>
        </w:tabs>
        <w:rPr>
          <w:rFonts w:ascii="Arial" w:eastAsia="Arial" w:hAnsi="Arial" w:cs="Arial"/>
          <w:highlight w:val="yellow"/>
        </w:rPr>
      </w:pPr>
    </w:p>
    <w:p w:rsidR="00D26D2D" w14:paraId="23BF4F22" w14:textId="77777777">
      <w:pPr>
        <w:tabs>
          <w:tab w:val="left" w:pos="657"/>
        </w:tabs>
        <w:rPr>
          <w:rFonts w:ascii="Arial" w:eastAsia="Arial" w:hAnsi="Arial" w:cs="Arial"/>
          <w:b/>
          <w:u w:val="single"/>
        </w:rPr>
      </w:pPr>
      <w:r>
        <w:rPr>
          <w:rFonts w:ascii="Arial" w:eastAsia="Arial" w:hAnsi="Arial" w:cs="Arial"/>
          <w:b/>
          <w:u w:val="single"/>
        </w:rPr>
        <w:t>8. Consultation and Public Comments.</w:t>
      </w:r>
    </w:p>
    <w:p w:rsidR="00D26D2D" w14:paraId="7D4BA231" w14:textId="77777777">
      <w:pPr>
        <w:tabs>
          <w:tab w:val="left" w:pos="657"/>
        </w:tabs>
        <w:rPr>
          <w:rFonts w:ascii="Arial" w:eastAsia="Arial" w:hAnsi="Arial" w:cs="Arial"/>
        </w:rPr>
      </w:pPr>
    </w:p>
    <w:p w:rsidR="00D26D2D" w14:paraId="599A1FA5" w14:textId="66FEB41A">
      <w:pPr>
        <w:tabs>
          <w:tab w:val="left" w:pos="657"/>
        </w:tabs>
        <w:rPr>
          <w:rFonts w:ascii="Arial" w:eastAsia="Arial" w:hAnsi="Arial" w:cs="Arial"/>
          <w:highlight w:val="yellow"/>
        </w:rPr>
      </w:pPr>
      <w:r w:rsidRPr="00DE550C">
        <w:rPr>
          <w:rFonts w:ascii="Arial" w:eastAsia="Arial" w:hAnsi="Arial" w:cs="Arial"/>
        </w:rPr>
        <w:t xml:space="preserve">A 60-day notice published in the </w:t>
      </w:r>
      <w:r w:rsidRPr="00DE550C">
        <w:rPr>
          <w:rFonts w:ascii="Arial" w:eastAsia="Arial" w:hAnsi="Arial" w:cs="Arial"/>
          <w:i/>
          <w:iCs/>
        </w:rPr>
        <w:t>Federal Register</w:t>
      </w:r>
      <w:r w:rsidRPr="00DE550C">
        <w:rPr>
          <w:rFonts w:ascii="Arial" w:eastAsia="Arial" w:hAnsi="Arial" w:cs="Arial"/>
        </w:rPr>
        <w:t xml:space="preserve"> at 90 FR 42410 on September 2, 2025. No public comments were received.</w:t>
      </w:r>
    </w:p>
    <w:p w:rsidR="00D26D2D" w14:paraId="08BCE1E0" w14:textId="77777777">
      <w:pPr>
        <w:tabs>
          <w:tab w:val="left" w:pos="657"/>
        </w:tabs>
        <w:rPr>
          <w:rFonts w:ascii="Arial" w:eastAsia="Arial" w:hAnsi="Arial" w:cs="Arial"/>
          <w:highlight w:val="yellow"/>
        </w:rPr>
      </w:pPr>
    </w:p>
    <w:p w:rsidR="00F66E3F" w:rsidP="00F66E3F" w14:paraId="5391604E" w14:textId="64ED02F2">
      <w:pPr>
        <w:tabs>
          <w:tab w:val="left" w:pos="657"/>
        </w:tabs>
        <w:rPr>
          <w:rFonts w:ascii="Arial" w:eastAsia="Arial" w:hAnsi="Arial" w:cs="Arial"/>
          <w:highlight w:val="yellow"/>
        </w:rPr>
      </w:pPr>
      <w:r w:rsidRPr="00DE550C">
        <w:rPr>
          <w:rFonts w:ascii="Arial" w:eastAsia="Arial" w:hAnsi="Arial" w:cs="Arial"/>
        </w:rPr>
        <w:t xml:space="preserve">A </w:t>
      </w:r>
      <w:r>
        <w:rPr>
          <w:rFonts w:ascii="Arial" w:eastAsia="Arial" w:hAnsi="Arial" w:cs="Arial"/>
        </w:rPr>
        <w:t>3</w:t>
      </w:r>
      <w:r w:rsidRPr="00DE550C">
        <w:rPr>
          <w:rFonts w:ascii="Arial" w:eastAsia="Arial" w:hAnsi="Arial" w:cs="Arial"/>
        </w:rPr>
        <w:t xml:space="preserve">0-day notice published in the </w:t>
      </w:r>
      <w:r w:rsidRPr="00DE550C">
        <w:rPr>
          <w:rFonts w:ascii="Arial" w:eastAsia="Arial" w:hAnsi="Arial" w:cs="Arial"/>
          <w:i/>
          <w:iCs/>
        </w:rPr>
        <w:t>Federal Register</w:t>
      </w:r>
      <w:r w:rsidRPr="00DE550C">
        <w:rPr>
          <w:rFonts w:ascii="Arial" w:eastAsia="Arial" w:hAnsi="Arial" w:cs="Arial"/>
        </w:rPr>
        <w:t xml:space="preserve"> at 90 FR </w:t>
      </w:r>
      <w:r w:rsidR="00165200">
        <w:rPr>
          <w:rFonts w:ascii="Arial" w:eastAsia="Arial" w:hAnsi="Arial" w:cs="Arial"/>
        </w:rPr>
        <w:t>58559</w:t>
      </w:r>
      <w:r w:rsidRPr="00DE550C">
        <w:rPr>
          <w:rFonts w:ascii="Arial" w:eastAsia="Arial" w:hAnsi="Arial" w:cs="Arial"/>
        </w:rPr>
        <w:t xml:space="preserve"> on </w:t>
      </w:r>
      <w:r>
        <w:rPr>
          <w:rFonts w:ascii="Arial" w:eastAsia="Arial" w:hAnsi="Arial" w:cs="Arial"/>
        </w:rPr>
        <w:t>December 17</w:t>
      </w:r>
      <w:r w:rsidRPr="00DE550C">
        <w:rPr>
          <w:rFonts w:ascii="Arial" w:eastAsia="Arial" w:hAnsi="Arial" w:cs="Arial"/>
        </w:rPr>
        <w:t xml:space="preserve">, 2025. </w:t>
      </w:r>
    </w:p>
    <w:p w:rsidR="00F66E3F" w14:paraId="12975B2C" w14:textId="77777777">
      <w:pPr>
        <w:tabs>
          <w:tab w:val="left" w:pos="657"/>
        </w:tabs>
        <w:rPr>
          <w:rFonts w:ascii="Arial" w:eastAsia="Arial" w:hAnsi="Arial" w:cs="Arial"/>
          <w:highlight w:val="yellow"/>
        </w:rPr>
      </w:pPr>
    </w:p>
    <w:p w:rsidR="00D26D2D" w14:paraId="5131F530" w14:textId="77777777">
      <w:pPr>
        <w:tabs>
          <w:tab w:val="left" w:pos="657"/>
        </w:tabs>
        <w:rPr>
          <w:rFonts w:ascii="Arial" w:eastAsia="Arial" w:hAnsi="Arial" w:cs="Arial"/>
          <w:b/>
          <w:u w:val="single"/>
        </w:rPr>
      </w:pPr>
      <w:r>
        <w:rPr>
          <w:rFonts w:ascii="Arial" w:eastAsia="Arial" w:hAnsi="Arial" w:cs="Arial"/>
          <w:b/>
          <w:u w:val="single"/>
        </w:rPr>
        <w:t>9. Gifts or Payment.</w:t>
      </w:r>
    </w:p>
    <w:p w:rsidR="00D26D2D" w14:paraId="04980FBA" w14:textId="77777777">
      <w:pPr>
        <w:tabs>
          <w:tab w:val="left" w:pos="657"/>
        </w:tabs>
        <w:rPr>
          <w:rFonts w:ascii="Arial" w:eastAsia="Arial" w:hAnsi="Arial" w:cs="Arial"/>
        </w:rPr>
      </w:pPr>
    </w:p>
    <w:p w:rsidR="00D26D2D" w14:paraId="58A00B84" w14:textId="77777777">
      <w:pPr>
        <w:tabs>
          <w:tab w:val="left" w:pos="657"/>
        </w:tabs>
        <w:rPr>
          <w:rFonts w:ascii="Arial" w:eastAsia="Arial" w:hAnsi="Arial" w:cs="Arial"/>
        </w:rPr>
      </w:pPr>
      <w:r>
        <w:rPr>
          <w:rFonts w:ascii="Arial" w:eastAsia="Arial" w:hAnsi="Arial" w:cs="Arial"/>
        </w:rPr>
        <w:t>Not applicable. GSA makes no such payments or gifts to respondents under this information collection.</w:t>
      </w:r>
    </w:p>
    <w:p w:rsidR="00D26D2D" w14:paraId="0EE6A298" w14:textId="77777777">
      <w:pPr>
        <w:tabs>
          <w:tab w:val="left" w:pos="657"/>
        </w:tabs>
        <w:rPr>
          <w:rFonts w:ascii="Arial" w:eastAsia="Arial" w:hAnsi="Arial" w:cs="Arial"/>
          <w:highlight w:val="yellow"/>
        </w:rPr>
      </w:pPr>
    </w:p>
    <w:p w:rsidR="00D26D2D" w14:paraId="40F85A50" w14:textId="77777777">
      <w:pPr>
        <w:tabs>
          <w:tab w:val="left" w:pos="657"/>
        </w:tabs>
        <w:rPr>
          <w:rFonts w:ascii="Arial" w:eastAsia="Arial" w:hAnsi="Arial" w:cs="Arial"/>
          <w:b/>
          <w:u w:val="single"/>
        </w:rPr>
      </w:pPr>
      <w:r>
        <w:rPr>
          <w:rFonts w:ascii="Arial" w:eastAsia="Arial" w:hAnsi="Arial" w:cs="Arial"/>
          <w:b/>
          <w:u w:val="single"/>
        </w:rPr>
        <w:t>10. Privacy and Confidentiality.</w:t>
      </w:r>
    </w:p>
    <w:p w:rsidR="00D26D2D" w14:paraId="12AD98A4" w14:textId="77777777">
      <w:pPr>
        <w:tabs>
          <w:tab w:val="left" w:pos="657"/>
        </w:tabs>
        <w:spacing w:before="240" w:line="276" w:lineRule="auto"/>
        <w:rPr>
          <w:rFonts w:ascii="Arial" w:eastAsia="Arial" w:hAnsi="Arial" w:cs="Arial"/>
        </w:rPr>
      </w:pPr>
      <w:r>
        <w:rPr>
          <w:rFonts w:ascii="Arial" w:eastAsia="Arial" w:hAnsi="Arial" w:cs="Arial"/>
        </w:rPr>
        <w:t xml:space="preserve">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  </w:t>
      </w:r>
    </w:p>
    <w:p w:rsidR="00D26D2D" w14:paraId="28C57C6F" w14:textId="77777777">
      <w:pPr>
        <w:tabs>
          <w:tab w:val="left" w:pos="657"/>
        </w:tabs>
        <w:spacing w:before="240" w:line="276" w:lineRule="auto"/>
        <w:rPr>
          <w:rFonts w:ascii="Arial" w:eastAsia="Arial" w:hAnsi="Arial" w:cs="Arial"/>
        </w:rPr>
      </w:pPr>
      <w:r>
        <w:rPr>
          <w:rFonts w:ascii="Arial" w:eastAsia="Arial" w:hAnsi="Arial" w:cs="Arial"/>
        </w:rPr>
        <w:t xml:space="preserve">This information collection does not require collection of “personally identifiable information.” </w:t>
      </w:r>
    </w:p>
    <w:p w:rsidR="00D26D2D" w14:paraId="3B437249" w14:textId="77777777">
      <w:pPr>
        <w:tabs>
          <w:tab w:val="left" w:pos="657"/>
        </w:tabs>
        <w:spacing w:before="240" w:line="276" w:lineRule="auto"/>
        <w:rPr>
          <w:rFonts w:ascii="Arial" w:eastAsia="Arial" w:hAnsi="Arial" w:cs="Arial"/>
        </w:rPr>
      </w:pPr>
      <w:r>
        <w:rPr>
          <w:rFonts w:ascii="Arial" w:eastAsia="Arial" w:hAnsi="Arial" w:cs="Arial"/>
        </w:rPr>
        <w:t>GSA uses information technology to the maximum extent practicable.</w:t>
      </w:r>
    </w:p>
    <w:p w:rsidR="00D26D2D" w14:paraId="25842AB2" w14:textId="77777777">
      <w:pPr>
        <w:tabs>
          <w:tab w:val="left" w:pos="657"/>
        </w:tabs>
        <w:rPr>
          <w:rFonts w:ascii="Arial" w:eastAsia="Arial" w:hAnsi="Arial" w:cs="Arial"/>
          <w:highlight w:val="yellow"/>
        </w:rPr>
      </w:pPr>
    </w:p>
    <w:p w:rsidR="00D26D2D" w14:paraId="5A66AFC7" w14:textId="77777777">
      <w:pPr>
        <w:tabs>
          <w:tab w:val="left" w:pos="657"/>
        </w:tabs>
        <w:rPr>
          <w:rFonts w:ascii="Arial" w:eastAsia="Arial" w:hAnsi="Arial" w:cs="Arial"/>
          <w:b/>
          <w:u w:val="single"/>
        </w:rPr>
      </w:pPr>
      <w:r>
        <w:rPr>
          <w:rFonts w:ascii="Arial" w:eastAsia="Arial" w:hAnsi="Arial" w:cs="Arial"/>
          <w:b/>
          <w:u w:val="single"/>
        </w:rPr>
        <w:t>11. Sensitive Questions.</w:t>
      </w:r>
    </w:p>
    <w:p w:rsidR="00D26D2D" w14:paraId="30723937" w14:textId="77777777">
      <w:pPr>
        <w:tabs>
          <w:tab w:val="left" w:pos="657"/>
        </w:tabs>
        <w:rPr>
          <w:rFonts w:ascii="Arial" w:eastAsia="Arial" w:hAnsi="Arial" w:cs="Arial"/>
        </w:rPr>
      </w:pPr>
    </w:p>
    <w:p w:rsidR="00D26D2D" w14:paraId="2909B73E" w14:textId="77777777">
      <w:pPr>
        <w:tabs>
          <w:tab w:val="left" w:pos="657"/>
        </w:tabs>
        <w:rPr>
          <w:rFonts w:ascii="Arial" w:eastAsia="Arial" w:hAnsi="Arial" w:cs="Arial"/>
        </w:rPr>
      </w:pPr>
      <w:r>
        <w:rPr>
          <w:rFonts w:ascii="Arial" w:eastAsia="Arial" w:hAnsi="Arial" w:cs="Arial"/>
        </w:rPr>
        <w:t>Not applicable. No sensitive questions are involved under this information collection.</w:t>
      </w:r>
    </w:p>
    <w:p w:rsidR="00D26D2D" w14:paraId="74C78B34" w14:textId="77777777">
      <w:pPr>
        <w:tabs>
          <w:tab w:val="left" w:pos="657"/>
        </w:tabs>
        <w:rPr>
          <w:rFonts w:ascii="Arial" w:eastAsia="Arial" w:hAnsi="Arial" w:cs="Arial"/>
          <w:highlight w:val="yellow"/>
        </w:rPr>
      </w:pPr>
    </w:p>
    <w:p w:rsidR="00D26D2D" w14:paraId="2634473F" w14:textId="77777777">
      <w:pPr>
        <w:tabs>
          <w:tab w:val="left" w:pos="657"/>
        </w:tabs>
        <w:rPr>
          <w:rFonts w:ascii="Arial" w:eastAsia="Arial" w:hAnsi="Arial" w:cs="Arial"/>
          <w:b/>
          <w:u w:val="single"/>
        </w:rPr>
      </w:pPr>
      <w:r>
        <w:rPr>
          <w:rFonts w:ascii="Arial" w:eastAsia="Arial" w:hAnsi="Arial" w:cs="Arial"/>
          <w:b/>
          <w:u w:val="single"/>
        </w:rPr>
        <w:t>12. Burden Estimate.</w:t>
      </w:r>
    </w:p>
    <w:p w:rsidR="00D26D2D" w14:paraId="3E9E1161" w14:textId="77777777">
      <w:pPr>
        <w:widowControl/>
        <w:spacing w:before="240" w:after="240" w:line="276" w:lineRule="auto"/>
        <w:rPr>
          <w:rFonts w:ascii="Arial" w:eastAsia="Arial" w:hAnsi="Arial" w:cs="Arial"/>
        </w:rPr>
      </w:pPr>
      <w:r>
        <w:rPr>
          <w:rFonts w:ascii="Arial" w:eastAsia="Arial" w:hAnsi="Arial" w:cs="Arial"/>
        </w:rPr>
        <w:t>Total public reporting burden for this collection of information is estimated to average 400 hours annually, including the time for reviewing instructions, searching existing data sources, gathering, and maintaining the data needed, and completing and reviewing the collection of information. The estimated burden hours to the public for the below clauses are as follows:</w:t>
      </w:r>
    </w:p>
    <w:p w:rsidR="00D26D2D" w14:paraId="510D99BE" w14:textId="77777777">
      <w:pPr>
        <w:widowControl/>
        <w:spacing w:before="240" w:after="240" w:line="276" w:lineRule="auto"/>
        <w:rPr>
          <w:rFonts w:ascii="Arial" w:eastAsia="Arial" w:hAnsi="Arial" w:cs="Arial"/>
        </w:rPr>
      </w:pPr>
      <w:r>
        <w:rPr>
          <w:rFonts w:ascii="Arial" w:eastAsia="Arial" w:hAnsi="Arial" w:cs="Arial"/>
        </w:rPr>
        <w:t>GSAR 552.236-79, Construction-Contractor-as-Constructor, requires the contractor to submit a proposal to establish the final estimated cost of the work, to convert the contract to a firm-fixed-price, and to determine the final settlement. Given the detail required in these proposals identified, an estimate of 40 hours per contract was assumed for the response burden.</w:t>
      </w:r>
    </w:p>
    <w:p w:rsidR="00D26D2D" w14:paraId="11CFF042" w14:textId="77777777">
      <w:pPr>
        <w:widowControl/>
        <w:spacing w:before="240" w:line="276" w:lineRule="auto"/>
        <w:rPr>
          <w:rFonts w:ascii="Arial" w:eastAsia="Arial" w:hAnsi="Arial" w:cs="Arial"/>
        </w:rPr>
      </w:pPr>
      <w:r>
        <w:rPr>
          <w:rFonts w:ascii="Arial" w:eastAsia="Arial" w:hAnsi="Arial" w:cs="Arial"/>
        </w:rPr>
        <w:t xml:space="preserve">Estimated # of respondents (year)                                                         </w:t>
      </w:r>
      <w:r>
        <w:rPr>
          <w:rFonts w:ascii="Arial" w:eastAsia="Arial" w:hAnsi="Arial" w:cs="Arial"/>
        </w:rPr>
        <w:tab/>
        <w:t xml:space="preserve">       10      Estimated # of submissions per respondent                            </w:t>
      </w:r>
      <w:r>
        <w:rPr>
          <w:rFonts w:ascii="Arial" w:eastAsia="Arial" w:hAnsi="Arial" w:cs="Arial"/>
        </w:rPr>
        <w:tab/>
        <w:t xml:space="preserve">           </w:t>
      </w:r>
      <w:r>
        <w:rPr>
          <w:rFonts w:ascii="Arial" w:eastAsia="Arial" w:hAnsi="Arial" w:cs="Arial"/>
        </w:rPr>
        <w:tab/>
        <w:t xml:space="preserve">   </w:t>
      </w:r>
      <w:r>
        <w:rPr>
          <w:rFonts w:ascii="Arial" w:eastAsia="Arial" w:hAnsi="Arial" w:cs="Arial"/>
          <w:u w:val="single"/>
        </w:rPr>
        <w:t xml:space="preserve"> x   1      </w:t>
      </w:r>
      <w:r>
        <w:rPr>
          <w:rFonts w:ascii="Arial" w:eastAsia="Arial" w:hAnsi="Arial" w:cs="Arial"/>
        </w:rPr>
        <w:t xml:space="preserve">Estimated total # of submissions (year)                                                        </w:t>
      </w:r>
      <w:r>
        <w:rPr>
          <w:rFonts w:ascii="Arial" w:eastAsia="Arial" w:hAnsi="Arial" w:cs="Arial"/>
        </w:rPr>
        <w:tab/>
        <w:t xml:space="preserve">      10</w:t>
      </w:r>
    </w:p>
    <w:p w:rsidR="00D26D2D" w14:paraId="7140CC78" w14:textId="77777777">
      <w:pPr>
        <w:widowControl/>
        <w:spacing w:before="240" w:line="276" w:lineRule="auto"/>
        <w:rPr>
          <w:rFonts w:ascii="Arial" w:eastAsia="Arial" w:hAnsi="Arial" w:cs="Arial"/>
        </w:rPr>
      </w:pPr>
      <w:r>
        <w:rPr>
          <w:rFonts w:ascii="Arial" w:eastAsia="Arial" w:hAnsi="Arial" w:cs="Arial"/>
        </w:rPr>
        <w:t xml:space="preserve">Estimated hours per request                                                                         </w:t>
      </w:r>
      <w:r>
        <w:rPr>
          <w:rFonts w:ascii="Arial" w:eastAsia="Arial" w:hAnsi="Arial" w:cs="Arial"/>
        </w:rPr>
        <w:tab/>
        <w:t xml:space="preserve">  </w:t>
      </w:r>
      <w:r>
        <w:rPr>
          <w:rFonts w:ascii="Arial" w:eastAsia="Arial" w:hAnsi="Arial" w:cs="Arial"/>
          <w:u w:val="single"/>
        </w:rPr>
        <w:t xml:space="preserve">x   40      </w:t>
      </w:r>
      <w:r>
        <w:rPr>
          <w:rFonts w:ascii="Arial" w:eastAsia="Arial" w:hAnsi="Arial" w:cs="Arial"/>
        </w:rPr>
        <w:t xml:space="preserve">Estimated total burden hours                                                            </w:t>
      </w:r>
      <w:r>
        <w:rPr>
          <w:rFonts w:ascii="Arial" w:eastAsia="Arial" w:hAnsi="Arial" w:cs="Arial"/>
        </w:rPr>
        <w:tab/>
        <w:t xml:space="preserve">        </w:t>
      </w:r>
      <w:r>
        <w:rPr>
          <w:rFonts w:ascii="Arial" w:eastAsia="Arial" w:hAnsi="Arial" w:cs="Arial"/>
        </w:rPr>
        <w:tab/>
        <w:t xml:space="preserve">     400</w:t>
      </w:r>
    </w:p>
    <w:p w:rsidR="00D26D2D" w14:paraId="5DF11625" w14:textId="77777777">
      <w:pPr>
        <w:widowControl/>
        <w:spacing w:before="240" w:line="276" w:lineRule="auto"/>
        <w:rPr>
          <w:rFonts w:ascii="Arial" w:eastAsia="Arial" w:hAnsi="Arial" w:cs="Arial"/>
          <w:u w:val="single"/>
        </w:rPr>
      </w:pPr>
      <w:r>
        <w:rPr>
          <w:rFonts w:ascii="Arial" w:eastAsia="Arial" w:hAnsi="Arial" w:cs="Arial"/>
        </w:rPr>
        <w:t xml:space="preserve">Estimated cost per hour*                                                                                </w:t>
      </w:r>
      <w:r>
        <w:rPr>
          <w:rFonts w:ascii="Arial" w:eastAsia="Arial" w:hAnsi="Arial" w:cs="Arial"/>
          <w:u w:val="single"/>
        </w:rPr>
        <w:t xml:space="preserve">$83.25 </w:t>
      </w:r>
    </w:p>
    <w:p w:rsidR="00D26D2D" w14:paraId="04EB81B5" w14:textId="77777777">
      <w:pPr>
        <w:widowControl/>
        <w:spacing w:before="240" w:line="276" w:lineRule="auto"/>
        <w:rPr>
          <w:rFonts w:ascii="Arial" w:eastAsia="Arial" w:hAnsi="Arial" w:cs="Arial"/>
        </w:rPr>
      </w:pPr>
      <w:r>
        <w:rPr>
          <w:rFonts w:ascii="Arial" w:eastAsia="Arial" w:hAnsi="Arial" w:cs="Arial"/>
        </w:rPr>
        <w:t xml:space="preserve">Estimated total annual cost burden to the public                              </w:t>
      </w:r>
      <w:r>
        <w:rPr>
          <w:rFonts w:ascii="Arial" w:eastAsia="Arial" w:hAnsi="Arial" w:cs="Arial"/>
        </w:rPr>
        <w:tab/>
        <w:t xml:space="preserve"> </w:t>
      </w:r>
      <w:r>
        <w:rPr>
          <w:rFonts w:ascii="Arial" w:eastAsia="Arial" w:hAnsi="Arial" w:cs="Arial"/>
        </w:rPr>
        <w:tab/>
        <w:t xml:space="preserve">$33,300  </w:t>
      </w:r>
    </w:p>
    <w:p w:rsidR="00D26D2D" w14:paraId="59DB9E52" w14:textId="77777777">
      <w:pPr>
        <w:widowControl/>
        <w:spacing w:before="240" w:line="276" w:lineRule="auto"/>
        <w:rPr>
          <w:rFonts w:ascii="Arial" w:eastAsia="Arial" w:hAnsi="Arial" w:cs="Arial"/>
          <w:highlight w:val="yellow"/>
        </w:rPr>
      </w:pPr>
      <w:r>
        <w:rPr>
          <w:rFonts w:ascii="Arial" w:eastAsia="Arial" w:hAnsi="Arial" w:cs="Arial"/>
        </w:rPr>
        <w:t>*The estimated cost per hour is based on the Office of Personnel Management (OPM) GS-14, Step 5 salary of $67.63 per hour (see OPM Salary Table 2025-GS, Effective January 2025), plus a fringe factor of 36.25% ($15.62) (see OMB Memo M-08-13 for use in public-private competition), which results in an hourly rate of $83.25.</w:t>
      </w:r>
    </w:p>
    <w:p w:rsidR="00D26D2D" w14:paraId="59559803" w14:textId="77777777">
      <w:pPr>
        <w:rPr>
          <w:rFonts w:ascii="Arial" w:eastAsia="Arial" w:hAnsi="Arial" w:cs="Arial"/>
          <w:highlight w:val="yellow"/>
        </w:rPr>
      </w:pPr>
    </w:p>
    <w:tbl>
      <w:tblPr>
        <w:tblStyle w:val="a"/>
        <w:tblpPr w:leftFromText="180" w:rightFromText="180" w:topFromText="180" w:bottomFromText="180" w:vertAnchor="text"/>
        <w:tblW w:w="10010" w:type="dxa"/>
        <w:tblInd w:w="0" w:type="dxa"/>
        <w:tblBorders>
          <w:top w:val="single" w:sz="6" w:space="0" w:color="000000"/>
          <w:left w:val="single" w:sz="6" w:space="0" w:color="000000"/>
          <w:bottom w:val="single" w:sz="6" w:space="0" w:color="000000"/>
          <w:right w:val="single" w:sz="6" w:space="0" w:color="000000"/>
        </w:tblBorders>
        <w:tblLayout w:type="fixed"/>
        <w:tblLook w:val="0400"/>
      </w:tblPr>
      <w:tblGrid>
        <w:gridCol w:w="1935"/>
        <w:gridCol w:w="1320"/>
        <w:gridCol w:w="1320"/>
        <w:gridCol w:w="1320"/>
        <w:gridCol w:w="1515"/>
        <w:gridCol w:w="1305"/>
        <w:gridCol w:w="1295"/>
      </w:tblGrid>
      <w:tr w14:paraId="669B83DC" w14:textId="77777777">
        <w:tblPrEx>
          <w:tblW w:w="10010" w:type="dxa"/>
          <w:tblInd w:w="0" w:type="dxa"/>
          <w:tblBorders>
            <w:top w:val="single" w:sz="6" w:space="0" w:color="000000"/>
            <w:left w:val="single" w:sz="6" w:space="0" w:color="000000"/>
            <w:bottom w:val="single" w:sz="6" w:space="0" w:color="000000"/>
            <w:right w:val="single" w:sz="6" w:space="0" w:color="000000"/>
          </w:tblBorders>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26D2D" w14:paraId="43B59E54" w14:textId="77777777">
            <w:pPr>
              <w:rPr>
                <w:rFonts w:ascii="Arial" w:eastAsia="Arial" w:hAnsi="Arial" w:cs="Arial"/>
                <w:b/>
              </w:rPr>
            </w:pP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26D2D" w14:paraId="2987E44B" w14:textId="77777777">
            <w:pPr>
              <w:jc w:val="center"/>
              <w:rPr>
                <w:rFonts w:ascii="Arial" w:eastAsia="Arial" w:hAnsi="Arial" w:cs="Arial"/>
                <w:b/>
                <w:color w:val="FFFFFF"/>
              </w:rPr>
            </w:pPr>
            <w:r>
              <w:rPr>
                <w:rFonts w:ascii="Arial" w:eastAsia="Arial" w:hAnsi="Arial" w:cs="Arial"/>
                <w:b/>
                <w:color w:val="FFFFFF"/>
              </w:rPr>
              <w:t>Requested</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26D2D" w14:paraId="5D4DDAAD" w14:textId="77777777">
            <w:pPr>
              <w:jc w:val="center"/>
              <w:rPr>
                <w:rFonts w:ascii="Arial" w:eastAsia="Arial" w:hAnsi="Arial" w:cs="Arial"/>
                <w:b/>
                <w:color w:val="FFFFFF"/>
              </w:rPr>
            </w:pPr>
            <w:r>
              <w:rPr>
                <w:rFonts w:ascii="Arial" w:eastAsia="Arial" w:hAnsi="Arial" w:cs="Arial"/>
                <w:b/>
                <w:color w:val="FFFFFF"/>
              </w:rPr>
              <w:t>Program Change Due to New Statute</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26D2D" w14:paraId="0ECAF8FD" w14:textId="77777777">
            <w:pPr>
              <w:jc w:val="center"/>
              <w:rPr>
                <w:rFonts w:ascii="Arial" w:eastAsia="Arial" w:hAnsi="Arial" w:cs="Arial"/>
                <w:b/>
                <w:color w:val="FFFFFF"/>
              </w:rPr>
            </w:pPr>
            <w:r>
              <w:rPr>
                <w:rFonts w:ascii="Arial" w:eastAsia="Arial" w:hAnsi="Arial" w:cs="Arial"/>
                <w:b/>
                <w:color w:val="FFFFFF"/>
              </w:rPr>
              <w:t>Program Change Due to Agency Discretion</w:t>
            </w:r>
          </w:p>
        </w:tc>
        <w:tc>
          <w:tcPr>
            <w:tcW w:w="15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26D2D" w14:paraId="1BBEC918" w14:textId="77777777">
            <w:pPr>
              <w:jc w:val="center"/>
              <w:rPr>
                <w:rFonts w:ascii="Arial" w:eastAsia="Arial" w:hAnsi="Arial" w:cs="Arial"/>
                <w:b/>
                <w:color w:val="FFFFFF"/>
              </w:rPr>
            </w:pPr>
            <w:r>
              <w:rPr>
                <w:rFonts w:ascii="Arial" w:eastAsia="Arial" w:hAnsi="Arial" w:cs="Arial"/>
                <w:b/>
                <w:color w:val="FFFFFF"/>
              </w:rPr>
              <w:t>Change Due to Adjustment in Agency Estimate</w:t>
            </w:r>
          </w:p>
        </w:tc>
        <w:tc>
          <w:tcPr>
            <w:tcW w:w="130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26D2D" w14:paraId="013566A1" w14:textId="77777777">
            <w:pPr>
              <w:jc w:val="center"/>
              <w:rPr>
                <w:rFonts w:ascii="Arial" w:eastAsia="Arial" w:hAnsi="Arial" w:cs="Arial"/>
                <w:b/>
                <w:color w:val="FFFFFF"/>
              </w:rPr>
            </w:pPr>
            <w:r>
              <w:rPr>
                <w:rFonts w:ascii="Arial" w:eastAsia="Arial" w:hAnsi="Arial" w:cs="Arial"/>
                <w:b/>
                <w:color w:val="FFFFFF"/>
              </w:rPr>
              <w:t>Change Due to Potential Violation of the PRA</w:t>
            </w:r>
          </w:p>
        </w:tc>
        <w:tc>
          <w:tcPr>
            <w:tcW w:w="129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D26D2D" w14:paraId="78AED7D8" w14:textId="77777777">
            <w:pPr>
              <w:jc w:val="center"/>
              <w:rPr>
                <w:rFonts w:ascii="Arial" w:eastAsia="Arial" w:hAnsi="Arial" w:cs="Arial"/>
                <w:b/>
                <w:color w:val="FFFFFF"/>
              </w:rPr>
            </w:pPr>
            <w:r>
              <w:rPr>
                <w:rFonts w:ascii="Arial" w:eastAsia="Arial" w:hAnsi="Arial" w:cs="Arial"/>
                <w:b/>
                <w:color w:val="FFFFFF"/>
              </w:rPr>
              <w:t>Previously Approved</w:t>
            </w:r>
          </w:p>
        </w:tc>
      </w:tr>
      <w:tr w14:paraId="291F3130" w14:textId="77777777">
        <w:tblPrEx>
          <w:tblW w:w="10010"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26D2D" w14:paraId="771E872E" w14:textId="77777777">
            <w:pPr>
              <w:rPr>
                <w:rFonts w:ascii="Arial" w:eastAsia="Arial" w:hAnsi="Arial" w:cs="Arial"/>
              </w:rPr>
            </w:pPr>
            <w:r>
              <w:rPr>
                <w:rFonts w:ascii="Arial" w:eastAsia="Arial" w:hAnsi="Arial" w:cs="Arial"/>
              </w:rPr>
              <w:t>Annual Number of Responses for this IC</w:t>
            </w:r>
          </w:p>
        </w:tc>
        <w:tc>
          <w:tcPr>
            <w:tcW w:w="132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D26D2D" w14:paraId="6934DE01" w14:textId="77777777">
            <w:pPr>
              <w:spacing w:line="276" w:lineRule="auto"/>
              <w:jc w:val="center"/>
              <w:rPr>
                <w:rFonts w:ascii="Arial" w:eastAsia="Arial" w:hAnsi="Arial" w:cs="Arial"/>
                <w:sz w:val="20"/>
                <w:szCs w:val="20"/>
              </w:rPr>
            </w:pPr>
            <w:r>
              <w:rPr>
                <w:rFonts w:ascii="Arial" w:eastAsia="Arial" w:hAnsi="Arial" w:cs="Arial"/>
              </w:rPr>
              <w:t>10</w:t>
            </w:r>
          </w:p>
        </w:tc>
        <w:tc>
          <w:tcPr>
            <w:tcW w:w="132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2C35B497"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32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235DD1BC"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51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6143DAB5" w14:textId="77777777">
            <w:pPr>
              <w:spacing w:line="276" w:lineRule="auto"/>
              <w:jc w:val="center"/>
              <w:rPr>
                <w:rFonts w:ascii="Arial" w:eastAsia="Arial" w:hAnsi="Arial" w:cs="Arial"/>
                <w:sz w:val="20"/>
                <w:szCs w:val="20"/>
              </w:rPr>
            </w:pPr>
            <w:r>
              <w:rPr>
                <w:rFonts w:ascii="Arial" w:eastAsia="Arial" w:hAnsi="Arial" w:cs="Arial"/>
              </w:rPr>
              <w:t>0</w:t>
            </w:r>
          </w:p>
        </w:tc>
        <w:tc>
          <w:tcPr>
            <w:tcW w:w="130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032A418D"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295"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07217200" w14:textId="77777777">
            <w:pPr>
              <w:spacing w:line="276" w:lineRule="auto"/>
              <w:jc w:val="center"/>
              <w:rPr>
                <w:rFonts w:ascii="Arial" w:eastAsia="Arial" w:hAnsi="Arial" w:cs="Arial"/>
                <w:sz w:val="20"/>
                <w:szCs w:val="20"/>
              </w:rPr>
            </w:pPr>
            <w:r>
              <w:rPr>
                <w:rFonts w:ascii="Arial" w:eastAsia="Arial" w:hAnsi="Arial" w:cs="Arial"/>
              </w:rPr>
              <w:t>10</w:t>
            </w:r>
          </w:p>
        </w:tc>
      </w:tr>
      <w:tr w14:paraId="7572C075" w14:textId="77777777">
        <w:tblPrEx>
          <w:tblW w:w="10010"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26D2D" w14:paraId="2CAEB7F9" w14:textId="77777777">
            <w:pPr>
              <w:rPr>
                <w:rFonts w:ascii="Arial" w:eastAsia="Arial" w:hAnsi="Arial" w:cs="Arial"/>
              </w:rPr>
            </w:pPr>
            <w:r>
              <w:rPr>
                <w:rFonts w:ascii="Arial" w:eastAsia="Arial" w:hAnsi="Arial" w:cs="Arial"/>
              </w:rPr>
              <w:t>Annual IC Time Burden (Hour)</w:t>
            </w:r>
          </w:p>
        </w:tc>
        <w:tc>
          <w:tcPr>
            <w:tcW w:w="132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D26D2D" w14:paraId="45D4A93B" w14:textId="77777777">
            <w:pPr>
              <w:spacing w:line="276" w:lineRule="auto"/>
              <w:jc w:val="center"/>
              <w:rPr>
                <w:rFonts w:ascii="Arial" w:eastAsia="Arial" w:hAnsi="Arial" w:cs="Arial"/>
                <w:sz w:val="20"/>
                <w:szCs w:val="20"/>
              </w:rPr>
            </w:pPr>
            <w:r>
              <w:rPr>
                <w:rFonts w:ascii="Arial" w:eastAsia="Arial" w:hAnsi="Arial" w:cs="Arial"/>
              </w:rPr>
              <w:t>400</w:t>
            </w:r>
          </w:p>
        </w:tc>
        <w:tc>
          <w:tcPr>
            <w:tcW w:w="13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0A6D0F7F"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3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14F828D9"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0F43B8AB" w14:textId="77777777">
            <w:pPr>
              <w:spacing w:line="276" w:lineRule="auto"/>
              <w:jc w:val="center"/>
              <w:rPr>
                <w:rFonts w:ascii="Arial" w:eastAsia="Arial" w:hAnsi="Arial" w:cs="Arial"/>
                <w:sz w:val="20"/>
                <w:szCs w:val="20"/>
              </w:rPr>
            </w:pPr>
            <w:r>
              <w:rPr>
                <w:rFonts w:ascii="Arial" w:eastAsia="Arial" w:hAnsi="Arial" w:cs="Arial"/>
              </w:rPr>
              <w:t>0</w:t>
            </w:r>
          </w:p>
        </w:tc>
        <w:tc>
          <w:tcPr>
            <w:tcW w:w="13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34103590"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29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6CE3AD0D" w14:textId="77777777">
            <w:pPr>
              <w:spacing w:line="276" w:lineRule="auto"/>
              <w:jc w:val="center"/>
              <w:rPr>
                <w:rFonts w:ascii="Arial" w:eastAsia="Arial" w:hAnsi="Arial" w:cs="Arial"/>
                <w:sz w:val="20"/>
                <w:szCs w:val="20"/>
              </w:rPr>
            </w:pPr>
            <w:r>
              <w:rPr>
                <w:rFonts w:ascii="Arial" w:eastAsia="Arial" w:hAnsi="Arial" w:cs="Arial"/>
              </w:rPr>
              <w:t>400</w:t>
            </w:r>
          </w:p>
        </w:tc>
      </w:tr>
      <w:tr w14:paraId="41639F47" w14:textId="77777777">
        <w:tblPrEx>
          <w:tblW w:w="10010" w:type="dxa"/>
          <w:tblInd w:w="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D26D2D" w14:paraId="4E4E48B5" w14:textId="77777777">
            <w:pPr>
              <w:rPr>
                <w:rFonts w:ascii="Arial" w:eastAsia="Arial" w:hAnsi="Arial" w:cs="Arial"/>
              </w:rPr>
            </w:pPr>
            <w:r>
              <w:rPr>
                <w:rFonts w:ascii="Arial" w:eastAsia="Arial" w:hAnsi="Arial" w:cs="Arial"/>
              </w:rPr>
              <w:t>Annual IC Cost Burden (Dollars)</w:t>
            </w:r>
          </w:p>
        </w:tc>
        <w:tc>
          <w:tcPr>
            <w:tcW w:w="1320"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D26D2D" w14:paraId="2C481981" w14:textId="77777777">
            <w:pPr>
              <w:spacing w:line="276" w:lineRule="auto"/>
              <w:jc w:val="center"/>
              <w:rPr>
                <w:rFonts w:ascii="Arial" w:eastAsia="Arial" w:hAnsi="Arial" w:cs="Arial"/>
                <w:sz w:val="20"/>
                <w:szCs w:val="20"/>
              </w:rPr>
            </w:pPr>
            <w:r>
              <w:rPr>
                <w:rFonts w:ascii="Arial" w:eastAsia="Arial" w:hAnsi="Arial" w:cs="Arial"/>
              </w:rPr>
              <w:t>$33,300</w:t>
            </w:r>
          </w:p>
        </w:tc>
        <w:tc>
          <w:tcPr>
            <w:tcW w:w="13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650723DB"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3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5DF77906"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51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79EACDAB" w14:textId="77777777">
            <w:pPr>
              <w:spacing w:line="276" w:lineRule="auto"/>
              <w:jc w:val="center"/>
              <w:rPr>
                <w:rFonts w:ascii="Arial" w:eastAsia="Arial" w:hAnsi="Arial" w:cs="Arial"/>
                <w:sz w:val="20"/>
                <w:szCs w:val="20"/>
              </w:rPr>
            </w:pPr>
            <w:r>
              <w:rPr>
                <w:rFonts w:ascii="Arial" w:eastAsia="Arial" w:hAnsi="Arial" w:cs="Arial"/>
              </w:rPr>
              <w:t>$296</w:t>
            </w:r>
          </w:p>
        </w:tc>
        <w:tc>
          <w:tcPr>
            <w:tcW w:w="130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3FE107F1" w14:textId="77777777">
            <w:pPr>
              <w:spacing w:line="276" w:lineRule="auto"/>
              <w:jc w:val="center"/>
              <w:rPr>
                <w:rFonts w:ascii="Arial" w:eastAsia="Arial" w:hAnsi="Arial" w:cs="Arial"/>
                <w:sz w:val="20"/>
                <w:szCs w:val="20"/>
              </w:rPr>
            </w:pPr>
            <w:r>
              <w:rPr>
                <w:rFonts w:ascii="Arial" w:eastAsia="Arial" w:hAnsi="Arial" w:cs="Arial"/>
              </w:rPr>
              <w:t>Not applicable</w:t>
            </w:r>
          </w:p>
        </w:tc>
        <w:tc>
          <w:tcPr>
            <w:tcW w:w="1295"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36FA74E7" w14:textId="77777777">
            <w:pPr>
              <w:spacing w:line="276" w:lineRule="auto"/>
              <w:jc w:val="center"/>
              <w:rPr>
                <w:rFonts w:ascii="Arial" w:eastAsia="Arial" w:hAnsi="Arial" w:cs="Arial"/>
                <w:sz w:val="20"/>
                <w:szCs w:val="20"/>
              </w:rPr>
            </w:pPr>
            <w:r>
              <w:rPr>
                <w:rFonts w:ascii="Arial" w:eastAsia="Arial" w:hAnsi="Arial" w:cs="Arial"/>
              </w:rPr>
              <w:t>$33,004</w:t>
            </w:r>
          </w:p>
        </w:tc>
      </w:tr>
    </w:tbl>
    <w:p w:rsidR="00D26D2D" w14:paraId="25E24D12" w14:textId="77777777">
      <w:pPr>
        <w:tabs>
          <w:tab w:val="left" w:pos="657"/>
        </w:tabs>
        <w:rPr>
          <w:rFonts w:ascii="Arial" w:eastAsia="Arial" w:hAnsi="Arial" w:cs="Arial"/>
          <w:highlight w:val="yellow"/>
        </w:rPr>
      </w:pPr>
    </w:p>
    <w:tbl>
      <w:tblPr>
        <w:tblStyle w:val="a0"/>
        <w:tblW w:w="9876" w:type="dxa"/>
        <w:tblInd w:w="0" w:type="dxa"/>
        <w:tblBorders>
          <w:top w:val="nil"/>
          <w:left w:val="nil"/>
          <w:bottom w:val="nil"/>
          <w:right w:val="nil"/>
          <w:insideH w:val="nil"/>
          <w:insideV w:val="nil"/>
        </w:tblBorders>
        <w:tblLayout w:type="fixed"/>
        <w:tblLook w:val="0600"/>
      </w:tblPr>
      <w:tblGrid>
        <w:gridCol w:w="9255"/>
        <w:gridCol w:w="621"/>
      </w:tblGrid>
      <w:tr w14:paraId="57A87A79" w14:textId="77777777">
        <w:tblPrEx>
          <w:tblW w:w="9876" w:type="dxa"/>
          <w:tblInd w:w="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D26D2D" w14:paraId="75B3830D" w14:textId="77777777">
            <w:pPr>
              <w:tabs>
                <w:tab w:val="left" w:pos="657"/>
              </w:tabs>
              <w:ind w:left="-20"/>
              <w:rPr>
                <w:rFonts w:ascii="Arial" w:eastAsia="Arial" w:hAnsi="Arial" w:cs="Arial"/>
              </w:rPr>
            </w:pPr>
            <w:r>
              <w:rPr>
                <w:rFonts w:ascii="Arial" w:eastAsia="Arial" w:hAnsi="Arial" w:cs="Arial"/>
              </w:rPr>
              <w:t>Burden per Response:</w:t>
            </w:r>
          </w:p>
          <w:tbl>
            <w:tblPr>
              <w:tblStyle w:val="a1"/>
              <w:tblW w:w="9210" w:type="dxa"/>
              <w:tblInd w:w="0" w:type="dxa"/>
              <w:tblBorders>
                <w:top w:val="nil"/>
                <w:left w:val="nil"/>
                <w:bottom w:val="nil"/>
                <w:right w:val="nil"/>
                <w:insideH w:val="nil"/>
                <w:insideV w:val="nil"/>
              </w:tblBorders>
              <w:tblLayout w:type="fixed"/>
              <w:tblLook w:val="0600"/>
            </w:tblPr>
            <w:tblGrid>
              <w:gridCol w:w="3165"/>
              <w:gridCol w:w="2655"/>
              <w:gridCol w:w="1620"/>
              <w:gridCol w:w="1770"/>
            </w:tblGrid>
            <w:tr w14:paraId="35CC5A35" w14:textId="77777777">
              <w:tblPrEx>
                <w:tblW w:w="9210" w:type="dxa"/>
                <w:tblInd w:w="0" w:type="dxa"/>
                <w:tblBorders>
                  <w:top w:val="nil"/>
                  <w:left w:val="nil"/>
                  <w:bottom w:val="nil"/>
                  <w:right w:val="nil"/>
                  <w:insideH w:val="nil"/>
                  <w:insideV w:val="nil"/>
                </w:tblBorders>
                <w:tblLayout w:type="fixed"/>
                <w:tblLook w:val="0600"/>
              </w:tblPrEx>
              <w:trPr>
                <w:trHeight w:val="315"/>
              </w:trPr>
              <w:tc>
                <w:tcPr>
                  <w:tcW w:w="316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D26D2D" w14:paraId="02B78FEC" w14:textId="77777777">
                  <w:pPr>
                    <w:tabs>
                      <w:tab w:val="left" w:pos="657"/>
                    </w:tabs>
                    <w:jc w:val="center"/>
                    <w:rPr>
                      <w:rFonts w:ascii="Arial" w:eastAsia="Arial" w:hAnsi="Arial" w:cs="Arial"/>
                    </w:rPr>
                  </w:pPr>
                  <w:r>
                    <w:rPr>
                      <w:rFonts w:ascii="Arial" w:eastAsia="Arial" w:hAnsi="Arial" w:cs="Arial"/>
                    </w:rPr>
                    <w:t xml:space="preserve"> </w:t>
                  </w:r>
                </w:p>
              </w:tc>
              <w:tc>
                <w:tcPr>
                  <w:tcW w:w="26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26D2D" w14:paraId="5719107F" w14:textId="77777777">
                  <w:pPr>
                    <w:tabs>
                      <w:tab w:val="left" w:pos="657"/>
                    </w:tabs>
                    <w:jc w:val="center"/>
                    <w:rPr>
                      <w:rFonts w:ascii="Arial" w:eastAsia="Arial" w:hAnsi="Arial" w:cs="Arial"/>
                      <w:color w:val="FFFFFF"/>
                    </w:rPr>
                  </w:pPr>
                  <w:r>
                    <w:rPr>
                      <w:rFonts w:ascii="Arial" w:eastAsia="Arial" w:hAnsi="Arial" w:cs="Arial"/>
                      <w:color w:val="FFFFFF"/>
                    </w:rPr>
                    <w:t>Time Per Response</w:t>
                  </w:r>
                </w:p>
              </w:tc>
              <w:tc>
                <w:tcPr>
                  <w:tcW w:w="162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26D2D" w14:paraId="779AC814" w14:textId="77777777">
                  <w:pPr>
                    <w:tabs>
                      <w:tab w:val="left" w:pos="657"/>
                    </w:tabs>
                    <w:jc w:val="center"/>
                    <w:rPr>
                      <w:rFonts w:ascii="Arial" w:eastAsia="Arial" w:hAnsi="Arial" w:cs="Arial"/>
                      <w:color w:val="FFFFFF"/>
                    </w:rPr>
                  </w:pPr>
                  <w:r>
                    <w:rPr>
                      <w:rFonts w:ascii="Arial" w:eastAsia="Arial" w:hAnsi="Arial" w:cs="Arial"/>
                      <w:color w:val="FFFFFF"/>
                    </w:rPr>
                    <w:t>Hours</w:t>
                  </w:r>
                </w:p>
              </w:tc>
              <w:tc>
                <w:tcPr>
                  <w:tcW w:w="177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26D2D" w14:paraId="07FAA659" w14:textId="77777777">
                  <w:pPr>
                    <w:tabs>
                      <w:tab w:val="left" w:pos="657"/>
                    </w:tabs>
                    <w:jc w:val="center"/>
                    <w:rPr>
                      <w:rFonts w:ascii="Arial" w:eastAsia="Arial" w:hAnsi="Arial" w:cs="Arial"/>
                      <w:color w:val="FFFFFF"/>
                    </w:rPr>
                  </w:pPr>
                  <w:r>
                    <w:rPr>
                      <w:rFonts w:ascii="Arial" w:eastAsia="Arial" w:hAnsi="Arial" w:cs="Arial"/>
                      <w:color w:val="FFFFFF"/>
                    </w:rPr>
                    <w:t>Cost Per Response</w:t>
                  </w:r>
                </w:p>
              </w:tc>
            </w:tr>
            <w:tr w14:paraId="74C60A89"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26D2D" w14:paraId="7BAD6DBB" w14:textId="77777777">
                  <w:pPr>
                    <w:tabs>
                      <w:tab w:val="left" w:pos="657"/>
                    </w:tabs>
                    <w:jc w:val="center"/>
                    <w:rPr>
                      <w:rFonts w:ascii="Arial" w:eastAsia="Arial" w:hAnsi="Arial" w:cs="Arial"/>
                    </w:rPr>
                  </w:pPr>
                  <w:r>
                    <w:rPr>
                      <w:rFonts w:ascii="Arial" w:eastAsia="Arial" w:hAnsi="Arial" w:cs="Arial"/>
                    </w:rPr>
                    <w:t>Reporting</w:t>
                  </w:r>
                </w:p>
              </w:tc>
              <w:tc>
                <w:tcPr>
                  <w:tcW w:w="265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tcPr>
                <w:p w:rsidR="00D26D2D" w14:paraId="47578DE7" w14:textId="77777777">
                  <w:pPr>
                    <w:spacing w:line="276" w:lineRule="auto"/>
                    <w:jc w:val="center"/>
                    <w:rPr>
                      <w:rFonts w:ascii="Arial" w:eastAsia="Arial" w:hAnsi="Arial" w:cs="Arial"/>
                      <w:sz w:val="20"/>
                      <w:szCs w:val="20"/>
                    </w:rPr>
                  </w:pPr>
                  <w:r>
                    <w:rPr>
                      <w:rFonts w:ascii="Arial" w:eastAsia="Arial" w:hAnsi="Arial" w:cs="Arial"/>
                    </w:rPr>
                    <w:t>40</w:t>
                  </w:r>
                </w:p>
              </w:tc>
              <w:tc>
                <w:tcPr>
                  <w:tcW w:w="162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04EBB136" w14:textId="77777777">
                  <w:pPr>
                    <w:spacing w:line="276" w:lineRule="auto"/>
                    <w:jc w:val="center"/>
                    <w:rPr>
                      <w:rFonts w:ascii="Arial" w:eastAsia="Arial" w:hAnsi="Arial" w:cs="Arial"/>
                      <w:sz w:val="20"/>
                      <w:szCs w:val="20"/>
                    </w:rPr>
                  </w:pPr>
                  <w:r>
                    <w:rPr>
                      <w:rFonts w:ascii="Arial" w:eastAsia="Arial" w:hAnsi="Arial" w:cs="Arial"/>
                    </w:rPr>
                    <w:t>40</w:t>
                  </w:r>
                </w:p>
              </w:tc>
              <w:tc>
                <w:tcPr>
                  <w:tcW w:w="177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60FA135F" w14:textId="77777777">
                  <w:pPr>
                    <w:spacing w:line="276" w:lineRule="auto"/>
                    <w:jc w:val="center"/>
                    <w:rPr>
                      <w:rFonts w:ascii="Arial" w:eastAsia="Arial" w:hAnsi="Arial" w:cs="Arial"/>
                      <w:sz w:val="20"/>
                      <w:szCs w:val="20"/>
                    </w:rPr>
                  </w:pPr>
                  <w:r>
                    <w:rPr>
                      <w:rFonts w:ascii="Arial" w:eastAsia="Arial" w:hAnsi="Arial" w:cs="Arial"/>
                    </w:rPr>
                    <w:t>$3,330</w:t>
                  </w:r>
                </w:p>
              </w:tc>
            </w:tr>
            <w:tr w14:paraId="270EA328"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26D2D" w14:paraId="6C8F209A" w14:textId="77777777">
                  <w:pPr>
                    <w:tabs>
                      <w:tab w:val="left" w:pos="657"/>
                    </w:tabs>
                    <w:jc w:val="center"/>
                    <w:rPr>
                      <w:rFonts w:ascii="Arial" w:eastAsia="Arial" w:hAnsi="Arial" w:cs="Arial"/>
                    </w:rPr>
                  </w:pPr>
                  <w:r>
                    <w:rPr>
                      <w:rFonts w:ascii="Arial" w:eastAsia="Arial" w:hAnsi="Arial" w:cs="Arial"/>
                    </w:rPr>
                    <w:t>Record Keeping</w:t>
                  </w:r>
                </w:p>
              </w:tc>
              <w:tc>
                <w:tcPr>
                  <w:tcW w:w="2655"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D26D2D" w14:paraId="49E2B772" w14:textId="77777777">
                  <w:pPr>
                    <w:spacing w:line="276" w:lineRule="auto"/>
                    <w:jc w:val="center"/>
                    <w:rPr>
                      <w:rFonts w:ascii="Arial" w:eastAsia="Arial" w:hAnsi="Arial" w:cs="Arial"/>
                      <w:sz w:val="20"/>
                      <w:szCs w:val="20"/>
                    </w:rPr>
                  </w:pPr>
                  <w:r>
                    <w:rPr>
                      <w:rFonts w:ascii="Arial" w:eastAsia="Arial" w:hAnsi="Arial" w:cs="Arial"/>
                    </w:rPr>
                    <w:t>N/A</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19A461DD" w14:textId="77777777">
                  <w:pPr>
                    <w:spacing w:line="276" w:lineRule="auto"/>
                    <w:jc w:val="center"/>
                    <w:rPr>
                      <w:rFonts w:ascii="Arial" w:eastAsia="Arial" w:hAnsi="Arial" w:cs="Arial"/>
                      <w:sz w:val="20"/>
                      <w:szCs w:val="20"/>
                    </w:rPr>
                  </w:pPr>
                  <w:r>
                    <w:rPr>
                      <w:rFonts w:ascii="Arial" w:eastAsia="Arial" w:hAnsi="Arial" w:cs="Arial"/>
                    </w:rPr>
                    <w:t>N/A</w:t>
                  </w:r>
                </w:p>
              </w:tc>
              <w:tc>
                <w:tcPr>
                  <w:tcW w:w="17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524B1FC5" w14:textId="77777777">
                  <w:pPr>
                    <w:spacing w:line="276" w:lineRule="auto"/>
                    <w:jc w:val="center"/>
                    <w:rPr>
                      <w:rFonts w:ascii="Arial" w:eastAsia="Arial" w:hAnsi="Arial" w:cs="Arial"/>
                      <w:sz w:val="20"/>
                      <w:szCs w:val="20"/>
                    </w:rPr>
                  </w:pPr>
                  <w:r>
                    <w:rPr>
                      <w:rFonts w:ascii="Arial" w:eastAsia="Arial" w:hAnsi="Arial" w:cs="Arial"/>
                    </w:rPr>
                    <w:t>N/A</w:t>
                  </w:r>
                </w:p>
              </w:tc>
            </w:tr>
            <w:tr w14:paraId="5221B63D" w14:textId="77777777">
              <w:tblPrEx>
                <w:tblW w:w="9210" w:type="dxa"/>
                <w:tblInd w:w="0" w:type="dxa"/>
                <w:tblLayout w:type="fixed"/>
                <w:tblLook w:val="0600"/>
              </w:tblPrEx>
              <w:trPr>
                <w:trHeight w:val="505"/>
              </w:trPr>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26D2D" w14:paraId="77960028" w14:textId="77777777">
                  <w:pPr>
                    <w:tabs>
                      <w:tab w:val="left" w:pos="657"/>
                    </w:tabs>
                    <w:jc w:val="center"/>
                    <w:rPr>
                      <w:rFonts w:ascii="Arial" w:eastAsia="Arial" w:hAnsi="Arial" w:cs="Arial"/>
                    </w:rPr>
                  </w:pPr>
                  <w:r>
                    <w:rPr>
                      <w:rFonts w:ascii="Arial" w:eastAsia="Arial" w:hAnsi="Arial" w:cs="Arial"/>
                    </w:rPr>
                    <w:t>Third Party Disclosure</w:t>
                  </w:r>
                </w:p>
              </w:tc>
              <w:tc>
                <w:tcPr>
                  <w:tcW w:w="2655"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D26D2D" w14:paraId="5090FB70" w14:textId="77777777">
                  <w:pPr>
                    <w:spacing w:line="276" w:lineRule="auto"/>
                    <w:jc w:val="center"/>
                    <w:rPr>
                      <w:rFonts w:ascii="Arial" w:eastAsia="Arial" w:hAnsi="Arial" w:cs="Arial"/>
                      <w:sz w:val="20"/>
                      <w:szCs w:val="20"/>
                    </w:rPr>
                  </w:pPr>
                  <w:r>
                    <w:rPr>
                      <w:rFonts w:ascii="Arial" w:eastAsia="Arial" w:hAnsi="Arial" w:cs="Arial"/>
                    </w:rPr>
                    <w:t>N/A</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650AC9BB" w14:textId="77777777">
                  <w:pPr>
                    <w:spacing w:line="276" w:lineRule="auto"/>
                    <w:jc w:val="center"/>
                    <w:rPr>
                      <w:rFonts w:ascii="Arial" w:eastAsia="Arial" w:hAnsi="Arial" w:cs="Arial"/>
                      <w:sz w:val="20"/>
                      <w:szCs w:val="20"/>
                    </w:rPr>
                  </w:pPr>
                  <w:r>
                    <w:rPr>
                      <w:rFonts w:ascii="Arial" w:eastAsia="Arial" w:hAnsi="Arial" w:cs="Arial"/>
                    </w:rPr>
                    <w:t>N/A</w:t>
                  </w:r>
                </w:p>
              </w:tc>
              <w:tc>
                <w:tcPr>
                  <w:tcW w:w="17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69EA072A" w14:textId="77777777">
                  <w:pPr>
                    <w:spacing w:line="276" w:lineRule="auto"/>
                    <w:jc w:val="center"/>
                    <w:rPr>
                      <w:rFonts w:ascii="Arial" w:eastAsia="Arial" w:hAnsi="Arial" w:cs="Arial"/>
                      <w:sz w:val="20"/>
                      <w:szCs w:val="20"/>
                    </w:rPr>
                  </w:pPr>
                  <w:r>
                    <w:rPr>
                      <w:rFonts w:ascii="Arial" w:eastAsia="Arial" w:hAnsi="Arial" w:cs="Arial"/>
                    </w:rPr>
                    <w:t>N/A</w:t>
                  </w:r>
                </w:p>
              </w:tc>
            </w:tr>
            <w:tr w14:paraId="4CE4305E" w14:textId="77777777">
              <w:tblPrEx>
                <w:tblW w:w="9210" w:type="dxa"/>
                <w:tblInd w:w="0" w:type="dxa"/>
                <w:tblLayout w:type="fixed"/>
                <w:tblLook w:val="0600"/>
              </w:tblPrEx>
              <w:tc>
                <w:tcPr>
                  <w:tcW w:w="316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26D2D" w14:paraId="72593625" w14:textId="77777777">
                  <w:pPr>
                    <w:tabs>
                      <w:tab w:val="left" w:pos="657"/>
                    </w:tabs>
                    <w:jc w:val="center"/>
                    <w:rPr>
                      <w:rFonts w:ascii="Arial" w:eastAsia="Arial" w:hAnsi="Arial" w:cs="Arial"/>
                    </w:rPr>
                  </w:pPr>
                  <w:r>
                    <w:rPr>
                      <w:rFonts w:ascii="Arial" w:eastAsia="Arial" w:hAnsi="Arial" w:cs="Arial"/>
                    </w:rPr>
                    <w:t>Total</w:t>
                  </w:r>
                </w:p>
              </w:tc>
              <w:tc>
                <w:tcPr>
                  <w:tcW w:w="2655"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bottom"/>
                </w:tcPr>
                <w:p w:rsidR="00D26D2D" w14:paraId="637F3089" w14:textId="77777777">
                  <w:pPr>
                    <w:spacing w:line="276" w:lineRule="auto"/>
                    <w:jc w:val="center"/>
                    <w:rPr>
                      <w:rFonts w:ascii="Arial" w:eastAsia="Arial" w:hAnsi="Arial" w:cs="Arial"/>
                      <w:sz w:val="20"/>
                      <w:szCs w:val="20"/>
                    </w:rPr>
                  </w:pPr>
                  <w:r>
                    <w:rPr>
                      <w:rFonts w:ascii="Arial" w:eastAsia="Arial" w:hAnsi="Arial" w:cs="Arial"/>
                    </w:rPr>
                    <w:t>40</w:t>
                  </w:r>
                </w:p>
              </w:tc>
              <w:tc>
                <w:tcPr>
                  <w:tcW w:w="162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2175E4CB" w14:textId="77777777">
                  <w:pPr>
                    <w:spacing w:line="276" w:lineRule="auto"/>
                    <w:jc w:val="center"/>
                    <w:rPr>
                      <w:rFonts w:ascii="Arial" w:eastAsia="Arial" w:hAnsi="Arial" w:cs="Arial"/>
                      <w:sz w:val="20"/>
                      <w:szCs w:val="20"/>
                    </w:rPr>
                  </w:pPr>
                  <w:r>
                    <w:rPr>
                      <w:rFonts w:ascii="Arial" w:eastAsia="Arial" w:hAnsi="Arial" w:cs="Arial"/>
                    </w:rPr>
                    <w:t>40</w:t>
                  </w:r>
                </w:p>
              </w:tc>
              <w:tc>
                <w:tcPr>
                  <w:tcW w:w="177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6D2D" w14:paraId="42D6FE3D" w14:textId="77777777">
                  <w:pPr>
                    <w:spacing w:line="276" w:lineRule="auto"/>
                    <w:jc w:val="center"/>
                    <w:rPr>
                      <w:rFonts w:ascii="Arial" w:eastAsia="Arial" w:hAnsi="Arial" w:cs="Arial"/>
                      <w:sz w:val="20"/>
                      <w:szCs w:val="20"/>
                    </w:rPr>
                  </w:pPr>
                  <w:r>
                    <w:rPr>
                      <w:rFonts w:ascii="Arial" w:eastAsia="Arial" w:hAnsi="Arial" w:cs="Arial"/>
                    </w:rPr>
                    <w:t>$3,330</w:t>
                  </w:r>
                </w:p>
              </w:tc>
            </w:tr>
          </w:tbl>
          <w:p w:rsidR="00D26D2D" w14:paraId="6920678E" w14:textId="77777777">
            <w:pPr>
              <w:tabs>
                <w:tab w:val="left" w:pos="657"/>
              </w:tabs>
              <w:ind w:left="-20"/>
              <w:rPr>
                <w:rFonts w:ascii="Arial" w:eastAsia="Arial" w:hAnsi="Arial" w:cs="Arial"/>
                <w:highlight w:val="yellow"/>
              </w:rPr>
            </w:pPr>
          </w:p>
        </w:tc>
        <w:tc>
          <w:tcPr>
            <w:tcW w:w="621" w:type="dxa"/>
            <w:tcBorders>
              <w:top w:val="nil"/>
              <w:left w:val="nil"/>
              <w:bottom w:val="nil"/>
              <w:right w:val="nil"/>
            </w:tcBorders>
            <w:tcMar>
              <w:top w:w="0" w:type="dxa"/>
              <w:left w:w="0" w:type="dxa"/>
              <w:bottom w:w="0" w:type="dxa"/>
              <w:right w:w="0" w:type="dxa"/>
            </w:tcMar>
          </w:tcPr>
          <w:p w:rsidR="00D26D2D" w14:paraId="1B319186" w14:textId="77777777">
            <w:pPr>
              <w:tabs>
                <w:tab w:val="left" w:pos="657"/>
              </w:tabs>
              <w:ind w:left="-20"/>
              <w:rPr>
                <w:rFonts w:ascii="Arial" w:eastAsia="Arial" w:hAnsi="Arial" w:cs="Arial"/>
                <w:highlight w:val="yellow"/>
              </w:rPr>
            </w:pPr>
            <w:r>
              <w:rPr>
                <w:rFonts w:ascii="Arial" w:eastAsia="Arial" w:hAnsi="Arial" w:cs="Arial"/>
                <w:highlight w:val="yellow"/>
              </w:rPr>
              <w:t xml:space="preserve"> </w:t>
            </w:r>
          </w:p>
        </w:tc>
      </w:tr>
      <w:tr w14:paraId="4DC963E5" w14:textId="77777777">
        <w:tblPrEx>
          <w:tblW w:w="9876" w:type="dxa"/>
          <w:tblInd w:w="0" w:type="dxa"/>
          <w:tblLayout w:type="fixed"/>
          <w:tblLook w:val="0600"/>
        </w:tblPrEx>
        <w:trPr>
          <w:trHeight w:val="2595"/>
        </w:trPr>
        <w:tc>
          <w:tcPr>
            <w:tcW w:w="9876" w:type="dxa"/>
            <w:gridSpan w:val="2"/>
            <w:tcBorders>
              <w:top w:val="nil"/>
              <w:left w:val="nil"/>
              <w:bottom w:val="nil"/>
              <w:right w:val="nil"/>
            </w:tcBorders>
            <w:tcMar>
              <w:top w:w="20" w:type="dxa"/>
              <w:left w:w="20" w:type="dxa"/>
              <w:bottom w:w="20" w:type="dxa"/>
              <w:right w:w="20" w:type="dxa"/>
            </w:tcMar>
          </w:tcPr>
          <w:p w:rsidR="00D26D2D" w14:paraId="756F6805" w14:textId="77777777">
            <w:pPr>
              <w:tabs>
                <w:tab w:val="left" w:pos="657"/>
              </w:tabs>
              <w:ind w:left="-20"/>
              <w:rPr>
                <w:rFonts w:ascii="Arial" w:eastAsia="Arial" w:hAnsi="Arial" w:cs="Arial"/>
              </w:rPr>
            </w:pPr>
            <w:r>
              <w:rPr>
                <w:rFonts w:ascii="Arial" w:eastAsia="Arial" w:hAnsi="Arial" w:cs="Arial"/>
              </w:rPr>
              <w:t>Annual Burden:</w:t>
            </w:r>
          </w:p>
          <w:tbl>
            <w:tblPr>
              <w:tblStyle w:val="a2"/>
              <w:tblW w:w="9191" w:type="dxa"/>
              <w:tblInd w:w="0" w:type="dxa"/>
              <w:tblBorders>
                <w:top w:val="nil"/>
                <w:left w:val="nil"/>
                <w:bottom w:val="nil"/>
                <w:right w:val="nil"/>
                <w:insideH w:val="nil"/>
                <w:insideV w:val="nil"/>
              </w:tblBorders>
              <w:tblLayout w:type="fixed"/>
              <w:tblLook w:val="0600"/>
            </w:tblPr>
            <w:tblGrid>
              <w:gridCol w:w="2535"/>
              <w:gridCol w:w="2715"/>
              <w:gridCol w:w="3941"/>
            </w:tblGrid>
            <w:tr w14:paraId="7B005B1E" w14:textId="77777777">
              <w:tblPrEx>
                <w:tblW w:w="9191" w:type="dxa"/>
                <w:tblInd w:w="0" w:type="dxa"/>
                <w:tblBorders>
                  <w:top w:val="nil"/>
                  <w:left w:val="nil"/>
                  <w:bottom w:val="nil"/>
                  <w:right w:val="nil"/>
                  <w:insideH w:val="nil"/>
                  <w:insideV w:val="nil"/>
                </w:tblBorders>
                <w:tblLayout w:type="fixed"/>
                <w:tblLook w:val="0600"/>
              </w:tblPrEx>
              <w:trPr>
                <w:trHeight w:val="547"/>
              </w:trPr>
              <w:tc>
                <w:tcPr>
                  <w:tcW w:w="253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D26D2D" w14:paraId="4DF66F84" w14:textId="77777777">
                  <w:pPr>
                    <w:tabs>
                      <w:tab w:val="left" w:pos="657"/>
                    </w:tabs>
                    <w:ind w:left="-20"/>
                    <w:jc w:val="center"/>
                    <w:rPr>
                      <w:rFonts w:ascii="Arial" w:eastAsia="Arial" w:hAnsi="Arial" w:cs="Arial"/>
                      <w:b/>
                      <w:color w:val="FFFFFF"/>
                    </w:rPr>
                  </w:pPr>
                  <w:r>
                    <w:rPr>
                      <w:rFonts w:ascii="Arial" w:eastAsia="Arial" w:hAnsi="Arial" w:cs="Arial"/>
                      <w:b/>
                      <w:color w:val="FFFFFF"/>
                    </w:rPr>
                    <w:t xml:space="preserve"> </w:t>
                  </w:r>
                </w:p>
              </w:tc>
              <w:tc>
                <w:tcPr>
                  <w:tcW w:w="271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26D2D" w14:paraId="022103C8" w14:textId="77777777">
                  <w:pPr>
                    <w:tabs>
                      <w:tab w:val="left" w:pos="657"/>
                    </w:tabs>
                    <w:ind w:left="-20"/>
                    <w:jc w:val="center"/>
                    <w:rPr>
                      <w:rFonts w:ascii="Arial" w:eastAsia="Arial" w:hAnsi="Arial" w:cs="Arial"/>
                      <w:b/>
                      <w:color w:val="FFFFFF"/>
                    </w:rPr>
                  </w:pPr>
                  <w:r>
                    <w:rPr>
                      <w:rFonts w:ascii="Arial" w:eastAsia="Arial" w:hAnsi="Arial" w:cs="Arial"/>
                      <w:b/>
                      <w:color w:val="FFFFFF"/>
                    </w:rPr>
                    <w:t>Annual Time Burden (Hours)</w:t>
                  </w:r>
                </w:p>
              </w:tc>
              <w:tc>
                <w:tcPr>
                  <w:tcW w:w="3941"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D26D2D" w14:paraId="479AC78D" w14:textId="77777777">
                  <w:pPr>
                    <w:tabs>
                      <w:tab w:val="left" w:pos="657"/>
                    </w:tabs>
                    <w:ind w:left="-20"/>
                    <w:jc w:val="center"/>
                    <w:rPr>
                      <w:rFonts w:ascii="Arial" w:eastAsia="Arial" w:hAnsi="Arial" w:cs="Arial"/>
                      <w:b/>
                      <w:color w:val="FFFFFF"/>
                    </w:rPr>
                  </w:pPr>
                  <w:r>
                    <w:rPr>
                      <w:rFonts w:ascii="Arial" w:eastAsia="Arial" w:hAnsi="Arial" w:cs="Arial"/>
                      <w:b/>
                      <w:color w:val="FFFFFF"/>
                    </w:rPr>
                    <w:t>Annual Cost Burden</w:t>
                  </w:r>
                </w:p>
                <w:p w:rsidR="00D26D2D" w14:paraId="17E65966" w14:textId="77777777">
                  <w:pPr>
                    <w:tabs>
                      <w:tab w:val="left" w:pos="657"/>
                    </w:tabs>
                    <w:ind w:left="-20"/>
                    <w:jc w:val="center"/>
                    <w:rPr>
                      <w:rFonts w:ascii="Arial" w:eastAsia="Arial" w:hAnsi="Arial" w:cs="Arial"/>
                      <w:b/>
                      <w:color w:val="FFFFFF"/>
                    </w:rPr>
                  </w:pPr>
                  <w:r>
                    <w:rPr>
                      <w:rFonts w:ascii="Arial" w:eastAsia="Arial" w:hAnsi="Arial" w:cs="Arial"/>
                      <w:b/>
                      <w:color w:val="FFFFFF"/>
                    </w:rPr>
                    <w:t>(Dollars)</w:t>
                  </w:r>
                </w:p>
              </w:tc>
            </w:tr>
            <w:tr w14:paraId="0E5D19BF"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26D2D" w14:paraId="57B48F86" w14:textId="77777777">
                  <w:pPr>
                    <w:tabs>
                      <w:tab w:val="left" w:pos="657"/>
                    </w:tabs>
                    <w:jc w:val="center"/>
                    <w:rPr>
                      <w:rFonts w:ascii="Arial" w:eastAsia="Arial" w:hAnsi="Arial" w:cs="Arial"/>
                    </w:rPr>
                  </w:pPr>
                  <w:r>
                    <w:rPr>
                      <w:rFonts w:ascii="Arial" w:eastAsia="Arial" w:hAnsi="Arial" w:cs="Arial"/>
                    </w:rPr>
                    <w:t>Reporting</w:t>
                  </w:r>
                </w:p>
              </w:tc>
              <w:tc>
                <w:tcPr>
                  <w:tcW w:w="27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D26D2D" w14:paraId="44F2EACF" w14:textId="77777777">
                  <w:pPr>
                    <w:jc w:val="center"/>
                    <w:rPr>
                      <w:rFonts w:ascii="Arial" w:eastAsia="Arial" w:hAnsi="Arial" w:cs="Arial"/>
                    </w:rPr>
                  </w:pPr>
                  <w:r>
                    <w:rPr>
                      <w:rFonts w:ascii="Arial" w:eastAsia="Arial" w:hAnsi="Arial" w:cs="Arial"/>
                    </w:rPr>
                    <w:t>400</w:t>
                  </w:r>
                </w:p>
              </w:tc>
              <w:tc>
                <w:tcPr>
                  <w:tcW w:w="3941"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D26D2D" w14:paraId="3626ECF4" w14:textId="77777777">
                  <w:pPr>
                    <w:jc w:val="center"/>
                    <w:rPr>
                      <w:rFonts w:ascii="Arial" w:eastAsia="Arial" w:hAnsi="Arial" w:cs="Arial"/>
                    </w:rPr>
                  </w:pPr>
                  <w:r>
                    <w:rPr>
                      <w:rFonts w:ascii="Arial" w:eastAsia="Arial" w:hAnsi="Arial" w:cs="Arial"/>
                    </w:rPr>
                    <w:t>$33,300</w:t>
                  </w:r>
                </w:p>
              </w:tc>
            </w:tr>
            <w:tr w14:paraId="02ED3164"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26D2D" w14:paraId="24B16458" w14:textId="77777777">
                  <w:pPr>
                    <w:tabs>
                      <w:tab w:val="left" w:pos="657"/>
                    </w:tabs>
                    <w:jc w:val="center"/>
                    <w:rPr>
                      <w:rFonts w:ascii="Arial" w:eastAsia="Arial" w:hAnsi="Arial" w:cs="Arial"/>
                    </w:rPr>
                  </w:pPr>
                  <w:r>
                    <w:rPr>
                      <w:rFonts w:ascii="Arial" w:eastAsia="Arial" w:hAnsi="Arial" w:cs="Arial"/>
                    </w:rPr>
                    <w:t>Record Keeping</w:t>
                  </w:r>
                </w:p>
              </w:tc>
              <w:tc>
                <w:tcPr>
                  <w:tcW w:w="271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26D2D" w14:paraId="44634109" w14:textId="77777777">
                  <w:pPr>
                    <w:jc w:val="center"/>
                    <w:rPr>
                      <w:rFonts w:ascii="Arial" w:eastAsia="Arial" w:hAnsi="Arial" w:cs="Arial"/>
                    </w:rPr>
                  </w:pPr>
                  <w:r>
                    <w:rPr>
                      <w:rFonts w:ascii="Arial" w:eastAsia="Arial" w:hAnsi="Arial" w:cs="Arial"/>
                    </w:rPr>
                    <w:t>N/A</w:t>
                  </w:r>
                </w:p>
              </w:tc>
              <w:tc>
                <w:tcPr>
                  <w:tcW w:w="3941"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26D2D" w14:paraId="2EC2D189" w14:textId="77777777">
                  <w:pPr>
                    <w:jc w:val="center"/>
                    <w:rPr>
                      <w:rFonts w:ascii="Arial" w:eastAsia="Arial" w:hAnsi="Arial" w:cs="Arial"/>
                    </w:rPr>
                  </w:pPr>
                  <w:r>
                    <w:rPr>
                      <w:rFonts w:ascii="Arial" w:eastAsia="Arial" w:hAnsi="Arial" w:cs="Arial"/>
                    </w:rPr>
                    <w:t>N/A</w:t>
                  </w:r>
                </w:p>
              </w:tc>
            </w:tr>
            <w:tr w14:paraId="2A9C9E73" w14:textId="77777777">
              <w:tblPrEx>
                <w:tblW w:w="9191" w:type="dxa"/>
                <w:tblInd w:w="0" w:type="dxa"/>
                <w:tblLayout w:type="fixed"/>
                <w:tblLook w:val="0600"/>
              </w:tblPrEx>
              <w:trPr>
                <w:trHeight w:val="577"/>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26D2D" w14:paraId="608C7AC7" w14:textId="77777777">
                  <w:pPr>
                    <w:tabs>
                      <w:tab w:val="left" w:pos="657"/>
                    </w:tabs>
                    <w:jc w:val="center"/>
                    <w:rPr>
                      <w:rFonts w:ascii="Arial" w:eastAsia="Arial" w:hAnsi="Arial" w:cs="Arial"/>
                    </w:rPr>
                  </w:pPr>
                  <w:r>
                    <w:rPr>
                      <w:rFonts w:ascii="Arial" w:eastAsia="Arial" w:hAnsi="Arial" w:cs="Arial"/>
                    </w:rPr>
                    <w:t>Third Party Disclosure</w:t>
                  </w:r>
                </w:p>
              </w:tc>
              <w:tc>
                <w:tcPr>
                  <w:tcW w:w="271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26D2D" w14:paraId="084F2001" w14:textId="77777777">
                  <w:pPr>
                    <w:jc w:val="center"/>
                    <w:rPr>
                      <w:rFonts w:ascii="Arial" w:eastAsia="Arial" w:hAnsi="Arial" w:cs="Arial"/>
                    </w:rPr>
                  </w:pPr>
                  <w:r>
                    <w:rPr>
                      <w:rFonts w:ascii="Arial" w:eastAsia="Arial" w:hAnsi="Arial" w:cs="Arial"/>
                    </w:rPr>
                    <w:t>N/A</w:t>
                  </w:r>
                </w:p>
              </w:tc>
              <w:tc>
                <w:tcPr>
                  <w:tcW w:w="3941"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D26D2D" w14:paraId="5E8B8C92" w14:textId="77777777">
                  <w:pPr>
                    <w:jc w:val="center"/>
                    <w:rPr>
                      <w:rFonts w:ascii="Arial" w:eastAsia="Arial" w:hAnsi="Arial" w:cs="Arial"/>
                    </w:rPr>
                  </w:pPr>
                  <w:r>
                    <w:rPr>
                      <w:rFonts w:ascii="Arial" w:eastAsia="Arial" w:hAnsi="Arial" w:cs="Arial"/>
                    </w:rPr>
                    <w:t>N/A</w:t>
                  </w:r>
                </w:p>
              </w:tc>
            </w:tr>
            <w:tr w14:paraId="6CF4FBA8" w14:textId="77777777">
              <w:tblPrEx>
                <w:tblW w:w="9191" w:type="dxa"/>
                <w:tblInd w:w="0" w:type="dxa"/>
                <w:tblLayout w:type="fixed"/>
                <w:tblLook w:val="0600"/>
              </w:tblPrEx>
              <w:trPr>
                <w:trHeight w:val="303"/>
              </w:trPr>
              <w:tc>
                <w:tcPr>
                  <w:tcW w:w="253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D26D2D" w14:paraId="55775A59" w14:textId="77777777">
                  <w:pPr>
                    <w:tabs>
                      <w:tab w:val="left" w:pos="657"/>
                    </w:tabs>
                    <w:jc w:val="center"/>
                    <w:rPr>
                      <w:rFonts w:ascii="Arial" w:eastAsia="Arial" w:hAnsi="Arial" w:cs="Arial"/>
                    </w:rPr>
                  </w:pPr>
                  <w:r>
                    <w:rPr>
                      <w:rFonts w:ascii="Arial" w:eastAsia="Arial" w:hAnsi="Arial" w:cs="Arial"/>
                    </w:rPr>
                    <w:t>Total</w:t>
                  </w:r>
                </w:p>
              </w:tc>
              <w:tc>
                <w:tcPr>
                  <w:tcW w:w="271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D26D2D" w14:paraId="5ED1E77D" w14:textId="77777777">
                  <w:pPr>
                    <w:jc w:val="center"/>
                    <w:rPr>
                      <w:rFonts w:ascii="Arial" w:eastAsia="Arial" w:hAnsi="Arial" w:cs="Arial"/>
                    </w:rPr>
                  </w:pPr>
                  <w:r>
                    <w:rPr>
                      <w:rFonts w:ascii="Arial" w:eastAsia="Arial" w:hAnsi="Arial" w:cs="Arial"/>
                    </w:rPr>
                    <w:t>400</w:t>
                  </w:r>
                </w:p>
              </w:tc>
              <w:tc>
                <w:tcPr>
                  <w:tcW w:w="3941"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D26D2D" w14:paraId="35AA9A7A" w14:textId="77777777">
                  <w:pPr>
                    <w:jc w:val="center"/>
                    <w:rPr>
                      <w:rFonts w:ascii="Arial" w:eastAsia="Arial" w:hAnsi="Arial" w:cs="Arial"/>
                    </w:rPr>
                  </w:pPr>
                  <w:r>
                    <w:rPr>
                      <w:rFonts w:ascii="Arial" w:eastAsia="Arial" w:hAnsi="Arial" w:cs="Arial"/>
                    </w:rPr>
                    <w:t>$33,300</w:t>
                  </w:r>
                </w:p>
              </w:tc>
            </w:tr>
          </w:tbl>
          <w:p w:rsidR="00D26D2D" w14:paraId="0D6744DC" w14:textId="77777777">
            <w:pPr>
              <w:tabs>
                <w:tab w:val="left" w:pos="657"/>
              </w:tabs>
              <w:rPr>
                <w:rFonts w:ascii="Arial" w:eastAsia="Arial" w:hAnsi="Arial" w:cs="Arial"/>
                <w:b/>
                <w:highlight w:val="yellow"/>
                <w:u w:val="single"/>
              </w:rPr>
            </w:pPr>
          </w:p>
        </w:tc>
      </w:tr>
    </w:tbl>
    <w:p w:rsidR="00D26D2D" w14:paraId="420A15F8" w14:textId="77777777">
      <w:pPr>
        <w:tabs>
          <w:tab w:val="left" w:pos="657"/>
        </w:tabs>
        <w:rPr>
          <w:rFonts w:ascii="Arial" w:eastAsia="Arial" w:hAnsi="Arial" w:cs="Arial"/>
          <w:b/>
          <w:highlight w:val="yellow"/>
          <w:u w:val="single"/>
        </w:rPr>
      </w:pPr>
    </w:p>
    <w:p w:rsidR="00D26D2D" w14:paraId="17F99367" w14:textId="77777777">
      <w:pPr>
        <w:tabs>
          <w:tab w:val="left" w:pos="657"/>
        </w:tabs>
        <w:rPr>
          <w:rFonts w:ascii="Arial" w:eastAsia="Arial" w:hAnsi="Arial" w:cs="Arial"/>
          <w:b/>
          <w:u w:val="single"/>
        </w:rPr>
      </w:pPr>
      <w:r>
        <w:rPr>
          <w:rFonts w:ascii="Arial" w:eastAsia="Arial" w:hAnsi="Arial" w:cs="Arial"/>
          <w:b/>
          <w:u w:val="single"/>
        </w:rPr>
        <w:t>13. Estimated Nonrecurring Costs.</w:t>
      </w:r>
    </w:p>
    <w:p w:rsidR="00D26D2D" w14:paraId="5C9894C2" w14:textId="77777777">
      <w:pPr>
        <w:tabs>
          <w:tab w:val="left" w:pos="657"/>
        </w:tabs>
        <w:rPr>
          <w:rFonts w:ascii="Arial" w:eastAsia="Arial" w:hAnsi="Arial" w:cs="Arial"/>
          <w:b/>
          <w:u w:val="single"/>
        </w:rPr>
      </w:pPr>
      <w:r>
        <w:rPr>
          <w:rFonts w:ascii="Arial" w:eastAsia="Arial" w:hAnsi="Arial" w:cs="Arial"/>
        </w:rPr>
        <w:t>Not applicable to this information collection.</w:t>
      </w:r>
    </w:p>
    <w:p w:rsidR="00D26D2D" w14:paraId="648FB51C" w14:textId="77777777">
      <w:pPr>
        <w:tabs>
          <w:tab w:val="left" w:pos="657"/>
        </w:tabs>
        <w:rPr>
          <w:rFonts w:ascii="Arial" w:eastAsia="Arial" w:hAnsi="Arial" w:cs="Arial"/>
          <w:b/>
          <w:highlight w:val="yellow"/>
          <w:u w:val="single"/>
        </w:rPr>
      </w:pPr>
    </w:p>
    <w:p w:rsidR="00D26D2D" w14:paraId="7823DCD1" w14:textId="77777777">
      <w:pPr>
        <w:tabs>
          <w:tab w:val="left" w:pos="657"/>
        </w:tabs>
        <w:rPr>
          <w:rFonts w:ascii="Arial" w:eastAsia="Arial" w:hAnsi="Arial" w:cs="Arial"/>
          <w:b/>
          <w:u w:val="single"/>
        </w:rPr>
      </w:pPr>
      <w:r>
        <w:rPr>
          <w:rFonts w:ascii="Arial" w:eastAsia="Arial" w:hAnsi="Arial" w:cs="Arial"/>
          <w:b/>
          <w:u w:val="single"/>
        </w:rPr>
        <w:t>14. Estimated Cost of the Government</w:t>
      </w:r>
    </w:p>
    <w:p w:rsidR="00D26D2D" w14:paraId="12DB427A" w14:textId="77777777">
      <w:pPr>
        <w:widowControl/>
        <w:spacing w:before="240" w:line="276" w:lineRule="auto"/>
        <w:rPr>
          <w:rFonts w:ascii="Arial" w:eastAsia="Arial" w:hAnsi="Arial" w:cs="Arial"/>
        </w:rPr>
      </w:pPr>
      <w:r>
        <w:rPr>
          <w:rFonts w:ascii="Arial" w:eastAsia="Arial" w:hAnsi="Arial" w:cs="Arial"/>
        </w:rPr>
        <w:t xml:space="preserve">The estimated total cost to the Government is $16,650. This estimate is based on the following: </w:t>
      </w:r>
    </w:p>
    <w:p w:rsidR="00D26D2D" w14:paraId="0092023D" w14:textId="77777777">
      <w:pPr>
        <w:widowControl/>
        <w:spacing w:before="240" w:line="276" w:lineRule="auto"/>
        <w:rPr>
          <w:rFonts w:ascii="Arial" w:eastAsia="Arial" w:hAnsi="Arial" w:cs="Arial"/>
        </w:rPr>
      </w:pPr>
      <w:r>
        <w:rPr>
          <w:rFonts w:ascii="Arial" w:eastAsia="Arial" w:hAnsi="Arial" w:cs="Arial"/>
        </w:rPr>
        <w:t xml:space="preserve">Estimated total # of submissions (year)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10          Estimated review time per submission (hours)                    </w:t>
      </w:r>
      <w:r>
        <w:rPr>
          <w:rFonts w:ascii="Arial" w:eastAsia="Arial" w:hAnsi="Arial" w:cs="Arial"/>
        </w:rPr>
        <w:tab/>
        <w:t xml:space="preserve">                         </w:t>
      </w:r>
      <w:r>
        <w:rPr>
          <w:rFonts w:ascii="Arial" w:eastAsia="Arial" w:hAnsi="Arial" w:cs="Arial"/>
          <w:u w:val="single"/>
        </w:rPr>
        <w:t xml:space="preserve"> x  20     </w:t>
      </w:r>
      <w:r>
        <w:rPr>
          <w:rFonts w:ascii="Arial" w:eastAsia="Arial" w:hAnsi="Arial" w:cs="Arial"/>
        </w:rPr>
        <w:t xml:space="preserve">Estimated total review time per year (hours)                                      </w:t>
      </w:r>
      <w:r>
        <w:rPr>
          <w:rFonts w:ascii="Arial" w:eastAsia="Arial" w:hAnsi="Arial" w:cs="Arial"/>
        </w:rPr>
        <w:tab/>
        <w:t xml:space="preserve">                 200 </w:t>
      </w:r>
    </w:p>
    <w:p w:rsidR="00D26D2D" w14:paraId="7C6C8F4F" w14:textId="77777777">
      <w:pPr>
        <w:widowControl/>
        <w:spacing w:before="240" w:line="276" w:lineRule="auto"/>
        <w:rPr>
          <w:rFonts w:ascii="Arial" w:eastAsia="Arial" w:hAnsi="Arial" w:cs="Arial"/>
          <w:u w:val="single"/>
        </w:rPr>
      </w:pPr>
      <w:r>
        <w:rPr>
          <w:rFonts w:ascii="Arial" w:eastAsia="Arial" w:hAnsi="Arial" w:cs="Arial"/>
        </w:rPr>
        <w:t xml:space="preserve"> Estimated cost per hour*            </w:t>
      </w:r>
      <w:r>
        <w:rPr>
          <w:rFonts w:ascii="Arial" w:eastAsia="Arial" w:hAnsi="Arial" w:cs="Arial"/>
        </w:rPr>
        <w:tab/>
        <w:t xml:space="preserve">                                                 </w:t>
      </w:r>
      <w:r>
        <w:rPr>
          <w:rFonts w:ascii="Arial" w:eastAsia="Arial" w:hAnsi="Arial" w:cs="Arial"/>
        </w:rPr>
        <w:tab/>
        <w:t xml:space="preserve">         </w:t>
      </w:r>
      <w:r>
        <w:rPr>
          <w:rFonts w:ascii="Arial" w:eastAsia="Arial" w:hAnsi="Arial" w:cs="Arial"/>
          <w:u w:val="single"/>
        </w:rPr>
        <w:t xml:space="preserve"> x $83.25</w:t>
      </w:r>
    </w:p>
    <w:p w:rsidR="00D26D2D" w14:paraId="6BC2CFE5" w14:textId="77777777">
      <w:pPr>
        <w:widowControl/>
        <w:spacing w:before="240" w:line="276" w:lineRule="auto"/>
        <w:rPr>
          <w:rFonts w:ascii="Arial" w:eastAsia="Arial" w:hAnsi="Arial" w:cs="Arial"/>
        </w:rPr>
      </w:pPr>
      <w:r>
        <w:rPr>
          <w:rFonts w:ascii="Arial" w:eastAsia="Arial" w:hAnsi="Arial" w:cs="Arial"/>
        </w:rPr>
        <w:t>Total estimated annual cost to the Government                                            $16,650</w:t>
      </w:r>
    </w:p>
    <w:p w:rsidR="00D26D2D" w14:paraId="2BAE75DC" w14:textId="77777777">
      <w:pPr>
        <w:widowControl/>
        <w:spacing w:before="240" w:line="276" w:lineRule="auto"/>
        <w:rPr>
          <w:rFonts w:ascii="Arial" w:eastAsia="Arial" w:hAnsi="Arial" w:cs="Arial"/>
          <w:highlight w:val="yellow"/>
        </w:rPr>
      </w:pPr>
      <w:r>
        <w:rPr>
          <w:rFonts w:ascii="Arial" w:eastAsia="Arial" w:hAnsi="Arial" w:cs="Arial"/>
        </w:rPr>
        <w:t>**The estimated cost per hour is based on the Office of Personnel Management (OPM) GS-14, Step 5 salary of $67.63 per hour (see OPM Salary Table 2025-GS, Effective January 2025), plus a fringe factor of 36.25% ($15.62) (see OMB Memo M-08-13 for use in public-private competition), which results in an hourly rate of $83.25.</w:t>
      </w:r>
    </w:p>
    <w:p w:rsidR="00D26D2D" w14:paraId="5EEC4187" w14:textId="77777777">
      <w:pPr>
        <w:tabs>
          <w:tab w:val="left" w:pos="657"/>
        </w:tabs>
        <w:rPr>
          <w:rFonts w:ascii="Arial" w:eastAsia="Arial" w:hAnsi="Arial" w:cs="Arial"/>
          <w:highlight w:val="yellow"/>
          <w:u w:val="single"/>
        </w:rPr>
      </w:pPr>
    </w:p>
    <w:p w:rsidR="00D26D2D" w14:paraId="289AB242" w14:textId="77777777">
      <w:pPr>
        <w:tabs>
          <w:tab w:val="left" w:pos="657"/>
        </w:tabs>
        <w:rPr>
          <w:rFonts w:ascii="Arial" w:eastAsia="Arial" w:hAnsi="Arial" w:cs="Arial"/>
          <w:b/>
          <w:u w:val="single"/>
        </w:rPr>
      </w:pPr>
      <w:r>
        <w:rPr>
          <w:rFonts w:ascii="Arial" w:eastAsia="Arial" w:hAnsi="Arial" w:cs="Arial"/>
          <w:b/>
          <w:u w:val="single"/>
        </w:rPr>
        <w:t>15. Reasons for Changes.</w:t>
      </w:r>
    </w:p>
    <w:p w:rsidR="00D26D2D" w14:paraId="51B55C20" w14:textId="77777777">
      <w:pPr>
        <w:tabs>
          <w:tab w:val="left" w:pos="657"/>
        </w:tabs>
        <w:rPr>
          <w:rFonts w:ascii="Arial" w:eastAsia="Arial" w:hAnsi="Arial" w:cs="Arial"/>
        </w:rPr>
      </w:pPr>
    </w:p>
    <w:p w:rsidR="00D26D2D" w14:paraId="359C22C6" w14:textId="77777777">
      <w:pPr>
        <w:numPr>
          <w:ilvl w:val="0"/>
          <w:numId w:val="2"/>
        </w:numPr>
        <w:tabs>
          <w:tab w:val="left" w:pos="657"/>
        </w:tabs>
        <w:rPr>
          <w:rFonts w:ascii="Arial" w:eastAsia="Arial" w:hAnsi="Arial" w:cs="Arial"/>
        </w:rPr>
      </w:pPr>
      <w:r>
        <w:rPr>
          <w:rFonts w:ascii="Arial" w:eastAsia="Arial" w:hAnsi="Arial" w:cs="Arial"/>
        </w:rPr>
        <w:t xml:space="preserve">The hourly rate was updated to reflect the rates effective January 2025, as opposed to January 2022. </w:t>
      </w:r>
    </w:p>
    <w:p w:rsidR="00D26D2D" w14:paraId="41EED607" w14:textId="77777777">
      <w:pPr>
        <w:tabs>
          <w:tab w:val="left" w:pos="657"/>
        </w:tabs>
        <w:ind w:left="720"/>
        <w:rPr>
          <w:rFonts w:ascii="Arial" w:eastAsia="Arial" w:hAnsi="Arial" w:cs="Arial"/>
          <w:highlight w:val="yellow"/>
        </w:rPr>
      </w:pPr>
    </w:p>
    <w:p w:rsidR="00D26D2D" w14:paraId="0295AB0E" w14:textId="77777777">
      <w:pPr>
        <w:tabs>
          <w:tab w:val="left" w:pos="657"/>
        </w:tabs>
        <w:rPr>
          <w:rFonts w:ascii="Arial" w:eastAsia="Arial" w:hAnsi="Arial" w:cs="Arial"/>
          <w:b/>
          <w:u w:val="single"/>
        </w:rPr>
      </w:pPr>
    </w:p>
    <w:p w:rsidR="00D26D2D" w14:paraId="42CFE9C3" w14:textId="77777777">
      <w:pPr>
        <w:tabs>
          <w:tab w:val="left" w:pos="657"/>
        </w:tabs>
        <w:rPr>
          <w:rFonts w:ascii="Arial" w:eastAsia="Arial" w:hAnsi="Arial" w:cs="Arial"/>
        </w:rPr>
      </w:pPr>
      <w:r>
        <w:rPr>
          <w:rFonts w:ascii="Arial" w:eastAsia="Arial" w:hAnsi="Arial" w:cs="Arial"/>
          <w:b/>
          <w:u w:val="single"/>
        </w:rPr>
        <w:t>16. Publicizing Results.</w:t>
      </w:r>
    </w:p>
    <w:p w:rsidR="00D26D2D" w14:paraId="3D47C817" w14:textId="77777777">
      <w:pPr>
        <w:pBdr>
          <w:top w:val="nil"/>
          <w:left w:val="nil"/>
          <w:bottom w:val="nil"/>
          <w:right w:val="nil"/>
          <w:between w:val="nil"/>
        </w:pBdr>
        <w:tabs>
          <w:tab w:val="left" w:pos="657"/>
        </w:tabs>
        <w:rPr>
          <w:rFonts w:ascii="Arial" w:eastAsia="Arial" w:hAnsi="Arial" w:cs="Arial"/>
        </w:rPr>
      </w:pPr>
    </w:p>
    <w:p w:rsidR="00D26D2D" w14:paraId="05D3FA91"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Results of this information collection will not be published. Information collected is used for internal purposes only.</w:t>
      </w:r>
    </w:p>
    <w:p w:rsidR="00D26D2D" w14:paraId="304048D8" w14:textId="77777777">
      <w:pPr>
        <w:pBdr>
          <w:top w:val="nil"/>
          <w:left w:val="nil"/>
          <w:bottom w:val="nil"/>
          <w:right w:val="nil"/>
          <w:between w:val="nil"/>
        </w:pBdr>
        <w:tabs>
          <w:tab w:val="left" w:pos="657"/>
        </w:tabs>
        <w:rPr>
          <w:rFonts w:ascii="Arial" w:eastAsia="Arial" w:hAnsi="Arial" w:cs="Arial"/>
          <w:highlight w:val="yellow"/>
        </w:rPr>
      </w:pPr>
    </w:p>
    <w:p w:rsidR="00D26D2D" w14:paraId="2D375AD7"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17. OMB Not to Display Approval.</w:t>
      </w:r>
      <w:r>
        <w:rPr>
          <w:rFonts w:ascii="Arial" w:eastAsia="Arial" w:hAnsi="Arial" w:cs="Arial"/>
        </w:rPr>
        <w:t xml:space="preserve"> </w:t>
      </w:r>
    </w:p>
    <w:p w:rsidR="00D26D2D" w14:paraId="3FA4B1D0" w14:textId="77777777">
      <w:pPr>
        <w:pBdr>
          <w:top w:val="nil"/>
          <w:left w:val="nil"/>
          <w:bottom w:val="nil"/>
          <w:right w:val="nil"/>
          <w:between w:val="nil"/>
        </w:pBdr>
        <w:tabs>
          <w:tab w:val="left" w:pos="657"/>
        </w:tabs>
        <w:rPr>
          <w:rFonts w:ascii="Arial" w:eastAsia="Arial" w:hAnsi="Arial" w:cs="Arial"/>
        </w:rPr>
      </w:pPr>
    </w:p>
    <w:p w:rsidR="00D26D2D" w14:paraId="2C464BE2"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is not seeking such approval for this collection.</w:t>
      </w:r>
    </w:p>
    <w:p w:rsidR="00D26D2D" w14:paraId="1FD9F658" w14:textId="77777777">
      <w:pPr>
        <w:pBdr>
          <w:top w:val="nil"/>
          <w:left w:val="nil"/>
          <w:bottom w:val="nil"/>
          <w:right w:val="nil"/>
          <w:between w:val="nil"/>
        </w:pBdr>
        <w:tabs>
          <w:tab w:val="left" w:pos="657"/>
        </w:tabs>
        <w:rPr>
          <w:rFonts w:ascii="Arial" w:eastAsia="Arial" w:hAnsi="Arial" w:cs="Arial"/>
        </w:rPr>
      </w:pPr>
    </w:p>
    <w:p w:rsidR="00D26D2D" w14:paraId="07CC4E43" w14:textId="77777777">
      <w:pPr>
        <w:tabs>
          <w:tab w:val="left" w:pos="657"/>
        </w:tabs>
        <w:rPr>
          <w:rFonts w:ascii="Arial" w:eastAsia="Arial" w:hAnsi="Arial" w:cs="Arial"/>
        </w:rPr>
      </w:pPr>
      <w:r>
        <w:rPr>
          <w:rFonts w:ascii="Arial" w:eastAsia="Arial" w:hAnsi="Arial" w:cs="Arial"/>
          <w:b/>
          <w:u w:val="single"/>
        </w:rPr>
        <w:t>18. Exceptions to “Certification for Paperwork Reduction Submissions”.</w:t>
      </w:r>
    </w:p>
    <w:p w:rsidR="00D26D2D" w14:paraId="43E30DF9" w14:textId="77777777">
      <w:pPr>
        <w:pBdr>
          <w:top w:val="nil"/>
          <w:left w:val="nil"/>
          <w:bottom w:val="nil"/>
          <w:right w:val="nil"/>
          <w:between w:val="nil"/>
        </w:pBdr>
        <w:tabs>
          <w:tab w:val="left" w:pos="657"/>
        </w:tabs>
        <w:rPr>
          <w:rFonts w:ascii="Arial" w:eastAsia="Arial" w:hAnsi="Arial" w:cs="Arial"/>
        </w:rPr>
      </w:pPr>
    </w:p>
    <w:p w:rsidR="00D26D2D" w14:paraId="789BD4AF"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has no exceptions to the certification statement.</w:t>
      </w:r>
    </w:p>
    <w:p w:rsidR="00D26D2D" w14:paraId="0D3B2581" w14:textId="77777777">
      <w:pPr>
        <w:pBdr>
          <w:top w:val="nil"/>
          <w:left w:val="nil"/>
          <w:bottom w:val="nil"/>
          <w:right w:val="nil"/>
          <w:between w:val="nil"/>
        </w:pBdr>
        <w:tabs>
          <w:tab w:val="left" w:pos="657"/>
        </w:tabs>
        <w:rPr>
          <w:rFonts w:ascii="Arial" w:eastAsia="Arial" w:hAnsi="Arial" w:cs="Arial"/>
        </w:rPr>
      </w:pPr>
    </w:p>
    <w:p w:rsidR="00D26D2D" w14:paraId="311A76F1"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19. Surveys, Censuses, and Other Collections that Employ Statistical Methods.</w:t>
      </w:r>
    </w:p>
    <w:p w:rsidR="00D26D2D" w14:paraId="5F51D46A" w14:textId="77777777">
      <w:pPr>
        <w:pBdr>
          <w:top w:val="nil"/>
          <w:left w:val="nil"/>
          <w:bottom w:val="nil"/>
          <w:right w:val="nil"/>
          <w:between w:val="nil"/>
        </w:pBdr>
        <w:tabs>
          <w:tab w:val="left" w:pos="657"/>
        </w:tabs>
        <w:rPr>
          <w:rFonts w:ascii="Arial" w:eastAsia="Arial" w:hAnsi="Arial" w:cs="Arial"/>
        </w:rPr>
      </w:pPr>
    </w:p>
    <w:p w:rsidR="00D26D2D" w14:paraId="614ED0AE"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Surveys, censuses or statistical methods are not used for this information collection.</w:t>
      </w:r>
    </w:p>
    <w:sectPr>
      <w:headerReference w:type="default" r:id="rId4"/>
      <w:footerReference w:type="default" r:id="rId5"/>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D2D" w14:paraId="3D699AD3" w14:textId="77777777">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D2D" w14:paraId="3C1955A0" w14:textId="77777777">
    <w:pPr>
      <w:widowControl/>
      <w:tabs>
        <w:tab w:val="right" w:pos="10080"/>
      </w:tabs>
      <w:ind w:left="-720" w:right="-720"/>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F627BB"/>
    <w:multiLevelType w:val="multilevel"/>
    <w:tmpl w:val="90B6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89F52AB"/>
    <w:multiLevelType w:val="multilevel"/>
    <w:tmpl w:val="55CE3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0486233">
    <w:abstractNumId w:val="0"/>
  </w:num>
  <w:num w:numId="2" w16cid:durableId="108556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2D"/>
    <w:rsid w:val="00031953"/>
    <w:rsid w:val="000B07B6"/>
    <w:rsid w:val="00165200"/>
    <w:rsid w:val="004E1724"/>
    <w:rsid w:val="00716B82"/>
    <w:rsid w:val="00D26D2D"/>
    <w:rsid w:val="00DE550C"/>
    <w:rsid w:val="00F66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401B3"/>
  <w15:docId w15:val="{1A1831B8-9DCD-41D0-B3A0-2A3FF55E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Pr>
  </w:style>
  <w:style w:type="table" w:customStyle="1" w:styleId="a0">
    <w:name w:val="a0"/>
    <w:basedOn w:val="TableNormal0"/>
    <w:tblPr>
      <w:tblStyleRowBandSize w:val="1"/>
      <w:tblStyleColBandSize w:val="1"/>
      <w:tblCellMar>
        <w:top w:w="100" w:type="dxa"/>
        <w:left w:w="100" w:type="dxa"/>
        <w:bottom w:w="100" w:type="dxa"/>
        <w:right w:w="100" w:type="dxa"/>
      </w:tblCellMar>
    </w:tblPr>
  </w:style>
  <w:style w:type="table" w:customStyle="1" w:styleId="a1">
    <w:name w:val="a1"/>
    <w:basedOn w:val="TableNormal0"/>
    <w:tblPr>
      <w:tblStyleRowBandSize w:val="1"/>
      <w:tblStyleColBandSize w:val="1"/>
      <w:tblCellMar>
        <w:top w:w="100" w:type="dxa"/>
        <w:left w:w="100" w:type="dxa"/>
        <w:bottom w:w="100" w:type="dxa"/>
        <w:right w:w="100" w:type="dxa"/>
      </w:tblCellMar>
    </w:tblPr>
  </w:style>
  <w:style w:type="table" w:customStyle="1" w:styleId="a2">
    <w:name w:val="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4</cp:revision>
  <dcterms:created xsi:type="dcterms:W3CDTF">2025-11-18T13:48:00Z</dcterms:created>
  <dcterms:modified xsi:type="dcterms:W3CDTF">2025-12-17T15:49:00Z</dcterms:modified>
</cp:coreProperties>
</file>