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D1294" w:rsidRPr="00EA6C04" w:rsidP="00EA6C04" w14:paraId="02A9C400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14:paraId="45D0F21E" w14:textId="1DCE97AD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Mandatory Toy Safety Standards: </w:t>
      </w:r>
      <w:r>
        <w:rPr>
          <w:rFonts w:asciiTheme="majorHAnsi" w:hAnsiTheme="majorHAnsi"/>
          <w:sz w:val="24"/>
        </w:rPr>
        <w:br/>
      </w:r>
      <w:r w:rsidR="006431F7">
        <w:rPr>
          <w:rFonts w:asciiTheme="majorHAnsi" w:hAnsiTheme="majorHAnsi"/>
          <w:sz w:val="24"/>
        </w:rPr>
        <w:t xml:space="preserve">Requirements for </w:t>
      </w:r>
      <w:r>
        <w:rPr>
          <w:rFonts w:asciiTheme="majorHAnsi" w:hAnsiTheme="majorHAnsi"/>
          <w:sz w:val="24"/>
        </w:rPr>
        <w:t>Neck Floats</w:t>
      </w:r>
      <w:r w:rsidRPr="00370DDD">
        <w:rPr>
          <w:rFonts w:asciiTheme="majorHAnsi" w:hAnsiTheme="majorHAnsi"/>
          <w:sz w:val="24"/>
        </w:rPr>
        <w:t xml:space="preserve"> </w:t>
      </w:r>
      <w:r w:rsidR="00370DDD">
        <w:rPr>
          <w:rFonts w:asciiTheme="majorHAnsi" w:hAnsiTheme="majorHAnsi"/>
          <w:sz w:val="24"/>
          <w:highlight w:val="yellow"/>
        </w:rPr>
        <w:br/>
      </w:r>
      <w:r w:rsidRPr="00257138">
        <w:rPr>
          <w:rFonts w:asciiTheme="majorHAnsi" w:hAnsiTheme="majorHAnsi"/>
          <w:sz w:val="24"/>
        </w:rPr>
        <w:t>OMB Control Number</w:t>
      </w:r>
      <w:r w:rsidR="0063532B">
        <w:rPr>
          <w:rFonts w:asciiTheme="majorHAnsi" w:hAnsiTheme="majorHAnsi"/>
          <w:sz w:val="24"/>
        </w:rPr>
        <w:t xml:space="preserve"> 3041-0211</w:t>
      </w:r>
    </w:p>
    <w:p w:rsidR="00340D9B" w:rsidP="006E563D" w14:paraId="7BE532A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F217B2" w14:paraId="6BC3C06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021F12" w:rsidRPr="00F217B2" w:rsidP="00F217B2" w14:paraId="6723D65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6E563D" w14:paraId="4FB9A2C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1FA6D1A9" w14:textId="64F93C3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370DDD" w:rsidP="00370DDD" w14:paraId="726BC981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</w:rPr>
      </w:pPr>
    </w:p>
    <w:p w:rsidR="00CB2CF9" w:rsidP="00F40CC9" w14:paraId="25C99B98" w14:textId="051DA5C7">
      <w:pPr>
        <w:pStyle w:val="NormalWeb"/>
        <w:spacing w:line="288" w:lineRule="atLeast"/>
        <w:rPr>
          <w:rFonts w:asciiTheme="majorHAnsi" w:hAnsiTheme="majorHAnsi" w:cs="Melior"/>
        </w:rPr>
      </w:pPr>
      <w:r w:rsidRPr="00475D66">
        <w:rPr>
          <w:rFonts w:asciiTheme="majorHAnsi" w:hAnsiTheme="majorHAnsi" w:cs="Melior"/>
        </w:rPr>
        <w:t xml:space="preserve">The U.S. Consumer Product Safety Commission (CPSC or Commission) has promulgated a final rule that sets forth requirements for </w:t>
      </w:r>
      <w:r w:rsidR="000B06E8">
        <w:rPr>
          <w:rFonts w:asciiTheme="majorHAnsi" w:hAnsiTheme="majorHAnsi" w:cs="Melior"/>
        </w:rPr>
        <w:t>neck floats</w:t>
      </w:r>
      <w:r w:rsidRPr="00475D66">
        <w:rPr>
          <w:rFonts w:asciiTheme="majorHAnsi" w:hAnsiTheme="majorHAnsi" w:cs="Melior"/>
        </w:rPr>
        <w:t>.</w:t>
      </w:r>
      <w:r w:rsidR="00917185">
        <w:rPr>
          <w:rFonts w:asciiTheme="majorHAnsi" w:hAnsiTheme="majorHAnsi" w:cs="Melior"/>
        </w:rPr>
        <w:t xml:space="preserve"> </w:t>
      </w:r>
      <w:r w:rsidRPr="00C667EE" w:rsidR="00917185">
        <w:rPr>
          <w:rFonts w:asciiTheme="majorHAnsi" w:hAnsiTheme="majorHAnsi" w:cs="Melior"/>
        </w:rPr>
        <w:t>90 FR 5</w:t>
      </w:r>
      <w:r w:rsidR="00F40CC9">
        <w:rPr>
          <w:rFonts w:asciiTheme="majorHAnsi" w:hAnsiTheme="majorHAnsi" w:cs="Melior"/>
        </w:rPr>
        <w:t>8096</w:t>
      </w:r>
      <w:r w:rsidR="00917185">
        <w:rPr>
          <w:rFonts w:asciiTheme="majorHAnsi" w:hAnsiTheme="majorHAnsi" w:cs="Melior"/>
        </w:rPr>
        <w:t xml:space="preserve"> (Dec. 1</w:t>
      </w:r>
      <w:r w:rsidR="00F40CC9">
        <w:rPr>
          <w:rFonts w:asciiTheme="majorHAnsi" w:hAnsiTheme="majorHAnsi" w:cs="Melior"/>
        </w:rPr>
        <w:t>5</w:t>
      </w:r>
      <w:r w:rsidR="00917185">
        <w:rPr>
          <w:rFonts w:asciiTheme="majorHAnsi" w:hAnsiTheme="majorHAnsi" w:cs="Melior"/>
        </w:rPr>
        <w:t xml:space="preserve">, 2025). </w:t>
      </w:r>
      <w:r w:rsidRPr="00475D66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This rule contains information</w:t>
      </w:r>
      <w:r w:rsidR="00D52997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collection requirements that are subject</w:t>
      </w:r>
      <w:r w:rsidR="00A8108C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to public comment and review by the</w:t>
      </w:r>
      <w:r w:rsidR="00A8108C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Office of Management and Budget</w:t>
      </w:r>
      <w:r w:rsidR="00A8108C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(OMB) under the Paperwork Reduction</w:t>
      </w:r>
      <w:r w:rsidR="00A8108C">
        <w:rPr>
          <w:rFonts w:asciiTheme="majorHAnsi" w:hAnsiTheme="majorHAnsi" w:cs="Melior"/>
        </w:rPr>
        <w:t xml:space="preserve"> </w:t>
      </w:r>
      <w:r w:rsidRPr="00A8108C" w:rsidR="00A8108C">
        <w:rPr>
          <w:rFonts w:asciiTheme="majorHAnsi" w:hAnsiTheme="majorHAnsi" w:cs="Melior"/>
        </w:rPr>
        <w:t>Act of 1995 (PRA; 44 U.S.C. 3501–3521).</w:t>
      </w:r>
      <w:r w:rsidR="00B312A2">
        <w:rPr>
          <w:rFonts w:asciiTheme="majorHAnsi" w:hAnsiTheme="majorHAnsi" w:cs="Melior"/>
        </w:rPr>
        <w:t xml:space="preserve"> </w:t>
      </w:r>
      <w:r w:rsidR="00F40CC9">
        <w:rPr>
          <w:rFonts w:asciiTheme="majorHAnsi" w:hAnsiTheme="majorHAnsi" w:cs="Melior"/>
        </w:rPr>
        <w:t xml:space="preserve"> The Commission is authorized to issue this final rule pursuant to both section 106(c) and (d) of the </w:t>
      </w:r>
      <w:r w:rsidR="00F40CC9">
        <w:rPr>
          <w:rFonts w:asciiTheme="majorHAnsi" w:hAnsiTheme="majorHAnsi"/>
        </w:rPr>
        <w:t xml:space="preserve">Consumer Product </w:t>
      </w:r>
      <w:r w:rsidR="00F40CC9">
        <w:rPr>
          <w:rFonts w:asciiTheme="majorHAnsi" w:hAnsiTheme="majorHAnsi"/>
        </w:rPr>
        <w:t>Safety Improvement</w:t>
      </w:r>
      <w:r w:rsidR="00F40CC9">
        <w:rPr>
          <w:rFonts w:asciiTheme="majorHAnsi" w:hAnsiTheme="majorHAnsi"/>
        </w:rPr>
        <w:t xml:space="preserve"> Act of 2008 (</w:t>
      </w:r>
      <w:r w:rsidR="00F40CC9">
        <w:rPr>
          <w:rFonts w:asciiTheme="majorHAnsi" w:hAnsiTheme="majorHAnsi" w:cs="Melior"/>
        </w:rPr>
        <w:t>CPSIA). 15 U.S.C. 2056b(c) and (d)</w:t>
      </w:r>
      <w:r w:rsidRPr="00E53B22" w:rsidR="00F40CC9">
        <w:rPr>
          <w:rFonts w:asciiTheme="majorHAnsi" w:hAnsiTheme="majorHAnsi" w:cs="Melior"/>
        </w:rPr>
        <w:t>.</w:t>
      </w:r>
      <w:r w:rsidR="00F40CC9">
        <w:rPr>
          <w:rFonts w:asciiTheme="majorHAnsi" w:hAnsiTheme="majorHAnsi" w:cs="Melior"/>
        </w:rPr>
        <w:t xml:space="preserve"> </w:t>
      </w:r>
    </w:p>
    <w:p w:rsidR="00B07539" w:rsidP="00A8108C" w14:paraId="2F845037" w14:textId="7DEB472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Fonts w:asciiTheme="majorHAnsi" w:hAnsiTheme="majorHAnsi" w:cs="Melior"/>
          <w:sz w:val="24"/>
          <w:szCs w:val="24"/>
        </w:rPr>
        <w:t xml:space="preserve">The Commission currently mandates that toys comply with the requirements of </w:t>
      </w:r>
      <w:r w:rsidRPr="00825079">
        <w:rPr>
          <w:rFonts w:asciiTheme="majorHAnsi" w:hAnsiTheme="majorHAnsi" w:cs="Melior"/>
          <w:sz w:val="24"/>
          <w:szCs w:val="24"/>
        </w:rPr>
        <w:t>ASTM F963</w:t>
      </w:r>
      <w:r>
        <w:rPr>
          <w:rFonts w:asciiTheme="majorHAnsi" w:hAnsiTheme="majorHAnsi" w:cs="Melior"/>
          <w:sz w:val="24"/>
          <w:szCs w:val="24"/>
        </w:rPr>
        <w:t>,</w:t>
      </w:r>
      <w:r w:rsidRPr="00825079">
        <w:rPr>
          <w:rFonts w:asciiTheme="majorHAnsi" w:hAnsiTheme="majorHAnsi" w:cs="Melior"/>
          <w:sz w:val="24"/>
          <w:szCs w:val="24"/>
        </w:rPr>
        <w:t xml:space="preserve"> </w:t>
      </w:r>
      <w:r>
        <w:rPr>
          <w:rFonts w:asciiTheme="majorHAnsi" w:hAnsiTheme="majorHAnsi" w:cs="Melior"/>
          <w:sz w:val="24"/>
          <w:szCs w:val="24"/>
        </w:rPr>
        <w:t xml:space="preserve">which </w:t>
      </w:r>
      <w:r w:rsidRPr="00825079">
        <w:rPr>
          <w:rFonts w:asciiTheme="majorHAnsi" w:hAnsiTheme="majorHAnsi" w:cs="Melior"/>
          <w:sz w:val="24"/>
          <w:szCs w:val="24"/>
        </w:rPr>
        <w:t>includes performance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requirements and test methods for toys,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as well as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requirements for warning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labels and instructional literature,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reduce or prevent injury to children or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death of children from mechanical,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chemical, and other hazards associated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with toy use. Toys must comply with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this standard pursuant to 16 CFR part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825079">
        <w:rPr>
          <w:rFonts w:asciiTheme="majorHAnsi" w:hAnsiTheme="majorHAnsi" w:cs="Melior"/>
          <w:sz w:val="24"/>
          <w:szCs w:val="24"/>
        </w:rPr>
        <w:t>1250.</w:t>
      </w:r>
    </w:p>
    <w:p w:rsidR="00EA5B80" w:rsidP="40BAE865" w14:paraId="104480D8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0B06E8" w:rsidP="40BAE865" w14:paraId="1BE4EC5E" w14:textId="29E272E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Fonts w:asciiTheme="majorHAnsi" w:hAnsiTheme="majorHAnsi" w:cs="Melior"/>
          <w:sz w:val="24"/>
          <w:szCs w:val="24"/>
        </w:rPr>
        <w:t>T</w:t>
      </w:r>
      <w:r w:rsidRPr="00966D3C" w:rsidR="00966D3C">
        <w:rPr>
          <w:rFonts w:asciiTheme="majorHAnsi" w:hAnsiTheme="majorHAnsi" w:cs="Melior"/>
          <w:sz w:val="24"/>
          <w:szCs w:val="24"/>
        </w:rPr>
        <w:t>he Commission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966D3C" w:rsidR="00966D3C">
        <w:rPr>
          <w:rFonts w:asciiTheme="majorHAnsi" w:hAnsiTheme="majorHAnsi" w:cs="Melior"/>
          <w:sz w:val="24"/>
          <w:szCs w:val="24"/>
        </w:rPr>
        <w:t xml:space="preserve">identified 115 incidents in </w:t>
      </w:r>
      <w:r>
        <w:rPr>
          <w:rFonts w:asciiTheme="majorHAnsi" w:hAnsiTheme="majorHAnsi" w:cs="Melior"/>
          <w:sz w:val="24"/>
          <w:szCs w:val="24"/>
        </w:rPr>
        <w:t xml:space="preserve">the </w:t>
      </w:r>
      <w:r w:rsidRPr="00966D3C" w:rsidR="00966D3C">
        <w:rPr>
          <w:rFonts w:asciiTheme="majorHAnsi" w:hAnsiTheme="majorHAnsi" w:cs="Melior"/>
          <w:sz w:val="24"/>
          <w:szCs w:val="24"/>
        </w:rPr>
        <w:t>Consumer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5A4703" w:rsidR="005A4703">
        <w:rPr>
          <w:rFonts w:asciiTheme="majorHAnsi" w:hAnsiTheme="majorHAnsi" w:cs="Melior"/>
          <w:sz w:val="24"/>
          <w:szCs w:val="24"/>
        </w:rPr>
        <w:t>Product Safety Risk</w:t>
      </w:r>
      <w:r w:rsidR="00EA5B80">
        <w:rPr>
          <w:rFonts w:asciiTheme="majorHAnsi" w:hAnsiTheme="majorHAnsi" w:cs="Melior"/>
          <w:sz w:val="24"/>
          <w:szCs w:val="24"/>
        </w:rPr>
        <w:t xml:space="preserve"> </w:t>
      </w:r>
      <w:r w:rsidRPr="005A4703" w:rsidR="005A4703">
        <w:rPr>
          <w:rFonts w:asciiTheme="majorHAnsi" w:hAnsiTheme="majorHAnsi" w:cs="Melior"/>
          <w:sz w:val="24"/>
          <w:szCs w:val="24"/>
        </w:rPr>
        <w:t>Management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5A4703" w:rsidR="005A4703">
        <w:rPr>
          <w:rFonts w:asciiTheme="majorHAnsi" w:hAnsiTheme="majorHAnsi" w:cs="Melior"/>
          <w:sz w:val="24"/>
          <w:szCs w:val="24"/>
        </w:rPr>
        <w:t>System (CPSRMS) associated with the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5A4703" w:rsidR="005A4703">
        <w:rPr>
          <w:rFonts w:asciiTheme="majorHAnsi" w:hAnsiTheme="majorHAnsi" w:cs="Melior"/>
          <w:sz w:val="24"/>
          <w:szCs w:val="24"/>
        </w:rPr>
        <w:t>use of neck floats between January 2019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5A4703" w:rsidR="005A4703">
        <w:rPr>
          <w:rFonts w:asciiTheme="majorHAnsi" w:hAnsiTheme="majorHAnsi" w:cs="Melior"/>
          <w:sz w:val="24"/>
          <w:szCs w:val="24"/>
        </w:rPr>
        <w:t>and January 2024.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The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Commission is aware of four hazard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patterns associated with the risk of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drowning: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(1) slip-through not associated wit</w:t>
      </w:r>
      <w:r w:rsidR="00692A8F">
        <w:rPr>
          <w:rFonts w:asciiTheme="majorHAnsi" w:hAnsiTheme="majorHAnsi" w:cs="Melior"/>
          <w:sz w:val="24"/>
          <w:szCs w:val="24"/>
        </w:rPr>
        <w:t xml:space="preserve">h </w:t>
      </w:r>
      <w:r w:rsidRPr="00CB2CF9" w:rsidR="00CB2CF9">
        <w:rPr>
          <w:rFonts w:asciiTheme="majorHAnsi" w:hAnsiTheme="majorHAnsi" w:cs="Melior"/>
          <w:sz w:val="24"/>
          <w:szCs w:val="24"/>
        </w:rPr>
        <w:t>inflation;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(2) slip-through associated wit</w:t>
      </w:r>
      <w:r w:rsidR="00692A8F">
        <w:rPr>
          <w:rFonts w:asciiTheme="majorHAnsi" w:hAnsiTheme="majorHAnsi" w:cs="Melior"/>
          <w:sz w:val="24"/>
          <w:szCs w:val="24"/>
        </w:rPr>
        <w:t xml:space="preserve">h </w:t>
      </w:r>
      <w:r w:rsidRPr="00CB2CF9" w:rsidR="00CB2CF9">
        <w:rPr>
          <w:rFonts w:asciiTheme="majorHAnsi" w:hAnsiTheme="majorHAnsi" w:cs="Melior"/>
          <w:sz w:val="24"/>
          <w:szCs w:val="24"/>
        </w:rPr>
        <w:t>inflation;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(3) slip-through associated with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restraint system failure; and</w:t>
      </w:r>
      <w:r w:rsidR="00692A8F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(4) submersion without slip-through.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The Commission is aware of 52</w:t>
      </w:r>
      <w:r w:rsidR="00545D02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reported incidents which involved an</w:t>
      </w:r>
      <w:r w:rsidR="00545D02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infant slipping through the product</w:t>
      </w:r>
      <w:r w:rsidR="00545D02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despite the neck float showing no signs</w:t>
      </w:r>
      <w:r w:rsidR="00545D02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of deflation, underinflation, or any other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B2CF9" w:rsidR="00CB2CF9">
        <w:rPr>
          <w:rFonts w:asciiTheme="majorHAnsi" w:hAnsiTheme="majorHAnsi" w:cs="Melior"/>
          <w:sz w:val="24"/>
          <w:szCs w:val="24"/>
        </w:rPr>
        <w:t>reported product issues.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The Commission is aware of 54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incidents where children slipped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through or had the potential to slip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through the neck opening because the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neck floats were more pliable or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compressible at lower pressure levels or</w:t>
      </w:r>
      <w:r w:rsidR="00C919B8">
        <w:rPr>
          <w:rFonts w:asciiTheme="majorHAnsi" w:hAnsiTheme="majorHAnsi" w:cs="Melior"/>
          <w:sz w:val="24"/>
          <w:szCs w:val="24"/>
        </w:rPr>
        <w:t xml:space="preserve"> </w:t>
      </w:r>
      <w:r w:rsidRPr="00C919B8" w:rsidR="00C919B8">
        <w:rPr>
          <w:rFonts w:asciiTheme="majorHAnsi" w:hAnsiTheme="majorHAnsi" w:cs="Melior"/>
          <w:sz w:val="24"/>
          <w:szCs w:val="24"/>
        </w:rPr>
        <w:t>deflated during use.</w:t>
      </w:r>
      <w:r w:rsidR="004E5A91">
        <w:rPr>
          <w:rFonts w:asciiTheme="majorHAnsi" w:hAnsiTheme="majorHAnsi" w:cs="Melior"/>
          <w:sz w:val="24"/>
          <w:szCs w:val="24"/>
        </w:rPr>
        <w:t xml:space="preserve"> </w:t>
      </w:r>
      <w:r w:rsidRPr="004E5A91" w:rsidR="004E5A91">
        <w:rPr>
          <w:rFonts w:asciiTheme="majorHAnsi" w:hAnsiTheme="majorHAnsi" w:cs="Melior"/>
          <w:sz w:val="24"/>
          <w:szCs w:val="24"/>
        </w:rPr>
        <w:t>The Commission is aware of one</w:t>
      </w:r>
      <w:r w:rsidR="004E5A91">
        <w:rPr>
          <w:rFonts w:asciiTheme="majorHAnsi" w:hAnsiTheme="majorHAnsi" w:cs="Melior"/>
          <w:sz w:val="24"/>
          <w:szCs w:val="24"/>
        </w:rPr>
        <w:t xml:space="preserve"> </w:t>
      </w:r>
      <w:r w:rsidRPr="004E5A91" w:rsidR="004E5A91">
        <w:rPr>
          <w:rFonts w:asciiTheme="majorHAnsi" w:hAnsiTheme="majorHAnsi" w:cs="Melior"/>
          <w:sz w:val="24"/>
          <w:szCs w:val="24"/>
        </w:rPr>
        <w:t>incident involving a 7-month-old infant,</w:t>
      </w:r>
      <w:r w:rsidR="004E5A91">
        <w:rPr>
          <w:rFonts w:asciiTheme="majorHAnsi" w:hAnsiTheme="majorHAnsi" w:cs="Melior"/>
          <w:sz w:val="24"/>
          <w:szCs w:val="24"/>
        </w:rPr>
        <w:t xml:space="preserve"> </w:t>
      </w:r>
      <w:r w:rsidRPr="004E5A91" w:rsidR="004E5A91">
        <w:rPr>
          <w:rFonts w:asciiTheme="majorHAnsi" w:hAnsiTheme="majorHAnsi" w:cs="Melior"/>
          <w:sz w:val="24"/>
          <w:szCs w:val="24"/>
        </w:rPr>
        <w:t>who slipped out of a neck float due to</w:t>
      </w:r>
      <w:r w:rsidR="004E5A91">
        <w:rPr>
          <w:rFonts w:asciiTheme="majorHAnsi" w:hAnsiTheme="majorHAnsi" w:cs="Melior"/>
          <w:sz w:val="24"/>
          <w:szCs w:val="24"/>
        </w:rPr>
        <w:t xml:space="preserve"> </w:t>
      </w:r>
      <w:r w:rsidRPr="004E5A91" w:rsidR="004E5A91">
        <w:rPr>
          <w:rFonts w:asciiTheme="majorHAnsi" w:hAnsiTheme="majorHAnsi" w:cs="Melior"/>
          <w:sz w:val="24"/>
          <w:szCs w:val="24"/>
        </w:rPr>
        <w:t>a latch/restraint failure.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The Commission is aware of at least</w:t>
      </w:r>
      <w:r w:rsidR="005A470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three incidents where children, ranging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in age from 3 months to 6 months old,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either tilted, rotated, and/or flipped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such that their faces contacted the water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while wearing neck floats without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slipping through the neck float and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without having a fastening or restraint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system failure, putting them at risk of</w:t>
      </w:r>
      <w:r w:rsidR="00A428B3">
        <w:rPr>
          <w:rFonts w:asciiTheme="majorHAnsi" w:hAnsiTheme="majorHAnsi" w:cs="Melior"/>
          <w:sz w:val="24"/>
          <w:szCs w:val="24"/>
        </w:rPr>
        <w:t xml:space="preserve"> </w:t>
      </w:r>
      <w:r w:rsidRPr="00A428B3" w:rsidR="00A428B3">
        <w:rPr>
          <w:rFonts w:asciiTheme="majorHAnsi" w:hAnsiTheme="majorHAnsi" w:cs="Melior"/>
          <w:sz w:val="24"/>
          <w:szCs w:val="24"/>
        </w:rPr>
        <w:t>drowning.</w:t>
      </w:r>
      <w:r w:rsidR="00EA5B80">
        <w:rPr>
          <w:rFonts w:asciiTheme="majorHAnsi" w:hAnsiTheme="majorHAnsi" w:cs="Melior"/>
          <w:sz w:val="24"/>
          <w:szCs w:val="24"/>
        </w:rPr>
        <w:t xml:space="preserve"> </w:t>
      </w:r>
      <w:r w:rsidR="00A202FB">
        <w:rPr>
          <w:rFonts w:asciiTheme="majorHAnsi" w:hAnsiTheme="majorHAnsi"/>
          <w:sz w:val="24"/>
        </w:rPr>
        <w:t>The incident data and hazard patterns cited support the information collection requirements of the final rule.</w:t>
      </w:r>
    </w:p>
    <w:p w:rsidR="00B07539" w:rsidP="00B07539" w14:paraId="18C2390E" w14:textId="34D0598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B312A2">
        <w:rPr>
          <w:rFonts w:asciiTheme="majorHAnsi" w:hAnsiTheme="majorHAnsi" w:cs="Melior"/>
          <w:sz w:val="24"/>
          <w:szCs w:val="24"/>
        </w:rPr>
        <w:t xml:space="preserve">CPSC is issuing </w:t>
      </w:r>
      <w:r w:rsidR="004D2F18">
        <w:rPr>
          <w:rFonts w:asciiTheme="majorHAnsi" w:hAnsiTheme="majorHAnsi" w:cs="Melior"/>
          <w:sz w:val="24"/>
          <w:szCs w:val="24"/>
        </w:rPr>
        <w:t>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final rule establishing additional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performance requirements specifically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for neck floats and revised labeling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requirements for neck floats to address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fatal hazards associated with neck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B312A2">
        <w:rPr>
          <w:rFonts w:asciiTheme="majorHAnsi" w:hAnsiTheme="majorHAnsi" w:cs="Melior"/>
          <w:sz w:val="24"/>
          <w:szCs w:val="24"/>
        </w:rPr>
        <w:t>floats.</w:t>
      </w:r>
      <w:r w:rsidR="004E21AF">
        <w:rPr>
          <w:rFonts w:asciiTheme="majorHAnsi" w:hAnsiTheme="majorHAnsi" w:cs="Melior"/>
          <w:sz w:val="24"/>
          <w:szCs w:val="24"/>
        </w:rPr>
        <w:t xml:space="preserve"> </w:t>
      </w:r>
    </w:p>
    <w:p w:rsidR="00B07539" w:rsidP="00B07539" w14:paraId="6E137B7D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5C7428" w:rsidRPr="0085688C" w:rsidP="00B009B0" w14:paraId="54CA8C2C" w14:textId="5624E4E0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</w:t>
      </w:r>
      <w:r w:rsidRPr="005C7428">
        <w:rPr>
          <w:rFonts w:asciiTheme="majorHAnsi" w:hAnsiTheme="majorHAnsi"/>
          <w:sz w:val="24"/>
          <w:u w:val="single"/>
        </w:rPr>
        <w:t xml:space="preserve">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5E669C" w:rsidP="00B009B0" w14:paraId="5B58448E" w14:textId="77777777">
      <w:pPr>
        <w:keepNext/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4F5191" w:rsidP="00B009B0" w14:paraId="31FCFF5F" w14:textId="0681C7B2">
      <w:pPr>
        <w:keepNext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A65095">
        <w:rPr>
          <w:rFonts w:asciiTheme="majorHAnsi" w:hAnsiTheme="majorHAnsi" w:cs="Melior"/>
          <w:sz w:val="24"/>
          <w:szCs w:val="24"/>
        </w:rPr>
        <w:t>The final rule includes marking,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A65095">
        <w:rPr>
          <w:rFonts w:asciiTheme="majorHAnsi" w:hAnsiTheme="majorHAnsi" w:cs="Melior"/>
          <w:sz w:val="24"/>
          <w:szCs w:val="24"/>
        </w:rPr>
        <w:t>labeling, and instructional literature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A65095">
        <w:rPr>
          <w:rFonts w:asciiTheme="majorHAnsi" w:hAnsiTheme="majorHAnsi" w:cs="Melior"/>
          <w:sz w:val="24"/>
          <w:szCs w:val="24"/>
        </w:rPr>
        <w:t>requirements.</w:t>
      </w:r>
      <w:r w:rsidR="00B009B0">
        <w:rPr>
          <w:rFonts w:asciiTheme="majorHAnsi" w:hAnsiTheme="majorHAnsi" w:cs="Melior"/>
          <w:sz w:val="24"/>
          <w:szCs w:val="24"/>
        </w:rPr>
        <w:t xml:space="preserve"> T</w:t>
      </w:r>
      <w:r w:rsidRPr="00A65095">
        <w:rPr>
          <w:rFonts w:asciiTheme="majorHAnsi" w:hAnsiTheme="majorHAnsi" w:cs="Melior"/>
          <w:sz w:val="24"/>
          <w:szCs w:val="24"/>
        </w:rPr>
        <w:t>he marking, labeling, and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B009B0" w:rsidR="00B009B0">
        <w:rPr>
          <w:rFonts w:asciiTheme="majorHAnsi" w:hAnsiTheme="majorHAnsi" w:cs="Melior"/>
          <w:sz w:val="24"/>
          <w:szCs w:val="24"/>
        </w:rPr>
        <w:t>instructional literature requirements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B009B0" w:rsidR="00B009B0">
        <w:rPr>
          <w:rFonts w:asciiTheme="majorHAnsi" w:hAnsiTheme="majorHAnsi" w:cs="Melior"/>
          <w:sz w:val="24"/>
          <w:szCs w:val="24"/>
        </w:rPr>
        <w:t>increase the likelihood of caregivers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B009B0" w:rsidR="00B009B0">
        <w:rPr>
          <w:rFonts w:asciiTheme="majorHAnsi" w:hAnsiTheme="majorHAnsi" w:cs="Melior"/>
          <w:sz w:val="24"/>
          <w:szCs w:val="24"/>
        </w:rPr>
        <w:t>being informed about the hazards and</w:t>
      </w:r>
      <w:r w:rsidR="00B009B0">
        <w:rPr>
          <w:rFonts w:asciiTheme="majorHAnsi" w:hAnsiTheme="majorHAnsi" w:cs="Melior"/>
          <w:sz w:val="24"/>
          <w:szCs w:val="24"/>
        </w:rPr>
        <w:t xml:space="preserve"> </w:t>
      </w:r>
      <w:r w:rsidRPr="00B009B0" w:rsidR="00B009B0">
        <w:rPr>
          <w:rFonts w:asciiTheme="majorHAnsi" w:hAnsiTheme="majorHAnsi" w:cs="Melior"/>
          <w:sz w:val="24"/>
          <w:szCs w:val="24"/>
        </w:rPr>
        <w:t>how to avoid the hazards.</w:t>
      </w:r>
      <w:r w:rsidR="00A07BE1">
        <w:rPr>
          <w:rFonts w:asciiTheme="majorHAnsi" w:hAnsiTheme="majorHAnsi" w:cs="Melior"/>
          <w:sz w:val="24"/>
          <w:szCs w:val="24"/>
        </w:rPr>
        <w:t xml:space="preserve"> (See Figure 1.)</w:t>
      </w:r>
    </w:p>
    <w:p w:rsidR="00A65095" w:rsidP="00A65095" w14:paraId="6CD837C8" w14:textId="7777777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9B6C0A" w:rsidP="00EC3476" w14:paraId="01E2675A" w14:textId="262924D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Figure 1: Warning for </w:t>
      </w:r>
      <w:r w:rsidR="008C6CFA">
        <w:rPr>
          <w:rFonts w:ascii="Times New Roman" w:hAnsi="Times New Roman" w:cs="Times New Roman"/>
          <w:b/>
          <w:color w:val="auto"/>
        </w:rPr>
        <w:t>Child Neck Floats. Image not to scale.</w:t>
      </w:r>
    </w:p>
    <w:p w:rsidR="009B6C0A" w:rsidP="00EC3476" w14:paraId="7B4DA8FE" w14:textId="37E358D4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388235"/>
            <wp:effectExtent l="0" t="0" r="0" b="0"/>
            <wp:docPr id="107349644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96441" name="Picture 1" descr="Text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289" w:rsidP="00EC3476" w14:paraId="629A6F4C" w14:textId="7777777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5C7428" w:rsidRPr="0085688C" w:rsidP="004B51CF" w14:paraId="4D415293" w14:textId="4461EA84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4619E" w:rsidP="004B51CF" w14:paraId="2B6C4676" w14:textId="77777777">
      <w:pPr>
        <w:keepNext/>
        <w:spacing w:after="0" w:line="240" w:lineRule="auto"/>
        <w:rPr>
          <w:rFonts w:asciiTheme="majorHAnsi" w:hAnsiTheme="majorHAnsi"/>
          <w:i/>
          <w:sz w:val="24"/>
        </w:rPr>
      </w:pPr>
    </w:p>
    <w:p w:rsidR="0034619E" w:rsidRPr="00BA11CF" w:rsidP="004B51CF" w14:paraId="73D7F8F4" w14:textId="54453497">
      <w:pPr>
        <w:keepNext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On-product warnings are not digital in nature</w:t>
      </w:r>
      <w:r w:rsidR="000C20F0">
        <w:rPr>
          <w:rFonts w:asciiTheme="majorHAnsi" w:hAnsiTheme="majorHAnsi"/>
          <w:sz w:val="24"/>
          <w:szCs w:val="24"/>
        </w:rPr>
        <w:t>;</w:t>
      </w:r>
      <w:r w:rsidR="005A532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however</w:t>
      </w:r>
      <w:r w:rsidR="00DD6289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7E2807">
        <w:rPr>
          <w:rFonts w:asciiTheme="majorHAnsi" w:hAnsiTheme="majorHAnsi"/>
          <w:sz w:val="24"/>
          <w:szCs w:val="24"/>
        </w:rPr>
        <w:t>CPSC staff utilizes appropriate forms of information technology, such as electronic communication, to reduce unnecessary burden.</w:t>
      </w:r>
    </w:p>
    <w:p w:rsidR="008635C4" w:rsidP="006E563D" w14:paraId="631708B7" w14:textId="289D08ED">
      <w:pPr>
        <w:spacing w:after="0" w:line="240" w:lineRule="auto"/>
        <w:rPr>
          <w:rFonts w:asciiTheme="majorHAnsi" w:hAnsiTheme="majorHAnsi"/>
          <w:i/>
          <w:sz w:val="24"/>
        </w:rPr>
      </w:pPr>
      <w:r w:rsidRPr="005C7428">
        <w:rPr>
          <w:rFonts w:asciiTheme="majorHAnsi" w:hAnsiTheme="majorHAnsi"/>
          <w:i/>
          <w:sz w:val="24"/>
        </w:rPr>
        <w:t xml:space="preserve"> </w:t>
      </w:r>
    </w:p>
    <w:p w:rsidR="008635C4" w:rsidRPr="0085688C" w:rsidP="006E563D" w14:paraId="05B649AC" w14:textId="07E18C6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4619E" w:rsidP="006E563D" w14:paraId="21475A9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2D462F54" w14:textId="2516B936">
      <w:pPr>
        <w:spacing w:after="0" w:line="240" w:lineRule="auto"/>
        <w:rPr>
          <w:rFonts w:asciiTheme="majorHAnsi" w:hAnsiTheme="majorHAnsi"/>
          <w:i/>
          <w:sz w:val="24"/>
        </w:rPr>
      </w:pPr>
      <w:r w:rsidRPr="0034619E">
        <w:rPr>
          <w:rFonts w:asciiTheme="majorHAnsi" w:hAnsiTheme="majorHAnsi"/>
          <w:sz w:val="24"/>
        </w:rPr>
        <w:t>The information obtained through this collection is unique and is not already available for use or adaptation from another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789273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25703505" w14:textId="2B65DF24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</w:p>
    <w:p w:rsidR="002567F9" w:rsidP="006E563D" w14:paraId="24742EF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E60E07" w:rsidP="00954E76" w14:paraId="75FB5B4E" w14:textId="7CA2D576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954E76">
        <w:rPr>
          <w:rFonts w:asciiTheme="majorHAnsi" w:hAnsiTheme="majorHAnsi" w:cs="Melior"/>
          <w:sz w:val="24"/>
          <w:szCs w:val="24"/>
        </w:rPr>
        <w:t>Small entities subject to this rule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954E76">
        <w:rPr>
          <w:rFonts w:asciiTheme="majorHAnsi" w:hAnsiTheme="majorHAnsi" w:cs="Melior"/>
          <w:sz w:val="24"/>
          <w:szCs w:val="24"/>
        </w:rPr>
        <w:t>include small businesses that supply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954E76">
        <w:rPr>
          <w:rFonts w:asciiTheme="majorHAnsi" w:hAnsiTheme="majorHAnsi" w:cs="Melior"/>
          <w:sz w:val="24"/>
          <w:szCs w:val="24"/>
        </w:rPr>
        <w:t>neck floats to the U.S. market, which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954E76">
        <w:rPr>
          <w:rFonts w:asciiTheme="majorHAnsi" w:hAnsiTheme="majorHAnsi" w:cs="Melior"/>
          <w:sz w:val="24"/>
          <w:szCs w:val="24"/>
        </w:rPr>
        <w:t>includes manufacturers and importers.</w:t>
      </w:r>
      <w:r w:rsidR="00261460">
        <w:rPr>
          <w:rFonts w:asciiTheme="majorHAnsi" w:hAnsiTheme="majorHAnsi" w:cs="Melior"/>
          <w:sz w:val="24"/>
          <w:szCs w:val="24"/>
        </w:rPr>
        <w:t xml:space="preserve"> These </w:t>
      </w:r>
      <w:r w:rsidR="000F11F1">
        <w:rPr>
          <w:rFonts w:asciiTheme="majorHAnsi" w:hAnsiTheme="majorHAnsi" w:cs="Melior"/>
          <w:sz w:val="24"/>
          <w:szCs w:val="24"/>
        </w:rPr>
        <w:t>small entities</w:t>
      </w:r>
      <w:r w:rsidR="00261460">
        <w:rPr>
          <w:rFonts w:asciiTheme="majorHAnsi" w:hAnsiTheme="majorHAnsi" w:cs="Melior"/>
          <w:sz w:val="24"/>
          <w:szCs w:val="24"/>
        </w:rPr>
        <w:t xml:space="preserve"> may b</w:t>
      </w:r>
      <w:r w:rsidR="0065245C">
        <w:rPr>
          <w:rFonts w:asciiTheme="majorHAnsi" w:hAnsiTheme="majorHAnsi" w:cs="Melior"/>
          <w:sz w:val="24"/>
          <w:szCs w:val="24"/>
        </w:rPr>
        <w:t xml:space="preserve">e </w:t>
      </w:r>
      <w:r w:rsidR="00261460">
        <w:rPr>
          <w:rFonts w:asciiTheme="majorHAnsi" w:hAnsiTheme="majorHAnsi" w:cs="Melior"/>
          <w:sz w:val="24"/>
          <w:szCs w:val="24"/>
        </w:rPr>
        <w:t>impacted by information collection burden.</w:t>
      </w:r>
    </w:p>
    <w:p w:rsidR="00954E76" w:rsidRPr="009337F6" w:rsidP="00954E76" w14:paraId="11AE410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4619E" w:rsidP="002B1F07" w14:paraId="35880442" w14:textId="629CBCF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B1F07">
        <w:rPr>
          <w:rFonts w:asciiTheme="majorHAnsi" w:hAnsiTheme="majorHAnsi"/>
          <w:sz w:val="24"/>
          <w:szCs w:val="24"/>
        </w:rPr>
        <w:t xml:space="preserve">To reduce the impact of the final rule on small firms, CPSC provides a variety of resources to help both new and experienced small businesses learn about safety requirements that apply to consumer products, including the CPSC Regulatory Robot </w:t>
      </w:r>
      <w:r w:rsidR="00221011">
        <w:rPr>
          <w:rFonts w:asciiTheme="majorHAnsi" w:hAnsiTheme="majorHAnsi"/>
          <w:sz w:val="24"/>
          <w:szCs w:val="24"/>
        </w:rPr>
        <w:t xml:space="preserve">and </w:t>
      </w:r>
      <w:r w:rsidRPr="002B1F07">
        <w:rPr>
          <w:rFonts w:asciiTheme="majorHAnsi" w:hAnsiTheme="majorHAnsi"/>
          <w:sz w:val="24"/>
          <w:szCs w:val="24"/>
        </w:rPr>
        <w:t xml:space="preserve">small business </w:t>
      </w:r>
      <w:r w:rsidRPr="002B1F07">
        <w:rPr>
          <w:rFonts w:asciiTheme="majorHAnsi" w:hAnsiTheme="majorHAnsi"/>
          <w:sz w:val="24"/>
          <w:szCs w:val="24"/>
        </w:rPr>
        <w:t xml:space="preserve">education videos. Many of these resources can be accessed online at: </w:t>
      </w:r>
      <w:hyperlink r:id="rId10" w:history="1">
        <w:r w:rsidRPr="002B1F07">
          <w:rPr>
            <w:rStyle w:val="Hyperlink"/>
            <w:rFonts w:asciiTheme="majorHAnsi" w:hAnsiTheme="majorHAnsi"/>
            <w:sz w:val="24"/>
            <w:szCs w:val="24"/>
          </w:rPr>
          <w:t>https://www.cpsc.gov/Business--Manufacturing/Small-Business-Resources</w:t>
        </w:r>
      </w:hyperlink>
      <w:r w:rsidRPr="002B1F07">
        <w:rPr>
          <w:rFonts w:asciiTheme="majorHAnsi" w:hAnsiTheme="majorHAnsi"/>
          <w:sz w:val="24"/>
          <w:szCs w:val="24"/>
        </w:rPr>
        <w:t>.</w:t>
      </w:r>
    </w:p>
    <w:p w:rsidR="002B1F07" w:rsidRPr="002B1F07" w:rsidP="002B1F07" w14:paraId="3B3C6880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2567F9" w:rsidRPr="0085688C" w:rsidP="00167C78" w14:paraId="183A88C8" w14:textId="7B702B41">
      <w:pPr>
        <w:keepNext/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45077" w:rsidP="00167C78" w14:paraId="333FB913" w14:textId="77777777">
      <w:pPr>
        <w:keepNext/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</w:rPr>
      </w:pPr>
    </w:p>
    <w:p w:rsidR="00CF52ED" w:rsidRPr="00CF52ED" w:rsidP="00167C78" w14:paraId="15DE048A" w14:textId="727920D5">
      <w:pPr>
        <w:keepNext/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the information collection is conducted less frequently this could reduce the effectiveness of the rule</w:t>
      </w:r>
      <w:r w:rsidRPr="00CF52ED">
        <w:rPr>
          <w:rFonts w:asciiTheme="majorHAnsi" w:hAnsiTheme="majorHAnsi"/>
          <w:sz w:val="24"/>
          <w:szCs w:val="24"/>
        </w:rPr>
        <w:t>.</w:t>
      </w:r>
    </w:p>
    <w:p w:rsidR="00F86C35" w:rsidP="006E563D" w14:paraId="0717A44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EA2FF4" w14:paraId="31051041" w14:textId="2C312968">
      <w:pPr>
        <w:keepNext/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P="00EA2FF4" w14:paraId="08E4788E" w14:textId="3B49ACD0">
      <w:pPr>
        <w:pStyle w:val="NormalWeb"/>
        <w:keepNext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A45077">
        <w:rPr>
          <w:rFonts w:asciiTheme="majorHAnsi" w:eastAsiaTheme="minorHAnsi" w:hAnsiTheme="majorHAnsi" w:cstheme="minorBidi"/>
          <w:szCs w:val="22"/>
        </w:rPr>
        <w:t>This collection of information does not require</w:t>
      </w:r>
      <w:r w:rsidR="00801AAC">
        <w:rPr>
          <w:rFonts w:asciiTheme="majorHAnsi" w:eastAsiaTheme="minorHAnsi" w:hAnsiTheme="majorHAnsi" w:cstheme="minorBidi"/>
          <w:szCs w:val="22"/>
        </w:rPr>
        <w:t xml:space="preserve"> the</w:t>
      </w:r>
      <w:r w:rsidRPr="00A45077">
        <w:rPr>
          <w:rFonts w:asciiTheme="majorHAnsi" w:eastAsiaTheme="minorHAnsi" w:hAnsiTheme="majorHAnsi" w:cstheme="minorBidi"/>
          <w:szCs w:val="22"/>
        </w:rPr>
        <w:t xml:space="preserve"> collection to be conducted in a manner inconsistent with the guidelines delineated in 5 CFR 1320.5(d)(2).</w:t>
      </w:r>
    </w:p>
    <w:p w:rsidR="00200261" w:rsidP="00200261" w14:paraId="3FF19D1A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P="00200261" w14:paraId="3324CD28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2E3DA7" w:rsidP="00B945D4" w14:paraId="010E5D90" w14:textId="7B01BD9D">
      <w:pPr>
        <w:pStyle w:val="NormalWeb"/>
        <w:spacing w:line="288" w:lineRule="atLeast"/>
        <w:rPr>
          <w:rFonts w:asciiTheme="majorHAnsi" w:hAnsiTheme="majorHAnsi"/>
        </w:rPr>
      </w:pPr>
      <w:r w:rsidRPr="00B945D4">
        <w:rPr>
          <w:rFonts w:asciiTheme="majorHAnsi" w:hAnsiTheme="majorHAnsi"/>
        </w:rPr>
        <w:t xml:space="preserve">The preamble to the </w:t>
      </w:r>
      <w:r w:rsidR="004E21AF">
        <w:rPr>
          <w:rFonts w:asciiTheme="majorHAnsi" w:hAnsiTheme="majorHAnsi"/>
        </w:rPr>
        <w:t>Notice of Proposed Rulemaking (</w:t>
      </w:r>
      <w:r w:rsidRPr="00B945D4">
        <w:rPr>
          <w:rFonts w:asciiTheme="majorHAnsi" w:hAnsiTheme="majorHAnsi"/>
        </w:rPr>
        <w:t>NPR</w:t>
      </w:r>
      <w:r w:rsidR="004E21AF">
        <w:rPr>
          <w:rFonts w:asciiTheme="majorHAnsi" w:hAnsiTheme="majorHAnsi"/>
        </w:rPr>
        <w:t>)</w:t>
      </w:r>
      <w:r w:rsidRPr="00B945D4">
        <w:rPr>
          <w:rFonts w:asciiTheme="majorHAnsi" w:hAnsiTheme="majorHAnsi"/>
        </w:rPr>
        <w:t xml:space="preserve"> discussed</w:t>
      </w:r>
      <w:r w:rsidR="00FF2D8D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 xml:space="preserve">the information </w:t>
      </w:r>
      <w:r w:rsidRPr="00B945D4">
        <w:rPr>
          <w:rFonts w:asciiTheme="majorHAnsi" w:hAnsiTheme="majorHAnsi"/>
        </w:rPr>
        <w:t>collection burden of the</w:t>
      </w:r>
      <w:r w:rsidR="00FF2D8D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rule and specifically requested</w:t>
      </w:r>
      <w:r w:rsidR="00FF2D8D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comments on the accuracy of CPSC’s</w:t>
      </w:r>
      <w:r w:rsidR="00FF2D8D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 xml:space="preserve">estimates. </w:t>
      </w:r>
      <w:r w:rsidRPr="002E3DA7">
        <w:rPr>
          <w:rFonts w:asciiTheme="majorHAnsi" w:hAnsiTheme="majorHAnsi"/>
        </w:rPr>
        <w:t>89 FR 91586</w:t>
      </w:r>
      <w:r>
        <w:rPr>
          <w:rFonts w:asciiTheme="majorHAnsi" w:hAnsiTheme="majorHAnsi"/>
        </w:rPr>
        <w:t xml:space="preserve"> (November 20, 2024). </w:t>
      </w:r>
      <w:r w:rsidRPr="00EB08B6">
        <w:rPr>
          <w:rFonts w:asciiTheme="majorHAnsi" w:hAnsiTheme="majorHAnsi"/>
        </w:rPr>
        <w:t>The NPR described the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provisions of the rule and provided an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estimate of the annual reporting burden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 xml:space="preserve">for the rule under the PRA. </w:t>
      </w:r>
      <w:r w:rsidRPr="00B945D4">
        <w:rPr>
          <w:rFonts w:asciiTheme="majorHAnsi" w:hAnsiTheme="majorHAnsi"/>
        </w:rPr>
        <w:t>The estimated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burden of this collection of information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 xml:space="preserve">is unchanged from the NPR. </w:t>
      </w:r>
    </w:p>
    <w:p w:rsidR="002B1ED4" w:rsidRPr="002B7EBB" w:rsidP="00B945D4" w14:paraId="339C4B27" w14:textId="0981D052">
      <w:pPr>
        <w:pStyle w:val="NormalWeb"/>
        <w:spacing w:line="288" w:lineRule="atLeast"/>
        <w:rPr>
          <w:rFonts w:asciiTheme="majorHAnsi" w:hAnsiTheme="majorHAnsi"/>
        </w:rPr>
      </w:pPr>
      <w:r w:rsidRPr="00B945D4">
        <w:rPr>
          <w:rFonts w:asciiTheme="majorHAnsi" w:hAnsiTheme="majorHAnsi"/>
        </w:rPr>
        <w:t>CPSC did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not receive any comments regarding the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information collection burden. OMB has assigned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hAnsiTheme="majorHAnsi"/>
        </w:rPr>
        <w:t>control number 3041–0211 for this</w:t>
      </w:r>
      <w:r w:rsidR="002B7EBB">
        <w:rPr>
          <w:rFonts w:asciiTheme="majorHAnsi" w:hAnsiTheme="majorHAnsi"/>
        </w:rPr>
        <w:t xml:space="preserve"> </w:t>
      </w:r>
      <w:r w:rsidRPr="00B945D4">
        <w:rPr>
          <w:rFonts w:asciiTheme="majorHAnsi" w:eastAsiaTheme="minorHAnsi" w:hAnsiTheme="majorHAnsi" w:cstheme="minorBidi"/>
          <w:szCs w:val="22"/>
        </w:rPr>
        <w:t>collection of information</w:t>
      </w:r>
      <w:r w:rsidR="002E3DA7">
        <w:rPr>
          <w:rFonts w:asciiTheme="majorHAnsi" w:eastAsiaTheme="minorHAnsi" w:hAnsiTheme="majorHAnsi" w:cstheme="minorBidi"/>
          <w:szCs w:val="22"/>
        </w:rPr>
        <w:t xml:space="preserve">.  </w:t>
      </w:r>
      <w:r>
        <w:rPr>
          <w:rFonts w:asciiTheme="majorHAnsi" w:eastAsiaTheme="minorHAnsi" w:hAnsiTheme="majorHAnsi" w:cstheme="minorBidi"/>
          <w:szCs w:val="22"/>
        </w:rPr>
        <w:t xml:space="preserve">The final rule </w:t>
      </w:r>
      <w:r>
        <w:rPr>
          <w:rFonts w:asciiTheme="majorHAnsi" w:eastAsiaTheme="minorHAnsi" w:hAnsiTheme="majorHAnsi" w:cstheme="minorBidi"/>
          <w:szCs w:val="22"/>
        </w:rPr>
        <w:t>published</w:t>
      </w:r>
      <w:r>
        <w:rPr>
          <w:rFonts w:asciiTheme="majorHAnsi" w:eastAsiaTheme="minorHAnsi" w:hAnsiTheme="majorHAnsi" w:cstheme="minorBidi"/>
          <w:szCs w:val="22"/>
        </w:rPr>
        <w:t xml:space="preserve"> to the Federal Register on </w:t>
      </w:r>
      <w:r w:rsidR="00AA0B4C">
        <w:rPr>
          <w:rFonts w:asciiTheme="majorHAnsi" w:eastAsiaTheme="minorHAnsi" w:hAnsiTheme="majorHAnsi" w:cstheme="minorBidi"/>
          <w:szCs w:val="22"/>
        </w:rPr>
        <w:t xml:space="preserve">Monday, December 15, 2025. 90 FR </w:t>
      </w:r>
      <w:r w:rsidR="003A3B3A">
        <w:rPr>
          <w:rFonts w:asciiTheme="majorHAnsi" w:eastAsiaTheme="minorHAnsi" w:hAnsiTheme="majorHAnsi" w:cstheme="minorBidi"/>
          <w:szCs w:val="22"/>
        </w:rPr>
        <w:t>58096</w:t>
      </w:r>
      <w:r w:rsidR="00AA0B4C">
        <w:rPr>
          <w:rFonts w:asciiTheme="majorHAnsi" w:eastAsiaTheme="minorHAnsi" w:hAnsiTheme="majorHAnsi" w:cstheme="minorBidi"/>
          <w:szCs w:val="22"/>
        </w:rPr>
        <w:t>.</w:t>
      </w:r>
    </w:p>
    <w:p w:rsidR="00200261" w:rsidP="00200261" w14:paraId="461404F8" w14:textId="38E3020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  <w:r w:rsidR="0085688C">
        <w:rPr>
          <w:rFonts w:asciiTheme="majorHAnsi" w:eastAsiaTheme="minorHAnsi" w:hAnsiTheme="majorHAnsi" w:cstheme="minorBidi"/>
          <w:szCs w:val="22"/>
        </w:rPr>
        <w:t xml:space="preserve"> </w:t>
      </w:r>
    </w:p>
    <w:p w:rsidR="00AD2FE5" w:rsidP="0061509A" w14:paraId="756C4D29" w14:textId="3844CDBC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61509A">
        <w:rPr>
          <w:rFonts w:asciiTheme="majorHAnsi" w:hAnsiTheme="majorHAnsi" w:cs="Melior"/>
          <w:sz w:val="24"/>
          <w:szCs w:val="24"/>
        </w:rPr>
        <w:t>Consistent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with the consultation requirement in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section 106(d)(1) of the CPSIA, staff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have worked with the ASTM F15.22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="002E3DA7">
        <w:rPr>
          <w:rFonts w:asciiTheme="majorHAnsi" w:hAnsiTheme="majorHAnsi" w:cs="Melior"/>
          <w:sz w:val="24"/>
          <w:szCs w:val="24"/>
        </w:rPr>
        <w:t>s</w:t>
      </w:r>
      <w:r w:rsidRPr="0061509A">
        <w:rPr>
          <w:rFonts w:asciiTheme="majorHAnsi" w:hAnsiTheme="majorHAnsi" w:cs="Melior"/>
          <w:sz w:val="24"/>
          <w:szCs w:val="24"/>
        </w:rPr>
        <w:t>ubcommittee</w:t>
      </w:r>
      <w:r w:rsidR="002E3DA7">
        <w:rPr>
          <w:rFonts w:asciiTheme="majorHAnsi" w:hAnsiTheme="majorHAnsi" w:cs="Melior"/>
          <w:sz w:val="24"/>
          <w:szCs w:val="24"/>
        </w:rPr>
        <w:t xml:space="preserve"> t</w:t>
      </w:r>
      <w:r w:rsidRPr="00AC4C47" w:rsidR="002E3DA7">
        <w:rPr>
          <w:rFonts w:asciiTheme="majorHAnsi" w:hAnsiTheme="majorHAnsi" w:cs="Melior"/>
          <w:sz w:val="24"/>
          <w:szCs w:val="24"/>
        </w:rPr>
        <w:t xml:space="preserve">ask </w:t>
      </w:r>
      <w:r w:rsidR="002E3DA7">
        <w:rPr>
          <w:rFonts w:asciiTheme="majorHAnsi" w:hAnsiTheme="majorHAnsi" w:cs="Melior"/>
          <w:sz w:val="24"/>
          <w:szCs w:val="24"/>
        </w:rPr>
        <w:t>g</w:t>
      </w:r>
      <w:r w:rsidRPr="00AC4C47" w:rsidR="002E3DA7">
        <w:rPr>
          <w:rFonts w:asciiTheme="majorHAnsi" w:hAnsiTheme="majorHAnsi" w:cs="Melior"/>
          <w:sz w:val="24"/>
          <w:szCs w:val="24"/>
        </w:rPr>
        <w:t>roup</w:t>
      </w:r>
      <w:r w:rsidRPr="0061509A">
        <w:rPr>
          <w:rFonts w:asciiTheme="majorHAnsi" w:hAnsiTheme="majorHAnsi" w:cs="Melior"/>
          <w:sz w:val="24"/>
          <w:szCs w:val="24"/>
        </w:rPr>
        <w:t xml:space="preserve"> since 2009 to update the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toy standard. In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August 2021, CPSC staff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corresponded with the ASTM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Subcommittee and task group to discuss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hazards associated with neck floats,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including sharing incident data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associated with neck floats and staff’s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recommendation to develop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performance requirements to address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the hazards identified in the incident</w:t>
      </w:r>
      <w:r w:rsidR="00DD2E53">
        <w:rPr>
          <w:rFonts w:asciiTheme="majorHAnsi" w:hAnsiTheme="majorHAnsi" w:cs="Melior"/>
          <w:sz w:val="24"/>
          <w:szCs w:val="24"/>
        </w:rPr>
        <w:t xml:space="preserve"> </w:t>
      </w:r>
      <w:r w:rsidRPr="0061509A">
        <w:rPr>
          <w:rFonts w:asciiTheme="majorHAnsi" w:hAnsiTheme="majorHAnsi" w:cs="Melior"/>
          <w:sz w:val="24"/>
          <w:szCs w:val="24"/>
        </w:rPr>
        <w:t>data.</w:t>
      </w:r>
    </w:p>
    <w:p w:rsidR="00AD2FE5" w:rsidP="0061509A" w14:paraId="5F7358B6" w14:textId="7777777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94704E" w:rsidRPr="00DD2E53" w:rsidP="00AD2FE5" w14:paraId="1DC93239" w14:textId="05D1015D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AD2FE5">
        <w:rPr>
          <w:rFonts w:asciiTheme="majorHAnsi" w:hAnsiTheme="majorHAnsi" w:cs="Melior"/>
          <w:sz w:val="24"/>
          <w:szCs w:val="24"/>
        </w:rPr>
        <w:t>For aquatic toys such as neck floats,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ASTM F963–23 only specifies minimal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labeling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requirements and does not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establish specific performance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requirements for aquatic toys, including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neck floats, beyond the general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performance requirements all toys must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comply with, as applicable.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In the past, ASTM attempted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develop additional requirements for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aquatic toys and CPSC staff participated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D2FE5">
        <w:rPr>
          <w:rFonts w:asciiTheme="majorHAnsi" w:hAnsiTheme="majorHAnsi" w:cs="Melior"/>
          <w:sz w:val="24"/>
          <w:szCs w:val="24"/>
        </w:rPr>
        <w:t>in these efforts.</w:t>
      </w:r>
      <w:r w:rsidR="00DD2E53">
        <w:rPr>
          <w:rFonts w:asciiTheme="majorHAnsi" w:hAnsiTheme="majorHAnsi" w:cs="Melior"/>
          <w:sz w:val="24"/>
          <w:szCs w:val="24"/>
        </w:rPr>
        <w:br/>
      </w:r>
    </w:p>
    <w:p w:rsidR="00571698" w:rsidRPr="0085688C" w:rsidP="00AB1C0B" w14:paraId="21D21AAE" w14:textId="33664991">
      <w:pPr>
        <w:keepNext/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105421" w:rsidP="00AB1C0B" w14:paraId="20C9137F" w14:textId="77777777">
      <w:pPr>
        <w:keepNext/>
        <w:spacing w:after="0" w:line="240" w:lineRule="auto"/>
        <w:rPr>
          <w:rFonts w:asciiTheme="majorHAnsi" w:hAnsiTheme="majorHAnsi"/>
          <w:i/>
          <w:sz w:val="24"/>
        </w:rPr>
      </w:pPr>
    </w:p>
    <w:p w:rsidR="006A13FA" w:rsidP="00AB1C0B" w14:paraId="74F9C554" w14:textId="60A7CF50">
      <w:pPr>
        <w:keepNext/>
        <w:spacing w:after="0" w:line="240" w:lineRule="auto"/>
        <w:rPr>
          <w:rFonts w:asciiTheme="majorHAnsi" w:hAnsiTheme="majorHAnsi"/>
          <w:i/>
          <w:sz w:val="24"/>
        </w:rPr>
      </w:pPr>
      <w:r w:rsidRPr="0010542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2D141A0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93629E" w14:paraId="7736872E" w14:textId="77777777">
      <w:pPr>
        <w:keepNext/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B96C42" w:rsidP="0093629E" w14:paraId="1C421949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B96C42" w:rsidP="0093629E" w14:paraId="0BF5C830" w14:textId="6E2BAABD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Privacy Act Statement is not required for this collection because we are not requesting individuals to furnish personal information for a system of records. </w:t>
      </w:r>
    </w:p>
    <w:p w:rsidR="00B96C42" w:rsidP="00B96C42" w14:paraId="6F0D989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96C42" w:rsidP="00B96C42" w14:paraId="36EC6B9F" w14:textId="372100B4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System of Record Notice (SORN) is not required for this collection because records are not retrievable by </w:t>
      </w:r>
      <w:r w:rsidR="00932D51">
        <w:rPr>
          <w:rFonts w:asciiTheme="majorHAnsi" w:hAnsiTheme="majorHAnsi"/>
          <w:sz w:val="24"/>
        </w:rPr>
        <w:t>Personally Identifiable Information (</w:t>
      </w:r>
      <w:r w:rsidRPr="00932D51">
        <w:rPr>
          <w:rFonts w:asciiTheme="majorHAnsi" w:hAnsiTheme="majorHAnsi"/>
          <w:sz w:val="24"/>
        </w:rPr>
        <w:t>PII</w:t>
      </w:r>
      <w:r w:rsidRPr="00AB1C0B" w:rsidR="00932D51">
        <w:rPr>
          <w:rFonts w:asciiTheme="majorHAnsi" w:hAnsiTheme="majorHAnsi"/>
          <w:sz w:val="24"/>
        </w:rPr>
        <w:t>)</w:t>
      </w:r>
      <w:r w:rsidRPr="00932D51">
        <w:rPr>
          <w:rFonts w:asciiTheme="majorHAnsi" w:hAnsiTheme="majorHAnsi"/>
          <w:sz w:val="24"/>
        </w:rPr>
        <w:t>. A</w:t>
      </w:r>
      <w:r>
        <w:rPr>
          <w:rFonts w:asciiTheme="majorHAnsi" w:hAnsiTheme="majorHAnsi"/>
          <w:sz w:val="24"/>
        </w:rPr>
        <w:t xml:space="preserve"> Privacy Impact Assessment (PIA) is not required for this collection because </w:t>
      </w:r>
      <w:r>
        <w:rPr>
          <w:rFonts w:asciiTheme="majorHAnsi" w:hAnsiTheme="majorHAnsi"/>
          <w:sz w:val="24"/>
        </w:rPr>
        <w:t xml:space="preserve">PII </w:t>
      </w:r>
      <w:r>
        <w:rPr>
          <w:rFonts w:asciiTheme="majorHAnsi" w:hAnsiTheme="majorHAnsi"/>
          <w:sz w:val="24"/>
        </w:rPr>
        <w:t xml:space="preserve">is not being collected electronically. </w:t>
      </w:r>
    </w:p>
    <w:p w:rsidR="00996894" w:rsidP="00996894" w14:paraId="64398DF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0F072FCB" w14:textId="1D91C0A1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D1962" w:rsidP="003D1962" w14:paraId="073370A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D1962" w:rsidP="003D1962" w14:paraId="317EAC4B" w14:textId="68A1187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 questions considered sensitive are being asked in this collection. </w:t>
      </w:r>
    </w:p>
    <w:p w:rsidR="00D21AA6" w:rsidP="00337EF1" w14:paraId="7CC32C1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6680ABA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6F2DF8" w:rsidP="00337EF1" w14:paraId="158F2D4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111C4" w:rsidRPr="00506DD2" w:rsidP="00506DD2" w14:paraId="0F8CBBE3" w14:textId="1605C4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506DD2">
        <w:rPr>
          <w:rFonts w:asciiTheme="majorHAnsi" w:hAnsiTheme="majorHAnsi" w:cs="Melior"/>
          <w:sz w:val="24"/>
          <w:szCs w:val="24"/>
        </w:rPr>
        <w:t>We estimate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506DD2">
        <w:rPr>
          <w:rFonts w:asciiTheme="majorHAnsi" w:hAnsiTheme="majorHAnsi" w:cs="Melior"/>
          <w:sz w:val="24"/>
          <w:szCs w:val="24"/>
        </w:rPr>
        <w:t>burden of this collection of information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506DD2">
        <w:rPr>
          <w:rFonts w:asciiTheme="majorHAnsi" w:hAnsiTheme="majorHAnsi" w:cs="Melior"/>
          <w:sz w:val="24"/>
          <w:szCs w:val="24"/>
        </w:rPr>
        <w:t xml:space="preserve">as follows: </w:t>
      </w:r>
      <w:r w:rsidR="00B25CA4">
        <w:rPr>
          <w:rFonts w:asciiTheme="majorHAnsi" w:hAnsiTheme="majorHAnsi" w:cs="Melior"/>
          <w:sz w:val="24"/>
          <w:szCs w:val="24"/>
        </w:rPr>
        <w:t>(See table 1.)</w:t>
      </w:r>
    </w:p>
    <w:p w:rsidR="00356998" w:rsidP="003D1962" w14:paraId="5C26A008" w14:textId="77777777">
      <w:pPr>
        <w:autoSpaceDE w:val="0"/>
        <w:autoSpaceDN w:val="0"/>
        <w:adjustRightInd w:val="0"/>
        <w:spacing w:after="0" w:line="240" w:lineRule="auto"/>
      </w:pPr>
    </w:p>
    <w:p w:rsidR="00356998" w:rsidP="00356998" w14:paraId="09EE99E1" w14:textId="77777777">
      <w:pPr>
        <w:pStyle w:val="Default"/>
        <w:keepNext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Table 1: Estimated Annual Reporting Burden</w:t>
      </w:r>
    </w:p>
    <w:tbl>
      <w:tblPr>
        <w:tblStyle w:val="TableGrid"/>
        <w:tblW w:w="9090" w:type="dxa"/>
        <w:tblInd w:w="-5" w:type="dxa"/>
        <w:tblLayout w:type="fixed"/>
        <w:tblLook w:val="04A0"/>
      </w:tblPr>
      <w:tblGrid>
        <w:gridCol w:w="2340"/>
        <w:gridCol w:w="1260"/>
        <w:gridCol w:w="1350"/>
        <w:gridCol w:w="1440"/>
        <w:gridCol w:w="1260"/>
        <w:gridCol w:w="1440"/>
      </w:tblGrid>
      <w:tr w14:paraId="22EA193C" w14:textId="77777777" w:rsidTr="00625E88">
        <w:tblPrEx>
          <w:tblW w:w="9090" w:type="dxa"/>
          <w:tblInd w:w="-5" w:type="dxa"/>
          <w:tblLayout w:type="fixed"/>
          <w:tblLook w:val="04A0"/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2191FDE5" w14:textId="09499C6D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Burden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78C5F3A9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5D218072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Frequency of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69497E89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Annual Responses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438847E7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per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5E3B459A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Burden Hours</w:t>
            </w:r>
          </w:p>
        </w:tc>
      </w:tr>
      <w:tr w14:paraId="02DF9B1F" w14:textId="77777777" w:rsidTr="00625E88">
        <w:tblPrEx>
          <w:tblW w:w="9090" w:type="dxa"/>
          <w:tblInd w:w="-5" w:type="dxa"/>
          <w:tblLayout w:type="fixed"/>
          <w:tblLook w:val="04A0"/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09D6E90B" w14:textId="1119E755">
            <w:pPr>
              <w:pStyle w:val="Default"/>
              <w:keepNext/>
              <w:ind w:firstLine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Labeling and instructions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14B70119" w14:textId="444744B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4BB1D51A" w14:textId="76E254F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0049290E" w14:textId="14FCC7A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11B8B310" w14:textId="27C7E02D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75BA3065" w14:textId="255B7BE1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356998" w:rsidP="003D1962" w14:paraId="3F517BC3" w14:textId="77777777">
      <w:pPr>
        <w:autoSpaceDE w:val="0"/>
        <w:autoSpaceDN w:val="0"/>
        <w:adjustRightInd w:val="0"/>
        <w:spacing w:after="0" w:line="240" w:lineRule="auto"/>
      </w:pPr>
    </w:p>
    <w:p w:rsidR="00F906F8" w:rsidP="00262442" w14:paraId="184CB087" w14:textId="772D9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This estimate is based on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following: CPSC estimates there are </w:t>
      </w:r>
      <w:r w:rsidR="007F0569">
        <w:rPr>
          <w:rFonts w:asciiTheme="majorHAnsi" w:hAnsiTheme="majorHAnsi" w:cs="Melior"/>
          <w:sz w:val="24"/>
          <w:szCs w:val="24"/>
        </w:rPr>
        <w:t>2</w:t>
      </w:r>
      <w:r w:rsidRPr="00262442">
        <w:rPr>
          <w:rFonts w:asciiTheme="majorHAnsi" w:hAnsiTheme="majorHAnsi" w:cs="Melior"/>
          <w:sz w:val="24"/>
          <w:szCs w:val="24"/>
        </w:rPr>
        <w:t>0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suppliers that would respond to this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collection annually, and that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majority of these entities would be</w:t>
      </w:r>
      <w:r w:rsidR="00E04A9C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considered small businesses. CPSC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assumes that on average each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respondent that reports annually would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respond once, as product models for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="00AA12A5">
        <w:rPr>
          <w:rFonts w:asciiTheme="majorHAnsi" w:hAnsiTheme="majorHAnsi" w:cs="Melior"/>
          <w:sz w:val="24"/>
          <w:szCs w:val="24"/>
        </w:rPr>
        <w:t>neck floats</w:t>
      </w:r>
      <w:r w:rsidRPr="00262442">
        <w:rPr>
          <w:rFonts w:asciiTheme="majorHAnsi" w:hAnsiTheme="majorHAnsi" w:cs="Melior"/>
          <w:sz w:val="24"/>
          <w:szCs w:val="24"/>
        </w:rPr>
        <w:t xml:space="preserve"> are brought to market 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new labeling and instruction materials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are created, for a total of </w:t>
      </w:r>
      <w:r w:rsidR="00AA12A5">
        <w:rPr>
          <w:rFonts w:asciiTheme="majorHAnsi" w:hAnsiTheme="majorHAnsi" w:cs="Melior"/>
          <w:sz w:val="24"/>
          <w:szCs w:val="24"/>
        </w:rPr>
        <w:t>2</w:t>
      </w:r>
      <w:r w:rsidRPr="00262442">
        <w:rPr>
          <w:rFonts w:asciiTheme="majorHAnsi" w:hAnsiTheme="majorHAnsi" w:cs="Melior"/>
          <w:sz w:val="24"/>
          <w:szCs w:val="24"/>
        </w:rPr>
        <w:t>0 responses</w:t>
      </w:r>
      <w:r w:rsidR="00E04A9C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annually (</w:t>
      </w:r>
      <w:r w:rsidR="00AA12A5">
        <w:rPr>
          <w:rFonts w:asciiTheme="majorHAnsi" w:hAnsiTheme="majorHAnsi" w:cs="Melior"/>
          <w:sz w:val="24"/>
          <w:szCs w:val="24"/>
        </w:rPr>
        <w:t>2</w:t>
      </w:r>
      <w:r w:rsidRPr="00262442">
        <w:rPr>
          <w:rFonts w:asciiTheme="majorHAnsi" w:hAnsiTheme="majorHAnsi" w:cs="Melior"/>
          <w:sz w:val="24"/>
          <w:szCs w:val="24"/>
        </w:rPr>
        <w:t>0 respondents × 1 response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per year). CPSC assumes that on average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it will take 1 hour for each respondent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to create the required label and one hour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for them to create the required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instructions, for an average response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burden of 2 hours per response.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Therefore, the total burden hours for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collection are estimated to be </w:t>
      </w:r>
      <w:r w:rsidR="00E04A9C">
        <w:rPr>
          <w:rFonts w:asciiTheme="majorHAnsi" w:hAnsiTheme="majorHAnsi" w:cs="Melior"/>
          <w:sz w:val="24"/>
          <w:szCs w:val="24"/>
        </w:rPr>
        <w:t>4</w:t>
      </w:r>
      <w:r w:rsidRPr="00262442">
        <w:rPr>
          <w:rFonts w:asciiTheme="majorHAnsi" w:hAnsiTheme="majorHAnsi" w:cs="Melior"/>
          <w:sz w:val="24"/>
          <w:szCs w:val="24"/>
        </w:rPr>
        <w:t>0 hours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annually (</w:t>
      </w:r>
      <w:r w:rsidR="00AA12A5">
        <w:rPr>
          <w:rFonts w:asciiTheme="majorHAnsi" w:hAnsiTheme="majorHAnsi" w:cs="Melior"/>
          <w:sz w:val="24"/>
          <w:szCs w:val="24"/>
        </w:rPr>
        <w:t>2</w:t>
      </w:r>
      <w:r w:rsidRPr="00262442">
        <w:rPr>
          <w:rFonts w:asciiTheme="majorHAnsi" w:hAnsiTheme="majorHAnsi" w:cs="Melior"/>
          <w:sz w:val="24"/>
          <w:szCs w:val="24"/>
        </w:rPr>
        <w:t>0 responses × 2 hours per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response = </w:t>
      </w:r>
      <w:r w:rsidR="00AA12A5">
        <w:rPr>
          <w:rFonts w:asciiTheme="majorHAnsi" w:hAnsiTheme="majorHAnsi" w:cs="Melior"/>
          <w:sz w:val="24"/>
          <w:szCs w:val="24"/>
        </w:rPr>
        <w:t>4</w:t>
      </w:r>
      <w:r w:rsidRPr="00262442">
        <w:rPr>
          <w:rFonts w:asciiTheme="majorHAnsi" w:hAnsiTheme="majorHAnsi" w:cs="Melior"/>
          <w:sz w:val="24"/>
          <w:szCs w:val="24"/>
        </w:rPr>
        <w:t>0 total burden hours).</w:t>
      </w:r>
    </w:p>
    <w:p w:rsidR="00262442" w:rsidP="00262442" w14:paraId="78A7FB8A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C74098" w:rsidP="00262442" w14:paraId="3FCC4DEB" w14:textId="497E54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CPSC estimates the hourly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compensation for the time required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create and update labeling 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instructions is $41.</w:t>
      </w:r>
      <w:r w:rsidR="00232650">
        <w:rPr>
          <w:rFonts w:asciiTheme="majorHAnsi" w:hAnsiTheme="majorHAnsi" w:cs="Melior"/>
          <w:sz w:val="24"/>
          <w:szCs w:val="24"/>
        </w:rPr>
        <w:t>76</w:t>
      </w:r>
      <w:r w:rsidRPr="00262442">
        <w:rPr>
          <w:rFonts w:asciiTheme="majorHAnsi" w:hAnsiTheme="majorHAnsi" w:cs="Melior"/>
          <w:sz w:val="24"/>
          <w:szCs w:val="24"/>
        </w:rPr>
        <w:t>.</w:t>
      </w:r>
      <w:r>
        <w:rPr>
          <w:rStyle w:val="FootnoteReference"/>
          <w:rFonts w:asciiTheme="majorHAnsi" w:hAnsiTheme="majorHAnsi" w:cs="Melior"/>
          <w:sz w:val="24"/>
          <w:szCs w:val="24"/>
        </w:rPr>
        <w:footnoteReference w:id="2"/>
      </w:r>
      <w:r w:rsidRPr="00262442">
        <w:rPr>
          <w:rFonts w:asciiTheme="majorHAnsi" w:hAnsiTheme="majorHAnsi" w:cs="Melior"/>
          <w:sz w:val="24"/>
          <w:szCs w:val="24"/>
        </w:rPr>
        <w:t xml:space="preserve"> Therefore,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estimated annual cost of the burden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requirements is $</w:t>
      </w:r>
      <w:r w:rsidR="0087601C">
        <w:rPr>
          <w:rFonts w:asciiTheme="majorHAnsi" w:hAnsiTheme="majorHAnsi" w:cs="Melior"/>
          <w:sz w:val="24"/>
          <w:szCs w:val="24"/>
        </w:rPr>
        <w:t>1,</w:t>
      </w:r>
      <w:r w:rsidR="00232650">
        <w:rPr>
          <w:rFonts w:asciiTheme="majorHAnsi" w:hAnsiTheme="majorHAnsi" w:cs="Melior"/>
          <w:sz w:val="24"/>
          <w:szCs w:val="24"/>
        </w:rPr>
        <w:t>670</w:t>
      </w:r>
      <w:r w:rsidRPr="00262442">
        <w:rPr>
          <w:rFonts w:asciiTheme="majorHAnsi" w:hAnsiTheme="majorHAnsi" w:cs="Melior"/>
          <w:sz w:val="24"/>
          <w:szCs w:val="24"/>
        </w:rPr>
        <w:t xml:space="preserve"> ($41.</w:t>
      </w:r>
      <w:r w:rsidR="00B942D1">
        <w:rPr>
          <w:rFonts w:asciiTheme="majorHAnsi" w:hAnsiTheme="majorHAnsi" w:cs="Melior"/>
          <w:sz w:val="24"/>
          <w:szCs w:val="24"/>
        </w:rPr>
        <w:t>76</w:t>
      </w:r>
      <w:r w:rsidRPr="00262442">
        <w:rPr>
          <w:rFonts w:asciiTheme="majorHAnsi" w:hAnsiTheme="majorHAnsi" w:cs="Melior"/>
          <w:sz w:val="24"/>
          <w:szCs w:val="24"/>
        </w:rPr>
        <w:t xml:space="preserve"> per hour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× </w:t>
      </w:r>
      <w:r w:rsidR="00E04A9C">
        <w:rPr>
          <w:rFonts w:asciiTheme="majorHAnsi" w:hAnsiTheme="majorHAnsi" w:cs="Melior"/>
          <w:sz w:val="24"/>
          <w:szCs w:val="24"/>
        </w:rPr>
        <w:t>4</w:t>
      </w:r>
      <w:r w:rsidRPr="00262442">
        <w:rPr>
          <w:rFonts w:asciiTheme="majorHAnsi" w:hAnsiTheme="majorHAnsi" w:cs="Melior"/>
          <w:sz w:val="24"/>
          <w:szCs w:val="24"/>
        </w:rPr>
        <w:t>0 hours = $</w:t>
      </w:r>
      <w:r w:rsidR="0087601C">
        <w:rPr>
          <w:rFonts w:asciiTheme="majorHAnsi" w:hAnsiTheme="majorHAnsi" w:cs="Melior"/>
          <w:sz w:val="24"/>
          <w:szCs w:val="24"/>
        </w:rPr>
        <w:t>1,6</w:t>
      </w:r>
      <w:r w:rsidR="00B942D1">
        <w:rPr>
          <w:rFonts w:asciiTheme="majorHAnsi" w:hAnsiTheme="majorHAnsi" w:cs="Melior"/>
          <w:sz w:val="24"/>
          <w:szCs w:val="24"/>
        </w:rPr>
        <w:t>70.40</w:t>
      </w:r>
      <w:r w:rsidRPr="00262442">
        <w:rPr>
          <w:rFonts w:asciiTheme="majorHAnsi" w:hAnsiTheme="majorHAnsi" w:cs="Melior"/>
          <w:sz w:val="24"/>
          <w:szCs w:val="24"/>
        </w:rPr>
        <w:t xml:space="preserve">). </w:t>
      </w:r>
      <w:r>
        <w:rPr>
          <w:rFonts w:asciiTheme="majorHAnsi" w:hAnsiTheme="majorHAnsi" w:cs="Melior"/>
          <w:sz w:val="24"/>
          <w:szCs w:val="24"/>
        </w:rPr>
        <w:t xml:space="preserve"> </w:t>
      </w:r>
    </w:p>
    <w:p w:rsidR="00C74098" w:rsidP="00262442" w14:paraId="7D21AD7C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F906F8" w:rsidP="00506DD2" w14:paraId="497EC837" w14:textId="0CB37D9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Based on</w:t>
      </w:r>
      <w:r w:rsidR="00C74098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this analysis, the proposed </w:t>
      </w:r>
      <w:r w:rsidR="00C74098">
        <w:rPr>
          <w:rFonts w:asciiTheme="majorHAnsi" w:hAnsiTheme="majorHAnsi" w:cs="Melior"/>
          <w:sz w:val="24"/>
          <w:szCs w:val="24"/>
        </w:rPr>
        <w:t>information collection</w:t>
      </w:r>
      <w:r w:rsidRPr="00262442">
        <w:rPr>
          <w:rFonts w:asciiTheme="majorHAnsi" w:hAnsiTheme="majorHAnsi" w:cs="Melior"/>
          <w:sz w:val="24"/>
          <w:szCs w:val="24"/>
        </w:rPr>
        <w:t xml:space="preserve"> would impose a burden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industry of </w:t>
      </w:r>
      <w:r w:rsidR="00221011">
        <w:rPr>
          <w:rFonts w:asciiTheme="majorHAnsi" w:hAnsiTheme="majorHAnsi" w:cs="Melior"/>
          <w:sz w:val="24"/>
          <w:szCs w:val="24"/>
        </w:rPr>
        <w:t>4</w:t>
      </w:r>
      <w:r w:rsidRPr="00262442">
        <w:rPr>
          <w:rFonts w:asciiTheme="majorHAnsi" w:hAnsiTheme="majorHAnsi" w:cs="Melior"/>
          <w:sz w:val="24"/>
          <w:szCs w:val="24"/>
        </w:rPr>
        <w:t>0 hours at a cost of $</w:t>
      </w:r>
      <w:r w:rsidR="00221011">
        <w:rPr>
          <w:rFonts w:asciiTheme="majorHAnsi" w:hAnsiTheme="majorHAnsi" w:cs="Melior"/>
          <w:sz w:val="24"/>
          <w:szCs w:val="24"/>
        </w:rPr>
        <w:t>1,67</w:t>
      </w:r>
      <w:r w:rsidR="00D07659">
        <w:rPr>
          <w:rFonts w:asciiTheme="majorHAnsi" w:hAnsiTheme="majorHAnsi" w:cs="Melior"/>
          <w:sz w:val="24"/>
          <w:szCs w:val="24"/>
        </w:rPr>
        <w:t>0</w:t>
      </w:r>
      <w:r w:rsidR="00C74098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annually.</w:t>
      </w:r>
    </w:p>
    <w:p w:rsidR="00D52997" w:rsidP="00506DD2" w14:paraId="1E4010D2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D52997" w:rsidRPr="00D52997" w:rsidP="00D52997" w14:paraId="4CFB1F72" w14:textId="0AF47E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D52997">
        <w:rPr>
          <w:rFonts w:asciiTheme="majorHAnsi" w:hAnsiTheme="majorHAnsi" w:cs="Melior"/>
          <w:sz w:val="24"/>
          <w:szCs w:val="24"/>
        </w:rPr>
        <w:t>Recordkeeping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D52997">
        <w:rPr>
          <w:rFonts w:asciiTheme="majorHAnsi" w:hAnsiTheme="majorHAnsi" w:cs="Melior"/>
          <w:sz w:val="24"/>
          <w:szCs w:val="24"/>
        </w:rPr>
        <w:t>burden for certification and testing is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D52997">
        <w:rPr>
          <w:rFonts w:asciiTheme="majorHAnsi" w:hAnsiTheme="majorHAnsi" w:cs="Melior"/>
          <w:sz w:val="24"/>
          <w:szCs w:val="24"/>
        </w:rPr>
        <w:t>accounted for under OMB Control</w:t>
      </w:r>
    </w:p>
    <w:p w:rsidR="00D52997" w:rsidP="00D52997" w14:paraId="04EAFD6C" w14:textId="09B18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D52997">
        <w:rPr>
          <w:rFonts w:asciiTheme="majorHAnsi" w:hAnsiTheme="majorHAnsi" w:cs="Melior"/>
          <w:sz w:val="24"/>
          <w:szCs w:val="24"/>
        </w:rPr>
        <w:t>Number 3041–0159, Third Party Testing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D52997">
        <w:rPr>
          <w:rFonts w:asciiTheme="majorHAnsi" w:hAnsiTheme="majorHAnsi" w:cs="Melior"/>
          <w:sz w:val="24"/>
          <w:szCs w:val="24"/>
        </w:rPr>
        <w:t>of Children’s Products.</w:t>
      </w:r>
    </w:p>
    <w:p w:rsidR="00F906F8" w:rsidP="00F906F8" w14:paraId="564023E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30C7B65E" w14:textId="70F52B2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D3C82" w:rsidP="0019309D" w14:paraId="3ADA6D4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9309D" w:rsidP="0019309D" w14:paraId="34538707" w14:textId="2A8F1599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F906F8">
        <w:rPr>
          <w:rFonts w:asciiTheme="majorHAnsi" w:hAnsiTheme="majorHAnsi" w:cs="Melior"/>
          <w:sz w:val="24"/>
          <w:szCs w:val="24"/>
        </w:rPr>
        <w:t>No operating,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F906F8">
        <w:rPr>
          <w:rFonts w:asciiTheme="majorHAnsi" w:hAnsiTheme="majorHAnsi" w:cs="Melior"/>
          <w:sz w:val="24"/>
          <w:szCs w:val="24"/>
        </w:rPr>
        <w:t>maintenance, or capital costs are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F906F8">
        <w:rPr>
          <w:rFonts w:asciiTheme="majorHAnsi" w:hAnsiTheme="majorHAnsi" w:cs="Melior"/>
          <w:sz w:val="24"/>
          <w:szCs w:val="24"/>
        </w:rPr>
        <w:t>associated with the collection.</w:t>
      </w:r>
    </w:p>
    <w:p w:rsidR="00F906F8" w:rsidP="0019309D" w14:paraId="7BFDC5B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F30A9F" w14:paraId="036FF56F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RPr="00AF38DF" w:rsidP="00F30A9F" w14:paraId="6C071B93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A00F99" w:rsidP="00A00F99" w14:paraId="1670CB25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97147">
        <w:rPr>
          <w:rFonts w:asciiTheme="majorHAnsi" w:hAnsiTheme="majorHAnsi"/>
          <w:sz w:val="24"/>
          <w:szCs w:val="24"/>
        </w:rPr>
        <w:t>The estimated annual cost of the information collection requirements to the Federal Government is approximately $4,</w:t>
      </w:r>
      <w:r>
        <w:rPr>
          <w:rFonts w:asciiTheme="majorHAnsi" w:hAnsiTheme="majorHAnsi"/>
          <w:sz w:val="24"/>
          <w:szCs w:val="24"/>
        </w:rPr>
        <w:t>774</w:t>
      </w:r>
      <w:r w:rsidRPr="00C97147">
        <w:rPr>
          <w:rFonts w:asciiTheme="majorHAnsi" w:hAnsiTheme="majorHAnsi"/>
          <w:sz w:val="24"/>
          <w:szCs w:val="24"/>
        </w:rPr>
        <w:t>, which includes 60 staff hours to examine and evaluate the information, as needed, for CPSC’s compliance activities.  This is based on a GS-12, step 5 level salaried employee.  The average hourly wage rate for a mid-level salaried GS-12 employee in the Washington, DC metropolitan area (effective as of January 202</w:t>
      </w:r>
      <w:r>
        <w:rPr>
          <w:rFonts w:asciiTheme="majorHAnsi" w:hAnsiTheme="majorHAnsi"/>
          <w:sz w:val="24"/>
          <w:szCs w:val="24"/>
        </w:rPr>
        <w:t>4</w:t>
      </w:r>
      <w:r w:rsidRPr="00C97147">
        <w:rPr>
          <w:rFonts w:asciiTheme="majorHAnsi" w:hAnsiTheme="majorHAnsi"/>
          <w:sz w:val="24"/>
          <w:szCs w:val="24"/>
        </w:rPr>
        <w:t>) is $5</w:t>
      </w:r>
      <w:r>
        <w:rPr>
          <w:rFonts w:asciiTheme="majorHAnsi" w:hAnsiTheme="majorHAnsi"/>
          <w:sz w:val="24"/>
          <w:szCs w:val="24"/>
        </w:rPr>
        <w:t>3.87</w:t>
      </w:r>
      <w:r w:rsidRPr="00C97147">
        <w:rPr>
          <w:rFonts w:asciiTheme="majorHAnsi" w:hAnsiTheme="majorHAnsi"/>
          <w:sz w:val="24"/>
          <w:szCs w:val="24"/>
        </w:rPr>
        <w:t xml:space="preserve"> (GS-12, step 5).  This represents 6</w:t>
      </w:r>
      <w:r>
        <w:rPr>
          <w:rFonts w:asciiTheme="majorHAnsi" w:hAnsiTheme="majorHAnsi"/>
          <w:sz w:val="24"/>
          <w:szCs w:val="24"/>
        </w:rPr>
        <w:t>7.7</w:t>
      </w:r>
      <w:r w:rsidRPr="00C97147">
        <w:rPr>
          <w:rFonts w:asciiTheme="majorHAnsi" w:hAnsiTheme="majorHAnsi"/>
          <w:sz w:val="24"/>
          <w:szCs w:val="24"/>
        </w:rPr>
        <w:t xml:space="preserve"> percent of total compensation (U.S. Bureau of Labor Statistics, “Employer Costs for Employee Compensation,” </w:t>
      </w:r>
      <w:r>
        <w:rPr>
          <w:rFonts w:asciiTheme="majorHAnsi" w:hAnsiTheme="majorHAnsi"/>
          <w:sz w:val="24"/>
          <w:szCs w:val="24"/>
        </w:rPr>
        <w:t>June</w:t>
      </w:r>
      <w:r w:rsidRPr="00C97147">
        <w:rPr>
          <w:rFonts w:asciiTheme="majorHAnsi" w:hAnsiTheme="majorHAnsi"/>
          <w:sz w:val="24"/>
          <w:szCs w:val="24"/>
        </w:rPr>
        <w:t xml:space="preserve"> 202</w:t>
      </w:r>
      <w:r>
        <w:rPr>
          <w:rFonts w:asciiTheme="majorHAnsi" w:hAnsiTheme="majorHAnsi"/>
          <w:sz w:val="24"/>
          <w:szCs w:val="24"/>
        </w:rPr>
        <w:t>4</w:t>
      </w:r>
      <w:r w:rsidRPr="00C97147">
        <w:rPr>
          <w:rFonts w:asciiTheme="majorHAnsi" w:hAnsiTheme="majorHAnsi"/>
          <w:sz w:val="24"/>
          <w:szCs w:val="24"/>
        </w:rPr>
        <w:t>, Table 2., percentage of wages and salaries for all civilian management, professional, and related employees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1157B">
        <w:rPr>
          <w:rFonts w:asciiTheme="majorHAnsi" w:hAnsiTheme="majorHAnsi"/>
          <w:sz w:val="24"/>
          <w:szCs w:val="24"/>
        </w:rPr>
        <w:t>https://www.bls.gov/news.release/archives/ecec_09102024.pdf</w:t>
      </w:r>
      <w:r w:rsidRPr="00C97147">
        <w:rPr>
          <w:rFonts w:asciiTheme="majorHAnsi" w:hAnsiTheme="majorHAnsi"/>
          <w:sz w:val="24"/>
          <w:szCs w:val="24"/>
        </w:rPr>
        <w:t>).  Adding an additional 3</w:t>
      </w:r>
      <w:r>
        <w:rPr>
          <w:rFonts w:asciiTheme="majorHAnsi" w:hAnsiTheme="majorHAnsi"/>
          <w:sz w:val="24"/>
          <w:szCs w:val="24"/>
        </w:rPr>
        <w:t>2.3</w:t>
      </w:r>
      <w:r w:rsidRPr="00C97147">
        <w:rPr>
          <w:rFonts w:asciiTheme="majorHAnsi" w:hAnsiTheme="majorHAnsi"/>
          <w:sz w:val="24"/>
          <w:szCs w:val="24"/>
        </w:rPr>
        <w:t xml:space="preserve"> percent for benefits brings average annual compensation for a mid-level salaried GS-12 employee to $7</w:t>
      </w:r>
      <w:r>
        <w:rPr>
          <w:rFonts w:asciiTheme="majorHAnsi" w:hAnsiTheme="majorHAnsi"/>
          <w:sz w:val="24"/>
          <w:szCs w:val="24"/>
        </w:rPr>
        <w:t>9.57</w:t>
      </w:r>
      <w:r w:rsidRPr="00C97147">
        <w:rPr>
          <w:rFonts w:asciiTheme="majorHAnsi" w:hAnsiTheme="majorHAnsi"/>
          <w:sz w:val="24"/>
          <w:szCs w:val="24"/>
        </w:rPr>
        <w:t xml:space="preserve"> per hour.  Assuming that approximately 60 hours will be required annually, this results in an annual cost of $4,</w:t>
      </w:r>
      <w:r>
        <w:rPr>
          <w:rFonts w:asciiTheme="majorHAnsi" w:hAnsiTheme="majorHAnsi"/>
          <w:sz w:val="24"/>
          <w:szCs w:val="24"/>
        </w:rPr>
        <w:t>774</w:t>
      </w:r>
      <w:r w:rsidRPr="00C97147">
        <w:rPr>
          <w:rFonts w:asciiTheme="majorHAnsi" w:hAnsiTheme="majorHAnsi"/>
          <w:sz w:val="24"/>
          <w:szCs w:val="24"/>
        </w:rPr>
        <w:t xml:space="preserve"> ($7</w:t>
      </w:r>
      <w:r>
        <w:rPr>
          <w:rFonts w:asciiTheme="majorHAnsi" w:hAnsiTheme="majorHAnsi"/>
          <w:sz w:val="24"/>
          <w:szCs w:val="24"/>
        </w:rPr>
        <w:t>9.57</w:t>
      </w:r>
      <w:r w:rsidRPr="00C97147">
        <w:rPr>
          <w:rFonts w:asciiTheme="majorHAnsi" w:hAnsiTheme="majorHAnsi"/>
          <w:sz w:val="24"/>
          <w:szCs w:val="24"/>
        </w:rPr>
        <w:t xml:space="preserve"> per hour × 60 hours = $</w:t>
      </w:r>
      <w:r>
        <w:rPr>
          <w:rFonts w:asciiTheme="majorHAnsi" w:hAnsiTheme="majorHAnsi"/>
          <w:sz w:val="24"/>
          <w:szCs w:val="24"/>
        </w:rPr>
        <w:t>4,774.20</w:t>
      </w:r>
      <w:r w:rsidRPr="00C97147">
        <w:rPr>
          <w:rFonts w:asciiTheme="majorHAnsi" w:hAnsiTheme="majorHAnsi"/>
          <w:sz w:val="24"/>
          <w:szCs w:val="24"/>
        </w:rPr>
        <w:t>).</w:t>
      </w:r>
    </w:p>
    <w:p w:rsidR="00AF38DF" w:rsidP="00486235" w14:paraId="76A595E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4A3DBD75" w14:textId="3850D30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F38DF" w:rsidP="00AF38DF" w14:paraId="0DC50D5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AF38DF" w14:paraId="5874C320" w14:textId="78DB3D2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This is a new collection with a new associated burden. </w:t>
      </w:r>
    </w:p>
    <w:p w:rsidR="00DA2B37" w:rsidP="00486235" w14:paraId="126E85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354515" w14:paraId="34F723E7" w14:textId="71876FF6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354515" w:rsidP="00354515" w14:paraId="40AA69AD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DA2B37" w:rsidP="00354515" w14:paraId="770293CF" w14:textId="600F2925">
      <w:pPr>
        <w:keepNext/>
        <w:spacing w:after="0" w:line="240" w:lineRule="auto"/>
        <w:rPr>
          <w:rFonts w:asciiTheme="majorHAnsi" w:hAnsiTheme="majorHAnsi"/>
          <w:sz w:val="24"/>
        </w:rPr>
      </w:pPr>
      <w:r w:rsidRPr="00AC28F8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38ED756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85688C" w:rsidP="00486235" w14:paraId="08BD6DA6" w14:textId="0E980B2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C28F8" w:rsidP="00486235" w14:paraId="029162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62D17" w:rsidP="00486235" w14:paraId="38572881" w14:textId="5434A456">
      <w:pPr>
        <w:spacing w:after="0" w:line="240" w:lineRule="auto"/>
        <w:rPr>
          <w:rFonts w:asciiTheme="majorHAnsi" w:hAnsiTheme="majorHAnsi"/>
          <w:sz w:val="24"/>
        </w:rPr>
      </w:pPr>
      <w:r w:rsidRPr="00AC28F8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14:paraId="02B9A3C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85688C" w:rsidP="00021F12" w14:paraId="26CBA9C9" w14:textId="47C6BC2C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C28F8" w:rsidP="00021F12" w14:paraId="15C9C0B2" w14:textId="77777777">
      <w:pPr>
        <w:keepNext/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021F12" w14:paraId="5D7B3AC6" w14:textId="476F5983">
      <w:pPr>
        <w:keepNext/>
        <w:spacing w:after="0" w:line="240" w:lineRule="auto"/>
        <w:rPr>
          <w:rFonts w:asciiTheme="majorHAnsi" w:hAnsiTheme="majorHAnsi"/>
          <w:i/>
          <w:sz w:val="24"/>
        </w:rPr>
      </w:pPr>
      <w:r w:rsidRPr="00AC28F8">
        <w:rPr>
          <w:rFonts w:asciiTheme="majorHAnsi" w:hAnsiTheme="majorHAnsi"/>
          <w:sz w:val="24"/>
        </w:rPr>
        <w:t>We are not requesting an</w:t>
      </w:r>
      <w:r w:rsidRPr="00AC28F8" w:rsidR="00420AE9">
        <w:rPr>
          <w:rFonts w:asciiTheme="majorHAnsi" w:hAnsiTheme="majorHAnsi"/>
          <w:sz w:val="24"/>
        </w:rPr>
        <w:t>y</w:t>
      </w:r>
      <w:r w:rsidRPr="00AC28F8">
        <w:rPr>
          <w:rFonts w:asciiTheme="majorHAnsi" w:hAnsiTheme="majorHAnsi"/>
          <w:sz w:val="24"/>
        </w:rPr>
        <w:t xml:space="preserve"> exemption</w:t>
      </w:r>
      <w:r w:rsidRPr="00AC28F8" w:rsidR="00420AE9">
        <w:rPr>
          <w:rFonts w:asciiTheme="majorHAnsi" w:hAnsiTheme="majorHAnsi"/>
          <w:sz w:val="24"/>
        </w:rPr>
        <w:t>s</w:t>
      </w:r>
      <w:r w:rsidRPr="00AC28F8">
        <w:rPr>
          <w:rFonts w:asciiTheme="majorHAnsi" w:hAnsiTheme="majorHAnsi"/>
          <w:sz w:val="24"/>
        </w:rPr>
        <w:t xml:space="preserve"> </w:t>
      </w:r>
      <w:r w:rsidRPr="00AC28F8">
        <w:rPr>
          <w:rFonts w:asciiTheme="majorHAnsi" w:hAnsiTheme="majorHAnsi"/>
          <w:sz w:val="24"/>
        </w:rPr>
        <w:t>to</w:t>
      </w:r>
      <w:r w:rsidRPr="00AC28F8">
        <w:rPr>
          <w:rFonts w:asciiTheme="majorHAnsi" w:hAnsiTheme="majorHAnsi"/>
          <w:sz w:val="24"/>
        </w:rPr>
        <w:t xml:space="preserve"> the provisions </w:t>
      </w:r>
      <w:r w:rsidRPr="00AC28F8" w:rsidR="00420AE9">
        <w:rPr>
          <w:rFonts w:asciiTheme="majorHAnsi" w:hAnsiTheme="majorHAnsi"/>
          <w:sz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5C4D39" w:rsidP="00FB569C" w14:paraId="48971699" w14:textId="77777777">
      <w:pPr>
        <w:spacing w:after="0" w:line="240" w:lineRule="auto"/>
      </w:pPr>
      <w:r>
        <w:separator/>
      </w:r>
    </w:p>
  </w:footnote>
  <w:footnote w:type="continuationSeparator" w:id="1">
    <w:p w:rsidR="005C4D39" w:rsidP="00FB569C" w14:paraId="3ABB2F73" w14:textId="77777777">
      <w:pPr>
        <w:spacing w:after="0" w:line="240" w:lineRule="auto"/>
      </w:pPr>
      <w:r>
        <w:continuationSeparator/>
      </w:r>
    </w:p>
  </w:footnote>
  <w:footnote w:id="2">
    <w:p w:rsidR="00C74098" w:rsidP="00C74098" w14:paraId="5DE7380B" w14:textId="3A4E6C2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B11975">
        <w:rPr>
          <w:rFonts w:asciiTheme="majorHAnsi" w:hAnsiTheme="majorHAnsi" w:cs="Melior"/>
          <w:sz w:val="20"/>
          <w:szCs w:val="20"/>
        </w:rPr>
        <w:t xml:space="preserve">U.S. Bureau of Labor Statistics, ‘‘Employer Costs for Employee Compensation,’’ </w:t>
      </w:r>
      <w:r w:rsidRPr="00B11975" w:rsidR="00BE6408">
        <w:rPr>
          <w:rFonts w:asciiTheme="majorHAnsi" w:hAnsiTheme="majorHAnsi" w:cs="Melior"/>
          <w:sz w:val="20"/>
          <w:szCs w:val="20"/>
        </w:rPr>
        <w:t>March</w:t>
      </w:r>
      <w:r w:rsidRPr="00B11975">
        <w:rPr>
          <w:rFonts w:asciiTheme="majorHAnsi" w:hAnsiTheme="majorHAnsi" w:cs="Melior"/>
          <w:sz w:val="20"/>
          <w:szCs w:val="20"/>
        </w:rPr>
        <w:t xml:space="preserve"> 202</w:t>
      </w:r>
      <w:r w:rsidRPr="00B11975" w:rsidR="00BE6408">
        <w:rPr>
          <w:rFonts w:asciiTheme="majorHAnsi" w:hAnsiTheme="majorHAnsi" w:cs="Melior"/>
          <w:sz w:val="20"/>
          <w:szCs w:val="20"/>
        </w:rPr>
        <w:t>4</w:t>
      </w:r>
      <w:r w:rsidRPr="00B11975">
        <w:rPr>
          <w:rFonts w:asciiTheme="majorHAnsi" w:hAnsiTheme="majorHAnsi" w:cs="Melior"/>
          <w:sz w:val="20"/>
          <w:szCs w:val="20"/>
        </w:rPr>
        <w:t xml:space="preserve">, Table 4, total compensation for all sales and office workers in goods-producing private industries: </w:t>
      </w:r>
      <w:r w:rsidRPr="00B11975">
        <w:rPr>
          <w:rFonts w:asciiTheme="majorHAnsi" w:hAnsiTheme="majorHAnsi" w:cs="Melior"/>
          <w:i/>
          <w:iCs/>
          <w:sz w:val="20"/>
          <w:szCs w:val="20"/>
        </w:rPr>
        <w:t>https://www.bls.gov/news.release/archives/ecec</w:t>
      </w:r>
      <w:r w:rsidRPr="00B11975">
        <w:rPr>
          <w:rFonts w:asciiTheme="majorHAnsi" w:hAnsiTheme="majorHAnsi" w:cs="Melior"/>
          <w:sz w:val="20"/>
          <w:szCs w:val="20"/>
        </w:rPr>
        <w:t>_</w:t>
      </w:r>
      <w:r w:rsidRPr="00B11975" w:rsidR="00BE6408">
        <w:rPr>
          <w:rFonts w:asciiTheme="majorHAnsi" w:hAnsiTheme="majorHAnsi" w:cs="Melior"/>
          <w:i/>
          <w:iCs/>
          <w:sz w:val="20"/>
          <w:szCs w:val="20"/>
        </w:rPr>
        <w:t>0618</w:t>
      </w:r>
      <w:r w:rsidRPr="00B11975">
        <w:rPr>
          <w:rFonts w:asciiTheme="majorHAnsi" w:hAnsiTheme="majorHAnsi" w:cs="Melior"/>
          <w:i/>
          <w:iCs/>
          <w:sz w:val="20"/>
          <w:szCs w:val="20"/>
        </w:rPr>
        <w:t>202</w:t>
      </w:r>
      <w:r w:rsidRPr="00B11975" w:rsidR="00170E47">
        <w:rPr>
          <w:rFonts w:asciiTheme="majorHAnsi" w:hAnsiTheme="majorHAnsi" w:cs="Melior"/>
          <w:i/>
          <w:iCs/>
          <w:sz w:val="20"/>
          <w:szCs w:val="20"/>
        </w:rPr>
        <w:t>4</w:t>
      </w:r>
      <w:r w:rsidRPr="00B11975">
        <w:rPr>
          <w:rFonts w:asciiTheme="majorHAnsi" w:hAnsiTheme="majorHAnsi" w:cs="Melior"/>
          <w:i/>
          <w:iCs/>
          <w:sz w:val="20"/>
          <w:szCs w:val="20"/>
        </w:rPr>
        <w:t>.pdf.</w:t>
      </w:r>
    </w:p>
    <w:p w:rsidR="00C74098" w14:paraId="050883F2" w14:textId="0A5DD79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585C"/>
    <w:multiLevelType w:val="hybridMultilevel"/>
    <w:tmpl w:val="A4DAB9B8"/>
    <w:lvl w:ilvl="0">
      <w:start w:val="0"/>
      <w:numFmt w:val="bullet"/>
      <w:lvlText w:val="•"/>
      <w:lvlJc w:val="left"/>
      <w:pPr>
        <w:ind w:left="720" w:hanging="360"/>
      </w:pPr>
      <w:rPr>
        <w:rFonts w:ascii="Cambria" w:hAnsi="Cambr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989"/>
    <w:multiLevelType w:val="hybridMultilevel"/>
    <w:tmpl w:val="424A9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B3278"/>
    <w:multiLevelType w:val="hybridMultilevel"/>
    <w:tmpl w:val="A9B64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73537">
    <w:abstractNumId w:val="16"/>
  </w:num>
  <w:num w:numId="2" w16cid:durableId="406533841">
    <w:abstractNumId w:val="0"/>
  </w:num>
  <w:num w:numId="3" w16cid:durableId="1195727019">
    <w:abstractNumId w:val="13"/>
  </w:num>
  <w:num w:numId="4" w16cid:durableId="143208168">
    <w:abstractNumId w:val="12"/>
  </w:num>
  <w:num w:numId="5" w16cid:durableId="736826688">
    <w:abstractNumId w:val="20"/>
  </w:num>
  <w:num w:numId="6" w16cid:durableId="2025356792">
    <w:abstractNumId w:val="3"/>
  </w:num>
  <w:num w:numId="7" w16cid:durableId="913703031">
    <w:abstractNumId w:val="21"/>
  </w:num>
  <w:num w:numId="8" w16cid:durableId="910117811">
    <w:abstractNumId w:val="18"/>
  </w:num>
  <w:num w:numId="9" w16cid:durableId="2064720055">
    <w:abstractNumId w:val="22"/>
  </w:num>
  <w:num w:numId="10" w16cid:durableId="1483158174">
    <w:abstractNumId w:val="5"/>
  </w:num>
  <w:num w:numId="11" w16cid:durableId="1923221430">
    <w:abstractNumId w:val="17"/>
  </w:num>
  <w:num w:numId="12" w16cid:durableId="1172914665">
    <w:abstractNumId w:val="19"/>
  </w:num>
  <w:num w:numId="13" w16cid:durableId="640161499">
    <w:abstractNumId w:val="24"/>
  </w:num>
  <w:num w:numId="14" w16cid:durableId="725107823">
    <w:abstractNumId w:val="26"/>
  </w:num>
  <w:num w:numId="15" w16cid:durableId="276763545">
    <w:abstractNumId w:val="11"/>
  </w:num>
  <w:num w:numId="16" w16cid:durableId="1189368450">
    <w:abstractNumId w:val="10"/>
  </w:num>
  <w:num w:numId="17" w16cid:durableId="91515753">
    <w:abstractNumId w:val="14"/>
  </w:num>
  <w:num w:numId="18" w16cid:durableId="512646586">
    <w:abstractNumId w:val="9"/>
  </w:num>
  <w:num w:numId="19" w16cid:durableId="678971172">
    <w:abstractNumId w:val="8"/>
  </w:num>
  <w:num w:numId="20" w16cid:durableId="1081293715">
    <w:abstractNumId w:val="7"/>
  </w:num>
  <w:num w:numId="21" w16cid:durableId="285475926">
    <w:abstractNumId w:val="15"/>
  </w:num>
  <w:num w:numId="22" w16cid:durableId="869996097">
    <w:abstractNumId w:val="4"/>
  </w:num>
  <w:num w:numId="23" w16cid:durableId="1512331811">
    <w:abstractNumId w:val="6"/>
  </w:num>
  <w:num w:numId="24" w16cid:durableId="1747845871">
    <w:abstractNumId w:val="23"/>
  </w:num>
  <w:num w:numId="25" w16cid:durableId="1887375990">
    <w:abstractNumId w:val="25"/>
  </w:num>
  <w:num w:numId="26" w16cid:durableId="1138837608">
    <w:abstractNumId w:val="2"/>
  </w:num>
  <w:num w:numId="27" w16cid:durableId="7719711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Zeb, Tayyaba">
    <w15:presenceInfo w15:providerId="AD" w15:userId="S::TZeb@cpsc.gov::4acec9a3-b80d-4cf4-b258-5758c5c37b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6C70"/>
    <w:rsid w:val="00021F12"/>
    <w:rsid w:val="000621BA"/>
    <w:rsid w:val="00076F42"/>
    <w:rsid w:val="00081407"/>
    <w:rsid w:val="00094D0C"/>
    <w:rsid w:val="000B06E8"/>
    <w:rsid w:val="000B0E70"/>
    <w:rsid w:val="000C20F0"/>
    <w:rsid w:val="000D14F2"/>
    <w:rsid w:val="000E1876"/>
    <w:rsid w:val="000E7284"/>
    <w:rsid w:val="000F11F1"/>
    <w:rsid w:val="000F6B6B"/>
    <w:rsid w:val="00105421"/>
    <w:rsid w:val="00105F45"/>
    <w:rsid w:val="00125D30"/>
    <w:rsid w:val="00127B46"/>
    <w:rsid w:val="00150C19"/>
    <w:rsid w:val="00167C78"/>
    <w:rsid w:val="00170E47"/>
    <w:rsid w:val="00171742"/>
    <w:rsid w:val="0019309D"/>
    <w:rsid w:val="001A1863"/>
    <w:rsid w:val="001B74A2"/>
    <w:rsid w:val="001F526C"/>
    <w:rsid w:val="00200261"/>
    <w:rsid w:val="00203BC2"/>
    <w:rsid w:val="00211832"/>
    <w:rsid w:val="00221011"/>
    <w:rsid w:val="00222D1B"/>
    <w:rsid w:val="00223D05"/>
    <w:rsid w:val="00232650"/>
    <w:rsid w:val="00235D71"/>
    <w:rsid w:val="0024335E"/>
    <w:rsid w:val="00254DCF"/>
    <w:rsid w:val="002567F9"/>
    <w:rsid w:val="00257138"/>
    <w:rsid w:val="00261460"/>
    <w:rsid w:val="00262442"/>
    <w:rsid w:val="0027743E"/>
    <w:rsid w:val="00294E92"/>
    <w:rsid w:val="002B1ED4"/>
    <w:rsid w:val="002B1F07"/>
    <w:rsid w:val="002B7EBB"/>
    <w:rsid w:val="002D7713"/>
    <w:rsid w:val="002E3DA7"/>
    <w:rsid w:val="002E45C1"/>
    <w:rsid w:val="002E6173"/>
    <w:rsid w:val="00301D83"/>
    <w:rsid w:val="00301E01"/>
    <w:rsid w:val="003132E7"/>
    <w:rsid w:val="00331D7E"/>
    <w:rsid w:val="00337EF1"/>
    <w:rsid w:val="00340D9B"/>
    <w:rsid w:val="0034619E"/>
    <w:rsid w:val="00352C45"/>
    <w:rsid w:val="00354515"/>
    <w:rsid w:val="00356998"/>
    <w:rsid w:val="00370DDD"/>
    <w:rsid w:val="003715FA"/>
    <w:rsid w:val="00385442"/>
    <w:rsid w:val="00394A8A"/>
    <w:rsid w:val="003A1787"/>
    <w:rsid w:val="003A3B3A"/>
    <w:rsid w:val="003B21F6"/>
    <w:rsid w:val="003B6E72"/>
    <w:rsid w:val="003C0540"/>
    <w:rsid w:val="003C2403"/>
    <w:rsid w:val="003D1962"/>
    <w:rsid w:val="003F5196"/>
    <w:rsid w:val="00420AE9"/>
    <w:rsid w:val="00423014"/>
    <w:rsid w:val="00432CAE"/>
    <w:rsid w:val="00433876"/>
    <w:rsid w:val="004702EA"/>
    <w:rsid w:val="00475D66"/>
    <w:rsid w:val="0048014E"/>
    <w:rsid w:val="00480AFF"/>
    <w:rsid w:val="00486235"/>
    <w:rsid w:val="00490797"/>
    <w:rsid w:val="004A1E5D"/>
    <w:rsid w:val="004A21A1"/>
    <w:rsid w:val="004B1562"/>
    <w:rsid w:val="004B51CF"/>
    <w:rsid w:val="004C599F"/>
    <w:rsid w:val="004C74D6"/>
    <w:rsid w:val="004D059D"/>
    <w:rsid w:val="004D2F18"/>
    <w:rsid w:val="004E21AF"/>
    <w:rsid w:val="004E5A91"/>
    <w:rsid w:val="004F4F5D"/>
    <w:rsid w:val="004F5191"/>
    <w:rsid w:val="004F5F67"/>
    <w:rsid w:val="00502FF3"/>
    <w:rsid w:val="00506DD2"/>
    <w:rsid w:val="00510F0C"/>
    <w:rsid w:val="00511997"/>
    <w:rsid w:val="00520B36"/>
    <w:rsid w:val="00545D02"/>
    <w:rsid w:val="00571698"/>
    <w:rsid w:val="00576EDB"/>
    <w:rsid w:val="00580D5B"/>
    <w:rsid w:val="00584CF2"/>
    <w:rsid w:val="00594B6B"/>
    <w:rsid w:val="00596BBA"/>
    <w:rsid w:val="005A4703"/>
    <w:rsid w:val="005A5328"/>
    <w:rsid w:val="005C021D"/>
    <w:rsid w:val="005C3A95"/>
    <w:rsid w:val="005C4D39"/>
    <w:rsid w:val="005C59E3"/>
    <w:rsid w:val="005C7428"/>
    <w:rsid w:val="005D02E2"/>
    <w:rsid w:val="005D27A3"/>
    <w:rsid w:val="005D5C81"/>
    <w:rsid w:val="005E669C"/>
    <w:rsid w:val="005F1CE2"/>
    <w:rsid w:val="00610F7D"/>
    <w:rsid w:val="0061157B"/>
    <w:rsid w:val="0061509A"/>
    <w:rsid w:val="00625E88"/>
    <w:rsid w:val="00633730"/>
    <w:rsid w:val="0063532B"/>
    <w:rsid w:val="00642741"/>
    <w:rsid w:val="006431F7"/>
    <w:rsid w:val="0065245C"/>
    <w:rsid w:val="0065530D"/>
    <w:rsid w:val="00656A78"/>
    <w:rsid w:val="006602FC"/>
    <w:rsid w:val="0066191E"/>
    <w:rsid w:val="0068519E"/>
    <w:rsid w:val="00692A8F"/>
    <w:rsid w:val="00693051"/>
    <w:rsid w:val="006A13FA"/>
    <w:rsid w:val="006B728A"/>
    <w:rsid w:val="006C5121"/>
    <w:rsid w:val="006E504D"/>
    <w:rsid w:val="006E563D"/>
    <w:rsid w:val="006E6A9D"/>
    <w:rsid w:val="006F2DF8"/>
    <w:rsid w:val="00722FDB"/>
    <w:rsid w:val="00751DF8"/>
    <w:rsid w:val="0077261C"/>
    <w:rsid w:val="00776240"/>
    <w:rsid w:val="007770F2"/>
    <w:rsid w:val="007C7C24"/>
    <w:rsid w:val="007E2807"/>
    <w:rsid w:val="007F0569"/>
    <w:rsid w:val="00801AAC"/>
    <w:rsid w:val="00825079"/>
    <w:rsid w:val="00830F87"/>
    <w:rsid w:val="0085688C"/>
    <w:rsid w:val="008635C4"/>
    <w:rsid w:val="008635C6"/>
    <w:rsid w:val="00864D59"/>
    <w:rsid w:val="00870789"/>
    <w:rsid w:val="0087601C"/>
    <w:rsid w:val="008A06EF"/>
    <w:rsid w:val="008A07FB"/>
    <w:rsid w:val="008B2C28"/>
    <w:rsid w:val="008C6CFA"/>
    <w:rsid w:val="008D1294"/>
    <w:rsid w:val="008E3029"/>
    <w:rsid w:val="008E43C7"/>
    <w:rsid w:val="008E4F03"/>
    <w:rsid w:val="008E7B7B"/>
    <w:rsid w:val="00901856"/>
    <w:rsid w:val="00917185"/>
    <w:rsid w:val="00923535"/>
    <w:rsid w:val="00931ACE"/>
    <w:rsid w:val="00932D51"/>
    <w:rsid w:val="009337F6"/>
    <w:rsid w:val="0093629E"/>
    <w:rsid w:val="00941538"/>
    <w:rsid w:val="00941CCC"/>
    <w:rsid w:val="00945F21"/>
    <w:rsid w:val="0094704E"/>
    <w:rsid w:val="00954E76"/>
    <w:rsid w:val="00966D3C"/>
    <w:rsid w:val="009759DB"/>
    <w:rsid w:val="0097621D"/>
    <w:rsid w:val="0098628F"/>
    <w:rsid w:val="00994F2B"/>
    <w:rsid w:val="00996894"/>
    <w:rsid w:val="009A6246"/>
    <w:rsid w:val="009B6C0A"/>
    <w:rsid w:val="009C1DEA"/>
    <w:rsid w:val="009D794E"/>
    <w:rsid w:val="009F2544"/>
    <w:rsid w:val="00A00F99"/>
    <w:rsid w:val="00A07BE1"/>
    <w:rsid w:val="00A12E6F"/>
    <w:rsid w:val="00A1673E"/>
    <w:rsid w:val="00A202FB"/>
    <w:rsid w:val="00A27815"/>
    <w:rsid w:val="00A428B3"/>
    <w:rsid w:val="00A45077"/>
    <w:rsid w:val="00A50A0F"/>
    <w:rsid w:val="00A53FD4"/>
    <w:rsid w:val="00A65095"/>
    <w:rsid w:val="00A74C7C"/>
    <w:rsid w:val="00A76F7E"/>
    <w:rsid w:val="00A77157"/>
    <w:rsid w:val="00A8108C"/>
    <w:rsid w:val="00A85A53"/>
    <w:rsid w:val="00A923BA"/>
    <w:rsid w:val="00AA0B4C"/>
    <w:rsid w:val="00AA0BE1"/>
    <w:rsid w:val="00AA12A5"/>
    <w:rsid w:val="00AB1C0B"/>
    <w:rsid w:val="00AB64CF"/>
    <w:rsid w:val="00AC28F8"/>
    <w:rsid w:val="00AC4B87"/>
    <w:rsid w:val="00AC4C47"/>
    <w:rsid w:val="00AD2FE5"/>
    <w:rsid w:val="00AD3C82"/>
    <w:rsid w:val="00AE726B"/>
    <w:rsid w:val="00AF38DF"/>
    <w:rsid w:val="00B009B0"/>
    <w:rsid w:val="00B045F7"/>
    <w:rsid w:val="00B07539"/>
    <w:rsid w:val="00B11975"/>
    <w:rsid w:val="00B11C33"/>
    <w:rsid w:val="00B215E2"/>
    <w:rsid w:val="00B25CA4"/>
    <w:rsid w:val="00B30D76"/>
    <w:rsid w:val="00B312A2"/>
    <w:rsid w:val="00B52F4E"/>
    <w:rsid w:val="00B55E9F"/>
    <w:rsid w:val="00B6033F"/>
    <w:rsid w:val="00B836AE"/>
    <w:rsid w:val="00B90B15"/>
    <w:rsid w:val="00B933B0"/>
    <w:rsid w:val="00B942D1"/>
    <w:rsid w:val="00B945D4"/>
    <w:rsid w:val="00B96C07"/>
    <w:rsid w:val="00B96C42"/>
    <w:rsid w:val="00BA11CF"/>
    <w:rsid w:val="00BB5EF1"/>
    <w:rsid w:val="00BC5023"/>
    <w:rsid w:val="00BD2CD2"/>
    <w:rsid w:val="00BD7755"/>
    <w:rsid w:val="00BE6408"/>
    <w:rsid w:val="00C33684"/>
    <w:rsid w:val="00C57F5B"/>
    <w:rsid w:val="00C62D17"/>
    <w:rsid w:val="00C62D3F"/>
    <w:rsid w:val="00C667EE"/>
    <w:rsid w:val="00C74098"/>
    <w:rsid w:val="00C808F4"/>
    <w:rsid w:val="00C919B8"/>
    <w:rsid w:val="00C97147"/>
    <w:rsid w:val="00CA15B1"/>
    <w:rsid w:val="00CB2CF9"/>
    <w:rsid w:val="00CC24D5"/>
    <w:rsid w:val="00CC2835"/>
    <w:rsid w:val="00CC44D4"/>
    <w:rsid w:val="00CE46C1"/>
    <w:rsid w:val="00CF2ED3"/>
    <w:rsid w:val="00CF52ED"/>
    <w:rsid w:val="00D04233"/>
    <w:rsid w:val="00D07659"/>
    <w:rsid w:val="00D21AA6"/>
    <w:rsid w:val="00D257A1"/>
    <w:rsid w:val="00D2620B"/>
    <w:rsid w:val="00D455FC"/>
    <w:rsid w:val="00D462F7"/>
    <w:rsid w:val="00D52997"/>
    <w:rsid w:val="00D65D47"/>
    <w:rsid w:val="00D734A2"/>
    <w:rsid w:val="00D91816"/>
    <w:rsid w:val="00DA2B37"/>
    <w:rsid w:val="00DD2E53"/>
    <w:rsid w:val="00DD6289"/>
    <w:rsid w:val="00DF149F"/>
    <w:rsid w:val="00DF4D59"/>
    <w:rsid w:val="00E0101B"/>
    <w:rsid w:val="00E04A9C"/>
    <w:rsid w:val="00E05EA0"/>
    <w:rsid w:val="00E111C4"/>
    <w:rsid w:val="00E53B22"/>
    <w:rsid w:val="00E5409A"/>
    <w:rsid w:val="00E60E07"/>
    <w:rsid w:val="00E654EC"/>
    <w:rsid w:val="00E65D41"/>
    <w:rsid w:val="00E87A4E"/>
    <w:rsid w:val="00E95FFB"/>
    <w:rsid w:val="00E964EC"/>
    <w:rsid w:val="00EA2FF4"/>
    <w:rsid w:val="00EA5B80"/>
    <w:rsid w:val="00EA6C04"/>
    <w:rsid w:val="00EB08B6"/>
    <w:rsid w:val="00EB5D4A"/>
    <w:rsid w:val="00EC222A"/>
    <w:rsid w:val="00EC3476"/>
    <w:rsid w:val="00ED7C5B"/>
    <w:rsid w:val="00F0224F"/>
    <w:rsid w:val="00F14AC0"/>
    <w:rsid w:val="00F217B2"/>
    <w:rsid w:val="00F25499"/>
    <w:rsid w:val="00F30A9F"/>
    <w:rsid w:val="00F40CC9"/>
    <w:rsid w:val="00F440D4"/>
    <w:rsid w:val="00F518FB"/>
    <w:rsid w:val="00F61252"/>
    <w:rsid w:val="00F61D6F"/>
    <w:rsid w:val="00F67990"/>
    <w:rsid w:val="00F721F3"/>
    <w:rsid w:val="00F86C35"/>
    <w:rsid w:val="00F906F8"/>
    <w:rsid w:val="00F950EB"/>
    <w:rsid w:val="00F97482"/>
    <w:rsid w:val="00FB53A6"/>
    <w:rsid w:val="00FB569C"/>
    <w:rsid w:val="00FB5BC6"/>
    <w:rsid w:val="00FD6918"/>
    <w:rsid w:val="00FE7E53"/>
    <w:rsid w:val="00FF2D52"/>
    <w:rsid w:val="00FF2D8D"/>
    <w:rsid w:val="14A21B17"/>
    <w:rsid w:val="40BAE865"/>
    <w:rsid w:val="70CB63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BBBD51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5EF1"/>
    <w:pPr>
      <w:autoSpaceDE w:val="0"/>
      <w:autoSpaceDN w:val="0"/>
      <w:adjustRightInd w:val="0"/>
      <w:spacing w:after="0" w:line="240" w:lineRule="auto"/>
      <w:ind w:left="40"/>
    </w:pPr>
    <w:rPr>
      <w:rFonts w:ascii="Cambria" w:hAnsi="Cambria" w:cs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B5EF1"/>
    <w:rPr>
      <w:rFonts w:ascii="Cambria" w:hAnsi="Cambria" w:cs="Cambria"/>
      <w:sz w:val="18"/>
      <w:szCs w:val="18"/>
    </w:rPr>
  </w:style>
  <w:style w:type="paragraph" w:customStyle="1" w:styleId="Default">
    <w:name w:val="Default"/>
    <w:rsid w:val="003D19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F3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8D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C07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C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C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6DD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0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0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psc.gov/Business--Manufacturing/Small-Business-Resource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ACB156F469B4A93A5D430B492853F" ma:contentTypeVersion="12" ma:contentTypeDescription="Create a new document." ma:contentTypeScope="" ma:versionID="9548efff79549f343971e0de626b8a1f">
  <xsd:schema xmlns:xsd="http://www.w3.org/2001/XMLSchema" xmlns:xs="http://www.w3.org/2001/XMLSchema" xmlns:p="http://schemas.microsoft.com/office/2006/metadata/properties" xmlns:ns2="81d5c1c9-3c8a-41e1-921b-abb7aea3d9aa" xmlns:ns3="9287dbbc-a89a-4499-b4ce-0d8d138f1174" targetNamespace="http://schemas.microsoft.com/office/2006/metadata/properties" ma:root="true" ma:fieldsID="7e0dfbf90d8eec7f3536bef0da5302cf" ns2:_="" ns3:_="">
    <xsd:import namespace="81d5c1c9-3c8a-41e1-921b-abb7aea3d9aa"/>
    <xsd:import namespace="9287dbbc-a89a-4499-b4ce-0d8d138f1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1c9-3c8a-41e1-921b-abb7aea3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dbbc-a89a-4499-b4ce-0d8d138f1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e7259-5053-4d93-8f7e-f2bb5895ab9d}" ma:internalName="TaxCatchAll" ma:showField="CatchAllData" ma:web="9287dbbc-a89a-4499-b4ce-0d8d138f1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7dbbc-a89a-4499-b4ce-0d8d138f1174" xsi:nil="true"/>
    <lcf76f155ced4ddcb4097134ff3c332f xmlns="81d5c1c9-3c8a-41e1-921b-abb7aea3d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15E019-1740-4A2C-92FC-4B5D804D6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D9617-1A7F-4B3C-B844-3FC334A3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c1c9-3c8a-41e1-921b-abb7aea3d9aa"/>
    <ds:schemaRef ds:uri="9287dbbc-a89a-4499-b4ce-0d8d138f1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C06C-6705-471E-984A-1D12580B4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240B4-0ACF-4D54-9A72-143B021BA6BF}">
  <ds:schemaRefs>
    <ds:schemaRef ds:uri="http://schemas.microsoft.com/office/2006/metadata/properties"/>
    <ds:schemaRef ds:uri="http://schemas.microsoft.com/office/infopath/2007/PartnerControls"/>
    <ds:schemaRef ds:uri="9287dbbc-a89a-4499-b4ce-0d8d138f1174"/>
    <ds:schemaRef ds:uri="81d5c1c9-3c8a-41e1-921b-abb7aea3d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1596</Words>
  <Characters>8909</Characters>
  <Application>Microsoft Office Word</Application>
  <DocSecurity>0</DocSecurity>
  <Lines>212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Gillham, Cynthia</dc:creator>
  <cp:lastModifiedBy>Gillham, Cynthia</cp:lastModifiedBy>
  <cp:revision>17</cp:revision>
  <cp:lastPrinted>2016-09-20T19:55:00Z</cp:lastPrinted>
  <dcterms:created xsi:type="dcterms:W3CDTF">2025-12-16T18:02:00Z</dcterms:created>
  <dcterms:modified xsi:type="dcterms:W3CDTF">2025-12-17T16:16:00Z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0x010100510ACB156F469B4A93A5D430B492853F</vt:lpwstr>
  </property>
  <property fmtid="{D5CDD505-2E9C-101B-9397-08002B2CF9AE}" pid="3" name="MediaServiceImageTags">
    <vt:lpwstr/>
  </property>
</Properties>
</file>