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3FFD" w:rsidRPr="00523FFD" w:rsidP="00E42D10" w14:paraId="446D9226" w14:textId="080C0039">
      <w:pPr>
        <w:suppressAutoHyphens/>
        <w:spacing w:after="240"/>
        <w:jc w:val="center"/>
        <w:rPr>
          <w:b/>
          <w:szCs w:val="24"/>
        </w:rPr>
      </w:pPr>
      <w:r w:rsidRPr="00642B6A">
        <w:rPr>
          <w:rFonts w:eastAsia="Times New Roman" w:cs="Times New Roman"/>
          <w:b/>
          <w:szCs w:val="24"/>
        </w:rPr>
        <w:t xml:space="preserve">SUPPORTING STATEMENT FOR </w:t>
      </w:r>
      <w:r w:rsidRPr="00523FFD">
        <w:rPr>
          <w:b/>
          <w:szCs w:val="24"/>
        </w:rPr>
        <w:t>INFORMATION COLLECTIONS</w:t>
      </w:r>
    </w:p>
    <w:p w:rsidR="006A6C24" w:rsidP="00E42D10" w14:paraId="6021B43A" w14:textId="77777777">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Pr>
          <w:rFonts w:eastAsia="Times New Roman" w:cs="Times New Roman"/>
          <w:b/>
          <w:szCs w:val="24"/>
        </w:rPr>
        <w:t>0013</w:t>
      </w:r>
    </w:p>
    <w:p w:rsidR="00130C80" w:rsidP="00E42D10" w14:paraId="5BC4EAF2" w14:textId="5B337523">
      <w:pPr>
        <w:tabs>
          <w:tab w:val="center" w:pos="4680"/>
        </w:tabs>
        <w:suppressAutoHyphens/>
        <w:spacing w:after="240"/>
        <w:jc w:val="center"/>
        <w:rPr>
          <w:rFonts w:eastAsia="Times New Roman" w:cs="Times New Roman"/>
          <w:b/>
          <w:szCs w:val="24"/>
        </w:rPr>
      </w:pPr>
      <w:r>
        <w:rPr>
          <w:rFonts w:eastAsia="Times New Roman" w:cs="Times New Roman"/>
          <w:b/>
          <w:szCs w:val="24"/>
        </w:rPr>
        <w:t>Position Limits</w:t>
      </w:r>
    </w:p>
    <w:p w:rsidR="00642B6A" w:rsidRPr="009806FE" w:rsidP="00E42D10" w14:paraId="4EDD308C" w14:textId="77777777">
      <w:pPr>
        <w:spacing w:after="240"/>
        <w:outlineLvl w:val="0"/>
        <w:rPr>
          <w:rFonts w:eastAsia="Times New Roman" w:cs="Times New Roman"/>
          <w:b/>
          <w:szCs w:val="24"/>
        </w:rPr>
      </w:pPr>
      <w:r w:rsidRPr="009806FE">
        <w:rPr>
          <w:rFonts w:eastAsia="Times New Roman" w:cs="Times New Roman"/>
          <w:b/>
          <w:szCs w:val="24"/>
        </w:rPr>
        <w:t>Justification</w:t>
      </w:r>
    </w:p>
    <w:p w:rsidR="00642B6A" w:rsidRPr="009806FE" w:rsidP="00E42D10" w14:paraId="169C41A1" w14:textId="77777777">
      <w:pPr>
        <w:tabs>
          <w:tab w:val="left" w:pos="-720"/>
          <w:tab w:val="left" w:pos="0"/>
        </w:tabs>
        <w:spacing w:after="240"/>
        <w:ind w:left="720" w:hanging="720"/>
        <w:jc w:val="both"/>
        <w:rPr>
          <w:rFonts w:eastAsia="Times New Roman" w:cs="Times New Roman"/>
          <w:szCs w:val="24"/>
        </w:rPr>
      </w:pPr>
      <w:r w:rsidRPr="009806FE">
        <w:rPr>
          <w:rFonts w:eastAsia="Times New Roman" w:cs="Times New Roman"/>
          <w:b/>
          <w:szCs w:val="24"/>
        </w:rPr>
        <w:t>1.</w:t>
      </w:r>
      <w:r w:rsidRPr="009806FE">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7C5F" w:rsidRPr="009806FE" w:rsidP="00E42D10" w14:paraId="038E7E01" w14:textId="77777777">
      <w:pPr>
        <w:autoSpaceDE w:val="0"/>
        <w:autoSpaceDN w:val="0"/>
        <w:adjustRightInd w:val="0"/>
        <w:spacing w:after="240"/>
        <w:ind w:firstLine="720"/>
        <w:jc w:val="both"/>
        <w:rPr>
          <w:rFonts w:eastAsia="Times New Roman" w:cs="Times New Roman"/>
          <w:color w:val="000000"/>
          <w:szCs w:val="24"/>
        </w:rPr>
      </w:pPr>
      <w:r w:rsidRPr="009806FE">
        <w:rPr>
          <w:rFonts w:eastAsia="Times New Roman" w:cs="Times New Roman"/>
          <w:color w:val="000000"/>
          <w:szCs w:val="24"/>
        </w:rPr>
        <w:t>On July 21, 2010, the Dodd-Frank Wall Street Reform and Consumer Protection Act (“Dodd-</w:t>
      </w:r>
      <w:r w:rsidRPr="009806FE" w:rsidR="00130C80">
        <w:rPr>
          <w:rFonts w:eastAsia="Times New Roman" w:cs="Times New Roman"/>
          <w:color w:val="000000"/>
          <w:szCs w:val="24"/>
        </w:rPr>
        <w:t xml:space="preserve">Frank Act”) went into effect.  </w:t>
      </w:r>
      <w:r w:rsidRPr="009806FE" w:rsidR="006F7E00">
        <w:rPr>
          <w:rFonts w:eastAsia="Times New Roman" w:cs="Times New Roman"/>
          <w:color w:val="000000"/>
          <w:szCs w:val="24"/>
        </w:rPr>
        <w:t>Section 737</w:t>
      </w:r>
      <w:r w:rsidRPr="009806FE">
        <w:rPr>
          <w:rFonts w:eastAsia="Times New Roman" w:cs="Times New Roman"/>
          <w:color w:val="000000"/>
          <w:szCs w:val="24"/>
        </w:rPr>
        <w:t xml:space="preserve"> of the Dodd-Frank Act amend</w:t>
      </w:r>
      <w:r w:rsidRPr="009806FE" w:rsidR="006F7E00">
        <w:rPr>
          <w:rFonts w:eastAsia="Times New Roman" w:cs="Times New Roman"/>
          <w:color w:val="000000"/>
          <w:szCs w:val="24"/>
        </w:rPr>
        <w:t>ed</w:t>
      </w:r>
      <w:r w:rsidRPr="009806FE">
        <w:rPr>
          <w:rFonts w:eastAsia="Times New Roman" w:cs="Times New Roman"/>
          <w:color w:val="000000"/>
          <w:szCs w:val="24"/>
        </w:rPr>
        <w:t xml:space="preserve"> </w:t>
      </w:r>
      <w:r w:rsidRPr="009806FE" w:rsidR="006F7E00">
        <w:rPr>
          <w:rFonts w:eastAsia="Times New Roman" w:cs="Times New Roman"/>
          <w:color w:val="000000"/>
          <w:szCs w:val="24"/>
        </w:rPr>
        <w:t xml:space="preserve">section 4a of </w:t>
      </w:r>
      <w:r w:rsidRPr="009806FE">
        <w:rPr>
          <w:rFonts w:eastAsia="Times New Roman" w:cs="Times New Roman"/>
          <w:color w:val="000000"/>
          <w:szCs w:val="24"/>
        </w:rPr>
        <w:t>the Commodity</w:t>
      </w:r>
      <w:r w:rsidRPr="009806FE" w:rsidR="00305637">
        <w:rPr>
          <w:rFonts w:eastAsia="Times New Roman" w:cs="Times New Roman"/>
          <w:color w:val="000000"/>
          <w:szCs w:val="24"/>
        </w:rPr>
        <w:t xml:space="preserve"> Exchange Act (“CEA” or “Act”) </w:t>
      </w:r>
      <w:r w:rsidRPr="009806FE" w:rsidR="006F7E00">
        <w:rPr>
          <w:rFonts w:eastAsia="Times New Roman" w:cs="Times New Roman"/>
          <w:color w:val="000000"/>
          <w:szCs w:val="24"/>
        </w:rPr>
        <w:t xml:space="preserve">and specifically directed the </w:t>
      </w:r>
      <w:r w:rsidRPr="009806FE">
        <w:rPr>
          <w:rFonts w:eastAsia="Times New Roman" w:cs="Times New Roman"/>
          <w:color w:val="000000"/>
          <w:szCs w:val="24"/>
        </w:rPr>
        <w:t>Commodity Futures Trading Commission (“C</w:t>
      </w:r>
      <w:r w:rsidRPr="009806FE" w:rsidR="00AC4DF9">
        <w:rPr>
          <w:rFonts w:eastAsia="Times New Roman" w:cs="Times New Roman"/>
          <w:color w:val="000000"/>
          <w:szCs w:val="24"/>
        </w:rPr>
        <w:t>ommission</w:t>
      </w:r>
      <w:r w:rsidRPr="009806FE">
        <w:rPr>
          <w:rFonts w:eastAsia="Times New Roman" w:cs="Times New Roman"/>
          <w:color w:val="000000"/>
          <w:szCs w:val="24"/>
        </w:rPr>
        <w:t xml:space="preserve">”) </w:t>
      </w:r>
      <w:r w:rsidRPr="009806FE" w:rsidR="006F7E00">
        <w:rPr>
          <w:rFonts w:eastAsia="Times New Roman" w:cs="Times New Roman"/>
          <w:color w:val="000000"/>
          <w:szCs w:val="24"/>
        </w:rPr>
        <w:t xml:space="preserve">to </w:t>
      </w:r>
      <w:r w:rsidRPr="009806FE">
        <w:rPr>
          <w:rFonts w:eastAsia="Times New Roman" w:cs="Times New Roman"/>
          <w:color w:val="000000"/>
          <w:szCs w:val="24"/>
        </w:rPr>
        <w:t xml:space="preserve">establish </w:t>
      </w:r>
      <w:r w:rsidRPr="009806FE" w:rsidR="00D94060">
        <w:rPr>
          <w:rFonts w:eastAsia="Times New Roman" w:cs="Times New Roman"/>
          <w:color w:val="000000"/>
          <w:szCs w:val="24"/>
        </w:rPr>
        <w:t xml:space="preserve">limits on </w:t>
      </w:r>
      <w:r w:rsidRPr="009806FE">
        <w:rPr>
          <w:rFonts w:eastAsia="Times New Roman" w:cs="Times New Roman"/>
          <w:color w:val="000000"/>
          <w:szCs w:val="24"/>
        </w:rPr>
        <w:t>position</w:t>
      </w:r>
      <w:r w:rsidRPr="009806FE" w:rsidR="009E317C">
        <w:rPr>
          <w:rFonts w:eastAsia="Times New Roman" w:cs="Times New Roman"/>
          <w:color w:val="000000"/>
          <w:szCs w:val="24"/>
        </w:rPr>
        <w:t>s</w:t>
      </w:r>
      <w:r w:rsidRPr="009806FE" w:rsidR="00036389">
        <w:rPr>
          <w:rFonts w:eastAsia="Times New Roman" w:cs="Times New Roman"/>
          <w:color w:val="000000"/>
          <w:szCs w:val="24"/>
        </w:rPr>
        <w:t>, as the Commission determines to be necessary,</w:t>
      </w:r>
      <w:r w:rsidRPr="009806FE">
        <w:rPr>
          <w:rFonts w:eastAsia="Times New Roman" w:cs="Times New Roman"/>
          <w:color w:val="000000"/>
          <w:szCs w:val="24"/>
        </w:rPr>
        <w:t xml:space="preserve"> </w:t>
      </w:r>
      <w:r w:rsidRPr="009806FE" w:rsidR="006F7E00">
        <w:rPr>
          <w:rFonts w:eastAsia="Times New Roman" w:cs="Times New Roman"/>
          <w:color w:val="000000"/>
          <w:szCs w:val="24"/>
        </w:rPr>
        <w:t>for exchange traded futures</w:t>
      </w:r>
      <w:r w:rsidRPr="009806FE" w:rsidR="00DB0099">
        <w:rPr>
          <w:rFonts w:eastAsia="Times New Roman" w:cs="Times New Roman"/>
          <w:color w:val="000000"/>
          <w:szCs w:val="24"/>
        </w:rPr>
        <w:t>, including any</w:t>
      </w:r>
      <w:r w:rsidRPr="009806FE" w:rsidR="006F7E00">
        <w:rPr>
          <w:rFonts w:eastAsia="Times New Roman" w:cs="Times New Roman"/>
          <w:color w:val="000000"/>
          <w:szCs w:val="24"/>
        </w:rPr>
        <w:t xml:space="preserve"> option contract thereon</w:t>
      </w:r>
      <w:r w:rsidRPr="009806FE" w:rsidR="00DB0099">
        <w:rPr>
          <w:rFonts w:eastAsia="Times New Roman" w:cs="Times New Roman"/>
          <w:color w:val="000000"/>
          <w:szCs w:val="24"/>
        </w:rPr>
        <w:t>,</w:t>
      </w:r>
      <w:r w:rsidRPr="009806FE" w:rsidR="006F7E00">
        <w:rPr>
          <w:rFonts w:eastAsia="Times New Roman" w:cs="Times New Roman"/>
          <w:color w:val="000000"/>
          <w:szCs w:val="24"/>
        </w:rPr>
        <w:t xml:space="preserve"> </w:t>
      </w:r>
      <w:r w:rsidRPr="009806FE">
        <w:rPr>
          <w:rFonts w:eastAsia="Times New Roman" w:cs="Times New Roman"/>
          <w:color w:val="000000"/>
          <w:szCs w:val="24"/>
        </w:rPr>
        <w:t xml:space="preserve"> and swaps that are economically equivalent to </w:t>
      </w:r>
      <w:r w:rsidRPr="009806FE" w:rsidR="006F7E00">
        <w:rPr>
          <w:rFonts w:eastAsia="Times New Roman" w:cs="Times New Roman"/>
          <w:color w:val="000000"/>
          <w:szCs w:val="24"/>
        </w:rPr>
        <w:t>those</w:t>
      </w:r>
      <w:r w:rsidRPr="009806FE" w:rsidR="008F5C89">
        <w:rPr>
          <w:rFonts w:eastAsia="Times New Roman" w:cs="Times New Roman"/>
          <w:color w:val="000000"/>
          <w:szCs w:val="24"/>
        </w:rPr>
        <w:t xml:space="preserve"> contracts</w:t>
      </w:r>
      <w:r w:rsidRPr="009806FE" w:rsidR="006F7E00">
        <w:rPr>
          <w:rFonts w:eastAsia="Times New Roman" w:cs="Times New Roman"/>
          <w:color w:val="000000"/>
          <w:szCs w:val="24"/>
        </w:rPr>
        <w:t xml:space="preserve"> for physical commodities</w:t>
      </w:r>
      <w:r w:rsidRPr="009806FE" w:rsidR="008E3891">
        <w:rPr>
          <w:rFonts w:eastAsia="Times New Roman" w:cs="Times New Roman"/>
          <w:color w:val="000000"/>
          <w:szCs w:val="24"/>
        </w:rPr>
        <w:t xml:space="preserve"> other than excluded commodities</w:t>
      </w:r>
      <w:r w:rsidRPr="009806FE" w:rsidR="00DB0099">
        <w:rPr>
          <w:rFonts w:eastAsia="Times New Roman" w:cs="Times New Roman"/>
          <w:color w:val="000000"/>
          <w:szCs w:val="24"/>
        </w:rPr>
        <w:t>, as appropriate</w:t>
      </w:r>
      <w:r w:rsidRPr="009806FE" w:rsidR="008F5C89">
        <w:rPr>
          <w:rFonts w:eastAsia="Times New Roman" w:cs="Times New Roman"/>
          <w:color w:val="000000"/>
          <w:szCs w:val="24"/>
        </w:rPr>
        <w:t>.</w:t>
      </w:r>
      <w:r>
        <w:rPr>
          <w:rStyle w:val="FootnoteReference"/>
          <w:rFonts w:eastAsia="Times New Roman" w:cs="Times New Roman"/>
          <w:color w:val="000000"/>
          <w:szCs w:val="24"/>
        </w:rPr>
        <w:footnoteReference w:id="3"/>
      </w:r>
      <w:r w:rsidRPr="009806FE" w:rsidR="008F5C89">
        <w:rPr>
          <w:rFonts w:eastAsia="Times New Roman" w:cs="Times New Roman"/>
          <w:color w:val="000000"/>
          <w:szCs w:val="24"/>
        </w:rPr>
        <w:t xml:space="preserve">  </w:t>
      </w:r>
      <w:r w:rsidRPr="009806FE">
        <w:rPr>
          <w:rFonts w:eastAsia="Times New Roman" w:cs="Times New Roman"/>
          <w:color w:val="000000"/>
          <w:szCs w:val="24"/>
        </w:rPr>
        <w:t xml:space="preserve">CEA </w:t>
      </w:r>
      <w:r w:rsidRPr="009806FE">
        <w:rPr>
          <w:rFonts w:eastAsia="Calibri" w:cs="Times New Roman"/>
          <w:szCs w:val="24"/>
        </w:rPr>
        <w:t>section 4a directs the Commission to establish limits on speculative positions</w:t>
      </w:r>
      <w:r w:rsidRPr="009806FE" w:rsidR="00D876AD">
        <w:rPr>
          <w:rFonts w:eastAsia="Calibri" w:cs="Times New Roman"/>
          <w:szCs w:val="24"/>
        </w:rPr>
        <w:t>,</w:t>
      </w:r>
      <w:r w:rsidRPr="009806FE" w:rsidR="00CA3865">
        <w:rPr>
          <w:rFonts w:eastAsia="Calibri" w:cs="Times New Roman"/>
          <w:szCs w:val="24"/>
        </w:rPr>
        <w:t xml:space="preserve"> as </w:t>
      </w:r>
      <w:r w:rsidRPr="009806FE" w:rsidR="00036389">
        <w:rPr>
          <w:rFonts w:eastAsia="Calibri" w:cs="Times New Roman"/>
          <w:szCs w:val="24"/>
        </w:rPr>
        <w:t>the Commission determines to be necessary</w:t>
      </w:r>
      <w:r w:rsidRPr="009806FE" w:rsidR="00D876AD">
        <w:rPr>
          <w:rFonts w:eastAsia="Calibri" w:cs="Times New Roman"/>
          <w:szCs w:val="24"/>
        </w:rPr>
        <w:t>,</w:t>
      </w:r>
      <w:r w:rsidRPr="009806FE">
        <w:rPr>
          <w:rFonts w:eastAsia="Calibri" w:cs="Times New Roman"/>
          <w:szCs w:val="24"/>
        </w:rPr>
        <w:t xml:space="preserve"> to prevent the harms caused by excessive speculation.</w:t>
      </w:r>
    </w:p>
    <w:p w:rsidR="00642B6A" w:rsidRPr="009806FE" w:rsidP="00E42D10" w14:paraId="593692C8" w14:textId="74E89D64">
      <w:pPr>
        <w:autoSpaceDE w:val="0"/>
        <w:autoSpaceDN w:val="0"/>
        <w:adjustRightInd w:val="0"/>
        <w:spacing w:after="240"/>
        <w:ind w:firstLine="720"/>
        <w:jc w:val="both"/>
        <w:rPr>
          <w:rFonts w:eastAsia="Times New Roman" w:cs="Times New Roman"/>
          <w:color w:val="000000"/>
          <w:szCs w:val="24"/>
        </w:rPr>
      </w:pPr>
      <w:r w:rsidRPr="7F40232B">
        <w:rPr>
          <w:rFonts w:eastAsia="Times New Roman" w:cs="Times New Roman"/>
          <w:color w:val="000000"/>
        </w:rPr>
        <w:t>On January 30</w:t>
      </w:r>
      <w:r w:rsidRPr="7F40232B" w:rsidR="7F855C37">
        <w:rPr>
          <w:rFonts w:eastAsia="Times New Roman" w:cs="Times New Roman"/>
          <w:color w:val="000000"/>
        </w:rPr>
        <w:t xml:space="preserve">, 2020, the Commission approved a proposed </w:t>
      </w:r>
      <w:r w:rsidRPr="7F40232B" w:rsidR="68001711">
        <w:rPr>
          <w:rFonts w:eastAsia="Times New Roman" w:cs="Times New Roman"/>
          <w:color w:val="000000"/>
        </w:rPr>
        <w:t xml:space="preserve">rulemaking </w:t>
      </w:r>
      <w:r w:rsidRPr="7F40232B" w:rsidR="714332E0">
        <w:rPr>
          <w:rFonts w:eastAsia="Times New Roman" w:cs="Times New Roman"/>
          <w:color w:val="000000"/>
        </w:rPr>
        <w:t xml:space="preserve">on speculative position limits </w:t>
      </w:r>
      <w:r w:rsidRPr="7F40232B" w:rsidR="7F855C37">
        <w:rPr>
          <w:rFonts w:eastAsia="Times New Roman" w:cs="Times New Roman"/>
          <w:color w:val="000000"/>
        </w:rPr>
        <w:t xml:space="preserve">to conform to </w:t>
      </w:r>
      <w:r w:rsidRPr="7F40232B" w:rsidR="4B8215F5">
        <w:rPr>
          <w:rFonts w:eastAsia="Times New Roman" w:cs="Times New Roman"/>
          <w:color w:val="000000"/>
        </w:rPr>
        <w:t xml:space="preserve">the Dodd-Frank Act </w:t>
      </w:r>
      <w:r w:rsidRPr="7F40232B" w:rsidR="1E17472E">
        <w:rPr>
          <w:rFonts w:eastAsia="Times New Roman" w:cs="Times New Roman"/>
          <w:color w:val="000000"/>
        </w:rPr>
        <w:t xml:space="preserve">amendments to </w:t>
      </w:r>
      <w:r w:rsidRPr="7F40232B" w:rsidR="0BFAD3D1">
        <w:rPr>
          <w:rFonts w:eastAsia="Times New Roman" w:cs="Times New Roman"/>
          <w:color w:val="000000"/>
        </w:rPr>
        <w:t>CEA section 4a</w:t>
      </w:r>
      <w:r w:rsidRPr="7F40232B" w:rsidR="3CB1724B">
        <w:rPr>
          <w:rFonts w:eastAsia="Times New Roman" w:cs="Times New Roman"/>
          <w:color w:val="000000"/>
        </w:rPr>
        <w:t xml:space="preserve"> (“2020 Proposal”)</w:t>
      </w:r>
      <w:r w:rsidRPr="7F40232B" w:rsidR="1E17472E">
        <w:rPr>
          <w:rFonts w:eastAsia="Times New Roman" w:cs="Times New Roman"/>
          <w:color w:val="000000"/>
        </w:rPr>
        <w:t>.</w:t>
      </w:r>
      <w:r>
        <w:rPr>
          <w:rStyle w:val="FootnoteReference"/>
          <w:rFonts w:eastAsia="Times New Roman" w:cs="Times New Roman"/>
          <w:color w:val="000000"/>
        </w:rPr>
        <w:footnoteReference w:id="4"/>
      </w:r>
      <w:r w:rsidRPr="7F40232B" w:rsidR="0620797D">
        <w:rPr>
          <w:rFonts w:eastAsia="Times New Roman" w:cs="Times New Roman"/>
          <w:color w:val="000000"/>
        </w:rPr>
        <w:t xml:space="preserve"> </w:t>
      </w:r>
      <w:r w:rsidRPr="7F40232B" w:rsidR="2903DE46">
        <w:rPr>
          <w:rFonts w:eastAsia="Times New Roman" w:cs="Times New Roman"/>
          <w:color w:val="000000"/>
        </w:rPr>
        <w:t xml:space="preserve"> On October 15</w:t>
      </w:r>
      <w:r w:rsidRPr="7F40232B" w:rsidR="0620797D">
        <w:rPr>
          <w:rFonts w:eastAsia="Times New Roman" w:cs="Times New Roman"/>
          <w:color w:val="000000"/>
        </w:rPr>
        <w:t xml:space="preserve">, 2020, the Commission </w:t>
      </w:r>
      <w:r w:rsidRPr="7F40232B" w:rsidR="2903DE46">
        <w:rPr>
          <w:rFonts w:eastAsia="Times New Roman" w:cs="Times New Roman"/>
          <w:color w:val="000000"/>
        </w:rPr>
        <w:t xml:space="preserve">voted 3-2 to adopt </w:t>
      </w:r>
      <w:r w:rsidRPr="7F40232B" w:rsidR="27AFDD8D">
        <w:rPr>
          <w:rFonts w:eastAsia="Times New Roman" w:cs="Times New Roman"/>
          <w:color w:val="000000"/>
        </w:rPr>
        <w:t>the 2020 Proposal with certain amendments</w:t>
      </w:r>
      <w:r w:rsidRPr="7F40232B" w:rsidR="2903DE46">
        <w:rPr>
          <w:rFonts w:eastAsia="Times New Roman" w:cs="Times New Roman"/>
          <w:color w:val="000000"/>
        </w:rPr>
        <w:t xml:space="preserve"> (“Final Rule”).</w:t>
      </w:r>
      <w:r>
        <w:rPr>
          <w:rStyle w:val="FootnoteReference"/>
          <w:rFonts w:eastAsia="Times New Roman" w:cs="Times New Roman"/>
          <w:color w:val="000000"/>
        </w:rPr>
        <w:footnoteReference w:id="5"/>
      </w:r>
    </w:p>
    <w:p w:rsidR="00060FB7" w:rsidRPr="009806FE" w:rsidP="00E42D10" w14:paraId="4CA7F8D3" w14:textId="00B9C80A">
      <w:pPr>
        <w:spacing w:after="240"/>
        <w:ind w:firstLine="720"/>
        <w:jc w:val="both"/>
        <w:rPr>
          <w:rFonts w:cs="Times New Roman"/>
          <w:szCs w:val="24"/>
        </w:rPr>
      </w:pPr>
      <w:r w:rsidRPr="7F40232B">
        <w:rPr>
          <w:rFonts w:eastAsia="Calibri" w:cs="Times New Roman"/>
          <w:color w:val="000000" w:themeColor="text1"/>
        </w:rPr>
        <w:t xml:space="preserve">OMB </w:t>
      </w:r>
      <w:r w:rsidR="00920EDD">
        <w:rPr>
          <w:rFonts w:eastAsia="Calibri" w:cs="Times New Roman"/>
          <w:color w:val="000000" w:themeColor="text1"/>
        </w:rPr>
        <w:t xml:space="preserve">control number </w:t>
      </w:r>
      <w:r w:rsidRPr="7F40232B">
        <w:rPr>
          <w:rFonts w:eastAsia="Calibri" w:cs="Times New Roman"/>
          <w:color w:val="000000" w:themeColor="text1"/>
        </w:rPr>
        <w:t>3038-0013 also includes information collection</w:t>
      </w:r>
      <w:r w:rsidR="00360644">
        <w:rPr>
          <w:rFonts w:eastAsia="Calibri" w:cs="Times New Roman"/>
          <w:color w:val="000000" w:themeColor="text1"/>
        </w:rPr>
        <w:t>s</w:t>
      </w:r>
      <w:r w:rsidRPr="7F40232B">
        <w:rPr>
          <w:rFonts w:eastAsia="Calibri" w:cs="Times New Roman"/>
          <w:color w:val="000000" w:themeColor="text1"/>
        </w:rPr>
        <w:t xml:space="preserve"> related to the aggregation of pos</w:t>
      </w:r>
      <w:r w:rsidRPr="7F40232B" w:rsidR="55E3F2FF">
        <w:rPr>
          <w:rFonts w:eastAsia="Calibri" w:cs="Times New Roman"/>
          <w:color w:val="000000" w:themeColor="text1"/>
        </w:rPr>
        <w:t xml:space="preserve">itions for purposes of calculating position limits and the administration of exemptions to position aggregation under </w:t>
      </w:r>
      <w:r w:rsidRPr="7F40232B" w:rsidR="506024E2">
        <w:rPr>
          <w:rFonts w:eastAsia="Calibri" w:cs="Times New Roman"/>
          <w:color w:val="000000" w:themeColor="text1"/>
        </w:rPr>
        <w:t>Commission R</w:t>
      </w:r>
      <w:r w:rsidRPr="7F40232B" w:rsidR="55E3F2FF">
        <w:rPr>
          <w:rFonts w:eastAsia="Calibri" w:cs="Times New Roman"/>
          <w:color w:val="000000" w:themeColor="text1"/>
        </w:rPr>
        <w:t xml:space="preserve">egulation 150.4.  </w:t>
      </w:r>
      <w:r w:rsidRPr="7F40232B" w:rsidR="108233C6">
        <w:rPr>
          <w:rFonts w:eastAsia="Calibri" w:cs="Times New Roman"/>
          <w:color w:val="000000" w:themeColor="text1"/>
        </w:rPr>
        <w:t>On December 16, 2016, the Commission published in the Federal Register a final rulemaking entitled Aggregation of Positions, which amended Commission Regulation 150.4 (the “Aggregation Rule”). The Aggregation Rule determines which accounts and positions a person must aggregate for the purpose of determining compliance with the applicable position limit levels set forth in Commission Regulation 150.2, and includes a process by which a person may file with the Commission a notice seeking an exemption from such aggregation requirements (i.e., a process by which a person may “disaggregate” its positions from those of another entity with which the person has certain ownership or control relationships). The Aggregation Rule became effective on February 14, 2017.</w:t>
      </w:r>
    </w:p>
    <w:p w:rsidR="00D616AE" w:rsidRPr="009806FE" w:rsidP="00E42D10" w14:paraId="196936D7" w14:textId="4FB75A45">
      <w:pPr>
        <w:autoSpaceDE w:val="0"/>
        <w:autoSpaceDN w:val="0"/>
        <w:adjustRightInd w:val="0"/>
        <w:spacing w:after="240"/>
        <w:ind w:firstLine="720"/>
        <w:jc w:val="both"/>
        <w:rPr>
          <w:rFonts w:eastAsia="Times New Roman" w:cs="Times New Roman"/>
          <w:color w:val="000000"/>
          <w:szCs w:val="24"/>
        </w:rPr>
      </w:pPr>
      <w:r w:rsidRPr="7F40232B">
        <w:rPr>
          <w:rFonts w:cs="Times New Roman"/>
        </w:rPr>
        <w:t xml:space="preserve">The collections of information covered by OMB control number </w:t>
      </w:r>
      <w:r w:rsidRPr="7F40232B" w:rsidR="52B14DDA">
        <w:rPr>
          <w:rFonts w:cs="Times New Roman"/>
        </w:rPr>
        <w:t xml:space="preserve">3038-0013 </w:t>
      </w:r>
      <w:r w:rsidRPr="7F40232B" w:rsidR="52B14DDA">
        <w:rPr>
          <w:rFonts w:eastAsia="Calibri" w:cs="Times New Roman"/>
        </w:rPr>
        <w:t>are necessary for the Commission to determine whether to recognize a trader’s position as a bona fide hedge exempted from position limit requirements</w:t>
      </w:r>
      <w:r w:rsidRPr="7F40232B" w:rsidR="265445BB">
        <w:rPr>
          <w:rFonts w:eastAsia="Calibri" w:cs="Times New Roman"/>
        </w:rPr>
        <w:t xml:space="preserve">. </w:t>
      </w:r>
      <w:r w:rsidRPr="7F40232B" w:rsidR="408FB6FB">
        <w:rPr>
          <w:rFonts w:eastAsia="Calibri" w:cs="Times New Roman"/>
        </w:rPr>
        <w:t xml:space="preserve"> </w:t>
      </w:r>
      <w:r w:rsidRPr="7F40232B" w:rsidR="265445BB">
        <w:rPr>
          <w:rFonts w:eastAsia="Calibri" w:cs="Times New Roman"/>
        </w:rPr>
        <w:t>They also ensure that exchange-set limits comply with Commission regulations,</w:t>
      </w:r>
      <w:r w:rsidRPr="7F40232B" w:rsidR="52B14DDA">
        <w:rPr>
          <w:rFonts w:eastAsia="Calibri" w:cs="Times New Roman"/>
        </w:rPr>
        <w:t xml:space="preserve"> </w:t>
      </w:r>
      <w:r w:rsidRPr="7F40232B" w:rsidR="265445BB">
        <w:rPr>
          <w:rFonts w:eastAsia="Calibri" w:cs="Times New Roman"/>
        </w:rPr>
        <w:t xml:space="preserve">including that such limits are no higher than the applicable federal level; that the exchanges establish minimum standards needed to administer the exchange’s position limits framework; and that </w:t>
      </w:r>
      <w:r w:rsidRPr="7F40232B" w:rsidR="408FB6FB">
        <w:rPr>
          <w:rFonts w:eastAsia="Calibri" w:cs="Times New Roman"/>
        </w:rPr>
        <w:t xml:space="preserve">the </w:t>
      </w:r>
      <w:r w:rsidRPr="7F40232B" w:rsidR="265445BB">
        <w:rPr>
          <w:rFonts w:eastAsia="Calibri" w:cs="Times New Roman"/>
        </w:rPr>
        <w:t xml:space="preserve">Commission is able to oversee an exchange’s exemptions process to ensure it does not undermine the federal position limits framework. </w:t>
      </w:r>
      <w:r w:rsidRPr="7F40232B" w:rsidR="7E7BC5BC">
        <w:rPr>
          <w:rFonts w:eastAsia="Calibri" w:cs="Times New Roman"/>
        </w:rPr>
        <w:t xml:space="preserve"> </w:t>
      </w:r>
      <w:r w:rsidRPr="7F40232B" w:rsidR="45932367">
        <w:rPr>
          <w:rFonts w:eastAsia="Calibri" w:cs="Times New Roman"/>
        </w:rPr>
        <w:t>In addition, t</w:t>
      </w:r>
      <w:r w:rsidRPr="7F40232B" w:rsidR="52B14DDA">
        <w:rPr>
          <w:rFonts w:eastAsia="Calibri" w:cs="Times New Roman"/>
        </w:rPr>
        <w:t xml:space="preserve">hey also help ensure that any person claiming any exemption can demonstrate compliance with the applicable requirements.  </w:t>
      </w:r>
      <w:r w:rsidRPr="7F40232B" w:rsidR="263F75A7">
        <w:rPr>
          <w:rFonts w:eastAsia="Calibri" w:cs="Times New Roman"/>
        </w:rPr>
        <w:t xml:space="preserve">Further, </w:t>
      </w:r>
      <w:r w:rsidRPr="7F40232B" w:rsidR="4A9FACC1">
        <w:rPr>
          <w:rFonts w:eastAsia="Calibri" w:cs="Times New Roman"/>
        </w:rPr>
        <w:t>t</w:t>
      </w:r>
      <w:r w:rsidRPr="7F40232B" w:rsidR="4A9FACC1">
        <w:rPr>
          <w:rFonts w:eastAsia="Times New Roman" w:cs="Times New Roman"/>
        </w:rPr>
        <w:t>he reporting and recordkeeping requirements addressing aggregation of positions would be used by the Commission generally and by Commission surveillance staff</w:t>
      </w:r>
      <w:r w:rsidRPr="7F40232B" w:rsidR="37A3CABA">
        <w:rPr>
          <w:rFonts w:eastAsia="Times New Roman" w:cs="Times New Roman"/>
        </w:rPr>
        <w:t>,</w:t>
      </w:r>
      <w:r w:rsidRPr="7F40232B" w:rsidR="4A9FACC1">
        <w:rPr>
          <w:rFonts w:eastAsia="Times New Roman" w:cs="Times New Roman"/>
        </w:rPr>
        <w:t xml:space="preserve"> in particular</w:t>
      </w:r>
      <w:r w:rsidRPr="7F40232B" w:rsidR="0D56F5E8">
        <w:rPr>
          <w:rFonts w:eastAsia="Times New Roman" w:cs="Times New Roman"/>
        </w:rPr>
        <w:t>,</w:t>
      </w:r>
      <w:r w:rsidRPr="7F40232B" w:rsidR="4A9FACC1">
        <w:rPr>
          <w:rFonts w:eastAsia="Times New Roman" w:cs="Times New Roman"/>
        </w:rPr>
        <w:t xml:space="preserve"> to</w:t>
      </w:r>
      <w:r w:rsidRPr="7F40232B" w:rsidR="4A9FACC1">
        <w:rPr>
          <w:rFonts w:eastAsia="Times New Roman" w:cs="Times New Roman"/>
        </w:rPr>
        <w:t xml:space="preserve"> verify the aggregation of positions across multiple entities, and for general surveillance purposes.  This additional data would allow the Commission to understand how market participants are applying exemptions</w:t>
      </w:r>
      <w:r w:rsidRPr="7F40232B" w:rsidR="3D881808">
        <w:rPr>
          <w:rFonts w:eastAsia="Times New Roman" w:cs="Times New Roman"/>
        </w:rPr>
        <w:t xml:space="preserve"> from aggregation</w:t>
      </w:r>
      <w:r w:rsidRPr="7F40232B" w:rsidR="4A9FACC1">
        <w:rPr>
          <w:rFonts w:eastAsia="Times New Roman" w:cs="Times New Roman"/>
        </w:rPr>
        <w:t>, ensure the proper application of such exemptions, and provide the Commission with information to adjust exemptions in the future.</w:t>
      </w:r>
    </w:p>
    <w:p w:rsidR="00814D43" w:rsidRPr="009806FE" w:rsidP="00E42D10" w14:paraId="0F686F76" w14:textId="091D9DCC">
      <w:pPr>
        <w:tabs>
          <w:tab w:val="left" w:pos="-720"/>
        </w:tabs>
        <w:spacing w:after="240"/>
        <w:ind w:left="720" w:hanging="720"/>
        <w:jc w:val="both"/>
        <w:rPr>
          <w:rFonts w:eastAsia="Times New Roman" w:cs="Times New Roman"/>
          <w:b/>
          <w:szCs w:val="24"/>
        </w:rPr>
      </w:pPr>
      <w:r w:rsidRPr="009806FE">
        <w:rPr>
          <w:rFonts w:eastAsia="Times New Roman" w:cs="Times New Roman"/>
          <w:b/>
          <w:szCs w:val="24"/>
        </w:rPr>
        <w:t>2.</w:t>
      </w:r>
      <w:r w:rsidRPr="009806FE">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5A4341" w:rsidRPr="009806FE" w:rsidP="00E42D10" w14:paraId="72E4B23A" w14:textId="4A542B28">
      <w:pPr>
        <w:autoSpaceDE w:val="0"/>
        <w:autoSpaceDN w:val="0"/>
        <w:adjustRightInd w:val="0"/>
        <w:spacing w:after="240"/>
        <w:ind w:firstLine="720"/>
        <w:jc w:val="both"/>
        <w:rPr>
          <w:rFonts w:eastAsia="Times New Roman" w:cs="Times New Roman"/>
          <w:szCs w:val="24"/>
        </w:rPr>
      </w:pPr>
      <w:r w:rsidRPr="009806FE">
        <w:rPr>
          <w:rFonts w:eastAsia="Times New Roman" w:cs="Times New Roman"/>
          <w:szCs w:val="24"/>
        </w:rPr>
        <w:t>Generally, t</w:t>
      </w:r>
      <w:r w:rsidRPr="009806FE" w:rsidR="00DF6B91">
        <w:rPr>
          <w:rFonts w:eastAsia="Times New Roman" w:cs="Times New Roman"/>
          <w:szCs w:val="24"/>
        </w:rPr>
        <w:t xml:space="preserve">he Commission currently uses the information received from </w:t>
      </w:r>
      <w:r w:rsidRPr="009806FE" w:rsidR="00482FFC">
        <w:rPr>
          <w:rFonts w:eastAsia="Times New Roman" w:cs="Times New Roman"/>
          <w:szCs w:val="24"/>
        </w:rPr>
        <w:t xml:space="preserve">OMB control number </w:t>
      </w:r>
      <w:r w:rsidRPr="009806FE" w:rsidR="00DF6B91">
        <w:rPr>
          <w:rFonts w:eastAsia="Times New Roman" w:cs="Times New Roman"/>
          <w:szCs w:val="24"/>
        </w:rPr>
        <w:t>3038-0013</w:t>
      </w:r>
      <w:r w:rsidRPr="009806FE">
        <w:rPr>
          <w:rFonts w:eastAsia="Times New Roman" w:cs="Times New Roman"/>
          <w:szCs w:val="24"/>
        </w:rPr>
        <w:t xml:space="preserve">, which is submitted by exchanges </w:t>
      </w:r>
      <w:r w:rsidR="00197541">
        <w:rPr>
          <w:rFonts w:eastAsia="Times New Roman" w:cs="Times New Roman"/>
          <w:szCs w:val="24"/>
        </w:rPr>
        <w:t>(</w:t>
      </w:r>
      <w:r w:rsidRPr="009806FE">
        <w:rPr>
          <w:rFonts w:eastAsia="Times New Roman" w:cs="Times New Roman"/>
          <w:szCs w:val="24"/>
        </w:rPr>
        <w:t>Designated Contract Markets (“DCMs”</w:t>
      </w:r>
      <w:r w:rsidR="00686316">
        <w:rPr>
          <w:rFonts w:eastAsia="Times New Roman" w:cs="Times New Roman"/>
          <w:szCs w:val="24"/>
        </w:rPr>
        <w:t>) and Swap Execution Facilities (“SEFs”</w:t>
      </w:r>
      <w:r w:rsidRPr="009806FE">
        <w:rPr>
          <w:rFonts w:eastAsia="Times New Roman" w:cs="Times New Roman"/>
          <w:szCs w:val="24"/>
        </w:rPr>
        <w:t>)</w:t>
      </w:r>
      <w:r w:rsidR="00197541">
        <w:rPr>
          <w:rFonts w:eastAsia="Times New Roman" w:cs="Times New Roman"/>
          <w:szCs w:val="24"/>
        </w:rPr>
        <w:t>)</w:t>
      </w:r>
      <w:r w:rsidRPr="009806FE">
        <w:rPr>
          <w:rFonts w:eastAsia="Times New Roman" w:cs="Times New Roman"/>
          <w:szCs w:val="24"/>
        </w:rPr>
        <w:t xml:space="preserve"> </w:t>
      </w:r>
      <w:r w:rsidR="001B764D">
        <w:rPr>
          <w:rFonts w:eastAsia="Times New Roman" w:cs="Times New Roman"/>
          <w:szCs w:val="24"/>
        </w:rPr>
        <w:t>and</w:t>
      </w:r>
      <w:r w:rsidRPr="009806FE" w:rsidR="001B764D">
        <w:rPr>
          <w:rFonts w:eastAsia="Times New Roman" w:cs="Times New Roman"/>
          <w:szCs w:val="24"/>
        </w:rPr>
        <w:t xml:space="preserve"> </w:t>
      </w:r>
      <w:r w:rsidRPr="009806FE">
        <w:rPr>
          <w:rFonts w:eastAsia="Times New Roman" w:cs="Times New Roman"/>
          <w:szCs w:val="24"/>
        </w:rPr>
        <w:t>market participants,</w:t>
      </w:r>
      <w:r w:rsidRPr="009806FE" w:rsidR="00DF6B91">
        <w:rPr>
          <w:rFonts w:eastAsia="Times New Roman" w:cs="Times New Roman"/>
          <w:szCs w:val="24"/>
        </w:rPr>
        <w:t xml:space="preserve"> to administer its speculative position limit regime</w:t>
      </w:r>
      <w:r w:rsidRPr="009806FE">
        <w:rPr>
          <w:rFonts w:eastAsia="Times New Roman" w:cs="Times New Roman"/>
          <w:szCs w:val="24"/>
        </w:rPr>
        <w:t xml:space="preserve"> and</w:t>
      </w:r>
      <w:r w:rsidRPr="009806FE" w:rsidR="00DF6B91">
        <w:rPr>
          <w:rFonts w:eastAsia="Times New Roman" w:cs="Times New Roman"/>
          <w:szCs w:val="24"/>
        </w:rPr>
        <w:t xml:space="preserve"> to ensure the validity of exemptions granted from that regime</w:t>
      </w:r>
      <w:r w:rsidRPr="009806FE">
        <w:rPr>
          <w:rFonts w:eastAsia="Times New Roman" w:cs="Times New Roman"/>
          <w:szCs w:val="24"/>
        </w:rPr>
        <w:t xml:space="preserve">.  The information is also critical in the operation of the </w:t>
      </w:r>
      <w:r w:rsidRPr="009806FE">
        <w:rPr>
          <w:rFonts w:cs="Times New Roman"/>
          <w:szCs w:val="24"/>
        </w:rPr>
        <w:t>Commission’s</w:t>
      </w:r>
      <w:r w:rsidRPr="009806FE">
        <w:rPr>
          <w:rFonts w:eastAsia="Times New Roman" w:cs="Times New Roman"/>
          <w:szCs w:val="24"/>
        </w:rPr>
        <w:t xml:space="preserve"> activities to </w:t>
      </w:r>
      <w:r w:rsidRPr="009806FE" w:rsidR="00DF6B91">
        <w:rPr>
          <w:rFonts w:eastAsia="Times New Roman" w:cs="Times New Roman"/>
          <w:szCs w:val="24"/>
        </w:rPr>
        <w:t xml:space="preserve">monitor and </w:t>
      </w:r>
      <w:r w:rsidRPr="009806FE" w:rsidR="00DF6B91">
        <w:rPr>
          <w:rFonts w:eastAsia="Times New Roman" w:cs="Times New Roman"/>
          <w:szCs w:val="24"/>
        </w:rPr>
        <w:t>surveil</w:t>
      </w:r>
      <w:r w:rsidRPr="009806FE" w:rsidR="00DF6B91">
        <w:rPr>
          <w:rFonts w:eastAsia="Times New Roman" w:cs="Times New Roman"/>
          <w:szCs w:val="24"/>
        </w:rPr>
        <w:t xml:space="preserve"> its markets.</w:t>
      </w:r>
    </w:p>
    <w:p w:rsidR="00D62E99" w:rsidRPr="009806FE" w:rsidP="00E42D10" w14:paraId="05B6D87D" w14:textId="71200D9D">
      <w:pPr>
        <w:spacing w:after="240"/>
        <w:ind w:firstLine="720"/>
        <w:jc w:val="both"/>
        <w:rPr>
          <w:rFonts w:eastAsia="Times New Roman" w:cs="Times New Roman"/>
          <w:color w:val="000000"/>
          <w:szCs w:val="24"/>
        </w:rPr>
      </w:pPr>
      <w:r w:rsidRPr="7F40232B">
        <w:rPr>
          <w:rFonts w:eastAsia="Times New Roman" w:cs="Times New Roman"/>
        </w:rPr>
        <w:t xml:space="preserve">The reporting and recordkeeping requirements included in the </w:t>
      </w:r>
      <w:r w:rsidRPr="7F40232B" w:rsidR="749BE249">
        <w:rPr>
          <w:rFonts w:eastAsia="Times New Roman" w:cs="Times New Roman"/>
        </w:rPr>
        <w:t>Final</w:t>
      </w:r>
      <w:r w:rsidRPr="7F40232B">
        <w:rPr>
          <w:rFonts w:eastAsia="Times New Roman" w:cs="Times New Roman"/>
        </w:rPr>
        <w:t xml:space="preserve"> Rule </w:t>
      </w:r>
      <w:r w:rsidRPr="7F40232B" w:rsidR="05614BBE">
        <w:rPr>
          <w:rFonts w:eastAsia="Times New Roman" w:cs="Times New Roman"/>
        </w:rPr>
        <w:t>are</w:t>
      </w:r>
      <w:r w:rsidRPr="7F40232B">
        <w:rPr>
          <w:rFonts w:eastAsia="Times New Roman" w:cs="Times New Roman"/>
        </w:rPr>
        <w:t xml:space="preserve"> used by the Commission to verify exemptions from position limit requirements on a universe of 25 physically-settled futures contracts (the “Core Referenced Futures Contracts” or “CRFCs”) and their linked </w:t>
      </w:r>
      <w:r w:rsidRPr="7F40232B">
        <w:rPr>
          <w:rFonts w:eastAsia="Times New Roman" w:cs="Times New Roman"/>
        </w:rPr>
        <w:t xml:space="preserve">cash-settled futures, options on futures, and “economically equivalent” </w:t>
      </w:r>
      <w:r w:rsidRPr="7F40232B">
        <w:rPr>
          <w:rFonts w:cs="Times New Roman"/>
        </w:rPr>
        <w:t>swaps</w:t>
      </w:r>
      <w:r w:rsidRPr="7F40232B">
        <w:rPr>
          <w:rFonts w:eastAsia="Times New Roman" w:cs="Times New Roman"/>
        </w:rPr>
        <w:t xml:space="preserve"> (collectively, “Referenced Contracts”).</w:t>
      </w:r>
      <w:r w:rsidRPr="7F40232B" w:rsidR="3A4F705F">
        <w:rPr>
          <w:rFonts w:eastAsia="Times New Roman" w:cs="Times New Roman"/>
        </w:rPr>
        <w:t xml:space="preserve"> </w:t>
      </w:r>
      <w:r w:rsidRPr="7F40232B">
        <w:rPr>
          <w:rFonts w:eastAsia="Times New Roman" w:cs="Times New Roman"/>
        </w:rPr>
        <w:t xml:space="preserve"> </w:t>
      </w:r>
      <w:r w:rsidRPr="7F40232B" w:rsidR="693F3344">
        <w:rPr>
          <w:rFonts w:eastAsia="Times New Roman" w:cs="Times New Roman"/>
          <w:color w:val="000000" w:themeColor="text1"/>
        </w:rPr>
        <w:t>P</w:t>
      </w:r>
      <w:r w:rsidRPr="7F40232B" w:rsidR="3A4F705F">
        <w:rPr>
          <w:rFonts w:eastAsia="Times New Roman" w:cs="Times New Roman"/>
          <w:color w:val="000000" w:themeColor="text1"/>
        </w:rPr>
        <w:t>art 1</w:t>
      </w:r>
      <w:r w:rsidRPr="7F40232B" w:rsidR="693F3344">
        <w:rPr>
          <w:rFonts w:eastAsia="Times New Roman" w:cs="Times New Roman"/>
          <w:color w:val="000000" w:themeColor="text1"/>
        </w:rPr>
        <w:t>50 establish</w:t>
      </w:r>
      <w:r w:rsidRPr="7F40232B" w:rsidR="749BE249">
        <w:rPr>
          <w:rFonts w:eastAsia="Times New Roman" w:cs="Times New Roman"/>
          <w:color w:val="000000" w:themeColor="text1"/>
        </w:rPr>
        <w:t>es</w:t>
      </w:r>
      <w:r w:rsidRPr="7F40232B" w:rsidR="693F3344">
        <w:rPr>
          <w:rFonts w:eastAsia="Times New Roman" w:cs="Times New Roman"/>
          <w:color w:val="000000" w:themeColor="text1"/>
        </w:rPr>
        <w:t xml:space="preserve"> an amended process for </w:t>
      </w:r>
      <w:r w:rsidRPr="7F40232B" w:rsidR="7A246309">
        <w:rPr>
          <w:rFonts w:eastAsia="Times New Roman" w:cs="Times New Roman"/>
          <w:color w:val="000000" w:themeColor="text1"/>
        </w:rPr>
        <w:t>trader</w:t>
      </w:r>
      <w:r w:rsidRPr="7F40232B" w:rsidR="4700CC76">
        <w:rPr>
          <w:rFonts w:eastAsia="Times New Roman" w:cs="Times New Roman"/>
          <w:color w:val="000000" w:themeColor="text1"/>
        </w:rPr>
        <w:t xml:space="preserve">s to </w:t>
      </w:r>
      <w:r w:rsidRPr="7F40232B" w:rsidR="693F3344">
        <w:rPr>
          <w:rFonts w:eastAsia="Times New Roman" w:cs="Times New Roman"/>
          <w:color w:val="000000" w:themeColor="text1"/>
        </w:rPr>
        <w:t xml:space="preserve">obtain a bona fide hedge exemption or recognition, which includes: </w:t>
      </w:r>
      <w:r w:rsidR="00565ACB">
        <w:rPr>
          <w:rFonts w:eastAsia="Times New Roman" w:cs="Times New Roman"/>
          <w:color w:val="000000" w:themeColor="text1"/>
        </w:rPr>
        <w:t xml:space="preserve"> </w:t>
      </w:r>
      <w:r w:rsidRPr="7F40232B" w:rsidR="693F3344">
        <w:rPr>
          <w:rFonts w:eastAsia="Times New Roman" w:cs="Times New Roman"/>
          <w:color w:val="000000" w:themeColor="text1"/>
        </w:rPr>
        <w:t xml:space="preserve">(i) a new bona fide hedging definition in § 150.1, (ii) a new </w:t>
      </w:r>
      <w:r w:rsidRPr="7F40232B" w:rsidR="7A246309">
        <w:rPr>
          <w:rFonts w:eastAsia="Times New Roman" w:cs="Times New Roman"/>
          <w:color w:val="000000" w:themeColor="text1"/>
        </w:rPr>
        <w:t xml:space="preserve">streamlined </w:t>
      </w:r>
      <w:r w:rsidRPr="7F40232B" w:rsidR="693F3344">
        <w:rPr>
          <w:rFonts w:eastAsia="Times New Roman" w:cs="Times New Roman"/>
          <w:color w:val="000000" w:themeColor="text1"/>
        </w:rPr>
        <w:t xml:space="preserve">process </w:t>
      </w:r>
      <w:r w:rsidRPr="7F40232B" w:rsidR="693081F9">
        <w:rPr>
          <w:rFonts w:eastAsia="Times New Roman" w:cs="Times New Roman"/>
          <w:color w:val="000000" w:themeColor="text1"/>
        </w:rPr>
        <w:t>involving</w:t>
      </w:r>
      <w:r w:rsidRPr="7F40232B" w:rsidR="693F3344">
        <w:rPr>
          <w:rFonts w:eastAsia="Times New Roman" w:cs="Times New Roman"/>
          <w:color w:val="000000" w:themeColor="text1"/>
        </w:rPr>
        <w:t xml:space="preserve"> the exchanges in § 150.9 for recognizing non-enumerated bona fide hedging exemptions for federal limit requirements, and (iii) an amended process </w:t>
      </w:r>
      <w:r w:rsidRPr="7F40232B" w:rsidR="3A4F705F">
        <w:rPr>
          <w:rFonts w:eastAsia="Times New Roman" w:cs="Times New Roman"/>
          <w:color w:val="000000" w:themeColor="text1"/>
        </w:rPr>
        <w:t xml:space="preserve">in § 150.3 </w:t>
      </w:r>
      <w:r w:rsidRPr="7F40232B" w:rsidR="693F3344">
        <w:rPr>
          <w:rFonts w:eastAsia="Times New Roman" w:cs="Times New Roman"/>
          <w:color w:val="000000" w:themeColor="text1"/>
        </w:rPr>
        <w:t xml:space="preserve">to apply directly to the Commission for certain spread exemptions or for recognition of non-enumerated bona fide hedging positions.  </w:t>
      </w:r>
      <w:r w:rsidRPr="7F40232B" w:rsidR="133B2B86">
        <w:rPr>
          <w:rFonts w:eastAsia="Times New Roman" w:cs="Times New Roman"/>
          <w:color w:val="000000" w:themeColor="text1"/>
        </w:rPr>
        <w:t>Regulation</w:t>
      </w:r>
      <w:r w:rsidRPr="7F40232B" w:rsidR="28CC3F20">
        <w:rPr>
          <w:rFonts w:eastAsia="Times New Roman" w:cs="Times New Roman"/>
          <w:color w:val="000000" w:themeColor="text1"/>
        </w:rPr>
        <w:t xml:space="preserve"> </w:t>
      </w:r>
      <w:r w:rsidRPr="7F40232B" w:rsidR="693F3344">
        <w:rPr>
          <w:rFonts w:eastAsia="Times New Roman" w:cs="Times New Roman"/>
          <w:color w:val="000000" w:themeColor="text1"/>
        </w:rPr>
        <w:t>150.3 also include</w:t>
      </w:r>
      <w:r w:rsidRPr="7F40232B" w:rsidR="749BE249">
        <w:rPr>
          <w:rFonts w:eastAsia="Times New Roman" w:cs="Times New Roman"/>
          <w:color w:val="000000" w:themeColor="text1"/>
        </w:rPr>
        <w:t>s</w:t>
      </w:r>
      <w:r w:rsidRPr="7F40232B" w:rsidR="693F3344">
        <w:rPr>
          <w:rFonts w:eastAsia="Times New Roman" w:cs="Times New Roman"/>
          <w:color w:val="000000" w:themeColor="text1"/>
        </w:rPr>
        <w:t xml:space="preserve"> new exemption types not explicitly listed in existing § 150.3.</w:t>
      </w:r>
    </w:p>
    <w:p w:rsidR="7F40232B" w:rsidP="00E42D10" w14:paraId="1751C8E6" w14:textId="5DC898C7">
      <w:pPr>
        <w:spacing w:after="240"/>
        <w:ind w:firstLine="720"/>
        <w:jc w:val="both"/>
        <w:rPr>
          <w:rFonts w:eastAsia="Calibri"/>
          <w:szCs w:val="24"/>
        </w:rPr>
      </w:pPr>
      <w:r w:rsidRPr="7F40232B">
        <w:rPr>
          <w:rFonts w:eastAsia="Times New Roman" w:cs="Times New Roman"/>
          <w:color w:val="000000" w:themeColor="text1"/>
        </w:rPr>
        <w:t>The Commission believes the collections of information in part 150 are necessary for the exchange and the Commission to process requests for recognition of bona fide hedges for purposes of both exchange-set position limits and federal position limits.  The information w</w:t>
      </w:r>
      <w:r w:rsidRPr="7F40232B" w:rsidR="5A398571">
        <w:rPr>
          <w:rFonts w:eastAsia="Times New Roman" w:cs="Times New Roman"/>
          <w:color w:val="000000" w:themeColor="text1"/>
        </w:rPr>
        <w:t>ill</w:t>
      </w:r>
      <w:r w:rsidRPr="7F40232B">
        <w:rPr>
          <w:rFonts w:eastAsia="Times New Roman" w:cs="Times New Roman"/>
          <w:color w:val="000000" w:themeColor="text1"/>
        </w:rPr>
        <w:t xml:space="preserve"> be used by the exchange </w:t>
      </w:r>
      <w:r w:rsidRPr="7F40232B" w:rsidR="1367605B">
        <w:rPr>
          <w:rFonts w:eastAsia="Times New Roman" w:cs="Times New Roman"/>
          <w:color w:val="000000" w:themeColor="text1"/>
        </w:rPr>
        <w:t xml:space="preserve">and the Commission </w:t>
      </w:r>
      <w:r w:rsidRPr="7F40232B">
        <w:rPr>
          <w:rFonts w:eastAsia="Times New Roman" w:cs="Times New Roman"/>
          <w:color w:val="000000" w:themeColor="text1"/>
        </w:rPr>
        <w:t>to determine</w:t>
      </w:r>
      <w:r w:rsidRPr="7F40232B" w:rsidR="1367605B">
        <w:rPr>
          <w:rFonts w:eastAsia="Times New Roman" w:cs="Times New Roman"/>
          <w:color w:val="000000" w:themeColor="text1"/>
        </w:rPr>
        <w:t xml:space="preserve"> </w:t>
      </w:r>
      <w:r w:rsidRPr="7F40232B">
        <w:rPr>
          <w:rFonts w:eastAsia="Times New Roman" w:cs="Times New Roman"/>
          <w:color w:val="000000" w:themeColor="text1"/>
        </w:rPr>
        <w:t>whether the facts and circumstances demonstrate it is appropriate to recognize a position as a non-enumerated bona fide hedging transaction or position.</w:t>
      </w:r>
      <w:r w:rsidRPr="7F40232B" w:rsidR="44096CFA">
        <w:rPr>
          <w:rFonts w:eastAsia="Times New Roman" w:cs="Times New Roman"/>
          <w:color w:val="000000" w:themeColor="text1"/>
        </w:rPr>
        <w:t xml:space="preserve">  Further, the collections are necessary for the Commission to determine whether exemptions from position aggregation requirements have been properly applied.</w:t>
      </w:r>
      <w:r w:rsidRPr="7F40232B" w:rsidR="04E449FA">
        <w:rPr>
          <w:rFonts w:eastAsia="Times New Roman" w:cs="Times New Roman"/>
          <w:color w:val="000000" w:themeColor="text1"/>
        </w:rPr>
        <w:t xml:space="preserve">  </w:t>
      </w:r>
      <w:r w:rsidRPr="7F40232B" w:rsidR="7FB6AAD9">
        <w:rPr>
          <w:rFonts w:eastAsia="Times New Roman" w:cs="Times New Roman"/>
        </w:rPr>
        <w:t>Overall, t</w:t>
      </w:r>
      <w:r w:rsidRPr="7F40232B" w:rsidR="73AF3F54">
        <w:rPr>
          <w:rFonts w:eastAsia="Times New Roman" w:cs="Times New Roman"/>
        </w:rPr>
        <w:t>he</w:t>
      </w:r>
      <w:r w:rsidRPr="7F40232B" w:rsidR="6283F8F1">
        <w:rPr>
          <w:rFonts w:eastAsia="Times New Roman" w:cs="Times New Roman"/>
        </w:rPr>
        <w:t xml:space="preserve"> data w</w:t>
      </w:r>
      <w:r w:rsidRPr="7F40232B" w:rsidR="75219BE2">
        <w:rPr>
          <w:rFonts w:eastAsia="Times New Roman" w:cs="Times New Roman"/>
        </w:rPr>
        <w:t>ill</w:t>
      </w:r>
      <w:r w:rsidRPr="7F40232B" w:rsidR="6283F8F1">
        <w:rPr>
          <w:rFonts w:eastAsia="Times New Roman" w:cs="Times New Roman"/>
        </w:rPr>
        <w:t xml:space="preserve"> </w:t>
      </w:r>
      <w:r w:rsidRPr="7F40232B" w:rsidR="7FB6AAD9">
        <w:rPr>
          <w:rFonts w:eastAsia="Times New Roman" w:cs="Times New Roman"/>
        </w:rPr>
        <w:t>continue to support</w:t>
      </w:r>
      <w:r w:rsidRPr="7F40232B" w:rsidR="6283F8F1">
        <w:rPr>
          <w:rFonts w:eastAsia="Times New Roman" w:cs="Times New Roman"/>
        </w:rPr>
        <w:t xml:space="preserve"> the Commission</w:t>
      </w:r>
      <w:r w:rsidRPr="7F40232B" w:rsidR="73AF3F54">
        <w:rPr>
          <w:rFonts w:eastAsia="Times New Roman" w:cs="Times New Roman"/>
        </w:rPr>
        <w:t>’s ability</w:t>
      </w:r>
      <w:r w:rsidRPr="7F40232B" w:rsidR="6283F8F1">
        <w:rPr>
          <w:rFonts w:eastAsia="Times New Roman" w:cs="Times New Roman"/>
        </w:rPr>
        <w:t xml:space="preserve"> to monitor and </w:t>
      </w:r>
      <w:r w:rsidRPr="7F40232B" w:rsidR="6283F8F1">
        <w:rPr>
          <w:rFonts w:eastAsia="Times New Roman" w:cs="Times New Roman"/>
        </w:rPr>
        <w:t>surveil</w:t>
      </w:r>
      <w:r w:rsidRPr="7F40232B" w:rsidR="6283F8F1">
        <w:rPr>
          <w:rFonts w:eastAsia="Times New Roman" w:cs="Times New Roman"/>
        </w:rPr>
        <w:t xml:space="preserve"> the markets</w:t>
      </w:r>
      <w:r w:rsidRPr="7F40232B" w:rsidR="7FB6AAD9">
        <w:rPr>
          <w:rFonts w:eastAsia="Times New Roman" w:cs="Times New Roman"/>
        </w:rPr>
        <w:t xml:space="preserve">, particularly in contract markets that will be newly subject to </w:t>
      </w:r>
      <w:r w:rsidRPr="7F40232B" w:rsidR="77A5892F">
        <w:rPr>
          <w:rFonts w:eastAsia="Times New Roman" w:cs="Times New Roman"/>
        </w:rPr>
        <w:t xml:space="preserve">federal </w:t>
      </w:r>
      <w:r w:rsidRPr="7F40232B" w:rsidR="7FB6AAD9">
        <w:rPr>
          <w:rFonts w:eastAsia="Times New Roman" w:cs="Times New Roman"/>
        </w:rPr>
        <w:t>position limit requirements</w:t>
      </w:r>
      <w:r w:rsidRPr="7F40232B" w:rsidR="6283F8F1">
        <w:rPr>
          <w:rFonts w:eastAsia="Times New Roman" w:cs="Times New Roman"/>
        </w:rPr>
        <w:t>.</w:t>
      </w:r>
    </w:p>
    <w:p w:rsidR="00F5091E" w:rsidRPr="009806FE" w:rsidP="00E42D10" w14:paraId="63FA6779" w14:textId="7EE66628">
      <w:pPr>
        <w:autoSpaceDE w:val="0"/>
        <w:autoSpaceDN w:val="0"/>
        <w:adjustRightInd w:val="0"/>
        <w:spacing w:after="240"/>
        <w:ind w:left="720" w:hanging="720"/>
        <w:jc w:val="both"/>
        <w:rPr>
          <w:rFonts w:eastAsia="Times New Roman" w:cs="Times New Roman"/>
          <w:b/>
          <w:szCs w:val="24"/>
        </w:rPr>
      </w:pPr>
      <w:r w:rsidRPr="009806FE">
        <w:rPr>
          <w:rFonts w:eastAsia="Times New Roman" w:cs="Times New Roman"/>
          <w:b/>
          <w:szCs w:val="24"/>
        </w:rPr>
        <w:t>3.</w:t>
      </w:r>
      <w:r w:rsidRPr="009806FE">
        <w:rPr>
          <w:rFonts w:cs="Times New Roman"/>
          <w:szCs w:val="24"/>
        </w:rPr>
        <w:tab/>
      </w:r>
      <w:r w:rsidRPr="009806FE">
        <w:rPr>
          <w:rFonts w:eastAsia="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4E59" w:rsidRPr="009806FE" w:rsidP="00E42D10" w14:paraId="4931454B" w14:textId="5D0B232C">
      <w:pPr>
        <w:autoSpaceDE w:val="0"/>
        <w:autoSpaceDN w:val="0"/>
        <w:adjustRightInd w:val="0"/>
        <w:spacing w:after="240"/>
        <w:ind w:firstLine="720"/>
        <w:rPr>
          <w:rFonts w:eastAsia="Times New Roman" w:cs="Times New Roman"/>
          <w:b/>
          <w:szCs w:val="24"/>
        </w:rPr>
      </w:pPr>
      <w:r w:rsidRPr="009806FE">
        <w:rPr>
          <w:rFonts w:cs="Times New Roman"/>
          <w:szCs w:val="24"/>
        </w:rPr>
        <w:t xml:space="preserve">The Commission is committed to utilizing technology </w:t>
      </w:r>
      <w:r w:rsidRPr="009806FE">
        <w:rPr>
          <w:rFonts w:cs="Times New Roman"/>
          <w:szCs w:val="24"/>
        </w:rPr>
        <w:t>in order to</w:t>
      </w:r>
      <w:r w:rsidRPr="009806FE">
        <w:rPr>
          <w:rFonts w:cs="Times New Roman"/>
          <w:szCs w:val="24"/>
        </w:rPr>
        <w:t xml:space="preserve"> reduce reporting burdens for respondents.  Accordingly, the Commission has provided for the electronic transmission of the required submissions</w:t>
      </w:r>
      <w:r w:rsidRPr="009806FE" w:rsidR="00181AA2">
        <w:rPr>
          <w:rFonts w:cs="Times New Roman"/>
          <w:szCs w:val="24"/>
        </w:rPr>
        <w:t xml:space="preserve"> for OMB control number 3038-0013</w:t>
      </w:r>
      <w:r w:rsidRPr="009806FE">
        <w:rPr>
          <w:rFonts w:cs="Times New Roman"/>
          <w:szCs w:val="24"/>
        </w:rPr>
        <w:t>.  The Commission anticipates that 100% of the collection of information w</w:t>
      </w:r>
      <w:r w:rsidRPr="009806FE" w:rsidR="00A37DDD">
        <w:rPr>
          <w:rFonts w:cs="Times New Roman"/>
          <w:szCs w:val="24"/>
        </w:rPr>
        <w:t>ill</w:t>
      </w:r>
      <w:r w:rsidRPr="009806FE">
        <w:rPr>
          <w:rFonts w:cs="Times New Roman"/>
          <w:szCs w:val="24"/>
        </w:rPr>
        <w:t xml:space="preserve"> be submitted electronically.</w:t>
      </w:r>
    </w:p>
    <w:p w:rsidR="00642B6A" w:rsidRPr="009806FE" w:rsidP="00E42D10" w14:paraId="023C2970" w14:textId="65A9EF52">
      <w:pPr>
        <w:spacing w:after="240"/>
        <w:ind w:left="720" w:hanging="720"/>
        <w:rPr>
          <w:rFonts w:eastAsia="Calibri" w:cs="Times New Roman"/>
          <w:b/>
          <w:szCs w:val="24"/>
        </w:rPr>
      </w:pPr>
      <w:r w:rsidRPr="009806FE">
        <w:rPr>
          <w:rFonts w:eastAsia="Times New Roman" w:cs="Times New Roman"/>
          <w:b/>
          <w:szCs w:val="24"/>
        </w:rPr>
        <w:t>4.</w:t>
      </w:r>
      <w:r w:rsidRPr="009806FE">
        <w:rPr>
          <w:rFonts w:cs="Times New Roman"/>
          <w:szCs w:val="24"/>
        </w:rPr>
        <w:tab/>
      </w:r>
      <w:r w:rsidRPr="009806FE">
        <w:rPr>
          <w:rFonts w:eastAsia="Times New Roman" w:cs="Times New Roman"/>
          <w:b/>
          <w:szCs w:val="24"/>
        </w:rPr>
        <w:t>Describe efforts to identify duplication.  Show specifically why any similar information already available cannot be used or modified for use for the purposes described in Item 2 above.</w:t>
      </w:r>
    </w:p>
    <w:p w:rsidR="00DA0C3F" w:rsidRPr="009806FE" w:rsidP="00E42D10" w14:paraId="1805B62F" w14:textId="45659B61">
      <w:pPr>
        <w:autoSpaceDE w:val="0"/>
        <w:autoSpaceDN w:val="0"/>
        <w:adjustRightInd w:val="0"/>
        <w:spacing w:after="240"/>
        <w:ind w:firstLine="720"/>
        <w:jc w:val="both"/>
        <w:rPr>
          <w:rFonts w:cs="Times New Roman"/>
          <w:szCs w:val="24"/>
        </w:rPr>
      </w:pPr>
      <w:r w:rsidRPr="009806FE">
        <w:rPr>
          <w:rFonts w:eastAsia="Times New Roman" w:cs="Times New Roman"/>
          <w:szCs w:val="24"/>
        </w:rPr>
        <w:t xml:space="preserve">The </w:t>
      </w:r>
      <w:r w:rsidRPr="009806FE" w:rsidR="00A37DDD">
        <w:rPr>
          <w:rFonts w:eastAsia="Times New Roman" w:cs="Times New Roman"/>
          <w:szCs w:val="24"/>
        </w:rPr>
        <w:t>Final Rule</w:t>
      </w:r>
      <w:r w:rsidRPr="009806FE" w:rsidR="000B282E">
        <w:rPr>
          <w:rFonts w:eastAsia="Times New Roman" w:cs="Times New Roman"/>
          <w:szCs w:val="24"/>
        </w:rPr>
        <w:t xml:space="preserve"> </w:t>
      </w:r>
      <w:r w:rsidRPr="009806FE">
        <w:rPr>
          <w:rFonts w:eastAsia="Times New Roman" w:cs="Times New Roman"/>
          <w:szCs w:val="24"/>
        </w:rPr>
        <w:t xml:space="preserve">includes several measures that are meant to reduce duplication. </w:t>
      </w:r>
      <w:r w:rsidRPr="009806FE" w:rsidR="000B282E">
        <w:rPr>
          <w:rFonts w:eastAsia="Times New Roman" w:cs="Times New Roman"/>
          <w:szCs w:val="24"/>
        </w:rPr>
        <w:t xml:space="preserve"> </w:t>
      </w:r>
      <w:r w:rsidRPr="009806FE">
        <w:rPr>
          <w:rFonts w:eastAsia="Times New Roman" w:cs="Times New Roman"/>
          <w:szCs w:val="24"/>
        </w:rPr>
        <w:t xml:space="preserve">For example, the </w:t>
      </w:r>
      <w:r w:rsidRPr="009806FE">
        <w:rPr>
          <w:rFonts w:cs="Times New Roman"/>
          <w:szCs w:val="24"/>
        </w:rPr>
        <w:t>Commission eliminat</w:t>
      </w:r>
      <w:r w:rsidRPr="009806FE" w:rsidR="002A1612">
        <w:rPr>
          <w:rFonts w:cs="Times New Roman"/>
          <w:szCs w:val="24"/>
        </w:rPr>
        <w:t>ed</w:t>
      </w:r>
      <w:r w:rsidRPr="009806FE">
        <w:rPr>
          <w:rFonts w:cs="Times New Roman"/>
          <w:szCs w:val="24"/>
        </w:rPr>
        <w:t xml:space="preserve"> the requirement on market participants to submit </w:t>
      </w:r>
      <w:r w:rsidRPr="009806FE">
        <w:rPr>
          <w:rFonts w:cs="Times New Roman"/>
          <w:szCs w:val="24"/>
        </w:rPr>
        <w:t>the Form</w:t>
      </w:r>
      <w:r w:rsidRPr="009806FE">
        <w:rPr>
          <w:rFonts w:cs="Times New Roman"/>
          <w:szCs w:val="24"/>
        </w:rPr>
        <w:t xml:space="preserve"> 204</w:t>
      </w:r>
      <w:r w:rsidRPr="009806FE" w:rsidR="00DA05E9">
        <w:rPr>
          <w:rFonts w:cs="Times New Roman"/>
          <w:szCs w:val="24"/>
        </w:rPr>
        <w:t xml:space="preserve"> and Form 304 </w:t>
      </w:r>
      <w:r w:rsidRPr="009806FE">
        <w:rPr>
          <w:rFonts w:cs="Times New Roman"/>
          <w:szCs w:val="24"/>
        </w:rPr>
        <w:t>statement</w:t>
      </w:r>
      <w:r w:rsidRPr="009806FE" w:rsidR="00DA05E9">
        <w:rPr>
          <w:rFonts w:cs="Times New Roman"/>
          <w:szCs w:val="24"/>
        </w:rPr>
        <w:t>s</w:t>
      </w:r>
      <w:r w:rsidRPr="009806FE">
        <w:rPr>
          <w:rFonts w:cs="Times New Roman"/>
          <w:szCs w:val="24"/>
        </w:rPr>
        <w:t xml:space="preserve"> of </w:t>
      </w:r>
      <w:r w:rsidRPr="009806FE">
        <w:rPr>
          <w:rFonts w:cs="Times New Roman"/>
          <w:szCs w:val="24"/>
        </w:rPr>
        <w:t>commodity c</w:t>
      </w:r>
      <w:r w:rsidRPr="009806FE">
        <w:rPr>
          <w:rFonts w:cs="Times New Roman"/>
          <w:szCs w:val="24"/>
        </w:rPr>
        <w:t xml:space="preserve">ash </w:t>
      </w:r>
      <w:r w:rsidRPr="009806FE">
        <w:rPr>
          <w:rFonts w:cs="Times New Roman"/>
          <w:szCs w:val="24"/>
        </w:rPr>
        <w:t>p</w:t>
      </w:r>
      <w:r w:rsidRPr="009806FE">
        <w:rPr>
          <w:rFonts w:cs="Times New Roman"/>
          <w:szCs w:val="24"/>
        </w:rPr>
        <w:t xml:space="preserve">ositions to the Commission as such information is already required to be provided as part of the market participant’s exemption application to </w:t>
      </w:r>
      <w:r w:rsidRPr="009806FE">
        <w:rPr>
          <w:rFonts w:cs="Times New Roman"/>
          <w:szCs w:val="24"/>
        </w:rPr>
        <w:t>a</w:t>
      </w:r>
      <w:r w:rsidRPr="009806FE" w:rsidR="004E1035">
        <w:rPr>
          <w:rFonts w:cs="Times New Roman"/>
          <w:szCs w:val="24"/>
        </w:rPr>
        <w:t>n exchange</w:t>
      </w:r>
      <w:r w:rsidRPr="009806FE">
        <w:rPr>
          <w:rFonts w:cs="Times New Roman"/>
          <w:szCs w:val="24"/>
        </w:rPr>
        <w:t>.</w:t>
      </w:r>
    </w:p>
    <w:p w:rsidR="00DA0C3F" w:rsidRPr="009806FE" w:rsidP="00E42D10" w14:paraId="40137F99" w14:textId="5C783A7C">
      <w:pPr>
        <w:autoSpaceDE w:val="0"/>
        <w:autoSpaceDN w:val="0"/>
        <w:adjustRightInd w:val="0"/>
        <w:spacing w:after="240"/>
        <w:ind w:firstLine="720"/>
        <w:jc w:val="both"/>
        <w:rPr>
          <w:rFonts w:cs="Times New Roman"/>
          <w:szCs w:val="24"/>
        </w:rPr>
      </w:pPr>
      <w:r w:rsidRPr="009806FE">
        <w:rPr>
          <w:rFonts w:cs="Times New Roman"/>
          <w:szCs w:val="24"/>
        </w:rPr>
        <w:t>In addition, the Commission establish</w:t>
      </w:r>
      <w:r w:rsidRPr="009806FE" w:rsidR="002A1612">
        <w:rPr>
          <w:rFonts w:cs="Times New Roman"/>
          <w:szCs w:val="24"/>
        </w:rPr>
        <w:t>ed</w:t>
      </w:r>
      <w:r w:rsidRPr="009806FE">
        <w:rPr>
          <w:rFonts w:cs="Times New Roman"/>
          <w:szCs w:val="24"/>
        </w:rPr>
        <w:t xml:space="preserve"> a streamlined process for addressing requests for non-enumerated bona fide hedging positions. </w:t>
      </w:r>
      <w:r w:rsidRPr="009806FE" w:rsidR="000B282E">
        <w:rPr>
          <w:rFonts w:cs="Times New Roman"/>
          <w:szCs w:val="24"/>
        </w:rPr>
        <w:t xml:space="preserve"> </w:t>
      </w:r>
      <w:r w:rsidRPr="009806FE">
        <w:rPr>
          <w:rFonts w:cs="Times New Roman"/>
          <w:szCs w:val="24"/>
        </w:rPr>
        <w:t xml:space="preserve">The new process leverages existing </w:t>
      </w:r>
      <w:r w:rsidRPr="009806FE">
        <w:rPr>
          <w:rFonts w:cs="Times New Roman"/>
          <w:bCs/>
          <w:szCs w:val="24"/>
        </w:rPr>
        <w:t>exchange</w:t>
      </w:r>
      <w:r w:rsidRPr="009806FE">
        <w:rPr>
          <w:rFonts w:cs="Times New Roman"/>
          <w:szCs w:val="24"/>
        </w:rPr>
        <w:t xml:space="preserve"> processes as well as exchange expertise and resources.</w:t>
      </w:r>
    </w:p>
    <w:p w:rsidR="009364E1" w:rsidRPr="009806FE" w:rsidP="00E42D10" w14:paraId="3A82EEE6" w14:textId="738511DD">
      <w:pPr>
        <w:autoSpaceDE w:val="0"/>
        <w:autoSpaceDN w:val="0"/>
        <w:adjustRightInd w:val="0"/>
        <w:spacing w:after="240"/>
        <w:ind w:firstLine="720"/>
        <w:jc w:val="both"/>
        <w:rPr>
          <w:rFonts w:eastAsia="Times New Roman" w:cs="Times New Roman"/>
          <w:szCs w:val="24"/>
        </w:rPr>
      </w:pPr>
      <w:r w:rsidRPr="009806FE">
        <w:rPr>
          <w:rFonts w:cs="Times New Roman"/>
          <w:szCs w:val="24"/>
        </w:rPr>
        <w:t xml:space="preserve">Under the </w:t>
      </w:r>
      <w:r w:rsidRPr="009806FE" w:rsidR="000B282E">
        <w:rPr>
          <w:rFonts w:cs="Times New Roman"/>
          <w:szCs w:val="24"/>
        </w:rPr>
        <w:t>Final Rule</w:t>
      </w:r>
      <w:r w:rsidRPr="009806FE">
        <w:rPr>
          <w:rFonts w:cs="Times New Roman"/>
          <w:szCs w:val="24"/>
        </w:rPr>
        <w:t>, market participants c</w:t>
      </w:r>
      <w:r w:rsidRPr="009806FE" w:rsidR="000B282E">
        <w:rPr>
          <w:rFonts w:cs="Times New Roman"/>
          <w:szCs w:val="24"/>
        </w:rPr>
        <w:t>an</w:t>
      </w:r>
      <w:r w:rsidRPr="009806FE">
        <w:rPr>
          <w:rFonts w:cs="Times New Roman"/>
          <w:szCs w:val="24"/>
        </w:rPr>
        <w:t xml:space="preserve"> provide one application to an exchange to request a non-enumerated bona fide hedge, and receive approval of such request </w:t>
      </w:r>
      <w:r w:rsidRPr="009806FE" w:rsidR="008D5FD7">
        <w:rPr>
          <w:rFonts w:cs="Times New Roman"/>
          <w:szCs w:val="24"/>
        </w:rPr>
        <w:t xml:space="preserve">from the exchange </w:t>
      </w:r>
      <w:r w:rsidRPr="009806FE">
        <w:rPr>
          <w:rFonts w:cs="Times New Roman"/>
          <w:szCs w:val="24"/>
        </w:rPr>
        <w:t xml:space="preserve">for the purpose of </w:t>
      </w:r>
      <w:r w:rsidRPr="009806FE">
        <w:rPr>
          <w:rFonts w:cs="Times New Roman"/>
          <w:bCs/>
          <w:szCs w:val="24"/>
        </w:rPr>
        <w:t>exchange</w:t>
      </w:r>
      <w:r w:rsidRPr="009806FE">
        <w:rPr>
          <w:rFonts w:cs="Times New Roman"/>
          <w:szCs w:val="24"/>
        </w:rPr>
        <w:t xml:space="preserve">-set limits and </w:t>
      </w:r>
      <w:r w:rsidRPr="009806FE" w:rsidR="008D5FD7">
        <w:rPr>
          <w:rFonts w:cs="Times New Roman"/>
          <w:szCs w:val="24"/>
        </w:rPr>
        <w:t xml:space="preserve">from the Commission for the purpose of </w:t>
      </w:r>
      <w:r w:rsidRPr="009806FE">
        <w:rPr>
          <w:rFonts w:cs="Times New Roman"/>
          <w:szCs w:val="24"/>
        </w:rPr>
        <w:t>federal limits</w:t>
      </w:r>
      <w:r w:rsidRPr="009806FE" w:rsidR="008D5FD7">
        <w:rPr>
          <w:rFonts w:cs="Times New Roman"/>
          <w:szCs w:val="24"/>
        </w:rPr>
        <w:t xml:space="preserve"> </w:t>
      </w:r>
      <w:r w:rsidRPr="009806FE" w:rsidR="008D5FD7">
        <w:rPr>
          <w:rFonts w:cs="Times New Roman"/>
          <w:szCs w:val="24"/>
        </w:rPr>
        <w:t>(the Commission will receive the application directly from the exchange)</w:t>
      </w:r>
      <w:r w:rsidRPr="009806FE" w:rsidR="002A1612">
        <w:rPr>
          <w:rFonts w:cs="Times New Roman"/>
          <w:szCs w:val="24"/>
        </w:rPr>
        <w:t>, as opposed to the market participant submitting separate, duplicative applications to the Commission and exchange</w:t>
      </w:r>
      <w:r w:rsidRPr="009806FE">
        <w:rPr>
          <w:rFonts w:cs="Times New Roman"/>
          <w:szCs w:val="24"/>
        </w:rPr>
        <w:t>.</w:t>
      </w:r>
      <w:r w:rsidRPr="009806FE" w:rsidR="00F87F8D">
        <w:rPr>
          <w:rFonts w:cs="Times New Roman"/>
          <w:szCs w:val="24"/>
        </w:rPr>
        <w:t xml:space="preserve">  Similarly, with </w:t>
      </w:r>
      <w:r w:rsidRPr="009806FE" w:rsidR="00F87F8D">
        <w:rPr>
          <w:rFonts w:cs="Times New Roman"/>
          <w:szCs w:val="24"/>
        </w:rPr>
        <w:t>respected</w:t>
      </w:r>
      <w:r w:rsidRPr="009806FE" w:rsidR="00F87F8D">
        <w:rPr>
          <w:rFonts w:cs="Times New Roman"/>
          <w:szCs w:val="24"/>
        </w:rPr>
        <w:t xml:space="preserve"> to enumerated bona fide hedge exemptions, market participants need only </w:t>
      </w:r>
      <w:r w:rsidRPr="009806FE" w:rsidR="00F87F8D">
        <w:rPr>
          <w:rFonts w:cs="Times New Roman"/>
          <w:szCs w:val="24"/>
        </w:rPr>
        <w:t>submit an application</w:t>
      </w:r>
      <w:r w:rsidRPr="009806FE" w:rsidR="00F87F8D">
        <w:rPr>
          <w:rFonts w:cs="Times New Roman"/>
          <w:szCs w:val="24"/>
        </w:rPr>
        <w:t xml:space="preserve"> to an exchange for the purpose of </w:t>
      </w:r>
      <w:r w:rsidRPr="009806FE" w:rsidR="00F87F8D">
        <w:rPr>
          <w:rFonts w:cs="Times New Roman"/>
          <w:szCs w:val="24"/>
        </w:rPr>
        <w:t>exchange</w:t>
      </w:r>
      <w:r w:rsidRPr="009806FE" w:rsidR="00F87F8D">
        <w:rPr>
          <w:rFonts w:cs="Times New Roman"/>
          <w:szCs w:val="24"/>
        </w:rPr>
        <w:t xml:space="preserve">-set limits rather than separately </w:t>
      </w:r>
      <w:r w:rsidRPr="009806FE" w:rsidR="00F87F8D">
        <w:rPr>
          <w:rFonts w:cs="Times New Roman"/>
          <w:szCs w:val="24"/>
        </w:rPr>
        <w:t>submit an application</w:t>
      </w:r>
      <w:r w:rsidRPr="009806FE" w:rsidR="00F87F8D">
        <w:rPr>
          <w:rFonts w:cs="Times New Roman"/>
          <w:szCs w:val="24"/>
        </w:rPr>
        <w:t xml:space="preserve"> to the Commission for purposes of federal-set limits.</w:t>
      </w:r>
    </w:p>
    <w:p w:rsidR="00642B6A" w:rsidRPr="009806FE" w:rsidP="00E42D10" w14:paraId="4C13C765" w14:textId="77777777">
      <w:pPr>
        <w:spacing w:after="240"/>
        <w:ind w:left="720" w:hanging="720"/>
        <w:jc w:val="both"/>
        <w:rPr>
          <w:rFonts w:eastAsia="Times New Roman" w:cs="Times New Roman"/>
          <w:b/>
          <w:bCs/>
          <w:szCs w:val="24"/>
        </w:rPr>
      </w:pPr>
      <w:r w:rsidRPr="009806FE">
        <w:rPr>
          <w:rFonts w:eastAsia="Times New Roman" w:cs="Times New Roman"/>
          <w:b/>
          <w:bCs/>
          <w:szCs w:val="24"/>
        </w:rPr>
        <w:t>5.</w:t>
      </w:r>
      <w:r w:rsidRPr="009806FE">
        <w:rPr>
          <w:rFonts w:cs="Times New Roman"/>
          <w:szCs w:val="24"/>
        </w:rPr>
        <w:tab/>
      </w:r>
      <w:r w:rsidRPr="009806FE">
        <w:rPr>
          <w:rFonts w:eastAsia="Times New Roman" w:cs="Times New Roman"/>
          <w:b/>
          <w:bCs/>
          <w:szCs w:val="24"/>
        </w:rPr>
        <w:t>If the collection of information involves small business or other small entities, describe the methods used to minimize burden.</w:t>
      </w:r>
    </w:p>
    <w:p w:rsidR="00172C68" w:rsidP="00B564B6" w14:paraId="2E3BAD1C" w14:textId="583423AF">
      <w:pPr>
        <w:tabs>
          <w:tab w:val="left" w:pos="-720"/>
        </w:tabs>
        <w:spacing w:after="240"/>
        <w:ind w:firstLine="720"/>
        <w:rPr>
          <w:rFonts w:eastAsia="Times New Roman" w:cs="Times New Roman"/>
          <w:szCs w:val="24"/>
        </w:rPr>
      </w:pPr>
      <w:r>
        <w:rPr>
          <w:rFonts w:eastAsia="Times New Roman" w:cs="Times New Roman"/>
          <w:szCs w:val="24"/>
        </w:rPr>
        <w:t>The information collections do</w:t>
      </w:r>
      <w:r w:rsidRPr="009806FE" w:rsidR="004F796B">
        <w:rPr>
          <w:rFonts w:eastAsia="Times New Roman" w:cs="Times New Roman"/>
          <w:szCs w:val="24"/>
        </w:rPr>
        <w:t xml:space="preserve"> not </w:t>
      </w:r>
      <w:r w:rsidR="006A7DD0">
        <w:rPr>
          <w:rFonts w:eastAsia="Times New Roman" w:cs="Times New Roman"/>
          <w:szCs w:val="24"/>
        </w:rPr>
        <w:t>involve</w:t>
      </w:r>
      <w:r w:rsidRPr="009806FE" w:rsidR="004F796B">
        <w:rPr>
          <w:rFonts w:eastAsia="Times New Roman" w:cs="Times New Roman"/>
          <w:szCs w:val="24"/>
        </w:rPr>
        <w:t xml:space="preserve"> small entities. </w:t>
      </w:r>
      <w:r w:rsidRPr="009806FE" w:rsidR="00C52E7B">
        <w:rPr>
          <w:rFonts w:eastAsia="Times New Roman" w:cs="Times New Roman"/>
          <w:szCs w:val="24"/>
        </w:rPr>
        <w:t xml:space="preserve"> </w:t>
      </w:r>
      <w:r w:rsidRPr="009806FE" w:rsidR="004F796B">
        <w:rPr>
          <w:rFonts w:eastAsia="Calibri" w:cs="Times New Roman"/>
          <w:szCs w:val="24"/>
        </w:rPr>
        <w:t xml:space="preserve">The </w:t>
      </w:r>
      <w:r w:rsidR="008D4115">
        <w:rPr>
          <w:rFonts w:eastAsia="Calibri" w:cs="Times New Roman"/>
          <w:szCs w:val="24"/>
        </w:rPr>
        <w:t xml:space="preserve">information collection </w:t>
      </w:r>
      <w:r w:rsidRPr="009806FE" w:rsidR="004F796B">
        <w:rPr>
          <w:rFonts w:eastAsia="Calibri" w:cs="Times New Roman"/>
          <w:szCs w:val="24"/>
        </w:rPr>
        <w:t xml:space="preserve">requirements </w:t>
      </w:r>
      <w:r w:rsidR="008D4115">
        <w:rPr>
          <w:rFonts w:eastAsia="Calibri" w:cs="Times New Roman"/>
          <w:szCs w:val="24"/>
        </w:rPr>
        <w:t>apply</w:t>
      </w:r>
      <w:r w:rsidRPr="009806FE" w:rsidR="004F796B">
        <w:rPr>
          <w:rFonts w:eastAsia="Calibri" w:cs="Times New Roman"/>
          <w:szCs w:val="24"/>
        </w:rPr>
        <w:t xml:space="preserve"> mainly </w:t>
      </w:r>
      <w:r w:rsidR="008D4115">
        <w:rPr>
          <w:rFonts w:eastAsia="Calibri" w:cs="Times New Roman"/>
          <w:szCs w:val="24"/>
        </w:rPr>
        <w:t>to</w:t>
      </w:r>
      <w:r w:rsidRPr="009806FE" w:rsidR="008D4115">
        <w:rPr>
          <w:rFonts w:eastAsia="Calibri" w:cs="Times New Roman"/>
          <w:szCs w:val="24"/>
        </w:rPr>
        <w:t xml:space="preserve"> </w:t>
      </w:r>
      <w:r w:rsidRPr="009806FE" w:rsidR="004F796B">
        <w:rPr>
          <w:rFonts w:eastAsia="Calibri" w:cs="Times New Roman"/>
          <w:szCs w:val="24"/>
        </w:rPr>
        <w:t>registered entities</w:t>
      </w:r>
      <w:r w:rsidRPr="009806FE" w:rsidR="009401EE">
        <w:rPr>
          <w:rFonts w:eastAsia="Calibri" w:cs="Times New Roman"/>
          <w:szCs w:val="24"/>
        </w:rPr>
        <w:t xml:space="preserve"> such as</w:t>
      </w:r>
      <w:r w:rsidRPr="009806FE" w:rsidR="004F796B">
        <w:rPr>
          <w:rFonts w:eastAsia="Calibri" w:cs="Times New Roman"/>
          <w:szCs w:val="24"/>
        </w:rPr>
        <w:t xml:space="preserve"> exchanges</w:t>
      </w:r>
      <w:r w:rsidRPr="009806FE" w:rsidR="009401EE">
        <w:rPr>
          <w:rFonts w:eastAsia="Calibri" w:cs="Times New Roman"/>
          <w:szCs w:val="24"/>
        </w:rPr>
        <w:t xml:space="preserve"> (</w:t>
      </w:r>
      <w:r w:rsidRPr="009806FE" w:rsidR="009401EE">
        <w:rPr>
          <w:rFonts w:eastAsia="Calibri" w:cs="Times New Roman"/>
          <w:i/>
          <w:szCs w:val="24"/>
        </w:rPr>
        <w:t xml:space="preserve">i.e., </w:t>
      </w:r>
      <w:r w:rsidRPr="009806FE" w:rsidR="009401EE">
        <w:rPr>
          <w:rFonts w:eastAsia="Calibri" w:cs="Times New Roman"/>
          <w:szCs w:val="24"/>
        </w:rPr>
        <w:t>DCMs and SEFs</w:t>
      </w:r>
      <w:r w:rsidRPr="009806FE" w:rsidR="004F796B">
        <w:rPr>
          <w:rFonts w:eastAsia="Calibri" w:cs="Times New Roman"/>
          <w:szCs w:val="24"/>
        </w:rPr>
        <w:t xml:space="preserve">, </w:t>
      </w:r>
      <w:r w:rsidR="00C901E8">
        <w:rPr>
          <w:rFonts w:eastAsia="Calibri" w:cs="Times New Roman"/>
          <w:szCs w:val="24"/>
        </w:rPr>
        <w:t>Futures Commission Merchants (“</w:t>
      </w:r>
      <w:r w:rsidRPr="009806FE" w:rsidR="004F796B">
        <w:rPr>
          <w:rFonts w:eastAsia="Calibri" w:cs="Times New Roman"/>
          <w:szCs w:val="24"/>
        </w:rPr>
        <w:t>FCMs</w:t>
      </w:r>
      <w:r w:rsidR="00C901E8">
        <w:rPr>
          <w:rFonts w:eastAsia="Calibri" w:cs="Times New Roman"/>
          <w:szCs w:val="24"/>
        </w:rPr>
        <w:t>”)</w:t>
      </w:r>
      <w:r w:rsidRPr="009806FE" w:rsidR="004F796B">
        <w:rPr>
          <w:rFonts w:eastAsia="Calibri" w:cs="Times New Roman"/>
          <w:szCs w:val="24"/>
        </w:rPr>
        <w:t xml:space="preserve">, swap dealers, clearing members, foreign brokers, and large traders. </w:t>
      </w:r>
      <w:r w:rsidRPr="009806FE" w:rsidR="00C52E7B">
        <w:rPr>
          <w:rFonts w:eastAsia="Calibri" w:cs="Times New Roman"/>
          <w:szCs w:val="24"/>
        </w:rPr>
        <w:t xml:space="preserve"> </w:t>
      </w:r>
      <w:r w:rsidRPr="009806FE" w:rsidR="004F796B">
        <w:rPr>
          <w:rFonts w:eastAsia="Calibri" w:cs="Times New Roman"/>
          <w:szCs w:val="24"/>
        </w:rPr>
        <w:t xml:space="preserve">The Commission has determined that registered DCMs, </w:t>
      </w:r>
      <w:r w:rsidRPr="009806FE" w:rsidR="00A80718">
        <w:rPr>
          <w:rFonts w:eastAsia="Calibri" w:cs="Times New Roman"/>
          <w:szCs w:val="24"/>
        </w:rPr>
        <w:t xml:space="preserve">SEFs, </w:t>
      </w:r>
      <w:r w:rsidRPr="009806FE" w:rsidR="004F796B">
        <w:rPr>
          <w:rFonts w:eastAsia="Calibri" w:cs="Times New Roman"/>
          <w:szCs w:val="24"/>
        </w:rPr>
        <w:t>FCMs, swap dealers, major swap participants, eligible contract participants, clearing members, foreign brokers</w:t>
      </w:r>
      <w:r w:rsidRPr="009806FE" w:rsidR="00C52E7B">
        <w:rPr>
          <w:rFonts w:eastAsia="Calibri" w:cs="Times New Roman"/>
          <w:szCs w:val="24"/>
        </w:rPr>
        <w:t>,</w:t>
      </w:r>
      <w:r w:rsidRPr="009806FE" w:rsidR="004F796B">
        <w:rPr>
          <w:rFonts w:eastAsia="Calibri" w:cs="Times New Roman"/>
          <w:szCs w:val="24"/>
        </w:rPr>
        <w:t xml:space="preserve"> and large traders are not small entities for purposes of the Regulatory Flexibility Act.</w:t>
      </w:r>
    </w:p>
    <w:p w:rsidR="00642B6A" w:rsidRPr="009806FE" w:rsidP="00E42D10" w14:paraId="68ECAC2C" w14:textId="77777777">
      <w:pPr>
        <w:tabs>
          <w:tab w:val="left" w:pos="-720"/>
        </w:tabs>
        <w:spacing w:after="240"/>
        <w:ind w:left="720" w:hanging="720"/>
        <w:jc w:val="both"/>
        <w:rPr>
          <w:rFonts w:eastAsia="Times New Roman" w:cs="Times New Roman"/>
          <w:b/>
          <w:szCs w:val="24"/>
        </w:rPr>
      </w:pPr>
      <w:r w:rsidRPr="009806FE">
        <w:rPr>
          <w:rFonts w:eastAsia="Times New Roman" w:cs="Times New Roman"/>
          <w:b/>
          <w:szCs w:val="24"/>
        </w:rPr>
        <w:t>6.</w:t>
      </w:r>
      <w:r w:rsidRPr="009806FE">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AE5880" w:rsidRPr="009806FE" w:rsidP="00E42D10" w14:paraId="71494276" w14:textId="0E4696CD">
      <w:pPr>
        <w:autoSpaceDE w:val="0"/>
        <w:autoSpaceDN w:val="0"/>
        <w:adjustRightInd w:val="0"/>
        <w:spacing w:after="240"/>
        <w:ind w:firstLine="720"/>
        <w:jc w:val="both"/>
        <w:rPr>
          <w:rFonts w:cs="Times New Roman"/>
          <w:szCs w:val="24"/>
        </w:rPr>
      </w:pPr>
      <w:r w:rsidRPr="009806FE">
        <w:rPr>
          <w:rFonts w:cs="Times New Roman"/>
          <w:szCs w:val="24"/>
        </w:rPr>
        <w:t xml:space="preserve">The Commission would not be able to effectively carry out the </w:t>
      </w:r>
      <w:r w:rsidRPr="009806FE" w:rsidR="00721E89">
        <w:rPr>
          <w:rFonts w:cs="Times New Roman"/>
          <w:szCs w:val="24"/>
        </w:rPr>
        <w:t xml:space="preserve">congressional directive to </w:t>
      </w:r>
      <w:r w:rsidRPr="009806FE">
        <w:rPr>
          <w:rFonts w:cs="Times New Roman"/>
          <w:szCs w:val="24"/>
        </w:rPr>
        <w:t>establish position limits</w:t>
      </w:r>
      <w:r w:rsidRPr="009806FE" w:rsidR="009401EE">
        <w:rPr>
          <w:rFonts w:cs="Times New Roman"/>
          <w:szCs w:val="24"/>
        </w:rPr>
        <w:t>, as the Commission deems necessary,</w:t>
      </w:r>
      <w:r w:rsidRPr="009806FE">
        <w:rPr>
          <w:rFonts w:cs="Times New Roman"/>
          <w:szCs w:val="24"/>
        </w:rPr>
        <w:t xml:space="preserve"> under section 4a of the CEA</w:t>
      </w:r>
      <w:r w:rsidRPr="009806FE" w:rsidR="004F0D84">
        <w:rPr>
          <w:rFonts w:cs="Times New Roman"/>
          <w:szCs w:val="24"/>
        </w:rPr>
        <w:t xml:space="preserve"> if the collections were conducted less frequently than </w:t>
      </w:r>
      <w:r w:rsidRPr="009806FE" w:rsidR="001453A0">
        <w:rPr>
          <w:rFonts w:cs="Times New Roman"/>
          <w:szCs w:val="24"/>
        </w:rPr>
        <w:t>as adopted</w:t>
      </w:r>
      <w:r w:rsidRPr="009806FE">
        <w:rPr>
          <w:rFonts w:cs="Times New Roman"/>
          <w:szCs w:val="24"/>
        </w:rPr>
        <w:t xml:space="preserve">.  </w:t>
      </w:r>
      <w:r w:rsidRPr="009806FE" w:rsidR="0025553A">
        <w:rPr>
          <w:rFonts w:cs="Times New Roman"/>
          <w:szCs w:val="24"/>
        </w:rPr>
        <w:t xml:space="preserve">The </w:t>
      </w:r>
      <w:r w:rsidRPr="009806FE" w:rsidR="007E01B5">
        <w:rPr>
          <w:rFonts w:cs="Times New Roman"/>
          <w:szCs w:val="24"/>
        </w:rPr>
        <w:t>Final Rule</w:t>
      </w:r>
      <w:r w:rsidRPr="009806FE" w:rsidR="0025553A">
        <w:rPr>
          <w:rFonts w:cs="Times New Roman"/>
          <w:szCs w:val="24"/>
        </w:rPr>
        <w:t xml:space="preserve"> set</w:t>
      </w:r>
      <w:r w:rsidRPr="009806FE" w:rsidR="007E01B5">
        <w:rPr>
          <w:rFonts w:cs="Times New Roman"/>
          <w:szCs w:val="24"/>
        </w:rPr>
        <w:t>s</w:t>
      </w:r>
      <w:r w:rsidRPr="009806FE" w:rsidR="0025553A">
        <w:rPr>
          <w:rFonts w:cs="Times New Roman"/>
          <w:szCs w:val="24"/>
        </w:rPr>
        <w:t xml:space="preserve"> forth a streamline</w:t>
      </w:r>
      <w:r w:rsidRPr="009806FE" w:rsidR="00932912">
        <w:rPr>
          <w:rFonts w:cs="Times New Roman"/>
          <w:szCs w:val="24"/>
        </w:rPr>
        <w:t>d</w:t>
      </w:r>
      <w:r w:rsidRPr="009806FE" w:rsidR="0025553A">
        <w:rPr>
          <w:rFonts w:cs="Times New Roman"/>
          <w:szCs w:val="24"/>
        </w:rPr>
        <w:t xml:space="preserve"> process in which a trader c</w:t>
      </w:r>
      <w:r w:rsidRPr="009806FE" w:rsidR="001453A0">
        <w:rPr>
          <w:rFonts w:cs="Times New Roman"/>
          <w:szCs w:val="24"/>
        </w:rPr>
        <w:t>an</w:t>
      </w:r>
      <w:r w:rsidRPr="009806FE" w:rsidR="0025553A">
        <w:rPr>
          <w:rFonts w:cs="Times New Roman"/>
          <w:szCs w:val="24"/>
        </w:rPr>
        <w:t xml:space="preserve"> apply</w:t>
      </w:r>
      <w:r w:rsidRPr="009806FE" w:rsidR="00545204">
        <w:rPr>
          <w:rFonts w:cs="Times New Roman"/>
          <w:szCs w:val="24"/>
        </w:rPr>
        <w:t xml:space="preserve"> indirectly to the Commission</w:t>
      </w:r>
      <w:r w:rsidRPr="009806FE" w:rsidR="0025553A">
        <w:rPr>
          <w:rFonts w:cs="Times New Roman"/>
          <w:szCs w:val="24"/>
        </w:rPr>
        <w:t xml:space="preserve"> through an </w:t>
      </w:r>
      <w:r w:rsidRPr="009806FE" w:rsidR="0025553A">
        <w:rPr>
          <w:rFonts w:eastAsia="Calibri" w:cs="Times New Roman"/>
          <w:szCs w:val="24"/>
        </w:rPr>
        <w:t xml:space="preserve">exchange to request a non-enumerated bona fide hedging recognition from federal position limits. </w:t>
      </w:r>
      <w:r w:rsidRPr="009806FE" w:rsidR="0025553A">
        <w:rPr>
          <w:rFonts w:cs="Times New Roman"/>
          <w:szCs w:val="24"/>
        </w:rPr>
        <w:t xml:space="preserve"> </w:t>
      </w:r>
      <w:r w:rsidRPr="009806FE" w:rsidR="00883357">
        <w:rPr>
          <w:rFonts w:cs="Times New Roman"/>
          <w:szCs w:val="24"/>
        </w:rPr>
        <w:t>Conducting the collections less frequently</w:t>
      </w:r>
      <w:r w:rsidRPr="009806FE" w:rsidR="0043153E">
        <w:rPr>
          <w:rFonts w:cs="Times New Roman"/>
          <w:szCs w:val="24"/>
        </w:rPr>
        <w:t xml:space="preserve"> </w:t>
      </w:r>
      <w:r w:rsidRPr="009806FE" w:rsidR="00883357">
        <w:rPr>
          <w:rFonts w:cs="Times New Roman"/>
          <w:szCs w:val="24"/>
        </w:rPr>
        <w:t>w</w:t>
      </w:r>
      <w:r w:rsidRPr="009806FE" w:rsidR="00A7762D">
        <w:rPr>
          <w:rFonts w:cs="Times New Roman"/>
          <w:szCs w:val="24"/>
        </w:rPr>
        <w:t>ill</w:t>
      </w:r>
      <w:r w:rsidRPr="009806FE" w:rsidR="00883357">
        <w:rPr>
          <w:rFonts w:cs="Times New Roman"/>
          <w:szCs w:val="24"/>
        </w:rPr>
        <w:t xml:space="preserve"> hinder the Commission’s ability to consider the traders’ </w:t>
      </w:r>
      <w:r w:rsidRPr="009806FE">
        <w:rPr>
          <w:rFonts w:cs="Times New Roman"/>
          <w:szCs w:val="24"/>
        </w:rPr>
        <w:t xml:space="preserve">applications when requesting non-enumerated bona fide hedge exemptions from federal or exchange-set limits </w:t>
      </w:r>
      <w:r w:rsidRPr="009806FE" w:rsidR="001A1F2E">
        <w:rPr>
          <w:rFonts w:cs="Times New Roman"/>
          <w:szCs w:val="24"/>
        </w:rPr>
        <w:t xml:space="preserve">and </w:t>
      </w:r>
      <w:r w:rsidRPr="009806FE">
        <w:rPr>
          <w:rFonts w:cs="Times New Roman"/>
          <w:szCs w:val="24"/>
        </w:rPr>
        <w:t xml:space="preserve">allows the </w:t>
      </w:r>
      <w:r w:rsidRPr="009806FE" w:rsidR="00B52955">
        <w:rPr>
          <w:rFonts w:cs="Times New Roman"/>
          <w:szCs w:val="24"/>
        </w:rPr>
        <w:t>Commission</w:t>
      </w:r>
      <w:r w:rsidRPr="009806FE">
        <w:rPr>
          <w:rFonts w:cs="Times New Roman"/>
          <w:szCs w:val="24"/>
        </w:rPr>
        <w:t xml:space="preserve"> </w:t>
      </w:r>
      <w:r w:rsidRPr="009806FE" w:rsidR="001A1F2E">
        <w:rPr>
          <w:rFonts w:cs="Times New Roman"/>
          <w:szCs w:val="24"/>
        </w:rPr>
        <w:t>to</w:t>
      </w:r>
      <w:r w:rsidRPr="009806FE">
        <w:rPr>
          <w:rFonts w:cs="Times New Roman"/>
          <w:szCs w:val="24"/>
        </w:rPr>
        <w:t xml:space="preserve"> </w:t>
      </w:r>
      <w:r w:rsidRPr="009806FE" w:rsidR="00883357">
        <w:rPr>
          <w:rFonts w:cs="Times New Roman"/>
          <w:szCs w:val="24"/>
        </w:rPr>
        <w:t>assess</w:t>
      </w:r>
      <w:r w:rsidRPr="009806FE">
        <w:rPr>
          <w:rFonts w:cs="Times New Roman"/>
          <w:szCs w:val="24"/>
        </w:rPr>
        <w:t xml:space="preserve"> the validity of exemptions.  In addition, </w:t>
      </w:r>
      <w:r w:rsidRPr="009806FE" w:rsidR="00883357">
        <w:rPr>
          <w:rFonts w:cs="Times New Roman"/>
          <w:szCs w:val="24"/>
        </w:rPr>
        <w:t xml:space="preserve">conducting the </w:t>
      </w:r>
      <w:r w:rsidRPr="009806FE">
        <w:rPr>
          <w:rFonts w:cs="Times New Roman"/>
          <w:szCs w:val="24"/>
        </w:rPr>
        <w:t xml:space="preserve">recordkeeping obligations </w:t>
      </w:r>
      <w:r w:rsidRPr="009806FE" w:rsidR="00883357">
        <w:rPr>
          <w:rFonts w:cs="Times New Roman"/>
          <w:szCs w:val="24"/>
        </w:rPr>
        <w:t>less frequently w</w:t>
      </w:r>
      <w:r w:rsidRPr="009806FE" w:rsidR="001A1F2E">
        <w:rPr>
          <w:rFonts w:cs="Times New Roman"/>
          <w:szCs w:val="24"/>
        </w:rPr>
        <w:t>ill</w:t>
      </w:r>
      <w:r w:rsidRPr="009806FE" w:rsidR="00883357">
        <w:rPr>
          <w:rFonts w:cs="Times New Roman"/>
          <w:szCs w:val="24"/>
        </w:rPr>
        <w:t xml:space="preserve"> not </w:t>
      </w:r>
      <w:r w:rsidRPr="009806FE">
        <w:rPr>
          <w:rFonts w:cs="Times New Roman"/>
          <w:szCs w:val="24"/>
        </w:rPr>
        <w:t xml:space="preserve">aid in the Commission’s ability to properly enforce </w:t>
      </w:r>
      <w:r w:rsidRPr="009806FE" w:rsidR="00721E89">
        <w:rPr>
          <w:rFonts w:cs="Times New Roman"/>
          <w:szCs w:val="24"/>
        </w:rPr>
        <w:t xml:space="preserve">federal </w:t>
      </w:r>
      <w:r w:rsidRPr="009806FE">
        <w:rPr>
          <w:rFonts w:cs="Times New Roman"/>
          <w:szCs w:val="24"/>
        </w:rPr>
        <w:t xml:space="preserve">position limits </w:t>
      </w:r>
      <w:r w:rsidRPr="009806FE" w:rsidR="00883357">
        <w:rPr>
          <w:rFonts w:cs="Times New Roman"/>
          <w:szCs w:val="24"/>
        </w:rPr>
        <w:t xml:space="preserve">as the </w:t>
      </w:r>
      <w:r w:rsidRPr="009806FE" w:rsidR="00545204">
        <w:rPr>
          <w:rFonts w:cs="Times New Roman"/>
          <w:szCs w:val="24"/>
        </w:rPr>
        <w:t>Final Rule’s</w:t>
      </w:r>
      <w:r w:rsidRPr="009806FE" w:rsidR="00883357">
        <w:rPr>
          <w:rFonts w:cs="Times New Roman"/>
          <w:szCs w:val="24"/>
        </w:rPr>
        <w:t xml:space="preserve"> requirements </w:t>
      </w:r>
      <w:r w:rsidRPr="009806FE">
        <w:rPr>
          <w:rFonts w:cs="Times New Roman"/>
          <w:szCs w:val="24"/>
        </w:rPr>
        <w:t>ensur</w:t>
      </w:r>
      <w:r w:rsidRPr="009806FE" w:rsidR="00883357">
        <w:rPr>
          <w:rFonts w:cs="Times New Roman"/>
          <w:szCs w:val="24"/>
        </w:rPr>
        <w:t>e</w:t>
      </w:r>
      <w:r w:rsidRPr="009806FE">
        <w:rPr>
          <w:rFonts w:cs="Times New Roman"/>
          <w:szCs w:val="24"/>
        </w:rPr>
        <w:t xml:space="preserve"> that supporting documentation is available upon</w:t>
      </w:r>
      <w:r w:rsidRPr="009806FE" w:rsidR="00721E89">
        <w:rPr>
          <w:rFonts w:cs="Times New Roman"/>
          <w:szCs w:val="24"/>
        </w:rPr>
        <w:t xml:space="preserve"> </w:t>
      </w:r>
      <w:r w:rsidRPr="009806FE" w:rsidR="007579C9">
        <w:rPr>
          <w:rFonts w:cs="Times New Roman"/>
          <w:szCs w:val="24"/>
        </w:rPr>
        <w:t>request to Commission staff.</w:t>
      </w:r>
    </w:p>
    <w:p w:rsidR="00052CC1" w:rsidRPr="009806FE" w:rsidP="00E42D10" w14:paraId="1797F734" w14:textId="3E2FD252">
      <w:pPr>
        <w:tabs>
          <w:tab w:val="left" w:pos="360"/>
        </w:tabs>
        <w:autoSpaceDE w:val="0"/>
        <w:autoSpaceDN w:val="0"/>
        <w:adjustRightInd w:val="0"/>
        <w:spacing w:after="240"/>
        <w:ind w:firstLine="720"/>
        <w:jc w:val="both"/>
        <w:rPr>
          <w:rFonts w:eastAsia="Times New Roman" w:cs="Times New Roman"/>
          <w:szCs w:val="24"/>
        </w:rPr>
      </w:pPr>
      <w:r w:rsidRPr="009806FE">
        <w:rPr>
          <w:rFonts w:cs="Times New Roman"/>
          <w:szCs w:val="24"/>
        </w:rPr>
        <w:t xml:space="preserve">Further, </w:t>
      </w:r>
      <w:r w:rsidRPr="009806FE">
        <w:rPr>
          <w:rFonts w:cs="Times New Roman"/>
          <w:szCs w:val="24"/>
        </w:rPr>
        <w:t>in order to</w:t>
      </w:r>
      <w:r w:rsidRPr="009806FE">
        <w:rPr>
          <w:rFonts w:cs="Times New Roman"/>
          <w:szCs w:val="24"/>
        </w:rPr>
        <w:t xml:space="preserve"> properly set</w:t>
      </w:r>
      <w:r w:rsidRPr="009806FE" w:rsidR="6B8DBC45">
        <w:rPr>
          <w:rFonts w:cs="Times New Roman"/>
          <w:szCs w:val="24"/>
        </w:rPr>
        <w:t xml:space="preserve"> federal</w:t>
      </w:r>
      <w:r w:rsidRPr="009806FE">
        <w:rPr>
          <w:rFonts w:cs="Times New Roman"/>
          <w:szCs w:val="24"/>
        </w:rPr>
        <w:t xml:space="preserve"> spot-month position limits, the Commission need</w:t>
      </w:r>
      <w:r w:rsidR="00786E5B">
        <w:rPr>
          <w:rFonts w:cs="Times New Roman"/>
          <w:szCs w:val="24"/>
        </w:rPr>
        <w:t>s</w:t>
      </w:r>
      <w:r w:rsidRPr="009806FE">
        <w:rPr>
          <w:rFonts w:cs="Times New Roman"/>
          <w:szCs w:val="24"/>
        </w:rPr>
        <w:t xml:space="preserve"> DCMs to submit initial estimates of deliverable supply on</w:t>
      </w:r>
      <w:r w:rsidRPr="009806FE" w:rsidR="6B8DBC45">
        <w:rPr>
          <w:rFonts w:cs="Times New Roman"/>
          <w:szCs w:val="24"/>
        </w:rPr>
        <w:t xml:space="preserve"> </w:t>
      </w:r>
      <w:r w:rsidRPr="009806FE">
        <w:rPr>
          <w:rFonts w:cs="Times New Roman"/>
          <w:szCs w:val="24"/>
        </w:rPr>
        <w:t>the relevant underlying commodities.</w:t>
      </w:r>
    </w:p>
    <w:p w:rsidR="006A7CD7" w:rsidRPr="009806FE" w:rsidP="00E42D10" w14:paraId="0B8121AB" w14:textId="5FCFB355">
      <w:pPr>
        <w:tabs>
          <w:tab w:val="left" w:pos="360"/>
        </w:tabs>
        <w:autoSpaceDE w:val="0"/>
        <w:autoSpaceDN w:val="0"/>
        <w:adjustRightInd w:val="0"/>
        <w:spacing w:after="240"/>
        <w:ind w:firstLine="720"/>
        <w:jc w:val="both"/>
        <w:rPr>
          <w:rFonts w:cs="Times New Roman"/>
          <w:szCs w:val="24"/>
        </w:rPr>
      </w:pPr>
      <w:r w:rsidRPr="009806FE">
        <w:rPr>
          <w:rFonts w:eastAsia="Times New Roman" w:cs="Times New Roman"/>
          <w:szCs w:val="24"/>
        </w:rPr>
        <w:t xml:space="preserve">The Commission also would not be able to effectively monitor whether market participants are properly relying upon exemptions from </w:t>
      </w:r>
      <w:r w:rsidRPr="009806FE">
        <w:rPr>
          <w:rFonts w:eastAsia="Times New Roman" w:cs="Times New Roman"/>
          <w:szCs w:val="24"/>
        </w:rPr>
        <w:t>aggregation, and</w:t>
      </w:r>
      <w:r w:rsidRPr="009806FE">
        <w:rPr>
          <w:rFonts w:eastAsia="Times New Roman" w:cs="Times New Roman"/>
          <w:szCs w:val="24"/>
        </w:rPr>
        <w:t xml:space="preserve"> would not be able to determine if modifications to the existing aggregation rules are needed.</w:t>
      </w:r>
    </w:p>
    <w:p w:rsidR="00642B6A" w:rsidRPr="009806FE" w:rsidP="00E42D10" w14:paraId="27A0098A" w14:textId="77777777">
      <w:pPr>
        <w:tabs>
          <w:tab w:val="left" w:pos="-720"/>
          <w:tab w:val="left" w:pos="0"/>
        </w:tabs>
        <w:spacing w:after="240"/>
        <w:ind w:left="720" w:hanging="720"/>
        <w:jc w:val="both"/>
        <w:rPr>
          <w:rFonts w:eastAsia="Times New Roman" w:cs="Times New Roman"/>
          <w:b/>
          <w:szCs w:val="24"/>
        </w:rPr>
      </w:pPr>
      <w:bookmarkStart w:id="0" w:name="_Hlk56595927"/>
      <w:r w:rsidRPr="009806FE">
        <w:rPr>
          <w:rFonts w:eastAsia="Times New Roman" w:cs="Times New Roman"/>
          <w:b/>
          <w:szCs w:val="24"/>
        </w:rPr>
        <w:t>7.</w:t>
      </w:r>
      <w:r w:rsidRPr="009806FE">
        <w:rPr>
          <w:rFonts w:eastAsia="Times New Roman" w:cs="Times New Roman"/>
          <w:b/>
          <w:szCs w:val="24"/>
        </w:rPr>
        <w:tab/>
        <w:t>Explain any special circumstances that require the collection to be conducted in a manner:</w:t>
      </w:r>
    </w:p>
    <w:p w:rsidR="00642B6A" w:rsidRPr="009806FE" w:rsidP="00E42D10" w14:paraId="419ABA17"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 xml:space="preserve">requiring respondents to report information to the agency more often than </w:t>
      </w:r>
      <w:r w:rsidRPr="009806FE">
        <w:rPr>
          <w:rFonts w:eastAsia="Times New Roman" w:cs="Times New Roman"/>
          <w:b/>
          <w:szCs w:val="24"/>
        </w:rPr>
        <w:t>quarterly;</w:t>
      </w:r>
    </w:p>
    <w:p w:rsidR="00225B18" w:rsidRPr="009806FE" w:rsidP="00E42D10" w14:paraId="67E1DEB8" w14:textId="7ABC1153">
      <w:pPr>
        <w:spacing w:after="240"/>
        <w:ind w:firstLine="720"/>
        <w:jc w:val="both"/>
        <w:rPr>
          <w:rFonts w:eastAsia="Times New Roman" w:cs="Times New Roman"/>
          <w:szCs w:val="24"/>
        </w:rPr>
      </w:pPr>
      <w:r w:rsidRPr="009806FE">
        <w:rPr>
          <w:rFonts w:eastAsia="Times New Roman" w:cs="Times New Roman"/>
          <w:szCs w:val="24"/>
        </w:rPr>
        <w:t>The Commission generally regulates the trading of commodity derivatives, including futures and swaps, which are used to price a wide range of physical and financial commodity transactions.  These transactions are vital to national and international commerce</w:t>
      </w:r>
      <w:r w:rsidRPr="009806FE" w:rsidR="007405B2">
        <w:rPr>
          <w:rFonts w:eastAsia="Times New Roman" w:cs="Times New Roman"/>
          <w:szCs w:val="24"/>
        </w:rPr>
        <w:t xml:space="preserve">, as the </w:t>
      </w:r>
      <w:r w:rsidRPr="009806FE" w:rsidR="007405B2">
        <w:rPr>
          <w:rFonts w:eastAsia="Times New Roman" w:cs="Times New Roman"/>
          <w:szCs w:val="24"/>
        </w:rPr>
        <w:t xml:space="preserve">Commission has determined and </w:t>
      </w:r>
      <w:r w:rsidRPr="009806FE" w:rsidR="003D45D4">
        <w:rPr>
          <w:rFonts w:eastAsia="Times New Roman" w:cs="Times New Roman"/>
          <w:szCs w:val="24"/>
        </w:rPr>
        <w:t>explained</w:t>
      </w:r>
      <w:r w:rsidRPr="009806FE" w:rsidR="007405B2">
        <w:rPr>
          <w:rFonts w:eastAsia="Times New Roman" w:cs="Times New Roman"/>
          <w:szCs w:val="24"/>
        </w:rPr>
        <w:t xml:space="preserve"> in the preamble to the Final Rule</w:t>
      </w:r>
      <w:r w:rsidRPr="009806FE">
        <w:rPr>
          <w:rFonts w:eastAsia="Times New Roman" w:cs="Times New Roman"/>
          <w:szCs w:val="24"/>
        </w:rPr>
        <w:t>.  The exercise of regulatory oversight for the purpose of conducting market surveillance, financial surveillance, and monitoring of trading for abusive conduct</w:t>
      </w:r>
      <w:r w:rsidRPr="009806FE" w:rsidR="709A8860">
        <w:rPr>
          <w:rFonts w:eastAsia="Times New Roman" w:cs="Times New Roman"/>
          <w:szCs w:val="24"/>
        </w:rPr>
        <w:t xml:space="preserve"> or compliance with position limit requirements</w:t>
      </w:r>
      <w:r w:rsidRPr="009806FE">
        <w:rPr>
          <w:rFonts w:eastAsia="Times New Roman" w:cs="Times New Roman"/>
          <w:szCs w:val="24"/>
        </w:rPr>
        <w:t>, by necessity, requires the collection of transactional and position information on a monthly, weekly, or daily basis depending on the exact nature of the information required to be collected.</w:t>
      </w:r>
    </w:p>
    <w:p w:rsidR="4FCED843" w:rsidRPr="009806FE" w:rsidP="00E42D10" w14:paraId="15B815A5" w14:textId="54C61F96">
      <w:pPr>
        <w:spacing w:after="240"/>
        <w:ind w:firstLine="720"/>
        <w:jc w:val="both"/>
        <w:rPr>
          <w:rFonts w:eastAsia="Calibri" w:cs="Times New Roman"/>
        </w:rPr>
      </w:pPr>
      <w:r w:rsidRPr="7F40232B">
        <w:rPr>
          <w:rFonts w:eastAsia="Times New Roman" w:cs="Times New Roman"/>
        </w:rPr>
        <w:t xml:space="preserve">Market participants are only required to </w:t>
      </w:r>
      <w:r w:rsidRPr="7F40232B" w:rsidR="4AA9E786">
        <w:rPr>
          <w:rFonts w:eastAsia="Times New Roman" w:cs="Times New Roman"/>
        </w:rPr>
        <w:t>file</w:t>
      </w:r>
      <w:r w:rsidRPr="7F40232B">
        <w:rPr>
          <w:rFonts w:eastAsia="Times New Roman" w:cs="Times New Roman"/>
        </w:rPr>
        <w:t xml:space="preserve"> a notice with respect to aggregation when they wish to rely upon </w:t>
      </w:r>
      <w:r w:rsidRPr="7F40232B" w:rsidR="0E5EF9AE">
        <w:rPr>
          <w:rFonts w:eastAsia="Times New Roman" w:cs="Times New Roman"/>
        </w:rPr>
        <w:t xml:space="preserve">certain </w:t>
      </w:r>
      <w:r w:rsidRPr="7F40232B">
        <w:rPr>
          <w:rFonts w:eastAsia="Times New Roman" w:cs="Times New Roman"/>
        </w:rPr>
        <w:t>exemption</w:t>
      </w:r>
      <w:r w:rsidRPr="7F40232B" w:rsidR="76C1F7BB">
        <w:rPr>
          <w:rFonts w:eastAsia="Times New Roman" w:cs="Times New Roman"/>
        </w:rPr>
        <w:t>s</w:t>
      </w:r>
      <w:r w:rsidRPr="7F40232B">
        <w:rPr>
          <w:rFonts w:eastAsia="Times New Roman" w:cs="Times New Roman"/>
        </w:rPr>
        <w:t>.</w:t>
      </w:r>
    </w:p>
    <w:p w:rsidR="00642B6A" w:rsidRPr="009806FE" w:rsidP="00E42D10" w14:paraId="5F2A14EE" w14:textId="77777777">
      <w:pPr>
        <w:numPr>
          <w:ilvl w:val="0"/>
          <w:numId w:val="2"/>
        </w:numPr>
        <w:tabs>
          <w:tab w:val="left" w:pos="-720"/>
          <w:tab w:val="left" w:pos="0"/>
          <w:tab w:val="left" w:pos="720"/>
          <w:tab w:val="clear" w:pos="936"/>
        </w:tabs>
        <w:spacing w:after="240"/>
        <w:ind w:left="1080" w:hanging="360"/>
        <w:jc w:val="both"/>
        <w:rPr>
          <w:rFonts w:eastAsia="Times New Roman" w:cs="Times New Roman"/>
          <w:szCs w:val="24"/>
        </w:rPr>
      </w:pPr>
      <w:bookmarkStart w:id="1" w:name="_Hlk56595553"/>
      <w:bookmarkEnd w:id="0"/>
      <w:r w:rsidRPr="009806FE">
        <w:rPr>
          <w:rFonts w:eastAsia="Times New Roman" w:cs="Times New Roman"/>
          <w:b/>
          <w:szCs w:val="24"/>
        </w:rPr>
        <w:t>requiring respondents to prepare a written response to a collection of information in fewer than 30 days after receipt of it:</w:t>
      </w:r>
    </w:p>
    <w:p w:rsidR="006C3350" w:rsidRPr="009806FE" w:rsidP="006901AF" w14:paraId="3E5C5322" w14:textId="4265A253">
      <w:pPr>
        <w:tabs>
          <w:tab w:val="left" w:pos="720"/>
        </w:tabs>
        <w:spacing w:after="240"/>
        <w:ind w:firstLine="720"/>
        <w:rPr>
          <w:rFonts w:eastAsia="Times New Roman" w:cs="Times New Roman"/>
        </w:rPr>
      </w:pPr>
      <w:r w:rsidRPr="7F40232B">
        <w:rPr>
          <w:rFonts w:eastAsia="Times New Roman" w:cs="Times New Roman"/>
        </w:rPr>
        <w:t xml:space="preserve">In this collection, </w:t>
      </w:r>
      <w:r w:rsidRPr="7F40232B" w:rsidR="475CD198">
        <w:rPr>
          <w:rFonts w:eastAsia="Times New Roman" w:cs="Times New Roman"/>
        </w:rPr>
        <w:t>§ 150.9 provide</w:t>
      </w:r>
      <w:r w:rsidRPr="7F40232B" w:rsidR="019F202E">
        <w:rPr>
          <w:rFonts w:eastAsia="Times New Roman" w:cs="Times New Roman"/>
        </w:rPr>
        <w:t>s</w:t>
      </w:r>
      <w:r w:rsidRPr="7F40232B">
        <w:rPr>
          <w:rFonts w:eastAsia="Times New Roman" w:cs="Times New Roman"/>
        </w:rPr>
        <w:t xml:space="preserve"> </w:t>
      </w:r>
      <w:r w:rsidRPr="7F40232B" w:rsidR="475CD198">
        <w:rPr>
          <w:rFonts w:eastAsia="Times New Roman" w:cs="Times New Roman"/>
        </w:rPr>
        <w:t>for</w:t>
      </w:r>
      <w:r w:rsidRPr="7F40232B">
        <w:rPr>
          <w:rFonts w:eastAsia="Times New Roman" w:cs="Times New Roman"/>
        </w:rPr>
        <w:t xml:space="preserve"> instance</w:t>
      </w:r>
      <w:r w:rsidRPr="7F40232B" w:rsidR="475CD198">
        <w:rPr>
          <w:rFonts w:eastAsia="Times New Roman" w:cs="Times New Roman"/>
        </w:rPr>
        <w:t>s</w:t>
      </w:r>
      <w:r w:rsidRPr="7F40232B">
        <w:rPr>
          <w:rFonts w:eastAsia="Times New Roman" w:cs="Times New Roman"/>
        </w:rPr>
        <w:t xml:space="preserve"> where respondents may be required to prepare a written response to a collection of information within fewer than 30 days after receipt. </w:t>
      </w:r>
      <w:r w:rsidRPr="7F40232B" w:rsidR="49B09EDF">
        <w:rPr>
          <w:rFonts w:eastAsia="Times New Roman" w:cs="Times New Roman"/>
        </w:rPr>
        <w:t xml:space="preserve"> </w:t>
      </w:r>
      <w:r w:rsidRPr="7F40232B">
        <w:rPr>
          <w:rFonts w:eastAsia="Times New Roman" w:cs="Times New Roman"/>
        </w:rPr>
        <w:t>These provisions allow the Commission to prevent potential abuse or manipulation of commodity derivatives swiftly, minimiz</w:t>
      </w:r>
      <w:r w:rsidRPr="7F40232B" w:rsidR="384C08AE">
        <w:rPr>
          <w:rFonts w:eastAsia="Times New Roman" w:cs="Times New Roman"/>
        </w:rPr>
        <w:t>e</w:t>
      </w:r>
      <w:r w:rsidRPr="7F40232B">
        <w:rPr>
          <w:rFonts w:eastAsia="Times New Roman" w:cs="Times New Roman"/>
        </w:rPr>
        <w:t xml:space="preserve"> the potential impact </w:t>
      </w:r>
      <w:r w:rsidRPr="7F40232B">
        <w:rPr>
          <w:rFonts w:eastAsia="Times New Roman" w:cs="Times New Roman"/>
        </w:rPr>
        <w:t>to</w:t>
      </w:r>
      <w:r w:rsidRPr="7F40232B">
        <w:rPr>
          <w:rFonts w:eastAsia="Times New Roman" w:cs="Times New Roman"/>
        </w:rPr>
        <w:t xml:space="preserve"> national and international commerce and consumers</w:t>
      </w:r>
      <w:r w:rsidRPr="7F40232B" w:rsidR="5EC5115F">
        <w:rPr>
          <w:rFonts w:eastAsia="Times New Roman" w:cs="Times New Roman"/>
        </w:rPr>
        <w:t xml:space="preserve">, </w:t>
      </w:r>
      <w:r w:rsidRPr="7F40232B" w:rsidR="5EC5115F">
        <w:rPr>
          <w:rFonts w:cs="Times New Roman"/>
        </w:rPr>
        <w:t>and quickly provide regulatory certainty to market participants.</w:t>
      </w:r>
    </w:p>
    <w:bookmarkEnd w:id="1"/>
    <w:p w:rsidR="00642B6A" w:rsidRPr="009806FE" w:rsidP="00E42D10" w14:paraId="6579D3FE"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requiring respondents to submit more tha</w:t>
      </w:r>
      <w:r w:rsidRPr="009806FE" w:rsidR="007F27F5">
        <w:rPr>
          <w:rFonts w:eastAsia="Times New Roman" w:cs="Times New Roman"/>
          <w:b/>
          <w:szCs w:val="24"/>
        </w:rPr>
        <w:t>n</w:t>
      </w:r>
      <w:r w:rsidRPr="009806FE">
        <w:rPr>
          <w:rFonts w:eastAsia="Times New Roman" w:cs="Times New Roman"/>
          <w:b/>
          <w:szCs w:val="24"/>
        </w:rPr>
        <w:t xml:space="preserve"> an original and two copies of any </w:t>
      </w:r>
      <w:r w:rsidRPr="009806FE">
        <w:rPr>
          <w:rFonts w:eastAsia="Times New Roman" w:cs="Times New Roman"/>
          <w:b/>
          <w:szCs w:val="24"/>
        </w:rPr>
        <w:t>document;</w:t>
      </w:r>
    </w:p>
    <w:p w:rsidR="00EA58D6" w:rsidRPr="009806FE" w:rsidP="006901AF" w14:paraId="1B6E1583" w14:textId="513CAE20">
      <w:pPr>
        <w:tabs>
          <w:tab w:val="left" w:pos="720"/>
        </w:tabs>
        <w:spacing w:after="240"/>
        <w:ind w:firstLine="720"/>
        <w:rPr>
          <w:rFonts w:eastAsia="Calibri" w:cs="Times New Roman"/>
          <w:szCs w:val="24"/>
        </w:rPr>
      </w:pPr>
      <w:r w:rsidRPr="009806FE">
        <w:rPr>
          <w:rFonts w:eastAsia="Times New Roman" w:cs="Times New Roman"/>
          <w:szCs w:val="24"/>
        </w:rPr>
        <w:t>Not applicable.</w:t>
      </w:r>
    </w:p>
    <w:p w:rsidR="00642B6A" w:rsidRPr="009806FE" w:rsidP="00E42D10" w14:paraId="693C0619" w14:textId="77777777">
      <w:pPr>
        <w:numPr>
          <w:ilvl w:val="0"/>
          <w:numId w:val="2"/>
        </w:numPr>
        <w:tabs>
          <w:tab w:val="left" w:pos="-720"/>
          <w:tab w:val="left" w:pos="0"/>
          <w:tab w:val="left" w:pos="720"/>
          <w:tab w:val="clear" w:pos="936"/>
        </w:tabs>
        <w:spacing w:after="240"/>
        <w:ind w:left="1080" w:hanging="360"/>
        <w:rPr>
          <w:rFonts w:eastAsia="Times New Roman" w:cs="Times New Roman"/>
          <w:b/>
          <w:szCs w:val="24"/>
        </w:rPr>
      </w:pPr>
      <w:r w:rsidRPr="009806FE">
        <w:rPr>
          <w:rFonts w:eastAsia="Times New Roman" w:cs="Times New Roman"/>
          <w:b/>
          <w:szCs w:val="24"/>
        </w:rPr>
        <w:t xml:space="preserve">requiring respondents to retain records other than health, medical, government contract, grant-in-aid, or tax records, for more than three </w:t>
      </w:r>
      <w:r w:rsidRPr="009806FE">
        <w:rPr>
          <w:rFonts w:eastAsia="Times New Roman" w:cs="Times New Roman"/>
          <w:b/>
          <w:szCs w:val="24"/>
        </w:rPr>
        <w:t>years;</w:t>
      </w:r>
    </w:p>
    <w:p w:rsidR="00052CC1" w:rsidRPr="009806FE" w:rsidP="00E42D10" w14:paraId="2FEED293" w14:textId="27522CCC">
      <w:pPr>
        <w:autoSpaceDE w:val="0"/>
        <w:autoSpaceDN w:val="0"/>
        <w:adjustRightInd w:val="0"/>
        <w:spacing w:after="240"/>
        <w:ind w:firstLine="720"/>
        <w:jc w:val="both"/>
        <w:rPr>
          <w:rFonts w:eastAsia="Times New Roman" w:cs="Times New Roman"/>
          <w:szCs w:val="24"/>
        </w:rPr>
      </w:pPr>
      <w:r w:rsidRPr="009806FE">
        <w:rPr>
          <w:rFonts w:cs="Times New Roman"/>
          <w:szCs w:val="24"/>
        </w:rPr>
        <w:t>Section 5(d)(18) of the C</w:t>
      </w:r>
      <w:r w:rsidRPr="009806FE" w:rsidR="709A8860">
        <w:rPr>
          <w:rFonts w:cs="Times New Roman"/>
          <w:szCs w:val="24"/>
        </w:rPr>
        <w:t>EA</w:t>
      </w:r>
      <w:r w:rsidRPr="009806FE">
        <w:rPr>
          <w:rFonts w:cs="Times New Roman"/>
          <w:szCs w:val="24"/>
        </w:rPr>
        <w:t xml:space="preserve"> requires DCMs to maintain records of all activities related to the business of the market in a form and manner acceptable to the Commission for a period of five years. </w:t>
      </w:r>
      <w:r w:rsidRPr="009806FE" w:rsidR="5A79184B">
        <w:rPr>
          <w:rFonts w:cs="Times New Roman"/>
          <w:szCs w:val="24"/>
        </w:rPr>
        <w:t xml:space="preserve"> </w:t>
      </w:r>
      <w:r w:rsidRPr="009806FE">
        <w:rPr>
          <w:rFonts w:cs="Times New Roman"/>
          <w:szCs w:val="24"/>
        </w:rPr>
        <w:t xml:space="preserve">7 U.S.C. 7(d)(18).  In addition, </w:t>
      </w:r>
      <w:r w:rsidRPr="009806FE" w:rsidR="3D551BF7">
        <w:rPr>
          <w:rFonts w:cs="Times New Roman"/>
          <w:szCs w:val="24"/>
        </w:rPr>
        <w:t>s</w:t>
      </w:r>
      <w:r w:rsidRPr="009806FE">
        <w:rPr>
          <w:rFonts w:cs="Times New Roman"/>
          <w:szCs w:val="24"/>
        </w:rPr>
        <w:t xml:space="preserve">ection 4g of the </w:t>
      </w:r>
      <w:r w:rsidRPr="009806FE" w:rsidR="5A79184B">
        <w:rPr>
          <w:rFonts w:cs="Times New Roman"/>
          <w:szCs w:val="24"/>
        </w:rPr>
        <w:t xml:space="preserve">CEA </w:t>
      </w:r>
      <w:r w:rsidRPr="009806FE">
        <w:rPr>
          <w:rFonts w:cs="Times New Roman"/>
          <w:szCs w:val="24"/>
        </w:rPr>
        <w:t>imposes reporting and recordkeeping obligations on registered entities and registrants (</w:t>
      </w:r>
      <w:r w:rsidRPr="009806FE" w:rsidR="00DB224A">
        <w:rPr>
          <w:rFonts w:cs="Times New Roman"/>
          <w:i/>
          <w:szCs w:val="24"/>
        </w:rPr>
        <w:t>e.g.</w:t>
      </w:r>
      <w:r w:rsidRPr="009806FE" w:rsidR="00DB224A">
        <w:rPr>
          <w:rFonts w:cs="Times New Roman"/>
          <w:szCs w:val="24"/>
        </w:rPr>
        <w:t xml:space="preserve">, </w:t>
      </w:r>
      <w:r w:rsidRPr="009806FE">
        <w:rPr>
          <w:rFonts w:cs="Times New Roman"/>
          <w:szCs w:val="24"/>
        </w:rPr>
        <w:t>whether a</w:t>
      </w:r>
      <w:r w:rsidRPr="009806FE" w:rsidR="709A8860">
        <w:rPr>
          <w:rFonts w:cs="Times New Roman"/>
          <w:szCs w:val="24"/>
        </w:rPr>
        <w:t>n FCM</w:t>
      </w:r>
      <w:r w:rsidRPr="009806FE">
        <w:rPr>
          <w:rFonts w:cs="Times New Roman"/>
          <w:szCs w:val="24"/>
        </w:rPr>
        <w:t>, introducing broker, floor broker, or floor trader).</w:t>
      </w:r>
      <w:r w:rsidRPr="009806FE" w:rsidR="523E03B2">
        <w:rPr>
          <w:rFonts w:eastAsia="Times New Roman" w:cs="Times New Roman"/>
          <w:szCs w:val="24"/>
        </w:rPr>
        <w:t xml:space="preserve">  </w:t>
      </w:r>
      <w:r w:rsidRPr="009806FE" w:rsidR="2F48D5A5">
        <w:rPr>
          <w:rFonts w:eastAsia="Times New Roman" w:cs="Times New Roman"/>
          <w:szCs w:val="24"/>
        </w:rPr>
        <w:t xml:space="preserve">The amended </w:t>
      </w:r>
      <w:r w:rsidRPr="009806FE" w:rsidR="7D20E158">
        <w:rPr>
          <w:rFonts w:eastAsia="Times New Roman" w:cs="Times New Roman"/>
          <w:szCs w:val="24"/>
        </w:rPr>
        <w:t>recordkeeping requirements must be kept in accordance with § 1.31, which requires persons to maintain records for at least five years.</w:t>
      </w:r>
    </w:p>
    <w:p w:rsidR="006B4A36" w:rsidRPr="009806FE" w:rsidP="006901AF" w14:paraId="551ED1D3" w14:textId="73FFCBF2">
      <w:pPr>
        <w:spacing w:after="240"/>
        <w:ind w:firstLine="720"/>
        <w:jc w:val="both"/>
        <w:rPr>
          <w:rFonts w:eastAsia="Times New Roman" w:cs="Times New Roman"/>
          <w:szCs w:val="24"/>
        </w:rPr>
      </w:pPr>
      <w:r w:rsidRPr="7F40232B">
        <w:rPr>
          <w:rFonts w:eastAsia="Times New Roman" w:cs="Times New Roman"/>
        </w:rPr>
        <w:t>The record-keeping duties imposed with respect to aggregation are</w:t>
      </w:r>
      <w:r w:rsidRPr="7F40232B" w:rsidR="6F32F2AA">
        <w:rPr>
          <w:rFonts w:eastAsia="Times New Roman" w:cs="Times New Roman"/>
        </w:rPr>
        <w:t xml:space="preserve"> </w:t>
      </w:r>
      <w:r w:rsidRPr="7F40232B">
        <w:rPr>
          <w:rFonts w:eastAsia="Times New Roman" w:cs="Times New Roman"/>
        </w:rPr>
        <w:t>in accordance with regulation 150.4(c)(3).  This provision provides</w:t>
      </w:r>
      <w:r w:rsidRPr="7F40232B" w:rsidR="3A792647">
        <w:rPr>
          <w:rFonts w:eastAsia="Times New Roman" w:cs="Times New Roman"/>
        </w:rPr>
        <w:t>,</w:t>
      </w:r>
      <w:r w:rsidRPr="7F40232B">
        <w:rPr>
          <w:rFonts w:eastAsia="Times New Roman" w:cs="Times New Roman"/>
        </w:rPr>
        <w:t xml:space="preserve"> in relevant part</w:t>
      </w:r>
      <w:r w:rsidRPr="7F40232B" w:rsidR="48FB92A2">
        <w:rPr>
          <w:rFonts w:eastAsia="Times New Roman" w:cs="Times New Roman"/>
        </w:rPr>
        <w:t>,</w:t>
      </w:r>
      <w:r w:rsidRPr="7F40232B">
        <w:rPr>
          <w:rFonts w:eastAsia="Times New Roman" w:cs="Times New Roman"/>
        </w:rPr>
        <w:t xml:space="preserve"> that “any person claiming an aggregation exemption under this section shall provide to the Commission such information concerning the person’s claim for exemption.”</w:t>
      </w:r>
    </w:p>
    <w:p w:rsidR="00642B6A" w:rsidRPr="009806FE" w:rsidP="00E42D10" w14:paraId="1A645D54" w14:textId="37400285">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 xml:space="preserve">in connection with a statistical survey, that is not designed to produce valid and reliable results that can be generalized to the universe of </w:t>
      </w:r>
      <w:r w:rsidRPr="009806FE">
        <w:rPr>
          <w:rFonts w:eastAsia="Times New Roman" w:cs="Times New Roman"/>
          <w:b/>
          <w:szCs w:val="24"/>
        </w:rPr>
        <w:t>study;</w:t>
      </w:r>
    </w:p>
    <w:p w:rsidR="00697065" w:rsidRPr="009806FE" w:rsidP="006901AF" w14:paraId="689D2CB8" w14:textId="0DDD8185">
      <w:pPr>
        <w:keepNext/>
        <w:spacing w:after="240"/>
        <w:ind w:firstLine="720"/>
        <w:rPr>
          <w:rFonts w:eastAsia="Times New Roman" w:cs="Times New Roman"/>
          <w:szCs w:val="24"/>
        </w:rPr>
      </w:pPr>
      <w:r w:rsidRPr="009806FE">
        <w:rPr>
          <w:rFonts w:eastAsia="Times New Roman" w:cs="Times New Roman"/>
          <w:szCs w:val="24"/>
        </w:rPr>
        <w:t xml:space="preserve">Not applicable. </w:t>
      </w:r>
      <w:r w:rsidRPr="009806FE" w:rsidR="00175A1A">
        <w:rPr>
          <w:rFonts w:eastAsia="Times New Roman" w:cs="Times New Roman"/>
          <w:szCs w:val="24"/>
        </w:rPr>
        <w:t xml:space="preserve"> </w:t>
      </w:r>
      <w:r w:rsidRPr="009806FE">
        <w:rPr>
          <w:rFonts w:eastAsia="Calibri" w:cs="Times New Roman"/>
          <w:szCs w:val="24"/>
        </w:rPr>
        <w:t xml:space="preserve">The </w:t>
      </w:r>
      <w:r w:rsidRPr="009806FE" w:rsidR="00391D5E">
        <w:rPr>
          <w:rFonts w:eastAsia="Calibri" w:cs="Times New Roman"/>
          <w:szCs w:val="24"/>
        </w:rPr>
        <w:t>Final</w:t>
      </w:r>
      <w:r w:rsidRPr="009806FE">
        <w:rPr>
          <w:rFonts w:eastAsia="Calibri" w:cs="Times New Roman"/>
          <w:szCs w:val="24"/>
        </w:rPr>
        <w:t xml:space="preserve"> </w:t>
      </w:r>
      <w:r w:rsidRPr="009806FE" w:rsidR="00391D5E">
        <w:rPr>
          <w:rFonts w:eastAsia="Calibri" w:cs="Times New Roman"/>
          <w:szCs w:val="24"/>
        </w:rPr>
        <w:t>R</w:t>
      </w:r>
      <w:r w:rsidRPr="009806FE">
        <w:rPr>
          <w:rFonts w:eastAsia="Calibri" w:cs="Times New Roman"/>
          <w:szCs w:val="24"/>
        </w:rPr>
        <w:t>ule do</w:t>
      </w:r>
      <w:r w:rsidRPr="009806FE" w:rsidR="00391D5E">
        <w:rPr>
          <w:rFonts w:eastAsia="Calibri" w:cs="Times New Roman"/>
          <w:szCs w:val="24"/>
        </w:rPr>
        <w:t>es</w:t>
      </w:r>
      <w:r w:rsidRPr="009806FE">
        <w:rPr>
          <w:rFonts w:eastAsia="Calibri" w:cs="Times New Roman"/>
          <w:szCs w:val="24"/>
        </w:rPr>
        <w:t xml:space="preserve"> not involve statistical surveys.</w:t>
      </w:r>
    </w:p>
    <w:p w:rsidR="00642B6A" w:rsidRPr="009806FE" w:rsidP="00E42D10" w14:paraId="70C980F5" w14:textId="1C7832CD">
      <w:pPr>
        <w:numPr>
          <w:ilvl w:val="0"/>
          <w:numId w:val="2"/>
        </w:numPr>
        <w:tabs>
          <w:tab w:val="left" w:pos="-720"/>
          <w:tab w:val="left" w:pos="0"/>
          <w:tab w:val="left" w:pos="720"/>
          <w:tab w:val="clear" w:pos="936"/>
          <w:tab w:val="num" w:pos="1080"/>
        </w:tabs>
        <w:spacing w:after="240"/>
        <w:ind w:left="1080" w:hanging="360"/>
        <w:jc w:val="both"/>
        <w:rPr>
          <w:rFonts w:eastAsia="Times New Roman" w:cs="Times New Roman"/>
          <w:szCs w:val="24"/>
        </w:rPr>
      </w:pPr>
      <w:r w:rsidRPr="009806FE">
        <w:rPr>
          <w:rFonts w:eastAsia="Times New Roman" w:cs="Times New Roman"/>
          <w:b/>
          <w:szCs w:val="24"/>
        </w:rPr>
        <w:t xml:space="preserve">requiring the use of a statistical data classification that has not been reviewed and approved by </w:t>
      </w:r>
      <w:r w:rsidRPr="009806FE">
        <w:rPr>
          <w:rFonts w:eastAsia="Times New Roman" w:cs="Times New Roman"/>
          <w:b/>
          <w:szCs w:val="24"/>
        </w:rPr>
        <w:t>OMB;</w:t>
      </w:r>
    </w:p>
    <w:p w:rsidR="00717723" w:rsidRPr="009806FE" w:rsidP="00E42D10" w14:paraId="7D652957" w14:textId="4BE9FA23">
      <w:pPr>
        <w:tabs>
          <w:tab w:val="left" w:pos="-720"/>
          <w:tab w:val="left" w:pos="0"/>
          <w:tab w:val="left" w:pos="720"/>
        </w:tabs>
        <w:spacing w:after="240"/>
        <w:ind w:left="720"/>
        <w:jc w:val="both"/>
        <w:rPr>
          <w:rFonts w:eastAsia="Times New Roman" w:cs="Times New Roman"/>
          <w:szCs w:val="24"/>
        </w:rPr>
      </w:pPr>
      <w:r w:rsidRPr="009806FE">
        <w:rPr>
          <w:rFonts w:eastAsia="Times New Roman" w:cs="Times New Roman"/>
          <w:szCs w:val="24"/>
        </w:rPr>
        <w:t xml:space="preserve">Not </w:t>
      </w:r>
      <w:r w:rsidR="000351BE">
        <w:rPr>
          <w:rFonts w:eastAsia="Times New Roman" w:cs="Times New Roman"/>
          <w:szCs w:val="24"/>
        </w:rPr>
        <w:t>a</w:t>
      </w:r>
      <w:r w:rsidRPr="009806FE">
        <w:rPr>
          <w:rFonts w:eastAsia="Times New Roman" w:cs="Times New Roman"/>
          <w:szCs w:val="24"/>
        </w:rPr>
        <w:t xml:space="preserve">pplicable. </w:t>
      </w:r>
      <w:r w:rsidR="00C33090">
        <w:rPr>
          <w:rFonts w:eastAsia="Times New Roman" w:cs="Times New Roman"/>
          <w:szCs w:val="24"/>
        </w:rPr>
        <w:t xml:space="preserve"> </w:t>
      </w:r>
      <w:r w:rsidRPr="009806FE">
        <w:rPr>
          <w:rFonts w:eastAsia="Calibri" w:cs="Times New Roman"/>
          <w:szCs w:val="24"/>
        </w:rPr>
        <w:t xml:space="preserve">The </w:t>
      </w:r>
      <w:r w:rsidRPr="009806FE" w:rsidR="00391D5E">
        <w:rPr>
          <w:rFonts w:eastAsia="Calibri" w:cs="Times New Roman"/>
          <w:szCs w:val="24"/>
        </w:rPr>
        <w:t>Final R</w:t>
      </w:r>
      <w:r w:rsidRPr="009806FE">
        <w:rPr>
          <w:rFonts w:eastAsia="Calibri" w:cs="Times New Roman"/>
          <w:szCs w:val="24"/>
        </w:rPr>
        <w:t>ule do</w:t>
      </w:r>
      <w:r w:rsidRPr="009806FE" w:rsidR="00280808">
        <w:rPr>
          <w:rFonts w:eastAsia="Calibri" w:cs="Times New Roman"/>
          <w:szCs w:val="24"/>
        </w:rPr>
        <w:t>es</w:t>
      </w:r>
      <w:r w:rsidRPr="009806FE">
        <w:rPr>
          <w:rFonts w:eastAsia="Calibri" w:cs="Times New Roman"/>
          <w:szCs w:val="24"/>
        </w:rPr>
        <w:t xml:space="preserve"> not involve statistical data classifications.</w:t>
      </w:r>
    </w:p>
    <w:p w:rsidR="00642B6A" w:rsidRPr="009806FE" w:rsidP="00E42D10" w14:paraId="2CEFF601"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 xml:space="preserve">that includes a pledge of confidentiality that is not supported by authority established in </w:t>
      </w:r>
      <w:r w:rsidRPr="009806FE">
        <w:rPr>
          <w:rFonts w:eastAsia="Times New Roman" w:cs="Times New Roman"/>
          <w:b/>
          <w:szCs w:val="24"/>
        </w:rPr>
        <w:t>statue</w:t>
      </w:r>
      <w:r w:rsidRPr="009806FE">
        <w:rPr>
          <w:rFonts w:eastAsia="Times New Roman" w:cs="Times New Roman"/>
          <w:b/>
          <w:szCs w:val="24"/>
        </w:rPr>
        <w:t xml:space="preserve"> or regulation, that is not supported by disclosure and data security policies that are consistent with the pledge, or which unnecessarily impedes sharing of data with other agencies for compatible confidential use; or</w:t>
      </w:r>
    </w:p>
    <w:p w:rsidR="00642B6A" w:rsidRPr="009806FE" w:rsidP="00E42D10" w14:paraId="0CBD4089" w14:textId="77777777">
      <w:pPr>
        <w:numPr>
          <w:ilvl w:val="0"/>
          <w:numId w:val="2"/>
        </w:numPr>
        <w:tabs>
          <w:tab w:val="left" w:pos="-720"/>
          <w:tab w:val="left" w:pos="0"/>
          <w:tab w:val="left" w:pos="720"/>
          <w:tab w:val="num" w:pos="1080"/>
        </w:tabs>
        <w:spacing w:after="240"/>
        <w:ind w:left="1080" w:hanging="360"/>
        <w:jc w:val="both"/>
        <w:rPr>
          <w:rFonts w:eastAsia="Times New Roman" w:cs="Times New Roman"/>
          <w:b/>
          <w:szCs w:val="24"/>
        </w:rPr>
      </w:pPr>
      <w:r w:rsidRPr="009806FE">
        <w:rPr>
          <w:rFonts w:eastAsia="Times New Roman" w:cs="Times New Roman"/>
          <w:szCs w:val="24"/>
        </w:rPr>
        <w:tab/>
      </w:r>
      <w:r w:rsidRPr="009806FE">
        <w:rPr>
          <w:rFonts w:eastAsia="Times New Roman" w:cs="Times New Roman"/>
          <w:b/>
          <w:szCs w:val="24"/>
        </w:rPr>
        <w:t>The collection does not involv</w:t>
      </w:r>
      <w:r w:rsidRPr="009806FE" w:rsidR="00B86819">
        <w:rPr>
          <w:rFonts w:eastAsia="Times New Roman" w:cs="Times New Roman"/>
          <w:b/>
          <w:szCs w:val="24"/>
        </w:rPr>
        <w:t xml:space="preserve">e any pledge of confidentiality, </w:t>
      </w:r>
      <w:r w:rsidRPr="009806FE">
        <w:rPr>
          <w:rFonts w:eastAsia="Times New Roman" w:cs="Times New Roman"/>
          <w:b/>
          <w:szCs w:val="24"/>
        </w:rPr>
        <w:t xml:space="preserve">requiring respondents to submit proprietary trade secrets, or other confidential </w:t>
      </w:r>
      <w:r w:rsidRPr="009806FE">
        <w:rPr>
          <w:rFonts w:eastAsia="Times New Roman" w:cs="Times New Roman"/>
          <w:b/>
          <w:szCs w:val="24"/>
        </w:rPr>
        <w:t>information</w:t>
      </w:r>
      <w:r w:rsidRPr="009806FE">
        <w:rPr>
          <w:rFonts w:eastAsia="Times New Roman" w:cs="Times New Roman"/>
          <w:b/>
          <w:szCs w:val="24"/>
        </w:rPr>
        <w:t xml:space="preserve"> unless the agency can demonstrate that it has instituted procedures to protect the information's confidentiality to the extent permitted by law.</w:t>
      </w:r>
    </w:p>
    <w:p w:rsidR="00172C68" w:rsidRPr="009806FE" w:rsidP="00E42D10" w14:paraId="65F97D00" w14:textId="783861BC">
      <w:pPr>
        <w:spacing w:after="240"/>
        <w:ind w:firstLine="720"/>
        <w:rPr>
          <w:rFonts w:eastAsia="Times New Roman" w:cs="Times New Roman"/>
        </w:rPr>
      </w:pPr>
      <w:r w:rsidRPr="7F40232B">
        <w:rPr>
          <w:rFonts w:eastAsia="Calibri" w:cs="Times New Roman"/>
        </w:rPr>
        <w:t>T</w:t>
      </w:r>
      <w:r w:rsidRPr="7F40232B" w:rsidR="6F656463">
        <w:rPr>
          <w:rFonts w:eastAsia="Calibri" w:cs="Times New Roman"/>
        </w:rPr>
        <w:t xml:space="preserve">he </w:t>
      </w:r>
      <w:r w:rsidRPr="7F40232B" w:rsidR="072A78BD">
        <w:rPr>
          <w:rFonts w:eastAsia="Calibri" w:cs="Times New Roman"/>
        </w:rPr>
        <w:t>Final Rule</w:t>
      </w:r>
      <w:r w:rsidRPr="7F40232B" w:rsidR="6391D4C7">
        <w:rPr>
          <w:rFonts w:eastAsia="Calibri" w:cs="Times New Roman"/>
        </w:rPr>
        <w:t xml:space="preserve"> and Aggregation Rule</w:t>
      </w:r>
      <w:r w:rsidRPr="7F40232B" w:rsidR="6F656463">
        <w:rPr>
          <w:rFonts w:eastAsia="Calibri" w:cs="Times New Roman"/>
        </w:rPr>
        <w:t xml:space="preserve"> do not directly involve any specific pledge of confidentiality regarding the collection of data.</w:t>
      </w:r>
      <w:r w:rsidRPr="7F40232B">
        <w:rPr>
          <w:rFonts w:eastAsia="Calibri" w:cs="Times New Roman"/>
        </w:rPr>
        <w:t xml:space="preserve">  </w:t>
      </w:r>
      <w:r w:rsidRPr="7F40232B" w:rsidR="09221D68">
        <w:rPr>
          <w:rFonts w:eastAsia="Times New Roman" w:cs="Times New Roman"/>
        </w:rPr>
        <w:t xml:space="preserve">The </w:t>
      </w:r>
      <w:r w:rsidRPr="7F40232B" w:rsidR="072A78BD">
        <w:rPr>
          <w:rFonts w:eastAsia="Times New Roman" w:cs="Times New Roman"/>
        </w:rPr>
        <w:t>Final Rule</w:t>
      </w:r>
      <w:r w:rsidRPr="7F40232B" w:rsidR="09221D68">
        <w:rPr>
          <w:rFonts w:eastAsia="Times New Roman" w:cs="Times New Roman"/>
        </w:rPr>
        <w:t xml:space="preserve"> require</w:t>
      </w:r>
      <w:r w:rsidRPr="7F40232B" w:rsidR="072A78BD">
        <w:rPr>
          <w:rFonts w:eastAsia="Times New Roman" w:cs="Times New Roman"/>
        </w:rPr>
        <w:t>s</w:t>
      </w:r>
      <w:r w:rsidRPr="7F40232B" w:rsidR="09221D68">
        <w:rPr>
          <w:rFonts w:eastAsia="Times New Roman" w:cs="Times New Roman"/>
        </w:rPr>
        <w:t xml:space="preserve"> the submission of data involving confidential information or proprietary trade secrets.  The Commission protect</w:t>
      </w:r>
      <w:r w:rsidRPr="7F40232B" w:rsidR="072A78BD">
        <w:rPr>
          <w:rFonts w:eastAsia="Times New Roman" w:cs="Times New Roman"/>
        </w:rPr>
        <w:t>s</w:t>
      </w:r>
      <w:r w:rsidRPr="7F40232B" w:rsidR="09221D68">
        <w:rPr>
          <w:rFonts w:eastAsia="Times New Roman" w:cs="Times New Roman"/>
        </w:rPr>
        <w:t xml:space="preserve"> sensitive information according to the Freedom of Information Act and 17 CFR part 145, “Commission Records and Information.”  In addition, the Commission fully complies with section 8(a) of the C</w:t>
      </w:r>
      <w:r w:rsidRPr="7F40232B" w:rsidR="723DD67F">
        <w:rPr>
          <w:rFonts w:eastAsia="Times New Roman" w:cs="Times New Roman"/>
        </w:rPr>
        <w:t>EA</w:t>
      </w:r>
      <w:r w:rsidRPr="7F40232B" w:rsidR="09221D68">
        <w:rPr>
          <w:rFonts w:eastAsia="Times New Roman" w:cs="Times New Roman"/>
        </w:rPr>
        <w:t>, which strictly prohibits the Commission, unless specifically authorized by the C</w:t>
      </w:r>
      <w:r w:rsidRPr="7F40232B" w:rsidR="723DD67F">
        <w:rPr>
          <w:rFonts w:eastAsia="Times New Roman" w:cs="Times New Roman"/>
        </w:rPr>
        <w:t>EA</w:t>
      </w:r>
      <w:r w:rsidRPr="7F40232B" w:rsidR="09221D68">
        <w:rPr>
          <w:rFonts w:eastAsia="Times New Roman" w:cs="Times New Roman"/>
        </w:rPr>
        <w:t>, from making public “data and information that would separately disclose the business transactions or market positions of any person and trade secrets or names of customers.”</w:t>
      </w:r>
    </w:p>
    <w:p w:rsidR="00642B6A" w:rsidRPr="00686316" w:rsidP="00E42D10" w14:paraId="5CF01AFF" w14:textId="77777777">
      <w:pPr>
        <w:tabs>
          <w:tab w:val="left" w:pos="-720"/>
          <w:tab w:val="left" w:pos="0"/>
        </w:tabs>
        <w:spacing w:after="240"/>
        <w:ind w:left="720" w:hanging="720"/>
        <w:rPr>
          <w:rFonts w:eastAsia="Times New Roman" w:cs="Times New Roman"/>
          <w:b/>
          <w:szCs w:val="24"/>
        </w:rPr>
      </w:pPr>
      <w:bookmarkStart w:id="2" w:name="_Hlk56519061"/>
      <w:r w:rsidRPr="009806FE">
        <w:rPr>
          <w:rFonts w:eastAsia="Times New Roman" w:cs="Times New Roman"/>
          <w:b/>
          <w:szCs w:val="24"/>
        </w:rPr>
        <w:t>8.</w:t>
      </w:r>
      <w:r w:rsidRPr="009806FE">
        <w:rPr>
          <w:rFonts w:eastAsia="Times New Roman" w:cs="Times New Roman"/>
          <w:b/>
          <w:szCs w:val="24"/>
        </w:rPr>
        <w:tab/>
        <w:t xml:space="preserve">If applicable, provide a copy and identify the date and page number of </w:t>
      </w:r>
      <w:r w:rsidRPr="009806FE">
        <w:rPr>
          <w:rFonts w:eastAsia="Times New Roman" w:cs="Times New Roman"/>
          <w:b/>
          <w:szCs w:val="24"/>
        </w:rPr>
        <w:t>publication</w:t>
      </w:r>
      <w:r w:rsidRPr="009806FE">
        <w:rPr>
          <w:rFonts w:eastAsia="Times New Roman" w:cs="Times New Roman"/>
          <w:b/>
          <w:szCs w:val="24"/>
        </w:rPr>
        <w:t xml:space="preserve"> in the </w:t>
      </w:r>
      <w:r w:rsidRPr="009806FE">
        <w:rPr>
          <w:rFonts w:eastAsia="Times New Roman" w:cs="Times New Roman"/>
          <w:b/>
          <w:i/>
          <w:szCs w:val="24"/>
        </w:rPr>
        <w:t>Federal Register</w:t>
      </w:r>
      <w:r w:rsidRPr="009806FE">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w:t>
      </w:r>
      <w:r w:rsidRPr="00686316">
        <w:rPr>
          <w:rFonts w:eastAsia="Times New Roman" w:cs="Times New Roman"/>
          <w:b/>
          <w:szCs w:val="24"/>
        </w:rPr>
        <w:t>the agency in response to these comments.  Specifically address comments received on cost and hour burden.</w:t>
      </w:r>
    </w:p>
    <w:p w:rsidR="006B64F7" w:rsidP="006901AF" w14:paraId="0E5F3062" w14:textId="4415128B">
      <w:pPr>
        <w:spacing w:after="240"/>
        <w:ind w:firstLine="720"/>
        <w:rPr>
          <w:rFonts w:eastAsia="Times New Roman" w:cs="Times New Roman"/>
          <w:szCs w:val="24"/>
        </w:rPr>
      </w:pPr>
      <w:r w:rsidRPr="00686316">
        <w:rPr>
          <w:rFonts w:eastAsia="Times New Roman" w:cs="Times New Roman"/>
          <w:szCs w:val="24"/>
        </w:rPr>
        <w:t xml:space="preserve">The Commission published its 60-Day Notice in the Federal Register on </w:t>
      </w:r>
      <w:r w:rsidRPr="00686316" w:rsidR="00E01C10">
        <w:rPr>
          <w:rFonts w:eastAsia="Times New Roman" w:cs="Times New Roman"/>
          <w:szCs w:val="24"/>
        </w:rPr>
        <w:t xml:space="preserve">February </w:t>
      </w:r>
      <w:r w:rsidRPr="00686316" w:rsidR="00686316">
        <w:rPr>
          <w:rFonts w:eastAsia="Times New Roman" w:cs="Times New Roman"/>
          <w:szCs w:val="24"/>
        </w:rPr>
        <w:t>2</w:t>
      </w:r>
      <w:r w:rsidRPr="00686316">
        <w:rPr>
          <w:rFonts w:eastAsia="Times New Roman" w:cs="Times New Roman"/>
          <w:szCs w:val="24"/>
        </w:rPr>
        <w:t>, 202</w:t>
      </w:r>
      <w:r w:rsidRPr="00686316" w:rsidR="00956FBC">
        <w:rPr>
          <w:rFonts w:eastAsia="Times New Roman" w:cs="Times New Roman"/>
          <w:szCs w:val="24"/>
        </w:rPr>
        <w:t>6</w:t>
      </w:r>
      <w:r w:rsidRPr="00686316">
        <w:rPr>
          <w:rFonts w:eastAsia="Times New Roman" w:cs="Times New Roman"/>
          <w:szCs w:val="24"/>
        </w:rPr>
        <w:t xml:space="preserve"> (</w:t>
      </w:r>
      <w:r w:rsidRPr="00686316" w:rsidR="00686316">
        <w:rPr>
          <w:rFonts w:eastAsia="Times New Roman" w:cs="Times New Roman"/>
          <w:szCs w:val="24"/>
        </w:rPr>
        <w:t>91</w:t>
      </w:r>
      <w:r w:rsidR="002F013E">
        <w:rPr>
          <w:rFonts w:eastAsia="Times New Roman" w:cs="Times New Roman"/>
          <w:szCs w:val="24"/>
        </w:rPr>
        <w:t xml:space="preserve"> </w:t>
      </w:r>
      <w:r w:rsidRPr="00686316">
        <w:rPr>
          <w:rFonts w:eastAsia="Times New Roman" w:cs="Times New Roman"/>
          <w:szCs w:val="24"/>
        </w:rPr>
        <w:t xml:space="preserve">Fed. Reg. </w:t>
      </w:r>
      <w:r w:rsidRPr="00686316" w:rsidR="00686316">
        <w:rPr>
          <w:rFonts w:eastAsia="Times New Roman" w:cs="Times New Roman"/>
          <w:szCs w:val="24"/>
        </w:rPr>
        <w:t>4507</w:t>
      </w:r>
      <w:r w:rsidRPr="00686316">
        <w:rPr>
          <w:rFonts w:eastAsia="Times New Roman" w:cs="Times New Roman"/>
          <w:szCs w:val="24"/>
        </w:rPr>
        <w:t xml:space="preserve">).  The Commission received no </w:t>
      </w:r>
      <w:r w:rsidR="000E208D">
        <w:rPr>
          <w:rFonts w:eastAsia="Times New Roman" w:cs="Times New Roman"/>
          <w:szCs w:val="24"/>
        </w:rPr>
        <w:t xml:space="preserve">relevant </w:t>
      </w:r>
      <w:r w:rsidRPr="00686316">
        <w:rPr>
          <w:rFonts w:eastAsia="Times New Roman" w:cs="Times New Roman"/>
          <w:szCs w:val="24"/>
        </w:rPr>
        <w:t>comments.</w:t>
      </w:r>
      <w:bookmarkEnd w:id="2"/>
    </w:p>
    <w:p w:rsidR="00642B6A" w:rsidRPr="009806FE" w:rsidP="006B64F7" w14:paraId="3787FD08" w14:textId="6CB6AFA0">
      <w:pPr>
        <w:tabs>
          <w:tab w:val="left" w:pos="-720"/>
          <w:tab w:val="left" w:pos="0"/>
        </w:tabs>
        <w:spacing w:after="240"/>
        <w:ind w:left="720" w:hanging="720"/>
        <w:rPr>
          <w:rFonts w:eastAsia="Times New Roman" w:cs="Times New Roman"/>
          <w:b/>
          <w:szCs w:val="24"/>
        </w:rPr>
      </w:pPr>
      <w:r w:rsidRPr="009806FE">
        <w:rPr>
          <w:rFonts w:eastAsia="Times New Roman" w:cs="Times New Roman"/>
          <w:b/>
          <w:szCs w:val="24"/>
        </w:rPr>
        <w:t>9.</w:t>
      </w:r>
      <w:r w:rsidRPr="009806FE">
        <w:rPr>
          <w:rFonts w:eastAsia="Times New Roman" w:cs="Times New Roman"/>
          <w:b/>
          <w:szCs w:val="24"/>
        </w:rPr>
        <w:tab/>
        <w:t>Explain any decision to provide any payment or gift to respondents, other than remuneration of contractors or grantees.</w:t>
      </w:r>
    </w:p>
    <w:p w:rsidR="0027708A" w:rsidRPr="009806FE" w:rsidP="00F3115A" w14:paraId="7702DC32" w14:textId="15747E2A">
      <w:pPr>
        <w:tabs>
          <w:tab w:val="left" w:pos="-720"/>
        </w:tabs>
        <w:spacing w:after="240"/>
        <w:ind w:firstLine="720"/>
        <w:rPr>
          <w:rFonts w:eastAsia="Times New Roman" w:cs="Times New Roman"/>
          <w:szCs w:val="24"/>
        </w:rPr>
      </w:pPr>
      <w:r w:rsidRPr="009806FE">
        <w:rPr>
          <w:rFonts w:eastAsia="Times New Roman" w:cs="Times New Roman"/>
          <w:szCs w:val="24"/>
        </w:rPr>
        <w:t>Not applicable.</w:t>
      </w:r>
    </w:p>
    <w:p w:rsidR="00642B6A" w:rsidRPr="009806FE" w:rsidP="00E42D10" w14:paraId="43C65529" w14:textId="77777777">
      <w:pPr>
        <w:tabs>
          <w:tab w:val="left" w:pos="-720"/>
        </w:tabs>
        <w:spacing w:after="240"/>
        <w:ind w:left="720" w:hanging="720"/>
        <w:jc w:val="both"/>
        <w:rPr>
          <w:rFonts w:eastAsia="Times New Roman" w:cs="Times New Roman"/>
          <w:b/>
          <w:szCs w:val="24"/>
        </w:rPr>
      </w:pPr>
      <w:r w:rsidRPr="009806FE">
        <w:rPr>
          <w:rFonts w:eastAsia="Times New Roman" w:cs="Times New Roman"/>
          <w:b/>
          <w:szCs w:val="24"/>
        </w:rPr>
        <w:t>10.</w:t>
      </w:r>
      <w:r w:rsidRPr="009806FE">
        <w:rPr>
          <w:rFonts w:eastAsia="Times New Roman" w:cs="Times New Roman"/>
          <w:b/>
          <w:szCs w:val="24"/>
        </w:rPr>
        <w:tab/>
        <w:t>Describe any assurance of confidentiality provided to respondents and the basis for the assurance in statute, regulations, or agency policy.</w:t>
      </w:r>
    </w:p>
    <w:p w:rsidR="00010EA6" w:rsidP="00010EA6" w14:paraId="2EC2DBAB" w14:textId="77777777">
      <w:pPr>
        <w:tabs>
          <w:tab w:val="left" w:pos="-720"/>
        </w:tabs>
        <w:spacing w:after="240"/>
        <w:ind w:firstLine="720"/>
        <w:rPr>
          <w:rFonts w:eastAsia="Times New Roman" w:cs="Times New Roman"/>
          <w:szCs w:val="24"/>
        </w:rPr>
      </w:pPr>
      <w:r w:rsidRPr="009806FE">
        <w:rPr>
          <w:rFonts w:eastAsia="Times New Roman" w:cs="Times New Roman"/>
          <w:szCs w:val="24"/>
        </w:rPr>
        <w:t>The Commission protect</w:t>
      </w:r>
      <w:r w:rsidRPr="009806FE" w:rsidR="00683C75">
        <w:rPr>
          <w:rFonts w:eastAsia="Times New Roman" w:cs="Times New Roman"/>
          <w:szCs w:val="24"/>
        </w:rPr>
        <w:t>s</w:t>
      </w:r>
      <w:r w:rsidRPr="009806FE">
        <w:rPr>
          <w:rFonts w:eastAsia="Times New Roman" w:cs="Times New Roman"/>
          <w:szCs w:val="24"/>
        </w:rPr>
        <w:t xml:space="preserve"> sensitive information according to the Freedom of Inform</w:t>
      </w:r>
      <w:r w:rsidRPr="009806FE" w:rsidR="00614CD0">
        <w:rPr>
          <w:rFonts w:eastAsia="Times New Roman" w:cs="Times New Roman"/>
          <w:szCs w:val="24"/>
        </w:rPr>
        <w:t>ation Act and 17 CFR part 145, “</w:t>
      </w:r>
      <w:r w:rsidRPr="009806FE">
        <w:rPr>
          <w:rFonts w:eastAsia="Times New Roman" w:cs="Times New Roman"/>
          <w:szCs w:val="24"/>
        </w:rPr>
        <w:t>Commission Records and Inform</w:t>
      </w:r>
      <w:r w:rsidRPr="009806FE" w:rsidR="00614CD0">
        <w:rPr>
          <w:rFonts w:eastAsia="Times New Roman" w:cs="Times New Roman"/>
          <w:szCs w:val="24"/>
        </w:rPr>
        <w:t>ation.”</w:t>
      </w:r>
      <w:r w:rsidRPr="009806FE">
        <w:rPr>
          <w:rFonts w:eastAsia="Times New Roman" w:cs="Times New Roman"/>
          <w:szCs w:val="24"/>
        </w:rPr>
        <w:t xml:space="preserve">  In addition, the Commission fully complies with section 8(a) of the C</w:t>
      </w:r>
      <w:r w:rsidRPr="009806FE" w:rsidR="00927C6B">
        <w:rPr>
          <w:rFonts w:eastAsia="Times New Roman" w:cs="Times New Roman"/>
          <w:szCs w:val="24"/>
        </w:rPr>
        <w:t>EA</w:t>
      </w:r>
      <w:r w:rsidRPr="009806FE">
        <w:rPr>
          <w:rFonts w:eastAsia="Times New Roman" w:cs="Times New Roman"/>
          <w:szCs w:val="24"/>
        </w:rPr>
        <w:t>, which strictly prohibits the Commission, unless specifically authorized by the C</w:t>
      </w:r>
      <w:r w:rsidRPr="009806FE" w:rsidR="00927C6B">
        <w:rPr>
          <w:rFonts w:eastAsia="Times New Roman" w:cs="Times New Roman"/>
          <w:szCs w:val="24"/>
        </w:rPr>
        <w:t>EA</w:t>
      </w:r>
      <w:r w:rsidRPr="009806FE">
        <w:rPr>
          <w:rFonts w:eastAsia="Times New Roman" w:cs="Times New Roman"/>
          <w:szCs w:val="24"/>
        </w:rPr>
        <w:t>, from making public “data and information that would separately disclose the business transactions or market positions of any person and trade secrets or names of customers.”</w:t>
      </w:r>
    </w:p>
    <w:p w:rsidR="00642B6A" w:rsidRPr="009806FE" w:rsidP="00E42D10" w14:paraId="5370679F" w14:textId="77777777">
      <w:pPr>
        <w:tabs>
          <w:tab w:val="left" w:pos="-720"/>
        </w:tabs>
        <w:spacing w:after="240"/>
        <w:ind w:left="720" w:hanging="720"/>
        <w:jc w:val="both"/>
        <w:rPr>
          <w:rFonts w:eastAsia="Times New Roman" w:cs="Times New Roman"/>
          <w:b/>
          <w:szCs w:val="24"/>
        </w:rPr>
      </w:pPr>
      <w:r w:rsidRPr="009806FE">
        <w:rPr>
          <w:rFonts w:eastAsia="Times New Roman" w:cs="Times New Roman"/>
          <w:b/>
          <w:szCs w:val="24"/>
        </w:rPr>
        <w:t>11.</w:t>
      </w:r>
      <w:r w:rsidRPr="009806FE">
        <w:rPr>
          <w:rFonts w:eastAsia="Times New Roman" w:cs="Times New Roman"/>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9806FE">
        <w:rPr>
          <w:rFonts w:eastAsia="Times New Roman" w:cs="Times New Roman"/>
          <w:b/>
          <w:szCs w:val="24"/>
        </w:rPr>
        <w:t>explanation to be given to persons from whom the information is requested, and any steps to be taken to obtain their consent.</w:t>
      </w:r>
    </w:p>
    <w:p w:rsidR="00010EA6" w:rsidP="00E42D10" w14:paraId="28B2C9E6" w14:textId="77777777">
      <w:pPr>
        <w:tabs>
          <w:tab w:val="left" w:pos="-720"/>
        </w:tabs>
        <w:suppressAutoHyphens/>
        <w:spacing w:after="240"/>
        <w:ind w:firstLine="720"/>
        <w:rPr>
          <w:rFonts w:eastAsia="Times New Roman" w:cs="Times New Roman"/>
          <w:szCs w:val="24"/>
        </w:rPr>
      </w:pPr>
      <w:r w:rsidRPr="009806FE">
        <w:rPr>
          <w:rFonts w:eastAsia="Times New Roman" w:cs="Times New Roman"/>
          <w:szCs w:val="24"/>
        </w:rPr>
        <w:t>Not applicable.</w:t>
      </w:r>
    </w:p>
    <w:p w:rsidR="00642B6A" w:rsidRPr="009806FE" w:rsidP="00E42D10" w14:paraId="73017F81" w14:textId="77777777">
      <w:pPr>
        <w:tabs>
          <w:tab w:val="left" w:pos="-720"/>
          <w:tab w:val="left" w:pos="0"/>
        </w:tabs>
        <w:spacing w:after="240"/>
        <w:ind w:left="720" w:hanging="720"/>
        <w:jc w:val="both"/>
        <w:rPr>
          <w:rFonts w:eastAsia="Times New Roman" w:cs="Times New Roman"/>
          <w:b/>
          <w:szCs w:val="24"/>
        </w:rPr>
      </w:pPr>
      <w:r w:rsidRPr="009806FE">
        <w:rPr>
          <w:rFonts w:eastAsia="Times New Roman" w:cs="Times New Roman"/>
          <w:b/>
          <w:szCs w:val="24"/>
        </w:rPr>
        <w:t>12.</w:t>
      </w:r>
      <w:r w:rsidRPr="009806FE">
        <w:rPr>
          <w:rFonts w:eastAsia="Times New Roman" w:cs="Times New Roman"/>
          <w:b/>
          <w:szCs w:val="24"/>
        </w:rPr>
        <w:tab/>
        <w:t>Provide estimates of the hour burden of the collection of information.  The Statement should:</w:t>
      </w:r>
    </w:p>
    <w:p w:rsidR="00642B6A" w:rsidRPr="009806FE" w:rsidP="00E42D10" w14:paraId="1B855FB7"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9806FE" w:rsidP="00E42D10" w14:paraId="66B5C007" w14:textId="115E8A43">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If the request for approval covers more than one form, provide separate hour burden estimates for each form and aggregate the hour burdens.</w:t>
      </w:r>
    </w:p>
    <w:p w:rsidR="00642B6A" w:rsidRPr="009806FE" w:rsidP="00E42D10" w14:paraId="6594B07F"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87357" w:rsidP="00E42D10" w14:paraId="649A55A3" w14:textId="4C46239C">
      <w:pPr>
        <w:spacing w:after="240"/>
        <w:ind w:firstLine="720"/>
        <w:jc w:val="both"/>
        <w:rPr>
          <w:rFonts w:cs="Times New Roman"/>
        </w:rPr>
      </w:pPr>
      <w:r w:rsidRPr="7F40232B">
        <w:rPr>
          <w:rFonts w:cs="Times New Roman"/>
        </w:rPr>
        <w:t>Attachment A</w:t>
      </w:r>
      <w:r w:rsidRPr="7F40232B" w:rsidR="00AD3629">
        <w:rPr>
          <w:rFonts w:cs="Times New Roman"/>
        </w:rPr>
        <w:t xml:space="preserve"> </w:t>
      </w:r>
      <w:r w:rsidRPr="7F40232B" w:rsidR="002E172E">
        <w:rPr>
          <w:rFonts w:cs="Times New Roman"/>
        </w:rPr>
        <w:t xml:space="preserve">provides a </w:t>
      </w:r>
      <w:r w:rsidRPr="7F40232B" w:rsidR="00AD3629">
        <w:rPr>
          <w:rFonts w:cs="Times New Roman"/>
        </w:rPr>
        <w:t>specific breakdown</w:t>
      </w:r>
      <w:r w:rsidRPr="7F40232B" w:rsidR="003A153C">
        <w:rPr>
          <w:rFonts w:cs="Times New Roman"/>
        </w:rPr>
        <w:t xml:space="preserve"> of </w:t>
      </w:r>
      <w:r w:rsidRPr="7F40232B" w:rsidR="002E172E">
        <w:rPr>
          <w:rFonts w:cs="Times New Roman"/>
        </w:rPr>
        <w:t xml:space="preserve">the estimated burden for the collections of information for the </w:t>
      </w:r>
      <w:r w:rsidRPr="7F40232B" w:rsidR="00683C75">
        <w:rPr>
          <w:rFonts w:cs="Times New Roman"/>
        </w:rPr>
        <w:t>Final Rule</w:t>
      </w:r>
      <w:r w:rsidRPr="7F40232B" w:rsidR="18D17367">
        <w:rPr>
          <w:rFonts w:cs="Times New Roman"/>
        </w:rPr>
        <w:t xml:space="preserve"> and Aggregation Rule</w:t>
      </w:r>
      <w:r w:rsidRPr="7F40232B" w:rsidR="002E172E">
        <w:rPr>
          <w:rFonts w:cs="Times New Roman"/>
        </w:rPr>
        <w:t>, including the number of respondents, frequency of response, and annual hour burden cost</w:t>
      </w:r>
      <w:r w:rsidRPr="7F40232B">
        <w:rPr>
          <w:rFonts w:cs="Times New Roman"/>
        </w:rPr>
        <w:t>.</w:t>
      </w:r>
      <w:r>
        <w:rPr>
          <w:rStyle w:val="FootnoteReference"/>
          <w:rFonts w:cs="Times New Roman"/>
        </w:rPr>
        <w:footnoteReference w:id="6"/>
      </w:r>
    </w:p>
    <w:p w:rsidR="00B87357" w:rsidRPr="00B87357" w:rsidP="00E561DD" w14:paraId="6391C7F6" w14:textId="4BA2B9E3">
      <w:pPr>
        <w:spacing w:after="240"/>
        <w:ind w:firstLine="720"/>
        <w:rPr>
          <w:rFonts w:cs="Times New Roman"/>
        </w:rPr>
      </w:pPr>
      <w:r>
        <w:rPr>
          <w:rFonts w:cs="Times New Roman"/>
          <w:szCs w:val="24"/>
        </w:rPr>
        <w:t>T</w:t>
      </w:r>
      <w:r w:rsidRPr="009806FE" w:rsidR="005C3032">
        <w:rPr>
          <w:rFonts w:cs="Times New Roman"/>
          <w:szCs w:val="24"/>
        </w:rPr>
        <w:t xml:space="preserve">he Commission estimates that the annualized </w:t>
      </w:r>
      <w:r w:rsidR="003C2396">
        <w:rPr>
          <w:rFonts w:cs="Times New Roman"/>
          <w:szCs w:val="24"/>
        </w:rPr>
        <w:t xml:space="preserve">burden </w:t>
      </w:r>
      <w:r w:rsidRPr="009806FE" w:rsidR="005C3032">
        <w:rPr>
          <w:rFonts w:cs="Times New Roman"/>
          <w:szCs w:val="24"/>
        </w:rPr>
        <w:t>associated with complying with Part 150 and Regulation 19.02</w:t>
      </w:r>
      <w:r w:rsidR="005C3032">
        <w:rPr>
          <w:rFonts w:cs="Times New Roman"/>
          <w:szCs w:val="24"/>
        </w:rPr>
        <w:t xml:space="preserve"> </w:t>
      </w:r>
      <w:r w:rsidR="007C5F49">
        <w:rPr>
          <w:rFonts w:cs="Times New Roman"/>
          <w:szCs w:val="24"/>
        </w:rPr>
        <w:t xml:space="preserve">totals </w:t>
      </w:r>
      <w:r w:rsidRPr="007465D0" w:rsidR="007C5F49">
        <w:rPr>
          <w:rFonts w:cs="Times New Roman"/>
          <w:szCs w:val="24"/>
        </w:rPr>
        <w:t>11,748</w:t>
      </w:r>
      <w:r w:rsidRPr="00D475CB" w:rsidR="007C5F49">
        <w:rPr>
          <w:rFonts w:cs="Times New Roman"/>
          <w:szCs w:val="24"/>
        </w:rPr>
        <w:t xml:space="preserve"> annual burden hours </w:t>
      </w:r>
      <w:r>
        <w:rPr>
          <w:rFonts w:cs="Times New Roman"/>
          <w:szCs w:val="24"/>
        </w:rPr>
        <w:t xml:space="preserve">along </w:t>
      </w:r>
      <w:r w:rsidR="00C330EB">
        <w:rPr>
          <w:rFonts w:cs="Times New Roman"/>
          <w:szCs w:val="24"/>
        </w:rPr>
        <w:t xml:space="preserve">with </w:t>
      </w:r>
      <w:r w:rsidRPr="009806FE" w:rsidR="005C3032">
        <w:rPr>
          <w:rFonts w:cs="Times New Roman"/>
          <w:szCs w:val="24"/>
        </w:rPr>
        <w:t xml:space="preserve">approximately </w:t>
      </w:r>
      <w:r w:rsidRPr="007465D0" w:rsidR="005C3032">
        <w:rPr>
          <w:rFonts w:cs="Times New Roman"/>
          <w:szCs w:val="24"/>
        </w:rPr>
        <w:t>$</w:t>
      </w:r>
      <w:r w:rsidRPr="007465D0" w:rsidR="006F6807">
        <w:rPr>
          <w:rFonts w:cs="Times New Roman"/>
          <w:szCs w:val="24"/>
        </w:rPr>
        <w:t>1,20</w:t>
      </w:r>
      <w:r w:rsidRPr="007465D0" w:rsidR="0034520F">
        <w:rPr>
          <w:rFonts w:cs="Times New Roman"/>
          <w:szCs w:val="24"/>
        </w:rPr>
        <w:t>0,062</w:t>
      </w:r>
      <w:r w:rsidRPr="009806FE" w:rsidR="005C3032">
        <w:rPr>
          <w:rFonts w:cs="Times New Roman"/>
          <w:szCs w:val="24"/>
        </w:rPr>
        <w:t xml:space="preserve"> </w:t>
      </w:r>
      <w:r>
        <w:rPr>
          <w:rFonts w:cs="Times New Roman"/>
          <w:szCs w:val="24"/>
        </w:rPr>
        <w:t xml:space="preserve">in associated </w:t>
      </w:r>
      <w:r w:rsidR="00C330EB">
        <w:rPr>
          <w:rFonts w:cs="Times New Roman"/>
          <w:szCs w:val="24"/>
        </w:rPr>
        <w:t xml:space="preserve">labor costs </w:t>
      </w:r>
      <w:r w:rsidRPr="009806FE" w:rsidR="005C3032">
        <w:rPr>
          <w:rFonts w:cs="Times New Roman"/>
          <w:szCs w:val="24"/>
        </w:rPr>
        <w:t xml:space="preserve">across </w:t>
      </w:r>
      <w:r w:rsidRPr="00D475CB" w:rsidR="005C3032">
        <w:rPr>
          <w:rFonts w:cs="Times New Roman"/>
          <w:szCs w:val="24"/>
        </w:rPr>
        <w:t>approximately 776 respondents.  These cost estimates are based on Commission</w:t>
      </w:r>
      <w:r w:rsidRPr="009806FE" w:rsidR="005C3032">
        <w:rPr>
          <w:rFonts w:cs="Times New Roman"/>
          <w:szCs w:val="24"/>
        </w:rPr>
        <w:t xml:space="preserve"> staff’s estimat</w:t>
      </w:r>
      <w:r w:rsidR="00113842">
        <w:rPr>
          <w:rFonts w:cs="Times New Roman"/>
          <w:szCs w:val="24"/>
        </w:rPr>
        <w:t xml:space="preserve">es and </w:t>
      </w:r>
      <w:r w:rsidR="00F5047E">
        <w:rPr>
          <w:rFonts w:cs="Times New Roman"/>
          <w:szCs w:val="24"/>
        </w:rPr>
        <w:t>respondent</w:t>
      </w:r>
      <w:r w:rsidRPr="009806FE" w:rsidR="005C3032">
        <w:rPr>
          <w:rFonts w:cs="Times New Roman"/>
          <w:szCs w:val="24"/>
        </w:rPr>
        <w:t xml:space="preserve"> feedback since the Final Rule’s issuance.</w:t>
      </w:r>
    </w:p>
    <w:p w:rsidR="006B3FDA" w:rsidRPr="009806FE" w:rsidP="00E561DD" w14:paraId="479C17D8" w14:textId="7F486807">
      <w:pPr>
        <w:autoSpaceDE w:val="0"/>
        <w:autoSpaceDN w:val="0"/>
        <w:adjustRightInd w:val="0"/>
        <w:spacing w:after="240"/>
        <w:ind w:firstLine="720"/>
        <w:jc w:val="both"/>
        <w:rPr>
          <w:rFonts w:cs="Times New Roman"/>
          <w:szCs w:val="24"/>
        </w:rPr>
      </w:pPr>
      <w:r w:rsidRPr="7F40232B">
        <w:rPr>
          <w:rFonts w:cs="Times New Roman"/>
        </w:rPr>
        <w:t>Below is a descriptive overview of the burdens</w:t>
      </w:r>
      <w:r w:rsidR="00893EB2">
        <w:rPr>
          <w:rFonts w:cs="Times New Roman"/>
        </w:rPr>
        <w:t>.</w:t>
      </w:r>
      <w:r>
        <w:rPr>
          <w:rStyle w:val="FootnoteReference"/>
          <w:rFonts w:cs="Times New Roman"/>
          <w:szCs w:val="24"/>
        </w:rPr>
        <w:footnoteReference w:id="7"/>
      </w:r>
      <w:r w:rsidR="00B87357">
        <w:rPr>
          <w:rFonts w:cs="Times New Roman"/>
        </w:rPr>
        <w:t xml:space="preserve">  </w:t>
      </w:r>
      <w:r w:rsidRPr="7F40232B" w:rsidR="50185D4D">
        <w:rPr>
          <w:rFonts w:cs="Times New Roman"/>
        </w:rPr>
        <w:t xml:space="preserve">Generally, the </w:t>
      </w:r>
      <w:r w:rsidRPr="7F40232B" w:rsidR="525BC8E1">
        <w:rPr>
          <w:rFonts w:cs="Times New Roman"/>
        </w:rPr>
        <w:t>Final Rule</w:t>
      </w:r>
      <w:r w:rsidRPr="7F40232B" w:rsidR="4EAC7A72">
        <w:rPr>
          <w:rFonts w:cs="Times New Roman"/>
        </w:rPr>
        <w:t xml:space="preserve"> and Aggregation Rule</w:t>
      </w:r>
      <w:r w:rsidRPr="7F40232B" w:rsidR="50185D4D">
        <w:rPr>
          <w:rFonts w:cs="Times New Roman"/>
        </w:rPr>
        <w:t xml:space="preserve"> result</w:t>
      </w:r>
      <w:r w:rsidRPr="7F40232B" w:rsidR="00300F4C">
        <w:rPr>
          <w:rFonts w:cs="Times New Roman"/>
        </w:rPr>
        <w:t>s</w:t>
      </w:r>
      <w:r w:rsidRPr="7F40232B" w:rsidR="50185D4D">
        <w:rPr>
          <w:rFonts w:cs="Times New Roman"/>
        </w:rPr>
        <w:t xml:space="preserve"> in the following reporting and recordkeeping labor burdens:</w:t>
      </w:r>
    </w:p>
    <w:p w:rsidR="006B3FDA" w:rsidRPr="00E561DD" w:rsidP="00E42D10" w14:paraId="4F2B7D35" w14:textId="308C4A66">
      <w:pPr>
        <w:pStyle w:val="ListParagraph"/>
        <w:numPr>
          <w:ilvl w:val="1"/>
          <w:numId w:val="6"/>
        </w:numPr>
        <w:spacing w:after="240"/>
        <w:contextualSpacing w:val="0"/>
        <w:jc w:val="both"/>
        <w:rPr>
          <w:rFonts w:eastAsia="Times New Roman" w:cs="Times New Roman"/>
          <w:color w:val="000000"/>
          <w:szCs w:val="24"/>
        </w:rPr>
      </w:pPr>
      <w:r w:rsidRPr="00E561DD">
        <w:rPr>
          <w:rFonts w:eastAsia="Times New Roman" w:cs="Times New Roman"/>
          <w:color w:val="000000" w:themeColor="text1"/>
          <w:szCs w:val="24"/>
          <w:u w:val="single"/>
        </w:rPr>
        <w:t>Non-Enumerated Bona Fide Hedging Exemption Applications</w:t>
      </w:r>
    </w:p>
    <w:p w:rsidR="00172C68" w:rsidRPr="009806FE" w:rsidP="00E42D10" w14:paraId="5275E49A" w14:textId="6898B1B6">
      <w:pPr>
        <w:spacing w:after="240"/>
        <w:ind w:firstLine="720"/>
        <w:jc w:val="both"/>
        <w:rPr>
          <w:rFonts w:cs="Times New Roman"/>
          <w:szCs w:val="24"/>
        </w:rPr>
      </w:pPr>
      <w:r w:rsidRPr="009806FE">
        <w:rPr>
          <w:rFonts w:eastAsia="Times New Roman" w:cs="Times New Roman"/>
          <w:color w:val="000000"/>
          <w:szCs w:val="24"/>
        </w:rPr>
        <w:t>Regulations</w:t>
      </w:r>
      <w:r w:rsidRPr="009806FE" w:rsidR="00007547">
        <w:rPr>
          <w:rFonts w:eastAsia="Times New Roman" w:cs="Times New Roman"/>
          <w:color w:val="000000"/>
          <w:szCs w:val="24"/>
        </w:rPr>
        <w:t xml:space="preserve"> 150.3 and 150.9 establish an amended process for obtaining a bona fide hedge exemption or recognition</w:t>
      </w:r>
      <w:r w:rsidRPr="009806FE" w:rsidR="00585FDC">
        <w:rPr>
          <w:rFonts w:eastAsia="Times New Roman" w:cs="Times New Roman"/>
          <w:color w:val="000000"/>
          <w:szCs w:val="24"/>
        </w:rPr>
        <w:t xml:space="preserve">.  </w:t>
      </w:r>
      <w:r w:rsidRPr="009806FE">
        <w:rPr>
          <w:rFonts w:eastAsia="Times New Roman" w:cs="Times New Roman"/>
          <w:color w:val="000000"/>
          <w:szCs w:val="24"/>
        </w:rPr>
        <w:t xml:space="preserve">However, </w:t>
      </w:r>
      <w:r w:rsidRPr="009806FE">
        <w:rPr>
          <w:rFonts w:cs="Times New Roman"/>
          <w:szCs w:val="24"/>
        </w:rPr>
        <w:t>t</w:t>
      </w:r>
      <w:r w:rsidRPr="009806FE" w:rsidR="00614A5E">
        <w:rPr>
          <w:rFonts w:cs="Times New Roman"/>
          <w:szCs w:val="24"/>
        </w:rPr>
        <w:t>he Commission estimates that no traders w</w:t>
      </w:r>
      <w:r w:rsidRPr="009806FE" w:rsidR="00AC6784">
        <w:rPr>
          <w:rFonts w:cs="Times New Roman"/>
          <w:szCs w:val="24"/>
        </w:rPr>
        <w:t>ill</w:t>
      </w:r>
      <w:r w:rsidRPr="009806FE" w:rsidR="00614A5E">
        <w:rPr>
          <w:rFonts w:cs="Times New Roman"/>
          <w:szCs w:val="24"/>
        </w:rPr>
        <w:t xml:space="preserve"> request recognition of a non-enumerated bona fide hedge</w:t>
      </w:r>
      <w:r w:rsidRPr="009806FE">
        <w:rPr>
          <w:rFonts w:cs="Times New Roman"/>
          <w:szCs w:val="24"/>
        </w:rPr>
        <w:t xml:space="preserve"> since the Commission has determined that the most common bona fide hedges are included in the list of “enumerated” bona fide hedges</w:t>
      </w:r>
      <w:r w:rsidRPr="009806FE" w:rsidR="00614A5E">
        <w:rPr>
          <w:rFonts w:cs="Times New Roman"/>
          <w:szCs w:val="24"/>
        </w:rPr>
        <w:t xml:space="preserve"> </w:t>
      </w:r>
      <w:r w:rsidRPr="009806FE">
        <w:rPr>
          <w:rFonts w:cs="Times New Roman"/>
          <w:szCs w:val="24"/>
        </w:rPr>
        <w:t xml:space="preserve">(however, to the extent traders would avail themselves of a non-enumerated bona fide hedge, </w:t>
      </w:r>
      <w:r w:rsidRPr="009806FE" w:rsidR="00614A5E">
        <w:rPr>
          <w:rFonts w:cs="Times New Roman"/>
          <w:szCs w:val="24"/>
        </w:rPr>
        <w:t>those traders w</w:t>
      </w:r>
      <w:r w:rsidRPr="009806FE" w:rsidR="00AC6784">
        <w:rPr>
          <w:rFonts w:cs="Times New Roman"/>
          <w:szCs w:val="24"/>
        </w:rPr>
        <w:t>ill</w:t>
      </w:r>
      <w:r w:rsidRPr="009806FE" w:rsidR="00614A5E">
        <w:rPr>
          <w:rFonts w:cs="Times New Roman"/>
          <w:szCs w:val="24"/>
        </w:rPr>
        <w:t xml:space="preserve"> likely prefer the </w:t>
      </w:r>
      <w:r w:rsidRPr="009806FE" w:rsidR="00062486">
        <w:rPr>
          <w:rFonts w:cs="Times New Roman"/>
          <w:szCs w:val="24"/>
        </w:rPr>
        <w:t>streamlined</w:t>
      </w:r>
      <w:r w:rsidRPr="009806FE" w:rsidR="00614A5E">
        <w:rPr>
          <w:rFonts w:cs="Times New Roman"/>
          <w:szCs w:val="24"/>
        </w:rPr>
        <w:t xml:space="preserve"> process in § 150.9 (discussed further below) rather than apply directly to the Commission under § 150.3(b)</w:t>
      </w:r>
      <w:r w:rsidRPr="009806FE">
        <w:rPr>
          <w:rFonts w:cs="Times New Roman"/>
          <w:szCs w:val="24"/>
        </w:rPr>
        <w:t>)</w:t>
      </w:r>
      <w:r w:rsidRPr="009806FE" w:rsidR="00614A5E">
        <w:rPr>
          <w:rFonts w:cs="Times New Roman"/>
          <w:szCs w:val="24"/>
        </w:rPr>
        <w:t>.</w:t>
      </w:r>
    </w:p>
    <w:p w:rsidR="00172C68" w:rsidRPr="009806FE" w:rsidP="00E42D10" w14:paraId="31CB3C5D" w14:textId="566479B8">
      <w:pPr>
        <w:spacing w:after="240"/>
        <w:ind w:firstLine="720"/>
        <w:jc w:val="both"/>
        <w:rPr>
          <w:rFonts w:cs="Times New Roman"/>
          <w:szCs w:val="24"/>
        </w:rPr>
      </w:pPr>
      <w:r w:rsidRPr="009806FE">
        <w:rPr>
          <w:rFonts w:cs="Times New Roman"/>
          <w:szCs w:val="24"/>
        </w:rPr>
        <w:t>Similarly, the Commission estimates that no traders w</w:t>
      </w:r>
      <w:r w:rsidRPr="009806FE" w:rsidR="00AC6784">
        <w:rPr>
          <w:rFonts w:cs="Times New Roman"/>
          <w:szCs w:val="24"/>
        </w:rPr>
        <w:t>ill</w:t>
      </w:r>
      <w:r w:rsidRPr="009806FE">
        <w:rPr>
          <w:rFonts w:cs="Times New Roman"/>
          <w:szCs w:val="24"/>
        </w:rPr>
        <w:t xml:space="preserve"> submit a request for a spread exemption since the Commission has determined that the most common spread exemptions are included in the </w:t>
      </w:r>
      <w:r w:rsidRPr="009806FE" w:rsidR="00AC6784">
        <w:rPr>
          <w:rFonts w:cs="Times New Roman"/>
          <w:szCs w:val="24"/>
        </w:rPr>
        <w:t>adopted</w:t>
      </w:r>
      <w:r w:rsidRPr="009806FE" w:rsidR="00B60809">
        <w:rPr>
          <w:rFonts w:cs="Times New Roman"/>
          <w:szCs w:val="24"/>
        </w:rPr>
        <w:t xml:space="preserve"> </w:t>
      </w:r>
      <w:r w:rsidRPr="009806FE">
        <w:rPr>
          <w:rFonts w:cs="Times New Roman"/>
          <w:szCs w:val="24"/>
        </w:rPr>
        <w:t>“spread transaction” definition and therefore w</w:t>
      </w:r>
      <w:r w:rsidRPr="009806FE" w:rsidR="00AC6784">
        <w:rPr>
          <w:rFonts w:cs="Times New Roman"/>
          <w:szCs w:val="24"/>
        </w:rPr>
        <w:t>ill</w:t>
      </w:r>
      <w:r w:rsidRPr="009806FE">
        <w:rPr>
          <w:rFonts w:cs="Times New Roman"/>
          <w:szCs w:val="24"/>
        </w:rPr>
        <w:t xml:space="preserve"> be self-effectuating and </w:t>
      </w:r>
      <w:r w:rsidRPr="009806FE" w:rsidR="00AC6784">
        <w:rPr>
          <w:rFonts w:cs="Times New Roman"/>
          <w:szCs w:val="24"/>
        </w:rPr>
        <w:t xml:space="preserve">will </w:t>
      </w:r>
      <w:r w:rsidRPr="009806FE">
        <w:rPr>
          <w:rFonts w:cs="Times New Roman"/>
          <w:szCs w:val="24"/>
        </w:rPr>
        <w:t>not need approval for purposes of federal position limits.</w:t>
      </w:r>
    </w:p>
    <w:p w:rsidR="00F34729" w:rsidP="00E42D10" w14:paraId="18E27BF8" w14:textId="5CD7860A">
      <w:pPr>
        <w:spacing w:after="240"/>
        <w:ind w:firstLine="720"/>
        <w:jc w:val="both"/>
        <w:rPr>
          <w:rFonts w:cs="Times New Roman"/>
          <w:szCs w:val="24"/>
        </w:rPr>
      </w:pPr>
      <w:r w:rsidRPr="009806FE">
        <w:rPr>
          <w:rFonts w:cs="Times New Roman"/>
          <w:szCs w:val="24"/>
        </w:rPr>
        <w:t>In both cases, the Commission bases its estimate</w:t>
      </w:r>
      <w:r w:rsidRPr="009806FE" w:rsidR="001542B9">
        <w:rPr>
          <w:rFonts w:cs="Times New Roman"/>
          <w:szCs w:val="24"/>
        </w:rPr>
        <w:t xml:space="preserve"> on the fact that no traders have submitted a request under Regulation 150.3</w:t>
      </w:r>
      <w:r w:rsidRPr="009806FE" w:rsidR="0040199E">
        <w:rPr>
          <w:rFonts w:cs="Times New Roman"/>
          <w:szCs w:val="24"/>
        </w:rPr>
        <w:t>(b)</w:t>
      </w:r>
      <w:r w:rsidRPr="009806FE" w:rsidR="001542B9">
        <w:rPr>
          <w:rFonts w:cs="Times New Roman"/>
          <w:szCs w:val="24"/>
        </w:rPr>
        <w:t xml:space="preserve"> for either a non-enumerated bona fide hedge or spread exemption.  The Commission does not anticipate this </w:t>
      </w:r>
      <w:r w:rsidRPr="009806FE" w:rsidR="001542B9">
        <w:rPr>
          <w:rFonts w:cs="Times New Roman"/>
          <w:szCs w:val="24"/>
        </w:rPr>
        <w:t>changing</w:t>
      </w:r>
      <w:r w:rsidRPr="009806FE" w:rsidR="001542B9">
        <w:rPr>
          <w:rFonts w:cs="Times New Roman"/>
          <w:szCs w:val="24"/>
        </w:rPr>
        <w:t xml:space="preserve"> going forward.</w:t>
      </w:r>
    </w:p>
    <w:p w:rsidR="00614A5E" w:rsidRPr="009806FE" w:rsidP="00686316" w14:paraId="11F44E73" w14:textId="1FA23ABF">
      <w:pPr>
        <w:spacing w:after="240"/>
        <w:ind w:firstLine="720"/>
        <w:jc w:val="both"/>
        <w:rPr>
          <w:rFonts w:cs="Times New Roman"/>
          <w:szCs w:val="24"/>
        </w:rPr>
      </w:pPr>
      <w:r w:rsidRPr="009806FE">
        <w:rPr>
          <w:rFonts w:cs="Times New Roman"/>
          <w:szCs w:val="24"/>
        </w:rPr>
        <w:t>In the event a trader submits such request under § 150.3</w:t>
      </w:r>
      <w:r w:rsidRPr="009806FE" w:rsidR="00F93D4B">
        <w:rPr>
          <w:rFonts w:cs="Times New Roman"/>
          <w:szCs w:val="24"/>
        </w:rPr>
        <w:t>(b)</w:t>
      </w:r>
      <w:r w:rsidRPr="009806FE">
        <w:rPr>
          <w:rFonts w:cs="Times New Roman"/>
          <w:szCs w:val="24"/>
        </w:rPr>
        <w:t xml:space="preserve">, the Commission estimates </w:t>
      </w:r>
      <w:r w:rsidRPr="009806FE" w:rsidR="00300F4C">
        <w:rPr>
          <w:rFonts w:cs="Times New Roman"/>
          <w:szCs w:val="24"/>
        </w:rPr>
        <w:t>that</w:t>
      </w:r>
      <w:r w:rsidRPr="009806FE">
        <w:rPr>
          <w:rFonts w:cs="Times New Roman"/>
          <w:szCs w:val="24"/>
        </w:rPr>
        <w:t xml:space="preserve"> it </w:t>
      </w:r>
      <w:r w:rsidRPr="009806FE" w:rsidR="00300F4C">
        <w:rPr>
          <w:rFonts w:cs="Times New Roman"/>
          <w:szCs w:val="24"/>
        </w:rPr>
        <w:t xml:space="preserve">would </w:t>
      </w:r>
      <w:r w:rsidRPr="009806FE">
        <w:rPr>
          <w:rFonts w:cs="Times New Roman"/>
          <w:szCs w:val="24"/>
        </w:rPr>
        <w:t>take 20 hours to complete and file each report.</w:t>
      </w:r>
      <w:r w:rsidRPr="009806FE" w:rsidR="00F93D4B">
        <w:rPr>
          <w:rFonts w:cs="Times New Roman"/>
          <w:szCs w:val="24"/>
        </w:rPr>
        <w:t xml:space="preserve">  Assuming an estimated average burden hour </w:t>
      </w:r>
      <w:r w:rsidRPr="001A359A" w:rsidR="00F93D4B">
        <w:rPr>
          <w:rFonts w:cs="Times New Roman"/>
          <w:szCs w:val="24"/>
        </w:rPr>
        <w:t>cost of $</w:t>
      </w:r>
      <w:r w:rsidRPr="001A359A" w:rsidR="00320361">
        <w:rPr>
          <w:rFonts w:cs="Times New Roman"/>
          <w:szCs w:val="24"/>
        </w:rPr>
        <w:t>1</w:t>
      </w:r>
      <w:r w:rsidRPr="001A359A" w:rsidR="00AA0977">
        <w:rPr>
          <w:rFonts w:cs="Times New Roman"/>
          <w:szCs w:val="24"/>
        </w:rPr>
        <w:t>27</w:t>
      </w:r>
      <w:r w:rsidRPr="001A359A" w:rsidR="00F93D4B">
        <w:rPr>
          <w:rFonts w:cs="Times New Roman"/>
          <w:szCs w:val="24"/>
        </w:rPr>
        <w:t xml:space="preserve">, the total annual burden hour cost for </w:t>
      </w:r>
      <w:r w:rsidRPr="001A359A" w:rsidR="002E27BF">
        <w:rPr>
          <w:rFonts w:cs="Times New Roman"/>
          <w:szCs w:val="24"/>
        </w:rPr>
        <w:t>the one</w:t>
      </w:r>
      <w:r w:rsidRPr="001A359A" w:rsidR="00F93D4B">
        <w:rPr>
          <w:rFonts w:cs="Times New Roman"/>
          <w:szCs w:val="24"/>
        </w:rPr>
        <w:t xml:space="preserve"> res</w:t>
      </w:r>
      <w:r w:rsidRPr="001A359A" w:rsidR="002E27BF">
        <w:rPr>
          <w:rFonts w:cs="Times New Roman"/>
          <w:szCs w:val="24"/>
        </w:rPr>
        <w:t>pondent</w:t>
      </w:r>
      <w:r w:rsidRPr="001A359A" w:rsidR="00F93D4B">
        <w:rPr>
          <w:rFonts w:cs="Times New Roman"/>
          <w:szCs w:val="24"/>
        </w:rPr>
        <w:t xml:space="preserve"> is approximately</w:t>
      </w:r>
      <w:r w:rsidRPr="001A359A" w:rsidR="00320361">
        <w:rPr>
          <w:rFonts w:cs="Times New Roman"/>
          <w:szCs w:val="24"/>
        </w:rPr>
        <w:t xml:space="preserve"> $2,</w:t>
      </w:r>
      <w:r w:rsidRPr="001A359A" w:rsidR="001A359A">
        <w:rPr>
          <w:rFonts w:cs="Times New Roman"/>
          <w:szCs w:val="24"/>
        </w:rPr>
        <w:t>5</w:t>
      </w:r>
      <w:r w:rsidRPr="001A359A" w:rsidR="00320361">
        <w:rPr>
          <w:rFonts w:cs="Times New Roman"/>
          <w:szCs w:val="24"/>
        </w:rPr>
        <w:t>40</w:t>
      </w:r>
      <w:r w:rsidRPr="001A359A" w:rsidR="00F93D4B">
        <w:rPr>
          <w:rFonts w:cs="Times New Roman"/>
          <w:szCs w:val="24"/>
        </w:rPr>
        <w:t>.</w:t>
      </w:r>
      <w:r w:rsidRPr="001A359A" w:rsidR="00320361">
        <w:rPr>
          <w:rFonts w:cs="Times New Roman"/>
          <w:szCs w:val="24"/>
        </w:rPr>
        <w:t xml:space="preserve">  However, the Commission is providing the hypothetical hourly cost burden estimate for illustration</w:t>
      </w:r>
      <w:r w:rsidRPr="009806FE" w:rsidR="00320361">
        <w:rPr>
          <w:rFonts w:cs="Times New Roman"/>
          <w:szCs w:val="24"/>
        </w:rPr>
        <w:t xml:space="preserve"> purposes only and reiterates that </w:t>
      </w:r>
      <w:r w:rsidRPr="009806FE" w:rsidR="003665D6">
        <w:rPr>
          <w:rFonts w:cs="Times New Roman"/>
          <w:szCs w:val="24"/>
        </w:rPr>
        <w:t>the Commission</w:t>
      </w:r>
      <w:r w:rsidRPr="009806FE" w:rsidR="00320361">
        <w:rPr>
          <w:rFonts w:cs="Times New Roman"/>
          <w:szCs w:val="24"/>
        </w:rPr>
        <w:t xml:space="preserve"> estimate</w:t>
      </w:r>
      <w:r w:rsidRPr="009806FE" w:rsidR="003665D6">
        <w:rPr>
          <w:rFonts w:cs="Times New Roman"/>
          <w:szCs w:val="24"/>
        </w:rPr>
        <w:t>s</w:t>
      </w:r>
      <w:r w:rsidRPr="009806FE" w:rsidR="00320361">
        <w:rPr>
          <w:rFonts w:cs="Times New Roman"/>
          <w:szCs w:val="24"/>
        </w:rPr>
        <w:t xml:space="preserve"> 0 burden hours or information collections under § 150.3(b)</w:t>
      </w:r>
      <w:r w:rsidRPr="009806FE" w:rsidR="003665D6">
        <w:rPr>
          <w:rFonts w:cs="Times New Roman"/>
          <w:szCs w:val="24"/>
        </w:rPr>
        <w:t xml:space="preserve"> based on its experience since the issuance of the Final Rule</w:t>
      </w:r>
      <w:r w:rsidRPr="009806FE" w:rsidR="00320361">
        <w:rPr>
          <w:rFonts w:cs="Times New Roman"/>
          <w:szCs w:val="24"/>
        </w:rPr>
        <w:t>.</w:t>
      </w:r>
    </w:p>
    <w:p w:rsidR="00007547" w:rsidRPr="009806FE" w:rsidP="00E561DD" w14:paraId="11756228" w14:textId="7ED923F3">
      <w:pPr>
        <w:spacing w:after="240"/>
        <w:ind w:firstLine="720"/>
        <w:jc w:val="both"/>
        <w:rPr>
          <w:rFonts w:eastAsia="Times New Roman" w:cs="Times New Roman"/>
          <w:color w:val="000000"/>
          <w:szCs w:val="24"/>
        </w:rPr>
      </w:pPr>
      <w:r w:rsidRPr="009806FE">
        <w:rPr>
          <w:rFonts w:eastAsia="Calibri" w:cs="Times New Roman"/>
          <w:bCs/>
          <w:szCs w:val="24"/>
        </w:rPr>
        <w:t>The Commission estimates</w:t>
      </w:r>
      <w:r w:rsidRPr="009806FE" w:rsidR="00691B7C">
        <w:rPr>
          <w:rFonts w:eastAsia="Calibri" w:cs="Times New Roman"/>
          <w:bCs/>
          <w:szCs w:val="24"/>
        </w:rPr>
        <w:t>, based on its observations since the Commission issued the Final Rule, that</w:t>
      </w:r>
      <w:r w:rsidRPr="009806FE">
        <w:rPr>
          <w:rFonts w:eastAsia="Calibri" w:cs="Times New Roman"/>
          <w:bCs/>
          <w:szCs w:val="24"/>
        </w:rPr>
        <w:t xml:space="preserve"> under § 150.5(a) that </w:t>
      </w:r>
      <w:r w:rsidRPr="009806FE" w:rsidR="00DE79B0">
        <w:rPr>
          <w:rFonts w:eastAsia="Calibri" w:cs="Times New Roman"/>
          <w:bCs/>
          <w:szCs w:val="24"/>
        </w:rPr>
        <w:t>300</w:t>
      </w:r>
      <w:r w:rsidRPr="009806FE">
        <w:rPr>
          <w:rFonts w:eastAsia="Calibri" w:cs="Times New Roman"/>
          <w:bCs/>
          <w:szCs w:val="24"/>
        </w:rPr>
        <w:t xml:space="preserve"> traders w</w:t>
      </w:r>
      <w:r w:rsidRPr="009806FE" w:rsidR="00AC6784">
        <w:rPr>
          <w:rFonts w:eastAsia="Calibri" w:cs="Times New Roman"/>
          <w:bCs/>
          <w:szCs w:val="24"/>
        </w:rPr>
        <w:t>ill</w:t>
      </w:r>
      <w:r w:rsidRPr="009806FE">
        <w:rPr>
          <w:rFonts w:eastAsia="Calibri" w:cs="Times New Roman"/>
          <w:bCs/>
          <w:szCs w:val="24"/>
        </w:rPr>
        <w:t xml:space="preserve"> submit applications to claim spread exemptions and bona fide hedge recognitions from exchange-set position limits</w:t>
      </w:r>
      <w:r w:rsidRPr="009806FE">
        <w:rPr>
          <w:rFonts w:eastAsia="Calibri" w:cs="Times New Roman"/>
          <w:szCs w:val="24"/>
        </w:rPr>
        <w:t xml:space="preserve"> on commodity derivatives contracts s</w:t>
      </w:r>
      <w:r w:rsidRPr="009806FE">
        <w:rPr>
          <w:rFonts w:eastAsia="Calibri" w:cs="Times New Roman"/>
          <w:bCs/>
          <w:szCs w:val="24"/>
        </w:rPr>
        <w:t>ubject to federal limits set forth in § 150.2.  The Commission estimates that each trader on average w</w:t>
      </w:r>
      <w:r w:rsidRPr="009806FE" w:rsidR="00AC6784">
        <w:rPr>
          <w:rFonts w:eastAsia="Calibri" w:cs="Times New Roman"/>
          <w:bCs/>
          <w:szCs w:val="24"/>
        </w:rPr>
        <w:t>ill</w:t>
      </w:r>
      <w:r w:rsidRPr="009806FE">
        <w:rPr>
          <w:rFonts w:eastAsia="Calibri" w:cs="Times New Roman"/>
          <w:bCs/>
          <w:szCs w:val="24"/>
        </w:rPr>
        <w:t xml:space="preserve"> submit </w:t>
      </w:r>
      <w:r w:rsidRPr="009806FE" w:rsidR="00691B7C">
        <w:rPr>
          <w:rFonts w:eastAsia="Calibri" w:cs="Times New Roman"/>
          <w:bCs/>
          <w:szCs w:val="24"/>
        </w:rPr>
        <w:t>3</w:t>
      </w:r>
      <w:r w:rsidRPr="009806FE" w:rsidR="00937E5D">
        <w:rPr>
          <w:rFonts w:eastAsia="Calibri" w:cs="Times New Roman"/>
          <w:bCs/>
          <w:szCs w:val="24"/>
        </w:rPr>
        <w:t xml:space="preserve"> </w:t>
      </w:r>
      <w:r w:rsidRPr="009806FE">
        <w:rPr>
          <w:rFonts w:eastAsia="Calibri" w:cs="Times New Roman"/>
          <w:bCs/>
          <w:szCs w:val="24"/>
        </w:rPr>
        <w:t>application</w:t>
      </w:r>
      <w:r w:rsidRPr="009806FE" w:rsidR="00937E5D">
        <w:rPr>
          <w:rFonts w:eastAsia="Calibri" w:cs="Times New Roman"/>
          <w:bCs/>
          <w:szCs w:val="24"/>
        </w:rPr>
        <w:t>s</w:t>
      </w:r>
      <w:r w:rsidRPr="009806FE">
        <w:rPr>
          <w:rFonts w:eastAsia="Calibri" w:cs="Times New Roman"/>
          <w:bCs/>
          <w:szCs w:val="24"/>
        </w:rPr>
        <w:t xml:space="preserve"> to an exchange each year for a total of </w:t>
      </w:r>
      <w:r w:rsidRPr="009806FE" w:rsidR="00691B7C">
        <w:rPr>
          <w:rFonts w:eastAsia="Calibri" w:cs="Times New Roman"/>
          <w:bCs/>
          <w:szCs w:val="24"/>
        </w:rPr>
        <w:t>900</w:t>
      </w:r>
      <w:r w:rsidRPr="009806FE">
        <w:rPr>
          <w:rFonts w:eastAsia="Calibri" w:cs="Times New Roman"/>
          <w:bCs/>
          <w:szCs w:val="24"/>
        </w:rPr>
        <w:t xml:space="preserve"> applications for all respondents.  The Commission further estimates that it will take 2 hours to complete and file each application for a total of </w:t>
      </w:r>
      <w:r w:rsidRPr="009806FE" w:rsidR="00691B7C">
        <w:rPr>
          <w:rFonts w:eastAsia="Calibri" w:cs="Times New Roman"/>
          <w:bCs/>
          <w:szCs w:val="24"/>
        </w:rPr>
        <w:t xml:space="preserve">6 </w:t>
      </w:r>
      <w:r w:rsidRPr="009806FE">
        <w:rPr>
          <w:rFonts w:eastAsia="Calibri" w:cs="Times New Roman"/>
          <w:bCs/>
          <w:szCs w:val="24"/>
        </w:rPr>
        <w:t xml:space="preserve">annual burden hours for each trader and </w:t>
      </w:r>
      <w:r w:rsidRPr="009806FE" w:rsidR="0064378F">
        <w:rPr>
          <w:rFonts w:eastAsia="Calibri" w:cs="Times New Roman"/>
          <w:bCs/>
          <w:szCs w:val="24"/>
        </w:rPr>
        <w:t>1,800</w:t>
      </w:r>
      <w:r w:rsidRPr="009806FE" w:rsidR="00937E5D">
        <w:rPr>
          <w:rFonts w:eastAsia="Calibri" w:cs="Times New Roman"/>
          <w:bCs/>
          <w:szCs w:val="24"/>
        </w:rPr>
        <w:t xml:space="preserve"> </w:t>
      </w:r>
      <w:r w:rsidRPr="009806FE">
        <w:rPr>
          <w:rFonts w:eastAsia="Calibri" w:cs="Times New Roman"/>
          <w:bCs/>
          <w:szCs w:val="24"/>
        </w:rPr>
        <w:t>aggregate burden hours for all traders.</w:t>
      </w:r>
      <w:r w:rsidRPr="009806FE" w:rsidR="00C56647">
        <w:rPr>
          <w:rFonts w:eastAsia="Calibri" w:cs="Times New Roman"/>
          <w:bCs/>
          <w:szCs w:val="24"/>
        </w:rPr>
        <w:t xml:space="preserve"> </w:t>
      </w:r>
      <w:r w:rsidRPr="009806FE">
        <w:rPr>
          <w:rFonts w:cs="Times New Roman"/>
          <w:bCs/>
          <w:szCs w:val="24"/>
        </w:rPr>
        <w:t xml:space="preserve"> </w:t>
      </w:r>
      <w:r w:rsidRPr="009806FE" w:rsidR="00596C6B">
        <w:rPr>
          <w:rFonts w:eastAsia="Calibri" w:cs="Times New Roman"/>
          <w:bCs/>
          <w:szCs w:val="24"/>
        </w:rPr>
        <w:t xml:space="preserve">Assuming an estimated average burden hour cost of </w:t>
      </w:r>
      <w:r w:rsidRPr="002453C7" w:rsidR="00596C6B">
        <w:rPr>
          <w:rFonts w:eastAsia="Calibri" w:cs="Times New Roman"/>
          <w:bCs/>
          <w:szCs w:val="24"/>
        </w:rPr>
        <w:t>$</w:t>
      </w:r>
      <w:r w:rsidRPr="002453C7" w:rsidR="0064378F">
        <w:rPr>
          <w:rFonts w:eastAsia="Calibri" w:cs="Times New Roman"/>
          <w:bCs/>
          <w:szCs w:val="24"/>
        </w:rPr>
        <w:t>1</w:t>
      </w:r>
      <w:r w:rsidRPr="002453C7" w:rsidR="002453C7">
        <w:rPr>
          <w:rFonts w:eastAsia="Calibri" w:cs="Times New Roman"/>
          <w:bCs/>
          <w:szCs w:val="24"/>
        </w:rPr>
        <w:t>27</w:t>
      </w:r>
      <w:r w:rsidRPr="009806FE" w:rsidR="00596C6B">
        <w:rPr>
          <w:rFonts w:eastAsia="Calibri" w:cs="Times New Roman"/>
          <w:bCs/>
          <w:szCs w:val="24"/>
        </w:rPr>
        <w:t xml:space="preserve">, the total annual burden hour cost for all </w:t>
      </w:r>
      <w:r w:rsidRPr="009806FE" w:rsidR="0064378F">
        <w:rPr>
          <w:rFonts w:eastAsia="Calibri" w:cs="Times New Roman"/>
          <w:bCs/>
          <w:szCs w:val="24"/>
        </w:rPr>
        <w:t>300</w:t>
      </w:r>
      <w:r w:rsidRPr="009806FE" w:rsidR="00596C6B">
        <w:rPr>
          <w:rFonts w:eastAsia="Calibri" w:cs="Times New Roman"/>
          <w:bCs/>
          <w:szCs w:val="24"/>
        </w:rPr>
        <w:t xml:space="preserve"> respondents is approximately </w:t>
      </w:r>
      <w:r w:rsidRPr="007465D0" w:rsidR="00596C6B">
        <w:rPr>
          <w:rFonts w:eastAsia="Calibri" w:cs="Times New Roman"/>
          <w:bCs/>
          <w:szCs w:val="24"/>
        </w:rPr>
        <w:t>$</w:t>
      </w:r>
      <w:r w:rsidRPr="007465D0" w:rsidR="00D92BC2">
        <w:rPr>
          <w:rFonts w:eastAsia="Calibri" w:cs="Times New Roman"/>
          <w:bCs/>
          <w:szCs w:val="24"/>
        </w:rPr>
        <w:t>228,600</w:t>
      </w:r>
      <w:r w:rsidRPr="009806FE" w:rsidR="00433E61">
        <w:rPr>
          <w:rFonts w:eastAsia="Calibri" w:cs="Times New Roman"/>
          <w:bCs/>
          <w:szCs w:val="24"/>
        </w:rPr>
        <w:t>.</w:t>
      </w:r>
    </w:p>
    <w:p w:rsidR="00D30493" w:rsidRPr="00E561DD" w:rsidP="00E42D10" w14:paraId="338B5D1E" w14:textId="6C8E5592">
      <w:pPr>
        <w:pStyle w:val="ListParagraph"/>
        <w:numPr>
          <w:ilvl w:val="1"/>
          <w:numId w:val="6"/>
        </w:numPr>
        <w:spacing w:after="240"/>
        <w:contextualSpacing w:val="0"/>
        <w:jc w:val="both"/>
        <w:rPr>
          <w:rFonts w:eastAsia="Times New Roman" w:cs="Times New Roman"/>
          <w:color w:val="000000"/>
          <w:szCs w:val="24"/>
        </w:rPr>
      </w:pPr>
      <w:r w:rsidRPr="00E561DD">
        <w:rPr>
          <w:rFonts w:eastAsia="Times New Roman" w:cs="Times New Roman"/>
          <w:color w:val="000000" w:themeColor="text1"/>
          <w:szCs w:val="24"/>
          <w:u w:val="single"/>
        </w:rPr>
        <w:t>Exchange-Set Limits</w:t>
      </w:r>
    </w:p>
    <w:p w:rsidR="000C6972" w:rsidRPr="009806FE" w:rsidP="00E42D10" w14:paraId="3E42B362" w14:textId="23744CA8">
      <w:pPr>
        <w:spacing w:after="240"/>
        <w:ind w:firstLine="720"/>
        <w:jc w:val="both"/>
        <w:rPr>
          <w:rFonts w:eastAsia="Calibri" w:cs="Times New Roman"/>
          <w:bCs/>
          <w:szCs w:val="24"/>
        </w:rPr>
      </w:pPr>
      <w:r w:rsidRPr="009806FE">
        <w:rPr>
          <w:rFonts w:eastAsia="Calibri" w:cs="Times New Roman"/>
          <w:szCs w:val="24"/>
        </w:rPr>
        <w:t>Regulation</w:t>
      </w:r>
      <w:r w:rsidRPr="009806FE" w:rsidR="52B3B33F">
        <w:rPr>
          <w:rFonts w:eastAsia="Calibri" w:cs="Times New Roman"/>
          <w:szCs w:val="24"/>
        </w:rPr>
        <w:t xml:space="preserve"> </w:t>
      </w:r>
      <w:r w:rsidRPr="009806FE" w:rsidR="1D76419E">
        <w:rPr>
          <w:rFonts w:eastAsia="Calibri" w:cs="Times New Roman"/>
          <w:szCs w:val="24"/>
        </w:rPr>
        <w:t>§ 150.5(a)(4)  require</w:t>
      </w:r>
      <w:r w:rsidRPr="009806FE" w:rsidR="52B3B33F">
        <w:rPr>
          <w:rFonts w:eastAsia="Calibri" w:cs="Times New Roman"/>
          <w:szCs w:val="24"/>
        </w:rPr>
        <w:t>s</w:t>
      </w:r>
      <w:r w:rsidRPr="009806FE" w:rsidR="1D76419E">
        <w:rPr>
          <w:rFonts w:eastAsia="Calibri" w:cs="Times New Roman"/>
          <w:szCs w:val="24"/>
        </w:rPr>
        <w:t xml:space="preserve"> each exchange to provide a monthly report showing the disposition of any exemption application, including the recognition of any position as a bona fide hedge, the exemption of any spread transaction, the renewal, revocation, or modification of a previously granted recognition or </w:t>
      </w:r>
      <w:r w:rsidRPr="00DC5116" w:rsidR="1D76419E">
        <w:rPr>
          <w:rFonts w:eastAsia="Calibri" w:cs="Times New Roman"/>
          <w:szCs w:val="24"/>
        </w:rPr>
        <w:t>exemption, or the rejection of any application.</w:t>
      </w:r>
      <w:r>
        <w:rPr>
          <w:rFonts w:eastAsia="Calibri" w:cs="Times New Roman"/>
          <w:szCs w:val="24"/>
          <w:vertAlign w:val="superscript"/>
        </w:rPr>
        <w:footnoteReference w:id="8"/>
      </w:r>
      <w:r w:rsidRPr="00DC5116" w:rsidR="7F9B0711">
        <w:rPr>
          <w:rFonts w:eastAsia="Calibri" w:cs="Times New Roman"/>
          <w:szCs w:val="24"/>
        </w:rPr>
        <w:t xml:space="preserve">  </w:t>
      </w:r>
      <w:r w:rsidRPr="00DC5116" w:rsidR="1D76419E">
        <w:rPr>
          <w:rFonts w:eastAsia="Calibri" w:cs="Times New Roman"/>
          <w:szCs w:val="24"/>
        </w:rPr>
        <w:t xml:space="preserve">The Commission estimates under § 150.5(a)(4) that </w:t>
      </w:r>
      <w:r w:rsidRPr="00DC5116" w:rsidR="005E493A">
        <w:rPr>
          <w:rFonts w:eastAsia="Calibri" w:cs="Times New Roman"/>
          <w:szCs w:val="24"/>
        </w:rPr>
        <w:t xml:space="preserve">4 </w:t>
      </w:r>
      <w:r w:rsidRPr="00DC5116" w:rsidR="1D76419E">
        <w:rPr>
          <w:rFonts w:eastAsia="Calibri" w:cs="Times New Roman"/>
          <w:szCs w:val="24"/>
        </w:rPr>
        <w:t xml:space="preserve">exchanges </w:t>
      </w:r>
      <w:r w:rsidRPr="00DC5116" w:rsidR="4BD72DA1">
        <w:rPr>
          <w:rFonts w:eastAsia="Calibri" w:cs="Times New Roman"/>
          <w:szCs w:val="24"/>
        </w:rPr>
        <w:t xml:space="preserve">will </w:t>
      </w:r>
      <w:r w:rsidRPr="00DC5116" w:rsidR="1D76419E">
        <w:rPr>
          <w:rFonts w:eastAsia="Calibri" w:cs="Times New Roman"/>
          <w:szCs w:val="24"/>
        </w:rPr>
        <w:t xml:space="preserve">provide monthly reports for a total of </w:t>
      </w:r>
      <w:r w:rsidRPr="00DC5116" w:rsidR="00B45C35">
        <w:rPr>
          <w:rFonts w:eastAsia="Calibri" w:cs="Times New Roman"/>
          <w:szCs w:val="24"/>
        </w:rPr>
        <w:t>48</w:t>
      </w:r>
      <w:r w:rsidRPr="00DC5116" w:rsidR="1D76419E">
        <w:rPr>
          <w:rFonts w:eastAsia="Calibri" w:cs="Times New Roman"/>
          <w:szCs w:val="24"/>
        </w:rPr>
        <w:t xml:space="preserve"> monthly reports for all exchanges.</w:t>
      </w:r>
      <w:r>
        <w:rPr>
          <w:rFonts w:eastAsia="Calibri" w:cs="Times New Roman"/>
          <w:szCs w:val="24"/>
          <w:vertAlign w:val="superscript"/>
        </w:rPr>
        <w:footnoteReference w:id="9"/>
      </w:r>
      <w:r w:rsidRPr="00DC5116" w:rsidR="1D76419E">
        <w:rPr>
          <w:rFonts w:eastAsia="Calibri" w:cs="Times New Roman"/>
          <w:szCs w:val="24"/>
        </w:rPr>
        <w:t xml:space="preserve">  The Commission further estimates that it will take </w:t>
      </w:r>
      <w:r w:rsidRPr="00DC5116" w:rsidR="46264DA3">
        <w:rPr>
          <w:rFonts w:eastAsia="Calibri" w:cs="Times New Roman"/>
          <w:szCs w:val="24"/>
        </w:rPr>
        <w:t xml:space="preserve">approximately </w:t>
      </w:r>
      <w:r w:rsidRPr="00DC5116" w:rsidR="1D76419E">
        <w:rPr>
          <w:rFonts w:eastAsia="Calibri" w:cs="Times New Roman"/>
          <w:szCs w:val="24"/>
        </w:rPr>
        <w:t xml:space="preserve">5 hours to complete and file each monthly report for a total of 60 annual burden hours for each exchange and </w:t>
      </w:r>
      <w:r w:rsidRPr="00DC5116" w:rsidR="00091C27">
        <w:rPr>
          <w:rFonts w:eastAsia="Calibri" w:cs="Times New Roman"/>
          <w:szCs w:val="24"/>
        </w:rPr>
        <w:t>240</w:t>
      </w:r>
      <w:r w:rsidRPr="00DC5116" w:rsidR="1D76419E">
        <w:rPr>
          <w:rFonts w:eastAsia="Calibri" w:cs="Times New Roman"/>
          <w:szCs w:val="24"/>
        </w:rPr>
        <w:t xml:space="preserve"> annual burden hours for all exchanges.</w:t>
      </w:r>
      <w:r>
        <w:rPr>
          <w:rFonts w:eastAsia="Calibri" w:cs="Times New Roman"/>
          <w:szCs w:val="24"/>
          <w:vertAlign w:val="superscript"/>
        </w:rPr>
        <w:footnoteReference w:id="10"/>
      </w:r>
      <w:r w:rsidRPr="00DC5116" w:rsidR="5FBDEC8F">
        <w:rPr>
          <w:rFonts w:eastAsia="Calibri" w:cs="Times New Roman"/>
          <w:szCs w:val="24"/>
        </w:rPr>
        <w:t xml:space="preserve">  Assuming an estimated average burden hour cost of $</w:t>
      </w:r>
      <w:r w:rsidRPr="00DC5116" w:rsidR="00FD4993">
        <w:rPr>
          <w:rFonts w:eastAsia="Calibri" w:cs="Times New Roman"/>
          <w:szCs w:val="24"/>
        </w:rPr>
        <w:t>1</w:t>
      </w:r>
      <w:r w:rsidRPr="00DC5116" w:rsidR="002453C7">
        <w:rPr>
          <w:rFonts w:eastAsia="Calibri" w:cs="Times New Roman"/>
          <w:szCs w:val="24"/>
        </w:rPr>
        <w:t>27</w:t>
      </w:r>
      <w:r w:rsidRPr="00DC5116" w:rsidR="5FBDEC8F">
        <w:rPr>
          <w:rFonts w:eastAsia="Calibri" w:cs="Times New Roman"/>
          <w:szCs w:val="24"/>
        </w:rPr>
        <w:t xml:space="preserve">, the total annual burden hour cost for all </w:t>
      </w:r>
      <w:r w:rsidRPr="00DC5116" w:rsidR="00FD4993">
        <w:rPr>
          <w:rFonts w:eastAsia="Calibri" w:cs="Times New Roman"/>
          <w:szCs w:val="24"/>
        </w:rPr>
        <w:t>4</w:t>
      </w:r>
      <w:r w:rsidRPr="00DC5116" w:rsidR="5FBDEC8F">
        <w:rPr>
          <w:rFonts w:eastAsia="Calibri" w:cs="Times New Roman"/>
          <w:szCs w:val="24"/>
        </w:rPr>
        <w:t xml:space="preserve"> respondents is approximately $</w:t>
      </w:r>
      <w:r w:rsidRPr="00DC5116" w:rsidR="00DC5116">
        <w:rPr>
          <w:rFonts w:eastAsia="Calibri" w:cs="Times New Roman"/>
          <w:szCs w:val="24"/>
        </w:rPr>
        <w:t>30,480</w:t>
      </w:r>
      <w:r w:rsidRPr="00DC5116" w:rsidR="5FBDEC8F">
        <w:rPr>
          <w:rFonts w:eastAsia="Calibri" w:cs="Times New Roman"/>
          <w:szCs w:val="24"/>
        </w:rPr>
        <w:t>.</w:t>
      </w:r>
    </w:p>
    <w:p w:rsidR="000C6972" w:rsidRPr="009806FE" w:rsidP="00E42D10" w14:paraId="1FE87F96" w14:textId="6619F791">
      <w:pPr>
        <w:spacing w:after="240"/>
        <w:ind w:firstLine="720"/>
        <w:jc w:val="both"/>
        <w:rPr>
          <w:rFonts w:eastAsia="Calibri" w:cs="Times New Roman"/>
          <w:bCs/>
          <w:szCs w:val="24"/>
        </w:rPr>
      </w:pPr>
      <w:r w:rsidRPr="009806FE">
        <w:rPr>
          <w:rFonts w:eastAsia="Calibri" w:cs="Times New Roman"/>
          <w:szCs w:val="24"/>
        </w:rPr>
        <w:t xml:space="preserve">Under § 150.5(b)(3), where multiple exchanges list contracts that are substantially the same, including physically-settled contracts that have the same underlying commodity and delivery location, or cash-settled contracts that are directly or indirectly linked to a physically-settled contract, the exchange must either adopt “comparable” limits for such contracts, or demonstrate to the Commission how the non-comparable levels comply with the standards set forth in § 150.5(b)(1) and (2).  </w:t>
      </w:r>
      <w:r w:rsidRPr="009806FE" w:rsidR="00091C27">
        <w:rPr>
          <w:rFonts w:eastAsia="Calibri" w:cs="Times New Roman"/>
          <w:szCs w:val="24"/>
        </w:rPr>
        <w:t xml:space="preserve">Based on its observations since </w:t>
      </w:r>
      <w:r w:rsidRPr="009806FE" w:rsidR="002957A0">
        <w:rPr>
          <w:rFonts w:eastAsia="Calibri" w:cs="Times New Roman"/>
          <w:szCs w:val="24"/>
        </w:rPr>
        <w:t>the Commission issue</w:t>
      </w:r>
      <w:r w:rsidRPr="009806FE" w:rsidR="00052CC1">
        <w:rPr>
          <w:rFonts w:eastAsia="Calibri" w:cs="Times New Roman"/>
          <w:szCs w:val="24"/>
        </w:rPr>
        <w:t>d</w:t>
      </w:r>
      <w:r w:rsidRPr="009806FE" w:rsidR="002957A0">
        <w:rPr>
          <w:rFonts w:eastAsia="Calibri" w:cs="Times New Roman"/>
          <w:szCs w:val="24"/>
        </w:rPr>
        <w:t xml:space="preserve"> the Final Rule, t</w:t>
      </w:r>
      <w:r w:rsidRPr="009806FE">
        <w:rPr>
          <w:rFonts w:eastAsia="Calibri" w:cs="Times New Roman"/>
          <w:szCs w:val="24"/>
        </w:rPr>
        <w:t xml:space="preserve">he Commission estimates that under § 150.5(b)(3), </w:t>
      </w:r>
      <w:r w:rsidRPr="009806FE" w:rsidR="002957A0">
        <w:rPr>
          <w:rFonts w:eastAsia="Calibri" w:cs="Times New Roman"/>
          <w:szCs w:val="24"/>
        </w:rPr>
        <w:t>one</w:t>
      </w:r>
      <w:r w:rsidRPr="009806FE">
        <w:rPr>
          <w:rFonts w:eastAsia="Calibri" w:cs="Times New Roman"/>
          <w:szCs w:val="24"/>
        </w:rPr>
        <w:t xml:space="preserve"> exchange w</w:t>
      </w:r>
      <w:r w:rsidRPr="009806FE" w:rsidR="02CE9EF9">
        <w:rPr>
          <w:rFonts w:eastAsia="Calibri" w:cs="Times New Roman"/>
          <w:szCs w:val="24"/>
        </w:rPr>
        <w:t>ill</w:t>
      </w:r>
      <w:r w:rsidRPr="009806FE">
        <w:rPr>
          <w:rFonts w:eastAsia="Calibri" w:cs="Times New Roman"/>
          <w:szCs w:val="24"/>
        </w:rPr>
        <w:t xml:space="preserve"> make </w:t>
      </w:r>
      <w:r w:rsidRPr="009806FE" w:rsidR="002957A0">
        <w:rPr>
          <w:rFonts w:eastAsia="Calibri" w:cs="Times New Roman"/>
          <w:szCs w:val="24"/>
        </w:rPr>
        <w:t xml:space="preserve">a </w:t>
      </w:r>
      <w:r w:rsidRPr="009806FE">
        <w:rPr>
          <w:rFonts w:eastAsia="Calibri" w:cs="Times New Roman"/>
          <w:szCs w:val="24"/>
        </w:rPr>
        <w:t xml:space="preserve">submission to demonstrate to the Commission how the non-comparable levels comply with the standards set forth in § 150.5(b)(1) and (2).  The Commission estimates that </w:t>
      </w:r>
      <w:r w:rsidRPr="009806FE" w:rsidR="00442FE9">
        <w:rPr>
          <w:rFonts w:eastAsia="Calibri" w:cs="Times New Roman"/>
          <w:szCs w:val="24"/>
        </w:rPr>
        <w:t xml:space="preserve">one </w:t>
      </w:r>
      <w:r w:rsidRPr="009806FE">
        <w:rPr>
          <w:rFonts w:eastAsia="Calibri" w:cs="Times New Roman"/>
          <w:szCs w:val="24"/>
        </w:rPr>
        <w:t>exchange on average w</w:t>
      </w:r>
      <w:r w:rsidRPr="009806FE" w:rsidR="0A265EFC">
        <w:rPr>
          <w:rFonts w:eastAsia="Calibri" w:cs="Times New Roman"/>
          <w:szCs w:val="24"/>
        </w:rPr>
        <w:t>ill</w:t>
      </w:r>
      <w:r w:rsidRPr="009806FE">
        <w:rPr>
          <w:rFonts w:eastAsia="Calibri" w:cs="Times New Roman"/>
          <w:szCs w:val="24"/>
        </w:rPr>
        <w:t xml:space="preserve"> make </w:t>
      </w:r>
      <w:r w:rsidR="00E8286D">
        <w:rPr>
          <w:rFonts w:eastAsia="Calibri" w:cs="Times New Roman"/>
          <w:szCs w:val="24"/>
        </w:rPr>
        <w:t>one</w:t>
      </w:r>
      <w:r w:rsidRPr="009806FE">
        <w:rPr>
          <w:rFonts w:eastAsia="Calibri" w:cs="Times New Roman"/>
          <w:szCs w:val="24"/>
        </w:rPr>
        <w:t xml:space="preserve"> submission each year for a total of </w:t>
      </w:r>
      <w:r w:rsidR="00E8286D">
        <w:rPr>
          <w:rFonts w:eastAsia="Calibri" w:cs="Times New Roman"/>
          <w:szCs w:val="24"/>
        </w:rPr>
        <w:t>one</w:t>
      </w:r>
      <w:r w:rsidRPr="009806FE" w:rsidR="00E8286D">
        <w:rPr>
          <w:rFonts w:eastAsia="Calibri" w:cs="Times New Roman"/>
          <w:szCs w:val="24"/>
        </w:rPr>
        <w:t xml:space="preserve"> </w:t>
      </w:r>
      <w:r w:rsidRPr="009806FE">
        <w:rPr>
          <w:rFonts w:eastAsia="Calibri" w:cs="Times New Roman"/>
          <w:szCs w:val="24"/>
        </w:rPr>
        <w:t xml:space="preserve">submission for all </w:t>
      </w:r>
      <w:r w:rsidRPr="00984043">
        <w:rPr>
          <w:rFonts w:eastAsia="Calibri" w:cs="Times New Roman"/>
          <w:szCs w:val="24"/>
        </w:rPr>
        <w:t xml:space="preserve">exchanges.  The Commission further estimates that it will take 10 hours to complete and file each submission for a total of </w:t>
      </w:r>
      <w:r w:rsidRPr="00984043" w:rsidR="00442FE9">
        <w:rPr>
          <w:rFonts w:eastAsia="Calibri" w:cs="Times New Roman"/>
          <w:szCs w:val="24"/>
        </w:rPr>
        <w:t>10</w:t>
      </w:r>
      <w:r w:rsidRPr="00984043">
        <w:rPr>
          <w:rFonts w:eastAsia="Calibri" w:cs="Times New Roman"/>
          <w:szCs w:val="24"/>
        </w:rPr>
        <w:t xml:space="preserve"> annual burden hours for </w:t>
      </w:r>
      <w:r w:rsidRPr="00984043" w:rsidR="00442FE9">
        <w:rPr>
          <w:rFonts w:eastAsia="Calibri" w:cs="Times New Roman"/>
          <w:szCs w:val="24"/>
        </w:rPr>
        <w:t xml:space="preserve">the </w:t>
      </w:r>
      <w:r w:rsidRPr="00984043">
        <w:rPr>
          <w:rFonts w:eastAsia="Calibri" w:cs="Times New Roman"/>
          <w:szCs w:val="24"/>
        </w:rPr>
        <w:t xml:space="preserve">exchange. </w:t>
      </w:r>
      <w:r w:rsidRPr="00984043" w:rsidR="58BAC609">
        <w:rPr>
          <w:rFonts w:eastAsia="Calibri" w:cs="Times New Roman"/>
          <w:szCs w:val="24"/>
        </w:rPr>
        <w:t xml:space="preserve"> </w:t>
      </w:r>
      <w:r w:rsidRPr="00984043" w:rsidR="317CBEDD">
        <w:rPr>
          <w:rFonts w:eastAsia="Calibri" w:cs="Times New Roman"/>
          <w:szCs w:val="24"/>
        </w:rPr>
        <w:t xml:space="preserve">Assuming an estimated average burden hour cost of </w:t>
      </w:r>
      <w:r w:rsidRPr="00984043" w:rsidR="00442FE9">
        <w:rPr>
          <w:rFonts w:eastAsia="Calibri" w:cs="Times New Roman"/>
          <w:szCs w:val="24"/>
        </w:rPr>
        <w:t>$1</w:t>
      </w:r>
      <w:r w:rsidRPr="00984043" w:rsidR="000B73E4">
        <w:rPr>
          <w:rFonts w:eastAsia="Calibri" w:cs="Times New Roman"/>
          <w:szCs w:val="24"/>
        </w:rPr>
        <w:t>27</w:t>
      </w:r>
      <w:r w:rsidRPr="00984043" w:rsidR="317CBEDD">
        <w:rPr>
          <w:rFonts w:eastAsia="Calibri" w:cs="Times New Roman"/>
          <w:szCs w:val="24"/>
        </w:rPr>
        <w:t xml:space="preserve">, the total annual burden hour cost for </w:t>
      </w:r>
      <w:r w:rsidRPr="00984043" w:rsidR="00442FE9">
        <w:rPr>
          <w:rFonts w:eastAsia="Calibri" w:cs="Times New Roman"/>
          <w:szCs w:val="24"/>
        </w:rPr>
        <w:t>the single respondent exchange</w:t>
      </w:r>
      <w:r w:rsidRPr="00984043" w:rsidR="317CBEDD">
        <w:rPr>
          <w:rFonts w:eastAsia="Calibri" w:cs="Times New Roman"/>
          <w:szCs w:val="24"/>
        </w:rPr>
        <w:t xml:space="preserve"> is approximately </w:t>
      </w:r>
      <w:r w:rsidRPr="00984043" w:rsidR="00442FE9">
        <w:rPr>
          <w:rFonts w:eastAsia="Calibri" w:cs="Times New Roman"/>
          <w:szCs w:val="24"/>
        </w:rPr>
        <w:t>$1,</w:t>
      </w:r>
      <w:r w:rsidRPr="00984043" w:rsidR="000B73E4">
        <w:rPr>
          <w:rFonts w:eastAsia="Calibri" w:cs="Times New Roman"/>
          <w:szCs w:val="24"/>
        </w:rPr>
        <w:t>270</w:t>
      </w:r>
      <w:r w:rsidRPr="00984043" w:rsidR="317CBEDD">
        <w:rPr>
          <w:rFonts w:eastAsia="Calibri" w:cs="Times New Roman"/>
          <w:szCs w:val="24"/>
        </w:rPr>
        <w:t>.</w:t>
      </w:r>
      <w:r>
        <w:rPr>
          <w:rStyle w:val="FootnoteReference"/>
          <w:rFonts w:eastAsia="Calibri" w:cs="Times New Roman"/>
          <w:szCs w:val="24"/>
        </w:rPr>
        <w:footnoteReference w:id="11"/>
      </w:r>
    </w:p>
    <w:p w:rsidR="00D30493" w:rsidRPr="009806FE" w:rsidP="00E42D10" w14:paraId="19A0D830" w14:textId="7F5A6FD3">
      <w:pPr>
        <w:spacing w:after="240"/>
        <w:ind w:firstLine="720"/>
        <w:jc w:val="both"/>
        <w:rPr>
          <w:rFonts w:eastAsia="Times New Roman" w:cs="Times New Roman"/>
          <w:color w:val="000000"/>
          <w:szCs w:val="24"/>
        </w:rPr>
      </w:pPr>
      <w:r w:rsidRPr="009806FE">
        <w:rPr>
          <w:rFonts w:eastAsia="Calibri" w:cs="Times New Roman"/>
          <w:szCs w:val="24"/>
        </w:rPr>
        <w:t>Regulation</w:t>
      </w:r>
      <w:r w:rsidRPr="009806FE" w:rsidR="000C6972">
        <w:rPr>
          <w:rFonts w:eastAsia="Calibri" w:cs="Times New Roman"/>
          <w:szCs w:val="24"/>
        </w:rPr>
        <w:t xml:space="preserve"> 150.5(b)(4) permit</w:t>
      </w:r>
      <w:r w:rsidRPr="009806FE">
        <w:rPr>
          <w:rFonts w:eastAsia="Calibri" w:cs="Times New Roman"/>
          <w:szCs w:val="24"/>
        </w:rPr>
        <w:t>s</w:t>
      </w:r>
      <w:r w:rsidRPr="009806FE" w:rsidR="000C6972">
        <w:rPr>
          <w:rFonts w:eastAsia="Calibri" w:cs="Times New Roman"/>
          <w:szCs w:val="24"/>
        </w:rPr>
        <w:t xml:space="preserve"> exchanges to grant exemptions from any exchange limit established for physical commodity contracts not subject to federal limits.  To grant such exemptions, exchanges must require traders to file an application to show whether the requested </w:t>
      </w:r>
      <w:r w:rsidRPr="009806FE" w:rsidR="000C6972">
        <w:rPr>
          <w:rFonts w:eastAsia="Calibri" w:cs="Times New Roman"/>
          <w:szCs w:val="24"/>
        </w:rPr>
        <w:t xml:space="preserve">exemption from exchange-set limits would be in accord with sound commercial practices in the relevant commodity derivative market and/or </w:t>
      </w:r>
      <w:r w:rsidRPr="009806FE" w:rsidR="000C6972">
        <w:rPr>
          <w:rFonts w:eastAsia="Calibri" w:cs="Times New Roman"/>
          <w:szCs w:val="24"/>
        </w:rPr>
        <w:t>that</w:t>
      </w:r>
      <w:r w:rsidRPr="009806FE" w:rsidR="000C6972">
        <w:rPr>
          <w:rFonts w:eastAsia="Calibri" w:cs="Times New Roman"/>
          <w:szCs w:val="24"/>
        </w:rPr>
        <w:t xml:space="preserve"> may be established and liquidated in an orderly fashion in that market.</w:t>
      </w:r>
      <w:r w:rsidRPr="009806FE" w:rsidR="000C6972">
        <w:rPr>
          <w:rFonts w:eastAsia="Calibri" w:cs="Times New Roman"/>
          <w:bCs/>
          <w:szCs w:val="24"/>
        </w:rPr>
        <w:t xml:space="preserve"> </w:t>
      </w:r>
      <w:r w:rsidRPr="009806FE" w:rsidR="00676042">
        <w:rPr>
          <w:rFonts w:eastAsia="Calibri" w:cs="Times New Roman"/>
          <w:bCs/>
          <w:szCs w:val="24"/>
        </w:rPr>
        <w:t xml:space="preserve"> </w:t>
      </w:r>
      <w:r w:rsidRPr="009806FE" w:rsidR="000C6972">
        <w:rPr>
          <w:rFonts w:eastAsia="Calibri" w:cs="Times New Roman"/>
          <w:bCs/>
          <w:szCs w:val="24"/>
        </w:rPr>
        <w:t xml:space="preserve">The Commission estimates that </w:t>
      </w:r>
      <w:r w:rsidRPr="009806FE" w:rsidR="00B670C7">
        <w:rPr>
          <w:rFonts w:eastAsia="Calibri" w:cs="Times New Roman"/>
          <w:bCs/>
          <w:szCs w:val="24"/>
        </w:rPr>
        <w:t>170</w:t>
      </w:r>
      <w:r w:rsidRPr="009806FE" w:rsidR="000C6972">
        <w:rPr>
          <w:rFonts w:eastAsia="Calibri" w:cs="Times New Roman"/>
          <w:bCs/>
          <w:szCs w:val="24"/>
        </w:rPr>
        <w:t xml:space="preserve"> traders </w:t>
      </w:r>
      <w:r w:rsidRPr="009806FE">
        <w:rPr>
          <w:rFonts w:eastAsia="Calibri" w:cs="Times New Roman"/>
          <w:bCs/>
          <w:szCs w:val="24"/>
        </w:rPr>
        <w:t xml:space="preserve">will </w:t>
      </w:r>
      <w:r w:rsidRPr="009806FE" w:rsidR="000C6972">
        <w:rPr>
          <w:rFonts w:eastAsia="Calibri" w:cs="Times New Roman"/>
          <w:bCs/>
          <w:szCs w:val="24"/>
        </w:rPr>
        <w:t xml:space="preserve">submit </w:t>
      </w:r>
      <w:r w:rsidR="004C2718">
        <w:rPr>
          <w:rFonts w:eastAsia="Calibri" w:cs="Times New Roman"/>
          <w:bCs/>
          <w:szCs w:val="24"/>
        </w:rPr>
        <w:t>two</w:t>
      </w:r>
      <w:r w:rsidRPr="009806FE" w:rsidR="00B670C7">
        <w:rPr>
          <w:rFonts w:eastAsia="Calibri" w:cs="Times New Roman"/>
          <w:bCs/>
          <w:szCs w:val="24"/>
        </w:rPr>
        <w:t xml:space="preserve"> </w:t>
      </w:r>
      <w:r w:rsidRPr="009806FE" w:rsidR="000C6972">
        <w:rPr>
          <w:rFonts w:eastAsia="Calibri" w:cs="Times New Roman"/>
          <w:bCs/>
          <w:szCs w:val="24"/>
        </w:rPr>
        <w:t>application</w:t>
      </w:r>
      <w:r w:rsidRPr="009806FE" w:rsidR="00B670C7">
        <w:rPr>
          <w:rFonts w:eastAsia="Calibri" w:cs="Times New Roman"/>
          <w:bCs/>
          <w:szCs w:val="24"/>
        </w:rPr>
        <w:t>s</w:t>
      </w:r>
      <w:r w:rsidRPr="009806FE" w:rsidR="000C6972">
        <w:rPr>
          <w:rFonts w:eastAsia="Calibri" w:cs="Times New Roman"/>
          <w:bCs/>
          <w:szCs w:val="24"/>
        </w:rPr>
        <w:t xml:space="preserve"> each year and that each application w</w:t>
      </w:r>
      <w:r w:rsidRPr="009806FE">
        <w:rPr>
          <w:rFonts w:eastAsia="Calibri" w:cs="Times New Roman"/>
          <w:bCs/>
          <w:szCs w:val="24"/>
        </w:rPr>
        <w:t>ill</w:t>
      </w:r>
      <w:r w:rsidRPr="009806FE" w:rsidR="000C6972">
        <w:rPr>
          <w:rFonts w:eastAsia="Calibri" w:cs="Times New Roman"/>
          <w:bCs/>
          <w:szCs w:val="24"/>
        </w:rPr>
        <w:t xml:space="preserve"> take approximately two hours to complete, for an aggregate total of </w:t>
      </w:r>
      <w:r w:rsidRPr="009806FE" w:rsidR="00B670C7">
        <w:rPr>
          <w:rFonts w:eastAsia="Calibri" w:cs="Times New Roman"/>
          <w:bCs/>
          <w:szCs w:val="24"/>
        </w:rPr>
        <w:t>680</w:t>
      </w:r>
      <w:r w:rsidRPr="009806FE" w:rsidR="000C6972">
        <w:rPr>
          <w:rFonts w:eastAsia="Calibri" w:cs="Times New Roman"/>
          <w:bCs/>
          <w:szCs w:val="24"/>
        </w:rPr>
        <w:t xml:space="preserve"> burden hours per year for all traders</w:t>
      </w:r>
      <w:r w:rsidRPr="009806FE" w:rsidR="00A26538">
        <w:rPr>
          <w:rFonts w:eastAsia="Calibri" w:cs="Times New Roman"/>
          <w:bCs/>
          <w:szCs w:val="24"/>
        </w:rPr>
        <w:t xml:space="preserve"> (170 traders </w:t>
      </w:r>
      <w:r w:rsidR="0023393A">
        <w:rPr>
          <w:rFonts w:eastAsia="Calibri" w:cs="Times New Roman"/>
          <w:bCs/>
          <w:szCs w:val="24"/>
        </w:rPr>
        <w:t>×</w:t>
      </w:r>
      <w:r w:rsidRPr="00984043" w:rsidR="00A26538">
        <w:rPr>
          <w:rFonts w:eastAsia="Calibri" w:cs="Times New Roman"/>
          <w:bCs/>
          <w:szCs w:val="24"/>
        </w:rPr>
        <w:t xml:space="preserve"> 2 applications </w:t>
      </w:r>
      <w:r w:rsidR="0023393A">
        <w:rPr>
          <w:rFonts w:eastAsia="Calibri" w:cs="Times New Roman"/>
          <w:bCs/>
          <w:szCs w:val="24"/>
        </w:rPr>
        <w:t>×</w:t>
      </w:r>
      <w:r w:rsidRPr="00984043" w:rsidR="00A26538">
        <w:rPr>
          <w:rFonts w:eastAsia="Calibri" w:cs="Times New Roman"/>
          <w:bCs/>
          <w:szCs w:val="24"/>
        </w:rPr>
        <w:t xml:space="preserve"> 2 hours per application = 680 total hours)</w:t>
      </w:r>
      <w:r w:rsidRPr="00984043" w:rsidR="000C6972">
        <w:rPr>
          <w:rFonts w:eastAsia="Calibri" w:cs="Times New Roman"/>
          <w:bCs/>
          <w:szCs w:val="24"/>
        </w:rPr>
        <w:t>.</w:t>
      </w:r>
      <w:r w:rsidRPr="00984043" w:rsidR="00EF119A">
        <w:rPr>
          <w:rFonts w:eastAsia="Calibri" w:cs="Times New Roman"/>
          <w:bCs/>
          <w:szCs w:val="24"/>
        </w:rPr>
        <w:t xml:space="preserve">  Assuming an estimated average burden hour cost of $</w:t>
      </w:r>
      <w:r w:rsidRPr="00984043" w:rsidR="00B670C7">
        <w:rPr>
          <w:rFonts w:eastAsia="Calibri" w:cs="Times New Roman"/>
          <w:bCs/>
          <w:szCs w:val="24"/>
        </w:rPr>
        <w:t>1</w:t>
      </w:r>
      <w:r w:rsidRPr="00984043" w:rsidR="000B73E4">
        <w:rPr>
          <w:rFonts w:eastAsia="Calibri" w:cs="Times New Roman"/>
          <w:bCs/>
          <w:szCs w:val="24"/>
        </w:rPr>
        <w:t>27</w:t>
      </w:r>
      <w:r w:rsidRPr="00984043" w:rsidR="00EF119A">
        <w:rPr>
          <w:rFonts w:eastAsia="Calibri" w:cs="Times New Roman"/>
          <w:bCs/>
          <w:szCs w:val="24"/>
        </w:rPr>
        <w:t xml:space="preserve">, the total annual burden hour cost for all </w:t>
      </w:r>
      <w:r w:rsidRPr="00984043" w:rsidR="00B670C7">
        <w:rPr>
          <w:rFonts w:eastAsia="Calibri" w:cs="Times New Roman"/>
          <w:bCs/>
          <w:szCs w:val="24"/>
        </w:rPr>
        <w:t>170</w:t>
      </w:r>
      <w:r w:rsidRPr="00984043" w:rsidR="00EF119A">
        <w:rPr>
          <w:rFonts w:eastAsia="Calibri" w:cs="Times New Roman"/>
          <w:bCs/>
          <w:szCs w:val="24"/>
        </w:rPr>
        <w:t xml:space="preserve"> respondents is approximately </w:t>
      </w:r>
      <w:r w:rsidRPr="00984043" w:rsidR="00B670C7">
        <w:rPr>
          <w:rFonts w:eastAsia="Calibri" w:cs="Times New Roman"/>
          <w:bCs/>
          <w:szCs w:val="24"/>
        </w:rPr>
        <w:t>$</w:t>
      </w:r>
      <w:r w:rsidRPr="00984043" w:rsidR="00ED4CC3">
        <w:rPr>
          <w:rFonts w:eastAsia="Calibri" w:cs="Times New Roman"/>
          <w:bCs/>
          <w:szCs w:val="24"/>
        </w:rPr>
        <w:t>86</w:t>
      </w:r>
      <w:r w:rsidRPr="00984043" w:rsidR="00B670C7">
        <w:rPr>
          <w:rFonts w:eastAsia="Calibri" w:cs="Times New Roman"/>
          <w:bCs/>
          <w:szCs w:val="24"/>
        </w:rPr>
        <w:t>,360</w:t>
      </w:r>
      <w:r w:rsidRPr="00984043" w:rsidR="00EF119A">
        <w:rPr>
          <w:rFonts w:eastAsia="Calibri" w:cs="Times New Roman"/>
          <w:bCs/>
          <w:szCs w:val="24"/>
        </w:rPr>
        <w:t>.</w:t>
      </w:r>
    </w:p>
    <w:p w:rsidR="00D30493" w:rsidRPr="00E561DD" w:rsidP="00E42D10" w14:paraId="6DA9DBAB" w14:textId="1CC1FDD7">
      <w:pPr>
        <w:pStyle w:val="ListParagraph"/>
        <w:numPr>
          <w:ilvl w:val="1"/>
          <w:numId w:val="6"/>
        </w:numPr>
        <w:spacing w:after="240"/>
        <w:contextualSpacing w:val="0"/>
        <w:jc w:val="both"/>
        <w:rPr>
          <w:rFonts w:eastAsia="Times New Roman" w:cs="Times New Roman"/>
          <w:color w:val="000000"/>
          <w:szCs w:val="24"/>
        </w:rPr>
      </w:pPr>
      <w:r w:rsidRPr="00E561DD">
        <w:rPr>
          <w:rFonts w:eastAsia="Times New Roman" w:cs="Times New Roman"/>
          <w:color w:val="000000" w:themeColor="text1"/>
          <w:szCs w:val="24"/>
          <w:u w:val="single"/>
        </w:rPr>
        <w:t>DCM Submission of Estimates of Deliverable Supply</w:t>
      </w:r>
    </w:p>
    <w:p w:rsidR="0001139B" w:rsidRPr="009806FE" w:rsidP="00E42D10" w14:paraId="7A891C0B" w14:textId="5CEF564C">
      <w:pPr>
        <w:pStyle w:val="ListParagraph"/>
        <w:spacing w:after="240"/>
        <w:ind w:left="0" w:firstLine="720"/>
        <w:contextualSpacing w:val="0"/>
        <w:jc w:val="both"/>
        <w:rPr>
          <w:rFonts w:eastAsia="Times New Roman" w:cs="Times New Roman"/>
          <w:color w:val="000000"/>
          <w:szCs w:val="24"/>
        </w:rPr>
      </w:pPr>
      <w:r w:rsidRPr="009806FE">
        <w:rPr>
          <w:rFonts w:eastAsia="Times New Roman" w:cs="Times New Roman"/>
          <w:color w:val="000000"/>
          <w:szCs w:val="24"/>
        </w:rPr>
        <w:t xml:space="preserve">Under § 150.2(f), upon request from the Commission, DCMs listing a core referenced futures contract </w:t>
      </w:r>
      <w:r w:rsidRPr="009806FE" w:rsidR="00176E7E">
        <w:rPr>
          <w:rFonts w:eastAsia="Times New Roman" w:cs="Times New Roman"/>
          <w:color w:val="000000"/>
          <w:szCs w:val="24"/>
        </w:rPr>
        <w:t>are</w:t>
      </w:r>
      <w:r w:rsidRPr="009806FE">
        <w:rPr>
          <w:rFonts w:eastAsia="Times New Roman" w:cs="Times New Roman"/>
          <w:color w:val="000000"/>
          <w:szCs w:val="24"/>
        </w:rPr>
        <w:t xml:space="preserve"> required to supply to the Commission deliverable supply estimates for each core referenced futures contract listed at that DCM. </w:t>
      </w:r>
      <w:r w:rsidRPr="009806FE" w:rsidR="00176E7E">
        <w:rPr>
          <w:rFonts w:eastAsia="Times New Roman" w:cs="Times New Roman"/>
          <w:color w:val="000000"/>
          <w:szCs w:val="24"/>
        </w:rPr>
        <w:t xml:space="preserve"> </w:t>
      </w:r>
      <w:r w:rsidRPr="009806FE">
        <w:rPr>
          <w:rFonts w:eastAsia="Times New Roman" w:cs="Times New Roman"/>
          <w:color w:val="000000"/>
          <w:szCs w:val="24"/>
        </w:rPr>
        <w:t>DCMs w</w:t>
      </w:r>
      <w:r w:rsidRPr="009806FE" w:rsidR="00176E7E">
        <w:rPr>
          <w:rFonts w:eastAsia="Times New Roman" w:cs="Times New Roman"/>
          <w:color w:val="000000"/>
          <w:szCs w:val="24"/>
        </w:rPr>
        <w:t>ill</w:t>
      </w:r>
      <w:r w:rsidRPr="009806FE">
        <w:rPr>
          <w:rFonts w:eastAsia="Times New Roman" w:cs="Times New Roman"/>
          <w:color w:val="000000"/>
          <w:szCs w:val="24"/>
        </w:rPr>
        <w:t xml:space="preserve"> only be required to submit estimates if requested to do so by the Commission on an as-needed basis. </w:t>
      </w:r>
      <w:r w:rsidRPr="009806FE" w:rsidR="00470AE5">
        <w:rPr>
          <w:rFonts w:eastAsia="Times New Roman" w:cs="Times New Roman"/>
          <w:color w:val="000000"/>
          <w:szCs w:val="24"/>
        </w:rPr>
        <w:t xml:space="preserve"> </w:t>
      </w:r>
      <w:r w:rsidRPr="009806FE">
        <w:rPr>
          <w:rFonts w:eastAsia="Times New Roman" w:cs="Times New Roman"/>
          <w:color w:val="000000"/>
          <w:szCs w:val="24"/>
        </w:rPr>
        <w:t xml:space="preserve">When submitting </w:t>
      </w:r>
      <w:r w:rsidRPr="009806FE" w:rsidR="00D5403A">
        <w:rPr>
          <w:rFonts w:eastAsia="Times New Roman" w:cs="Times New Roman"/>
          <w:color w:val="000000"/>
          <w:szCs w:val="24"/>
        </w:rPr>
        <w:t xml:space="preserve">deliverable supply </w:t>
      </w:r>
      <w:r w:rsidRPr="009806FE">
        <w:rPr>
          <w:rFonts w:eastAsia="Times New Roman" w:cs="Times New Roman"/>
          <w:color w:val="000000"/>
          <w:szCs w:val="24"/>
        </w:rPr>
        <w:t>estimates, DCMs w</w:t>
      </w:r>
      <w:r w:rsidRPr="009806FE" w:rsidR="00176E7E">
        <w:rPr>
          <w:rFonts w:eastAsia="Times New Roman" w:cs="Times New Roman"/>
          <w:color w:val="000000"/>
          <w:szCs w:val="24"/>
        </w:rPr>
        <w:t>ill</w:t>
      </w:r>
      <w:r w:rsidRPr="009806FE">
        <w:rPr>
          <w:rFonts w:eastAsia="Times New Roman" w:cs="Times New Roman"/>
          <w:color w:val="000000"/>
          <w:szCs w:val="24"/>
        </w:rPr>
        <w:t xml:space="preserve"> be required to provide a description of the methodology used to derive the estimate, as well as any statistical data supporting the estimate. Appendix C to part 38 sets forth guidance regarding estimating deliverable supply.</w:t>
      </w:r>
    </w:p>
    <w:p w:rsidR="00FB5D31" w:rsidRPr="009806FE" w:rsidP="00E42D10" w14:paraId="026826BD" w14:textId="13AD71FE">
      <w:pPr>
        <w:pStyle w:val="ListParagraph"/>
        <w:spacing w:after="240"/>
        <w:ind w:left="0" w:firstLine="720"/>
        <w:contextualSpacing w:val="0"/>
        <w:jc w:val="both"/>
        <w:rPr>
          <w:rFonts w:eastAsia="Calibri" w:cs="Times New Roman"/>
          <w:bCs/>
          <w:szCs w:val="24"/>
        </w:rPr>
      </w:pPr>
      <w:r>
        <w:rPr>
          <w:rFonts w:eastAsia="Times New Roman" w:cs="Times New Roman"/>
          <w:color w:val="000000"/>
          <w:szCs w:val="24"/>
        </w:rPr>
        <w:t>T</w:t>
      </w:r>
      <w:r w:rsidRPr="009806FE" w:rsidR="6052CEDB">
        <w:rPr>
          <w:rFonts w:eastAsia="Times New Roman" w:cs="Times New Roman"/>
          <w:color w:val="000000"/>
          <w:szCs w:val="24"/>
        </w:rPr>
        <w:t>he Commission estimates that it w</w:t>
      </w:r>
      <w:r w:rsidRPr="009806FE" w:rsidR="2E7A5E03">
        <w:rPr>
          <w:rFonts w:eastAsia="Times New Roman" w:cs="Times New Roman"/>
          <w:color w:val="000000"/>
          <w:szCs w:val="24"/>
        </w:rPr>
        <w:t>ill</w:t>
      </w:r>
      <w:r w:rsidRPr="009806FE" w:rsidR="6052CEDB">
        <w:rPr>
          <w:rFonts w:eastAsia="Times New Roman" w:cs="Times New Roman"/>
          <w:color w:val="000000"/>
          <w:szCs w:val="24"/>
        </w:rPr>
        <w:t xml:space="preserve"> request</w:t>
      </w:r>
      <w:r w:rsidRPr="009806FE" w:rsidR="005C3032">
        <w:rPr>
          <w:rFonts w:eastAsia="Times New Roman" w:cs="Times New Roman"/>
          <w:color w:val="000000"/>
          <w:szCs w:val="24"/>
        </w:rPr>
        <w:t xml:space="preserve"> a revised deliverable supply estimate report from one</w:t>
      </w:r>
      <w:r w:rsidRPr="009806FE" w:rsidR="6052CEDB">
        <w:rPr>
          <w:rFonts w:eastAsia="Times New Roman" w:cs="Times New Roman"/>
          <w:color w:val="000000"/>
          <w:szCs w:val="24"/>
        </w:rPr>
        <w:t xml:space="preserve"> DCM that lists a core referenced futures contract</w:t>
      </w:r>
      <w:r w:rsidRPr="009806FE" w:rsidR="40B83295">
        <w:rPr>
          <w:rFonts w:eastAsia="Times New Roman" w:cs="Times New Roman"/>
          <w:color w:val="000000"/>
          <w:szCs w:val="24"/>
        </w:rPr>
        <w:t>.</w:t>
      </w:r>
      <w:r w:rsidRPr="009806FE" w:rsidR="6891262E">
        <w:rPr>
          <w:rFonts w:eastAsia="Calibri" w:cs="Times New Roman"/>
          <w:szCs w:val="24"/>
        </w:rPr>
        <w:t xml:space="preserve">  The Commission further estimates that it will take </w:t>
      </w:r>
      <w:r w:rsidRPr="009806FE" w:rsidR="00773483">
        <w:rPr>
          <w:rFonts w:eastAsia="Calibri" w:cs="Times New Roman"/>
          <w:szCs w:val="24"/>
        </w:rPr>
        <w:t>10</w:t>
      </w:r>
      <w:r w:rsidRPr="009806FE" w:rsidR="6891262E">
        <w:rPr>
          <w:rFonts w:eastAsia="Calibri" w:cs="Times New Roman"/>
          <w:szCs w:val="24"/>
        </w:rPr>
        <w:t xml:space="preserve"> hours to complete and file </w:t>
      </w:r>
      <w:r w:rsidRPr="009806FE" w:rsidR="005C3032">
        <w:rPr>
          <w:rFonts w:eastAsia="Calibri" w:cs="Times New Roman"/>
          <w:szCs w:val="24"/>
        </w:rPr>
        <w:t xml:space="preserve">the </w:t>
      </w:r>
      <w:r w:rsidRPr="009806FE" w:rsidR="6891262E">
        <w:rPr>
          <w:rFonts w:eastAsia="Calibri" w:cs="Times New Roman"/>
          <w:szCs w:val="24"/>
        </w:rPr>
        <w:t xml:space="preserve">report for a total annual burden of </w:t>
      </w:r>
      <w:r w:rsidRPr="009806FE" w:rsidR="00773483">
        <w:rPr>
          <w:rFonts w:eastAsia="Calibri" w:cs="Times New Roman"/>
          <w:szCs w:val="24"/>
        </w:rPr>
        <w:t>1</w:t>
      </w:r>
      <w:r w:rsidRPr="009806FE" w:rsidR="005C3032">
        <w:rPr>
          <w:rFonts w:eastAsia="Calibri" w:cs="Times New Roman"/>
          <w:szCs w:val="24"/>
        </w:rPr>
        <w:t xml:space="preserve">0 </w:t>
      </w:r>
      <w:r w:rsidRPr="009806FE" w:rsidR="6891262E">
        <w:rPr>
          <w:rFonts w:eastAsia="Calibri" w:cs="Times New Roman"/>
          <w:szCs w:val="24"/>
        </w:rPr>
        <w:t>hours for all respondents.</w:t>
      </w:r>
      <w:r>
        <w:rPr>
          <w:rFonts w:eastAsia="Calibri" w:cs="Times New Roman"/>
          <w:szCs w:val="24"/>
          <w:vertAlign w:val="superscript"/>
        </w:rPr>
        <w:footnoteReference w:id="12"/>
      </w:r>
      <w:r w:rsidRPr="009806FE" w:rsidR="6891262E">
        <w:rPr>
          <w:rFonts w:eastAsia="Calibri" w:cs="Times New Roman"/>
          <w:szCs w:val="24"/>
        </w:rPr>
        <w:t xml:space="preserve">  </w:t>
      </w:r>
      <w:r w:rsidRPr="009806FE" w:rsidR="5BAE8566">
        <w:rPr>
          <w:rFonts w:eastAsia="Calibri" w:cs="Times New Roman"/>
          <w:szCs w:val="24"/>
        </w:rPr>
        <w:t>Assuming an estimated average burden hour cost of $</w:t>
      </w:r>
      <w:r w:rsidR="006A32A2">
        <w:rPr>
          <w:rFonts w:eastAsia="Calibri" w:cs="Times New Roman"/>
          <w:szCs w:val="24"/>
        </w:rPr>
        <w:t>94</w:t>
      </w:r>
      <w:r w:rsidRPr="009806FE" w:rsidR="5BAE8566">
        <w:rPr>
          <w:rFonts w:eastAsia="Calibri" w:cs="Times New Roman"/>
          <w:szCs w:val="24"/>
        </w:rPr>
        <w:t xml:space="preserve">, the total annual burden hour cost for </w:t>
      </w:r>
      <w:r w:rsidRPr="009806FE" w:rsidR="00831768">
        <w:rPr>
          <w:rFonts w:eastAsia="Calibri" w:cs="Times New Roman"/>
          <w:szCs w:val="24"/>
        </w:rPr>
        <w:t>the one</w:t>
      </w:r>
      <w:r w:rsidRPr="009806FE" w:rsidR="5BAE8566">
        <w:rPr>
          <w:rFonts w:eastAsia="Calibri" w:cs="Times New Roman"/>
          <w:szCs w:val="24"/>
        </w:rPr>
        <w:t xml:space="preserve"> respondent is approximately $</w:t>
      </w:r>
      <w:r w:rsidR="006A32A2">
        <w:rPr>
          <w:rFonts w:eastAsia="Calibri" w:cs="Times New Roman"/>
          <w:szCs w:val="24"/>
        </w:rPr>
        <w:t>94</w:t>
      </w:r>
      <w:r w:rsidRPr="009806FE" w:rsidR="00831768">
        <w:rPr>
          <w:rFonts w:eastAsia="Calibri" w:cs="Times New Roman"/>
          <w:szCs w:val="24"/>
        </w:rPr>
        <w:t>0</w:t>
      </w:r>
      <w:r w:rsidRPr="009806FE" w:rsidR="00831768">
        <w:rPr>
          <w:rFonts w:eastAsia="Times New Roman" w:cs="Times New Roman"/>
          <w:szCs w:val="24"/>
        </w:rPr>
        <w:t xml:space="preserve"> (10 burden hours </w:t>
      </w:r>
      <w:r w:rsidR="0040128D">
        <w:rPr>
          <w:rFonts w:eastAsia="Times New Roman" w:cs="Times New Roman"/>
          <w:szCs w:val="24"/>
        </w:rPr>
        <w:t>×</w:t>
      </w:r>
      <w:r w:rsidRPr="009806FE" w:rsidR="00831768">
        <w:rPr>
          <w:rFonts w:eastAsia="Times New Roman" w:cs="Times New Roman"/>
          <w:szCs w:val="24"/>
        </w:rPr>
        <w:t xml:space="preserve"> 1 respondent </w:t>
      </w:r>
      <w:r w:rsidR="0040128D">
        <w:rPr>
          <w:rFonts w:eastAsia="Times New Roman" w:cs="Times New Roman"/>
          <w:szCs w:val="24"/>
        </w:rPr>
        <w:t>×</w:t>
      </w:r>
      <w:r w:rsidRPr="009806FE" w:rsidR="00831768">
        <w:rPr>
          <w:rFonts w:eastAsia="Times New Roman" w:cs="Times New Roman"/>
          <w:szCs w:val="24"/>
        </w:rPr>
        <w:t xml:space="preserve"> $</w:t>
      </w:r>
      <w:r w:rsidR="006A32A2">
        <w:rPr>
          <w:rFonts w:eastAsia="Times New Roman" w:cs="Times New Roman"/>
          <w:szCs w:val="24"/>
        </w:rPr>
        <w:t>94</w:t>
      </w:r>
      <w:r w:rsidRPr="009806FE" w:rsidR="00831768">
        <w:rPr>
          <w:rFonts w:eastAsia="Times New Roman" w:cs="Times New Roman"/>
          <w:szCs w:val="24"/>
        </w:rPr>
        <w:t xml:space="preserve"> per hour = $</w:t>
      </w:r>
      <w:r w:rsidR="006A32A2">
        <w:rPr>
          <w:rFonts w:eastAsia="Times New Roman" w:cs="Times New Roman"/>
          <w:szCs w:val="24"/>
        </w:rPr>
        <w:t>94</w:t>
      </w:r>
      <w:r w:rsidRPr="009806FE" w:rsidR="00831768">
        <w:rPr>
          <w:rFonts w:eastAsia="Times New Roman" w:cs="Times New Roman"/>
          <w:szCs w:val="24"/>
        </w:rPr>
        <w:t>0)</w:t>
      </w:r>
      <w:r w:rsidRPr="009806FE" w:rsidR="5BAE8566">
        <w:rPr>
          <w:rFonts w:eastAsia="Calibri" w:cs="Times New Roman"/>
          <w:szCs w:val="24"/>
        </w:rPr>
        <w:t>.</w:t>
      </w:r>
    </w:p>
    <w:p w:rsidR="00D30493" w:rsidRPr="00E561DD" w:rsidP="00E42D10" w14:paraId="2B9E4E4D" w14:textId="3C46419E">
      <w:pPr>
        <w:pStyle w:val="ListParagraph"/>
        <w:numPr>
          <w:ilvl w:val="1"/>
          <w:numId w:val="6"/>
        </w:numPr>
        <w:spacing w:after="240"/>
        <w:contextualSpacing w:val="0"/>
        <w:jc w:val="both"/>
        <w:rPr>
          <w:rFonts w:eastAsia="Times New Roman" w:cs="Times New Roman"/>
          <w:color w:val="000000"/>
          <w:szCs w:val="24"/>
        </w:rPr>
      </w:pPr>
      <w:r w:rsidRPr="00E561DD">
        <w:rPr>
          <w:rFonts w:eastAsia="Times New Roman" w:cs="Times New Roman"/>
          <w:color w:val="000000" w:themeColor="text1"/>
          <w:szCs w:val="24"/>
          <w:u w:val="single"/>
        </w:rPr>
        <w:t>Special Calls</w:t>
      </w:r>
    </w:p>
    <w:p w:rsidR="00D30493" w:rsidRPr="009806FE" w:rsidP="00E561DD" w14:paraId="5D850CD1" w14:textId="55F1499F">
      <w:pPr>
        <w:spacing w:after="240"/>
        <w:ind w:firstLine="720"/>
        <w:jc w:val="both"/>
        <w:rPr>
          <w:rFonts w:eastAsia="Times New Roman" w:cs="Times New Roman"/>
          <w:color w:val="000000"/>
          <w:szCs w:val="24"/>
        </w:rPr>
      </w:pPr>
      <w:r w:rsidRPr="009806FE">
        <w:rPr>
          <w:rFonts w:cs="Times New Roman"/>
          <w:szCs w:val="24"/>
        </w:rPr>
        <w:t xml:space="preserve">The Commission </w:t>
      </w:r>
      <w:r w:rsidRPr="009806FE" w:rsidR="00885E79">
        <w:rPr>
          <w:rFonts w:cs="Times New Roman"/>
          <w:szCs w:val="24"/>
        </w:rPr>
        <w:t xml:space="preserve">maintains its </w:t>
      </w:r>
      <w:r w:rsidRPr="009806FE">
        <w:rPr>
          <w:rFonts w:cs="Times New Roman"/>
          <w:szCs w:val="24"/>
        </w:rPr>
        <w:t>estimate that § 150.3(e) w</w:t>
      </w:r>
      <w:r w:rsidRPr="009806FE" w:rsidR="00D82D78">
        <w:rPr>
          <w:rFonts w:cs="Times New Roman"/>
          <w:szCs w:val="24"/>
        </w:rPr>
        <w:t>ill</w:t>
      </w:r>
      <w:r w:rsidRPr="009806FE">
        <w:rPr>
          <w:rFonts w:cs="Times New Roman"/>
          <w:szCs w:val="24"/>
        </w:rPr>
        <w:t xml:space="preserve"> impose information collection burdens related to special calls by the Commission on approximately </w:t>
      </w:r>
      <w:r w:rsidRPr="009806FE" w:rsidR="00885E79">
        <w:rPr>
          <w:rFonts w:cs="Times New Roman"/>
          <w:szCs w:val="24"/>
        </w:rPr>
        <w:t>20</w:t>
      </w:r>
      <w:r w:rsidRPr="009806FE">
        <w:rPr>
          <w:rFonts w:cs="Times New Roman"/>
          <w:szCs w:val="24"/>
        </w:rPr>
        <w:t xml:space="preserve"> respondents, for an estimated 20 special calls per year.</w:t>
      </w:r>
      <w:r w:rsidRPr="009806FE" w:rsidR="004D1C2B">
        <w:rPr>
          <w:rFonts w:cs="Times New Roman"/>
          <w:szCs w:val="24"/>
        </w:rPr>
        <w:t xml:space="preserve"> </w:t>
      </w:r>
      <w:r w:rsidRPr="009806FE">
        <w:rPr>
          <w:rFonts w:cs="Times New Roman"/>
          <w:szCs w:val="24"/>
        </w:rPr>
        <w:t xml:space="preserve"> The Commission estimates that these 20 market participants w</w:t>
      </w:r>
      <w:r w:rsidRPr="009806FE" w:rsidR="00D82D78">
        <w:rPr>
          <w:rFonts w:cs="Times New Roman"/>
          <w:szCs w:val="24"/>
        </w:rPr>
        <w:t>ill</w:t>
      </w:r>
      <w:r w:rsidRPr="009806FE">
        <w:rPr>
          <w:rFonts w:cs="Times New Roman"/>
          <w:szCs w:val="24"/>
        </w:rPr>
        <w:t xml:space="preserve"> provide one submission per year to respond to the special call for a total of 20 annual submissions for all respondents. The Commission estimates it w</w:t>
      </w:r>
      <w:r w:rsidRPr="009806FE" w:rsidR="00D82D78">
        <w:rPr>
          <w:rFonts w:cs="Times New Roman"/>
          <w:szCs w:val="24"/>
        </w:rPr>
        <w:t>ill</w:t>
      </w:r>
      <w:r w:rsidRPr="009806FE">
        <w:rPr>
          <w:rFonts w:cs="Times New Roman"/>
          <w:szCs w:val="24"/>
        </w:rPr>
        <w:t xml:space="preserve"> take a market participant approximately 10 hours to complete a response to a special call. </w:t>
      </w:r>
      <w:r w:rsidRPr="009806FE" w:rsidR="004D1C2B">
        <w:rPr>
          <w:rFonts w:cs="Times New Roman"/>
          <w:szCs w:val="24"/>
        </w:rPr>
        <w:t xml:space="preserve"> </w:t>
      </w:r>
      <w:r w:rsidRPr="009806FE">
        <w:rPr>
          <w:rFonts w:cs="Times New Roman"/>
          <w:szCs w:val="24"/>
        </w:rPr>
        <w:t>Therefore, the Commission estimates responses to special calls for information will take an aggregate total of 200 burden hours for all traders.</w:t>
      </w:r>
      <w:r w:rsidRPr="009806FE" w:rsidR="008B22F2">
        <w:rPr>
          <w:rFonts w:cs="Times New Roman"/>
          <w:szCs w:val="24"/>
        </w:rPr>
        <w:t xml:space="preserve">  Assuming an estimated average burden hour cost of $</w:t>
      </w:r>
      <w:r w:rsidRPr="008131D6" w:rsidR="00885E79">
        <w:rPr>
          <w:rFonts w:cs="Times New Roman"/>
          <w:szCs w:val="24"/>
        </w:rPr>
        <w:t>1</w:t>
      </w:r>
      <w:r w:rsidRPr="008131D6" w:rsidR="00202EB2">
        <w:rPr>
          <w:rFonts w:cs="Times New Roman"/>
          <w:szCs w:val="24"/>
        </w:rPr>
        <w:t>27</w:t>
      </w:r>
      <w:r w:rsidRPr="008131D6" w:rsidR="008B22F2">
        <w:rPr>
          <w:rFonts w:cs="Times New Roman"/>
          <w:szCs w:val="24"/>
        </w:rPr>
        <w:t>,</w:t>
      </w:r>
      <w:r w:rsidRPr="009806FE" w:rsidR="008B22F2">
        <w:rPr>
          <w:rFonts w:cs="Times New Roman"/>
          <w:szCs w:val="24"/>
        </w:rPr>
        <w:t xml:space="preserve"> the total annual burden hour cost for all 20 respondents is approximately $</w:t>
      </w:r>
      <w:r w:rsidRPr="009806FE" w:rsidR="00885E79">
        <w:rPr>
          <w:rFonts w:cs="Times New Roman"/>
          <w:szCs w:val="24"/>
        </w:rPr>
        <w:t>2</w:t>
      </w:r>
      <w:r w:rsidR="008131D6">
        <w:rPr>
          <w:rFonts w:cs="Times New Roman"/>
          <w:szCs w:val="24"/>
        </w:rPr>
        <w:t>5</w:t>
      </w:r>
      <w:r w:rsidRPr="009806FE" w:rsidR="008B22F2">
        <w:rPr>
          <w:rFonts w:cs="Times New Roman"/>
          <w:szCs w:val="24"/>
        </w:rPr>
        <w:t>,</w:t>
      </w:r>
      <w:r w:rsidRPr="009806FE" w:rsidR="008629B2">
        <w:rPr>
          <w:rFonts w:cs="Times New Roman"/>
          <w:szCs w:val="24"/>
        </w:rPr>
        <w:t>4</w:t>
      </w:r>
      <w:r w:rsidRPr="009806FE" w:rsidR="008B22F2">
        <w:rPr>
          <w:rFonts w:cs="Times New Roman"/>
          <w:szCs w:val="24"/>
        </w:rPr>
        <w:t>00.</w:t>
      </w:r>
    </w:p>
    <w:p w:rsidR="00D30493" w:rsidRPr="00E561DD" w:rsidP="00E42D10" w14:paraId="27AA50AF" w14:textId="053CB00B">
      <w:pPr>
        <w:pStyle w:val="ListParagraph"/>
        <w:numPr>
          <w:ilvl w:val="1"/>
          <w:numId w:val="6"/>
        </w:numPr>
        <w:spacing w:after="240"/>
        <w:contextualSpacing w:val="0"/>
        <w:jc w:val="both"/>
        <w:rPr>
          <w:rFonts w:eastAsia="Times New Roman" w:cs="Times New Roman"/>
          <w:color w:val="000000"/>
          <w:szCs w:val="24"/>
        </w:rPr>
      </w:pPr>
      <w:r w:rsidRPr="00E561DD">
        <w:rPr>
          <w:rFonts w:eastAsia="Times New Roman" w:cs="Times New Roman"/>
          <w:color w:val="000000" w:themeColor="text1"/>
          <w:szCs w:val="24"/>
          <w:u w:val="single"/>
        </w:rPr>
        <w:t>Other Burdens</w:t>
      </w:r>
    </w:p>
    <w:p w:rsidR="00737D9F" w:rsidRPr="009806FE" w:rsidP="00E42D10" w14:paraId="51CAA627" w14:textId="7FFAE7F9">
      <w:pPr>
        <w:spacing w:after="240"/>
        <w:ind w:firstLine="720"/>
        <w:jc w:val="both"/>
        <w:rPr>
          <w:rFonts w:eastAsia="Calibri" w:cs="Times New Roman"/>
          <w:szCs w:val="24"/>
        </w:rPr>
      </w:pPr>
      <w:r w:rsidRPr="009806FE">
        <w:rPr>
          <w:rFonts w:eastAsia="Calibri" w:cs="Times New Roman"/>
          <w:szCs w:val="24"/>
        </w:rPr>
        <w:t>Regulation</w:t>
      </w:r>
      <w:r w:rsidRPr="009806FE" w:rsidR="6891262E">
        <w:rPr>
          <w:rFonts w:eastAsia="Calibri" w:cs="Times New Roman"/>
          <w:szCs w:val="24"/>
        </w:rPr>
        <w:t xml:space="preserve"> 150.3(d) establishes recordkeeping requirements for persons who claim any exemptions or relief under § 150.3.  First, under § 150.3(d)(1), any person claiming an exemption </w:t>
      </w:r>
      <w:r w:rsidRPr="009806FE" w:rsidR="4B28B266">
        <w:rPr>
          <w:rFonts w:eastAsia="Calibri" w:cs="Times New Roman"/>
          <w:szCs w:val="24"/>
        </w:rPr>
        <w:t>is</w:t>
      </w:r>
      <w:r w:rsidRPr="009806FE" w:rsidR="6891262E">
        <w:rPr>
          <w:rFonts w:eastAsia="Calibri" w:cs="Times New Roman"/>
          <w:szCs w:val="24"/>
        </w:rPr>
        <w:t xml:space="preserve"> required to keep and maintain complete books and records concerning certain details.</w:t>
      </w:r>
      <w:r>
        <w:rPr>
          <w:rFonts w:eastAsia="Calibri" w:cs="Times New Roman"/>
          <w:szCs w:val="24"/>
          <w:vertAlign w:val="superscript"/>
        </w:rPr>
        <w:footnoteReference w:id="13"/>
      </w:r>
      <w:r w:rsidRPr="009806FE" w:rsidR="6891262E">
        <w:rPr>
          <w:rFonts w:eastAsia="Calibri" w:cs="Times New Roman"/>
          <w:szCs w:val="24"/>
        </w:rPr>
        <w:t xml:space="preserve">  </w:t>
      </w:r>
      <w:r w:rsidRPr="009806FE" w:rsidR="2DFE2674">
        <w:rPr>
          <w:rFonts w:eastAsia="Calibri" w:cs="Times New Roman"/>
          <w:szCs w:val="24"/>
        </w:rPr>
        <w:t>Regulation</w:t>
      </w:r>
      <w:r w:rsidRPr="009806FE" w:rsidR="6891262E">
        <w:rPr>
          <w:rFonts w:eastAsia="Calibri" w:cs="Times New Roman"/>
          <w:szCs w:val="24"/>
        </w:rPr>
        <w:t xml:space="preserve"> 150.3(d)(1) establish</w:t>
      </w:r>
      <w:r w:rsidRPr="009806FE" w:rsidR="6669BED8">
        <w:rPr>
          <w:rFonts w:eastAsia="Calibri" w:cs="Times New Roman"/>
          <w:szCs w:val="24"/>
        </w:rPr>
        <w:t>es</w:t>
      </w:r>
      <w:r w:rsidRPr="009806FE" w:rsidR="6891262E">
        <w:rPr>
          <w:rFonts w:eastAsia="Calibri" w:cs="Times New Roman"/>
          <w:szCs w:val="24"/>
        </w:rPr>
        <w:t xml:space="preserve"> recordkeeping requirements for any person relying on an exemption</w:t>
      </w:r>
      <w:r w:rsidR="002873F4">
        <w:rPr>
          <w:rFonts w:eastAsia="Calibri" w:cs="Times New Roman"/>
          <w:szCs w:val="24"/>
        </w:rPr>
        <w:t>, whether “self-effectuating”</w:t>
      </w:r>
      <w:r w:rsidR="00EE5138">
        <w:rPr>
          <w:rFonts w:eastAsia="Calibri" w:cs="Times New Roman"/>
          <w:szCs w:val="24"/>
        </w:rPr>
        <w:t xml:space="preserve"> under </w:t>
      </w:r>
      <w:r w:rsidRPr="009806FE" w:rsidR="00EE5138">
        <w:rPr>
          <w:rFonts w:eastAsia="Calibri" w:cs="Times New Roman"/>
          <w:szCs w:val="24"/>
        </w:rPr>
        <w:t>§§</w:t>
      </w:r>
      <w:r w:rsidR="00EE5138">
        <w:rPr>
          <w:rFonts w:eastAsia="Calibri" w:cs="Times New Roman"/>
          <w:szCs w:val="24"/>
        </w:rPr>
        <w:t xml:space="preserve"> 150.3(a)</w:t>
      </w:r>
      <w:r w:rsidR="002873F4">
        <w:rPr>
          <w:rFonts w:eastAsia="Calibri" w:cs="Times New Roman"/>
          <w:szCs w:val="24"/>
        </w:rPr>
        <w:t xml:space="preserve"> </w:t>
      </w:r>
      <w:r w:rsidR="00EE5138">
        <w:rPr>
          <w:rFonts w:eastAsia="Calibri" w:cs="Times New Roman"/>
          <w:szCs w:val="24"/>
        </w:rPr>
        <w:t>or</w:t>
      </w:r>
      <w:r w:rsidRPr="009806FE" w:rsidR="6891262E">
        <w:rPr>
          <w:rFonts w:eastAsia="Calibri" w:cs="Times New Roman"/>
          <w:szCs w:val="24"/>
        </w:rPr>
        <w:t xml:space="preserve"> granted directly from the Commission</w:t>
      </w:r>
      <w:r w:rsidRPr="009806FE" w:rsidR="4B28B266">
        <w:rPr>
          <w:rFonts w:eastAsia="Calibri" w:cs="Times New Roman"/>
          <w:szCs w:val="24"/>
        </w:rPr>
        <w:t xml:space="preserve"> under § 150.3(</w:t>
      </w:r>
      <w:r w:rsidR="00EE5138">
        <w:rPr>
          <w:rFonts w:eastAsia="Calibri" w:cs="Times New Roman"/>
          <w:szCs w:val="24"/>
        </w:rPr>
        <w:t>b</w:t>
      </w:r>
      <w:r w:rsidRPr="009806FE" w:rsidR="4B28B266">
        <w:rPr>
          <w:rFonts w:eastAsia="Calibri" w:cs="Times New Roman"/>
          <w:szCs w:val="24"/>
        </w:rPr>
        <w:t>)</w:t>
      </w:r>
      <w:r w:rsidRPr="009806FE" w:rsidR="6891262E">
        <w:rPr>
          <w:rFonts w:eastAsia="Calibri" w:cs="Times New Roman"/>
          <w:szCs w:val="24"/>
        </w:rPr>
        <w:t xml:space="preserve">.  </w:t>
      </w:r>
      <w:r w:rsidRPr="009806FE" w:rsidR="00D74542">
        <w:rPr>
          <w:rFonts w:eastAsia="Calibri" w:cs="Times New Roman"/>
          <w:szCs w:val="24"/>
        </w:rPr>
        <w:t>Based on its observation since the issuance of the Final Rule, t</w:t>
      </w:r>
      <w:r w:rsidRPr="009806FE" w:rsidR="6891262E">
        <w:rPr>
          <w:rFonts w:eastAsia="Calibri" w:cs="Times New Roman"/>
          <w:szCs w:val="24"/>
        </w:rPr>
        <w:t xml:space="preserve">he Commission estimates that </w:t>
      </w:r>
      <w:r w:rsidRPr="009806FE" w:rsidR="00D74542">
        <w:rPr>
          <w:rFonts w:eastAsia="Calibri" w:cs="Times New Roman"/>
          <w:szCs w:val="24"/>
        </w:rPr>
        <w:t>300</w:t>
      </w:r>
      <w:r w:rsidRPr="009806FE" w:rsidR="798E32D4">
        <w:rPr>
          <w:rFonts w:eastAsia="Calibri" w:cs="Times New Roman"/>
          <w:szCs w:val="24"/>
        </w:rPr>
        <w:t xml:space="preserve"> </w:t>
      </w:r>
      <w:r w:rsidRPr="009806FE" w:rsidR="6891262E">
        <w:rPr>
          <w:rFonts w:eastAsia="Calibri" w:cs="Times New Roman"/>
          <w:szCs w:val="24"/>
        </w:rPr>
        <w:t>trader</w:t>
      </w:r>
      <w:r w:rsidRPr="009806FE" w:rsidR="0F437EBE">
        <w:rPr>
          <w:rFonts w:eastAsia="Calibri" w:cs="Times New Roman"/>
          <w:szCs w:val="24"/>
        </w:rPr>
        <w:t>s</w:t>
      </w:r>
      <w:r w:rsidRPr="009806FE" w:rsidR="6891262E">
        <w:rPr>
          <w:rFonts w:eastAsia="Calibri" w:cs="Times New Roman"/>
          <w:szCs w:val="24"/>
        </w:rPr>
        <w:t xml:space="preserve"> w</w:t>
      </w:r>
      <w:r w:rsidRPr="009806FE" w:rsidR="6669BED8">
        <w:rPr>
          <w:rFonts w:eastAsia="Calibri" w:cs="Times New Roman"/>
          <w:szCs w:val="24"/>
        </w:rPr>
        <w:t>ill</w:t>
      </w:r>
      <w:r w:rsidRPr="009806FE" w:rsidR="6891262E">
        <w:rPr>
          <w:rFonts w:eastAsia="Calibri" w:cs="Times New Roman"/>
          <w:szCs w:val="24"/>
        </w:rPr>
        <w:t xml:space="preserve"> create</w:t>
      </w:r>
      <w:r w:rsidRPr="009806FE" w:rsidR="100E1C23">
        <w:rPr>
          <w:rFonts w:eastAsia="Calibri" w:cs="Times New Roman"/>
          <w:szCs w:val="24"/>
        </w:rPr>
        <w:t xml:space="preserve"> </w:t>
      </w:r>
      <w:r w:rsidRPr="009806FE" w:rsidR="00D74542">
        <w:rPr>
          <w:rFonts w:eastAsia="Calibri" w:cs="Times New Roman"/>
          <w:szCs w:val="24"/>
        </w:rPr>
        <w:t xml:space="preserve">3 </w:t>
      </w:r>
      <w:r w:rsidRPr="009806FE" w:rsidR="6891262E">
        <w:rPr>
          <w:rFonts w:eastAsia="Calibri" w:cs="Times New Roman"/>
          <w:szCs w:val="24"/>
        </w:rPr>
        <w:t>record</w:t>
      </w:r>
      <w:r w:rsidRPr="009806FE" w:rsidR="100E1C23">
        <w:rPr>
          <w:rFonts w:eastAsia="Calibri" w:cs="Times New Roman"/>
          <w:szCs w:val="24"/>
        </w:rPr>
        <w:t>s</w:t>
      </w:r>
      <w:r w:rsidRPr="009806FE" w:rsidR="6891262E">
        <w:rPr>
          <w:rFonts w:eastAsia="Calibri" w:cs="Times New Roman"/>
          <w:szCs w:val="24"/>
        </w:rPr>
        <w:t xml:space="preserve"> </w:t>
      </w:r>
      <w:r w:rsidRPr="009806FE" w:rsidR="100E1C23">
        <w:rPr>
          <w:rFonts w:eastAsia="Calibri" w:cs="Times New Roman"/>
          <w:szCs w:val="24"/>
        </w:rPr>
        <w:t xml:space="preserve">each </w:t>
      </w:r>
      <w:r w:rsidRPr="009806FE" w:rsidR="6891262E">
        <w:rPr>
          <w:rFonts w:eastAsia="Calibri" w:cs="Times New Roman"/>
          <w:szCs w:val="24"/>
        </w:rPr>
        <w:t xml:space="preserve">for a total of </w:t>
      </w:r>
      <w:r w:rsidRPr="009806FE" w:rsidR="00D74542">
        <w:rPr>
          <w:rFonts w:eastAsia="Calibri" w:cs="Times New Roman"/>
          <w:szCs w:val="24"/>
        </w:rPr>
        <w:t>900</w:t>
      </w:r>
      <w:r w:rsidRPr="009806FE" w:rsidR="100E1C23">
        <w:rPr>
          <w:rFonts w:eastAsia="Calibri" w:cs="Times New Roman"/>
          <w:szCs w:val="24"/>
        </w:rPr>
        <w:t xml:space="preserve"> </w:t>
      </w:r>
      <w:r w:rsidRPr="009806FE" w:rsidR="6891262E">
        <w:rPr>
          <w:rFonts w:eastAsia="Calibri" w:cs="Times New Roman"/>
          <w:szCs w:val="24"/>
        </w:rPr>
        <w:t>annual record</w:t>
      </w:r>
      <w:r w:rsidRPr="009806FE" w:rsidR="100E1C23">
        <w:rPr>
          <w:rFonts w:eastAsia="Calibri" w:cs="Times New Roman"/>
          <w:szCs w:val="24"/>
        </w:rPr>
        <w:t>s</w:t>
      </w:r>
      <w:r w:rsidRPr="009806FE" w:rsidR="6891262E">
        <w:rPr>
          <w:rFonts w:eastAsia="Calibri" w:cs="Times New Roman"/>
          <w:szCs w:val="24"/>
        </w:rPr>
        <w:t xml:space="preserve"> for all respondents.</w:t>
      </w:r>
      <w:r>
        <w:rPr>
          <w:rStyle w:val="FootnoteReference"/>
          <w:rFonts w:eastAsia="Calibri" w:cs="Times New Roman"/>
          <w:szCs w:val="24"/>
        </w:rPr>
        <w:footnoteReference w:id="14"/>
      </w:r>
      <w:r w:rsidRPr="009806FE" w:rsidR="6891262E">
        <w:rPr>
          <w:rFonts w:eastAsia="Calibri" w:cs="Times New Roman"/>
          <w:szCs w:val="24"/>
        </w:rPr>
        <w:t xml:space="preserve">  The Commission further estimates that it will take one hour to comply with the recordkeeping requirement of § 150.3(d)(1) for a total of </w:t>
      </w:r>
      <w:r w:rsidRPr="009806FE" w:rsidR="00D74542">
        <w:rPr>
          <w:rFonts w:eastAsia="Calibri" w:cs="Times New Roman"/>
          <w:szCs w:val="24"/>
        </w:rPr>
        <w:t xml:space="preserve">three </w:t>
      </w:r>
      <w:r w:rsidRPr="009806FE" w:rsidR="6891262E">
        <w:rPr>
          <w:rFonts w:eastAsia="Calibri" w:cs="Times New Roman"/>
          <w:szCs w:val="24"/>
        </w:rPr>
        <w:t>aggregate annual burden hour</w:t>
      </w:r>
      <w:r w:rsidRPr="009806FE" w:rsidR="00D74542">
        <w:rPr>
          <w:rFonts w:eastAsia="Calibri" w:cs="Times New Roman"/>
          <w:szCs w:val="24"/>
        </w:rPr>
        <w:t>s</w:t>
      </w:r>
      <w:r w:rsidRPr="009806FE" w:rsidR="6891262E">
        <w:rPr>
          <w:rFonts w:eastAsia="Calibri" w:cs="Times New Roman"/>
          <w:szCs w:val="24"/>
        </w:rPr>
        <w:t xml:space="preserve"> </w:t>
      </w:r>
      <w:r w:rsidRPr="009806FE" w:rsidR="00D74542">
        <w:rPr>
          <w:rFonts w:eastAsia="Calibri" w:cs="Times New Roman"/>
          <w:szCs w:val="24"/>
        </w:rPr>
        <w:t>per</w:t>
      </w:r>
      <w:r w:rsidRPr="009806FE" w:rsidR="6891262E">
        <w:rPr>
          <w:rFonts w:eastAsia="Calibri" w:cs="Times New Roman"/>
          <w:szCs w:val="24"/>
        </w:rPr>
        <w:t xml:space="preserve"> trader</w:t>
      </w:r>
      <w:r w:rsidRPr="009806FE" w:rsidR="009323AE">
        <w:rPr>
          <w:rFonts w:eastAsia="Calibri" w:cs="Times New Roman"/>
          <w:szCs w:val="24"/>
        </w:rPr>
        <w:t xml:space="preserve"> and a total of 900 burde</w:t>
      </w:r>
      <w:r w:rsidRPr="009806FE" w:rsidR="00052CC1">
        <w:rPr>
          <w:rFonts w:eastAsia="Calibri" w:cs="Times New Roman"/>
          <w:szCs w:val="24"/>
        </w:rPr>
        <w:t>n</w:t>
      </w:r>
      <w:r w:rsidRPr="009806FE" w:rsidR="009323AE">
        <w:rPr>
          <w:rFonts w:eastAsia="Calibri" w:cs="Times New Roman"/>
          <w:szCs w:val="24"/>
        </w:rPr>
        <w:t xml:space="preserve"> hours for all traders</w:t>
      </w:r>
      <w:r w:rsidRPr="009806FE" w:rsidR="6891262E">
        <w:rPr>
          <w:rFonts w:eastAsia="Calibri" w:cs="Times New Roman"/>
          <w:szCs w:val="24"/>
        </w:rPr>
        <w:t>.</w:t>
      </w:r>
      <w:r w:rsidRPr="009806FE" w:rsidR="5BAE8566">
        <w:rPr>
          <w:rFonts w:eastAsia="Calibri" w:cs="Times New Roman"/>
          <w:szCs w:val="24"/>
        </w:rPr>
        <w:t xml:space="preserve">  </w:t>
      </w:r>
      <w:r w:rsidRPr="009806FE" w:rsidR="3A8EA942">
        <w:rPr>
          <w:rFonts w:eastAsia="Calibri" w:cs="Times New Roman"/>
          <w:szCs w:val="24"/>
        </w:rPr>
        <w:t>Assuming an estimated average burden hour cost of $</w:t>
      </w:r>
      <w:r w:rsidR="008131D6">
        <w:rPr>
          <w:rFonts w:eastAsia="Calibri" w:cs="Times New Roman"/>
          <w:szCs w:val="24"/>
        </w:rPr>
        <w:t>94</w:t>
      </w:r>
      <w:r w:rsidRPr="009806FE" w:rsidR="3A8EA942">
        <w:rPr>
          <w:rFonts w:eastAsia="Calibri" w:cs="Times New Roman"/>
          <w:szCs w:val="24"/>
        </w:rPr>
        <w:t>, the total annual burden hour cost for all</w:t>
      </w:r>
      <w:r w:rsidRPr="009806FE" w:rsidR="0F437EBE">
        <w:rPr>
          <w:rFonts w:eastAsia="Calibri" w:cs="Times New Roman"/>
          <w:szCs w:val="24"/>
        </w:rPr>
        <w:t xml:space="preserve"> </w:t>
      </w:r>
      <w:r w:rsidRPr="009806FE" w:rsidR="3A8EA942">
        <w:rPr>
          <w:rFonts w:eastAsia="Calibri" w:cs="Times New Roman"/>
          <w:szCs w:val="24"/>
        </w:rPr>
        <w:t>record</w:t>
      </w:r>
      <w:r w:rsidRPr="009806FE" w:rsidR="6669BED8">
        <w:rPr>
          <w:rFonts w:eastAsia="Calibri" w:cs="Times New Roman"/>
          <w:szCs w:val="24"/>
        </w:rPr>
        <w:t xml:space="preserve"> </w:t>
      </w:r>
      <w:r w:rsidRPr="009806FE" w:rsidR="3A8EA942">
        <w:rPr>
          <w:rFonts w:eastAsia="Calibri" w:cs="Times New Roman"/>
          <w:szCs w:val="24"/>
        </w:rPr>
        <w:t>keepers is approximately $</w:t>
      </w:r>
      <w:r w:rsidR="00936B8A">
        <w:rPr>
          <w:rFonts w:eastAsia="Calibri" w:cs="Times New Roman"/>
          <w:szCs w:val="24"/>
        </w:rPr>
        <w:t>84</w:t>
      </w:r>
      <w:r w:rsidRPr="009806FE" w:rsidR="009323AE">
        <w:rPr>
          <w:rFonts w:eastAsia="Calibri" w:cs="Times New Roman"/>
          <w:szCs w:val="24"/>
        </w:rPr>
        <w:t>,</w:t>
      </w:r>
      <w:r w:rsidR="00936B8A">
        <w:rPr>
          <w:rFonts w:eastAsia="Calibri" w:cs="Times New Roman"/>
          <w:szCs w:val="24"/>
        </w:rPr>
        <w:t>6</w:t>
      </w:r>
      <w:r w:rsidRPr="009806FE" w:rsidR="009323AE">
        <w:rPr>
          <w:rFonts w:eastAsia="Calibri" w:cs="Times New Roman"/>
          <w:szCs w:val="24"/>
        </w:rPr>
        <w:t xml:space="preserve">00 (900 burden hours </w:t>
      </w:r>
      <w:r w:rsidR="005403B5">
        <w:rPr>
          <w:rFonts w:eastAsia="Calibri" w:cs="Times New Roman"/>
          <w:szCs w:val="24"/>
        </w:rPr>
        <w:t>×</w:t>
      </w:r>
      <w:r w:rsidRPr="009806FE" w:rsidR="009323AE">
        <w:rPr>
          <w:rFonts w:eastAsia="Calibri" w:cs="Times New Roman"/>
          <w:szCs w:val="24"/>
        </w:rPr>
        <w:t xml:space="preserve"> $</w:t>
      </w:r>
      <w:r w:rsidR="008131D6">
        <w:rPr>
          <w:rFonts w:eastAsia="Calibri" w:cs="Times New Roman"/>
          <w:szCs w:val="24"/>
        </w:rPr>
        <w:t>94</w:t>
      </w:r>
      <w:r w:rsidRPr="009806FE" w:rsidR="009323AE">
        <w:rPr>
          <w:rFonts w:eastAsia="Calibri" w:cs="Times New Roman"/>
          <w:szCs w:val="24"/>
        </w:rPr>
        <w:t xml:space="preserve"> per hour = $</w:t>
      </w:r>
      <w:r w:rsidR="00936B8A">
        <w:rPr>
          <w:rFonts w:eastAsia="Calibri" w:cs="Times New Roman"/>
          <w:szCs w:val="24"/>
        </w:rPr>
        <w:t>84</w:t>
      </w:r>
      <w:r w:rsidRPr="009806FE" w:rsidR="009323AE">
        <w:rPr>
          <w:rFonts w:eastAsia="Calibri" w:cs="Times New Roman"/>
          <w:szCs w:val="24"/>
        </w:rPr>
        <w:t>,</w:t>
      </w:r>
      <w:r w:rsidR="00936B8A">
        <w:rPr>
          <w:rFonts w:eastAsia="Calibri" w:cs="Times New Roman"/>
          <w:szCs w:val="24"/>
        </w:rPr>
        <w:t>6</w:t>
      </w:r>
      <w:r w:rsidRPr="009806FE" w:rsidR="009323AE">
        <w:rPr>
          <w:rFonts w:eastAsia="Calibri" w:cs="Times New Roman"/>
          <w:szCs w:val="24"/>
        </w:rPr>
        <w:t>00)</w:t>
      </w:r>
      <w:r w:rsidRPr="009806FE" w:rsidR="6BD48A47">
        <w:rPr>
          <w:rFonts w:eastAsia="Calibri" w:cs="Times New Roman"/>
          <w:szCs w:val="24"/>
        </w:rPr>
        <w:t>.</w:t>
      </w:r>
    </w:p>
    <w:p w:rsidR="00737D9F" w:rsidRPr="009806FE" w:rsidP="00E42D10" w14:paraId="65C5E035" w14:textId="4115B064">
      <w:pPr>
        <w:spacing w:after="240"/>
        <w:ind w:firstLine="720"/>
        <w:jc w:val="both"/>
        <w:rPr>
          <w:rFonts w:eastAsia="Calibri" w:cs="Times New Roman"/>
          <w:szCs w:val="24"/>
        </w:rPr>
      </w:pPr>
      <w:r w:rsidRPr="009806FE">
        <w:rPr>
          <w:rFonts w:eastAsia="Calibri" w:cs="Times New Roman"/>
          <w:szCs w:val="24"/>
        </w:rPr>
        <w:t xml:space="preserve">Second, under § 150.3(d)(2), a pass-through swap counterparty, as defined by § 150.1, that relies on a representation received from a bona fide hedging swap counterparty that the swap qualifies in good faith as a “bona fide hedging position or transaction,” as defined under § 150.1, </w:t>
      </w:r>
      <w:r w:rsidRPr="009806FE" w:rsidR="00AF1BAB">
        <w:rPr>
          <w:rFonts w:eastAsia="Calibri" w:cs="Times New Roman"/>
          <w:szCs w:val="24"/>
        </w:rPr>
        <w:t xml:space="preserve">is </w:t>
      </w:r>
      <w:r w:rsidRPr="009806FE">
        <w:rPr>
          <w:rFonts w:eastAsia="Calibri" w:cs="Times New Roman"/>
          <w:szCs w:val="24"/>
        </w:rPr>
        <w:t xml:space="preserve">required to: (i) maintain </w:t>
      </w:r>
      <w:r w:rsidRPr="009806FE" w:rsidR="00646995">
        <w:rPr>
          <w:rFonts w:cs="Times New Roman"/>
          <w:szCs w:val="24"/>
        </w:rPr>
        <w:t>the relevant books and records of any such written representation</w:t>
      </w:r>
      <w:r w:rsidRPr="009806FE" w:rsidR="00646995">
        <w:rPr>
          <w:rFonts w:eastAsia="Calibri" w:cs="Times New Roman"/>
          <w:szCs w:val="24"/>
        </w:rPr>
        <w:t xml:space="preserve"> </w:t>
      </w:r>
      <w:r w:rsidRPr="009806FE">
        <w:rPr>
          <w:rFonts w:eastAsia="Calibri" w:cs="Times New Roman"/>
          <w:szCs w:val="24"/>
        </w:rPr>
        <w:t xml:space="preserve">for at least two years following the expiration of the swap; and (ii) furnish </w:t>
      </w:r>
      <w:r w:rsidRPr="009806FE" w:rsidR="00646995">
        <w:rPr>
          <w:rFonts w:cs="Times New Roman"/>
          <w:szCs w:val="24"/>
        </w:rPr>
        <w:t xml:space="preserve">any books and records of such written representation </w:t>
      </w:r>
      <w:r w:rsidRPr="009806FE">
        <w:rPr>
          <w:rFonts w:eastAsia="Calibri" w:cs="Times New Roman"/>
          <w:szCs w:val="24"/>
        </w:rPr>
        <w:t>to the Commission upon demand.</w:t>
      </w:r>
      <w:r w:rsidRPr="009806FE">
        <w:rPr>
          <w:rFonts w:eastAsia="Calibri" w:cs="Times New Roman"/>
          <w:bCs/>
          <w:szCs w:val="24"/>
        </w:rPr>
        <w:t xml:space="preserve">  </w:t>
      </w:r>
      <w:r w:rsidRPr="009806FE" w:rsidR="00646995">
        <w:rPr>
          <w:rFonts w:eastAsia="Calibri" w:cs="Times New Roman"/>
          <w:bCs/>
          <w:szCs w:val="24"/>
        </w:rPr>
        <w:t>Regulation</w:t>
      </w:r>
      <w:r w:rsidRPr="009806FE">
        <w:rPr>
          <w:rFonts w:eastAsia="Calibri" w:cs="Times New Roman"/>
          <w:bCs/>
          <w:szCs w:val="24"/>
        </w:rPr>
        <w:t xml:space="preserve"> 150.3(d)(2) </w:t>
      </w:r>
      <w:r w:rsidRPr="009806FE" w:rsidR="009323AE">
        <w:rPr>
          <w:rFonts w:eastAsia="Calibri" w:cs="Times New Roman"/>
          <w:bCs/>
          <w:szCs w:val="24"/>
        </w:rPr>
        <w:t xml:space="preserve">imposes </w:t>
      </w:r>
      <w:r w:rsidRPr="009806FE">
        <w:rPr>
          <w:rFonts w:eastAsia="Calibri" w:cs="Times New Roman"/>
          <w:bCs/>
          <w:szCs w:val="24"/>
        </w:rPr>
        <w:t xml:space="preserve">a recordkeeping obligation for certain persons relying on the pass-through swap </w:t>
      </w:r>
      <w:r w:rsidRPr="009806FE">
        <w:rPr>
          <w:rFonts w:eastAsia="Calibri" w:cs="Times New Roman"/>
          <w:bCs/>
          <w:szCs w:val="24"/>
        </w:rPr>
        <w:t>representations, and</w:t>
      </w:r>
      <w:r w:rsidRPr="009806FE">
        <w:rPr>
          <w:rFonts w:eastAsia="Calibri" w:cs="Times New Roman"/>
          <w:bCs/>
          <w:szCs w:val="24"/>
        </w:rPr>
        <w:t xml:space="preserve"> </w:t>
      </w:r>
      <w:r w:rsidRPr="009806FE" w:rsidR="009323AE">
        <w:rPr>
          <w:rFonts w:eastAsia="Calibri" w:cs="Times New Roman"/>
          <w:bCs/>
          <w:szCs w:val="24"/>
        </w:rPr>
        <w:t xml:space="preserve">based on its experience since the issuance of the Final Rule, </w:t>
      </w:r>
      <w:r w:rsidRPr="009806FE">
        <w:rPr>
          <w:rFonts w:eastAsia="Calibri" w:cs="Times New Roman"/>
          <w:bCs/>
          <w:szCs w:val="24"/>
        </w:rPr>
        <w:t xml:space="preserve">the Commission estimates that </w:t>
      </w:r>
      <w:r w:rsidRPr="009806FE" w:rsidR="009323AE">
        <w:rPr>
          <w:rFonts w:eastAsia="Calibri" w:cs="Times New Roman"/>
          <w:bCs/>
          <w:szCs w:val="24"/>
        </w:rPr>
        <w:t xml:space="preserve">6 </w:t>
      </w:r>
      <w:r w:rsidRPr="009806FE">
        <w:rPr>
          <w:rFonts w:eastAsia="Calibri" w:cs="Times New Roman"/>
          <w:bCs/>
          <w:szCs w:val="24"/>
        </w:rPr>
        <w:t>traders w</w:t>
      </w:r>
      <w:r w:rsidRPr="009806FE" w:rsidR="00646995">
        <w:rPr>
          <w:rFonts w:eastAsia="Calibri" w:cs="Times New Roman"/>
          <w:bCs/>
          <w:szCs w:val="24"/>
        </w:rPr>
        <w:t>ill</w:t>
      </w:r>
      <w:r w:rsidRPr="009806FE">
        <w:rPr>
          <w:rFonts w:eastAsia="Calibri" w:cs="Times New Roman"/>
          <w:bCs/>
          <w:szCs w:val="24"/>
        </w:rPr>
        <w:t xml:space="preserve"> be requested to maintain the required records.  The Commission estimates that each trader w</w:t>
      </w:r>
      <w:r w:rsidRPr="009806FE" w:rsidR="00646995">
        <w:rPr>
          <w:rFonts w:eastAsia="Calibri" w:cs="Times New Roman"/>
          <w:bCs/>
          <w:szCs w:val="24"/>
        </w:rPr>
        <w:t>ill</w:t>
      </w:r>
      <w:r w:rsidRPr="009806FE">
        <w:rPr>
          <w:rFonts w:eastAsia="Calibri" w:cs="Times New Roman"/>
          <w:bCs/>
          <w:szCs w:val="24"/>
        </w:rPr>
        <w:t xml:space="preserve"> maintain </w:t>
      </w:r>
      <w:r w:rsidRPr="009806FE" w:rsidR="00646995">
        <w:rPr>
          <w:rFonts w:eastAsia="Calibri" w:cs="Times New Roman"/>
          <w:bCs/>
          <w:szCs w:val="24"/>
        </w:rPr>
        <w:t xml:space="preserve">at least </w:t>
      </w:r>
      <w:r w:rsidRPr="009806FE" w:rsidR="009323AE">
        <w:rPr>
          <w:rFonts w:eastAsia="Calibri" w:cs="Times New Roman"/>
          <w:bCs/>
          <w:szCs w:val="24"/>
        </w:rPr>
        <w:t>3</w:t>
      </w:r>
      <w:r w:rsidRPr="009806FE" w:rsidR="00646995">
        <w:rPr>
          <w:rFonts w:eastAsia="Calibri" w:cs="Times New Roman"/>
          <w:bCs/>
          <w:szCs w:val="24"/>
        </w:rPr>
        <w:t xml:space="preserve"> </w:t>
      </w:r>
      <w:r w:rsidRPr="009806FE">
        <w:rPr>
          <w:rFonts w:eastAsia="Calibri" w:cs="Times New Roman"/>
          <w:bCs/>
          <w:szCs w:val="24"/>
        </w:rPr>
        <w:t>record</w:t>
      </w:r>
      <w:r w:rsidRPr="009806FE" w:rsidR="00646995">
        <w:rPr>
          <w:rFonts w:eastAsia="Calibri" w:cs="Times New Roman"/>
          <w:bCs/>
          <w:szCs w:val="24"/>
        </w:rPr>
        <w:t>s</w:t>
      </w:r>
      <w:r w:rsidRPr="009806FE">
        <w:rPr>
          <w:rFonts w:eastAsia="Calibri" w:cs="Times New Roman"/>
          <w:bCs/>
          <w:szCs w:val="24"/>
        </w:rPr>
        <w:t xml:space="preserve"> per year for a total of </w:t>
      </w:r>
      <w:r w:rsidRPr="009806FE" w:rsidR="009323AE">
        <w:rPr>
          <w:rFonts w:eastAsia="Calibri" w:cs="Times New Roman"/>
          <w:bCs/>
          <w:szCs w:val="24"/>
        </w:rPr>
        <w:t>18</w:t>
      </w:r>
      <w:r w:rsidRPr="009806FE">
        <w:rPr>
          <w:rFonts w:eastAsia="Calibri" w:cs="Times New Roman"/>
          <w:bCs/>
          <w:szCs w:val="24"/>
        </w:rPr>
        <w:t xml:space="preserve"> aggregate annual records for all </w:t>
      </w:r>
      <w:r w:rsidRPr="00D55F47">
        <w:rPr>
          <w:rFonts w:eastAsia="Calibri" w:cs="Times New Roman"/>
          <w:bCs/>
          <w:szCs w:val="24"/>
        </w:rPr>
        <w:t xml:space="preserve">respondents.  The Commission further estimates that it will take one hour to comply with the recordkeeping requirement of § 150.3(d) for a total of </w:t>
      </w:r>
      <w:r w:rsidR="00686316">
        <w:rPr>
          <w:rFonts w:eastAsia="Calibri" w:cs="Times New Roman"/>
          <w:bCs/>
          <w:szCs w:val="24"/>
        </w:rPr>
        <w:t>3</w:t>
      </w:r>
      <w:r w:rsidRPr="00D55F47" w:rsidR="00686316">
        <w:rPr>
          <w:rFonts w:eastAsia="Calibri" w:cs="Times New Roman"/>
          <w:bCs/>
          <w:szCs w:val="24"/>
        </w:rPr>
        <w:t xml:space="preserve"> </w:t>
      </w:r>
      <w:r w:rsidRPr="00D55F47">
        <w:rPr>
          <w:rFonts w:eastAsia="Calibri" w:cs="Times New Roman"/>
          <w:bCs/>
          <w:szCs w:val="24"/>
        </w:rPr>
        <w:t xml:space="preserve">annual burden </w:t>
      </w:r>
      <w:r w:rsidRPr="00D55F47">
        <w:rPr>
          <w:rFonts w:eastAsia="Calibri" w:cs="Times New Roman"/>
          <w:bCs/>
          <w:szCs w:val="24"/>
        </w:rPr>
        <w:t>hour</w:t>
      </w:r>
      <w:r w:rsidRPr="00D55F47">
        <w:rPr>
          <w:rFonts w:eastAsia="Calibri" w:cs="Times New Roman"/>
          <w:bCs/>
          <w:szCs w:val="24"/>
        </w:rPr>
        <w:t xml:space="preserve"> for each trader and </w:t>
      </w:r>
      <w:r w:rsidRPr="00D55F47" w:rsidR="00C43016">
        <w:rPr>
          <w:rFonts w:eastAsia="Calibri" w:cs="Times New Roman"/>
          <w:bCs/>
          <w:szCs w:val="24"/>
        </w:rPr>
        <w:t>18</w:t>
      </w:r>
      <w:r w:rsidRPr="00D55F47">
        <w:rPr>
          <w:rFonts w:eastAsia="Calibri" w:cs="Times New Roman"/>
          <w:bCs/>
          <w:szCs w:val="24"/>
        </w:rPr>
        <w:t xml:space="preserve"> aggregate annual burden hours for all traders.  </w:t>
      </w:r>
      <w:r w:rsidRPr="00D55F47" w:rsidR="00907414">
        <w:rPr>
          <w:rFonts w:eastAsia="Calibri" w:cs="Times New Roman"/>
          <w:bCs/>
          <w:szCs w:val="24"/>
        </w:rPr>
        <w:t>A</w:t>
      </w:r>
      <w:r w:rsidRPr="00D55F47" w:rsidR="00AC2DC6">
        <w:rPr>
          <w:rFonts w:eastAsia="Calibri" w:cs="Times New Roman"/>
          <w:szCs w:val="24"/>
        </w:rPr>
        <w:t>ssuming an estimated average burden hour cost of $</w:t>
      </w:r>
      <w:r w:rsidRPr="00D55F47" w:rsidR="00B7731B">
        <w:rPr>
          <w:rFonts w:eastAsia="Calibri" w:cs="Times New Roman"/>
          <w:szCs w:val="24"/>
        </w:rPr>
        <w:t>94</w:t>
      </w:r>
      <w:r w:rsidRPr="00D55F47" w:rsidR="00AC2DC6">
        <w:rPr>
          <w:rFonts w:eastAsia="Calibri" w:cs="Times New Roman"/>
          <w:szCs w:val="24"/>
        </w:rPr>
        <w:t>, the total ann</w:t>
      </w:r>
      <w:r w:rsidRPr="00D55F47" w:rsidR="002E27BF">
        <w:rPr>
          <w:rFonts w:eastAsia="Calibri" w:cs="Times New Roman"/>
          <w:szCs w:val="24"/>
        </w:rPr>
        <w:t xml:space="preserve">ual burden hour cost for </w:t>
      </w:r>
      <w:r w:rsidRPr="00D55F47" w:rsidR="00907414">
        <w:rPr>
          <w:rFonts w:eastAsia="Calibri" w:cs="Times New Roman"/>
          <w:szCs w:val="24"/>
        </w:rPr>
        <w:t>the estimated one record</w:t>
      </w:r>
      <w:r w:rsidRPr="00D55F47" w:rsidR="00646995">
        <w:rPr>
          <w:rFonts w:eastAsia="Calibri" w:cs="Times New Roman"/>
          <w:szCs w:val="24"/>
        </w:rPr>
        <w:t>-</w:t>
      </w:r>
      <w:r w:rsidRPr="00D55F47" w:rsidR="00907414">
        <w:rPr>
          <w:rFonts w:eastAsia="Calibri" w:cs="Times New Roman"/>
          <w:szCs w:val="24"/>
        </w:rPr>
        <w:t>keeper</w:t>
      </w:r>
      <w:r w:rsidRPr="00D55F47" w:rsidR="00AC2DC6">
        <w:rPr>
          <w:rFonts w:eastAsia="Calibri" w:cs="Times New Roman"/>
          <w:szCs w:val="24"/>
        </w:rPr>
        <w:t xml:space="preserve"> is approximately $</w:t>
      </w:r>
      <w:r w:rsidRPr="00D55F47" w:rsidR="00C43016">
        <w:rPr>
          <w:rFonts w:eastAsia="Calibri" w:cs="Times New Roman"/>
          <w:szCs w:val="24"/>
        </w:rPr>
        <w:t>1,</w:t>
      </w:r>
      <w:r w:rsidRPr="00D55F47" w:rsidR="004A2F72">
        <w:rPr>
          <w:rFonts w:eastAsia="Calibri" w:cs="Times New Roman"/>
          <w:szCs w:val="24"/>
        </w:rPr>
        <w:t>69</w:t>
      </w:r>
      <w:r w:rsidRPr="00D55F47" w:rsidR="00C43016">
        <w:rPr>
          <w:rFonts w:eastAsia="Calibri" w:cs="Times New Roman"/>
          <w:szCs w:val="24"/>
        </w:rPr>
        <w:t>2</w:t>
      </w:r>
      <w:r w:rsidRPr="00D55F47" w:rsidR="00AC2DC6">
        <w:rPr>
          <w:rFonts w:eastAsia="Calibri" w:cs="Times New Roman"/>
          <w:szCs w:val="24"/>
        </w:rPr>
        <w:t>.</w:t>
      </w:r>
    </w:p>
    <w:p w:rsidR="00313E25" w:rsidRPr="00543EE4" w:rsidP="00E42D10" w14:paraId="3E3580B2" w14:textId="1D1E1E07">
      <w:pPr>
        <w:pStyle w:val="ListParagraph"/>
        <w:numPr>
          <w:ilvl w:val="1"/>
          <w:numId w:val="6"/>
        </w:numPr>
        <w:spacing w:after="240"/>
        <w:contextualSpacing w:val="0"/>
        <w:jc w:val="both"/>
        <w:rPr>
          <w:rFonts w:eastAsia="Times New Roman" w:cs="Times New Roman"/>
          <w:color w:val="000000"/>
          <w:szCs w:val="24"/>
          <w:u w:val="single"/>
        </w:rPr>
      </w:pPr>
      <w:r w:rsidRPr="00543EE4">
        <w:rPr>
          <w:rFonts w:eastAsia="Times New Roman" w:cs="Times New Roman"/>
          <w:color w:val="000000" w:themeColor="text1"/>
          <w:u w:val="single"/>
        </w:rPr>
        <w:t>Non-enumerated Bona Fide Hedge Application Process</w:t>
      </w:r>
    </w:p>
    <w:p w:rsidR="004439E1" w:rsidRPr="009806FE" w:rsidP="00E42D10" w14:paraId="6DE5002E" w14:textId="0193DA1B">
      <w:pPr>
        <w:spacing w:after="240"/>
        <w:ind w:firstLine="720"/>
        <w:jc w:val="both"/>
        <w:rPr>
          <w:rFonts w:eastAsia="Times New Roman" w:cs="Times New Roman"/>
          <w:color w:val="000000"/>
          <w:szCs w:val="24"/>
        </w:rPr>
      </w:pPr>
      <w:r w:rsidRPr="009806FE">
        <w:rPr>
          <w:rFonts w:eastAsia="Times New Roman" w:cs="Times New Roman"/>
          <w:color w:val="000000"/>
          <w:szCs w:val="24"/>
        </w:rPr>
        <w:t>Regulation</w:t>
      </w:r>
      <w:r w:rsidRPr="009806FE" w:rsidR="006373AD">
        <w:rPr>
          <w:rFonts w:eastAsia="Times New Roman" w:cs="Times New Roman"/>
          <w:color w:val="000000"/>
          <w:szCs w:val="24"/>
        </w:rPr>
        <w:t xml:space="preserve"> 150.9 establish</w:t>
      </w:r>
      <w:r w:rsidRPr="009806FE">
        <w:rPr>
          <w:rFonts w:eastAsia="Times New Roman" w:cs="Times New Roman"/>
          <w:color w:val="000000"/>
          <w:szCs w:val="24"/>
        </w:rPr>
        <w:t>e</w:t>
      </w:r>
      <w:r w:rsidRPr="009806FE" w:rsidR="00827618">
        <w:rPr>
          <w:rFonts w:eastAsia="Times New Roman" w:cs="Times New Roman"/>
          <w:color w:val="000000"/>
          <w:szCs w:val="24"/>
        </w:rPr>
        <w:t>d</w:t>
      </w:r>
      <w:r w:rsidRPr="009806FE" w:rsidR="006373AD">
        <w:rPr>
          <w:rFonts w:eastAsia="Times New Roman" w:cs="Times New Roman"/>
          <w:color w:val="000000"/>
          <w:szCs w:val="24"/>
        </w:rPr>
        <w:t xml:space="preserve"> a new streamlined process in which a trader c</w:t>
      </w:r>
      <w:r w:rsidRPr="009806FE" w:rsidR="00925F5D">
        <w:rPr>
          <w:rFonts w:eastAsia="Times New Roman" w:cs="Times New Roman"/>
          <w:color w:val="000000"/>
          <w:szCs w:val="24"/>
        </w:rPr>
        <w:t>an</w:t>
      </w:r>
      <w:r w:rsidRPr="009806FE" w:rsidR="006373AD">
        <w:rPr>
          <w:rFonts w:eastAsia="Times New Roman" w:cs="Times New Roman"/>
          <w:color w:val="000000"/>
          <w:szCs w:val="24"/>
        </w:rPr>
        <w:t xml:space="preserve"> apply </w:t>
      </w:r>
      <w:r w:rsidRPr="009806FE" w:rsidR="005D30BB">
        <w:rPr>
          <w:rFonts w:eastAsia="Times New Roman" w:cs="Times New Roman"/>
          <w:color w:val="000000"/>
          <w:szCs w:val="24"/>
        </w:rPr>
        <w:t xml:space="preserve">with an initial submission </w:t>
      </w:r>
      <w:r w:rsidRPr="009806FE" w:rsidR="006373AD">
        <w:rPr>
          <w:rFonts w:eastAsia="Times New Roman" w:cs="Times New Roman"/>
          <w:color w:val="000000"/>
          <w:szCs w:val="24"/>
        </w:rPr>
        <w:t xml:space="preserve">through an exchange to request a non-enumerated bona fide hedging recognition from federal position limits. </w:t>
      </w:r>
      <w:r w:rsidRPr="009806FE">
        <w:rPr>
          <w:rFonts w:eastAsia="Times New Roman" w:cs="Times New Roman"/>
          <w:color w:val="000000"/>
          <w:szCs w:val="24"/>
        </w:rPr>
        <w:t xml:space="preserve"> </w:t>
      </w:r>
      <w:r w:rsidRPr="009806FE" w:rsidR="006373AD">
        <w:rPr>
          <w:rFonts w:eastAsia="Times New Roman" w:cs="Times New Roman"/>
          <w:color w:val="000000"/>
          <w:szCs w:val="24"/>
        </w:rPr>
        <w:t xml:space="preserve">As part of the process, § 150.9 </w:t>
      </w:r>
      <w:r w:rsidRPr="009806FE" w:rsidR="00827618">
        <w:rPr>
          <w:rFonts w:eastAsia="Times New Roman" w:cs="Times New Roman"/>
          <w:color w:val="000000"/>
          <w:szCs w:val="24"/>
        </w:rPr>
        <w:t xml:space="preserve">imposes </w:t>
      </w:r>
      <w:r w:rsidRPr="009806FE" w:rsidR="006373AD">
        <w:rPr>
          <w:rFonts w:eastAsia="Times New Roman" w:cs="Times New Roman"/>
          <w:color w:val="000000"/>
          <w:szCs w:val="24"/>
        </w:rPr>
        <w:t>certain recordkeeping and reporting obligations on the market participant and the exchange, including: (i) an application to request non-enumerated bona fide hedge recognitions, which the trader  submit</w:t>
      </w:r>
      <w:r w:rsidRPr="009806FE">
        <w:rPr>
          <w:rFonts w:eastAsia="Times New Roman" w:cs="Times New Roman"/>
          <w:color w:val="000000"/>
          <w:szCs w:val="24"/>
        </w:rPr>
        <w:t>s</w:t>
      </w:r>
      <w:r w:rsidRPr="009806FE" w:rsidR="006373AD">
        <w:rPr>
          <w:rFonts w:eastAsia="Times New Roman" w:cs="Times New Roman"/>
          <w:color w:val="000000"/>
          <w:szCs w:val="24"/>
        </w:rPr>
        <w:t xml:space="preserve"> to the exchange and which the exchange subsequently provide</w:t>
      </w:r>
      <w:r w:rsidRPr="009806FE">
        <w:rPr>
          <w:rFonts w:eastAsia="Times New Roman" w:cs="Times New Roman"/>
          <w:color w:val="000000"/>
          <w:szCs w:val="24"/>
        </w:rPr>
        <w:t>s</w:t>
      </w:r>
      <w:r w:rsidRPr="009806FE" w:rsidR="006373AD">
        <w:rPr>
          <w:rFonts w:eastAsia="Times New Roman" w:cs="Times New Roman"/>
          <w:color w:val="000000"/>
          <w:szCs w:val="24"/>
        </w:rPr>
        <w:t xml:space="preserve"> to the Commission if the exchange approves the application for purposes of exchange-set limits; (ii) a notification to the Commission and the applicant of the exchange’s determination for purposes of exchange limits regarding the trader’s request for recognition of a bona fide hedge exemption; (iii) and a requirement to maintain full, complete and systematic records for Commission review of the exchange’s decisions.</w:t>
      </w:r>
    </w:p>
    <w:p w:rsidR="00172C68" w:rsidRPr="009806FE" w:rsidP="00E42D10" w14:paraId="720F5386" w14:textId="3FEDF30E">
      <w:pPr>
        <w:spacing w:after="240"/>
        <w:ind w:firstLine="720"/>
        <w:jc w:val="both"/>
        <w:rPr>
          <w:rFonts w:eastAsia="Times New Roman" w:cs="Times New Roman"/>
          <w:color w:val="000000"/>
          <w:szCs w:val="24"/>
        </w:rPr>
      </w:pPr>
      <w:r w:rsidRPr="009806FE">
        <w:rPr>
          <w:rFonts w:eastAsia="Times New Roman" w:cs="Times New Roman"/>
          <w:color w:val="000000"/>
          <w:szCs w:val="24"/>
        </w:rPr>
        <w:t xml:space="preserve">Before proceeding, the Commission emphasizes that based on its experience since the issuance of the Final Rule, the Commission estimates 0 burden </w:t>
      </w:r>
      <w:r w:rsidRPr="009806FE">
        <w:rPr>
          <w:rFonts w:eastAsia="Times New Roman" w:cs="Times New Roman"/>
          <w:color w:val="000000"/>
          <w:szCs w:val="24"/>
        </w:rPr>
        <w:t>hours</w:t>
      </w:r>
      <w:r w:rsidRPr="009806FE">
        <w:rPr>
          <w:rFonts w:eastAsia="Times New Roman" w:cs="Times New Roman"/>
          <w:color w:val="000000"/>
          <w:szCs w:val="24"/>
        </w:rPr>
        <w:t xml:space="preserve"> and 0 responses related to Regulation 150.9</w:t>
      </w:r>
      <w:r w:rsidRPr="009806FE" w:rsidR="001B3D1D">
        <w:rPr>
          <w:rFonts w:eastAsia="Times New Roman" w:cs="Times New Roman"/>
          <w:color w:val="000000"/>
          <w:szCs w:val="24"/>
        </w:rPr>
        <w:t xml:space="preserve"> (including </w:t>
      </w:r>
      <w:r w:rsidRPr="009806FE" w:rsidR="001B3D1D">
        <w:rPr>
          <w:rFonts w:eastAsia="Times New Roman" w:cs="Times New Roman"/>
          <w:color w:val="000000"/>
          <w:szCs w:val="24"/>
        </w:rPr>
        <w:t>all of</w:t>
      </w:r>
      <w:r w:rsidRPr="009806FE" w:rsidR="001B3D1D">
        <w:rPr>
          <w:rFonts w:eastAsia="Times New Roman" w:cs="Times New Roman"/>
          <w:color w:val="000000"/>
          <w:szCs w:val="24"/>
        </w:rPr>
        <w:t xml:space="preserve"> its subparts)</w:t>
      </w:r>
      <w:r w:rsidRPr="009806FE">
        <w:rPr>
          <w:rFonts w:eastAsia="Times New Roman" w:cs="Times New Roman"/>
          <w:color w:val="000000"/>
          <w:szCs w:val="24"/>
        </w:rPr>
        <w:t xml:space="preserve">.  This is because the Commission continues to believe that traders </w:t>
      </w:r>
      <w:r w:rsidRPr="009806FE" w:rsidR="001414D1">
        <w:rPr>
          <w:rFonts w:eastAsia="Times New Roman" w:cs="Times New Roman"/>
          <w:color w:val="000000"/>
          <w:szCs w:val="24"/>
        </w:rPr>
        <w:t>will</w:t>
      </w:r>
      <w:r w:rsidRPr="009806FE">
        <w:rPr>
          <w:rFonts w:eastAsia="Times New Roman" w:cs="Times New Roman"/>
          <w:color w:val="000000"/>
          <w:szCs w:val="24"/>
        </w:rPr>
        <w:t xml:space="preserve"> able to continue to avail themselves of the enumerated bona fide hedges as expanded by the Final Rule</w:t>
      </w:r>
      <w:r w:rsidRPr="009806FE" w:rsidR="001414D1">
        <w:rPr>
          <w:rFonts w:eastAsia="Times New Roman" w:cs="Times New Roman"/>
          <w:color w:val="000000"/>
          <w:szCs w:val="24"/>
        </w:rPr>
        <w:t xml:space="preserve"> and thus won’t have a need to apply for a non-enumerated bona fide </w:t>
      </w:r>
      <w:r w:rsidRPr="009806FE" w:rsidR="001414D1">
        <w:rPr>
          <w:rFonts w:eastAsia="Times New Roman" w:cs="Times New Roman"/>
          <w:color w:val="000000"/>
          <w:szCs w:val="24"/>
        </w:rPr>
        <w:t>hedge under Regulation 150.9</w:t>
      </w:r>
      <w:r w:rsidRPr="009806FE">
        <w:rPr>
          <w:rFonts w:eastAsia="Times New Roman" w:cs="Times New Roman"/>
          <w:color w:val="000000"/>
          <w:szCs w:val="24"/>
        </w:rPr>
        <w:t>.</w:t>
      </w:r>
      <w:r w:rsidRPr="009806FE" w:rsidR="00070004">
        <w:rPr>
          <w:rFonts w:eastAsia="Times New Roman" w:cs="Times New Roman"/>
          <w:color w:val="000000"/>
          <w:szCs w:val="24"/>
        </w:rPr>
        <w:t xml:space="preserve">  This observation is consistent with what the Commission has observed since the Final Rule –</w:t>
      </w:r>
      <w:r w:rsidR="00BC36C6">
        <w:rPr>
          <w:rFonts w:eastAsia="Times New Roman" w:cs="Times New Roman"/>
          <w:color w:val="000000"/>
          <w:szCs w:val="24"/>
        </w:rPr>
        <w:t xml:space="preserve"> </w:t>
      </w:r>
      <w:r w:rsidRPr="009806FE" w:rsidR="00070004">
        <w:rPr>
          <w:rFonts w:eastAsia="Times New Roman" w:cs="Times New Roman"/>
          <w:color w:val="000000"/>
          <w:szCs w:val="24"/>
        </w:rPr>
        <w:t xml:space="preserve">the Commission </w:t>
      </w:r>
      <w:r w:rsidRPr="009806FE" w:rsidR="0037371E">
        <w:rPr>
          <w:rFonts w:eastAsia="Times New Roman" w:cs="Times New Roman"/>
          <w:color w:val="000000"/>
          <w:szCs w:val="24"/>
        </w:rPr>
        <w:t xml:space="preserve">is not </w:t>
      </w:r>
      <w:r w:rsidRPr="009806FE" w:rsidR="00070004">
        <w:rPr>
          <w:rFonts w:eastAsia="Times New Roman" w:cs="Times New Roman"/>
          <w:color w:val="000000"/>
          <w:szCs w:val="24"/>
        </w:rPr>
        <w:t>aware</w:t>
      </w:r>
      <w:r w:rsidRPr="009806FE" w:rsidR="0037371E">
        <w:rPr>
          <w:rFonts w:eastAsia="Times New Roman" w:cs="Times New Roman"/>
          <w:color w:val="000000"/>
          <w:szCs w:val="24"/>
        </w:rPr>
        <w:t xml:space="preserve"> of any</w:t>
      </w:r>
      <w:r w:rsidRPr="009806FE" w:rsidR="00070004">
        <w:rPr>
          <w:rFonts w:eastAsia="Times New Roman" w:cs="Times New Roman"/>
          <w:color w:val="000000"/>
          <w:szCs w:val="24"/>
        </w:rPr>
        <w:t xml:space="preserve"> trader </w:t>
      </w:r>
      <w:r w:rsidRPr="009806FE" w:rsidR="0037371E">
        <w:rPr>
          <w:rFonts w:eastAsia="Times New Roman" w:cs="Times New Roman"/>
          <w:color w:val="000000"/>
          <w:szCs w:val="24"/>
        </w:rPr>
        <w:t xml:space="preserve">that </w:t>
      </w:r>
      <w:r w:rsidRPr="009806FE" w:rsidR="00070004">
        <w:rPr>
          <w:rFonts w:eastAsia="Times New Roman" w:cs="Times New Roman"/>
          <w:color w:val="000000"/>
          <w:szCs w:val="24"/>
        </w:rPr>
        <w:t xml:space="preserve">has </w:t>
      </w:r>
      <w:r w:rsidRPr="009806FE" w:rsidR="00070004">
        <w:rPr>
          <w:rFonts w:eastAsia="Times New Roman" w:cs="Times New Roman"/>
          <w:color w:val="000000"/>
          <w:szCs w:val="24"/>
        </w:rPr>
        <w:t>submitted an application</w:t>
      </w:r>
      <w:r w:rsidRPr="009806FE" w:rsidR="00070004">
        <w:rPr>
          <w:rFonts w:eastAsia="Times New Roman" w:cs="Times New Roman"/>
          <w:color w:val="000000"/>
          <w:szCs w:val="24"/>
        </w:rPr>
        <w:t xml:space="preserve"> under Regulation 150.9.  However, the Commission will describe the requirement</w:t>
      </w:r>
      <w:r w:rsidRPr="009806FE" w:rsidR="00542B82">
        <w:rPr>
          <w:rFonts w:eastAsia="Times New Roman" w:cs="Times New Roman"/>
          <w:color w:val="000000"/>
          <w:szCs w:val="24"/>
        </w:rPr>
        <w:t>s</w:t>
      </w:r>
      <w:r w:rsidRPr="009806FE" w:rsidR="00070004">
        <w:rPr>
          <w:rFonts w:eastAsia="Times New Roman" w:cs="Times New Roman"/>
          <w:color w:val="000000"/>
          <w:szCs w:val="24"/>
        </w:rPr>
        <w:t xml:space="preserve"> under Regulation 150.9 for the sake of completeness.</w:t>
      </w:r>
    </w:p>
    <w:p w:rsidR="006373AD" w:rsidRPr="009806FE" w:rsidP="00543EE4" w14:paraId="2BFDDCD0" w14:textId="5D3D06F0">
      <w:pPr>
        <w:autoSpaceDE w:val="0"/>
        <w:autoSpaceDN w:val="0"/>
        <w:adjustRightInd w:val="0"/>
        <w:spacing w:after="240"/>
        <w:ind w:firstLine="720"/>
        <w:rPr>
          <w:rFonts w:eastAsia="Times New Roman" w:cs="Times New Roman"/>
          <w:color w:val="000000"/>
          <w:szCs w:val="24"/>
        </w:rPr>
      </w:pPr>
      <w:r w:rsidRPr="009806FE">
        <w:rPr>
          <w:rFonts w:cs="Times New Roman"/>
          <w:szCs w:val="24"/>
        </w:rPr>
        <w:t>Regulation</w:t>
      </w:r>
      <w:r w:rsidRPr="009806FE" w:rsidR="6CE0A36E">
        <w:rPr>
          <w:rFonts w:cs="Times New Roman"/>
          <w:szCs w:val="24"/>
        </w:rPr>
        <w:t xml:space="preserve"> 150.9(c) requires a trader to </w:t>
      </w:r>
      <w:r w:rsidRPr="009806FE" w:rsidR="6CE0A36E">
        <w:rPr>
          <w:rFonts w:cs="Times New Roman"/>
          <w:szCs w:val="24"/>
        </w:rPr>
        <w:t>submit an application</w:t>
      </w:r>
      <w:r w:rsidRPr="009806FE" w:rsidR="6CE0A36E">
        <w:rPr>
          <w:rFonts w:cs="Times New Roman"/>
          <w:szCs w:val="24"/>
        </w:rPr>
        <w:t xml:space="preserve"> with certain information to enable the exchange to determine whether it should recognize a position as a bona fide hedge for purposes of exchange-set position limits.  Each applicant will need to reapply to the exchange for its non-enumerated bona fide hedge recognition </w:t>
      </w:r>
      <w:r w:rsidRPr="009806FE" w:rsidR="0C8D1868">
        <w:rPr>
          <w:rFonts w:cs="Times New Roman"/>
          <w:szCs w:val="24"/>
        </w:rPr>
        <w:t xml:space="preserve">for the purpose of </w:t>
      </w:r>
      <w:r w:rsidRPr="009806FE" w:rsidR="0C8D1868">
        <w:rPr>
          <w:rFonts w:cs="Times New Roman"/>
          <w:szCs w:val="24"/>
        </w:rPr>
        <w:t>exchange-set</w:t>
      </w:r>
      <w:r w:rsidRPr="009806FE" w:rsidR="0C8D1868">
        <w:rPr>
          <w:rFonts w:cs="Times New Roman"/>
          <w:szCs w:val="24"/>
        </w:rPr>
        <w:t xml:space="preserve"> position limits </w:t>
      </w:r>
      <w:r w:rsidRPr="009806FE" w:rsidR="6CE0A36E">
        <w:rPr>
          <w:rFonts w:cs="Times New Roman"/>
          <w:szCs w:val="24"/>
        </w:rPr>
        <w:t xml:space="preserve">at least on an annual basis by updating its original application.  The Commission expects that traders </w:t>
      </w:r>
      <w:r w:rsidRPr="009806FE" w:rsidR="00827618">
        <w:rPr>
          <w:rFonts w:cs="Times New Roman"/>
          <w:szCs w:val="24"/>
        </w:rPr>
        <w:t xml:space="preserve">would </w:t>
      </w:r>
      <w:r w:rsidRPr="009806FE" w:rsidR="6CE0A36E">
        <w:rPr>
          <w:rFonts w:cs="Times New Roman"/>
          <w:szCs w:val="24"/>
        </w:rPr>
        <w:t xml:space="preserve">benefit from the streamlined framework established under § 150.9 because traders may submit one application to obtain a non-enumerated bona fide hedge recognition for purposes of both exchange-set and federal </w:t>
      </w:r>
      <w:r w:rsidRPr="009806FE" w:rsidR="6CE0A36E">
        <w:rPr>
          <w:rFonts w:eastAsia="Times New Roman" w:cs="Times New Roman"/>
          <w:szCs w:val="24"/>
        </w:rPr>
        <w:t xml:space="preserve">position </w:t>
      </w:r>
      <w:r w:rsidRPr="009806FE" w:rsidR="6CE0A36E">
        <w:rPr>
          <w:rFonts w:cs="Times New Roman"/>
          <w:szCs w:val="24"/>
        </w:rPr>
        <w:t>limits, as opposed to submitting separate applications to the Commission for federal position limit purposes and separate applications to an exchange for exchange limit purposes.</w:t>
      </w:r>
      <w:r>
        <w:rPr>
          <w:rFonts w:cs="Times New Roman"/>
          <w:szCs w:val="24"/>
          <w:vertAlign w:val="superscript"/>
        </w:rPr>
        <w:footnoteReference w:id="15"/>
      </w:r>
      <w:bookmarkStart w:id="3" w:name="_Hlk56765002"/>
    </w:p>
    <w:p w:rsidR="004D1C2B" w:rsidRPr="009806FE" w:rsidP="00E42D10" w14:paraId="182F00CA" w14:textId="6562D7CB">
      <w:pPr>
        <w:spacing w:after="240"/>
        <w:ind w:firstLine="720"/>
        <w:jc w:val="both"/>
        <w:rPr>
          <w:rFonts w:cs="Times New Roman"/>
          <w:szCs w:val="24"/>
        </w:rPr>
      </w:pPr>
      <w:r w:rsidRPr="009806FE">
        <w:rPr>
          <w:rFonts w:eastAsia="Times New Roman" w:cs="Times New Roman"/>
          <w:color w:val="000000"/>
          <w:szCs w:val="24"/>
        </w:rPr>
        <w:t>Regulation 150.9(d) require</w:t>
      </w:r>
      <w:r w:rsidRPr="009806FE" w:rsidR="00D5621D">
        <w:rPr>
          <w:rFonts w:eastAsia="Times New Roman" w:cs="Times New Roman"/>
          <w:color w:val="000000"/>
          <w:szCs w:val="24"/>
        </w:rPr>
        <w:t>s</w:t>
      </w:r>
      <w:r w:rsidRPr="009806FE">
        <w:rPr>
          <w:rFonts w:eastAsia="Times New Roman" w:cs="Times New Roman"/>
          <w:color w:val="000000"/>
          <w:szCs w:val="24"/>
        </w:rPr>
        <w:t xml:space="preserve"> exchanges to keep full, complete, and systematic records, including all pertinent data and memoranda, of all activities relating to the processing of such applications and the disposition thereof. </w:t>
      </w:r>
      <w:r w:rsidRPr="009806FE" w:rsidR="00EB6497">
        <w:rPr>
          <w:rFonts w:eastAsia="Times New Roman" w:cs="Times New Roman"/>
          <w:color w:val="000000"/>
          <w:szCs w:val="24"/>
        </w:rPr>
        <w:t xml:space="preserve"> </w:t>
      </w:r>
      <w:r w:rsidRPr="009806FE">
        <w:rPr>
          <w:rFonts w:eastAsia="Times New Roman" w:cs="Times New Roman"/>
          <w:color w:val="000000"/>
          <w:szCs w:val="24"/>
        </w:rPr>
        <w:t>In addition, as provided for in § 150.9(g)</w:t>
      </w:r>
      <w:r w:rsidRPr="009806FE" w:rsidR="00253D81">
        <w:rPr>
          <w:rFonts w:eastAsia="Times New Roman" w:cs="Times New Roman"/>
          <w:color w:val="000000"/>
          <w:szCs w:val="24"/>
        </w:rPr>
        <w:t xml:space="preserve"> and existing § 1.31</w:t>
      </w:r>
      <w:r w:rsidRPr="009806FE">
        <w:rPr>
          <w:rFonts w:eastAsia="Times New Roman" w:cs="Times New Roman"/>
          <w:color w:val="000000"/>
          <w:szCs w:val="24"/>
        </w:rPr>
        <w:t xml:space="preserve">, the Commission may, in its discretion, at any time, review the </w:t>
      </w:r>
      <w:r w:rsidRPr="009806FE" w:rsidR="00253D81">
        <w:rPr>
          <w:rFonts w:eastAsia="Times New Roman" w:cs="Times New Roman"/>
          <w:color w:val="000000"/>
          <w:szCs w:val="24"/>
        </w:rPr>
        <w:t>exchange</w:t>
      </w:r>
      <w:r w:rsidRPr="009806FE">
        <w:rPr>
          <w:rFonts w:eastAsia="Times New Roman" w:cs="Times New Roman"/>
          <w:color w:val="000000"/>
          <w:szCs w:val="24"/>
        </w:rPr>
        <w:t>’s</w:t>
      </w:r>
      <w:r w:rsidRPr="009806FE">
        <w:rPr>
          <w:rFonts w:eastAsia="Times New Roman" w:cs="Times New Roman"/>
          <w:color w:val="000000"/>
          <w:szCs w:val="24"/>
        </w:rPr>
        <w:t xml:space="preserve"> records retained pursuant to § 150.9(d)</w:t>
      </w:r>
      <w:r w:rsidRPr="009806FE" w:rsidR="00253D81">
        <w:rPr>
          <w:rFonts w:eastAsia="Times New Roman" w:cs="Times New Roman"/>
          <w:color w:val="000000"/>
          <w:szCs w:val="24"/>
        </w:rPr>
        <w:t xml:space="preserve"> </w:t>
      </w:r>
      <w:r w:rsidRPr="009806FE" w:rsidR="00253D81">
        <w:rPr>
          <w:rFonts w:cs="Times New Roman"/>
          <w:bCs/>
          <w:szCs w:val="24"/>
        </w:rPr>
        <w:t>or request additional information pursuant to § 150.9(e)(5)</w:t>
      </w:r>
      <w:r w:rsidRPr="009806FE">
        <w:rPr>
          <w:rFonts w:eastAsia="Times New Roman" w:cs="Times New Roman"/>
          <w:color w:val="000000"/>
          <w:szCs w:val="24"/>
        </w:rPr>
        <w:t xml:space="preserve">. </w:t>
      </w:r>
      <w:r w:rsidRPr="009806FE" w:rsidR="008D40CF">
        <w:rPr>
          <w:rFonts w:eastAsia="Times New Roman" w:cs="Times New Roman"/>
          <w:color w:val="000000"/>
          <w:szCs w:val="24"/>
        </w:rPr>
        <w:t xml:space="preserve"> </w:t>
      </w:r>
      <w:r w:rsidRPr="009806FE" w:rsidR="008D40CF">
        <w:rPr>
          <w:rFonts w:cs="Times New Roman"/>
          <w:bCs/>
          <w:szCs w:val="24"/>
        </w:rPr>
        <w:t xml:space="preserve">The recordkeeping requirement is necessary for the Commission to </w:t>
      </w:r>
      <w:r w:rsidRPr="009806FE" w:rsidR="008D40CF">
        <w:rPr>
          <w:rFonts w:cs="Times New Roman"/>
          <w:szCs w:val="24"/>
        </w:rPr>
        <w:t xml:space="preserve">review the exchanges’ processes, retention of records, and compliance with requirements established and implemented under </w:t>
      </w:r>
      <w:r w:rsidRPr="009806FE" w:rsidR="008D40CF">
        <w:rPr>
          <w:rFonts w:cs="Times New Roman"/>
          <w:bCs/>
          <w:szCs w:val="24"/>
        </w:rPr>
        <w:t>§ 150.9</w:t>
      </w:r>
      <w:r w:rsidRPr="009806FE" w:rsidR="008D40CF">
        <w:rPr>
          <w:rFonts w:cs="Times New Roman"/>
          <w:szCs w:val="24"/>
        </w:rPr>
        <w:t>.</w:t>
      </w:r>
    </w:p>
    <w:p w:rsidR="00450D22" w:rsidRPr="009806FE" w:rsidP="00543EE4" w14:paraId="2A0AA209" w14:textId="3359D927">
      <w:pPr>
        <w:spacing w:after="240"/>
        <w:ind w:firstLine="720"/>
        <w:jc w:val="both"/>
        <w:rPr>
          <w:rFonts w:cs="Times New Roman"/>
          <w:szCs w:val="24"/>
        </w:rPr>
      </w:pPr>
      <w:r w:rsidRPr="009806FE">
        <w:rPr>
          <w:rFonts w:cs="Times New Roman"/>
          <w:szCs w:val="24"/>
        </w:rPr>
        <w:t>Regulation 150.9(d)</w:t>
      </w:r>
      <w:r w:rsidRPr="009806FE" w:rsidR="00A10227">
        <w:rPr>
          <w:rFonts w:cs="Times New Roman"/>
          <w:szCs w:val="24"/>
        </w:rPr>
        <w:t>(2),</w:t>
      </w:r>
      <w:r w:rsidRPr="009806FE">
        <w:rPr>
          <w:rFonts w:cs="Times New Roman"/>
          <w:szCs w:val="24"/>
        </w:rPr>
        <w:t xml:space="preserve"> allows the Commission to inspect </w:t>
      </w:r>
      <w:r w:rsidRPr="009806FE" w:rsidR="00807697">
        <w:rPr>
          <w:rFonts w:cs="Times New Roman"/>
          <w:szCs w:val="24"/>
        </w:rPr>
        <w:t xml:space="preserve">and </w:t>
      </w:r>
      <w:r w:rsidRPr="009806FE" w:rsidR="00807697">
        <w:rPr>
          <w:rFonts w:cs="Times New Roman"/>
          <w:szCs w:val="24"/>
        </w:rPr>
        <w:t>exchange’s</w:t>
      </w:r>
      <w:r w:rsidRPr="009806FE" w:rsidR="00807697">
        <w:rPr>
          <w:rFonts w:cs="Times New Roman"/>
          <w:szCs w:val="24"/>
        </w:rPr>
        <w:t xml:space="preserve"> </w:t>
      </w:r>
      <w:r w:rsidRPr="009806FE">
        <w:rPr>
          <w:rFonts w:cs="Times New Roman"/>
          <w:szCs w:val="24"/>
        </w:rPr>
        <w:t>books and records</w:t>
      </w:r>
      <w:r w:rsidRPr="009806FE" w:rsidR="00807697">
        <w:rPr>
          <w:rFonts w:cs="Times New Roman"/>
          <w:szCs w:val="24"/>
        </w:rPr>
        <w:t xml:space="preserve"> related to the non-enumerated bona fide hedge application process</w:t>
      </w:r>
      <w:r w:rsidRPr="009806FE">
        <w:rPr>
          <w:rFonts w:cs="Times New Roman"/>
          <w:szCs w:val="24"/>
        </w:rPr>
        <w:t>.</w:t>
      </w:r>
      <w:r>
        <w:rPr>
          <w:rFonts w:cs="Times New Roman"/>
          <w:szCs w:val="24"/>
          <w:vertAlign w:val="superscript"/>
        </w:rPr>
        <w:footnoteReference w:id="16"/>
      </w:r>
      <w:bookmarkEnd w:id="3"/>
    </w:p>
    <w:p w:rsidR="003442B3" w:rsidRPr="009806FE" w:rsidP="00E42D10" w14:paraId="44FDFA00" w14:textId="0473C7FE">
      <w:pPr>
        <w:spacing w:after="240"/>
        <w:ind w:firstLine="720"/>
        <w:jc w:val="both"/>
        <w:rPr>
          <w:rFonts w:cs="Times New Roman"/>
          <w:szCs w:val="24"/>
        </w:rPr>
      </w:pPr>
      <w:r w:rsidRPr="009806FE">
        <w:rPr>
          <w:rFonts w:cs="Times New Roman"/>
          <w:szCs w:val="24"/>
        </w:rPr>
        <w:t>Under § 150.9(e), an exchange need</w:t>
      </w:r>
      <w:r w:rsidRPr="009806FE" w:rsidR="64EEBC3F">
        <w:rPr>
          <w:rFonts w:cs="Times New Roman"/>
          <w:szCs w:val="24"/>
        </w:rPr>
        <w:t>s</w:t>
      </w:r>
      <w:r w:rsidRPr="009806FE">
        <w:rPr>
          <w:rFonts w:cs="Times New Roman"/>
          <w:szCs w:val="24"/>
        </w:rPr>
        <w:t xml:space="preserve"> to provide an applicant and the Commission with notice of any approved application of an exchange’s determination to recognize bona fide hedges with respect to its own position limits for purposes of exceeding the federal position limits.</w:t>
      </w:r>
    </w:p>
    <w:p w:rsidR="00FA1C85" w:rsidP="00543EE4" w14:paraId="039DA2F1" w14:textId="0FC2B2EB">
      <w:pPr>
        <w:spacing w:after="240"/>
        <w:ind w:firstLine="720"/>
        <w:jc w:val="both"/>
        <w:rPr>
          <w:rFonts w:cs="Times New Roman"/>
          <w:szCs w:val="24"/>
        </w:rPr>
      </w:pPr>
      <w:r w:rsidRPr="009806FE">
        <w:rPr>
          <w:rFonts w:cs="Times New Roman"/>
          <w:szCs w:val="24"/>
        </w:rPr>
        <w:t>In addition to submitting a copy of any exchange-approved non-enumerated bona fide hedge application to the Commission under § 150.9(e), the preamble</w:t>
      </w:r>
      <w:r w:rsidRPr="009806FE" w:rsidR="020C07B9">
        <w:rPr>
          <w:rFonts w:cs="Times New Roman"/>
          <w:szCs w:val="24"/>
        </w:rPr>
        <w:t xml:space="preserve"> to the Final Rule</w:t>
      </w:r>
      <w:r w:rsidRPr="009806FE">
        <w:rPr>
          <w:rFonts w:cs="Times New Roman"/>
          <w:szCs w:val="24"/>
        </w:rPr>
        <w:t xml:space="preserve"> clarifies that an exchange may, on a voluntary basis, send the Commission an advance courtesy copy of the non-enumerated bona fide hedge application when the exchange first receives it from the applicant. </w:t>
      </w:r>
      <w:r w:rsidRPr="009806FE" w:rsidR="020C07B9">
        <w:rPr>
          <w:rFonts w:cs="Times New Roman"/>
          <w:szCs w:val="24"/>
        </w:rPr>
        <w:t xml:space="preserve"> </w:t>
      </w:r>
      <w:r w:rsidRPr="009806FE">
        <w:rPr>
          <w:rFonts w:cs="Times New Roman"/>
          <w:szCs w:val="24"/>
        </w:rPr>
        <w:t>Although this advance courtesy copy would be a voluntary submission, it is still considered a new information collection under the PRA.</w:t>
      </w:r>
    </w:p>
    <w:p w:rsidR="00543EE4" w:rsidP="00E42D10" w14:paraId="02C743F3" w14:textId="77777777">
      <w:pPr>
        <w:spacing w:after="240"/>
        <w:ind w:firstLine="720"/>
        <w:rPr>
          <w:rFonts w:cs="Times New Roman"/>
          <w:szCs w:val="24"/>
        </w:rPr>
      </w:pPr>
      <w:r w:rsidRPr="009806FE">
        <w:rPr>
          <w:rFonts w:cs="Times New Roman"/>
          <w:szCs w:val="24"/>
        </w:rPr>
        <w:t xml:space="preserve">As outlined in Attachment A, annual costs associated with these burden hours total </w:t>
      </w:r>
      <w:r w:rsidRPr="009806FE" w:rsidR="2A979744">
        <w:rPr>
          <w:rFonts w:cs="Times New Roman"/>
          <w:szCs w:val="24"/>
        </w:rPr>
        <w:t xml:space="preserve">is </w:t>
      </w:r>
      <w:r w:rsidRPr="009806FE">
        <w:rPr>
          <w:rFonts w:cs="Times New Roman"/>
          <w:szCs w:val="24"/>
        </w:rPr>
        <w:t>$</w:t>
      </w:r>
      <w:r w:rsidRPr="009806FE" w:rsidR="00807697">
        <w:rPr>
          <w:rFonts w:cs="Times New Roman"/>
          <w:szCs w:val="24"/>
        </w:rPr>
        <w:t>0 since the Commission is not aware of any information collection since the Final Rule nor does the Commission expect any information collections in the future.</w:t>
      </w:r>
    </w:p>
    <w:p w:rsidR="53E60DA2" w:rsidRPr="009806FE" w:rsidP="00E42D10" w14:paraId="5D6D453C" w14:textId="4BAC90D2">
      <w:pPr>
        <w:pStyle w:val="ListParagraph"/>
        <w:numPr>
          <w:ilvl w:val="1"/>
          <w:numId w:val="6"/>
        </w:numPr>
        <w:spacing w:after="240"/>
        <w:contextualSpacing w:val="0"/>
        <w:rPr>
          <w:rFonts w:eastAsiaTheme="minorEastAsia" w:cs="Times New Roman"/>
          <w:szCs w:val="24"/>
        </w:rPr>
      </w:pPr>
      <w:r w:rsidRPr="009806FE">
        <w:rPr>
          <w:rFonts w:eastAsiaTheme="minorEastAsia" w:cs="Times New Roman"/>
          <w:szCs w:val="24"/>
          <w:u w:val="single"/>
        </w:rPr>
        <w:t>Aggregation</w:t>
      </w:r>
    </w:p>
    <w:p w:rsidR="00172C68" w:rsidRPr="009806FE" w:rsidP="00E42D10" w14:paraId="7C42CF60" w14:textId="42DCE334">
      <w:pPr>
        <w:spacing w:after="240"/>
        <w:ind w:firstLine="720"/>
        <w:jc w:val="both"/>
        <w:rPr>
          <w:rFonts w:eastAsia="Calibri" w:cs="Times New Roman"/>
          <w:szCs w:val="24"/>
        </w:rPr>
      </w:pPr>
      <w:r w:rsidRPr="009806FE">
        <w:rPr>
          <w:rFonts w:eastAsia="Times New Roman" w:cs="Times New Roman"/>
          <w:szCs w:val="24"/>
        </w:rPr>
        <w:t>Regulation</w:t>
      </w:r>
      <w:r w:rsidRPr="009806FE" w:rsidR="733B99C7">
        <w:rPr>
          <w:rFonts w:eastAsia="Times New Roman" w:cs="Times New Roman"/>
          <w:szCs w:val="24"/>
        </w:rPr>
        <w:t xml:space="preserve"> 150.4 </w:t>
      </w:r>
      <w:r w:rsidRPr="009806FE" w:rsidR="3F67DC61">
        <w:rPr>
          <w:rFonts w:eastAsia="Times New Roman" w:cs="Times New Roman"/>
          <w:szCs w:val="24"/>
        </w:rPr>
        <w:t xml:space="preserve">requires </w:t>
      </w:r>
      <w:r w:rsidRPr="009806FE" w:rsidR="733B99C7">
        <w:rPr>
          <w:rFonts w:eastAsia="Times New Roman" w:cs="Times New Roman"/>
          <w:szCs w:val="24"/>
        </w:rPr>
        <w:t xml:space="preserve">collections of information related to the aggregation of accounts for Commission set position limits.  </w:t>
      </w:r>
      <w:r w:rsidRPr="009806FE" w:rsidR="45A4A8DC">
        <w:rPr>
          <w:rFonts w:eastAsia="Times New Roman" w:cs="Times New Roman"/>
          <w:szCs w:val="24"/>
        </w:rPr>
        <w:t xml:space="preserve">Rule 150.4(b)(2) establishes an exemption for a person to disaggregate the positions of a separately organized entity (“owned entity”).  To claim </w:t>
      </w:r>
      <w:r w:rsidRPr="009806FE" w:rsidR="45A4A8DC">
        <w:rPr>
          <w:rFonts w:eastAsia="Times New Roman" w:cs="Times New Roman"/>
          <w:szCs w:val="24"/>
        </w:rPr>
        <w:t>the exemption</w:t>
      </w:r>
      <w:r w:rsidRPr="009806FE" w:rsidR="45A4A8DC">
        <w:rPr>
          <w:rFonts w:eastAsia="Times New Roman" w:cs="Times New Roman"/>
          <w:szCs w:val="24"/>
        </w:rPr>
        <w:t xml:space="preserve">, a person would need to meet certain criteria and file a notice with the Commission in accordance with regulation 150.4(c).  The notice filing would need to demonstrate compliance with certain conditions set forth in regulations 150.4(b)(2)(i).  </w:t>
      </w:r>
      <w:r w:rsidRPr="009806FE" w:rsidR="45A4A8DC">
        <w:rPr>
          <w:rFonts w:eastAsia="Times New Roman" w:cs="Times New Roman"/>
          <w:szCs w:val="24"/>
        </w:rPr>
        <w:t>Similar to</w:t>
      </w:r>
      <w:r w:rsidRPr="009806FE" w:rsidR="45A4A8DC">
        <w:rPr>
          <w:rFonts w:eastAsia="Times New Roman" w:cs="Times New Roman"/>
          <w:szCs w:val="24"/>
        </w:rPr>
        <w:t xml:space="preserve"> other exemptions from aggregation, the notice filing would be effective upon submission to the Commission, but the Commission may call for addition information as well as reject, modify or otherwise condition such relief.  Further, such person would be obligated to amend the notice filing in the event of a material change to the filing.</w:t>
      </w:r>
    </w:p>
    <w:p w:rsidR="00172C68" w:rsidRPr="009806FE" w:rsidP="00E42D10" w14:paraId="5A274190" w14:textId="57A23F54">
      <w:pPr>
        <w:spacing w:after="240"/>
        <w:ind w:firstLine="720"/>
        <w:jc w:val="both"/>
        <w:rPr>
          <w:rFonts w:eastAsia="Calibri" w:cs="Times New Roman"/>
          <w:szCs w:val="24"/>
        </w:rPr>
      </w:pPr>
      <w:r w:rsidRPr="009806FE">
        <w:rPr>
          <w:rFonts w:eastAsia="Times New Roman" w:cs="Times New Roman"/>
          <w:szCs w:val="24"/>
        </w:rPr>
        <w:t>Rule 150.4</w:t>
      </w:r>
      <w:r w:rsidRPr="009806FE" w:rsidR="00BB38FB">
        <w:rPr>
          <w:rFonts w:eastAsia="Times New Roman" w:cs="Times New Roman"/>
          <w:szCs w:val="24"/>
        </w:rPr>
        <w:t>(b)</w:t>
      </w:r>
      <w:r w:rsidRPr="009806FE">
        <w:rPr>
          <w:rFonts w:eastAsia="Times New Roman" w:cs="Times New Roman"/>
          <w:szCs w:val="24"/>
        </w:rPr>
        <w:t>(</w:t>
      </w:r>
      <w:r w:rsidRPr="009806FE" w:rsidR="00BB38FB">
        <w:rPr>
          <w:rFonts w:eastAsia="Times New Roman" w:cs="Times New Roman"/>
          <w:szCs w:val="24"/>
        </w:rPr>
        <w:t>4</w:t>
      </w:r>
      <w:r w:rsidRPr="009806FE">
        <w:rPr>
          <w:rFonts w:eastAsia="Times New Roman" w:cs="Times New Roman"/>
          <w:szCs w:val="24"/>
        </w:rPr>
        <w:t xml:space="preserve">) </w:t>
      </w:r>
      <w:r w:rsidRPr="009806FE" w:rsidR="00F300AC">
        <w:rPr>
          <w:rFonts w:eastAsia="Times New Roman" w:cs="Times New Roman"/>
          <w:szCs w:val="24"/>
        </w:rPr>
        <w:t>includes</w:t>
      </w:r>
      <w:r w:rsidRPr="009806FE">
        <w:rPr>
          <w:rFonts w:eastAsia="Times New Roman" w:cs="Times New Roman"/>
          <w:szCs w:val="24"/>
        </w:rPr>
        <w:t xml:space="preserve"> </w:t>
      </w:r>
      <w:r w:rsidRPr="009806FE" w:rsidR="00F300AC">
        <w:rPr>
          <w:rFonts w:eastAsia="Times New Roman" w:cs="Times New Roman"/>
          <w:szCs w:val="24"/>
        </w:rPr>
        <w:t>an</w:t>
      </w:r>
      <w:r w:rsidRPr="009806FE">
        <w:rPr>
          <w:rFonts w:eastAsia="Times New Roman" w:cs="Times New Roman"/>
          <w:szCs w:val="24"/>
        </w:rPr>
        <w:t xml:space="preserve"> exemption for independent account controllers (the </w:t>
      </w:r>
      <w:r w:rsidRPr="009806FE" w:rsidR="00F300AC">
        <w:rPr>
          <w:rFonts w:eastAsia="Times New Roman" w:cs="Times New Roman"/>
          <w:szCs w:val="24"/>
        </w:rPr>
        <w:t>“</w:t>
      </w:r>
      <w:r w:rsidRPr="009806FE">
        <w:rPr>
          <w:rFonts w:eastAsia="Times New Roman" w:cs="Times New Roman"/>
          <w:szCs w:val="24"/>
        </w:rPr>
        <w:t>IAC exemption</w:t>
      </w:r>
      <w:r w:rsidRPr="009806FE" w:rsidR="00F300AC">
        <w:rPr>
          <w:rFonts w:eastAsia="Times New Roman" w:cs="Times New Roman"/>
          <w:szCs w:val="24"/>
        </w:rPr>
        <w:t>”</w:t>
      </w:r>
      <w:r w:rsidRPr="009806FE">
        <w:rPr>
          <w:rFonts w:eastAsia="Times New Roman" w:cs="Times New Roman"/>
          <w:szCs w:val="24"/>
        </w:rPr>
        <w:t>)</w:t>
      </w:r>
      <w:r w:rsidRPr="009806FE" w:rsidR="00F300AC">
        <w:rPr>
          <w:rFonts w:eastAsia="Times New Roman" w:cs="Times New Roman"/>
          <w:szCs w:val="24"/>
        </w:rPr>
        <w:t>, which also</w:t>
      </w:r>
      <w:r w:rsidRPr="009806FE">
        <w:rPr>
          <w:rFonts w:eastAsia="Times New Roman" w:cs="Times New Roman"/>
          <w:szCs w:val="24"/>
        </w:rPr>
        <w:t xml:space="preserve"> include</w:t>
      </w:r>
      <w:r w:rsidRPr="009806FE" w:rsidR="00F300AC">
        <w:rPr>
          <w:rFonts w:eastAsia="Times New Roman" w:cs="Times New Roman"/>
          <w:szCs w:val="24"/>
        </w:rPr>
        <w:t>s</w:t>
      </w:r>
      <w:r w:rsidRPr="009806FE">
        <w:rPr>
          <w:rFonts w:eastAsia="Times New Roman" w:cs="Times New Roman"/>
          <w:szCs w:val="24"/>
        </w:rPr>
        <w:t xml:space="preserve"> additional </w:t>
      </w:r>
      <w:r w:rsidRPr="009806FE" w:rsidR="00F300AC">
        <w:rPr>
          <w:rFonts w:eastAsia="Times New Roman" w:cs="Times New Roman"/>
          <w:szCs w:val="24"/>
        </w:rPr>
        <w:t>“</w:t>
      </w:r>
      <w:r w:rsidRPr="009806FE">
        <w:rPr>
          <w:rFonts w:eastAsia="Times New Roman" w:cs="Times New Roman"/>
          <w:szCs w:val="24"/>
        </w:rPr>
        <w:t>eligible participants</w:t>
      </w:r>
      <w:r w:rsidRPr="009806FE" w:rsidR="00F300AC">
        <w:rPr>
          <w:rFonts w:eastAsia="Times New Roman" w:cs="Times New Roman"/>
          <w:szCs w:val="24"/>
        </w:rPr>
        <w:t>”</w:t>
      </w:r>
      <w:r w:rsidRPr="009806FE">
        <w:rPr>
          <w:rFonts w:eastAsia="Times New Roman" w:cs="Times New Roman"/>
          <w:szCs w:val="24"/>
        </w:rPr>
        <w:t xml:space="preserve"> that can file for the exemption.  To claim </w:t>
      </w:r>
      <w:r w:rsidRPr="009806FE">
        <w:rPr>
          <w:rFonts w:eastAsia="Times New Roman" w:cs="Times New Roman"/>
          <w:szCs w:val="24"/>
        </w:rPr>
        <w:t>the exemption</w:t>
      </w:r>
      <w:r w:rsidRPr="009806FE">
        <w:rPr>
          <w:rFonts w:eastAsia="Times New Roman" w:cs="Times New Roman"/>
          <w:szCs w:val="24"/>
        </w:rPr>
        <w:t>, a person need</w:t>
      </w:r>
      <w:r w:rsidRPr="009806FE" w:rsidR="60AD762A">
        <w:rPr>
          <w:rFonts w:eastAsia="Times New Roman" w:cs="Times New Roman"/>
          <w:szCs w:val="24"/>
        </w:rPr>
        <w:t>s</w:t>
      </w:r>
      <w:r w:rsidRPr="009806FE">
        <w:rPr>
          <w:rFonts w:eastAsia="Times New Roman" w:cs="Times New Roman"/>
          <w:szCs w:val="24"/>
        </w:rPr>
        <w:t xml:space="preserve"> to meet certain criteria and file a notice with the Commission in accordance with regulation 150.4(c).  </w:t>
      </w:r>
      <w:r w:rsidRPr="009806FE">
        <w:rPr>
          <w:rFonts w:eastAsia="Times New Roman" w:cs="Times New Roman"/>
          <w:szCs w:val="24"/>
        </w:rPr>
        <w:t>Similar to</w:t>
      </w:r>
      <w:r w:rsidRPr="009806FE">
        <w:rPr>
          <w:rFonts w:eastAsia="Times New Roman" w:cs="Times New Roman"/>
          <w:szCs w:val="24"/>
        </w:rPr>
        <w:t xml:space="preserve"> other exemptions from aggregation, the notice filing </w:t>
      </w:r>
      <w:r w:rsidRPr="009806FE" w:rsidR="40148279">
        <w:rPr>
          <w:rFonts w:eastAsia="Times New Roman" w:cs="Times New Roman"/>
          <w:szCs w:val="24"/>
        </w:rPr>
        <w:t>is</w:t>
      </w:r>
      <w:r w:rsidRPr="009806FE">
        <w:rPr>
          <w:rFonts w:eastAsia="Times New Roman" w:cs="Times New Roman"/>
          <w:szCs w:val="24"/>
        </w:rPr>
        <w:t xml:space="preserve"> effective upon submission to the Commission, but the Commission may call for addition information as well as reject, modify or otherwise condition such relief.  Further, such person </w:t>
      </w:r>
      <w:r w:rsidRPr="009806FE" w:rsidR="6FE4FB4C">
        <w:rPr>
          <w:rFonts w:eastAsia="Times New Roman" w:cs="Times New Roman"/>
          <w:szCs w:val="24"/>
        </w:rPr>
        <w:t>is</w:t>
      </w:r>
      <w:r w:rsidRPr="009806FE">
        <w:rPr>
          <w:rFonts w:eastAsia="Times New Roman" w:cs="Times New Roman"/>
          <w:szCs w:val="24"/>
        </w:rPr>
        <w:t xml:space="preserve"> obligated to amend the notice filing in the event of a material change to the filing.</w:t>
      </w:r>
    </w:p>
    <w:p w:rsidR="2FFE187C" w:rsidRPr="002F7E81" w:rsidP="00E42D10" w14:paraId="5767D7D8" w14:textId="489E38F5">
      <w:pPr>
        <w:spacing w:after="240"/>
        <w:ind w:firstLine="720"/>
        <w:jc w:val="both"/>
        <w:rPr>
          <w:rFonts w:eastAsia="Times New Roman" w:cs="Times New Roman"/>
          <w:szCs w:val="24"/>
        </w:rPr>
      </w:pPr>
      <w:r w:rsidRPr="7F40232B">
        <w:rPr>
          <w:rFonts w:eastAsia="Times New Roman" w:cs="Times New Roman"/>
        </w:rPr>
        <w:t>Regulation 150.4(b)(</w:t>
      </w:r>
      <w:r w:rsidRPr="7F40232B" w:rsidR="00E95EA1">
        <w:rPr>
          <w:rFonts w:eastAsia="Times New Roman" w:cs="Times New Roman"/>
        </w:rPr>
        <w:t>7</w:t>
      </w:r>
      <w:r w:rsidRPr="7F40232B">
        <w:rPr>
          <w:rFonts w:eastAsia="Times New Roman" w:cs="Times New Roman"/>
        </w:rPr>
        <w:t>)</w:t>
      </w:r>
      <w:r w:rsidR="00D06C48">
        <w:rPr>
          <w:rFonts w:eastAsia="Times New Roman" w:cs="Times New Roman"/>
        </w:rPr>
        <w:t xml:space="preserve"> </w:t>
      </w:r>
      <w:r w:rsidRPr="7F40232B">
        <w:rPr>
          <w:rFonts w:eastAsia="Times New Roman" w:cs="Times New Roman"/>
        </w:rPr>
        <w:t>provides an exemption from aggregation where the sharing of information between persons would cause either person to violate federal law.  The exemption</w:t>
      </w:r>
      <w:r w:rsidRPr="7F40232B" w:rsidR="613EEADD">
        <w:rPr>
          <w:rFonts w:eastAsia="Times New Roman" w:cs="Times New Roman"/>
        </w:rPr>
        <w:t xml:space="preserve"> applies</w:t>
      </w:r>
      <w:r w:rsidRPr="7F40232B">
        <w:rPr>
          <w:rFonts w:eastAsia="Times New Roman" w:cs="Times New Roman"/>
        </w:rPr>
        <w:t xml:space="preserve"> to a situation where the sharing of information creates a reasonable risk of a violation of federal, state, or foreign law or regulations adopted thereunder</w:t>
      </w:r>
      <w:r w:rsidRPr="7F40232B" w:rsidR="17EFCF78">
        <w:rPr>
          <w:rFonts w:eastAsia="Times New Roman" w:cs="Times New Roman"/>
        </w:rPr>
        <w:t xml:space="preserve">.  </w:t>
      </w:r>
      <w:r w:rsidRPr="7F40232B">
        <w:rPr>
          <w:rFonts w:eastAsia="Times New Roman" w:cs="Times New Roman"/>
        </w:rPr>
        <w:t xml:space="preserve">The rules also have a requirement that market participants file a notice demonstrating compliance with the condition, including an internal memorandum of counsel.  The memorandum allows Commission staff to review the legal basis for the asserted regulatory impediment to the sharing of </w:t>
      </w:r>
      <w:r w:rsidRPr="7F40232B">
        <w:rPr>
          <w:rFonts w:eastAsia="Times New Roman" w:cs="Times New Roman"/>
        </w:rPr>
        <w:t>information, and</w:t>
      </w:r>
      <w:r w:rsidRPr="7F40232B">
        <w:rPr>
          <w:rFonts w:eastAsia="Times New Roman" w:cs="Times New Roman"/>
        </w:rPr>
        <w:t xml:space="preserve"> is particularly helpful where the asserted impediment arises from laws and/or regulations that the Commission does not directly administer.  Further, Commission staff </w:t>
      </w:r>
      <w:r w:rsidRPr="7F40232B">
        <w:rPr>
          <w:rFonts w:eastAsia="Times New Roman" w:cs="Times New Roman"/>
        </w:rPr>
        <w:t>have the ability to</w:t>
      </w:r>
      <w:r w:rsidRPr="7F40232B">
        <w:rPr>
          <w:rFonts w:eastAsia="Times New Roman" w:cs="Times New Roman"/>
        </w:rPr>
        <w:t xml:space="preserve"> consult with other </w:t>
      </w:r>
      <w:r w:rsidRPr="7F40232B">
        <w:rPr>
          <w:rFonts w:eastAsia="Times New Roman" w:cs="Times New Roman"/>
        </w:rPr>
        <w:t xml:space="preserve">federal regulators as to the accuracy of the opinion, and to coordinate the development of rules surrounding information sharing and </w:t>
      </w:r>
      <w:r w:rsidRPr="002F7E81">
        <w:rPr>
          <w:rFonts w:eastAsia="Times New Roman" w:cs="Times New Roman"/>
        </w:rPr>
        <w:t>aggregation across accounts in the future.</w:t>
      </w:r>
    </w:p>
    <w:p w:rsidR="2FFE187C" w:rsidRPr="009806FE" w:rsidP="00E42D10" w14:paraId="183979BC" w14:textId="23AAC336">
      <w:pPr>
        <w:spacing w:after="240"/>
        <w:ind w:firstLine="720"/>
        <w:jc w:val="both"/>
        <w:rPr>
          <w:rFonts w:eastAsia="Times New Roman" w:cs="Times New Roman"/>
        </w:rPr>
      </w:pPr>
      <w:r w:rsidRPr="002F7E81">
        <w:rPr>
          <w:rFonts w:eastAsia="Times New Roman" w:cs="Times New Roman"/>
        </w:rPr>
        <w:t>The Commission believes the rules would result in</w:t>
      </w:r>
      <w:r w:rsidRPr="002F7E81" w:rsidR="0FEC70E2">
        <w:rPr>
          <w:rFonts w:eastAsia="Times New Roman" w:cs="Times New Roman"/>
        </w:rPr>
        <w:t xml:space="preserve"> 340 annual responses from 240 respondents and</w:t>
      </w:r>
      <w:r w:rsidRPr="002F7E81">
        <w:rPr>
          <w:rFonts w:eastAsia="Times New Roman" w:cs="Times New Roman"/>
        </w:rPr>
        <w:t xml:space="preserve"> a paperwork burden of </w:t>
      </w:r>
      <w:r w:rsidRPr="002F7E81" w:rsidR="0028300D">
        <w:rPr>
          <w:rFonts w:eastAsia="Times New Roman" w:cs="Times New Roman"/>
        </w:rPr>
        <w:t>$</w:t>
      </w:r>
      <w:r w:rsidRPr="002F7E81" w:rsidR="00290396">
        <w:rPr>
          <w:rFonts w:eastAsia="Times New Roman" w:cs="Times New Roman"/>
        </w:rPr>
        <w:t>642,96</w:t>
      </w:r>
      <w:r w:rsidRPr="002F7E81" w:rsidR="0028300D">
        <w:rPr>
          <w:rFonts w:eastAsia="Times New Roman" w:cs="Times New Roman"/>
        </w:rPr>
        <w:t>0</w:t>
      </w:r>
      <w:r w:rsidRPr="002F7E81">
        <w:rPr>
          <w:rFonts w:eastAsia="Times New Roman" w:cs="Times New Roman"/>
        </w:rPr>
        <w:t xml:space="preserve">.  </w:t>
      </w:r>
      <w:r w:rsidRPr="002F7E81" w:rsidR="00B13CE9">
        <w:rPr>
          <w:rFonts w:eastAsia="Times New Roman" w:cs="Times New Roman"/>
        </w:rPr>
        <w:t>However,</w:t>
      </w:r>
      <w:r w:rsidRPr="002F7E81" w:rsidR="33928B1D">
        <w:rPr>
          <w:rFonts w:eastAsia="Times New Roman" w:cs="Times New Roman"/>
        </w:rPr>
        <w:t xml:space="preserve"> due to relief provided </w:t>
      </w:r>
      <w:r w:rsidRPr="002F7E81" w:rsidR="00020DE8">
        <w:rPr>
          <w:rFonts w:eastAsia="Times New Roman" w:cs="Times New Roman"/>
        </w:rPr>
        <w:t xml:space="preserve">most recently </w:t>
      </w:r>
      <w:r w:rsidRPr="002F7E81" w:rsidR="33928B1D">
        <w:rPr>
          <w:rFonts w:eastAsia="Times New Roman" w:cs="Times New Roman"/>
        </w:rPr>
        <w:t>by CFTC</w:t>
      </w:r>
      <w:r w:rsidRPr="7F40232B" w:rsidR="33928B1D">
        <w:rPr>
          <w:rFonts w:eastAsia="Times New Roman" w:cs="Times New Roman"/>
        </w:rPr>
        <w:t xml:space="preserve"> Staff Letter </w:t>
      </w:r>
      <w:r w:rsidR="00973AFF">
        <w:rPr>
          <w:rFonts w:eastAsia="Times New Roman" w:cs="Times New Roman"/>
        </w:rPr>
        <w:t>25-21</w:t>
      </w:r>
      <w:r w:rsidRPr="7F40232B" w:rsidR="33928B1D">
        <w:rPr>
          <w:rFonts w:eastAsia="Times New Roman" w:cs="Times New Roman"/>
        </w:rPr>
        <w:t xml:space="preserve">, market participants </w:t>
      </w:r>
      <w:r w:rsidRPr="7F40232B" w:rsidR="39F92181">
        <w:rPr>
          <w:rFonts w:eastAsia="Times New Roman" w:cs="Times New Roman"/>
        </w:rPr>
        <w:t>are not required to fulfill these reporting requirements.</w:t>
      </w:r>
      <w:r>
        <w:rPr>
          <w:rFonts w:eastAsia="Times New Roman" w:cs="Times New Roman"/>
          <w:vertAlign w:val="superscript"/>
        </w:rPr>
        <w:footnoteReference w:id="17"/>
      </w:r>
      <w:r w:rsidRPr="7F40232B" w:rsidR="00AA0E59">
        <w:rPr>
          <w:rFonts w:eastAsia="Times New Roman" w:cs="Times New Roman"/>
          <w:vertAlign w:val="superscript"/>
        </w:rPr>
        <w:t xml:space="preserve"> </w:t>
      </w:r>
      <w:r w:rsidRPr="7F40232B" w:rsidR="00AA0E59">
        <w:rPr>
          <w:rFonts w:eastAsia="Times New Roman" w:cs="Times New Roman"/>
        </w:rPr>
        <w:t xml:space="preserve"> Accordingly, the Commission’s estimates related to Regulation 150.4 are purely hypothetical.</w:t>
      </w:r>
    </w:p>
    <w:p w:rsidR="00384D83" w:rsidRPr="009806FE" w:rsidP="00E42D10" w14:paraId="309FEDCF" w14:textId="66EECAD0">
      <w:pPr>
        <w:spacing w:after="240"/>
        <w:ind w:firstLine="720"/>
        <w:jc w:val="both"/>
        <w:rPr>
          <w:rFonts w:eastAsia="Calibri" w:cs="Times New Roman"/>
          <w:szCs w:val="24"/>
        </w:rPr>
      </w:pPr>
      <w:r w:rsidRPr="009806FE">
        <w:rPr>
          <w:rFonts w:cs="Times New Roman"/>
          <w:szCs w:val="24"/>
        </w:rPr>
        <w:t>v</w:t>
      </w:r>
      <w:r w:rsidRPr="009806FE" w:rsidR="3BFEB793">
        <w:rPr>
          <w:rFonts w:cs="Times New Roman"/>
          <w:szCs w:val="24"/>
        </w:rPr>
        <w:t>ii</w:t>
      </w:r>
      <w:r w:rsidRPr="009806FE">
        <w:rPr>
          <w:rFonts w:cs="Times New Roman"/>
          <w:szCs w:val="24"/>
        </w:rPr>
        <w:t xml:space="preserve">.  </w:t>
      </w:r>
      <w:r w:rsidRPr="009806FE">
        <w:rPr>
          <w:rFonts w:cs="Times New Roman"/>
          <w:szCs w:val="24"/>
          <w:u w:val="single"/>
        </w:rPr>
        <w:t>Reports by Reporting Firms</w:t>
      </w:r>
    </w:p>
    <w:p w:rsidR="00384D83" w:rsidRPr="009806FE" w:rsidP="00543EE4" w14:paraId="0CD98962" w14:textId="329DDA77">
      <w:pPr>
        <w:spacing w:after="240"/>
        <w:ind w:firstLine="720"/>
        <w:rPr>
          <w:rFonts w:eastAsia="Calibri" w:cs="Times New Roman"/>
          <w:szCs w:val="24"/>
        </w:rPr>
      </w:pPr>
      <w:r w:rsidRPr="009806FE">
        <w:rPr>
          <w:rFonts w:eastAsia="Calibri" w:cs="Times New Roman"/>
          <w:szCs w:val="24"/>
        </w:rPr>
        <w:t>As discussed above</w:t>
      </w:r>
      <w:r w:rsidRPr="009806FE" w:rsidR="15524EAD">
        <w:rPr>
          <w:rFonts w:eastAsia="Calibri" w:cs="Times New Roman"/>
          <w:szCs w:val="24"/>
        </w:rPr>
        <w:t>,</w:t>
      </w:r>
      <w:r w:rsidRPr="009806FE" w:rsidR="00E43378">
        <w:rPr>
          <w:rFonts w:eastAsia="Calibri" w:cs="Times New Roman"/>
          <w:szCs w:val="24"/>
        </w:rPr>
        <w:t xml:space="preserve"> the Final Rule moved the </w:t>
      </w:r>
      <w:r w:rsidRPr="009806FE">
        <w:rPr>
          <w:rFonts w:eastAsia="Calibri" w:cs="Times New Roman"/>
          <w:szCs w:val="24"/>
        </w:rPr>
        <w:t>information collections and related burdens under part 19 of the Commission’s regulations to OMB control number 3038-0013.</w:t>
      </w:r>
      <w:r w:rsidRPr="009806FE" w:rsidR="00EC2D80">
        <w:rPr>
          <w:rFonts w:eastAsia="Calibri" w:cs="Times New Roman"/>
          <w:szCs w:val="24"/>
        </w:rPr>
        <w:t xml:space="preserve">  Part 19 requires certain “cotton </w:t>
      </w:r>
      <w:r w:rsidRPr="009806FE" w:rsidR="00EC2D80">
        <w:rPr>
          <w:rFonts w:eastAsia="Calibri" w:cs="Times New Roman"/>
          <w:szCs w:val="24"/>
        </w:rPr>
        <w:t>on-call</w:t>
      </w:r>
      <w:r w:rsidRPr="009806FE" w:rsidR="00EC2D80">
        <w:rPr>
          <w:rFonts w:eastAsia="Calibri" w:cs="Times New Roman"/>
          <w:szCs w:val="24"/>
        </w:rPr>
        <w:t>” reports, which generally are submitted by market participants weekly.</w:t>
      </w:r>
    </w:p>
    <w:p w:rsidR="00642B6A" w:rsidRPr="009806FE" w:rsidP="00E42D10" w14:paraId="1123FDFF" w14:textId="04DAC7D7">
      <w:pPr>
        <w:spacing w:after="240"/>
        <w:ind w:firstLine="720"/>
        <w:jc w:val="both"/>
        <w:rPr>
          <w:rFonts w:eastAsia="Times New Roman" w:cs="Times New Roman"/>
          <w:color w:val="000000"/>
          <w:szCs w:val="24"/>
        </w:rPr>
      </w:pPr>
      <w:r w:rsidRPr="002F7E81">
        <w:rPr>
          <w:rFonts w:eastAsia="Calibri" w:cs="Times New Roman"/>
          <w:szCs w:val="24"/>
        </w:rPr>
        <w:t>Based on the most recent filings, t</w:t>
      </w:r>
      <w:r w:rsidRPr="002F7E81" w:rsidR="63B541CF">
        <w:rPr>
          <w:rFonts w:eastAsia="Calibri" w:cs="Times New Roman"/>
          <w:szCs w:val="24"/>
        </w:rPr>
        <w:t xml:space="preserve">he Commission </w:t>
      </w:r>
      <w:r w:rsidRPr="002F7E81" w:rsidR="00310933">
        <w:rPr>
          <w:rFonts w:eastAsia="Calibri" w:cs="Times New Roman"/>
          <w:szCs w:val="24"/>
        </w:rPr>
        <w:t>estimates</w:t>
      </w:r>
      <w:r w:rsidRPr="002F7E81" w:rsidR="63B541CF">
        <w:rPr>
          <w:rFonts w:eastAsia="Calibri" w:cs="Times New Roman"/>
          <w:szCs w:val="24"/>
        </w:rPr>
        <w:t xml:space="preserve"> </w:t>
      </w:r>
      <w:r w:rsidRPr="002F7E81" w:rsidR="00310933">
        <w:rPr>
          <w:rFonts w:eastAsia="Calibri" w:cs="Times New Roman"/>
          <w:szCs w:val="24"/>
        </w:rPr>
        <w:t xml:space="preserve">40 </w:t>
      </w:r>
      <w:r w:rsidRPr="002F7E81" w:rsidR="63B541CF">
        <w:rPr>
          <w:rFonts w:eastAsia="Calibri" w:cs="Times New Roman"/>
          <w:szCs w:val="24"/>
        </w:rPr>
        <w:t xml:space="preserve">reportable traders </w:t>
      </w:r>
      <w:r w:rsidRPr="002F7E81" w:rsidR="3C5AAC3C">
        <w:rPr>
          <w:rFonts w:eastAsia="Calibri" w:cs="Times New Roman"/>
          <w:szCs w:val="24"/>
        </w:rPr>
        <w:t>are</w:t>
      </w:r>
      <w:r w:rsidRPr="002F7E81" w:rsidR="63B541CF">
        <w:rPr>
          <w:rFonts w:eastAsia="Calibri" w:cs="Times New Roman"/>
          <w:szCs w:val="24"/>
        </w:rPr>
        <w:t xml:space="preserve"> required to file Part III of Form 304.</w:t>
      </w:r>
      <w:r>
        <w:rPr>
          <w:rFonts w:eastAsia="Calibri" w:cs="Times New Roman"/>
          <w:szCs w:val="24"/>
          <w:vertAlign w:val="superscript"/>
        </w:rPr>
        <w:footnoteReference w:id="18"/>
      </w:r>
      <w:r w:rsidRPr="002F7E81" w:rsidR="63B541CF">
        <w:rPr>
          <w:rFonts w:eastAsia="Calibri" w:cs="Times New Roman"/>
          <w:szCs w:val="24"/>
        </w:rPr>
        <w:t xml:space="preserve">  Thus, the Commission continues to expect approximately </w:t>
      </w:r>
      <w:r w:rsidRPr="002F7E81" w:rsidR="00310933">
        <w:rPr>
          <w:rFonts w:eastAsia="Calibri" w:cs="Times New Roman"/>
          <w:szCs w:val="24"/>
        </w:rPr>
        <w:t>40</w:t>
      </w:r>
      <w:r w:rsidRPr="002F7E81" w:rsidR="63B541CF">
        <w:rPr>
          <w:rFonts w:eastAsia="Calibri" w:cs="Times New Roman"/>
          <w:szCs w:val="24"/>
        </w:rPr>
        <w:t xml:space="preserve"> weekly Form 304 reports, for an annual total of </w:t>
      </w:r>
      <w:r w:rsidRPr="002F7E81" w:rsidR="00310933">
        <w:rPr>
          <w:rFonts w:eastAsia="Calibri" w:cs="Times New Roman"/>
          <w:szCs w:val="24"/>
        </w:rPr>
        <w:t>2,080</w:t>
      </w:r>
      <w:r w:rsidRPr="002F7E81" w:rsidR="63B541CF">
        <w:rPr>
          <w:rFonts w:eastAsia="Calibri" w:cs="Times New Roman"/>
          <w:szCs w:val="24"/>
        </w:rPr>
        <w:t xml:space="preserve"> reports</w:t>
      </w:r>
      <w:r>
        <w:rPr>
          <w:rFonts w:eastAsia="Calibri" w:cs="Times New Roman"/>
          <w:szCs w:val="24"/>
          <w:vertAlign w:val="superscript"/>
        </w:rPr>
        <w:footnoteReference w:id="19"/>
      </w:r>
      <w:r w:rsidRPr="002F7E81" w:rsidR="63B541CF">
        <w:rPr>
          <w:rFonts w:eastAsia="Calibri" w:cs="Times New Roman"/>
          <w:szCs w:val="24"/>
        </w:rPr>
        <w:t xml:space="preserve"> for an aggregate total of </w:t>
      </w:r>
      <w:r w:rsidRPr="002F7E81" w:rsidR="00310933">
        <w:rPr>
          <w:rFonts w:eastAsia="Calibri" w:cs="Times New Roman"/>
          <w:szCs w:val="24"/>
        </w:rPr>
        <w:t>1,040</w:t>
      </w:r>
      <w:r w:rsidRPr="002F7E81" w:rsidR="63B541CF">
        <w:rPr>
          <w:rFonts w:eastAsia="Calibri" w:cs="Times New Roman"/>
          <w:szCs w:val="24"/>
        </w:rPr>
        <w:t xml:space="preserve"> burden hours.</w:t>
      </w:r>
      <w:r>
        <w:rPr>
          <w:rFonts w:eastAsia="Calibri" w:cs="Times New Roman"/>
          <w:szCs w:val="24"/>
          <w:vertAlign w:val="superscript"/>
        </w:rPr>
        <w:footnoteReference w:id="20"/>
      </w:r>
      <w:r w:rsidRPr="002F7E81" w:rsidR="63B541CF">
        <w:rPr>
          <w:rFonts w:eastAsia="Calibri" w:cs="Times New Roman"/>
          <w:szCs w:val="24"/>
        </w:rPr>
        <w:t xml:space="preserve">  </w:t>
      </w:r>
      <w:r w:rsidRPr="002F7E81" w:rsidR="63B541CF">
        <w:rPr>
          <w:rFonts w:cs="Times New Roman"/>
          <w:szCs w:val="24"/>
        </w:rPr>
        <w:t>Assuming an estimated average burden hour cost of $</w:t>
      </w:r>
      <w:r w:rsidRPr="002F7E81" w:rsidR="007E6ADA">
        <w:rPr>
          <w:rFonts w:cs="Times New Roman"/>
          <w:szCs w:val="24"/>
        </w:rPr>
        <w:t>94</w:t>
      </w:r>
      <w:r w:rsidRPr="002F7E81" w:rsidR="63B541CF">
        <w:rPr>
          <w:rFonts w:cs="Times New Roman"/>
          <w:szCs w:val="24"/>
        </w:rPr>
        <w:t xml:space="preserve">, the total annual burden hour cost for the </w:t>
      </w:r>
      <w:r w:rsidRPr="002F7E81" w:rsidR="00CB28D1">
        <w:rPr>
          <w:rFonts w:cs="Times New Roman"/>
          <w:szCs w:val="24"/>
        </w:rPr>
        <w:t>40</w:t>
      </w:r>
      <w:r w:rsidRPr="002F7E81" w:rsidR="63B541CF">
        <w:rPr>
          <w:rFonts w:cs="Times New Roman"/>
          <w:szCs w:val="24"/>
        </w:rPr>
        <w:t xml:space="preserve"> respondents is approximately $</w:t>
      </w:r>
      <w:r w:rsidRPr="002F7E81" w:rsidR="00000F3A">
        <w:rPr>
          <w:rFonts w:cs="Times New Roman"/>
          <w:szCs w:val="24"/>
        </w:rPr>
        <w:t>97,760</w:t>
      </w:r>
      <w:r w:rsidRPr="002F7E81" w:rsidR="00000F3A">
        <w:rPr>
          <w:rFonts w:cs="Times New Roman"/>
          <w:szCs w:val="24"/>
        </w:rPr>
        <w:t xml:space="preserve"> </w:t>
      </w:r>
      <w:r w:rsidRPr="002F7E81" w:rsidR="00CB28D1">
        <w:rPr>
          <w:rFonts w:cs="Times New Roman"/>
          <w:szCs w:val="24"/>
        </w:rPr>
        <w:t xml:space="preserve">(1,040 total hours </w:t>
      </w:r>
      <w:r w:rsidR="00B82C49">
        <w:rPr>
          <w:rFonts w:cs="Times New Roman"/>
          <w:szCs w:val="24"/>
        </w:rPr>
        <w:t>×</w:t>
      </w:r>
      <w:r w:rsidRPr="002F7E81" w:rsidR="00CB28D1">
        <w:rPr>
          <w:rFonts w:cs="Times New Roman"/>
          <w:szCs w:val="24"/>
        </w:rPr>
        <w:t xml:space="preserve"> $</w:t>
      </w:r>
      <w:r w:rsidRPr="002F7E81" w:rsidR="00000F3A">
        <w:rPr>
          <w:rFonts w:cs="Times New Roman"/>
          <w:szCs w:val="24"/>
        </w:rPr>
        <w:t>94</w:t>
      </w:r>
      <w:r w:rsidRPr="002F7E81" w:rsidR="00CB28D1">
        <w:rPr>
          <w:rFonts w:cs="Times New Roman"/>
          <w:szCs w:val="24"/>
        </w:rPr>
        <w:t xml:space="preserve"> per hour = $</w:t>
      </w:r>
      <w:r w:rsidRPr="002F7E81" w:rsidR="00000F3A">
        <w:t xml:space="preserve"> </w:t>
      </w:r>
      <w:r w:rsidRPr="002F7E81" w:rsidR="00000F3A">
        <w:rPr>
          <w:rFonts w:cs="Times New Roman"/>
          <w:szCs w:val="24"/>
        </w:rPr>
        <w:t>97,760</w:t>
      </w:r>
      <w:r w:rsidRPr="002F7E81" w:rsidR="00000F3A">
        <w:rPr>
          <w:rFonts w:cs="Times New Roman"/>
          <w:szCs w:val="24"/>
        </w:rPr>
        <w:t xml:space="preserve"> </w:t>
      </w:r>
      <w:r w:rsidRPr="002F7E81" w:rsidR="00CB28D1">
        <w:rPr>
          <w:rFonts w:cs="Times New Roman"/>
          <w:szCs w:val="24"/>
        </w:rPr>
        <w:t>total cost)</w:t>
      </w:r>
      <w:r w:rsidRPr="002F7E81" w:rsidR="63B541CF">
        <w:rPr>
          <w:rFonts w:cs="Times New Roman"/>
          <w:szCs w:val="24"/>
        </w:rPr>
        <w:t>.</w:t>
      </w:r>
    </w:p>
    <w:p w:rsidR="00642B6A" w:rsidRPr="009806FE" w:rsidP="00E42D10" w14:paraId="2CD3EB51" w14:textId="77777777">
      <w:pPr>
        <w:keepNext/>
        <w:tabs>
          <w:tab w:val="left" w:pos="-720"/>
          <w:tab w:val="left" w:pos="0"/>
        </w:tabs>
        <w:spacing w:after="240"/>
        <w:ind w:left="720" w:hanging="720"/>
        <w:jc w:val="both"/>
        <w:rPr>
          <w:rFonts w:eastAsia="Times New Roman" w:cs="Times New Roman"/>
          <w:b/>
          <w:szCs w:val="24"/>
        </w:rPr>
      </w:pPr>
      <w:r w:rsidRPr="009806FE">
        <w:rPr>
          <w:rFonts w:eastAsia="Times New Roman" w:cs="Times New Roman"/>
          <w:b/>
          <w:szCs w:val="24"/>
        </w:rPr>
        <w:t>13.</w:t>
      </w:r>
      <w:r w:rsidRPr="009806FE">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642B6A" w:rsidRPr="009806FE" w:rsidP="00E42D10" w14:paraId="58F7476F"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 xml:space="preserve">The cost estimate should be split into two </w:t>
      </w:r>
      <w:r w:rsidRPr="009806FE">
        <w:rPr>
          <w:rFonts w:eastAsia="Times New Roman" w:cs="Times New Roman"/>
          <w:b/>
          <w:szCs w:val="24"/>
        </w:rPr>
        <w:t>components;</w:t>
      </w:r>
      <w:r w:rsidRPr="009806FE">
        <w:rPr>
          <w:rFonts w:eastAsia="Times New Roman" w:cs="Times New Roman"/>
          <w:b/>
          <w:szCs w:val="24"/>
        </w:rPr>
        <w:t xml:space="preserve"> (a) a total capital and start-up cost component (annualized over its expected useful life) and (b) a total operation and maintenance and purchase of services component.  The estimates should </w:t>
      </w:r>
      <w:r w:rsidRPr="009806FE">
        <w:rPr>
          <w:rFonts w:eastAsia="Times New Roman" w:cs="Times New Roman"/>
          <w:b/>
          <w:szCs w:val="24"/>
        </w:rPr>
        <w:t>take into account</w:t>
      </w:r>
      <w:r w:rsidRPr="009806FE">
        <w:rPr>
          <w:rFonts w:eastAsia="Times New Roman" w:cs="Times New Roman"/>
          <w:b/>
          <w:szCs w:val="24"/>
        </w:rPr>
        <w:t xml:space="preserve"> costs associated with generating, maintaining, and disclosing or providing the information.  Include descriptions of methods used to estimate major </w:t>
      </w:r>
      <w:r w:rsidRPr="009806FE">
        <w:rPr>
          <w:rFonts w:eastAsia="Times New Roman" w:cs="Times New Roman"/>
          <w:b/>
          <w:szCs w:val="24"/>
        </w:rPr>
        <w:t>costs</w:t>
      </w:r>
      <w:r w:rsidRPr="009806FE">
        <w:rPr>
          <w:rFonts w:eastAsia="Times New Roman" w:cs="Times New Roman"/>
          <w:b/>
          <w:szCs w:val="24"/>
        </w:rPr>
        <w:t xml:space="preserve"> factors including system and technology acquisition, expected useful life of capital equipment, the discount rate(s), and the </w:t>
      </w:r>
      <w:r w:rsidRPr="009806FE">
        <w:rPr>
          <w:rFonts w:eastAsia="Times New Roman" w:cs="Times New Roman"/>
          <w:b/>
          <w:szCs w:val="24"/>
        </w:rPr>
        <w:t>time period</w:t>
      </w:r>
      <w:r w:rsidRPr="009806FE">
        <w:rPr>
          <w:rFonts w:eastAsia="Times New Roman" w:cs="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9806FE" w:rsidP="00E42D10" w14:paraId="217C5254"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9806FE" w:rsidP="00E42D10" w14:paraId="396F34A9" w14:textId="77777777">
      <w:pPr>
        <w:numPr>
          <w:ilvl w:val="0"/>
          <w:numId w:val="2"/>
        </w:numPr>
        <w:tabs>
          <w:tab w:val="left" w:pos="-720"/>
          <w:tab w:val="left" w:pos="0"/>
          <w:tab w:val="left" w:pos="720"/>
          <w:tab w:val="clear" w:pos="936"/>
        </w:tabs>
        <w:spacing w:after="240"/>
        <w:ind w:left="1080" w:hanging="360"/>
        <w:jc w:val="both"/>
        <w:rPr>
          <w:rFonts w:eastAsia="Times New Roman" w:cs="Times New Roman"/>
          <w:b/>
          <w:szCs w:val="24"/>
        </w:rPr>
      </w:pPr>
      <w:r w:rsidRPr="009806FE">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74DCD" w:rsidP="00E42D10" w14:paraId="3F35299B" w14:textId="77777777">
      <w:pPr>
        <w:spacing w:after="240"/>
        <w:ind w:firstLine="720"/>
        <w:rPr>
          <w:rFonts w:eastAsia="Times New Roman" w:cs="Times New Roman"/>
          <w:color w:val="000000"/>
          <w:szCs w:val="24"/>
        </w:rPr>
      </w:pPr>
      <w:r w:rsidRPr="009806FE">
        <w:rPr>
          <w:rFonts w:cs="Times New Roman"/>
          <w:szCs w:val="24"/>
        </w:rPr>
        <w:t>The Commission notes that it is difficult to ascertain an estimate of the average cost to market participants, as, depending on its size and complexity, a market participant could comply with position limits using anything from an Excel spreadsheet to multiple transaction capture systems.  In addition, the Commission maintains its belief that market participants will</w:t>
      </w:r>
      <w:r w:rsidRPr="009806FE" w:rsidR="00CC23BE">
        <w:rPr>
          <w:rFonts w:cs="Times New Roman"/>
          <w:szCs w:val="24"/>
        </w:rPr>
        <w:t xml:space="preserve"> continue to</w:t>
      </w:r>
      <w:r w:rsidRPr="009806FE">
        <w:rPr>
          <w:rFonts w:cs="Times New Roman"/>
          <w:szCs w:val="24"/>
        </w:rPr>
        <w:t xml:space="preserve"> leverage existing systems and strategies for tracking and reporting positions.  </w:t>
      </w:r>
      <w:r w:rsidR="007E1E12">
        <w:rPr>
          <w:rFonts w:eastAsia="Times New Roman" w:cs="Times New Roman"/>
          <w:color w:val="000000"/>
          <w:szCs w:val="24"/>
        </w:rPr>
        <w:t xml:space="preserve">Thus, the Commission believes that there will not be additional </w:t>
      </w:r>
      <w:r w:rsidRPr="00C032F4" w:rsidR="007E1E12">
        <w:rPr>
          <w:rFonts w:eastAsia="Times New Roman" w:cs="Times New Roman"/>
          <w:color w:val="000000"/>
          <w:szCs w:val="24"/>
        </w:rPr>
        <w:t>capital</w:t>
      </w:r>
      <w:r w:rsidR="007E1E12">
        <w:rPr>
          <w:rFonts w:eastAsia="Times New Roman" w:cs="Times New Roman"/>
          <w:color w:val="000000"/>
          <w:szCs w:val="24"/>
        </w:rPr>
        <w:t>/</w:t>
      </w:r>
      <w:r w:rsidRPr="00C032F4" w:rsidR="007E1E12">
        <w:rPr>
          <w:rFonts w:eastAsia="Times New Roman" w:cs="Times New Roman"/>
          <w:color w:val="000000"/>
          <w:szCs w:val="24"/>
        </w:rPr>
        <w:t>startup costs</w:t>
      </w:r>
      <w:r w:rsidR="007E1E12">
        <w:rPr>
          <w:rFonts w:eastAsia="Times New Roman" w:cs="Times New Roman"/>
          <w:color w:val="000000"/>
          <w:szCs w:val="24"/>
        </w:rPr>
        <w:t xml:space="preserve"> or operational/maintenance costs incurred by respondents </w:t>
      </w:r>
      <w:r w:rsidRPr="009B1E93" w:rsidR="007E1E12">
        <w:rPr>
          <w:rFonts w:eastAsia="Times New Roman" w:cs="Times New Roman"/>
          <w:color w:val="000000"/>
          <w:szCs w:val="24"/>
        </w:rPr>
        <w:t xml:space="preserve">to </w:t>
      </w:r>
      <w:r w:rsidR="007E1E12">
        <w:rPr>
          <w:rFonts w:eastAsia="Times New Roman" w:cs="Times New Roman"/>
          <w:color w:val="000000"/>
          <w:szCs w:val="24"/>
        </w:rPr>
        <w:t>comply with the regulations</w:t>
      </w:r>
      <w:r w:rsidRPr="009B1E93" w:rsidR="007E1E12">
        <w:rPr>
          <w:rFonts w:eastAsia="Times New Roman" w:cs="Times New Roman"/>
          <w:color w:val="000000"/>
          <w:szCs w:val="24"/>
        </w:rPr>
        <w:t>.</w:t>
      </w:r>
    </w:p>
    <w:p w:rsidR="00C50022" w:rsidRPr="009806FE" w:rsidP="00E42D10" w14:paraId="54A55A28" w14:textId="4037CFC6">
      <w:pPr>
        <w:tabs>
          <w:tab w:val="left" w:pos="-720"/>
        </w:tabs>
        <w:spacing w:after="240"/>
        <w:ind w:left="720" w:hanging="720"/>
        <w:jc w:val="both"/>
        <w:rPr>
          <w:rFonts w:eastAsia="Times New Roman" w:cs="Times New Roman"/>
          <w:b/>
          <w:szCs w:val="24"/>
        </w:rPr>
      </w:pPr>
      <w:r w:rsidRPr="009806FE">
        <w:rPr>
          <w:rFonts w:eastAsia="Times New Roman" w:cs="Times New Roman"/>
          <w:b/>
          <w:szCs w:val="24"/>
        </w:rPr>
        <w:t>14.</w:t>
      </w:r>
      <w:r w:rsidRPr="009806FE">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w:t>
      </w:r>
      <w:r w:rsidRPr="009806FE" w:rsidR="0032404E">
        <w:rPr>
          <w:rFonts w:eastAsia="Times New Roman" w:cs="Times New Roman"/>
          <w:b/>
          <w:szCs w:val="24"/>
        </w:rPr>
        <w:t>13, and 14 in a single table.</w:t>
      </w:r>
    </w:p>
    <w:p w:rsidR="00AA180B" w:rsidRPr="009806FE" w:rsidP="00174DCD" w14:paraId="223FE2A2" w14:textId="44E9F351">
      <w:pPr>
        <w:spacing w:after="240"/>
        <w:ind w:firstLine="720"/>
        <w:rPr>
          <w:rFonts w:eastAsia="Times New Roman" w:cs="Times New Roman"/>
          <w:szCs w:val="24"/>
        </w:rPr>
      </w:pPr>
      <w:r w:rsidRPr="009806FE">
        <w:rPr>
          <w:rFonts w:eastAsia="Times New Roman" w:cs="Times New Roman"/>
          <w:szCs w:val="24"/>
        </w:rPr>
        <w:t xml:space="preserve">The Commission estimates that the equivalent of </w:t>
      </w:r>
      <w:r w:rsidRPr="00350ADE">
        <w:rPr>
          <w:rFonts w:eastAsia="Times New Roman" w:cs="Times New Roman"/>
          <w:szCs w:val="24"/>
        </w:rPr>
        <w:t xml:space="preserve">approximately </w:t>
      </w:r>
      <w:r w:rsidRPr="00350ADE" w:rsidR="007A108B">
        <w:rPr>
          <w:rFonts w:eastAsia="Times New Roman" w:cs="Times New Roman"/>
          <w:szCs w:val="24"/>
        </w:rPr>
        <w:t>75,000</w:t>
      </w:r>
      <w:r w:rsidRPr="00350ADE">
        <w:rPr>
          <w:rFonts w:eastAsia="Times New Roman" w:cs="Times New Roman"/>
          <w:szCs w:val="24"/>
        </w:rPr>
        <w:t xml:space="preserve"> annual labor hours w</w:t>
      </w:r>
      <w:r w:rsidRPr="00350ADE" w:rsidR="009F5D20">
        <w:rPr>
          <w:rFonts w:eastAsia="Times New Roman" w:cs="Times New Roman"/>
          <w:szCs w:val="24"/>
        </w:rPr>
        <w:t>ill</w:t>
      </w:r>
      <w:r w:rsidRPr="00350ADE">
        <w:rPr>
          <w:rFonts w:eastAsia="Times New Roman" w:cs="Times New Roman"/>
          <w:szCs w:val="24"/>
        </w:rPr>
        <w:t xml:space="preserve"> be required </w:t>
      </w:r>
      <w:r w:rsidRPr="00350ADE">
        <w:rPr>
          <w:rFonts w:eastAsia="Times New Roman" w:cs="Times New Roman"/>
          <w:szCs w:val="24"/>
        </w:rPr>
        <w:t>in order to</w:t>
      </w:r>
      <w:r w:rsidRPr="00350ADE">
        <w:rPr>
          <w:rFonts w:eastAsia="Times New Roman" w:cs="Times New Roman"/>
          <w:szCs w:val="24"/>
        </w:rPr>
        <w:t xml:space="preserve"> review, process, and respond to the relevant reports </w:t>
      </w:r>
      <w:r w:rsidRPr="00350ADE" w:rsidR="00F34269">
        <w:rPr>
          <w:rFonts w:eastAsia="Times New Roman" w:cs="Times New Roman"/>
          <w:szCs w:val="24"/>
        </w:rPr>
        <w:t>under this OMB Control number</w:t>
      </w:r>
      <w:r w:rsidRPr="00350ADE">
        <w:rPr>
          <w:rFonts w:eastAsia="Times New Roman" w:cs="Times New Roman"/>
          <w:szCs w:val="24"/>
        </w:rPr>
        <w:t xml:space="preserve">.  The staff needed </w:t>
      </w:r>
      <w:r w:rsidRPr="00350ADE">
        <w:rPr>
          <w:rFonts w:eastAsia="Times New Roman" w:cs="Times New Roman"/>
          <w:szCs w:val="24"/>
        </w:rPr>
        <w:t>include</w:t>
      </w:r>
      <w:r w:rsidRPr="00350ADE" w:rsidR="009F5D20">
        <w:rPr>
          <w:rFonts w:eastAsia="Times New Roman" w:cs="Times New Roman"/>
          <w:szCs w:val="24"/>
        </w:rPr>
        <w:t>s</w:t>
      </w:r>
      <w:r w:rsidRPr="00350ADE">
        <w:rPr>
          <w:rFonts w:eastAsia="Times New Roman" w:cs="Times New Roman"/>
          <w:szCs w:val="24"/>
        </w:rPr>
        <w:t xml:space="preserve"> attorneys, industry economists, and information technology staff, including computer programmers.  These estimates are based on estimated labor costs associated with processing analogous reporting for existing federal position limits for certain agricultural futures contracts.</w:t>
      </w:r>
      <w:r w:rsidRPr="00350ADE" w:rsidR="001B73E0">
        <w:rPr>
          <w:rFonts w:eastAsia="Times New Roman" w:cs="Times New Roman"/>
          <w:szCs w:val="24"/>
        </w:rPr>
        <w:t xml:space="preserve">  Assuming, on average,</w:t>
      </w:r>
      <w:r w:rsidRPr="00350ADE">
        <w:rPr>
          <w:rFonts w:eastAsia="Times New Roman" w:cs="Times New Roman"/>
          <w:szCs w:val="24"/>
        </w:rPr>
        <w:t xml:space="preserve"> </w:t>
      </w:r>
      <w:r w:rsidRPr="00350ADE" w:rsidR="00FF0A25">
        <w:rPr>
          <w:rFonts w:eastAsia="Times New Roman" w:cs="Times New Roman"/>
          <w:szCs w:val="24"/>
        </w:rPr>
        <w:t>a</w:t>
      </w:r>
      <w:r w:rsidRPr="00350ADE" w:rsidR="009A3232">
        <w:rPr>
          <w:rFonts w:eastAsia="Times New Roman" w:cs="Times New Roman"/>
          <w:szCs w:val="24"/>
        </w:rPr>
        <w:t>t a minimum</w:t>
      </w:r>
      <w:r w:rsidRPr="00350ADE">
        <w:rPr>
          <w:rFonts w:eastAsia="Times New Roman" w:cs="Times New Roman"/>
          <w:szCs w:val="24"/>
        </w:rPr>
        <w:t xml:space="preserve"> CT-13 pay grade for Commission employees in Washington, D.C. for </w:t>
      </w:r>
      <w:r w:rsidRPr="00350ADE" w:rsidR="009A3232">
        <w:rPr>
          <w:rFonts w:eastAsia="Times New Roman" w:cs="Times New Roman"/>
          <w:szCs w:val="24"/>
        </w:rPr>
        <w:t>20</w:t>
      </w:r>
      <w:r w:rsidRPr="00350ADE" w:rsidR="004B271B">
        <w:rPr>
          <w:rFonts w:eastAsia="Times New Roman" w:cs="Times New Roman"/>
          <w:szCs w:val="24"/>
        </w:rPr>
        <w:t>25</w:t>
      </w:r>
      <w:r w:rsidRPr="00350ADE">
        <w:rPr>
          <w:rFonts w:eastAsia="Times New Roman" w:cs="Times New Roman"/>
          <w:szCs w:val="24"/>
        </w:rPr>
        <w:t xml:space="preserve">, or </w:t>
      </w:r>
      <w:r w:rsidRPr="00350ADE" w:rsidR="009A3232">
        <w:rPr>
          <w:rFonts w:eastAsia="Times New Roman" w:cs="Times New Roman"/>
          <w:szCs w:val="24"/>
        </w:rPr>
        <w:t>$1</w:t>
      </w:r>
      <w:r w:rsidRPr="00350ADE" w:rsidR="004B271B">
        <w:rPr>
          <w:rFonts w:eastAsia="Times New Roman" w:cs="Times New Roman"/>
          <w:szCs w:val="24"/>
        </w:rPr>
        <w:t>37,681</w:t>
      </w:r>
      <w:r w:rsidRPr="00350ADE">
        <w:rPr>
          <w:rFonts w:eastAsia="Times New Roman" w:cs="Times New Roman"/>
          <w:szCs w:val="24"/>
        </w:rPr>
        <w:t xml:space="preserve">, multiplied by 1.3 and 1.25 </w:t>
      </w:r>
      <w:r w:rsidRPr="00350ADE" w:rsidR="00B83B16">
        <w:rPr>
          <w:rFonts w:eastAsia="Times New Roman" w:cs="Times New Roman"/>
          <w:szCs w:val="24"/>
        </w:rPr>
        <w:t>to account for overhead and benefits respectively, each employee w</w:t>
      </w:r>
      <w:r w:rsidRPr="00350ADE" w:rsidR="009F5D20">
        <w:rPr>
          <w:rFonts w:eastAsia="Times New Roman" w:cs="Times New Roman"/>
          <w:szCs w:val="24"/>
        </w:rPr>
        <w:t>ill</w:t>
      </w:r>
      <w:r w:rsidRPr="00350ADE" w:rsidR="00B83B16">
        <w:rPr>
          <w:rFonts w:eastAsia="Times New Roman" w:cs="Times New Roman"/>
          <w:szCs w:val="24"/>
        </w:rPr>
        <w:t xml:space="preserve"> cost the Commission approximately $</w:t>
      </w:r>
      <w:r w:rsidRPr="00350ADE" w:rsidR="00B30417">
        <w:rPr>
          <w:rFonts w:eastAsia="Times New Roman" w:cs="Times New Roman"/>
          <w:szCs w:val="24"/>
        </w:rPr>
        <w:t>223,732</w:t>
      </w:r>
      <w:r w:rsidRPr="00350ADE">
        <w:rPr>
          <w:rFonts w:eastAsia="Times New Roman" w:cs="Times New Roman"/>
          <w:szCs w:val="24"/>
        </w:rPr>
        <w:t>.</w:t>
      </w:r>
      <w:r w:rsidRPr="00350ADE" w:rsidR="00753FBD">
        <w:rPr>
          <w:rFonts w:eastAsia="Times New Roman" w:cs="Times New Roman"/>
          <w:szCs w:val="24"/>
        </w:rPr>
        <w:t xml:space="preserve">  </w:t>
      </w:r>
      <w:r w:rsidRPr="00350ADE" w:rsidR="00F85892">
        <w:rPr>
          <w:rFonts w:eastAsia="Times New Roman" w:cs="Times New Roman"/>
          <w:szCs w:val="24"/>
        </w:rPr>
        <w:t>At approximately 1,920 annual hours worked per employee, this results in an average annual salary and benefits rate of $</w:t>
      </w:r>
      <w:r w:rsidRPr="00350ADE" w:rsidR="004B2025">
        <w:rPr>
          <w:rFonts w:eastAsia="Times New Roman" w:cs="Times New Roman"/>
          <w:szCs w:val="24"/>
        </w:rPr>
        <w:t>117</w:t>
      </w:r>
      <w:r w:rsidRPr="00350ADE" w:rsidR="00F85892">
        <w:rPr>
          <w:rFonts w:eastAsia="Times New Roman" w:cs="Times New Roman"/>
          <w:szCs w:val="24"/>
        </w:rPr>
        <w:t xml:space="preserve"> per hour for a full-time employee ($</w:t>
      </w:r>
      <w:r w:rsidRPr="00350ADE" w:rsidR="004012A0">
        <w:rPr>
          <w:rFonts w:eastAsia="Times New Roman" w:cs="Times New Roman"/>
          <w:szCs w:val="24"/>
        </w:rPr>
        <w:t>223,732</w:t>
      </w:r>
      <w:r w:rsidRPr="00350ADE" w:rsidR="00F85892">
        <w:rPr>
          <w:rFonts w:eastAsia="Times New Roman" w:cs="Times New Roman"/>
          <w:szCs w:val="24"/>
        </w:rPr>
        <w:t xml:space="preserve"> / 1,920 hours = $</w:t>
      </w:r>
      <w:r w:rsidRPr="00350ADE" w:rsidR="004012A0">
        <w:rPr>
          <w:rFonts w:eastAsia="Times New Roman" w:cs="Times New Roman"/>
          <w:szCs w:val="24"/>
        </w:rPr>
        <w:t>117</w:t>
      </w:r>
      <w:r w:rsidRPr="00350ADE" w:rsidR="00F85892">
        <w:rPr>
          <w:rFonts w:eastAsia="Times New Roman" w:cs="Times New Roman"/>
          <w:szCs w:val="24"/>
        </w:rPr>
        <w:t xml:space="preserve"> per hour).  Accordingly, the Commission estimates that the cost to the government will be </w:t>
      </w:r>
      <w:r w:rsidRPr="00350ADE">
        <w:rPr>
          <w:rFonts w:eastAsia="Times New Roman" w:cs="Times New Roman"/>
          <w:szCs w:val="24"/>
        </w:rPr>
        <w:t xml:space="preserve">approximately </w:t>
      </w:r>
      <w:r w:rsidRPr="00350ADE" w:rsidR="009A3232">
        <w:rPr>
          <w:rFonts w:eastAsia="Times New Roman" w:cs="Times New Roman"/>
          <w:szCs w:val="24"/>
        </w:rPr>
        <w:t>$</w:t>
      </w:r>
      <w:r w:rsidRPr="00350ADE" w:rsidR="008676B4">
        <w:rPr>
          <w:rFonts w:cs="Times New Roman"/>
          <w:szCs w:val="24"/>
        </w:rPr>
        <w:t>5,703,750</w:t>
      </w:r>
      <w:r w:rsidR="00F6665F">
        <w:rPr>
          <w:rFonts w:cs="Times New Roman"/>
          <w:szCs w:val="24"/>
        </w:rPr>
        <w:t xml:space="preserve"> </w:t>
      </w:r>
      <w:r w:rsidRPr="00350ADE" w:rsidR="00F85892">
        <w:rPr>
          <w:rFonts w:cs="Times New Roman"/>
          <w:szCs w:val="24"/>
        </w:rPr>
        <w:t>annually</w:t>
      </w:r>
      <w:r w:rsidRPr="00350ADE" w:rsidR="00D13D2A">
        <w:rPr>
          <w:rFonts w:cs="Times New Roman"/>
          <w:szCs w:val="24"/>
        </w:rPr>
        <w:t xml:space="preserve"> (39</w:t>
      </w:r>
      <w:r w:rsidRPr="00350ADE" w:rsidR="00F85892">
        <w:rPr>
          <w:rFonts w:cs="Times New Roman"/>
          <w:szCs w:val="24"/>
        </w:rPr>
        <w:t xml:space="preserve"> analysts </w:t>
      </w:r>
      <w:r w:rsidR="00345BF0">
        <w:rPr>
          <w:rFonts w:cs="Times New Roman"/>
          <w:szCs w:val="24"/>
        </w:rPr>
        <w:t>×</w:t>
      </w:r>
      <w:r w:rsidRPr="00350ADE" w:rsidR="00F85892">
        <w:rPr>
          <w:rFonts w:cs="Times New Roman"/>
          <w:szCs w:val="24"/>
        </w:rPr>
        <w:t xml:space="preserve"> 5 hours per day </w:t>
      </w:r>
      <w:r w:rsidR="00345BF0">
        <w:rPr>
          <w:rFonts w:cs="Times New Roman"/>
          <w:szCs w:val="24"/>
        </w:rPr>
        <w:t>×</w:t>
      </w:r>
      <w:r w:rsidRPr="00350ADE" w:rsidR="00F85892">
        <w:rPr>
          <w:rFonts w:cs="Times New Roman"/>
          <w:szCs w:val="24"/>
        </w:rPr>
        <w:t xml:space="preserve"> 250 trading days </w:t>
      </w:r>
      <w:r w:rsidR="00345BF0">
        <w:rPr>
          <w:rFonts w:cs="Times New Roman"/>
          <w:szCs w:val="24"/>
        </w:rPr>
        <w:t>×</w:t>
      </w:r>
      <w:r w:rsidRPr="00350ADE" w:rsidR="00F85892">
        <w:rPr>
          <w:rFonts w:cs="Times New Roman"/>
          <w:szCs w:val="24"/>
        </w:rPr>
        <w:t xml:space="preserve"> $</w:t>
      </w:r>
      <w:r w:rsidRPr="00350ADE" w:rsidR="008676B4">
        <w:rPr>
          <w:rFonts w:cs="Times New Roman"/>
          <w:szCs w:val="24"/>
        </w:rPr>
        <w:t>117</w:t>
      </w:r>
      <w:r w:rsidRPr="00350ADE" w:rsidR="00F85892">
        <w:rPr>
          <w:rFonts w:cs="Times New Roman"/>
          <w:szCs w:val="24"/>
        </w:rPr>
        <w:t xml:space="preserve"> per hour = $</w:t>
      </w:r>
      <w:r w:rsidRPr="00350ADE" w:rsidR="008676B4">
        <w:t xml:space="preserve"> </w:t>
      </w:r>
      <w:r w:rsidRPr="00350ADE" w:rsidR="008676B4">
        <w:rPr>
          <w:rFonts w:cs="Times New Roman"/>
          <w:szCs w:val="24"/>
        </w:rPr>
        <w:t>5,703,750</w:t>
      </w:r>
      <w:r w:rsidRPr="00350ADE" w:rsidR="00F85892">
        <w:rPr>
          <w:rFonts w:cs="Times New Roman"/>
          <w:szCs w:val="24"/>
        </w:rPr>
        <w:t>)</w:t>
      </w:r>
      <w:r w:rsidRPr="00350ADE">
        <w:rPr>
          <w:rFonts w:eastAsia="Times New Roman" w:cs="Times New Roman"/>
          <w:szCs w:val="24"/>
        </w:rPr>
        <w:t>.</w:t>
      </w:r>
    </w:p>
    <w:p w:rsidR="00642B6A" w:rsidRPr="009806FE" w:rsidP="00E42D10" w14:paraId="07E619A7" w14:textId="77777777">
      <w:pPr>
        <w:tabs>
          <w:tab w:val="left" w:pos="-720"/>
          <w:tab w:val="left" w:pos="0"/>
        </w:tabs>
        <w:spacing w:after="240"/>
        <w:ind w:left="720" w:hanging="720"/>
        <w:jc w:val="both"/>
        <w:rPr>
          <w:rFonts w:eastAsia="Times New Roman" w:cs="Times New Roman"/>
          <w:b/>
          <w:szCs w:val="24"/>
        </w:rPr>
      </w:pPr>
      <w:r w:rsidRPr="009806FE">
        <w:rPr>
          <w:rFonts w:eastAsia="Times New Roman" w:cs="Times New Roman"/>
          <w:b/>
          <w:szCs w:val="24"/>
        </w:rPr>
        <w:t>15.</w:t>
      </w:r>
      <w:r w:rsidRPr="009806FE">
        <w:rPr>
          <w:rFonts w:eastAsia="Times New Roman" w:cs="Times New Roman"/>
          <w:b/>
          <w:szCs w:val="24"/>
        </w:rPr>
        <w:tab/>
        <w:t>Explain the reasons for any program changes or adjustments reported in Items 13 or 14.</w:t>
      </w:r>
    </w:p>
    <w:p w:rsidR="00930C4D" w:rsidRPr="009806FE" w:rsidP="00174DCD" w14:paraId="3DD3CAB9" w14:textId="7F4DFFB8">
      <w:pPr>
        <w:tabs>
          <w:tab w:val="left" w:pos="-720"/>
        </w:tabs>
        <w:spacing w:after="240"/>
        <w:ind w:firstLine="720"/>
        <w:jc w:val="both"/>
        <w:rPr>
          <w:rFonts w:cs="Times New Roman"/>
          <w:szCs w:val="24"/>
        </w:rPr>
      </w:pPr>
      <w:r>
        <w:rPr>
          <w:rFonts w:cs="Times New Roman"/>
          <w:szCs w:val="24"/>
        </w:rPr>
        <w:t xml:space="preserve">There are no program changes.  </w:t>
      </w:r>
      <w:r w:rsidR="005A56F9">
        <w:rPr>
          <w:rFonts w:cs="Times New Roman"/>
          <w:szCs w:val="24"/>
        </w:rPr>
        <w:t>The Commission is retaining its existing estimates of total respondents</w:t>
      </w:r>
      <w:r w:rsidR="00940E59">
        <w:rPr>
          <w:rFonts w:cs="Times New Roman"/>
          <w:szCs w:val="24"/>
        </w:rPr>
        <w:t xml:space="preserve"> (776 respondents)</w:t>
      </w:r>
      <w:r w:rsidR="00D51781">
        <w:rPr>
          <w:rFonts w:cs="Times New Roman"/>
          <w:szCs w:val="24"/>
        </w:rPr>
        <w:t>, total annual responses</w:t>
      </w:r>
      <w:r w:rsidR="00940E59">
        <w:rPr>
          <w:rFonts w:cs="Times New Roman"/>
          <w:szCs w:val="24"/>
        </w:rPr>
        <w:t xml:space="preserve"> (4,648 annual responses)</w:t>
      </w:r>
      <w:r w:rsidR="00D51781">
        <w:rPr>
          <w:rFonts w:cs="Times New Roman"/>
          <w:szCs w:val="24"/>
        </w:rPr>
        <w:t>,</w:t>
      </w:r>
      <w:r w:rsidR="005A56F9">
        <w:rPr>
          <w:rFonts w:cs="Times New Roman"/>
          <w:szCs w:val="24"/>
        </w:rPr>
        <w:t xml:space="preserve"> and </w:t>
      </w:r>
      <w:r w:rsidR="00172862">
        <w:rPr>
          <w:rFonts w:cs="Times New Roman"/>
          <w:szCs w:val="24"/>
        </w:rPr>
        <w:t>annual hours burden</w:t>
      </w:r>
      <w:r w:rsidR="00940E59">
        <w:rPr>
          <w:rFonts w:cs="Times New Roman"/>
          <w:szCs w:val="24"/>
        </w:rPr>
        <w:t xml:space="preserve"> (11,748 burden hours)</w:t>
      </w:r>
      <w:r w:rsidR="00A93EA6">
        <w:rPr>
          <w:rFonts w:cs="Times New Roman"/>
          <w:szCs w:val="24"/>
        </w:rPr>
        <w:t xml:space="preserve">.  </w:t>
      </w:r>
      <w:r w:rsidR="00940E59">
        <w:rPr>
          <w:rFonts w:cs="Times New Roman"/>
          <w:szCs w:val="24"/>
        </w:rPr>
        <w:t xml:space="preserve">The Commission has </w:t>
      </w:r>
      <w:r w:rsidR="009C393D">
        <w:rPr>
          <w:rFonts w:cs="Times New Roman"/>
          <w:szCs w:val="24"/>
        </w:rPr>
        <w:t>revised</w:t>
      </w:r>
      <w:r w:rsidR="00172862">
        <w:rPr>
          <w:rFonts w:cs="Times New Roman"/>
          <w:szCs w:val="24"/>
        </w:rPr>
        <w:t xml:space="preserve"> its associated labor cost estimates </w:t>
      </w:r>
      <w:r w:rsidR="009A4459">
        <w:rPr>
          <w:rFonts w:cs="Times New Roman"/>
          <w:szCs w:val="24"/>
        </w:rPr>
        <w:t xml:space="preserve">using updated BLS wage </w:t>
      </w:r>
      <w:r w:rsidR="007B008D">
        <w:rPr>
          <w:rFonts w:cs="Times New Roman"/>
          <w:szCs w:val="24"/>
        </w:rPr>
        <w:t>rates</w:t>
      </w:r>
      <w:r w:rsidR="00CA28E5">
        <w:rPr>
          <w:rFonts w:cs="Times New Roman"/>
          <w:szCs w:val="24"/>
        </w:rPr>
        <w:t>, yielding an estimated $1,200,0062 in associated annual labor costs</w:t>
      </w:r>
      <w:r w:rsidR="009A4459">
        <w:rPr>
          <w:rFonts w:cs="Times New Roman"/>
          <w:szCs w:val="24"/>
        </w:rPr>
        <w:t>.</w:t>
      </w:r>
    </w:p>
    <w:p w:rsidR="00642B6A" w:rsidRPr="009806FE" w:rsidP="00E42D10" w14:paraId="4AAFE510" w14:textId="54F70255">
      <w:pPr>
        <w:tabs>
          <w:tab w:val="left" w:pos="-720"/>
        </w:tabs>
        <w:spacing w:after="240"/>
        <w:rPr>
          <w:rFonts w:eastAsia="Times New Roman" w:cs="Times New Roman"/>
          <w:b/>
          <w:szCs w:val="24"/>
        </w:rPr>
      </w:pPr>
      <w:r w:rsidRPr="009806FE">
        <w:rPr>
          <w:rFonts w:eastAsia="Times New Roman" w:cs="Times New Roman"/>
          <w:b/>
          <w:szCs w:val="24"/>
        </w:rPr>
        <w:t>16.</w:t>
      </w:r>
      <w:r w:rsidRPr="009806FE">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05096" w:rsidP="00B05096" w14:paraId="3CE3DF41" w14:textId="77777777">
      <w:pPr>
        <w:tabs>
          <w:tab w:val="left" w:pos="-720"/>
        </w:tabs>
        <w:spacing w:after="240"/>
        <w:ind w:firstLine="720"/>
        <w:rPr>
          <w:rFonts w:eastAsia="Times New Roman" w:cs="Times New Roman"/>
          <w:szCs w:val="24"/>
        </w:rPr>
      </w:pPr>
      <w:r w:rsidRPr="009806FE">
        <w:rPr>
          <w:rFonts w:eastAsia="Times New Roman" w:cs="Times New Roman"/>
          <w:szCs w:val="24"/>
        </w:rPr>
        <w:t>Not applicable.</w:t>
      </w:r>
    </w:p>
    <w:p w:rsidR="00642B6A" w:rsidRPr="009806FE" w:rsidP="00E42D10" w14:paraId="10746E7A" w14:textId="77777777">
      <w:pPr>
        <w:tabs>
          <w:tab w:val="left" w:pos="-720"/>
          <w:tab w:val="left" w:pos="0"/>
        </w:tabs>
        <w:spacing w:after="240"/>
        <w:ind w:left="720" w:hanging="720"/>
        <w:jc w:val="both"/>
        <w:rPr>
          <w:rFonts w:eastAsia="Times New Roman" w:cs="Times New Roman"/>
          <w:b/>
          <w:szCs w:val="24"/>
        </w:rPr>
      </w:pPr>
      <w:r w:rsidRPr="009806FE">
        <w:rPr>
          <w:rFonts w:eastAsia="Times New Roman" w:cs="Times New Roman"/>
          <w:b/>
          <w:szCs w:val="24"/>
        </w:rPr>
        <w:t>17.</w:t>
      </w:r>
      <w:r w:rsidRPr="009806FE">
        <w:rPr>
          <w:rFonts w:eastAsia="Times New Roman" w:cs="Times New Roman"/>
          <w:b/>
          <w:szCs w:val="24"/>
        </w:rPr>
        <w:tab/>
        <w:t>If seeking approval to not display the expiration date for OMB approval of the information collection, explain the reasons that display would be inappropriate.</w:t>
      </w:r>
    </w:p>
    <w:p w:rsidR="00B05096" w:rsidP="00B05096" w14:paraId="49CC3E36" w14:textId="77777777">
      <w:pPr>
        <w:tabs>
          <w:tab w:val="left" w:pos="-720"/>
        </w:tabs>
        <w:spacing w:after="240"/>
        <w:ind w:firstLine="720"/>
        <w:rPr>
          <w:rFonts w:eastAsia="Times New Roman" w:cs="Times New Roman"/>
          <w:szCs w:val="24"/>
        </w:rPr>
      </w:pPr>
      <w:r w:rsidRPr="009806FE">
        <w:rPr>
          <w:rFonts w:eastAsia="Times New Roman" w:cs="Times New Roman"/>
          <w:szCs w:val="24"/>
        </w:rPr>
        <w:t>Not applicable.</w:t>
      </w:r>
    </w:p>
    <w:p w:rsidR="00642B6A" w:rsidRPr="009806FE" w:rsidP="00E42D10" w14:paraId="04348F6B" w14:textId="49851B2E">
      <w:pPr>
        <w:keepNext/>
        <w:tabs>
          <w:tab w:val="left" w:pos="-720"/>
          <w:tab w:val="left" w:pos="0"/>
        </w:tabs>
        <w:spacing w:after="240"/>
        <w:ind w:left="720" w:hanging="720"/>
        <w:jc w:val="both"/>
        <w:rPr>
          <w:rFonts w:eastAsia="Times New Roman" w:cs="Times New Roman"/>
          <w:b/>
          <w:szCs w:val="24"/>
        </w:rPr>
      </w:pPr>
      <w:r w:rsidRPr="009806FE">
        <w:rPr>
          <w:rFonts w:eastAsia="Times New Roman" w:cs="Times New Roman"/>
          <w:b/>
          <w:szCs w:val="24"/>
        </w:rPr>
        <w:t>18.</w:t>
      </w:r>
      <w:r w:rsidRPr="009806FE">
        <w:rPr>
          <w:rFonts w:eastAsia="Times New Roman" w:cs="Times New Roman"/>
          <w:b/>
          <w:szCs w:val="24"/>
        </w:rPr>
        <w:tab/>
        <w:t xml:space="preserve">Explain each exception to the certification statement identified in Item 19, </w:t>
      </w:r>
      <w:r w:rsidR="00B05096">
        <w:rPr>
          <w:rFonts w:eastAsia="Times New Roman" w:cs="Times New Roman"/>
          <w:b/>
          <w:szCs w:val="24"/>
        </w:rPr>
        <w:t>“</w:t>
      </w:r>
      <w:r w:rsidRPr="009806FE">
        <w:rPr>
          <w:rFonts w:eastAsia="Times New Roman" w:cs="Times New Roman"/>
          <w:b/>
          <w:szCs w:val="24"/>
        </w:rPr>
        <w:t>Certification for Paperwork Reduction Act Submissions</w:t>
      </w:r>
      <w:r w:rsidR="00B759FC">
        <w:rPr>
          <w:rFonts w:eastAsia="Times New Roman" w:cs="Times New Roman"/>
          <w:b/>
          <w:szCs w:val="24"/>
        </w:rPr>
        <w:t>.</w:t>
      </w:r>
      <w:r w:rsidR="00B05096">
        <w:rPr>
          <w:rFonts w:eastAsia="Times New Roman" w:cs="Times New Roman"/>
          <w:b/>
          <w:szCs w:val="24"/>
        </w:rPr>
        <w:t>”</w:t>
      </w:r>
    </w:p>
    <w:p w:rsidR="00C47CA6" w:rsidP="00B05096" w14:paraId="475F52E3" w14:textId="77777777">
      <w:pPr>
        <w:tabs>
          <w:tab w:val="left" w:pos="-720"/>
        </w:tabs>
        <w:spacing w:after="240"/>
        <w:ind w:firstLine="720"/>
        <w:rPr>
          <w:rFonts w:eastAsia="Times New Roman" w:cs="Times New Roman"/>
          <w:szCs w:val="24"/>
        </w:rPr>
        <w:sectPr w:rsidSect="004A3DE3">
          <w:headerReference w:type="default" r:id="rId9"/>
          <w:footerReference w:type="default" r:id="rId10"/>
          <w:pgSz w:w="12240" w:h="15840"/>
          <w:pgMar w:top="1440" w:right="1440" w:bottom="1440" w:left="1440" w:header="720" w:footer="720" w:gutter="0"/>
          <w:cols w:space="720"/>
          <w:titlePg/>
          <w:docGrid w:linePitch="360"/>
        </w:sectPr>
      </w:pPr>
      <w:r w:rsidRPr="009806FE">
        <w:rPr>
          <w:rFonts w:eastAsia="Times New Roman" w:cs="Times New Roman"/>
          <w:szCs w:val="24"/>
        </w:rPr>
        <w:t>Not applicable.</w:t>
      </w:r>
    </w:p>
    <w:p w:rsidR="007302A3" w:rsidRPr="0034520F" w:rsidP="00B05096" w14:paraId="23877EC5" w14:textId="2E28D83B">
      <w:pPr>
        <w:tabs>
          <w:tab w:val="left" w:pos="-720"/>
        </w:tabs>
        <w:spacing w:after="240"/>
        <w:jc w:val="center"/>
        <w:rPr>
          <w:rFonts w:eastAsia="Times New Roman" w:cs="Times New Roman"/>
          <w:szCs w:val="24"/>
          <w:u w:val="single"/>
        </w:rPr>
      </w:pPr>
      <w:r w:rsidRPr="0034520F">
        <w:rPr>
          <w:rFonts w:eastAsia="Times New Roman" w:cs="Times New Roman"/>
          <w:b/>
          <w:szCs w:val="24"/>
          <w:u w:val="single"/>
        </w:rPr>
        <w:t>Attachment A</w:t>
      </w:r>
    </w:p>
    <w:p w:rsidR="0067738F" w:rsidRPr="009806FE" w:rsidP="00B05096" w14:paraId="20171EF7" w14:textId="77777777">
      <w:pPr>
        <w:keepNext/>
        <w:keepLines/>
        <w:spacing w:after="240"/>
        <w:jc w:val="center"/>
        <w:rPr>
          <w:rFonts w:eastAsia="Times New Roman" w:cs="Times New Roman"/>
          <w:b/>
          <w:szCs w:val="24"/>
        </w:rPr>
      </w:pPr>
      <w:r w:rsidRPr="009806FE">
        <w:rPr>
          <w:rFonts w:eastAsia="Times New Roman" w:cs="Times New Roman"/>
          <w:b/>
          <w:szCs w:val="24"/>
        </w:rPr>
        <w:t>OMB Control Number 3038-</w:t>
      </w:r>
      <w:r w:rsidRPr="009806FE" w:rsidR="007302A3">
        <w:rPr>
          <w:rFonts w:eastAsia="Times New Roman" w:cs="Times New Roman"/>
          <w:b/>
          <w:szCs w:val="24"/>
        </w:rPr>
        <w:t>0013</w:t>
      </w:r>
      <w:r w:rsidRPr="009806FE">
        <w:rPr>
          <w:rFonts w:eastAsia="Times New Roman" w:cs="Times New Roman"/>
          <w:b/>
          <w:szCs w:val="24"/>
        </w:rPr>
        <w:t xml:space="preserve"> – </w:t>
      </w:r>
      <w:r w:rsidRPr="009806FE" w:rsidR="00857C27">
        <w:rPr>
          <w:rFonts w:eastAsia="Times New Roman" w:cs="Times New Roman"/>
          <w:b/>
          <w:szCs w:val="24"/>
        </w:rPr>
        <w:t>Position Limits</w:t>
      </w:r>
    </w:p>
    <w:p w:rsidR="0067738F" w:rsidRPr="005C036D" w:rsidP="00B05096" w14:paraId="24EF4532" w14:textId="187A3BC0">
      <w:pPr>
        <w:spacing w:after="240"/>
        <w:jc w:val="center"/>
        <w:rPr>
          <w:rFonts w:eastAsia="Times New Roman" w:cs="Times New Roman"/>
          <w:b/>
          <w:bCs/>
          <w:szCs w:val="24"/>
          <w:u w:val="single"/>
        </w:rPr>
      </w:pPr>
      <w:r w:rsidRPr="005C036D">
        <w:rPr>
          <w:rFonts w:eastAsia="Times New Roman" w:cs="Times New Roman"/>
          <w:b/>
          <w:bCs/>
          <w:szCs w:val="24"/>
          <w:u w:val="single"/>
        </w:rPr>
        <w:t>Reporting Burden</w:t>
      </w:r>
    </w:p>
    <w:tbl>
      <w:tblPr>
        <w:tblW w:w="572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8"/>
        <w:gridCol w:w="1620"/>
        <w:gridCol w:w="1711"/>
        <w:gridCol w:w="1530"/>
        <w:gridCol w:w="1622"/>
        <w:gridCol w:w="1512"/>
        <w:gridCol w:w="1456"/>
        <w:gridCol w:w="1352"/>
        <w:gridCol w:w="1260"/>
        <w:gridCol w:w="1257"/>
      </w:tblGrid>
      <w:tr w14:paraId="2758373E" w14:textId="77777777" w:rsidTr="00C47CA6">
        <w:tblPrEx>
          <w:tblW w:w="572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blHeader/>
        </w:trPr>
        <w:tc>
          <w:tcPr>
            <w:tcW w:w="508" w:type="pct"/>
          </w:tcPr>
          <w:p w:rsidR="0067738F" w:rsidRPr="009806FE" w:rsidP="0085251F" w14:paraId="0A3E56E0"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1.</w:t>
            </w:r>
          </w:p>
          <w:p w:rsidR="0067738F" w:rsidRPr="009806FE" w:rsidP="0085251F" w14:paraId="14977C56"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Regulation(s)</w:t>
            </w:r>
          </w:p>
        </w:tc>
        <w:tc>
          <w:tcPr>
            <w:tcW w:w="546" w:type="pct"/>
          </w:tcPr>
          <w:p w:rsidR="0067738F" w:rsidRPr="009806FE" w:rsidP="0085251F" w14:paraId="1289A21F"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2.</w:t>
            </w:r>
          </w:p>
          <w:p w:rsidR="0067738F" w:rsidRPr="009806FE" w:rsidP="0085251F" w14:paraId="451D3F8D"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Estimated Number of Respondents </w:t>
            </w:r>
          </w:p>
          <w:p w:rsidR="0067738F" w:rsidRPr="009806FE" w:rsidP="0085251F" w14:paraId="0E1BD838" w14:textId="77777777">
            <w:pPr>
              <w:tabs>
                <w:tab w:val="left" w:pos="-720"/>
                <w:tab w:val="left" w:pos="0"/>
              </w:tabs>
              <w:suppressAutoHyphens/>
              <w:jc w:val="center"/>
              <w:rPr>
                <w:rFonts w:eastAsia="Times New Roman" w:cs="Times New Roman"/>
                <w:b/>
                <w:sz w:val="16"/>
                <w:szCs w:val="16"/>
              </w:rPr>
            </w:pPr>
          </w:p>
        </w:tc>
        <w:tc>
          <w:tcPr>
            <w:tcW w:w="577" w:type="pct"/>
          </w:tcPr>
          <w:p w:rsidR="0067738F" w:rsidRPr="009806FE" w:rsidP="0085251F" w14:paraId="5D42A792"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3.</w:t>
            </w:r>
          </w:p>
          <w:p w:rsidR="0067738F" w:rsidRPr="009806FE" w:rsidP="0085251F" w14:paraId="612373F7"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Estimated Number of Reports</w:t>
            </w:r>
          </w:p>
          <w:p w:rsidR="0067738F" w:rsidRPr="009806FE" w:rsidP="0085251F" w14:paraId="2824A219"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by Each Respondent</w:t>
            </w:r>
          </w:p>
        </w:tc>
        <w:tc>
          <w:tcPr>
            <w:tcW w:w="516" w:type="pct"/>
          </w:tcPr>
          <w:p w:rsidR="0067738F" w:rsidRPr="009806FE" w:rsidP="0085251F" w14:paraId="206B6AFB"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4.</w:t>
            </w:r>
          </w:p>
          <w:p w:rsidR="0067738F" w:rsidRPr="009806FE" w:rsidP="0085251F" w14:paraId="53F3E71D"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Estimated Average </w:t>
            </w:r>
            <w:r w:rsidRPr="009806FE">
              <w:rPr>
                <w:rFonts w:eastAsia="Times New Roman" w:cs="Times New Roman"/>
                <w:b/>
                <w:sz w:val="16"/>
                <w:szCs w:val="16"/>
              </w:rPr>
              <w:t>Number</w:t>
            </w:r>
            <w:r w:rsidRPr="009806FE">
              <w:rPr>
                <w:rFonts w:eastAsia="Times New Roman" w:cs="Times New Roman"/>
                <w:b/>
                <w:sz w:val="16"/>
                <w:szCs w:val="16"/>
              </w:rPr>
              <w:t xml:space="preserve"> of Burden Hours per Response</w:t>
            </w:r>
          </w:p>
        </w:tc>
        <w:tc>
          <w:tcPr>
            <w:tcW w:w="547" w:type="pct"/>
          </w:tcPr>
          <w:p w:rsidR="0067738F" w:rsidRPr="009806FE" w:rsidP="0085251F" w14:paraId="4EF62BC3"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5.</w:t>
            </w:r>
          </w:p>
          <w:p w:rsidR="0067738F" w:rsidRPr="009806FE" w:rsidP="0085251F" w14:paraId="54F9A4B7"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Annual  </w:t>
            </w:r>
            <w:r w:rsidRPr="009806FE">
              <w:rPr>
                <w:rFonts w:eastAsia="Times New Roman" w:cs="Times New Roman"/>
                <w:b/>
                <w:sz w:val="16"/>
                <w:szCs w:val="16"/>
              </w:rPr>
              <w:t>Number</w:t>
            </w:r>
            <w:r w:rsidRPr="009806FE">
              <w:rPr>
                <w:rFonts w:eastAsia="Times New Roman" w:cs="Times New Roman"/>
                <w:b/>
                <w:sz w:val="16"/>
                <w:szCs w:val="16"/>
              </w:rPr>
              <w:t xml:space="preserve"> of Burden Hours per Respondent</w:t>
            </w:r>
          </w:p>
          <w:p w:rsidR="0067738F" w:rsidRPr="009806FE" w:rsidP="0085251F" w14:paraId="0830E843" w14:textId="79EECA40">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(3 </w:t>
            </w:r>
            <w:r w:rsidR="00FC1B47">
              <w:rPr>
                <w:rFonts w:eastAsia="Times New Roman" w:cs="Times New Roman"/>
                <w:b/>
                <w:sz w:val="16"/>
                <w:szCs w:val="16"/>
              </w:rPr>
              <w:t>×</w:t>
            </w:r>
            <w:r w:rsidRPr="009806FE">
              <w:rPr>
                <w:rFonts w:eastAsia="Times New Roman" w:cs="Times New Roman"/>
                <w:b/>
                <w:sz w:val="16"/>
                <w:szCs w:val="16"/>
              </w:rPr>
              <w:t xml:space="preserve"> 4)</w:t>
            </w:r>
          </w:p>
        </w:tc>
        <w:tc>
          <w:tcPr>
            <w:tcW w:w="510" w:type="pct"/>
          </w:tcPr>
          <w:p w:rsidR="0067738F" w:rsidRPr="009806FE" w:rsidP="0085251F" w14:paraId="574AF568"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6. </w:t>
            </w:r>
          </w:p>
          <w:p w:rsidR="0067738F" w:rsidRPr="009806FE" w:rsidP="0085251F" w14:paraId="71B570EB"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bCs/>
                <w:sz w:val="16"/>
                <w:szCs w:val="16"/>
              </w:rPr>
              <w:t>Estimated Average Burden Hour Cost</w:t>
            </w:r>
            <w:r>
              <w:rPr>
                <w:rStyle w:val="FootnoteReference"/>
                <w:rFonts w:eastAsia="Times New Roman" w:cs="Times New Roman"/>
                <w:sz w:val="16"/>
                <w:szCs w:val="16"/>
              </w:rPr>
              <w:footnoteReference w:id="21"/>
            </w:r>
            <w:r w:rsidRPr="009806FE" w:rsidR="26A667FD">
              <w:rPr>
                <w:rFonts w:eastAsia="Times New Roman" w:cs="Times New Roman"/>
                <w:b/>
                <w:bCs/>
                <w:sz w:val="16"/>
                <w:szCs w:val="16"/>
              </w:rPr>
              <w:t xml:space="preserve">, </w:t>
            </w:r>
            <w:r>
              <w:rPr>
                <w:rStyle w:val="FootnoteReference"/>
                <w:rFonts w:eastAsia="Times New Roman" w:cs="Times New Roman"/>
                <w:sz w:val="16"/>
                <w:szCs w:val="16"/>
              </w:rPr>
              <w:footnoteReference w:id="22"/>
            </w:r>
          </w:p>
          <w:p w:rsidR="0067738F" w:rsidRPr="009806FE" w:rsidP="0085251F" w14:paraId="58B9D4EA" w14:textId="77777777">
            <w:pPr>
              <w:tabs>
                <w:tab w:val="left" w:pos="-720"/>
                <w:tab w:val="left" w:pos="0"/>
              </w:tabs>
              <w:suppressAutoHyphens/>
              <w:jc w:val="center"/>
              <w:rPr>
                <w:rFonts w:eastAsia="Times New Roman" w:cs="Times New Roman"/>
                <w:b/>
                <w:sz w:val="16"/>
                <w:szCs w:val="16"/>
              </w:rPr>
            </w:pPr>
          </w:p>
        </w:tc>
        <w:tc>
          <w:tcPr>
            <w:tcW w:w="491" w:type="pct"/>
          </w:tcPr>
          <w:p w:rsidR="0067738F" w:rsidRPr="009806FE" w:rsidP="0085251F" w14:paraId="6C2A046C" w14:textId="77777777">
            <w:pPr>
              <w:jc w:val="center"/>
              <w:rPr>
                <w:rFonts w:cs="Times New Roman"/>
                <w:b/>
                <w:sz w:val="16"/>
                <w:szCs w:val="16"/>
              </w:rPr>
            </w:pPr>
            <w:r w:rsidRPr="009806FE">
              <w:rPr>
                <w:rFonts w:cs="Times New Roman"/>
                <w:b/>
                <w:sz w:val="16"/>
                <w:szCs w:val="16"/>
              </w:rPr>
              <w:t>7.</w:t>
            </w:r>
          </w:p>
          <w:p w:rsidR="0067738F" w:rsidRPr="009806FE" w:rsidP="0085251F" w14:paraId="22F8A743" w14:textId="77777777">
            <w:pPr>
              <w:jc w:val="center"/>
              <w:rPr>
                <w:rFonts w:cs="Times New Roman"/>
                <w:b/>
                <w:sz w:val="16"/>
                <w:szCs w:val="16"/>
              </w:rPr>
            </w:pPr>
            <w:r w:rsidRPr="009806FE">
              <w:rPr>
                <w:rFonts w:cs="Times New Roman"/>
                <w:b/>
                <w:sz w:val="16"/>
                <w:szCs w:val="16"/>
              </w:rPr>
              <w:t>Total Average Hour Burden Cost Per Respondent</w:t>
            </w:r>
          </w:p>
          <w:p w:rsidR="0067738F" w:rsidRPr="009806FE" w:rsidP="0085251F" w14:paraId="38356AEA" w14:textId="58D1E9CB">
            <w:pPr>
              <w:jc w:val="center"/>
              <w:rPr>
                <w:rFonts w:cs="Times New Roman"/>
                <w:b/>
                <w:sz w:val="16"/>
                <w:szCs w:val="16"/>
              </w:rPr>
            </w:pPr>
            <w:r w:rsidRPr="009806FE">
              <w:rPr>
                <w:rFonts w:cs="Times New Roman"/>
                <w:b/>
                <w:sz w:val="16"/>
                <w:szCs w:val="16"/>
              </w:rPr>
              <w:t xml:space="preserve">(5 </w:t>
            </w:r>
            <w:r w:rsidR="00FC1B47">
              <w:rPr>
                <w:rFonts w:cs="Times New Roman"/>
                <w:b/>
                <w:sz w:val="16"/>
                <w:szCs w:val="16"/>
              </w:rPr>
              <w:t>×</w:t>
            </w:r>
            <w:r w:rsidRPr="009806FE">
              <w:rPr>
                <w:rFonts w:cs="Times New Roman"/>
                <w:b/>
                <w:sz w:val="16"/>
                <w:szCs w:val="16"/>
              </w:rPr>
              <w:t xml:space="preserve"> 6)</w:t>
            </w:r>
          </w:p>
        </w:tc>
        <w:tc>
          <w:tcPr>
            <w:tcW w:w="456" w:type="pct"/>
          </w:tcPr>
          <w:p w:rsidR="0067738F" w:rsidRPr="009806FE" w:rsidP="0085251F" w14:paraId="745367F9"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8.</w:t>
            </w:r>
          </w:p>
          <w:p w:rsidR="0067738F" w:rsidRPr="009806FE" w:rsidP="0085251F" w14:paraId="3EC8BAE9"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Total Annual</w:t>
            </w:r>
          </w:p>
          <w:p w:rsidR="0067738F" w:rsidRPr="009806FE" w:rsidP="0085251F" w14:paraId="35B7556F"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Responses</w:t>
            </w:r>
          </w:p>
          <w:p w:rsidR="0067738F" w:rsidRPr="009806FE" w:rsidP="0085251F" w14:paraId="55556687" w14:textId="0802E3FF">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8A5674">
              <w:rPr>
                <w:rFonts w:eastAsia="Times New Roman" w:cs="Times New Roman"/>
                <w:b/>
                <w:sz w:val="16"/>
                <w:szCs w:val="16"/>
              </w:rPr>
              <w:t>×</w:t>
            </w:r>
            <w:r w:rsidRPr="009806FE">
              <w:rPr>
                <w:rFonts w:eastAsia="Times New Roman" w:cs="Times New Roman"/>
                <w:b/>
                <w:sz w:val="16"/>
                <w:szCs w:val="16"/>
              </w:rPr>
              <w:t xml:space="preserve"> 3)</w:t>
            </w:r>
          </w:p>
        </w:tc>
        <w:tc>
          <w:tcPr>
            <w:tcW w:w="425" w:type="pct"/>
          </w:tcPr>
          <w:p w:rsidR="0067738F" w:rsidRPr="009806FE" w:rsidP="0085251F" w14:paraId="484B35C4"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9.</w:t>
            </w:r>
          </w:p>
          <w:p w:rsidR="0067738F" w:rsidRPr="009806FE" w:rsidP="0085251F" w14:paraId="085A6930"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Total Annual  Number of Burden Hours</w:t>
            </w:r>
          </w:p>
          <w:p w:rsidR="0067738F" w:rsidRPr="009806FE" w:rsidP="0085251F" w14:paraId="0F8206C5" w14:textId="71F1598B">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FC1B47">
              <w:rPr>
                <w:rFonts w:eastAsia="Times New Roman" w:cs="Times New Roman"/>
                <w:b/>
                <w:sz w:val="16"/>
                <w:szCs w:val="16"/>
              </w:rPr>
              <w:t>×</w:t>
            </w:r>
            <w:r w:rsidRPr="009806FE">
              <w:rPr>
                <w:rFonts w:eastAsia="Times New Roman" w:cs="Times New Roman"/>
                <w:b/>
                <w:sz w:val="16"/>
                <w:szCs w:val="16"/>
              </w:rPr>
              <w:t xml:space="preserve"> 5)</w:t>
            </w:r>
          </w:p>
        </w:tc>
        <w:tc>
          <w:tcPr>
            <w:tcW w:w="425" w:type="pct"/>
          </w:tcPr>
          <w:p w:rsidR="0067738F" w:rsidRPr="009806FE" w:rsidP="0085251F" w14:paraId="0A4A6D1D"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10.</w:t>
            </w:r>
          </w:p>
          <w:p w:rsidR="0067738F" w:rsidRPr="009806FE" w:rsidP="0085251F" w14:paraId="6448B831" w14:textId="7777777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Total Annual Burden Hour Cost of All Responses</w:t>
            </w:r>
          </w:p>
          <w:p w:rsidR="0067738F" w:rsidRPr="009806FE" w:rsidP="0085251F" w14:paraId="54CF14A7" w14:textId="53051445">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FC1B47">
              <w:rPr>
                <w:rFonts w:eastAsia="Times New Roman" w:cs="Times New Roman"/>
                <w:b/>
                <w:sz w:val="16"/>
                <w:szCs w:val="16"/>
              </w:rPr>
              <w:t>×</w:t>
            </w:r>
            <w:r w:rsidRPr="009806FE">
              <w:rPr>
                <w:rFonts w:eastAsia="Times New Roman" w:cs="Times New Roman"/>
                <w:b/>
                <w:sz w:val="16"/>
                <w:szCs w:val="16"/>
              </w:rPr>
              <w:t xml:space="preserve"> 7)</w:t>
            </w:r>
          </w:p>
        </w:tc>
      </w:tr>
      <w:tr w14:paraId="2EC66F42" w14:textId="77777777" w:rsidTr="00C47CA6">
        <w:tblPrEx>
          <w:tblW w:w="5725" w:type="pct"/>
          <w:tblInd w:w="-972" w:type="dxa"/>
          <w:tblLayout w:type="fixed"/>
          <w:tblLook w:val="04A0"/>
        </w:tblPrEx>
        <w:trPr>
          <w:trHeight w:val="977"/>
        </w:trPr>
        <w:tc>
          <w:tcPr>
            <w:tcW w:w="508" w:type="pct"/>
            <w:vAlign w:val="center"/>
          </w:tcPr>
          <w:p w:rsidR="00A53698" w:rsidRPr="009806FE" w:rsidP="00052496" w14:paraId="5C486C7B"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19.02</w:t>
            </w:r>
          </w:p>
          <w:p w:rsidR="00BB5616" w:rsidRPr="009806FE" w:rsidP="00181593" w14:paraId="7E4C0090" w14:textId="3B33C36A">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Cotton On</w:t>
            </w:r>
            <w:r w:rsidRPr="009806FE" w:rsidR="00181593">
              <w:rPr>
                <w:rFonts w:eastAsia="Times New Roman" w:cs="Times New Roman"/>
                <w:sz w:val="16"/>
                <w:szCs w:val="16"/>
              </w:rPr>
              <w:t>-</w:t>
            </w:r>
            <w:r w:rsidRPr="009806FE">
              <w:rPr>
                <w:rFonts w:eastAsia="Times New Roman" w:cs="Times New Roman"/>
                <w:sz w:val="16"/>
                <w:szCs w:val="16"/>
              </w:rPr>
              <w:t>Call Reports</w:t>
            </w:r>
            <w:r w:rsidRPr="009806FE" w:rsidR="00AC1305">
              <w:rPr>
                <w:rFonts w:eastAsia="Times New Roman" w:cs="Times New Roman"/>
                <w:sz w:val="16"/>
                <w:szCs w:val="16"/>
              </w:rPr>
              <w:t xml:space="preserve"> (Form 304)</w:t>
            </w:r>
          </w:p>
        </w:tc>
        <w:tc>
          <w:tcPr>
            <w:tcW w:w="546" w:type="pct"/>
            <w:shd w:val="clear" w:color="auto" w:fill="FFFFFF" w:themeFill="background1"/>
            <w:vAlign w:val="center"/>
          </w:tcPr>
          <w:p w:rsidR="00A53698" w:rsidRPr="009806FE" w:rsidP="00052496" w14:paraId="44BE999C" w14:textId="4BDC930C">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40</w:t>
            </w:r>
          </w:p>
        </w:tc>
        <w:tc>
          <w:tcPr>
            <w:tcW w:w="577" w:type="pct"/>
            <w:shd w:val="clear" w:color="auto" w:fill="FFFFFF" w:themeFill="background1"/>
            <w:vAlign w:val="center"/>
          </w:tcPr>
          <w:p w:rsidR="00A53698" w:rsidRPr="009806FE" w:rsidP="00052496" w14:paraId="5F17D4E7"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52</w:t>
            </w:r>
          </w:p>
        </w:tc>
        <w:tc>
          <w:tcPr>
            <w:tcW w:w="516" w:type="pct"/>
            <w:shd w:val="clear" w:color="auto" w:fill="FFFFFF" w:themeFill="background1"/>
            <w:vAlign w:val="center"/>
          </w:tcPr>
          <w:p w:rsidR="00A53698" w:rsidRPr="009806FE" w:rsidP="00052496" w14:paraId="304F9CF4"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r w:rsidRPr="009806FE" w:rsidR="00A10820">
              <w:rPr>
                <w:rFonts w:eastAsia="Times New Roman" w:cs="Times New Roman"/>
                <w:sz w:val="16"/>
                <w:szCs w:val="16"/>
              </w:rPr>
              <w:t>.</w:t>
            </w:r>
            <w:r w:rsidRPr="009806FE">
              <w:rPr>
                <w:rFonts w:eastAsia="Times New Roman" w:cs="Times New Roman"/>
                <w:sz w:val="16"/>
                <w:szCs w:val="16"/>
              </w:rPr>
              <w:t>5</w:t>
            </w:r>
          </w:p>
        </w:tc>
        <w:tc>
          <w:tcPr>
            <w:tcW w:w="547" w:type="pct"/>
            <w:shd w:val="clear" w:color="auto" w:fill="FFFFFF" w:themeFill="background1"/>
            <w:vAlign w:val="center"/>
          </w:tcPr>
          <w:p w:rsidR="00A53698" w:rsidRPr="009806FE" w:rsidP="00052496" w14:paraId="7944F9DB"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w:t>
            </w:r>
            <w:r w:rsidRPr="009806FE" w:rsidR="00A10820">
              <w:rPr>
                <w:rFonts w:eastAsia="Times New Roman" w:cs="Times New Roman"/>
                <w:sz w:val="16"/>
                <w:szCs w:val="16"/>
              </w:rPr>
              <w:t>6</w:t>
            </w:r>
          </w:p>
        </w:tc>
        <w:tc>
          <w:tcPr>
            <w:tcW w:w="510" w:type="pct"/>
            <w:shd w:val="clear" w:color="auto" w:fill="FFFFFF" w:themeFill="background1"/>
            <w:vAlign w:val="center"/>
          </w:tcPr>
          <w:p w:rsidR="00A53698" w:rsidRPr="009806FE" w:rsidP="00052496" w14:paraId="66322FC2" w14:textId="72CA7EE2">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w:t>
            </w:r>
            <w:r w:rsidR="00310767">
              <w:rPr>
                <w:rFonts w:eastAsia="Times New Roman" w:cs="Times New Roman"/>
                <w:sz w:val="16"/>
                <w:szCs w:val="16"/>
              </w:rPr>
              <w:t>94</w:t>
            </w:r>
          </w:p>
        </w:tc>
        <w:tc>
          <w:tcPr>
            <w:tcW w:w="491" w:type="pct"/>
            <w:shd w:val="clear" w:color="auto" w:fill="FFFFFF" w:themeFill="background1"/>
            <w:vAlign w:val="center"/>
          </w:tcPr>
          <w:p w:rsidR="00A53698" w:rsidRPr="009806FE" w:rsidP="00052496" w14:paraId="2E5F0037" w14:textId="6697E950">
            <w:pPr>
              <w:spacing w:before="120" w:after="120"/>
              <w:jc w:val="center"/>
              <w:rPr>
                <w:rFonts w:eastAsia="Times New Roman" w:cs="Times New Roman"/>
                <w:sz w:val="16"/>
                <w:szCs w:val="16"/>
              </w:rPr>
            </w:pPr>
            <w:r w:rsidRPr="009806FE">
              <w:rPr>
                <w:rFonts w:eastAsia="Times New Roman" w:cs="Times New Roman"/>
                <w:sz w:val="16"/>
                <w:szCs w:val="16"/>
              </w:rPr>
              <w:t>$</w:t>
            </w:r>
            <w:r w:rsidRPr="00515343" w:rsidR="00515343">
              <w:rPr>
                <w:rFonts w:eastAsia="Times New Roman" w:cs="Times New Roman"/>
                <w:sz w:val="16"/>
                <w:szCs w:val="16"/>
              </w:rPr>
              <w:t>2,444</w:t>
            </w:r>
          </w:p>
        </w:tc>
        <w:tc>
          <w:tcPr>
            <w:tcW w:w="456" w:type="pct"/>
            <w:shd w:val="clear" w:color="auto" w:fill="FFFFFF" w:themeFill="background1"/>
            <w:vAlign w:val="center"/>
          </w:tcPr>
          <w:p w:rsidR="00A53698" w:rsidRPr="009806FE" w:rsidP="00052496" w14:paraId="0D98168D" w14:textId="68020F85">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w:t>
            </w:r>
            <w:r w:rsidRPr="009806FE" w:rsidR="00165300">
              <w:rPr>
                <w:rFonts w:eastAsia="Times New Roman" w:cs="Times New Roman"/>
                <w:sz w:val="16"/>
                <w:szCs w:val="16"/>
              </w:rPr>
              <w:t>080</w:t>
            </w:r>
          </w:p>
        </w:tc>
        <w:tc>
          <w:tcPr>
            <w:tcW w:w="425" w:type="pct"/>
            <w:shd w:val="clear" w:color="auto" w:fill="FFFFFF" w:themeFill="background1"/>
            <w:vAlign w:val="center"/>
          </w:tcPr>
          <w:p w:rsidR="00A53698" w:rsidRPr="009806FE" w:rsidP="00052496" w14:paraId="1EA5C729" w14:textId="321A4B31">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1,040</w:t>
            </w:r>
          </w:p>
        </w:tc>
        <w:tc>
          <w:tcPr>
            <w:tcW w:w="425" w:type="pct"/>
            <w:shd w:val="clear" w:color="auto" w:fill="FFFFFF" w:themeFill="background1"/>
            <w:vAlign w:val="center"/>
          </w:tcPr>
          <w:p w:rsidR="00A53698" w:rsidRPr="009806FE" w:rsidP="00BD1BBB" w14:paraId="58D6429D" w14:textId="376C2E34">
            <w:pPr>
              <w:tabs>
                <w:tab w:val="left" w:pos="-720"/>
                <w:tab w:val="left" w:pos="0"/>
              </w:tabs>
              <w:suppressAutoHyphens/>
              <w:spacing w:before="120" w:after="120"/>
              <w:jc w:val="center"/>
              <w:rPr>
                <w:rFonts w:eastAsia="Times New Roman" w:cs="Times New Roman"/>
                <w:b/>
                <w:sz w:val="16"/>
                <w:szCs w:val="16"/>
              </w:rPr>
            </w:pPr>
            <w:r w:rsidRPr="009806FE">
              <w:rPr>
                <w:rFonts w:eastAsia="Times New Roman" w:cs="Times New Roman"/>
                <w:b/>
                <w:sz w:val="16"/>
                <w:szCs w:val="16"/>
              </w:rPr>
              <w:t>$</w:t>
            </w:r>
            <w:r w:rsidRPr="003A7B18" w:rsidR="003A7B18">
              <w:rPr>
                <w:rFonts w:eastAsia="Times New Roman" w:cs="Times New Roman"/>
                <w:b/>
                <w:sz w:val="16"/>
                <w:szCs w:val="16"/>
              </w:rPr>
              <w:t>97,760</w:t>
            </w:r>
          </w:p>
        </w:tc>
      </w:tr>
      <w:tr w14:paraId="2F73EBBA" w14:textId="77777777" w:rsidTr="00C47CA6">
        <w:tblPrEx>
          <w:tblW w:w="5725" w:type="pct"/>
          <w:tblInd w:w="-972" w:type="dxa"/>
          <w:tblLayout w:type="fixed"/>
          <w:tblLook w:val="04A0"/>
        </w:tblPrEx>
        <w:trPr>
          <w:trHeight w:val="977"/>
        </w:trPr>
        <w:tc>
          <w:tcPr>
            <w:tcW w:w="508" w:type="pct"/>
            <w:vAlign w:val="center"/>
          </w:tcPr>
          <w:p w:rsidR="00BF1627" w:rsidRPr="009806FE" w:rsidP="00052496" w14:paraId="5B35D588"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150.2(f)</w:t>
            </w:r>
          </w:p>
          <w:p w:rsidR="003061BC" w:rsidRPr="009806FE" w:rsidP="00AA58FF" w14:paraId="0DA6F1E0" w14:textId="2720363E">
            <w:pPr>
              <w:suppressAutoHyphens/>
              <w:spacing w:before="120" w:after="120"/>
              <w:jc w:val="center"/>
              <w:rPr>
                <w:rFonts w:eastAsia="Times New Roman" w:cs="Times New Roman"/>
                <w:sz w:val="16"/>
                <w:szCs w:val="16"/>
                <w:highlight w:val="yellow"/>
              </w:rPr>
            </w:pPr>
            <w:r w:rsidRPr="009806FE">
              <w:rPr>
                <w:rFonts w:eastAsia="Times New Roman" w:cs="Times New Roman"/>
                <w:sz w:val="16"/>
                <w:szCs w:val="16"/>
              </w:rPr>
              <w:t>E</w:t>
            </w:r>
            <w:r w:rsidRPr="009806FE" w:rsidR="00AA58FF">
              <w:rPr>
                <w:rFonts w:eastAsia="Times New Roman" w:cs="Times New Roman"/>
                <w:sz w:val="16"/>
                <w:szCs w:val="16"/>
              </w:rPr>
              <w:t xml:space="preserve">stimates of </w:t>
            </w:r>
            <w:r w:rsidRPr="009806FE">
              <w:rPr>
                <w:rFonts w:eastAsia="Times New Roman" w:cs="Times New Roman"/>
                <w:sz w:val="16"/>
                <w:szCs w:val="16"/>
              </w:rPr>
              <w:t>D</w:t>
            </w:r>
            <w:r w:rsidRPr="009806FE" w:rsidR="00AA58FF">
              <w:rPr>
                <w:rFonts w:eastAsia="Times New Roman" w:cs="Times New Roman"/>
                <w:sz w:val="16"/>
                <w:szCs w:val="16"/>
              </w:rPr>
              <w:t xml:space="preserve">eliverable </w:t>
            </w:r>
            <w:r w:rsidRPr="009806FE">
              <w:rPr>
                <w:rFonts w:eastAsia="Times New Roman" w:cs="Times New Roman"/>
                <w:sz w:val="16"/>
                <w:szCs w:val="16"/>
              </w:rPr>
              <w:t>S</w:t>
            </w:r>
            <w:r w:rsidRPr="009806FE" w:rsidR="00AA58FF">
              <w:rPr>
                <w:rFonts w:eastAsia="Times New Roman" w:cs="Times New Roman"/>
                <w:sz w:val="16"/>
                <w:szCs w:val="16"/>
              </w:rPr>
              <w:t>upply</w:t>
            </w:r>
          </w:p>
        </w:tc>
        <w:tc>
          <w:tcPr>
            <w:tcW w:w="546" w:type="pct"/>
            <w:vAlign w:val="center"/>
          </w:tcPr>
          <w:p w:rsidR="00BF1627" w:rsidRPr="009806FE" w:rsidP="00AA58FF" w14:paraId="5899C902" w14:textId="5EBB86FE">
            <w:pPr>
              <w:suppressAutoHyphens/>
              <w:spacing w:before="120" w:after="120"/>
              <w:jc w:val="center"/>
              <w:rPr>
                <w:rFonts w:eastAsia="Times New Roman" w:cs="Times New Roman"/>
                <w:sz w:val="16"/>
                <w:szCs w:val="16"/>
              </w:rPr>
            </w:pPr>
            <w:r w:rsidRPr="009806FE">
              <w:rPr>
                <w:rFonts w:eastAsia="Times New Roman" w:cs="Times New Roman"/>
                <w:sz w:val="16"/>
                <w:szCs w:val="16"/>
              </w:rPr>
              <w:t>1</w:t>
            </w:r>
          </w:p>
        </w:tc>
        <w:tc>
          <w:tcPr>
            <w:tcW w:w="577" w:type="pct"/>
            <w:vAlign w:val="center"/>
          </w:tcPr>
          <w:p w:rsidR="00BF1627" w:rsidRPr="009806FE" w:rsidP="00052496" w14:paraId="1EC13921" w14:textId="6CC0A480">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r>
              <w:rPr>
                <w:rFonts w:cs="Times New Roman"/>
                <w:sz w:val="16"/>
                <w:szCs w:val="16"/>
                <w:vertAlign w:val="superscript"/>
              </w:rPr>
              <w:footnoteReference w:id="23"/>
            </w:r>
          </w:p>
        </w:tc>
        <w:tc>
          <w:tcPr>
            <w:tcW w:w="516" w:type="pct"/>
            <w:vAlign w:val="center"/>
          </w:tcPr>
          <w:p w:rsidR="00BF1627" w:rsidRPr="009806FE" w:rsidP="00052496" w14:paraId="75B973F0" w14:textId="5C9D9272">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10</w:t>
            </w:r>
          </w:p>
        </w:tc>
        <w:tc>
          <w:tcPr>
            <w:tcW w:w="547" w:type="pct"/>
            <w:vAlign w:val="center"/>
          </w:tcPr>
          <w:p w:rsidR="00BF1627" w:rsidRPr="009806FE" w:rsidP="00052496" w14:paraId="66A1ACEE" w14:textId="597D4EA4">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r w:rsidRPr="009806FE" w:rsidR="00AA58FF">
              <w:rPr>
                <w:rFonts w:eastAsia="Times New Roman" w:cs="Times New Roman"/>
                <w:sz w:val="16"/>
                <w:szCs w:val="16"/>
              </w:rPr>
              <w:t>0</w:t>
            </w:r>
          </w:p>
        </w:tc>
        <w:tc>
          <w:tcPr>
            <w:tcW w:w="510" w:type="pct"/>
            <w:vAlign w:val="center"/>
          </w:tcPr>
          <w:p w:rsidR="00BF1627" w:rsidRPr="009806FE" w:rsidP="00052496" w14:paraId="63741248" w14:textId="4ECB9BF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w:t>
            </w:r>
            <w:r w:rsidR="00310767">
              <w:rPr>
                <w:rFonts w:eastAsia="Times New Roman" w:cs="Times New Roman"/>
                <w:sz w:val="16"/>
                <w:szCs w:val="16"/>
              </w:rPr>
              <w:t>94</w:t>
            </w:r>
          </w:p>
        </w:tc>
        <w:tc>
          <w:tcPr>
            <w:tcW w:w="491" w:type="pct"/>
            <w:vAlign w:val="center"/>
          </w:tcPr>
          <w:p w:rsidR="00BF1627" w:rsidRPr="009806FE" w:rsidP="00052496" w14:paraId="76EE3C9A" w14:textId="48EFB8D8">
            <w:pPr>
              <w:spacing w:before="120" w:after="120"/>
              <w:jc w:val="center"/>
              <w:rPr>
                <w:rFonts w:eastAsia="Times New Roman" w:cs="Times New Roman"/>
                <w:sz w:val="16"/>
                <w:szCs w:val="16"/>
              </w:rPr>
            </w:pPr>
            <w:r w:rsidRPr="009806FE">
              <w:rPr>
                <w:rFonts w:eastAsia="Times New Roman" w:cs="Times New Roman"/>
                <w:sz w:val="16"/>
                <w:szCs w:val="16"/>
              </w:rPr>
              <w:t>$</w:t>
            </w:r>
            <w:r w:rsidR="00ED5994">
              <w:rPr>
                <w:rFonts w:eastAsia="Times New Roman" w:cs="Times New Roman"/>
                <w:sz w:val="16"/>
                <w:szCs w:val="16"/>
              </w:rPr>
              <w:t>94</w:t>
            </w:r>
            <w:r w:rsidRPr="009806FE" w:rsidR="00E6120F">
              <w:rPr>
                <w:rFonts w:eastAsia="Times New Roman" w:cs="Times New Roman"/>
                <w:sz w:val="16"/>
                <w:szCs w:val="16"/>
              </w:rPr>
              <w:t>0</w:t>
            </w:r>
          </w:p>
        </w:tc>
        <w:tc>
          <w:tcPr>
            <w:tcW w:w="456" w:type="pct"/>
            <w:vAlign w:val="center"/>
          </w:tcPr>
          <w:p w:rsidR="00BF1627" w:rsidRPr="009806FE" w:rsidP="00052496" w14:paraId="2C97E817" w14:textId="1CD41753">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p>
        </w:tc>
        <w:tc>
          <w:tcPr>
            <w:tcW w:w="425" w:type="pct"/>
            <w:vAlign w:val="center"/>
          </w:tcPr>
          <w:p w:rsidR="00BF1627" w:rsidRPr="009806FE" w:rsidP="00052496" w14:paraId="5AAF95D7" w14:textId="2BD98EC1">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r w:rsidRPr="009806FE" w:rsidR="14114C65">
              <w:rPr>
                <w:rFonts w:eastAsia="Times New Roman" w:cs="Times New Roman"/>
                <w:sz w:val="16"/>
                <w:szCs w:val="16"/>
              </w:rPr>
              <w:t>0</w:t>
            </w:r>
          </w:p>
        </w:tc>
        <w:tc>
          <w:tcPr>
            <w:tcW w:w="425" w:type="pct"/>
            <w:vAlign w:val="center"/>
          </w:tcPr>
          <w:p w:rsidR="00BF1627" w:rsidRPr="009806FE" w:rsidP="00BD1BBB" w14:paraId="1D1450FE" w14:textId="3D91048F">
            <w:pPr>
              <w:tabs>
                <w:tab w:val="left" w:pos="-720"/>
                <w:tab w:val="left" w:pos="0"/>
              </w:tabs>
              <w:suppressAutoHyphens/>
              <w:spacing w:before="120" w:after="120"/>
              <w:jc w:val="center"/>
              <w:rPr>
                <w:rFonts w:eastAsia="Times New Roman" w:cs="Times New Roman"/>
                <w:b/>
                <w:sz w:val="16"/>
                <w:szCs w:val="16"/>
              </w:rPr>
            </w:pPr>
            <w:r w:rsidRPr="009806FE">
              <w:rPr>
                <w:rFonts w:eastAsia="Times New Roman" w:cs="Times New Roman"/>
                <w:b/>
                <w:sz w:val="16"/>
                <w:szCs w:val="16"/>
              </w:rPr>
              <w:t>$</w:t>
            </w:r>
            <w:r w:rsidR="00ED5994">
              <w:rPr>
                <w:rFonts w:eastAsia="Times New Roman" w:cs="Times New Roman"/>
                <w:b/>
                <w:sz w:val="16"/>
                <w:szCs w:val="16"/>
              </w:rPr>
              <w:t>940</w:t>
            </w:r>
          </w:p>
        </w:tc>
      </w:tr>
      <w:tr w14:paraId="756FBD84" w14:textId="77777777" w:rsidTr="00C47CA6">
        <w:tblPrEx>
          <w:tblW w:w="5725" w:type="pct"/>
          <w:tblInd w:w="-972" w:type="dxa"/>
          <w:tblLayout w:type="fixed"/>
          <w:tblLook w:val="04A0"/>
        </w:tblPrEx>
        <w:trPr>
          <w:trHeight w:val="977"/>
        </w:trPr>
        <w:tc>
          <w:tcPr>
            <w:tcW w:w="508" w:type="pct"/>
            <w:vAlign w:val="center"/>
          </w:tcPr>
          <w:p w:rsidR="0067738F" w:rsidRPr="009806FE" w:rsidP="00052496" w14:paraId="594EF039"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150.3</w:t>
            </w:r>
            <w:r w:rsidRPr="009806FE" w:rsidR="009D1C7A">
              <w:rPr>
                <w:rFonts w:eastAsia="Times New Roman" w:cs="Times New Roman"/>
                <w:sz w:val="16"/>
                <w:szCs w:val="16"/>
              </w:rPr>
              <w:t>(b)</w:t>
            </w:r>
          </w:p>
          <w:p w:rsidR="00665322" w:rsidRPr="009806FE" w:rsidP="00082C02" w14:paraId="0D27150A" w14:textId="423832DA">
            <w:pPr>
              <w:suppressAutoHyphens/>
              <w:spacing w:before="120" w:after="120"/>
              <w:jc w:val="center"/>
              <w:rPr>
                <w:rFonts w:eastAsia="Times New Roman" w:cs="Times New Roman"/>
                <w:sz w:val="16"/>
                <w:szCs w:val="16"/>
              </w:rPr>
            </w:pPr>
            <w:r w:rsidRPr="009806FE">
              <w:rPr>
                <w:rFonts w:eastAsia="Times New Roman" w:cs="Times New Roman"/>
                <w:sz w:val="16"/>
                <w:szCs w:val="16"/>
              </w:rPr>
              <w:t xml:space="preserve">Direct application to </w:t>
            </w:r>
            <w:r w:rsidRPr="009806FE" w:rsidR="2054B060">
              <w:rPr>
                <w:rFonts w:eastAsia="Times New Roman" w:cs="Times New Roman"/>
                <w:sz w:val="16"/>
                <w:szCs w:val="16"/>
              </w:rPr>
              <w:t>the Commission</w:t>
            </w:r>
            <w:r w:rsidRPr="009806FE">
              <w:rPr>
                <w:rFonts w:eastAsia="Times New Roman" w:cs="Times New Roman"/>
                <w:sz w:val="16"/>
                <w:szCs w:val="16"/>
              </w:rPr>
              <w:t xml:space="preserve"> for non-enumerated </w:t>
            </w:r>
            <w:r w:rsidRPr="009806FE" w:rsidR="5E399344">
              <w:rPr>
                <w:rFonts w:eastAsia="Times New Roman" w:cs="Times New Roman"/>
                <w:sz w:val="16"/>
                <w:szCs w:val="16"/>
              </w:rPr>
              <w:t xml:space="preserve">Bona Fide Hedge and </w:t>
            </w:r>
            <w:r w:rsidRPr="009806FE">
              <w:rPr>
                <w:rFonts w:eastAsia="Times New Roman" w:cs="Times New Roman"/>
                <w:sz w:val="16"/>
                <w:szCs w:val="16"/>
              </w:rPr>
              <w:t>Spread exemption</w:t>
            </w:r>
            <w:r w:rsidRPr="009806FE" w:rsidR="5E399344">
              <w:rPr>
                <w:rFonts w:eastAsia="Times New Roman" w:cs="Times New Roman"/>
                <w:sz w:val="16"/>
                <w:szCs w:val="16"/>
              </w:rPr>
              <w:t>s</w:t>
            </w:r>
            <w:r>
              <w:rPr>
                <w:rStyle w:val="FootnoteReference"/>
                <w:rFonts w:eastAsia="Times New Roman" w:cs="Times New Roman"/>
                <w:sz w:val="16"/>
                <w:szCs w:val="16"/>
              </w:rPr>
              <w:footnoteReference w:id="24"/>
            </w:r>
          </w:p>
        </w:tc>
        <w:tc>
          <w:tcPr>
            <w:tcW w:w="546" w:type="pct"/>
            <w:vAlign w:val="center"/>
          </w:tcPr>
          <w:p w:rsidR="0067738F" w:rsidRPr="009806FE" w:rsidP="00052496" w14:paraId="2F5EEBA3" w14:textId="2D0E4CA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p>
        </w:tc>
        <w:tc>
          <w:tcPr>
            <w:tcW w:w="577" w:type="pct"/>
            <w:vAlign w:val="center"/>
          </w:tcPr>
          <w:p w:rsidR="0067738F" w:rsidRPr="009806FE" w:rsidP="00052496" w14:paraId="67829F3C" w14:textId="189FA73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p>
        </w:tc>
        <w:tc>
          <w:tcPr>
            <w:tcW w:w="516" w:type="pct"/>
            <w:vAlign w:val="center"/>
          </w:tcPr>
          <w:p w:rsidR="0067738F" w:rsidRPr="009806FE" w:rsidP="00052496" w14:paraId="1923A487" w14:textId="19AF31AB">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20</w:t>
            </w:r>
          </w:p>
        </w:tc>
        <w:tc>
          <w:tcPr>
            <w:tcW w:w="547" w:type="pct"/>
            <w:vAlign w:val="center"/>
          </w:tcPr>
          <w:p w:rsidR="0067738F" w:rsidRPr="009806FE" w:rsidP="00052496" w14:paraId="076B9FD2" w14:textId="7111300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p>
        </w:tc>
        <w:tc>
          <w:tcPr>
            <w:tcW w:w="510" w:type="pct"/>
            <w:vAlign w:val="center"/>
          </w:tcPr>
          <w:p w:rsidR="0067738F" w:rsidRPr="009806FE" w:rsidP="00052496" w14:paraId="46DEE76C" w14:textId="169F1AB9">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w:t>
            </w:r>
            <w:r w:rsidRPr="009806FE" w:rsidR="00DA658D">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67738F" w:rsidRPr="009806FE" w:rsidP="00607CAA" w14:paraId="7060F38C" w14:textId="76937650">
            <w:pPr>
              <w:spacing w:before="120" w:after="120"/>
              <w:jc w:val="center"/>
              <w:rPr>
                <w:rFonts w:eastAsia="Times New Roman" w:cs="Times New Roman"/>
                <w:sz w:val="16"/>
                <w:szCs w:val="16"/>
              </w:rPr>
            </w:pPr>
            <w:r w:rsidRPr="009806FE">
              <w:rPr>
                <w:rFonts w:eastAsia="Times New Roman" w:cs="Times New Roman"/>
                <w:sz w:val="16"/>
                <w:szCs w:val="16"/>
              </w:rPr>
              <w:t>$</w:t>
            </w:r>
            <w:r w:rsidRPr="009806FE" w:rsidR="00DA658D">
              <w:rPr>
                <w:rFonts w:eastAsia="Times New Roman" w:cs="Times New Roman"/>
                <w:sz w:val="16"/>
                <w:szCs w:val="16"/>
              </w:rPr>
              <w:t>0</w:t>
            </w:r>
          </w:p>
        </w:tc>
        <w:tc>
          <w:tcPr>
            <w:tcW w:w="456" w:type="pct"/>
            <w:vAlign w:val="center"/>
          </w:tcPr>
          <w:p w:rsidR="0067738F" w:rsidRPr="009806FE" w:rsidP="00052496" w14:paraId="526C2F7B" w14:textId="1E7DF05C">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67738F" w:rsidRPr="009806FE" w:rsidP="00052496" w14:paraId="1B6651A2" w14:textId="607AC89F">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67738F" w:rsidRPr="009806FE" w:rsidP="00BD1BBB" w14:paraId="3F56866C" w14:textId="269402DF">
            <w:pPr>
              <w:tabs>
                <w:tab w:val="left" w:pos="-720"/>
                <w:tab w:val="left" w:pos="0"/>
              </w:tabs>
              <w:suppressAutoHyphens/>
              <w:spacing w:before="120" w:after="120"/>
              <w:jc w:val="center"/>
              <w:rPr>
                <w:rFonts w:eastAsia="Times New Roman" w:cs="Times New Roman"/>
                <w:b/>
                <w:sz w:val="16"/>
                <w:szCs w:val="16"/>
              </w:rPr>
            </w:pPr>
            <w:r w:rsidRPr="009806FE">
              <w:rPr>
                <w:rFonts w:eastAsia="Times New Roman" w:cs="Times New Roman"/>
                <w:b/>
                <w:sz w:val="16"/>
                <w:szCs w:val="16"/>
              </w:rPr>
              <w:t>$</w:t>
            </w:r>
            <w:r w:rsidRPr="009806FE" w:rsidR="00DA658D">
              <w:rPr>
                <w:rFonts w:eastAsia="Times New Roman" w:cs="Times New Roman"/>
                <w:b/>
                <w:sz w:val="16"/>
                <w:szCs w:val="16"/>
              </w:rPr>
              <w:t>0</w:t>
            </w:r>
          </w:p>
        </w:tc>
      </w:tr>
      <w:tr w14:paraId="15DB4FD1" w14:textId="77777777" w:rsidTr="00C47CA6">
        <w:tblPrEx>
          <w:tblW w:w="5725" w:type="pct"/>
          <w:tblInd w:w="-972" w:type="dxa"/>
          <w:tblLayout w:type="fixed"/>
          <w:tblLook w:val="04A0"/>
        </w:tblPrEx>
        <w:trPr>
          <w:trHeight w:val="1394"/>
        </w:trPr>
        <w:tc>
          <w:tcPr>
            <w:tcW w:w="508" w:type="pct"/>
            <w:vAlign w:val="center"/>
          </w:tcPr>
          <w:p w:rsidR="00BD1BBB" w:rsidRPr="009806FE" w:rsidP="00052496" w14:paraId="7D7F606A"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150.3 (e)</w:t>
            </w:r>
          </w:p>
          <w:p w:rsidR="009C5F76" w:rsidRPr="009806FE" w:rsidP="005F7A6B" w14:paraId="5AC65A73" w14:textId="605143A4">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 xml:space="preserve">Special Call for persons claiming </w:t>
            </w:r>
            <w:r w:rsidRPr="009806FE" w:rsidR="00364FB3">
              <w:rPr>
                <w:rFonts w:eastAsia="Times New Roman" w:cs="Times New Roman"/>
                <w:sz w:val="16"/>
                <w:szCs w:val="16"/>
              </w:rPr>
              <w:t xml:space="preserve">an </w:t>
            </w:r>
            <w:r w:rsidRPr="009806FE">
              <w:rPr>
                <w:rFonts w:eastAsia="Times New Roman" w:cs="Times New Roman"/>
                <w:sz w:val="16"/>
                <w:szCs w:val="16"/>
              </w:rPr>
              <w:t>exemption</w:t>
            </w:r>
          </w:p>
        </w:tc>
        <w:tc>
          <w:tcPr>
            <w:tcW w:w="546" w:type="pct"/>
            <w:vAlign w:val="center"/>
          </w:tcPr>
          <w:p w:rsidR="00BD1BBB" w:rsidRPr="009806FE" w:rsidP="00052496" w14:paraId="0688E465"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20</w:t>
            </w:r>
          </w:p>
        </w:tc>
        <w:tc>
          <w:tcPr>
            <w:tcW w:w="577" w:type="pct"/>
            <w:vAlign w:val="center"/>
          </w:tcPr>
          <w:p w:rsidR="00BD1BBB" w:rsidRPr="009806FE" w:rsidP="00052496" w14:paraId="4CAE9869"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p>
        </w:tc>
        <w:tc>
          <w:tcPr>
            <w:tcW w:w="516" w:type="pct"/>
            <w:vAlign w:val="center"/>
          </w:tcPr>
          <w:p w:rsidR="00BD1BBB" w:rsidRPr="009806FE" w:rsidP="6E9F14DE" w14:paraId="6119C3F1" w14:textId="28E027BF">
            <w:pPr>
              <w:suppressAutoHyphens/>
              <w:spacing w:before="120" w:after="120"/>
              <w:jc w:val="center"/>
              <w:rPr>
                <w:rFonts w:eastAsia="Times New Roman" w:cs="Times New Roman"/>
                <w:sz w:val="16"/>
                <w:szCs w:val="16"/>
              </w:rPr>
            </w:pPr>
            <w:r w:rsidRPr="009806FE">
              <w:rPr>
                <w:rFonts w:eastAsia="Times New Roman" w:cs="Times New Roman"/>
                <w:sz w:val="16"/>
                <w:szCs w:val="16"/>
              </w:rPr>
              <w:t>10</w:t>
            </w:r>
          </w:p>
        </w:tc>
        <w:tc>
          <w:tcPr>
            <w:tcW w:w="547" w:type="pct"/>
            <w:vAlign w:val="center"/>
          </w:tcPr>
          <w:p w:rsidR="00BD1BBB" w:rsidRPr="009806FE" w:rsidP="00052496" w14:paraId="347EDF8D"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10</w:t>
            </w:r>
          </w:p>
        </w:tc>
        <w:tc>
          <w:tcPr>
            <w:tcW w:w="510" w:type="pct"/>
            <w:vAlign w:val="center"/>
          </w:tcPr>
          <w:p w:rsidR="00BD1BBB" w:rsidRPr="009806FE" w:rsidP="00052496" w14:paraId="0252E663" w14:textId="0D390BDC">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w:t>
            </w:r>
            <w:r w:rsidRPr="009806FE" w:rsidR="00AA10CF">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BD1BBB" w:rsidRPr="009806FE" w:rsidP="00052496" w14:paraId="415D265A" w14:textId="0BC143CB">
            <w:pPr>
              <w:spacing w:before="120" w:after="120"/>
              <w:jc w:val="center"/>
              <w:rPr>
                <w:rFonts w:eastAsia="Times New Roman" w:cs="Times New Roman"/>
                <w:sz w:val="16"/>
                <w:szCs w:val="16"/>
              </w:rPr>
            </w:pPr>
            <w:r w:rsidRPr="009806FE">
              <w:rPr>
                <w:rFonts w:eastAsia="Times New Roman" w:cs="Times New Roman"/>
                <w:sz w:val="16"/>
                <w:szCs w:val="16"/>
              </w:rPr>
              <w:t>$</w:t>
            </w:r>
            <w:r w:rsidRPr="009806FE" w:rsidR="00AA10CF">
              <w:rPr>
                <w:rFonts w:eastAsia="Times New Roman" w:cs="Times New Roman"/>
                <w:sz w:val="16"/>
                <w:szCs w:val="16"/>
              </w:rPr>
              <w:t>1</w:t>
            </w:r>
            <w:r w:rsidRPr="009806FE">
              <w:rPr>
                <w:rFonts w:eastAsia="Times New Roman" w:cs="Times New Roman"/>
                <w:sz w:val="16"/>
                <w:szCs w:val="16"/>
              </w:rPr>
              <w:t>,</w:t>
            </w:r>
            <w:r w:rsidR="0054032A">
              <w:rPr>
                <w:rFonts w:eastAsia="Times New Roman" w:cs="Times New Roman"/>
                <w:sz w:val="16"/>
                <w:szCs w:val="16"/>
              </w:rPr>
              <w:t>27</w:t>
            </w:r>
            <w:r w:rsidRPr="009806FE" w:rsidR="00AA10CF">
              <w:rPr>
                <w:rFonts w:eastAsia="Times New Roman" w:cs="Times New Roman"/>
                <w:sz w:val="16"/>
                <w:szCs w:val="16"/>
              </w:rPr>
              <w:t>0</w:t>
            </w:r>
          </w:p>
        </w:tc>
        <w:tc>
          <w:tcPr>
            <w:tcW w:w="456" w:type="pct"/>
            <w:vAlign w:val="center"/>
          </w:tcPr>
          <w:p w:rsidR="00BD1BBB" w:rsidRPr="009806FE" w:rsidP="00052496" w14:paraId="2D9521FE"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20</w:t>
            </w:r>
          </w:p>
        </w:tc>
        <w:tc>
          <w:tcPr>
            <w:tcW w:w="425" w:type="pct"/>
            <w:vAlign w:val="center"/>
          </w:tcPr>
          <w:p w:rsidR="00BD1BBB" w:rsidRPr="009806FE" w:rsidP="00052496" w14:paraId="4D45C8D7"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200</w:t>
            </w:r>
          </w:p>
        </w:tc>
        <w:tc>
          <w:tcPr>
            <w:tcW w:w="425" w:type="pct"/>
            <w:vAlign w:val="center"/>
          </w:tcPr>
          <w:p w:rsidR="00BD1BBB" w:rsidRPr="009806FE" w:rsidP="00BD1BBB" w14:paraId="0936C975" w14:textId="23A4C05B">
            <w:pPr>
              <w:tabs>
                <w:tab w:val="left" w:pos="-720"/>
                <w:tab w:val="left" w:pos="0"/>
              </w:tabs>
              <w:suppressAutoHyphens/>
              <w:spacing w:before="120" w:after="120"/>
              <w:jc w:val="center"/>
              <w:rPr>
                <w:rFonts w:eastAsia="Times New Roman" w:cs="Times New Roman"/>
                <w:b/>
                <w:sz w:val="16"/>
                <w:szCs w:val="16"/>
              </w:rPr>
            </w:pPr>
            <w:r w:rsidRPr="009806FE">
              <w:rPr>
                <w:rFonts w:eastAsia="Times New Roman" w:cs="Times New Roman"/>
                <w:b/>
                <w:sz w:val="16"/>
                <w:szCs w:val="16"/>
              </w:rPr>
              <w:t>$</w:t>
            </w:r>
            <w:r w:rsidRPr="009806FE" w:rsidR="00AA10CF">
              <w:rPr>
                <w:rFonts w:eastAsia="Times New Roman" w:cs="Times New Roman"/>
                <w:b/>
                <w:sz w:val="16"/>
                <w:szCs w:val="16"/>
              </w:rPr>
              <w:t>2</w:t>
            </w:r>
            <w:r w:rsidR="0054032A">
              <w:rPr>
                <w:rFonts w:eastAsia="Times New Roman" w:cs="Times New Roman"/>
                <w:b/>
                <w:sz w:val="16"/>
                <w:szCs w:val="16"/>
              </w:rPr>
              <w:t>5</w:t>
            </w:r>
            <w:r w:rsidRPr="009806FE" w:rsidR="00AA10CF">
              <w:rPr>
                <w:rFonts w:eastAsia="Times New Roman" w:cs="Times New Roman"/>
                <w:b/>
                <w:sz w:val="16"/>
                <w:szCs w:val="16"/>
              </w:rPr>
              <w:t>,400</w:t>
            </w:r>
          </w:p>
        </w:tc>
      </w:tr>
      <w:tr w14:paraId="509D10E7" w14:textId="77777777" w:rsidTr="00C47CA6">
        <w:tblPrEx>
          <w:tblW w:w="5725" w:type="pct"/>
          <w:tblInd w:w="-972" w:type="dxa"/>
          <w:tblLayout w:type="fixed"/>
          <w:tblLook w:val="04A0"/>
        </w:tblPrEx>
        <w:trPr>
          <w:trHeight w:val="1394"/>
        </w:trPr>
        <w:tc>
          <w:tcPr>
            <w:tcW w:w="508" w:type="pct"/>
          </w:tcPr>
          <w:p w:rsidR="00E73303" w:rsidRPr="009806FE" w:rsidP="008F7B08" w14:paraId="786A7001" w14:textId="77777777">
            <w:pPr>
              <w:tabs>
                <w:tab w:val="left" w:pos="-720"/>
                <w:tab w:val="left" w:pos="0"/>
              </w:tabs>
              <w:suppressAutoHyphens/>
              <w:jc w:val="center"/>
              <w:rPr>
                <w:rFonts w:cs="Times New Roman"/>
                <w:sz w:val="16"/>
                <w:szCs w:val="16"/>
              </w:rPr>
            </w:pPr>
          </w:p>
          <w:p w:rsidR="00E73303" w:rsidRPr="009806FE" w:rsidP="008F7B08" w14:paraId="51C4E1A4" w14:textId="22CDE4AC">
            <w:pPr>
              <w:tabs>
                <w:tab w:val="left" w:pos="-720"/>
                <w:tab w:val="left" w:pos="0"/>
              </w:tabs>
              <w:suppressAutoHyphens/>
              <w:jc w:val="center"/>
              <w:rPr>
                <w:rFonts w:cs="Times New Roman"/>
                <w:sz w:val="16"/>
                <w:szCs w:val="16"/>
              </w:rPr>
            </w:pPr>
            <w:r w:rsidRPr="009806FE">
              <w:rPr>
                <w:rFonts w:cs="Times New Roman"/>
                <w:sz w:val="16"/>
                <w:szCs w:val="16"/>
              </w:rPr>
              <w:t>150.4(</w:t>
            </w:r>
            <w:r w:rsidRPr="009806FE" w:rsidR="008F7B08">
              <w:rPr>
                <w:rFonts w:cs="Times New Roman"/>
                <w:sz w:val="16"/>
                <w:szCs w:val="16"/>
              </w:rPr>
              <w:t>c</w:t>
            </w:r>
            <w:r w:rsidRPr="009806FE">
              <w:rPr>
                <w:rFonts w:cs="Times New Roman"/>
                <w:sz w:val="16"/>
                <w:szCs w:val="16"/>
              </w:rPr>
              <w:t>)</w:t>
            </w:r>
            <w:r w:rsidRPr="009806FE" w:rsidR="008F7B08">
              <w:rPr>
                <w:rFonts w:cs="Times New Roman"/>
                <w:sz w:val="16"/>
                <w:szCs w:val="16"/>
              </w:rPr>
              <w:t xml:space="preserve"> </w:t>
            </w:r>
          </w:p>
          <w:p w:rsidR="00E73303" w:rsidRPr="009806FE" w:rsidP="008F7B08" w14:paraId="75B158B7" w14:textId="77777777">
            <w:pPr>
              <w:tabs>
                <w:tab w:val="left" w:pos="-720"/>
                <w:tab w:val="left" w:pos="0"/>
              </w:tabs>
              <w:suppressAutoHyphens/>
              <w:jc w:val="center"/>
              <w:rPr>
                <w:rFonts w:cs="Times New Roman"/>
                <w:sz w:val="16"/>
                <w:szCs w:val="16"/>
              </w:rPr>
            </w:pPr>
          </w:p>
          <w:p w:rsidR="00E73303" w:rsidRPr="009806FE" w:rsidP="008F7B08" w14:paraId="4B18E107" w14:textId="5D92DF53">
            <w:pPr>
              <w:tabs>
                <w:tab w:val="left" w:pos="-720"/>
                <w:tab w:val="left" w:pos="0"/>
              </w:tabs>
              <w:suppressAutoHyphens/>
              <w:jc w:val="center"/>
              <w:rPr>
                <w:rFonts w:cs="Times New Roman"/>
                <w:sz w:val="16"/>
                <w:szCs w:val="16"/>
              </w:rPr>
            </w:pPr>
            <w:r w:rsidRPr="009806FE">
              <w:rPr>
                <w:rFonts w:cs="Times New Roman"/>
                <w:sz w:val="16"/>
                <w:szCs w:val="16"/>
              </w:rPr>
              <w:t>Aggregation of Positions</w:t>
            </w:r>
            <w:r>
              <w:rPr>
                <w:rStyle w:val="FootnoteReference"/>
                <w:rFonts w:cs="Times New Roman"/>
                <w:sz w:val="16"/>
                <w:szCs w:val="16"/>
              </w:rPr>
              <w:footnoteReference w:id="25"/>
            </w:r>
          </w:p>
          <w:p w:rsidR="00933163" w:rsidRPr="009806FE" w:rsidP="008F7B08" w14:paraId="39D70307" w14:textId="77777777">
            <w:pPr>
              <w:tabs>
                <w:tab w:val="left" w:pos="-720"/>
                <w:tab w:val="left" w:pos="0"/>
              </w:tabs>
              <w:suppressAutoHyphens/>
              <w:jc w:val="center"/>
              <w:rPr>
                <w:rFonts w:eastAsia="Times New Roman" w:cs="Times New Roman"/>
                <w:sz w:val="16"/>
                <w:szCs w:val="16"/>
              </w:rPr>
            </w:pPr>
          </w:p>
        </w:tc>
        <w:tc>
          <w:tcPr>
            <w:tcW w:w="546" w:type="pct"/>
            <w:vAlign w:val="center"/>
          </w:tcPr>
          <w:p w:rsidR="00933163" w:rsidRPr="009806FE" w:rsidP="00933163" w14:paraId="089BF00C" w14:textId="3EEC08F2">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240</w:t>
            </w:r>
          </w:p>
        </w:tc>
        <w:tc>
          <w:tcPr>
            <w:tcW w:w="577" w:type="pct"/>
            <w:vAlign w:val="center"/>
          </w:tcPr>
          <w:p w:rsidR="00933163" w:rsidRPr="009806FE" w:rsidP="00933163" w14:paraId="6154C14B" w14:textId="001FFB7E">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1.4</w:t>
            </w:r>
          </w:p>
        </w:tc>
        <w:tc>
          <w:tcPr>
            <w:tcW w:w="516" w:type="pct"/>
            <w:vAlign w:val="center"/>
          </w:tcPr>
          <w:p w:rsidR="00933163" w:rsidRPr="009806FE" w:rsidP="00933163" w14:paraId="0B883849" w14:textId="65FFC080">
            <w:pPr>
              <w:suppressAutoHyphens/>
              <w:spacing w:before="120" w:after="120"/>
              <w:jc w:val="center"/>
              <w:rPr>
                <w:rFonts w:eastAsia="Times New Roman" w:cs="Times New Roman"/>
                <w:sz w:val="16"/>
                <w:szCs w:val="16"/>
              </w:rPr>
            </w:pPr>
            <w:r w:rsidRPr="009806FE">
              <w:rPr>
                <w:rFonts w:eastAsia="Times New Roman" w:cs="Times New Roman"/>
                <w:sz w:val="16"/>
                <w:szCs w:val="16"/>
              </w:rPr>
              <w:t>2</w:t>
            </w:r>
            <w:r w:rsidRPr="009806FE" w:rsidR="005321DB">
              <w:rPr>
                <w:rFonts w:eastAsia="Times New Roman" w:cs="Times New Roman"/>
                <w:sz w:val="16"/>
                <w:szCs w:val="16"/>
              </w:rPr>
              <w:t>0.1</w:t>
            </w:r>
          </w:p>
        </w:tc>
        <w:tc>
          <w:tcPr>
            <w:tcW w:w="547" w:type="pct"/>
            <w:vAlign w:val="center"/>
          </w:tcPr>
          <w:p w:rsidR="00933163" w:rsidRPr="009806FE" w:rsidP="00933163" w14:paraId="03E3FA6D" w14:textId="1F88E364">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28.5</w:t>
            </w:r>
          </w:p>
        </w:tc>
        <w:tc>
          <w:tcPr>
            <w:tcW w:w="510" w:type="pct"/>
            <w:vAlign w:val="center"/>
          </w:tcPr>
          <w:p w:rsidR="00933163" w:rsidRPr="009806FE" w:rsidP="00933163" w14:paraId="5C0ADA06" w14:textId="1393D08C">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w:t>
            </w:r>
            <w:r w:rsidR="00310767">
              <w:rPr>
                <w:rFonts w:eastAsia="Times New Roman" w:cs="Times New Roman"/>
                <w:sz w:val="16"/>
                <w:szCs w:val="16"/>
              </w:rPr>
              <w:t>94</w:t>
            </w:r>
          </w:p>
        </w:tc>
        <w:tc>
          <w:tcPr>
            <w:tcW w:w="491" w:type="pct"/>
            <w:vAlign w:val="center"/>
          </w:tcPr>
          <w:p w:rsidR="00933163" w:rsidRPr="009806FE" w:rsidP="00933163" w14:paraId="275AFB63" w14:textId="0F11BADA">
            <w:pPr>
              <w:spacing w:before="120" w:after="120"/>
              <w:jc w:val="center"/>
              <w:rPr>
                <w:rFonts w:eastAsia="Times New Roman" w:cs="Times New Roman"/>
                <w:sz w:val="16"/>
                <w:szCs w:val="16"/>
              </w:rPr>
            </w:pPr>
            <w:r w:rsidRPr="009806FE">
              <w:rPr>
                <w:rFonts w:cs="Times New Roman"/>
                <w:sz w:val="16"/>
                <w:szCs w:val="16"/>
              </w:rPr>
              <w:t>$</w:t>
            </w:r>
            <w:r w:rsidRPr="00CA179E" w:rsidR="00CA179E">
              <w:rPr>
                <w:rFonts w:cs="Times New Roman"/>
                <w:sz w:val="16"/>
                <w:szCs w:val="16"/>
              </w:rPr>
              <w:t>2,679</w:t>
            </w:r>
          </w:p>
        </w:tc>
        <w:tc>
          <w:tcPr>
            <w:tcW w:w="456" w:type="pct"/>
            <w:vAlign w:val="center"/>
          </w:tcPr>
          <w:p w:rsidR="00933163" w:rsidRPr="009806FE" w:rsidP="00933163" w14:paraId="686ACB52" w14:textId="5515319E">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340</w:t>
            </w:r>
          </w:p>
        </w:tc>
        <w:tc>
          <w:tcPr>
            <w:tcW w:w="425" w:type="pct"/>
            <w:vAlign w:val="center"/>
          </w:tcPr>
          <w:p w:rsidR="00933163" w:rsidRPr="009806FE" w:rsidP="00933163" w14:paraId="6406F821" w14:textId="416F956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6,8</w:t>
            </w:r>
            <w:r w:rsidR="00D5410F">
              <w:rPr>
                <w:rFonts w:eastAsia="Times New Roman" w:cs="Times New Roman"/>
                <w:sz w:val="16"/>
                <w:szCs w:val="16"/>
              </w:rPr>
              <w:t>4</w:t>
            </w:r>
            <w:r w:rsidRPr="009806FE">
              <w:rPr>
                <w:rFonts w:eastAsia="Times New Roman" w:cs="Times New Roman"/>
                <w:sz w:val="16"/>
                <w:szCs w:val="16"/>
              </w:rPr>
              <w:t>0</w:t>
            </w:r>
          </w:p>
        </w:tc>
        <w:tc>
          <w:tcPr>
            <w:tcW w:w="425" w:type="pct"/>
            <w:vAlign w:val="center"/>
          </w:tcPr>
          <w:p w:rsidR="00933163" w:rsidRPr="009806FE" w:rsidP="00933163" w14:paraId="7A6A070A" w14:textId="4548DE53">
            <w:pPr>
              <w:tabs>
                <w:tab w:val="left" w:pos="-720"/>
                <w:tab w:val="left" w:pos="0"/>
              </w:tabs>
              <w:suppressAutoHyphens/>
              <w:spacing w:before="120" w:after="120"/>
              <w:jc w:val="center"/>
              <w:rPr>
                <w:rFonts w:eastAsia="Times New Roman" w:cs="Times New Roman"/>
                <w:b/>
                <w:sz w:val="16"/>
                <w:szCs w:val="16"/>
              </w:rPr>
            </w:pPr>
            <w:r w:rsidRPr="009806FE">
              <w:rPr>
                <w:rFonts w:eastAsia="Times New Roman" w:cs="Times New Roman"/>
                <w:b/>
                <w:sz w:val="16"/>
                <w:szCs w:val="16"/>
              </w:rPr>
              <w:t>$</w:t>
            </w:r>
            <w:r w:rsidR="00290396">
              <w:rPr>
                <w:rFonts w:eastAsia="Times New Roman" w:cs="Times New Roman"/>
                <w:b/>
                <w:sz w:val="16"/>
                <w:szCs w:val="16"/>
              </w:rPr>
              <w:t>642,96</w:t>
            </w:r>
            <w:r w:rsidRPr="009806FE" w:rsidR="00DD3AB1">
              <w:rPr>
                <w:rFonts w:eastAsia="Times New Roman" w:cs="Times New Roman"/>
                <w:b/>
                <w:sz w:val="16"/>
                <w:szCs w:val="16"/>
              </w:rPr>
              <w:t>0</w:t>
            </w:r>
          </w:p>
        </w:tc>
      </w:tr>
      <w:tr w14:paraId="02C37F36" w14:textId="77777777" w:rsidTr="00C47CA6">
        <w:tblPrEx>
          <w:tblW w:w="5725" w:type="pct"/>
          <w:tblInd w:w="-972" w:type="dxa"/>
          <w:tblLayout w:type="fixed"/>
          <w:tblLook w:val="04A0"/>
        </w:tblPrEx>
        <w:trPr>
          <w:trHeight w:val="1961"/>
        </w:trPr>
        <w:tc>
          <w:tcPr>
            <w:tcW w:w="508" w:type="pct"/>
            <w:vAlign w:val="center"/>
          </w:tcPr>
          <w:p w:rsidR="00933163" w:rsidRPr="009806FE" w:rsidP="00933163" w14:paraId="7C3AC853"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150.5(a)</w:t>
            </w:r>
          </w:p>
          <w:p w:rsidR="00933163" w:rsidRPr="009806FE" w:rsidP="00933163" w14:paraId="1991D540" w14:textId="3445FB63">
            <w:pPr>
              <w:suppressAutoHyphens/>
              <w:spacing w:before="120" w:after="120"/>
              <w:jc w:val="center"/>
              <w:rPr>
                <w:rFonts w:eastAsia="Times New Roman" w:cs="Times New Roman"/>
                <w:sz w:val="16"/>
                <w:szCs w:val="16"/>
              </w:rPr>
            </w:pPr>
            <w:r w:rsidRPr="009806FE">
              <w:rPr>
                <w:rFonts w:eastAsia="Times New Roman" w:cs="Times New Roman"/>
                <w:sz w:val="16"/>
                <w:szCs w:val="16"/>
              </w:rPr>
              <w:t>Exemption applications to exchanges for contracts subject to federal position limits</w:t>
            </w:r>
          </w:p>
        </w:tc>
        <w:tc>
          <w:tcPr>
            <w:tcW w:w="546" w:type="pct"/>
            <w:vAlign w:val="center"/>
          </w:tcPr>
          <w:p w:rsidR="00933163" w:rsidRPr="009806FE" w:rsidP="00933163" w14:paraId="0AAEC74E" w14:textId="5C7B4414">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300</w:t>
            </w:r>
          </w:p>
        </w:tc>
        <w:tc>
          <w:tcPr>
            <w:tcW w:w="577" w:type="pct"/>
            <w:vAlign w:val="center"/>
          </w:tcPr>
          <w:p w:rsidR="00933163" w:rsidRPr="009806FE" w:rsidP="00933163" w14:paraId="6E20A0A6" w14:textId="7FEFA7ED">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3</w:t>
            </w:r>
          </w:p>
        </w:tc>
        <w:tc>
          <w:tcPr>
            <w:tcW w:w="516" w:type="pct"/>
            <w:vAlign w:val="center"/>
          </w:tcPr>
          <w:p w:rsidR="00933163" w:rsidRPr="009806FE" w:rsidP="00933163" w14:paraId="74BFEBAD" w14:textId="78A7A02A">
            <w:pPr>
              <w:suppressAutoHyphens/>
              <w:spacing w:before="120" w:after="120"/>
              <w:jc w:val="center"/>
              <w:rPr>
                <w:rFonts w:eastAsia="Times New Roman" w:cs="Times New Roman"/>
                <w:sz w:val="16"/>
                <w:szCs w:val="16"/>
              </w:rPr>
            </w:pPr>
            <w:r w:rsidRPr="009806FE">
              <w:rPr>
                <w:rFonts w:eastAsia="Times New Roman" w:cs="Times New Roman"/>
                <w:sz w:val="16"/>
                <w:szCs w:val="16"/>
              </w:rPr>
              <w:t>2</w:t>
            </w:r>
          </w:p>
        </w:tc>
        <w:tc>
          <w:tcPr>
            <w:tcW w:w="547" w:type="pct"/>
            <w:vAlign w:val="center"/>
          </w:tcPr>
          <w:p w:rsidR="00933163" w:rsidRPr="009806FE" w:rsidP="00933163" w14:paraId="01C130EE" w14:textId="706D54FD">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6</w:t>
            </w:r>
          </w:p>
        </w:tc>
        <w:tc>
          <w:tcPr>
            <w:tcW w:w="510" w:type="pct"/>
            <w:vAlign w:val="center"/>
          </w:tcPr>
          <w:p w:rsidR="00933163" w:rsidRPr="009806FE" w:rsidP="00933163" w14:paraId="6B7ECF48" w14:textId="425B2EC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933163" w:rsidRPr="009806FE" w:rsidP="00933163" w14:paraId="7AE2FF88" w14:textId="54EBDB8A">
            <w:pPr>
              <w:spacing w:before="120" w:after="120"/>
              <w:jc w:val="center"/>
              <w:rPr>
                <w:rFonts w:eastAsia="Times New Roman" w:cs="Times New Roman"/>
                <w:sz w:val="16"/>
                <w:szCs w:val="16"/>
              </w:rPr>
            </w:pPr>
            <w:r w:rsidRPr="009806FE">
              <w:rPr>
                <w:rFonts w:eastAsia="Times New Roman" w:cs="Times New Roman"/>
                <w:sz w:val="16"/>
                <w:szCs w:val="16"/>
              </w:rPr>
              <w:t>$</w:t>
            </w:r>
            <w:r w:rsidRPr="00A36B1B" w:rsidR="00A36B1B">
              <w:rPr>
                <w:rFonts w:eastAsia="Times New Roman" w:cs="Times New Roman"/>
                <w:sz w:val="16"/>
                <w:szCs w:val="16"/>
              </w:rPr>
              <w:t>762</w:t>
            </w:r>
          </w:p>
        </w:tc>
        <w:tc>
          <w:tcPr>
            <w:tcW w:w="456" w:type="pct"/>
            <w:vAlign w:val="center"/>
          </w:tcPr>
          <w:p w:rsidR="00933163" w:rsidRPr="009806FE" w:rsidP="00933163" w14:paraId="7171F76B" w14:textId="2D625C0E">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900</w:t>
            </w:r>
          </w:p>
        </w:tc>
        <w:tc>
          <w:tcPr>
            <w:tcW w:w="425" w:type="pct"/>
            <w:vAlign w:val="center"/>
          </w:tcPr>
          <w:p w:rsidR="00933163" w:rsidRPr="009806FE" w:rsidP="00933163" w14:paraId="3C2DBD2E" w14:textId="31725F8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 xml:space="preserve">1,800 </w:t>
            </w:r>
          </w:p>
        </w:tc>
        <w:tc>
          <w:tcPr>
            <w:tcW w:w="425" w:type="pct"/>
            <w:vAlign w:val="center"/>
          </w:tcPr>
          <w:p w:rsidR="00933163" w:rsidRPr="009806FE" w:rsidP="00933163" w14:paraId="20DFFE97" w14:textId="3518CAE2">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Pr="00A14415" w:rsidR="00A14415">
              <w:rPr>
                <w:rFonts w:eastAsia="Times New Roman" w:cs="Times New Roman"/>
                <w:b/>
                <w:sz w:val="16"/>
                <w:szCs w:val="16"/>
              </w:rPr>
              <w:t>228,600</w:t>
            </w:r>
          </w:p>
          <w:p w:rsidR="00933163" w:rsidRPr="009806FE" w:rsidP="00933163" w14:paraId="676758B8" w14:textId="248D557B">
            <w:pPr>
              <w:tabs>
                <w:tab w:val="left" w:pos="-720"/>
                <w:tab w:val="left" w:pos="0"/>
              </w:tabs>
              <w:suppressAutoHyphens/>
              <w:jc w:val="center"/>
              <w:rPr>
                <w:rFonts w:eastAsia="Times New Roman" w:cs="Times New Roman"/>
                <w:b/>
                <w:sz w:val="16"/>
                <w:szCs w:val="16"/>
              </w:rPr>
            </w:pPr>
          </w:p>
        </w:tc>
      </w:tr>
      <w:tr w14:paraId="6E87A40F" w14:textId="77777777" w:rsidTr="00C47CA6">
        <w:tblPrEx>
          <w:tblW w:w="5725" w:type="pct"/>
          <w:tblInd w:w="-972" w:type="dxa"/>
          <w:tblLayout w:type="fixed"/>
          <w:tblLook w:val="04A0"/>
        </w:tblPrEx>
        <w:trPr>
          <w:trHeight w:val="1222"/>
        </w:trPr>
        <w:tc>
          <w:tcPr>
            <w:tcW w:w="508" w:type="pct"/>
            <w:vAlign w:val="center"/>
          </w:tcPr>
          <w:p w:rsidR="00933163" w:rsidRPr="009806FE" w:rsidP="00933163" w14:paraId="412B9FE8" w14:textId="7777777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150.5(a)(4)</w:t>
            </w:r>
          </w:p>
          <w:p w:rsidR="00933163" w:rsidRPr="009806FE" w:rsidP="00933163" w14:paraId="20F3F178" w14:textId="64B54AF2">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 xml:space="preserve">Monthly Reports detailing the disposition of each exemption application </w:t>
            </w:r>
          </w:p>
        </w:tc>
        <w:tc>
          <w:tcPr>
            <w:tcW w:w="546" w:type="pct"/>
            <w:vAlign w:val="center"/>
          </w:tcPr>
          <w:p w:rsidR="00933163" w:rsidRPr="009806FE" w:rsidP="00933163" w14:paraId="49833A93" w14:textId="1A092538">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4</w:t>
            </w:r>
          </w:p>
        </w:tc>
        <w:tc>
          <w:tcPr>
            <w:tcW w:w="577" w:type="pct"/>
            <w:vAlign w:val="center"/>
          </w:tcPr>
          <w:p w:rsidR="00933163" w:rsidRPr="009806FE" w:rsidP="00933163" w14:paraId="4A6AE9CD" w14:textId="28365CC9">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12</w:t>
            </w:r>
          </w:p>
        </w:tc>
        <w:tc>
          <w:tcPr>
            <w:tcW w:w="516" w:type="pct"/>
            <w:vAlign w:val="center"/>
          </w:tcPr>
          <w:p w:rsidR="00933163" w:rsidRPr="009806FE" w:rsidP="00933163" w14:paraId="0298337F" w14:textId="24248606">
            <w:pPr>
              <w:suppressAutoHyphens/>
              <w:spacing w:before="120" w:after="120"/>
              <w:jc w:val="center"/>
              <w:rPr>
                <w:rFonts w:eastAsia="Times New Roman" w:cs="Times New Roman"/>
                <w:sz w:val="16"/>
                <w:szCs w:val="16"/>
              </w:rPr>
            </w:pPr>
            <w:r w:rsidRPr="009806FE">
              <w:rPr>
                <w:rFonts w:eastAsia="Times New Roman" w:cs="Times New Roman"/>
                <w:sz w:val="16"/>
                <w:szCs w:val="16"/>
              </w:rPr>
              <w:t>5</w:t>
            </w:r>
          </w:p>
        </w:tc>
        <w:tc>
          <w:tcPr>
            <w:tcW w:w="547" w:type="pct"/>
            <w:vAlign w:val="center"/>
          </w:tcPr>
          <w:p w:rsidR="00933163" w:rsidRPr="009806FE" w:rsidP="00933163" w14:paraId="23FC3055" w14:textId="739E8A1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60</w:t>
            </w:r>
          </w:p>
        </w:tc>
        <w:tc>
          <w:tcPr>
            <w:tcW w:w="510" w:type="pct"/>
            <w:vAlign w:val="center"/>
          </w:tcPr>
          <w:p w:rsidR="00933163" w:rsidRPr="009806FE" w:rsidP="00933163" w14:paraId="1CD6F244" w14:textId="57C9CBDC">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933163" w:rsidRPr="009806FE" w:rsidP="00933163" w14:paraId="7D18ECD2" w14:textId="163D8D98">
            <w:pPr>
              <w:spacing w:before="120" w:after="120"/>
              <w:jc w:val="center"/>
              <w:rPr>
                <w:rFonts w:eastAsia="Times New Roman" w:cs="Times New Roman"/>
                <w:sz w:val="16"/>
                <w:szCs w:val="16"/>
              </w:rPr>
            </w:pPr>
            <w:r w:rsidRPr="009806FE">
              <w:rPr>
                <w:rFonts w:eastAsia="Times New Roman" w:cs="Times New Roman"/>
                <w:sz w:val="16"/>
                <w:szCs w:val="16"/>
              </w:rPr>
              <w:t>$</w:t>
            </w:r>
            <w:r w:rsidRPr="00AE6B22" w:rsidR="00AE6B22">
              <w:rPr>
                <w:rFonts w:eastAsia="Times New Roman" w:cs="Times New Roman"/>
                <w:sz w:val="16"/>
                <w:szCs w:val="16"/>
              </w:rPr>
              <w:t>7,620</w:t>
            </w:r>
          </w:p>
        </w:tc>
        <w:tc>
          <w:tcPr>
            <w:tcW w:w="456" w:type="pct"/>
            <w:vAlign w:val="center"/>
          </w:tcPr>
          <w:p w:rsidR="00933163" w:rsidRPr="009806FE" w:rsidP="00933163" w14:paraId="4042377D" w14:textId="3FB18DCB">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48</w:t>
            </w:r>
          </w:p>
        </w:tc>
        <w:tc>
          <w:tcPr>
            <w:tcW w:w="425" w:type="pct"/>
            <w:vAlign w:val="center"/>
          </w:tcPr>
          <w:p w:rsidR="00933163" w:rsidRPr="009806FE" w:rsidP="00933163" w14:paraId="47579259" w14:textId="19996F87">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240</w:t>
            </w:r>
          </w:p>
        </w:tc>
        <w:tc>
          <w:tcPr>
            <w:tcW w:w="425" w:type="pct"/>
            <w:vAlign w:val="center"/>
          </w:tcPr>
          <w:p w:rsidR="00933163" w:rsidRPr="009806FE" w:rsidP="00933163" w14:paraId="0596354E" w14:textId="260998DC">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Pr="00F43612" w:rsidR="00F43612">
              <w:rPr>
                <w:rFonts w:eastAsia="Times New Roman" w:cs="Times New Roman"/>
                <w:b/>
                <w:sz w:val="16"/>
                <w:szCs w:val="16"/>
              </w:rPr>
              <w:t>30,480</w:t>
            </w:r>
          </w:p>
        </w:tc>
      </w:tr>
      <w:tr w14:paraId="7933621C" w14:textId="77777777" w:rsidTr="00C47CA6">
        <w:tblPrEx>
          <w:tblW w:w="5725" w:type="pct"/>
          <w:tblInd w:w="-972" w:type="dxa"/>
          <w:tblLayout w:type="fixed"/>
          <w:tblLook w:val="04A0"/>
        </w:tblPrEx>
        <w:trPr>
          <w:trHeight w:val="2474"/>
        </w:trPr>
        <w:tc>
          <w:tcPr>
            <w:tcW w:w="508" w:type="pct"/>
            <w:vAlign w:val="center"/>
          </w:tcPr>
          <w:p w:rsidR="00933163" w:rsidRPr="009806FE" w:rsidP="00933163" w14:paraId="570D440E" w14:textId="77777777">
            <w:pPr>
              <w:tabs>
                <w:tab w:val="left" w:pos="-720"/>
                <w:tab w:val="left" w:pos="0"/>
              </w:tabs>
              <w:suppressAutoHyphens/>
              <w:jc w:val="center"/>
              <w:rPr>
                <w:rFonts w:cs="Times New Roman"/>
                <w:sz w:val="16"/>
                <w:szCs w:val="16"/>
              </w:rPr>
            </w:pPr>
            <w:r w:rsidRPr="009806FE">
              <w:rPr>
                <w:rFonts w:cs="Times New Roman"/>
                <w:sz w:val="16"/>
                <w:szCs w:val="16"/>
              </w:rPr>
              <w:t>150.5(b)(3)</w:t>
            </w:r>
          </w:p>
          <w:p w:rsidR="00933163" w:rsidRPr="009806FE" w:rsidP="00933163" w14:paraId="3B8A547F" w14:textId="77777777">
            <w:pPr>
              <w:tabs>
                <w:tab w:val="left" w:pos="-720"/>
                <w:tab w:val="left" w:pos="0"/>
              </w:tabs>
              <w:suppressAutoHyphens/>
              <w:jc w:val="center"/>
              <w:rPr>
                <w:rFonts w:cs="Times New Roman"/>
                <w:sz w:val="16"/>
                <w:szCs w:val="16"/>
              </w:rPr>
            </w:pPr>
          </w:p>
          <w:p w:rsidR="00933163" w:rsidRPr="009806FE" w:rsidP="00933163" w14:paraId="64ADD287" w14:textId="06F1AE12">
            <w:pPr>
              <w:tabs>
                <w:tab w:val="left" w:pos="-720"/>
                <w:tab w:val="left" w:pos="0"/>
              </w:tabs>
              <w:suppressAutoHyphens/>
              <w:jc w:val="center"/>
              <w:rPr>
                <w:rFonts w:cs="Times New Roman"/>
                <w:sz w:val="16"/>
                <w:szCs w:val="16"/>
              </w:rPr>
            </w:pPr>
            <w:r w:rsidRPr="009806FE">
              <w:rPr>
                <w:rFonts w:cs="Times New Roman"/>
                <w:sz w:val="16"/>
                <w:szCs w:val="16"/>
              </w:rPr>
              <w:t>Exchange limits that are not comparable to existing contracts (for look-alike contracts not subject to Federal position limits).</w:t>
            </w:r>
          </w:p>
        </w:tc>
        <w:tc>
          <w:tcPr>
            <w:tcW w:w="546" w:type="pct"/>
            <w:vAlign w:val="center"/>
          </w:tcPr>
          <w:p w:rsidR="00933163" w:rsidRPr="009806FE" w:rsidP="00933163" w14:paraId="7B726147" w14:textId="4E71BCA3">
            <w:pPr>
              <w:suppressAutoHyphens/>
              <w:jc w:val="center"/>
              <w:rPr>
                <w:rFonts w:eastAsia="Times New Roman" w:cs="Times New Roman"/>
                <w:sz w:val="16"/>
                <w:szCs w:val="16"/>
              </w:rPr>
            </w:pPr>
            <w:r w:rsidRPr="009806FE">
              <w:rPr>
                <w:rFonts w:eastAsia="Times New Roman" w:cs="Times New Roman"/>
                <w:sz w:val="16"/>
                <w:szCs w:val="16"/>
              </w:rPr>
              <w:t>1</w:t>
            </w:r>
          </w:p>
        </w:tc>
        <w:tc>
          <w:tcPr>
            <w:tcW w:w="577" w:type="pct"/>
            <w:vAlign w:val="center"/>
          </w:tcPr>
          <w:p w:rsidR="00933163" w:rsidRPr="009806FE" w:rsidP="00933163" w14:paraId="6E0AD1A2" w14:textId="61D5E3FD">
            <w:pPr>
              <w:suppressAutoHyphens/>
              <w:jc w:val="center"/>
              <w:rPr>
                <w:rFonts w:eastAsia="Times New Roman" w:cs="Times New Roman"/>
                <w:sz w:val="16"/>
                <w:szCs w:val="16"/>
              </w:rPr>
            </w:pPr>
            <w:r w:rsidRPr="009806FE">
              <w:rPr>
                <w:rFonts w:eastAsia="Times New Roman" w:cs="Times New Roman"/>
                <w:sz w:val="16"/>
                <w:szCs w:val="16"/>
              </w:rPr>
              <w:t>1</w:t>
            </w:r>
          </w:p>
        </w:tc>
        <w:tc>
          <w:tcPr>
            <w:tcW w:w="516" w:type="pct"/>
            <w:vAlign w:val="center"/>
          </w:tcPr>
          <w:p w:rsidR="00933163" w:rsidRPr="009806FE" w:rsidP="00933163" w14:paraId="301922F9" w14:textId="7777777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10</w:t>
            </w:r>
          </w:p>
        </w:tc>
        <w:tc>
          <w:tcPr>
            <w:tcW w:w="547" w:type="pct"/>
            <w:vAlign w:val="center"/>
          </w:tcPr>
          <w:p w:rsidR="00933163" w:rsidRPr="009806FE" w:rsidP="00933163" w14:paraId="4F5F6C52" w14:textId="1E4D7F7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10</w:t>
            </w:r>
          </w:p>
        </w:tc>
        <w:tc>
          <w:tcPr>
            <w:tcW w:w="510" w:type="pct"/>
            <w:vAlign w:val="center"/>
          </w:tcPr>
          <w:p w:rsidR="00933163" w:rsidRPr="009806FE" w:rsidP="00933163" w14:paraId="1ACB52AB" w14:textId="129B2C31">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933163" w:rsidRPr="009806FE" w:rsidP="00933163" w14:paraId="052F2B8A" w14:textId="4649805C">
            <w:pPr>
              <w:jc w:val="center"/>
              <w:rPr>
                <w:rFonts w:cs="Times New Roman"/>
                <w:sz w:val="16"/>
                <w:szCs w:val="16"/>
              </w:rPr>
            </w:pPr>
            <w:r w:rsidRPr="009806FE">
              <w:rPr>
                <w:rFonts w:cs="Times New Roman"/>
                <w:sz w:val="16"/>
                <w:szCs w:val="16"/>
              </w:rPr>
              <w:t>$1</w:t>
            </w:r>
            <w:r w:rsidRPr="009806FE" w:rsidR="00256890">
              <w:rPr>
                <w:rFonts w:cs="Times New Roman"/>
                <w:sz w:val="16"/>
                <w:szCs w:val="16"/>
              </w:rPr>
              <w:t>,</w:t>
            </w:r>
            <w:r w:rsidR="00640F16">
              <w:rPr>
                <w:rFonts w:cs="Times New Roman"/>
                <w:sz w:val="16"/>
                <w:szCs w:val="16"/>
              </w:rPr>
              <w:t>270</w:t>
            </w:r>
          </w:p>
        </w:tc>
        <w:tc>
          <w:tcPr>
            <w:tcW w:w="456" w:type="pct"/>
            <w:vAlign w:val="center"/>
          </w:tcPr>
          <w:p w:rsidR="00933163" w:rsidRPr="009806FE" w:rsidP="00933163" w14:paraId="7DA5F032" w14:textId="1E1F80C6">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w:t>
            </w:r>
          </w:p>
        </w:tc>
        <w:tc>
          <w:tcPr>
            <w:tcW w:w="425" w:type="pct"/>
            <w:vAlign w:val="center"/>
          </w:tcPr>
          <w:p w:rsidR="00933163" w:rsidRPr="009806FE" w:rsidP="00933163" w14:paraId="61FCAEAA" w14:textId="399BFA88">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10</w:t>
            </w:r>
          </w:p>
        </w:tc>
        <w:tc>
          <w:tcPr>
            <w:tcW w:w="425" w:type="pct"/>
            <w:vAlign w:val="center"/>
          </w:tcPr>
          <w:p w:rsidR="00933163" w:rsidRPr="009806FE" w:rsidP="00933163" w14:paraId="35C59D61" w14:textId="4E6F2BAE">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$1,</w:t>
            </w:r>
            <w:r w:rsidR="00640F16">
              <w:rPr>
                <w:rFonts w:eastAsia="Times New Roman" w:cs="Times New Roman"/>
                <w:b/>
                <w:sz w:val="16"/>
                <w:szCs w:val="16"/>
              </w:rPr>
              <w:t>270</w:t>
            </w:r>
          </w:p>
        </w:tc>
      </w:tr>
      <w:tr w14:paraId="25C1FBF4" w14:textId="77777777" w:rsidTr="00C47CA6">
        <w:tblPrEx>
          <w:tblW w:w="5725" w:type="pct"/>
          <w:tblInd w:w="-972" w:type="dxa"/>
          <w:tblLayout w:type="fixed"/>
          <w:tblLook w:val="04A0"/>
        </w:tblPrEx>
        <w:trPr>
          <w:trHeight w:val="1367"/>
        </w:trPr>
        <w:tc>
          <w:tcPr>
            <w:tcW w:w="508" w:type="pct"/>
            <w:vAlign w:val="center"/>
          </w:tcPr>
          <w:p w:rsidR="00933163" w:rsidRPr="009806FE" w:rsidP="00933163" w14:paraId="7B6DE1EC" w14:textId="77777777">
            <w:pPr>
              <w:tabs>
                <w:tab w:val="left" w:pos="-720"/>
                <w:tab w:val="left" w:pos="0"/>
              </w:tabs>
              <w:suppressAutoHyphens/>
              <w:jc w:val="center"/>
              <w:rPr>
                <w:rFonts w:cs="Times New Roman"/>
                <w:sz w:val="16"/>
                <w:szCs w:val="16"/>
              </w:rPr>
            </w:pPr>
            <w:r w:rsidRPr="009806FE">
              <w:rPr>
                <w:rFonts w:cs="Times New Roman"/>
                <w:sz w:val="16"/>
                <w:szCs w:val="16"/>
              </w:rPr>
              <w:t>150.5(b)(4)</w:t>
            </w:r>
          </w:p>
          <w:p w:rsidR="00933163" w:rsidRPr="009806FE" w:rsidP="00933163" w14:paraId="3EB2C3A3" w14:textId="77777777">
            <w:pPr>
              <w:tabs>
                <w:tab w:val="left" w:pos="-720"/>
                <w:tab w:val="left" w:pos="0"/>
              </w:tabs>
              <w:suppressAutoHyphens/>
              <w:jc w:val="center"/>
              <w:rPr>
                <w:rFonts w:cs="Times New Roman"/>
                <w:sz w:val="16"/>
                <w:szCs w:val="16"/>
              </w:rPr>
            </w:pPr>
          </w:p>
          <w:p w:rsidR="00933163" w:rsidRPr="009806FE" w:rsidP="00933163" w14:paraId="4347BE23" w14:textId="52731B76">
            <w:pPr>
              <w:tabs>
                <w:tab w:val="left" w:pos="-720"/>
                <w:tab w:val="left" w:pos="0"/>
              </w:tabs>
              <w:suppressAutoHyphens/>
              <w:jc w:val="center"/>
              <w:rPr>
                <w:rFonts w:cs="Times New Roman"/>
                <w:sz w:val="16"/>
                <w:szCs w:val="16"/>
              </w:rPr>
            </w:pPr>
            <w:r w:rsidRPr="009806FE">
              <w:rPr>
                <w:rFonts w:cs="Times New Roman"/>
                <w:sz w:val="16"/>
                <w:szCs w:val="16"/>
              </w:rPr>
              <w:t>Exemption Applications for exchange limits for contracts not subject to federal position limits</w:t>
            </w:r>
          </w:p>
        </w:tc>
        <w:tc>
          <w:tcPr>
            <w:tcW w:w="546" w:type="pct"/>
            <w:vAlign w:val="center"/>
          </w:tcPr>
          <w:p w:rsidR="00933163" w:rsidRPr="009806FE" w:rsidP="00933163" w14:paraId="32562932" w14:textId="74A62D2F">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170</w:t>
            </w:r>
          </w:p>
        </w:tc>
        <w:tc>
          <w:tcPr>
            <w:tcW w:w="577" w:type="pct"/>
            <w:vAlign w:val="center"/>
          </w:tcPr>
          <w:p w:rsidR="00933163" w:rsidRPr="009806FE" w:rsidP="00933163" w14:paraId="2E772CE5" w14:textId="26206002">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2</w:t>
            </w:r>
          </w:p>
        </w:tc>
        <w:tc>
          <w:tcPr>
            <w:tcW w:w="516" w:type="pct"/>
            <w:vAlign w:val="center"/>
          </w:tcPr>
          <w:p w:rsidR="00933163" w:rsidRPr="009806FE" w:rsidP="00933163" w14:paraId="2D021CD7" w14:textId="7777777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2</w:t>
            </w:r>
          </w:p>
        </w:tc>
        <w:tc>
          <w:tcPr>
            <w:tcW w:w="547" w:type="pct"/>
            <w:vAlign w:val="center"/>
          </w:tcPr>
          <w:p w:rsidR="00933163" w:rsidRPr="009806FE" w:rsidP="00933163" w14:paraId="4519412B" w14:textId="430FF0FD">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4</w:t>
            </w:r>
          </w:p>
        </w:tc>
        <w:tc>
          <w:tcPr>
            <w:tcW w:w="510" w:type="pct"/>
            <w:vAlign w:val="center"/>
          </w:tcPr>
          <w:p w:rsidR="00933163" w:rsidRPr="009806FE" w:rsidP="00933163" w14:paraId="74E5D906" w14:textId="13F89591">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w:t>
            </w:r>
            <w:r w:rsidR="00310767">
              <w:rPr>
                <w:rFonts w:eastAsia="Times New Roman" w:cs="Times New Roman"/>
                <w:sz w:val="16"/>
                <w:szCs w:val="16"/>
              </w:rPr>
              <w:t>27</w:t>
            </w:r>
          </w:p>
        </w:tc>
        <w:tc>
          <w:tcPr>
            <w:tcW w:w="491" w:type="pct"/>
            <w:vAlign w:val="center"/>
          </w:tcPr>
          <w:p w:rsidR="00933163" w:rsidRPr="009806FE" w:rsidP="00933163" w14:paraId="2043D1BD" w14:textId="77777777">
            <w:pPr>
              <w:jc w:val="center"/>
              <w:rPr>
                <w:rFonts w:cs="Times New Roman"/>
                <w:sz w:val="16"/>
                <w:szCs w:val="16"/>
              </w:rPr>
            </w:pPr>
          </w:p>
          <w:p w:rsidR="00933163" w:rsidRPr="009806FE" w:rsidP="00933163" w14:paraId="30C3A32E" w14:textId="69CA7F1A">
            <w:pPr>
              <w:jc w:val="center"/>
              <w:rPr>
                <w:rFonts w:cs="Times New Roman"/>
                <w:sz w:val="16"/>
                <w:szCs w:val="16"/>
              </w:rPr>
            </w:pPr>
            <w:r w:rsidRPr="009806FE">
              <w:rPr>
                <w:rFonts w:cs="Times New Roman"/>
                <w:sz w:val="16"/>
                <w:szCs w:val="16"/>
              </w:rPr>
              <w:t>$</w:t>
            </w:r>
            <w:r w:rsidR="00640F16">
              <w:rPr>
                <w:rFonts w:cs="Times New Roman"/>
                <w:sz w:val="16"/>
                <w:szCs w:val="16"/>
              </w:rPr>
              <w:t>508</w:t>
            </w:r>
          </w:p>
          <w:p w:rsidR="00933163" w:rsidRPr="009806FE" w:rsidP="00933163" w14:paraId="5C57FA0B" w14:textId="7666D5D7">
            <w:pPr>
              <w:jc w:val="center"/>
              <w:rPr>
                <w:rFonts w:cs="Times New Roman"/>
                <w:sz w:val="16"/>
                <w:szCs w:val="16"/>
              </w:rPr>
            </w:pPr>
          </w:p>
        </w:tc>
        <w:tc>
          <w:tcPr>
            <w:tcW w:w="456" w:type="pct"/>
            <w:vAlign w:val="center"/>
          </w:tcPr>
          <w:p w:rsidR="00933163" w:rsidRPr="009806FE" w:rsidP="00933163" w14:paraId="36206C23" w14:textId="559CDF98">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340</w:t>
            </w:r>
          </w:p>
        </w:tc>
        <w:tc>
          <w:tcPr>
            <w:tcW w:w="425" w:type="pct"/>
            <w:vAlign w:val="center"/>
          </w:tcPr>
          <w:p w:rsidR="00933163" w:rsidRPr="009806FE" w:rsidP="00933163" w14:paraId="14E14306" w14:textId="7E3AA13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680</w:t>
            </w:r>
          </w:p>
        </w:tc>
        <w:tc>
          <w:tcPr>
            <w:tcW w:w="425" w:type="pct"/>
            <w:vAlign w:val="center"/>
          </w:tcPr>
          <w:p w:rsidR="00933163" w:rsidRPr="009806FE" w:rsidP="00933163" w14:paraId="20D4FB86" w14:textId="4297AFFB">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Pr="00786235" w:rsidR="00786235">
              <w:rPr>
                <w:rFonts w:eastAsia="Times New Roman" w:cs="Times New Roman"/>
                <w:b/>
                <w:sz w:val="16"/>
                <w:szCs w:val="16"/>
              </w:rPr>
              <w:t>86,360</w:t>
            </w:r>
          </w:p>
        </w:tc>
      </w:tr>
      <w:tr w14:paraId="4E706275" w14:textId="77777777" w:rsidTr="00C47CA6">
        <w:tblPrEx>
          <w:tblW w:w="5725" w:type="pct"/>
          <w:tblInd w:w="-972" w:type="dxa"/>
          <w:tblLayout w:type="fixed"/>
          <w:tblLook w:val="04A0"/>
        </w:tblPrEx>
        <w:trPr>
          <w:trHeight w:val="2114"/>
        </w:trPr>
        <w:tc>
          <w:tcPr>
            <w:tcW w:w="508" w:type="pct"/>
          </w:tcPr>
          <w:p w:rsidR="00933163" w:rsidRPr="009806FE" w:rsidP="00933163" w14:paraId="3932FD07" w14:textId="77777777">
            <w:pPr>
              <w:tabs>
                <w:tab w:val="left" w:pos="-720"/>
                <w:tab w:val="left" w:pos="0"/>
              </w:tabs>
              <w:suppressAutoHyphens/>
              <w:jc w:val="center"/>
              <w:rPr>
                <w:rFonts w:cs="Times New Roman"/>
                <w:sz w:val="16"/>
                <w:szCs w:val="16"/>
              </w:rPr>
            </w:pPr>
          </w:p>
          <w:p w:rsidR="00933163" w:rsidRPr="009806FE" w:rsidP="00933163" w14:paraId="7D89E717" w14:textId="77777777">
            <w:pPr>
              <w:tabs>
                <w:tab w:val="left" w:pos="-720"/>
                <w:tab w:val="left" w:pos="0"/>
              </w:tabs>
              <w:suppressAutoHyphens/>
              <w:jc w:val="center"/>
              <w:rPr>
                <w:rFonts w:cs="Times New Roman"/>
                <w:sz w:val="16"/>
                <w:szCs w:val="16"/>
              </w:rPr>
            </w:pPr>
            <w:r w:rsidRPr="009806FE">
              <w:rPr>
                <w:rFonts w:cs="Times New Roman"/>
                <w:sz w:val="16"/>
                <w:szCs w:val="16"/>
              </w:rPr>
              <w:t>150.9(e)(1)</w:t>
            </w:r>
          </w:p>
          <w:p w:rsidR="00933163" w:rsidRPr="009806FE" w:rsidP="00933163" w14:paraId="2E734B80" w14:textId="77777777">
            <w:pPr>
              <w:tabs>
                <w:tab w:val="left" w:pos="-720"/>
                <w:tab w:val="left" w:pos="0"/>
              </w:tabs>
              <w:suppressAutoHyphens/>
              <w:jc w:val="center"/>
              <w:rPr>
                <w:rFonts w:eastAsia="Times New Roman" w:cs="Times New Roman"/>
                <w:b/>
                <w:sz w:val="16"/>
                <w:szCs w:val="16"/>
              </w:rPr>
            </w:pPr>
          </w:p>
          <w:p w:rsidR="00933163" w:rsidRPr="009806FE" w:rsidP="00933163" w14:paraId="7C13023B" w14:textId="38490ADF">
            <w:pPr>
              <w:suppressAutoHyphens/>
              <w:jc w:val="center"/>
              <w:rPr>
                <w:rFonts w:cs="Times New Roman"/>
                <w:sz w:val="16"/>
                <w:szCs w:val="16"/>
              </w:rPr>
            </w:pPr>
            <w:r w:rsidRPr="009806FE">
              <w:rPr>
                <w:rFonts w:cs="Times New Roman"/>
                <w:sz w:val="16"/>
                <w:szCs w:val="16"/>
              </w:rPr>
              <w:t>Notices regarding applications for non-enumerated bona fide hedge exemptions</w:t>
            </w:r>
            <w:r>
              <w:rPr>
                <w:rStyle w:val="FootnoteReference"/>
                <w:rFonts w:cs="Times New Roman"/>
                <w:sz w:val="16"/>
                <w:szCs w:val="16"/>
              </w:rPr>
              <w:footnoteReference w:id="26"/>
            </w:r>
          </w:p>
        </w:tc>
        <w:tc>
          <w:tcPr>
            <w:tcW w:w="546" w:type="pct"/>
            <w:vAlign w:val="center"/>
          </w:tcPr>
          <w:p w:rsidR="00933163" w:rsidRPr="009806FE" w:rsidP="00933163" w14:paraId="00497D1C" w14:textId="2ABED626">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77" w:type="pct"/>
            <w:vAlign w:val="center"/>
          </w:tcPr>
          <w:p w:rsidR="00933163" w:rsidRPr="009806FE" w:rsidP="00933163" w14:paraId="1E514F66" w14:textId="762A351C">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6" w:type="pct"/>
            <w:vAlign w:val="center"/>
          </w:tcPr>
          <w:p w:rsidR="00933163" w:rsidRPr="009806FE" w:rsidP="00933163" w14:paraId="52333885" w14:textId="0FD14F4E">
            <w:pPr>
              <w:suppressAutoHyphens/>
              <w:jc w:val="center"/>
              <w:rPr>
                <w:rFonts w:eastAsia="Times New Roman" w:cs="Times New Roman"/>
                <w:sz w:val="16"/>
                <w:szCs w:val="16"/>
              </w:rPr>
            </w:pPr>
            <w:r w:rsidRPr="009806FE">
              <w:rPr>
                <w:rFonts w:eastAsia="Times New Roman" w:cs="Times New Roman"/>
                <w:sz w:val="16"/>
                <w:szCs w:val="16"/>
              </w:rPr>
              <w:t>0.5</w:t>
            </w:r>
            <w:r>
              <w:rPr>
                <w:rStyle w:val="FootnoteReference"/>
                <w:rFonts w:eastAsia="Times New Roman" w:cs="Times New Roman"/>
                <w:sz w:val="16"/>
                <w:szCs w:val="16"/>
              </w:rPr>
              <w:footnoteReference w:id="27"/>
            </w:r>
          </w:p>
          <w:p w:rsidR="00933163" w:rsidRPr="009806FE" w:rsidP="00933163" w14:paraId="305FC6B0" w14:textId="4C44740C">
            <w:pPr>
              <w:tabs>
                <w:tab w:val="left" w:pos="-720"/>
                <w:tab w:val="left" w:pos="0"/>
              </w:tabs>
              <w:suppressAutoHyphens/>
              <w:jc w:val="center"/>
              <w:rPr>
                <w:rFonts w:eastAsia="Times New Roman" w:cs="Times New Roman"/>
                <w:sz w:val="16"/>
                <w:szCs w:val="16"/>
              </w:rPr>
            </w:pPr>
          </w:p>
        </w:tc>
        <w:tc>
          <w:tcPr>
            <w:tcW w:w="547" w:type="pct"/>
            <w:vAlign w:val="center"/>
          </w:tcPr>
          <w:p w:rsidR="00933163" w:rsidRPr="009806FE" w:rsidP="00933163" w14:paraId="65560C80" w14:textId="7924DA61">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0" w:type="pct"/>
            <w:vAlign w:val="center"/>
          </w:tcPr>
          <w:p w:rsidR="00933163" w:rsidRPr="009806FE" w:rsidP="00933163" w14:paraId="312A7E0A" w14:textId="3E6DB0A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310767">
              <w:rPr>
                <w:rFonts w:eastAsia="Times New Roman" w:cs="Times New Roman"/>
                <w:sz w:val="16"/>
                <w:szCs w:val="16"/>
              </w:rPr>
              <w:t>94</w:t>
            </w:r>
          </w:p>
        </w:tc>
        <w:tc>
          <w:tcPr>
            <w:tcW w:w="491" w:type="pct"/>
            <w:vAlign w:val="center"/>
          </w:tcPr>
          <w:p w:rsidR="00933163" w:rsidRPr="009806FE" w:rsidP="00933163" w14:paraId="463222EB" w14:textId="6012C404">
            <w:pPr>
              <w:jc w:val="center"/>
              <w:rPr>
                <w:rFonts w:cs="Times New Roman"/>
                <w:sz w:val="16"/>
                <w:szCs w:val="16"/>
              </w:rPr>
            </w:pPr>
            <w:r w:rsidRPr="009806FE">
              <w:rPr>
                <w:rFonts w:cs="Times New Roman"/>
                <w:sz w:val="16"/>
                <w:szCs w:val="16"/>
              </w:rPr>
              <w:t>$0</w:t>
            </w:r>
          </w:p>
        </w:tc>
        <w:tc>
          <w:tcPr>
            <w:tcW w:w="456" w:type="pct"/>
            <w:vAlign w:val="center"/>
          </w:tcPr>
          <w:p w:rsidR="00933163" w:rsidRPr="009806FE" w:rsidP="00933163" w14:paraId="0C7270AF" w14:textId="03754E74">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933163" w:rsidRPr="009806FE" w:rsidP="00933163" w14:paraId="1D599EDA" w14:textId="464F722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933163" w:rsidRPr="009806FE" w:rsidP="00933163" w14:paraId="122FCA4B" w14:textId="792A4E4D">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$0</w:t>
            </w:r>
          </w:p>
        </w:tc>
      </w:tr>
      <w:tr w14:paraId="015109DC" w14:textId="77777777" w:rsidTr="00C47CA6">
        <w:tblPrEx>
          <w:tblW w:w="5725" w:type="pct"/>
          <w:tblInd w:w="-972" w:type="dxa"/>
          <w:tblLayout w:type="fixed"/>
          <w:tblLook w:val="04A0"/>
        </w:tblPrEx>
        <w:trPr>
          <w:trHeight w:val="1367"/>
        </w:trPr>
        <w:tc>
          <w:tcPr>
            <w:tcW w:w="508" w:type="pct"/>
            <w:vAlign w:val="center"/>
          </w:tcPr>
          <w:p w:rsidR="00933163" w:rsidRPr="009806FE" w:rsidP="00933163" w14:paraId="2617BA86" w14:textId="77777777">
            <w:pPr>
              <w:tabs>
                <w:tab w:val="left" w:pos="-720"/>
                <w:tab w:val="left" w:pos="0"/>
              </w:tabs>
              <w:suppressAutoHyphens/>
              <w:jc w:val="center"/>
              <w:rPr>
                <w:rFonts w:cs="Times New Roman"/>
                <w:sz w:val="16"/>
                <w:szCs w:val="16"/>
              </w:rPr>
            </w:pPr>
            <w:r w:rsidRPr="009806FE">
              <w:rPr>
                <w:rFonts w:cs="Times New Roman"/>
                <w:sz w:val="16"/>
                <w:szCs w:val="16"/>
              </w:rPr>
              <w:t>150.9(e)</w:t>
            </w:r>
            <w:r>
              <w:rPr>
                <w:rStyle w:val="FootnoteReference"/>
                <w:rFonts w:cs="Times New Roman"/>
                <w:sz w:val="16"/>
                <w:szCs w:val="16"/>
              </w:rPr>
              <w:footnoteReference w:id="28"/>
            </w:r>
          </w:p>
          <w:p w:rsidR="00933163" w:rsidRPr="009806FE" w:rsidP="00933163" w14:paraId="775B7953" w14:textId="77777777">
            <w:pPr>
              <w:tabs>
                <w:tab w:val="left" w:pos="-720"/>
                <w:tab w:val="left" w:pos="0"/>
              </w:tabs>
              <w:suppressAutoHyphens/>
              <w:jc w:val="center"/>
              <w:rPr>
                <w:rFonts w:cs="Times New Roman"/>
                <w:sz w:val="16"/>
                <w:szCs w:val="16"/>
              </w:rPr>
            </w:pPr>
          </w:p>
          <w:p w:rsidR="00933163" w:rsidRPr="009806FE" w:rsidP="00933163" w14:paraId="191D406C" w14:textId="7C004668">
            <w:pPr>
              <w:suppressAutoHyphens/>
              <w:jc w:val="center"/>
              <w:rPr>
                <w:rFonts w:cs="Times New Roman"/>
                <w:sz w:val="16"/>
                <w:szCs w:val="16"/>
              </w:rPr>
            </w:pPr>
            <w:r w:rsidRPr="009806FE">
              <w:rPr>
                <w:rFonts w:cs="Times New Roman"/>
                <w:sz w:val="16"/>
                <w:szCs w:val="16"/>
              </w:rPr>
              <w:t>Notices regarding applications for non-enumerated bona fide hedge applications</w:t>
            </w:r>
          </w:p>
        </w:tc>
        <w:tc>
          <w:tcPr>
            <w:tcW w:w="546" w:type="pct"/>
            <w:vAlign w:val="center"/>
          </w:tcPr>
          <w:p w:rsidR="00933163" w:rsidRPr="009806FE" w:rsidP="00933163" w14:paraId="123D2124" w14:textId="670AD5FC">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77" w:type="pct"/>
            <w:vAlign w:val="center"/>
          </w:tcPr>
          <w:p w:rsidR="00933163" w:rsidRPr="009806FE" w:rsidP="00933163" w14:paraId="4E2D1481" w14:textId="25C001AF">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6" w:type="pct"/>
            <w:vAlign w:val="center"/>
          </w:tcPr>
          <w:p w:rsidR="00933163" w:rsidRPr="009806FE" w:rsidP="00933163" w14:paraId="32787C12" w14:textId="60B9512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0.08</w:t>
            </w:r>
            <w:r>
              <w:rPr>
                <w:rStyle w:val="FootnoteReference"/>
                <w:rFonts w:eastAsia="Times New Roman" w:cs="Times New Roman"/>
                <w:sz w:val="16"/>
                <w:szCs w:val="16"/>
              </w:rPr>
              <w:footnoteReference w:id="29"/>
            </w:r>
          </w:p>
        </w:tc>
        <w:tc>
          <w:tcPr>
            <w:tcW w:w="547" w:type="pct"/>
            <w:vAlign w:val="center"/>
          </w:tcPr>
          <w:p w:rsidR="00933163" w:rsidRPr="009806FE" w:rsidP="00933163" w14:paraId="533C84E5" w14:textId="520D67F2">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0" w:type="pct"/>
            <w:vAlign w:val="center"/>
          </w:tcPr>
          <w:p w:rsidR="00933163" w:rsidRPr="009806FE" w:rsidP="00933163" w14:paraId="53C33489" w14:textId="6924BB56">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310767">
              <w:rPr>
                <w:rFonts w:eastAsia="Times New Roman" w:cs="Times New Roman"/>
                <w:sz w:val="16"/>
                <w:szCs w:val="16"/>
              </w:rPr>
              <w:t>94</w:t>
            </w:r>
          </w:p>
        </w:tc>
        <w:tc>
          <w:tcPr>
            <w:tcW w:w="491" w:type="pct"/>
            <w:vAlign w:val="center"/>
          </w:tcPr>
          <w:p w:rsidR="00933163" w:rsidRPr="009806FE" w:rsidP="00933163" w14:paraId="02C34277" w14:textId="4AF6AA37">
            <w:pPr>
              <w:jc w:val="center"/>
              <w:rPr>
                <w:rFonts w:cs="Times New Roman"/>
                <w:sz w:val="16"/>
                <w:szCs w:val="16"/>
              </w:rPr>
            </w:pPr>
            <w:r w:rsidRPr="009806FE">
              <w:rPr>
                <w:rFonts w:cs="Times New Roman"/>
                <w:sz w:val="16"/>
                <w:szCs w:val="16"/>
              </w:rPr>
              <w:t>$0</w:t>
            </w:r>
          </w:p>
        </w:tc>
        <w:tc>
          <w:tcPr>
            <w:tcW w:w="456" w:type="pct"/>
            <w:vAlign w:val="center"/>
          </w:tcPr>
          <w:p w:rsidR="00933163" w:rsidRPr="009806FE" w:rsidP="00933163" w14:paraId="17D988C7" w14:textId="72615474">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933163" w:rsidRPr="009806FE" w:rsidP="00933163" w14:paraId="0F6100F5" w14:textId="1AF1D6C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933163" w:rsidRPr="009806FE" w:rsidP="00933163" w14:paraId="176E6623" w14:textId="4AC8AA9D">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$0</w:t>
            </w:r>
          </w:p>
        </w:tc>
      </w:tr>
      <w:tr w14:paraId="13DC8936" w14:textId="77777777" w:rsidTr="00C47CA6">
        <w:tblPrEx>
          <w:tblW w:w="5725" w:type="pct"/>
          <w:tblInd w:w="-972" w:type="dxa"/>
          <w:tblLayout w:type="fixed"/>
          <w:tblLook w:val="04A0"/>
        </w:tblPrEx>
        <w:trPr>
          <w:trHeight w:val="1222"/>
        </w:trPr>
        <w:tc>
          <w:tcPr>
            <w:tcW w:w="508" w:type="pct"/>
            <w:vAlign w:val="center"/>
          </w:tcPr>
          <w:p w:rsidR="00933163" w:rsidRPr="009806FE" w:rsidP="00933163" w14:paraId="50C55BE8" w14:textId="6BC97C19">
            <w:pPr>
              <w:tabs>
                <w:tab w:val="left" w:pos="-720"/>
                <w:tab w:val="left" w:pos="0"/>
              </w:tabs>
              <w:suppressAutoHyphens/>
              <w:jc w:val="center"/>
              <w:rPr>
                <w:rFonts w:cs="Times New Roman"/>
                <w:b/>
                <w:sz w:val="16"/>
                <w:szCs w:val="16"/>
              </w:rPr>
            </w:pPr>
            <w:r w:rsidRPr="009806FE">
              <w:rPr>
                <w:rFonts w:cs="Times New Roman"/>
                <w:b/>
                <w:bCs/>
                <w:sz w:val="16"/>
                <w:szCs w:val="16"/>
              </w:rPr>
              <w:t>Total</w:t>
            </w:r>
            <w:r>
              <w:rPr>
                <w:rStyle w:val="FootnoteReference"/>
                <w:rFonts w:cs="Times New Roman"/>
                <w:b/>
                <w:bCs/>
                <w:sz w:val="16"/>
                <w:szCs w:val="16"/>
              </w:rPr>
              <w:footnoteReference w:id="30"/>
            </w:r>
          </w:p>
        </w:tc>
        <w:tc>
          <w:tcPr>
            <w:tcW w:w="546" w:type="pct"/>
            <w:vAlign w:val="center"/>
          </w:tcPr>
          <w:p w:rsidR="00933163" w:rsidRPr="00FA78A8" w:rsidP="00933163" w14:paraId="18FB78FD" w14:textId="77777777">
            <w:pPr>
              <w:tabs>
                <w:tab w:val="left" w:pos="-720"/>
                <w:tab w:val="left" w:pos="0"/>
              </w:tabs>
              <w:suppressAutoHyphens/>
              <w:jc w:val="center"/>
              <w:rPr>
                <w:rFonts w:eastAsia="Times New Roman" w:cs="Times New Roman"/>
                <w:b/>
                <w:bCs/>
                <w:sz w:val="16"/>
                <w:szCs w:val="16"/>
              </w:rPr>
            </w:pPr>
          </w:p>
          <w:p w:rsidR="00933163" w:rsidRPr="00FA78A8" w:rsidP="00933163" w14:paraId="3E63A8DA" w14:textId="22244E47">
            <w:pPr>
              <w:tabs>
                <w:tab w:val="left" w:pos="-720"/>
                <w:tab w:val="left" w:pos="0"/>
              </w:tabs>
              <w:suppressAutoHyphens/>
              <w:jc w:val="center"/>
              <w:rPr>
                <w:rFonts w:eastAsia="Times New Roman" w:cs="Times New Roman"/>
                <w:b/>
                <w:bCs/>
                <w:sz w:val="16"/>
                <w:szCs w:val="16"/>
              </w:rPr>
            </w:pPr>
            <w:r w:rsidRPr="00FA78A8">
              <w:rPr>
                <w:rFonts w:eastAsia="Times New Roman" w:cs="Times New Roman"/>
                <w:b/>
                <w:bCs/>
                <w:sz w:val="16"/>
                <w:szCs w:val="16"/>
              </w:rPr>
              <w:t>776</w:t>
            </w:r>
          </w:p>
          <w:p w:rsidR="00933163" w:rsidRPr="00FA78A8" w:rsidP="00933163" w14:paraId="1051774F" w14:textId="5822BDA5">
            <w:pPr>
              <w:tabs>
                <w:tab w:val="left" w:pos="-720"/>
                <w:tab w:val="left" w:pos="0"/>
              </w:tabs>
              <w:suppressAutoHyphens/>
              <w:jc w:val="center"/>
              <w:rPr>
                <w:rFonts w:eastAsia="Times New Roman" w:cs="Times New Roman"/>
                <w:b/>
                <w:bCs/>
                <w:sz w:val="16"/>
                <w:szCs w:val="16"/>
              </w:rPr>
            </w:pPr>
          </w:p>
        </w:tc>
        <w:tc>
          <w:tcPr>
            <w:tcW w:w="577" w:type="pct"/>
            <w:shd w:val="clear" w:color="auto" w:fill="D9D9D9" w:themeFill="background1" w:themeFillShade="D9"/>
            <w:vAlign w:val="center"/>
          </w:tcPr>
          <w:p w:rsidR="00933163" w:rsidRPr="00FA78A8" w:rsidP="00933163" w14:paraId="55EEF9A6" w14:textId="164748B9">
            <w:pPr>
              <w:tabs>
                <w:tab w:val="left" w:pos="-720"/>
                <w:tab w:val="left" w:pos="0"/>
              </w:tabs>
              <w:suppressAutoHyphens/>
              <w:jc w:val="center"/>
              <w:rPr>
                <w:rFonts w:eastAsia="Times New Roman" w:cs="Times New Roman"/>
                <w:b/>
                <w:bCs/>
                <w:sz w:val="16"/>
                <w:szCs w:val="16"/>
              </w:rPr>
            </w:pPr>
          </w:p>
        </w:tc>
        <w:tc>
          <w:tcPr>
            <w:tcW w:w="516" w:type="pct"/>
            <w:shd w:val="clear" w:color="auto" w:fill="D9D9D9" w:themeFill="background1" w:themeFillShade="D9"/>
            <w:vAlign w:val="center"/>
          </w:tcPr>
          <w:p w:rsidR="00933163" w:rsidRPr="00FA78A8" w:rsidP="00933163" w14:paraId="3E13190A" w14:textId="3BF9D7BE">
            <w:pPr>
              <w:tabs>
                <w:tab w:val="left" w:pos="-720"/>
                <w:tab w:val="left" w:pos="0"/>
              </w:tabs>
              <w:suppressAutoHyphens/>
              <w:jc w:val="center"/>
              <w:rPr>
                <w:rFonts w:eastAsia="Times New Roman" w:cs="Times New Roman"/>
                <w:b/>
                <w:bCs/>
                <w:sz w:val="16"/>
                <w:szCs w:val="16"/>
              </w:rPr>
            </w:pPr>
          </w:p>
        </w:tc>
        <w:tc>
          <w:tcPr>
            <w:tcW w:w="547" w:type="pct"/>
            <w:shd w:val="clear" w:color="auto" w:fill="D9D9D9" w:themeFill="background1" w:themeFillShade="D9"/>
            <w:vAlign w:val="center"/>
          </w:tcPr>
          <w:p w:rsidR="00933163" w:rsidRPr="00FA78A8" w:rsidP="00933163" w14:paraId="0A8C7156" w14:textId="5D92C60A">
            <w:pPr>
              <w:tabs>
                <w:tab w:val="left" w:pos="-720"/>
                <w:tab w:val="left" w:pos="0"/>
              </w:tabs>
              <w:suppressAutoHyphens/>
              <w:jc w:val="center"/>
              <w:rPr>
                <w:rFonts w:eastAsia="Times New Roman" w:cs="Times New Roman"/>
                <w:b/>
                <w:bCs/>
                <w:sz w:val="16"/>
                <w:szCs w:val="16"/>
              </w:rPr>
            </w:pPr>
          </w:p>
        </w:tc>
        <w:tc>
          <w:tcPr>
            <w:tcW w:w="510" w:type="pct"/>
            <w:shd w:val="clear" w:color="auto" w:fill="D9D9D9" w:themeFill="background1" w:themeFillShade="D9"/>
            <w:vAlign w:val="center"/>
          </w:tcPr>
          <w:p w:rsidR="00933163" w:rsidRPr="00FA78A8" w:rsidP="00933163" w14:paraId="48E4A285" w14:textId="78CDFE97">
            <w:pPr>
              <w:tabs>
                <w:tab w:val="left" w:pos="-720"/>
                <w:tab w:val="left" w:pos="0"/>
              </w:tabs>
              <w:suppressAutoHyphens/>
              <w:jc w:val="center"/>
              <w:rPr>
                <w:rFonts w:eastAsia="Times New Roman" w:cs="Times New Roman"/>
                <w:b/>
                <w:bCs/>
                <w:sz w:val="16"/>
                <w:szCs w:val="16"/>
              </w:rPr>
            </w:pPr>
          </w:p>
        </w:tc>
        <w:tc>
          <w:tcPr>
            <w:tcW w:w="491" w:type="pct"/>
            <w:shd w:val="clear" w:color="auto" w:fill="D9D9D9" w:themeFill="background1" w:themeFillShade="D9"/>
            <w:vAlign w:val="center"/>
          </w:tcPr>
          <w:p w:rsidR="00933163" w:rsidRPr="00FA78A8" w:rsidP="00933163" w14:paraId="38195218" w14:textId="306B44BC">
            <w:pPr>
              <w:jc w:val="center"/>
              <w:rPr>
                <w:rFonts w:cs="Times New Roman"/>
                <w:b/>
                <w:bCs/>
                <w:sz w:val="16"/>
                <w:szCs w:val="16"/>
              </w:rPr>
            </w:pPr>
          </w:p>
        </w:tc>
        <w:tc>
          <w:tcPr>
            <w:tcW w:w="456" w:type="pct"/>
            <w:vAlign w:val="center"/>
          </w:tcPr>
          <w:p w:rsidR="00933163" w:rsidRPr="00FA78A8" w:rsidP="00933163" w14:paraId="73C903AC" w14:textId="77777777">
            <w:pPr>
              <w:tabs>
                <w:tab w:val="left" w:pos="-720"/>
                <w:tab w:val="left" w:pos="0"/>
              </w:tabs>
              <w:suppressAutoHyphens/>
              <w:jc w:val="center"/>
              <w:rPr>
                <w:rFonts w:eastAsia="Times New Roman" w:cs="Times New Roman"/>
                <w:b/>
                <w:bCs/>
                <w:sz w:val="16"/>
                <w:szCs w:val="16"/>
              </w:rPr>
            </w:pPr>
          </w:p>
          <w:p w:rsidR="00933163" w:rsidRPr="00FA78A8" w:rsidP="00933163" w14:paraId="3E6F2AF3" w14:textId="5BBEAD1A">
            <w:pPr>
              <w:tabs>
                <w:tab w:val="left" w:pos="-720"/>
                <w:tab w:val="left" w:pos="0"/>
              </w:tabs>
              <w:suppressAutoHyphens/>
              <w:jc w:val="center"/>
              <w:rPr>
                <w:rFonts w:eastAsia="Times New Roman" w:cs="Times New Roman"/>
                <w:b/>
                <w:bCs/>
                <w:sz w:val="16"/>
                <w:szCs w:val="16"/>
              </w:rPr>
            </w:pPr>
            <w:r w:rsidRPr="00FA78A8">
              <w:rPr>
                <w:rFonts w:eastAsia="Times New Roman" w:cs="Times New Roman"/>
                <w:b/>
                <w:bCs/>
                <w:sz w:val="16"/>
                <w:szCs w:val="16"/>
              </w:rPr>
              <w:t>3,730</w:t>
            </w:r>
          </w:p>
          <w:p w:rsidR="00933163" w:rsidRPr="00FA78A8" w:rsidP="00933163" w14:paraId="49CF8A03" w14:textId="6A89651B">
            <w:pPr>
              <w:tabs>
                <w:tab w:val="left" w:pos="-720"/>
                <w:tab w:val="left" w:pos="0"/>
              </w:tabs>
              <w:suppressAutoHyphens/>
              <w:jc w:val="center"/>
              <w:rPr>
                <w:rFonts w:eastAsia="Times New Roman" w:cs="Times New Roman"/>
                <w:b/>
                <w:bCs/>
                <w:sz w:val="16"/>
                <w:szCs w:val="16"/>
              </w:rPr>
            </w:pPr>
          </w:p>
        </w:tc>
        <w:tc>
          <w:tcPr>
            <w:tcW w:w="425" w:type="pct"/>
            <w:vAlign w:val="center"/>
          </w:tcPr>
          <w:p w:rsidR="00933163" w:rsidRPr="00FA78A8" w:rsidP="00933163" w14:paraId="0C7882BF" w14:textId="3D039B0F">
            <w:pPr>
              <w:tabs>
                <w:tab w:val="left" w:pos="-720"/>
                <w:tab w:val="left" w:pos="0"/>
              </w:tabs>
              <w:suppressAutoHyphens/>
              <w:jc w:val="center"/>
              <w:rPr>
                <w:rFonts w:eastAsia="Times New Roman" w:cs="Times New Roman"/>
                <w:b/>
                <w:bCs/>
                <w:sz w:val="16"/>
                <w:szCs w:val="16"/>
              </w:rPr>
            </w:pPr>
            <w:r w:rsidRPr="00FA78A8">
              <w:rPr>
                <w:rFonts w:eastAsia="Times New Roman" w:cs="Times New Roman"/>
                <w:b/>
                <w:bCs/>
                <w:sz w:val="16"/>
                <w:szCs w:val="16"/>
              </w:rPr>
              <w:t>10,830</w:t>
            </w:r>
          </w:p>
        </w:tc>
        <w:tc>
          <w:tcPr>
            <w:tcW w:w="425" w:type="pct"/>
            <w:vAlign w:val="center"/>
          </w:tcPr>
          <w:p w:rsidR="00933163" w:rsidRPr="009806FE" w:rsidP="00933163" w14:paraId="2FB69A72" w14:textId="77777777">
            <w:pPr>
              <w:tabs>
                <w:tab w:val="left" w:pos="-720"/>
                <w:tab w:val="left" w:pos="0"/>
              </w:tabs>
              <w:suppressAutoHyphens/>
              <w:jc w:val="center"/>
              <w:rPr>
                <w:rFonts w:eastAsia="Times New Roman" w:cs="Times New Roman"/>
                <w:b/>
                <w:sz w:val="16"/>
                <w:szCs w:val="16"/>
              </w:rPr>
            </w:pPr>
          </w:p>
          <w:p w:rsidR="00933163" w:rsidRPr="009806FE" w:rsidP="00933163" w14:paraId="0F0074A3" w14:textId="77777777">
            <w:pPr>
              <w:tabs>
                <w:tab w:val="left" w:pos="-720"/>
                <w:tab w:val="left" w:pos="0"/>
              </w:tabs>
              <w:suppressAutoHyphens/>
              <w:jc w:val="center"/>
              <w:rPr>
                <w:rFonts w:eastAsia="Times New Roman" w:cs="Times New Roman"/>
                <w:b/>
                <w:sz w:val="16"/>
                <w:szCs w:val="16"/>
              </w:rPr>
            </w:pPr>
          </w:p>
          <w:p w:rsidR="00933163" w:rsidRPr="009806FE" w:rsidP="00933163" w14:paraId="063C94BC" w14:textId="1E389DBE">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Pr="0064239E" w:rsidR="0064239E">
              <w:rPr>
                <w:rFonts w:eastAsia="Times New Roman" w:cs="Times New Roman"/>
                <w:b/>
                <w:sz w:val="16"/>
                <w:szCs w:val="16"/>
              </w:rPr>
              <w:t>1,1</w:t>
            </w:r>
            <w:r w:rsidR="00E8309F">
              <w:rPr>
                <w:rFonts w:eastAsia="Times New Roman" w:cs="Times New Roman"/>
                <w:b/>
                <w:sz w:val="16"/>
                <w:szCs w:val="16"/>
              </w:rPr>
              <w:t>13</w:t>
            </w:r>
            <w:r w:rsidRPr="0064239E" w:rsidR="0064239E">
              <w:rPr>
                <w:rFonts w:eastAsia="Times New Roman" w:cs="Times New Roman"/>
                <w:b/>
                <w:sz w:val="16"/>
                <w:szCs w:val="16"/>
              </w:rPr>
              <w:t>,770</w:t>
            </w:r>
          </w:p>
          <w:p w:rsidR="00933163" w:rsidRPr="009806FE" w:rsidP="00933163" w14:paraId="5D229E60" w14:textId="044AABD8">
            <w:pPr>
              <w:tabs>
                <w:tab w:val="left" w:pos="-720"/>
                <w:tab w:val="left" w:pos="0"/>
              </w:tabs>
              <w:suppressAutoHyphens/>
              <w:jc w:val="center"/>
              <w:rPr>
                <w:rFonts w:eastAsia="Times New Roman" w:cs="Times New Roman"/>
                <w:b/>
                <w:sz w:val="16"/>
                <w:szCs w:val="16"/>
              </w:rPr>
            </w:pPr>
          </w:p>
          <w:p w:rsidR="00933163" w:rsidRPr="009806FE" w:rsidP="00933163" w14:paraId="1422BDEA" w14:textId="29CC8816">
            <w:pPr>
              <w:tabs>
                <w:tab w:val="left" w:pos="-720"/>
                <w:tab w:val="left" w:pos="0"/>
              </w:tabs>
              <w:suppressAutoHyphens/>
              <w:jc w:val="center"/>
              <w:rPr>
                <w:rFonts w:eastAsia="Times New Roman" w:cs="Times New Roman"/>
                <w:b/>
                <w:sz w:val="16"/>
                <w:szCs w:val="16"/>
              </w:rPr>
            </w:pPr>
          </w:p>
        </w:tc>
      </w:tr>
    </w:tbl>
    <w:p w:rsidR="0067738F" w:rsidRPr="009806FE" w:rsidP="0067738F" w14:paraId="0E888FDF" w14:textId="77777777">
      <w:pPr>
        <w:rPr>
          <w:rFonts w:eastAsia="Times New Roman" w:cs="Times New Roman"/>
          <w:szCs w:val="24"/>
        </w:rPr>
      </w:pPr>
    </w:p>
    <w:p w:rsidR="002F132E" w14:paraId="2D60CC1B" w14:textId="77777777">
      <w:pPr>
        <w:spacing w:after="200" w:line="276" w:lineRule="auto"/>
        <w:rPr>
          <w:rFonts w:eastAsia="Times New Roman" w:cs="Times New Roman"/>
          <w:b/>
          <w:bCs/>
          <w:szCs w:val="24"/>
          <w:u w:val="single"/>
        </w:rPr>
      </w:pPr>
      <w:r>
        <w:rPr>
          <w:rFonts w:eastAsia="Times New Roman" w:cs="Times New Roman"/>
          <w:b/>
          <w:bCs/>
          <w:szCs w:val="24"/>
          <w:u w:val="single"/>
        </w:rPr>
        <w:br w:type="page"/>
      </w:r>
    </w:p>
    <w:p w:rsidR="0067738F" w:rsidRPr="009806FE" w:rsidP="00B05096" w14:paraId="40842A0C" w14:textId="007F4403">
      <w:pPr>
        <w:keepNext/>
        <w:keepLines/>
        <w:spacing w:after="240"/>
        <w:jc w:val="center"/>
        <w:rPr>
          <w:rFonts w:eastAsia="Times New Roman" w:cs="Times New Roman"/>
          <w:szCs w:val="24"/>
        </w:rPr>
      </w:pPr>
      <w:r w:rsidRPr="005C036D">
        <w:rPr>
          <w:rFonts w:eastAsia="Times New Roman" w:cs="Times New Roman"/>
          <w:b/>
          <w:bCs/>
          <w:szCs w:val="24"/>
          <w:u w:val="single"/>
        </w:rPr>
        <w:t>Recordkeeping Burden</w:t>
      </w:r>
      <w:r>
        <w:rPr>
          <w:rStyle w:val="FootnoteReference"/>
          <w:rFonts w:eastAsia="Times New Roman" w:cs="Times New Roman"/>
          <w:szCs w:val="24"/>
        </w:rPr>
        <w:footnoteReference w:id="31"/>
      </w:r>
    </w:p>
    <w:tbl>
      <w:tblPr>
        <w:tblW w:w="572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8"/>
        <w:gridCol w:w="1620"/>
        <w:gridCol w:w="1711"/>
        <w:gridCol w:w="1530"/>
        <w:gridCol w:w="1619"/>
        <w:gridCol w:w="1512"/>
        <w:gridCol w:w="1459"/>
        <w:gridCol w:w="1349"/>
        <w:gridCol w:w="1260"/>
        <w:gridCol w:w="1260"/>
      </w:tblGrid>
      <w:tr w14:paraId="3CF55B7D" w14:textId="77777777" w:rsidTr="002F132E">
        <w:tblPrEx>
          <w:tblW w:w="5725"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187"/>
        </w:trPr>
        <w:tc>
          <w:tcPr>
            <w:tcW w:w="508" w:type="pct"/>
          </w:tcPr>
          <w:p w:rsidR="0067738F" w:rsidRPr="009806FE" w:rsidP="00AF76BE" w14:paraId="294DDB76"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1.</w:t>
            </w:r>
          </w:p>
          <w:p w:rsidR="0067738F" w:rsidRPr="009806FE" w:rsidP="00AF76BE" w14:paraId="2AE91430"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Regulation(s)</w:t>
            </w:r>
          </w:p>
        </w:tc>
        <w:tc>
          <w:tcPr>
            <w:tcW w:w="546" w:type="pct"/>
          </w:tcPr>
          <w:p w:rsidR="0067738F" w:rsidRPr="009806FE" w:rsidP="00AF76BE" w14:paraId="4AB83281"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2.</w:t>
            </w:r>
          </w:p>
          <w:p w:rsidR="0067738F" w:rsidRPr="009806FE" w:rsidP="00AF76BE" w14:paraId="17765A21"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Estimated Number of Respondents </w:t>
            </w:r>
          </w:p>
          <w:p w:rsidR="0067738F" w:rsidRPr="009806FE" w:rsidP="00AF76BE" w14:paraId="326C609B" w14:textId="77777777">
            <w:pPr>
              <w:keepNext/>
              <w:keepLines/>
              <w:tabs>
                <w:tab w:val="left" w:pos="-720"/>
                <w:tab w:val="left" w:pos="0"/>
              </w:tabs>
              <w:suppressAutoHyphens/>
              <w:jc w:val="center"/>
              <w:rPr>
                <w:rFonts w:eastAsia="Times New Roman" w:cs="Times New Roman"/>
                <w:b/>
                <w:sz w:val="16"/>
                <w:szCs w:val="16"/>
              </w:rPr>
            </w:pPr>
          </w:p>
        </w:tc>
        <w:tc>
          <w:tcPr>
            <w:tcW w:w="577" w:type="pct"/>
          </w:tcPr>
          <w:p w:rsidR="0067738F" w:rsidRPr="009806FE" w:rsidP="00AF76BE" w14:paraId="02C2F221"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3.</w:t>
            </w:r>
          </w:p>
          <w:p w:rsidR="0067738F" w:rsidRPr="009806FE" w:rsidP="00AF76BE" w14:paraId="0BCF8AF9" w14:textId="034C059F">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Estimated Number of </w:t>
            </w:r>
            <w:r w:rsidRPr="009806FE" w:rsidR="00323174">
              <w:rPr>
                <w:rFonts w:eastAsia="Times New Roman" w:cs="Times New Roman"/>
                <w:b/>
                <w:sz w:val="16"/>
                <w:szCs w:val="16"/>
              </w:rPr>
              <w:t>Records</w:t>
            </w:r>
          </w:p>
          <w:p w:rsidR="0067738F" w:rsidRPr="009806FE" w:rsidP="00AF76BE" w14:paraId="341321AA"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by Each Respondent</w:t>
            </w:r>
          </w:p>
        </w:tc>
        <w:tc>
          <w:tcPr>
            <w:tcW w:w="516" w:type="pct"/>
          </w:tcPr>
          <w:p w:rsidR="0067738F" w:rsidRPr="009806FE" w:rsidP="00AF76BE" w14:paraId="5CFF51DC"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4.</w:t>
            </w:r>
          </w:p>
          <w:p w:rsidR="0067738F" w:rsidRPr="009806FE" w:rsidP="00AF76BE" w14:paraId="49F45115" w14:textId="16805C10">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Estimated Average </w:t>
            </w:r>
            <w:r w:rsidRPr="009806FE">
              <w:rPr>
                <w:rFonts w:eastAsia="Times New Roman" w:cs="Times New Roman"/>
                <w:b/>
                <w:sz w:val="16"/>
                <w:szCs w:val="16"/>
              </w:rPr>
              <w:t>Number</w:t>
            </w:r>
            <w:r w:rsidRPr="009806FE">
              <w:rPr>
                <w:rFonts w:eastAsia="Times New Roman" w:cs="Times New Roman"/>
                <w:b/>
                <w:sz w:val="16"/>
                <w:szCs w:val="16"/>
              </w:rPr>
              <w:t xml:space="preserve"> of Burden Hours per </w:t>
            </w:r>
            <w:r w:rsidRPr="009806FE" w:rsidR="00186CAB">
              <w:rPr>
                <w:rFonts w:eastAsia="Times New Roman" w:cs="Times New Roman"/>
                <w:b/>
                <w:sz w:val="16"/>
                <w:szCs w:val="16"/>
              </w:rPr>
              <w:t>Record</w:t>
            </w:r>
          </w:p>
        </w:tc>
        <w:tc>
          <w:tcPr>
            <w:tcW w:w="546" w:type="pct"/>
          </w:tcPr>
          <w:p w:rsidR="0067738F" w:rsidRPr="009806FE" w:rsidP="00AF76BE" w14:paraId="3CD760DB"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5.</w:t>
            </w:r>
          </w:p>
          <w:p w:rsidR="0067738F" w:rsidRPr="009806FE" w:rsidP="00AF76BE" w14:paraId="2DAB7D50"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Annual  </w:t>
            </w:r>
            <w:r w:rsidRPr="009806FE">
              <w:rPr>
                <w:rFonts w:eastAsia="Times New Roman" w:cs="Times New Roman"/>
                <w:b/>
                <w:sz w:val="16"/>
                <w:szCs w:val="16"/>
              </w:rPr>
              <w:t>Number</w:t>
            </w:r>
            <w:r w:rsidRPr="009806FE">
              <w:rPr>
                <w:rFonts w:eastAsia="Times New Roman" w:cs="Times New Roman"/>
                <w:b/>
                <w:sz w:val="16"/>
                <w:szCs w:val="16"/>
              </w:rPr>
              <w:t xml:space="preserve"> of Burden Hours per Respondent</w:t>
            </w:r>
          </w:p>
          <w:p w:rsidR="0067738F" w:rsidRPr="009806FE" w:rsidP="00AF76BE" w14:paraId="26F3320B" w14:textId="7D083366">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(3 </w:t>
            </w:r>
            <w:r w:rsidR="00FC1B47">
              <w:rPr>
                <w:rFonts w:eastAsia="Times New Roman" w:cs="Times New Roman"/>
                <w:b/>
                <w:sz w:val="16"/>
                <w:szCs w:val="16"/>
              </w:rPr>
              <w:t>×</w:t>
            </w:r>
            <w:r w:rsidRPr="009806FE">
              <w:rPr>
                <w:rFonts w:eastAsia="Times New Roman" w:cs="Times New Roman"/>
                <w:b/>
                <w:sz w:val="16"/>
                <w:szCs w:val="16"/>
              </w:rPr>
              <w:t xml:space="preserve"> 4)</w:t>
            </w:r>
          </w:p>
        </w:tc>
        <w:tc>
          <w:tcPr>
            <w:tcW w:w="510" w:type="pct"/>
          </w:tcPr>
          <w:p w:rsidR="0067738F" w:rsidRPr="009806FE" w:rsidP="00AF76BE" w14:paraId="5AD38A84"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6. </w:t>
            </w:r>
          </w:p>
          <w:p w:rsidR="0067738F" w:rsidRPr="009806FE" w:rsidP="00AF76BE" w14:paraId="0075BE7A"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bCs/>
                <w:sz w:val="16"/>
                <w:szCs w:val="16"/>
              </w:rPr>
              <w:t>Estimated Average Burden Hour Cost</w:t>
            </w:r>
            <w:r>
              <w:rPr>
                <w:rStyle w:val="FootnoteReference"/>
                <w:rFonts w:eastAsia="Times New Roman" w:cs="Times New Roman"/>
                <w:sz w:val="16"/>
                <w:szCs w:val="16"/>
              </w:rPr>
              <w:footnoteReference w:id="32"/>
            </w:r>
          </w:p>
          <w:p w:rsidR="0067738F" w:rsidRPr="009806FE" w:rsidP="00AF76BE" w14:paraId="4018FD9A" w14:textId="77777777">
            <w:pPr>
              <w:keepNext/>
              <w:keepLines/>
              <w:tabs>
                <w:tab w:val="left" w:pos="-720"/>
                <w:tab w:val="left" w:pos="0"/>
              </w:tabs>
              <w:suppressAutoHyphens/>
              <w:jc w:val="center"/>
              <w:rPr>
                <w:rFonts w:eastAsia="Times New Roman" w:cs="Times New Roman"/>
                <w:b/>
                <w:sz w:val="16"/>
                <w:szCs w:val="16"/>
              </w:rPr>
            </w:pPr>
          </w:p>
        </w:tc>
        <w:tc>
          <w:tcPr>
            <w:tcW w:w="492" w:type="pct"/>
          </w:tcPr>
          <w:p w:rsidR="0067738F" w:rsidRPr="009806FE" w:rsidP="00AF76BE" w14:paraId="19C5C807" w14:textId="77777777">
            <w:pPr>
              <w:keepNext/>
              <w:keepLines/>
              <w:jc w:val="center"/>
              <w:rPr>
                <w:rFonts w:cs="Times New Roman"/>
                <w:b/>
                <w:sz w:val="16"/>
                <w:szCs w:val="16"/>
              </w:rPr>
            </w:pPr>
            <w:r w:rsidRPr="009806FE">
              <w:rPr>
                <w:rFonts w:cs="Times New Roman"/>
                <w:b/>
                <w:sz w:val="16"/>
                <w:szCs w:val="16"/>
              </w:rPr>
              <w:t>7.</w:t>
            </w:r>
          </w:p>
          <w:p w:rsidR="0067738F" w:rsidRPr="009806FE" w:rsidP="00AF76BE" w14:paraId="539773A2" w14:textId="77777777">
            <w:pPr>
              <w:keepNext/>
              <w:keepLines/>
              <w:jc w:val="center"/>
              <w:rPr>
                <w:rFonts w:cs="Times New Roman"/>
                <w:b/>
                <w:sz w:val="16"/>
                <w:szCs w:val="16"/>
              </w:rPr>
            </w:pPr>
            <w:r w:rsidRPr="009806FE">
              <w:rPr>
                <w:rFonts w:cs="Times New Roman"/>
                <w:b/>
                <w:sz w:val="16"/>
                <w:szCs w:val="16"/>
              </w:rPr>
              <w:t>Total Average Hour Burden Cost Per Respondent</w:t>
            </w:r>
          </w:p>
          <w:p w:rsidR="0067738F" w:rsidRPr="009806FE" w:rsidP="00AF76BE" w14:paraId="743BE571" w14:textId="3EA8C4CB">
            <w:pPr>
              <w:keepNext/>
              <w:keepLines/>
              <w:jc w:val="center"/>
              <w:rPr>
                <w:rFonts w:cs="Times New Roman"/>
                <w:b/>
                <w:sz w:val="16"/>
                <w:szCs w:val="16"/>
              </w:rPr>
            </w:pPr>
            <w:r w:rsidRPr="009806FE">
              <w:rPr>
                <w:rFonts w:cs="Times New Roman"/>
                <w:b/>
                <w:sz w:val="16"/>
                <w:szCs w:val="16"/>
              </w:rPr>
              <w:t xml:space="preserve">(5 </w:t>
            </w:r>
            <w:r w:rsidR="00FC1B47">
              <w:rPr>
                <w:rFonts w:cs="Times New Roman"/>
                <w:b/>
                <w:sz w:val="16"/>
                <w:szCs w:val="16"/>
              </w:rPr>
              <w:t>×</w:t>
            </w:r>
            <w:r w:rsidRPr="009806FE">
              <w:rPr>
                <w:rFonts w:cs="Times New Roman"/>
                <w:b/>
                <w:sz w:val="16"/>
                <w:szCs w:val="16"/>
              </w:rPr>
              <w:t xml:space="preserve"> 6)</w:t>
            </w:r>
          </w:p>
        </w:tc>
        <w:tc>
          <w:tcPr>
            <w:tcW w:w="455" w:type="pct"/>
          </w:tcPr>
          <w:p w:rsidR="0067738F" w:rsidRPr="009806FE" w:rsidP="00AF76BE" w14:paraId="38DE06DA"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8.</w:t>
            </w:r>
          </w:p>
          <w:p w:rsidR="0067738F" w:rsidRPr="009806FE" w:rsidP="00AF76BE" w14:paraId="38B9BB21"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Total Annual</w:t>
            </w:r>
          </w:p>
          <w:p w:rsidR="0067738F" w:rsidRPr="009806FE" w:rsidP="00AF76BE" w14:paraId="484CA3F9" w14:textId="36DDA5A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Records</w:t>
            </w:r>
          </w:p>
          <w:p w:rsidR="0067738F" w:rsidRPr="009806FE" w:rsidP="00AF76BE" w14:paraId="3F3B7022" w14:textId="6B927995">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FC1B47">
              <w:rPr>
                <w:rFonts w:eastAsia="Times New Roman" w:cs="Times New Roman"/>
                <w:b/>
                <w:sz w:val="16"/>
                <w:szCs w:val="16"/>
              </w:rPr>
              <w:t>×</w:t>
            </w:r>
            <w:r w:rsidRPr="009806FE">
              <w:rPr>
                <w:rFonts w:eastAsia="Times New Roman" w:cs="Times New Roman"/>
                <w:b/>
                <w:sz w:val="16"/>
                <w:szCs w:val="16"/>
              </w:rPr>
              <w:t xml:space="preserve"> 3)</w:t>
            </w:r>
          </w:p>
        </w:tc>
        <w:tc>
          <w:tcPr>
            <w:tcW w:w="425" w:type="pct"/>
          </w:tcPr>
          <w:p w:rsidR="0067738F" w:rsidRPr="009806FE" w:rsidP="00AF76BE" w14:paraId="664998AC"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9.</w:t>
            </w:r>
          </w:p>
          <w:p w:rsidR="0067738F" w:rsidRPr="009806FE" w:rsidP="00AF76BE" w14:paraId="3072F3E6"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Total Annual  Number of Burden Hours</w:t>
            </w:r>
          </w:p>
          <w:p w:rsidR="0067738F" w:rsidRPr="009806FE" w:rsidP="00AF76BE" w14:paraId="45038A3B" w14:textId="6D4F4129">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FC1B47">
              <w:rPr>
                <w:rFonts w:eastAsia="Times New Roman" w:cs="Times New Roman"/>
                <w:b/>
                <w:sz w:val="16"/>
                <w:szCs w:val="16"/>
              </w:rPr>
              <w:t>×</w:t>
            </w:r>
            <w:r w:rsidRPr="009806FE">
              <w:rPr>
                <w:rFonts w:eastAsia="Times New Roman" w:cs="Times New Roman"/>
                <w:b/>
                <w:sz w:val="16"/>
                <w:szCs w:val="16"/>
              </w:rPr>
              <w:t xml:space="preserve"> 5)</w:t>
            </w:r>
          </w:p>
        </w:tc>
        <w:tc>
          <w:tcPr>
            <w:tcW w:w="425" w:type="pct"/>
          </w:tcPr>
          <w:p w:rsidR="0067738F" w:rsidRPr="009806FE" w:rsidP="00AF76BE" w14:paraId="33DAE4CF" w14:textId="77777777">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10.</w:t>
            </w:r>
          </w:p>
          <w:p w:rsidR="0067738F" w:rsidRPr="009806FE" w:rsidP="00AF76BE" w14:paraId="6F8897D6" w14:textId="40490D32">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Total Annual Burden Hour Cost of All </w:t>
            </w:r>
            <w:r w:rsidRPr="009806FE" w:rsidR="00030184">
              <w:rPr>
                <w:rFonts w:eastAsia="Times New Roman" w:cs="Times New Roman"/>
                <w:b/>
                <w:sz w:val="16"/>
                <w:szCs w:val="16"/>
              </w:rPr>
              <w:t>Records</w:t>
            </w:r>
          </w:p>
          <w:p w:rsidR="0067738F" w:rsidRPr="009806FE" w:rsidP="00AF76BE" w14:paraId="6635E73F" w14:textId="1483C1CD">
            <w:pPr>
              <w:keepNext/>
              <w:keepLines/>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 xml:space="preserve">(2 </w:t>
            </w:r>
            <w:r w:rsidR="00FC1B47">
              <w:rPr>
                <w:rFonts w:eastAsia="Times New Roman" w:cs="Times New Roman"/>
                <w:b/>
                <w:sz w:val="16"/>
                <w:szCs w:val="16"/>
              </w:rPr>
              <w:t>×</w:t>
            </w:r>
            <w:r w:rsidRPr="009806FE">
              <w:rPr>
                <w:rFonts w:eastAsia="Times New Roman" w:cs="Times New Roman"/>
                <w:b/>
                <w:sz w:val="16"/>
                <w:szCs w:val="16"/>
              </w:rPr>
              <w:t xml:space="preserve"> 7)</w:t>
            </w:r>
          </w:p>
        </w:tc>
      </w:tr>
      <w:tr w14:paraId="6D9C1456" w14:textId="77777777" w:rsidTr="00C47CA6">
        <w:tblPrEx>
          <w:tblW w:w="5725" w:type="pct"/>
          <w:tblInd w:w="-972" w:type="dxa"/>
          <w:tblLayout w:type="fixed"/>
          <w:tblLook w:val="04A0"/>
        </w:tblPrEx>
        <w:trPr>
          <w:trHeight w:val="977"/>
        </w:trPr>
        <w:tc>
          <w:tcPr>
            <w:tcW w:w="508" w:type="pct"/>
          </w:tcPr>
          <w:p w:rsidR="0067738F" w:rsidRPr="009806FE" w:rsidP="0077445B" w14:paraId="762CBE91" w14:textId="77777777">
            <w:pPr>
              <w:tabs>
                <w:tab w:val="left" w:pos="-720"/>
                <w:tab w:val="left" w:pos="0"/>
              </w:tabs>
              <w:suppressAutoHyphens/>
              <w:jc w:val="center"/>
              <w:rPr>
                <w:rFonts w:cs="Times New Roman"/>
                <w:sz w:val="16"/>
                <w:szCs w:val="16"/>
              </w:rPr>
            </w:pPr>
            <w:r w:rsidRPr="009806FE">
              <w:rPr>
                <w:rFonts w:cs="Times New Roman"/>
                <w:sz w:val="16"/>
                <w:szCs w:val="16"/>
              </w:rPr>
              <w:t>150.3(d)</w:t>
            </w:r>
            <w:r w:rsidRPr="009806FE" w:rsidR="004C70A6">
              <w:rPr>
                <w:rFonts w:cs="Times New Roman"/>
                <w:sz w:val="16"/>
                <w:szCs w:val="16"/>
              </w:rPr>
              <w:t>(1)</w:t>
            </w:r>
          </w:p>
          <w:p w:rsidR="00FF2E4F" w:rsidRPr="009806FE" w:rsidP="00DA465C" w14:paraId="0D6C86CF" w14:textId="13AFC031">
            <w:pPr>
              <w:tabs>
                <w:tab w:val="left" w:pos="-720"/>
                <w:tab w:val="left" w:pos="0"/>
              </w:tabs>
              <w:suppressAutoHyphens/>
              <w:spacing w:before="120" w:after="120"/>
              <w:jc w:val="center"/>
              <w:rPr>
                <w:rFonts w:eastAsia="Times New Roman" w:cs="Times New Roman"/>
                <w:sz w:val="16"/>
                <w:szCs w:val="16"/>
              </w:rPr>
            </w:pPr>
            <w:r w:rsidRPr="009806FE">
              <w:rPr>
                <w:rFonts w:eastAsia="Times New Roman" w:cs="Times New Roman"/>
                <w:sz w:val="16"/>
                <w:szCs w:val="16"/>
              </w:rPr>
              <w:t xml:space="preserve">People who avail themselves </w:t>
            </w:r>
            <w:r w:rsidRPr="009806FE" w:rsidR="00DA465C">
              <w:rPr>
                <w:rFonts w:eastAsia="Times New Roman" w:cs="Times New Roman"/>
                <w:sz w:val="16"/>
                <w:szCs w:val="16"/>
              </w:rPr>
              <w:t>of</w:t>
            </w:r>
            <w:r w:rsidRPr="009806FE">
              <w:rPr>
                <w:rFonts w:eastAsia="Times New Roman" w:cs="Times New Roman"/>
                <w:sz w:val="16"/>
                <w:szCs w:val="16"/>
              </w:rPr>
              <w:t xml:space="preserve"> federal exemptions need to keep records</w:t>
            </w:r>
          </w:p>
        </w:tc>
        <w:tc>
          <w:tcPr>
            <w:tcW w:w="546" w:type="pct"/>
            <w:vAlign w:val="center"/>
          </w:tcPr>
          <w:p w:rsidR="0067738F" w:rsidRPr="009806FE" w:rsidP="00C715D1" w14:paraId="177C7E6E" w14:textId="686B748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300</w:t>
            </w:r>
          </w:p>
        </w:tc>
        <w:tc>
          <w:tcPr>
            <w:tcW w:w="577" w:type="pct"/>
            <w:vAlign w:val="center"/>
          </w:tcPr>
          <w:p w:rsidR="0067738F" w:rsidRPr="009806FE" w:rsidP="00BD1BBB" w14:paraId="1E0B0387" w14:textId="7D61B48E">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w:t>
            </w:r>
          </w:p>
        </w:tc>
        <w:tc>
          <w:tcPr>
            <w:tcW w:w="516" w:type="pct"/>
            <w:vAlign w:val="center"/>
          </w:tcPr>
          <w:p w:rsidR="0067738F" w:rsidRPr="009806FE" w:rsidP="00BD1BBB" w14:paraId="2793030C" w14:textId="7777777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w:t>
            </w:r>
          </w:p>
        </w:tc>
        <w:tc>
          <w:tcPr>
            <w:tcW w:w="546" w:type="pct"/>
            <w:vAlign w:val="center"/>
          </w:tcPr>
          <w:p w:rsidR="0067738F" w:rsidRPr="009806FE" w:rsidP="00BD1BBB" w14:paraId="4DE8B541" w14:textId="2858AC2A">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w:t>
            </w:r>
          </w:p>
        </w:tc>
        <w:tc>
          <w:tcPr>
            <w:tcW w:w="510" w:type="pct"/>
            <w:vAlign w:val="center"/>
          </w:tcPr>
          <w:p w:rsidR="0067738F" w:rsidRPr="009806FE" w:rsidP="00BD1BBB" w14:paraId="737E6CE8" w14:textId="15983D12">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557EB2">
              <w:rPr>
                <w:rFonts w:eastAsia="Times New Roman" w:cs="Times New Roman"/>
                <w:sz w:val="16"/>
                <w:szCs w:val="16"/>
              </w:rPr>
              <w:t>94</w:t>
            </w:r>
          </w:p>
        </w:tc>
        <w:tc>
          <w:tcPr>
            <w:tcW w:w="492" w:type="pct"/>
            <w:vAlign w:val="center"/>
          </w:tcPr>
          <w:p w:rsidR="008C6F21" w:rsidRPr="009806FE" w:rsidP="00BD1BBB" w14:paraId="7D29C15A" w14:textId="77777777">
            <w:pPr>
              <w:jc w:val="center"/>
              <w:rPr>
                <w:rFonts w:cs="Times New Roman"/>
                <w:sz w:val="16"/>
                <w:szCs w:val="16"/>
              </w:rPr>
            </w:pPr>
          </w:p>
          <w:p w:rsidR="009F6366" w:rsidRPr="009806FE" w:rsidP="00BD1BBB" w14:paraId="5424E881" w14:textId="4C249FCF">
            <w:pPr>
              <w:jc w:val="center"/>
              <w:rPr>
                <w:rFonts w:cs="Times New Roman"/>
                <w:sz w:val="16"/>
                <w:szCs w:val="16"/>
              </w:rPr>
            </w:pPr>
            <w:r w:rsidRPr="009806FE">
              <w:rPr>
                <w:rFonts w:cs="Times New Roman"/>
                <w:sz w:val="16"/>
                <w:szCs w:val="16"/>
              </w:rPr>
              <w:t>$</w:t>
            </w:r>
            <w:r w:rsidRPr="009806FE" w:rsidR="00984EE3">
              <w:rPr>
                <w:rFonts w:cs="Times New Roman"/>
                <w:sz w:val="16"/>
                <w:szCs w:val="16"/>
              </w:rPr>
              <w:t>2</w:t>
            </w:r>
            <w:r w:rsidR="00984EE3">
              <w:rPr>
                <w:rFonts w:cs="Times New Roman"/>
                <w:sz w:val="16"/>
                <w:szCs w:val="16"/>
              </w:rPr>
              <w:t>82</w:t>
            </w:r>
          </w:p>
          <w:p w:rsidR="0067738F" w:rsidRPr="009806FE" w:rsidP="00BD1BBB" w14:paraId="26F8902E" w14:textId="60030517">
            <w:pPr>
              <w:jc w:val="center"/>
              <w:rPr>
                <w:rFonts w:cs="Times New Roman"/>
                <w:sz w:val="16"/>
                <w:szCs w:val="16"/>
              </w:rPr>
            </w:pPr>
          </w:p>
        </w:tc>
        <w:tc>
          <w:tcPr>
            <w:tcW w:w="455" w:type="pct"/>
            <w:vAlign w:val="center"/>
          </w:tcPr>
          <w:p w:rsidR="008C6F21" w:rsidRPr="009806FE" w:rsidP="00BD1BBB" w14:paraId="77D29D06" w14:textId="77777777">
            <w:pPr>
              <w:tabs>
                <w:tab w:val="left" w:pos="-720"/>
                <w:tab w:val="left" w:pos="0"/>
              </w:tabs>
              <w:suppressAutoHyphens/>
              <w:jc w:val="center"/>
              <w:rPr>
                <w:rFonts w:eastAsia="Times New Roman" w:cs="Times New Roman"/>
                <w:sz w:val="16"/>
                <w:szCs w:val="16"/>
              </w:rPr>
            </w:pPr>
          </w:p>
          <w:p w:rsidR="009F6366" w:rsidRPr="009806FE" w:rsidP="00BD1BBB" w14:paraId="28BFFD18" w14:textId="6CD19568">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900</w:t>
            </w:r>
          </w:p>
          <w:p w:rsidR="0067738F" w:rsidRPr="009806FE" w:rsidP="00BD1BBB" w14:paraId="685D4706" w14:textId="3800C32B">
            <w:pPr>
              <w:tabs>
                <w:tab w:val="left" w:pos="-720"/>
                <w:tab w:val="left" w:pos="0"/>
              </w:tabs>
              <w:suppressAutoHyphens/>
              <w:jc w:val="center"/>
              <w:rPr>
                <w:rFonts w:eastAsia="Times New Roman" w:cs="Times New Roman"/>
                <w:sz w:val="16"/>
                <w:szCs w:val="16"/>
              </w:rPr>
            </w:pPr>
          </w:p>
        </w:tc>
        <w:tc>
          <w:tcPr>
            <w:tcW w:w="425" w:type="pct"/>
            <w:vAlign w:val="center"/>
          </w:tcPr>
          <w:p w:rsidR="0067738F" w:rsidRPr="009806FE" w:rsidP="00BD1BBB" w14:paraId="5D7AB20E" w14:textId="0619F7B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900</w:t>
            </w:r>
          </w:p>
        </w:tc>
        <w:tc>
          <w:tcPr>
            <w:tcW w:w="425" w:type="pct"/>
            <w:vAlign w:val="center"/>
          </w:tcPr>
          <w:p w:rsidR="008C6F21" w:rsidRPr="009806FE" w:rsidP="00C80D1B" w14:paraId="337B80F8" w14:textId="77777777">
            <w:pPr>
              <w:tabs>
                <w:tab w:val="left" w:pos="-720"/>
                <w:tab w:val="left" w:pos="0"/>
              </w:tabs>
              <w:suppressAutoHyphens/>
              <w:jc w:val="center"/>
              <w:rPr>
                <w:rFonts w:eastAsia="Times New Roman" w:cs="Times New Roman"/>
                <w:b/>
                <w:sz w:val="16"/>
                <w:szCs w:val="16"/>
              </w:rPr>
            </w:pPr>
          </w:p>
          <w:p w:rsidR="009F6366" w:rsidRPr="009806FE" w:rsidP="00C80D1B" w14:paraId="470DAD1C" w14:textId="7366C6D5">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00D526B6">
              <w:rPr>
                <w:rFonts w:eastAsia="Times New Roman" w:cs="Times New Roman"/>
                <w:b/>
                <w:sz w:val="16"/>
                <w:szCs w:val="16"/>
              </w:rPr>
              <w:t>8</w:t>
            </w:r>
            <w:r w:rsidR="00E32CF8">
              <w:rPr>
                <w:rFonts w:eastAsia="Times New Roman" w:cs="Times New Roman"/>
                <w:b/>
                <w:sz w:val="16"/>
                <w:szCs w:val="16"/>
              </w:rPr>
              <w:t>4,600</w:t>
            </w:r>
          </w:p>
          <w:p w:rsidR="0067738F" w:rsidRPr="009806FE" w:rsidP="00C80D1B" w14:paraId="72B6E5D5" w14:textId="4405CE8B">
            <w:pPr>
              <w:tabs>
                <w:tab w:val="left" w:pos="-720"/>
                <w:tab w:val="left" w:pos="0"/>
              </w:tabs>
              <w:suppressAutoHyphens/>
              <w:jc w:val="center"/>
              <w:rPr>
                <w:rFonts w:eastAsia="Times New Roman" w:cs="Times New Roman"/>
                <w:b/>
                <w:sz w:val="16"/>
                <w:szCs w:val="16"/>
              </w:rPr>
            </w:pPr>
          </w:p>
        </w:tc>
      </w:tr>
      <w:tr w14:paraId="4E78DD66" w14:textId="77777777" w:rsidTr="00C47CA6">
        <w:tblPrEx>
          <w:tblW w:w="5725" w:type="pct"/>
          <w:tblInd w:w="-972" w:type="dxa"/>
          <w:tblLayout w:type="fixed"/>
          <w:tblLook w:val="04A0"/>
        </w:tblPrEx>
        <w:trPr>
          <w:trHeight w:val="977"/>
        </w:trPr>
        <w:tc>
          <w:tcPr>
            <w:tcW w:w="508" w:type="pct"/>
          </w:tcPr>
          <w:p w:rsidR="008C6F21" w:rsidRPr="009806FE" w:rsidP="0077445B" w14:paraId="25910E5B" w14:textId="77777777">
            <w:pPr>
              <w:tabs>
                <w:tab w:val="left" w:pos="-720"/>
                <w:tab w:val="left" w:pos="0"/>
              </w:tabs>
              <w:suppressAutoHyphens/>
              <w:jc w:val="center"/>
              <w:rPr>
                <w:rFonts w:cs="Times New Roman"/>
                <w:sz w:val="16"/>
                <w:szCs w:val="16"/>
              </w:rPr>
            </w:pPr>
          </w:p>
          <w:p w:rsidR="0077445B" w:rsidRPr="009806FE" w:rsidP="0077445B" w14:paraId="3BC40710" w14:textId="58BF726B">
            <w:pPr>
              <w:tabs>
                <w:tab w:val="left" w:pos="-720"/>
                <w:tab w:val="left" w:pos="0"/>
              </w:tabs>
              <w:suppressAutoHyphens/>
              <w:jc w:val="center"/>
              <w:rPr>
                <w:rFonts w:cs="Times New Roman"/>
                <w:sz w:val="16"/>
                <w:szCs w:val="16"/>
              </w:rPr>
            </w:pPr>
            <w:r w:rsidRPr="009806FE">
              <w:rPr>
                <w:rFonts w:cs="Times New Roman"/>
                <w:sz w:val="16"/>
                <w:szCs w:val="16"/>
              </w:rPr>
              <w:t>150.3(d)(2)</w:t>
            </w:r>
          </w:p>
          <w:p w:rsidR="005B214B" w:rsidRPr="009806FE" w:rsidP="0077445B" w14:paraId="439569A2" w14:textId="77777777">
            <w:pPr>
              <w:tabs>
                <w:tab w:val="left" w:pos="-720"/>
                <w:tab w:val="left" w:pos="0"/>
              </w:tabs>
              <w:suppressAutoHyphens/>
              <w:jc w:val="center"/>
              <w:rPr>
                <w:rFonts w:cs="Times New Roman"/>
                <w:sz w:val="16"/>
                <w:szCs w:val="16"/>
              </w:rPr>
            </w:pPr>
          </w:p>
          <w:p w:rsidR="00EE188A" w:rsidRPr="009806FE" w:rsidP="005B214B" w14:paraId="006D5ED7" w14:textId="640CA4FE">
            <w:pPr>
              <w:tabs>
                <w:tab w:val="left" w:pos="-720"/>
                <w:tab w:val="left" w:pos="0"/>
              </w:tabs>
              <w:suppressAutoHyphens/>
              <w:jc w:val="center"/>
              <w:rPr>
                <w:rFonts w:cs="Times New Roman"/>
                <w:sz w:val="16"/>
                <w:szCs w:val="16"/>
              </w:rPr>
            </w:pPr>
            <w:r w:rsidRPr="009806FE">
              <w:rPr>
                <w:rFonts w:cs="Times New Roman"/>
                <w:sz w:val="16"/>
                <w:szCs w:val="16"/>
              </w:rPr>
              <w:t>Pass-through Swap records</w:t>
            </w:r>
          </w:p>
        </w:tc>
        <w:tc>
          <w:tcPr>
            <w:tcW w:w="546" w:type="pct"/>
            <w:vAlign w:val="center"/>
          </w:tcPr>
          <w:p w:rsidR="0077445B" w:rsidRPr="009806FE" w:rsidP="00BD1BBB" w14:paraId="7EDC05F7" w14:textId="0718D96D">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6</w:t>
            </w:r>
          </w:p>
        </w:tc>
        <w:tc>
          <w:tcPr>
            <w:tcW w:w="577" w:type="pct"/>
            <w:vAlign w:val="center"/>
          </w:tcPr>
          <w:p w:rsidR="0077445B" w:rsidRPr="009806FE" w:rsidP="00BD1BBB" w14:paraId="59DDC6D9" w14:textId="16CE836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w:t>
            </w:r>
          </w:p>
        </w:tc>
        <w:tc>
          <w:tcPr>
            <w:tcW w:w="516" w:type="pct"/>
            <w:vAlign w:val="center"/>
          </w:tcPr>
          <w:p w:rsidR="0077445B" w:rsidRPr="009806FE" w:rsidP="00BD1BBB" w14:paraId="2C224A6D" w14:textId="7777777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w:t>
            </w:r>
          </w:p>
        </w:tc>
        <w:tc>
          <w:tcPr>
            <w:tcW w:w="546" w:type="pct"/>
            <w:vAlign w:val="center"/>
          </w:tcPr>
          <w:p w:rsidR="0077445B" w:rsidRPr="009806FE" w:rsidP="00BD1BBB" w14:paraId="3A8DF809" w14:textId="267E5EA8">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w:t>
            </w:r>
          </w:p>
        </w:tc>
        <w:tc>
          <w:tcPr>
            <w:tcW w:w="510" w:type="pct"/>
            <w:vAlign w:val="center"/>
          </w:tcPr>
          <w:p w:rsidR="0077445B" w:rsidRPr="009806FE" w:rsidP="00BD1BBB" w14:paraId="73715333" w14:textId="69850E0C">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557EB2">
              <w:rPr>
                <w:rFonts w:eastAsia="Times New Roman" w:cs="Times New Roman"/>
                <w:sz w:val="16"/>
                <w:szCs w:val="16"/>
              </w:rPr>
              <w:t>94</w:t>
            </w:r>
          </w:p>
        </w:tc>
        <w:tc>
          <w:tcPr>
            <w:tcW w:w="492" w:type="pct"/>
            <w:vAlign w:val="center"/>
          </w:tcPr>
          <w:p w:rsidR="0077445B" w:rsidRPr="009806FE" w:rsidP="00BD1BBB" w14:paraId="5D91B4E0" w14:textId="59758F0D">
            <w:pPr>
              <w:jc w:val="center"/>
              <w:rPr>
                <w:rFonts w:cs="Times New Roman"/>
                <w:sz w:val="16"/>
                <w:szCs w:val="16"/>
              </w:rPr>
            </w:pPr>
            <w:r w:rsidRPr="009806FE">
              <w:rPr>
                <w:rFonts w:cs="Times New Roman"/>
                <w:sz w:val="16"/>
                <w:szCs w:val="16"/>
              </w:rPr>
              <w:t>$</w:t>
            </w:r>
            <w:r w:rsidRPr="009806FE" w:rsidR="00AC78ED">
              <w:rPr>
                <w:rFonts w:cs="Times New Roman"/>
                <w:sz w:val="16"/>
                <w:szCs w:val="16"/>
              </w:rPr>
              <w:t>2</w:t>
            </w:r>
            <w:r w:rsidR="00AC78ED">
              <w:rPr>
                <w:rFonts w:cs="Times New Roman"/>
                <w:sz w:val="16"/>
                <w:szCs w:val="16"/>
              </w:rPr>
              <w:t>82</w:t>
            </w:r>
          </w:p>
        </w:tc>
        <w:tc>
          <w:tcPr>
            <w:tcW w:w="455" w:type="pct"/>
            <w:vAlign w:val="center"/>
          </w:tcPr>
          <w:p w:rsidR="0077445B" w:rsidRPr="009806FE" w:rsidP="00BD1BBB" w14:paraId="39D4DE33" w14:textId="6496281E">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18</w:t>
            </w:r>
          </w:p>
        </w:tc>
        <w:tc>
          <w:tcPr>
            <w:tcW w:w="425" w:type="pct"/>
            <w:vAlign w:val="center"/>
          </w:tcPr>
          <w:p w:rsidR="0077445B" w:rsidRPr="009806FE" w:rsidP="00BD1BBB" w14:paraId="365D28CA" w14:textId="50900B7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18</w:t>
            </w:r>
          </w:p>
        </w:tc>
        <w:tc>
          <w:tcPr>
            <w:tcW w:w="425" w:type="pct"/>
            <w:vAlign w:val="center"/>
          </w:tcPr>
          <w:p w:rsidR="008C6F21" w:rsidRPr="009806FE" w:rsidP="00C80D1B" w14:paraId="00F4E8A2" w14:textId="77777777">
            <w:pPr>
              <w:tabs>
                <w:tab w:val="left" w:pos="-720"/>
                <w:tab w:val="left" w:pos="0"/>
              </w:tabs>
              <w:suppressAutoHyphens/>
              <w:jc w:val="center"/>
              <w:rPr>
                <w:rFonts w:eastAsia="Times New Roman" w:cs="Times New Roman"/>
                <w:b/>
                <w:sz w:val="16"/>
                <w:szCs w:val="16"/>
              </w:rPr>
            </w:pPr>
          </w:p>
          <w:p w:rsidR="009F6366" w:rsidRPr="009806FE" w:rsidP="00C80D1B" w14:paraId="2EF29431" w14:textId="74BFF6FB">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008A07AD">
              <w:rPr>
                <w:rFonts w:eastAsia="Times New Roman" w:cs="Times New Roman"/>
                <w:b/>
                <w:sz w:val="16"/>
                <w:szCs w:val="16"/>
              </w:rPr>
              <w:t>1,692</w:t>
            </w:r>
          </w:p>
          <w:p w:rsidR="0077445B" w:rsidRPr="009806FE" w:rsidP="00C80D1B" w14:paraId="2B2BE83B" w14:textId="585BD999">
            <w:pPr>
              <w:tabs>
                <w:tab w:val="left" w:pos="-720"/>
                <w:tab w:val="left" w:pos="0"/>
              </w:tabs>
              <w:suppressAutoHyphens/>
              <w:jc w:val="center"/>
              <w:rPr>
                <w:rFonts w:eastAsia="Times New Roman" w:cs="Times New Roman"/>
                <w:b/>
                <w:sz w:val="16"/>
                <w:szCs w:val="16"/>
              </w:rPr>
            </w:pPr>
          </w:p>
        </w:tc>
      </w:tr>
      <w:tr w14:paraId="7D76FC9B" w14:textId="77777777" w:rsidTr="00C47CA6">
        <w:tblPrEx>
          <w:tblW w:w="5725" w:type="pct"/>
          <w:tblInd w:w="-972" w:type="dxa"/>
          <w:tblLayout w:type="fixed"/>
          <w:tblLook w:val="04A0"/>
        </w:tblPrEx>
        <w:trPr>
          <w:trHeight w:val="1222"/>
        </w:trPr>
        <w:tc>
          <w:tcPr>
            <w:tcW w:w="508" w:type="pct"/>
          </w:tcPr>
          <w:p w:rsidR="00F17949" w:rsidRPr="009806FE" w:rsidP="0085251F" w14:paraId="48B0A607" w14:textId="2D3FA0EA">
            <w:pPr>
              <w:tabs>
                <w:tab w:val="left" w:pos="-720"/>
                <w:tab w:val="left" w:pos="0"/>
              </w:tabs>
              <w:suppressAutoHyphens/>
              <w:jc w:val="center"/>
              <w:rPr>
                <w:rFonts w:cs="Times New Roman"/>
                <w:sz w:val="16"/>
                <w:szCs w:val="16"/>
              </w:rPr>
            </w:pPr>
            <w:r w:rsidRPr="009806FE">
              <w:rPr>
                <w:rFonts w:cs="Times New Roman"/>
                <w:sz w:val="16"/>
                <w:szCs w:val="16"/>
              </w:rPr>
              <w:t>150.9(d)</w:t>
            </w:r>
          </w:p>
          <w:p w:rsidR="00255153" w:rsidRPr="009806FE" w:rsidP="0085251F" w14:paraId="7D0CFD0E" w14:textId="77777777">
            <w:pPr>
              <w:tabs>
                <w:tab w:val="left" w:pos="-720"/>
                <w:tab w:val="left" w:pos="0"/>
              </w:tabs>
              <w:suppressAutoHyphens/>
              <w:jc w:val="center"/>
              <w:rPr>
                <w:rFonts w:cs="Times New Roman"/>
                <w:sz w:val="16"/>
                <w:szCs w:val="16"/>
              </w:rPr>
            </w:pPr>
          </w:p>
          <w:p w:rsidR="00906B35" w:rsidRPr="009806FE" w:rsidP="005B214B" w14:paraId="5DC11382" w14:textId="10644958">
            <w:pPr>
              <w:tabs>
                <w:tab w:val="left" w:pos="-720"/>
                <w:tab w:val="left" w:pos="0"/>
              </w:tabs>
              <w:suppressAutoHyphens/>
              <w:jc w:val="center"/>
              <w:rPr>
                <w:rFonts w:cs="Times New Roman"/>
                <w:sz w:val="16"/>
                <w:szCs w:val="16"/>
              </w:rPr>
            </w:pPr>
            <w:r w:rsidRPr="009806FE">
              <w:rPr>
                <w:rFonts w:cs="Times New Roman"/>
                <w:sz w:val="16"/>
                <w:szCs w:val="16"/>
              </w:rPr>
              <w:t xml:space="preserve">Records </w:t>
            </w:r>
            <w:r w:rsidRPr="009806FE" w:rsidR="006D125B">
              <w:rPr>
                <w:rFonts w:cs="Times New Roman"/>
                <w:sz w:val="16"/>
                <w:szCs w:val="16"/>
              </w:rPr>
              <w:t>of</w:t>
            </w:r>
            <w:r w:rsidRPr="009806FE">
              <w:rPr>
                <w:rFonts w:cs="Times New Roman"/>
                <w:sz w:val="16"/>
                <w:szCs w:val="16"/>
              </w:rPr>
              <w:t xml:space="preserve"> applications for non-enumerated bona fide hedge exemptions</w:t>
            </w:r>
          </w:p>
        </w:tc>
        <w:tc>
          <w:tcPr>
            <w:tcW w:w="546" w:type="pct"/>
            <w:vAlign w:val="center"/>
          </w:tcPr>
          <w:p w:rsidR="00F17949" w:rsidRPr="009806FE" w:rsidP="00BD1BBB" w14:paraId="53163E8A" w14:textId="071A69AD">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77" w:type="pct"/>
            <w:vAlign w:val="center"/>
          </w:tcPr>
          <w:p w:rsidR="00F17949" w:rsidRPr="009806FE" w:rsidP="00BD1BBB" w14:paraId="176A0595" w14:textId="1B54C5A0">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6" w:type="pct"/>
            <w:vAlign w:val="center"/>
          </w:tcPr>
          <w:p w:rsidR="00F17949" w:rsidRPr="009806FE" w:rsidP="00BD1BBB" w14:paraId="5964E99D" w14:textId="17052F6D">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5</w:t>
            </w:r>
            <w:r>
              <w:rPr>
                <w:rStyle w:val="FootnoteReference"/>
                <w:rFonts w:eastAsia="Times New Roman" w:cs="Times New Roman"/>
                <w:sz w:val="16"/>
                <w:szCs w:val="16"/>
              </w:rPr>
              <w:footnoteReference w:id="33"/>
            </w:r>
          </w:p>
        </w:tc>
        <w:tc>
          <w:tcPr>
            <w:tcW w:w="546" w:type="pct"/>
            <w:vAlign w:val="center"/>
          </w:tcPr>
          <w:p w:rsidR="00F17949" w:rsidRPr="009806FE" w:rsidP="685D7A62" w14:paraId="0F6306A0" w14:textId="278B79CF">
            <w:pPr>
              <w:suppressAutoHyphens/>
              <w:jc w:val="center"/>
              <w:rPr>
                <w:rFonts w:eastAsia="Times New Roman" w:cs="Times New Roman"/>
                <w:sz w:val="16"/>
                <w:szCs w:val="16"/>
              </w:rPr>
            </w:pPr>
            <w:r w:rsidRPr="009806FE">
              <w:rPr>
                <w:rFonts w:eastAsia="Times New Roman" w:cs="Times New Roman"/>
                <w:sz w:val="16"/>
                <w:szCs w:val="16"/>
              </w:rPr>
              <w:t>0</w:t>
            </w:r>
          </w:p>
        </w:tc>
        <w:tc>
          <w:tcPr>
            <w:tcW w:w="510" w:type="pct"/>
            <w:vAlign w:val="center"/>
          </w:tcPr>
          <w:p w:rsidR="00F17949" w:rsidRPr="009806FE" w:rsidP="00BD1BBB" w14:paraId="6501F2C0" w14:textId="5A455511">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557EB2">
              <w:rPr>
                <w:rFonts w:eastAsia="Times New Roman" w:cs="Times New Roman"/>
                <w:sz w:val="16"/>
                <w:szCs w:val="16"/>
              </w:rPr>
              <w:t>94</w:t>
            </w:r>
          </w:p>
        </w:tc>
        <w:tc>
          <w:tcPr>
            <w:tcW w:w="492" w:type="pct"/>
            <w:vAlign w:val="center"/>
          </w:tcPr>
          <w:p w:rsidR="00F17949" w:rsidRPr="009806FE" w:rsidP="00BD1BBB" w14:paraId="16CAACA9" w14:textId="3FB065E3">
            <w:pPr>
              <w:jc w:val="center"/>
              <w:rPr>
                <w:rFonts w:cs="Times New Roman"/>
                <w:sz w:val="16"/>
                <w:szCs w:val="16"/>
              </w:rPr>
            </w:pPr>
            <w:r w:rsidRPr="009806FE">
              <w:rPr>
                <w:rFonts w:cs="Times New Roman"/>
                <w:sz w:val="16"/>
                <w:szCs w:val="16"/>
              </w:rPr>
              <w:t>$</w:t>
            </w:r>
            <w:r w:rsidRPr="009806FE" w:rsidR="005B214B">
              <w:rPr>
                <w:rFonts w:cs="Times New Roman"/>
                <w:sz w:val="16"/>
                <w:szCs w:val="16"/>
              </w:rPr>
              <w:t>0</w:t>
            </w:r>
          </w:p>
        </w:tc>
        <w:tc>
          <w:tcPr>
            <w:tcW w:w="455" w:type="pct"/>
            <w:vAlign w:val="center"/>
          </w:tcPr>
          <w:p w:rsidR="00F17949" w:rsidRPr="009806FE" w:rsidP="00BD1BBB" w14:paraId="784E7B00" w14:textId="7218699A">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F17949" w:rsidRPr="009806FE" w:rsidP="00BD1BBB" w14:paraId="75D1A443" w14:textId="2D982F09">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F17949" w:rsidRPr="009806FE" w:rsidP="00BD1BBB" w14:paraId="06978286" w14:textId="425129F0">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Pr="009806FE" w:rsidR="005B214B">
              <w:rPr>
                <w:rFonts w:eastAsia="Times New Roman" w:cs="Times New Roman"/>
                <w:b/>
                <w:sz w:val="16"/>
                <w:szCs w:val="16"/>
              </w:rPr>
              <w:t>0</w:t>
            </w:r>
          </w:p>
        </w:tc>
      </w:tr>
      <w:tr w14:paraId="079D3A8F" w14:textId="77777777" w:rsidTr="00C47CA6">
        <w:tblPrEx>
          <w:tblW w:w="5725" w:type="pct"/>
          <w:tblInd w:w="-972" w:type="dxa"/>
          <w:tblLayout w:type="fixed"/>
          <w:tblLook w:val="04A0"/>
        </w:tblPrEx>
        <w:trPr>
          <w:trHeight w:val="1222"/>
        </w:trPr>
        <w:tc>
          <w:tcPr>
            <w:tcW w:w="508" w:type="pct"/>
            <w:vAlign w:val="center"/>
          </w:tcPr>
          <w:p w:rsidR="00AC2DC6" w:rsidRPr="009806FE" w:rsidP="00052496" w14:paraId="44962E85" w14:textId="77777777">
            <w:pPr>
              <w:tabs>
                <w:tab w:val="left" w:pos="-720"/>
                <w:tab w:val="left" w:pos="0"/>
              </w:tabs>
              <w:suppressAutoHyphens/>
              <w:jc w:val="center"/>
              <w:rPr>
                <w:rFonts w:cs="Times New Roman"/>
                <w:sz w:val="16"/>
                <w:szCs w:val="16"/>
              </w:rPr>
            </w:pPr>
            <w:r w:rsidRPr="009806FE">
              <w:rPr>
                <w:rFonts w:cs="Times New Roman"/>
                <w:sz w:val="16"/>
                <w:szCs w:val="16"/>
              </w:rPr>
              <w:t>150.9(</w:t>
            </w:r>
            <w:r w:rsidRPr="009806FE" w:rsidR="0775ABCF">
              <w:rPr>
                <w:rFonts w:cs="Times New Roman"/>
                <w:sz w:val="16"/>
                <w:szCs w:val="16"/>
              </w:rPr>
              <w:t>d</w:t>
            </w:r>
            <w:r w:rsidRPr="009806FE">
              <w:rPr>
                <w:rFonts w:cs="Times New Roman"/>
                <w:sz w:val="16"/>
                <w:szCs w:val="16"/>
              </w:rPr>
              <w:t>)</w:t>
            </w:r>
            <w:r w:rsidRPr="009806FE" w:rsidR="0775ABCF">
              <w:rPr>
                <w:rFonts w:cs="Times New Roman"/>
                <w:sz w:val="16"/>
                <w:szCs w:val="16"/>
              </w:rPr>
              <w:t>(2)</w:t>
            </w:r>
            <w:r>
              <w:rPr>
                <w:rStyle w:val="FootnoteReference"/>
                <w:rFonts w:cs="Times New Roman"/>
                <w:sz w:val="16"/>
                <w:szCs w:val="16"/>
              </w:rPr>
              <w:footnoteReference w:id="34"/>
            </w:r>
          </w:p>
          <w:p w:rsidR="00FD4307" w:rsidRPr="009806FE" w:rsidP="00052496" w14:paraId="5E21667F" w14:textId="77777777">
            <w:pPr>
              <w:tabs>
                <w:tab w:val="left" w:pos="-720"/>
                <w:tab w:val="left" w:pos="0"/>
              </w:tabs>
              <w:suppressAutoHyphens/>
              <w:jc w:val="center"/>
              <w:rPr>
                <w:rFonts w:cs="Times New Roman"/>
                <w:sz w:val="16"/>
                <w:szCs w:val="16"/>
              </w:rPr>
            </w:pPr>
          </w:p>
          <w:p w:rsidR="00FD4307" w:rsidRPr="009806FE" w:rsidP="00255153" w14:paraId="494F5AF1" w14:textId="4F09FAD0">
            <w:pPr>
              <w:jc w:val="center"/>
              <w:rPr>
                <w:rFonts w:eastAsia="Calibri" w:cs="Times New Roman"/>
                <w:sz w:val="16"/>
                <w:szCs w:val="16"/>
              </w:rPr>
            </w:pPr>
            <w:r w:rsidRPr="009806FE">
              <w:rPr>
                <w:rFonts w:cs="Times New Roman"/>
                <w:sz w:val="16"/>
                <w:szCs w:val="16"/>
              </w:rPr>
              <w:t xml:space="preserve">Records </w:t>
            </w:r>
            <w:r w:rsidRPr="009806FE" w:rsidR="006D125B">
              <w:rPr>
                <w:rFonts w:cs="Times New Roman"/>
                <w:sz w:val="16"/>
                <w:szCs w:val="16"/>
              </w:rPr>
              <w:t>of</w:t>
            </w:r>
            <w:r w:rsidRPr="009806FE">
              <w:rPr>
                <w:rFonts w:cs="Times New Roman"/>
                <w:sz w:val="16"/>
                <w:szCs w:val="16"/>
              </w:rPr>
              <w:t xml:space="preserve"> applications for non-enumerated bona fide hedge exemptions</w:t>
            </w:r>
          </w:p>
        </w:tc>
        <w:tc>
          <w:tcPr>
            <w:tcW w:w="546" w:type="pct"/>
            <w:vAlign w:val="center"/>
          </w:tcPr>
          <w:p w:rsidR="00AC2DC6" w:rsidRPr="009806FE" w:rsidP="00BD1BBB" w14:paraId="0460A13A" w14:textId="287EB317">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77" w:type="pct"/>
            <w:vAlign w:val="center"/>
          </w:tcPr>
          <w:p w:rsidR="00AC2DC6" w:rsidRPr="009806FE" w:rsidP="00BD1BBB" w14:paraId="0A15E11A" w14:textId="3AD5DA46">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6" w:type="pct"/>
            <w:vAlign w:val="center"/>
          </w:tcPr>
          <w:p w:rsidR="00AC2DC6" w:rsidRPr="009806FE" w:rsidP="00BD1BBB" w14:paraId="04694A50" w14:textId="31D18D5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8</w:t>
            </w:r>
            <w:r>
              <w:rPr>
                <w:rStyle w:val="FootnoteReference"/>
                <w:rFonts w:eastAsia="Times New Roman" w:cs="Times New Roman"/>
                <w:sz w:val="16"/>
                <w:szCs w:val="16"/>
              </w:rPr>
              <w:footnoteReference w:id="35"/>
            </w:r>
          </w:p>
        </w:tc>
        <w:tc>
          <w:tcPr>
            <w:tcW w:w="546" w:type="pct"/>
            <w:vAlign w:val="center"/>
          </w:tcPr>
          <w:p w:rsidR="00AC2DC6" w:rsidRPr="009806FE" w:rsidP="00BD1BBB" w14:paraId="56548473" w14:textId="20031405">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510" w:type="pct"/>
            <w:vAlign w:val="center"/>
          </w:tcPr>
          <w:p w:rsidR="00AC2DC6" w:rsidRPr="009806FE" w:rsidP="00BD1BBB" w14:paraId="036A221F" w14:textId="17F8A9EA">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w:t>
            </w:r>
            <w:r w:rsidR="00F0540C">
              <w:rPr>
                <w:rFonts w:eastAsia="Times New Roman" w:cs="Times New Roman"/>
                <w:sz w:val="16"/>
                <w:szCs w:val="16"/>
              </w:rPr>
              <w:t>94</w:t>
            </w:r>
          </w:p>
        </w:tc>
        <w:tc>
          <w:tcPr>
            <w:tcW w:w="492" w:type="pct"/>
            <w:vAlign w:val="center"/>
          </w:tcPr>
          <w:p w:rsidR="00AC2DC6" w:rsidRPr="009806FE" w:rsidP="00BD1BBB" w14:paraId="19ABB9C9" w14:textId="6D418868">
            <w:pPr>
              <w:jc w:val="center"/>
              <w:rPr>
                <w:rFonts w:cs="Times New Roman"/>
                <w:sz w:val="16"/>
                <w:szCs w:val="16"/>
              </w:rPr>
            </w:pPr>
            <w:r w:rsidRPr="009806FE">
              <w:rPr>
                <w:rFonts w:cs="Times New Roman"/>
                <w:sz w:val="16"/>
                <w:szCs w:val="16"/>
              </w:rPr>
              <w:t>$</w:t>
            </w:r>
            <w:r w:rsidRPr="009806FE" w:rsidR="007539F5">
              <w:rPr>
                <w:rFonts w:cs="Times New Roman"/>
                <w:sz w:val="16"/>
                <w:szCs w:val="16"/>
              </w:rPr>
              <w:t>0</w:t>
            </w:r>
          </w:p>
        </w:tc>
        <w:tc>
          <w:tcPr>
            <w:tcW w:w="455" w:type="pct"/>
            <w:vAlign w:val="center"/>
          </w:tcPr>
          <w:p w:rsidR="00AC2DC6" w:rsidRPr="009806FE" w:rsidP="00BD1BBB" w14:paraId="6C03022C" w14:textId="77B95993">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AC2DC6" w:rsidRPr="009806FE" w:rsidP="00BD1BBB" w14:paraId="4A774DFE" w14:textId="6696C9E6">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0</w:t>
            </w:r>
          </w:p>
        </w:tc>
        <w:tc>
          <w:tcPr>
            <w:tcW w:w="425" w:type="pct"/>
            <w:vAlign w:val="center"/>
          </w:tcPr>
          <w:p w:rsidR="00AC2DC6" w:rsidRPr="009806FE" w:rsidP="00BD1BBB" w14:paraId="5DF7D46D" w14:textId="0B687D87">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$0</w:t>
            </w:r>
          </w:p>
        </w:tc>
      </w:tr>
      <w:tr w14:paraId="67D31A27" w14:textId="77777777" w:rsidTr="00C47CA6">
        <w:tblPrEx>
          <w:tblW w:w="5725" w:type="pct"/>
          <w:tblInd w:w="-972" w:type="dxa"/>
          <w:tblLayout w:type="fixed"/>
          <w:tblLook w:val="04A0"/>
        </w:tblPrEx>
        <w:trPr>
          <w:trHeight w:val="1222"/>
        </w:trPr>
        <w:tc>
          <w:tcPr>
            <w:tcW w:w="508" w:type="pct"/>
            <w:vAlign w:val="center"/>
          </w:tcPr>
          <w:p w:rsidR="00052496" w:rsidRPr="009806FE" w:rsidP="00052496" w14:paraId="35DC3513" w14:textId="28D3C0FF">
            <w:pPr>
              <w:tabs>
                <w:tab w:val="left" w:pos="-720"/>
                <w:tab w:val="left" w:pos="0"/>
              </w:tabs>
              <w:suppressAutoHyphens/>
              <w:jc w:val="center"/>
              <w:rPr>
                <w:rFonts w:cs="Times New Roman"/>
                <w:b/>
                <w:sz w:val="16"/>
                <w:szCs w:val="16"/>
              </w:rPr>
            </w:pPr>
            <w:r w:rsidRPr="009806FE">
              <w:rPr>
                <w:rFonts w:cs="Times New Roman"/>
                <w:b/>
                <w:bCs/>
                <w:sz w:val="16"/>
                <w:szCs w:val="16"/>
              </w:rPr>
              <w:t>Total:</w:t>
            </w:r>
            <w:r>
              <w:rPr>
                <w:rStyle w:val="FootnoteReference"/>
                <w:rFonts w:cs="Times New Roman"/>
                <w:b/>
                <w:sz w:val="16"/>
                <w:szCs w:val="16"/>
              </w:rPr>
              <w:footnoteReference w:id="36"/>
            </w:r>
          </w:p>
        </w:tc>
        <w:tc>
          <w:tcPr>
            <w:tcW w:w="546" w:type="pct"/>
            <w:vAlign w:val="center"/>
          </w:tcPr>
          <w:p w:rsidR="009F6366" w:rsidRPr="009806FE" w:rsidP="00BD1BBB" w14:paraId="5BECEB6C" w14:textId="15DAF301">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306</w:t>
            </w:r>
          </w:p>
          <w:p w:rsidR="00052496" w:rsidRPr="009806FE" w:rsidP="00BD1BBB" w14:paraId="2B10800D" w14:textId="21DC1CC1">
            <w:pPr>
              <w:tabs>
                <w:tab w:val="left" w:pos="-720"/>
                <w:tab w:val="left" w:pos="0"/>
              </w:tabs>
              <w:suppressAutoHyphens/>
              <w:jc w:val="center"/>
              <w:rPr>
                <w:rFonts w:eastAsia="Times New Roman" w:cs="Times New Roman"/>
                <w:sz w:val="16"/>
                <w:szCs w:val="16"/>
              </w:rPr>
            </w:pPr>
          </w:p>
        </w:tc>
        <w:tc>
          <w:tcPr>
            <w:tcW w:w="577" w:type="pct"/>
            <w:shd w:val="clear" w:color="auto" w:fill="D9D9D9" w:themeFill="background1" w:themeFillShade="D9"/>
            <w:vAlign w:val="center"/>
          </w:tcPr>
          <w:p w:rsidR="00052496" w:rsidRPr="009806FE" w:rsidP="00BD1BBB" w14:paraId="330D4931" w14:textId="0372E1EA">
            <w:pPr>
              <w:tabs>
                <w:tab w:val="left" w:pos="-720"/>
                <w:tab w:val="left" w:pos="0"/>
              </w:tabs>
              <w:suppressAutoHyphens/>
              <w:jc w:val="center"/>
              <w:rPr>
                <w:rFonts w:eastAsia="Times New Roman" w:cs="Times New Roman"/>
                <w:sz w:val="16"/>
                <w:szCs w:val="16"/>
              </w:rPr>
            </w:pPr>
          </w:p>
        </w:tc>
        <w:tc>
          <w:tcPr>
            <w:tcW w:w="516" w:type="pct"/>
            <w:shd w:val="clear" w:color="auto" w:fill="D9D9D9" w:themeFill="background1" w:themeFillShade="D9"/>
            <w:vAlign w:val="center"/>
          </w:tcPr>
          <w:p w:rsidR="00052496" w:rsidRPr="009806FE" w:rsidP="00BD1BBB" w14:paraId="1FBDA7CE" w14:textId="1F56617C">
            <w:pPr>
              <w:tabs>
                <w:tab w:val="left" w:pos="-720"/>
                <w:tab w:val="left" w:pos="0"/>
              </w:tabs>
              <w:suppressAutoHyphens/>
              <w:jc w:val="center"/>
              <w:rPr>
                <w:rFonts w:eastAsia="Times New Roman" w:cs="Times New Roman"/>
                <w:sz w:val="16"/>
                <w:szCs w:val="16"/>
              </w:rPr>
            </w:pPr>
          </w:p>
        </w:tc>
        <w:tc>
          <w:tcPr>
            <w:tcW w:w="546" w:type="pct"/>
            <w:shd w:val="clear" w:color="auto" w:fill="D9D9D9" w:themeFill="background1" w:themeFillShade="D9"/>
            <w:vAlign w:val="center"/>
          </w:tcPr>
          <w:p w:rsidR="00052496" w:rsidRPr="009806FE" w:rsidP="008D2F83" w14:paraId="49DB5CDB" w14:textId="5E883EB5">
            <w:pPr>
              <w:tabs>
                <w:tab w:val="left" w:pos="-720"/>
                <w:tab w:val="left" w:pos="0"/>
              </w:tabs>
              <w:suppressAutoHyphens/>
              <w:jc w:val="center"/>
              <w:rPr>
                <w:rFonts w:eastAsia="Times New Roman" w:cs="Times New Roman"/>
                <w:sz w:val="16"/>
                <w:szCs w:val="16"/>
              </w:rPr>
            </w:pPr>
          </w:p>
        </w:tc>
        <w:tc>
          <w:tcPr>
            <w:tcW w:w="510" w:type="pct"/>
            <w:shd w:val="clear" w:color="auto" w:fill="D9D9D9" w:themeFill="background1" w:themeFillShade="D9"/>
            <w:vAlign w:val="center"/>
          </w:tcPr>
          <w:p w:rsidR="00052496" w:rsidRPr="009806FE" w:rsidP="008D2F83" w14:paraId="7F862149" w14:textId="7801C007">
            <w:pPr>
              <w:tabs>
                <w:tab w:val="left" w:pos="-720"/>
                <w:tab w:val="left" w:pos="0"/>
              </w:tabs>
              <w:suppressAutoHyphens/>
              <w:jc w:val="center"/>
              <w:rPr>
                <w:rFonts w:eastAsia="Times New Roman" w:cs="Times New Roman"/>
                <w:sz w:val="16"/>
                <w:szCs w:val="16"/>
              </w:rPr>
            </w:pPr>
          </w:p>
        </w:tc>
        <w:tc>
          <w:tcPr>
            <w:tcW w:w="492" w:type="pct"/>
            <w:shd w:val="clear" w:color="auto" w:fill="D9D9D9" w:themeFill="background1" w:themeFillShade="D9"/>
            <w:vAlign w:val="center"/>
          </w:tcPr>
          <w:p w:rsidR="00052496" w:rsidRPr="009806FE" w:rsidP="009F6366" w14:paraId="44CBD3AD" w14:textId="28B12D8D">
            <w:pPr>
              <w:jc w:val="center"/>
              <w:rPr>
                <w:rFonts w:cs="Times New Roman"/>
                <w:sz w:val="16"/>
                <w:szCs w:val="16"/>
              </w:rPr>
            </w:pPr>
          </w:p>
        </w:tc>
        <w:tc>
          <w:tcPr>
            <w:tcW w:w="455" w:type="pct"/>
            <w:vAlign w:val="center"/>
          </w:tcPr>
          <w:p w:rsidR="009F6366" w:rsidRPr="009806FE" w:rsidP="00BD1BBB" w14:paraId="5A847B19" w14:textId="097E6D0C">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918</w:t>
            </w:r>
            <w:r>
              <w:rPr>
                <w:rStyle w:val="FootnoteReference"/>
                <w:rFonts w:eastAsia="Times New Roman" w:cs="Times New Roman"/>
                <w:sz w:val="16"/>
                <w:szCs w:val="16"/>
              </w:rPr>
              <w:footnoteReference w:id="37"/>
            </w:r>
          </w:p>
          <w:p w:rsidR="00052496" w:rsidRPr="009806FE" w:rsidP="00A0282D" w14:paraId="27735376" w14:textId="302D30EC">
            <w:pPr>
              <w:tabs>
                <w:tab w:val="left" w:pos="-720"/>
                <w:tab w:val="left" w:pos="0"/>
              </w:tabs>
              <w:suppressAutoHyphens/>
              <w:jc w:val="center"/>
              <w:rPr>
                <w:rFonts w:eastAsia="Times New Roman" w:cs="Times New Roman"/>
                <w:sz w:val="16"/>
                <w:szCs w:val="16"/>
              </w:rPr>
            </w:pPr>
          </w:p>
        </w:tc>
        <w:tc>
          <w:tcPr>
            <w:tcW w:w="425" w:type="pct"/>
            <w:vAlign w:val="center"/>
          </w:tcPr>
          <w:p w:rsidR="00052496" w:rsidRPr="009806FE" w:rsidP="00B02F0C" w14:paraId="06E0F456" w14:textId="0435BA70">
            <w:pPr>
              <w:tabs>
                <w:tab w:val="left" w:pos="-720"/>
                <w:tab w:val="left" w:pos="0"/>
              </w:tabs>
              <w:suppressAutoHyphens/>
              <w:jc w:val="center"/>
              <w:rPr>
                <w:rFonts w:eastAsia="Times New Roman" w:cs="Times New Roman"/>
                <w:sz w:val="16"/>
                <w:szCs w:val="16"/>
              </w:rPr>
            </w:pPr>
            <w:r w:rsidRPr="009806FE">
              <w:rPr>
                <w:rFonts w:eastAsia="Times New Roman" w:cs="Times New Roman"/>
                <w:sz w:val="16"/>
                <w:szCs w:val="16"/>
              </w:rPr>
              <w:t>918</w:t>
            </w:r>
          </w:p>
        </w:tc>
        <w:tc>
          <w:tcPr>
            <w:tcW w:w="425" w:type="pct"/>
            <w:vAlign w:val="center"/>
          </w:tcPr>
          <w:p w:rsidR="009F6366" w:rsidRPr="009806FE" w:rsidP="001861E2" w14:paraId="7F0A426F" w14:textId="01F495EF">
            <w:pPr>
              <w:tabs>
                <w:tab w:val="left" w:pos="-720"/>
                <w:tab w:val="left" w:pos="0"/>
              </w:tabs>
              <w:suppressAutoHyphens/>
              <w:jc w:val="center"/>
              <w:rPr>
                <w:rFonts w:eastAsia="Times New Roman" w:cs="Times New Roman"/>
                <w:b/>
                <w:sz w:val="16"/>
                <w:szCs w:val="16"/>
              </w:rPr>
            </w:pPr>
            <w:r w:rsidRPr="009806FE">
              <w:rPr>
                <w:rFonts w:eastAsia="Times New Roman" w:cs="Times New Roman"/>
                <w:b/>
                <w:sz w:val="16"/>
                <w:szCs w:val="16"/>
              </w:rPr>
              <w:t>$</w:t>
            </w:r>
            <w:r w:rsidR="00973C41">
              <w:rPr>
                <w:rFonts w:eastAsia="Times New Roman" w:cs="Times New Roman"/>
                <w:b/>
                <w:sz w:val="16"/>
                <w:szCs w:val="16"/>
              </w:rPr>
              <w:t>86</w:t>
            </w:r>
            <w:r w:rsidR="0030640E">
              <w:rPr>
                <w:rFonts w:eastAsia="Times New Roman" w:cs="Times New Roman"/>
                <w:b/>
                <w:sz w:val="16"/>
                <w:szCs w:val="16"/>
              </w:rPr>
              <w:t>,</w:t>
            </w:r>
            <w:r w:rsidR="00467D88">
              <w:rPr>
                <w:rFonts w:eastAsia="Times New Roman" w:cs="Times New Roman"/>
                <w:b/>
                <w:sz w:val="16"/>
                <w:szCs w:val="16"/>
              </w:rPr>
              <w:t>292</w:t>
            </w:r>
          </w:p>
          <w:p w:rsidR="00052496" w:rsidRPr="009806FE" w:rsidP="001861E2" w14:paraId="47A38932" w14:textId="216B5EB8">
            <w:pPr>
              <w:tabs>
                <w:tab w:val="left" w:pos="-720"/>
                <w:tab w:val="left" w:pos="0"/>
              </w:tabs>
              <w:suppressAutoHyphens/>
              <w:jc w:val="center"/>
              <w:rPr>
                <w:rFonts w:eastAsia="Times New Roman" w:cs="Times New Roman"/>
                <w:b/>
                <w:sz w:val="16"/>
                <w:szCs w:val="16"/>
              </w:rPr>
            </w:pPr>
          </w:p>
        </w:tc>
      </w:tr>
    </w:tbl>
    <w:p w:rsidR="00551596" w:rsidRPr="007C67D8" w:rsidP="00551596" w14:paraId="7F6F0C8C" w14:textId="77777777">
      <w:pPr>
        <w:spacing w:before="360" w:line="480" w:lineRule="auto"/>
        <w:ind w:left="720"/>
      </w:pPr>
      <w:r w:rsidRPr="00CB3FDF">
        <w:rPr>
          <w:i/>
        </w:rPr>
        <w:t>Estimated number of respondents</w:t>
      </w:r>
      <w:r w:rsidRPr="007C67D8">
        <w:t xml:space="preserve">: </w:t>
      </w:r>
      <w:r>
        <w:t xml:space="preserve"> 776.</w:t>
      </w:r>
    </w:p>
    <w:p w:rsidR="00551596" w:rsidRPr="00775569" w:rsidP="00551596" w14:paraId="624157E2" w14:textId="1A040C3C">
      <w:pPr>
        <w:spacing w:line="480" w:lineRule="auto"/>
        <w:ind w:firstLine="720"/>
      </w:pPr>
      <w:r w:rsidRPr="00CB3FDF">
        <w:rPr>
          <w:i/>
        </w:rPr>
        <w:t xml:space="preserve">Estimated </w:t>
      </w:r>
      <w:r>
        <w:rPr>
          <w:i/>
        </w:rPr>
        <w:t>total annual responses</w:t>
      </w:r>
      <w:r w:rsidR="00143919">
        <w:rPr>
          <w:iCs/>
        </w:rPr>
        <w:t>:  4,648</w:t>
      </w:r>
      <w:r>
        <w:t>.</w:t>
      </w:r>
    </w:p>
    <w:p w:rsidR="00551596" w:rsidP="00551596" w14:paraId="7FD57135" w14:textId="28560D59">
      <w:pPr>
        <w:spacing w:line="480" w:lineRule="auto"/>
        <w:ind w:firstLine="720"/>
      </w:pPr>
      <w:r w:rsidRPr="00CB3FDF">
        <w:rPr>
          <w:i/>
        </w:rPr>
        <w:t>Estimated total annual burden hours</w:t>
      </w:r>
      <w:r>
        <w:rPr>
          <w:i/>
        </w:rPr>
        <w:t xml:space="preserve"> for all respondents</w:t>
      </w:r>
      <w:r w:rsidRPr="00775569">
        <w:t xml:space="preserve">:  </w:t>
      </w:r>
      <w:r>
        <w:t>11,748 hours.</w:t>
      </w:r>
    </w:p>
    <w:p w:rsidR="00143919" w:rsidRPr="00143919" w:rsidP="00551596" w14:paraId="3CB210BA" w14:textId="338C2D49">
      <w:pPr>
        <w:spacing w:line="480" w:lineRule="auto"/>
        <w:ind w:firstLine="720"/>
      </w:pPr>
      <w:r>
        <w:rPr>
          <w:i/>
          <w:iCs/>
        </w:rPr>
        <w:t>Estimated total annual labor costs</w:t>
      </w:r>
      <w:r>
        <w:t>:  $1,200,062.</w:t>
      </w:r>
    </w:p>
    <w:p w:rsidR="00551596" w:rsidP="00551596" w14:paraId="3A6504FA" w14:textId="77777777">
      <w:pPr>
        <w:spacing w:line="480" w:lineRule="auto"/>
        <w:ind w:left="720"/>
      </w:pPr>
      <w:r w:rsidRPr="00CB3FDF">
        <w:rPr>
          <w:i/>
        </w:rPr>
        <w:t>Frequency of Collection</w:t>
      </w:r>
      <w:r w:rsidRPr="00775569">
        <w:t xml:space="preserve">:  </w:t>
      </w:r>
      <w:r>
        <w:t>As needed.</w:t>
      </w:r>
    </w:p>
    <w:p w:rsidR="00E24370" w:rsidRPr="009806FE" w:rsidP="00E24370" w14:paraId="438D75E5" w14:textId="77777777">
      <w:pPr>
        <w:spacing w:before="240"/>
        <w:rPr>
          <w:rFonts w:eastAsia="Times New Roman" w:cs="Times New Roman"/>
          <w:b/>
          <w:szCs w:val="24"/>
        </w:rPr>
      </w:pPr>
    </w:p>
    <w:sectPr w:rsidSect="00C47CA6">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0066320"/>
      <w:docPartObj>
        <w:docPartGallery w:val="Page Numbers (Bottom of Page)"/>
        <w:docPartUnique/>
      </w:docPartObj>
    </w:sdtPr>
    <w:sdtEndPr>
      <w:rPr>
        <w:noProof/>
      </w:rPr>
    </w:sdtEndPr>
    <w:sdtContent>
      <w:p w:rsidR="00172C68" w14:paraId="6352520E" w14:textId="7777777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172C68" w14:paraId="6822D4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64F0" w:rsidP="009C6DB4" w14:paraId="18E5A33A" w14:textId="77777777">
      <w:r>
        <w:separator/>
      </w:r>
    </w:p>
  </w:footnote>
  <w:footnote w:type="continuationSeparator" w:id="1">
    <w:p w:rsidR="006E64F0" w:rsidP="009C6DB4" w14:paraId="542BFB75" w14:textId="77777777">
      <w:r>
        <w:continuationSeparator/>
      </w:r>
    </w:p>
  </w:footnote>
  <w:footnote w:type="continuationNotice" w:id="2">
    <w:p w:rsidR="006E64F0" w14:paraId="4D86579F" w14:textId="77777777"/>
  </w:footnote>
  <w:footnote w:id="3">
    <w:p w:rsidR="00DE62CD" w:rsidRPr="009806FE" w:rsidP="00864B48" w14:paraId="05E40644" w14:textId="351CF835">
      <w:pPr>
        <w:pStyle w:val="FootnoteText"/>
        <w:spacing w:after="120"/>
        <w:rPr>
          <w:rFonts w:cs="Times New Roman"/>
        </w:rPr>
      </w:pPr>
      <w:r w:rsidRPr="009806FE">
        <w:rPr>
          <w:rStyle w:val="FootnoteReference"/>
          <w:rFonts w:cs="Times New Roman"/>
        </w:rPr>
        <w:footnoteRef/>
      </w:r>
      <w:r w:rsidRPr="009806FE">
        <w:rPr>
          <w:rFonts w:cs="Times New Roman"/>
        </w:rPr>
        <w:t xml:space="preserve"> </w:t>
      </w:r>
      <w:r w:rsidRPr="009806FE">
        <w:rPr>
          <w:rFonts w:cs="Times New Roman"/>
          <w:i/>
        </w:rPr>
        <w:t xml:space="preserve">See </w:t>
      </w:r>
      <w:r w:rsidRPr="009806FE">
        <w:rPr>
          <w:rFonts w:cs="Times New Roman"/>
        </w:rPr>
        <w:t>7 U.S.C. 6a(a)(2) and 7 U.S.C. 6a(a)(5).</w:t>
      </w:r>
    </w:p>
  </w:footnote>
  <w:footnote w:id="4">
    <w:p w:rsidR="00172C68" w:rsidRPr="009806FE" w:rsidP="00864B48" w14:paraId="269F6E87" w14:textId="5D84E532">
      <w:pPr>
        <w:pStyle w:val="FootnoteText"/>
        <w:tabs>
          <w:tab w:val="left" w:pos="720"/>
        </w:tabs>
        <w:spacing w:after="120"/>
        <w:rPr>
          <w:rFonts w:cs="Times New Roman"/>
        </w:rPr>
      </w:pPr>
      <w:r w:rsidRPr="009806FE">
        <w:rPr>
          <w:rStyle w:val="FootnoteReference"/>
          <w:rFonts w:cs="Times New Roman"/>
        </w:rPr>
        <w:footnoteRef/>
      </w:r>
      <w:r w:rsidRPr="009806FE">
        <w:rPr>
          <w:rFonts w:cs="Times New Roman"/>
        </w:rPr>
        <w:t xml:space="preserve"> Proposed Rule, </w:t>
      </w:r>
      <w:r w:rsidRPr="009806FE">
        <w:rPr>
          <w:rFonts w:cs="Times New Roman"/>
          <w:i/>
        </w:rPr>
        <w:t>Position Limits for Derivatives</w:t>
      </w:r>
      <w:r w:rsidRPr="009806FE">
        <w:rPr>
          <w:rFonts w:cs="Times New Roman"/>
        </w:rPr>
        <w:t>, RIN 3038-AD99, issued by the Commission on January 31, 2020 (“2020 Proposal”).</w:t>
      </w:r>
    </w:p>
  </w:footnote>
  <w:footnote w:id="5">
    <w:p w:rsidR="00DE62CD" w:rsidRPr="009806FE" w:rsidP="00864B48" w14:paraId="4AC47F9B" w14:textId="0CCAD511">
      <w:pPr>
        <w:autoSpaceDE w:val="0"/>
        <w:autoSpaceDN w:val="0"/>
        <w:adjustRightInd w:val="0"/>
        <w:spacing w:after="120"/>
        <w:jc w:val="both"/>
        <w:rPr>
          <w:rFonts w:cs="Times New Roman"/>
          <w:sz w:val="20"/>
          <w:szCs w:val="20"/>
        </w:rPr>
      </w:pPr>
      <w:r w:rsidRPr="009806FE">
        <w:rPr>
          <w:rStyle w:val="FootnoteReference"/>
          <w:rFonts w:cs="Times New Roman"/>
          <w:sz w:val="20"/>
          <w:szCs w:val="20"/>
        </w:rPr>
        <w:footnoteRef/>
      </w:r>
      <w:r w:rsidRPr="009806FE">
        <w:rPr>
          <w:rFonts w:cs="Times New Roman"/>
          <w:sz w:val="20"/>
          <w:szCs w:val="20"/>
        </w:rPr>
        <w:t xml:space="preserve"> The Final Rule resulted in modified collections of information currently approved by OMB in OMB control numbers: (i) 3038-0009, (ii) 3038-0013, and (iii) 3038-0093.  The Commission in the Final Rule reorganized the information found in the OMB control numbers then-associated with its position limits regulations.  In particular, the Commission moved from OMB control number 3038-0009 to OMB control number 3038-0013 the burdens related to collections of information under part 19 (Reports by Persons Holding Bona Fide Hedge Positions and By Merchants and Dealers in Cotton) related to position limit requirements.</w:t>
      </w:r>
    </w:p>
    <w:p w:rsidR="00172C68" w:rsidRPr="009806FE" w:rsidP="00864B48" w14:paraId="50E38435" w14:textId="4B8DE4C5">
      <w:pPr>
        <w:autoSpaceDE w:val="0"/>
        <w:autoSpaceDN w:val="0"/>
        <w:adjustRightInd w:val="0"/>
        <w:spacing w:after="120"/>
        <w:rPr>
          <w:rFonts w:cs="Times New Roman"/>
          <w:sz w:val="20"/>
          <w:szCs w:val="20"/>
        </w:rPr>
      </w:pPr>
      <w:r w:rsidRPr="7F40232B">
        <w:rPr>
          <w:rFonts w:cs="Times New Roman"/>
          <w:sz w:val="20"/>
          <w:szCs w:val="20"/>
        </w:rPr>
        <w:t>Additionally, the Final Rule renamed the modified collection under OMB control number 3038-0013 as “Position Limits.”  This renaming change was non-</w:t>
      </w:r>
      <w:r w:rsidRPr="7F40232B">
        <w:rPr>
          <w:rFonts w:eastAsia="Calibri" w:cs="Times New Roman"/>
          <w:sz w:val="20"/>
          <w:szCs w:val="20"/>
        </w:rPr>
        <w:t>substantive</w:t>
      </w:r>
      <w:r w:rsidRPr="7F40232B">
        <w:rPr>
          <w:rFonts w:cs="Times New Roman"/>
          <w:sz w:val="20"/>
          <w:szCs w:val="20"/>
        </w:rPr>
        <w:t xml:space="preserve"> and allowed for all collections of information related to the federal position limits requirements, including exemptions from speculative position limits and the collections of information being moved from OMB control number 3038-0009 (</w:t>
      </w:r>
      <w:r w:rsidRPr="7F40232B">
        <w:rPr>
          <w:rFonts w:cs="Times New Roman"/>
          <w:i/>
          <w:iCs/>
          <w:sz w:val="20"/>
          <w:szCs w:val="20"/>
        </w:rPr>
        <w:t>i.e.</w:t>
      </w:r>
      <w:r w:rsidRPr="7F40232B">
        <w:rPr>
          <w:rFonts w:cs="Times New Roman"/>
          <w:sz w:val="20"/>
          <w:szCs w:val="20"/>
        </w:rPr>
        <w:t>, the related large trader reporting), to be housed in one collection.  The remaining collections of information under OMB control number 3038–0009 cover reports by various entities under parts 15, 17, and 21 of the Commission’s regulations, while OMB control number 3038–0013 holds collections of information arising from parts 19 and 150.  Other than moving the existing collections of information under part 19 from OMB control number 3038-0009 to OMB control number 3038-0013, the Final Rule did not make any other substantive changes to OMB control number 3038-0009 for the purposes of the Paperwork Reduction Act (“PRA”).  OMB control number 3038-0009 generally covers Commission regulations in parts 15 through 21. However, it does not cover §§ 16.02, 17.01, 18.04, or 18.05, which are under</w:t>
      </w:r>
      <w:r w:rsidR="00A8581D">
        <w:rPr>
          <w:rFonts w:cs="Times New Roman"/>
          <w:sz w:val="20"/>
          <w:szCs w:val="20"/>
        </w:rPr>
        <w:t xml:space="preserve"> </w:t>
      </w:r>
      <w:r w:rsidRPr="7F40232B">
        <w:rPr>
          <w:rFonts w:cs="Times New Roman"/>
          <w:sz w:val="20"/>
          <w:szCs w:val="20"/>
        </w:rPr>
        <w:t xml:space="preserve">OMB control number 3038-0103.  </w:t>
      </w:r>
      <w:r w:rsidRPr="7F40232B">
        <w:rPr>
          <w:rFonts w:cs="Times New Roman"/>
          <w:i/>
          <w:iCs/>
          <w:sz w:val="20"/>
          <w:szCs w:val="20"/>
        </w:rPr>
        <w:t>See</w:t>
      </w:r>
      <w:r w:rsidRPr="7F40232B">
        <w:rPr>
          <w:rFonts w:cs="Times New Roman"/>
          <w:sz w:val="20"/>
          <w:szCs w:val="20"/>
        </w:rPr>
        <w:t xml:space="preserve"> 78 FR 69178 at 69200 (Nov. 18, 2013) (transferring §§ 16.02, 17.01, 18.04, and 18.05 to OMB Control Number 3038-0103)).</w:t>
      </w:r>
    </w:p>
  </w:footnote>
  <w:footnote w:id="6">
    <w:p w:rsidR="00172C68" w:rsidRPr="009806FE" w:rsidP="00864B48" w14:paraId="3826FD8D" w14:textId="3A69963E">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has updated the mean hourly wage rate for </w:t>
      </w:r>
      <w:r w:rsidRPr="00E01C10">
        <w:rPr>
          <w:rFonts w:cs="Times New Roman"/>
        </w:rPr>
        <w:t>Lawyers from $102</w:t>
      </w:r>
      <w:r w:rsidR="00A055E8">
        <w:rPr>
          <w:rFonts w:cs="Times New Roman"/>
        </w:rPr>
        <w:t xml:space="preserve"> </w:t>
      </w:r>
      <w:r w:rsidRPr="00E01C10" w:rsidR="00FB45BE">
        <w:rPr>
          <w:rFonts w:cs="Times New Roman"/>
        </w:rPr>
        <w:t>to $127</w:t>
      </w:r>
      <w:r w:rsidRPr="00E01C10">
        <w:rPr>
          <w:rFonts w:cs="Times New Roman"/>
        </w:rPr>
        <w:t xml:space="preserve"> from its estimate submitted in connection with the 2020 Final Rule to reflect the increase for this occupation as reported by the U.S. Bureau of Labor Statistics (“BLS”) in May 202</w:t>
      </w:r>
      <w:r w:rsidRPr="00E01C10" w:rsidR="000A5A5E">
        <w:rPr>
          <w:rFonts w:cs="Times New Roman"/>
        </w:rPr>
        <w:t>3</w:t>
      </w:r>
      <w:r w:rsidRPr="00E01C10">
        <w:rPr>
          <w:rFonts w:cs="Times New Roman"/>
        </w:rPr>
        <w:t xml:space="preserve">.  </w:t>
      </w:r>
      <w:r w:rsidRPr="00E01C10">
        <w:rPr>
          <w:rFonts w:cs="Times New Roman"/>
          <w:i/>
        </w:rPr>
        <w:t xml:space="preserve">See </w:t>
      </w:r>
      <w:r w:rsidRPr="00E01C10">
        <w:rPr>
          <w:rFonts w:cs="Times New Roman"/>
        </w:rPr>
        <w:t>May 202</w:t>
      </w:r>
      <w:r w:rsidRPr="00E01C10" w:rsidR="000A5A5E">
        <w:rPr>
          <w:rFonts w:cs="Times New Roman"/>
        </w:rPr>
        <w:t>3</w:t>
      </w:r>
      <w:r w:rsidRPr="00E01C10">
        <w:rPr>
          <w:rFonts w:cs="Times New Roman"/>
        </w:rPr>
        <w:t xml:space="preserve"> National Industry-Specific Occupational Employment and Wage Estimates, NAICS 523000 - Securities, Commodity Contracts, and Other Financial Investments and Related Activities, </w:t>
      </w:r>
      <w:r w:rsidRPr="00E01C10" w:rsidR="000A5A5E">
        <w:rPr>
          <w:rFonts w:cs="Times New Roman"/>
        </w:rPr>
        <w:t>https://www.bls.gov/oes/2023/may/naics3_523000.htm</w:t>
      </w:r>
      <w:r w:rsidRPr="00E01C10">
        <w:rPr>
          <w:rFonts w:cs="Times New Roman"/>
        </w:rPr>
        <w:t>.  As a result,</w:t>
      </w:r>
      <w:r w:rsidRPr="009806FE">
        <w:rPr>
          <w:rFonts w:cs="Times New Roman"/>
        </w:rPr>
        <w:t xml:space="preserve"> there is a</w:t>
      </w:r>
      <w:r w:rsidR="006B6641">
        <w:rPr>
          <w:rFonts w:cs="Times New Roman"/>
        </w:rPr>
        <w:t xml:space="preserve">n </w:t>
      </w:r>
      <w:r w:rsidRPr="009806FE">
        <w:rPr>
          <w:rFonts w:cs="Times New Roman"/>
        </w:rPr>
        <w:t>increase with respect to the estimated burden for the collections of information in Attachment A, and as described below.</w:t>
      </w:r>
    </w:p>
  </w:footnote>
  <w:footnote w:id="7">
    <w:p w:rsidR="00172C68" w:rsidRPr="009806FE" w:rsidP="00864B48" w14:paraId="09A43695" w14:textId="598A10E0">
      <w:pPr>
        <w:pStyle w:val="FootnoteText"/>
        <w:spacing w:after="120"/>
      </w:pPr>
      <w:r w:rsidRPr="009806FE">
        <w:rPr>
          <w:rStyle w:val="FootnoteReference"/>
        </w:rPr>
        <w:footnoteRef/>
      </w:r>
      <w:r w:rsidRPr="009806FE">
        <w:t xml:space="preserve"> $</w:t>
      </w:r>
      <w:r w:rsidR="006B6641">
        <w:t>94</w:t>
      </w:r>
      <w:r w:rsidRPr="009806FE">
        <w:t xml:space="preserve"> is an average of the cost of General and Operations Manager</w:t>
      </w:r>
      <w:r>
        <w:t>s</w:t>
      </w:r>
      <w:r w:rsidRPr="009806FE">
        <w:t xml:space="preserve"> ($</w:t>
      </w:r>
      <w:r w:rsidR="0007618D">
        <w:t>109</w:t>
      </w:r>
      <w:r w:rsidRPr="009806FE">
        <w:t>), Lawyer</w:t>
      </w:r>
      <w:r>
        <w:t>s</w:t>
      </w:r>
      <w:r w:rsidRPr="009806FE">
        <w:t xml:space="preserve"> ($1</w:t>
      </w:r>
      <w:r w:rsidR="0007618D">
        <w:t>27</w:t>
      </w:r>
      <w:r w:rsidRPr="009806FE">
        <w:t>), and Compliance Officer</w:t>
      </w:r>
      <w:r>
        <w:t>s</w:t>
      </w:r>
      <w:r w:rsidRPr="009806FE">
        <w:t xml:space="preserve"> ($45), </w:t>
      </w:r>
      <w:r w:rsidRPr="009806FE">
        <w:rPr>
          <w:rFonts w:cs="Times New Roman"/>
        </w:rPr>
        <w:t>reflecting the increase for the average of these occupations as reported by the U.S. Bureau of Labor Statistics (“BLS”) in May 202</w:t>
      </w:r>
      <w:r w:rsidR="0007618D">
        <w:rPr>
          <w:rFonts w:cs="Times New Roman"/>
        </w:rPr>
        <w:t>3</w:t>
      </w:r>
      <w:r w:rsidRPr="009806FE">
        <w:rPr>
          <w:rFonts w:cs="Times New Roman"/>
        </w:rPr>
        <w:t xml:space="preserve">.  </w:t>
      </w:r>
      <w:r w:rsidRPr="7F40232B">
        <w:rPr>
          <w:rFonts w:cs="Times New Roman"/>
          <w:i/>
          <w:iCs/>
        </w:rPr>
        <w:t xml:space="preserve">See </w:t>
      </w:r>
      <w:r w:rsidRPr="009806FE">
        <w:rPr>
          <w:rFonts w:cs="Times New Roman"/>
        </w:rPr>
        <w:t>May 202</w:t>
      </w:r>
      <w:r w:rsidR="0007618D">
        <w:rPr>
          <w:rFonts w:cs="Times New Roman"/>
        </w:rPr>
        <w:t>3</w:t>
      </w:r>
      <w:r w:rsidRPr="009806FE">
        <w:rPr>
          <w:rFonts w:cs="Times New Roman"/>
        </w:rPr>
        <w:t xml:space="preserve"> National Industry-Specific Occupational Employment and Wage Estimates, NAICS 523000 - Securities, Commodity Contracts, and Other Financial Investments and Related Activities, </w:t>
      </w:r>
      <w:r w:rsidRPr="0007618D" w:rsidR="0007618D">
        <w:rPr>
          <w:rFonts w:cs="Times New Roman"/>
        </w:rPr>
        <w:t>https://www.bls.gov/oes/2023/may/naics3_523000.htm</w:t>
      </w:r>
      <w:r w:rsidRPr="009806FE">
        <w:t>.  The $1</w:t>
      </w:r>
      <w:r w:rsidR="002F669F">
        <w:t>27</w:t>
      </w:r>
      <w:r w:rsidRPr="009806FE">
        <w:t xml:space="preserve"> cost </w:t>
      </w:r>
      <w:r w:rsidR="00803C7E">
        <w:t>for</w:t>
      </w:r>
      <w:r w:rsidRPr="009806FE">
        <w:t xml:space="preserve"> </w:t>
      </w:r>
      <w:r w:rsidR="00803C7E">
        <w:t>L</w:t>
      </w:r>
      <w:r w:rsidRPr="009806FE">
        <w:t>awyer</w:t>
      </w:r>
      <w:r w:rsidR="00803C7E">
        <w:t>s</w:t>
      </w:r>
      <w:r w:rsidRPr="009806FE">
        <w:t xml:space="preserve"> update</w:t>
      </w:r>
      <w:r w:rsidR="006B4D60">
        <w:t>s</w:t>
      </w:r>
      <w:r w:rsidRPr="009806FE">
        <w:t xml:space="preserve"> the 2020 Final Rule</w:t>
      </w:r>
      <w:r w:rsidR="00803C7E">
        <w:t>’s cost</w:t>
      </w:r>
      <w:r w:rsidRPr="009806FE">
        <w:t xml:space="preserve"> </w:t>
      </w:r>
      <w:r w:rsidR="00803C7E">
        <w:t>of</w:t>
      </w:r>
      <w:r w:rsidRPr="009806FE" w:rsidR="00803C7E">
        <w:t xml:space="preserve"> </w:t>
      </w:r>
      <w:r w:rsidRPr="009806FE">
        <w:t xml:space="preserve">$97.  </w:t>
      </w:r>
      <w:r w:rsidR="000F3FA0">
        <w:t>W</w:t>
      </w:r>
      <w:r w:rsidRPr="009806FE">
        <w:t xml:space="preserve">here the average of the three positions </w:t>
      </w:r>
      <w:r w:rsidR="000F3FA0">
        <w:t>is</w:t>
      </w:r>
      <w:r w:rsidRPr="009806FE" w:rsidR="000F3FA0">
        <w:t xml:space="preserve"> </w:t>
      </w:r>
      <w:r w:rsidRPr="009806FE">
        <w:t>used, $</w:t>
      </w:r>
      <w:r w:rsidR="002F669F">
        <w:t>94</w:t>
      </w:r>
      <w:r w:rsidRPr="009806FE">
        <w:t xml:space="preserve"> update</w:t>
      </w:r>
      <w:r w:rsidR="000F3FA0">
        <w:t>s</w:t>
      </w:r>
      <w:r w:rsidRPr="009806FE">
        <w:t xml:space="preserve"> the 2020 Final Rule</w:t>
      </w:r>
      <w:r w:rsidR="006D112D">
        <w:t>’s</w:t>
      </w:r>
      <w:r w:rsidRPr="009806FE">
        <w:t xml:space="preserve"> </w:t>
      </w:r>
      <w:r w:rsidR="006D112D">
        <w:t>cost of</w:t>
      </w:r>
      <w:r w:rsidRPr="009806FE" w:rsidR="006D112D">
        <w:t xml:space="preserve"> </w:t>
      </w:r>
      <w:r w:rsidRPr="009806FE">
        <w:t>$77.  See FNs 20 &amp; 21 under Attachment A for a more in-depth explanation of the bases for th</w:t>
      </w:r>
      <w:r w:rsidR="000F3FA0">
        <w:t>e</w:t>
      </w:r>
      <w:r w:rsidRPr="009806FE">
        <w:t>se figures.</w:t>
      </w:r>
    </w:p>
  </w:footnote>
  <w:footnote w:id="8">
    <w:p w:rsidR="00172C68" w:rsidRPr="009806FE" w:rsidP="00864B48" w14:paraId="2F171CBB" w14:textId="59E499F0">
      <w:pPr>
        <w:pStyle w:val="FootnoteText"/>
        <w:spacing w:after="120"/>
        <w:rPr>
          <w:rFonts w:cs="Times New Roman"/>
        </w:rPr>
      </w:pPr>
      <w:r w:rsidRPr="009806FE">
        <w:rPr>
          <w:rStyle w:val="FootnoteReference"/>
          <w:rFonts w:cs="Times New Roman"/>
        </w:rPr>
        <w:footnoteRef/>
      </w:r>
      <w:r w:rsidRPr="009806FE">
        <w:rPr>
          <w:rFonts w:cs="Times New Roman"/>
        </w:rPr>
        <w:t xml:space="preserve"> Additionally, each report should include the following details:  (A) The date of disposition; (B) The effective date of the disposition; (C) The expiration date of any recognition or exemption; (D) Any unique identifier(s) the DCM or SEF may assign to track the application, or the specific type of recognition or exemption; (E) If the application is for an enumerated bona fide hedging transaction or position, the name of the enumerated bona fide hedging transaction or position listed in Appendix A to this part; (F) If the application is for a spread transaction listed in the spread transaction definition in § 150.1, the name of the spread transaction as it is listed in § 150.1; (G) The identity of the applicant; (H) The listed commodity derivative contract or position(s) to which the application pertains; (I) The underlying cash commodity; (J) The maximum size of the commodity derivative position that is recognized by the DCM or SEF as a bona fide hedging transaction or position, specified by contract month and by the type of limit as spot month, single month, or all-months-combined, as applicable; (K) Any size limitations or conditions established for a spread exemption or other exemption; and (L) For bona fide hedging transactions or positions, a concise summary of the applicant’s activity in the cash markets and swaps markets for the commodity underlying the commodity derivative position for which the application was submitted.</w:t>
      </w:r>
    </w:p>
  </w:footnote>
  <w:footnote w:id="9">
    <w:p w:rsidR="00172C68" w:rsidRPr="009806FE" w:rsidP="00864B48" w14:paraId="74F1B37D" w14:textId="20B64D93">
      <w:pPr>
        <w:pStyle w:val="FootnoteText"/>
        <w:spacing w:after="120"/>
        <w:rPr>
          <w:rFonts w:cs="Times New Roman"/>
        </w:rPr>
      </w:pPr>
      <w:r w:rsidRPr="009806FE">
        <w:rPr>
          <w:rStyle w:val="FootnoteReference"/>
          <w:rFonts w:cs="Times New Roman"/>
        </w:rPr>
        <w:footnoteRef/>
      </w:r>
      <w:r w:rsidRPr="009806FE">
        <w:rPr>
          <w:rFonts w:cs="Times New Roman"/>
        </w:rPr>
        <w:t xml:space="preserve"> 4 exchanges </w:t>
      </w:r>
      <w:r w:rsidR="0023393A">
        <w:rPr>
          <w:rFonts w:cs="Times New Roman"/>
        </w:rPr>
        <w:t>×</w:t>
      </w:r>
      <w:r w:rsidRPr="009806FE">
        <w:rPr>
          <w:rFonts w:cs="Times New Roman"/>
        </w:rPr>
        <w:t xml:space="preserve"> 12 months = 48 total monthly reports per year.</w:t>
      </w:r>
    </w:p>
  </w:footnote>
  <w:footnote w:id="10">
    <w:p w:rsidR="00172C68" w:rsidRPr="009806FE" w:rsidP="00864B48" w14:paraId="5CFF0FC5" w14:textId="590CFD45">
      <w:pPr>
        <w:pStyle w:val="FootnoteText"/>
        <w:spacing w:after="120"/>
        <w:rPr>
          <w:rFonts w:cs="Times New Roman"/>
        </w:rPr>
      </w:pPr>
      <w:r w:rsidRPr="009806FE">
        <w:rPr>
          <w:rStyle w:val="FootnoteReference"/>
          <w:rFonts w:cs="Times New Roman"/>
        </w:rPr>
        <w:footnoteRef/>
      </w:r>
      <w:r w:rsidRPr="009806FE">
        <w:rPr>
          <w:rFonts w:cs="Times New Roman"/>
        </w:rPr>
        <w:t xml:space="preserve"> 5 hours per monthly report </w:t>
      </w:r>
      <w:r w:rsidR="0023393A">
        <w:rPr>
          <w:rFonts w:cs="Times New Roman"/>
        </w:rPr>
        <w:t>×</w:t>
      </w:r>
      <w:r w:rsidRPr="009806FE">
        <w:rPr>
          <w:rFonts w:cs="Times New Roman"/>
        </w:rPr>
        <w:t xml:space="preserve"> 12 months = 60 hours per year for each exchange. 60 annual hours </w:t>
      </w:r>
      <w:r w:rsidR="0023393A">
        <w:rPr>
          <w:rFonts w:cs="Times New Roman"/>
        </w:rPr>
        <w:t>×</w:t>
      </w:r>
      <w:r w:rsidRPr="009806FE">
        <w:rPr>
          <w:rFonts w:cs="Times New Roman"/>
        </w:rPr>
        <w:t xml:space="preserve"> 4 exchanges = 240 aggregate annual hours for all exchanges.</w:t>
      </w:r>
    </w:p>
  </w:footnote>
  <w:footnote w:id="11">
    <w:p w:rsidR="00172C68" w:rsidRPr="009806FE" w:rsidP="00864B48" w14:paraId="421FB0DC" w14:textId="05A9803B">
      <w:pPr>
        <w:pStyle w:val="FootnoteText"/>
        <w:spacing w:after="120"/>
      </w:pPr>
      <w:r w:rsidRPr="009806FE">
        <w:rPr>
          <w:rStyle w:val="FootnoteReference"/>
        </w:rPr>
        <w:footnoteRef/>
      </w:r>
      <w:r w:rsidRPr="009806FE">
        <w:t xml:space="preserve"> 1 exchange </w:t>
      </w:r>
      <w:r w:rsidR="005403B5">
        <w:rPr>
          <w:rFonts w:cs="Times New Roman"/>
        </w:rPr>
        <w:t>×</w:t>
      </w:r>
      <w:r w:rsidRPr="009806FE">
        <w:t xml:space="preserve"> 1 application </w:t>
      </w:r>
      <w:r w:rsidR="005403B5">
        <w:rPr>
          <w:rFonts w:cs="Times New Roman"/>
        </w:rPr>
        <w:t>×</w:t>
      </w:r>
      <w:r w:rsidRPr="009806FE">
        <w:t xml:space="preserve"> 10 hours per application </w:t>
      </w:r>
      <w:r w:rsidR="005403B5">
        <w:rPr>
          <w:rFonts w:cs="Times New Roman"/>
        </w:rPr>
        <w:t>×</w:t>
      </w:r>
      <w:r w:rsidRPr="009806FE">
        <w:t xml:space="preserve"> $1</w:t>
      </w:r>
      <w:r w:rsidR="00202EB2">
        <w:t>27</w:t>
      </w:r>
      <w:r w:rsidRPr="009806FE">
        <w:t xml:space="preserve"> per hour = $1,</w:t>
      </w:r>
      <w:r w:rsidR="00202EB2">
        <w:t>27</w:t>
      </w:r>
      <w:r w:rsidRPr="009806FE">
        <w:t>0 total.</w:t>
      </w:r>
    </w:p>
  </w:footnote>
  <w:footnote w:id="12">
    <w:p w:rsidR="00172C68" w:rsidRPr="009806FE" w:rsidP="00864B48" w14:paraId="23DC8FEA" w14:textId="36BC603C">
      <w:pPr>
        <w:pStyle w:val="FootnoteText"/>
        <w:spacing w:after="120"/>
        <w:rPr>
          <w:rFonts w:cs="Times New Roman"/>
        </w:rPr>
      </w:pPr>
      <w:r w:rsidRPr="009806FE">
        <w:rPr>
          <w:rStyle w:val="FootnoteReference"/>
          <w:rFonts w:cs="Times New Roman"/>
        </w:rPr>
        <w:footnoteRef/>
      </w:r>
      <w:r w:rsidRPr="009806FE">
        <w:rPr>
          <w:rFonts w:cs="Times New Roman"/>
        </w:rPr>
        <w:t xml:space="preserve">  10 hours </w:t>
      </w:r>
      <w:r w:rsidR="005403B5">
        <w:rPr>
          <w:rFonts w:cs="Times New Roman"/>
        </w:rPr>
        <w:t>×</w:t>
      </w:r>
      <w:r w:rsidRPr="009806FE">
        <w:rPr>
          <w:rFonts w:cs="Times New Roman"/>
        </w:rPr>
        <w:t xml:space="preserve"> 1 </w:t>
      </w:r>
      <w:r w:rsidRPr="009806FE">
        <w:rPr>
          <w:rFonts w:cs="Times New Roman"/>
        </w:rPr>
        <w:t>exchange</w:t>
      </w:r>
      <w:r w:rsidRPr="009806FE">
        <w:rPr>
          <w:rFonts w:cs="Times New Roman"/>
        </w:rPr>
        <w:t xml:space="preserve"> = </w:t>
      </w:r>
      <w:r w:rsidR="00686316">
        <w:rPr>
          <w:rFonts w:cs="Times New Roman"/>
        </w:rPr>
        <w:t>1</w:t>
      </w:r>
      <w:r w:rsidRPr="009806FE">
        <w:rPr>
          <w:rFonts w:cs="Times New Roman"/>
        </w:rPr>
        <w:t>0 total annual burden hours.</w:t>
      </w:r>
    </w:p>
  </w:footnote>
  <w:footnote w:id="13">
    <w:p w:rsidR="00172C68" w:rsidRPr="009806FE" w:rsidP="00864B48" w14:paraId="227C9D98" w14:textId="7AE5AE20">
      <w:pPr>
        <w:pStyle w:val="FootnoteText"/>
        <w:spacing w:after="120"/>
        <w:rPr>
          <w:rFonts w:cs="Times New Roman"/>
        </w:rPr>
      </w:pPr>
      <w:r w:rsidRPr="009806FE">
        <w:rPr>
          <w:rStyle w:val="FootnoteReference"/>
          <w:rFonts w:cs="Times New Roman"/>
        </w:rPr>
        <w:footnoteRef/>
      </w:r>
      <w:r w:rsidRPr="009806FE">
        <w:rPr>
          <w:rFonts w:cs="Times New Roman"/>
        </w:rPr>
        <w:t xml:space="preserve"> The requirement includes all details of related cash, forward, futures, options, and swap positions and transactions, including anticipated requirements, production and royalties, contracts for services, cash commodity products and by-products, cross-commodity hedges, and a record of bona fide hedging swap counterparties.</w:t>
      </w:r>
    </w:p>
  </w:footnote>
  <w:footnote w:id="14">
    <w:p w:rsidR="00172C68" w:rsidRPr="009806FE" w:rsidP="00864B48" w14:paraId="43A9A6B1" w14:textId="5775F1C2">
      <w:pPr>
        <w:pStyle w:val="FootnoteText"/>
        <w:spacing w:after="120"/>
        <w:rPr>
          <w:rFonts w:cs="Times New Roman"/>
        </w:rPr>
      </w:pPr>
      <w:r w:rsidRPr="009806FE">
        <w:rPr>
          <w:rStyle w:val="FootnoteReference"/>
          <w:rFonts w:cs="Times New Roman"/>
        </w:rPr>
        <w:footnoteRef/>
      </w:r>
      <w:r w:rsidRPr="009806FE">
        <w:rPr>
          <w:rFonts w:cs="Times New Roman"/>
        </w:rPr>
        <w:t xml:space="preserve"> As discussed above, the Commission anticipates that most traders will apply for exemptions under the process established under § 150.9, rather than under the §</w:t>
      </w:r>
      <w:r w:rsidR="00114BF9">
        <w:rPr>
          <w:rFonts w:cs="Times New Roman"/>
        </w:rPr>
        <w:t xml:space="preserve"> </w:t>
      </w:r>
      <w:r w:rsidRPr="009806FE">
        <w:rPr>
          <w:rFonts w:cs="Times New Roman"/>
        </w:rPr>
        <w:t>150.3 process.</w:t>
      </w:r>
    </w:p>
  </w:footnote>
  <w:footnote w:id="15">
    <w:p w:rsidR="004439E1" w:rsidRPr="009806FE" w:rsidP="00864B48" w14:paraId="0201389C" w14:textId="0AA36BDB">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believes the collections of information set forth above are necessary for the exchange to process requests for recognition of non-enumerated bona fide hedges for purposes of exchange-set position limits, and separately, if applicable, for the Commission to make its determination for purposes of federal position limits.  The information is used by the exchange to determine, and the Commission to review and determine, whether the facts and circumstances demonstrate it is appropriate to recognize a position as a non-enumerated bona fide hedging transaction or position.</w:t>
      </w:r>
    </w:p>
  </w:footnote>
  <w:footnote w:id="16">
    <w:p w:rsidR="00172C68" w:rsidRPr="009806FE" w:rsidP="00864B48" w14:paraId="405E823F" w14:textId="11198527">
      <w:pPr>
        <w:pStyle w:val="FootnoteText"/>
        <w:spacing w:after="120"/>
        <w:rPr>
          <w:rFonts w:cs="Times New Roman"/>
        </w:rPr>
      </w:pPr>
      <w:r w:rsidRPr="009806FE">
        <w:rPr>
          <w:rStyle w:val="FootnoteReference"/>
          <w:rFonts w:cs="Times New Roman"/>
        </w:rPr>
        <w:footnoteRef/>
      </w:r>
      <w:r w:rsidRPr="009806FE">
        <w:rPr>
          <w:rFonts w:cs="Times New Roman"/>
        </w:rPr>
        <w:t xml:space="preserve"> Regulation 150.9(d)(1) requires the exchange to keep full, complete, and systematic records, which include all pertinent data and memoranda, of all activities relating to the processing of such applications and the disposition thereof.  This requirement working in concert with § 1.31 allows the Commission to inspect any such records.  Separately, under § 150.9(e)(5), if the Commission determines additional information is required to conduct its review, then it would notify the exchange and the relevant market participant of any issues identified and provide them with an opportunity to provide supplemental information.  Further, Regulation 150.9(g)(1) provides the Commission’s authority to, at its discretion, and at any time, review the exchange’s processes, retention of records, and compliance with requirements established and implemented under this section.  Under § 150.9(g)(2), if the Commission determines additional information is required to conduct its review, pursuant to § 150.9(g)(1), then it would notify the exchange and the relevant market participant of any issues identified and provide them with ten business days to provide supplemental information.</w:t>
      </w:r>
    </w:p>
  </w:footnote>
  <w:footnote w:id="17">
    <w:p w:rsidR="00172C68" w:rsidRPr="009806FE" w:rsidP="00864B48" w14:paraId="278340FE" w14:textId="74C1A590">
      <w:pPr>
        <w:spacing w:after="120"/>
        <w:rPr>
          <w:rFonts w:cs="Times New Roman"/>
          <w:sz w:val="20"/>
          <w:szCs w:val="20"/>
        </w:rPr>
      </w:pPr>
      <w:r w:rsidRPr="005F30B3">
        <w:rPr>
          <w:rFonts w:cs="Times New Roman"/>
          <w:sz w:val="20"/>
          <w:szCs w:val="20"/>
          <w:vertAlign w:val="superscript"/>
        </w:rPr>
        <w:footnoteRef/>
      </w:r>
      <w:r w:rsidRPr="009806FE">
        <w:rPr>
          <w:rFonts w:cs="Times New Roman"/>
          <w:sz w:val="20"/>
          <w:szCs w:val="20"/>
        </w:rPr>
        <w:t xml:space="preserve"> </w:t>
      </w:r>
      <w:r w:rsidRPr="009806FE">
        <w:rPr>
          <w:rFonts w:cs="Times New Roman"/>
          <w:i/>
          <w:sz w:val="20"/>
          <w:szCs w:val="20"/>
        </w:rPr>
        <w:t>See</w:t>
      </w:r>
      <w:r w:rsidRPr="009806FE">
        <w:rPr>
          <w:rFonts w:cs="Times New Roman"/>
          <w:sz w:val="20"/>
          <w:szCs w:val="20"/>
        </w:rPr>
        <w:t xml:space="preserve"> CFTC Staff Letter </w:t>
      </w:r>
      <w:r w:rsidR="00B13CE9">
        <w:rPr>
          <w:rFonts w:cs="Times New Roman"/>
          <w:sz w:val="20"/>
          <w:szCs w:val="20"/>
        </w:rPr>
        <w:t>25-21</w:t>
      </w:r>
      <w:r w:rsidRPr="009806FE">
        <w:rPr>
          <w:rFonts w:cs="Times New Roman"/>
          <w:sz w:val="20"/>
          <w:szCs w:val="20"/>
        </w:rPr>
        <w:t xml:space="preserve">, </w:t>
      </w:r>
      <w:r w:rsidRPr="009C4CAD">
        <w:rPr>
          <w:rFonts w:cs="Times New Roman"/>
          <w:i/>
          <w:iCs/>
          <w:sz w:val="20"/>
          <w:szCs w:val="20"/>
        </w:rPr>
        <w:t>available at</w:t>
      </w:r>
      <w:r w:rsidRPr="009806FE">
        <w:rPr>
          <w:rFonts w:cs="Times New Roman"/>
          <w:sz w:val="20"/>
          <w:szCs w:val="20"/>
        </w:rPr>
        <w:t xml:space="preserve"> </w:t>
      </w:r>
      <w:r w:rsidRPr="004013D2" w:rsidR="004013D2">
        <w:rPr>
          <w:sz w:val="20"/>
          <w:szCs w:val="20"/>
        </w:rPr>
        <w:t>https://www.cftc.gov/PressRoom/PressReleases/9095-25</w:t>
      </w:r>
      <w:r w:rsidRPr="009806FE">
        <w:rPr>
          <w:rFonts w:cs="Times New Roman"/>
          <w:sz w:val="20"/>
          <w:szCs w:val="20"/>
        </w:rPr>
        <w:t>.  To date, market participants have never been required to fulfill reporting requirements under Regulation 150.4.</w:t>
      </w:r>
    </w:p>
  </w:footnote>
  <w:footnote w:id="18">
    <w:p w:rsidR="00172C68" w:rsidRPr="009806FE" w:rsidP="00864B48" w14:paraId="6D93F1A7" w14:textId="0A943CA3">
      <w:pPr>
        <w:pStyle w:val="FootnoteText"/>
        <w:spacing w:after="120"/>
        <w:rPr>
          <w:rFonts w:cs="Times New Roman"/>
        </w:rPr>
      </w:pPr>
      <w:r w:rsidRPr="009806FE">
        <w:rPr>
          <w:rStyle w:val="FootnoteReference"/>
          <w:rFonts w:cs="Times New Roman"/>
        </w:rPr>
        <w:footnoteRef/>
      </w:r>
      <w:r w:rsidRPr="009806FE">
        <w:rPr>
          <w:rFonts w:cs="Times New Roman"/>
        </w:rPr>
        <w:t xml:space="preserve"> Since the Commission’s Final Rule eliminates Parts I and II of Form 304, amended Form 304 only refers to existing Part III of that form.  </w:t>
      </w:r>
    </w:p>
  </w:footnote>
  <w:footnote w:id="19">
    <w:p w:rsidR="00DE62CD" w:rsidRPr="009806FE" w:rsidP="00864B48" w14:paraId="58852A27" w14:textId="3BC66ACA">
      <w:pPr>
        <w:pStyle w:val="FootnoteText"/>
        <w:spacing w:after="120"/>
        <w:rPr>
          <w:rFonts w:cs="Times New Roman"/>
        </w:rPr>
      </w:pPr>
      <w:r w:rsidRPr="009806FE">
        <w:rPr>
          <w:rStyle w:val="FootnoteReference"/>
          <w:rFonts w:cs="Times New Roman"/>
        </w:rPr>
        <w:footnoteRef/>
      </w:r>
      <w:r w:rsidRPr="009806FE">
        <w:rPr>
          <w:rFonts w:cs="Times New Roman"/>
        </w:rPr>
        <w:t xml:space="preserve"> 40 weekly Form 304 reports </w:t>
      </w:r>
      <w:r w:rsidR="007B305F">
        <w:rPr>
          <w:rFonts w:cs="Times New Roman"/>
        </w:rPr>
        <w:t>×</w:t>
      </w:r>
      <w:r w:rsidRPr="009806FE">
        <w:rPr>
          <w:rFonts w:cs="Times New Roman"/>
        </w:rPr>
        <w:t xml:space="preserve"> 52 weeks = 208</w:t>
      </w:r>
      <w:r>
        <w:rPr>
          <w:rFonts w:cs="Times New Roman"/>
        </w:rPr>
        <w:t>0</w:t>
      </w:r>
      <w:r w:rsidRPr="009806FE">
        <w:rPr>
          <w:rFonts w:cs="Times New Roman"/>
        </w:rPr>
        <w:t xml:space="preserve"> total annual Form 304 reports.</w:t>
      </w:r>
    </w:p>
  </w:footnote>
  <w:footnote w:id="20">
    <w:p w:rsidR="00172C68" w:rsidRPr="009806FE" w:rsidP="00864B48" w14:paraId="2B84FFF4" w14:textId="45FB984E">
      <w:pPr>
        <w:pStyle w:val="FootnoteText"/>
        <w:spacing w:after="120"/>
        <w:rPr>
          <w:rFonts w:cs="Times New Roman"/>
        </w:rPr>
      </w:pPr>
      <w:r w:rsidRPr="009806FE">
        <w:rPr>
          <w:rStyle w:val="FootnoteReference"/>
          <w:rFonts w:cs="Times New Roman"/>
        </w:rPr>
        <w:footnoteRef/>
      </w:r>
      <w:r w:rsidRPr="009806FE">
        <w:rPr>
          <w:rFonts w:cs="Times New Roman"/>
        </w:rPr>
        <w:t xml:space="preserve"> 2,080 Form 304 reports </w:t>
      </w:r>
      <w:r w:rsidR="007B305F">
        <w:rPr>
          <w:rFonts w:cs="Times New Roman"/>
        </w:rPr>
        <w:t>×</w:t>
      </w:r>
      <w:r w:rsidRPr="009806FE">
        <w:rPr>
          <w:rFonts w:cs="Times New Roman"/>
        </w:rPr>
        <w:t xml:space="preserve"> 0.5 burden hours per report = 1,040 aggregate annual burden hours.</w:t>
      </w:r>
    </w:p>
  </w:footnote>
  <w:footnote w:id="21">
    <w:p w:rsidR="00172C68" w:rsidRPr="009806FE" w:rsidP="00864B48" w14:paraId="4E1B7608" w14:textId="575AAA6B">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is providing a blended rate using estimated industry specific wages for General and Operations Managers, Lawyers and Compliance Officers. Per the </w:t>
      </w:r>
      <w:r>
        <w:rPr>
          <w:rFonts w:cs="Times New Roman"/>
        </w:rPr>
        <w:t>May 202</w:t>
      </w:r>
      <w:r w:rsidR="00C02E11">
        <w:rPr>
          <w:rFonts w:cs="Times New Roman"/>
        </w:rPr>
        <w:t>3</w:t>
      </w:r>
      <w:r>
        <w:rPr>
          <w:rFonts w:cs="Times New Roman"/>
        </w:rPr>
        <w:t xml:space="preserve"> </w:t>
      </w:r>
      <w:r w:rsidRPr="009806FE">
        <w:rPr>
          <w:rFonts w:cs="Times New Roman"/>
        </w:rPr>
        <w:t>B</w:t>
      </w:r>
      <w:r>
        <w:rPr>
          <w:rFonts w:cs="Times New Roman"/>
        </w:rPr>
        <w:t>ureau of Labor Statistics (B</w:t>
      </w:r>
      <w:r w:rsidRPr="009806FE">
        <w:rPr>
          <w:rFonts w:cs="Times New Roman"/>
        </w:rPr>
        <w:t>LS</w:t>
      </w:r>
      <w:r>
        <w:rPr>
          <w:rFonts w:cs="Times New Roman"/>
        </w:rPr>
        <w:t>)</w:t>
      </w:r>
      <w:r w:rsidRPr="009806FE">
        <w:rPr>
          <w:rFonts w:cs="Times New Roman"/>
        </w:rPr>
        <w:t xml:space="preserve">, national industry-specific occupational employment and wage </w:t>
      </w:r>
      <w:r w:rsidRPr="009806FE">
        <w:rPr>
          <w:rFonts w:cs="Times New Roman"/>
        </w:rPr>
        <w:t>estimates</w:t>
      </w:r>
      <w:r w:rsidRPr="009806FE">
        <w:rPr>
          <w:rFonts w:cs="Times New Roman"/>
        </w:rPr>
        <w:t xml:space="preserve"> with data collected from employers in the securities, </w:t>
      </w:r>
      <w:r w:rsidRPr="007D2A46">
        <w:rPr>
          <w:rFonts w:cs="Times New Roman"/>
        </w:rPr>
        <w:t>commodity contracts, and other financial investments and related activities provides that the mean hourly wage for a general and operations manager is $</w:t>
      </w:r>
      <w:r w:rsidRPr="007D2A46" w:rsidR="00C05BA3">
        <w:rPr>
          <w:rFonts w:cs="Times New Roman"/>
        </w:rPr>
        <w:t>109</w:t>
      </w:r>
      <w:r w:rsidRPr="007D2A46">
        <w:rPr>
          <w:rFonts w:cs="Times New Roman"/>
        </w:rPr>
        <w:t>, lawyer is $1</w:t>
      </w:r>
      <w:r w:rsidRPr="007D2A46" w:rsidR="00DA6A43">
        <w:rPr>
          <w:rFonts w:cs="Times New Roman"/>
        </w:rPr>
        <w:t>27</w:t>
      </w:r>
      <w:r w:rsidRPr="007D2A46">
        <w:rPr>
          <w:rFonts w:cs="Times New Roman"/>
        </w:rPr>
        <w:t>, and compliance officer is $45.  The average of those wages is $</w:t>
      </w:r>
      <w:r w:rsidRPr="007D2A46" w:rsidR="00B81016">
        <w:rPr>
          <w:rFonts w:cs="Times New Roman"/>
        </w:rPr>
        <w:t>94</w:t>
      </w:r>
      <w:r w:rsidRPr="007D2A46">
        <w:rPr>
          <w:rFonts w:cs="Times New Roman"/>
        </w:rPr>
        <w:t xml:space="preserve">.  </w:t>
      </w:r>
      <w:r w:rsidRPr="007D2A46">
        <w:rPr>
          <w:rFonts w:cs="Times New Roman"/>
          <w:i/>
        </w:rPr>
        <w:t>See</w:t>
      </w:r>
      <w:r w:rsidRPr="007D2A46">
        <w:rPr>
          <w:rFonts w:cs="Times New Roman"/>
        </w:rPr>
        <w:t xml:space="preserve"> May 202</w:t>
      </w:r>
      <w:r w:rsidRPr="007D2A46" w:rsidR="00B81016">
        <w:rPr>
          <w:rFonts w:cs="Times New Roman"/>
        </w:rPr>
        <w:t>3</w:t>
      </w:r>
      <w:r w:rsidRPr="009806FE">
        <w:rPr>
          <w:rFonts w:cs="Times New Roman"/>
        </w:rPr>
        <w:t xml:space="preserve"> National Industry-Specific Occupational Employment and Wage Estimates, NAICS 523000 - Securities, Commodity Contracts, and Other Financial Investments and Related Activities, </w:t>
      </w:r>
      <w:r w:rsidRPr="009806FE">
        <w:rPr>
          <w:rFonts w:cs="Times New Roman"/>
          <w:i/>
        </w:rPr>
        <w:t>available at</w:t>
      </w:r>
      <w:r w:rsidRPr="009806FE">
        <w:rPr>
          <w:rFonts w:cs="Times New Roman"/>
        </w:rPr>
        <w:t xml:space="preserve">: </w:t>
      </w:r>
      <w:r w:rsidRPr="007D2A46" w:rsidR="007D2A46">
        <w:t>https://www.bls.gov/oes/2023/may/naics3_523000.htm</w:t>
      </w:r>
      <w:r w:rsidRPr="009806FE">
        <w:rPr>
          <w:rFonts w:cs="Times New Roman"/>
        </w:rPr>
        <w:t>.</w:t>
      </w:r>
    </w:p>
  </w:footnote>
  <w:footnote w:id="22">
    <w:p w:rsidR="00172C68" w:rsidRPr="00310767" w:rsidP="00864B48" w14:paraId="01D9B5AB" w14:textId="0E77EFEF">
      <w:pPr>
        <w:pStyle w:val="FootnoteText"/>
        <w:spacing w:after="120"/>
        <w:rPr>
          <w:rFonts w:cs="Times New Roman"/>
        </w:rPr>
      </w:pPr>
      <w:r w:rsidRPr="009806FE">
        <w:rPr>
          <w:rStyle w:val="FootnoteReference"/>
          <w:rFonts w:cs="Times New Roman"/>
        </w:rPr>
        <w:footnoteRef/>
      </w:r>
      <w:r w:rsidRPr="009806FE">
        <w:rPr>
          <w:rFonts w:cs="Times New Roman"/>
        </w:rPr>
        <w:t xml:space="preserve"> For certain information collections, the Commission is providing an industry specific wage for lawyers, who are likely to be primarily responsible for handling certain activities. Per the BLS, national industry-specific occupational employment and wage </w:t>
      </w:r>
      <w:r w:rsidRPr="009806FE">
        <w:rPr>
          <w:rFonts w:cs="Times New Roman"/>
        </w:rPr>
        <w:t>estimates</w:t>
      </w:r>
      <w:r w:rsidRPr="009806FE">
        <w:rPr>
          <w:rFonts w:cs="Times New Roman"/>
        </w:rPr>
        <w:t xml:space="preserve"> with data collected from employers in the </w:t>
      </w:r>
      <w:r w:rsidRPr="00630EE4">
        <w:rPr>
          <w:rFonts w:cs="Times New Roman"/>
        </w:rPr>
        <w:t>securities, commodity contracts, and other financial investments and related activities provides that the mean hourly wage for a lawyer is $1</w:t>
      </w:r>
      <w:r w:rsidRPr="00630EE4" w:rsidR="007D2A46">
        <w:rPr>
          <w:rFonts w:cs="Times New Roman"/>
        </w:rPr>
        <w:t>27</w:t>
      </w:r>
      <w:r w:rsidRPr="00630EE4">
        <w:rPr>
          <w:rFonts w:cs="Times New Roman"/>
        </w:rPr>
        <w:t>.</w:t>
      </w:r>
      <w:r w:rsidRPr="009806FE">
        <w:rPr>
          <w:rFonts w:cs="Times New Roman"/>
        </w:rPr>
        <w:t xml:space="preserve">  </w:t>
      </w:r>
      <w:r w:rsidRPr="009806FE">
        <w:rPr>
          <w:rFonts w:cs="Times New Roman"/>
          <w:i/>
        </w:rPr>
        <w:t>See</w:t>
      </w:r>
      <w:r w:rsidRPr="009806FE">
        <w:rPr>
          <w:rFonts w:cs="Times New Roman"/>
        </w:rPr>
        <w:t xml:space="preserve"> May 202</w:t>
      </w:r>
      <w:r w:rsidR="007D2A46">
        <w:rPr>
          <w:rFonts w:cs="Times New Roman"/>
        </w:rPr>
        <w:t>3</w:t>
      </w:r>
      <w:r w:rsidRPr="009806FE">
        <w:rPr>
          <w:rFonts w:cs="Times New Roman"/>
        </w:rPr>
        <w:t xml:space="preserve"> National Industry-Specific Occupational Employment and Wage Estimates, NAICS 523000 - Securities, Commodity </w:t>
      </w:r>
      <w:r w:rsidRPr="00310767">
        <w:rPr>
          <w:rFonts w:cs="Times New Roman"/>
        </w:rPr>
        <w:t xml:space="preserve">Contracts, and Other Financial Investments and Related Activities, </w:t>
      </w:r>
      <w:r w:rsidRPr="00310767">
        <w:rPr>
          <w:rFonts w:cs="Times New Roman"/>
          <w:i/>
        </w:rPr>
        <w:t>available at</w:t>
      </w:r>
      <w:r w:rsidRPr="00310767">
        <w:rPr>
          <w:rFonts w:cs="Times New Roman"/>
        </w:rPr>
        <w:t xml:space="preserve">: </w:t>
      </w:r>
      <w:r w:rsidRPr="00310767" w:rsidR="007D2A46">
        <w:rPr>
          <w:rFonts w:cs="Times New Roman"/>
        </w:rPr>
        <w:t>https://www.bls.gov/oes/2023/may/naics3_523000.htm</w:t>
      </w:r>
      <w:r w:rsidRPr="00310767">
        <w:rPr>
          <w:rFonts w:cs="Times New Roman"/>
        </w:rPr>
        <w:t>.  As noted in the immediately above footnote, for other information collections, the Commission is providing a blended rate of $</w:t>
      </w:r>
      <w:r w:rsidRPr="00310767" w:rsidR="00FF6E2B">
        <w:rPr>
          <w:rFonts w:cs="Times New Roman"/>
        </w:rPr>
        <w:t>94</w:t>
      </w:r>
      <w:r w:rsidRPr="00310767">
        <w:rPr>
          <w:rFonts w:cs="Times New Roman"/>
        </w:rPr>
        <w:t>.</w:t>
      </w:r>
    </w:p>
  </w:footnote>
  <w:footnote w:id="23">
    <w:p w:rsidR="00172C68" w:rsidRPr="009806FE" w:rsidP="00864B48" w14:paraId="317C6576" w14:textId="1DC79238">
      <w:pPr>
        <w:pStyle w:val="FootnoteText"/>
        <w:spacing w:after="120"/>
        <w:rPr>
          <w:rFonts w:cs="Times New Roman"/>
        </w:rPr>
      </w:pPr>
      <w:r w:rsidRPr="00310767">
        <w:rPr>
          <w:rStyle w:val="FootnoteReference"/>
          <w:rFonts w:cs="Times New Roman"/>
        </w:rPr>
        <w:footnoteRef/>
      </w:r>
      <w:r w:rsidRPr="00310767">
        <w:rPr>
          <w:rFonts w:cs="Times New Roman"/>
        </w:rPr>
        <w:t xml:space="preserve"> </w:t>
      </w:r>
      <w:r w:rsidRPr="009806FE">
        <w:rPr>
          <w:rFonts w:cs="Times New Roman"/>
        </w:rPr>
        <w:t>The Commission anticipates that exchanges that wish to provide an updated methodology for a deliverable supply estimate will do so under Commission Regulation 40.6(a) (self-certification of rules) and pursuant to Appendix C to Part 38 rather than under this information collection.</w:t>
      </w:r>
    </w:p>
  </w:footnote>
  <w:footnote w:id="24">
    <w:p w:rsidR="00172C68" w:rsidRPr="009806FE" w:rsidP="00864B48" w14:paraId="3A324509" w14:textId="53718D2B">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has not received any direct applications under </w:t>
      </w:r>
      <w:r w:rsidR="009C4CAD">
        <w:rPr>
          <w:rFonts w:cs="Times New Roman"/>
        </w:rPr>
        <w:t xml:space="preserve">§ </w:t>
      </w:r>
      <w:r w:rsidRPr="009806FE">
        <w:rPr>
          <w:rFonts w:cs="Times New Roman"/>
        </w:rPr>
        <w:t>150.3(b) nor does the Commission expect to receive any going forward.  The estimated burden hours per response of 20 hours is merely a hypothetical estimate.</w:t>
      </w:r>
    </w:p>
  </w:footnote>
  <w:footnote w:id="25">
    <w:p w:rsidR="00172C68" w:rsidRPr="009806FE" w:rsidP="00864B48" w14:paraId="668E4C64" w14:textId="33AC97F1">
      <w:pPr>
        <w:pStyle w:val="FootnoteText"/>
        <w:spacing w:after="120"/>
      </w:pPr>
      <w:r w:rsidRPr="009806FE">
        <w:rPr>
          <w:rStyle w:val="FootnoteReference"/>
        </w:rPr>
        <w:footnoteRef/>
      </w:r>
      <w:r w:rsidRPr="009806FE">
        <w:t xml:space="preserve"> The Commission’s </w:t>
      </w:r>
      <w:r w:rsidR="009C4CAD">
        <w:t xml:space="preserve">substantive </w:t>
      </w:r>
      <w:r w:rsidRPr="009806FE">
        <w:t>estimates of the information collections related to Regulation 150.4 have not changed from the prior estimates submitted in 202</w:t>
      </w:r>
      <w:r w:rsidR="001E15C9">
        <w:t>3</w:t>
      </w:r>
      <w:r w:rsidRPr="009806FE">
        <w:t xml:space="preserve">.  However, some of the values have changed since the Commission is </w:t>
      </w:r>
      <w:r w:rsidR="009C4CAD">
        <w:t xml:space="preserve">now </w:t>
      </w:r>
      <w:r w:rsidRPr="009806FE">
        <w:t xml:space="preserve">rounding to the first decimal </w:t>
      </w:r>
      <w:r w:rsidR="009C4CAD">
        <w:t>point</w:t>
      </w:r>
      <w:r w:rsidRPr="009806FE">
        <w:t xml:space="preserve">.  The Commission notes that the information collections contained in Regulation 150.4 are subject to </w:t>
      </w:r>
      <w:r w:rsidR="003776EC">
        <w:t>n</w:t>
      </w:r>
      <w:r w:rsidRPr="009806FE">
        <w:t>o-</w:t>
      </w:r>
      <w:r w:rsidR="003776EC">
        <w:t>a</w:t>
      </w:r>
      <w:r w:rsidRPr="009806FE">
        <w:t xml:space="preserve">ction </w:t>
      </w:r>
      <w:r w:rsidR="009C4CAD">
        <w:t>l</w:t>
      </w:r>
      <w:r w:rsidRPr="009806FE">
        <w:t>etter</w:t>
      </w:r>
      <w:r w:rsidR="009C4CAD">
        <w:t xml:space="preserve"> 25-21</w:t>
      </w:r>
      <w:r w:rsidRPr="009806FE">
        <w:t xml:space="preserve">, so these estimates are hypothetical </w:t>
      </w:r>
      <w:r w:rsidR="009C4CAD">
        <w:t>as</w:t>
      </w:r>
      <w:r w:rsidRPr="009806FE" w:rsidR="009C4CAD">
        <w:t xml:space="preserve"> </w:t>
      </w:r>
      <w:r w:rsidRPr="009806FE">
        <w:t xml:space="preserve">market participants </w:t>
      </w:r>
      <w:r w:rsidR="009C4CAD">
        <w:t>this</w:t>
      </w:r>
      <w:r w:rsidRPr="009806FE">
        <w:t xml:space="preserve"> information to the Commission.  Further, the Commission notes that the associated costs have changed since the Commission is now applying the same blended rate to this item that it has used for the other information collections in the Final Rule.  </w:t>
      </w:r>
    </w:p>
  </w:footnote>
  <w:footnote w:id="26">
    <w:p w:rsidR="00172C68" w:rsidRPr="009806FE" w:rsidP="00864B48" w14:paraId="50AE2074" w14:textId="495DDC3E">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stated in the preamble to Final Rule that the Commission did not anticipate many market participants applying for non-enumerated bona fide hedge exemptions since the Final Rule, among other things, expanded the list of enumerated bona fide hedge exemptions.  To-date, the Commission is unaware of a single application submitted for a non-enumerated bona fide hedge exemption.  </w:t>
      </w:r>
    </w:p>
  </w:footnote>
  <w:footnote w:id="27">
    <w:p w:rsidR="00172C68" w:rsidRPr="009806FE" w:rsidP="00864B48" w14:paraId="6BDC299E" w14:textId="5F3D1048">
      <w:pPr>
        <w:pStyle w:val="FootnoteText"/>
        <w:spacing w:after="120"/>
        <w:rPr>
          <w:rFonts w:cs="Times New Roman"/>
        </w:rPr>
      </w:pPr>
      <w:r w:rsidRPr="009806FE">
        <w:rPr>
          <w:rStyle w:val="FootnoteReference"/>
          <w:rFonts w:cs="Times New Roman"/>
        </w:rPr>
        <w:footnoteRef/>
      </w:r>
      <w:r w:rsidRPr="009806FE">
        <w:rPr>
          <w:rFonts w:cs="Times New Roman"/>
        </w:rPr>
        <w:t xml:space="preserve"> The estimated burden hours per response of 0.5 hours is merely a hypothetical estimate and is not intended to imply that the Commission anticipates receiving an information collection under Commission Regulation 150.9.</w:t>
      </w:r>
    </w:p>
  </w:footnote>
  <w:footnote w:id="28">
    <w:p w:rsidR="00172C68" w:rsidRPr="009806FE" w:rsidP="00864B48" w14:paraId="36A9107B" w14:textId="53AF1FD8">
      <w:pPr>
        <w:pStyle w:val="FootnoteText"/>
        <w:spacing w:after="120"/>
        <w:rPr>
          <w:rFonts w:cs="Times New Roman"/>
        </w:rPr>
      </w:pPr>
      <w:r w:rsidRPr="009806FE">
        <w:rPr>
          <w:rStyle w:val="FootnoteReference"/>
          <w:rFonts w:cs="Times New Roman"/>
        </w:rPr>
        <w:footnoteRef/>
      </w:r>
      <w:r w:rsidRPr="009806FE">
        <w:rPr>
          <w:rFonts w:cs="Times New Roman"/>
        </w:rPr>
        <w:t xml:space="preserve"> In addition to submitting a copy of any exchange-approved non-enumerated bona fide hedge application to the Commission under § 150.9(e)(1), the preamble to the Final Rule clarifies that an exchange may, on a voluntary basis, send the Commission an advance courtesy copy of the non-enumerated bona fide hedge application when the exchange first receives it from the applicant.  This row represents this possible voluntary information collection.  Additionally, the Commission notes that this information collection was incorrectly listed as a “recordkeeping” burden in the </w:t>
      </w:r>
      <w:r w:rsidRPr="009806FE">
        <w:rPr>
          <w:rFonts w:cs="Times New Roman"/>
        </w:rPr>
        <w:t>previously-submitted</w:t>
      </w:r>
      <w:r w:rsidRPr="009806FE">
        <w:rPr>
          <w:rFonts w:cs="Times New Roman"/>
        </w:rPr>
        <w:t xml:space="preserve"> Supporting Statement.</w:t>
      </w:r>
    </w:p>
  </w:footnote>
  <w:footnote w:id="29">
    <w:p w:rsidR="00631958" w:rsidRPr="009806FE" w:rsidP="00864B48" w14:paraId="4DE11D0B" w14:textId="6B5BF0EA">
      <w:pPr>
        <w:pStyle w:val="FootnoteText"/>
        <w:spacing w:after="120"/>
        <w:rPr>
          <w:rFonts w:cs="Times New Roman"/>
        </w:rPr>
      </w:pPr>
      <w:r w:rsidRPr="009806FE">
        <w:rPr>
          <w:rStyle w:val="FootnoteReference"/>
          <w:rFonts w:cs="Times New Roman"/>
        </w:rPr>
        <w:footnoteRef/>
      </w:r>
      <w:r w:rsidRPr="009806FE">
        <w:rPr>
          <w:rFonts w:cs="Times New Roman"/>
        </w:rPr>
        <w:t xml:space="preserve"> The estimated burden hours per response of 0.08 hours is merely a hypothetical estimate and is not intended to imply that the Commission anticipates receiving an information collection under Commission Regulation 150.9.</w:t>
      </w:r>
    </w:p>
  </w:footnote>
  <w:footnote w:id="30">
    <w:p w:rsidR="00172C68" w:rsidRPr="009806FE" w:rsidP="00864B48" w14:paraId="429C824E" w14:textId="47690C2A">
      <w:pPr>
        <w:pStyle w:val="FootnoteText"/>
        <w:spacing w:after="120"/>
        <w:rPr>
          <w:rFonts w:cs="Times New Roman"/>
        </w:rPr>
      </w:pPr>
      <w:r w:rsidRPr="009806FE">
        <w:rPr>
          <w:rStyle w:val="FootnoteReference"/>
          <w:rFonts w:cs="Times New Roman"/>
        </w:rPr>
        <w:footnoteRef/>
      </w:r>
      <w:r w:rsidRPr="009806FE">
        <w:rPr>
          <w:rFonts w:cs="Times New Roman"/>
        </w:rPr>
        <w:t xml:space="preserve"> The values in this row are determined by adding the values of the same column in all the rows above rather than multiplying the cells in this row (</w:t>
      </w:r>
      <w:r w:rsidRPr="009806FE">
        <w:rPr>
          <w:rFonts w:cs="Times New Roman"/>
          <w:i/>
        </w:rPr>
        <w:t>e.g.</w:t>
      </w:r>
      <w:r w:rsidRPr="009806FE">
        <w:rPr>
          <w:rFonts w:cs="Times New Roman"/>
        </w:rPr>
        <w:t>, the value in column 8 in this row is found by summing the values in this column in all the above rows rather than multiplying cells 2 and 3 in this row).</w:t>
      </w:r>
    </w:p>
  </w:footnote>
  <w:footnote w:id="31">
    <w:p w:rsidR="00FA1C85" w:rsidP="00864B48" w14:paraId="2B149A18" w14:textId="7FCB5397">
      <w:pPr>
        <w:pStyle w:val="FootnoteText"/>
        <w:spacing w:after="120"/>
      </w:pPr>
      <w:r>
        <w:rPr>
          <w:rStyle w:val="FootnoteReference"/>
        </w:rPr>
        <w:footnoteRef/>
      </w:r>
      <w:r>
        <w:t xml:space="preserve"> The rule imposes specific recordkeeping requirements, but which only apply to 306 out of the 776 respondents.  For the avoidance of doubt, these 306 respondents identified in this recordkeeping burdens table are part of the 776 respondents counted in the recordkeeping burdens table and do not represent additional or different respondents.  Accordingly, the total number of respondents affected under the OMB control number is 776 respondents. There are no specific recordkeeping requirements for the remaining 470 respondents identified in the reporting burdens table (776 respondents – 306 respondents = 470 respondents).</w:t>
      </w:r>
    </w:p>
  </w:footnote>
  <w:footnote w:id="32">
    <w:p w:rsidR="00FA1C85" w:rsidRPr="009806FE" w:rsidP="00864B48" w14:paraId="4C855A8C" w14:textId="795EF4D1">
      <w:pPr>
        <w:pStyle w:val="FootnoteText"/>
        <w:spacing w:after="120"/>
        <w:rPr>
          <w:rFonts w:cs="Times New Roman"/>
        </w:rPr>
      </w:pPr>
      <w:r w:rsidRPr="009806FE">
        <w:rPr>
          <w:rStyle w:val="FootnoteReference"/>
          <w:rFonts w:cs="Times New Roman"/>
        </w:rPr>
        <w:footnoteRef/>
      </w:r>
      <w:r w:rsidRPr="009806FE">
        <w:rPr>
          <w:rFonts w:cs="Times New Roman"/>
        </w:rPr>
        <w:t xml:space="preserve"> The Commission is providing a blended rate using estimated industry specific wages for General and Operations Managers, Lawyers and Compliance Officers. Per the BLS, national industry-specific occupational employment and wage </w:t>
      </w:r>
      <w:r w:rsidRPr="009806FE">
        <w:rPr>
          <w:rFonts w:cs="Times New Roman"/>
        </w:rPr>
        <w:t>estimates</w:t>
      </w:r>
      <w:r w:rsidRPr="009806FE">
        <w:rPr>
          <w:rFonts w:cs="Times New Roman"/>
        </w:rPr>
        <w:t xml:space="preserve"> with data collected from employers in the securities, commodity contracts, and other financial investments and related activities provides that the mean hourly wage for a general and operations manager is $</w:t>
      </w:r>
      <w:r w:rsidR="004E0E59">
        <w:rPr>
          <w:rFonts w:cs="Times New Roman"/>
        </w:rPr>
        <w:t>109</w:t>
      </w:r>
      <w:r w:rsidRPr="009806FE">
        <w:rPr>
          <w:rFonts w:cs="Times New Roman"/>
        </w:rPr>
        <w:t>, lawyer is $1</w:t>
      </w:r>
      <w:r w:rsidR="00557EB2">
        <w:rPr>
          <w:rFonts w:cs="Times New Roman"/>
        </w:rPr>
        <w:t>27</w:t>
      </w:r>
      <w:r w:rsidRPr="009806FE">
        <w:rPr>
          <w:rFonts w:cs="Times New Roman"/>
        </w:rPr>
        <w:t>, and compliance officer is $45.  The average of those wages is $</w:t>
      </w:r>
      <w:r w:rsidR="004E0E59">
        <w:rPr>
          <w:rFonts w:cs="Times New Roman"/>
        </w:rPr>
        <w:t>94</w:t>
      </w:r>
      <w:r w:rsidRPr="009806FE">
        <w:rPr>
          <w:rFonts w:cs="Times New Roman"/>
        </w:rPr>
        <w:t xml:space="preserve">.  </w:t>
      </w:r>
      <w:r w:rsidRPr="009806FE">
        <w:rPr>
          <w:rFonts w:cs="Times New Roman"/>
          <w:i/>
        </w:rPr>
        <w:t>See</w:t>
      </w:r>
      <w:r w:rsidRPr="009806FE">
        <w:rPr>
          <w:rFonts w:cs="Times New Roman"/>
        </w:rPr>
        <w:t xml:space="preserve"> May 202</w:t>
      </w:r>
      <w:r w:rsidR="004E0E59">
        <w:rPr>
          <w:rFonts w:cs="Times New Roman"/>
        </w:rPr>
        <w:t>3</w:t>
      </w:r>
      <w:r w:rsidRPr="009806FE">
        <w:rPr>
          <w:rFonts w:cs="Times New Roman"/>
        </w:rPr>
        <w:t xml:space="preserve"> National Industry-Specific Occupational Employment and Wage Estimates, NAICS 523000 - Securities, Commodity Contracts, and Other Financial Investments and Related Activities, </w:t>
      </w:r>
      <w:r w:rsidRPr="009806FE">
        <w:rPr>
          <w:rFonts w:cs="Times New Roman"/>
          <w:i/>
        </w:rPr>
        <w:t>available at</w:t>
      </w:r>
      <w:r w:rsidRPr="009806FE">
        <w:rPr>
          <w:rFonts w:cs="Times New Roman"/>
        </w:rPr>
        <w:t xml:space="preserve">: </w:t>
      </w:r>
      <w:r w:rsidRPr="004E0E59" w:rsidR="004E0E59">
        <w:t>https://www.bls.gov/oes/2023/may/naics3_523000.htm</w:t>
      </w:r>
    </w:p>
  </w:footnote>
  <w:footnote w:id="33">
    <w:p w:rsidR="00172C68" w:rsidRPr="009806FE" w:rsidP="00864B48" w14:paraId="3CF933C0" w14:textId="0F3D543F">
      <w:pPr>
        <w:pStyle w:val="FootnoteText"/>
        <w:spacing w:after="120"/>
        <w:rPr>
          <w:rFonts w:cs="Times New Roman"/>
        </w:rPr>
      </w:pPr>
      <w:r w:rsidRPr="009806FE">
        <w:rPr>
          <w:rStyle w:val="FootnoteReference"/>
          <w:rFonts w:cs="Times New Roman"/>
        </w:rPr>
        <w:footnoteRef/>
      </w:r>
      <w:r w:rsidRPr="009806FE">
        <w:rPr>
          <w:rFonts w:cs="Times New Roman"/>
        </w:rPr>
        <w:t xml:space="preserve"> The estimated burden hours per response of 5 hours is merely a hypothetical estimate and is not intended to imply that the Commission anticipates receiving an information collection under Commission Regulation 150.9.</w:t>
      </w:r>
    </w:p>
  </w:footnote>
  <w:footnote w:id="34">
    <w:p w:rsidR="00FA1C85" w:rsidRPr="009806FE" w:rsidP="00864B48" w14:paraId="7B2423DD" w14:textId="246665B0">
      <w:pPr>
        <w:pStyle w:val="FootnoteText"/>
        <w:spacing w:after="120"/>
        <w:rPr>
          <w:rFonts w:cs="Times New Roman"/>
        </w:rPr>
      </w:pPr>
      <w:r w:rsidRPr="009806FE">
        <w:rPr>
          <w:rStyle w:val="FootnoteReference"/>
          <w:rFonts w:cs="Times New Roman"/>
        </w:rPr>
        <w:footnoteRef/>
      </w:r>
      <w:r w:rsidRPr="009806FE">
        <w:rPr>
          <w:rFonts w:cs="Times New Roman"/>
        </w:rPr>
        <w:t xml:space="preserve"> Regulation 150.9(d)(1) requires the exchange to keep full, complete, and systematic records, which include all pertinent data and memoranda, of all activities relating to the processing of such applications and the disposition thereof.  This requirement working in concert with § 1.31 via Regulation 150.9(d)(2) allows the Commission to inspect any such records.  As noted in connection with other information collections under Regulation 150.9, the Commission does not anticipate any information collections under this item.</w:t>
      </w:r>
    </w:p>
  </w:footnote>
  <w:footnote w:id="35">
    <w:p w:rsidR="00FA1C85" w:rsidRPr="009806FE" w:rsidP="00864B48" w14:paraId="4B0FAAD0" w14:textId="3D1BE316">
      <w:pPr>
        <w:pStyle w:val="FootnoteText"/>
        <w:spacing w:after="120"/>
        <w:rPr>
          <w:rFonts w:cs="Times New Roman"/>
        </w:rPr>
      </w:pPr>
      <w:r w:rsidRPr="009806FE">
        <w:rPr>
          <w:rStyle w:val="FootnoteReference"/>
          <w:rFonts w:cs="Times New Roman"/>
        </w:rPr>
        <w:footnoteRef/>
      </w:r>
      <w:r w:rsidRPr="009806FE">
        <w:rPr>
          <w:rFonts w:cs="Times New Roman"/>
        </w:rPr>
        <w:t xml:space="preserve"> The estimated burden hours per response of 8 hours is merely a hypothetical estimate and is not intended to imply that the Commission anticipates receiving an information collection under Commission Regulation 150.9.</w:t>
      </w:r>
    </w:p>
  </w:footnote>
  <w:footnote w:id="36">
    <w:p w:rsidR="00FA1C85" w:rsidRPr="009806FE" w:rsidP="00864B48" w14:paraId="592DA603" w14:textId="23AB04FC">
      <w:pPr>
        <w:pStyle w:val="FootnoteText"/>
        <w:spacing w:after="120"/>
        <w:rPr>
          <w:rFonts w:cs="Times New Roman"/>
        </w:rPr>
      </w:pPr>
      <w:r w:rsidRPr="009806FE">
        <w:rPr>
          <w:rStyle w:val="FootnoteReference"/>
          <w:rFonts w:cs="Times New Roman"/>
        </w:rPr>
        <w:footnoteRef/>
      </w:r>
      <w:r w:rsidRPr="009806FE">
        <w:rPr>
          <w:rFonts w:cs="Times New Roman"/>
        </w:rPr>
        <w:t xml:space="preserve"> The values in this row are determined by adding the values of the same column in all the rows above rather than multiplying the cells in this row (</w:t>
      </w:r>
      <w:r w:rsidRPr="009806FE">
        <w:rPr>
          <w:rFonts w:cs="Times New Roman"/>
          <w:i/>
        </w:rPr>
        <w:t>e.g.</w:t>
      </w:r>
      <w:r w:rsidRPr="009806FE">
        <w:rPr>
          <w:rFonts w:cs="Times New Roman"/>
        </w:rPr>
        <w:t>, the value in column 8 in this row is found by summing the values in this column in all the above rows rather than multiplying cells 2 and 3 in this row).</w:t>
      </w:r>
    </w:p>
  </w:footnote>
  <w:footnote w:id="37">
    <w:p w:rsidR="00172C68" w:rsidRPr="009806FE" w:rsidP="00864B48" w14:paraId="29FF3EA8" w14:textId="77E12CA7">
      <w:pPr>
        <w:spacing w:after="120"/>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E933ACD" w14:textId="77777777" w:rsidTr="0028300D">
      <w:tblPrEx>
        <w:tblW w:w="0" w:type="auto"/>
        <w:tblLayout w:type="fixed"/>
        <w:tblLook w:val="06A0"/>
      </w:tblPrEx>
      <w:tc>
        <w:tcPr>
          <w:tcW w:w="3120" w:type="dxa"/>
        </w:tcPr>
        <w:p w:rsidR="00172C68" w:rsidP="0028300D" w14:paraId="2A73D829" w14:textId="362155A6">
          <w:pPr>
            <w:pStyle w:val="Header"/>
            <w:ind w:left="-115"/>
            <w:rPr>
              <w:rFonts w:eastAsia="Calibri"/>
              <w:szCs w:val="24"/>
            </w:rPr>
          </w:pPr>
        </w:p>
      </w:tc>
      <w:tc>
        <w:tcPr>
          <w:tcW w:w="3120" w:type="dxa"/>
        </w:tcPr>
        <w:p w:rsidR="00172C68" w:rsidP="0028300D" w14:paraId="487194B3" w14:textId="1CE469E8">
          <w:pPr>
            <w:pStyle w:val="Header"/>
            <w:jc w:val="center"/>
            <w:rPr>
              <w:rFonts w:eastAsia="Calibri"/>
              <w:szCs w:val="24"/>
            </w:rPr>
          </w:pPr>
        </w:p>
      </w:tc>
      <w:tc>
        <w:tcPr>
          <w:tcW w:w="3120" w:type="dxa"/>
        </w:tcPr>
        <w:p w:rsidR="00172C68" w:rsidP="0028300D" w14:paraId="4588C558" w14:textId="1E20E95E">
          <w:pPr>
            <w:pStyle w:val="Header"/>
            <w:ind w:right="-115"/>
            <w:jc w:val="right"/>
            <w:rPr>
              <w:rFonts w:eastAsia="Calibri"/>
              <w:szCs w:val="24"/>
            </w:rPr>
          </w:pPr>
        </w:p>
      </w:tc>
    </w:tr>
  </w:tbl>
  <w:p w:rsidR="00172C68" w:rsidRPr="0028300D" w:rsidP="00864B48" w14:paraId="04BB3B00" w14:textId="7CA38EC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4185E"/>
    <w:multiLevelType w:val="hybridMultilevel"/>
    <w:tmpl w:val="B2EC792C"/>
    <w:lvl w:ilvl="0">
      <w:start w:val="1"/>
      <w:numFmt w:val="upperLetter"/>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9257C8"/>
    <w:multiLevelType w:val="hybridMultilevel"/>
    <w:tmpl w:val="BA083330"/>
    <w:lvl w:ilvl="0">
      <w:start w:val="1"/>
      <w:numFmt w:val="upperLetter"/>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F2F1A"/>
    <w:multiLevelType w:val="hybridMultilevel"/>
    <w:tmpl w:val="4A2CE0E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3F66744"/>
    <w:multiLevelType w:val="hybridMultilevel"/>
    <w:tmpl w:val="D78CAA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B186B"/>
    <w:multiLevelType w:val="hybridMultilevel"/>
    <w:tmpl w:val="D78CAA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523AE"/>
    <w:multiLevelType w:val="hybridMultilevel"/>
    <w:tmpl w:val="07FE0FB2"/>
    <w:lvl w:ilvl="0">
      <w:start w:val="3"/>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0491"/>
    <w:multiLevelType w:val="hybridMultilevel"/>
    <w:tmpl w:val="5B728A6C"/>
    <w:lvl w:ilvl="0">
      <w:start w:val="1"/>
      <w:numFmt w:val="upperLetter"/>
      <w:lvlText w:val="%1."/>
      <w:lvlJc w:val="left"/>
      <w:pPr>
        <w:ind w:left="720" w:hanging="360"/>
      </w:pPr>
    </w:lvl>
    <w:lvl w:ilvl="1">
      <w:start w:val="1"/>
      <w:numFmt w:val="lowerRoman"/>
      <w:lvlText w:val="%2."/>
      <w:lvlJc w:val="righ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365276"/>
    <w:multiLevelType w:val="hybridMultilevel"/>
    <w:tmpl w:val="8D384642"/>
    <w:lvl w:ilvl="0">
      <w:start w:val="3"/>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825DF7"/>
    <w:multiLevelType w:val="hybridMultilevel"/>
    <w:tmpl w:val="627C9A0E"/>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AD1FEC"/>
    <w:multiLevelType w:val="hybridMultilevel"/>
    <w:tmpl w:val="627C9A0E"/>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2881A3"/>
    <w:multiLevelType w:val="hybridMultilevel"/>
    <w:tmpl w:val="78A25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79115C"/>
    <w:multiLevelType w:val="hybridMultilevel"/>
    <w:tmpl w:val="4B2C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511A8"/>
    <w:multiLevelType w:val="hybridMultilevel"/>
    <w:tmpl w:val="BF48B9C4"/>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14436E"/>
    <w:multiLevelType w:val="hybridMultilevel"/>
    <w:tmpl w:val="036CAB1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322390"/>
    <w:multiLevelType w:val="hybridMultilevel"/>
    <w:tmpl w:val="2940E292"/>
    <w:lvl w:ilvl="0">
      <w:start w:val="3"/>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6338D5"/>
    <w:multiLevelType w:val="hybridMultilevel"/>
    <w:tmpl w:val="627C9A0E"/>
    <w:lvl w:ilvl="0">
      <w:start w:val="1"/>
      <w:numFmt w:val="upp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C33F2A"/>
    <w:multiLevelType w:val="hybridMultilevel"/>
    <w:tmpl w:val="F5DA2ED4"/>
    <w:lvl w:ilvl="0">
      <w:start w:val="1"/>
      <w:numFmt w:val="bullet"/>
      <w:lvlText w:val="•"/>
      <w:lvlJc w:val="left"/>
      <w:pPr>
        <w:tabs>
          <w:tab w:val="num" w:pos="936"/>
        </w:tabs>
        <w:ind w:left="936" w:hanging="216"/>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F544031"/>
    <w:multiLevelType w:val="hybridMultilevel"/>
    <w:tmpl w:val="95B0EC0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BA58C4"/>
    <w:multiLevelType w:val="hybridMultilevel"/>
    <w:tmpl w:val="55FC3A24"/>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9791038">
    <w:abstractNumId w:val="10"/>
  </w:num>
  <w:num w:numId="2" w16cid:durableId="615450370">
    <w:abstractNumId w:val="16"/>
  </w:num>
  <w:num w:numId="3" w16cid:durableId="578560063">
    <w:abstractNumId w:val="12"/>
  </w:num>
  <w:num w:numId="4" w16cid:durableId="313533168">
    <w:abstractNumId w:val="13"/>
  </w:num>
  <w:num w:numId="5" w16cid:durableId="824660168">
    <w:abstractNumId w:val="3"/>
  </w:num>
  <w:num w:numId="6" w16cid:durableId="1727800408">
    <w:abstractNumId w:val="6"/>
  </w:num>
  <w:num w:numId="7" w16cid:durableId="1997956824">
    <w:abstractNumId w:val="4"/>
  </w:num>
  <w:num w:numId="8" w16cid:durableId="368266669">
    <w:abstractNumId w:val="15"/>
  </w:num>
  <w:num w:numId="9" w16cid:durableId="1664553636">
    <w:abstractNumId w:val="0"/>
  </w:num>
  <w:num w:numId="10" w16cid:durableId="428351808">
    <w:abstractNumId w:val="8"/>
  </w:num>
  <w:num w:numId="11" w16cid:durableId="735128274">
    <w:abstractNumId w:val="9"/>
  </w:num>
  <w:num w:numId="12" w16cid:durableId="2142455324">
    <w:abstractNumId w:val="2"/>
  </w:num>
  <w:num w:numId="13" w16cid:durableId="1876262315">
    <w:abstractNumId w:val="18"/>
  </w:num>
  <w:num w:numId="14" w16cid:durableId="1897350240">
    <w:abstractNumId w:val="17"/>
  </w:num>
  <w:num w:numId="15" w16cid:durableId="1064455353">
    <w:abstractNumId w:val="1"/>
  </w:num>
  <w:num w:numId="16" w16cid:durableId="1111045270">
    <w:abstractNumId w:val="7"/>
  </w:num>
  <w:num w:numId="17" w16cid:durableId="718747240">
    <w:abstractNumId w:val="14"/>
  </w:num>
  <w:num w:numId="18" w16cid:durableId="602031433">
    <w:abstractNumId w:val="5"/>
  </w:num>
  <w:num w:numId="19" w16cid:durableId="1724056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0F3A"/>
    <w:rsid w:val="00002391"/>
    <w:rsid w:val="0000255C"/>
    <w:rsid w:val="00007547"/>
    <w:rsid w:val="000105B4"/>
    <w:rsid w:val="00010EA6"/>
    <w:rsid w:val="000110B9"/>
    <w:rsid w:val="0001139B"/>
    <w:rsid w:val="0001216F"/>
    <w:rsid w:val="00013518"/>
    <w:rsid w:val="000135EA"/>
    <w:rsid w:val="00014D2F"/>
    <w:rsid w:val="00015BE2"/>
    <w:rsid w:val="00020DE8"/>
    <w:rsid w:val="000216FE"/>
    <w:rsid w:val="000224F4"/>
    <w:rsid w:val="000227A8"/>
    <w:rsid w:val="000233E3"/>
    <w:rsid w:val="000259AB"/>
    <w:rsid w:val="00025D93"/>
    <w:rsid w:val="00025E5D"/>
    <w:rsid w:val="00030184"/>
    <w:rsid w:val="00030BA4"/>
    <w:rsid w:val="00032ADE"/>
    <w:rsid w:val="000346B2"/>
    <w:rsid w:val="000351BE"/>
    <w:rsid w:val="00035602"/>
    <w:rsid w:val="000356C5"/>
    <w:rsid w:val="00036389"/>
    <w:rsid w:val="00036CF0"/>
    <w:rsid w:val="0003798D"/>
    <w:rsid w:val="00037B3E"/>
    <w:rsid w:val="00040090"/>
    <w:rsid w:val="00042D08"/>
    <w:rsid w:val="000509D9"/>
    <w:rsid w:val="000511B1"/>
    <w:rsid w:val="000511D5"/>
    <w:rsid w:val="0005191D"/>
    <w:rsid w:val="00051A84"/>
    <w:rsid w:val="000520AA"/>
    <w:rsid w:val="00052496"/>
    <w:rsid w:val="0005285D"/>
    <w:rsid w:val="00052CC1"/>
    <w:rsid w:val="00054FB9"/>
    <w:rsid w:val="00055A67"/>
    <w:rsid w:val="000573ED"/>
    <w:rsid w:val="000576BF"/>
    <w:rsid w:val="00057B62"/>
    <w:rsid w:val="00060FB7"/>
    <w:rsid w:val="00062486"/>
    <w:rsid w:val="0006467D"/>
    <w:rsid w:val="00065485"/>
    <w:rsid w:val="00066304"/>
    <w:rsid w:val="00070004"/>
    <w:rsid w:val="00070575"/>
    <w:rsid w:val="000709B0"/>
    <w:rsid w:val="00072761"/>
    <w:rsid w:val="000728D4"/>
    <w:rsid w:val="00072CC9"/>
    <w:rsid w:val="00072D13"/>
    <w:rsid w:val="000730F8"/>
    <w:rsid w:val="00073652"/>
    <w:rsid w:val="00075C93"/>
    <w:rsid w:val="0007618D"/>
    <w:rsid w:val="000803D6"/>
    <w:rsid w:val="00082B76"/>
    <w:rsid w:val="00082C02"/>
    <w:rsid w:val="000835FF"/>
    <w:rsid w:val="00083F72"/>
    <w:rsid w:val="00084BC1"/>
    <w:rsid w:val="00084E9D"/>
    <w:rsid w:val="000851CB"/>
    <w:rsid w:val="00085C1D"/>
    <w:rsid w:val="000872F5"/>
    <w:rsid w:val="00090643"/>
    <w:rsid w:val="00090B7C"/>
    <w:rsid w:val="00091B2A"/>
    <w:rsid w:val="00091C27"/>
    <w:rsid w:val="00092ADF"/>
    <w:rsid w:val="00093330"/>
    <w:rsid w:val="000946DB"/>
    <w:rsid w:val="0009601F"/>
    <w:rsid w:val="000A0648"/>
    <w:rsid w:val="000A107E"/>
    <w:rsid w:val="000A137A"/>
    <w:rsid w:val="000A3181"/>
    <w:rsid w:val="000A3815"/>
    <w:rsid w:val="000A46F0"/>
    <w:rsid w:val="000A5A5E"/>
    <w:rsid w:val="000A5C43"/>
    <w:rsid w:val="000A61FC"/>
    <w:rsid w:val="000A63E8"/>
    <w:rsid w:val="000A6501"/>
    <w:rsid w:val="000A6BEF"/>
    <w:rsid w:val="000B102C"/>
    <w:rsid w:val="000B282E"/>
    <w:rsid w:val="000B36F3"/>
    <w:rsid w:val="000B4144"/>
    <w:rsid w:val="000B562B"/>
    <w:rsid w:val="000B6EBD"/>
    <w:rsid w:val="000B73E4"/>
    <w:rsid w:val="000B74E4"/>
    <w:rsid w:val="000C0946"/>
    <w:rsid w:val="000C1927"/>
    <w:rsid w:val="000C3307"/>
    <w:rsid w:val="000C379D"/>
    <w:rsid w:val="000C49AC"/>
    <w:rsid w:val="000C5F9D"/>
    <w:rsid w:val="000C6972"/>
    <w:rsid w:val="000C6B79"/>
    <w:rsid w:val="000C7BA2"/>
    <w:rsid w:val="000E030F"/>
    <w:rsid w:val="000E0987"/>
    <w:rsid w:val="000E106C"/>
    <w:rsid w:val="000E208D"/>
    <w:rsid w:val="000E6A45"/>
    <w:rsid w:val="000EA76F"/>
    <w:rsid w:val="000F0799"/>
    <w:rsid w:val="000F15C2"/>
    <w:rsid w:val="000F35B5"/>
    <w:rsid w:val="000F3FA0"/>
    <w:rsid w:val="000F5595"/>
    <w:rsid w:val="000F6853"/>
    <w:rsid w:val="0010057E"/>
    <w:rsid w:val="0010127A"/>
    <w:rsid w:val="0010470A"/>
    <w:rsid w:val="00105161"/>
    <w:rsid w:val="001058EE"/>
    <w:rsid w:val="00105B11"/>
    <w:rsid w:val="001070A0"/>
    <w:rsid w:val="00107C5F"/>
    <w:rsid w:val="001125C0"/>
    <w:rsid w:val="00113842"/>
    <w:rsid w:val="00114BF9"/>
    <w:rsid w:val="001150B2"/>
    <w:rsid w:val="00116F58"/>
    <w:rsid w:val="00116FC7"/>
    <w:rsid w:val="001171CD"/>
    <w:rsid w:val="0012080B"/>
    <w:rsid w:val="0012146D"/>
    <w:rsid w:val="00122115"/>
    <w:rsid w:val="00122E94"/>
    <w:rsid w:val="001233A4"/>
    <w:rsid w:val="001242A4"/>
    <w:rsid w:val="00124B5A"/>
    <w:rsid w:val="001251C3"/>
    <w:rsid w:val="00126850"/>
    <w:rsid w:val="00127C62"/>
    <w:rsid w:val="00130C80"/>
    <w:rsid w:val="0013276F"/>
    <w:rsid w:val="00132D6A"/>
    <w:rsid w:val="00134842"/>
    <w:rsid w:val="00134D63"/>
    <w:rsid w:val="00136031"/>
    <w:rsid w:val="0013647D"/>
    <w:rsid w:val="001371B0"/>
    <w:rsid w:val="0013740B"/>
    <w:rsid w:val="00137724"/>
    <w:rsid w:val="00137F2B"/>
    <w:rsid w:val="00140B5E"/>
    <w:rsid w:val="001414D1"/>
    <w:rsid w:val="00141AA3"/>
    <w:rsid w:val="00141CC0"/>
    <w:rsid w:val="00141D5A"/>
    <w:rsid w:val="00142131"/>
    <w:rsid w:val="00143919"/>
    <w:rsid w:val="00143D00"/>
    <w:rsid w:val="00144370"/>
    <w:rsid w:val="001453A0"/>
    <w:rsid w:val="00147608"/>
    <w:rsid w:val="00147EA8"/>
    <w:rsid w:val="0015223C"/>
    <w:rsid w:val="001542B9"/>
    <w:rsid w:val="00154D5D"/>
    <w:rsid w:val="00155BB5"/>
    <w:rsid w:val="001567B9"/>
    <w:rsid w:val="001577B2"/>
    <w:rsid w:val="0016099B"/>
    <w:rsid w:val="00160D03"/>
    <w:rsid w:val="00165300"/>
    <w:rsid w:val="00167AB9"/>
    <w:rsid w:val="00167B68"/>
    <w:rsid w:val="001701A1"/>
    <w:rsid w:val="00170209"/>
    <w:rsid w:val="001715B6"/>
    <w:rsid w:val="0017265B"/>
    <w:rsid w:val="00172862"/>
    <w:rsid w:val="00172C68"/>
    <w:rsid w:val="00174DCD"/>
    <w:rsid w:val="00175A1A"/>
    <w:rsid w:val="00176391"/>
    <w:rsid w:val="00176E7E"/>
    <w:rsid w:val="0017726D"/>
    <w:rsid w:val="001775E8"/>
    <w:rsid w:val="001779A6"/>
    <w:rsid w:val="0018009E"/>
    <w:rsid w:val="00180982"/>
    <w:rsid w:val="00181593"/>
    <w:rsid w:val="00181AA2"/>
    <w:rsid w:val="00182ABB"/>
    <w:rsid w:val="0018364F"/>
    <w:rsid w:val="00184FC1"/>
    <w:rsid w:val="001861E2"/>
    <w:rsid w:val="00186CAB"/>
    <w:rsid w:val="00186D4A"/>
    <w:rsid w:val="001904AA"/>
    <w:rsid w:val="00191071"/>
    <w:rsid w:val="00192915"/>
    <w:rsid w:val="00193795"/>
    <w:rsid w:val="00193FDA"/>
    <w:rsid w:val="00195D54"/>
    <w:rsid w:val="00197541"/>
    <w:rsid w:val="001A1F2E"/>
    <w:rsid w:val="001A359A"/>
    <w:rsid w:val="001A3D66"/>
    <w:rsid w:val="001A3DBE"/>
    <w:rsid w:val="001A3F0B"/>
    <w:rsid w:val="001A51FD"/>
    <w:rsid w:val="001A5469"/>
    <w:rsid w:val="001A5D6D"/>
    <w:rsid w:val="001A64C2"/>
    <w:rsid w:val="001A7562"/>
    <w:rsid w:val="001B1D9F"/>
    <w:rsid w:val="001B2B14"/>
    <w:rsid w:val="001B3267"/>
    <w:rsid w:val="001B3D1D"/>
    <w:rsid w:val="001B5999"/>
    <w:rsid w:val="001B73E0"/>
    <w:rsid w:val="001B764D"/>
    <w:rsid w:val="001C127B"/>
    <w:rsid w:val="001C1289"/>
    <w:rsid w:val="001C1C56"/>
    <w:rsid w:val="001C2C48"/>
    <w:rsid w:val="001C351A"/>
    <w:rsid w:val="001C588F"/>
    <w:rsid w:val="001C67E1"/>
    <w:rsid w:val="001C7B3C"/>
    <w:rsid w:val="001D07DF"/>
    <w:rsid w:val="001D0A25"/>
    <w:rsid w:val="001D1A9B"/>
    <w:rsid w:val="001D1C46"/>
    <w:rsid w:val="001D1CD9"/>
    <w:rsid w:val="001D1E17"/>
    <w:rsid w:val="001D2FBB"/>
    <w:rsid w:val="001D45B1"/>
    <w:rsid w:val="001D5249"/>
    <w:rsid w:val="001D57FF"/>
    <w:rsid w:val="001D7747"/>
    <w:rsid w:val="001D7B90"/>
    <w:rsid w:val="001E066F"/>
    <w:rsid w:val="001E15C9"/>
    <w:rsid w:val="001E30AD"/>
    <w:rsid w:val="001E7617"/>
    <w:rsid w:val="001F0CD6"/>
    <w:rsid w:val="001F2E8A"/>
    <w:rsid w:val="001F3521"/>
    <w:rsid w:val="001F392E"/>
    <w:rsid w:val="00200207"/>
    <w:rsid w:val="002021DD"/>
    <w:rsid w:val="00202EB2"/>
    <w:rsid w:val="00203462"/>
    <w:rsid w:val="00204239"/>
    <w:rsid w:val="00205078"/>
    <w:rsid w:val="00206526"/>
    <w:rsid w:val="00211425"/>
    <w:rsid w:val="002141C3"/>
    <w:rsid w:val="00214D35"/>
    <w:rsid w:val="00214E00"/>
    <w:rsid w:val="00214F88"/>
    <w:rsid w:val="00216470"/>
    <w:rsid w:val="00220181"/>
    <w:rsid w:val="0022292A"/>
    <w:rsid w:val="0022508A"/>
    <w:rsid w:val="00225B18"/>
    <w:rsid w:val="00230061"/>
    <w:rsid w:val="0023393A"/>
    <w:rsid w:val="00233D65"/>
    <w:rsid w:val="002348EE"/>
    <w:rsid w:val="00235C9A"/>
    <w:rsid w:val="00237CA9"/>
    <w:rsid w:val="00242760"/>
    <w:rsid w:val="00243435"/>
    <w:rsid w:val="002453C7"/>
    <w:rsid w:val="00250C4A"/>
    <w:rsid w:val="0025180B"/>
    <w:rsid w:val="00253D81"/>
    <w:rsid w:val="00255153"/>
    <w:rsid w:val="0025553A"/>
    <w:rsid w:val="00255BFC"/>
    <w:rsid w:val="00255D3A"/>
    <w:rsid w:val="002566D7"/>
    <w:rsid w:val="00256890"/>
    <w:rsid w:val="00256DB0"/>
    <w:rsid w:val="00257BBD"/>
    <w:rsid w:val="00257EA1"/>
    <w:rsid w:val="002600FA"/>
    <w:rsid w:val="00260C07"/>
    <w:rsid w:val="00260D56"/>
    <w:rsid w:val="002616A9"/>
    <w:rsid w:val="0026464C"/>
    <w:rsid w:val="00264801"/>
    <w:rsid w:val="00264A42"/>
    <w:rsid w:val="00264A8F"/>
    <w:rsid w:val="00267684"/>
    <w:rsid w:val="002742B3"/>
    <w:rsid w:val="0027498F"/>
    <w:rsid w:val="00276439"/>
    <w:rsid w:val="0027708A"/>
    <w:rsid w:val="00280808"/>
    <w:rsid w:val="00281736"/>
    <w:rsid w:val="00282A1D"/>
    <w:rsid w:val="0028300D"/>
    <w:rsid w:val="0028353D"/>
    <w:rsid w:val="0028456A"/>
    <w:rsid w:val="00287031"/>
    <w:rsid w:val="002873F4"/>
    <w:rsid w:val="002879E8"/>
    <w:rsid w:val="00290396"/>
    <w:rsid w:val="0029181C"/>
    <w:rsid w:val="00293259"/>
    <w:rsid w:val="00293E65"/>
    <w:rsid w:val="00294A07"/>
    <w:rsid w:val="00295356"/>
    <w:rsid w:val="002957A0"/>
    <w:rsid w:val="00295963"/>
    <w:rsid w:val="002A1612"/>
    <w:rsid w:val="002A2AA5"/>
    <w:rsid w:val="002A6B48"/>
    <w:rsid w:val="002A7AAF"/>
    <w:rsid w:val="002B0680"/>
    <w:rsid w:val="002B4273"/>
    <w:rsid w:val="002B5AC7"/>
    <w:rsid w:val="002B72D7"/>
    <w:rsid w:val="002C0622"/>
    <w:rsid w:val="002C0958"/>
    <w:rsid w:val="002C17EB"/>
    <w:rsid w:val="002C42F9"/>
    <w:rsid w:val="002C4804"/>
    <w:rsid w:val="002C69EB"/>
    <w:rsid w:val="002C6A5B"/>
    <w:rsid w:val="002C7941"/>
    <w:rsid w:val="002C79D5"/>
    <w:rsid w:val="002C7D81"/>
    <w:rsid w:val="002C7E70"/>
    <w:rsid w:val="002D0489"/>
    <w:rsid w:val="002D1115"/>
    <w:rsid w:val="002D51E4"/>
    <w:rsid w:val="002D58F6"/>
    <w:rsid w:val="002E0013"/>
    <w:rsid w:val="002E05BD"/>
    <w:rsid w:val="002E172E"/>
    <w:rsid w:val="002E27BF"/>
    <w:rsid w:val="002E3CA1"/>
    <w:rsid w:val="002E5B80"/>
    <w:rsid w:val="002E60EB"/>
    <w:rsid w:val="002E71B3"/>
    <w:rsid w:val="002F013E"/>
    <w:rsid w:val="002F132E"/>
    <w:rsid w:val="002F1D80"/>
    <w:rsid w:val="002F1E80"/>
    <w:rsid w:val="002F3AFE"/>
    <w:rsid w:val="002F49E3"/>
    <w:rsid w:val="002F591B"/>
    <w:rsid w:val="002F669F"/>
    <w:rsid w:val="002F7E81"/>
    <w:rsid w:val="00300F4C"/>
    <w:rsid w:val="00302CB0"/>
    <w:rsid w:val="00305637"/>
    <w:rsid w:val="003061BC"/>
    <w:rsid w:val="0030640E"/>
    <w:rsid w:val="00307CB1"/>
    <w:rsid w:val="00307E70"/>
    <w:rsid w:val="00310767"/>
    <w:rsid w:val="00310933"/>
    <w:rsid w:val="0031122B"/>
    <w:rsid w:val="00313226"/>
    <w:rsid w:val="00313E25"/>
    <w:rsid w:val="00320361"/>
    <w:rsid w:val="003216B1"/>
    <w:rsid w:val="003224E8"/>
    <w:rsid w:val="00323174"/>
    <w:rsid w:val="0032355C"/>
    <w:rsid w:val="0032404E"/>
    <w:rsid w:val="003265A3"/>
    <w:rsid w:val="00330DF8"/>
    <w:rsid w:val="00332984"/>
    <w:rsid w:val="00333B12"/>
    <w:rsid w:val="00340DF6"/>
    <w:rsid w:val="00342829"/>
    <w:rsid w:val="003442B3"/>
    <w:rsid w:val="0034520F"/>
    <w:rsid w:val="00345BF0"/>
    <w:rsid w:val="0035033F"/>
    <w:rsid w:val="00350ADE"/>
    <w:rsid w:val="003532C8"/>
    <w:rsid w:val="00353578"/>
    <w:rsid w:val="00353871"/>
    <w:rsid w:val="0035419E"/>
    <w:rsid w:val="003544F8"/>
    <w:rsid w:val="00354AD6"/>
    <w:rsid w:val="00356238"/>
    <w:rsid w:val="0035635C"/>
    <w:rsid w:val="00356933"/>
    <w:rsid w:val="00356C00"/>
    <w:rsid w:val="00357814"/>
    <w:rsid w:val="0035789E"/>
    <w:rsid w:val="00360644"/>
    <w:rsid w:val="003607A6"/>
    <w:rsid w:val="00360AEA"/>
    <w:rsid w:val="003613B5"/>
    <w:rsid w:val="00362663"/>
    <w:rsid w:val="00362860"/>
    <w:rsid w:val="00364DF6"/>
    <w:rsid w:val="00364FB3"/>
    <w:rsid w:val="003665D6"/>
    <w:rsid w:val="003677B4"/>
    <w:rsid w:val="00370522"/>
    <w:rsid w:val="00372722"/>
    <w:rsid w:val="0037312F"/>
    <w:rsid w:val="0037371E"/>
    <w:rsid w:val="0037421B"/>
    <w:rsid w:val="003755F4"/>
    <w:rsid w:val="003776EC"/>
    <w:rsid w:val="00380859"/>
    <w:rsid w:val="00381B78"/>
    <w:rsid w:val="003820EA"/>
    <w:rsid w:val="00382D18"/>
    <w:rsid w:val="00384D83"/>
    <w:rsid w:val="00385707"/>
    <w:rsid w:val="003867FA"/>
    <w:rsid w:val="00386A64"/>
    <w:rsid w:val="00386ADB"/>
    <w:rsid w:val="003901D9"/>
    <w:rsid w:val="00390ECD"/>
    <w:rsid w:val="00391D5E"/>
    <w:rsid w:val="00394A77"/>
    <w:rsid w:val="003957CC"/>
    <w:rsid w:val="00397A5E"/>
    <w:rsid w:val="00397BD0"/>
    <w:rsid w:val="003A060E"/>
    <w:rsid w:val="003A153C"/>
    <w:rsid w:val="003A18D2"/>
    <w:rsid w:val="003A19BE"/>
    <w:rsid w:val="003A2611"/>
    <w:rsid w:val="003A31D8"/>
    <w:rsid w:val="003A65B7"/>
    <w:rsid w:val="003A7B18"/>
    <w:rsid w:val="003B574F"/>
    <w:rsid w:val="003B6B98"/>
    <w:rsid w:val="003B7E39"/>
    <w:rsid w:val="003C12A9"/>
    <w:rsid w:val="003C173C"/>
    <w:rsid w:val="003C2396"/>
    <w:rsid w:val="003C3A89"/>
    <w:rsid w:val="003C3F81"/>
    <w:rsid w:val="003D0953"/>
    <w:rsid w:val="003D45D4"/>
    <w:rsid w:val="003D571B"/>
    <w:rsid w:val="003E3AD4"/>
    <w:rsid w:val="003E3BE8"/>
    <w:rsid w:val="003E4573"/>
    <w:rsid w:val="003E5F6A"/>
    <w:rsid w:val="003F0606"/>
    <w:rsid w:val="003F0BA4"/>
    <w:rsid w:val="003F10C0"/>
    <w:rsid w:val="003F112A"/>
    <w:rsid w:val="003F1340"/>
    <w:rsid w:val="003F41CB"/>
    <w:rsid w:val="003F5FF2"/>
    <w:rsid w:val="003F62F8"/>
    <w:rsid w:val="003F6C38"/>
    <w:rsid w:val="003F7DAA"/>
    <w:rsid w:val="0040128D"/>
    <w:rsid w:val="004012A0"/>
    <w:rsid w:val="004013D2"/>
    <w:rsid w:val="0040199E"/>
    <w:rsid w:val="004031BA"/>
    <w:rsid w:val="00404650"/>
    <w:rsid w:val="00405345"/>
    <w:rsid w:val="004105BE"/>
    <w:rsid w:val="00413DA1"/>
    <w:rsid w:val="0041748A"/>
    <w:rsid w:val="004206B3"/>
    <w:rsid w:val="0042134A"/>
    <w:rsid w:val="00421FD2"/>
    <w:rsid w:val="00422A41"/>
    <w:rsid w:val="00422FB0"/>
    <w:rsid w:val="004243AD"/>
    <w:rsid w:val="00424E59"/>
    <w:rsid w:val="00424FA2"/>
    <w:rsid w:val="004256D6"/>
    <w:rsid w:val="004271F3"/>
    <w:rsid w:val="00427CC8"/>
    <w:rsid w:val="004314A2"/>
    <w:rsid w:val="0043153B"/>
    <w:rsid w:val="0043153E"/>
    <w:rsid w:val="00431F7D"/>
    <w:rsid w:val="00433E61"/>
    <w:rsid w:val="00435812"/>
    <w:rsid w:val="0043610E"/>
    <w:rsid w:val="0043780F"/>
    <w:rsid w:val="00437CEA"/>
    <w:rsid w:val="004426F8"/>
    <w:rsid w:val="00442FE9"/>
    <w:rsid w:val="004439E1"/>
    <w:rsid w:val="00443D7B"/>
    <w:rsid w:val="00445E9C"/>
    <w:rsid w:val="0044664A"/>
    <w:rsid w:val="0044799F"/>
    <w:rsid w:val="00450D22"/>
    <w:rsid w:val="00451AB5"/>
    <w:rsid w:val="00453D03"/>
    <w:rsid w:val="00453E51"/>
    <w:rsid w:val="00455482"/>
    <w:rsid w:val="004554EB"/>
    <w:rsid w:val="004556BD"/>
    <w:rsid w:val="00456131"/>
    <w:rsid w:val="004570F5"/>
    <w:rsid w:val="00460E2B"/>
    <w:rsid w:val="0046140A"/>
    <w:rsid w:val="004618A5"/>
    <w:rsid w:val="00464B80"/>
    <w:rsid w:val="00466E36"/>
    <w:rsid w:val="00467D88"/>
    <w:rsid w:val="00470AE5"/>
    <w:rsid w:val="00472296"/>
    <w:rsid w:val="00475A0E"/>
    <w:rsid w:val="00476AB6"/>
    <w:rsid w:val="00482FFC"/>
    <w:rsid w:val="004846B5"/>
    <w:rsid w:val="00490097"/>
    <w:rsid w:val="00490E6A"/>
    <w:rsid w:val="004917AF"/>
    <w:rsid w:val="00495A8B"/>
    <w:rsid w:val="0049627F"/>
    <w:rsid w:val="00497796"/>
    <w:rsid w:val="004A054B"/>
    <w:rsid w:val="004A07E5"/>
    <w:rsid w:val="004A0F8A"/>
    <w:rsid w:val="004A2CA1"/>
    <w:rsid w:val="004A2F72"/>
    <w:rsid w:val="004A3DE3"/>
    <w:rsid w:val="004A4449"/>
    <w:rsid w:val="004A5F11"/>
    <w:rsid w:val="004B0B01"/>
    <w:rsid w:val="004B15D0"/>
    <w:rsid w:val="004B1CB0"/>
    <w:rsid w:val="004B1ECB"/>
    <w:rsid w:val="004B2025"/>
    <w:rsid w:val="004B271B"/>
    <w:rsid w:val="004B4D2A"/>
    <w:rsid w:val="004C048A"/>
    <w:rsid w:val="004C16B4"/>
    <w:rsid w:val="004C2276"/>
    <w:rsid w:val="004C2718"/>
    <w:rsid w:val="004C2985"/>
    <w:rsid w:val="004C31EC"/>
    <w:rsid w:val="004C558D"/>
    <w:rsid w:val="004C6132"/>
    <w:rsid w:val="004C6A1E"/>
    <w:rsid w:val="004C70A6"/>
    <w:rsid w:val="004C78D1"/>
    <w:rsid w:val="004D1C2B"/>
    <w:rsid w:val="004D3AE1"/>
    <w:rsid w:val="004D4BEA"/>
    <w:rsid w:val="004D51C7"/>
    <w:rsid w:val="004D5206"/>
    <w:rsid w:val="004D529A"/>
    <w:rsid w:val="004D5C30"/>
    <w:rsid w:val="004D5FE6"/>
    <w:rsid w:val="004E0105"/>
    <w:rsid w:val="004E08BD"/>
    <w:rsid w:val="004E0D58"/>
    <w:rsid w:val="004E0E59"/>
    <w:rsid w:val="004E1035"/>
    <w:rsid w:val="004E1B8E"/>
    <w:rsid w:val="004E28CF"/>
    <w:rsid w:val="004E6407"/>
    <w:rsid w:val="004E6D2F"/>
    <w:rsid w:val="004F0D84"/>
    <w:rsid w:val="004F2D09"/>
    <w:rsid w:val="004F30B6"/>
    <w:rsid w:val="004F4C42"/>
    <w:rsid w:val="004F796B"/>
    <w:rsid w:val="00501C11"/>
    <w:rsid w:val="00502DFF"/>
    <w:rsid w:val="00503558"/>
    <w:rsid w:val="0050374E"/>
    <w:rsid w:val="00505251"/>
    <w:rsid w:val="0051064E"/>
    <w:rsid w:val="00513FC3"/>
    <w:rsid w:val="00514044"/>
    <w:rsid w:val="00514AD7"/>
    <w:rsid w:val="00514F8E"/>
    <w:rsid w:val="00515343"/>
    <w:rsid w:val="005155A2"/>
    <w:rsid w:val="00515679"/>
    <w:rsid w:val="00515B5E"/>
    <w:rsid w:val="005173D5"/>
    <w:rsid w:val="00520662"/>
    <w:rsid w:val="005220DF"/>
    <w:rsid w:val="005223E4"/>
    <w:rsid w:val="00522B88"/>
    <w:rsid w:val="00523FFD"/>
    <w:rsid w:val="00525395"/>
    <w:rsid w:val="0052765D"/>
    <w:rsid w:val="005321DB"/>
    <w:rsid w:val="00535CAC"/>
    <w:rsid w:val="005368C6"/>
    <w:rsid w:val="00536D32"/>
    <w:rsid w:val="00537A5E"/>
    <w:rsid w:val="00537DFC"/>
    <w:rsid w:val="0054032A"/>
    <w:rsid w:val="005403B5"/>
    <w:rsid w:val="00541356"/>
    <w:rsid w:val="00541837"/>
    <w:rsid w:val="00542B82"/>
    <w:rsid w:val="00543EE4"/>
    <w:rsid w:val="00545204"/>
    <w:rsid w:val="00545CD2"/>
    <w:rsid w:val="005503C6"/>
    <w:rsid w:val="0055064F"/>
    <w:rsid w:val="005511F9"/>
    <w:rsid w:val="00551596"/>
    <w:rsid w:val="00551D29"/>
    <w:rsid w:val="00552277"/>
    <w:rsid w:val="005528B9"/>
    <w:rsid w:val="00552CDB"/>
    <w:rsid w:val="00552EFC"/>
    <w:rsid w:val="0055362B"/>
    <w:rsid w:val="00554929"/>
    <w:rsid w:val="00557EB2"/>
    <w:rsid w:val="00557EF2"/>
    <w:rsid w:val="0056136B"/>
    <w:rsid w:val="005630AA"/>
    <w:rsid w:val="005647C0"/>
    <w:rsid w:val="00565153"/>
    <w:rsid w:val="00565ACB"/>
    <w:rsid w:val="0056B76F"/>
    <w:rsid w:val="00570171"/>
    <w:rsid w:val="00570E31"/>
    <w:rsid w:val="0057344B"/>
    <w:rsid w:val="005750B5"/>
    <w:rsid w:val="00577F1F"/>
    <w:rsid w:val="00582576"/>
    <w:rsid w:val="00583EA6"/>
    <w:rsid w:val="005846E9"/>
    <w:rsid w:val="00585718"/>
    <w:rsid w:val="00585FDC"/>
    <w:rsid w:val="00590F60"/>
    <w:rsid w:val="00591C86"/>
    <w:rsid w:val="00594D35"/>
    <w:rsid w:val="00596C6B"/>
    <w:rsid w:val="005A120B"/>
    <w:rsid w:val="005A2D83"/>
    <w:rsid w:val="005A2DAD"/>
    <w:rsid w:val="005A405A"/>
    <w:rsid w:val="005A4341"/>
    <w:rsid w:val="005A4F00"/>
    <w:rsid w:val="005A56F9"/>
    <w:rsid w:val="005A5C39"/>
    <w:rsid w:val="005A6489"/>
    <w:rsid w:val="005B11D3"/>
    <w:rsid w:val="005B192E"/>
    <w:rsid w:val="005B214B"/>
    <w:rsid w:val="005B2F83"/>
    <w:rsid w:val="005B5C2B"/>
    <w:rsid w:val="005B5CDE"/>
    <w:rsid w:val="005B768E"/>
    <w:rsid w:val="005B7F32"/>
    <w:rsid w:val="005C0158"/>
    <w:rsid w:val="005C036D"/>
    <w:rsid w:val="005C042C"/>
    <w:rsid w:val="005C2F15"/>
    <w:rsid w:val="005C3032"/>
    <w:rsid w:val="005C30D2"/>
    <w:rsid w:val="005C5482"/>
    <w:rsid w:val="005C565A"/>
    <w:rsid w:val="005C5D85"/>
    <w:rsid w:val="005C62D6"/>
    <w:rsid w:val="005C6775"/>
    <w:rsid w:val="005C76AA"/>
    <w:rsid w:val="005C7F24"/>
    <w:rsid w:val="005D0486"/>
    <w:rsid w:val="005D0695"/>
    <w:rsid w:val="005D092C"/>
    <w:rsid w:val="005D1707"/>
    <w:rsid w:val="005D30BB"/>
    <w:rsid w:val="005D34A0"/>
    <w:rsid w:val="005D3B59"/>
    <w:rsid w:val="005D5ECA"/>
    <w:rsid w:val="005D63DB"/>
    <w:rsid w:val="005E3C71"/>
    <w:rsid w:val="005E41B2"/>
    <w:rsid w:val="005E493A"/>
    <w:rsid w:val="005E4E5C"/>
    <w:rsid w:val="005E56F9"/>
    <w:rsid w:val="005E602F"/>
    <w:rsid w:val="005E6600"/>
    <w:rsid w:val="005F1EF0"/>
    <w:rsid w:val="005F30B3"/>
    <w:rsid w:val="005F316D"/>
    <w:rsid w:val="005F42B0"/>
    <w:rsid w:val="005F4618"/>
    <w:rsid w:val="005F51E6"/>
    <w:rsid w:val="005F7A6B"/>
    <w:rsid w:val="00602D85"/>
    <w:rsid w:val="00603732"/>
    <w:rsid w:val="00605236"/>
    <w:rsid w:val="006069AC"/>
    <w:rsid w:val="00607800"/>
    <w:rsid w:val="00607CAA"/>
    <w:rsid w:val="00607D38"/>
    <w:rsid w:val="00610B9E"/>
    <w:rsid w:val="006130A6"/>
    <w:rsid w:val="00614A5E"/>
    <w:rsid w:val="00614CD0"/>
    <w:rsid w:val="00616EA0"/>
    <w:rsid w:val="00617B37"/>
    <w:rsid w:val="0062064D"/>
    <w:rsid w:val="0062091A"/>
    <w:rsid w:val="00620C0E"/>
    <w:rsid w:val="00622E1D"/>
    <w:rsid w:val="00624175"/>
    <w:rsid w:val="0062425A"/>
    <w:rsid w:val="006243BC"/>
    <w:rsid w:val="00625B2D"/>
    <w:rsid w:val="00630065"/>
    <w:rsid w:val="006302B1"/>
    <w:rsid w:val="006309A6"/>
    <w:rsid w:val="00630A0C"/>
    <w:rsid w:val="00630EE4"/>
    <w:rsid w:val="00631958"/>
    <w:rsid w:val="00633BFF"/>
    <w:rsid w:val="0063622E"/>
    <w:rsid w:val="006373AD"/>
    <w:rsid w:val="00637711"/>
    <w:rsid w:val="0063799F"/>
    <w:rsid w:val="006404E1"/>
    <w:rsid w:val="00640784"/>
    <w:rsid w:val="00640F16"/>
    <w:rsid w:val="00642100"/>
    <w:rsid w:val="0064239E"/>
    <w:rsid w:val="00642B6A"/>
    <w:rsid w:val="00642EBA"/>
    <w:rsid w:val="0064378F"/>
    <w:rsid w:val="00643905"/>
    <w:rsid w:val="00643AEA"/>
    <w:rsid w:val="00645CFA"/>
    <w:rsid w:val="006468C5"/>
    <w:rsid w:val="00646995"/>
    <w:rsid w:val="00646EA2"/>
    <w:rsid w:val="006471C7"/>
    <w:rsid w:val="00647AFA"/>
    <w:rsid w:val="00653547"/>
    <w:rsid w:val="00653B0A"/>
    <w:rsid w:val="006541FD"/>
    <w:rsid w:val="006542C5"/>
    <w:rsid w:val="00654507"/>
    <w:rsid w:val="0065494E"/>
    <w:rsid w:val="00655498"/>
    <w:rsid w:val="00656BC5"/>
    <w:rsid w:val="00657776"/>
    <w:rsid w:val="00664C0B"/>
    <w:rsid w:val="00665322"/>
    <w:rsid w:val="00665616"/>
    <w:rsid w:val="0066763A"/>
    <w:rsid w:val="00667CD6"/>
    <w:rsid w:val="00670B2D"/>
    <w:rsid w:val="00670E86"/>
    <w:rsid w:val="00672744"/>
    <w:rsid w:val="006749EC"/>
    <w:rsid w:val="00676042"/>
    <w:rsid w:val="00676265"/>
    <w:rsid w:val="00677356"/>
    <w:rsid w:val="0067738F"/>
    <w:rsid w:val="00677A8C"/>
    <w:rsid w:val="006806A7"/>
    <w:rsid w:val="00681C99"/>
    <w:rsid w:val="006821E5"/>
    <w:rsid w:val="006832CA"/>
    <w:rsid w:val="0068348D"/>
    <w:rsid w:val="006834D9"/>
    <w:rsid w:val="00683C75"/>
    <w:rsid w:val="00685A92"/>
    <w:rsid w:val="00686316"/>
    <w:rsid w:val="006901AF"/>
    <w:rsid w:val="00690D95"/>
    <w:rsid w:val="00691968"/>
    <w:rsid w:val="00691B7C"/>
    <w:rsid w:val="00693302"/>
    <w:rsid w:val="00693723"/>
    <w:rsid w:val="00693E67"/>
    <w:rsid w:val="00697065"/>
    <w:rsid w:val="00697643"/>
    <w:rsid w:val="00697A59"/>
    <w:rsid w:val="006A166C"/>
    <w:rsid w:val="006A1B52"/>
    <w:rsid w:val="006A25C1"/>
    <w:rsid w:val="006A32A2"/>
    <w:rsid w:val="006A37F1"/>
    <w:rsid w:val="006A40B7"/>
    <w:rsid w:val="006A5630"/>
    <w:rsid w:val="006A5718"/>
    <w:rsid w:val="006A6AC5"/>
    <w:rsid w:val="006A6C24"/>
    <w:rsid w:val="006A70D3"/>
    <w:rsid w:val="006A7CD7"/>
    <w:rsid w:val="006A7DD0"/>
    <w:rsid w:val="006B2A40"/>
    <w:rsid w:val="006B3F8F"/>
    <w:rsid w:val="006B3FDA"/>
    <w:rsid w:val="006B4A36"/>
    <w:rsid w:val="006B4C5A"/>
    <w:rsid w:val="006B4D60"/>
    <w:rsid w:val="006B50DF"/>
    <w:rsid w:val="006B64F7"/>
    <w:rsid w:val="006B6641"/>
    <w:rsid w:val="006C2B70"/>
    <w:rsid w:val="006C3350"/>
    <w:rsid w:val="006C359E"/>
    <w:rsid w:val="006C378B"/>
    <w:rsid w:val="006C4F0F"/>
    <w:rsid w:val="006C7DEE"/>
    <w:rsid w:val="006D034F"/>
    <w:rsid w:val="006D0F85"/>
    <w:rsid w:val="006D112D"/>
    <w:rsid w:val="006D125B"/>
    <w:rsid w:val="006D2DC8"/>
    <w:rsid w:val="006D2EF6"/>
    <w:rsid w:val="006D2F8B"/>
    <w:rsid w:val="006D7499"/>
    <w:rsid w:val="006E3770"/>
    <w:rsid w:val="006E4CA7"/>
    <w:rsid w:val="006E64F0"/>
    <w:rsid w:val="006E7B45"/>
    <w:rsid w:val="006F2A06"/>
    <w:rsid w:val="006F386E"/>
    <w:rsid w:val="006F393C"/>
    <w:rsid w:val="006F3978"/>
    <w:rsid w:val="006F4F08"/>
    <w:rsid w:val="006F6220"/>
    <w:rsid w:val="006F6807"/>
    <w:rsid w:val="006F6BFE"/>
    <w:rsid w:val="006F782F"/>
    <w:rsid w:val="006F7E00"/>
    <w:rsid w:val="006F7F0F"/>
    <w:rsid w:val="00700EAE"/>
    <w:rsid w:val="00700EDF"/>
    <w:rsid w:val="007019DC"/>
    <w:rsid w:val="007029A9"/>
    <w:rsid w:val="00702F41"/>
    <w:rsid w:val="007076AE"/>
    <w:rsid w:val="007079CC"/>
    <w:rsid w:val="00710286"/>
    <w:rsid w:val="0071111D"/>
    <w:rsid w:val="00712030"/>
    <w:rsid w:val="00712BA2"/>
    <w:rsid w:val="0071348B"/>
    <w:rsid w:val="00713F23"/>
    <w:rsid w:val="0071575B"/>
    <w:rsid w:val="00715F21"/>
    <w:rsid w:val="00717723"/>
    <w:rsid w:val="00720951"/>
    <w:rsid w:val="00721E89"/>
    <w:rsid w:val="00727908"/>
    <w:rsid w:val="007302A3"/>
    <w:rsid w:val="00731381"/>
    <w:rsid w:val="00734189"/>
    <w:rsid w:val="00735B4F"/>
    <w:rsid w:val="00737D9F"/>
    <w:rsid w:val="007405B2"/>
    <w:rsid w:val="0074122B"/>
    <w:rsid w:val="00741A26"/>
    <w:rsid w:val="007447A7"/>
    <w:rsid w:val="00744C85"/>
    <w:rsid w:val="007465D0"/>
    <w:rsid w:val="00747BF5"/>
    <w:rsid w:val="00751B4D"/>
    <w:rsid w:val="00751DC0"/>
    <w:rsid w:val="00752066"/>
    <w:rsid w:val="00753416"/>
    <w:rsid w:val="007539F5"/>
    <w:rsid w:val="00753FBD"/>
    <w:rsid w:val="00755826"/>
    <w:rsid w:val="007576BA"/>
    <w:rsid w:val="007579C9"/>
    <w:rsid w:val="00757FB4"/>
    <w:rsid w:val="0076304B"/>
    <w:rsid w:val="007639AD"/>
    <w:rsid w:val="0076443A"/>
    <w:rsid w:val="00764799"/>
    <w:rsid w:val="00764A92"/>
    <w:rsid w:val="00765EB9"/>
    <w:rsid w:val="00766564"/>
    <w:rsid w:val="00771B92"/>
    <w:rsid w:val="007724B6"/>
    <w:rsid w:val="00773483"/>
    <w:rsid w:val="007734CE"/>
    <w:rsid w:val="007735D1"/>
    <w:rsid w:val="0077445B"/>
    <w:rsid w:val="0077486D"/>
    <w:rsid w:val="00774F37"/>
    <w:rsid w:val="00775569"/>
    <w:rsid w:val="00775BEA"/>
    <w:rsid w:val="00775C57"/>
    <w:rsid w:val="00776C58"/>
    <w:rsid w:val="007811AD"/>
    <w:rsid w:val="0078286E"/>
    <w:rsid w:val="00783115"/>
    <w:rsid w:val="00783499"/>
    <w:rsid w:val="00783BDC"/>
    <w:rsid w:val="007844A7"/>
    <w:rsid w:val="0078471A"/>
    <w:rsid w:val="00784B5A"/>
    <w:rsid w:val="00786235"/>
    <w:rsid w:val="00786E5B"/>
    <w:rsid w:val="0079168F"/>
    <w:rsid w:val="007936AC"/>
    <w:rsid w:val="00794CEF"/>
    <w:rsid w:val="007A0529"/>
    <w:rsid w:val="007A108B"/>
    <w:rsid w:val="007A10DF"/>
    <w:rsid w:val="007A5AC8"/>
    <w:rsid w:val="007A6688"/>
    <w:rsid w:val="007B008D"/>
    <w:rsid w:val="007B0095"/>
    <w:rsid w:val="007B1735"/>
    <w:rsid w:val="007B2657"/>
    <w:rsid w:val="007B305F"/>
    <w:rsid w:val="007B4AFE"/>
    <w:rsid w:val="007B6A15"/>
    <w:rsid w:val="007B7042"/>
    <w:rsid w:val="007B7CE3"/>
    <w:rsid w:val="007B7EAC"/>
    <w:rsid w:val="007C08E8"/>
    <w:rsid w:val="007C1E68"/>
    <w:rsid w:val="007C5B3F"/>
    <w:rsid w:val="007C5D97"/>
    <w:rsid w:val="007C5F49"/>
    <w:rsid w:val="007C5FFA"/>
    <w:rsid w:val="007C64C1"/>
    <w:rsid w:val="007C67D8"/>
    <w:rsid w:val="007D0A1E"/>
    <w:rsid w:val="007D22E3"/>
    <w:rsid w:val="007D2A46"/>
    <w:rsid w:val="007D3748"/>
    <w:rsid w:val="007D7035"/>
    <w:rsid w:val="007E01B5"/>
    <w:rsid w:val="007E10D4"/>
    <w:rsid w:val="007E119B"/>
    <w:rsid w:val="007E14E5"/>
    <w:rsid w:val="007E15A4"/>
    <w:rsid w:val="007E1E12"/>
    <w:rsid w:val="007E38F3"/>
    <w:rsid w:val="007E418F"/>
    <w:rsid w:val="007E560A"/>
    <w:rsid w:val="007E6ADA"/>
    <w:rsid w:val="007E6E02"/>
    <w:rsid w:val="007F0D5B"/>
    <w:rsid w:val="007F1A93"/>
    <w:rsid w:val="007F23A7"/>
    <w:rsid w:val="007F27F5"/>
    <w:rsid w:val="007F3179"/>
    <w:rsid w:val="007F3671"/>
    <w:rsid w:val="007F5E06"/>
    <w:rsid w:val="00800173"/>
    <w:rsid w:val="0080192C"/>
    <w:rsid w:val="00803C7E"/>
    <w:rsid w:val="0080408D"/>
    <w:rsid w:val="00806644"/>
    <w:rsid w:val="008068DB"/>
    <w:rsid w:val="00807697"/>
    <w:rsid w:val="00810893"/>
    <w:rsid w:val="00810DFB"/>
    <w:rsid w:val="008131D6"/>
    <w:rsid w:val="00813250"/>
    <w:rsid w:val="008147C3"/>
    <w:rsid w:val="00814D43"/>
    <w:rsid w:val="0081569C"/>
    <w:rsid w:val="00823415"/>
    <w:rsid w:val="00823F94"/>
    <w:rsid w:val="00826135"/>
    <w:rsid w:val="00827618"/>
    <w:rsid w:val="00831768"/>
    <w:rsid w:val="00836741"/>
    <w:rsid w:val="0084249B"/>
    <w:rsid w:val="00842F97"/>
    <w:rsid w:val="008435FA"/>
    <w:rsid w:val="00843603"/>
    <w:rsid w:val="00843FB7"/>
    <w:rsid w:val="00844065"/>
    <w:rsid w:val="00850A8B"/>
    <w:rsid w:val="008517F3"/>
    <w:rsid w:val="00851809"/>
    <w:rsid w:val="00852157"/>
    <w:rsid w:val="0085251F"/>
    <w:rsid w:val="0085312E"/>
    <w:rsid w:val="00855621"/>
    <w:rsid w:val="00857C27"/>
    <w:rsid w:val="0086013B"/>
    <w:rsid w:val="008629B2"/>
    <w:rsid w:val="00863093"/>
    <w:rsid w:val="0086441C"/>
    <w:rsid w:val="00864B48"/>
    <w:rsid w:val="00867019"/>
    <w:rsid w:val="008676B4"/>
    <w:rsid w:val="00867DED"/>
    <w:rsid w:val="0087077A"/>
    <w:rsid w:val="00873461"/>
    <w:rsid w:val="00873BB5"/>
    <w:rsid w:val="00874F54"/>
    <w:rsid w:val="00881A6D"/>
    <w:rsid w:val="008823D4"/>
    <w:rsid w:val="00882745"/>
    <w:rsid w:val="00883357"/>
    <w:rsid w:val="00883A62"/>
    <w:rsid w:val="00885CD6"/>
    <w:rsid w:val="00885DC3"/>
    <w:rsid w:val="00885E79"/>
    <w:rsid w:val="008910C2"/>
    <w:rsid w:val="00893EB2"/>
    <w:rsid w:val="008A07AD"/>
    <w:rsid w:val="008A5674"/>
    <w:rsid w:val="008A6D10"/>
    <w:rsid w:val="008B01CD"/>
    <w:rsid w:val="008B0226"/>
    <w:rsid w:val="008B1BC4"/>
    <w:rsid w:val="008B22F2"/>
    <w:rsid w:val="008B270C"/>
    <w:rsid w:val="008B2D7F"/>
    <w:rsid w:val="008B6BA9"/>
    <w:rsid w:val="008C1F62"/>
    <w:rsid w:val="008C200E"/>
    <w:rsid w:val="008C22BC"/>
    <w:rsid w:val="008C2368"/>
    <w:rsid w:val="008C35A9"/>
    <w:rsid w:val="008C6F21"/>
    <w:rsid w:val="008C796A"/>
    <w:rsid w:val="008D2F83"/>
    <w:rsid w:val="008D3226"/>
    <w:rsid w:val="008D40CF"/>
    <w:rsid w:val="008D4115"/>
    <w:rsid w:val="008D4997"/>
    <w:rsid w:val="008D5FD7"/>
    <w:rsid w:val="008D68CD"/>
    <w:rsid w:val="008D77E8"/>
    <w:rsid w:val="008D7F4C"/>
    <w:rsid w:val="008E3891"/>
    <w:rsid w:val="008E6345"/>
    <w:rsid w:val="008E6A83"/>
    <w:rsid w:val="008E6CB3"/>
    <w:rsid w:val="008E721B"/>
    <w:rsid w:val="008F0BF0"/>
    <w:rsid w:val="008F2F98"/>
    <w:rsid w:val="008F3ADD"/>
    <w:rsid w:val="008F3DF5"/>
    <w:rsid w:val="008F3FD7"/>
    <w:rsid w:val="008F45F8"/>
    <w:rsid w:val="008F50A0"/>
    <w:rsid w:val="008F5C89"/>
    <w:rsid w:val="008F6230"/>
    <w:rsid w:val="008F6D4A"/>
    <w:rsid w:val="008F7B08"/>
    <w:rsid w:val="00902356"/>
    <w:rsid w:val="00906381"/>
    <w:rsid w:val="00906B35"/>
    <w:rsid w:val="00907414"/>
    <w:rsid w:val="00912F31"/>
    <w:rsid w:val="009135F1"/>
    <w:rsid w:val="009138D7"/>
    <w:rsid w:val="00914089"/>
    <w:rsid w:val="0091541F"/>
    <w:rsid w:val="00916B38"/>
    <w:rsid w:val="009174ED"/>
    <w:rsid w:val="0091766D"/>
    <w:rsid w:val="00920905"/>
    <w:rsid w:val="00920EDD"/>
    <w:rsid w:val="00922A25"/>
    <w:rsid w:val="00925F5D"/>
    <w:rsid w:val="00927C6B"/>
    <w:rsid w:val="009309EC"/>
    <w:rsid w:val="00930C4D"/>
    <w:rsid w:val="009323AE"/>
    <w:rsid w:val="00932912"/>
    <w:rsid w:val="00932F89"/>
    <w:rsid w:val="00933163"/>
    <w:rsid w:val="00933A70"/>
    <w:rsid w:val="009345FC"/>
    <w:rsid w:val="0093548F"/>
    <w:rsid w:val="009364E1"/>
    <w:rsid w:val="00936B8A"/>
    <w:rsid w:val="00937E5D"/>
    <w:rsid w:val="0094007E"/>
    <w:rsid w:val="0094016A"/>
    <w:rsid w:val="009401EE"/>
    <w:rsid w:val="00940E28"/>
    <w:rsid w:val="00940E59"/>
    <w:rsid w:val="00941451"/>
    <w:rsid w:val="00942835"/>
    <w:rsid w:val="00951EB6"/>
    <w:rsid w:val="0095307E"/>
    <w:rsid w:val="00956FBC"/>
    <w:rsid w:val="00963975"/>
    <w:rsid w:val="00964133"/>
    <w:rsid w:val="00964A33"/>
    <w:rsid w:val="00964C26"/>
    <w:rsid w:val="00966396"/>
    <w:rsid w:val="009703B7"/>
    <w:rsid w:val="0097170E"/>
    <w:rsid w:val="00971AD4"/>
    <w:rsid w:val="00971FF2"/>
    <w:rsid w:val="00973AFF"/>
    <w:rsid w:val="00973C41"/>
    <w:rsid w:val="00974997"/>
    <w:rsid w:val="00975668"/>
    <w:rsid w:val="00976A43"/>
    <w:rsid w:val="009773F7"/>
    <w:rsid w:val="00980088"/>
    <w:rsid w:val="009806ED"/>
    <w:rsid w:val="009806FE"/>
    <w:rsid w:val="009807B2"/>
    <w:rsid w:val="00981FF2"/>
    <w:rsid w:val="00984043"/>
    <w:rsid w:val="00984EE3"/>
    <w:rsid w:val="0098593D"/>
    <w:rsid w:val="00985B30"/>
    <w:rsid w:val="00986494"/>
    <w:rsid w:val="0098710D"/>
    <w:rsid w:val="00991FAF"/>
    <w:rsid w:val="00992677"/>
    <w:rsid w:val="00993F22"/>
    <w:rsid w:val="0099524D"/>
    <w:rsid w:val="0099551D"/>
    <w:rsid w:val="00995FD3"/>
    <w:rsid w:val="0099690D"/>
    <w:rsid w:val="009975A8"/>
    <w:rsid w:val="009A0040"/>
    <w:rsid w:val="009A0986"/>
    <w:rsid w:val="009A3232"/>
    <w:rsid w:val="009A3937"/>
    <w:rsid w:val="009A3B55"/>
    <w:rsid w:val="009A4459"/>
    <w:rsid w:val="009A489E"/>
    <w:rsid w:val="009A4F1F"/>
    <w:rsid w:val="009A57CC"/>
    <w:rsid w:val="009A6F00"/>
    <w:rsid w:val="009B0077"/>
    <w:rsid w:val="009B0E09"/>
    <w:rsid w:val="009B1011"/>
    <w:rsid w:val="009B13C9"/>
    <w:rsid w:val="009B1E93"/>
    <w:rsid w:val="009B2F52"/>
    <w:rsid w:val="009B418F"/>
    <w:rsid w:val="009B577D"/>
    <w:rsid w:val="009B5AA3"/>
    <w:rsid w:val="009B6AAC"/>
    <w:rsid w:val="009C393D"/>
    <w:rsid w:val="009C3CD6"/>
    <w:rsid w:val="009C4C68"/>
    <w:rsid w:val="009C4CAD"/>
    <w:rsid w:val="009C4E21"/>
    <w:rsid w:val="009C530B"/>
    <w:rsid w:val="009C5F76"/>
    <w:rsid w:val="009C6B18"/>
    <w:rsid w:val="009C6DB4"/>
    <w:rsid w:val="009C7AF8"/>
    <w:rsid w:val="009D00FB"/>
    <w:rsid w:val="009D17F3"/>
    <w:rsid w:val="009D1C7A"/>
    <w:rsid w:val="009D7452"/>
    <w:rsid w:val="009D7D47"/>
    <w:rsid w:val="009E058B"/>
    <w:rsid w:val="009E09F2"/>
    <w:rsid w:val="009E2910"/>
    <w:rsid w:val="009E317C"/>
    <w:rsid w:val="009E3525"/>
    <w:rsid w:val="009E54C7"/>
    <w:rsid w:val="009F5D20"/>
    <w:rsid w:val="009F6366"/>
    <w:rsid w:val="009F68F7"/>
    <w:rsid w:val="009F735A"/>
    <w:rsid w:val="009F7A12"/>
    <w:rsid w:val="00A006F8"/>
    <w:rsid w:val="00A00C37"/>
    <w:rsid w:val="00A01600"/>
    <w:rsid w:val="00A0282D"/>
    <w:rsid w:val="00A0363A"/>
    <w:rsid w:val="00A03D15"/>
    <w:rsid w:val="00A055E8"/>
    <w:rsid w:val="00A05850"/>
    <w:rsid w:val="00A0679A"/>
    <w:rsid w:val="00A07022"/>
    <w:rsid w:val="00A07F12"/>
    <w:rsid w:val="00A07F66"/>
    <w:rsid w:val="00A10227"/>
    <w:rsid w:val="00A10820"/>
    <w:rsid w:val="00A12FCB"/>
    <w:rsid w:val="00A14415"/>
    <w:rsid w:val="00A15CCD"/>
    <w:rsid w:val="00A16DEE"/>
    <w:rsid w:val="00A2011C"/>
    <w:rsid w:val="00A205E5"/>
    <w:rsid w:val="00A20A96"/>
    <w:rsid w:val="00A2209C"/>
    <w:rsid w:val="00A257E3"/>
    <w:rsid w:val="00A26538"/>
    <w:rsid w:val="00A2745A"/>
    <w:rsid w:val="00A27C66"/>
    <w:rsid w:val="00A349D9"/>
    <w:rsid w:val="00A34FBC"/>
    <w:rsid w:val="00A36B1B"/>
    <w:rsid w:val="00A37755"/>
    <w:rsid w:val="00A37DDD"/>
    <w:rsid w:val="00A37EB8"/>
    <w:rsid w:val="00A40B9C"/>
    <w:rsid w:val="00A45721"/>
    <w:rsid w:val="00A463D8"/>
    <w:rsid w:val="00A470DE"/>
    <w:rsid w:val="00A518C0"/>
    <w:rsid w:val="00A53046"/>
    <w:rsid w:val="00A53698"/>
    <w:rsid w:val="00A542AB"/>
    <w:rsid w:val="00A54471"/>
    <w:rsid w:val="00A54541"/>
    <w:rsid w:val="00A559AB"/>
    <w:rsid w:val="00A56A51"/>
    <w:rsid w:val="00A60B25"/>
    <w:rsid w:val="00A62891"/>
    <w:rsid w:val="00A66658"/>
    <w:rsid w:val="00A708B1"/>
    <w:rsid w:val="00A70AFF"/>
    <w:rsid w:val="00A717B5"/>
    <w:rsid w:val="00A71871"/>
    <w:rsid w:val="00A72E11"/>
    <w:rsid w:val="00A73F6E"/>
    <w:rsid w:val="00A74C2D"/>
    <w:rsid w:val="00A75C2C"/>
    <w:rsid w:val="00A76556"/>
    <w:rsid w:val="00A77366"/>
    <w:rsid w:val="00A7762D"/>
    <w:rsid w:val="00A80718"/>
    <w:rsid w:val="00A80A81"/>
    <w:rsid w:val="00A813E3"/>
    <w:rsid w:val="00A82DD7"/>
    <w:rsid w:val="00A85069"/>
    <w:rsid w:val="00A8544C"/>
    <w:rsid w:val="00A85672"/>
    <w:rsid w:val="00A8581D"/>
    <w:rsid w:val="00A917CE"/>
    <w:rsid w:val="00A93EA6"/>
    <w:rsid w:val="00A94F7E"/>
    <w:rsid w:val="00A95B78"/>
    <w:rsid w:val="00A97E7B"/>
    <w:rsid w:val="00AA0490"/>
    <w:rsid w:val="00AA0977"/>
    <w:rsid w:val="00AA0BAF"/>
    <w:rsid w:val="00AA0E59"/>
    <w:rsid w:val="00AA10CF"/>
    <w:rsid w:val="00AA180B"/>
    <w:rsid w:val="00AA58FF"/>
    <w:rsid w:val="00AA59C3"/>
    <w:rsid w:val="00AB00BD"/>
    <w:rsid w:val="00AB4580"/>
    <w:rsid w:val="00AB5FFB"/>
    <w:rsid w:val="00AC08EC"/>
    <w:rsid w:val="00AC0A75"/>
    <w:rsid w:val="00AC1305"/>
    <w:rsid w:val="00AC1689"/>
    <w:rsid w:val="00AC2529"/>
    <w:rsid w:val="00AC2DC6"/>
    <w:rsid w:val="00AC4DF9"/>
    <w:rsid w:val="00AC59BE"/>
    <w:rsid w:val="00AC6784"/>
    <w:rsid w:val="00AC6B10"/>
    <w:rsid w:val="00AC78ED"/>
    <w:rsid w:val="00AD0B9F"/>
    <w:rsid w:val="00AD0F7F"/>
    <w:rsid w:val="00AD1AE7"/>
    <w:rsid w:val="00AD1CF4"/>
    <w:rsid w:val="00AD3629"/>
    <w:rsid w:val="00AD4B8B"/>
    <w:rsid w:val="00AE1765"/>
    <w:rsid w:val="00AE1865"/>
    <w:rsid w:val="00AE1AB4"/>
    <w:rsid w:val="00AE3F98"/>
    <w:rsid w:val="00AE41EA"/>
    <w:rsid w:val="00AE42A0"/>
    <w:rsid w:val="00AE5880"/>
    <w:rsid w:val="00AE5A5B"/>
    <w:rsid w:val="00AE6B22"/>
    <w:rsid w:val="00AE7240"/>
    <w:rsid w:val="00AF1BAB"/>
    <w:rsid w:val="00AF1FFA"/>
    <w:rsid w:val="00AF4514"/>
    <w:rsid w:val="00AF4828"/>
    <w:rsid w:val="00AF4F24"/>
    <w:rsid w:val="00AF5033"/>
    <w:rsid w:val="00AF5769"/>
    <w:rsid w:val="00AF6553"/>
    <w:rsid w:val="00AF76BE"/>
    <w:rsid w:val="00B01394"/>
    <w:rsid w:val="00B018BA"/>
    <w:rsid w:val="00B021C2"/>
    <w:rsid w:val="00B02F0C"/>
    <w:rsid w:val="00B0472E"/>
    <w:rsid w:val="00B0474D"/>
    <w:rsid w:val="00B04DE2"/>
    <w:rsid w:val="00B05096"/>
    <w:rsid w:val="00B07F15"/>
    <w:rsid w:val="00B1090B"/>
    <w:rsid w:val="00B121EF"/>
    <w:rsid w:val="00B13CE9"/>
    <w:rsid w:val="00B13EF4"/>
    <w:rsid w:val="00B15268"/>
    <w:rsid w:val="00B16D91"/>
    <w:rsid w:val="00B17DF0"/>
    <w:rsid w:val="00B229D9"/>
    <w:rsid w:val="00B23867"/>
    <w:rsid w:val="00B2410C"/>
    <w:rsid w:val="00B25A35"/>
    <w:rsid w:val="00B26085"/>
    <w:rsid w:val="00B261D9"/>
    <w:rsid w:val="00B27AC5"/>
    <w:rsid w:val="00B27DA5"/>
    <w:rsid w:val="00B30417"/>
    <w:rsid w:val="00B3064F"/>
    <w:rsid w:val="00B314BB"/>
    <w:rsid w:val="00B328FB"/>
    <w:rsid w:val="00B33652"/>
    <w:rsid w:val="00B376FA"/>
    <w:rsid w:val="00B40280"/>
    <w:rsid w:val="00B40B5B"/>
    <w:rsid w:val="00B419AD"/>
    <w:rsid w:val="00B4237F"/>
    <w:rsid w:val="00B44956"/>
    <w:rsid w:val="00B45C35"/>
    <w:rsid w:val="00B502E9"/>
    <w:rsid w:val="00B50970"/>
    <w:rsid w:val="00B52955"/>
    <w:rsid w:val="00B52D42"/>
    <w:rsid w:val="00B5353A"/>
    <w:rsid w:val="00B5456E"/>
    <w:rsid w:val="00B564B6"/>
    <w:rsid w:val="00B56CB0"/>
    <w:rsid w:val="00B60809"/>
    <w:rsid w:val="00B64A05"/>
    <w:rsid w:val="00B64A90"/>
    <w:rsid w:val="00B670C7"/>
    <w:rsid w:val="00B6776C"/>
    <w:rsid w:val="00B713AF"/>
    <w:rsid w:val="00B7210C"/>
    <w:rsid w:val="00B72A2B"/>
    <w:rsid w:val="00B72ECA"/>
    <w:rsid w:val="00B74CE1"/>
    <w:rsid w:val="00B759FC"/>
    <w:rsid w:val="00B75F2C"/>
    <w:rsid w:val="00B7731B"/>
    <w:rsid w:val="00B77434"/>
    <w:rsid w:val="00B81016"/>
    <w:rsid w:val="00B8162D"/>
    <w:rsid w:val="00B81767"/>
    <w:rsid w:val="00B82C49"/>
    <w:rsid w:val="00B83A7E"/>
    <w:rsid w:val="00B83B16"/>
    <w:rsid w:val="00B86819"/>
    <w:rsid w:val="00B87357"/>
    <w:rsid w:val="00B91704"/>
    <w:rsid w:val="00B94B14"/>
    <w:rsid w:val="00B96107"/>
    <w:rsid w:val="00B96514"/>
    <w:rsid w:val="00B96582"/>
    <w:rsid w:val="00B9674B"/>
    <w:rsid w:val="00B968C3"/>
    <w:rsid w:val="00BA01A3"/>
    <w:rsid w:val="00BA0A82"/>
    <w:rsid w:val="00BA3873"/>
    <w:rsid w:val="00BA42EB"/>
    <w:rsid w:val="00BA6126"/>
    <w:rsid w:val="00BA643F"/>
    <w:rsid w:val="00BB0DED"/>
    <w:rsid w:val="00BB16A5"/>
    <w:rsid w:val="00BB28E0"/>
    <w:rsid w:val="00BB38FB"/>
    <w:rsid w:val="00BB3E4F"/>
    <w:rsid w:val="00BB4C32"/>
    <w:rsid w:val="00BB5616"/>
    <w:rsid w:val="00BC25CF"/>
    <w:rsid w:val="00BC26B4"/>
    <w:rsid w:val="00BC36C6"/>
    <w:rsid w:val="00BC5B39"/>
    <w:rsid w:val="00BC797B"/>
    <w:rsid w:val="00BD0750"/>
    <w:rsid w:val="00BD14B5"/>
    <w:rsid w:val="00BD1BBB"/>
    <w:rsid w:val="00BD2E72"/>
    <w:rsid w:val="00BD4B81"/>
    <w:rsid w:val="00BD583C"/>
    <w:rsid w:val="00BD645B"/>
    <w:rsid w:val="00BE24A1"/>
    <w:rsid w:val="00BE37AF"/>
    <w:rsid w:val="00BE3923"/>
    <w:rsid w:val="00BE3C47"/>
    <w:rsid w:val="00BE4F77"/>
    <w:rsid w:val="00BE6729"/>
    <w:rsid w:val="00BE67DF"/>
    <w:rsid w:val="00BE6955"/>
    <w:rsid w:val="00BE6AC8"/>
    <w:rsid w:val="00BF0B95"/>
    <w:rsid w:val="00BF1627"/>
    <w:rsid w:val="00BF4849"/>
    <w:rsid w:val="00BF5F73"/>
    <w:rsid w:val="00BF6F4C"/>
    <w:rsid w:val="00BF7413"/>
    <w:rsid w:val="00C01128"/>
    <w:rsid w:val="00C01790"/>
    <w:rsid w:val="00C019C0"/>
    <w:rsid w:val="00C019D4"/>
    <w:rsid w:val="00C0203F"/>
    <w:rsid w:val="00C02297"/>
    <w:rsid w:val="00C02E11"/>
    <w:rsid w:val="00C032F4"/>
    <w:rsid w:val="00C03570"/>
    <w:rsid w:val="00C03FBF"/>
    <w:rsid w:val="00C05517"/>
    <w:rsid w:val="00C05BA3"/>
    <w:rsid w:val="00C05C0B"/>
    <w:rsid w:val="00C07B5B"/>
    <w:rsid w:val="00C10643"/>
    <w:rsid w:val="00C11086"/>
    <w:rsid w:val="00C117F3"/>
    <w:rsid w:val="00C121DD"/>
    <w:rsid w:val="00C173E1"/>
    <w:rsid w:val="00C2000F"/>
    <w:rsid w:val="00C2268F"/>
    <w:rsid w:val="00C23A3C"/>
    <w:rsid w:val="00C24E9D"/>
    <w:rsid w:val="00C255E6"/>
    <w:rsid w:val="00C27160"/>
    <w:rsid w:val="00C32D40"/>
    <w:rsid w:val="00C33090"/>
    <w:rsid w:val="00C330EB"/>
    <w:rsid w:val="00C3366A"/>
    <w:rsid w:val="00C34616"/>
    <w:rsid w:val="00C35D70"/>
    <w:rsid w:val="00C367FA"/>
    <w:rsid w:val="00C36F11"/>
    <w:rsid w:val="00C402B9"/>
    <w:rsid w:val="00C40875"/>
    <w:rsid w:val="00C417D7"/>
    <w:rsid w:val="00C42BA8"/>
    <w:rsid w:val="00C43016"/>
    <w:rsid w:val="00C436DE"/>
    <w:rsid w:val="00C44F34"/>
    <w:rsid w:val="00C452ED"/>
    <w:rsid w:val="00C4554A"/>
    <w:rsid w:val="00C47CA6"/>
    <w:rsid w:val="00C50022"/>
    <w:rsid w:val="00C50BFE"/>
    <w:rsid w:val="00C51238"/>
    <w:rsid w:val="00C51B2D"/>
    <w:rsid w:val="00C52E7B"/>
    <w:rsid w:val="00C53522"/>
    <w:rsid w:val="00C5381D"/>
    <w:rsid w:val="00C53B81"/>
    <w:rsid w:val="00C54CB2"/>
    <w:rsid w:val="00C55217"/>
    <w:rsid w:val="00C557E2"/>
    <w:rsid w:val="00C563BE"/>
    <w:rsid w:val="00C56647"/>
    <w:rsid w:val="00C572AA"/>
    <w:rsid w:val="00C57BF9"/>
    <w:rsid w:val="00C65CF4"/>
    <w:rsid w:val="00C65F5D"/>
    <w:rsid w:val="00C661BB"/>
    <w:rsid w:val="00C715D1"/>
    <w:rsid w:val="00C7174B"/>
    <w:rsid w:val="00C75296"/>
    <w:rsid w:val="00C75A96"/>
    <w:rsid w:val="00C805C8"/>
    <w:rsid w:val="00C80D1B"/>
    <w:rsid w:val="00C859D6"/>
    <w:rsid w:val="00C901A0"/>
    <w:rsid w:val="00C901E8"/>
    <w:rsid w:val="00C91CA3"/>
    <w:rsid w:val="00C91CB5"/>
    <w:rsid w:val="00C926C1"/>
    <w:rsid w:val="00C941A7"/>
    <w:rsid w:val="00C94789"/>
    <w:rsid w:val="00C9497A"/>
    <w:rsid w:val="00C94CE8"/>
    <w:rsid w:val="00C95B82"/>
    <w:rsid w:val="00C96D93"/>
    <w:rsid w:val="00C970AA"/>
    <w:rsid w:val="00CA179E"/>
    <w:rsid w:val="00CA1F87"/>
    <w:rsid w:val="00CA2056"/>
    <w:rsid w:val="00CA28E5"/>
    <w:rsid w:val="00CA3865"/>
    <w:rsid w:val="00CA74DA"/>
    <w:rsid w:val="00CA7597"/>
    <w:rsid w:val="00CA7E0E"/>
    <w:rsid w:val="00CB1EBC"/>
    <w:rsid w:val="00CB28AC"/>
    <w:rsid w:val="00CB28D1"/>
    <w:rsid w:val="00CB2A28"/>
    <w:rsid w:val="00CB2F6A"/>
    <w:rsid w:val="00CB3FDF"/>
    <w:rsid w:val="00CB41DF"/>
    <w:rsid w:val="00CB4A56"/>
    <w:rsid w:val="00CB4E1E"/>
    <w:rsid w:val="00CB5353"/>
    <w:rsid w:val="00CC0135"/>
    <w:rsid w:val="00CC1953"/>
    <w:rsid w:val="00CC21E6"/>
    <w:rsid w:val="00CC21EE"/>
    <w:rsid w:val="00CC23BE"/>
    <w:rsid w:val="00CC2949"/>
    <w:rsid w:val="00CC2E67"/>
    <w:rsid w:val="00CC4801"/>
    <w:rsid w:val="00CC7086"/>
    <w:rsid w:val="00CD003B"/>
    <w:rsid w:val="00CD0220"/>
    <w:rsid w:val="00CD065C"/>
    <w:rsid w:val="00CD3060"/>
    <w:rsid w:val="00CD586C"/>
    <w:rsid w:val="00CE3EC5"/>
    <w:rsid w:val="00CE4435"/>
    <w:rsid w:val="00CE4D2E"/>
    <w:rsid w:val="00CE7301"/>
    <w:rsid w:val="00CE7A8E"/>
    <w:rsid w:val="00CF0FED"/>
    <w:rsid w:val="00CF1C34"/>
    <w:rsid w:val="00CF23AD"/>
    <w:rsid w:val="00CF2454"/>
    <w:rsid w:val="00CF250A"/>
    <w:rsid w:val="00CF302A"/>
    <w:rsid w:val="00CF5F51"/>
    <w:rsid w:val="00CF7797"/>
    <w:rsid w:val="00D00AAA"/>
    <w:rsid w:val="00D01C54"/>
    <w:rsid w:val="00D02B2A"/>
    <w:rsid w:val="00D04FC8"/>
    <w:rsid w:val="00D056BA"/>
    <w:rsid w:val="00D05EB4"/>
    <w:rsid w:val="00D06026"/>
    <w:rsid w:val="00D06C48"/>
    <w:rsid w:val="00D07319"/>
    <w:rsid w:val="00D10C29"/>
    <w:rsid w:val="00D1128E"/>
    <w:rsid w:val="00D1205B"/>
    <w:rsid w:val="00D12FEB"/>
    <w:rsid w:val="00D13D2A"/>
    <w:rsid w:val="00D14C1A"/>
    <w:rsid w:val="00D20572"/>
    <w:rsid w:val="00D20849"/>
    <w:rsid w:val="00D22CD3"/>
    <w:rsid w:val="00D23657"/>
    <w:rsid w:val="00D23708"/>
    <w:rsid w:val="00D23882"/>
    <w:rsid w:val="00D243C1"/>
    <w:rsid w:val="00D24A02"/>
    <w:rsid w:val="00D25BD2"/>
    <w:rsid w:val="00D27AE8"/>
    <w:rsid w:val="00D30493"/>
    <w:rsid w:val="00D316C3"/>
    <w:rsid w:val="00D31D76"/>
    <w:rsid w:val="00D32DC3"/>
    <w:rsid w:val="00D33C0A"/>
    <w:rsid w:val="00D36F0E"/>
    <w:rsid w:val="00D37508"/>
    <w:rsid w:val="00D37F72"/>
    <w:rsid w:val="00D4181B"/>
    <w:rsid w:val="00D42880"/>
    <w:rsid w:val="00D428B2"/>
    <w:rsid w:val="00D43F73"/>
    <w:rsid w:val="00D45A76"/>
    <w:rsid w:val="00D464CE"/>
    <w:rsid w:val="00D46F2F"/>
    <w:rsid w:val="00D47358"/>
    <w:rsid w:val="00D475CB"/>
    <w:rsid w:val="00D51781"/>
    <w:rsid w:val="00D526B6"/>
    <w:rsid w:val="00D53773"/>
    <w:rsid w:val="00D5403A"/>
    <w:rsid w:val="00D5410F"/>
    <w:rsid w:val="00D54684"/>
    <w:rsid w:val="00D55D55"/>
    <w:rsid w:val="00D55F47"/>
    <w:rsid w:val="00D5621D"/>
    <w:rsid w:val="00D5625F"/>
    <w:rsid w:val="00D56DAE"/>
    <w:rsid w:val="00D60F77"/>
    <w:rsid w:val="00D616AE"/>
    <w:rsid w:val="00D61BE3"/>
    <w:rsid w:val="00D625D7"/>
    <w:rsid w:val="00D62E99"/>
    <w:rsid w:val="00D63D75"/>
    <w:rsid w:val="00D65240"/>
    <w:rsid w:val="00D65A0A"/>
    <w:rsid w:val="00D662F8"/>
    <w:rsid w:val="00D704F6"/>
    <w:rsid w:val="00D70900"/>
    <w:rsid w:val="00D70D31"/>
    <w:rsid w:val="00D72EF4"/>
    <w:rsid w:val="00D74542"/>
    <w:rsid w:val="00D74D39"/>
    <w:rsid w:val="00D74EB0"/>
    <w:rsid w:val="00D75CE8"/>
    <w:rsid w:val="00D75FA1"/>
    <w:rsid w:val="00D81EFB"/>
    <w:rsid w:val="00D82C8D"/>
    <w:rsid w:val="00D82D78"/>
    <w:rsid w:val="00D85013"/>
    <w:rsid w:val="00D851E7"/>
    <w:rsid w:val="00D865F6"/>
    <w:rsid w:val="00D876AD"/>
    <w:rsid w:val="00D9064C"/>
    <w:rsid w:val="00D90E60"/>
    <w:rsid w:val="00D92BC2"/>
    <w:rsid w:val="00D92FEB"/>
    <w:rsid w:val="00D93410"/>
    <w:rsid w:val="00D94060"/>
    <w:rsid w:val="00D9418D"/>
    <w:rsid w:val="00D945B5"/>
    <w:rsid w:val="00D94BBE"/>
    <w:rsid w:val="00DA05E9"/>
    <w:rsid w:val="00DA0C3F"/>
    <w:rsid w:val="00DA11BB"/>
    <w:rsid w:val="00DA302C"/>
    <w:rsid w:val="00DA465C"/>
    <w:rsid w:val="00DA571E"/>
    <w:rsid w:val="00DA658D"/>
    <w:rsid w:val="00DA6A43"/>
    <w:rsid w:val="00DA77F5"/>
    <w:rsid w:val="00DB0099"/>
    <w:rsid w:val="00DB00E1"/>
    <w:rsid w:val="00DB05C5"/>
    <w:rsid w:val="00DB1AD1"/>
    <w:rsid w:val="00DB224A"/>
    <w:rsid w:val="00DB4FE6"/>
    <w:rsid w:val="00DB7297"/>
    <w:rsid w:val="00DC34D2"/>
    <w:rsid w:val="00DC4F5F"/>
    <w:rsid w:val="00DC5116"/>
    <w:rsid w:val="00DC6401"/>
    <w:rsid w:val="00DC6706"/>
    <w:rsid w:val="00DC6B75"/>
    <w:rsid w:val="00DC77C0"/>
    <w:rsid w:val="00DC7D07"/>
    <w:rsid w:val="00DD146D"/>
    <w:rsid w:val="00DD36CC"/>
    <w:rsid w:val="00DD39B7"/>
    <w:rsid w:val="00DD3AB1"/>
    <w:rsid w:val="00DD4C3F"/>
    <w:rsid w:val="00DD51EE"/>
    <w:rsid w:val="00DD7E94"/>
    <w:rsid w:val="00DE1D0D"/>
    <w:rsid w:val="00DE1D96"/>
    <w:rsid w:val="00DE275A"/>
    <w:rsid w:val="00DE34D9"/>
    <w:rsid w:val="00DE465A"/>
    <w:rsid w:val="00DE4AC4"/>
    <w:rsid w:val="00DE62CD"/>
    <w:rsid w:val="00DE79A9"/>
    <w:rsid w:val="00DE79B0"/>
    <w:rsid w:val="00DF1BC0"/>
    <w:rsid w:val="00DF30C6"/>
    <w:rsid w:val="00DF3955"/>
    <w:rsid w:val="00DF5D9A"/>
    <w:rsid w:val="00DF6B91"/>
    <w:rsid w:val="00E000B2"/>
    <w:rsid w:val="00E016EB"/>
    <w:rsid w:val="00E0184B"/>
    <w:rsid w:val="00E01C10"/>
    <w:rsid w:val="00E023DC"/>
    <w:rsid w:val="00E028EC"/>
    <w:rsid w:val="00E02C4A"/>
    <w:rsid w:val="00E03237"/>
    <w:rsid w:val="00E05AEA"/>
    <w:rsid w:val="00E06B99"/>
    <w:rsid w:val="00E06D86"/>
    <w:rsid w:val="00E0766C"/>
    <w:rsid w:val="00E0787C"/>
    <w:rsid w:val="00E10A07"/>
    <w:rsid w:val="00E10AF3"/>
    <w:rsid w:val="00E1224E"/>
    <w:rsid w:val="00E12337"/>
    <w:rsid w:val="00E12D49"/>
    <w:rsid w:val="00E1558C"/>
    <w:rsid w:val="00E157A0"/>
    <w:rsid w:val="00E15E4F"/>
    <w:rsid w:val="00E17F75"/>
    <w:rsid w:val="00E20972"/>
    <w:rsid w:val="00E24370"/>
    <w:rsid w:val="00E2460C"/>
    <w:rsid w:val="00E24939"/>
    <w:rsid w:val="00E32CF8"/>
    <w:rsid w:val="00E32D3C"/>
    <w:rsid w:val="00E32D73"/>
    <w:rsid w:val="00E3402F"/>
    <w:rsid w:val="00E348D3"/>
    <w:rsid w:val="00E37C3C"/>
    <w:rsid w:val="00E40602"/>
    <w:rsid w:val="00E42D10"/>
    <w:rsid w:val="00E43378"/>
    <w:rsid w:val="00E446C6"/>
    <w:rsid w:val="00E467A3"/>
    <w:rsid w:val="00E522E7"/>
    <w:rsid w:val="00E543F4"/>
    <w:rsid w:val="00E561DD"/>
    <w:rsid w:val="00E603C6"/>
    <w:rsid w:val="00E60818"/>
    <w:rsid w:val="00E6120F"/>
    <w:rsid w:val="00E61415"/>
    <w:rsid w:val="00E63C63"/>
    <w:rsid w:val="00E64634"/>
    <w:rsid w:val="00E654EB"/>
    <w:rsid w:val="00E6587E"/>
    <w:rsid w:val="00E65884"/>
    <w:rsid w:val="00E65F1E"/>
    <w:rsid w:val="00E703CC"/>
    <w:rsid w:val="00E72719"/>
    <w:rsid w:val="00E7280F"/>
    <w:rsid w:val="00E73303"/>
    <w:rsid w:val="00E73A61"/>
    <w:rsid w:val="00E77569"/>
    <w:rsid w:val="00E8286D"/>
    <w:rsid w:val="00E8309F"/>
    <w:rsid w:val="00E8323D"/>
    <w:rsid w:val="00E84C04"/>
    <w:rsid w:val="00E862F8"/>
    <w:rsid w:val="00E87F36"/>
    <w:rsid w:val="00E87F90"/>
    <w:rsid w:val="00E91846"/>
    <w:rsid w:val="00E91AFC"/>
    <w:rsid w:val="00E93879"/>
    <w:rsid w:val="00E93F1E"/>
    <w:rsid w:val="00E95C6A"/>
    <w:rsid w:val="00E95EA1"/>
    <w:rsid w:val="00E9770B"/>
    <w:rsid w:val="00E97DC8"/>
    <w:rsid w:val="00E97DF8"/>
    <w:rsid w:val="00EA0BCA"/>
    <w:rsid w:val="00EA14A5"/>
    <w:rsid w:val="00EA38B2"/>
    <w:rsid w:val="00EA58D6"/>
    <w:rsid w:val="00EB0CDC"/>
    <w:rsid w:val="00EB0FA7"/>
    <w:rsid w:val="00EB1974"/>
    <w:rsid w:val="00EB35AD"/>
    <w:rsid w:val="00EB57A0"/>
    <w:rsid w:val="00EB6497"/>
    <w:rsid w:val="00EC107F"/>
    <w:rsid w:val="00EC1113"/>
    <w:rsid w:val="00EC207A"/>
    <w:rsid w:val="00EC238C"/>
    <w:rsid w:val="00EC2450"/>
    <w:rsid w:val="00EC2D80"/>
    <w:rsid w:val="00EC3AA0"/>
    <w:rsid w:val="00ED0B22"/>
    <w:rsid w:val="00ED11E4"/>
    <w:rsid w:val="00ED2537"/>
    <w:rsid w:val="00ED4CC3"/>
    <w:rsid w:val="00ED5994"/>
    <w:rsid w:val="00ED71F1"/>
    <w:rsid w:val="00EE1261"/>
    <w:rsid w:val="00EE188A"/>
    <w:rsid w:val="00EE2C14"/>
    <w:rsid w:val="00EE5138"/>
    <w:rsid w:val="00EE56CB"/>
    <w:rsid w:val="00EE5E98"/>
    <w:rsid w:val="00EF009C"/>
    <w:rsid w:val="00EF0BE2"/>
    <w:rsid w:val="00EF119A"/>
    <w:rsid w:val="00EF12DA"/>
    <w:rsid w:val="00EF532B"/>
    <w:rsid w:val="00EF53E9"/>
    <w:rsid w:val="00EF6491"/>
    <w:rsid w:val="00EF6C88"/>
    <w:rsid w:val="00EF6C8D"/>
    <w:rsid w:val="00F00BF7"/>
    <w:rsid w:val="00F01508"/>
    <w:rsid w:val="00F02CC0"/>
    <w:rsid w:val="00F04BBC"/>
    <w:rsid w:val="00F0540C"/>
    <w:rsid w:val="00F05FDD"/>
    <w:rsid w:val="00F0648B"/>
    <w:rsid w:val="00F141CF"/>
    <w:rsid w:val="00F16CB1"/>
    <w:rsid w:val="00F17949"/>
    <w:rsid w:val="00F21958"/>
    <w:rsid w:val="00F21E43"/>
    <w:rsid w:val="00F253E2"/>
    <w:rsid w:val="00F25F2D"/>
    <w:rsid w:val="00F26CC6"/>
    <w:rsid w:val="00F30051"/>
    <w:rsid w:val="00F300AC"/>
    <w:rsid w:val="00F3115A"/>
    <w:rsid w:val="00F34269"/>
    <w:rsid w:val="00F34729"/>
    <w:rsid w:val="00F3494B"/>
    <w:rsid w:val="00F378A6"/>
    <w:rsid w:val="00F37F00"/>
    <w:rsid w:val="00F4095A"/>
    <w:rsid w:val="00F413A5"/>
    <w:rsid w:val="00F41C3E"/>
    <w:rsid w:val="00F4253E"/>
    <w:rsid w:val="00F43612"/>
    <w:rsid w:val="00F4393B"/>
    <w:rsid w:val="00F45766"/>
    <w:rsid w:val="00F4707F"/>
    <w:rsid w:val="00F5047E"/>
    <w:rsid w:val="00F50827"/>
    <w:rsid w:val="00F5091E"/>
    <w:rsid w:val="00F51488"/>
    <w:rsid w:val="00F51BEE"/>
    <w:rsid w:val="00F5309C"/>
    <w:rsid w:val="00F531C1"/>
    <w:rsid w:val="00F5343E"/>
    <w:rsid w:val="00F542BA"/>
    <w:rsid w:val="00F55A9E"/>
    <w:rsid w:val="00F568E5"/>
    <w:rsid w:val="00F56D6E"/>
    <w:rsid w:val="00F57435"/>
    <w:rsid w:val="00F61796"/>
    <w:rsid w:val="00F62ACB"/>
    <w:rsid w:val="00F6322C"/>
    <w:rsid w:val="00F64E66"/>
    <w:rsid w:val="00F65F32"/>
    <w:rsid w:val="00F6665F"/>
    <w:rsid w:val="00F714FD"/>
    <w:rsid w:val="00F803D6"/>
    <w:rsid w:val="00F825B7"/>
    <w:rsid w:val="00F82D4B"/>
    <w:rsid w:val="00F83978"/>
    <w:rsid w:val="00F83AF8"/>
    <w:rsid w:val="00F84ADA"/>
    <w:rsid w:val="00F85330"/>
    <w:rsid w:val="00F8584F"/>
    <w:rsid w:val="00F85892"/>
    <w:rsid w:val="00F8659B"/>
    <w:rsid w:val="00F86ACE"/>
    <w:rsid w:val="00F87F8D"/>
    <w:rsid w:val="00F91871"/>
    <w:rsid w:val="00F91B41"/>
    <w:rsid w:val="00F91E29"/>
    <w:rsid w:val="00F93D4B"/>
    <w:rsid w:val="00F94664"/>
    <w:rsid w:val="00F95764"/>
    <w:rsid w:val="00F976A0"/>
    <w:rsid w:val="00FA0975"/>
    <w:rsid w:val="00FA0A9A"/>
    <w:rsid w:val="00FA1C85"/>
    <w:rsid w:val="00FA5C68"/>
    <w:rsid w:val="00FA78A8"/>
    <w:rsid w:val="00FA7B73"/>
    <w:rsid w:val="00FB00A1"/>
    <w:rsid w:val="00FB0145"/>
    <w:rsid w:val="00FB308F"/>
    <w:rsid w:val="00FB3538"/>
    <w:rsid w:val="00FB3908"/>
    <w:rsid w:val="00FB45BE"/>
    <w:rsid w:val="00FB47F5"/>
    <w:rsid w:val="00FB5D31"/>
    <w:rsid w:val="00FC0A91"/>
    <w:rsid w:val="00FC1B47"/>
    <w:rsid w:val="00FC28F4"/>
    <w:rsid w:val="00FC2BB1"/>
    <w:rsid w:val="00FC42F4"/>
    <w:rsid w:val="00FC4A17"/>
    <w:rsid w:val="00FC54D4"/>
    <w:rsid w:val="00FC6A61"/>
    <w:rsid w:val="00FC7F37"/>
    <w:rsid w:val="00FD17A6"/>
    <w:rsid w:val="00FD2FA3"/>
    <w:rsid w:val="00FD4307"/>
    <w:rsid w:val="00FD4993"/>
    <w:rsid w:val="00FD6D7D"/>
    <w:rsid w:val="00FE1133"/>
    <w:rsid w:val="00FE19F2"/>
    <w:rsid w:val="00FE334D"/>
    <w:rsid w:val="00FE39E8"/>
    <w:rsid w:val="00FE4133"/>
    <w:rsid w:val="00FE4405"/>
    <w:rsid w:val="00FE503D"/>
    <w:rsid w:val="00FE5222"/>
    <w:rsid w:val="00FE5838"/>
    <w:rsid w:val="00FE5CF0"/>
    <w:rsid w:val="00FE6FE8"/>
    <w:rsid w:val="00FE7439"/>
    <w:rsid w:val="00FE746E"/>
    <w:rsid w:val="00FE7DA0"/>
    <w:rsid w:val="00FF0A25"/>
    <w:rsid w:val="00FF2E4F"/>
    <w:rsid w:val="00FF2FA3"/>
    <w:rsid w:val="00FF3EDD"/>
    <w:rsid w:val="00FF418C"/>
    <w:rsid w:val="00FF5815"/>
    <w:rsid w:val="00FF5850"/>
    <w:rsid w:val="00FF65B7"/>
    <w:rsid w:val="00FF6E2B"/>
    <w:rsid w:val="0154B144"/>
    <w:rsid w:val="017B4EAA"/>
    <w:rsid w:val="019F202E"/>
    <w:rsid w:val="01DE05CD"/>
    <w:rsid w:val="020C07B9"/>
    <w:rsid w:val="02607F22"/>
    <w:rsid w:val="02ACB740"/>
    <w:rsid w:val="02CE9EF9"/>
    <w:rsid w:val="02DC9789"/>
    <w:rsid w:val="0337C7B8"/>
    <w:rsid w:val="03A5B2AC"/>
    <w:rsid w:val="03E50753"/>
    <w:rsid w:val="044CA003"/>
    <w:rsid w:val="046B3F7D"/>
    <w:rsid w:val="04D4AE49"/>
    <w:rsid w:val="04E449FA"/>
    <w:rsid w:val="04E839D4"/>
    <w:rsid w:val="04ED258D"/>
    <w:rsid w:val="05614BBE"/>
    <w:rsid w:val="059DAE33"/>
    <w:rsid w:val="05DE1468"/>
    <w:rsid w:val="06027BB8"/>
    <w:rsid w:val="0620797D"/>
    <w:rsid w:val="063FC329"/>
    <w:rsid w:val="06700641"/>
    <w:rsid w:val="06E472A1"/>
    <w:rsid w:val="06EB1788"/>
    <w:rsid w:val="072A78BD"/>
    <w:rsid w:val="0775ABCF"/>
    <w:rsid w:val="080AEEEC"/>
    <w:rsid w:val="082F8511"/>
    <w:rsid w:val="0889A5E4"/>
    <w:rsid w:val="08FE9D82"/>
    <w:rsid w:val="09221D68"/>
    <w:rsid w:val="094ACBE6"/>
    <w:rsid w:val="099C6158"/>
    <w:rsid w:val="099E345B"/>
    <w:rsid w:val="0A0808AA"/>
    <w:rsid w:val="0A265EFC"/>
    <w:rsid w:val="0A769FAC"/>
    <w:rsid w:val="0AE03F9C"/>
    <w:rsid w:val="0AEC98B4"/>
    <w:rsid w:val="0BD832DF"/>
    <w:rsid w:val="0BFAD3D1"/>
    <w:rsid w:val="0C267B31"/>
    <w:rsid w:val="0C7095E9"/>
    <w:rsid w:val="0C70B703"/>
    <w:rsid w:val="0C8D1868"/>
    <w:rsid w:val="0D425C82"/>
    <w:rsid w:val="0D56F5E8"/>
    <w:rsid w:val="0DCE1342"/>
    <w:rsid w:val="0E00DBB5"/>
    <w:rsid w:val="0E341B0A"/>
    <w:rsid w:val="0E3830A6"/>
    <w:rsid w:val="0E4D4367"/>
    <w:rsid w:val="0E5EF9AE"/>
    <w:rsid w:val="0F1D22CC"/>
    <w:rsid w:val="0F437EBE"/>
    <w:rsid w:val="0FDA1AFB"/>
    <w:rsid w:val="0FEC70E2"/>
    <w:rsid w:val="0FECFF5E"/>
    <w:rsid w:val="100E1C23"/>
    <w:rsid w:val="103DD60E"/>
    <w:rsid w:val="108233C6"/>
    <w:rsid w:val="10982C27"/>
    <w:rsid w:val="11176DAE"/>
    <w:rsid w:val="112AC152"/>
    <w:rsid w:val="11A76F20"/>
    <w:rsid w:val="11DAE629"/>
    <w:rsid w:val="11FCFA28"/>
    <w:rsid w:val="128C0F84"/>
    <w:rsid w:val="12A5DE14"/>
    <w:rsid w:val="13078C2D"/>
    <w:rsid w:val="1328BD73"/>
    <w:rsid w:val="133B2B86"/>
    <w:rsid w:val="1367605B"/>
    <w:rsid w:val="14056822"/>
    <w:rsid w:val="14114C65"/>
    <w:rsid w:val="14F49661"/>
    <w:rsid w:val="150140C2"/>
    <w:rsid w:val="15524EAD"/>
    <w:rsid w:val="15536650"/>
    <w:rsid w:val="155686C0"/>
    <w:rsid w:val="15B6B369"/>
    <w:rsid w:val="164CBB17"/>
    <w:rsid w:val="17ADA281"/>
    <w:rsid w:val="17EFCF78"/>
    <w:rsid w:val="182BFAF2"/>
    <w:rsid w:val="18C4B84D"/>
    <w:rsid w:val="18D17367"/>
    <w:rsid w:val="18DEC4BE"/>
    <w:rsid w:val="18E1B319"/>
    <w:rsid w:val="19140D65"/>
    <w:rsid w:val="19B4F92D"/>
    <w:rsid w:val="1A4F3A40"/>
    <w:rsid w:val="1A74F650"/>
    <w:rsid w:val="1AAFA1C8"/>
    <w:rsid w:val="1AD8E306"/>
    <w:rsid w:val="1B65B8A5"/>
    <w:rsid w:val="1B801036"/>
    <w:rsid w:val="1C64E020"/>
    <w:rsid w:val="1C76FCAE"/>
    <w:rsid w:val="1C8FCE8C"/>
    <w:rsid w:val="1CE936D6"/>
    <w:rsid w:val="1D0B7477"/>
    <w:rsid w:val="1D1CFA5C"/>
    <w:rsid w:val="1D6004C0"/>
    <w:rsid w:val="1D76419E"/>
    <w:rsid w:val="1DD2BE2C"/>
    <w:rsid w:val="1E17472E"/>
    <w:rsid w:val="1E27B3B9"/>
    <w:rsid w:val="1E6185BD"/>
    <w:rsid w:val="1EE95BF6"/>
    <w:rsid w:val="1F4E48FC"/>
    <w:rsid w:val="1F5B7895"/>
    <w:rsid w:val="200958C2"/>
    <w:rsid w:val="200B1254"/>
    <w:rsid w:val="201EC3F1"/>
    <w:rsid w:val="2054B060"/>
    <w:rsid w:val="20B41772"/>
    <w:rsid w:val="20BEC357"/>
    <w:rsid w:val="20F25DAC"/>
    <w:rsid w:val="21362EEE"/>
    <w:rsid w:val="21A9DA15"/>
    <w:rsid w:val="2228A369"/>
    <w:rsid w:val="22613229"/>
    <w:rsid w:val="2336D996"/>
    <w:rsid w:val="23B67ACC"/>
    <w:rsid w:val="249E71F5"/>
    <w:rsid w:val="2513F3FC"/>
    <w:rsid w:val="25C42599"/>
    <w:rsid w:val="2619B851"/>
    <w:rsid w:val="2626C466"/>
    <w:rsid w:val="263F75A7"/>
    <w:rsid w:val="265445BB"/>
    <w:rsid w:val="26A667FD"/>
    <w:rsid w:val="270535BB"/>
    <w:rsid w:val="27088D40"/>
    <w:rsid w:val="2722FC55"/>
    <w:rsid w:val="274B9D77"/>
    <w:rsid w:val="275D78A5"/>
    <w:rsid w:val="27AFDD8D"/>
    <w:rsid w:val="27EF2ED1"/>
    <w:rsid w:val="28860DAB"/>
    <w:rsid w:val="2899BDE7"/>
    <w:rsid w:val="28CC3F20"/>
    <w:rsid w:val="2903DE46"/>
    <w:rsid w:val="298DDB22"/>
    <w:rsid w:val="299270A8"/>
    <w:rsid w:val="2A0CCE10"/>
    <w:rsid w:val="2A979744"/>
    <w:rsid w:val="2AD0BE8F"/>
    <w:rsid w:val="2B020283"/>
    <w:rsid w:val="2B0DB379"/>
    <w:rsid w:val="2BF21EBB"/>
    <w:rsid w:val="2CB2CA73"/>
    <w:rsid w:val="2CB36634"/>
    <w:rsid w:val="2CFA9886"/>
    <w:rsid w:val="2D181F69"/>
    <w:rsid w:val="2DAACCFF"/>
    <w:rsid w:val="2DD0A17C"/>
    <w:rsid w:val="2DFE2674"/>
    <w:rsid w:val="2E7A5E03"/>
    <w:rsid w:val="2ECBB92A"/>
    <w:rsid w:val="2F48D5A5"/>
    <w:rsid w:val="2F7FAF01"/>
    <w:rsid w:val="2F894A0F"/>
    <w:rsid w:val="2FC02C10"/>
    <w:rsid w:val="2FECA88F"/>
    <w:rsid w:val="2FFE187C"/>
    <w:rsid w:val="3007121C"/>
    <w:rsid w:val="30FDD32A"/>
    <w:rsid w:val="3144DE56"/>
    <w:rsid w:val="3163585E"/>
    <w:rsid w:val="317CBEDD"/>
    <w:rsid w:val="319C077F"/>
    <w:rsid w:val="31D3764C"/>
    <w:rsid w:val="32654C46"/>
    <w:rsid w:val="338A6846"/>
    <w:rsid w:val="33928B1D"/>
    <w:rsid w:val="3400E626"/>
    <w:rsid w:val="34C936A6"/>
    <w:rsid w:val="34CE21A6"/>
    <w:rsid w:val="34E6DAE6"/>
    <w:rsid w:val="34E8DF2D"/>
    <w:rsid w:val="357B6C3E"/>
    <w:rsid w:val="3584BC3D"/>
    <w:rsid w:val="3664AEE0"/>
    <w:rsid w:val="366E32C5"/>
    <w:rsid w:val="36B23437"/>
    <w:rsid w:val="36F72F6E"/>
    <w:rsid w:val="37460F19"/>
    <w:rsid w:val="377A87B4"/>
    <w:rsid w:val="37A3CABA"/>
    <w:rsid w:val="37C529E9"/>
    <w:rsid w:val="384C08AE"/>
    <w:rsid w:val="3887E250"/>
    <w:rsid w:val="38B7D110"/>
    <w:rsid w:val="39219041"/>
    <w:rsid w:val="398716FB"/>
    <w:rsid w:val="39A178E5"/>
    <w:rsid w:val="39D38EF1"/>
    <w:rsid w:val="39F92181"/>
    <w:rsid w:val="3A02D965"/>
    <w:rsid w:val="3A4F705F"/>
    <w:rsid w:val="3A65E604"/>
    <w:rsid w:val="3A792647"/>
    <w:rsid w:val="3A889ED3"/>
    <w:rsid w:val="3A8EA942"/>
    <w:rsid w:val="3BA219F0"/>
    <w:rsid w:val="3BACCE76"/>
    <w:rsid w:val="3BFEB793"/>
    <w:rsid w:val="3C0E4718"/>
    <w:rsid w:val="3C5AAC3C"/>
    <w:rsid w:val="3C6AD3A8"/>
    <w:rsid w:val="3C7F1BB3"/>
    <w:rsid w:val="3CB1724B"/>
    <w:rsid w:val="3D551BF7"/>
    <w:rsid w:val="3D881808"/>
    <w:rsid w:val="3D93EA5B"/>
    <w:rsid w:val="3D954926"/>
    <w:rsid w:val="3D9584C2"/>
    <w:rsid w:val="3DD8416F"/>
    <w:rsid w:val="3E14EA44"/>
    <w:rsid w:val="3E23CCAD"/>
    <w:rsid w:val="3E92389A"/>
    <w:rsid w:val="3EBF3E74"/>
    <w:rsid w:val="3F528F97"/>
    <w:rsid w:val="3F67DC61"/>
    <w:rsid w:val="3F90C328"/>
    <w:rsid w:val="40148279"/>
    <w:rsid w:val="408FB6FB"/>
    <w:rsid w:val="409A9216"/>
    <w:rsid w:val="40A6D71C"/>
    <w:rsid w:val="40B83295"/>
    <w:rsid w:val="412DFAC3"/>
    <w:rsid w:val="41AC75A0"/>
    <w:rsid w:val="41C502FB"/>
    <w:rsid w:val="41C7BC37"/>
    <w:rsid w:val="41EB86ED"/>
    <w:rsid w:val="42832715"/>
    <w:rsid w:val="42A5D3BB"/>
    <w:rsid w:val="44096CFA"/>
    <w:rsid w:val="4415A4B1"/>
    <w:rsid w:val="450ACCE3"/>
    <w:rsid w:val="45932367"/>
    <w:rsid w:val="45A4A8DC"/>
    <w:rsid w:val="460CF8CB"/>
    <w:rsid w:val="460F1474"/>
    <w:rsid w:val="4619D336"/>
    <w:rsid w:val="46264DA3"/>
    <w:rsid w:val="465D7CF8"/>
    <w:rsid w:val="4660A759"/>
    <w:rsid w:val="46E6EA40"/>
    <w:rsid w:val="4700CC76"/>
    <w:rsid w:val="475CD198"/>
    <w:rsid w:val="479F3C93"/>
    <w:rsid w:val="47BB55F6"/>
    <w:rsid w:val="483FBCD1"/>
    <w:rsid w:val="4846EF0B"/>
    <w:rsid w:val="48601F88"/>
    <w:rsid w:val="48ACA9E6"/>
    <w:rsid w:val="48B11EC6"/>
    <w:rsid w:val="48E601C5"/>
    <w:rsid w:val="48FB92A2"/>
    <w:rsid w:val="498CEFD5"/>
    <w:rsid w:val="49B09EDF"/>
    <w:rsid w:val="49B9C346"/>
    <w:rsid w:val="4A10C956"/>
    <w:rsid w:val="4A14AB9B"/>
    <w:rsid w:val="4A220605"/>
    <w:rsid w:val="4A9FACC1"/>
    <w:rsid w:val="4AA43DD2"/>
    <w:rsid w:val="4AA9E786"/>
    <w:rsid w:val="4AC26150"/>
    <w:rsid w:val="4AC3A0A2"/>
    <w:rsid w:val="4B28B266"/>
    <w:rsid w:val="4B8215F5"/>
    <w:rsid w:val="4BD72DA1"/>
    <w:rsid w:val="4C297802"/>
    <w:rsid w:val="4C5222F6"/>
    <w:rsid w:val="4C5F7017"/>
    <w:rsid w:val="4CCEE998"/>
    <w:rsid w:val="4D28E998"/>
    <w:rsid w:val="4D588B77"/>
    <w:rsid w:val="4D67779A"/>
    <w:rsid w:val="4D7F773E"/>
    <w:rsid w:val="4D8AFA1A"/>
    <w:rsid w:val="4E077F36"/>
    <w:rsid w:val="4E2E0E84"/>
    <w:rsid w:val="4EAC7A72"/>
    <w:rsid w:val="4F466476"/>
    <w:rsid w:val="4F6B48E7"/>
    <w:rsid w:val="4FCED843"/>
    <w:rsid w:val="50185D4D"/>
    <w:rsid w:val="501C19AA"/>
    <w:rsid w:val="506024E2"/>
    <w:rsid w:val="50661AD3"/>
    <w:rsid w:val="50A68152"/>
    <w:rsid w:val="50B6187B"/>
    <w:rsid w:val="50D33A6B"/>
    <w:rsid w:val="50E1F701"/>
    <w:rsid w:val="50E3AE74"/>
    <w:rsid w:val="51071948"/>
    <w:rsid w:val="51238316"/>
    <w:rsid w:val="5151F881"/>
    <w:rsid w:val="5218AC0F"/>
    <w:rsid w:val="523E03B2"/>
    <w:rsid w:val="525BC8E1"/>
    <w:rsid w:val="52A43FBC"/>
    <w:rsid w:val="52B14DDA"/>
    <w:rsid w:val="52B3660B"/>
    <w:rsid w:val="52B3B33F"/>
    <w:rsid w:val="52C49ED7"/>
    <w:rsid w:val="52D13D42"/>
    <w:rsid w:val="5399E411"/>
    <w:rsid w:val="53BABB02"/>
    <w:rsid w:val="53E60DA2"/>
    <w:rsid w:val="548FDDA5"/>
    <w:rsid w:val="5565E254"/>
    <w:rsid w:val="5587E992"/>
    <w:rsid w:val="55E3F2FF"/>
    <w:rsid w:val="5608F202"/>
    <w:rsid w:val="565F7828"/>
    <w:rsid w:val="5685CF13"/>
    <w:rsid w:val="56B62F97"/>
    <w:rsid w:val="56BD5E24"/>
    <w:rsid w:val="56C612B6"/>
    <w:rsid w:val="56F39233"/>
    <w:rsid w:val="570875BD"/>
    <w:rsid w:val="57427BEF"/>
    <w:rsid w:val="586EE0DD"/>
    <w:rsid w:val="58BAC609"/>
    <w:rsid w:val="59888A35"/>
    <w:rsid w:val="59E1B45D"/>
    <w:rsid w:val="5A398571"/>
    <w:rsid w:val="5A61AB25"/>
    <w:rsid w:val="5A79184B"/>
    <w:rsid w:val="5B46D186"/>
    <w:rsid w:val="5B8505EA"/>
    <w:rsid w:val="5BAE8566"/>
    <w:rsid w:val="5C2BED46"/>
    <w:rsid w:val="5C65E198"/>
    <w:rsid w:val="5CA9B4C5"/>
    <w:rsid w:val="5D356A42"/>
    <w:rsid w:val="5D854701"/>
    <w:rsid w:val="5DB4C1EA"/>
    <w:rsid w:val="5DD0CB02"/>
    <w:rsid w:val="5DF610A6"/>
    <w:rsid w:val="5E399344"/>
    <w:rsid w:val="5E55C411"/>
    <w:rsid w:val="5EADD2AD"/>
    <w:rsid w:val="5EC5115F"/>
    <w:rsid w:val="5F2345C1"/>
    <w:rsid w:val="5F6A3B72"/>
    <w:rsid w:val="5FBDEC8F"/>
    <w:rsid w:val="601B11A5"/>
    <w:rsid w:val="6020DA6D"/>
    <w:rsid w:val="602A1D81"/>
    <w:rsid w:val="6052CEDB"/>
    <w:rsid w:val="60AD762A"/>
    <w:rsid w:val="60F07B98"/>
    <w:rsid w:val="61252A98"/>
    <w:rsid w:val="613EEADD"/>
    <w:rsid w:val="6170C93A"/>
    <w:rsid w:val="6181BFBB"/>
    <w:rsid w:val="61B6130A"/>
    <w:rsid w:val="6283F8F1"/>
    <w:rsid w:val="62C0FAF9"/>
    <w:rsid w:val="62F5B3F6"/>
    <w:rsid w:val="6391D4C7"/>
    <w:rsid w:val="63B541CF"/>
    <w:rsid w:val="63EEC6F5"/>
    <w:rsid w:val="646FFDFF"/>
    <w:rsid w:val="64710FC8"/>
    <w:rsid w:val="649B29A6"/>
    <w:rsid w:val="649E1202"/>
    <w:rsid w:val="64A60D64"/>
    <w:rsid w:val="64EEBC3F"/>
    <w:rsid w:val="64FB998D"/>
    <w:rsid w:val="65374D67"/>
    <w:rsid w:val="657684DE"/>
    <w:rsid w:val="658F400D"/>
    <w:rsid w:val="6669BED8"/>
    <w:rsid w:val="67880E97"/>
    <w:rsid w:val="67AC52C9"/>
    <w:rsid w:val="67F02407"/>
    <w:rsid w:val="68001711"/>
    <w:rsid w:val="685D7A62"/>
    <w:rsid w:val="685E59FD"/>
    <w:rsid w:val="6891262E"/>
    <w:rsid w:val="68A3B051"/>
    <w:rsid w:val="68B8BF24"/>
    <w:rsid w:val="68DFC73E"/>
    <w:rsid w:val="68F12DD8"/>
    <w:rsid w:val="69172186"/>
    <w:rsid w:val="693081F9"/>
    <w:rsid w:val="693F3344"/>
    <w:rsid w:val="69EDAA97"/>
    <w:rsid w:val="6A6A9A1E"/>
    <w:rsid w:val="6A843F58"/>
    <w:rsid w:val="6AF627CC"/>
    <w:rsid w:val="6AF7C588"/>
    <w:rsid w:val="6B1A54BA"/>
    <w:rsid w:val="6B2E9392"/>
    <w:rsid w:val="6B8DBC45"/>
    <w:rsid w:val="6BD48A47"/>
    <w:rsid w:val="6BDDBFD8"/>
    <w:rsid w:val="6BEAAC6C"/>
    <w:rsid w:val="6C806D29"/>
    <w:rsid w:val="6CB502E1"/>
    <w:rsid w:val="6CE0A36E"/>
    <w:rsid w:val="6D19FBCF"/>
    <w:rsid w:val="6D1D9CEB"/>
    <w:rsid w:val="6D952B5D"/>
    <w:rsid w:val="6DA17A83"/>
    <w:rsid w:val="6DDDECA8"/>
    <w:rsid w:val="6E14F2A2"/>
    <w:rsid w:val="6E25E772"/>
    <w:rsid w:val="6E9F14DE"/>
    <w:rsid w:val="6EC2D0CD"/>
    <w:rsid w:val="6EDFFABA"/>
    <w:rsid w:val="6EFA4367"/>
    <w:rsid w:val="6F151B3B"/>
    <w:rsid w:val="6F1D814C"/>
    <w:rsid w:val="6F32F2AA"/>
    <w:rsid w:val="6F656463"/>
    <w:rsid w:val="6F701E0B"/>
    <w:rsid w:val="6F8E058B"/>
    <w:rsid w:val="6FDF4079"/>
    <w:rsid w:val="6FE4FB4C"/>
    <w:rsid w:val="705A7BFB"/>
    <w:rsid w:val="70858632"/>
    <w:rsid w:val="709A8860"/>
    <w:rsid w:val="7115894D"/>
    <w:rsid w:val="714332E0"/>
    <w:rsid w:val="71DA1C95"/>
    <w:rsid w:val="723DD67F"/>
    <w:rsid w:val="726096CB"/>
    <w:rsid w:val="72BD8068"/>
    <w:rsid w:val="72DEF73E"/>
    <w:rsid w:val="733B99C7"/>
    <w:rsid w:val="73AF3F54"/>
    <w:rsid w:val="7405A25D"/>
    <w:rsid w:val="749BE249"/>
    <w:rsid w:val="7505F0FB"/>
    <w:rsid w:val="75219BE2"/>
    <w:rsid w:val="75DE722C"/>
    <w:rsid w:val="75E42980"/>
    <w:rsid w:val="75E87821"/>
    <w:rsid w:val="7651AFDD"/>
    <w:rsid w:val="76BFC926"/>
    <w:rsid w:val="76C1F7BB"/>
    <w:rsid w:val="76E0F5D9"/>
    <w:rsid w:val="76E55C3D"/>
    <w:rsid w:val="76E95A1B"/>
    <w:rsid w:val="77424658"/>
    <w:rsid w:val="778BD81A"/>
    <w:rsid w:val="77A5892F"/>
    <w:rsid w:val="7812BD54"/>
    <w:rsid w:val="78295328"/>
    <w:rsid w:val="788115E5"/>
    <w:rsid w:val="793E9298"/>
    <w:rsid w:val="798E32D4"/>
    <w:rsid w:val="7A246309"/>
    <w:rsid w:val="7A59DE20"/>
    <w:rsid w:val="7A6DA70E"/>
    <w:rsid w:val="7A831623"/>
    <w:rsid w:val="7ABF098E"/>
    <w:rsid w:val="7B0FE193"/>
    <w:rsid w:val="7B8E9EF2"/>
    <w:rsid w:val="7BF19F9F"/>
    <w:rsid w:val="7BF90F76"/>
    <w:rsid w:val="7C279465"/>
    <w:rsid w:val="7C348B53"/>
    <w:rsid w:val="7C748D67"/>
    <w:rsid w:val="7D1DF4EF"/>
    <w:rsid w:val="7D20E158"/>
    <w:rsid w:val="7E1FB867"/>
    <w:rsid w:val="7E23D599"/>
    <w:rsid w:val="7E7BC5BC"/>
    <w:rsid w:val="7E8E283F"/>
    <w:rsid w:val="7F40232B"/>
    <w:rsid w:val="7F84BE36"/>
    <w:rsid w:val="7F855C37"/>
    <w:rsid w:val="7F9B0711"/>
    <w:rsid w:val="7FB6AAD9"/>
    <w:rsid w:val="7FC2FD06"/>
    <w:rsid w:val="7FDDC25E"/>
  </w:rsids>
  <w:docVars>
    <w:docVar w:name="__Grammarly_42___1" w:val="H4sIAAAAAAAEAKtWcslP9kxRslIyNDY2NLU0MTY1tjQAAnMDAyUdpeDU4uLM/DyQAvNaAFKNLTY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1E01E"/>
  <w15:docId w15:val="{43F18ED7-655D-4C68-ADFE-B294F13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13D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unhideWhenUsed/>
    <w:rsid w:val="003755F4"/>
    <w:rPr>
      <w:sz w:val="16"/>
      <w:szCs w:val="16"/>
    </w:rPr>
  </w:style>
  <w:style w:type="paragraph" w:styleId="CommentText">
    <w:name w:val="annotation text"/>
    <w:basedOn w:val="Normal"/>
    <w:link w:val="CommentTextChar"/>
    <w:uiPriority w:val="99"/>
    <w:unhideWhenUsed/>
    <w:qFormat/>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12,Style 14,Style 16,Style 19,Style 35,Style 39,Style 46,fr"/>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814D43"/>
    <w:pPr>
      <w:ind w:left="720"/>
      <w:contextualSpacing/>
    </w:pPr>
  </w:style>
  <w:style w:type="character" w:styleId="Hyperlink">
    <w:name w:val="Hyperlink"/>
    <w:basedOn w:val="DefaultParagraphFont"/>
    <w:uiPriority w:val="99"/>
    <w:unhideWhenUsed/>
    <w:rsid w:val="00EF532B"/>
    <w:rPr>
      <w:color w:val="0000FF" w:themeColor="hyperlink"/>
      <w:u w:val="single"/>
    </w:rPr>
  </w:style>
  <w:style w:type="table" w:customStyle="1" w:styleId="TableGrid2">
    <w:name w:val="Table Grid2"/>
    <w:basedOn w:val="TableNormal"/>
    <w:next w:val="TableGrid"/>
    <w:rsid w:val="008D7F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343E"/>
    <w:rPr>
      <w:color w:val="800080" w:themeColor="followedHyperlink"/>
      <w:u w:val="single"/>
    </w:rPr>
  </w:style>
  <w:style w:type="paragraph" w:styleId="Revision">
    <w:name w:val="Revision"/>
    <w:hidden/>
    <w:uiPriority w:val="99"/>
    <w:semiHidden/>
    <w:rsid w:val="00D62E9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13DA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172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FECFC58EC6FF4782BD822F496F2F20" ma:contentTypeVersion="12" ma:contentTypeDescription="Create a new document." ma:contentTypeScope="" ma:versionID="369a7c117ca2ff83ca364613c37689f5">
  <xsd:schema xmlns:xsd="http://www.w3.org/2001/XMLSchema" xmlns:xs="http://www.w3.org/2001/XMLSchema" xmlns:p="http://schemas.microsoft.com/office/2006/metadata/properties" xmlns:ns2="f69f131e-8388-4be0-b0e1-0f68e2058127" xmlns:ns3="47cbd886-da89-49d3-8d43-894b54df8a8c" targetNamespace="http://schemas.microsoft.com/office/2006/metadata/properties" ma:root="true" ma:fieldsID="8128e8d4e90fdc7b18201e3f6326e860" ns2:_="" ns3:_="">
    <xsd:import namespace="f69f131e-8388-4be0-b0e1-0f68e2058127"/>
    <xsd:import namespace="47cbd886-da89-49d3-8d43-894b54df8a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f131e-8388-4be0-b0e1-0f68e2058127"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d886-da89-49d3-8d43-894b54df8a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67CBB-B949-4A71-ACFE-8DD0396879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D306EA-BFD0-4620-9592-F568126E564C}">
  <ds:schemaRefs>
    <ds:schemaRef ds:uri="http://schemas.openxmlformats.org/officeDocument/2006/bibliography"/>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BDF00A86-C7FA-45CA-890C-2CEE35EA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f131e-8388-4be0-b0e1-0f68e2058127"/>
    <ds:schemaRef ds:uri="47cbd886-da89-49d3-8d43-894b54df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6916</Words>
  <Characters>39218</Characters>
  <Application>Microsoft Office Word</Application>
  <DocSecurity>0</DocSecurity>
  <Lines>688</Lines>
  <Paragraphs>185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Office of the General Counsel</cp:lastModifiedBy>
  <cp:revision>31</cp:revision>
  <cp:lastPrinted>2026-04-06T18:10:00Z</cp:lastPrinted>
  <dcterms:created xsi:type="dcterms:W3CDTF">2026-04-06T15:55:00Z</dcterms:created>
  <dcterms:modified xsi:type="dcterms:W3CDTF">2026-04-06T18:40:00Z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TC Audience">
    <vt:lpwstr>13;#All CFTC Staff|4f9c852f-d497-40c4-b357-3897abf65c10</vt:lpwstr>
  </property>
  <property fmtid="{D5CDD505-2E9C-101B-9397-08002B2CF9AE}" pid="3" name="CFTC Location">
    <vt:lpwstr>14;#All CFTC Locations|07b51532-ca12-475e-8433-c139a58bc2c8</vt:lpwstr>
  </property>
  <property fmtid="{D5CDD505-2E9C-101B-9397-08002B2CF9AE}" pid="4" name="CFTC Owner">
    <vt:lpwstr>73;#Office of the General Counsel|bd58875c-cb9d-447e-b8fd-b2672ffab719</vt:lpwstr>
  </property>
  <property fmtid="{D5CDD505-2E9C-101B-9397-08002B2CF9AE}" pid="5" name="CFTC Subject">
    <vt:lpwstr>104;#Legal|12e962f7-0af9-400d-a646-2af5c7b92277;#56;#Agency Operations|3495dd4b-79d7-41a6-8ce6-02dce84f79b0</vt:lpwstr>
  </property>
  <property fmtid="{D5CDD505-2E9C-101B-9397-08002B2CF9AE}" pid="6" name="CFTC Type">
    <vt:lpwstr>15;#General|f4844b07-25eb-4c74-a1a4-15dd52f1d01d</vt:lpwstr>
  </property>
  <property fmtid="{D5CDD505-2E9C-101B-9397-08002B2CF9AE}" pid="7" name="ContentTypeId">
    <vt:lpwstr>0x010100E4FECFC58EC6FF4782BD822F496F2F20</vt:lpwstr>
  </property>
  <property fmtid="{D5CDD505-2E9C-101B-9397-08002B2CF9AE}" pid="8" name="TaxKeyword">
    <vt:lpwstr>2268;#PRA Blank|bbbd82c5-0437-4006-80e0-1ee767fc1cab</vt:lpwstr>
  </property>
</Properties>
</file>