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2AB" w:rsidP="00C40CE3" w14:paraId="31C0134F" w14:textId="77777777">
      <w:pPr>
        <w:spacing w:line="240" w:lineRule="auto"/>
      </w:pPr>
    </w:p>
    <w:p w:rsidR="00503562" w:rsidRPr="00561391" w:rsidP="00C40CE3" w14:paraId="30B1906C" w14:textId="77777777">
      <w:pPr>
        <w:pStyle w:val="BodyText"/>
        <w:tabs>
          <w:tab w:val="left" w:pos="720"/>
          <w:tab w:val="left" w:pos="1441"/>
          <w:tab w:val="left" w:pos="2157"/>
        </w:tabs>
        <w:spacing w:after="0" w:line="240" w:lineRule="auto"/>
        <w:ind w:right="-45"/>
        <w:jc w:val="center"/>
        <w:rPr>
          <w:rFonts w:eastAsia="Times New Roman" w:cs="Times New Roman"/>
          <w:b/>
          <w:smallCaps/>
          <w:snapToGrid w:val="0"/>
          <w:color w:val="000000"/>
          <w:sz w:val="28"/>
          <w:szCs w:val="28"/>
        </w:rPr>
      </w:pPr>
      <w:r w:rsidRPr="00561391">
        <w:rPr>
          <w:noProof/>
        </w:rPr>
        <w:drawing>
          <wp:anchor distT="0" distB="0" distL="114300" distR="114300" simplePos="0" relativeHeight="251658240" behindDoc="0" locked="0" layoutInCell="1" allowOverlap="1">
            <wp:simplePos x="0" y="0"/>
            <wp:positionH relativeFrom="column">
              <wp:posOffset>73660</wp:posOffset>
            </wp:positionH>
            <wp:positionV relativeFrom="paragraph">
              <wp:posOffset>102235</wp:posOffset>
            </wp:positionV>
            <wp:extent cx="1069848" cy="1069848"/>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Description: Description: V:\Documents and Settings\shovlowskyr\Local Settings\Temporary Internet Files\Content.Word\FHFA_logo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69848" cy="10698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1AD4" w:rsidRPr="00561391" w:rsidP="00F81AD4" w14:paraId="26FE4718" w14:textId="33141F80">
      <w:pPr>
        <w:pStyle w:val="BodyText"/>
        <w:tabs>
          <w:tab w:val="left" w:pos="720"/>
          <w:tab w:val="left" w:pos="1441"/>
          <w:tab w:val="left" w:pos="2157"/>
        </w:tabs>
        <w:spacing w:after="0" w:line="240" w:lineRule="atLeast"/>
        <w:ind w:right="-45"/>
        <w:jc w:val="center"/>
        <w:rPr>
          <w:rFonts w:eastAsia="Times New Roman" w:cs="Times New Roman"/>
          <w:snapToGrid w:val="0"/>
          <w:color w:val="000000"/>
          <w:sz w:val="28"/>
          <w:szCs w:val="28"/>
        </w:rPr>
      </w:pPr>
      <w:r w:rsidRPr="00561391">
        <w:rPr>
          <w:rFonts w:eastAsia="Times New Roman" w:cs="Times New Roman"/>
          <w:b/>
          <w:smallCaps/>
          <w:snapToGrid w:val="0"/>
          <w:color w:val="000000"/>
          <w:sz w:val="28"/>
          <w:szCs w:val="28"/>
        </w:rPr>
        <w:t>“</w:t>
      </w:r>
      <w:r w:rsidR="00AC1716">
        <w:rPr>
          <w:rFonts w:eastAsia="Times New Roman" w:cs="Times New Roman"/>
          <w:b/>
          <w:smallCaps/>
          <w:snapToGrid w:val="0"/>
          <w:color w:val="000000"/>
          <w:sz w:val="28"/>
          <w:szCs w:val="28"/>
        </w:rPr>
        <w:t>Advances to Housing Associates</w:t>
      </w:r>
      <w:r w:rsidR="00393F75">
        <w:rPr>
          <w:rFonts w:eastAsia="Times New Roman" w:cs="Times New Roman"/>
          <w:b/>
          <w:snapToGrid w:val="0"/>
          <w:color w:val="000000"/>
          <w:sz w:val="28"/>
          <w:szCs w:val="28"/>
        </w:rPr>
        <w:t>”</w:t>
      </w:r>
    </w:p>
    <w:p w:rsidR="00F81AD4" w:rsidRPr="00561391" w:rsidP="00F81AD4" w14:paraId="03FA1E9E" w14:textId="77777777">
      <w:pPr>
        <w:suppressAutoHyphens/>
        <w:spacing w:line="276" w:lineRule="auto"/>
        <w:jc w:val="center"/>
        <w:rPr>
          <w:rFonts w:eastAsia="Times New Roman" w:cs="Times New Roman"/>
          <w:b/>
          <w:sz w:val="20"/>
          <w:szCs w:val="20"/>
        </w:rPr>
      </w:pPr>
    </w:p>
    <w:p w:rsidR="00F81AD4" w:rsidRPr="00561391" w:rsidP="00F81AD4" w14:paraId="2D753E09" w14:textId="19448032">
      <w:pPr>
        <w:keepNext/>
        <w:suppressAutoHyphens/>
        <w:spacing w:line="240" w:lineRule="auto"/>
        <w:jc w:val="center"/>
        <w:outlineLvl w:val="0"/>
        <w:rPr>
          <w:rFonts w:eastAsia="Times New Roman" w:cs="Times New Roman"/>
          <w:b/>
          <w:smallCaps/>
          <w:sz w:val="28"/>
          <w:szCs w:val="28"/>
        </w:rPr>
      </w:pPr>
      <w:r>
        <w:rPr>
          <w:rFonts w:eastAsia="Times New Roman" w:cs="Times New Roman"/>
          <w:b/>
          <w:smallCaps/>
          <w:sz w:val="28"/>
          <w:szCs w:val="28"/>
        </w:rPr>
        <w:t>OMB Number 2590-0001</w:t>
      </w:r>
    </w:p>
    <w:p w:rsidR="00F81AD4" w:rsidRPr="00561391" w:rsidP="00F81AD4" w14:paraId="05D9A050" w14:textId="77777777">
      <w:pPr>
        <w:spacing w:line="240" w:lineRule="atLeast"/>
        <w:jc w:val="center"/>
        <w:outlineLvl w:val="0"/>
        <w:rPr>
          <w:rFonts w:eastAsia="Times New Roman" w:cs="Times New Roman"/>
          <w:smallCaps/>
          <w:snapToGrid w:val="0"/>
          <w:color w:val="000000"/>
          <w:sz w:val="28"/>
          <w:szCs w:val="28"/>
        </w:rPr>
      </w:pPr>
    </w:p>
    <w:p w:rsidR="00F81AD4" w:rsidRPr="00561391" w:rsidP="00F81AD4" w14:paraId="08E7C3A7" w14:textId="77777777">
      <w:pPr>
        <w:spacing w:line="240" w:lineRule="atLeast"/>
        <w:jc w:val="center"/>
        <w:outlineLvl w:val="0"/>
        <w:rPr>
          <w:rFonts w:eastAsia="Times New Roman" w:cs="Times New Roman"/>
          <w:b/>
          <w:smallCaps/>
          <w:snapToGrid w:val="0"/>
          <w:color w:val="000000"/>
          <w:sz w:val="28"/>
          <w:szCs w:val="28"/>
        </w:rPr>
      </w:pPr>
      <w:r w:rsidRPr="00561391">
        <w:rPr>
          <w:rFonts w:eastAsia="Times New Roman" w:cs="Times New Roman"/>
          <w:b/>
          <w:smallCaps/>
          <w:snapToGrid w:val="0"/>
          <w:color w:val="000000"/>
          <w:sz w:val="28"/>
          <w:szCs w:val="28"/>
        </w:rPr>
        <w:t>Supporting Statement</w:t>
      </w:r>
    </w:p>
    <w:p w:rsidR="00F81AD4" w:rsidRPr="00561391" w:rsidP="00F81AD4" w14:paraId="3E49A60D" w14:textId="77777777">
      <w:pPr>
        <w:spacing w:line="240" w:lineRule="atLeast"/>
        <w:jc w:val="center"/>
        <w:outlineLvl w:val="0"/>
        <w:rPr>
          <w:rFonts w:eastAsia="Times New Roman" w:cs="Times New Roman"/>
          <w:b/>
          <w:smallCaps/>
          <w:snapToGrid w:val="0"/>
          <w:color w:val="000000"/>
          <w:sz w:val="28"/>
          <w:szCs w:val="28"/>
        </w:rPr>
      </w:pPr>
    </w:p>
    <w:p w:rsidR="00B1539B" w:rsidRPr="00B1539B" w:rsidP="00B1539B" w14:paraId="397BC64F" w14:textId="77777777">
      <w:pPr>
        <w:pStyle w:val="BodyText"/>
        <w:tabs>
          <w:tab w:val="left" w:pos="720"/>
          <w:tab w:val="left" w:pos="1441"/>
          <w:tab w:val="left" w:pos="2157"/>
        </w:tabs>
        <w:spacing w:after="0" w:line="240" w:lineRule="auto"/>
      </w:pPr>
    </w:p>
    <w:p w:rsidR="00557060" w:rsidP="00DA04F6" w14:paraId="626A4982" w14:textId="1BD65FDF">
      <w:pPr>
        <w:pStyle w:val="BodyText"/>
        <w:numPr>
          <w:ilvl w:val="0"/>
          <w:numId w:val="3"/>
        </w:numPr>
        <w:tabs>
          <w:tab w:val="left" w:pos="720"/>
          <w:tab w:val="left" w:pos="1441"/>
          <w:tab w:val="left" w:pos="2157"/>
        </w:tabs>
        <w:spacing w:after="0" w:line="240" w:lineRule="auto"/>
      </w:pPr>
      <w:r w:rsidRPr="00B83EC3">
        <w:rPr>
          <w:b/>
        </w:rPr>
        <w:t>JUSTIFICATION</w:t>
      </w:r>
    </w:p>
    <w:p w:rsidR="00557060" w:rsidP="00DA04F6" w14:paraId="2292E6A8" w14:textId="77777777">
      <w:pPr>
        <w:pStyle w:val="BodyText"/>
        <w:spacing w:after="0" w:line="240" w:lineRule="auto"/>
      </w:pPr>
    </w:p>
    <w:p w:rsidR="00557060" w:rsidRPr="004A61A0" w:rsidP="00DA04F6" w14:paraId="78A77A1E" w14:textId="77777777">
      <w:pPr>
        <w:pStyle w:val="BodyText"/>
        <w:tabs>
          <w:tab w:val="left" w:pos="720"/>
          <w:tab w:val="left" w:pos="1441"/>
          <w:tab w:val="left" w:pos="2157"/>
        </w:tabs>
        <w:spacing w:after="0" w:line="240" w:lineRule="auto"/>
        <w:rPr>
          <w:b/>
          <w:color w:val="000000"/>
        </w:rPr>
      </w:pPr>
      <w:r w:rsidRPr="0050219D">
        <w:rPr>
          <w:b/>
          <w:color w:val="000000"/>
        </w:rPr>
        <w:t>1</w:t>
      </w:r>
      <w:r w:rsidRPr="0050219D">
        <w:rPr>
          <w:b/>
          <w:color w:val="000000"/>
        </w:rPr>
        <w:t xml:space="preserve">.  </w:t>
      </w:r>
      <w:r w:rsidRPr="004A61A0">
        <w:rPr>
          <w:b/>
          <w:color w:val="000000"/>
        </w:rPr>
        <w:t>Circumstances</w:t>
      </w:r>
      <w:r w:rsidRPr="004A61A0">
        <w:rPr>
          <w:b/>
          <w:color w:val="000000"/>
        </w:rPr>
        <w:t xml:space="preserve"> Necessitating the Collection of Information</w:t>
      </w:r>
    </w:p>
    <w:p w:rsidR="00557060" w:rsidRPr="004A61A0" w:rsidP="00DA04F6" w14:paraId="4C04CEDA" w14:textId="77777777">
      <w:pPr>
        <w:spacing w:line="240" w:lineRule="auto"/>
        <w:rPr>
          <w:szCs w:val="24"/>
        </w:rPr>
      </w:pPr>
    </w:p>
    <w:p w:rsidR="00557060" w:rsidRPr="004A61A0" w:rsidP="00DA04F6" w14:paraId="6F806812" w14:textId="497B18D5">
      <w:pPr>
        <w:spacing w:line="240" w:lineRule="auto"/>
        <w:rPr>
          <w:szCs w:val="24"/>
        </w:rPr>
      </w:pPr>
      <w:r w:rsidRPr="004A61A0">
        <w:rPr>
          <w:szCs w:val="24"/>
        </w:rPr>
        <w:t>Section 10b of the Federal Home Loan Bank Act (Bank Act)</w:t>
      </w:r>
      <w:r>
        <w:rPr>
          <w:rStyle w:val="FootnoteReference"/>
          <w:szCs w:val="24"/>
        </w:rPr>
        <w:footnoteReference w:id="2"/>
      </w:r>
      <w:r w:rsidRPr="004A61A0">
        <w:rPr>
          <w:szCs w:val="24"/>
        </w:rPr>
        <w:t xml:space="preserve"> establishes the requirements for making Federal Home Loan Bank (Bank) advances</w:t>
      </w:r>
      <w:r w:rsidR="001D7F45">
        <w:rPr>
          <w:szCs w:val="24"/>
        </w:rPr>
        <w:t xml:space="preserve"> (</w:t>
      </w:r>
      <w:r w:rsidRPr="001D7F45" w:rsidR="001D7F45">
        <w:rPr>
          <w:i/>
          <w:szCs w:val="24"/>
        </w:rPr>
        <w:t>i.e</w:t>
      </w:r>
      <w:r w:rsidR="001D7F45">
        <w:rPr>
          <w:szCs w:val="24"/>
        </w:rPr>
        <w:t>., loans)</w:t>
      </w:r>
      <w:r w:rsidRPr="004A61A0">
        <w:rPr>
          <w:szCs w:val="24"/>
        </w:rPr>
        <w:t xml:space="preserve"> to nonmember mortgagees, which are referred to as “</w:t>
      </w:r>
      <w:r>
        <w:rPr>
          <w:szCs w:val="24"/>
        </w:rPr>
        <w:t>Housing Associate</w:t>
      </w:r>
      <w:r w:rsidRPr="004A61A0">
        <w:rPr>
          <w:szCs w:val="24"/>
        </w:rPr>
        <w:t>s” in the regulations of the Federal Housing Finance Agency (FHFA).</w:t>
      </w:r>
      <w:r>
        <w:rPr>
          <w:rStyle w:val="FootnoteReference"/>
          <w:szCs w:val="24"/>
        </w:rPr>
        <w:footnoteReference w:id="3"/>
      </w:r>
      <w:r w:rsidRPr="004A61A0">
        <w:rPr>
          <w:szCs w:val="24"/>
        </w:rPr>
        <w:t xml:space="preserve">  Section 10b also establishes the eligibility requirements an applicant must meet in order to be certified as a </w:t>
      </w:r>
      <w:r>
        <w:rPr>
          <w:szCs w:val="24"/>
        </w:rPr>
        <w:t>Housing Associate</w:t>
      </w:r>
      <w:r w:rsidRPr="004A61A0">
        <w:rPr>
          <w:szCs w:val="24"/>
        </w:rPr>
        <w:t xml:space="preserve">.  </w:t>
      </w:r>
    </w:p>
    <w:p w:rsidR="00557060" w:rsidRPr="004A61A0" w:rsidP="00DA04F6" w14:paraId="2C256371" w14:textId="77777777">
      <w:pPr>
        <w:spacing w:line="240" w:lineRule="auto"/>
        <w:rPr>
          <w:szCs w:val="24"/>
        </w:rPr>
      </w:pPr>
    </w:p>
    <w:p w:rsidR="00557060" w:rsidRPr="004A61A0" w:rsidP="00DA04F6" w14:paraId="3164A4EB" w14:textId="58DF9903">
      <w:pPr>
        <w:spacing w:line="240" w:lineRule="auto"/>
        <w:rPr>
          <w:szCs w:val="24"/>
        </w:rPr>
      </w:pPr>
      <w:r w:rsidRPr="004A61A0">
        <w:rPr>
          <w:szCs w:val="24"/>
        </w:rPr>
        <w:t xml:space="preserve">Part 1264 of FHFA’s regulations implements the statutory eligibility requirements and establishes uniform review criteria the Banks must use in evaluating applications from entities that wish to be certified as a </w:t>
      </w:r>
      <w:r>
        <w:rPr>
          <w:szCs w:val="24"/>
        </w:rPr>
        <w:t>Housing Associate</w:t>
      </w:r>
      <w:r w:rsidRPr="004A61A0">
        <w:rPr>
          <w:szCs w:val="24"/>
        </w:rPr>
        <w:t>. Specifically,</w:t>
      </w:r>
      <w:r>
        <w:rPr>
          <w:szCs w:val="24"/>
        </w:rPr>
        <w:t xml:space="preserve"> § </w:t>
      </w:r>
      <w:r w:rsidRPr="004A61A0">
        <w:rPr>
          <w:szCs w:val="24"/>
        </w:rPr>
        <w:t>1264.4 implements the statutory eligibility requirements and provides guidance to an applicant on how it may satisfy those requirements.</w:t>
      </w:r>
      <w:r>
        <w:rPr>
          <w:rStyle w:val="FootnoteReference"/>
          <w:szCs w:val="24"/>
        </w:rPr>
        <w:footnoteReference w:id="4"/>
      </w:r>
      <w:r w:rsidRPr="004A61A0">
        <w:rPr>
          <w:szCs w:val="24"/>
        </w:rPr>
        <w:t xml:space="preserve">  Section 1264.5 authorizes the Banks to approve or deny all applications for certification as a </w:t>
      </w:r>
      <w:r>
        <w:rPr>
          <w:szCs w:val="24"/>
        </w:rPr>
        <w:t>Housing Associate</w:t>
      </w:r>
      <w:r w:rsidRPr="004A61A0">
        <w:rPr>
          <w:szCs w:val="24"/>
        </w:rPr>
        <w:t>, subject to the statutory and regulatory requirements.</w:t>
      </w:r>
      <w:r>
        <w:rPr>
          <w:rStyle w:val="FootnoteReference"/>
          <w:szCs w:val="24"/>
        </w:rPr>
        <w:footnoteReference w:id="5"/>
      </w:r>
      <w:r w:rsidRPr="004A61A0">
        <w:rPr>
          <w:szCs w:val="24"/>
        </w:rPr>
        <w:t xml:space="preserve">  </w:t>
      </w:r>
      <w:r w:rsidR="00C8224A">
        <w:rPr>
          <w:szCs w:val="24"/>
        </w:rPr>
        <w:t>Section 1264.6</w:t>
      </w:r>
      <w:r w:rsidRPr="001C5440">
        <w:rPr>
          <w:szCs w:val="24"/>
        </w:rPr>
        <w:t xml:space="preserve"> permits an applicant that has been denied certification by a Bank to appeal that decision to FHFA.</w:t>
      </w:r>
      <w:r>
        <w:rPr>
          <w:rStyle w:val="FootnoteReference"/>
          <w:szCs w:val="24"/>
        </w:rPr>
        <w:footnoteReference w:id="6"/>
      </w:r>
    </w:p>
    <w:p w:rsidR="00557060" w:rsidRPr="004A61A0" w:rsidP="00DA04F6" w14:paraId="7D178E0E" w14:textId="77777777">
      <w:pPr>
        <w:spacing w:line="240" w:lineRule="auto"/>
        <w:rPr>
          <w:szCs w:val="24"/>
        </w:rPr>
      </w:pPr>
    </w:p>
    <w:p w:rsidR="00557060" w:rsidRPr="004A61A0" w:rsidP="00DA04F6" w14:paraId="0BB1A241" w14:textId="14FDEEAB">
      <w:pPr>
        <w:tabs>
          <w:tab w:val="left" w:pos="3240"/>
        </w:tabs>
        <w:spacing w:line="240" w:lineRule="auto"/>
        <w:rPr>
          <w:szCs w:val="24"/>
        </w:rPr>
      </w:pPr>
      <w:r w:rsidRPr="004A61A0">
        <w:rPr>
          <w:szCs w:val="24"/>
        </w:rPr>
        <w:t xml:space="preserve">In part 1266 of FHFA’s regulations, subpart B governs Bank advances to </w:t>
      </w:r>
      <w:r>
        <w:rPr>
          <w:szCs w:val="24"/>
        </w:rPr>
        <w:t>Housing Associate</w:t>
      </w:r>
      <w:r w:rsidRPr="004A61A0">
        <w:rPr>
          <w:szCs w:val="24"/>
        </w:rPr>
        <w:t xml:space="preserve">s that have been approved under part 1264. Section 1266.17 establishes the terms and conditions under which a Bank may make advances to </w:t>
      </w:r>
      <w:r>
        <w:rPr>
          <w:szCs w:val="24"/>
        </w:rPr>
        <w:t>Housing Associate</w:t>
      </w:r>
      <w:r w:rsidRPr="004A61A0">
        <w:rPr>
          <w:szCs w:val="24"/>
        </w:rPr>
        <w:t>s.</w:t>
      </w:r>
      <w:r>
        <w:rPr>
          <w:rStyle w:val="FootnoteReference"/>
          <w:szCs w:val="24"/>
        </w:rPr>
        <w:footnoteReference w:id="7"/>
      </w:r>
      <w:r w:rsidRPr="004A61A0">
        <w:rPr>
          <w:szCs w:val="24"/>
        </w:rPr>
        <w:t xml:space="preserve">  Specifically, section 1266.17(e) impo</w:t>
      </w:r>
      <w:r>
        <w:rPr>
          <w:szCs w:val="24"/>
        </w:rPr>
        <w:t>ses a continuing obligation on each</w:t>
      </w:r>
      <w:r w:rsidRPr="004A61A0">
        <w:rPr>
          <w:szCs w:val="24"/>
        </w:rPr>
        <w:t xml:space="preserve"> certified </w:t>
      </w:r>
      <w:r>
        <w:rPr>
          <w:szCs w:val="24"/>
        </w:rPr>
        <w:t>Housing Associate</w:t>
      </w:r>
      <w:r w:rsidRPr="004A61A0">
        <w:rPr>
          <w:szCs w:val="24"/>
        </w:rPr>
        <w:t xml:space="preserve"> to provide information necessary</w:t>
      </w:r>
      <w:r>
        <w:rPr>
          <w:szCs w:val="24"/>
        </w:rPr>
        <w:t xml:space="preserve"> for the Bank</w:t>
      </w:r>
      <w:r w:rsidRPr="004A61A0">
        <w:rPr>
          <w:szCs w:val="24"/>
        </w:rPr>
        <w:t xml:space="preserve"> to determine if it remains in compliance with applicable statutory and regulatory requirements, as set forth in part 1264.</w:t>
      </w:r>
    </w:p>
    <w:p w:rsidR="00021634" w:rsidP="00DA04F6" w14:paraId="310ACCAB" w14:textId="70DC4D84">
      <w:pPr>
        <w:spacing w:line="240" w:lineRule="auto"/>
        <w:rPr>
          <w:b/>
          <w:szCs w:val="24"/>
        </w:rPr>
      </w:pPr>
    </w:p>
    <w:p w:rsidR="00557060" w:rsidRPr="004A61A0" w:rsidP="00DA04F6" w14:paraId="6D03D207" w14:textId="77777777">
      <w:pPr>
        <w:spacing w:line="240" w:lineRule="auto"/>
        <w:rPr>
          <w:b/>
          <w:szCs w:val="24"/>
        </w:rPr>
      </w:pPr>
      <w:r w:rsidRPr="004A61A0">
        <w:rPr>
          <w:b/>
          <w:szCs w:val="24"/>
        </w:rPr>
        <w:t>2</w:t>
      </w:r>
      <w:r w:rsidRPr="004A61A0">
        <w:rPr>
          <w:b/>
          <w:szCs w:val="24"/>
        </w:rPr>
        <w:t>.  Use</w:t>
      </w:r>
      <w:r w:rsidRPr="004A61A0">
        <w:rPr>
          <w:b/>
          <w:szCs w:val="24"/>
        </w:rPr>
        <w:t xml:space="preserve"> of Data</w:t>
      </w:r>
    </w:p>
    <w:p w:rsidR="00557060" w:rsidP="00DA04F6" w14:paraId="469D5865" w14:textId="4ED60AAD">
      <w:pPr>
        <w:spacing w:line="240" w:lineRule="auto"/>
        <w:rPr>
          <w:szCs w:val="24"/>
        </w:rPr>
      </w:pPr>
    </w:p>
    <w:p w:rsidR="00413598" w:rsidRPr="00413598" w:rsidP="00413598" w14:paraId="5AB713D4" w14:textId="25F7FF37">
      <w:pPr>
        <w:spacing w:line="240" w:lineRule="auto"/>
        <w:rPr>
          <w:szCs w:val="24"/>
        </w:rPr>
      </w:pPr>
      <w:r w:rsidRPr="00413598">
        <w:rPr>
          <w:szCs w:val="24"/>
        </w:rPr>
        <w:t xml:space="preserve">To comply with </w:t>
      </w:r>
      <w:r w:rsidR="00AB0FC8">
        <w:rPr>
          <w:szCs w:val="24"/>
        </w:rPr>
        <w:t>p</w:t>
      </w:r>
      <w:r w:rsidRPr="00413598">
        <w:rPr>
          <w:szCs w:val="24"/>
        </w:rPr>
        <w:t xml:space="preserve">art 1264 of FHFA’s regulations, each of the Federal Home Loan Banks requires potential Housing Associates to submit an application package (containing documentation </w:t>
      </w:r>
      <w:r w:rsidRPr="00413598">
        <w:rPr>
          <w:szCs w:val="24"/>
        </w:rPr>
        <w:t xml:space="preserve">specified by each Bank, such as a copy of supervision documents, basic financial statements, charter, FHA approval, etc.) </w:t>
      </w:r>
      <w:r w:rsidRPr="00413598">
        <w:rPr>
          <w:szCs w:val="24"/>
        </w:rPr>
        <w:t>in order to</w:t>
      </w:r>
      <w:r w:rsidRPr="00413598">
        <w:rPr>
          <w:szCs w:val="24"/>
        </w:rPr>
        <w:t xml:space="preserve"> be certified. The Banks use the information provided in these application packages to determine whether the applicant entity satisfies the statutory and regulatory requirements to be certified initially, and to maintain its status as a Housing Associate eligible to receive Bank advances. Each Bank has developed its own application process, though they all collect generally the same information, to comply with the requirements of §§ 1264.4 and 1264.5 </w:t>
      </w:r>
    </w:p>
    <w:p w:rsidR="00413598" w:rsidRPr="00413598" w:rsidP="00413598" w14:paraId="3C808B7A" w14:textId="77777777">
      <w:pPr>
        <w:spacing w:line="240" w:lineRule="auto"/>
        <w:rPr>
          <w:szCs w:val="24"/>
        </w:rPr>
      </w:pPr>
    </w:p>
    <w:p w:rsidR="00413598" w:rsidRPr="00413598" w:rsidP="00413598" w14:paraId="2A738A88" w14:textId="77777777">
      <w:pPr>
        <w:spacing w:line="240" w:lineRule="auto"/>
        <w:rPr>
          <w:szCs w:val="24"/>
        </w:rPr>
      </w:pPr>
      <w:r w:rsidRPr="00413598">
        <w:rPr>
          <w:szCs w:val="24"/>
        </w:rPr>
        <w:t>FHFA may also use the information collected by the Banks to determine whether to uphold or overrule a Bank's decision to deny Housing Associate certification to an applicant.</w:t>
      </w:r>
    </w:p>
    <w:p w:rsidR="00413598" w:rsidRPr="004A61A0" w:rsidP="00DA04F6" w14:paraId="046460E6" w14:textId="77777777">
      <w:pPr>
        <w:spacing w:line="240" w:lineRule="auto"/>
        <w:rPr>
          <w:szCs w:val="24"/>
        </w:rPr>
      </w:pPr>
    </w:p>
    <w:p w:rsidR="00557060" w:rsidRPr="004A61A0" w:rsidP="00DA04F6" w14:paraId="5DF9A54D" w14:textId="77777777">
      <w:pPr>
        <w:spacing w:line="240" w:lineRule="auto"/>
        <w:rPr>
          <w:szCs w:val="24"/>
        </w:rPr>
      </w:pPr>
    </w:p>
    <w:p w:rsidR="00557060" w:rsidRPr="004A61A0" w:rsidP="00DA04F6" w14:paraId="4D4773AF" w14:textId="77777777">
      <w:pPr>
        <w:pStyle w:val="BodyText"/>
        <w:tabs>
          <w:tab w:val="left" w:pos="720"/>
          <w:tab w:val="left" w:pos="1441"/>
          <w:tab w:val="left" w:pos="2157"/>
        </w:tabs>
        <w:spacing w:after="0" w:line="240" w:lineRule="auto"/>
        <w:rPr>
          <w:b/>
          <w:color w:val="000000"/>
        </w:rPr>
      </w:pPr>
      <w:r w:rsidRPr="004A61A0">
        <w:rPr>
          <w:b/>
          <w:color w:val="000000"/>
        </w:rPr>
        <w:t>3</w:t>
      </w:r>
      <w:r w:rsidRPr="004A61A0">
        <w:rPr>
          <w:b/>
          <w:color w:val="000000"/>
        </w:rPr>
        <w:t>.  Use</w:t>
      </w:r>
      <w:r w:rsidRPr="004A61A0">
        <w:rPr>
          <w:b/>
          <w:color w:val="000000"/>
        </w:rPr>
        <w:t xml:space="preserve"> of Information Technology</w:t>
      </w:r>
    </w:p>
    <w:p w:rsidR="00557060" w:rsidRPr="004A61A0" w:rsidP="00DA04F6" w14:paraId="492DCBF4" w14:textId="77777777">
      <w:pPr>
        <w:spacing w:line="240" w:lineRule="auto"/>
        <w:rPr>
          <w:szCs w:val="24"/>
        </w:rPr>
      </w:pPr>
    </w:p>
    <w:p w:rsidR="00557060" w:rsidP="00DA04F6" w14:paraId="7CF61F23" w14:textId="2609352A">
      <w:pPr>
        <w:spacing w:line="240" w:lineRule="auto"/>
        <w:rPr>
          <w:szCs w:val="24"/>
        </w:rPr>
      </w:pPr>
      <w:r w:rsidRPr="004A61A0">
        <w:rPr>
          <w:szCs w:val="24"/>
        </w:rPr>
        <w:t xml:space="preserve">Banks may accept applications and reports in </w:t>
      </w:r>
      <w:r>
        <w:rPr>
          <w:szCs w:val="24"/>
        </w:rPr>
        <w:t>Adobe Portable Document Format (PDF)</w:t>
      </w:r>
      <w:r w:rsidRPr="004A61A0">
        <w:rPr>
          <w:szCs w:val="24"/>
        </w:rPr>
        <w:t xml:space="preserve"> that are sent by email.  Otherwise, the information collection does not involve the use of automated, electronic, mechanical</w:t>
      </w:r>
      <w:r w:rsidR="00393F75">
        <w:rPr>
          <w:szCs w:val="24"/>
        </w:rPr>
        <w:t>,</w:t>
      </w:r>
      <w:r w:rsidRPr="004A61A0">
        <w:rPr>
          <w:szCs w:val="24"/>
        </w:rPr>
        <w:t xml:space="preserve"> or other technological collection techniques or other forms of information technology.</w:t>
      </w:r>
    </w:p>
    <w:p w:rsidR="00557060" w:rsidRPr="004A61A0" w:rsidP="00DA04F6" w14:paraId="09157735" w14:textId="77777777">
      <w:pPr>
        <w:spacing w:line="240" w:lineRule="auto"/>
        <w:rPr>
          <w:szCs w:val="24"/>
        </w:rPr>
      </w:pPr>
    </w:p>
    <w:p w:rsidR="00557060" w:rsidRPr="004A61A0" w:rsidP="00DA04F6" w14:paraId="178AD88A" w14:textId="77777777">
      <w:pPr>
        <w:spacing w:line="240" w:lineRule="auto"/>
        <w:rPr>
          <w:b/>
          <w:szCs w:val="24"/>
        </w:rPr>
      </w:pPr>
      <w:r w:rsidRPr="004A61A0">
        <w:rPr>
          <w:b/>
          <w:szCs w:val="24"/>
        </w:rPr>
        <w:t>4</w:t>
      </w:r>
      <w:r w:rsidRPr="004A61A0">
        <w:rPr>
          <w:b/>
          <w:szCs w:val="24"/>
        </w:rPr>
        <w:t>.  Efforts</w:t>
      </w:r>
      <w:r w:rsidRPr="004A61A0">
        <w:rPr>
          <w:b/>
          <w:szCs w:val="24"/>
        </w:rPr>
        <w:t xml:space="preserve"> to Identify Duplication</w:t>
      </w:r>
    </w:p>
    <w:p w:rsidR="00557060" w:rsidRPr="004A61A0" w:rsidP="00DA04F6" w14:paraId="44A1E705" w14:textId="77777777">
      <w:pPr>
        <w:spacing w:line="240" w:lineRule="auto"/>
        <w:rPr>
          <w:szCs w:val="24"/>
        </w:rPr>
      </w:pPr>
    </w:p>
    <w:p w:rsidR="00557060" w:rsidRPr="004A61A0" w:rsidP="00DA04F6" w14:paraId="12289033" w14:textId="12A4B36B">
      <w:pPr>
        <w:spacing w:line="240" w:lineRule="auto"/>
        <w:rPr>
          <w:szCs w:val="24"/>
        </w:rPr>
      </w:pPr>
      <w:r w:rsidRPr="004A61A0">
        <w:rPr>
          <w:szCs w:val="24"/>
        </w:rPr>
        <w:t>The information collection</w:t>
      </w:r>
      <w:r>
        <w:rPr>
          <w:szCs w:val="24"/>
        </w:rPr>
        <w:t xml:space="preserve"> avoids duplication by permitting</w:t>
      </w:r>
      <w:r w:rsidRPr="004A61A0">
        <w:rPr>
          <w:szCs w:val="24"/>
        </w:rPr>
        <w:t xml:space="preserve"> the submission of information that already is available to, or compiled by, an applicant for other purposes.  For instance, an applicant may meet the requirement in section 10b(a) of the Bank Act and section 1264.4(a) of the regulations that it be approved under </w:t>
      </w:r>
      <w:r w:rsidR="00393F75">
        <w:rPr>
          <w:szCs w:val="24"/>
        </w:rPr>
        <w:t>T</w:t>
      </w:r>
      <w:r w:rsidRPr="004A61A0" w:rsidR="00393F75">
        <w:rPr>
          <w:szCs w:val="24"/>
        </w:rPr>
        <w:t xml:space="preserve">itle </w:t>
      </w:r>
      <w:r w:rsidRPr="004A61A0">
        <w:rPr>
          <w:szCs w:val="24"/>
        </w:rPr>
        <w:t>II of the National Housing Act by submitting a current Department of Housing and Urban Development (HUD) Yearly Verification Report or</w:t>
      </w:r>
    </w:p>
    <w:p w:rsidR="00557060" w:rsidP="00DA04F6" w14:paraId="39309ECA" w14:textId="56FA9CF3">
      <w:pPr>
        <w:spacing w:line="240" w:lineRule="auto"/>
        <w:rPr>
          <w:szCs w:val="24"/>
        </w:rPr>
      </w:pPr>
      <w:r w:rsidRPr="004A61A0">
        <w:rPr>
          <w:szCs w:val="24"/>
        </w:rPr>
        <w:t xml:space="preserve">other documentation issued by HUD stating that it is an approved </w:t>
      </w:r>
      <w:r w:rsidRPr="004A61A0">
        <w:rPr>
          <w:szCs w:val="24"/>
        </w:rPr>
        <w:t>mortgagee</w:t>
      </w:r>
      <w:r w:rsidRPr="004A61A0">
        <w:rPr>
          <w:szCs w:val="24"/>
        </w:rPr>
        <w:t xml:space="preserve">. </w:t>
      </w:r>
      <w:r w:rsidR="00A2403C">
        <w:rPr>
          <w:szCs w:val="24"/>
        </w:rPr>
        <w:t xml:space="preserve"> </w:t>
      </w:r>
      <w:r w:rsidRPr="004A61A0">
        <w:rPr>
          <w:szCs w:val="24"/>
        </w:rPr>
        <w:t>Further, an applicant may meet the requirement in section 10b(a) of the Bank Act and section 1264.4(d) of the regulations that its principal activity in the mortgage field consists of lending its own funds and advances may be safely made by submitting previously prepared financial statements and other financial documents.  To satisfy the other eligibility requirements, an applicant may provide copies of applicable federal, state</w:t>
      </w:r>
      <w:r w:rsidR="00393F75">
        <w:rPr>
          <w:szCs w:val="24"/>
        </w:rPr>
        <w:t>,</w:t>
      </w:r>
      <w:r w:rsidRPr="004A61A0">
        <w:rPr>
          <w:szCs w:val="24"/>
        </w:rPr>
        <w:t xml:space="preserve"> or local laws and/or regulations.</w:t>
      </w:r>
    </w:p>
    <w:p w:rsidR="00557060" w:rsidRPr="004A61A0" w:rsidP="00DA04F6" w14:paraId="19486FF2" w14:textId="77777777">
      <w:pPr>
        <w:spacing w:line="240" w:lineRule="auto"/>
        <w:rPr>
          <w:szCs w:val="24"/>
        </w:rPr>
      </w:pPr>
    </w:p>
    <w:p w:rsidR="00557060" w:rsidRPr="004A61A0" w:rsidP="00DA04F6" w14:paraId="0AFB521C" w14:textId="77777777">
      <w:pPr>
        <w:spacing w:line="240" w:lineRule="auto"/>
        <w:rPr>
          <w:b/>
          <w:szCs w:val="24"/>
        </w:rPr>
      </w:pPr>
      <w:r w:rsidRPr="004A61A0">
        <w:rPr>
          <w:b/>
          <w:szCs w:val="24"/>
        </w:rPr>
        <w:t>5</w:t>
      </w:r>
      <w:r w:rsidRPr="004A61A0">
        <w:rPr>
          <w:b/>
          <w:szCs w:val="24"/>
        </w:rPr>
        <w:t>.  Impact</w:t>
      </w:r>
      <w:r w:rsidRPr="004A61A0">
        <w:rPr>
          <w:b/>
          <w:szCs w:val="24"/>
        </w:rPr>
        <w:t xml:space="preserve"> on Small Entities</w:t>
      </w:r>
    </w:p>
    <w:p w:rsidR="00557060" w:rsidRPr="004A61A0" w:rsidP="00DA04F6" w14:paraId="6689C2AD" w14:textId="77777777">
      <w:pPr>
        <w:spacing w:line="240" w:lineRule="auto"/>
        <w:rPr>
          <w:szCs w:val="24"/>
        </w:rPr>
      </w:pPr>
    </w:p>
    <w:p w:rsidR="00557060" w:rsidP="00DA04F6" w14:paraId="4DFE6421" w14:textId="77777777">
      <w:pPr>
        <w:spacing w:line="240" w:lineRule="auto"/>
        <w:rPr>
          <w:szCs w:val="24"/>
        </w:rPr>
      </w:pPr>
      <w:r w:rsidRPr="004A61A0">
        <w:rPr>
          <w:szCs w:val="24"/>
        </w:rPr>
        <w:t xml:space="preserve">The information collection will not have a significant economic impact on a substantial number of small entities.  The rule implements statutory requirements and is applicable to all applicants for certification and certified </w:t>
      </w:r>
      <w:r>
        <w:rPr>
          <w:szCs w:val="24"/>
        </w:rPr>
        <w:t>Housing Associate</w:t>
      </w:r>
      <w:r w:rsidRPr="004A61A0">
        <w:rPr>
          <w:szCs w:val="24"/>
        </w:rPr>
        <w:t xml:space="preserve">s regardless of their size.  FHFA does not have the authority to </w:t>
      </w:r>
      <w:r w:rsidRPr="004A61A0">
        <w:rPr>
          <w:szCs w:val="24"/>
        </w:rPr>
        <w:t>make adjustments to</w:t>
      </w:r>
      <w:r w:rsidRPr="004A61A0">
        <w:rPr>
          <w:szCs w:val="24"/>
        </w:rPr>
        <w:t xml:space="preserve"> the statutory requirements to accommodate small entities.</w:t>
      </w:r>
    </w:p>
    <w:p w:rsidR="00557060" w:rsidP="00DA04F6" w14:paraId="33541470" w14:textId="1B0AC095">
      <w:pPr>
        <w:spacing w:line="240" w:lineRule="auto"/>
        <w:rPr>
          <w:szCs w:val="24"/>
        </w:rPr>
      </w:pPr>
    </w:p>
    <w:p w:rsidR="00557060" w:rsidRPr="004A61A0" w:rsidP="00DA04F6" w14:paraId="3BA0ED58" w14:textId="77777777">
      <w:pPr>
        <w:spacing w:line="240" w:lineRule="auto"/>
        <w:rPr>
          <w:b/>
          <w:szCs w:val="24"/>
        </w:rPr>
      </w:pPr>
      <w:r w:rsidRPr="004A61A0">
        <w:rPr>
          <w:b/>
          <w:szCs w:val="24"/>
        </w:rPr>
        <w:t>6</w:t>
      </w:r>
      <w:r w:rsidRPr="004A61A0">
        <w:rPr>
          <w:b/>
          <w:szCs w:val="24"/>
        </w:rPr>
        <w:t>.  Consequences</w:t>
      </w:r>
      <w:r w:rsidRPr="004A61A0">
        <w:rPr>
          <w:b/>
          <w:szCs w:val="24"/>
        </w:rPr>
        <w:t xml:space="preserve"> of Less Frequent Collection and Obstacles to Burden Reduction</w:t>
      </w:r>
    </w:p>
    <w:p w:rsidR="00557060" w:rsidP="00DA04F6" w14:paraId="27BE2EF3" w14:textId="77777777">
      <w:pPr>
        <w:spacing w:line="240" w:lineRule="auto"/>
        <w:rPr>
          <w:szCs w:val="24"/>
        </w:rPr>
      </w:pPr>
    </w:p>
    <w:p w:rsidR="00557060" w:rsidP="00DA04F6" w14:paraId="461BDBEC" w14:textId="5E701332">
      <w:pPr>
        <w:spacing w:line="240" w:lineRule="auto"/>
        <w:rPr>
          <w:szCs w:val="24"/>
        </w:rPr>
      </w:pPr>
      <w:r w:rsidRPr="008D3BDA">
        <w:rPr>
          <w:szCs w:val="24"/>
        </w:rPr>
        <w:t>If the information were not collected at the time an applicant seeks to be certified</w:t>
      </w:r>
      <w:r>
        <w:rPr>
          <w:szCs w:val="24"/>
        </w:rPr>
        <w:t xml:space="preserve"> as a Housing Associate, a Bank</w:t>
      </w:r>
      <w:r w:rsidRPr="008D3BDA">
        <w:rPr>
          <w:szCs w:val="24"/>
        </w:rPr>
        <w:t xml:space="preserve"> would be unable to determine whether the applicant satisfies the statutory </w:t>
      </w:r>
      <w:r w:rsidRPr="008D3BDA">
        <w:rPr>
          <w:szCs w:val="24"/>
        </w:rPr>
        <w:t>eligibility criteria</w:t>
      </w:r>
      <w:r w:rsidR="00393F75">
        <w:rPr>
          <w:szCs w:val="24"/>
        </w:rPr>
        <w:t>,</w:t>
      </w:r>
      <w:r w:rsidRPr="008D3BDA">
        <w:rPr>
          <w:szCs w:val="24"/>
        </w:rPr>
        <w:t xml:space="preserve"> and FHFA would be unable to determine </w:t>
      </w:r>
      <w:r>
        <w:rPr>
          <w:szCs w:val="24"/>
        </w:rPr>
        <w:t xml:space="preserve">whether to uphold or overrule a </w:t>
      </w:r>
      <w:r w:rsidRPr="008D3BDA">
        <w:rPr>
          <w:szCs w:val="24"/>
        </w:rPr>
        <w:t xml:space="preserve">Bank's decision to deny </w:t>
      </w:r>
      <w:r>
        <w:rPr>
          <w:szCs w:val="24"/>
        </w:rPr>
        <w:t>Housing Associate</w:t>
      </w:r>
      <w:r w:rsidRPr="008D3BDA">
        <w:rPr>
          <w:szCs w:val="24"/>
        </w:rPr>
        <w:t xml:space="preserve"> certification to an applicant.</w:t>
      </w:r>
    </w:p>
    <w:p w:rsidR="00021634" w:rsidP="00DA04F6" w14:paraId="65EB9513" w14:textId="69E1DABA">
      <w:pPr>
        <w:spacing w:line="240" w:lineRule="auto"/>
        <w:rPr>
          <w:b/>
          <w:szCs w:val="24"/>
        </w:rPr>
      </w:pPr>
    </w:p>
    <w:p w:rsidR="00557060" w:rsidRPr="006003EA" w:rsidP="00DA04F6" w14:paraId="525A897C" w14:textId="77777777">
      <w:pPr>
        <w:spacing w:line="240" w:lineRule="auto"/>
        <w:rPr>
          <w:b/>
          <w:szCs w:val="24"/>
        </w:rPr>
      </w:pPr>
      <w:r w:rsidRPr="002A4AB8">
        <w:rPr>
          <w:b/>
          <w:szCs w:val="24"/>
        </w:rPr>
        <w:t>7</w:t>
      </w:r>
      <w:r w:rsidRPr="002A4AB8">
        <w:rPr>
          <w:b/>
          <w:szCs w:val="24"/>
        </w:rPr>
        <w:t xml:space="preserve">.  </w:t>
      </w:r>
      <w:r w:rsidRPr="006003EA">
        <w:rPr>
          <w:b/>
          <w:szCs w:val="24"/>
        </w:rPr>
        <w:t>Circumstances</w:t>
      </w:r>
      <w:r w:rsidRPr="006003EA">
        <w:rPr>
          <w:b/>
          <w:szCs w:val="24"/>
        </w:rPr>
        <w:t xml:space="preserve"> Requiring Special Information Collection</w:t>
      </w:r>
    </w:p>
    <w:p w:rsidR="00557060" w:rsidRPr="006003EA" w:rsidP="00DA04F6" w14:paraId="7659377B" w14:textId="77777777">
      <w:pPr>
        <w:spacing w:line="240" w:lineRule="auto"/>
        <w:rPr>
          <w:szCs w:val="24"/>
        </w:rPr>
      </w:pPr>
    </w:p>
    <w:p w:rsidR="00557060" w:rsidRPr="006003EA" w:rsidP="00DA04F6" w14:paraId="57B256EE" w14:textId="77777777">
      <w:pPr>
        <w:spacing w:line="240" w:lineRule="auto"/>
        <w:rPr>
          <w:szCs w:val="24"/>
        </w:rPr>
      </w:pPr>
      <w:r w:rsidRPr="006003EA">
        <w:rPr>
          <w:szCs w:val="24"/>
        </w:rPr>
        <w:t xml:space="preserve">There are no special circumstances requiring the information collection to be conducted in a manner </w:t>
      </w:r>
      <w:r w:rsidRPr="00E9160B">
        <w:rPr>
          <w:szCs w:val="24"/>
        </w:rPr>
        <w:t>inconsistent with OMB guidelines</w:t>
      </w:r>
      <w:r w:rsidRPr="006003EA">
        <w:rPr>
          <w:szCs w:val="24"/>
        </w:rPr>
        <w:t>.</w:t>
      </w:r>
    </w:p>
    <w:p w:rsidR="000441B2" w:rsidRPr="006003EA" w:rsidP="00DA04F6" w14:paraId="6110C964" w14:textId="6D18446B">
      <w:pPr>
        <w:spacing w:line="240" w:lineRule="auto"/>
        <w:rPr>
          <w:szCs w:val="24"/>
        </w:rPr>
      </w:pPr>
    </w:p>
    <w:p w:rsidR="00557060" w:rsidRPr="006003EA" w:rsidP="00DA04F6" w14:paraId="5CE26082" w14:textId="77777777">
      <w:pPr>
        <w:spacing w:line="240" w:lineRule="auto"/>
        <w:rPr>
          <w:b/>
          <w:szCs w:val="24"/>
        </w:rPr>
      </w:pPr>
      <w:r w:rsidRPr="006003EA">
        <w:rPr>
          <w:b/>
          <w:szCs w:val="24"/>
        </w:rPr>
        <w:t>8</w:t>
      </w:r>
      <w:r w:rsidRPr="006003EA">
        <w:rPr>
          <w:b/>
          <w:szCs w:val="24"/>
        </w:rPr>
        <w:t>.  Solicitation</w:t>
      </w:r>
      <w:r w:rsidRPr="006003EA">
        <w:rPr>
          <w:b/>
          <w:szCs w:val="24"/>
        </w:rPr>
        <w:t xml:space="preserve"> of Comments on Information Collection</w:t>
      </w:r>
    </w:p>
    <w:p w:rsidR="00557060" w:rsidRPr="006003EA" w:rsidP="00DA04F6" w14:paraId="739D35AA" w14:textId="77777777">
      <w:pPr>
        <w:spacing w:line="240" w:lineRule="auto"/>
        <w:rPr>
          <w:szCs w:val="24"/>
        </w:rPr>
      </w:pPr>
    </w:p>
    <w:p w:rsidR="00557060" w:rsidRPr="006003EA" w:rsidP="00DA04F6" w14:paraId="71209DCF" w14:textId="06B2A7F7">
      <w:pPr>
        <w:pStyle w:val="BodyText"/>
        <w:spacing w:after="0" w:line="240" w:lineRule="auto"/>
        <w:rPr>
          <w:color w:val="000000"/>
        </w:rPr>
      </w:pPr>
      <w:r w:rsidRPr="006003EA">
        <w:rPr>
          <w:szCs w:val="24"/>
        </w:rPr>
        <w:t>In accordance with the requirements of 5 CFR 1320.8</w:t>
      </w:r>
      <w:r w:rsidRPr="00F23685">
        <w:rPr>
          <w:szCs w:val="24"/>
        </w:rPr>
        <w:t xml:space="preserve">(d), FHFA </w:t>
      </w:r>
      <w:r w:rsidRPr="00F65BE8">
        <w:rPr>
          <w:szCs w:val="24"/>
        </w:rPr>
        <w:t xml:space="preserve">published a request for public comments regarding this information collection in the </w:t>
      </w:r>
      <w:r w:rsidRPr="00F65BE8">
        <w:rPr>
          <w:i/>
          <w:szCs w:val="24"/>
        </w:rPr>
        <w:t>Federal Register</w:t>
      </w:r>
      <w:r w:rsidRPr="00F65BE8">
        <w:rPr>
          <w:szCs w:val="24"/>
        </w:rPr>
        <w:t xml:space="preserve"> on </w:t>
      </w:r>
      <w:r w:rsidR="00F65BE8">
        <w:rPr>
          <w:szCs w:val="24"/>
        </w:rPr>
        <w:t>August 20, 2025</w:t>
      </w:r>
      <w:r w:rsidRPr="00F65BE8">
        <w:rPr>
          <w:szCs w:val="24"/>
        </w:rPr>
        <w:t>.</w:t>
      </w:r>
      <w:r>
        <w:rPr>
          <w:rStyle w:val="FootnoteReference"/>
          <w:szCs w:val="24"/>
        </w:rPr>
        <w:footnoteReference w:id="8"/>
      </w:r>
      <w:r w:rsidRPr="00F65BE8">
        <w:rPr>
          <w:szCs w:val="24"/>
        </w:rPr>
        <w:t xml:space="preserve">  </w:t>
      </w:r>
      <w:r w:rsidRPr="00F65BE8">
        <w:rPr>
          <w:color w:val="000000"/>
        </w:rPr>
        <w:t xml:space="preserve">The 60-day comment period closed on </w:t>
      </w:r>
      <w:r w:rsidR="00F65BE8">
        <w:rPr>
          <w:color w:val="000000"/>
        </w:rPr>
        <w:t>October 20, 2025</w:t>
      </w:r>
      <w:r w:rsidRPr="00F65BE8">
        <w:rPr>
          <w:color w:val="000000"/>
        </w:rPr>
        <w:t xml:space="preserve">.  FHFA received </w:t>
      </w:r>
      <w:r w:rsidRPr="00F65BE8" w:rsidR="00B72DA0">
        <w:rPr>
          <w:color w:val="000000"/>
        </w:rPr>
        <w:t>no comments</w:t>
      </w:r>
      <w:r w:rsidRPr="00F65BE8">
        <w:rPr>
          <w:color w:val="000000"/>
        </w:rPr>
        <w:t>.</w:t>
      </w:r>
    </w:p>
    <w:p w:rsidR="00557060" w:rsidRPr="006003EA" w:rsidP="00DA04F6" w14:paraId="0B531380" w14:textId="77777777">
      <w:pPr>
        <w:spacing w:line="240" w:lineRule="auto"/>
        <w:rPr>
          <w:szCs w:val="24"/>
        </w:rPr>
      </w:pPr>
    </w:p>
    <w:p w:rsidR="00557060" w:rsidRPr="006003EA" w:rsidP="00DA04F6" w14:paraId="0D1FCE60" w14:textId="77777777">
      <w:pPr>
        <w:spacing w:line="240" w:lineRule="auto"/>
        <w:rPr>
          <w:b/>
          <w:szCs w:val="24"/>
        </w:rPr>
      </w:pPr>
      <w:r w:rsidRPr="006003EA">
        <w:rPr>
          <w:b/>
          <w:szCs w:val="24"/>
        </w:rPr>
        <w:t>9</w:t>
      </w:r>
      <w:r w:rsidRPr="006003EA">
        <w:rPr>
          <w:b/>
          <w:szCs w:val="24"/>
        </w:rPr>
        <w:t>.  Provision</w:t>
      </w:r>
      <w:r w:rsidRPr="006003EA">
        <w:rPr>
          <w:b/>
          <w:szCs w:val="24"/>
        </w:rPr>
        <w:t xml:space="preserve"> of Payments or Gifts to Respondents</w:t>
      </w:r>
    </w:p>
    <w:p w:rsidR="00557060" w:rsidRPr="006003EA" w:rsidP="00DA04F6" w14:paraId="183CE72F" w14:textId="77777777">
      <w:pPr>
        <w:spacing w:line="240" w:lineRule="auto"/>
        <w:rPr>
          <w:szCs w:val="24"/>
        </w:rPr>
      </w:pPr>
    </w:p>
    <w:p w:rsidR="00557060" w:rsidRPr="006003EA" w:rsidP="00DA04F6" w14:paraId="737DB34A" w14:textId="77777777">
      <w:pPr>
        <w:spacing w:line="240" w:lineRule="auto"/>
        <w:rPr>
          <w:szCs w:val="24"/>
        </w:rPr>
      </w:pPr>
      <w:r w:rsidRPr="006003EA">
        <w:rPr>
          <w:szCs w:val="24"/>
        </w:rPr>
        <w:t>No payment or gift is provided to any respondent.</w:t>
      </w:r>
    </w:p>
    <w:p w:rsidR="00557060" w:rsidRPr="006003EA" w:rsidP="00DA04F6" w14:paraId="38540715" w14:textId="77777777">
      <w:pPr>
        <w:spacing w:line="240" w:lineRule="auto"/>
        <w:rPr>
          <w:szCs w:val="24"/>
        </w:rPr>
      </w:pPr>
    </w:p>
    <w:p w:rsidR="00557060" w:rsidRPr="006003EA" w:rsidP="00DA04F6" w14:paraId="0AA08B5F" w14:textId="77777777">
      <w:pPr>
        <w:spacing w:line="240" w:lineRule="auto"/>
        <w:rPr>
          <w:b/>
          <w:szCs w:val="24"/>
        </w:rPr>
      </w:pPr>
      <w:r w:rsidRPr="006003EA">
        <w:rPr>
          <w:b/>
          <w:szCs w:val="24"/>
        </w:rPr>
        <w:t>10</w:t>
      </w:r>
      <w:r w:rsidRPr="006003EA">
        <w:rPr>
          <w:b/>
          <w:szCs w:val="24"/>
        </w:rPr>
        <w:t>.  Assurance</w:t>
      </w:r>
      <w:r w:rsidRPr="006003EA">
        <w:rPr>
          <w:b/>
          <w:szCs w:val="24"/>
        </w:rPr>
        <w:t xml:space="preserve"> of Confidentiality</w:t>
      </w:r>
    </w:p>
    <w:p w:rsidR="00557060" w:rsidRPr="006003EA" w:rsidP="00DA04F6" w14:paraId="4C0F6DB7" w14:textId="77777777">
      <w:pPr>
        <w:spacing w:line="240" w:lineRule="auto"/>
        <w:rPr>
          <w:szCs w:val="24"/>
        </w:rPr>
      </w:pPr>
    </w:p>
    <w:p w:rsidR="00557060" w:rsidRPr="006003EA" w:rsidP="00DA04F6" w14:paraId="06F0D3C9" w14:textId="42542684">
      <w:pPr>
        <w:spacing w:line="240" w:lineRule="auto"/>
        <w:rPr>
          <w:szCs w:val="24"/>
        </w:rPr>
      </w:pPr>
      <w:r w:rsidRPr="006003EA">
        <w:rPr>
          <w:szCs w:val="24"/>
        </w:rPr>
        <w:t>The Banks and FHFA will maintain the confidentiality of information obtained from respondents as required by applicable statute, regulation</w:t>
      </w:r>
      <w:r w:rsidR="008F0C54">
        <w:rPr>
          <w:szCs w:val="24"/>
        </w:rPr>
        <w:t>,</w:t>
      </w:r>
      <w:r w:rsidRPr="006003EA">
        <w:rPr>
          <w:szCs w:val="24"/>
        </w:rPr>
        <w:t xml:space="preserve"> or agency policy.</w:t>
      </w:r>
    </w:p>
    <w:p w:rsidR="00557060" w:rsidRPr="006003EA" w:rsidP="00DA04F6" w14:paraId="5FF97260" w14:textId="77777777">
      <w:pPr>
        <w:spacing w:line="240" w:lineRule="auto"/>
        <w:rPr>
          <w:szCs w:val="24"/>
        </w:rPr>
      </w:pPr>
    </w:p>
    <w:p w:rsidR="00557060" w:rsidRPr="006003EA" w:rsidP="00DA04F6" w14:paraId="7FA5BB17" w14:textId="77777777">
      <w:pPr>
        <w:spacing w:line="240" w:lineRule="auto"/>
        <w:rPr>
          <w:b/>
          <w:szCs w:val="24"/>
        </w:rPr>
      </w:pPr>
      <w:r w:rsidRPr="006003EA">
        <w:rPr>
          <w:b/>
          <w:szCs w:val="24"/>
        </w:rPr>
        <w:t>11</w:t>
      </w:r>
      <w:r w:rsidRPr="006003EA">
        <w:rPr>
          <w:b/>
          <w:szCs w:val="24"/>
        </w:rPr>
        <w:t>.  Questions</w:t>
      </w:r>
      <w:r w:rsidRPr="006003EA">
        <w:rPr>
          <w:b/>
          <w:szCs w:val="24"/>
        </w:rPr>
        <w:t xml:space="preserve"> </w:t>
      </w:r>
      <w:r w:rsidRPr="006003EA">
        <w:rPr>
          <w:b/>
          <w:szCs w:val="24"/>
        </w:rPr>
        <w:t>of</w:t>
      </w:r>
      <w:r w:rsidRPr="006003EA">
        <w:rPr>
          <w:b/>
          <w:szCs w:val="24"/>
        </w:rPr>
        <w:t xml:space="preserve"> </w:t>
      </w:r>
      <w:r w:rsidRPr="006003EA">
        <w:rPr>
          <w:b/>
          <w:szCs w:val="24"/>
        </w:rPr>
        <w:t>a Sensitive</w:t>
      </w:r>
      <w:r w:rsidRPr="006003EA">
        <w:rPr>
          <w:b/>
          <w:szCs w:val="24"/>
        </w:rPr>
        <w:t xml:space="preserve"> Nature</w:t>
      </w:r>
    </w:p>
    <w:p w:rsidR="00557060" w:rsidRPr="006003EA" w:rsidP="00DA04F6" w14:paraId="140768FB" w14:textId="77777777">
      <w:pPr>
        <w:spacing w:line="240" w:lineRule="auto"/>
        <w:rPr>
          <w:szCs w:val="24"/>
        </w:rPr>
      </w:pPr>
    </w:p>
    <w:p w:rsidR="00557060" w:rsidRPr="00F65BE8" w:rsidP="00DA04F6" w14:paraId="7B530FF7" w14:textId="77777777">
      <w:pPr>
        <w:spacing w:line="240" w:lineRule="auto"/>
        <w:rPr>
          <w:szCs w:val="24"/>
        </w:rPr>
      </w:pPr>
      <w:r w:rsidRPr="00F65BE8">
        <w:rPr>
          <w:szCs w:val="24"/>
        </w:rPr>
        <w:t>There are no questions of a sensitive nature in the information collection.</w:t>
      </w:r>
    </w:p>
    <w:p w:rsidR="00557060" w:rsidRPr="00F65BE8" w:rsidP="00DA04F6" w14:paraId="3C986C12" w14:textId="77777777">
      <w:pPr>
        <w:spacing w:line="240" w:lineRule="auto"/>
        <w:rPr>
          <w:szCs w:val="24"/>
        </w:rPr>
      </w:pPr>
    </w:p>
    <w:p w:rsidR="00557060" w:rsidRPr="006003EA" w:rsidP="00DA04F6" w14:paraId="3E76B366" w14:textId="77777777">
      <w:pPr>
        <w:spacing w:line="240" w:lineRule="auto"/>
        <w:rPr>
          <w:b/>
          <w:szCs w:val="24"/>
        </w:rPr>
      </w:pPr>
      <w:r w:rsidRPr="00F65BE8">
        <w:rPr>
          <w:b/>
          <w:szCs w:val="24"/>
        </w:rPr>
        <w:t>12</w:t>
      </w:r>
      <w:r w:rsidRPr="00F65BE8">
        <w:rPr>
          <w:b/>
          <w:szCs w:val="24"/>
        </w:rPr>
        <w:t>.  Estimates</w:t>
      </w:r>
      <w:r w:rsidRPr="00F65BE8">
        <w:rPr>
          <w:b/>
          <w:szCs w:val="24"/>
        </w:rPr>
        <w:t xml:space="preserve"> of the Hour Burden of the Information Collection</w:t>
      </w:r>
    </w:p>
    <w:p w:rsidR="00557060" w:rsidRPr="006003EA" w:rsidP="00DA04F6" w14:paraId="6ACD271E" w14:textId="77777777">
      <w:pPr>
        <w:spacing w:line="240" w:lineRule="auto"/>
        <w:rPr>
          <w:szCs w:val="24"/>
        </w:rPr>
      </w:pPr>
    </w:p>
    <w:p w:rsidR="007E2066" w:rsidRPr="00F65BE8" w:rsidP="00206E45" w14:paraId="715A26F7" w14:textId="4DBADBBB">
      <w:pPr>
        <w:spacing w:line="240" w:lineRule="auto"/>
        <w:rPr>
          <w:rFonts w:eastAsia="Times New Roman" w:cs="Times New Roman"/>
          <w:szCs w:val="24"/>
        </w:rPr>
      </w:pPr>
      <w:r w:rsidRPr="00F65BE8">
        <w:rPr>
          <w:szCs w:val="24"/>
        </w:rPr>
        <w:t xml:space="preserve">FHFA estimates the annualized hour burden imposed upon respondents by this information collection to be </w:t>
      </w:r>
      <w:r w:rsidRPr="00F65BE8" w:rsidR="00BC1473">
        <w:rPr>
          <w:szCs w:val="24"/>
        </w:rPr>
        <w:t xml:space="preserve">314 </w:t>
      </w:r>
      <w:r w:rsidRPr="00F65BE8">
        <w:rPr>
          <w:szCs w:val="24"/>
        </w:rPr>
        <w:t>hours.  It estimates the associated annualized hourly costs to respondents to be $</w:t>
      </w:r>
      <w:r w:rsidRPr="00F65BE8" w:rsidR="009013A1">
        <w:rPr>
          <w:szCs w:val="24"/>
        </w:rPr>
        <w:t>42,7</w:t>
      </w:r>
      <w:r w:rsidRPr="00F65BE8" w:rsidR="009D1FB8">
        <w:rPr>
          <w:szCs w:val="24"/>
        </w:rPr>
        <w:t>7</w:t>
      </w:r>
      <w:r w:rsidRPr="00F65BE8" w:rsidR="009013A1">
        <w:rPr>
          <w:szCs w:val="24"/>
        </w:rPr>
        <w:t>7</w:t>
      </w:r>
      <w:r w:rsidRPr="00F65BE8">
        <w:rPr>
          <w:szCs w:val="24"/>
        </w:rPr>
        <w:t xml:space="preserve">, which includes salaries, benefits, and overhead costs.  </w:t>
      </w:r>
    </w:p>
    <w:p w:rsidR="00557060" w:rsidRPr="00F65BE8" w:rsidP="00206E45" w14:paraId="738634CB" w14:textId="77777777">
      <w:pPr>
        <w:spacing w:line="240" w:lineRule="auto"/>
        <w:ind w:left="720"/>
        <w:rPr>
          <w:szCs w:val="24"/>
        </w:rPr>
      </w:pPr>
    </w:p>
    <w:p w:rsidR="00557060" w:rsidRPr="00F65BE8" w:rsidP="00DA04F6" w14:paraId="7EA43D70" w14:textId="1C31B18D">
      <w:pPr>
        <w:spacing w:line="240" w:lineRule="auto"/>
        <w:rPr>
          <w:szCs w:val="24"/>
        </w:rPr>
      </w:pPr>
      <w:r w:rsidRPr="00F65BE8">
        <w:rPr>
          <w:szCs w:val="24"/>
        </w:rPr>
        <w:t>These totals comprise both the estimated burdens imposed upon institutions applying to be certified as a Housing Associate for the first time (</w:t>
      </w:r>
      <w:r w:rsidRPr="00F65BE8" w:rsidR="00907C74">
        <w:rPr>
          <w:szCs w:val="24"/>
        </w:rPr>
        <w:t>14</w:t>
      </w:r>
      <w:r w:rsidRPr="00F65BE8">
        <w:rPr>
          <w:szCs w:val="24"/>
        </w:rPr>
        <w:t xml:space="preserve"> hours; $</w:t>
      </w:r>
      <w:r w:rsidRPr="00F65BE8" w:rsidR="001D3775">
        <w:rPr>
          <w:szCs w:val="24"/>
        </w:rPr>
        <w:t>1</w:t>
      </w:r>
      <w:r w:rsidRPr="00F65BE8" w:rsidR="008F3A22">
        <w:rPr>
          <w:szCs w:val="24"/>
        </w:rPr>
        <w:t>,</w:t>
      </w:r>
      <w:r w:rsidRPr="00F65BE8" w:rsidR="00E52DDC">
        <w:rPr>
          <w:szCs w:val="24"/>
        </w:rPr>
        <w:t>602</w:t>
      </w:r>
      <w:r w:rsidRPr="00F65BE8">
        <w:rPr>
          <w:szCs w:val="24"/>
        </w:rPr>
        <w:t>) and upon existing Housing Associates providing information to confirm that they continue to qualify (</w:t>
      </w:r>
      <w:r w:rsidRPr="00F65BE8" w:rsidR="00BC1473">
        <w:rPr>
          <w:szCs w:val="24"/>
        </w:rPr>
        <w:t xml:space="preserve">300 </w:t>
      </w:r>
      <w:r w:rsidRPr="00F65BE8">
        <w:rPr>
          <w:szCs w:val="24"/>
        </w:rPr>
        <w:t xml:space="preserve">hours; </w:t>
      </w:r>
      <w:r w:rsidRPr="00F65BE8" w:rsidR="00226E6C">
        <w:t>$</w:t>
      </w:r>
      <w:r w:rsidRPr="00F65BE8" w:rsidR="009013A1">
        <w:t>41,175</w:t>
      </w:r>
      <w:r w:rsidRPr="00F65BE8">
        <w:rPr>
          <w:szCs w:val="24"/>
        </w:rPr>
        <w:t xml:space="preserve">).  Based on historical experience, FHFA projects that, in a </w:t>
      </w:r>
      <w:r w:rsidRPr="00F65BE8" w:rsidR="00BC1473">
        <w:rPr>
          <w:szCs w:val="24"/>
        </w:rPr>
        <w:t>five-year</w:t>
      </w:r>
      <w:r w:rsidRPr="00F65BE8">
        <w:rPr>
          <w:szCs w:val="24"/>
        </w:rPr>
        <w:t xml:space="preserve"> period, the agency may hear one appeal filed by an applicant that has been rejected for certification as a Housing Associate.  Because of the infrequency of these appeals (in fact, one has never occurred), the burdens associated with the appeal process have not been included in the estimates.</w:t>
      </w:r>
    </w:p>
    <w:p w:rsidR="00380C80" w:rsidRPr="00F65BE8" w:rsidP="00DA04F6" w14:paraId="655D6E88" w14:textId="76D9A834">
      <w:pPr>
        <w:spacing w:line="240" w:lineRule="auto"/>
        <w:rPr>
          <w:szCs w:val="24"/>
        </w:rPr>
      </w:pPr>
    </w:p>
    <w:p w:rsidR="00557060" w:rsidRPr="00F65BE8" w:rsidP="00DA04F6" w14:paraId="397DFB9C" w14:textId="6EDFBC56">
      <w:pPr>
        <w:spacing w:line="240" w:lineRule="auto"/>
        <w:rPr>
          <w:szCs w:val="24"/>
        </w:rPr>
      </w:pPr>
      <w:r w:rsidRPr="00F65BE8">
        <w:rPr>
          <w:szCs w:val="24"/>
        </w:rPr>
        <w:t>To derive hourly costs, FHFA used as a base the May 2</w:t>
      </w:r>
      <w:r w:rsidRPr="00F65BE8" w:rsidR="00293536">
        <w:rPr>
          <w:szCs w:val="24"/>
        </w:rPr>
        <w:t>02</w:t>
      </w:r>
      <w:r w:rsidRPr="00F65BE8" w:rsidR="007D472A">
        <w:rPr>
          <w:szCs w:val="24"/>
        </w:rPr>
        <w:t>4</w:t>
      </w:r>
      <w:r w:rsidRPr="00F65BE8">
        <w:rPr>
          <w:szCs w:val="24"/>
        </w:rPr>
        <w:t xml:space="preserve"> hourly wage</w:t>
      </w:r>
      <w:r w:rsidRPr="00F65BE8" w:rsidR="001A7BD0">
        <w:rPr>
          <w:szCs w:val="24"/>
        </w:rPr>
        <w:t xml:space="preserve"> figures from the Bureau of Labor Statistics (BLS)</w:t>
      </w:r>
      <w:r w:rsidRPr="00F65BE8">
        <w:rPr>
          <w:szCs w:val="24"/>
        </w:rPr>
        <w:t xml:space="preserve"> for the occupation of the person performing each task,</w:t>
      </w:r>
      <w:r>
        <w:rPr>
          <w:szCs w:val="24"/>
          <w:vertAlign w:val="superscript"/>
        </w:rPr>
        <w:footnoteReference w:id="9"/>
      </w:r>
      <w:r w:rsidRPr="00F65BE8">
        <w:rPr>
          <w:szCs w:val="24"/>
        </w:rPr>
        <w:t xml:space="preserve"> </w:t>
      </w:r>
      <w:r w:rsidRPr="00F65BE8" w:rsidR="00E23A98">
        <w:rPr>
          <w:szCs w:val="24"/>
        </w:rPr>
        <w:t xml:space="preserve">then added </w:t>
      </w:r>
      <w:r w:rsidRPr="00F65BE8" w:rsidR="00673C78">
        <w:rPr>
          <w:szCs w:val="24"/>
        </w:rPr>
        <w:t>50</w:t>
      </w:r>
      <w:r w:rsidRPr="00F65BE8" w:rsidR="00EC4A40">
        <w:rPr>
          <w:szCs w:val="24"/>
        </w:rPr>
        <w:t xml:space="preserve"> percent to those amounts to account for the cost of bene</w:t>
      </w:r>
      <w:r w:rsidRPr="00F65BE8" w:rsidR="00E23A98">
        <w:rPr>
          <w:szCs w:val="24"/>
        </w:rPr>
        <w:t>fits</w:t>
      </w:r>
      <w:r w:rsidRPr="00F65BE8" w:rsidR="00673C78">
        <w:rPr>
          <w:szCs w:val="24"/>
        </w:rPr>
        <w:t xml:space="preserve">. </w:t>
      </w:r>
      <w:r w:rsidRPr="00F65BE8" w:rsidR="00673C78">
        <w:t xml:space="preserve"> </w:t>
      </w:r>
      <w:r w:rsidRPr="00F65BE8">
        <w:t>FHFA’s total burden estimates are based on the following calculations:</w:t>
      </w:r>
    </w:p>
    <w:p w:rsidR="00557060" w:rsidRPr="00F65BE8" w:rsidP="00DA04F6" w14:paraId="312A5F40" w14:textId="77777777">
      <w:pPr>
        <w:spacing w:line="240" w:lineRule="auto"/>
      </w:pPr>
    </w:p>
    <w:p w:rsidR="00557060" w:rsidRPr="00410240" w:rsidP="00DA04F6" w14:paraId="4194D572" w14:textId="77777777">
      <w:pPr>
        <w:spacing w:line="240" w:lineRule="auto"/>
        <w:ind w:left="720"/>
      </w:pPr>
      <w:r w:rsidRPr="00F65BE8">
        <w:t xml:space="preserve">I.  </w:t>
      </w:r>
      <w:r w:rsidRPr="00F65BE8">
        <w:rPr>
          <w:i/>
          <w:u w:val="single"/>
        </w:rPr>
        <w:t>Applicants</w:t>
      </w:r>
    </w:p>
    <w:p w:rsidR="00557060" w:rsidRPr="00410240" w:rsidP="00DA04F6" w14:paraId="05CD3CED" w14:textId="77777777">
      <w:pPr>
        <w:pStyle w:val="Bullet"/>
        <w:ind w:left="0"/>
        <w:rPr>
          <w:snapToGrid/>
        </w:rPr>
      </w:pPr>
    </w:p>
    <w:p w:rsidR="00557060" w:rsidRPr="00410240" w:rsidP="00DA04F6" w14:paraId="2DA700A7" w14:textId="786E2156">
      <w:pPr>
        <w:pStyle w:val="Bullet"/>
        <w:ind w:left="0"/>
      </w:pPr>
      <w:r w:rsidRPr="00410240">
        <w:t xml:space="preserve">FHFA </w:t>
      </w:r>
      <w:r w:rsidRPr="00410240" w:rsidR="00123A1E">
        <w:t xml:space="preserve">estimates that </w:t>
      </w:r>
      <w:r w:rsidRPr="00410240">
        <w:t xml:space="preserve">an average of </w:t>
      </w:r>
      <w:r w:rsidRPr="00410240" w:rsidR="00123A1E">
        <w:t>one applicant</w:t>
      </w:r>
      <w:r w:rsidRPr="00410240">
        <w:t xml:space="preserve"> will apply to </w:t>
      </w:r>
      <w:r w:rsidRPr="00410240" w:rsidR="00123A1E">
        <w:t>a Bank</w:t>
      </w:r>
      <w:r w:rsidRPr="00410240">
        <w:t xml:space="preserve"> for certification as a new Housing Associate </w:t>
      </w:r>
      <w:r w:rsidRPr="00410240" w:rsidR="00123A1E">
        <w:t>in each of the next three years</w:t>
      </w:r>
      <w:r w:rsidRPr="00410240">
        <w:t>.  The estimated annualized hour burden on those entities</w:t>
      </w:r>
      <w:r w:rsidRPr="00410240" w:rsidR="00907C74">
        <w:t xml:space="preserve"> is 14</w:t>
      </w:r>
      <w:r w:rsidRPr="00410240">
        <w:t xml:space="preserve"> hours and the estimated annualized costs are </w:t>
      </w:r>
      <w:r w:rsidRPr="00B42687">
        <w:t>$</w:t>
      </w:r>
      <w:r w:rsidR="00E52DDC">
        <w:t>1,602</w:t>
      </w:r>
      <w:r w:rsidRPr="00B42687">
        <w:t>, based on the following calculations:</w:t>
      </w:r>
      <w:r w:rsidRPr="00410240">
        <w:t xml:space="preserve"> </w:t>
      </w:r>
    </w:p>
    <w:p w:rsidR="009864CB" w:rsidRPr="00410240" w:rsidP="00DA04F6" w14:paraId="74EF4D95" w14:textId="0B514072">
      <w:pPr>
        <w:pStyle w:val="Bullet"/>
        <w:ind w:left="0"/>
        <w:rPr>
          <w:szCs w:val="24"/>
        </w:rPr>
      </w:pPr>
    </w:p>
    <w:p w:rsidR="00557060" w:rsidRPr="00410240" w:rsidP="007838D6" w14:paraId="388CC08F" w14:textId="41A0D67C">
      <w:pPr>
        <w:pStyle w:val="Bullet"/>
        <w:ind w:left="540"/>
        <w:rPr>
          <w:szCs w:val="24"/>
        </w:rPr>
      </w:pPr>
      <w:r w:rsidRPr="00410240">
        <w:rPr>
          <w:szCs w:val="24"/>
        </w:rPr>
        <w:t xml:space="preserve">Financial </w:t>
      </w:r>
      <w:r w:rsidRPr="00410240">
        <w:rPr>
          <w:szCs w:val="24"/>
        </w:rPr>
        <w:t>Analyst compiles and reviews the necessary documentation for application submission to the Bank:</w:t>
      </w:r>
    </w:p>
    <w:p w:rsidR="00557060" w:rsidRPr="00410240" w:rsidP="00DA04F6" w14:paraId="0AC3EDB7" w14:textId="77777777">
      <w:pPr>
        <w:pStyle w:val="Bullet1"/>
        <w:rPr>
          <w:szCs w:val="24"/>
        </w:rPr>
      </w:pPr>
    </w:p>
    <w:p w:rsidR="00557060" w:rsidRPr="00410240" w:rsidP="00A84F51" w14:paraId="19834F10" w14:textId="1D0686DF">
      <w:pPr>
        <w:pStyle w:val="Bullet1"/>
        <w:numPr>
          <w:ilvl w:val="0"/>
          <w:numId w:val="2"/>
        </w:numPr>
        <w:tabs>
          <w:tab w:val="num" w:pos="2952"/>
        </w:tabs>
        <w:ind w:left="1440"/>
        <w:rPr>
          <w:szCs w:val="24"/>
        </w:rPr>
      </w:pPr>
      <w:r w:rsidRPr="00410240">
        <w:rPr>
          <w:szCs w:val="24"/>
        </w:rPr>
        <w:t>Processing time</w:t>
      </w:r>
      <w:r w:rsidRPr="00410240">
        <w:rPr>
          <w:szCs w:val="24"/>
        </w:rPr>
        <w:t xml:space="preserve">:  </w:t>
      </w:r>
      <w:r w:rsidRPr="00410240" w:rsidR="00EA59E7">
        <w:rPr>
          <w:szCs w:val="24"/>
        </w:rPr>
        <w:tab/>
      </w:r>
      <w:r w:rsidRPr="00410240" w:rsidR="00907081">
        <w:rPr>
          <w:szCs w:val="24"/>
        </w:rPr>
        <w:tab/>
      </w:r>
      <w:r w:rsidRPr="00410240">
        <w:rPr>
          <w:szCs w:val="24"/>
        </w:rPr>
        <w:t>8</w:t>
      </w:r>
      <w:r w:rsidRPr="00410240">
        <w:rPr>
          <w:szCs w:val="24"/>
        </w:rPr>
        <w:t xml:space="preserve"> hours</w:t>
      </w:r>
    </w:p>
    <w:p w:rsidR="00557060" w:rsidRPr="00410240" w:rsidP="00A84F51" w14:paraId="5D7CDA86" w14:textId="76A98315">
      <w:pPr>
        <w:pStyle w:val="Bullet1"/>
        <w:numPr>
          <w:ilvl w:val="0"/>
          <w:numId w:val="2"/>
        </w:numPr>
        <w:tabs>
          <w:tab w:val="num" w:pos="2448"/>
        </w:tabs>
        <w:ind w:left="1440"/>
        <w:rPr>
          <w:szCs w:val="24"/>
        </w:rPr>
      </w:pPr>
      <w:r w:rsidRPr="00410240">
        <w:rPr>
          <w:szCs w:val="24"/>
        </w:rPr>
        <w:t>Total applications</w:t>
      </w:r>
      <w:r w:rsidRPr="00410240">
        <w:rPr>
          <w:szCs w:val="24"/>
        </w:rPr>
        <w:t xml:space="preserve">:  </w:t>
      </w:r>
      <w:r w:rsidRPr="00410240" w:rsidR="00EA59E7">
        <w:rPr>
          <w:szCs w:val="24"/>
        </w:rPr>
        <w:tab/>
      </w:r>
      <w:r w:rsidR="00A84F51">
        <w:rPr>
          <w:szCs w:val="24"/>
        </w:rPr>
        <w:tab/>
      </w:r>
      <w:r w:rsidRPr="00410240" w:rsidR="00725CF1">
        <w:rPr>
          <w:szCs w:val="24"/>
        </w:rPr>
        <w:t>1</w:t>
      </w:r>
    </w:p>
    <w:p w:rsidR="00557060" w:rsidRPr="00410240" w:rsidP="00A84F51" w14:paraId="19D82BFC" w14:textId="575EBB36">
      <w:pPr>
        <w:pStyle w:val="Bullet1"/>
        <w:numPr>
          <w:ilvl w:val="0"/>
          <w:numId w:val="2"/>
        </w:numPr>
        <w:tabs>
          <w:tab w:val="num" w:pos="2448"/>
        </w:tabs>
        <w:ind w:left="1440"/>
        <w:rPr>
          <w:szCs w:val="24"/>
        </w:rPr>
      </w:pPr>
      <w:r w:rsidRPr="00410240">
        <w:rPr>
          <w:szCs w:val="24"/>
        </w:rPr>
        <w:t>Total hours</w:t>
      </w:r>
      <w:r w:rsidRPr="00410240">
        <w:rPr>
          <w:szCs w:val="24"/>
        </w:rPr>
        <w:t xml:space="preserve">:  </w:t>
      </w:r>
      <w:r w:rsidRPr="00410240" w:rsidR="00EA59E7">
        <w:rPr>
          <w:szCs w:val="24"/>
        </w:rPr>
        <w:tab/>
      </w:r>
      <w:r w:rsidRPr="00410240" w:rsidR="00907081">
        <w:rPr>
          <w:szCs w:val="24"/>
        </w:rPr>
        <w:tab/>
      </w:r>
      <w:r w:rsidR="00A84F51">
        <w:rPr>
          <w:szCs w:val="24"/>
        </w:rPr>
        <w:tab/>
      </w:r>
      <w:r w:rsidRPr="00410240" w:rsidR="00725CF1">
        <w:rPr>
          <w:szCs w:val="24"/>
        </w:rPr>
        <w:t>8</w:t>
      </w:r>
    </w:p>
    <w:p w:rsidR="00557060" w:rsidRPr="00410240" w:rsidP="00A84F51" w14:paraId="151C2C34" w14:textId="466554EA">
      <w:pPr>
        <w:pStyle w:val="Bullet1"/>
        <w:numPr>
          <w:ilvl w:val="0"/>
          <w:numId w:val="2"/>
        </w:numPr>
        <w:tabs>
          <w:tab w:val="num" w:pos="2448"/>
        </w:tabs>
        <w:ind w:left="1440"/>
        <w:jc w:val="both"/>
        <w:rPr>
          <w:szCs w:val="24"/>
        </w:rPr>
      </w:pPr>
      <w:r w:rsidRPr="00410240">
        <w:rPr>
          <w:szCs w:val="24"/>
        </w:rPr>
        <w:t>Hourly rate</w:t>
      </w:r>
      <w:r w:rsidRPr="00410240">
        <w:rPr>
          <w:szCs w:val="24"/>
        </w:rPr>
        <w:t xml:space="preserve">:  </w:t>
      </w:r>
      <w:r w:rsidRPr="00410240" w:rsidR="00EA59E7">
        <w:rPr>
          <w:szCs w:val="24"/>
        </w:rPr>
        <w:tab/>
      </w:r>
      <w:r w:rsidRPr="00410240" w:rsidR="00907081">
        <w:rPr>
          <w:szCs w:val="24"/>
        </w:rPr>
        <w:tab/>
      </w:r>
      <w:r w:rsidR="00A84F51">
        <w:rPr>
          <w:szCs w:val="24"/>
        </w:rPr>
        <w:tab/>
      </w:r>
      <w:r w:rsidRPr="00410240">
        <w:rPr>
          <w:szCs w:val="24"/>
        </w:rPr>
        <w:t>$</w:t>
      </w:r>
      <w:r w:rsidR="00E52DDC">
        <w:rPr>
          <w:szCs w:val="24"/>
        </w:rPr>
        <w:t>84</w:t>
      </w:r>
    </w:p>
    <w:p w:rsidR="00557060" w:rsidRPr="00410240" w:rsidP="00A84F51" w14:paraId="74D88F91" w14:textId="00CFC047">
      <w:pPr>
        <w:pStyle w:val="Bullet1"/>
        <w:numPr>
          <w:ilvl w:val="0"/>
          <w:numId w:val="2"/>
        </w:numPr>
        <w:tabs>
          <w:tab w:val="num" w:pos="1944"/>
        </w:tabs>
        <w:ind w:left="1440"/>
        <w:jc w:val="both"/>
        <w:rPr>
          <w:szCs w:val="24"/>
        </w:rPr>
      </w:pPr>
      <w:r w:rsidRPr="00410240">
        <w:rPr>
          <w:szCs w:val="24"/>
        </w:rPr>
        <w:t>Total cost</w:t>
      </w:r>
      <w:r w:rsidRPr="00410240">
        <w:rPr>
          <w:szCs w:val="24"/>
        </w:rPr>
        <w:t xml:space="preserve">:  </w:t>
      </w:r>
      <w:r w:rsidRPr="00410240" w:rsidR="00EA59E7">
        <w:rPr>
          <w:szCs w:val="24"/>
        </w:rPr>
        <w:tab/>
      </w:r>
      <w:r w:rsidRPr="00410240" w:rsidR="00EA59E7">
        <w:rPr>
          <w:szCs w:val="24"/>
        </w:rPr>
        <w:tab/>
      </w:r>
      <w:r w:rsidR="00A84F51">
        <w:rPr>
          <w:szCs w:val="24"/>
        </w:rPr>
        <w:tab/>
      </w:r>
      <w:r w:rsidRPr="00410240">
        <w:rPr>
          <w:szCs w:val="24"/>
        </w:rPr>
        <w:t>$</w:t>
      </w:r>
      <w:r w:rsidR="00EB2EFF">
        <w:rPr>
          <w:szCs w:val="24"/>
        </w:rPr>
        <w:t>6</w:t>
      </w:r>
      <w:r w:rsidR="00E52DDC">
        <w:rPr>
          <w:szCs w:val="24"/>
        </w:rPr>
        <w:t>72</w:t>
      </w:r>
    </w:p>
    <w:p w:rsidR="00557060" w:rsidRPr="00410240" w:rsidP="00DA04F6" w14:paraId="3308B539" w14:textId="77777777">
      <w:pPr>
        <w:pStyle w:val="Bullet"/>
        <w:ind w:left="0"/>
        <w:rPr>
          <w:szCs w:val="24"/>
        </w:rPr>
      </w:pPr>
    </w:p>
    <w:p w:rsidR="00557060" w:rsidRPr="00410240" w:rsidP="007838D6" w14:paraId="701D15CF" w14:textId="0788A080">
      <w:pPr>
        <w:pStyle w:val="Bullet"/>
        <w:ind w:left="540"/>
        <w:rPr>
          <w:szCs w:val="24"/>
        </w:rPr>
      </w:pPr>
      <w:r w:rsidRPr="00410240">
        <w:rPr>
          <w:szCs w:val="24"/>
        </w:rPr>
        <w:t xml:space="preserve">Attorney reviews membership application to </w:t>
      </w:r>
      <w:r w:rsidRPr="00410240">
        <w:rPr>
          <w:szCs w:val="24"/>
        </w:rPr>
        <w:t>conform</w:t>
      </w:r>
      <w:r w:rsidRPr="00410240">
        <w:rPr>
          <w:szCs w:val="24"/>
        </w:rPr>
        <w:t xml:space="preserve"> statutory and regulatory eligibility:</w:t>
      </w:r>
    </w:p>
    <w:p w:rsidR="00557060" w:rsidRPr="00410240" w:rsidP="00DA04F6" w14:paraId="26DA98B1" w14:textId="77777777">
      <w:pPr>
        <w:pStyle w:val="BodyText"/>
        <w:spacing w:after="0" w:line="240" w:lineRule="auto"/>
        <w:rPr>
          <w:szCs w:val="24"/>
        </w:rPr>
      </w:pPr>
    </w:p>
    <w:p w:rsidR="00557060" w:rsidRPr="00410240" w:rsidP="00A84F51" w14:paraId="2B2086C2" w14:textId="4B954C89">
      <w:pPr>
        <w:pStyle w:val="Bullet1"/>
        <w:numPr>
          <w:ilvl w:val="0"/>
          <w:numId w:val="2"/>
        </w:numPr>
        <w:tabs>
          <w:tab w:val="num" w:pos="1944"/>
        </w:tabs>
        <w:ind w:left="1440"/>
        <w:rPr>
          <w:szCs w:val="24"/>
        </w:rPr>
      </w:pPr>
      <w:r w:rsidRPr="00410240">
        <w:rPr>
          <w:szCs w:val="24"/>
        </w:rPr>
        <w:t>Processing time</w:t>
      </w:r>
      <w:r w:rsidRPr="00410240">
        <w:rPr>
          <w:szCs w:val="24"/>
        </w:rPr>
        <w:t xml:space="preserve">:  </w:t>
      </w:r>
      <w:r w:rsidRPr="00410240" w:rsidR="00EA59E7">
        <w:rPr>
          <w:szCs w:val="24"/>
        </w:rPr>
        <w:tab/>
      </w:r>
      <w:r w:rsidRPr="00410240" w:rsidR="00907081">
        <w:rPr>
          <w:szCs w:val="24"/>
        </w:rPr>
        <w:tab/>
      </w:r>
      <w:r w:rsidRPr="00410240">
        <w:rPr>
          <w:szCs w:val="24"/>
        </w:rPr>
        <w:t>6</w:t>
      </w:r>
      <w:r w:rsidRPr="00410240">
        <w:rPr>
          <w:szCs w:val="24"/>
        </w:rPr>
        <w:t xml:space="preserve"> hours</w:t>
      </w:r>
    </w:p>
    <w:p w:rsidR="00557060" w:rsidRPr="00410240" w:rsidP="00A84F51" w14:paraId="19DE8CC2" w14:textId="5EAC894D">
      <w:pPr>
        <w:pStyle w:val="Bullet1"/>
        <w:numPr>
          <w:ilvl w:val="0"/>
          <w:numId w:val="2"/>
        </w:numPr>
        <w:tabs>
          <w:tab w:val="num" w:pos="1944"/>
        </w:tabs>
        <w:ind w:left="1440"/>
        <w:rPr>
          <w:szCs w:val="24"/>
        </w:rPr>
      </w:pPr>
      <w:r w:rsidRPr="00410240">
        <w:rPr>
          <w:szCs w:val="24"/>
        </w:rPr>
        <w:t>Total applications</w:t>
      </w:r>
      <w:r w:rsidRPr="00410240">
        <w:rPr>
          <w:szCs w:val="24"/>
        </w:rPr>
        <w:t xml:space="preserve">:  </w:t>
      </w:r>
      <w:r w:rsidRPr="00410240" w:rsidR="00EA59E7">
        <w:rPr>
          <w:szCs w:val="24"/>
        </w:rPr>
        <w:tab/>
      </w:r>
      <w:r w:rsidRPr="00410240" w:rsidR="00907081">
        <w:rPr>
          <w:szCs w:val="24"/>
        </w:rPr>
        <w:tab/>
      </w:r>
      <w:r w:rsidRPr="00410240" w:rsidR="009864CB">
        <w:rPr>
          <w:szCs w:val="24"/>
        </w:rPr>
        <w:t>1</w:t>
      </w:r>
    </w:p>
    <w:p w:rsidR="00557060" w:rsidRPr="00410240" w:rsidP="00A84F51" w14:paraId="09CA9E82" w14:textId="54549417">
      <w:pPr>
        <w:pStyle w:val="Bullet1"/>
        <w:numPr>
          <w:ilvl w:val="0"/>
          <w:numId w:val="2"/>
        </w:numPr>
        <w:tabs>
          <w:tab w:val="num" w:pos="1944"/>
        </w:tabs>
        <w:ind w:left="1440"/>
        <w:rPr>
          <w:szCs w:val="24"/>
        </w:rPr>
      </w:pPr>
      <w:r w:rsidRPr="00410240">
        <w:rPr>
          <w:szCs w:val="24"/>
        </w:rPr>
        <w:t>Total hours</w:t>
      </w:r>
      <w:r w:rsidRPr="00410240">
        <w:rPr>
          <w:szCs w:val="24"/>
        </w:rPr>
        <w:t xml:space="preserve">:  </w:t>
      </w:r>
      <w:r w:rsidRPr="00410240" w:rsidR="00EA59E7">
        <w:rPr>
          <w:szCs w:val="24"/>
        </w:rPr>
        <w:tab/>
      </w:r>
      <w:r w:rsidRPr="00410240" w:rsidR="00907081">
        <w:rPr>
          <w:szCs w:val="24"/>
        </w:rPr>
        <w:tab/>
      </w:r>
      <w:r w:rsidR="00A84F51">
        <w:rPr>
          <w:szCs w:val="24"/>
        </w:rPr>
        <w:tab/>
      </w:r>
      <w:r w:rsidRPr="00410240" w:rsidR="009864CB">
        <w:rPr>
          <w:szCs w:val="24"/>
        </w:rPr>
        <w:t>6</w:t>
      </w:r>
      <w:r w:rsidRPr="00410240">
        <w:rPr>
          <w:szCs w:val="24"/>
        </w:rPr>
        <w:t xml:space="preserve"> </w:t>
      </w:r>
    </w:p>
    <w:p w:rsidR="00557060" w:rsidRPr="00410240" w:rsidP="00A84F51" w14:paraId="3D2FA543" w14:textId="391375C0">
      <w:pPr>
        <w:pStyle w:val="Bullet1"/>
        <w:numPr>
          <w:ilvl w:val="0"/>
          <w:numId w:val="2"/>
        </w:numPr>
        <w:tabs>
          <w:tab w:val="num" w:pos="1944"/>
        </w:tabs>
        <w:ind w:left="1440"/>
        <w:rPr>
          <w:szCs w:val="24"/>
        </w:rPr>
      </w:pPr>
      <w:r w:rsidRPr="00410240">
        <w:rPr>
          <w:szCs w:val="24"/>
        </w:rPr>
        <w:t>Hourly rate</w:t>
      </w:r>
      <w:r w:rsidRPr="00410240">
        <w:rPr>
          <w:szCs w:val="24"/>
        </w:rPr>
        <w:t xml:space="preserve">:  </w:t>
      </w:r>
      <w:r w:rsidRPr="00410240" w:rsidR="00EA59E7">
        <w:rPr>
          <w:szCs w:val="24"/>
        </w:rPr>
        <w:tab/>
      </w:r>
      <w:r w:rsidRPr="00410240" w:rsidR="00907081">
        <w:rPr>
          <w:szCs w:val="24"/>
        </w:rPr>
        <w:tab/>
      </w:r>
      <w:r w:rsidR="00A84F51">
        <w:rPr>
          <w:szCs w:val="24"/>
        </w:rPr>
        <w:tab/>
      </w:r>
      <w:r w:rsidRPr="00410240">
        <w:rPr>
          <w:szCs w:val="24"/>
        </w:rPr>
        <w:t>$</w:t>
      </w:r>
      <w:r w:rsidR="00E52DDC">
        <w:rPr>
          <w:szCs w:val="24"/>
        </w:rPr>
        <w:t>155</w:t>
      </w:r>
    </w:p>
    <w:p w:rsidR="00557060" w:rsidRPr="00410240" w:rsidP="00A84F51" w14:paraId="67E3D27B" w14:textId="5676E0D0">
      <w:pPr>
        <w:pStyle w:val="Bullet1"/>
        <w:numPr>
          <w:ilvl w:val="0"/>
          <w:numId w:val="2"/>
        </w:numPr>
        <w:ind w:left="1440"/>
        <w:rPr>
          <w:szCs w:val="24"/>
        </w:rPr>
      </w:pPr>
      <w:r w:rsidRPr="00410240">
        <w:rPr>
          <w:szCs w:val="24"/>
        </w:rPr>
        <w:t>Total cost</w:t>
      </w:r>
      <w:r w:rsidRPr="00410240">
        <w:rPr>
          <w:szCs w:val="24"/>
        </w:rPr>
        <w:t xml:space="preserve">:  </w:t>
      </w:r>
      <w:r w:rsidRPr="00410240" w:rsidR="00EA59E7">
        <w:rPr>
          <w:szCs w:val="24"/>
        </w:rPr>
        <w:tab/>
      </w:r>
      <w:r w:rsidRPr="00410240" w:rsidR="00EA59E7">
        <w:rPr>
          <w:szCs w:val="24"/>
        </w:rPr>
        <w:tab/>
      </w:r>
      <w:r w:rsidRPr="00410240" w:rsidR="00907081">
        <w:rPr>
          <w:szCs w:val="24"/>
        </w:rPr>
        <w:tab/>
      </w:r>
      <w:r w:rsidRPr="00410240" w:rsidR="009864CB">
        <w:rPr>
          <w:szCs w:val="24"/>
        </w:rPr>
        <w:t>$</w:t>
      </w:r>
      <w:r w:rsidR="00E52DDC">
        <w:rPr>
          <w:szCs w:val="24"/>
        </w:rPr>
        <w:t>930</w:t>
      </w:r>
    </w:p>
    <w:p w:rsidR="00557060" w:rsidRPr="00410240" w:rsidP="00DA04F6" w14:paraId="2A0E9C0A" w14:textId="77777777">
      <w:pPr>
        <w:pStyle w:val="Bullet1"/>
        <w:ind w:left="0"/>
        <w:rPr>
          <w:szCs w:val="24"/>
        </w:rPr>
      </w:pPr>
    </w:p>
    <w:p w:rsidR="00557060" w:rsidRPr="00410240" w:rsidP="00DA04F6" w14:paraId="0D84FFEE" w14:textId="77777777">
      <w:pPr>
        <w:pStyle w:val="Bullet1"/>
        <w:rPr>
          <w:szCs w:val="24"/>
        </w:rPr>
      </w:pPr>
      <w:r w:rsidRPr="00410240">
        <w:rPr>
          <w:szCs w:val="24"/>
        </w:rPr>
        <w:t>II</w:t>
      </w:r>
      <w:r w:rsidRPr="00410240">
        <w:rPr>
          <w:szCs w:val="24"/>
        </w:rPr>
        <w:t xml:space="preserve">.  </w:t>
      </w:r>
      <w:r w:rsidRPr="00410240">
        <w:rPr>
          <w:i/>
          <w:szCs w:val="24"/>
          <w:u w:val="single"/>
        </w:rPr>
        <w:t>Current</w:t>
      </w:r>
      <w:r w:rsidRPr="00410240">
        <w:rPr>
          <w:i/>
          <w:szCs w:val="24"/>
          <w:u w:val="single"/>
        </w:rPr>
        <w:t xml:space="preserve"> Housing Associates</w:t>
      </w:r>
    </w:p>
    <w:p w:rsidR="00557060" w:rsidRPr="00410240" w:rsidP="00DA04F6" w14:paraId="425B0E33" w14:textId="77777777">
      <w:pPr>
        <w:pStyle w:val="Bullet1"/>
        <w:ind w:left="0"/>
        <w:rPr>
          <w:szCs w:val="24"/>
        </w:rPr>
      </w:pPr>
    </w:p>
    <w:p w:rsidR="00557060" w:rsidRPr="00410240" w:rsidP="00DA04F6" w14:paraId="3A3C91F8" w14:textId="150F70C3">
      <w:pPr>
        <w:pStyle w:val="Default"/>
      </w:pPr>
      <w:r w:rsidRPr="00410240">
        <w:t xml:space="preserve">FHFA </w:t>
      </w:r>
      <w:r w:rsidRPr="00410240" w:rsidR="00391F95">
        <w:t>estimates</w:t>
      </w:r>
      <w:r w:rsidRPr="00410240">
        <w:t xml:space="preserve"> </w:t>
      </w:r>
      <w:r w:rsidRPr="00410240" w:rsidR="00EA59E7">
        <w:t xml:space="preserve">that </w:t>
      </w:r>
      <w:r w:rsidRPr="00410240">
        <w:t xml:space="preserve">an average of </w:t>
      </w:r>
      <w:r w:rsidR="00BC1473">
        <w:t>75</w:t>
      </w:r>
      <w:r w:rsidRPr="00791762" w:rsidR="00BC1473">
        <w:t xml:space="preserve"> </w:t>
      </w:r>
      <w:r w:rsidRPr="00791762">
        <w:t xml:space="preserve">existing Housing Associates will provide information to a Bank to establish their continuing eligibility </w:t>
      </w:r>
      <w:r w:rsidRPr="00791762" w:rsidR="00391F95">
        <w:t xml:space="preserve">in </w:t>
      </w:r>
      <w:r w:rsidRPr="00791762">
        <w:t>each</w:t>
      </w:r>
      <w:r w:rsidRPr="00791762" w:rsidR="00391F95">
        <w:t xml:space="preserve"> of the next three</w:t>
      </w:r>
      <w:r w:rsidRPr="00791762">
        <w:t xml:space="preserve"> year</w:t>
      </w:r>
      <w:r w:rsidRPr="00791762" w:rsidR="00391F95">
        <w:t>s</w:t>
      </w:r>
      <w:r w:rsidRPr="00791762">
        <w:t xml:space="preserve">. </w:t>
      </w:r>
      <w:r w:rsidR="00673C78">
        <w:t xml:space="preserve"> </w:t>
      </w:r>
      <w:r w:rsidRPr="00410240">
        <w:t xml:space="preserve">The estimated annualized hour burden on those Housing Associates is </w:t>
      </w:r>
      <w:r w:rsidR="00BC1473">
        <w:t>300</w:t>
      </w:r>
      <w:r w:rsidRPr="00410240" w:rsidR="00BC1473">
        <w:t xml:space="preserve"> </w:t>
      </w:r>
      <w:r w:rsidRPr="00410240">
        <w:t>hours and the estimated annualized costs are $</w:t>
      </w:r>
      <w:r w:rsidR="009013A1">
        <w:t>41,175</w:t>
      </w:r>
      <w:r w:rsidRPr="00410240">
        <w:t xml:space="preserve">, based on the following calculations: </w:t>
      </w:r>
    </w:p>
    <w:p w:rsidR="00557060" w:rsidRPr="00410240" w:rsidP="00DA04F6" w14:paraId="40B8AFF6" w14:textId="77777777">
      <w:pPr>
        <w:pStyle w:val="Bullet1"/>
        <w:ind w:left="0"/>
        <w:rPr>
          <w:szCs w:val="24"/>
        </w:rPr>
      </w:pPr>
    </w:p>
    <w:p w:rsidR="00557060" w:rsidRPr="00410240" w:rsidP="007838D6" w14:paraId="0843342E" w14:textId="0CAB74F0">
      <w:pPr>
        <w:pStyle w:val="Bullet"/>
        <w:ind w:left="540"/>
        <w:rPr>
          <w:szCs w:val="24"/>
        </w:rPr>
      </w:pPr>
      <w:r w:rsidRPr="00410240">
        <w:rPr>
          <w:szCs w:val="24"/>
        </w:rPr>
        <w:t xml:space="preserve">Financial </w:t>
      </w:r>
      <w:r w:rsidRPr="00410240">
        <w:rPr>
          <w:szCs w:val="24"/>
        </w:rPr>
        <w:t>Analyst compiles and reviews the documentation to provide periodic financial statements to the Bank:</w:t>
      </w:r>
    </w:p>
    <w:p w:rsidR="00557060" w:rsidRPr="00410240" w:rsidP="00DA04F6" w14:paraId="15358AF3" w14:textId="77777777">
      <w:pPr>
        <w:pStyle w:val="BodyText"/>
        <w:spacing w:after="0" w:line="240" w:lineRule="auto"/>
        <w:rPr>
          <w:szCs w:val="24"/>
        </w:rPr>
      </w:pPr>
    </w:p>
    <w:p w:rsidR="00557060" w:rsidRPr="00410240" w:rsidP="007838D6" w14:paraId="422055A2" w14:textId="3A0AA50E">
      <w:pPr>
        <w:pStyle w:val="Bullet1"/>
        <w:numPr>
          <w:ilvl w:val="0"/>
          <w:numId w:val="2"/>
        </w:numPr>
        <w:tabs>
          <w:tab w:val="num" w:pos="1440"/>
        </w:tabs>
        <w:ind w:left="1440"/>
        <w:rPr>
          <w:szCs w:val="24"/>
        </w:rPr>
      </w:pPr>
      <w:r w:rsidRPr="00410240">
        <w:rPr>
          <w:szCs w:val="24"/>
        </w:rPr>
        <w:t>Processing time</w:t>
      </w:r>
      <w:r w:rsidRPr="00410240">
        <w:rPr>
          <w:szCs w:val="24"/>
        </w:rPr>
        <w:t xml:space="preserve">:  </w:t>
      </w:r>
      <w:r w:rsidRPr="00410240" w:rsidR="00907081">
        <w:rPr>
          <w:szCs w:val="24"/>
        </w:rPr>
        <w:tab/>
      </w:r>
      <w:r w:rsidRPr="00410240" w:rsidR="00907081">
        <w:rPr>
          <w:szCs w:val="24"/>
        </w:rPr>
        <w:tab/>
      </w:r>
      <w:r w:rsidRPr="00410240">
        <w:rPr>
          <w:szCs w:val="24"/>
        </w:rPr>
        <w:t>1</w:t>
      </w:r>
      <w:r w:rsidRPr="00410240">
        <w:rPr>
          <w:szCs w:val="24"/>
        </w:rPr>
        <w:t xml:space="preserve"> hour</w:t>
      </w:r>
    </w:p>
    <w:p w:rsidR="00557060" w:rsidRPr="00410240" w:rsidP="007838D6" w14:paraId="6D81FB05" w14:textId="1F5F3778">
      <w:pPr>
        <w:pStyle w:val="Bullet1"/>
        <w:numPr>
          <w:ilvl w:val="0"/>
          <w:numId w:val="2"/>
        </w:numPr>
        <w:tabs>
          <w:tab w:val="num" w:pos="1440"/>
        </w:tabs>
        <w:ind w:left="1440"/>
        <w:rPr>
          <w:szCs w:val="24"/>
        </w:rPr>
      </w:pPr>
      <w:r w:rsidRPr="00410240">
        <w:rPr>
          <w:szCs w:val="24"/>
        </w:rPr>
        <w:t>Total Housing Associates</w:t>
      </w:r>
      <w:r w:rsidRPr="00410240">
        <w:rPr>
          <w:szCs w:val="24"/>
        </w:rPr>
        <w:t xml:space="preserve">:  </w:t>
      </w:r>
      <w:r w:rsidRPr="00410240" w:rsidR="00907081">
        <w:rPr>
          <w:szCs w:val="24"/>
        </w:rPr>
        <w:tab/>
      </w:r>
      <w:r w:rsidR="00BC1473">
        <w:rPr>
          <w:szCs w:val="24"/>
        </w:rPr>
        <w:t>75</w:t>
      </w:r>
    </w:p>
    <w:p w:rsidR="00557060" w:rsidRPr="00410240" w:rsidP="007838D6" w14:paraId="2E87E07C" w14:textId="7D9437C8">
      <w:pPr>
        <w:pStyle w:val="Bullet1"/>
        <w:numPr>
          <w:ilvl w:val="0"/>
          <w:numId w:val="2"/>
        </w:numPr>
        <w:tabs>
          <w:tab w:val="num" w:pos="1440"/>
        </w:tabs>
        <w:ind w:left="1440"/>
        <w:rPr>
          <w:szCs w:val="24"/>
        </w:rPr>
      </w:pPr>
      <w:r w:rsidRPr="00410240">
        <w:rPr>
          <w:szCs w:val="24"/>
        </w:rPr>
        <w:t>Total hours</w:t>
      </w:r>
      <w:r w:rsidRPr="00410240">
        <w:rPr>
          <w:szCs w:val="24"/>
        </w:rPr>
        <w:t xml:space="preserve">:  </w:t>
      </w:r>
      <w:r w:rsidRPr="00410240" w:rsidR="00907081">
        <w:rPr>
          <w:szCs w:val="24"/>
        </w:rPr>
        <w:tab/>
      </w:r>
      <w:r w:rsidRPr="00410240" w:rsidR="00907081">
        <w:rPr>
          <w:szCs w:val="24"/>
        </w:rPr>
        <w:tab/>
      </w:r>
      <w:r w:rsidR="007838D6">
        <w:rPr>
          <w:szCs w:val="24"/>
        </w:rPr>
        <w:tab/>
      </w:r>
      <w:r w:rsidR="00BC1473">
        <w:rPr>
          <w:szCs w:val="24"/>
        </w:rPr>
        <w:t>75</w:t>
      </w:r>
    </w:p>
    <w:p w:rsidR="00557060" w:rsidRPr="00410240" w:rsidP="007838D6" w14:paraId="2DBBBDA7" w14:textId="4B7C459C">
      <w:pPr>
        <w:pStyle w:val="Bullet1"/>
        <w:numPr>
          <w:ilvl w:val="0"/>
          <w:numId w:val="2"/>
        </w:numPr>
        <w:tabs>
          <w:tab w:val="num" w:pos="1440"/>
        </w:tabs>
        <w:ind w:left="1440"/>
        <w:jc w:val="both"/>
        <w:rPr>
          <w:szCs w:val="24"/>
        </w:rPr>
      </w:pPr>
      <w:r w:rsidRPr="00410240">
        <w:rPr>
          <w:szCs w:val="24"/>
        </w:rPr>
        <w:t>Hourly rate</w:t>
      </w:r>
      <w:r w:rsidRPr="00410240">
        <w:rPr>
          <w:szCs w:val="24"/>
        </w:rPr>
        <w:t xml:space="preserve">:  </w:t>
      </w:r>
      <w:r w:rsidRPr="00410240" w:rsidR="00907081">
        <w:rPr>
          <w:szCs w:val="24"/>
        </w:rPr>
        <w:tab/>
      </w:r>
      <w:r w:rsidRPr="00410240" w:rsidR="00907081">
        <w:rPr>
          <w:szCs w:val="24"/>
        </w:rPr>
        <w:tab/>
      </w:r>
      <w:r w:rsidR="007838D6">
        <w:rPr>
          <w:szCs w:val="24"/>
        </w:rPr>
        <w:tab/>
      </w:r>
      <w:r w:rsidRPr="00410240">
        <w:rPr>
          <w:szCs w:val="24"/>
        </w:rPr>
        <w:t>$</w:t>
      </w:r>
      <w:r w:rsidR="00E52DDC">
        <w:rPr>
          <w:szCs w:val="24"/>
        </w:rPr>
        <w:t>84</w:t>
      </w:r>
    </w:p>
    <w:p w:rsidR="00557060" w:rsidRPr="00410240" w:rsidP="007838D6" w14:paraId="166789E2" w14:textId="5EF28CF4">
      <w:pPr>
        <w:pStyle w:val="Bullet1"/>
        <w:numPr>
          <w:ilvl w:val="0"/>
          <w:numId w:val="2"/>
        </w:numPr>
        <w:tabs>
          <w:tab w:val="num" w:pos="1440"/>
        </w:tabs>
        <w:ind w:left="1440"/>
        <w:jc w:val="both"/>
        <w:rPr>
          <w:szCs w:val="24"/>
        </w:rPr>
      </w:pPr>
      <w:r w:rsidRPr="00410240">
        <w:rPr>
          <w:szCs w:val="24"/>
        </w:rPr>
        <w:t>Total cost</w:t>
      </w:r>
      <w:r w:rsidRPr="00410240">
        <w:rPr>
          <w:szCs w:val="24"/>
        </w:rPr>
        <w:t xml:space="preserve">:  </w:t>
      </w:r>
      <w:r w:rsidRPr="00410240" w:rsidR="00907081">
        <w:rPr>
          <w:szCs w:val="24"/>
        </w:rPr>
        <w:tab/>
      </w:r>
      <w:r w:rsidRPr="00410240" w:rsidR="00907081">
        <w:rPr>
          <w:szCs w:val="24"/>
        </w:rPr>
        <w:tab/>
      </w:r>
      <w:r w:rsidRPr="00410240" w:rsidR="00907081">
        <w:rPr>
          <w:szCs w:val="24"/>
        </w:rPr>
        <w:tab/>
        <w:t>$</w:t>
      </w:r>
      <w:r w:rsidR="00E52DDC">
        <w:rPr>
          <w:szCs w:val="24"/>
        </w:rPr>
        <w:t>6,300</w:t>
      </w:r>
    </w:p>
    <w:p w:rsidR="00557060" w:rsidRPr="00410240" w:rsidP="00DA04F6" w14:paraId="27028F66" w14:textId="348F862F">
      <w:pPr>
        <w:pStyle w:val="Bullet1"/>
        <w:ind w:left="0"/>
        <w:rPr>
          <w:szCs w:val="24"/>
        </w:rPr>
      </w:pPr>
    </w:p>
    <w:p w:rsidR="00557060" w:rsidRPr="00410240" w:rsidP="007838D6" w14:paraId="28440C28" w14:textId="25C5C6AF">
      <w:pPr>
        <w:pStyle w:val="Bullet"/>
        <w:ind w:left="540"/>
        <w:rPr>
          <w:szCs w:val="24"/>
        </w:rPr>
      </w:pPr>
      <w:r w:rsidRPr="00410240">
        <w:rPr>
          <w:szCs w:val="24"/>
        </w:rPr>
        <w:t>Attorney reviews the documentation to provide periodic financial statements to the Bank:</w:t>
      </w:r>
    </w:p>
    <w:p w:rsidR="00557060" w:rsidRPr="00410240" w:rsidP="00DA04F6" w14:paraId="559314AD" w14:textId="77777777">
      <w:pPr>
        <w:pStyle w:val="BodyText"/>
        <w:spacing w:after="0" w:line="240" w:lineRule="auto"/>
        <w:rPr>
          <w:szCs w:val="24"/>
        </w:rPr>
      </w:pPr>
    </w:p>
    <w:p w:rsidR="00557060" w:rsidRPr="00410240" w:rsidP="007838D6" w14:paraId="068D08E4" w14:textId="456D49AF">
      <w:pPr>
        <w:pStyle w:val="Bullet1"/>
        <w:numPr>
          <w:ilvl w:val="0"/>
          <w:numId w:val="2"/>
        </w:numPr>
        <w:tabs>
          <w:tab w:val="num" w:pos="1440"/>
        </w:tabs>
        <w:ind w:left="1440"/>
        <w:rPr>
          <w:szCs w:val="24"/>
        </w:rPr>
      </w:pPr>
      <w:r w:rsidRPr="00410240">
        <w:rPr>
          <w:szCs w:val="24"/>
        </w:rPr>
        <w:t xml:space="preserve">Processing time: </w:t>
      </w:r>
      <w:r w:rsidRPr="00410240" w:rsidR="00183D13">
        <w:rPr>
          <w:szCs w:val="24"/>
        </w:rPr>
        <w:tab/>
      </w:r>
      <w:r w:rsidRPr="00410240" w:rsidR="00183D13">
        <w:rPr>
          <w:szCs w:val="24"/>
        </w:rPr>
        <w:tab/>
      </w:r>
      <w:r w:rsidRPr="00410240">
        <w:rPr>
          <w:szCs w:val="24"/>
        </w:rPr>
        <w:t>3 hours</w:t>
      </w:r>
    </w:p>
    <w:p w:rsidR="00557060" w:rsidRPr="00410240" w:rsidP="007838D6" w14:paraId="6B9AD6B6" w14:textId="18F57315">
      <w:pPr>
        <w:pStyle w:val="Bullet1"/>
        <w:numPr>
          <w:ilvl w:val="0"/>
          <w:numId w:val="2"/>
        </w:numPr>
        <w:tabs>
          <w:tab w:val="num" w:pos="1440"/>
        </w:tabs>
        <w:ind w:left="1440"/>
        <w:rPr>
          <w:szCs w:val="24"/>
        </w:rPr>
      </w:pPr>
      <w:r w:rsidRPr="00410240">
        <w:rPr>
          <w:szCs w:val="24"/>
        </w:rPr>
        <w:t>Total Housing Associates</w:t>
      </w:r>
      <w:r w:rsidRPr="00410240">
        <w:rPr>
          <w:szCs w:val="24"/>
        </w:rPr>
        <w:t xml:space="preserve">:  </w:t>
      </w:r>
      <w:r w:rsidRPr="00410240" w:rsidR="00183D13">
        <w:rPr>
          <w:szCs w:val="24"/>
        </w:rPr>
        <w:tab/>
      </w:r>
      <w:r w:rsidR="00BC1473">
        <w:rPr>
          <w:szCs w:val="24"/>
        </w:rPr>
        <w:t>75</w:t>
      </w:r>
    </w:p>
    <w:p w:rsidR="00557060" w:rsidRPr="00410240" w:rsidP="007838D6" w14:paraId="2E2BF3B0" w14:textId="69C02E46">
      <w:pPr>
        <w:pStyle w:val="Bullet1"/>
        <w:numPr>
          <w:ilvl w:val="0"/>
          <w:numId w:val="2"/>
        </w:numPr>
        <w:tabs>
          <w:tab w:val="num" w:pos="1440"/>
        </w:tabs>
        <w:ind w:left="1440"/>
        <w:rPr>
          <w:szCs w:val="24"/>
        </w:rPr>
      </w:pPr>
      <w:r w:rsidRPr="00410240">
        <w:rPr>
          <w:szCs w:val="24"/>
        </w:rPr>
        <w:t>Total hours</w:t>
      </w:r>
      <w:r w:rsidRPr="00410240">
        <w:rPr>
          <w:szCs w:val="24"/>
        </w:rPr>
        <w:t xml:space="preserve">:  </w:t>
      </w:r>
      <w:r w:rsidRPr="00410240" w:rsidR="00183D13">
        <w:rPr>
          <w:szCs w:val="24"/>
        </w:rPr>
        <w:tab/>
      </w:r>
      <w:r w:rsidRPr="00410240" w:rsidR="00183D13">
        <w:rPr>
          <w:szCs w:val="24"/>
        </w:rPr>
        <w:tab/>
      </w:r>
      <w:r w:rsidR="007838D6">
        <w:rPr>
          <w:szCs w:val="24"/>
        </w:rPr>
        <w:tab/>
      </w:r>
      <w:r w:rsidR="00BC1473">
        <w:rPr>
          <w:szCs w:val="24"/>
        </w:rPr>
        <w:t>225</w:t>
      </w:r>
    </w:p>
    <w:p w:rsidR="00557060" w:rsidRPr="00410240" w:rsidP="007838D6" w14:paraId="67306C3E" w14:textId="60F9AC96">
      <w:pPr>
        <w:pStyle w:val="Bullet1"/>
        <w:numPr>
          <w:ilvl w:val="0"/>
          <w:numId w:val="2"/>
        </w:numPr>
        <w:tabs>
          <w:tab w:val="num" w:pos="1440"/>
        </w:tabs>
        <w:ind w:left="1440"/>
        <w:jc w:val="both"/>
        <w:rPr>
          <w:szCs w:val="24"/>
        </w:rPr>
      </w:pPr>
      <w:r w:rsidRPr="00410240">
        <w:rPr>
          <w:szCs w:val="24"/>
        </w:rPr>
        <w:t>Hourly rate</w:t>
      </w:r>
      <w:r w:rsidRPr="00410240">
        <w:rPr>
          <w:szCs w:val="24"/>
        </w:rPr>
        <w:t xml:space="preserve">:  </w:t>
      </w:r>
      <w:r w:rsidRPr="00410240" w:rsidR="00183D13">
        <w:rPr>
          <w:szCs w:val="24"/>
        </w:rPr>
        <w:tab/>
      </w:r>
      <w:r w:rsidRPr="00410240" w:rsidR="00183D13">
        <w:rPr>
          <w:szCs w:val="24"/>
        </w:rPr>
        <w:tab/>
      </w:r>
      <w:r w:rsidR="007838D6">
        <w:rPr>
          <w:szCs w:val="24"/>
        </w:rPr>
        <w:tab/>
      </w:r>
      <w:r w:rsidRPr="00410240">
        <w:rPr>
          <w:szCs w:val="24"/>
        </w:rPr>
        <w:t>$</w:t>
      </w:r>
      <w:r w:rsidR="00E52DDC">
        <w:rPr>
          <w:szCs w:val="24"/>
        </w:rPr>
        <w:t>155</w:t>
      </w:r>
    </w:p>
    <w:p w:rsidR="00975B21" w:rsidRPr="00410240" w:rsidP="007838D6" w14:paraId="1CB0FD8A" w14:textId="7C715747">
      <w:pPr>
        <w:pStyle w:val="Bullet1"/>
        <w:numPr>
          <w:ilvl w:val="0"/>
          <w:numId w:val="2"/>
        </w:numPr>
        <w:tabs>
          <w:tab w:val="num" w:pos="1440"/>
        </w:tabs>
        <w:ind w:left="1440"/>
        <w:jc w:val="both"/>
        <w:rPr>
          <w:b/>
          <w:szCs w:val="24"/>
        </w:rPr>
      </w:pPr>
      <w:r w:rsidRPr="00410240">
        <w:rPr>
          <w:szCs w:val="24"/>
        </w:rPr>
        <w:t>Total cost</w:t>
      </w:r>
      <w:r w:rsidRPr="00410240">
        <w:rPr>
          <w:szCs w:val="24"/>
        </w:rPr>
        <w:t xml:space="preserve">:  </w:t>
      </w:r>
      <w:r w:rsidRPr="00410240" w:rsidR="00183D13">
        <w:rPr>
          <w:szCs w:val="24"/>
        </w:rPr>
        <w:tab/>
      </w:r>
      <w:r w:rsidRPr="00410240" w:rsidR="00183D13">
        <w:rPr>
          <w:szCs w:val="24"/>
        </w:rPr>
        <w:tab/>
      </w:r>
      <w:r w:rsidRPr="00410240" w:rsidR="00183D13">
        <w:rPr>
          <w:szCs w:val="24"/>
        </w:rPr>
        <w:tab/>
      </w:r>
      <w:r w:rsidRPr="00410240">
        <w:rPr>
          <w:szCs w:val="24"/>
        </w:rPr>
        <w:t>$</w:t>
      </w:r>
      <w:r w:rsidR="00E52DDC">
        <w:rPr>
          <w:szCs w:val="24"/>
        </w:rPr>
        <w:t>34,875</w:t>
      </w:r>
    </w:p>
    <w:p w:rsidR="001862FE" w:rsidRPr="001862FE" w:rsidP="001862FE" w14:paraId="38456BDB" w14:textId="77777777">
      <w:pPr>
        <w:pStyle w:val="Bullet1"/>
        <w:ind w:left="0"/>
        <w:jc w:val="both"/>
        <w:rPr>
          <w:b/>
          <w:szCs w:val="24"/>
        </w:rPr>
      </w:pPr>
    </w:p>
    <w:p w:rsidR="00975B21" w:rsidP="00DA04F6" w14:paraId="018C1A33" w14:textId="77777777">
      <w:pPr>
        <w:pStyle w:val="BodyText"/>
        <w:spacing w:after="0" w:line="240" w:lineRule="auto"/>
        <w:rPr>
          <w:b/>
          <w:szCs w:val="24"/>
        </w:rPr>
      </w:pPr>
    </w:p>
    <w:p w:rsidR="00557060" w:rsidRPr="004A0ACC" w:rsidP="00DA04F6" w14:paraId="2F125FEE" w14:textId="77777777">
      <w:pPr>
        <w:pStyle w:val="BodyText"/>
        <w:spacing w:after="0" w:line="240" w:lineRule="auto"/>
        <w:rPr>
          <w:b/>
          <w:szCs w:val="24"/>
          <w:u w:val="single"/>
        </w:rPr>
      </w:pPr>
      <w:r w:rsidRPr="004A0ACC">
        <w:rPr>
          <w:b/>
          <w:szCs w:val="24"/>
        </w:rPr>
        <w:t>13</w:t>
      </w:r>
      <w:r w:rsidRPr="004A0ACC">
        <w:rPr>
          <w:b/>
          <w:szCs w:val="24"/>
        </w:rPr>
        <w:t xml:space="preserve">.  </w:t>
      </w:r>
      <w:r w:rsidRPr="006003EA">
        <w:rPr>
          <w:b/>
          <w:szCs w:val="24"/>
        </w:rPr>
        <w:t>Estimated</w:t>
      </w:r>
      <w:r w:rsidRPr="006003EA">
        <w:rPr>
          <w:b/>
          <w:szCs w:val="24"/>
        </w:rPr>
        <w:t xml:space="preserve"> Total Annualized Cost Burden to Respondents</w:t>
      </w:r>
    </w:p>
    <w:p w:rsidR="00557060" w:rsidP="00DA04F6" w14:paraId="6EF6FF0E" w14:textId="77777777">
      <w:pPr>
        <w:pStyle w:val="BodyText"/>
        <w:spacing w:after="0" w:line="240" w:lineRule="auto"/>
        <w:rPr>
          <w:szCs w:val="24"/>
        </w:rPr>
      </w:pPr>
    </w:p>
    <w:p w:rsidR="00557060" w:rsidP="00DA04F6" w14:paraId="489A3843" w14:textId="2425E369">
      <w:pPr>
        <w:pStyle w:val="BodyText"/>
        <w:spacing w:after="0" w:line="240" w:lineRule="auto"/>
        <w:rPr>
          <w:szCs w:val="24"/>
        </w:rPr>
      </w:pPr>
      <w:r>
        <w:rPr>
          <w:szCs w:val="24"/>
        </w:rPr>
        <w:t>There are no capital, start-up, or maintenance costs associated with this information collection.</w:t>
      </w:r>
    </w:p>
    <w:p w:rsidR="004F1FC5" w:rsidRPr="00BE3B92" w:rsidP="00DA04F6" w14:paraId="116BE24A" w14:textId="77777777">
      <w:pPr>
        <w:pStyle w:val="BodyText"/>
        <w:spacing w:after="0" w:line="240" w:lineRule="auto"/>
        <w:rPr>
          <w:szCs w:val="24"/>
        </w:rPr>
      </w:pPr>
    </w:p>
    <w:p w:rsidR="00557060" w:rsidRPr="006003EA" w:rsidP="00DA04F6" w14:paraId="5F6D2DB7" w14:textId="77777777">
      <w:pPr>
        <w:spacing w:line="240" w:lineRule="auto"/>
        <w:rPr>
          <w:b/>
          <w:snapToGrid w:val="0"/>
          <w:szCs w:val="24"/>
        </w:rPr>
      </w:pPr>
      <w:r w:rsidRPr="00BE3B92">
        <w:rPr>
          <w:b/>
          <w:szCs w:val="24"/>
        </w:rPr>
        <w:t>14</w:t>
      </w:r>
      <w:r w:rsidRPr="00BE3B92">
        <w:rPr>
          <w:b/>
          <w:szCs w:val="24"/>
        </w:rPr>
        <w:t xml:space="preserve">.  </w:t>
      </w:r>
      <w:r w:rsidRPr="006003EA">
        <w:rPr>
          <w:b/>
          <w:szCs w:val="24"/>
        </w:rPr>
        <w:t>Estimated</w:t>
      </w:r>
      <w:r w:rsidRPr="006003EA">
        <w:rPr>
          <w:b/>
          <w:szCs w:val="24"/>
        </w:rPr>
        <w:t xml:space="preserve"> Cost to the Federal Government</w:t>
      </w:r>
    </w:p>
    <w:p w:rsidR="00557060" w:rsidRPr="00BE3B92" w:rsidP="00DA04F6" w14:paraId="7A7FBB57" w14:textId="77777777">
      <w:pPr>
        <w:pStyle w:val="BodyText"/>
        <w:spacing w:after="0" w:line="240" w:lineRule="auto"/>
        <w:rPr>
          <w:szCs w:val="24"/>
        </w:rPr>
      </w:pPr>
    </w:p>
    <w:p w:rsidR="00557060" w:rsidRPr="008D3BDA" w:rsidP="00DA04F6" w14:paraId="1142EE19" w14:textId="77777777">
      <w:pPr>
        <w:pStyle w:val="BodyText"/>
        <w:spacing w:after="0" w:line="240" w:lineRule="auto"/>
        <w:rPr>
          <w:szCs w:val="24"/>
        </w:rPr>
      </w:pPr>
      <w:r w:rsidRPr="008D3BDA">
        <w:rPr>
          <w:szCs w:val="24"/>
        </w:rPr>
        <w:t>The estimated annual cost burden to the Federal government is $</w:t>
      </w:r>
      <w:r>
        <w:rPr>
          <w:szCs w:val="24"/>
        </w:rPr>
        <w:t>0</w:t>
      </w:r>
      <w:r w:rsidRPr="008D3BDA">
        <w:rPr>
          <w:szCs w:val="24"/>
        </w:rPr>
        <w:t xml:space="preserve">.  </w:t>
      </w:r>
    </w:p>
    <w:p w:rsidR="00557060" w:rsidRPr="008D3BDA" w:rsidP="00DA04F6" w14:paraId="4FB4E15D" w14:textId="77777777">
      <w:pPr>
        <w:pStyle w:val="BodyText"/>
        <w:spacing w:after="0" w:line="240" w:lineRule="auto"/>
        <w:rPr>
          <w:szCs w:val="24"/>
        </w:rPr>
      </w:pPr>
    </w:p>
    <w:p w:rsidR="00557060" w:rsidRPr="003973B2" w:rsidP="00DA04F6" w14:paraId="69369409" w14:textId="77777777">
      <w:pPr>
        <w:pStyle w:val="BodyText"/>
        <w:spacing w:after="0" w:line="240" w:lineRule="auto"/>
        <w:rPr>
          <w:b/>
          <w:szCs w:val="24"/>
          <w:u w:val="single"/>
        </w:rPr>
      </w:pPr>
      <w:r w:rsidRPr="00F65BE8">
        <w:rPr>
          <w:b/>
          <w:szCs w:val="24"/>
        </w:rPr>
        <w:t>15</w:t>
      </w:r>
      <w:r w:rsidRPr="00F65BE8">
        <w:rPr>
          <w:b/>
          <w:szCs w:val="24"/>
        </w:rPr>
        <w:t>.  Reasons</w:t>
      </w:r>
      <w:r w:rsidRPr="00F65BE8">
        <w:rPr>
          <w:b/>
          <w:szCs w:val="24"/>
        </w:rPr>
        <w:t xml:space="preserve"> for Change in Burden</w:t>
      </w:r>
    </w:p>
    <w:p w:rsidR="00557060" w:rsidP="00DA04F6" w14:paraId="6DDA02A5" w14:textId="77777777">
      <w:pPr>
        <w:pStyle w:val="BodyText"/>
        <w:spacing w:after="0" w:line="240" w:lineRule="auto"/>
        <w:rPr>
          <w:szCs w:val="24"/>
        </w:rPr>
      </w:pPr>
    </w:p>
    <w:p w:rsidR="004F1FC5" w:rsidP="00DB2173" w14:paraId="5BDD12A7" w14:textId="18F8C3D4">
      <w:pPr>
        <w:pStyle w:val="BodyText"/>
        <w:spacing w:after="0" w:line="240" w:lineRule="auto"/>
        <w:rPr>
          <w:rFonts w:eastAsia="Times New Roman" w:cs="Times New Roman"/>
          <w:bCs/>
          <w:iCs/>
          <w:color w:val="000000"/>
          <w:szCs w:val="24"/>
        </w:rPr>
      </w:pPr>
      <w:r>
        <w:rPr>
          <w:szCs w:val="24"/>
        </w:rPr>
        <w:t>The estimated burden hours ha</w:t>
      </w:r>
      <w:r w:rsidR="00D2146D">
        <w:rPr>
          <w:szCs w:val="24"/>
        </w:rPr>
        <w:t>ve</w:t>
      </w:r>
      <w:r>
        <w:rPr>
          <w:szCs w:val="24"/>
        </w:rPr>
        <w:t xml:space="preserve"> not changed since the 2022 Supporting statement. </w:t>
      </w:r>
      <w:r w:rsidR="00DB2173">
        <w:rPr>
          <w:szCs w:val="24"/>
        </w:rPr>
        <w:t>T</w:t>
      </w:r>
      <w:r w:rsidR="00D2146D">
        <w:rPr>
          <w:szCs w:val="24"/>
        </w:rPr>
        <w:t>he</w:t>
      </w:r>
      <w:r w:rsidRPr="00DD3B4B" w:rsidR="00DD3B4B">
        <w:rPr>
          <w:szCs w:val="24"/>
        </w:rPr>
        <w:t xml:space="preserve"> total costs associated with that burden has risen </w:t>
      </w:r>
      <w:r w:rsidR="00DB2173">
        <w:rPr>
          <w:szCs w:val="24"/>
        </w:rPr>
        <w:t>to $42,777</w:t>
      </w:r>
      <w:r w:rsidR="00D2146D">
        <w:rPr>
          <w:szCs w:val="24"/>
        </w:rPr>
        <w:t xml:space="preserve"> </w:t>
      </w:r>
      <w:r w:rsidR="00226E6C">
        <w:rPr>
          <w:szCs w:val="24"/>
        </w:rPr>
        <w:t>from the</w:t>
      </w:r>
      <w:r w:rsidRPr="00DD3B4B" w:rsidR="00DB2173">
        <w:rPr>
          <w:szCs w:val="24"/>
        </w:rPr>
        <w:t xml:space="preserve"> </w:t>
      </w:r>
      <w:r w:rsidRPr="00410240" w:rsidR="00DB2173">
        <w:rPr>
          <w:szCs w:val="24"/>
        </w:rPr>
        <w:t>$</w:t>
      </w:r>
      <w:r w:rsidR="00DB2173">
        <w:rPr>
          <w:szCs w:val="24"/>
        </w:rPr>
        <w:t xml:space="preserve">39,027 </w:t>
      </w:r>
      <w:r w:rsidR="00DD3B4B">
        <w:rPr>
          <w:szCs w:val="24"/>
        </w:rPr>
        <w:t>reflected in the Supporting Statement for the 20</w:t>
      </w:r>
      <w:r w:rsidR="00DB2173">
        <w:rPr>
          <w:szCs w:val="24"/>
        </w:rPr>
        <w:t>22</w:t>
      </w:r>
      <w:r w:rsidR="00DD3B4B">
        <w:rPr>
          <w:szCs w:val="24"/>
        </w:rPr>
        <w:t xml:space="preserve"> renewal</w:t>
      </w:r>
      <w:r w:rsidR="00B93C5B">
        <w:rPr>
          <w:szCs w:val="24"/>
        </w:rPr>
        <w:t xml:space="preserve">, </w:t>
      </w:r>
      <w:r w:rsidR="00B93C5B">
        <w:rPr>
          <w:rFonts w:eastAsia="Times New Roman" w:cs="Times New Roman"/>
          <w:bCs/>
          <w:iCs/>
          <w:color w:val="000000"/>
          <w:szCs w:val="24"/>
        </w:rPr>
        <w:t xml:space="preserve">due to </w:t>
      </w:r>
      <w:r w:rsidR="00226E6C">
        <w:rPr>
          <w:rFonts w:eastAsia="Times New Roman" w:cs="Times New Roman"/>
          <w:bCs/>
          <w:iCs/>
          <w:color w:val="000000"/>
          <w:szCs w:val="24"/>
        </w:rPr>
        <w:t>an increase</w:t>
      </w:r>
      <w:r w:rsidR="00B93C5B">
        <w:rPr>
          <w:rFonts w:eastAsia="Times New Roman" w:cs="Times New Roman"/>
          <w:bCs/>
          <w:iCs/>
          <w:color w:val="000000"/>
          <w:szCs w:val="24"/>
        </w:rPr>
        <w:t xml:space="preserve"> in the per-hour cost estimates.  </w:t>
      </w:r>
    </w:p>
    <w:p w:rsidR="00DB2173" w:rsidRPr="009709FF" w:rsidP="00DB2173" w14:paraId="58ABF164" w14:textId="77777777">
      <w:pPr>
        <w:pStyle w:val="BodyText"/>
        <w:spacing w:after="0" w:line="240" w:lineRule="auto"/>
        <w:rPr>
          <w:rFonts w:eastAsia="Times New Roman" w:cs="Times New Roman"/>
          <w:bCs/>
          <w:iCs/>
          <w:color w:val="000000"/>
          <w:szCs w:val="24"/>
        </w:rPr>
      </w:pPr>
    </w:p>
    <w:p w:rsidR="00557060" w:rsidRPr="006003EA" w:rsidP="00DA04F6" w14:paraId="402A8985" w14:textId="52B3EECD">
      <w:pPr>
        <w:pStyle w:val="BodyText"/>
        <w:spacing w:after="0" w:line="240" w:lineRule="auto"/>
        <w:rPr>
          <w:szCs w:val="24"/>
        </w:rPr>
      </w:pPr>
      <w:r>
        <w:rPr>
          <w:b/>
          <w:szCs w:val="24"/>
        </w:rPr>
        <w:t xml:space="preserve">16. </w:t>
      </w:r>
      <w:r w:rsidRPr="006003EA">
        <w:rPr>
          <w:b/>
          <w:szCs w:val="24"/>
        </w:rPr>
        <w:t>Plans for Tabulation, Statistical Analysis and Publication</w:t>
      </w:r>
    </w:p>
    <w:p w:rsidR="00557060" w:rsidP="00DA04F6" w14:paraId="3AEA81C4" w14:textId="77777777">
      <w:pPr>
        <w:pStyle w:val="BodyText"/>
        <w:spacing w:after="0" w:line="240" w:lineRule="auto"/>
        <w:rPr>
          <w:szCs w:val="24"/>
        </w:rPr>
      </w:pPr>
    </w:p>
    <w:p w:rsidR="00557060" w:rsidRPr="008D3BDA" w:rsidP="00DA04F6" w14:paraId="51811CDC" w14:textId="77777777">
      <w:pPr>
        <w:pStyle w:val="BodyText"/>
        <w:spacing w:after="0" w:line="240" w:lineRule="auto"/>
        <w:rPr>
          <w:szCs w:val="24"/>
        </w:rPr>
      </w:pPr>
      <w:r w:rsidRPr="008D3BDA">
        <w:rPr>
          <w:szCs w:val="24"/>
        </w:rPr>
        <w:t>The results of this information collection will not be published.</w:t>
      </w:r>
    </w:p>
    <w:p w:rsidR="00557060" w:rsidP="00DA04F6" w14:paraId="613D09E6" w14:textId="77777777">
      <w:pPr>
        <w:pStyle w:val="BodyText"/>
        <w:tabs>
          <w:tab w:val="left" w:pos="1080"/>
        </w:tabs>
        <w:spacing w:after="0" w:line="240" w:lineRule="auto"/>
        <w:ind w:left="360" w:hanging="360"/>
        <w:rPr>
          <w:b/>
          <w:szCs w:val="24"/>
        </w:rPr>
      </w:pPr>
    </w:p>
    <w:p w:rsidR="00557060" w:rsidRPr="006003EA" w:rsidP="00DA04F6" w14:paraId="7DB19E8F" w14:textId="77777777">
      <w:pPr>
        <w:pStyle w:val="BodyText"/>
        <w:tabs>
          <w:tab w:val="left" w:pos="1080"/>
        </w:tabs>
        <w:spacing w:after="0" w:line="240" w:lineRule="auto"/>
        <w:ind w:left="360" w:hanging="360"/>
        <w:rPr>
          <w:b/>
          <w:szCs w:val="24"/>
        </w:rPr>
      </w:pPr>
      <w:r>
        <w:rPr>
          <w:b/>
          <w:szCs w:val="24"/>
        </w:rPr>
        <w:t>17.</w:t>
      </w:r>
      <w:r>
        <w:rPr>
          <w:b/>
          <w:szCs w:val="24"/>
        </w:rPr>
        <w:tab/>
      </w:r>
      <w:r w:rsidRPr="006003EA">
        <w:rPr>
          <w:b/>
          <w:szCs w:val="24"/>
        </w:rPr>
        <w:t>If Seeking Approval to Not Display the Expiration Date for OMB Approval of the Information Collection, Explain the Reasons Why Display Would Be Inappropriate</w:t>
      </w:r>
    </w:p>
    <w:p w:rsidR="00557060" w:rsidP="00DA04F6" w14:paraId="221CC445" w14:textId="77777777">
      <w:pPr>
        <w:pStyle w:val="BodyText"/>
        <w:spacing w:after="0" w:line="240" w:lineRule="auto"/>
        <w:rPr>
          <w:szCs w:val="24"/>
        </w:rPr>
      </w:pPr>
    </w:p>
    <w:p w:rsidR="00557060" w:rsidRPr="008D3BDA" w:rsidP="00DA04F6" w14:paraId="44A24955" w14:textId="77777777">
      <w:pPr>
        <w:pStyle w:val="BodyText"/>
        <w:spacing w:after="0" w:line="240" w:lineRule="auto"/>
        <w:rPr>
          <w:szCs w:val="24"/>
        </w:rPr>
      </w:pPr>
      <w:r w:rsidRPr="008D3BDA">
        <w:rPr>
          <w:szCs w:val="24"/>
        </w:rPr>
        <w:t>FHFA plans to display the expiration date for OMB approval.</w:t>
      </w:r>
    </w:p>
    <w:p w:rsidR="00557060" w:rsidP="00DA04F6" w14:paraId="20E4198C" w14:textId="77777777">
      <w:pPr>
        <w:widowControl w:val="0"/>
        <w:autoSpaceDE w:val="0"/>
        <w:autoSpaceDN w:val="0"/>
        <w:adjustRightInd w:val="0"/>
        <w:spacing w:line="240" w:lineRule="auto"/>
        <w:rPr>
          <w:b/>
          <w:color w:val="000000"/>
          <w:szCs w:val="24"/>
        </w:rPr>
      </w:pPr>
    </w:p>
    <w:p w:rsidR="00557060" w:rsidRPr="00864830" w:rsidP="00DA04F6" w14:paraId="69B4D744" w14:textId="77777777">
      <w:pPr>
        <w:widowControl w:val="0"/>
        <w:autoSpaceDE w:val="0"/>
        <w:autoSpaceDN w:val="0"/>
        <w:adjustRightInd w:val="0"/>
        <w:spacing w:line="240" w:lineRule="auto"/>
        <w:ind w:left="360" w:hanging="360"/>
        <w:rPr>
          <w:color w:val="000000"/>
          <w:szCs w:val="24"/>
        </w:rPr>
      </w:pPr>
      <w:r>
        <w:rPr>
          <w:b/>
          <w:color w:val="000000"/>
          <w:szCs w:val="24"/>
        </w:rPr>
        <w:t xml:space="preserve">18. </w:t>
      </w:r>
      <w:r w:rsidRPr="006003EA">
        <w:rPr>
          <w:b/>
          <w:color w:val="000000"/>
          <w:szCs w:val="24"/>
        </w:rPr>
        <w:t>Explain Each Exception to the Topics of the Certification Statement Identified in “Certification for Paperwork Reduction Act Submission</w:t>
      </w:r>
      <w:r w:rsidRPr="006003EA">
        <w:rPr>
          <w:color w:val="000000"/>
          <w:szCs w:val="24"/>
        </w:rPr>
        <w:t>.”</w:t>
      </w:r>
    </w:p>
    <w:p w:rsidR="00557060" w:rsidRPr="00864830" w:rsidP="00DA04F6" w14:paraId="59B32983" w14:textId="77777777">
      <w:pPr>
        <w:widowControl w:val="0"/>
        <w:autoSpaceDE w:val="0"/>
        <w:autoSpaceDN w:val="0"/>
        <w:adjustRightInd w:val="0"/>
        <w:spacing w:line="240" w:lineRule="auto"/>
        <w:rPr>
          <w:color w:val="000000"/>
          <w:szCs w:val="24"/>
        </w:rPr>
      </w:pPr>
    </w:p>
    <w:p w:rsidR="00557060" w:rsidRPr="00864830" w:rsidP="00DA04F6" w14:paraId="494C7050" w14:textId="77777777">
      <w:pPr>
        <w:widowControl w:val="0"/>
        <w:autoSpaceDE w:val="0"/>
        <w:autoSpaceDN w:val="0"/>
        <w:adjustRightInd w:val="0"/>
        <w:spacing w:line="240" w:lineRule="auto"/>
        <w:rPr>
          <w:color w:val="000000"/>
          <w:szCs w:val="24"/>
        </w:rPr>
      </w:pPr>
      <w:r w:rsidRPr="00864830">
        <w:rPr>
          <w:color w:val="000000"/>
          <w:szCs w:val="24"/>
        </w:rPr>
        <w:t>There are no exceptions to the certification statement identified in Item 18.</w:t>
      </w:r>
    </w:p>
    <w:p w:rsidR="00557060" w:rsidP="00DA04F6" w14:paraId="147D9238" w14:textId="77777777">
      <w:pPr>
        <w:spacing w:line="240" w:lineRule="auto"/>
        <w:rPr>
          <w:snapToGrid w:val="0"/>
          <w:color w:val="000000"/>
        </w:rPr>
      </w:pPr>
    </w:p>
    <w:p w:rsidR="00557060" w:rsidRPr="00864830" w:rsidP="00DA04F6" w14:paraId="305F2A10" w14:textId="77777777">
      <w:pPr>
        <w:spacing w:line="240" w:lineRule="auto"/>
        <w:rPr>
          <w:snapToGrid w:val="0"/>
          <w:color w:val="000000"/>
        </w:rPr>
      </w:pPr>
    </w:p>
    <w:p w:rsidR="00557060" w:rsidRPr="00864830" w:rsidP="00DA04F6" w14:paraId="4DDD78BC" w14:textId="77777777">
      <w:pPr>
        <w:spacing w:line="240" w:lineRule="auto"/>
        <w:rPr>
          <w:snapToGrid w:val="0"/>
          <w:color w:val="000000"/>
        </w:rPr>
      </w:pPr>
      <w:r w:rsidRPr="00864830">
        <w:rPr>
          <w:b/>
          <w:snapToGrid w:val="0"/>
          <w:color w:val="000000"/>
        </w:rPr>
        <w:t>B.  COLLECTION OF INFORMATION EMPLOYING STATISTICAL METHODS</w:t>
      </w:r>
    </w:p>
    <w:p w:rsidR="00557060" w:rsidRPr="00864830" w:rsidP="00DA04F6" w14:paraId="446DA4BB" w14:textId="77777777">
      <w:pPr>
        <w:spacing w:line="240" w:lineRule="auto"/>
        <w:rPr>
          <w:snapToGrid w:val="0"/>
          <w:color w:val="000000"/>
        </w:rPr>
      </w:pPr>
    </w:p>
    <w:p w:rsidR="00557060" w:rsidRPr="00864830" w:rsidP="00DA04F6" w14:paraId="3D556B02" w14:textId="77777777">
      <w:pPr>
        <w:spacing w:line="240" w:lineRule="auto"/>
        <w:rPr>
          <w:snapToGrid w:val="0"/>
          <w:color w:val="000000"/>
        </w:rPr>
      </w:pPr>
      <w:r w:rsidRPr="00864830">
        <w:rPr>
          <w:snapToGrid w:val="0"/>
          <w:color w:val="000000"/>
        </w:rPr>
        <w:t>This information collection does not employ statistical methods.</w:t>
      </w:r>
    </w:p>
    <w:p w:rsidR="006B7957" w:rsidRPr="00561391" w:rsidP="00DA04F6" w14:paraId="2A740608" w14:textId="1ECCC5A6">
      <w:pPr>
        <w:tabs>
          <w:tab w:val="left" w:pos="720"/>
          <w:tab w:val="left" w:pos="1441"/>
          <w:tab w:val="left" w:pos="2157"/>
        </w:tabs>
        <w:spacing w:line="240" w:lineRule="auto"/>
        <w:rPr>
          <w:rFonts w:eastAsia="Times New Roman" w:cs="Times New Roman"/>
          <w:b/>
          <w:snapToGrid w:val="0"/>
          <w:color w:val="000000"/>
          <w:szCs w:val="20"/>
        </w:rPr>
      </w:pPr>
    </w:p>
    <w:sectPr w:rsidSect="00FC158F">
      <w:footerReference w:type="default" r:id="rId10"/>
      <w:pgSz w:w="12240" w:h="15840"/>
      <w:pgMar w:top="1220" w:right="1320" w:bottom="1580" w:left="1340" w:header="0" w:footer="13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7890859"/>
      <w:docPartObj>
        <w:docPartGallery w:val="Page Numbers (Bottom of Page)"/>
        <w:docPartUnique/>
      </w:docPartObj>
    </w:sdtPr>
    <w:sdtEndPr>
      <w:rPr>
        <w:noProof/>
      </w:rPr>
    </w:sdtEndPr>
    <w:sdtContent>
      <w:p w:rsidR="00AB0665" w14:paraId="775383C6" w14:textId="31C687AF">
        <w:pPr>
          <w:pStyle w:val="Footer"/>
          <w:jc w:val="center"/>
        </w:pPr>
        <w:r>
          <w:fldChar w:fldCharType="begin"/>
        </w:r>
        <w:r>
          <w:instrText xml:space="preserve"> PAGE   \* MERGEFORMAT </w:instrText>
        </w:r>
        <w:r>
          <w:fldChar w:fldCharType="separate"/>
        </w:r>
        <w:r w:rsidR="005035FE">
          <w:rPr>
            <w:noProof/>
          </w:rPr>
          <w:t>4</w:t>
        </w:r>
        <w:r>
          <w:rPr>
            <w:noProof/>
          </w:rPr>
          <w:fldChar w:fldCharType="end"/>
        </w:r>
      </w:p>
    </w:sdtContent>
  </w:sdt>
  <w:p w:rsidR="00AB0665" w:rsidP="006B01B5" w14:paraId="59F33ABD" w14:textId="77777777">
    <w:pPr>
      <w:pStyle w:val="Footer"/>
      <w:tabs>
        <w:tab w:val="clear" w:pos="4680"/>
        <w:tab w:val="left" w:pos="7890"/>
        <w:tab w:val="clear" w:pos="93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10A4" w:rsidP="00854B60" w14:paraId="088DDD54" w14:textId="77777777">
      <w:pPr>
        <w:spacing w:line="240" w:lineRule="auto"/>
      </w:pPr>
      <w:r>
        <w:separator/>
      </w:r>
    </w:p>
  </w:footnote>
  <w:footnote w:type="continuationSeparator" w:id="1">
    <w:p w:rsidR="003510A4" w:rsidP="00854B60" w14:paraId="0B7903CD" w14:textId="77777777">
      <w:pPr>
        <w:spacing w:line="240" w:lineRule="auto"/>
      </w:pPr>
      <w:r>
        <w:continuationSeparator/>
      </w:r>
    </w:p>
  </w:footnote>
  <w:footnote w:id="2">
    <w:p w:rsidR="00557060" w:rsidP="006F293C" w14:paraId="6CF13C20" w14:textId="77777777">
      <w:pPr>
        <w:pStyle w:val="FootnoteText"/>
      </w:pPr>
      <w:r>
        <w:rPr>
          <w:rStyle w:val="FootnoteReference"/>
        </w:rPr>
        <w:footnoteRef/>
      </w:r>
      <w:r>
        <w:t xml:space="preserve"> </w:t>
      </w:r>
      <w:r w:rsidRPr="003019F9">
        <w:t>12 U.S.C. § 1430b</w:t>
      </w:r>
      <w:r>
        <w:t>.</w:t>
      </w:r>
    </w:p>
  </w:footnote>
  <w:footnote w:id="3">
    <w:p w:rsidR="00557060" w:rsidP="006F293C" w14:paraId="7D9C86BD" w14:textId="77777777">
      <w:pPr>
        <w:pStyle w:val="FootnoteText"/>
      </w:pPr>
      <w:r>
        <w:rPr>
          <w:rStyle w:val="FootnoteReference"/>
        </w:rPr>
        <w:footnoteRef/>
      </w:r>
      <w:r>
        <w:t xml:space="preserve"> </w:t>
      </w:r>
      <w:r w:rsidRPr="00584C73">
        <w:rPr>
          <w:i/>
        </w:rPr>
        <w:t>See</w:t>
      </w:r>
      <w:r>
        <w:t xml:space="preserve"> 12 CFR</w:t>
      </w:r>
      <w:r w:rsidRPr="00584C73">
        <w:t xml:space="preserve"> 1264.3.  </w:t>
      </w:r>
    </w:p>
  </w:footnote>
  <w:footnote w:id="4">
    <w:p w:rsidR="00557060" w:rsidP="006F293C" w14:paraId="78EA0F3F" w14:textId="77777777">
      <w:pPr>
        <w:pStyle w:val="FootnoteText"/>
      </w:pPr>
      <w:r>
        <w:rPr>
          <w:rStyle w:val="FootnoteReference"/>
        </w:rPr>
        <w:footnoteRef/>
      </w:r>
      <w:r>
        <w:t xml:space="preserve"> </w:t>
      </w:r>
      <w:r w:rsidRPr="00577B35">
        <w:rPr>
          <w:i/>
        </w:rPr>
        <w:t>See</w:t>
      </w:r>
      <w:r>
        <w:t xml:space="preserve"> 12 CFR</w:t>
      </w:r>
      <w:r w:rsidRPr="00577B35">
        <w:t xml:space="preserve"> 1264.4.  </w:t>
      </w:r>
    </w:p>
  </w:footnote>
  <w:footnote w:id="5">
    <w:p w:rsidR="00557060" w:rsidP="006F293C" w14:paraId="4657D734" w14:textId="77777777">
      <w:pPr>
        <w:pStyle w:val="FootnoteText"/>
      </w:pPr>
      <w:r>
        <w:rPr>
          <w:rStyle w:val="FootnoteReference"/>
        </w:rPr>
        <w:footnoteRef/>
      </w:r>
      <w:r>
        <w:t xml:space="preserve"> </w:t>
      </w:r>
      <w:r w:rsidRPr="00577B35">
        <w:rPr>
          <w:i/>
        </w:rPr>
        <w:t>See</w:t>
      </w:r>
      <w:r>
        <w:t xml:space="preserve"> 12 CFR</w:t>
      </w:r>
      <w:r w:rsidRPr="00577B35">
        <w:t xml:space="preserve"> 1264.5.  </w:t>
      </w:r>
    </w:p>
  </w:footnote>
  <w:footnote w:id="6">
    <w:p w:rsidR="00C8224A" w:rsidP="006F293C" w14:paraId="0BD7E5C6" w14:textId="29FE838D">
      <w:pPr>
        <w:pStyle w:val="FootnoteText"/>
      </w:pPr>
      <w:r>
        <w:rPr>
          <w:rStyle w:val="FootnoteReference"/>
        </w:rPr>
        <w:footnoteRef/>
      </w:r>
      <w:r>
        <w:t xml:space="preserve"> </w:t>
      </w:r>
      <w:r w:rsidRPr="00C8224A">
        <w:rPr>
          <w:i/>
        </w:rPr>
        <w:t>See</w:t>
      </w:r>
      <w:r>
        <w:t xml:space="preserve"> 12 CFR 1264.6.</w:t>
      </w:r>
    </w:p>
  </w:footnote>
  <w:footnote w:id="7">
    <w:p w:rsidR="00557060" w:rsidP="006F293C" w14:paraId="32E7AE59" w14:textId="77777777">
      <w:pPr>
        <w:pStyle w:val="FootnoteText"/>
      </w:pPr>
      <w:r>
        <w:rPr>
          <w:rStyle w:val="FootnoteReference"/>
        </w:rPr>
        <w:footnoteRef/>
      </w:r>
      <w:r>
        <w:t xml:space="preserve"> </w:t>
      </w:r>
      <w:r w:rsidRPr="0030047E">
        <w:rPr>
          <w:i/>
        </w:rPr>
        <w:t>See</w:t>
      </w:r>
      <w:r>
        <w:t xml:space="preserve"> 12 CFR</w:t>
      </w:r>
      <w:r w:rsidRPr="0030047E">
        <w:t xml:space="preserve"> 1266.17.  </w:t>
      </w:r>
    </w:p>
  </w:footnote>
  <w:footnote w:id="8">
    <w:p w:rsidR="00557060" w:rsidP="00380C80" w14:paraId="7D18589B" w14:textId="30C73446">
      <w:pPr>
        <w:pStyle w:val="FootnoteText"/>
        <w:spacing w:after="120"/>
      </w:pPr>
      <w:r w:rsidRPr="00F23685">
        <w:rPr>
          <w:rStyle w:val="FootnoteReference"/>
        </w:rPr>
        <w:footnoteRef/>
      </w:r>
      <w:r w:rsidRPr="00F23685">
        <w:t xml:space="preserve"> </w:t>
      </w:r>
      <w:r w:rsidRPr="00F65BE8">
        <w:rPr>
          <w:i/>
        </w:rPr>
        <w:t>See</w:t>
      </w:r>
      <w:r w:rsidRPr="00F65BE8" w:rsidR="00C85021">
        <w:t xml:space="preserve"> </w:t>
      </w:r>
      <w:r w:rsidRPr="00F65BE8" w:rsidR="00F65BE8">
        <w:t>90</w:t>
      </w:r>
      <w:r w:rsidRPr="00F65BE8" w:rsidR="00C85021">
        <w:t xml:space="preserve"> FR </w:t>
      </w:r>
      <w:r w:rsidRPr="00F65BE8" w:rsidR="00F65BE8">
        <w:t>40601</w:t>
      </w:r>
      <w:r w:rsidRPr="00F65BE8">
        <w:t xml:space="preserve"> (</w:t>
      </w:r>
      <w:r w:rsidRPr="00F65BE8" w:rsidR="00F65BE8">
        <w:t>August 20</w:t>
      </w:r>
      <w:r w:rsidRPr="00F65BE8" w:rsidR="00CD20F8">
        <w:t>, 202</w:t>
      </w:r>
      <w:r w:rsidRPr="00F65BE8" w:rsidR="00F65BE8">
        <w:t>5</w:t>
      </w:r>
      <w:r w:rsidRPr="00F65BE8">
        <w:t>).</w:t>
      </w:r>
      <w:r>
        <w:t xml:space="preserve"> </w:t>
      </w:r>
    </w:p>
  </w:footnote>
  <w:footnote w:id="9">
    <w:p w:rsidR="00380C80" w:rsidP="00380C80" w14:paraId="7ABF6795" w14:textId="0F4A36D7">
      <w:pPr>
        <w:pStyle w:val="FootnoteText"/>
        <w:spacing w:after="120"/>
      </w:pPr>
      <w:r>
        <w:rPr>
          <w:rStyle w:val="FootnoteReference"/>
        </w:rPr>
        <w:footnoteRef/>
      </w:r>
      <w:r w:rsidR="00D652FD">
        <w:t xml:space="preserve"> FHFA used the hourly wage figures</w:t>
      </w:r>
      <w:r>
        <w:t xml:space="preserve"> reported</w:t>
      </w:r>
      <w:r w:rsidRPr="00BE2882">
        <w:t xml:space="preserve"> in the National Occupational Employment and Wage Estimates for May 20</w:t>
      </w:r>
      <w:r w:rsidR="007D472A">
        <w:t>24</w:t>
      </w:r>
      <w:r w:rsidRPr="00BE2882">
        <w:t xml:space="preserve"> published b</w:t>
      </w:r>
      <w:r w:rsidR="00D652FD">
        <w:t>y the BLS</w:t>
      </w:r>
      <w:r w:rsidRPr="00BE2882">
        <w:t>.</w:t>
      </w:r>
      <w:r>
        <w:t xml:space="preserve">  </w:t>
      </w:r>
      <w:r w:rsidRPr="003A7B35">
        <w:rPr>
          <w:i/>
        </w:rPr>
        <w:t>See</w:t>
      </w:r>
      <w:r>
        <w:t xml:space="preserve"> </w:t>
      </w:r>
      <w:hyperlink r:id="rId1" w:history="1">
        <w:r w:rsidRPr="00673C78" w:rsidR="00673C78">
          <w:rPr>
            <w:rStyle w:val="Hyperlink"/>
          </w:rPr>
          <w:t xml:space="preserve">Occupational Employment and Wage Statistics (OEWS) </w:t>
        </w:r>
        <w:r w:rsidRPr="00673C78" w:rsidR="00673C78">
          <w:rPr>
            <w:rStyle w:val="Hyperlink"/>
          </w:rPr>
          <w:t>Tables :</w:t>
        </w:r>
        <w:r w:rsidRPr="00673C78" w:rsidR="00673C78">
          <w:rPr>
            <w:rStyle w:val="Hyperlink"/>
          </w:rPr>
          <w:t xml:space="preserve"> U.S. Bureau of Labor Statistics</w:t>
        </w:r>
      </w:hyperlink>
      <w:r>
        <w:t>.  The occupational categories used</w:t>
      </w:r>
      <w:r w:rsidR="00EC4A40">
        <w:t xml:space="preserve"> were financial analyst (13-2051) and lawyer (23-1011).</w:t>
      </w:r>
      <w:r w:rsidR="00D652FD">
        <w:t xml:space="preserve">  FHFA used the mean hourly wage for the financial analyst </w:t>
      </w:r>
      <w:r w:rsidR="00206E45">
        <w:t>category but</w:t>
      </w:r>
      <w:r w:rsidR="00D652FD">
        <w:t xml:space="preserve"> used the 75</w:t>
      </w:r>
      <w:r w:rsidRPr="00D652FD" w:rsidR="00D652FD">
        <w:rPr>
          <w:vertAlign w:val="superscript"/>
        </w:rPr>
        <w:t>th</w:t>
      </w:r>
      <w:r w:rsidR="00D652FD">
        <w:t xml:space="preserve"> percentile wage for the lawyer category to reflect the fact that the materials would likely be reviewed by more highly compensated corporate lawyers.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8C081E"/>
    <w:multiLevelType w:val="hybridMultilevel"/>
    <w:tmpl w:val="02F01248"/>
    <w:lvl w:ilvl="0">
      <w:start w:val="1"/>
      <w:numFmt w:val="bullet"/>
      <w:lvlText w:val=""/>
      <w:lvlJc w:val="left"/>
      <w:pPr>
        <w:tabs>
          <w:tab w:val="num" w:pos="1242"/>
        </w:tabs>
        <w:ind w:left="1242" w:hanging="360"/>
      </w:pPr>
      <w:rPr>
        <w:rFonts w:ascii="Symbol" w:hAnsi="Symbol" w:hint="default"/>
        <w:sz w:val="24"/>
        <w:szCs w:val="24"/>
      </w:rPr>
    </w:lvl>
    <w:lvl w:ilvl="1">
      <w:start w:val="1"/>
      <w:numFmt w:val="decimal"/>
      <w:lvlText w:val="%2."/>
      <w:lvlJc w:val="left"/>
      <w:pPr>
        <w:tabs>
          <w:tab w:val="num" w:pos="1440"/>
        </w:tabs>
        <w:ind w:left="1440" w:hanging="360"/>
      </w:pPr>
      <w:rPr>
        <w:rFonts w:cs="Times New Roman"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3E506AA"/>
    <w:multiLevelType w:val="hybridMultilevel"/>
    <w:tmpl w:val="C7AC92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ABD2F75"/>
    <w:multiLevelType w:val="hybridMultilevel"/>
    <w:tmpl w:val="3244AF14"/>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1EF2FA4"/>
    <w:multiLevelType w:val="hybridMultilevel"/>
    <w:tmpl w:val="B39E4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E16FF8"/>
    <w:multiLevelType w:val="singleLevel"/>
    <w:tmpl w:val="04090001"/>
    <w:lvl w:ilvl="0">
      <w:start w:val="1"/>
      <w:numFmt w:val="bullet"/>
      <w:lvlText w:val=""/>
      <w:lvlJc w:val="left"/>
      <w:pPr>
        <w:ind w:left="360" w:hanging="360"/>
      </w:pPr>
      <w:rPr>
        <w:rFonts w:ascii="Symbol" w:hAnsi="Symbol" w:hint="default"/>
      </w:rPr>
    </w:lvl>
  </w:abstractNum>
  <w:abstractNum w:abstractNumId="5">
    <w:nsid w:val="71E11EC3"/>
    <w:multiLevelType w:val="singleLevel"/>
    <w:tmpl w:val="04090001"/>
    <w:lvl w:ilvl="0">
      <w:start w:val="1"/>
      <w:numFmt w:val="bullet"/>
      <w:lvlText w:val=""/>
      <w:lvlJc w:val="left"/>
      <w:pPr>
        <w:ind w:left="360" w:hanging="360"/>
      </w:pPr>
      <w:rPr>
        <w:rFonts w:ascii="Symbol" w:hAnsi="Symbol" w:hint="default"/>
      </w:rPr>
    </w:lvl>
  </w:abstractNum>
  <w:num w:numId="1" w16cid:durableId="1441073524">
    <w:abstractNumId w:val="4"/>
  </w:num>
  <w:num w:numId="2" w16cid:durableId="1244486471">
    <w:abstractNumId w:val="5"/>
  </w:num>
  <w:num w:numId="3" w16cid:durableId="2057384754">
    <w:abstractNumId w:val="2"/>
  </w:num>
  <w:num w:numId="4" w16cid:durableId="999621041">
    <w:abstractNumId w:val="3"/>
  </w:num>
  <w:num w:numId="5" w16cid:durableId="1453086941">
    <w:abstractNumId w:val="1"/>
  </w:num>
  <w:num w:numId="6" w16cid:durableId="9357917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oNotTrackFormatting/>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2AB"/>
    <w:rsid w:val="000023CE"/>
    <w:rsid w:val="00002B7D"/>
    <w:rsid w:val="0000374A"/>
    <w:rsid w:val="00003944"/>
    <w:rsid w:val="0000513E"/>
    <w:rsid w:val="000059B8"/>
    <w:rsid w:val="00005B09"/>
    <w:rsid w:val="00005BE6"/>
    <w:rsid w:val="00005D1A"/>
    <w:rsid w:val="00006AE3"/>
    <w:rsid w:val="00006D2C"/>
    <w:rsid w:val="000079A1"/>
    <w:rsid w:val="00011D37"/>
    <w:rsid w:val="0001335A"/>
    <w:rsid w:val="0002043C"/>
    <w:rsid w:val="000209DB"/>
    <w:rsid w:val="00021634"/>
    <w:rsid w:val="00021D24"/>
    <w:rsid w:val="00022ED3"/>
    <w:rsid w:val="00023AA4"/>
    <w:rsid w:val="00023EF8"/>
    <w:rsid w:val="00024629"/>
    <w:rsid w:val="00025411"/>
    <w:rsid w:val="00025A5D"/>
    <w:rsid w:val="00027BBC"/>
    <w:rsid w:val="0003452C"/>
    <w:rsid w:val="00034980"/>
    <w:rsid w:val="000355B1"/>
    <w:rsid w:val="000408EA"/>
    <w:rsid w:val="00041D07"/>
    <w:rsid w:val="000420A1"/>
    <w:rsid w:val="00043D68"/>
    <w:rsid w:val="00043EB6"/>
    <w:rsid w:val="000441B2"/>
    <w:rsid w:val="00044AB8"/>
    <w:rsid w:val="00045FF3"/>
    <w:rsid w:val="00046243"/>
    <w:rsid w:val="00046269"/>
    <w:rsid w:val="00046BAE"/>
    <w:rsid w:val="00046F04"/>
    <w:rsid w:val="00047312"/>
    <w:rsid w:val="0005072E"/>
    <w:rsid w:val="00052919"/>
    <w:rsid w:val="000533DF"/>
    <w:rsid w:val="000542F7"/>
    <w:rsid w:val="00054E2B"/>
    <w:rsid w:val="000554CD"/>
    <w:rsid w:val="000557CE"/>
    <w:rsid w:val="00057697"/>
    <w:rsid w:val="00060DC2"/>
    <w:rsid w:val="00062128"/>
    <w:rsid w:val="000623DB"/>
    <w:rsid w:val="000633D9"/>
    <w:rsid w:val="0006357D"/>
    <w:rsid w:val="00063C11"/>
    <w:rsid w:val="00064808"/>
    <w:rsid w:val="00066EBB"/>
    <w:rsid w:val="0006725A"/>
    <w:rsid w:val="00070B3E"/>
    <w:rsid w:val="0007142C"/>
    <w:rsid w:val="00073726"/>
    <w:rsid w:val="00075BF0"/>
    <w:rsid w:val="000768A9"/>
    <w:rsid w:val="00080C66"/>
    <w:rsid w:val="0008124F"/>
    <w:rsid w:val="00082F41"/>
    <w:rsid w:val="00084E76"/>
    <w:rsid w:val="0008559A"/>
    <w:rsid w:val="00085C9C"/>
    <w:rsid w:val="00086625"/>
    <w:rsid w:val="00092B27"/>
    <w:rsid w:val="00094C20"/>
    <w:rsid w:val="00096D08"/>
    <w:rsid w:val="00096D73"/>
    <w:rsid w:val="000A1032"/>
    <w:rsid w:val="000A295D"/>
    <w:rsid w:val="000A30D0"/>
    <w:rsid w:val="000A4FB6"/>
    <w:rsid w:val="000B0644"/>
    <w:rsid w:val="000B2720"/>
    <w:rsid w:val="000B2868"/>
    <w:rsid w:val="000B3737"/>
    <w:rsid w:val="000B3866"/>
    <w:rsid w:val="000B413C"/>
    <w:rsid w:val="000B5B64"/>
    <w:rsid w:val="000B6265"/>
    <w:rsid w:val="000B64EF"/>
    <w:rsid w:val="000B7930"/>
    <w:rsid w:val="000C1A58"/>
    <w:rsid w:val="000C23B3"/>
    <w:rsid w:val="000C4133"/>
    <w:rsid w:val="000D10B5"/>
    <w:rsid w:val="000D1392"/>
    <w:rsid w:val="000D15AD"/>
    <w:rsid w:val="000D1D2C"/>
    <w:rsid w:val="000D33E4"/>
    <w:rsid w:val="000D34A1"/>
    <w:rsid w:val="000D4077"/>
    <w:rsid w:val="000D4EF6"/>
    <w:rsid w:val="000E4754"/>
    <w:rsid w:val="000E4839"/>
    <w:rsid w:val="000E6663"/>
    <w:rsid w:val="000F086E"/>
    <w:rsid w:val="000F0CB3"/>
    <w:rsid w:val="000F1BEC"/>
    <w:rsid w:val="000F2BE3"/>
    <w:rsid w:val="000F2FDD"/>
    <w:rsid w:val="000F3F6F"/>
    <w:rsid w:val="000F403D"/>
    <w:rsid w:val="000F49AA"/>
    <w:rsid w:val="000F5032"/>
    <w:rsid w:val="000F6F88"/>
    <w:rsid w:val="00100BD9"/>
    <w:rsid w:val="00101C8B"/>
    <w:rsid w:val="0010235D"/>
    <w:rsid w:val="00102765"/>
    <w:rsid w:val="00104E02"/>
    <w:rsid w:val="0010547E"/>
    <w:rsid w:val="00105FF6"/>
    <w:rsid w:val="001062F8"/>
    <w:rsid w:val="00106693"/>
    <w:rsid w:val="001102D9"/>
    <w:rsid w:val="001104D2"/>
    <w:rsid w:val="00112C61"/>
    <w:rsid w:val="00113028"/>
    <w:rsid w:val="001138FD"/>
    <w:rsid w:val="001152F8"/>
    <w:rsid w:val="001157A4"/>
    <w:rsid w:val="00115AD5"/>
    <w:rsid w:val="00115FA4"/>
    <w:rsid w:val="00117642"/>
    <w:rsid w:val="0012284C"/>
    <w:rsid w:val="00122F97"/>
    <w:rsid w:val="00123A1E"/>
    <w:rsid w:val="00123BF5"/>
    <w:rsid w:val="00123ED4"/>
    <w:rsid w:val="00124083"/>
    <w:rsid w:val="0012476E"/>
    <w:rsid w:val="0012492F"/>
    <w:rsid w:val="001269D9"/>
    <w:rsid w:val="00132208"/>
    <w:rsid w:val="00132653"/>
    <w:rsid w:val="00134D20"/>
    <w:rsid w:val="00135055"/>
    <w:rsid w:val="00136348"/>
    <w:rsid w:val="001369C2"/>
    <w:rsid w:val="0013768F"/>
    <w:rsid w:val="001419EC"/>
    <w:rsid w:val="00143563"/>
    <w:rsid w:val="001435F8"/>
    <w:rsid w:val="00143ADF"/>
    <w:rsid w:val="0014465E"/>
    <w:rsid w:val="00145D71"/>
    <w:rsid w:val="00146772"/>
    <w:rsid w:val="00151289"/>
    <w:rsid w:val="00152925"/>
    <w:rsid w:val="00153B72"/>
    <w:rsid w:val="00154527"/>
    <w:rsid w:val="00154A95"/>
    <w:rsid w:val="00154E02"/>
    <w:rsid w:val="00156AD7"/>
    <w:rsid w:val="001575BE"/>
    <w:rsid w:val="00162D13"/>
    <w:rsid w:val="00163CB8"/>
    <w:rsid w:val="001676DB"/>
    <w:rsid w:val="00167B16"/>
    <w:rsid w:val="001707C6"/>
    <w:rsid w:val="00170844"/>
    <w:rsid w:val="00170A5F"/>
    <w:rsid w:val="0017123E"/>
    <w:rsid w:val="001719F6"/>
    <w:rsid w:val="00172313"/>
    <w:rsid w:val="001745B5"/>
    <w:rsid w:val="00175399"/>
    <w:rsid w:val="0017758F"/>
    <w:rsid w:val="00180653"/>
    <w:rsid w:val="00180C5D"/>
    <w:rsid w:val="00182B9B"/>
    <w:rsid w:val="00183383"/>
    <w:rsid w:val="00183D13"/>
    <w:rsid w:val="00184C03"/>
    <w:rsid w:val="00184E4C"/>
    <w:rsid w:val="001862FE"/>
    <w:rsid w:val="00186E6B"/>
    <w:rsid w:val="001870C1"/>
    <w:rsid w:val="0018730F"/>
    <w:rsid w:val="001904DF"/>
    <w:rsid w:val="001917CB"/>
    <w:rsid w:val="00191C22"/>
    <w:rsid w:val="0019395C"/>
    <w:rsid w:val="0019404A"/>
    <w:rsid w:val="00194EE8"/>
    <w:rsid w:val="00195D9E"/>
    <w:rsid w:val="00196ED3"/>
    <w:rsid w:val="0019719A"/>
    <w:rsid w:val="001A00B9"/>
    <w:rsid w:val="001A0413"/>
    <w:rsid w:val="001A1BD4"/>
    <w:rsid w:val="001A32C8"/>
    <w:rsid w:val="001A4FEB"/>
    <w:rsid w:val="001A64B3"/>
    <w:rsid w:val="001A6828"/>
    <w:rsid w:val="001A7BD0"/>
    <w:rsid w:val="001B1B01"/>
    <w:rsid w:val="001B1B86"/>
    <w:rsid w:val="001B2245"/>
    <w:rsid w:val="001B23CE"/>
    <w:rsid w:val="001B2F7C"/>
    <w:rsid w:val="001B4FA3"/>
    <w:rsid w:val="001B508D"/>
    <w:rsid w:val="001B50AF"/>
    <w:rsid w:val="001B6C9D"/>
    <w:rsid w:val="001B6EF3"/>
    <w:rsid w:val="001C1155"/>
    <w:rsid w:val="001C19FC"/>
    <w:rsid w:val="001C1E6F"/>
    <w:rsid w:val="001C2B75"/>
    <w:rsid w:val="001C2EB6"/>
    <w:rsid w:val="001C360D"/>
    <w:rsid w:val="001C3B0D"/>
    <w:rsid w:val="001C3FD9"/>
    <w:rsid w:val="001C5440"/>
    <w:rsid w:val="001C7071"/>
    <w:rsid w:val="001C77FC"/>
    <w:rsid w:val="001C7C8C"/>
    <w:rsid w:val="001C7DCE"/>
    <w:rsid w:val="001D0557"/>
    <w:rsid w:val="001D25E2"/>
    <w:rsid w:val="001D31D1"/>
    <w:rsid w:val="001D3775"/>
    <w:rsid w:val="001D3D0B"/>
    <w:rsid w:val="001D4540"/>
    <w:rsid w:val="001D50E2"/>
    <w:rsid w:val="001D57CE"/>
    <w:rsid w:val="001D6481"/>
    <w:rsid w:val="001D66B3"/>
    <w:rsid w:val="001D67ED"/>
    <w:rsid w:val="001D7A60"/>
    <w:rsid w:val="001D7F45"/>
    <w:rsid w:val="001E0918"/>
    <w:rsid w:val="001E1912"/>
    <w:rsid w:val="001E1949"/>
    <w:rsid w:val="001E3203"/>
    <w:rsid w:val="001E6375"/>
    <w:rsid w:val="001E6BA2"/>
    <w:rsid w:val="001E7309"/>
    <w:rsid w:val="001E7FF6"/>
    <w:rsid w:val="001F0725"/>
    <w:rsid w:val="001F1099"/>
    <w:rsid w:val="001F3299"/>
    <w:rsid w:val="001F5126"/>
    <w:rsid w:val="001F60A0"/>
    <w:rsid w:val="001F733C"/>
    <w:rsid w:val="002021FC"/>
    <w:rsid w:val="0020233C"/>
    <w:rsid w:val="0020246A"/>
    <w:rsid w:val="002039E1"/>
    <w:rsid w:val="002054ED"/>
    <w:rsid w:val="00205AE2"/>
    <w:rsid w:val="00206248"/>
    <w:rsid w:val="0020671B"/>
    <w:rsid w:val="002068BD"/>
    <w:rsid w:val="00206E45"/>
    <w:rsid w:val="00210B9D"/>
    <w:rsid w:val="00211A8F"/>
    <w:rsid w:val="00211B26"/>
    <w:rsid w:val="002125B7"/>
    <w:rsid w:val="00212723"/>
    <w:rsid w:val="00212736"/>
    <w:rsid w:val="002137EF"/>
    <w:rsid w:val="00213827"/>
    <w:rsid w:val="00214E73"/>
    <w:rsid w:val="00215185"/>
    <w:rsid w:val="00215988"/>
    <w:rsid w:val="002175C6"/>
    <w:rsid w:val="00220653"/>
    <w:rsid w:val="002225B8"/>
    <w:rsid w:val="002265B1"/>
    <w:rsid w:val="00226E6C"/>
    <w:rsid w:val="002275B6"/>
    <w:rsid w:val="00230AE9"/>
    <w:rsid w:val="00230CAF"/>
    <w:rsid w:val="00230E0C"/>
    <w:rsid w:val="002329F3"/>
    <w:rsid w:val="002363D2"/>
    <w:rsid w:val="00236404"/>
    <w:rsid w:val="002367D7"/>
    <w:rsid w:val="00237EBD"/>
    <w:rsid w:val="00240166"/>
    <w:rsid w:val="0024285B"/>
    <w:rsid w:val="00242CE0"/>
    <w:rsid w:val="002442B0"/>
    <w:rsid w:val="00245959"/>
    <w:rsid w:val="00245BD6"/>
    <w:rsid w:val="002466F7"/>
    <w:rsid w:val="00247225"/>
    <w:rsid w:val="00251368"/>
    <w:rsid w:val="0025342E"/>
    <w:rsid w:val="0025343F"/>
    <w:rsid w:val="00254033"/>
    <w:rsid w:val="00254426"/>
    <w:rsid w:val="00254459"/>
    <w:rsid w:val="00256453"/>
    <w:rsid w:val="002575E1"/>
    <w:rsid w:val="00260C7E"/>
    <w:rsid w:val="002618A3"/>
    <w:rsid w:val="002630C9"/>
    <w:rsid w:val="00263E08"/>
    <w:rsid w:val="002643C9"/>
    <w:rsid w:val="00264555"/>
    <w:rsid w:val="0026472F"/>
    <w:rsid w:val="0027042F"/>
    <w:rsid w:val="00270BD2"/>
    <w:rsid w:val="00270DF5"/>
    <w:rsid w:val="00271D06"/>
    <w:rsid w:val="00274481"/>
    <w:rsid w:val="00274734"/>
    <w:rsid w:val="002758E5"/>
    <w:rsid w:val="0027643D"/>
    <w:rsid w:val="00276564"/>
    <w:rsid w:val="00277B02"/>
    <w:rsid w:val="00280A6B"/>
    <w:rsid w:val="00280DE0"/>
    <w:rsid w:val="00281415"/>
    <w:rsid w:val="00282E28"/>
    <w:rsid w:val="002832DE"/>
    <w:rsid w:val="00283626"/>
    <w:rsid w:val="002837E9"/>
    <w:rsid w:val="00284BE5"/>
    <w:rsid w:val="00290D9F"/>
    <w:rsid w:val="002912D7"/>
    <w:rsid w:val="00292EBF"/>
    <w:rsid w:val="00293536"/>
    <w:rsid w:val="00295217"/>
    <w:rsid w:val="00295D77"/>
    <w:rsid w:val="002972C5"/>
    <w:rsid w:val="002A040B"/>
    <w:rsid w:val="002A2998"/>
    <w:rsid w:val="002A4AB8"/>
    <w:rsid w:val="002A6F66"/>
    <w:rsid w:val="002B1781"/>
    <w:rsid w:val="002B19D8"/>
    <w:rsid w:val="002B2823"/>
    <w:rsid w:val="002B33B7"/>
    <w:rsid w:val="002B499B"/>
    <w:rsid w:val="002B6A61"/>
    <w:rsid w:val="002B6E8C"/>
    <w:rsid w:val="002C1469"/>
    <w:rsid w:val="002C19CB"/>
    <w:rsid w:val="002C1B4D"/>
    <w:rsid w:val="002C22C1"/>
    <w:rsid w:val="002C2A78"/>
    <w:rsid w:val="002C2BE2"/>
    <w:rsid w:val="002C3460"/>
    <w:rsid w:val="002C432A"/>
    <w:rsid w:val="002C5165"/>
    <w:rsid w:val="002C6910"/>
    <w:rsid w:val="002C6CDC"/>
    <w:rsid w:val="002C751F"/>
    <w:rsid w:val="002D145E"/>
    <w:rsid w:val="002D4BA4"/>
    <w:rsid w:val="002D4EB6"/>
    <w:rsid w:val="002D526D"/>
    <w:rsid w:val="002D5C1E"/>
    <w:rsid w:val="002D7B63"/>
    <w:rsid w:val="002E0D17"/>
    <w:rsid w:val="002E0FA3"/>
    <w:rsid w:val="002E1122"/>
    <w:rsid w:val="002E1D84"/>
    <w:rsid w:val="002E3170"/>
    <w:rsid w:val="002E3F4B"/>
    <w:rsid w:val="002E4484"/>
    <w:rsid w:val="002E6746"/>
    <w:rsid w:val="002E75FF"/>
    <w:rsid w:val="002E7C33"/>
    <w:rsid w:val="002F037D"/>
    <w:rsid w:val="002F1BBB"/>
    <w:rsid w:val="002F2897"/>
    <w:rsid w:val="002F62E6"/>
    <w:rsid w:val="002F6EC8"/>
    <w:rsid w:val="002F72ED"/>
    <w:rsid w:val="002F757E"/>
    <w:rsid w:val="002F7D87"/>
    <w:rsid w:val="0030047E"/>
    <w:rsid w:val="00300FD0"/>
    <w:rsid w:val="003019F9"/>
    <w:rsid w:val="00301B9E"/>
    <w:rsid w:val="00301E60"/>
    <w:rsid w:val="00301EF0"/>
    <w:rsid w:val="0030229D"/>
    <w:rsid w:val="00302EA2"/>
    <w:rsid w:val="00302F1D"/>
    <w:rsid w:val="00305C0D"/>
    <w:rsid w:val="0031068B"/>
    <w:rsid w:val="00310DC2"/>
    <w:rsid w:val="003130BF"/>
    <w:rsid w:val="00313E34"/>
    <w:rsid w:val="00314335"/>
    <w:rsid w:val="00316612"/>
    <w:rsid w:val="00320A7B"/>
    <w:rsid w:val="00320B8C"/>
    <w:rsid w:val="00322C40"/>
    <w:rsid w:val="00323D16"/>
    <w:rsid w:val="00323FD5"/>
    <w:rsid w:val="00324FFD"/>
    <w:rsid w:val="00325343"/>
    <w:rsid w:val="003260AD"/>
    <w:rsid w:val="00326924"/>
    <w:rsid w:val="003274D5"/>
    <w:rsid w:val="00332009"/>
    <w:rsid w:val="0033681F"/>
    <w:rsid w:val="003379FE"/>
    <w:rsid w:val="00341BBB"/>
    <w:rsid w:val="00342BFE"/>
    <w:rsid w:val="00343527"/>
    <w:rsid w:val="003459DE"/>
    <w:rsid w:val="00345ACA"/>
    <w:rsid w:val="003504A2"/>
    <w:rsid w:val="003510A4"/>
    <w:rsid w:val="00352CBB"/>
    <w:rsid w:val="00354127"/>
    <w:rsid w:val="00355FF3"/>
    <w:rsid w:val="00356B0B"/>
    <w:rsid w:val="00356E9E"/>
    <w:rsid w:val="003572CF"/>
    <w:rsid w:val="00357539"/>
    <w:rsid w:val="00357CF5"/>
    <w:rsid w:val="00360AF7"/>
    <w:rsid w:val="00362594"/>
    <w:rsid w:val="00362AD4"/>
    <w:rsid w:val="00364A45"/>
    <w:rsid w:val="00364B1B"/>
    <w:rsid w:val="00365962"/>
    <w:rsid w:val="00365F92"/>
    <w:rsid w:val="00366898"/>
    <w:rsid w:val="003733F8"/>
    <w:rsid w:val="003736B1"/>
    <w:rsid w:val="00374AC6"/>
    <w:rsid w:val="00375675"/>
    <w:rsid w:val="003756EA"/>
    <w:rsid w:val="003767FA"/>
    <w:rsid w:val="00377300"/>
    <w:rsid w:val="00377A12"/>
    <w:rsid w:val="00377EE1"/>
    <w:rsid w:val="003806CF"/>
    <w:rsid w:val="00380C80"/>
    <w:rsid w:val="003820CB"/>
    <w:rsid w:val="003835E0"/>
    <w:rsid w:val="00383D34"/>
    <w:rsid w:val="00383DDB"/>
    <w:rsid w:val="003841EC"/>
    <w:rsid w:val="003855DA"/>
    <w:rsid w:val="00390487"/>
    <w:rsid w:val="003915B0"/>
    <w:rsid w:val="003917F9"/>
    <w:rsid w:val="0039190E"/>
    <w:rsid w:val="00391F95"/>
    <w:rsid w:val="00392B89"/>
    <w:rsid w:val="00392EC4"/>
    <w:rsid w:val="00393725"/>
    <w:rsid w:val="00393F75"/>
    <w:rsid w:val="00394007"/>
    <w:rsid w:val="003958C3"/>
    <w:rsid w:val="003973B2"/>
    <w:rsid w:val="003A0875"/>
    <w:rsid w:val="003A2076"/>
    <w:rsid w:val="003A2271"/>
    <w:rsid w:val="003A3A31"/>
    <w:rsid w:val="003A3A54"/>
    <w:rsid w:val="003A3F6F"/>
    <w:rsid w:val="003A44C8"/>
    <w:rsid w:val="003A4F25"/>
    <w:rsid w:val="003A585E"/>
    <w:rsid w:val="003A7B35"/>
    <w:rsid w:val="003B0F77"/>
    <w:rsid w:val="003B1498"/>
    <w:rsid w:val="003B2508"/>
    <w:rsid w:val="003B2F46"/>
    <w:rsid w:val="003B35FB"/>
    <w:rsid w:val="003B3D1C"/>
    <w:rsid w:val="003B5053"/>
    <w:rsid w:val="003B72E9"/>
    <w:rsid w:val="003B7525"/>
    <w:rsid w:val="003C0B02"/>
    <w:rsid w:val="003C1A84"/>
    <w:rsid w:val="003C26E4"/>
    <w:rsid w:val="003C3B7D"/>
    <w:rsid w:val="003C5827"/>
    <w:rsid w:val="003D1309"/>
    <w:rsid w:val="003D1DD6"/>
    <w:rsid w:val="003D2929"/>
    <w:rsid w:val="003D2946"/>
    <w:rsid w:val="003D2E97"/>
    <w:rsid w:val="003D5223"/>
    <w:rsid w:val="003D5FFA"/>
    <w:rsid w:val="003D61E2"/>
    <w:rsid w:val="003D7561"/>
    <w:rsid w:val="003E1917"/>
    <w:rsid w:val="003E1BC0"/>
    <w:rsid w:val="003E310E"/>
    <w:rsid w:val="003E4A4C"/>
    <w:rsid w:val="003E5021"/>
    <w:rsid w:val="003E7BF5"/>
    <w:rsid w:val="003F2C6A"/>
    <w:rsid w:val="003F3032"/>
    <w:rsid w:val="003F4466"/>
    <w:rsid w:val="003F58AD"/>
    <w:rsid w:val="003F7677"/>
    <w:rsid w:val="003F76BA"/>
    <w:rsid w:val="003F7E2E"/>
    <w:rsid w:val="00402948"/>
    <w:rsid w:val="00403846"/>
    <w:rsid w:val="00404463"/>
    <w:rsid w:val="00404B46"/>
    <w:rsid w:val="0040516E"/>
    <w:rsid w:val="004058A6"/>
    <w:rsid w:val="004059E8"/>
    <w:rsid w:val="00406F3F"/>
    <w:rsid w:val="00410240"/>
    <w:rsid w:val="00410CFA"/>
    <w:rsid w:val="004111D7"/>
    <w:rsid w:val="00411A55"/>
    <w:rsid w:val="00411C47"/>
    <w:rsid w:val="00413598"/>
    <w:rsid w:val="004152CF"/>
    <w:rsid w:val="0041540F"/>
    <w:rsid w:val="00415B2C"/>
    <w:rsid w:val="0041627A"/>
    <w:rsid w:val="0041635F"/>
    <w:rsid w:val="00416FBB"/>
    <w:rsid w:val="00417559"/>
    <w:rsid w:val="0041772F"/>
    <w:rsid w:val="00417B90"/>
    <w:rsid w:val="004200BF"/>
    <w:rsid w:val="00420906"/>
    <w:rsid w:val="00420E7E"/>
    <w:rsid w:val="004226E0"/>
    <w:rsid w:val="004234FD"/>
    <w:rsid w:val="00423B27"/>
    <w:rsid w:val="00423E26"/>
    <w:rsid w:val="00423F3C"/>
    <w:rsid w:val="00424266"/>
    <w:rsid w:val="00426232"/>
    <w:rsid w:val="00426250"/>
    <w:rsid w:val="0043063E"/>
    <w:rsid w:val="00431D1E"/>
    <w:rsid w:val="0043599C"/>
    <w:rsid w:val="004373A0"/>
    <w:rsid w:val="00440C8A"/>
    <w:rsid w:val="00440DDC"/>
    <w:rsid w:val="004416FB"/>
    <w:rsid w:val="00442A3C"/>
    <w:rsid w:val="004460CF"/>
    <w:rsid w:val="00447E86"/>
    <w:rsid w:val="004513F3"/>
    <w:rsid w:val="004530AC"/>
    <w:rsid w:val="00453A4A"/>
    <w:rsid w:val="00455343"/>
    <w:rsid w:val="0045580C"/>
    <w:rsid w:val="0045586E"/>
    <w:rsid w:val="00455C5E"/>
    <w:rsid w:val="00456344"/>
    <w:rsid w:val="00456504"/>
    <w:rsid w:val="00457BA5"/>
    <w:rsid w:val="00457BD2"/>
    <w:rsid w:val="004609A2"/>
    <w:rsid w:val="00460D46"/>
    <w:rsid w:val="00461560"/>
    <w:rsid w:val="00461B34"/>
    <w:rsid w:val="00461E37"/>
    <w:rsid w:val="0046462C"/>
    <w:rsid w:val="00465162"/>
    <w:rsid w:val="00465964"/>
    <w:rsid w:val="00465D91"/>
    <w:rsid w:val="00466148"/>
    <w:rsid w:val="004662E9"/>
    <w:rsid w:val="0046738D"/>
    <w:rsid w:val="00467A29"/>
    <w:rsid w:val="004710FE"/>
    <w:rsid w:val="004720DD"/>
    <w:rsid w:val="00472E82"/>
    <w:rsid w:val="0047492C"/>
    <w:rsid w:val="00474FCF"/>
    <w:rsid w:val="004755D8"/>
    <w:rsid w:val="00475A48"/>
    <w:rsid w:val="00475A4D"/>
    <w:rsid w:val="00475ED3"/>
    <w:rsid w:val="00475F22"/>
    <w:rsid w:val="0047616C"/>
    <w:rsid w:val="004761C4"/>
    <w:rsid w:val="00477590"/>
    <w:rsid w:val="004800F2"/>
    <w:rsid w:val="00483195"/>
    <w:rsid w:val="00484A42"/>
    <w:rsid w:val="00484D67"/>
    <w:rsid w:val="00487069"/>
    <w:rsid w:val="004902C8"/>
    <w:rsid w:val="0049041C"/>
    <w:rsid w:val="004908CF"/>
    <w:rsid w:val="00494367"/>
    <w:rsid w:val="004966AC"/>
    <w:rsid w:val="004966FC"/>
    <w:rsid w:val="004978F5"/>
    <w:rsid w:val="004A0112"/>
    <w:rsid w:val="004A07F6"/>
    <w:rsid w:val="004A0ACC"/>
    <w:rsid w:val="004A37ED"/>
    <w:rsid w:val="004A3E87"/>
    <w:rsid w:val="004A471A"/>
    <w:rsid w:val="004A47C7"/>
    <w:rsid w:val="004A4FF6"/>
    <w:rsid w:val="004A5CD7"/>
    <w:rsid w:val="004A61A0"/>
    <w:rsid w:val="004A65BB"/>
    <w:rsid w:val="004A69E7"/>
    <w:rsid w:val="004A6EB4"/>
    <w:rsid w:val="004A76E4"/>
    <w:rsid w:val="004A7732"/>
    <w:rsid w:val="004B4D98"/>
    <w:rsid w:val="004B6816"/>
    <w:rsid w:val="004C0291"/>
    <w:rsid w:val="004C0B25"/>
    <w:rsid w:val="004C1001"/>
    <w:rsid w:val="004C24E4"/>
    <w:rsid w:val="004C30A4"/>
    <w:rsid w:val="004C54FD"/>
    <w:rsid w:val="004C5B89"/>
    <w:rsid w:val="004C68CB"/>
    <w:rsid w:val="004C6D6D"/>
    <w:rsid w:val="004C6FF7"/>
    <w:rsid w:val="004C7B79"/>
    <w:rsid w:val="004D00EC"/>
    <w:rsid w:val="004D2DA1"/>
    <w:rsid w:val="004D5113"/>
    <w:rsid w:val="004D7146"/>
    <w:rsid w:val="004D765D"/>
    <w:rsid w:val="004D76F5"/>
    <w:rsid w:val="004E0AFD"/>
    <w:rsid w:val="004E0F38"/>
    <w:rsid w:val="004E1910"/>
    <w:rsid w:val="004E4745"/>
    <w:rsid w:val="004E4DD3"/>
    <w:rsid w:val="004E6892"/>
    <w:rsid w:val="004E7539"/>
    <w:rsid w:val="004F1FC5"/>
    <w:rsid w:val="004F36D8"/>
    <w:rsid w:val="004F52D1"/>
    <w:rsid w:val="004F54BB"/>
    <w:rsid w:val="004F5F09"/>
    <w:rsid w:val="004F6B96"/>
    <w:rsid w:val="004F6C51"/>
    <w:rsid w:val="004F7D8C"/>
    <w:rsid w:val="0050219D"/>
    <w:rsid w:val="0050339E"/>
    <w:rsid w:val="00503562"/>
    <w:rsid w:val="005035FE"/>
    <w:rsid w:val="00505417"/>
    <w:rsid w:val="0050614C"/>
    <w:rsid w:val="00506FE1"/>
    <w:rsid w:val="005105C4"/>
    <w:rsid w:val="0051101B"/>
    <w:rsid w:val="005116DC"/>
    <w:rsid w:val="0051290D"/>
    <w:rsid w:val="00512AB4"/>
    <w:rsid w:val="00512D85"/>
    <w:rsid w:val="00515FE6"/>
    <w:rsid w:val="00516E7A"/>
    <w:rsid w:val="00520F99"/>
    <w:rsid w:val="0052134B"/>
    <w:rsid w:val="00522CAF"/>
    <w:rsid w:val="00523785"/>
    <w:rsid w:val="005244A4"/>
    <w:rsid w:val="005267C3"/>
    <w:rsid w:val="00526E5A"/>
    <w:rsid w:val="00526E7A"/>
    <w:rsid w:val="00527774"/>
    <w:rsid w:val="0052797C"/>
    <w:rsid w:val="00527D87"/>
    <w:rsid w:val="00530D51"/>
    <w:rsid w:val="005314A4"/>
    <w:rsid w:val="0053299B"/>
    <w:rsid w:val="00533D3E"/>
    <w:rsid w:val="00534A35"/>
    <w:rsid w:val="00535A20"/>
    <w:rsid w:val="00535C0B"/>
    <w:rsid w:val="00536006"/>
    <w:rsid w:val="005365A1"/>
    <w:rsid w:val="005371B5"/>
    <w:rsid w:val="0054045C"/>
    <w:rsid w:val="0054065E"/>
    <w:rsid w:val="0054153A"/>
    <w:rsid w:val="00541A32"/>
    <w:rsid w:val="00542121"/>
    <w:rsid w:val="0054312A"/>
    <w:rsid w:val="005434F0"/>
    <w:rsid w:val="00543AB2"/>
    <w:rsid w:val="00544571"/>
    <w:rsid w:val="005456D4"/>
    <w:rsid w:val="00546F3E"/>
    <w:rsid w:val="005477E4"/>
    <w:rsid w:val="00550C85"/>
    <w:rsid w:val="0055270B"/>
    <w:rsid w:val="005535EF"/>
    <w:rsid w:val="00553DAD"/>
    <w:rsid w:val="005540D2"/>
    <w:rsid w:val="00554470"/>
    <w:rsid w:val="0055448A"/>
    <w:rsid w:val="005544C3"/>
    <w:rsid w:val="00555F0D"/>
    <w:rsid w:val="00557060"/>
    <w:rsid w:val="005600A5"/>
    <w:rsid w:val="00560CDE"/>
    <w:rsid w:val="00561391"/>
    <w:rsid w:val="00563EFF"/>
    <w:rsid w:val="0056448D"/>
    <w:rsid w:val="005666C0"/>
    <w:rsid w:val="00566B5A"/>
    <w:rsid w:val="00567575"/>
    <w:rsid w:val="00571354"/>
    <w:rsid w:val="005721B8"/>
    <w:rsid w:val="00572F86"/>
    <w:rsid w:val="0057337E"/>
    <w:rsid w:val="00573E72"/>
    <w:rsid w:val="00573EE3"/>
    <w:rsid w:val="00574270"/>
    <w:rsid w:val="00574425"/>
    <w:rsid w:val="00574CE1"/>
    <w:rsid w:val="005762D6"/>
    <w:rsid w:val="00576CDE"/>
    <w:rsid w:val="00577263"/>
    <w:rsid w:val="00577B35"/>
    <w:rsid w:val="005802BE"/>
    <w:rsid w:val="00580A23"/>
    <w:rsid w:val="005822A9"/>
    <w:rsid w:val="00582DE7"/>
    <w:rsid w:val="00583161"/>
    <w:rsid w:val="00583414"/>
    <w:rsid w:val="00584309"/>
    <w:rsid w:val="00584C73"/>
    <w:rsid w:val="005852C1"/>
    <w:rsid w:val="00585C43"/>
    <w:rsid w:val="00587B1A"/>
    <w:rsid w:val="0059084A"/>
    <w:rsid w:val="005909D5"/>
    <w:rsid w:val="005924CC"/>
    <w:rsid w:val="00593D30"/>
    <w:rsid w:val="00594095"/>
    <w:rsid w:val="005941DB"/>
    <w:rsid w:val="00594CB2"/>
    <w:rsid w:val="00595037"/>
    <w:rsid w:val="00595103"/>
    <w:rsid w:val="005958F3"/>
    <w:rsid w:val="005959B5"/>
    <w:rsid w:val="00597A66"/>
    <w:rsid w:val="00597C34"/>
    <w:rsid w:val="005A018C"/>
    <w:rsid w:val="005A1D8D"/>
    <w:rsid w:val="005A4A24"/>
    <w:rsid w:val="005A5184"/>
    <w:rsid w:val="005A6C81"/>
    <w:rsid w:val="005A755C"/>
    <w:rsid w:val="005B1168"/>
    <w:rsid w:val="005B16FC"/>
    <w:rsid w:val="005B2697"/>
    <w:rsid w:val="005B2AE6"/>
    <w:rsid w:val="005B39D1"/>
    <w:rsid w:val="005B3F82"/>
    <w:rsid w:val="005B44C6"/>
    <w:rsid w:val="005B4D21"/>
    <w:rsid w:val="005B5BCC"/>
    <w:rsid w:val="005B5ED6"/>
    <w:rsid w:val="005B6996"/>
    <w:rsid w:val="005B76A3"/>
    <w:rsid w:val="005B7924"/>
    <w:rsid w:val="005C0132"/>
    <w:rsid w:val="005C09EF"/>
    <w:rsid w:val="005C1284"/>
    <w:rsid w:val="005C1E36"/>
    <w:rsid w:val="005C2171"/>
    <w:rsid w:val="005C27BE"/>
    <w:rsid w:val="005C33CE"/>
    <w:rsid w:val="005C3413"/>
    <w:rsid w:val="005C3568"/>
    <w:rsid w:val="005C4DB2"/>
    <w:rsid w:val="005C7879"/>
    <w:rsid w:val="005C7904"/>
    <w:rsid w:val="005C7DFB"/>
    <w:rsid w:val="005D0437"/>
    <w:rsid w:val="005D0508"/>
    <w:rsid w:val="005D1C02"/>
    <w:rsid w:val="005D1C56"/>
    <w:rsid w:val="005D3371"/>
    <w:rsid w:val="005D4BE3"/>
    <w:rsid w:val="005D59BD"/>
    <w:rsid w:val="005D60F2"/>
    <w:rsid w:val="005D701E"/>
    <w:rsid w:val="005D747B"/>
    <w:rsid w:val="005E05AC"/>
    <w:rsid w:val="005E1D95"/>
    <w:rsid w:val="005E1F8F"/>
    <w:rsid w:val="005E3B50"/>
    <w:rsid w:val="005E428F"/>
    <w:rsid w:val="005E58A3"/>
    <w:rsid w:val="005E615B"/>
    <w:rsid w:val="005E7D0F"/>
    <w:rsid w:val="005F1466"/>
    <w:rsid w:val="005F2997"/>
    <w:rsid w:val="005F2C3D"/>
    <w:rsid w:val="005F3473"/>
    <w:rsid w:val="005F3617"/>
    <w:rsid w:val="005F397A"/>
    <w:rsid w:val="005F3BEA"/>
    <w:rsid w:val="005F3CEE"/>
    <w:rsid w:val="005F5539"/>
    <w:rsid w:val="006003EA"/>
    <w:rsid w:val="0060040F"/>
    <w:rsid w:val="00600DAD"/>
    <w:rsid w:val="00603D8F"/>
    <w:rsid w:val="00604204"/>
    <w:rsid w:val="00604DD4"/>
    <w:rsid w:val="0060637B"/>
    <w:rsid w:val="006074EB"/>
    <w:rsid w:val="00607595"/>
    <w:rsid w:val="006100F2"/>
    <w:rsid w:val="00611770"/>
    <w:rsid w:val="0061573D"/>
    <w:rsid w:val="0061603F"/>
    <w:rsid w:val="0061744C"/>
    <w:rsid w:val="006175A7"/>
    <w:rsid w:val="00617A3A"/>
    <w:rsid w:val="00617FA2"/>
    <w:rsid w:val="00620625"/>
    <w:rsid w:val="006206A2"/>
    <w:rsid w:val="00621EC6"/>
    <w:rsid w:val="00624509"/>
    <w:rsid w:val="00624835"/>
    <w:rsid w:val="00624A1E"/>
    <w:rsid w:val="006254D8"/>
    <w:rsid w:val="006255C8"/>
    <w:rsid w:val="00626644"/>
    <w:rsid w:val="00626996"/>
    <w:rsid w:val="00626FC8"/>
    <w:rsid w:val="00631450"/>
    <w:rsid w:val="00631524"/>
    <w:rsid w:val="00631DBA"/>
    <w:rsid w:val="006331EE"/>
    <w:rsid w:val="00634435"/>
    <w:rsid w:val="00634A95"/>
    <w:rsid w:val="00634DAF"/>
    <w:rsid w:val="0063716F"/>
    <w:rsid w:val="00640BD8"/>
    <w:rsid w:val="0064179D"/>
    <w:rsid w:val="00642E43"/>
    <w:rsid w:val="006438CE"/>
    <w:rsid w:val="00643C04"/>
    <w:rsid w:val="00643D96"/>
    <w:rsid w:val="0064563A"/>
    <w:rsid w:val="00645ABC"/>
    <w:rsid w:val="00645B2C"/>
    <w:rsid w:val="006466AC"/>
    <w:rsid w:val="006475E1"/>
    <w:rsid w:val="00647842"/>
    <w:rsid w:val="00651428"/>
    <w:rsid w:val="00652A0C"/>
    <w:rsid w:val="00655741"/>
    <w:rsid w:val="0065780D"/>
    <w:rsid w:val="00660500"/>
    <w:rsid w:val="00661AEB"/>
    <w:rsid w:val="00661BC3"/>
    <w:rsid w:val="00661FDB"/>
    <w:rsid w:val="006635C7"/>
    <w:rsid w:val="006636B3"/>
    <w:rsid w:val="006638B6"/>
    <w:rsid w:val="0066396A"/>
    <w:rsid w:val="00665A3F"/>
    <w:rsid w:val="00665DCD"/>
    <w:rsid w:val="0066678D"/>
    <w:rsid w:val="00667242"/>
    <w:rsid w:val="00667E92"/>
    <w:rsid w:val="00671583"/>
    <w:rsid w:val="00671F70"/>
    <w:rsid w:val="00673C78"/>
    <w:rsid w:val="00674C33"/>
    <w:rsid w:val="00675601"/>
    <w:rsid w:val="0067642E"/>
    <w:rsid w:val="00677C92"/>
    <w:rsid w:val="00677D57"/>
    <w:rsid w:val="00677E76"/>
    <w:rsid w:val="00681B67"/>
    <w:rsid w:val="0068289F"/>
    <w:rsid w:val="00682C3C"/>
    <w:rsid w:val="0068496F"/>
    <w:rsid w:val="00685A02"/>
    <w:rsid w:val="00685A28"/>
    <w:rsid w:val="0068619C"/>
    <w:rsid w:val="00690D08"/>
    <w:rsid w:val="00691103"/>
    <w:rsid w:val="00692F59"/>
    <w:rsid w:val="00693B3D"/>
    <w:rsid w:val="0069504D"/>
    <w:rsid w:val="0069519E"/>
    <w:rsid w:val="006954A5"/>
    <w:rsid w:val="006974F5"/>
    <w:rsid w:val="006A018A"/>
    <w:rsid w:val="006A03AB"/>
    <w:rsid w:val="006A0A36"/>
    <w:rsid w:val="006A1EDE"/>
    <w:rsid w:val="006A20BF"/>
    <w:rsid w:val="006A22A4"/>
    <w:rsid w:val="006A313D"/>
    <w:rsid w:val="006A5E42"/>
    <w:rsid w:val="006A6AC3"/>
    <w:rsid w:val="006A6AC4"/>
    <w:rsid w:val="006A74B0"/>
    <w:rsid w:val="006A7749"/>
    <w:rsid w:val="006A78B2"/>
    <w:rsid w:val="006A7AA0"/>
    <w:rsid w:val="006B01B5"/>
    <w:rsid w:val="006B0863"/>
    <w:rsid w:val="006B0AD8"/>
    <w:rsid w:val="006B104E"/>
    <w:rsid w:val="006B4328"/>
    <w:rsid w:val="006B43A1"/>
    <w:rsid w:val="006B516F"/>
    <w:rsid w:val="006B7957"/>
    <w:rsid w:val="006C05FF"/>
    <w:rsid w:val="006C438F"/>
    <w:rsid w:val="006C4CF1"/>
    <w:rsid w:val="006C5C3E"/>
    <w:rsid w:val="006C6D7A"/>
    <w:rsid w:val="006C6E18"/>
    <w:rsid w:val="006C73FA"/>
    <w:rsid w:val="006D0D6F"/>
    <w:rsid w:val="006D0EA0"/>
    <w:rsid w:val="006D443B"/>
    <w:rsid w:val="006D54B6"/>
    <w:rsid w:val="006D5C06"/>
    <w:rsid w:val="006D759E"/>
    <w:rsid w:val="006E1BD7"/>
    <w:rsid w:val="006E2231"/>
    <w:rsid w:val="006E2D1E"/>
    <w:rsid w:val="006E3544"/>
    <w:rsid w:val="006E41AA"/>
    <w:rsid w:val="006E6101"/>
    <w:rsid w:val="006F0832"/>
    <w:rsid w:val="006F293C"/>
    <w:rsid w:val="006F3203"/>
    <w:rsid w:val="006F58EE"/>
    <w:rsid w:val="006F781A"/>
    <w:rsid w:val="0070026D"/>
    <w:rsid w:val="00701CC7"/>
    <w:rsid w:val="007024AF"/>
    <w:rsid w:val="00702E99"/>
    <w:rsid w:val="0070312C"/>
    <w:rsid w:val="0070323C"/>
    <w:rsid w:val="007048A9"/>
    <w:rsid w:val="00704D42"/>
    <w:rsid w:val="00706D82"/>
    <w:rsid w:val="00707AD7"/>
    <w:rsid w:val="00707F9B"/>
    <w:rsid w:val="00710B39"/>
    <w:rsid w:val="00711E03"/>
    <w:rsid w:val="00711F36"/>
    <w:rsid w:val="00713A94"/>
    <w:rsid w:val="007148B5"/>
    <w:rsid w:val="00715099"/>
    <w:rsid w:val="00715E72"/>
    <w:rsid w:val="00715FB1"/>
    <w:rsid w:val="00717391"/>
    <w:rsid w:val="007210DD"/>
    <w:rsid w:val="00721880"/>
    <w:rsid w:val="00721BFF"/>
    <w:rsid w:val="00722912"/>
    <w:rsid w:val="00723911"/>
    <w:rsid w:val="00725CF1"/>
    <w:rsid w:val="00727AC0"/>
    <w:rsid w:val="00732C91"/>
    <w:rsid w:val="00733F55"/>
    <w:rsid w:val="007358D1"/>
    <w:rsid w:val="00735B0A"/>
    <w:rsid w:val="00737CDF"/>
    <w:rsid w:val="00742512"/>
    <w:rsid w:val="00742FF5"/>
    <w:rsid w:val="00744B8B"/>
    <w:rsid w:val="00746E1F"/>
    <w:rsid w:val="007473AC"/>
    <w:rsid w:val="0075083B"/>
    <w:rsid w:val="00752356"/>
    <w:rsid w:val="0075403A"/>
    <w:rsid w:val="007550D4"/>
    <w:rsid w:val="007608AD"/>
    <w:rsid w:val="007636C6"/>
    <w:rsid w:val="00763848"/>
    <w:rsid w:val="00765C78"/>
    <w:rsid w:val="00765CE3"/>
    <w:rsid w:val="0076661F"/>
    <w:rsid w:val="0076795F"/>
    <w:rsid w:val="00770809"/>
    <w:rsid w:val="0077160C"/>
    <w:rsid w:val="00772B8F"/>
    <w:rsid w:val="007746BF"/>
    <w:rsid w:val="0077572D"/>
    <w:rsid w:val="0077721A"/>
    <w:rsid w:val="007779FC"/>
    <w:rsid w:val="00781FE7"/>
    <w:rsid w:val="007826EE"/>
    <w:rsid w:val="0078271C"/>
    <w:rsid w:val="00782832"/>
    <w:rsid w:val="007838D6"/>
    <w:rsid w:val="00785EC7"/>
    <w:rsid w:val="007876D5"/>
    <w:rsid w:val="007900AD"/>
    <w:rsid w:val="0079104D"/>
    <w:rsid w:val="00791762"/>
    <w:rsid w:val="007917C5"/>
    <w:rsid w:val="007926F8"/>
    <w:rsid w:val="0079354C"/>
    <w:rsid w:val="007937D0"/>
    <w:rsid w:val="007942CB"/>
    <w:rsid w:val="0079531D"/>
    <w:rsid w:val="00795453"/>
    <w:rsid w:val="007A0984"/>
    <w:rsid w:val="007A15B1"/>
    <w:rsid w:val="007A2016"/>
    <w:rsid w:val="007A2500"/>
    <w:rsid w:val="007A4602"/>
    <w:rsid w:val="007A4838"/>
    <w:rsid w:val="007A7900"/>
    <w:rsid w:val="007B0603"/>
    <w:rsid w:val="007B0C53"/>
    <w:rsid w:val="007B13A0"/>
    <w:rsid w:val="007B20E6"/>
    <w:rsid w:val="007B2117"/>
    <w:rsid w:val="007B30C6"/>
    <w:rsid w:val="007B358A"/>
    <w:rsid w:val="007B4137"/>
    <w:rsid w:val="007B480E"/>
    <w:rsid w:val="007B4CBC"/>
    <w:rsid w:val="007B606C"/>
    <w:rsid w:val="007B625A"/>
    <w:rsid w:val="007B62DC"/>
    <w:rsid w:val="007B6792"/>
    <w:rsid w:val="007B71A3"/>
    <w:rsid w:val="007C04D4"/>
    <w:rsid w:val="007C0C96"/>
    <w:rsid w:val="007C2E78"/>
    <w:rsid w:val="007C3D97"/>
    <w:rsid w:val="007C562A"/>
    <w:rsid w:val="007C5AB5"/>
    <w:rsid w:val="007C64CD"/>
    <w:rsid w:val="007C7017"/>
    <w:rsid w:val="007C70EA"/>
    <w:rsid w:val="007C77AE"/>
    <w:rsid w:val="007D472A"/>
    <w:rsid w:val="007D4825"/>
    <w:rsid w:val="007D5198"/>
    <w:rsid w:val="007D526F"/>
    <w:rsid w:val="007D5551"/>
    <w:rsid w:val="007D5C19"/>
    <w:rsid w:val="007D6936"/>
    <w:rsid w:val="007D6C83"/>
    <w:rsid w:val="007D6F2E"/>
    <w:rsid w:val="007D7D19"/>
    <w:rsid w:val="007E2066"/>
    <w:rsid w:val="007E2D49"/>
    <w:rsid w:val="007E349A"/>
    <w:rsid w:val="007E5445"/>
    <w:rsid w:val="007E5D04"/>
    <w:rsid w:val="007E616C"/>
    <w:rsid w:val="007E650F"/>
    <w:rsid w:val="007E707A"/>
    <w:rsid w:val="007F1064"/>
    <w:rsid w:val="007F3267"/>
    <w:rsid w:val="007F459D"/>
    <w:rsid w:val="007F4930"/>
    <w:rsid w:val="007F5803"/>
    <w:rsid w:val="00800B21"/>
    <w:rsid w:val="00802784"/>
    <w:rsid w:val="0080394D"/>
    <w:rsid w:val="008051B6"/>
    <w:rsid w:val="00807520"/>
    <w:rsid w:val="00807E38"/>
    <w:rsid w:val="00813A52"/>
    <w:rsid w:val="008141F1"/>
    <w:rsid w:val="00814A7C"/>
    <w:rsid w:val="008153C9"/>
    <w:rsid w:val="00817070"/>
    <w:rsid w:val="00820FA1"/>
    <w:rsid w:val="008215D1"/>
    <w:rsid w:val="00826E46"/>
    <w:rsid w:val="00830374"/>
    <w:rsid w:val="008348AE"/>
    <w:rsid w:val="00834E20"/>
    <w:rsid w:val="0083599E"/>
    <w:rsid w:val="0083621C"/>
    <w:rsid w:val="00837500"/>
    <w:rsid w:val="00842B3A"/>
    <w:rsid w:val="0084451C"/>
    <w:rsid w:val="008519BC"/>
    <w:rsid w:val="00852DD9"/>
    <w:rsid w:val="0085303A"/>
    <w:rsid w:val="00853324"/>
    <w:rsid w:val="0085403E"/>
    <w:rsid w:val="00854B60"/>
    <w:rsid w:val="0085534A"/>
    <w:rsid w:val="00855887"/>
    <w:rsid w:val="00856B94"/>
    <w:rsid w:val="00857D27"/>
    <w:rsid w:val="00863D69"/>
    <w:rsid w:val="00864830"/>
    <w:rsid w:val="00864C7D"/>
    <w:rsid w:val="00864E9B"/>
    <w:rsid w:val="0086530F"/>
    <w:rsid w:val="00865BAB"/>
    <w:rsid w:val="00866A7D"/>
    <w:rsid w:val="00866B01"/>
    <w:rsid w:val="00867404"/>
    <w:rsid w:val="00870013"/>
    <w:rsid w:val="00870485"/>
    <w:rsid w:val="008711CB"/>
    <w:rsid w:val="008719BA"/>
    <w:rsid w:val="0087228B"/>
    <w:rsid w:val="0087236B"/>
    <w:rsid w:val="00874069"/>
    <w:rsid w:val="00874096"/>
    <w:rsid w:val="00874561"/>
    <w:rsid w:val="00875E4F"/>
    <w:rsid w:val="00877B2A"/>
    <w:rsid w:val="00877FA6"/>
    <w:rsid w:val="008801C4"/>
    <w:rsid w:val="00880C21"/>
    <w:rsid w:val="00880F7E"/>
    <w:rsid w:val="00881C94"/>
    <w:rsid w:val="0088348B"/>
    <w:rsid w:val="008839A1"/>
    <w:rsid w:val="0088529B"/>
    <w:rsid w:val="00886615"/>
    <w:rsid w:val="008868F8"/>
    <w:rsid w:val="00887133"/>
    <w:rsid w:val="00887C5A"/>
    <w:rsid w:val="008900E6"/>
    <w:rsid w:val="00890128"/>
    <w:rsid w:val="008908DF"/>
    <w:rsid w:val="00891ED5"/>
    <w:rsid w:val="00893C75"/>
    <w:rsid w:val="008940B7"/>
    <w:rsid w:val="008942CE"/>
    <w:rsid w:val="0089596A"/>
    <w:rsid w:val="00896B80"/>
    <w:rsid w:val="00897E08"/>
    <w:rsid w:val="008A0629"/>
    <w:rsid w:val="008A3052"/>
    <w:rsid w:val="008A439A"/>
    <w:rsid w:val="008A6681"/>
    <w:rsid w:val="008A72F8"/>
    <w:rsid w:val="008A79AF"/>
    <w:rsid w:val="008A7FDE"/>
    <w:rsid w:val="008B0306"/>
    <w:rsid w:val="008B07B4"/>
    <w:rsid w:val="008B0A3A"/>
    <w:rsid w:val="008B1C75"/>
    <w:rsid w:val="008B2307"/>
    <w:rsid w:val="008B2AA3"/>
    <w:rsid w:val="008B2DC7"/>
    <w:rsid w:val="008B3877"/>
    <w:rsid w:val="008B3ED1"/>
    <w:rsid w:val="008B4246"/>
    <w:rsid w:val="008B4C36"/>
    <w:rsid w:val="008B65DA"/>
    <w:rsid w:val="008C0DED"/>
    <w:rsid w:val="008C2DB2"/>
    <w:rsid w:val="008C30D5"/>
    <w:rsid w:val="008C3D49"/>
    <w:rsid w:val="008C442F"/>
    <w:rsid w:val="008C5777"/>
    <w:rsid w:val="008C6AFF"/>
    <w:rsid w:val="008C7EDC"/>
    <w:rsid w:val="008D1B0D"/>
    <w:rsid w:val="008D22F3"/>
    <w:rsid w:val="008D3585"/>
    <w:rsid w:val="008D3BDA"/>
    <w:rsid w:val="008D46C4"/>
    <w:rsid w:val="008D53AE"/>
    <w:rsid w:val="008D55BD"/>
    <w:rsid w:val="008D635C"/>
    <w:rsid w:val="008D7E96"/>
    <w:rsid w:val="008D7EC5"/>
    <w:rsid w:val="008E02DE"/>
    <w:rsid w:val="008E0A07"/>
    <w:rsid w:val="008E2982"/>
    <w:rsid w:val="008E2C4A"/>
    <w:rsid w:val="008E343C"/>
    <w:rsid w:val="008E3551"/>
    <w:rsid w:val="008E4B19"/>
    <w:rsid w:val="008E5B9A"/>
    <w:rsid w:val="008E60C1"/>
    <w:rsid w:val="008E6598"/>
    <w:rsid w:val="008E7115"/>
    <w:rsid w:val="008E768A"/>
    <w:rsid w:val="008E7AE7"/>
    <w:rsid w:val="008F0803"/>
    <w:rsid w:val="008F0C54"/>
    <w:rsid w:val="008F1602"/>
    <w:rsid w:val="008F3A22"/>
    <w:rsid w:val="008F41FA"/>
    <w:rsid w:val="008F4FA0"/>
    <w:rsid w:val="008F5F4B"/>
    <w:rsid w:val="008F73BE"/>
    <w:rsid w:val="00900092"/>
    <w:rsid w:val="009013A1"/>
    <w:rsid w:val="00902AE2"/>
    <w:rsid w:val="009033B4"/>
    <w:rsid w:val="00904094"/>
    <w:rsid w:val="009041B2"/>
    <w:rsid w:val="00907081"/>
    <w:rsid w:val="00907C74"/>
    <w:rsid w:val="0091050E"/>
    <w:rsid w:val="009117E4"/>
    <w:rsid w:val="00911A35"/>
    <w:rsid w:val="00913FF2"/>
    <w:rsid w:val="00916789"/>
    <w:rsid w:val="00917864"/>
    <w:rsid w:val="00917927"/>
    <w:rsid w:val="009202A7"/>
    <w:rsid w:val="00922279"/>
    <w:rsid w:val="00922F17"/>
    <w:rsid w:val="00927F99"/>
    <w:rsid w:val="009300EA"/>
    <w:rsid w:val="00930196"/>
    <w:rsid w:val="0093144C"/>
    <w:rsid w:val="00931DFF"/>
    <w:rsid w:val="0093572F"/>
    <w:rsid w:val="009378E9"/>
    <w:rsid w:val="00941A33"/>
    <w:rsid w:val="0094216C"/>
    <w:rsid w:val="009425D3"/>
    <w:rsid w:val="00942E2E"/>
    <w:rsid w:val="009434A5"/>
    <w:rsid w:val="0094394F"/>
    <w:rsid w:val="00943E8A"/>
    <w:rsid w:val="00945621"/>
    <w:rsid w:val="0094613E"/>
    <w:rsid w:val="00946FC7"/>
    <w:rsid w:val="00947E37"/>
    <w:rsid w:val="0095151B"/>
    <w:rsid w:val="00951B69"/>
    <w:rsid w:val="00952A86"/>
    <w:rsid w:val="0095375B"/>
    <w:rsid w:val="009539F9"/>
    <w:rsid w:val="00953A4A"/>
    <w:rsid w:val="00953DA4"/>
    <w:rsid w:val="00954113"/>
    <w:rsid w:val="00954BFA"/>
    <w:rsid w:val="00956C24"/>
    <w:rsid w:val="0095702C"/>
    <w:rsid w:val="0095719C"/>
    <w:rsid w:val="00957804"/>
    <w:rsid w:val="0096176B"/>
    <w:rsid w:val="009620D0"/>
    <w:rsid w:val="00962BFE"/>
    <w:rsid w:val="00962D06"/>
    <w:rsid w:val="00963B74"/>
    <w:rsid w:val="00963CDF"/>
    <w:rsid w:val="009701BC"/>
    <w:rsid w:val="009709FF"/>
    <w:rsid w:val="00970C0C"/>
    <w:rsid w:val="009710B1"/>
    <w:rsid w:val="00971498"/>
    <w:rsid w:val="00973C31"/>
    <w:rsid w:val="00974F9D"/>
    <w:rsid w:val="00975680"/>
    <w:rsid w:val="00975906"/>
    <w:rsid w:val="00975B21"/>
    <w:rsid w:val="009765E6"/>
    <w:rsid w:val="0097796D"/>
    <w:rsid w:val="00984336"/>
    <w:rsid w:val="00985647"/>
    <w:rsid w:val="00986300"/>
    <w:rsid w:val="009864CB"/>
    <w:rsid w:val="00986BDB"/>
    <w:rsid w:val="009871B2"/>
    <w:rsid w:val="00990B6E"/>
    <w:rsid w:val="00991252"/>
    <w:rsid w:val="009923BD"/>
    <w:rsid w:val="00995578"/>
    <w:rsid w:val="0099796A"/>
    <w:rsid w:val="00997B2A"/>
    <w:rsid w:val="009A04B5"/>
    <w:rsid w:val="009A0928"/>
    <w:rsid w:val="009A184D"/>
    <w:rsid w:val="009A2DFD"/>
    <w:rsid w:val="009A433A"/>
    <w:rsid w:val="009A4C04"/>
    <w:rsid w:val="009A675A"/>
    <w:rsid w:val="009A7125"/>
    <w:rsid w:val="009A7D76"/>
    <w:rsid w:val="009A7F7E"/>
    <w:rsid w:val="009B0564"/>
    <w:rsid w:val="009B0E31"/>
    <w:rsid w:val="009B1BB4"/>
    <w:rsid w:val="009B1F84"/>
    <w:rsid w:val="009B2031"/>
    <w:rsid w:val="009B252D"/>
    <w:rsid w:val="009B34DD"/>
    <w:rsid w:val="009B42A7"/>
    <w:rsid w:val="009B4357"/>
    <w:rsid w:val="009B5112"/>
    <w:rsid w:val="009B6668"/>
    <w:rsid w:val="009B6C4C"/>
    <w:rsid w:val="009B7900"/>
    <w:rsid w:val="009B7EE7"/>
    <w:rsid w:val="009C0017"/>
    <w:rsid w:val="009C139C"/>
    <w:rsid w:val="009C14F5"/>
    <w:rsid w:val="009C1882"/>
    <w:rsid w:val="009C2E01"/>
    <w:rsid w:val="009C4927"/>
    <w:rsid w:val="009C5224"/>
    <w:rsid w:val="009C557F"/>
    <w:rsid w:val="009C5952"/>
    <w:rsid w:val="009C5AA2"/>
    <w:rsid w:val="009C6070"/>
    <w:rsid w:val="009C672D"/>
    <w:rsid w:val="009C6819"/>
    <w:rsid w:val="009C7F5A"/>
    <w:rsid w:val="009D1A68"/>
    <w:rsid w:val="009D1FB8"/>
    <w:rsid w:val="009D2D48"/>
    <w:rsid w:val="009D2FCE"/>
    <w:rsid w:val="009D328F"/>
    <w:rsid w:val="009D3545"/>
    <w:rsid w:val="009D35A3"/>
    <w:rsid w:val="009D44F8"/>
    <w:rsid w:val="009D4A15"/>
    <w:rsid w:val="009D4F91"/>
    <w:rsid w:val="009D51CD"/>
    <w:rsid w:val="009D525D"/>
    <w:rsid w:val="009D5BF5"/>
    <w:rsid w:val="009D5E42"/>
    <w:rsid w:val="009D66CA"/>
    <w:rsid w:val="009E02C8"/>
    <w:rsid w:val="009E0AEC"/>
    <w:rsid w:val="009E0D6D"/>
    <w:rsid w:val="009E0EE3"/>
    <w:rsid w:val="009E1704"/>
    <w:rsid w:val="009E179F"/>
    <w:rsid w:val="009E1B22"/>
    <w:rsid w:val="009E510A"/>
    <w:rsid w:val="009E5121"/>
    <w:rsid w:val="009F0FC2"/>
    <w:rsid w:val="009F1150"/>
    <w:rsid w:val="009F1CB8"/>
    <w:rsid w:val="009F2A1C"/>
    <w:rsid w:val="009F3E24"/>
    <w:rsid w:val="009F3EA4"/>
    <w:rsid w:val="009F5B4A"/>
    <w:rsid w:val="009F652B"/>
    <w:rsid w:val="009F7919"/>
    <w:rsid w:val="00A00D60"/>
    <w:rsid w:val="00A01480"/>
    <w:rsid w:val="00A03903"/>
    <w:rsid w:val="00A052F2"/>
    <w:rsid w:val="00A05572"/>
    <w:rsid w:val="00A0725E"/>
    <w:rsid w:val="00A07719"/>
    <w:rsid w:val="00A10716"/>
    <w:rsid w:val="00A116DD"/>
    <w:rsid w:val="00A1288B"/>
    <w:rsid w:val="00A12BE1"/>
    <w:rsid w:val="00A12C95"/>
    <w:rsid w:val="00A13C38"/>
    <w:rsid w:val="00A13D6F"/>
    <w:rsid w:val="00A1417C"/>
    <w:rsid w:val="00A1607F"/>
    <w:rsid w:val="00A16EC3"/>
    <w:rsid w:val="00A17179"/>
    <w:rsid w:val="00A20163"/>
    <w:rsid w:val="00A20629"/>
    <w:rsid w:val="00A20AC9"/>
    <w:rsid w:val="00A20B30"/>
    <w:rsid w:val="00A22952"/>
    <w:rsid w:val="00A23455"/>
    <w:rsid w:val="00A23D20"/>
    <w:rsid w:val="00A2403C"/>
    <w:rsid w:val="00A24428"/>
    <w:rsid w:val="00A26646"/>
    <w:rsid w:val="00A27032"/>
    <w:rsid w:val="00A30CBD"/>
    <w:rsid w:val="00A311B1"/>
    <w:rsid w:val="00A311C6"/>
    <w:rsid w:val="00A31CC5"/>
    <w:rsid w:val="00A32D90"/>
    <w:rsid w:val="00A336E1"/>
    <w:rsid w:val="00A35889"/>
    <w:rsid w:val="00A3614C"/>
    <w:rsid w:val="00A44CE4"/>
    <w:rsid w:val="00A44D09"/>
    <w:rsid w:val="00A45B80"/>
    <w:rsid w:val="00A465E5"/>
    <w:rsid w:val="00A4697A"/>
    <w:rsid w:val="00A469A3"/>
    <w:rsid w:val="00A474F6"/>
    <w:rsid w:val="00A51EDD"/>
    <w:rsid w:val="00A52749"/>
    <w:rsid w:val="00A535B0"/>
    <w:rsid w:val="00A53855"/>
    <w:rsid w:val="00A54152"/>
    <w:rsid w:val="00A57F86"/>
    <w:rsid w:val="00A63506"/>
    <w:rsid w:val="00A67D2A"/>
    <w:rsid w:val="00A706C0"/>
    <w:rsid w:val="00A70AEE"/>
    <w:rsid w:val="00A70B3E"/>
    <w:rsid w:val="00A70F80"/>
    <w:rsid w:val="00A716EB"/>
    <w:rsid w:val="00A72E15"/>
    <w:rsid w:val="00A73470"/>
    <w:rsid w:val="00A752AE"/>
    <w:rsid w:val="00A75AFD"/>
    <w:rsid w:val="00A766EE"/>
    <w:rsid w:val="00A774FF"/>
    <w:rsid w:val="00A80336"/>
    <w:rsid w:val="00A803CF"/>
    <w:rsid w:val="00A80D28"/>
    <w:rsid w:val="00A81A1A"/>
    <w:rsid w:val="00A81AC7"/>
    <w:rsid w:val="00A8281E"/>
    <w:rsid w:val="00A83DB6"/>
    <w:rsid w:val="00A840EF"/>
    <w:rsid w:val="00A84F51"/>
    <w:rsid w:val="00A85890"/>
    <w:rsid w:val="00A869E6"/>
    <w:rsid w:val="00A958C2"/>
    <w:rsid w:val="00A958DC"/>
    <w:rsid w:val="00A95990"/>
    <w:rsid w:val="00A95A31"/>
    <w:rsid w:val="00A962FA"/>
    <w:rsid w:val="00A97AE6"/>
    <w:rsid w:val="00AA17A1"/>
    <w:rsid w:val="00AA1AA7"/>
    <w:rsid w:val="00AA1B8B"/>
    <w:rsid w:val="00AA3713"/>
    <w:rsid w:val="00AA4F0D"/>
    <w:rsid w:val="00AA5BB6"/>
    <w:rsid w:val="00AA634B"/>
    <w:rsid w:val="00AA672B"/>
    <w:rsid w:val="00AA6CA6"/>
    <w:rsid w:val="00AA7BF4"/>
    <w:rsid w:val="00AB0665"/>
    <w:rsid w:val="00AB0FC8"/>
    <w:rsid w:val="00AB2114"/>
    <w:rsid w:val="00AB26EC"/>
    <w:rsid w:val="00AB3B44"/>
    <w:rsid w:val="00AB5268"/>
    <w:rsid w:val="00AB71AD"/>
    <w:rsid w:val="00AB77F1"/>
    <w:rsid w:val="00AC0AE0"/>
    <w:rsid w:val="00AC1716"/>
    <w:rsid w:val="00AC1D30"/>
    <w:rsid w:val="00AC1FAD"/>
    <w:rsid w:val="00AC2900"/>
    <w:rsid w:val="00AC330B"/>
    <w:rsid w:val="00AC34A6"/>
    <w:rsid w:val="00AC3F8E"/>
    <w:rsid w:val="00AC478E"/>
    <w:rsid w:val="00AC5A3E"/>
    <w:rsid w:val="00AC6BF1"/>
    <w:rsid w:val="00AC7AED"/>
    <w:rsid w:val="00AD145A"/>
    <w:rsid w:val="00AD1FDD"/>
    <w:rsid w:val="00AD4345"/>
    <w:rsid w:val="00AD53BF"/>
    <w:rsid w:val="00AD70F5"/>
    <w:rsid w:val="00AE05A3"/>
    <w:rsid w:val="00AE17F9"/>
    <w:rsid w:val="00AE1EE4"/>
    <w:rsid w:val="00AE23D7"/>
    <w:rsid w:val="00AE25AF"/>
    <w:rsid w:val="00AE291A"/>
    <w:rsid w:val="00AE512B"/>
    <w:rsid w:val="00AE5157"/>
    <w:rsid w:val="00AE5718"/>
    <w:rsid w:val="00AE76C4"/>
    <w:rsid w:val="00AF035C"/>
    <w:rsid w:val="00AF1B7F"/>
    <w:rsid w:val="00AF37B0"/>
    <w:rsid w:val="00AF4507"/>
    <w:rsid w:val="00AF535C"/>
    <w:rsid w:val="00AF62E8"/>
    <w:rsid w:val="00AF6922"/>
    <w:rsid w:val="00B00C82"/>
    <w:rsid w:val="00B01477"/>
    <w:rsid w:val="00B0173C"/>
    <w:rsid w:val="00B01EB2"/>
    <w:rsid w:val="00B01F8D"/>
    <w:rsid w:val="00B02BEB"/>
    <w:rsid w:val="00B037EC"/>
    <w:rsid w:val="00B03AC8"/>
    <w:rsid w:val="00B051EE"/>
    <w:rsid w:val="00B05DAE"/>
    <w:rsid w:val="00B068C5"/>
    <w:rsid w:val="00B07106"/>
    <w:rsid w:val="00B079C9"/>
    <w:rsid w:val="00B07DA8"/>
    <w:rsid w:val="00B10451"/>
    <w:rsid w:val="00B11DD1"/>
    <w:rsid w:val="00B124B0"/>
    <w:rsid w:val="00B12B0D"/>
    <w:rsid w:val="00B13037"/>
    <w:rsid w:val="00B1539B"/>
    <w:rsid w:val="00B209EB"/>
    <w:rsid w:val="00B21427"/>
    <w:rsid w:val="00B21893"/>
    <w:rsid w:val="00B22149"/>
    <w:rsid w:val="00B22CE3"/>
    <w:rsid w:val="00B23A1A"/>
    <w:rsid w:val="00B23C8E"/>
    <w:rsid w:val="00B24B6C"/>
    <w:rsid w:val="00B24E65"/>
    <w:rsid w:val="00B25C61"/>
    <w:rsid w:val="00B2676B"/>
    <w:rsid w:val="00B311F7"/>
    <w:rsid w:val="00B31284"/>
    <w:rsid w:val="00B3459F"/>
    <w:rsid w:val="00B353E6"/>
    <w:rsid w:val="00B3647B"/>
    <w:rsid w:val="00B40963"/>
    <w:rsid w:val="00B41CC7"/>
    <w:rsid w:val="00B42687"/>
    <w:rsid w:val="00B455C8"/>
    <w:rsid w:val="00B46883"/>
    <w:rsid w:val="00B46E62"/>
    <w:rsid w:val="00B473D9"/>
    <w:rsid w:val="00B474B2"/>
    <w:rsid w:val="00B479D5"/>
    <w:rsid w:val="00B508C3"/>
    <w:rsid w:val="00B54622"/>
    <w:rsid w:val="00B559BC"/>
    <w:rsid w:val="00B55A14"/>
    <w:rsid w:val="00B573ED"/>
    <w:rsid w:val="00B57543"/>
    <w:rsid w:val="00B576FA"/>
    <w:rsid w:val="00B6460F"/>
    <w:rsid w:val="00B65462"/>
    <w:rsid w:val="00B668DE"/>
    <w:rsid w:val="00B70BA4"/>
    <w:rsid w:val="00B7273A"/>
    <w:rsid w:val="00B729E3"/>
    <w:rsid w:val="00B72DA0"/>
    <w:rsid w:val="00B744D4"/>
    <w:rsid w:val="00B7468C"/>
    <w:rsid w:val="00B77334"/>
    <w:rsid w:val="00B77FA8"/>
    <w:rsid w:val="00B813E1"/>
    <w:rsid w:val="00B81909"/>
    <w:rsid w:val="00B822D2"/>
    <w:rsid w:val="00B83029"/>
    <w:rsid w:val="00B83661"/>
    <w:rsid w:val="00B83EC3"/>
    <w:rsid w:val="00B85CF2"/>
    <w:rsid w:val="00B86B0B"/>
    <w:rsid w:val="00B90632"/>
    <w:rsid w:val="00B90BA7"/>
    <w:rsid w:val="00B92A24"/>
    <w:rsid w:val="00B92C37"/>
    <w:rsid w:val="00B92F95"/>
    <w:rsid w:val="00B93C5B"/>
    <w:rsid w:val="00B9403F"/>
    <w:rsid w:val="00B95684"/>
    <w:rsid w:val="00B959FD"/>
    <w:rsid w:val="00B95B14"/>
    <w:rsid w:val="00B971CB"/>
    <w:rsid w:val="00B97554"/>
    <w:rsid w:val="00B97E48"/>
    <w:rsid w:val="00B97E61"/>
    <w:rsid w:val="00BA064A"/>
    <w:rsid w:val="00BA07B1"/>
    <w:rsid w:val="00BA0CD6"/>
    <w:rsid w:val="00BA27E1"/>
    <w:rsid w:val="00BA28D0"/>
    <w:rsid w:val="00BA3D4E"/>
    <w:rsid w:val="00BA52F5"/>
    <w:rsid w:val="00BA55D1"/>
    <w:rsid w:val="00BA5C89"/>
    <w:rsid w:val="00BA7042"/>
    <w:rsid w:val="00BA7DE7"/>
    <w:rsid w:val="00BB142D"/>
    <w:rsid w:val="00BB1B47"/>
    <w:rsid w:val="00BB1F65"/>
    <w:rsid w:val="00BB23F1"/>
    <w:rsid w:val="00BB3A5A"/>
    <w:rsid w:val="00BB416B"/>
    <w:rsid w:val="00BB418D"/>
    <w:rsid w:val="00BB55FF"/>
    <w:rsid w:val="00BB5620"/>
    <w:rsid w:val="00BB6769"/>
    <w:rsid w:val="00BB6CDB"/>
    <w:rsid w:val="00BB7413"/>
    <w:rsid w:val="00BB785F"/>
    <w:rsid w:val="00BB7996"/>
    <w:rsid w:val="00BC062A"/>
    <w:rsid w:val="00BC08AE"/>
    <w:rsid w:val="00BC090E"/>
    <w:rsid w:val="00BC0CE5"/>
    <w:rsid w:val="00BC1473"/>
    <w:rsid w:val="00BC21F0"/>
    <w:rsid w:val="00BC2C58"/>
    <w:rsid w:val="00BC3DD4"/>
    <w:rsid w:val="00BC4996"/>
    <w:rsid w:val="00BC7455"/>
    <w:rsid w:val="00BD0826"/>
    <w:rsid w:val="00BD1523"/>
    <w:rsid w:val="00BD1EDE"/>
    <w:rsid w:val="00BD258B"/>
    <w:rsid w:val="00BD415F"/>
    <w:rsid w:val="00BD53CE"/>
    <w:rsid w:val="00BD6106"/>
    <w:rsid w:val="00BD6FBE"/>
    <w:rsid w:val="00BD733D"/>
    <w:rsid w:val="00BD7446"/>
    <w:rsid w:val="00BD7761"/>
    <w:rsid w:val="00BE133B"/>
    <w:rsid w:val="00BE1E44"/>
    <w:rsid w:val="00BE2882"/>
    <w:rsid w:val="00BE3179"/>
    <w:rsid w:val="00BE3464"/>
    <w:rsid w:val="00BE3B92"/>
    <w:rsid w:val="00BE3DAF"/>
    <w:rsid w:val="00BE4FC1"/>
    <w:rsid w:val="00BE5BFB"/>
    <w:rsid w:val="00BE621E"/>
    <w:rsid w:val="00BF0177"/>
    <w:rsid w:val="00BF0FB6"/>
    <w:rsid w:val="00BF1E4E"/>
    <w:rsid w:val="00BF284E"/>
    <w:rsid w:val="00BF2964"/>
    <w:rsid w:val="00BF419D"/>
    <w:rsid w:val="00BF4755"/>
    <w:rsid w:val="00BF4D77"/>
    <w:rsid w:val="00BF4FEE"/>
    <w:rsid w:val="00BF5DED"/>
    <w:rsid w:val="00BF79FF"/>
    <w:rsid w:val="00C00723"/>
    <w:rsid w:val="00C01589"/>
    <w:rsid w:val="00C037DB"/>
    <w:rsid w:val="00C052E5"/>
    <w:rsid w:val="00C0627A"/>
    <w:rsid w:val="00C06715"/>
    <w:rsid w:val="00C06D29"/>
    <w:rsid w:val="00C070C9"/>
    <w:rsid w:val="00C070EF"/>
    <w:rsid w:val="00C0788E"/>
    <w:rsid w:val="00C11D2E"/>
    <w:rsid w:val="00C11EA3"/>
    <w:rsid w:val="00C12655"/>
    <w:rsid w:val="00C12EB0"/>
    <w:rsid w:val="00C14D51"/>
    <w:rsid w:val="00C16247"/>
    <w:rsid w:val="00C174A6"/>
    <w:rsid w:val="00C20B1B"/>
    <w:rsid w:val="00C214E2"/>
    <w:rsid w:val="00C21600"/>
    <w:rsid w:val="00C2241B"/>
    <w:rsid w:val="00C22746"/>
    <w:rsid w:val="00C2403D"/>
    <w:rsid w:val="00C25F07"/>
    <w:rsid w:val="00C26F9A"/>
    <w:rsid w:val="00C27701"/>
    <w:rsid w:val="00C303EA"/>
    <w:rsid w:val="00C3075F"/>
    <w:rsid w:val="00C31FCD"/>
    <w:rsid w:val="00C324EE"/>
    <w:rsid w:val="00C34642"/>
    <w:rsid w:val="00C350F9"/>
    <w:rsid w:val="00C353D1"/>
    <w:rsid w:val="00C364C4"/>
    <w:rsid w:val="00C3776F"/>
    <w:rsid w:val="00C405E9"/>
    <w:rsid w:val="00C40CE3"/>
    <w:rsid w:val="00C418BD"/>
    <w:rsid w:val="00C41B4F"/>
    <w:rsid w:val="00C427CF"/>
    <w:rsid w:val="00C435A0"/>
    <w:rsid w:val="00C46341"/>
    <w:rsid w:val="00C51B91"/>
    <w:rsid w:val="00C53CF0"/>
    <w:rsid w:val="00C55518"/>
    <w:rsid w:val="00C55915"/>
    <w:rsid w:val="00C57019"/>
    <w:rsid w:val="00C57929"/>
    <w:rsid w:val="00C60046"/>
    <w:rsid w:val="00C6018F"/>
    <w:rsid w:val="00C60EE7"/>
    <w:rsid w:val="00C61A56"/>
    <w:rsid w:val="00C62E4B"/>
    <w:rsid w:val="00C636A4"/>
    <w:rsid w:val="00C637A0"/>
    <w:rsid w:val="00C649EE"/>
    <w:rsid w:val="00C64AF2"/>
    <w:rsid w:val="00C661EA"/>
    <w:rsid w:val="00C6692E"/>
    <w:rsid w:val="00C66FE7"/>
    <w:rsid w:val="00C67664"/>
    <w:rsid w:val="00C677DF"/>
    <w:rsid w:val="00C70BC8"/>
    <w:rsid w:val="00C744E9"/>
    <w:rsid w:val="00C752AB"/>
    <w:rsid w:val="00C75500"/>
    <w:rsid w:val="00C757E6"/>
    <w:rsid w:val="00C75C71"/>
    <w:rsid w:val="00C774D2"/>
    <w:rsid w:val="00C7795C"/>
    <w:rsid w:val="00C77CB3"/>
    <w:rsid w:val="00C800F2"/>
    <w:rsid w:val="00C80DF5"/>
    <w:rsid w:val="00C81B78"/>
    <w:rsid w:val="00C8224A"/>
    <w:rsid w:val="00C84626"/>
    <w:rsid w:val="00C85021"/>
    <w:rsid w:val="00C86426"/>
    <w:rsid w:val="00C8703F"/>
    <w:rsid w:val="00C87645"/>
    <w:rsid w:val="00C9017C"/>
    <w:rsid w:val="00C91B89"/>
    <w:rsid w:val="00C94B67"/>
    <w:rsid w:val="00C95760"/>
    <w:rsid w:val="00C96259"/>
    <w:rsid w:val="00C964CC"/>
    <w:rsid w:val="00C9656A"/>
    <w:rsid w:val="00C97776"/>
    <w:rsid w:val="00C97CA6"/>
    <w:rsid w:val="00C97E1D"/>
    <w:rsid w:val="00CA059E"/>
    <w:rsid w:val="00CA2F04"/>
    <w:rsid w:val="00CA3BF5"/>
    <w:rsid w:val="00CA4699"/>
    <w:rsid w:val="00CA4DB5"/>
    <w:rsid w:val="00CA5A20"/>
    <w:rsid w:val="00CA5DB1"/>
    <w:rsid w:val="00CA6168"/>
    <w:rsid w:val="00CA6363"/>
    <w:rsid w:val="00CB3078"/>
    <w:rsid w:val="00CB489A"/>
    <w:rsid w:val="00CB5607"/>
    <w:rsid w:val="00CB6E29"/>
    <w:rsid w:val="00CC1F0E"/>
    <w:rsid w:val="00CC2CEC"/>
    <w:rsid w:val="00CC3A49"/>
    <w:rsid w:val="00CC3F2E"/>
    <w:rsid w:val="00CC446E"/>
    <w:rsid w:val="00CC4972"/>
    <w:rsid w:val="00CC505B"/>
    <w:rsid w:val="00CC619E"/>
    <w:rsid w:val="00CC625F"/>
    <w:rsid w:val="00CC6760"/>
    <w:rsid w:val="00CC6EEB"/>
    <w:rsid w:val="00CC7851"/>
    <w:rsid w:val="00CD1CA9"/>
    <w:rsid w:val="00CD20F8"/>
    <w:rsid w:val="00CD2E78"/>
    <w:rsid w:val="00CD3859"/>
    <w:rsid w:val="00CD41C7"/>
    <w:rsid w:val="00CD492D"/>
    <w:rsid w:val="00CD7A7B"/>
    <w:rsid w:val="00CE0153"/>
    <w:rsid w:val="00CE388F"/>
    <w:rsid w:val="00CE3AE1"/>
    <w:rsid w:val="00CE64B2"/>
    <w:rsid w:val="00CE6949"/>
    <w:rsid w:val="00CE6ED7"/>
    <w:rsid w:val="00CF1724"/>
    <w:rsid w:val="00CF1FC4"/>
    <w:rsid w:val="00CF2252"/>
    <w:rsid w:val="00CF338E"/>
    <w:rsid w:val="00CF33FA"/>
    <w:rsid w:val="00CF434A"/>
    <w:rsid w:val="00CF4521"/>
    <w:rsid w:val="00CF791F"/>
    <w:rsid w:val="00D01878"/>
    <w:rsid w:val="00D01CC0"/>
    <w:rsid w:val="00D02E84"/>
    <w:rsid w:val="00D032F6"/>
    <w:rsid w:val="00D03FCC"/>
    <w:rsid w:val="00D0478F"/>
    <w:rsid w:val="00D050C3"/>
    <w:rsid w:val="00D0611D"/>
    <w:rsid w:val="00D11C02"/>
    <w:rsid w:val="00D11C8C"/>
    <w:rsid w:val="00D126F1"/>
    <w:rsid w:val="00D14825"/>
    <w:rsid w:val="00D15BC9"/>
    <w:rsid w:val="00D17CD0"/>
    <w:rsid w:val="00D20A31"/>
    <w:rsid w:val="00D2146D"/>
    <w:rsid w:val="00D21EC5"/>
    <w:rsid w:val="00D24122"/>
    <w:rsid w:val="00D242A2"/>
    <w:rsid w:val="00D25B1C"/>
    <w:rsid w:val="00D25ECF"/>
    <w:rsid w:val="00D26588"/>
    <w:rsid w:val="00D26A41"/>
    <w:rsid w:val="00D313BF"/>
    <w:rsid w:val="00D32057"/>
    <w:rsid w:val="00D35211"/>
    <w:rsid w:val="00D36928"/>
    <w:rsid w:val="00D369F7"/>
    <w:rsid w:val="00D37B93"/>
    <w:rsid w:val="00D421F7"/>
    <w:rsid w:val="00D42FC2"/>
    <w:rsid w:val="00D44190"/>
    <w:rsid w:val="00D4419E"/>
    <w:rsid w:val="00D442B7"/>
    <w:rsid w:val="00D46B72"/>
    <w:rsid w:val="00D479F4"/>
    <w:rsid w:val="00D50E2A"/>
    <w:rsid w:val="00D540FC"/>
    <w:rsid w:val="00D54D0A"/>
    <w:rsid w:val="00D54F5B"/>
    <w:rsid w:val="00D56990"/>
    <w:rsid w:val="00D57E11"/>
    <w:rsid w:val="00D628F5"/>
    <w:rsid w:val="00D63091"/>
    <w:rsid w:val="00D639BA"/>
    <w:rsid w:val="00D652FD"/>
    <w:rsid w:val="00D65457"/>
    <w:rsid w:val="00D65483"/>
    <w:rsid w:val="00D6635B"/>
    <w:rsid w:val="00D66494"/>
    <w:rsid w:val="00D67CFE"/>
    <w:rsid w:val="00D709A3"/>
    <w:rsid w:val="00D73CFD"/>
    <w:rsid w:val="00D73FB0"/>
    <w:rsid w:val="00D753D1"/>
    <w:rsid w:val="00D75866"/>
    <w:rsid w:val="00D75C61"/>
    <w:rsid w:val="00D76E81"/>
    <w:rsid w:val="00D76F24"/>
    <w:rsid w:val="00D76FD4"/>
    <w:rsid w:val="00D80146"/>
    <w:rsid w:val="00D80C8D"/>
    <w:rsid w:val="00D81580"/>
    <w:rsid w:val="00D8180A"/>
    <w:rsid w:val="00D8202D"/>
    <w:rsid w:val="00D82C73"/>
    <w:rsid w:val="00D8300B"/>
    <w:rsid w:val="00D83061"/>
    <w:rsid w:val="00D83417"/>
    <w:rsid w:val="00D85976"/>
    <w:rsid w:val="00D8627D"/>
    <w:rsid w:val="00D86B12"/>
    <w:rsid w:val="00D87883"/>
    <w:rsid w:val="00D87A9F"/>
    <w:rsid w:val="00D87AD4"/>
    <w:rsid w:val="00D92DD5"/>
    <w:rsid w:val="00D9381D"/>
    <w:rsid w:val="00D93D22"/>
    <w:rsid w:val="00D952A0"/>
    <w:rsid w:val="00D9548F"/>
    <w:rsid w:val="00DA04F6"/>
    <w:rsid w:val="00DA153B"/>
    <w:rsid w:val="00DA1DB2"/>
    <w:rsid w:val="00DA2D31"/>
    <w:rsid w:val="00DA3563"/>
    <w:rsid w:val="00DA37DA"/>
    <w:rsid w:val="00DA38D1"/>
    <w:rsid w:val="00DA4178"/>
    <w:rsid w:val="00DA4894"/>
    <w:rsid w:val="00DA774A"/>
    <w:rsid w:val="00DA79B7"/>
    <w:rsid w:val="00DB0721"/>
    <w:rsid w:val="00DB0ED6"/>
    <w:rsid w:val="00DB2173"/>
    <w:rsid w:val="00DB255A"/>
    <w:rsid w:val="00DB3BDA"/>
    <w:rsid w:val="00DB48E5"/>
    <w:rsid w:val="00DB53E4"/>
    <w:rsid w:val="00DC1CAA"/>
    <w:rsid w:val="00DC2482"/>
    <w:rsid w:val="00DC2D80"/>
    <w:rsid w:val="00DC47C3"/>
    <w:rsid w:val="00DC5956"/>
    <w:rsid w:val="00DC65FF"/>
    <w:rsid w:val="00DC6932"/>
    <w:rsid w:val="00DD1939"/>
    <w:rsid w:val="00DD2136"/>
    <w:rsid w:val="00DD3257"/>
    <w:rsid w:val="00DD3B4B"/>
    <w:rsid w:val="00DD4602"/>
    <w:rsid w:val="00DD5C7A"/>
    <w:rsid w:val="00DD7C71"/>
    <w:rsid w:val="00DE002B"/>
    <w:rsid w:val="00DE13FA"/>
    <w:rsid w:val="00DE4820"/>
    <w:rsid w:val="00DE5446"/>
    <w:rsid w:val="00DE56C0"/>
    <w:rsid w:val="00DE78CE"/>
    <w:rsid w:val="00DF5C57"/>
    <w:rsid w:val="00DF7399"/>
    <w:rsid w:val="00DF7CFB"/>
    <w:rsid w:val="00DF7E40"/>
    <w:rsid w:val="00E00103"/>
    <w:rsid w:val="00E0091A"/>
    <w:rsid w:val="00E044B5"/>
    <w:rsid w:val="00E04619"/>
    <w:rsid w:val="00E04B57"/>
    <w:rsid w:val="00E052F0"/>
    <w:rsid w:val="00E05C23"/>
    <w:rsid w:val="00E06F17"/>
    <w:rsid w:val="00E074E9"/>
    <w:rsid w:val="00E121EF"/>
    <w:rsid w:val="00E14580"/>
    <w:rsid w:val="00E14683"/>
    <w:rsid w:val="00E14B99"/>
    <w:rsid w:val="00E16400"/>
    <w:rsid w:val="00E179F5"/>
    <w:rsid w:val="00E17B91"/>
    <w:rsid w:val="00E22A27"/>
    <w:rsid w:val="00E22EC8"/>
    <w:rsid w:val="00E23554"/>
    <w:rsid w:val="00E23A98"/>
    <w:rsid w:val="00E255F6"/>
    <w:rsid w:val="00E2611F"/>
    <w:rsid w:val="00E27B27"/>
    <w:rsid w:val="00E27DE3"/>
    <w:rsid w:val="00E3014A"/>
    <w:rsid w:val="00E31E52"/>
    <w:rsid w:val="00E32597"/>
    <w:rsid w:val="00E325E8"/>
    <w:rsid w:val="00E32C8E"/>
    <w:rsid w:val="00E332F7"/>
    <w:rsid w:val="00E33CEF"/>
    <w:rsid w:val="00E33F02"/>
    <w:rsid w:val="00E34873"/>
    <w:rsid w:val="00E43D91"/>
    <w:rsid w:val="00E45F73"/>
    <w:rsid w:val="00E46187"/>
    <w:rsid w:val="00E46619"/>
    <w:rsid w:val="00E46D37"/>
    <w:rsid w:val="00E514CC"/>
    <w:rsid w:val="00E51EB7"/>
    <w:rsid w:val="00E5254C"/>
    <w:rsid w:val="00E52A9D"/>
    <w:rsid w:val="00E52DDC"/>
    <w:rsid w:val="00E546BC"/>
    <w:rsid w:val="00E54BE3"/>
    <w:rsid w:val="00E5514B"/>
    <w:rsid w:val="00E5551E"/>
    <w:rsid w:val="00E61CBA"/>
    <w:rsid w:val="00E72088"/>
    <w:rsid w:val="00E73D56"/>
    <w:rsid w:val="00E74353"/>
    <w:rsid w:val="00E751CB"/>
    <w:rsid w:val="00E75490"/>
    <w:rsid w:val="00E7549B"/>
    <w:rsid w:val="00E7644F"/>
    <w:rsid w:val="00E776F2"/>
    <w:rsid w:val="00E81FCA"/>
    <w:rsid w:val="00E84D92"/>
    <w:rsid w:val="00E85C70"/>
    <w:rsid w:val="00E86328"/>
    <w:rsid w:val="00E86E9E"/>
    <w:rsid w:val="00E87D46"/>
    <w:rsid w:val="00E87F53"/>
    <w:rsid w:val="00E90D32"/>
    <w:rsid w:val="00E9160B"/>
    <w:rsid w:val="00E923B3"/>
    <w:rsid w:val="00E93121"/>
    <w:rsid w:val="00E940D1"/>
    <w:rsid w:val="00E961AB"/>
    <w:rsid w:val="00E96F0C"/>
    <w:rsid w:val="00E96F17"/>
    <w:rsid w:val="00EA1F80"/>
    <w:rsid w:val="00EA1FA9"/>
    <w:rsid w:val="00EA22A9"/>
    <w:rsid w:val="00EA499A"/>
    <w:rsid w:val="00EA59E7"/>
    <w:rsid w:val="00EA5A88"/>
    <w:rsid w:val="00EA5CED"/>
    <w:rsid w:val="00EA6426"/>
    <w:rsid w:val="00EA647C"/>
    <w:rsid w:val="00EA78A4"/>
    <w:rsid w:val="00EA7EDC"/>
    <w:rsid w:val="00EB1361"/>
    <w:rsid w:val="00EB2EFF"/>
    <w:rsid w:val="00EB36D6"/>
    <w:rsid w:val="00EB4B89"/>
    <w:rsid w:val="00EB58F7"/>
    <w:rsid w:val="00EB7B40"/>
    <w:rsid w:val="00EC0483"/>
    <w:rsid w:val="00EC10F2"/>
    <w:rsid w:val="00EC1A45"/>
    <w:rsid w:val="00EC3B06"/>
    <w:rsid w:val="00EC430E"/>
    <w:rsid w:val="00EC4A40"/>
    <w:rsid w:val="00EC4F67"/>
    <w:rsid w:val="00EC64BE"/>
    <w:rsid w:val="00EC698F"/>
    <w:rsid w:val="00EC6ED5"/>
    <w:rsid w:val="00EC71E9"/>
    <w:rsid w:val="00EC7D4A"/>
    <w:rsid w:val="00ED05EA"/>
    <w:rsid w:val="00ED0AC4"/>
    <w:rsid w:val="00ED0D75"/>
    <w:rsid w:val="00ED0F5D"/>
    <w:rsid w:val="00ED40D0"/>
    <w:rsid w:val="00ED47E5"/>
    <w:rsid w:val="00ED5C9A"/>
    <w:rsid w:val="00ED6C8F"/>
    <w:rsid w:val="00ED7473"/>
    <w:rsid w:val="00EE12D1"/>
    <w:rsid w:val="00EE1ED0"/>
    <w:rsid w:val="00EE3753"/>
    <w:rsid w:val="00EE5584"/>
    <w:rsid w:val="00EF0065"/>
    <w:rsid w:val="00EF0229"/>
    <w:rsid w:val="00EF0637"/>
    <w:rsid w:val="00EF11DE"/>
    <w:rsid w:val="00EF2298"/>
    <w:rsid w:val="00EF25CE"/>
    <w:rsid w:val="00EF3151"/>
    <w:rsid w:val="00EF4E92"/>
    <w:rsid w:val="00EF6B0B"/>
    <w:rsid w:val="00EF735B"/>
    <w:rsid w:val="00EF7865"/>
    <w:rsid w:val="00F001DC"/>
    <w:rsid w:val="00F0063A"/>
    <w:rsid w:val="00F00A7A"/>
    <w:rsid w:val="00F02A2D"/>
    <w:rsid w:val="00F039BD"/>
    <w:rsid w:val="00F048D5"/>
    <w:rsid w:val="00F051AC"/>
    <w:rsid w:val="00F05247"/>
    <w:rsid w:val="00F05CFD"/>
    <w:rsid w:val="00F06E93"/>
    <w:rsid w:val="00F06FE8"/>
    <w:rsid w:val="00F07833"/>
    <w:rsid w:val="00F10661"/>
    <w:rsid w:val="00F10785"/>
    <w:rsid w:val="00F12ADB"/>
    <w:rsid w:val="00F12EFB"/>
    <w:rsid w:val="00F1318E"/>
    <w:rsid w:val="00F13320"/>
    <w:rsid w:val="00F13DD7"/>
    <w:rsid w:val="00F146E3"/>
    <w:rsid w:val="00F153FC"/>
    <w:rsid w:val="00F16929"/>
    <w:rsid w:val="00F2085E"/>
    <w:rsid w:val="00F22256"/>
    <w:rsid w:val="00F22986"/>
    <w:rsid w:val="00F23685"/>
    <w:rsid w:val="00F23ECF"/>
    <w:rsid w:val="00F24AC0"/>
    <w:rsid w:val="00F24B41"/>
    <w:rsid w:val="00F24F7D"/>
    <w:rsid w:val="00F272A8"/>
    <w:rsid w:val="00F324A5"/>
    <w:rsid w:val="00F326DC"/>
    <w:rsid w:val="00F33490"/>
    <w:rsid w:val="00F3790C"/>
    <w:rsid w:val="00F37DD1"/>
    <w:rsid w:val="00F40F10"/>
    <w:rsid w:val="00F414C1"/>
    <w:rsid w:val="00F4165B"/>
    <w:rsid w:val="00F4384C"/>
    <w:rsid w:val="00F447F6"/>
    <w:rsid w:val="00F46B86"/>
    <w:rsid w:val="00F4789B"/>
    <w:rsid w:val="00F505AA"/>
    <w:rsid w:val="00F51BD9"/>
    <w:rsid w:val="00F52889"/>
    <w:rsid w:val="00F531CE"/>
    <w:rsid w:val="00F55758"/>
    <w:rsid w:val="00F55C6B"/>
    <w:rsid w:val="00F60A67"/>
    <w:rsid w:val="00F60D29"/>
    <w:rsid w:val="00F62BAD"/>
    <w:rsid w:val="00F63DCC"/>
    <w:rsid w:val="00F64041"/>
    <w:rsid w:val="00F64947"/>
    <w:rsid w:val="00F64D35"/>
    <w:rsid w:val="00F659D4"/>
    <w:rsid w:val="00F65BE8"/>
    <w:rsid w:val="00F66D40"/>
    <w:rsid w:val="00F677CA"/>
    <w:rsid w:val="00F700C9"/>
    <w:rsid w:val="00F7119D"/>
    <w:rsid w:val="00F72266"/>
    <w:rsid w:val="00F72490"/>
    <w:rsid w:val="00F729A4"/>
    <w:rsid w:val="00F72D11"/>
    <w:rsid w:val="00F73A9E"/>
    <w:rsid w:val="00F74657"/>
    <w:rsid w:val="00F74A7E"/>
    <w:rsid w:val="00F75731"/>
    <w:rsid w:val="00F75C74"/>
    <w:rsid w:val="00F771B7"/>
    <w:rsid w:val="00F77BFF"/>
    <w:rsid w:val="00F818B1"/>
    <w:rsid w:val="00F81AD4"/>
    <w:rsid w:val="00F81F15"/>
    <w:rsid w:val="00F83207"/>
    <w:rsid w:val="00F84FE2"/>
    <w:rsid w:val="00F912F7"/>
    <w:rsid w:val="00F9197F"/>
    <w:rsid w:val="00F92911"/>
    <w:rsid w:val="00F93E6D"/>
    <w:rsid w:val="00F942E6"/>
    <w:rsid w:val="00F95486"/>
    <w:rsid w:val="00F95E0E"/>
    <w:rsid w:val="00F96106"/>
    <w:rsid w:val="00F96D67"/>
    <w:rsid w:val="00F977FA"/>
    <w:rsid w:val="00F978B2"/>
    <w:rsid w:val="00F97C21"/>
    <w:rsid w:val="00F97E9C"/>
    <w:rsid w:val="00FA0185"/>
    <w:rsid w:val="00FA4485"/>
    <w:rsid w:val="00FA44D4"/>
    <w:rsid w:val="00FA4663"/>
    <w:rsid w:val="00FA682E"/>
    <w:rsid w:val="00FB13C7"/>
    <w:rsid w:val="00FB14DD"/>
    <w:rsid w:val="00FB1FB9"/>
    <w:rsid w:val="00FB20E4"/>
    <w:rsid w:val="00FB24E8"/>
    <w:rsid w:val="00FB44A2"/>
    <w:rsid w:val="00FB479B"/>
    <w:rsid w:val="00FB6929"/>
    <w:rsid w:val="00FB7909"/>
    <w:rsid w:val="00FC158F"/>
    <w:rsid w:val="00FC1A13"/>
    <w:rsid w:val="00FC2E54"/>
    <w:rsid w:val="00FC5AF5"/>
    <w:rsid w:val="00FD0E18"/>
    <w:rsid w:val="00FD0F41"/>
    <w:rsid w:val="00FD0F76"/>
    <w:rsid w:val="00FD1BD0"/>
    <w:rsid w:val="00FD1EC0"/>
    <w:rsid w:val="00FD1FA8"/>
    <w:rsid w:val="00FD5079"/>
    <w:rsid w:val="00FD52C3"/>
    <w:rsid w:val="00FD5352"/>
    <w:rsid w:val="00FD5873"/>
    <w:rsid w:val="00FD65CB"/>
    <w:rsid w:val="00FD7928"/>
    <w:rsid w:val="00FD7A0E"/>
    <w:rsid w:val="00FE1419"/>
    <w:rsid w:val="00FE1E4E"/>
    <w:rsid w:val="00FE2030"/>
    <w:rsid w:val="00FE2971"/>
    <w:rsid w:val="00FE2DF9"/>
    <w:rsid w:val="00FE41AA"/>
    <w:rsid w:val="00FE553D"/>
    <w:rsid w:val="00FE5BE8"/>
    <w:rsid w:val="00FE6D0F"/>
    <w:rsid w:val="00FF1138"/>
    <w:rsid w:val="00FF1B56"/>
    <w:rsid w:val="00FF1DC2"/>
    <w:rsid w:val="00FF2238"/>
    <w:rsid w:val="00FF6710"/>
    <w:rsid w:val="00FF78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31F4F9"/>
  <w15:docId w15:val="{9A221E97-CD48-4720-93ED-E74896321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E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2625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752AB"/>
    <w:pPr>
      <w:spacing w:after="120"/>
    </w:pPr>
  </w:style>
  <w:style w:type="character" w:customStyle="1" w:styleId="BodyTextChar">
    <w:name w:val="Body Text Char"/>
    <w:basedOn w:val="DefaultParagraphFont"/>
    <w:link w:val="BodyText"/>
    <w:uiPriority w:val="99"/>
    <w:rsid w:val="00C752AB"/>
  </w:style>
  <w:style w:type="character" w:styleId="Hyperlink">
    <w:name w:val="Hyperlink"/>
    <w:rsid w:val="00854B60"/>
    <w:rPr>
      <w:color w:val="0000FF"/>
      <w:u w:val="single"/>
    </w:rPr>
  </w:style>
  <w:style w:type="paragraph" w:styleId="FootnoteText">
    <w:name w:val="footnote text"/>
    <w:basedOn w:val="Normal"/>
    <w:link w:val="FootnoteTextChar"/>
    <w:uiPriority w:val="99"/>
    <w:rsid w:val="00854B60"/>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4B60"/>
    <w:rPr>
      <w:rFonts w:eastAsia="Times New Roman" w:cs="Times New Roman"/>
      <w:sz w:val="20"/>
      <w:szCs w:val="20"/>
    </w:rPr>
  </w:style>
  <w:style w:type="character" w:styleId="FootnoteReference">
    <w:name w:val="footnote reference"/>
    <w:uiPriority w:val="99"/>
    <w:rsid w:val="00854B60"/>
    <w:rPr>
      <w:vertAlign w:val="superscript"/>
    </w:rPr>
  </w:style>
  <w:style w:type="character" w:styleId="FollowedHyperlink">
    <w:name w:val="FollowedHyperlink"/>
    <w:basedOn w:val="DefaultParagraphFont"/>
    <w:uiPriority w:val="99"/>
    <w:semiHidden/>
    <w:unhideWhenUsed/>
    <w:rsid w:val="003A44C8"/>
    <w:rPr>
      <w:color w:val="800080" w:themeColor="followedHyperlink"/>
      <w:u w:val="single"/>
    </w:rPr>
  </w:style>
  <w:style w:type="paragraph" w:styleId="BalloonText">
    <w:name w:val="Balloon Text"/>
    <w:basedOn w:val="Normal"/>
    <w:link w:val="BalloonTextChar"/>
    <w:uiPriority w:val="99"/>
    <w:semiHidden/>
    <w:unhideWhenUsed/>
    <w:rsid w:val="000623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3DB"/>
    <w:rPr>
      <w:rFonts w:ascii="Tahoma" w:hAnsi="Tahoma" w:cs="Tahoma"/>
      <w:sz w:val="16"/>
      <w:szCs w:val="16"/>
    </w:rPr>
  </w:style>
  <w:style w:type="character" w:styleId="CommentReference">
    <w:name w:val="annotation reference"/>
    <w:basedOn w:val="DefaultParagraphFont"/>
    <w:uiPriority w:val="99"/>
    <w:semiHidden/>
    <w:unhideWhenUsed/>
    <w:rsid w:val="000623DB"/>
    <w:rPr>
      <w:sz w:val="16"/>
      <w:szCs w:val="16"/>
    </w:rPr>
  </w:style>
  <w:style w:type="paragraph" w:styleId="CommentText">
    <w:name w:val="annotation text"/>
    <w:basedOn w:val="Normal"/>
    <w:link w:val="CommentTextChar"/>
    <w:uiPriority w:val="99"/>
    <w:unhideWhenUsed/>
    <w:rsid w:val="000623DB"/>
    <w:pPr>
      <w:spacing w:line="240" w:lineRule="auto"/>
    </w:pPr>
    <w:rPr>
      <w:sz w:val="20"/>
      <w:szCs w:val="20"/>
    </w:rPr>
  </w:style>
  <w:style w:type="character" w:customStyle="1" w:styleId="CommentTextChar">
    <w:name w:val="Comment Text Char"/>
    <w:basedOn w:val="DefaultParagraphFont"/>
    <w:link w:val="CommentText"/>
    <w:uiPriority w:val="99"/>
    <w:rsid w:val="000623DB"/>
    <w:rPr>
      <w:sz w:val="20"/>
      <w:szCs w:val="20"/>
    </w:rPr>
  </w:style>
  <w:style w:type="paragraph" w:styleId="CommentSubject">
    <w:name w:val="annotation subject"/>
    <w:basedOn w:val="CommentText"/>
    <w:next w:val="CommentText"/>
    <w:link w:val="CommentSubjectChar"/>
    <w:uiPriority w:val="99"/>
    <w:semiHidden/>
    <w:unhideWhenUsed/>
    <w:rsid w:val="000623DB"/>
    <w:rPr>
      <w:b/>
      <w:bCs/>
    </w:rPr>
  </w:style>
  <w:style w:type="character" w:customStyle="1" w:styleId="CommentSubjectChar">
    <w:name w:val="Comment Subject Char"/>
    <w:basedOn w:val="CommentTextChar"/>
    <w:link w:val="CommentSubject"/>
    <w:uiPriority w:val="99"/>
    <w:semiHidden/>
    <w:rsid w:val="000623DB"/>
    <w:rPr>
      <w:b/>
      <w:bCs/>
      <w:sz w:val="20"/>
      <w:szCs w:val="20"/>
    </w:rPr>
  </w:style>
  <w:style w:type="paragraph" w:styleId="ListParagraph">
    <w:name w:val="List Paragraph"/>
    <w:basedOn w:val="Normal"/>
    <w:uiPriority w:val="34"/>
    <w:qFormat/>
    <w:rsid w:val="00CB3078"/>
    <w:pPr>
      <w:ind w:left="720"/>
      <w:contextualSpacing/>
    </w:pPr>
  </w:style>
  <w:style w:type="paragraph" w:styleId="Revision">
    <w:name w:val="Revision"/>
    <w:hidden/>
    <w:uiPriority w:val="99"/>
    <w:semiHidden/>
    <w:rsid w:val="00690D08"/>
    <w:pPr>
      <w:spacing w:line="240" w:lineRule="auto"/>
    </w:pPr>
  </w:style>
  <w:style w:type="paragraph" w:styleId="Header">
    <w:name w:val="header"/>
    <w:basedOn w:val="Normal"/>
    <w:link w:val="HeaderChar"/>
    <w:uiPriority w:val="99"/>
    <w:unhideWhenUsed/>
    <w:rsid w:val="00D26588"/>
    <w:pPr>
      <w:tabs>
        <w:tab w:val="center" w:pos="4680"/>
        <w:tab w:val="right" w:pos="9360"/>
      </w:tabs>
      <w:spacing w:line="240" w:lineRule="auto"/>
    </w:pPr>
  </w:style>
  <w:style w:type="character" w:customStyle="1" w:styleId="HeaderChar">
    <w:name w:val="Header Char"/>
    <w:basedOn w:val="DefaultParagraphFont"/>
    <w:link w:val="Header"/>
    <w:uiPriority w:val="99"/>
    <w:rsid w:val="00D26588"/>
  </w:style>
  <w:style w:type="paragraph" w:styleId="Footer">
    <w:name w:val="footer"/>
    <w:basedOn w:val="Normal"/>
    <w:link w:val="FooterChar"/>
    <w:uiPriority w:val="99"/>
    <w:unhideWhenUsed/>
    <w:rsid w:val="00D26588"/>
    <w:pPr>
      <w:tabs>
        <w:tab w:val="center" w:pos="4680"/>
        <w:tab w:val="right" w:pos="9360"/>
      </w:tabs>
      <w:spacing w:line="240" w:lineRule="auto"/>
    </w:pPr>
  </w:style>
  <w:style w:type="character" w:customStyle="1" w:styleId="FooterChar">
    <w:name w:val="Footer Char"/>
    <w:basedOn w:val="DefaultParagraphFont"/>
    <w:link w:val="Footer"/>
    <w:uiPriority w:val="99"/>
    <w:rsid w:val="00D26588"/>
  </w:style>
  <w:style w:type="paragraph" w:styleId="NormalWeb">
    <w:name w:val="Normal (Web)"/>
    <w:basedOn w:val="Normal"/>
    <w:uiPriority w:val="99"/>
    <w:semiHidden/>
    <w:unhideWhenUsed/>
    <w:rsid w:val="004A47C7"/>
    <w:rPr>
      <w:rFonts w:cs="Times New Roman"/>
      <w:szCs w:val="24"/>
    </w:rPr>
  </w:style>
  <w:style w:type="paragraph" w:styleId="BodyTextIndent3">
    <w:name w:val="Body Text Indent 3"/>
    <w:basedOn w:val="Normal"/>
    <w:link w:val="BodyTextIndent3Char"/>
    <w:uiPriority w:val="99"/>
    <w:semiHidden/>
    <w:unhideWhenUsed/>
    <w:rsid w:val="00FC158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C158F"/>
    <w:rPr>
      <w:sz w:val="16"/>
      <w:szCs w:val="16"/>
    </w:rPr>
  </w:style>
  <w:style w:type="character" w:styleId="Strong">
    <w:name w:val="Strong"/>
    <w:basedOn w:val="DefaultParagraphFont"/>
    <w:uiPriority w:val="22"/>
    <w:qFormat/>
    <w:rsid w:val="007024AF"/>
    <w:rPr>
      <w:b/>
      <w:bCs/>
    </w:rPr>
  </w:style>
  <w:style w:type="character" w:customStyle="1" w:styleId="apple-converted-space">
    <w:name w:val="apple-converted-space"/>
    <w:basedOn w:val="DefaultParagraphFont"/>
    <w:rsid w:val="007024AF"/>
  </w:style>
  <w:style w:type="character" w:customStyle="1" w:styleId="xbe">
    <w:name w:val="_xbe"/>
    <w:basedOn w:val="DefaultParagraphFont"/>
    <w:rsid w:val="002E3170"/>
  </w:style>
  <w:style w:type="character" w:customStyle="1" w:styleId="qug">
    <w:name w:val="_qug"/>
    <w:basedOn w:val="DefaultParagraphFont"/>
    <w:rsid w:val="002E3170"/>
  </w:style>
  <w:style w:type="character" w:customStyle="1" w:styleId="Heading2Char">
    <w:name w:val="Heading 2 Char"/>
    <w:basedOn w:val="DefaultParagraphFont"/>
    <w:link w:val="Heading2"/>
    <w:uiPriority w:val="9"/>
    <w:semiHidden/>
    <w:rsid w:val="00426250"/>
    <w:rPr>
      <w:rFonts w:asciiTheme="majorHAnsi" w:eastAsiaTheme="majorEastAsia" w:hAnsiTheme="majorHAnsi" w:cstheme="majorBidi"/>
      <w:b/>
      <w:bCs/>
      <w:color w:val="4F81BD" w:themeColor="accent1"/>
      <w:sz w:val="26"/>
      <w:szCs w:val="26"/>
    </w:rPr>
  </w:style>
  <w:style w:type="paragraph" w:customStyle="1" w:styleId="Bullet">
    <w:name w:val="Bullet"/>
    <w:rsid w:val="00557060"/>
    <w:pPr>
      <w:spacing w:line="240" w:lineRule="auto"/>
      <w:ind w:left="288"/>
    </w:pPr>
    <w:rPr>
      <w:rFonts w:eastAsia="Times New Roman" w:cs="Times New Roman"/>
      <w:snapToGrid w:val="0"/>
      <w:szCs w:val="20"/>
    </w:rPr>
  </w:style>
  <w:style w:type="paragraph" w:customStyle="1" w:styleId="Bullet1">
    <w:name w:val="Bullet 1"/>
    <w:rsid w:val="00557060"/>
    <w:pPr>
      <w:spacing w:line="240" w:lineRule="auto"/>
      <w:ind w:left="576"/>
    </w:pPr>
    <w:rPr>
      <w:rFonts w:eastAsia="Times New Roman" w:cs="Times New Roman"/>
      <w:snapToGrid w:val="0"/>
      <w:szCs w:val="20"/>
    </w:rPr>
  </w:style>
  <w:style w:type="paragraph" w:customStyle="1" w:styleId="Default">
    <w:name w:val="Default"/>
    <w:rsid w:val="00557060"/>
    <w:pPr>
      <w:widowControl w:val="0"/>
      <w:autoSpaceDE w:val="0"/>
      <w:autoSpaceDN w:val="0"/>
      <w:adjustRightInd w:val="0"/>
      <w:spacing w:line="240" w:lineRule="auto"/>
    </w:pPr>
    <w:rPr>
      <w:rFonts w:eastAsia="Times New Roman" w:cs="Times New Roman"/>
      <w:color w:val="000000"/>
      <w:szCs w:val="24"/>
    </w:rPr>
  </w:style>
  <w:style w:type="character" w:customStyle="1" w:styleId="Heading1Char">
    <w:name w:val="Heading 1 Char"/>
    <w:basedOn w:val="DefaultParagraphFont"/>
    <w:link w:val="Heading1"/>
    <w:uiPriority w:val="9"/>
    <w:rsid w:val="00EC6ED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673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jpeg"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092653C5114048BB4062E7F62A0BF3" ma:contentTypeVersion="0" ma:contentTypeDescription="Create a new document." ma:contentTypeScope="" ma:versionID="806e9ae6c0a9d723136bd0019c8751e0">
  <xsd:schema xmlns:xsd="http://www.w3.org/2001/XMLSchema" xmlns:xs="http://www.w3.org/2001/XMLSchema" xmlns:p="http://schemas.microsoft.com/office/2006/metadata/properties" targetNamespace="http://schemas.microsoft.com/office/2006/metadata/properties" ma:root="true" ma:fieldsID="1e1dc27185869094906a168146f8b23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3F37E-8891-485B-82DD-495F6233897C}">
  <ds:schemaRefs>
    <ds:schemaRef ds:uri="http://schemas.microsoft.com/sharepoint/v3/contenttype/forms"/>
  </ds:schemaRefs>
</ds:datastoreItem>
</file>

<file path=customXml/itemProps2.xml><?xml version="1.0" encoding="utf-8"?>
<ds:datastoreItem xmlns:ds="http://schemas.openxmlformats.org/officeDocument/2006/customXml" ds:itemID="{1EDBB57D-0770-4998-8F36-22796E44E304}">
  <ds:schemaRefs>
    <ds:schemaRef ds:uri="http://schemas.openxmlformats.org/officeDocument/2006/bibliography"/>
  </ds:schemaRefs>
</ds:datastoreItem>
</file>

<file path=customXml/itemProps3.xml><?xml version="1.0" encoding="utf-8"?>
<ds:datastoreItem xmlns:ds="http://schemas.openxmlformats.org/officeDocument/2006/customXml" ds:itemID="{2BD2539C-154E-4121-A782-1C64932D7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BC443B-0990-480C-83B3-AEC8759C670B}">
  <ds:schemaRef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1483</Words>
  <Characters>8413</Characters>
  <Application>Microsoft Office Word</Application>
  <DocSecurity>0</DocSecurity>
  <Lines>209</Lines>
  <Paragraphs>76</Paragraphs>
  <ScaleCrop>false</ScaleCrop>
  <HeadingPairs>
    <vt:vector size="2" baseType="variant">
      <vt:variant>
        <vt:lpstr>Title</vt:lpstr>
      </vt:variant>
      <vt:variant>
        <vt:i4>1</vt:i4>
      </vt:variant>
    </vt:vector>
  </HeadingPairs>
  <TitlesOfParts>
    <vt:vector size="1" baseType="lpstr">
      <vt:lpstr/>
    </vt:vector>
  </TitlesOfParts>
  <Company>Federal Housing Finance Agency</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raudenbushe</dc:creator>
  <cp:lastModifiedBy>Supervielle, Angela</cp:lastModifiedBy>
  <cp:revision>7</cp:revision>
  <cp:lastPrinted>2018-03-05T19:38:00Z</cp:lastPrinted>
  <dcterms:created xsi:type="dcterms:W3CDTF">2025-10-06T11:17:00Z</dcterms:created>
  <dcterms:modified xsi:type="dcterms:W3CDTF">2025-12-29T17:13:00Z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0x01010028092653C5114048BB4062E7F62A0BF3</vt:lpwstr>
  </property>
</Properties>
</file>