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4F4AD21C" w14:textId="77777777">
      <w:pPr>
        <w:jc w:val="center"/>
        <w:rPr>
          <w:b/>
          <w:sz w:val="24"/>
          <w:szCs w:val="24"/>
        </w:rPr>
      </w:pPr>
      <w:r w:rsidRPr="00167E53">
        <w:rPr>
          <w:b/>
          <w:sz w:val="24"/>
          <w:szCs w:val="24"/>
        </w:rPr>
        <w:t>Supporting Statement for Paperwork Reduction Act Submissions</w:t>
      </w:r>
    </w:p>
    <w:p w:rsidR="00167E53" w:rsidRPr="00167E53" w14:paraId="046B4ADA"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017498">
        <w:rPr>
          <w:b/>
          <w:sz w:val="24"/>
          <w:szCs w:val="24"/>
        </w:rPr>
        <w:t>Low-Income Housing Tax Credit (LIHTC)</w:t>
      </w:r>
      <w:r w:rsidR="00154AAB">
        <w:rPr>
          <w:b/>
          <w:sz w:val="24"/>
          <w:szCs w:val="24"/>
        </w:rPr>
        <w:t xml:space="preserve"> </w:t>
      </w:r>
      <w:r w:rsidR="00E3213B">
        <w:rPr>
          <w:b/>
          <w:sz w:val="24"/>
          <w:szCs w:val="24"/>
        </w:rPr>
        <w:t>Data Collection</w:t>
      </w:r>
    </w:p>
    <w:p w:rsidR="00167E53" w:rsidRPr="00167E53" w14:paraId="23233609" w14:textId="0704AA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167E53">
        <w:rPr>
          <w:b/>
          <w:sz w:val="24"/>
          <w:szCs w:val="24"/>
        </w:rPr>
        <w:t>(OMB</w:t>
      </w:r>
      <w:r w:rsidR="008E4F54">
        <w:rPr>
          <w:b/>
          <w:sz w:val="24"/>
          <w:szCs w:val="24"/>
        </w:rPr>
        <w:t xml:space="preserve"> </w:t>
      </w:r>
      <w:r w:rsidRPr="00167E53">
        <w:rPr>
          <w:b/>
          <w:sz w:val="24"/>
          <w:szCs w:val="24"/>
        </w:rPr>
        <w:t xml:space="preserve"># </w:t>
      </w:r>
      <w:r w:rsidRPr="00154AAB" w:rsidR="00154AAB">
        <w:rPr>
          <w:b/>
          <w:sz w:val="24"/>
          <w:szCs w:val="24"/>
        </w:rPr>
        <w:t>2528-0</w:t>
      </w:r>
      <w:r w:rsidR="00C23998">
        <w:rPr>
          <w:b/>
          <w:sz w:val="24"/>
          <w:szCs w:val="24"/>
        </w:rPr>
        <w:t>3</w:t>
      </w:r>
      <w:r w:rsidR="00C7232B">
        <w:rPr>
          <w:b/>
          <w:sz w:val="24"/>
          <w:szCs w:val="24"/>
        </w:rPr>
        <w:t>2</w:t>
      </w:r>
      <w:r w:rsidR="00C23998">
        <w:rPr>
          <w:b/>
          <w:sz w:val="24"/>
          <w:szCs w:val="24"/>
        </w:rPr>
        <w:t>0</w:t>
      </w:r>
      <w:r w:rsidRPr="00167E53">
        <w:rPr>
          <w:b/>
          <w:sz w:val="24"/>
          <w:szCs w:val="24"/>
        </w:rPr>
        <w:t>)</w:t>
      </w:r>
    </w:p>
    <w:p w:rsidR="009E13B1" w:rsidRPr="00167E53" w:rsidP="006C7FAE" w14:paraId="18DCAA86" w14:textId="77777777">
      <w:pPr>
        <w:rPr>
          <w:b/>
          <w:sz w:val="24"/>
          <w:szCs w:val="24"/>
        </w:rPr>
      </w:pPr>
    </w:p>
    <w:p w:rsidR="009E13B1" w:rsidRPr="006C7FAE" w14:paraId="64869372"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19D3622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3610DE" w14:paraId="5D69D8B9" w14:textId="77777777">
      <w:pPr>
        <w:keepLines/>
        <w:tabs>
          <w:tab w:val="left" w:pos="360"/>
        </w:tabs>
        <w:spacing w:after="80"/>
        <w:ind w:left="360" w:hanging="360"/>
        <w:rPr>
          <w:b/>
          <w:bCs/>
          <w:sz w:val="24"/>
          <w:szCs w:val="24"/>
        </w:rPr>
      </w:pPr>
      <w:r w:rsidRPr="006C7FAE">
        <w:rPr>
          <w:sz w:val="24"/>
          <w:szCs w:val="24"/>
        </w:rPr>
        <w:t>1.</w:t>
      </w:r>
      <w:r w:rsidRPr="006C7FAE">
        <w:rPr>
          <w:sz w:val="24"/>
          <w:szCs w:val="24"/>
        </w:rPr>
        <w:tab/>
      </w:r>
      <w:r w:rsidRPr="003610DE">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610DE" w:rsidP="003610DE" w14:paraId="70B980CF" w14:textId="77777777">
      <w:pPr>
        <w:keepLines/>
        <w:spacing w:before="120" w:after="80"/>
        <w:ind w:left="360"/>
        <w:rPr>
          <w:sz w:val="24"/>
          <w:szCs w:val="24"/>
        </w:rPr>
      </w:pPr>
      <w:r>
        <w:rPr>
          <w:sz w:val="24"/>
          <w:szCs w:val="24"/>
        </w:rPr>
        <w:t xml:space="preserve">This Information Collection Request </w:t>
      </w:r>
      <w:r>
        <w:rPr>
          <w:sz w:val="24"/>
          <w:szCs w:val="24"/>
        </w:rPr>
        <w:t xml:space="preserve">(ICR) </w:t>
      </w:r>
      <w:r>
        <w:rPr>
          <w:sz w:val="24"/>
          <w:szCs w:val="24"/>
        </w:rPr>
        <w:t xml:space="preserve">is being submitted to OMB as a revision </w:t>
      </w:r>
      <w:r w:rsidR="00D559F1">
        <w:rPr>
          <w:sz w:val="24"/>
          <w:szCs w:val="24"/>
        </w:rPr>
        <w:t>of a currently approved collection</w:t>
      </w:r>
      <w:r>
        <w:rPr>
          <w:sz w:val="24"/>
          <w:szCs w:val="24"/>
        </w:rPr>
        <w:t xml:space="preserve"> under OM</w:t>
      </w:r>
      <w:r w:rsidR="00D559F1">
        <w:rPr>
          <w:sz w:val="24"/>
          <w:szCs w:val="24"/>
        </w:rPr>
        <w:t>B</w:t>
      </w:r>
      <w:r>
        <w:rPr>
          <w:sz w:val="24"/>
          <w:szCs w:val="24"/>
        </w:rPr>
        <w:t xml:space="preserve"> control number 2528-03</w:t>
      </w:r>
      <w:r>
        <w:rPr>
          <w:sz w:val="24"/>
          <w:szCs w:val="24"/>
        </w:rPr>
        <w:t>2</w:t>
      </w:r>
      <w:r>
        <w:rPr>
          <w:sz w:val="24"/>
          <w:szCs w:val="24"/>
        </w:rPr>
        <w:t xml:space="preserve">0.  </w:t>
      </w:r>
      <w:r>
        <w:rPr>
          <w:sz w:val="24"/>
          <w:szCs w:val="24"/>
        </w:rPr>
        <w:t>C</w:t>
      </w:r>
      <w:r>
        <w:rPr>
          <w:sz w:val="24"/>
          <w:szCs w:val="24"/>
        </w:rPr>
        <w:t xml:space="preserve">urrent </w:t>
      </w:r>
      <w:r>
        <w:rPr>
          <w:sz w:val="24"/>
          <w:szCs w:val="24"/>
        </w:rPr>
        <w:t xml:space="preserve">OMB </w:t>
      </w:r>
      <w:r>
        <w:rPr>
          <w:sz w:val="24"/>
          <w:szCs w:val="24"/>
        </w:rPr>
        <w:t>approval expires</w:t>
      </w:r>
      <w:r w:rsidR="00D559F1">
        <w:rPr>
          <w:sz w:val="24"/>
          <w:szCs w:val="24"/>
        </w:rPr>
        <w:t xml:space="preserve"> on 10/31/2025.  </w:t>
      </w:r>
      <w:r>
        <w:rPr>
          <w:sz w:val="24"/>
          <w:szCs w:val="24"/>
        </w:rPr>
        <w:t xml:space="preserve">This information collection consists of two instruments: 1) HUD-52695 HUD LIHTC Database Data Collection Form and 2) HUD-52697 HUD LIHTC Tenant Data Collection Form. The only revision proposed under this ICR is a revision to the HUD-52697 that collapses the race and ethnicity questions into a single variable that adopts the updated OMB race/ethnicity definitions consistent with SPD-15. </w:t>
      </w:r>
      <w:r w:rsidRPr="00E35A38">
        <w:rPr>
          <w:sz w:val="24"/>
          <w:szCs w:val="24"/>
        </w:rPr>
        <w:t>This collection has not materially changed since its inception in 2010.</w:t>
      </w:r>
    </w:p>
    <w:p w:rsidR="00E35A38" w:rsidRPr="00E35A38" w:rsidP="00E41861" w14:paraId="40AC0786" w14:textId="47940666">
      <w:pPr>
        <w:keepLines/>
        <w:spacing w:before="120" w:after="80"/>
        <w:ind w:left="360"/>
        <w:rPr>
          <w:sz w:val="24"/>
          <w:szCs w:val="24"/>
        </w:rPr>
      </w:pPr>
      <w:r w:rsidRPr="00E35A38">
        <w:rPr>
          <w:sz w:val="24"/>
          <w:szCs w:val="24"/>
        </w:rPr>
        <w:t xml:space="preserve">The statutory authority for this data collection is found in 42 U.S.C. 1437z-8, Collection of information on tenants in tax credit projects, which requires the state housing agencies submit to </w:t>
      </w:r>
      <w:r w:rsidR="006639AE">
        <w:rPr>
          <w:sz w:val="24"/>
          <w:szCs w:val="24"/>
        </w:rPr>
        <w:t>the U.S. Department of Housing and Urban Development (</w:t>
      </w:r>
      <w:r w:rsidRPr="00E35A38">
        <w:rPr>
          <w:sz w:val="24"/>
          <w:szCs w:val="24"/>
        </w:rPr>
        <w:t>HUD</w:t>
      </w:r>
      <w:r w:rsidR="006639AE">
        <w:rPr>
          <w:sz w:val="24"/>
          <w:szCs w:val="24"/>
        </w:rPr>
        <w:t>)</w:t>
      </w:r>
      <w:r w:rsidRPr="00E35A38">
        <w:rPr>
          <w:sz w:val="24"/>
          <w:szCs w:val="24"/>
        </w:rPr>
        <w:t xml:space="preserve"> “information concerning the race, ethnicity, family composition, age, income, use of rental assistance under section 8(o) of the United States Housing Act of 1937 or other similar assistance, disability status, and monthly rental payments of households residing in each property.”</w:t>
      </w:r>
    </w:p>
    <w:p w:rsidR="00E35A38" w:rsidP="00E41861" w14:paraId="22A9831D" w14:textId="2FF30627">
      <w:pPr>
        <w:keepLines/>
        <w:spacing w:before="120" w:after="80"/>
        <w:ind w:left="360"/>
        <w:rPr>
          <w:sz w:val="24"/>
          <w:szCs w:val="24"/>
        </w:rPr>
      </w:pPr>
      <w:r w:rsidRPr="00E35A38">
        <w:rPr>
          <w:sz w:val="24"/>
          <w:szCs w:val="24"/>
        </w:rPr>
        <w:t>The congressional intent of this data collection is to provide basic information on the Low-Income Housing Tax Credit (LIHTC) program and the population it serves.  The LIHTC program uses benefits available through the tax code as an incentive to produce qualified low-income housing units.  The program is administered by 6</w:t>
      </w:r>
      <w:r w:rsidR="00A30CE2">
        <w:rPr>
          <w:sz w:val="24"/>
          <w:szCs w:val="24"/>
        </w:rPr>
        <w:t>7</w:t>
      </w:r>
      <w:r w:rsidRPr="00E35A38">
        <w:rPr>
          <w:sz w:val="24"/>
          <w:szCs w:val="24"/>
        </w:rPr>
        <w:t xml:space="preserve"> (predominantly state-level) allocating agencies.  While the IRS has responsibility for issuing LIHTC regulations and ensuring compliance with the code for individual taxpayers, states administer the program and are also responsible for monitoring compliance at the project level.</w:t>
      </w:r>
      <w:r w:rsidRPr="00E35A38">
        <w:rPr>
          <w:sz w:val="24"/>
          <w:szCs w:val="24"/>
        </w:rPr>
        <w:tab/>
      </w:r>
    </w:p>
    <w:p w:rsidR="009E13B1" w:rsidRPr="006C7FAE" w14:paraId="5C17A46F" w14:textId="77777777">
      <w:pPr>
        <w:tabs>
          <w:tab w:val="left" w:pos="360"/>
        </w:tabs>
        <w:ind w:left="360" w:hanging="360"/>
        <w:rPr>
          <w:sz w:val="24"/>
          <w:szCs w:val="24"/>
        </w:rPr>
      </w:pPr>
    </w:p>
    <w:p w:rsidR="009E13B1" w:rsidRPr="003610DE" w14:paraId="120C194F" w14:textId="77777777">
      <w:pPr>
        <w:keepLines/>
        <w:tabs>
          <w:tab w:val="left" w:pos="360"/>
        </w:tabs>
        <w:spacing w:after="80"/>
        <w:ind w:left="360" w:hanging="360"/>
        <w:rPr>
          <w:b/>
          <w:bCs/>
          <w:sz w:val="24"/>
          <w:szCs w:val="24"/>
        </w:rPr>
      </w:pPr>
      <w:r w:rsidRPr="003610DE">
        <w:rPr>
          <w:b/>
          <w:bCs/>
          <w:sz w:val="24"/>
          <w:szCs w:val="24"/>
        </w:rPr>
        <w:t>2.</w:t>
      </w:r>
      <w:r w:rsidRPr="003610DE">
        <w:rPr>
          <w:b/>
          <w:bCs/>
          <w:sz w:val="24"/>
          <w:szCs w:val="24"/>
        </w:rPr>
        <w:tab/>
        <w:t>Indicate how, by whom and for what purpose the information is to be used.  Except for a new collection, indicate the actual use the agency has made of the information received from the current collection.</w:t>
      </w:r>
    </w:p>
    <w:p w:rsidR="00E35A38" w:rsidRPr="00E35A38" w:rsidP="00EB0400" w14:paraId="75339D26" w14:textId="77777777">
      <w:pPr>
        <w:keepLines/>
        <w:spacing w:before="120" w:after="80"/>
        <w:ind w:left="360"/>
        <w:rPr>
          <w:sz w:val="24"/>
          <w:szCs w:val="24"/>
        </w:rPr>
      </w:pPr>
      <w:r w:rsidRPr="00E35A38">
        <w:rPr>
          <w:sz w:val="24"/>
          <w:szCs w:val="24"/>
        </w:rPr>
        <w:t xml:space="preserve">The information to be collected in the LIHTC database will be used by HUD to comply with the reporting requirements of </w:t>
      </w:r>
      <w:r w:rsidR="006639AE">
        <w:rPr>
          <w:sz w:val="24"/>
          <w:szCs w:val="24"/>
        </w:rPr>
        <w:t>Housing and Economic Recovery Act (</w:t>
      </w:r>
      <w:r w:rsidRPr="00E35A38">
        <w:rPr>
          <w:sz w:val="24"/>
          <w:szCs w:val="24"/>
        </w:rPr>
        <w:t>HERA</w:t>
      </w:r>
      <w:r w:rsidR="006639AE">
        <w:rPr>
          <w:sz w:val="24"/>
          <w:szCs w:val="24"/>
        </w:rPr>
        <w:t>) of 2008</w:t>
      </w:r>
      <w:r w:rsidRPr="00E35A38">
        <w:rPr>
          <w:sz w:val="24"/>
          <w:szCs w:val="24"/>
        </w:rPr>
        <w:t>, which requires HUD to make the data publicly available.  Since December 2014, HUD has released annual reports summarizing the data.  In addition to fulfilling this statutory requirement, HUD may use the data internally to inform policy.</w:t>
      </w:r>
    </w:p>
    <w:p w:rsidR="00E35A38" w:rsidP="00EB0400" w14:paraId="5820B683" w14:textId="1FEF36F3">
      <w:pPr>
        <w:keepLines/>
        <w:spacing w:before="120" w:after="80"/>
        <w:ind w:left="360"/>
        <w:rPr>
          <w:sz w:val="24"/>
          <w:szCs w:val="24"/>
        </w:rPr>
      </w:pPr>
      <w:r w:rsidRPr="00E35A38">
        <w:rPr>
          <w:sz w:val="24"/>
          <w:szCs w:val="24"/>
        </w:rPr>
        <w:t xml:space="preserve">Information will be submitted to HUD in XML formatted files by state </w:t>
      </w:r>
      <w:r w:rsidR="006639AE">
        <w:rPr>
          <w:sz w:val="24"/>
          <w:szCs w:val="24"/>
        </w:rPr>
        <w:t>H</w:t>
      </w:r>
      <w:r w:rsidRPr="00E35A38">
        <w:rPr>
          <w:sz w:val="24"/>
          <w:szCs w:val="24"/>
        </w:rPr>
        <w:t xml:space="preserve">ousing </w:t>
      </w:r>
      <w:r w:rsidR="006639AE">
        <w:rPr>
          <w:sz w:val="24"/>
          <w:szCs w:val="24"/>
        </w:rPr>
        <w:t>F</w:t>
      </w:r>
      <w:r w:rsidRPr="00E35A38">
        <w:rPr>
          <w:sz w:val="24"/>
          <w:szCs w:val="24"/>
        </w:rPr>
        <w:t xml:space="preserve">inance </w:t>
      </w:r>
      <w:r w:rsidR="006639AE">
        <w:rPr>
          <w:sz w:val="24"/>
          <w:szCs w:val="24"/>
        </w:rPr>
        <w:t>A</w:t>
      </w:r>
      <w:r w:rsidRPr="00E35A38">
        <w:rPr>
          <w:sz w:val="24"/>
          <w:szCs w:val="24"/>
        </w:rPr>
        <w:t xml:space="preserve">gencies (HFAs) through HUD’s Secure Systems environment.  All responses must be submitted electronically through this online system in the XML-format established by HUD. HFAs must submit the information annually with a deadline of September 30.  The information </w:t>
      </w:r>
      <w:r w:rsidR="001F2EB7">
        <w:rPr>
          <w:sz w:val="24"/>
          <w:szCs w:val="24"/>
        </w:rPr>
        <w:t xml:space="preserve">may </w:t>
      </w:r>
      <w:r w:rsidRPr="00E35A38">
        <w:rPr>
          <w:sz w:val="24"/>
          <w:szCs w:val="24"/>
        </w:rPr>
        <w:t xml:space="preserve">be shared with </w:t>
      </w:r>
      <w:r w:rsidR="00311A2A">
        <w:rPr>
          <w:sz w:val="24"/>
          <w:szCs w:val="24"/>
        </w:rPr>
        <w:t>the U.S. Census Bureau</w:t>
      </w:r>
      <w:r w:rsidR="000F771A">
        <w:rPr>
          <w:sz w:val="24"/>
          <w:szCs w:val="24"/>
        </w:rPr>
        <w:t xml:space="preserve"> </w:t>
      </w:r>
      <w:r w:rsidR="00226B9C">
        <w:rPr>
          <w:sz w:val="24"/>
          <w:szCs w:val="24"/>
        </w:rPr>
        <w:t>through a</w:t>
      </w:r>
      <w:r w:rsidR="00E32372">
        <w:rPr>
          <w:sz w:val="24"/>
          <w:szCs w:val="24"/>
        </w:rPr>
        <w:t xml:space="preserve"> </w:t>
      </w:r>
      <w:r w:rsidR="00251F8B">
        <w:rPr>
          <w:sz w:val="24"/>
          <w:szCs w:val="24"/>
        </w:rPr>
        <w:t>memorandu</w:t>
      </w:r>
      <w:r w:rsidR="0066281D">
        <w:rPr>
          <w:sz w:val="24"/>
          <w:szCs w:val="24"/>
        </w:rPr>
        <w:t>m of understanding</w:t>
      </w:r>
      <w:r w:rsidR="00311A2A">
        <w:rPr>
          <w:sz w:val="24"/>
          <w:szCs w:val="24"/>
        </w:rPr>
        <w:t xml:space="preserve"> </w:t>
      </w:r>
      <w:r w:rsidRPr="00E35A38">
        <w:rPr>
          <w:sz w:val="24"/>
          <w:szCs w:val="24"/>
        </w:rPr>
        <w:t xml:space="preserve">or </w:t>
      </w:r>
      <w:r w:rsidR="00311A2A">
        <w:rPr>
          <w:sz w:val="24"/>
          <w:szCs w:val="24"/>
        </w:rPr>
        <w:t xml:space="preserve">researchers </w:t>
      </w:r>
      <w:r w:rsidRPr="00E35A38">
        <w:rPr>
          <w:sz w:val="24"/>
          <w:szCs w:val="24"/>
        </w:rPr>
        <w:t>outside of HUD</w:t>
      </w:r>
      <w:r w:rsidR="002F0026">
        <w:rPr>
          <w:sz w:val="24"/>
          <w:szCs w:val="24"/>
        </w:rPr>
        <w:t xml:space="preserve"> through HUD’s data license agreement</w:t>
      </w:r>
      <w:r w:rsidRPr="00E35A38">
        <w:rPr>
          <w:sz w:val="24"/>
          <w:szCs w:val="24"/>
        </w:rPr>
        <w:t xml:space="preserve">.  </w:t>
      </w:r>
    </w:p>
    <w:p w:rsidR="00E3213B" w:rsidRPr="006C7FAE" w:rsidP="00EB0400" w14:paraId="7A06953B" w14:textId="77777777">
      <w:pPr>
        <w:keepLines/>
        <w:spacing w:before="120" w:after="80"/>
        <w:ind w:left="360"/>
        <w:rPr>
          <w:sz w:val="24"/>
          <w:szCs w:val="24"/>
        </w:rPr>
      </w:pPr>
      <w:r>
        <w:rPr>
          <w:sz w:val="24"/>
          <w:szCs w:val="24"/>
        </w:rPr>
        <w:t>The property data will be added to HUD’s LIHTC Properties Placed in Service database, which does not contain any sensitive information and is used by researchers, households searching for affordable housing</w:t>
      </w:r>
      <w:r w:rsidR="00A30CE2">
        <w:rPr>
          <w:sz w:val="24"/>
          <w:szCs w:val="24"/>
        </w:rPr>
        <w:t>,</w:t>
      </w:r>
      <w:r>
        <w:rPr>
          <w:sz w:val="24"/>
          <w:szCs w:val="24"/>
        </w:rPr>
        <w:t xml:space="preserve"> and policymakers.</w:t>
      </w:r>
    </w:p>
    <w:p w:rsidR="009E13B1" w:rsidRPr="006C7FAE" w14:paraId="03F41085" w14:textId="77777777">
      <w:pPr>
        <w:keepLines/>
        <w:tabs>
          <w:tab w:val="left" w:pos="360"/>
          <w:tab w:val="left" w:pos="720"/>
        </w:tabs>
        <w:ind w:left="360"/>
        <w:rPr>
          <w:sz w:val="24"/>
          <w:szCs w:val="24"/>
        </w:rPr>
      </w:pPr>
    </w:p>
    <w:p w:rsidR="009E13B1" w14:paraId="452A5F23" w14:textId="77777777">
      <w:pPr>
        <w:keepLines/>
        <w:tabs>
          <w:tab w:val="left" w:pos="360"/>
        </w:tabs>
        <w:spacing w:after="80"/>
        <w:ind w:left="360" w:hanging="360"/>
        <w:rPr>
          <w:sz w:val="24"/>
          <w:szCs w:val="24"/>
        </w:rPr>
      </w:pPr>
      <w:r w:rsidRPr="006C7FAE">
        <w:rPr>
          <w:sz w:val="24"/>
          <w:szCs w:val="24"/>
        </w:rPr>
        <w:t>3.</w:t>
      </w:r>
      <w:r w:rsidRPr="006C7FAE">
        <w:rPr>
          <w:sz w:val="24"/>
          <w:szCs w:val="24"/>
        </w:rPr>
        <w:tab/>
      </w:r>
      <w:r w:rsidRPr="003610DE">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35A38" w:rsidRPr="006C7FAE" w:rsidP="00766CB9" w14:paraId="05908AA0" w14:textId="77777777">
      <w:pPr>
        <w:keepLines/>
        <w:spacing w:before="120" w:after="80"/>
        <w:ind w:left="360"/>
        <w:rPr>
          <w:sz w:val="24"/>
          <w:szCs w:val="24"/>
        </w:rPr>
      </w:pPr>
      <w:r>
        <w:rPr>
          <w:sz w:val="24"/>
          <w:szCs w:val="24"/>
        </w:rPr>
        <w:t xml:space="preserve">In order to reduce the reporting burden on the HFAs, HUD designed this collection to use existing systems and technology that </w:t>
      </w:r>
      <w:r w:rsidR="00AB4E14">
        <w:rPr>
          <w:sz w:val="24"/>
          <w:szCs w:val="24"/>
        </w:rPr>
        <w:t>are</w:t>
      </w:r>
      <w:r>
        <w:rPr>
          <w:sz w:val="24"/>
          <w:szCs w:val="24"/>
        </w:rPr>
        <w:t xml:space="preserve"> already employed by the responding agencies. These state agencies use</w:t>
      </w:r>
      <w:r w:rsidRPr="00E35A38">
        <w:rPr>
          <w:sz w:val="24"/>
          <w:szCs w:val="24"/>
        </w:rPr>
        <w:t xml:space="preserve"> web-based systems </w:t>
      </w:r>
      <w:r w:rsidR="00AB4E14">
        <w:rPr>
          <w:sz w:val="24"/>
          <w:szCs w:val="24"/>
        </w:rPr>
        <w:t xml:space="preserve">that </w:t>
      </w:r>
      <w:r w:rsidRPr="00E35A38">
        <w:rPr>
          <w:sz w:val="24"/>
          <w:szCs w:val="24"/>
        </w:rPr>
        <w:t xml:space="preserve">contain the needed data items.  </w:t>
      </w:r>
      <w:r>
        <w:rPr>
          <w:sz w:val="24"/>
          <w:szCs w:val="24"/>
        </w:rPr>
        <w:t>HUD also provides a</w:t>
      </w:r>
      <w:r w:rsidRPr="00E35A38">
        <w:rPr>
          <w:sz w:val="24"/>
          <w:szCs w:val="24"/>
        </w:rPr>
        <w:t xml:space="preserve"> detailed set of instructions to enable state data processing staff to </w:t>
      </w:r>
      <w:r w:rsidR="00AB4E14">
        <w:rPr>
          <w:sz w:val="24"/>
          <w:szCs w:val="24"/>
        </w:rPr>
        <w:t xml:space="preserve">understand the nature of the requested items and to </w:t>
      </w:r>
      <w:r w:rsidRPr="00E35A38">
        <w:rPr>
          <w:sz w:val="24"/>
          <w:szCs w:val="24"/>
        </w:rPr>
        <w:t xml:space="preserve">construct or export the required XML data file using their current data system.  </w:t>
      </w:r>
      <w:r>
        <w:rPr>
          <w:sz w:val="24"/>
          <w:szCs w:val="24"/>
        </w:rPr>
        <w:t xml:space="preserve">HUD chose the required file format </w:t>
      </w:r>
      <w:r w:rsidR="00F812C3">
        <w:rPr>
          <w:sz w:val="24"/>
          <w:szCs w:val="24"/>
        </w:rPr>
        <w:t xml:space="preserve">(XML) </w:t>
      </w:r>
      <w:r>
        <w:rPr>
          <w:sz w:val="24"/>
          <w:szCs w:val="24"/>
        </w:rPr>
        <w:t xml:space="preserve">because </w:t>
      </w:r>
      <w:r w:rsidR="00F812C3">
        <w:rPr>
          <w:sz w:val="24"/>
          <w:szCs w:val="24"/>
        </w:rPr>
        <w:t>most</w:t>
      </w:r>
      <w:r w:rsidRPr="00E35A38">
        <w:rPr>
          <w:sz w:val="24"/>
          <w:szCs w:val="24"/>
        </w:rPr>
        <w:t xml:space="preserve"> states </w:t>
      </w:r>
      <w:r w:rsidR="00F812C3">
        <w:rPr>
          <w:sz w:val="24"/>
          <w:szCs w:val="24"/>
        </w:rPr>
        <w:t xml:space="preserve">use </w:t>
      </w:r>
      <w:r w:rsidRPr="00E35A38">
        <w:rPr>
          <w:sz w:val="24"/>
          <w:szCs w:val="24"/>
        </w:rPr>
        <w:t xml:space="preserve">systems that export </w:t>
      </w:r>
      <w:r w:rsidR="00F812C3">
        <w:rPr>
          <w:sz w:val="24"/>
          <w:szCs w:val="24"/>
        </w:rPr>
        <w:t xml:space="preserve">this </w:t>
      </w:r>
      <w:r w:rsidRPr="00E35A38">
        <w:rPr>
          <w:sz w:val="24"/>
          <w:szCs w:val="24"/>
        </w:rPr>
        <w:t>file</w:t>
      </w:r>
      <w:r w:rsidR="00F812C3">
        <w:rPr>
          <w:sz w:val="24"/>
          <w:szCs w:val="24"/>
        </w:rPr>
        <w:t xml:space="preserve"> type</w:t>
      </w:r>
      <w:r w:rsidRPr="00E35A38">
        <w:rPr>
          <w:sz w:val="24"/>
          <w:szCs w:val="24"/>
        </w:rPr>
        <w:t xml:space="preserve">.  In addition, HUD has </w:t>
      </w:r>
      <w:r w:rsidRPr="00E35A38">
        <w:rPr>
          <w:sz w:val="24"/>
          <w:szCs w:val="24"/>
        </w:rPr>
        <w:t>procured</w:t>
      </w:r>
      <w:r w:rsidRPr="00E35A38">
        <w:rPr>
          <w:sz w:val="24"/>
          <w:szCs w:val="24"/>
        </w:rPr>
        <w:t xml:space="preserve"> a contractor who will be available throughout the data collection period to answer questions and/or assist states as needed regarding data submission.</w:t>
      </w:r>
    </w:p>
    <w:p w:rsidR="009E13B1" w:rsidRPr="006C7FAE" w14:paraId="1522C57D" w14:textId="77777777">
      <w:pPr>
        <w:tabs>
          <w:tab w:val="left" w:pos="360"/>
        </w:tabs>
        <w:ind w:left="360" w:hanging="360"/>
        <w:rPr>
          <w:sz w:val="24"/>
          <w:szCs w:val="24"/>
        </w:rPr>
      </w:pPr>
    </w:p>
    <w:p w:rsidR="009E13B1" w:rsidRPr="003610DE" w14:paraId="71FF0A13" w14:textId="77777777">
      <w:pPr>
        <w:keepLines/>
        <w:tabs>
          <w:tab w:val="left" w:pos="360"/>
        </w:tabs>
        <w:spacing w:after="80"/>
        <w:ind w:left="360" w:hanging="360"/>
        <w:rPr>
          <w:b/>
          <w:bCs/>
          <w:sz w:val="24"/>
          <w:szCs w:val="24"/>
        </w:rPr>
      </w:pPr>
      <w:r w:rsidRPr="003610DE">
        <w:rPr>
          <w:b/>
          <w:bCs/>
          <w:sz w:val="24"/>
          <w:szCs w:val="24"/>
        </w:rPr>
        <w:t>4.</w:t>
      </w:r>
      <w:r w:rsidRPr="003610DE">
        <w:rPr>
          <w:b/>
          <w:bCs/>
          <w:sz w:val="24"/>
          <w:szCs w:val="24"/>
        </w:rPr>
        <w:tab/>
        <w:t>Describe efforts to identify duplication.  Show specifically why any similar information already available cannot be used or modified for use for the purposes described in Item 2 above.</w:t>
      </w:r>
    </w:p>
    <w:p w:rsidR="00E35A38" w:rsidRPr="00E35A38" w:rsidP="00EB0400" w14:paraId="6032678C" w14:textId="77777777">
      <w:pPr>
        <w:keepLines/>
        <w:spacing w:before="120" w:after="80"/>
        <w:ind w:left="360"/>
        <w:rPr>
          <w:sz w:val="24"/>
          <w:szCs w:val="24"/>
        </w:rPr>
      </w:pPr>
      <w:r w:rsidRPr="00E35A38">
        <w:rPr>
          <w:sz w:val="24"/>
          <w:szCs w:val="24"/>
        </w:rPr>
        <w:t xml:space="preserve">The congressional mandate for this data collection originated from the lack of data on tenants in </w:t>
      </w:r>
      <w:r w:rsidR="00F812C3">
        <w:rPr>
          <w:sz w:val="24"/>
          <w:szCs w:val="24"/>
        </w:rPr>
        <w:t>L</w:t>
      </w:r>
      <w:r w:rsidRPr="00E35A38">
        <w:rPr>
          <w:sz w:val="24"/>
          <w:szCs w:val="24"/>
        </w:rPr>
        <w:t xml:space="preserve">IHTC units.  This effort represents the only federal effort to collect data on tax credit tenants.  The tax credit program is designed such that program compliance is conducted by the state housing finance agencies.  For this reason, no federal agency collects information on LIHTC tenants.  This also represents the only federal effort to collect data on tax credit projects aside from IRS reporting which is not available for HUD or public use.   </w:t>
      </w:r>
    </w:p>
    <w:p w:rsidR="00E35A38" w:rsidRPr="00E35A38" w:rsidP="00EB0400" w14:paraId="08BB4E63" w14:textId="3BDFFBF9">
      <w:pPr>
        <w:keepLines/>
        <w:spacing w:before="120" w:after="80"/>
        <w:ind w:left="360"/>
        <w:rPr>
          <w:sz w:val="24"/>
          <w:szCs w:val="24"/>
        </w:rPr>
      </w:pPr>
      <w:r w:rsidRPr="00E35A38">
        <w:rPr>
          <w:sz w:val="24"/>
          <w:szCs w:val="24"/>
        </w:rPr>
        <w:t xml:space="preserve">Private researchers have conducted some work on the tax credit program, but these efforts have either been very limited in scope or do not provide data that is publicly available.  Indeed, one of the benefits </w:t>
      </w:r>
      <w:r w:rsidRPr="00E35A38">
        <w:rPr>
          <w:sz w:val="24"/>
          <w:szCs w:val="24"/>
        </w:rPr>
        <w:t>to states</w:t>
      </w:r>
      <w:r w:rsidRPr="00E35A38">
        <w:rPr>
          <w:sz w:val="24"/>
          <w:szCs w:val="24"/>
        </w:rPr>
        <w:t xml:space="preserve"> of this project is that HUD make</w:t>
      </w:r>
      <w:r w:rsidR="00AE2764">
        <w:rPr>
          <w:sz w:val="24"/>
          <w:szCs w:val="24"/>
        </w:rPr>
        <w:t>s</w:t>
      </w:r>
      <w:r w:rsidRPr="00E35A38">
        <w:rPr>
          <w:sz w:val="24"/>
          <w:szCs w:val="24"/>
        </w:rPr>
        <w:t xml:space="preserve"> the LIHTC database available to the public, thus eliminating the need for states to fill redundant requests from individual researchers.</w:t>
      </w:r>
    </w:p>
    <w:p w:rsidR="00E35A38" w:rsidRPr="006C7FAE" w:rsidP="00EB0400" w14:paraId="14BAEE5B" w14:textId="77777777">
      <w:pPr>
        <w:keepLines/>
        <w:spacing w:before="120" w:after="80"/>
        <w:ind w:left="360"/>
        <w:rPr>
          <w:sz w:val="24"/>
          <w:szCs w:val="24"/>
        </w:rPr>
      </w:pPr>
      <w:r w:rsidRPr="00E35A38">
        <w:rPr>
          <w:sz w:val="24"/>
          <w:szCs w:val="24"/>
        </w:rPr>
        <w:t>No data are available which are similar to the data that will be collected through this study.</w:t>
      </w:r>
    </w:p>
    <w:p w:rsidR="009E13B1" w14:paraId="6256C9FC" w14:textId="77777777">
      <w:pPr>
        <w:keepLines/>
        <w:tabs>
          <w:tab w:val="left" w:pos="360"/>
          <w:tab w:val="left" w:pos="720"/>
        </w:tabs>
        <w:ind w:left="360"/>
        <w:rPr>
          <w:sz w:val="24"/>
          <w:szCs w:val="24"/>
        </w:rPr>
      </w:pPr>
    </w:p>
    <w:p w:rsidR="000D1DE8" w14:paraId="26EBCCB3" w14:textId="77777777">
      <w:pPr>
        <w:keepLines/>
        <w:tabs>
          <w:tab w:val="left" w:pos="360"/>
          <w:tab w:val="left" w:pos="720"/>
        </w:tabs>
        <w:ind w:left="360"/>
        <w:rPr>
          <w:sz w:val="24"/>
          <w:szCs w:val="24"/>
        </w:rPr>
      </w:pPr>
    </w:p>
    <w:p w:rsidR="000D1DE8" w14:paraId="327799FF" w14:textId="77777777">
      <w:pPr>
        <w:keepLines/>
        <w:tabs>
          <w:tab w:val="left" w:pos="360"/>
          <w:tab w:val="left" w:pos="720"/>
        </w:tabs>
        <w:ind w:left="360"/>
        <w:rPr>
          <w:sz w:val="24"/>
          <w:szCs w:val="24"/>
        </w:rPr>
      </w:pPr>
    </w:p>
    <w:p w:rsidR="000D1DE8" w:rsidRPr="006C7FAE" w14:paraId="23C58C8C" w14:textId="77777777">
      <w:pPr>
        <w:keepLines/>
        <w:tabs>
          <w:tab w:val="left" w:pos="360"/>
          <w:tab w:val="left" w:pos="720"/>
        </w:tabs>
        <w:ind w:left="360"/>
        <w:rPr>
          <w:sz w:val="24"/>
          <w:szCs w:val="24"/>
        </w:rPr>
      </w:pPr>
    </w:p>
    <w:p w:rsidR="009E13B1" w:rsidRPr="003D186D" w14:paraId="368FB9D7" w14:textId="059B69A3">
      <w:pPr>
        <w:keepLines/>
        <w:tabs>
          <w:tab w:val="left" w:pos="360"/>
        </w:tabs>
        <w:spacing w:after="80"/>
        <w:ind w:left="360" w:hanging="360"/>
        <w:rPr>
          <w:b/>
          <w:bCs/>
          <w:sz w:val="24"/>
          <w:szCs w:val="24"/>
        </w:rPr>
      </w:pPr>
      <w:r w:rsidRPr="003D186D">
        <w:rPr>
          <w:b/>
          <w:bCs/>
          <w:sz w:val="24"/>
          <w:szCs w:val="24"/>
        </w:rPr>
        <w:t>5.</w:t>
      </w:r>
      <w:r w:rsidRPr="003D186D">
        <w:rPr>
          <w:b/>
          <w:bCs/>
          <w:sz w:val="24"/>
          <w:szCs w:val="24"/>
        </w:rPr>
        <w:tab/>
        <w:t>If the collection of information impacts small businesses or other small entities</w:t>
      </w:r>
      <w:r w:rsidR="003D186D">
        <w:rPr>
          <w:b/>
          <w:bCs/>
          <w:sz w:val="24"/>
          <w:szCs w:val="24"/>
        </w:rPr>
        <w:t xml:space="preserve">, </w:t>
      </w:r>
      <w:r w:rsidRPr="003D186D">
        <w:rPr>
          <w:b/>
          <w:bCs/>
          <w:sz w:val="24"/>
          <w:szCs w:val="24"/>
        </w:rPr>
        <w:t>describe any methods used to minimize burden.</w:t>
      </w:r>
    </w:p>
    <w:p w:rsidR="00E35A38" w:rsidRPr="006C7FAE" w:rsidP="00EB0400" w14:paraId="42D93928" w14:textId="77777777">
      <w:pPr>
        <w:keepLines/>
        <w:spacing w:before="120" w:after="80"/>
        <w:ind w:left="360"/>
        <w:rPr>
          <w:sz w:val="24"/>
          <w:szCs w:val="24"/>
        </w:rPr>
      </w:pPr>
      <w:r w:rsidRPr="00E35A38">
        <w:rPr>
          <w:sz w:val="24"/>
          <w:szCs w:val="24"/>
        </w:rPr>
        <w:t>Respondents for this data collection include state tax credit allocating agencies.  None of these entities is a private business.  HUD does not have information on the size of the entities administering the credits in individual states; however, responsibility typically lodges with a state housing finance agency, which would ordinarily not be considered a small entity.</w:t>
      </w:r>
    </w:p>
    <w:p w:rsidR="009E13B1" w:rsidRPr="006C7FAE" w14:paraId="22729B62" w14:textId="77777777">
      <w:pPr>
        <w:tabs>
          <w:tab w:val="left" w:pos="360"/>
        </w:tabs>
        <w:ind w:left="360" w:hanging="360"/>
        <w:rPr>
          <w:sz w:val="24"/>
          <w:szCs w:val="24"/>
        </w:rPr>
      </w:pPr>
    </w:p>
    <w:p w:rsidR="009E13B1" w:rsidRPr="003D186D" w14:paraId="21BFCF00" w14:textId="77777777">
      <w:pPr>
        <w:keepLines/>
        <w:tabs>
          <w:tab w:val="left" w:pos="360"/>
        </w:tabs>
        <w:spacing w:after="80"/>
        <w:ind w:left="360" w:hanging="360"/>
        <w:rPr>
          <w:b/>
          <w:bCs/>
          <w:sz w:val="24"/>
          <w:szCs w:val="24"/>
        </w:rPr>
      </w:pPr>
      <w:r w:rsidRPr="003D186D">
        <w:rPr>
          <w:b/>
          <w:bCs/>
          <w:sz w:val="24"/>
          <w:szCs w:val="24"/>
        </w:rPr>
        <w:t>6.</w:t>
      </w:r>
      <w:r w:rsidRPr="003D186D">
        <w:rPr>
          <w:b/>
          <w:bCs/>
          <w:sz w:val="24"/>
          <w:szCs w:val="24"/>
        </w:rPr>
        <w:tab/>
        <w:t>Describe the consequence to Federal program or policy activities if the collection is not conducted or is conducted less frequently, as well as any technical or legal obstacles to reducing burden.</w:t>
      </w:r>
    </w:p>
    <w:p w:rsidR="00E35A38" w:rsidRPr="006C7FAE" w:rsidP="00EB0400" w14:paraId="56750904" w14:textId="68560278">
      <w:pPr>
        <w:keepLines/>
        <w:spacing w:before="120" w:after="80"/>
        <w:ind w:left="360"/>
        <w:rPr>
          <w:sz w:val="24"/>
          <w:szCs w:val="24"/>
        </w:rPr>
      </w:pPr>
      <w:r w:rsidRPr="00E35A38">
        <w:rPr>
          <w:sz w:val="24"/>
          <w:szCs w:val="24"/>
        </w:rPr>
        <w:t>Less frequent data collection would violate the requirement in HERA to collect the information “at least annually</w:t>
      </w:r>
      <w:r w:rsidR="003D186D">
        <w:rPr>
          <w:sz w:val="24"/>
          <w:szCs w:val="24"/>
        </w:rPr>
        <w:t>.</w:t>
      </w:r>
      <w:r w:rsidRPr="00E35A38">
        <w:rPr>
          <w:sz w:val="24"/>
          <w:szCs w:val="24"/>
        </w:rPr>
        <w:t>” Aside from the statutory requirement, less frequent data collection places data at HUD’s disposal with longer lags.  Hence, the Department’s analysis of an important housing program is rendered less current and less comprehensive at any given time.  Annual data collection keeps HUD abreast of any trends as they are developing and are most amenable to policy intervention.  A secondary benefit of annual updates is, presumably, they are far less burdensome than the larger requests that would be needed if less frequent data collection were instituted.</w:t>
      </w:r>
    </w:p>
    <w:p w:rsidR="009E13B1" w:rsidRPr="006C7FAE" w14:paraId="62E7CC5F" w14:textId="77777777">
      <w:pPr>
        <w:keepLines/>
        <w:tabs>
          <w:tab w:val="left" w:pos="360"/>
          <w:tab w:val="left" w:pos="720"/>
        </w:tabs>
        <w:ind w:left="360"/>
        <w:rPr>
          <w:sz w:val="24"/>
          <w:szCs w:val="24"/>
        </w:rPr>
      </w:pPr>
    </w:p>
    <w:p w:rsidR="009E13B1" w14:paraId="71984442" w14:textId="77777777">
      <w:pPr>
        <w:numPr>
          <w:ilvl w:val="0"/>
          <w:numId w:val="13"/>
        </w:numPr>
        <w:tabs>
          <w:tab w:val="left" w:pos="360"/>
        </w:tabs>
        <w:rPr>
          <w:b/>
          <w:bCs/>
          <w:sz w:val="24"/>
          <w:szCs w:val="24"/>
        </w:rPr>
      </w:pPr>
      <w:r w:rsidRPr="003D186D">
        <w:rPr>
          <w:b/>
          <w:bCs/>
          <w:sz w:val="24"/>
          <w:szCs w:val="24"/>
        </w:rPr>
        <w:t xml:space="preserve">Explain any special circumstances that would cause an information collection to be conducted in a manner: </w:t>
      </w:r>
    </w:p>
    <w:p w:rsidR="003D186D" w:rsidRPr="003D186D" w:rsidP="003D186D" w14:paraId="65426917" w14:textId="77777777">
      <w:pPr>
        <w:tabs>
          <w:tab w:val="left" w:pos="360"/>
        </w:tabs>
        <w:ind w:left="360"/>
        <w:rPr>
          <w:b/>
          <w:bCs/>
          <w:sz w:val="24"/>
          <w:szCs w:val="24"/>
        </w:rPr>
      </w:pPr>
    </w:p>
    <w:p w:rsidR="003D186D" w:rsidRPr="0068469D" w:rsidP="003D186D" w14:paraId="560E9246" w14:textId="77777777">
      <w:pPr>
        <w:widowControl w:val="0"/>
        <w:numPr>
          <w:ilvl w:val="0"/>
          <w:numId w:val="17"/>
        </w:numPr>
        <w:tabs>
          <w:tab w:val="left" w:pos="-1440"/>
        </w:tabs>
        <w:overflowPunct/>
        <w:textAlignment w:val="auto"/>
        <w:rPr>
          <w:sz w:val="24"/>
          <w:szCs w:val="24"/>
        </w:rPr>
      </w:pPr>
      <w:r w:rsidRPr="0068469D">
        <w:rPr>
          <w:sz w:val="24"/>
          <w:szCs w:val="24"/>
        </w:rPr>
        <w:t>requiring respondents to report information to the agency more than quarterly – “</w:t>
      </w:r>
      <w:r w:rsidRPr="0068469D">
        <w:rPr>
          <w:b/>
          <w:sz w:val="24"/>
          <w:szCs w:val="24"/>
        </w:rPr>
        <w:t>Not Applicable</w:t>
      </w:r>
      <w:r w:rsidRPr="0068469D">
        <w:rPr>
          <w:sz w:val="24"/>
          <w:szCs w:val="24"/>
        </w:rPr>
        <w:t xml:space="preserve">”; </w:t>
      </w:r>
    </w:p>
    <w:p w:rsidR="003D186D" w:rsidRPr="0068469D" w:rsidP="003D186D" w14:paraId="080E6B76" w14:textId="77777777">
      <w:pPr>
        <w:widowControl w:val="0"/>
        <w:numPr>
          <w:ilvl w:val="0"/>
          <w:numId w:val="17"/>
        </w:numPr>
        <w:tabs>
          <w:tab w:val="left" w:pos="-1440"/>
        </w:tabs>
        <w:overflowPunct/>
        <w:textAlignment w:val="auto"/>
        <w:rPr>
          <w:sz w:val="24"/>
          <w:szCs w:val="24"/>
        </w:rPr>
      </w:pPr>
      <w:r w:rsidRPr="0068469D">
        <w:rPr>
          <w:sz w:val="24"/>
          <w:szCs w:val="24"/>
        </w:rPr>
        <w:t>requiring respondents to prepare a written response to a collection of information in fewer than 30 days after receipt of it – “</w:t>
      </w:r>
      <w:r w:rsidRPr="0068469D">
        <w:rPr>
          <w:b/>
          <w:sz w:val="24"/>
          <w:szCs w:val="24"/>
        </w:rPr>
        <w:t>Not Applicable</w:t>
      </w:r>
      <w:r w:rsidRPr="0068469D">
        <w:rPr>
          <w:sz w:val="24"/>
          <w:szCs w:val="24"/>
        </w:rPr>
        <w:t xml:space="preserve">”; </w:t>
      </w:r>
    </w:p>
    <w:p w:rsidR="003D186D" w:rsidRPr="0068469D" w:rsidP="003D186D" w14:paraId="2C3D5427" w14:textId="77777777">
      <w:pPr>
        <w:widowControl w:val="0"/>
        <w:numPr>
          <w:ilvl w:val="0"/>
          <w:numId w:val="17"/>
        </w:numPr>
        <w:tabs>
          <w:tab w:val="left" w:pos="-1440"/>
        </w:tabs>
        <w:overflowPunct/>
        <w:textAlignment w:val="auto"/>
        <w:rPr>
          <w:sz w:val="24"/>
          <w:szCs w:val="24"/>
        </w:rPr>
      </w:pPr>
      <w:r w:rsidRPr="0068469D">
        <w:rPr>
          <w:sz w:val="24"/>
          <w:szCs w:val="24"/>
        </w:rPr>
        <w:t>requiring respondents to submit more than an original and two copies of any document – “</w:t>
      </w:r>
      <w:r w:rsidRPr="0068469D">
        <w:rPr>
          <w:b/>
          <w:sz w:val="24"/>
          <w:szCs w:val="24"/>
        </w:rPr>
        <w:t>Not Applicable</w:t>
      </w:r>
      <w:r w:rsidRPr="0068469D">
        <w:rPr>
          <w:sz w:val="24"/>
          <w:szCs w:val="24"/>
        </w:rPr>
        <w:t xml:space="preserve">”; </w:t>
      </w:r>
    </w:p>
    <w:p w:rsidR="003D186D" w:rsidRPr="0068469D" w:rsidP="003D186D" w14:paraId="47D21E2E" w14:textId="77777777">
      <w:pPr>
        <w:widowControl w:val="0"/>
        <w:numPr>
          <w:ilvl w:val="0"/>
          <w:numId w:val="17"/>
        </w:numPr>
        <w:tabs>
          <w:tab w:val="left" w:pos="-1440"/>
        </w:tabs>
        <w:overflowPunct/>
        <w:textAlignment w:val="auto"/>
        <w:rPr>
          <w:sz w:val="24"/>
          <w:szCs w:val="24"/>
        </w:rPr>
      </w:pPr>
      <w:r w:rsidRPr="0068469D">
        <w:rPr>
          <w:sz w:val="24"/>
          <w:szCs w:val="24"/>
        </w:rPr>
        <w:t>requiring respondents to retain records other than health, medical, government contract, grant-in-aid, or tax records for more than three years – “</w:t>
      </w:r>
      <w:r w:rsidRPr="0068469D">
        <w:rPr>
          <w:b/>
          <w:sz w:val="24"/>
          <w:szCs w:val="24"/>
        </w:rPr>
        <w:t>Not Applicable</w:t>
      </w:r>
      <w:r w:rsidRPr="0068469D">
        <w:rPr>
          <w:sz w:val="24"/>
          <w:szCs w:val="24"/>
        </w:rPr>
        <w:t xml:space="preserve">”; </w:t>
      </w:r>
    </w:p>
    <w:p w:rsidR="003D186D" w:rsidRPr="0068469D" w:rsidP="003D186D" w14:paraId="62DCA586" w14:textId="77777777">
      <w:pPr>
        <w:widowControl w:val="0"/>
        <w:numPr>
          <w:ilvl w:val="0"/>
          <w:numId w:val="17"/>
        </w:numPr>
        <w:tabs>
          <w:tab w:val="left" w:pos="-1440"/>
        </w:tabs>
        <w:overflowPunct/>
        <w:textAlignment w:val="auto"/>
        <w:rPr>
          <w:sz w:val="24"/>
          <w:szCs w:val="24"/>
        </w:rPr>
      </w:pPr>
      <w:r w:rsidRPr="0068469D">
        <w:rPr>
          <w:sz w:val="24"/>
          <w:szCs w:val="24"/>
        </w:rPr>
        <w:t>requiring the use of a statistical data classification that has not been reviewed and approved by OMB – “</w:t>
      </w:r>
      <w:r w:rsidRPr="0068469D">
        <w:rPr>
          <w:b/>
          <w:sz w:val="24"/>
          <w:szCs w:val="24"/>
        </w:rPr>
        <w:t>Not Applicable</w:t>
      </w:r>
      <w:r w:rsidRPr="0068469D">
        <w:rPr>
          <w:sz w:val="24"/>
          <w:szCs w:val="24"/>
        </w:rPr>
        <w:t xml:space="preserve">”; </w:t>
      </w:r>
    </w:p>
    <w:p w:rsidR="003D186D" w:rsidRPr="0068469D" w:rsidP="003D186D" w14:paraId="45C6E537" w14:textId="77777777">
      <w:pPr>
        <w:widowControl w:val="0"/>
        <w:numPr>
          <w:ilvl w:val="0"/>
          <w:numId w:val="17"/>
        </w:numPr>
        <w:tabs>
          <w:tab w:val="left" w:pos="-1440"/>
        </w:tabs>
        <w:overflowPunct/>
        <w:textAlignment w:val="auto"/>
        <w:rPr>
          <w:sz w:val="24"/>
          <w:szCs w:val="24"/>
        </w:rPr>
      </w:pPr>
      <w:r w:rsidRPr="0068469D">
        <w:rPr>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 “</w:t>
      </w:r>
      <w:r w:rsidRPr="0068469D">
        <w:rPr>
          <w:b/>
          <w:sz w:val="24"/>
          <w:szCs w:val="24"/>
        </w:rPr>
        <w:t>Not Applicable</w:t>
      </w:r>
      <w:r w:rsidRPr="0068469D">
        <w:rPr>
          <w:sz w:val="24"/>
          <w:szCs w:val="24"/>
        </w:rPr>
        <w:t xml:space="preserve">”; or </w:t>
      </w:r>
    </w:p>
    <w:p w:rsidR="003D186D" w:rsidRPr="0068469D" w:rsidP="003D186D" w14:paraId="7A543928" w14:textId="77777777">
      <w:pPr>
        <w:widowControl w:val="0"/>
        <w:numPr>
          <w:ilvl w:val="0"/>
          <w:numId w:val="17"/>
        </w:numPr>
        <w:tabs>
          <w:tab w:val="left" w:pos="-1440"/>
        </w:tabs>
        <w:overflowPunct/>
        <w:textAlignment w:val="auto"/>
        <w:rPr>
          <w:sz w:val="24"/>
          <w:szCs w:val="24"/>
        </w:rPr>
      </w:pPr>
      <w:r w:rsidRPr="0068469D">
        <w:rPr>
          <w:sz w:val="24"/>
          <w:szCs w:val="24"/>
        </w:rPr>
        <w:t>requiring respondents to submit proprietary trade secret, or other confidential information unless the agency can demonstrate that it has instituted procedures to protect the information's confidentiality to the extent permitted by law – “</w:t>
      </w:r>
      <w:r w:rsidRPr="0068469D">
        <w:rPr>
          <w:b/>
          <w:sz w:val="24"/>
          <w:szCs w:val="24"/>
        </w:rPr>
        <w:t>Not Applicable</w:t>
      </w:r>
      <w:r w:rsidRPr="0068469D">
        <w:rPr>
          <w:sz w:val="24"/>
          <w:szCs w:val="24"/>
        </w:rPr>
        <w:t>”.</w:t>
      </w:r>
    </w:p>
    <w:p w:rsidR="00E35A38" w:rsidRPr="006C7FAE" w14:paraId="3FE139AD" w14:textId="77777777">
      <w:pPr>
        <w:tabs>
          <w:tab w:val="left" w:pos="360"/>
        </w:tabs>
        <w:ind w:left="360" w:hanging="360"/>
        <w:rPr>
          <w:sz w:val="24"/>
          <w:szCs w:val="24"/>
        </w:rPr>
      </w:pPr>
    </w:p>
    <w:p w:rsidR="009E13B1" w:rsidP="00B97F2E" w14:paraId="3E6E6DFA" w14:textId="11B9A2E9">
      <w:pPr>
        <w:numPr>
          <w:ilvl w:val="0"/>
          <w:numId w:val="13"/>
        </w:numPr>
        <w:tabs>
          <w:tab w:val="left" w:pos="360"/>
        </w:tabs>
        <w:rPr>
          <w:b/>
          <w:bCs/>
          <w:sz w:val="24"/>
          <w:szCs w:val="24"/>
        </w:rPr>
      </w:pPr>
      <w:r w:rsidRPr="003D186D">
        <w:rPr>
          <w:b/>
          <w:bCs/>
          <w:sz w:val="24"/>
          <w:szCs w:val="24"/>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B97F2E" w:rsidRPr="003D186D" w:rsidP="00B97F2E" w14:paraId="5BACDD7B" w14:textId="77777777">
      <w:pPr>
        <w:tabs>
          <w:tab w:val="left" w:pos="360"/>
        </w:tabs>
        <w:ind w:left="360"/>
        <w:rPr>
          <w:b/>
          <w:bCs/>
          <w:sz w:val="24"/>
          <w:szCs w:val="24"/>
        </w:rPr>
      </w:pPr>
    </w:p>
    <w:p w:rsidR="009E13B1" w14:paraId="2D7DD847" w14:textId="77777777">
      <w:pPr>
        <w:numPr>
          <w:ilvl w:val="0"/>
          <w:numId w:val="14"/>
        </w:numPr>
        <w:tabs>
          <w:tab w:val="left" w:pos="360"/>
        </w:tabs>
        <w:ind w:left="480"/>
        <w:rPr>
          <w:b/>
          <w:bCs/>
          <w:sz w:val="24"/>
          <w:szCs w:val="24"/>
        </w:rPr>
      </w:pPr>
      <w:r w:rsidRPr="003D186D">
        <w:rPr>
          <w:b/>
          <w:bCs/>
          <w:sz w:val="24"/>
          <w:szCs w:val="24"/>
        </w:rPr>
        <w:t xml:space="preserve">Describe efforts to consult with persons outside the agency to obtain their views on the availability of data, frequency of collection, the clarity of instructions and recordkeeping </w:t>
      </w:r>
      <w:r w:rsidRPr="003D186D">
        <w:rPr>
          <w:b/>
          <w:bCs/>
          <w:sz w:val="24"/>
          <w:szCs w:val="24"/>
        </w:rPr>
        <w:t>disclosure, or reporting format (if any) and the data elements to be recorded, disclosed, or reported.</w:t>
      </w:r>
    </w:p>
    <w:p w:rsidR="00B97F2E" w:rsidRPr="003D186D" w:rsidP="00B97F2E" w14:paraId="61C1B3B8" w14:textId="77777777">
      <w:pPr>
        <w:tabs>
          <w:tab w:val="left" w:pos="360"/>
        </w:tabs>
        <w:ind w:left="480"/>
        <w:rPr>
          <w:b/>
          <w:bCs/>
          <w:sz w:val="24"/>
          <w:szCs w:val="24"/>
        </w:rPr>
      </w:pPr>
    </w:p>
    <w:p w:rsidR="009E13B1" w:rsidP="00B97F2E" w14:paraId="4FDEE812" w14:textId="77777777">
      <w:pPr>
        <w:keepLines/>
        <w:numPr>
          <w:ilvl w:val="0"/>
          <w:numId w:val="14"/>
        </w:numPr>
        <w:tabs>
          <w:tab w:val="left" w:pos="360"/>
        </w:tabs>
        <w:ind w:left="480"/>
        <w:rPr>
          <w:b/>
          <w:bCs/>
          <w:sz w:val="24"/>
          <w:szCs w:val="24"/>
        </w:rPr>
      </w:pPr>
      <w:r w:rsidRPr="003D186D">
        <w:rPr>
          <w:b/>
          <w:bCs/>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B97F2E" w:rsidRPr="003D186D" w:rsidP="00B97F2E" w14:paraId="6C6D75FF" w14:textId="77777777">
      <w:pPr>
        <w:keepLines/>
        <w:tabs>
          <w:tab w:val="left" w:pos="360"/>
        </w:tabs>
        <w:ind w:left="480"/>
        <w:rPr>
          <w:b/>
          <w:bCs/>
          <w:sz w:val="24"/>
          <w:szCs w:val="24"/>
        </w:rPr>
      </w:pPr>
    </w:p>
    <w:p w:rsidR="00B97F2E" w:rsidP="000D1DE8" w14:paraId="335E213E" w14:textId="48EAE07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bookmarkStart w:id="0" w:name="_Hlk200363662"/>
      <w:r w:rsidRPr="0068469D">
        <w:rPr>
          <w:sz w:val="24"/>
          <w:szCs w:val="24"/>
        </w:rPr>
        <w:t>In accordance with 5 CFR 1320.8 (Paperwork Reduction Act of 1995), HUD published a 60-Day Notice of Proposed Information Collection in the Federal Register on J</w:t>
      </w:r>
      <w:r>
        <w:rPr>
          <w:sz w:val="24"/>
          <w:szCs w:val="24"/>
        </w:rPr>
        <w:t>une 2</w:t>
      </w:r>
      <w:r w:rsidRPr="0068469D">
        <w:rPr>
          <w:sz w:val="24"/>
          <w:szCs w:val="24"/>
        </w:rPr>
        <w:t>, 2025 (Docket No. FR-7</w:t>
      </w:r>
      <w:r>
        <w:rPr>
          <w:sz w:val="24"/>
          <w:szCs w:val="24"/>
        </w:rPr>
        <w:t>103</w:t>
      </w:r>
      <w:r w:rsidRPr="0068469D">
        <w:rPr>
          <w:sz w:val="24"/>
          <w:szCs w:val="24"/>
        </w:rPr>
        <w:t>-N-0</w:t>
      </w:r>
      <w:r>
        <w:rPr>
          <w:sz w:val="24"/>
          <w:szCs w:val="24"/>
        </w:rPr>
        <w:t>2</w:t>
      </w:r>
      <w:r w:rsidRPr="0068469D">
        <w:rPr>
          <w:sz w:val="24"/>
          <w:szCs w:val="24"/>
        </w:rPr>
        <w:t xml:space="preserve">, pages </w:t>
      </w:r>
      <w:r>
        <w:rPr>
          <w:sz w:val="24"/>
          <w:szCs w:val="24"/>
        </w:rPr>
        <w:t>23357-</w:t>
      </w:r>
      <w:r>
        <w:rPr>
          <w:sz w:val="24"/>
          <w:szCs w:val="24"/>
        </w:rPr>
        <w:t>23358</w:t>
      </w:r>
      <w:r w:rsidRPr="0068469D">
        <w:rPr>
          <w:sz w:val="24"/>
          <w:szCs w:val="24"/>
        </w:rPr>
        <w:t xml:space="preserve">) related to the data collection activities for the </w:t>
      </w:r>
      <w:r w:rsidRPr="00B97F2E">
        <w:rPr>
          <w:bCs/>
          <w:sz w:val="24"/>
          <w:szCs w:val="24"/>
        </w:rPr>
        <w:t>Low-Income Housing Tax Credit (LIHTC) Data Collection</w:t>
      </w:r>
      <w:r>
        <w:rPr>
          <w:bCs/>
          <w:sz w:val="24"/>
          <w:szCs w:val="24"/>
        </w:rPr>
        <w:t>.</w:t>
      </w:r>
      <w:r w:rsidRPr="0068469D">
        <w:rPr>
          <w:sz w:val="24"/>
          <w:szCs w:val="24"/>
        </w:rPr>
        <w:t xml:space="preserve"> The notice provide</w:t>
      </w:r>
      <w:r>
        <w:rPr>
          <w:sz w:val="24"/>
          <w:szCs w:val="24"/>
        </w:rPr>
        <w:t>s</w:t>
      </w:r>
      <w:r w:rsidRPr="0068469D">
        <w:rPr>
          <w:sz w:val="24"/>
          <w:szCs w:val="24"/>
        </w:rPr>
        <w:t xml:space="preserve"> a 60-day period for public comments, and comments </w:t>
      </w:r>
      <w:r>
        <w:rPr>
          <w:sz w:val="24"/>
          <w:szCs w:val="24"/>
        </w:rPr>
        <w:t>are</w:t>
      </w:r>
      <w:r w:rsidRPr="0068469D">
        <w:rPr>
          <w:sz w:val="24"/>
          <w:szCs w:val="24"/>
        </w:rPr>
        <w:t xml:space="preserve"> due </w:t>
      </w:r>
      <w:r>
        <w:rPr>
          <w:sz w:val="24"/>
          <w:szCs w:val="24"/>
        </w:rPr>
        <w:t>August 1, 2025</w:t>
      </w:r>
      <w:r w:rsidRPr="0068469D">
        <w:rPr>
          <w:sz w:val="24"/>
          <w:szCs w:val="24"/>
        </w:rPr>
        <w:t xml:space="preserve">. </w:t>
      </w:r>
      <w:r>
        <w:rPr>
          <w:sz w:val="24"/>
          <w:szCs w:val="24"/>
        </w:rPr>
        <w:t xml:space="preserve">This supporting statement will be updated with a summary of any public comments that are received. </w:t>
      </w:r>
      <w:bookmarkEnd w:id="0"/>
    </w:p>
    <w:p w:rsidR="000D1DE8" w:rsidP="000D1DE8" w14:paraId="2450147B"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360"/>
        <w:rPr>
          <w:sz w:val="24"/>
          <w:szCs w:val="24"/>
        </w:rPr>
      </w:pPr>
    </w:p>
    <w:p w:rsidR="00E35A38" w:rsidRPr="006C7FAE" w:rsidP="00B97F2E" w14:paraId="3579D0EF" w14:textId="23CABA69">
      <w:pPr>
        <w:keepLines/>
        <w:ind w:left="360"/>
        <w:rPr>
          <w:sz w:val="24"/>
          <w:szCs w:val="24"/>
        </w:rPr>
      </w:pPr>
      <w:r w:rsidRPr="00E35A38">
        <w:rPr>
          <w:sz w:val="24"/>
          <w:szCs w:val="24"/>
        </w:rPr>
        <w:t xml:space="preserve">HUD staff </w:t>
      </w:r>
      <w:r w:rsidR="00BB459D">
        <w:rPr>
          <w:sz w:val="24"/>
          <w:szCs w:val="24"/>
        </w:rPr>
        <w:t xml:space="preserve">are periodically </w:t>
      </w:r>
      <w:r w:rsidRPr="00E35A38">
        <w:rPr>
          <w:sz w:val="24"/>
          <w:szCs w:val="24"/>
        </w:rPr>
        <w:t>in contact with the state housing finance agencies which are required to submit this information.  In addition to informal communication, HUD staff regularly participate in two annual conferences hosted by the National Council of State Housing Agencies (NCSHA).  HUD staff also participate in the Multifamily Information and Transactions Standards (MITS) working group, which is composed of state housing finance agencies and their software vendors.  This group works to define a common set of electronic reporting standards across states in order to facilitate the development of reporting systems and reduce reporting burden for property managers who submit the required compliance information to state housing finance agencies.</w:t>
      </w:r>
    </w:p>
    <w:p w:rsidR="00E35A38" w:rsidP="00D5058C" w14:paraId="1D5124DD" w14:textId="77777777">
      <w:pPr>
        <w:tabs>
          <w:tab w:val="left" w:pos="360"/>
        </w:tabs>
        <w:ind w:left="360"/>
        <w:rPr>
          <w:sz w:val="24"/>
          <w:szCs w:val="24"/>
        </w:rPr>
      </w:pPr>
    </w:p>
    <w:p w:rsidR="009E13B1" w:rsidRPr="00B97F2E" w14:paraId="4CFFE310" w14:textId="77777777">
      <w:pPr>
        <w:keepLines/>
        <w:tabs>
          <w:tab w:val="left" w:pos="360"/>
        </w:tabs>
        <w:spacing w:after="80"/>
        <w:ind w:left="360" w:hanging="360"/>
        <w:rPr>
          <w:b/>
          <w:bCs/>
          <w:sz w:val="24"/>
          <w:szCs w:val="24"/>
        </w:rPr>
      </w:pPr>
      <w:r w:rsidRPr="00B97F2E">
        <w:rPr>
          <w:b/>
          <w:bCs/>
          <w:sz w:val="24"/>
          <w:szCs w:val="24"/>
        </w:rPr>
        <w:t>9.</w:t>
      </w:r>
      <w:r w:rsidRPr="00B97F2E">
        <w:rPr>
          <w:b/>
          <w:bCs/>
          <w:sz w:val="24"/>
          <w:szCs w:val="24"/>
        </w:rPr>
        <w:tab/>
        <w:t>Explain any decision to provide any payment or gift to respondents, other than reenumeration of contractors or grantees.</w:t>
      </w:r>
    </w:p>
    <w:p w:rsidR="00E35A38" w:rsidRPr="006C7FAE" w:rsidP="00D5058C" w14:paraId="0FB6C02C" w14:textId="77777777">
      <w:pPr>
        <w:keepLines/>
        <w:spacing w:before="120" w:after="80"/>
        <w:ind w:left="360"/>
        <w:rPr>
          <w:sz w:val="24"/>
          <w:szCs w:val="24"/>
        </w:rPr>
      </w:pPr>
      <w:r w:rsidRPr="00E35A38">
        <w:rPr>
          <w:sz w:val="24"/>
          <w:szCs w:val="24"/>
        </w:rPr>
        <w:t>No payments or gifts will be provided to respondents.</w:t>
      </w:r>
    </w:p>
    <w:p w:rsidR="00E35A38" w:rsidRPr="00402947" w14:paraId="70F705EA" w14:textId="77777777">
      <w:pPr>
        <w:tabs>
          <w:tab w:val="left" w:pos="360"/>
        </w:tabs>
        <w:ind w:left="360" w:hanging="360"/>
        <w:rPr>
          <w:b/>
          <w:bCs/>
          <w:sz w:val="24"/>
          <w:szCs w:val="24"/>
        </w:rPr>
      </w:pPr>
    </w:p>
    <w:p w:rsidR="00EC07AD" w:rsidRPr="00402947" w:rsidP="00EC07AD" w14:paraId="1EF2BB28" w14:textId="77777777">
      <w:pPr>
        <w:keepLines/>
        <w:tabs>
          <w:tab w:val="left" w:pos="360"/>
        </w:tabs>
        <w:spacing w:after="80"/>
        <w:ind w:left="360" w:hanging="360"/>
        <w:rPr>
          <w:b/>
          <w:bCs/>
          <w:sz w:val="24"/>
          <w:szCs w:val="24"/>
        </w:rPr>
      </w:pPr>
      <w:r w:rsidRPr="00402947">
        <w:rPr>
          <w:b/>
          <w:bCs/>
          <w:sz w:val="24"/>
          <w:szCs w:val="24"/>
        </w:rPr>
        <w:t>10.</w:t>
      </w:r>
      <w:r w:rsidRPr="00402947">
        <w:rPr>
          <w:b/>
          <w:bCs/>
          <w:sz w:val="24"/>
          <w:szCs w:val="24"/>
        </w:rPr>
        <w:tab/>
        <w:t>Describe any assurance of confidentiality provided to respondents and the basis for assurance in statute, regulation or agency policy.</w:t>
      </w:r>
      <w:r w:rsidRPr="00402947">
        <w:rPr>
          <w:b/>
          <w:bCs/>
          <w:sz w:val="24"/>
          <w:szCs w:val="24"/>
        </w:rPr>
        <w:t xml:space="preserve"> If the collection requires a system of records notice (SORN) or privacy impact assessment (PIA), those should be cited and described here.</w:t>
      </w:r>
    </w:p>
    <w:p w:rsidR="00E35A38" w:rsidRPr="00E35A38" w:rsidP="00D5058C" w14:paraId="65F20E9C" w14:textId="38DB9966">
      <w:pPr>
        <w:keepLines/>
        <w:spacing w:before="120" w:after="80"/>
        <w:ind w:left="360"/>
        <w:rPr>
          <w:sz w:val="24"/>
          <w:szCs w:val="24"/>
        </w:rPr>
      </w:pPr>
      <w:r>
        <w:rPr>
          <w:sz w:val="24"/>
          <w:szCs w:val="24"/>
        </w:rPr>
        <w:t xml:space="preserve">A Privacy Advisory is included on the HUD-52697 HUD LIHTC Tenant Data Collection Form. </w:t>
      </w:r>
      <w:r w:rsidRPr="00E35A38">
        <w:rPr>
          <w:sz w:val="24"/>
          <w:szCs w:val="24"/>
        </w:rPr>
        <w:t xml:space="preserve">The collected tenant data will be aggregated to prevent the identification and protect the privacy of individuals prior to public release.  HUD will apply Census-type disclosure rules to protect tenant privacy.  </w:t>
      </w:r>
    </w:p>
    <w:p w:rsidR="00E35A38" w:rsidRPr="006C7FAE" w:rsidP="00D5058C" w14:paraId="122775E7" w14:textId="60A7DE47">
      <w:pPr>
        <w:keepLines/>
        <w:spacing w:before="120" w:after="80"/>
        <w:ind w:left="360"/>
        <w:rPr>
          <w:sz w:val="24"/>
          <w:szCs w:val="24"/>
        </w:rPr>
      </w:pPr>
      <w:r w:rsidRPr="00E35A38">
        <w:rPr>
          <w:sz w:val="24"/>
          <w:szCs w:val="24"/>
        </w:rPr>
        <w:t xml:space="preserve">The property characteristics information to be collected </w:t>
      </w:r>
      <w:r w:rsidR="00402947">
        <w:rPr>
          <w:sz w:val="24"/>
          <w:szCs w:val="24"/>
        </w:rPr>
        <w:t>on the HUD-52695 HUD LIHTC Database Data Collection Form</w:t>
      </w:r>
      <w:r w:rsidRPr="00E35A38" w:rsidR="00402947">
        <w:rPr>
          <w:sz w:val="24"/>
          <w:szCs w:val="24"/>
        </w:rPr>
        <w:t xml:space="preserve"> </w:t>
      </w:r>
      <w:r w:rsidRPr="00E35A38">
        <w:rPr>
          <w:sz w:val="24"/>
          <w:szCs w:val="24"/>
        </w:rPr>
        <w:t xml:space="preserve">are basic, descriptive data about </w:t>
      </w:r>
      <w:r w:rsidRPr="00E35A38" w:rsidR="00D5058C">
        <w:rPr>
          <w:sz w:val="24"/>
          <w:szCs w:val="24"/>
        </w:rPr>
        <w:t>publicly subsidized</w:t>
      </w:r>
      <w:r w:rsidRPr="00E35A38">
        <w:rPr>
          <w:sz w:val="24"/>
          <w:szCs w:val="24"/>
        </w:rPr>
        <w:t xml:space="preserve"> housing projects, specifically their location, size, and use of specific financing mechanisms.  </w:t>
      </w:r>
      <w:r w:rsidR="00402947">
        <w:rPr>
          <w:sz w:val="24"/>
          <w:szCs w:val="24"/>
        </w:rPr>
        <w:t xml:space="preserve">The </w:t>
      </w:r>
      <w:r w:rsidRPr="00E35A38" w:rsidR="00402947">
        <w:rPr>
          <w:sz w:val="24"/>
          <w:szCs w:val="24"/>
        </w:rPr>
        <w:t xml:space="preserve">requested property-level data </w:t>
      </w:r>
      <w:r w:rsidRPr="00E35A38">
        <w:rPr>
          <w:sz w:val="24"/>
          <w:szCs w:val="24"/>
        </w:rPr>
        <w:t xml:space="preserve">is already </w:t>
      </w:r>
      <w:r w:rsidRPr="00E35A38" w:rsidR="00D5058C">
        <w:rPr>
          <w:sz w:val="24"/>
          <w:szCs w:val="24"/>
        </w:rPr>
        <w:t>publicly</w:t>
      </w:r>
      <w:r w:rsidRPr="00E35A38">
        <w:rPr>
          <w:sz w:val="24"/>
          <w:szCs w:val="24"/>
        </w:rPr>
        <w:t xml:space="preserve"> available.  Therefore, no offers of confidentiality will be made for the collected project data.  </w:t>
      </w:r>
    </w:p>
    <w:p w:rsidR="00E35A38" w:rsidRPr="006C7FAE" w14:paraId="0EE2E2BB" w14:textId="77777777">
      <w:pPr>
        <w:tabs>
          <w:tab w:val="left" w:pos="360"/>
        </w:tabs>
        <w:ind w:left="360" w:hanging="360"/>
        <w:rPr>
          <w:sz w:val="24"/>
          <w:szCs w:val="24"/>
        </w:rPr>
      </w:pPr>
    </w:p>
    <w:p w:rsidR="009E13B1" w:rsidRPr="00402947" w14:paraId="3120E22C" w14:textId="77777777">
      <w:pPr>
        <w:keepLines/>
        <w:tabs>
          <w:tab w:val="left" w:pos="360"/>
        </w:tabs>
        <w:spacing w:after="80"/>
        <w:ind w:left="360" w:hanging="360"/>
        <w:rPr>
          <w:b/>
          <w:bCs/>
          <w:sz w:val="24"/>
          <w:szCs w:val="24"/>
        </w:rPr>
      </w:pPr>
      <w:r w:rsidRPr="00402947">
        <w:rPr>
          <w:b/>
          <w:bCs/>
          <w:sz w:val="24"/>
          <w:szCs w:val="24"/>
        </w:rPr>
        <w:t>11.</w:t>
      </w:r>
      <w:r w:rsidRPr="00402947">
        <w:rPr>
          <w:b/>
          <w:bCs/>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35A38" w:rsidRPr="00E35A38" w:rsidP="00D5058C" w14:paraId="55917B57" w14:textId="7120EA13">
      <w:pPr>
        <w:keepLines/>
        <w:spacing w:before="120" w:after="80"/>
        <w:ind w:left="360"/>
        <w:rPr>
          <w:sz w:val="24"/>
          <w:szCs w:val="24"/>
        </w:rPr>
      </w:pPr>
      <w:r w:rsidRPr="00E35A38">
        <w:rPr>
          <w:sz w:val="24"/>
          <w:szCs w:val="24"/>
        </w:rPr>
        <w:t xml:space="preserve">The </w:t>
      </w:r>
      <w:r w:rsidR="00402947">
        <w:rPr>
          <w:sz w:val="24"/>
          <w:szCs w:val="24"/>
        </w:rPr>
        <w:t>HUD-52697 HUD LIHTC Tenant Data Collection Form</w:t>
      </w:r>
      <w:r w:rsidRPr="00E35A38" w:rsidR="00402947">
        <w:rPr>
          <w:sz w:val="24"/>
          <w:szCs w:val="24"/>
        </w:rPr>
        <w:t xml:space="preserve"> </w:t>
      </w:r>
      <w:r w:rsidRPr="00E35A38">
        <w:rPr>
          <w:sz w:val="24"/>
          <w:szCs w:val="24"/>
        </w:rPr>
        <w:t>contains questions which may be considered sensitive, including income, rent, date of birth, race, ethnicity and disability status.  However, these questions are mandated by the 42 USC § 1437z–8 and HUD has no discretion regarding their inclusion.  In the absence of these tenant questions, HUD would be violation of the National Housing Act as amended by HERA.</w:t>
      </w:r>
    </w:p>
    <w:p w:rsidR="00E35A38" w:rsidRPr="006C7FAE" w:rsidP="00D5058C" w14:paraId="49358BC7" w14:textId="77777777">
      <w:pPr>
        <w:keepLines/>
        <w:spacing w:before="120" w:after="80"/>
        <w:ind w:left="360"/>
        <w:rPr>
          <w:sz w:val="24"/>
          <w:szCs w:val="24"/>
        </w:rPr>
      </w:pPr>
      <w:r w:rsidRPr="00E35A38">
        <w:rPr>
          <w:sz w:val="24"/>
          <w:szCs w:val="24"/>
        </w:rPr>
        <w:t>The questions concerning property characteristics are not considered sensitive in nature.  Information focuses on standard variables concerning the location, size, and other characteristics of federally subsidized housing projects.</w:t>
      </w:r>
    </w:p>
    <w:p w:rsidR="009E13B1" w:rsidRPr="00402947" w14:paraId="26401C99" w14:textId="77777777">
      <w:pPr>
        <w:tabs>
          <w:tab w:val="left" w:pos="360"/>
        </w:tabs>
        <w:ind w:left="360" w:hanging="360"/>
        <w:rPr>
          <w:b/>
          <w:bCs/>
          <w:sz w:val="24"/>
          <w:szCs w:val="24"/>
        </w:rPr>
      </w:pPr>
    </w:p>
    <w:p w:rsidR="009E13B1" w14:paraId="0495E21E" w14:textId="77777777">
      <w:pPr>
        <w:tabs>
          <w:tab w:val="left" w:pos="360"/>
        </w:tabs>
        <w:ind w:left="360" w:hanging="360"/>
        <w:rPr>
          <w:b/>
          <w:bCs/>
          <w:sz w:val="24"/>
          <w:szCs w:val="24"/>
        </w:rPr>
      </w:pPr>
      <w:r w:rsidRPr="00402947">
        <w:rPr>
          <w:b/>
          <w:bCs/>
          <w:sz w:val="24"/>
          <w:szCs w:val="24"/>
        </w:rPr>
        <w:t>12.</w:t>
      </w:r>
      <w:r w:rsidRPr="00402947">
        <w:rPr>
          <w:b/>
          <w:bCs/>
          <w:sz w:val="24"/>
          <w:szCs w:val="24"/>
        </w:rPr>
        <w:tab/>
        <w:t xml:space="preserve">Provide estimates of the hour burden of the collection of information.  The statement should: </w:t>
      </w:r>
    </w:p>
    <w:p w:rsidR="00FB0ED6" w:rsidRPr="00402947" w14:paraId="6C687360" w14:textId="77777777">
      <w:pPr>
        <w:tabs>
          <w:tab w:val="left" w:pos="360"/>
        </w:tabs>
        <w:ind w:left="360" w:hanging="360"/>
        <w:rPr>
          <w:b/>
          <w:bCs/>
          <w:sz w:val="24"/>
          <w:szCs w:val="24"/>
        </w:rPr>
      </w:pPr>
    </w:p>
    <w:p w:rsidR="009E13B1" w14:paraId="051045C9" w14:textId="30ACA7E8">
      <w:pPr>
        <w:numPr>
          <w:ilvl w:val="0"/>
          <w:numId w:val="14"/>
        </w:numPr>
        <w:tabs>
          <w:tab w:val="left" w:pos="480"/>
        </w:tabs>
        <w:ind w:left="480"/>
        <w:rPr>
          <w:b/>
          <w:bCs/>
          <w:sz w:val="24"/>
          <w:szCs w:val="24"/>
        </w:rPr>
      </w:pPr>
      <w:r>
        <w:rPr>
          <w:b/>
          <w:bCs/>
          <w:sz w:val="24"/>
          <w:szCs w:val="24"/>
        </w:rPr>
        <w:t>I</w:t>
      </w:r>
      <w:r w:rsidRPr="00402947">
        <w:rPr>
          <w:b/>
          <w:bCs/>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402947" w:rsidR="006C7FAE">
        <w:rPr>
          <w:b/>
          <w:bCs/>
          <w:sz w:val="24"/>
          <w:szCs w:val="24"/>
        </w:rPr>
        <w:t>Generally,</w:t>
      </w:r>
      <w:r w:rsidRPr="00402947">
        <w:rPr>
          <w:b/>
          <w:bCs/>
          <w:sz w:val="24"/>
          <w:szCs w:val="24"/>
        </w:rPr>
        <w:t xml:space="preserve"> estimates should not include burden hours for customary and usual business practices; </w:t>
      </w:r>
    </w:p>
    <w:p w:rsidR="00FB0ED6" w:rsidRPr="00402947" w:rsidP="00FB0ED6" w14:paraId="0953D8FC" w14:textId="77777777">
      <w:pPr>
        <w:tabs>
          <w:tab w:val="left" w:pos="480"/>
        </w:tabs>
        <w:ind w:left="480"/>
        <w:rPr>
          <w:b/>
          <w:bCs/>
          <w:sz w:val="24"/>
          <w:szCs w:val="24"/>
        </w:rPr>
      </w:pPr>
    </w:p>
    <w:p w:rsidR="009E13B1" w14:paraId="5C51DBED" w14:textId="4E8E28C7">
      <w:pPr>
        <w:numPr>
          <w:ilvl w:val="0"/>
          <w:numId w:val="14"/>
        </w:numPr>
        <w:tabs>
          <w:tab w:val="left" w:pos="480"/>
        </w:tabs>
        <w:ind w:left="480"/>
        <w:rPr>
          <w:b/>
          <w:bCs/>
          <w:sz w:val="24"/>
          <w:szCs w:val="24"/>
        </w:rPr>
      </w:pPr>
      <w:r>
        <w:rPr>
          <w:b/>
          <w:bCs/>
          <w:sz w:val="24"/>
          <w:szCs w:val="24"/>
        </w:rPr>
        <w:t>I</w:t>
      </w:r>
      <w:r w:rsidRPr="00402947">
        <w:rPr>
          <w:b/>
          <w:bCs/>
          <w:sz w:val="24"/>
          <w:szCs w:val="24"/>
        </w:rPr>
        <w:t xml:space="preserve">f this request covers more than one form, provide separate hour burden estimates for each form and aggregate the hour burdens in </w:t>
      </w:r>
      <w:r>
        <w:rPr>
          <w:b/>
          <w:bCs/>
          <w:sz w:val="24"/>
          <w:szCs w:val="24"/>
        </w:rPr>
        <w:t>the chart below</w:t>
      </w:r>
      <w:r w:rsidRPr="00402947">
        <w:rPr>
          <w:b/>
          <w:bCs/>
          <w:sz w:val="24"/>
          <w:szCs w:val="24"/>
        </w:rPr>
        <w:t xml:space="preserve">; and </w:t>
      </w:r>
    </w:p>
    <w:p w:rsidR="00FB0ED6" w:rsidP="00FB0ED6" w14:paraId="2CFC405C" w14:textId="77777777">
      <w:pPr>
        <w:pStyle w:val="ListParagraph"/>
        <w:rPr>
          <w:b/>
          <w:bCs/>
          <w:sz w:val="24"/>
          <w:szCs w:val="24"/>
        </w:rPr>
      </w:pPr>
    </w:p>
    <w:p w:rsidR="009E13B1" w:rsidRPr="00402947" w14:paraId="4B6EFDDF" w14:textId="6CB5A94C">
      <w:pPr>
        <w:keepLines/>
        <w:numPr>
          <w:ilvl w:val="0"/>
          <w:numId w:val="14"/>
        </w:numPr>
        <w:tabs>
          <w:tab w:val="left" w:pos="480"/>
        </w:tabs>
        <w:spacing w:after="80"/>
        <w:ind w:left="480"/>
        <w:rPr>
          <w:b/>
          <w:bCs/>
          <w:sz w:val="24"/>
          <w:szCs w:val="24"/>
        </w:rPr>
      </w:pPr>
      <w:r>
        <w:rPr>
          <w:b/>
          <w:bCs/>
          <w:sz w:val="24"/>
          <w:szCs w:val="24"/>
        </w:rPr>
        <w:t>P</w:t>
      </w:r>
      <w:r w:rsidRPr="00402947">
        <w:rPr>
          <w:b/>
          <w:bCs/>
          <w:sz w:val="24"/>
          <w:szCs w:val="24"/>
        </w:rPr>
        <w:t>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9E13B1" w:rsidRPr="006C7FAE" w14:paraId="7C0E27A1"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10108" w:type="dxa"/>
        <w:tblInd w:w="350" w:type="dxa"/>
        <w:tblLayout w:type="fixed"/>
        <w:tblCellMar>
          <w:left w:w="0" w:type="dxa"/>
          <w:right w:w="0" w:type="dxa"/>
        </w:tblCellMar>
        <w:tblLook w:val="04A0"/>
      </w:tblPr>
      <w:tblGrid>
        <w:gridCol w:w="1980"/>
        <w:gridCol w:w="1173"/>
        <w:gridCol w:w="1126"/>
        <w:gridCol w:w="1090"/>
        <w:gridCol w:w="1013"/>
        <w:gridCol w:w="1206"/>
        <w:gridCol w:w="1008"/>
        <w:gridCol w:w="1512"/>
      </w:tblGrid>
      <w:tr w14:paraId="298C4096" w14:textId="77777777" w:rsidTr="000D1DE8">
        <w:tblPrEx>
          <w:tblW w:w="10108" w:type="dxa"/>
          <w:tblInd w:w="350" w:type="dxa"/>
          <w:tblLayout w:type="fixed"/>
          <w:tblCellMar>
            <w:left w:w="0" w:type="dxa"/>
            <w:right w:w="0" w:type="dxa"/>
          </w:tblCellMar>
          <w:tblLook w:val="04A0"/>
        </w:tblPrEx>
        <w:tc>
          <w:tcPr>
            <w:tcW w:w="198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67E53" w:rsidRPr="00E863A1" w:rsidP="00167E53" w14:paraId="4613409A" w14:textId="77777777">
            <w:pPr>
              <w:adjustRightInd/>
              <w:jc w:val="center"/>
              <w:textAlignment w:val="auto"/>
              <w:rPr>
                <w:rFonts w:eastAsia="Calibri"/>
                <w:bCs/>
                <w:color w:val="000000"/>
                <w:sz w:val="18"/>
                <w:szCs w:val="18"/>
              </w:rPr>
            </w:pPr>
            <w:r w:rsidRPr="00E863A1">
              <w:rPr>
                <w:rFonts w:eastAsia="Calibri"/>
                <w:bCs/>
                <w:color w:val="000000"/>
                <w:sz w:val="18"/>
                <w:szCs w:val="18"/>
              </w:rPr>
              <w:t>Information Collection</w:t>
            </w:r>
          </w:p>
        </w:tc>
        <w:tc>
          <w:tcPr>
            <w:tcW w:w="117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E863A1" w:rsidP="00167E53" w14:paraId="6BA22A2F" w14:textId="77777777">
            <w:pPr>
              <w:adjustRightInd/>
              <w:jc w:val="center"/>
              <w:textAlignment w:val="auto"/>
              <w:rPr>
                <w:rFonts w:eastAsia="Calibri"/>
                <w:bCs/>
                <w:color w:val="000000"/>
                <w:sz w:val="18"/>
                <w:szCs w:val="18"/>
              </w:rPr>
            </w:pPr>
            <w:r w:rsidRPr="00E863A1">
              <w:rPr>
                <w:rFonts w:eastAsia="Calibri"/>
                <w:bCs/>
                <w:color w:val="000000"/>
                <w:sz w:val="18"/>
                <w:szCs w:val="18"/>
              </w:rPr>
              <w:t>Number of Respondents</w:t>
            </w:r>
          </w:p>
        </w:tc>
        <w:tc>
          <w:tcPr>
            <w:tcW w:w="1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E863A1" w:rsidP="00167E53" w14:paraId="47394FE6" w14:textId="77777777">
            <w:pPr>
              <w:adjustRightInd/>
              <w:jc w:val="center"/>
              <w:textAlignment w:val="auto"/>
              <w:rPr>
                <w:rFonts w:eastAsia="Calibri"/>
                <w:bCs/>
                <w:color w:val="000000"/>
                <w:sz w:val="18"/>
                <w:szCs w:val="18"/>
              </w:rPr>
            </w:pPr>
            <w:r w:rsidRPr="00E863A1">
              <w:rPr>
                <w:rFonts w:eastAsia="Calibri"/>
                <w:bCs/>
                <w:color w:val="000000"/>
                <w:sz w:val="18"/>
                <w:szCs w:val="18"/>
              </w:rPr>
              <w:t>Frequency of Response</w:t>
            </w:r>
          </w:p>
        </w:tc>
        <w:tc>
          <w:tcPr>
            <w:tcW w:w="10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E863A1" w:rsidP="00167E53" w14:paraId="7CBB0A16" w14:textId="77777777">
            <w:pPr>
              <w:overflowPunct/>
              <w:autoSpaceDE/>
              <w:autoSpaceDN/>
              <w:adjustRightInd/>
              <w:jc w:val="center"/>
              <w:textAlignment w:val="auto"/>
              <w:rPr>
                <w:rFonts w:eastAsia="Calibri"/>
                <w:bCs/>
                <w:color w:val="000000"/>
                <w:sz w:val="18"/>
                <w:szCs w:val="18"/>
              </w:rPr>
            </w:pPr>
            <w:r w:rsidRPr="00E863A1">
              <w:rPr>
                <w:rFonts w:eastAsia="Calibri"/>
                <w:bCs/>
                <w:color w:val="000000"/>
                <w:sz w:val="18"/>
                <w:szCs w:val="18"/>
              </w:rPr>
              <w:t>Responses</w:t>
            </w:r>
          </w:p>
          <w:p w:rsidR="00167E53" w:rsidRPr="00E863A1" w:rsidP="00167E53" w14:paraId="2E7EDE89" w14:textId="77777777">
            <w:pPr>
              <w:adjustRightInd/>
              <w:jc w:val="center"/>
              <w:textAlignment w:val="auto"/>
              <w:rPr>
                <w:rFonts w:eastAsia="Calibri"/>
                <w:bCs/>
                <w:color w:val="000000"/>
                <w:sz w:val="18"/>
                <w:szCs w:val="18"/>
              </w:rPr>
            </w:pPr>
            <w:r w:rsidRPr="00E863A1">
              <w:rPr>
                <w:rFonts w:eastAsia="Calibri"/>
                <w:bCs/>
                <w:color w:val="000000"/>
                <w:sz w:val="18"/>
                <w:szCs w:val="18"/>
              </w:rPr>
              <w:t>Per Annum</w:t>
            </w:r>
          </w:p>
        </w:tc>
        <w:tc>
          <w:tcPr>
            <w:tcW w:w="101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E863A1" w:rsidP="00167E53" w14:paraId="542C0104" w14:textId="77777777">
            <w:pPr>
              <w:adjustRightInd/>
              <w:jc w:val="center"/>
              <w:textAlignment w:val="auto"/>
              <w:rPr>
                <w:rFonts w:eastAsia="Calibri"/>
                <w:bCs/>
                <w:color w:val="000000"/>
                <w:sz w:val="18"/>
                <w:szCs w:val="18"/>
              </w:rPr>
            </w:pPr>
            <w:r w:rsidRPr="00E863A1">
              <w:rPr>
                <w:rFonts w:eastAsia="Calibri"/>
                <w:bCs/>
                <w:color w:val="000000"/>
                <w:sz w:val="18"/>
                <w:szCs w:val="18"/>
              </w:rPr>
              <w:t>Burden Hour Per Response</w:t>
            </w:r>
          </w:p>
        </w:tc>
        <w:tc>
          <w:tcPr>
            <w:tcW w:w="120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E863A1" w:rsidP="00167E53" w14:paraId="372FC8BA" w14:textId="77777777">
            <w:pPr>
              <w:adjustRightInd/>
              <w:jc w:val="center"/>
              <w:textAlignment w:val="auto"/>
              <w:rPr>
                <w:rFonts w:eastAsia="Calibri"/>
                <w:bCs/>
                <w:color w:val="000000"/>
                <w:sz w:val="18"/>
                <w:szCs w:val="18"/>
              </w:rPr>
            </w:pPr>
            <w:r w:rsidRPr="00E863A1">
              <w:rPr>
                <w:rFonts w:eastAsia="Calibri"/>
                <w:bCs/>
                <w:color w:val="000000"/>
                <w:sz w:val="18"/>
                <w:szCs w:val="18"/>
              </w:rPr>
              <w:t>Annual Burden Hours</w:t>
            </w:r>
          </w:p>
        </w:tc>
        <w:tc>
          <w:tcPr>
            <w:tcW w:w="10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67E53" w:rsidRPr="00E863A1" w:rsidP="00167E53" w14:paraId="3F344BFB" w14:textId="77777777">
            <w:pPr>
              <w:adjustRightInd/>
              <w:jc w:val="center"/>
              <w:textAlignment w:val="auto"/>
              <w:rPr>
                <w:rFonts w:eastAsia="Calibri"/>
                <w:bCs/>
                <w:color w:val="000000"/>
                <w:sz w:val="18"/>
                <w:szCs w:val="18"/>
              </w:rPr>
            </w:pPr>
            <w:r w:rsidRPr="00E863A1">
              <w:rPr>
                <w:rFonts w:eastAsia="Calibri"/>
                <w:bCs/>
                <w:color w:val="000000"/>
                <w:sz w:val="18"/>
                <w:szCs w:val="18"/>
              </w:rPr>
              <w:t>Hourly Cost Per Response</w:t>
            </w:r>
          </w:p>
        </w:tc>
        <w:tc>
          <w:tcPr>
            <w:tcW w:w="151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167E53" w:rsidRPr="00E863A1" w:rsidP="00D5058C" w14:paraId="5453AFCD" w14:textId="77777777">
            <w:pPr>
              <w:overflowPunct/>
              <w:autoSpaceDE/>
              <w:autoSpaceDN/>
              <w:adjustRightInd/>
              <w:jc w:val="center"/>
              <w:textAlignment w:val="auto"/>
              <w:rPr>
                <w:rFonts w:eastAsia="Calibri"/>
                <w:bCs/>
                <w:color w:val="000000"/>
                <w:sz w:val="18"/>
                <w:szCs w:val="18"/>
              </w:rPr>
            </w:pPr>
            <w:r w:rsidRPr="00E863A1">
              <w:rPr>
                <w:rFonts w:eastAsia="Calibri"/>
                <w:bCs/>
                <w:color w:val="000000"/>
                <w:sz w:val="18"/>
                <w:szCs w:val="18"/>
              </w:rPr>
              <w:t>Annual Cost</w:t>
            </w:r>
          </w:p>
        </w:tc>
      </w:tr>
      <w:tr w14:paraId="10AAC9CA" w14:textId="77777777" w:rsidTr="000D1DE8">
        <w:tblPrEx>
          <w:tblW w:w="10108" w:type="dxa"/>
          <w:tblInd w:w="350" w:type="dxa"/>
          <w:tblLayout w:type="fixed"/>
          <w:tblCellMar>
            <w:left w:w="0" w:type="dxa"/>
            <w:right w:w="0" w:type="dxa"/>
          </w:tblCellMar>
          <w:tblLook w:val="04A0"/>
        </w:tblPrEx>
        <w:trPr>
          <w:trHeight w:val="78"/>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D1DE8" w:rsidP="00E863A1" w14:paraId="712A872F" w14:textId="77777777">
            <w:pPr>
              <w:adjustRightInd/>
              <w:textAlignment w:val="auto"/>
              <w:rPr>
                <w:sz w:val="18"/>
                <w:szCs w:val="18"/>
              </w:rPr>
            </w:pPr>
            <w:r w:rsidRPr="00E863A1">
              <w:rPr>
                <w:sz w:val="18"/>
                <w:szCs w:val="18"/>
              </w:rPr>
              <w:t>Tenant Data Form</w:t>
            </w:r>
          </w:p>
          <w:p w:rsidR="00E863A1" w:rsidRPr="00E863A1" w:rsidP="00E863A1" w14:paraId="049690AA" w14:textId="4AA9DA5A">
            <w:pPr>
              <w:adjustRightInd/>
              <w:textAlignment w:val="auto"/>
              <w:rPr>
                <w:rFonts w:eastAsia="Calibri"/>
                <w:bCs/>
                <w:color w:val="000000"/>
                <w:sz w:val="18"/>
                <w:szCs w:val="18"/>
              </w:rPr>
            </w:pPr>
            <w:r w:rsidRPr="00E863A1">
              <w:rPr>
                <w:sz w:val="18"/>
                <w:szCs w:val="18"/>
              </w:rPr>
              <w:t>HUD-52697</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1F3878E4" w14:textId="77777777">
            <w:pPr>
              <w:pStyle w:val="NoSpacing"/>
              <w:jc w:val="right"/>
              <w:rPr>
                <w:rFonts w:eastAsia="Calibri"/>
                <w:bCs/>
                <w:color w:val="000000"/>
                <w:sz w:val="18"/>
                <w:szCs w:val="18"/>
              </w:rPr>
            </w:pPr>
            <w:r w:rsidRPr="00E863A1">
              <w:rPr>
                <w:sz w:val="18"/>
                <w:szCs w:val="18"/>
              </w:rPr>
              <w:t>61</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54827FF8" w14:textId="77777777">
            <w:pPr>
              <w:pStyle w:val="NoSpacing"/>
              <w:jc w:val="right"/>
              <w:rPr>
                <w:rFonts w:eastAsia="Calibri"/>
                <w:bCs/>
                <w:color w:val="000000"/>
                <w:sz w:val="18"/>
                <w:szCs w:val="18"/>
              </w:rPr>
            </w:pPr>
            <w:r w:rsidRPr="00E863A1">
              <w:rPr>
                <w:sz w:val="18"/>
                <w:szCs w:val="18"/>
              </w:rPr>
              <w:t>1.00</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2D742F54" w14:textId="10B05B3B">
            <w:pPr>
              <w:pStyle w:val="NoSpacing"/>
              <w:jc w:val="right"/>
              <w:rPr>
                <w:rFonts w:eastAsia="Calibri"/>
                <w:bCs/>
                <w:color w:val="000000"/>
                <w:sz w:val="18"/>
                <w:szCs w:val="18"/>
              </w:rPr>
            </w:pPr>
            <w:r w:rsidRPr="00E863A1">
              <w:rPr>
                <w:sz w:val="18"/>
                <w:szCs w:val="18"/>
              </w:rPr>
              <w:t>61</w:t>
            </w: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5D486203" w14:textId="77777777">
            <w:pPr>
              <w:pStyle w:val="NoSpacing"/>
              <w:jc w:val="right"/>
              <w:rPr>
                <w:rFonts w:eastAsia="Calibri"/>
                <w:bCs/>
                <w:color w:val="000000"/>
                <w:sz w:val="18"/>
                <w:szCs w:val="18"/>
              </w:rPr>
            </w:pPr>
            <w:r w:rsidRPr="00E863A1">
              <w:rPr>
                <w:sz w:val="18"/>
                <w:szCs w:val="18"/>
              </w:rPr>
              <w:t>40.00</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3CE4E548" w14:textId="77777777">
            <w:pPr>
              <w:pStyle w:val="NoSpacing"/>
              <w:jc w:val="right"/>
              <w:rPr>
                <w:rFonts w:eastAsia="Calibri"/>
                <w:bCs/>
                <w:color w:val="000000"/>
                <w:sz w:val="18"/>
                <w:szCs w:val="18"/>
              </w:rPr>
            </w:pPr>
            <w:r w:rsidRPr="00E863A1">
              <w:rPr>
                <w:sz w:val="18"/>
                <w:szCs w:val="18"/>
              </w:rPr>
              <w:t>2,440</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343CCCFB" w14:textId="62808654">
            <w:pPr>
              <w:pStyle w:val="NoSpacing"/>
              <w:jc w:val="right"/>
              <w:rPr>
                <w:rFonts w:eastAsia="Calibri"/>
                <w:bCs/>
                <w:color w:val="000000"/>
                <w:sz w:val="18"/>
                <w:szCs w:val="18"/>
              </w:rPr>
            </w:pPr>
            <w:r w:rsidRPr="00E863A1">
              <w:rPr>
                <w:sz w:val="18"/>
                <w:szCs w:val="18"/>
              </w:rPr>
              <w:t>$51.65</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rsidR="00E863A1" w:rsidRPr="00E863A1" w:rsidP="000D1DE8" w14:paraId="1B907A26" w14:textId="7FD50479">
            <w:pPr>
              <w:pStyle w:val="NoSpacing"/>
              <w:spacing w:before="240" w:line="480" w:lineRule="auto"/>
              <w:jc w:val="right"/>
              <w:rPr>
                <w:rFonts w:eastAsia="Calibri"/>
                <w:bCs/>
                <w:color w:val="000000"/>
                <w:sz w:val="18"/>
                <w:szCs w:val="18"/>
              </w:rPr>
            </w:pPr>
            <w:r w:rsidRPr="00E863A1">
              <w:rPr>
                <w:sz w:val="18"/>
                <w:szCs w:val="18"/>
              </w:rPr>
              <w:t>$</w:t>
            </w:r>
            <w:r w:rsidRPr="00E863A1">
              <w:rPr>
                <w:sz w:val="18"/>
                <w:szCs w:val="18"/>
              </w:rPr>
              <w:t>126,026.00</w:t>
            </w:r>
          </w:p>
        </w:tc>
      </w:tr>
      <w:tr w14:paraId="12548C0D" w14:textId="77777777" w:rsidTr="000D1DE8">
        <w:tblPrEx>
          <w:tblW w:w="10108" w:type="dxa"/>
          <w:tblInd w:w="350" w:type="dxa"/>
          <w:tblLayout w:type="fixed"/>
          <w:tblCellMar>
            <w:left w:w="0" w:type="dxa"/>
            <w:right w:w="0" w:type="dxa"/>
          </w:tblCellMar>
          <w:tblLook w:val="04A0"/>
        </w:tblPrEx>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0D1DE8" w:rsidP="00E863A1" w14:paraId="614A7368" w14:textId="77777777">
            <w:pPr>
              <w:adjustRightInd/>
              <w:textAlignment w:val="auto"/>
              <w:rPr>
                <w:sz w:val="18"/>
                <w:szCs w:val="18"/>
              </w:rPr>
            </w:pPr>
            <w:r w:rsidRPr="00E863A1">
              <w:rPr>
                <w:sz w:val="18"/>
                <w:szCs w:val="18"/>
              </w:rPr>
              <w:t xml:space="preserve">Project Data Form </w:t>
            </w:r>
          </w:p>
          <w:p w:rsidR="00E863A1" w:rsidRPr="00E863A1" w:rsidP="00E863A1" w14:paraId="030C16E3" w14:textId="079103C6">
            <w:pPr>
              <w:adjustRightInd/>
              <w:textAlignment w:val="auto"/>
              <w:rPr>
                <w:rFonts w:eastAsia="Calibri"/>
                <w:bCs/>
                <w:color w:val="000000"/>
                <w:sz w:val="18"/>
                <w:szCs w:val="18"/>
              </w:rPr>
            </w:pPr>
            <w:r w:rsidRPr="00E863A1">
              <w:rPr>
                <w:sz w:val="18"/>
                <w:szCs w:val="18"/>
              </w:rPr>
              <w:t>HUD-52695</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01D6C767" w14:textId="77777777">
            <w:pPr>
              <w:pStyle w:val="NoSpacing"/>
              <w:jc w:val="right"/>
              <w:rPr>
                <w:rFonts w:eastAsia="Calibri"/>
                <w:bCs/>
                <w:color w:val="000000"/>
                <w:sz w:val="18"/>
                <w:szCs w:val="18"/>
              </w:rPr>
            </w:pPr>
            <w:r w:rsidRPr="00E863A1">
              <w:rPr>
                <w:sz w:val="18"/>
                <w:szCs w:val="18"/>
              </w:rPr>
              <w:t>61</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27AC7218" w14:textId="77777777">
            <w:pPr>
              <w:pStyle w:val="NoSpacing"/>
              <w:jc w:val="right"/>
              <w:rPr>
                <w:rFonts w:eastAsia="Calibri"/>
                <w:bCs/>
                <w:color w:val="000000"/>
                <w:sz w:val="18"/>
                <w:szCs w:val="18"/>
              </w:rPr>
            </w:pPr>
            <w:r w:rsidRPr="00E863A1">
              <w:rPr>
                <w:sz w:val="18"/>
                <w:szCs w:val="18"/>
              </w:rPr>
              <w:t>1.00</w:t>
            </w:r>
          </w:p>
        </w:tc>
        <w:tc>
          <w:tcPr>
            <w:tcW w:w="1090"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1DA1CB9F" w14:textId="433FA4EC">
            <w:pPr>
              <w:pStyle w:val="NoSpacing"/>
              <w:jc w:val="right"/>
              <w:rPr>
                <w:rFonts w:eastAsia="Calibri"/>
                <w:bCs/>
                <w:color w:val="000000"/>
                <w:sz w:val="18"/>
                <w:szCs w:val="18"/>
              </w:rPr>
            </w:pPr>
            <w:r w:rsidRPr="00E863A1">
              <w:rPr>
                <w:sz w:val="18"/>
                <w:szCs w:val="18"/>
              </w:rPr>
              <w:t>61</w:t>
            </w:r>
          </w:p>
        </w:tc>
        <w:tc>
          <w:tcPr>
            <w:tcW w:w="1013"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630D5AD7" w14:textId="77777777">
            <w:pPr>
              <w:pStyle w:val="NoSpacing"/>
              <w:jc w:val="right"/>
              <w:rPr>
                <w:rFonts w:eastAsia="Calibri"/>
                <w:bCs/>
                <w:color w:val="000000"/>
                <w:sz w:val="18"/>
                <w:szCs w:val="18"/>
              </w:rPr>
            </w:pPr>
            <w:r w:rsidRPr="00E863A1">
              <w:rPr>
                <w:sz w:val="18"/>
                <w:szCs w:val="18"/>
              </w:rPr>
              <w:t>8.00</w:t>
            </w:r>
          </w:p>
        </w:tc>
        <w:tc>
          <w:tcPr>
            <w:tcW w:w="1206"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1262E045" w14:textId="77777777">
            <w:pPr>
              <w:pStyle w:val="NoSpacing"/>
              <w:jc w:val="right"/>
              <w:rPr>
                <w:rFonts w:eastAsia="Calibri"/>
                <w:bCs/>
                <w:color w:val="000000"/>
                <w:sz w:val="18"/>
                <w:szCs w:val="18"/>
              </w:rPr>
            </w:pPr>
            <w:r w:rsidRPr="00E863A1">
              <w:rPr>
                <w:rFonts w:eastAsia="Calibri"/>
                <w:bCs/>
                <w:color w:val="000000"/>
                <w:sz w:val="18"/>
                <w:szCs w:val="18"/>
              </w:rPr>
              <w:t>488</w:t>
            </w:r>
          </w:p>
        </w:tc>
        <w:tc>
          <w:tcPr>
            <w:tcW w:w="1008" w:type="dxa"/>
            <w:tcBorders>
              <w:top w:val="nil"/>
              <w:left w:val="nil"/>
              <w:bottom w:val="single" w:sz="8" w:space="0" w:color="auto"/>
              <w:right w:val="single" w:sz="8" w:space="0" w:color="auto"/>
            </w:tcBorders>
            <w:tcMar>
              <w:top w:w="0" w:type="dxa"/>
              <w:left w:w="108" w:type="dxa"/>
              <w:bottom w:w="0" w:type="dxa"/>
              <w:right w:w="108" w:type="dxa"/>
            </w:tcMar>
            <w:vAlign w:val="center"/>
          </w:tcPr>
          <w:p w:rsidR="00E863A1" w:rsidRPr="00E863A1" w:rsidP="000D1DE8" w14:paraId="76427BB3" w14:textId="66DBB1AE">
            <w:pPr>
              <w:pStyle w:val="NoSpacing"/>
              <w:jc w:val="right"/>
              <w:rPr>
                <w:rFonts w:eastAsia="Calibri"/>
                <w:bCs/>
                <w:color w:val="000000"/>
                <w:sz w:val="18"/>
                <w:szCs w:val="18"/>
              </w:rPr>
            </w:pPr>
            <w:r w:rsidRPr="00E863A1">
              <w:rPr>
                <w:sz w:val="18"/>
                <w:szCs w:val="18"/>
              </w:rPr>
              <w:t>$51.65</w:t>
            </w: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rsidR="000D1DE8" w:rsidP="000D1DE8" w14:paraId="19B5CCCA" w14:textId="77777777">
            <w:pPr>
              <w:pStyle w:val="NoSpacing"/>
              <w:jc w:val="right"/>
              <w:rPr>
                <w:sz w:val="18"/>
                <w:szCs w:val="18"/>
              </w:rPr>
            </w:pPr>
          </w:p>
          <w:p w:rsidR="00E863A1" w:rsidRPr="00E863A1" w:rsidP="000D1DE8" w14:paraId="6F906A8D" w14:textId="3118A66F">
            <w:pPr>
              <w:pStyle w:val="NoSpacing"/>
              <w:spacing w:line="480" w:lineRule="auto"/>
              <w:jc w:val="right"/>
              <w:rPr>
                <w:rFonts w:eastAsia="Calibri"/>
                <w:bCs/>
                <w:color w:val="000000"/>
                <w:sz w:val="18"/>
                <w:szCs w:val="18"/>
              </w:rPr>
            </w:pPr>
            <w:r w:rsidRPr="00E863A1">
              <w:rPr>
                <w:sz w:val="18"/>
                <w:szCs w:val="18"/>
              </w:rPr>
              <w:t>$</w:t>
            </w:r>
            <w:r w:rsidRPr="00E863A1">
              <w:rPr>
                <w:sz w:val="18"/>
                <w:szCs w:val="18"/>
              </w:rPr>
              <w:t>25,205.20</w:t>
            </w:r>
          </w:p>
        </w:tc>
      </w:tr>
      <w:tr w14:paraId="26B1DA93" w14:textId="77777777" w:rsidTr="000D1DE8">
        <w:tblPrEx>
          <w:tblW w:w="10108" w:type="dxa"/>
          <w:tblInd w:w="350" w:type="dxa"/>
          <w:tblLayout w:type="fixed"/>
          <w:tblCellMar>
            <w:left w:w="0" w:type="dxa"/>
            <w:right w:w="0" w:type="dxa"/>
          </w:tblCellMar>
          <w:tblLook w:val="04A0"/>
        </w:tblPrEx>
        <w:trPr>
          <w:trHeight w:val="286"/>
        </w:trPr>
        <w:tc>
          <w:tcPr>
            <w:tcW w:w="198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E863A1" w:rsidRPr="00E863A1" w:rsidP="00E863A1" w14:paraId="508D86B2" w14:textId="77777777">
            <w:pPr>
              <w:adjustRightInd/>
              <w:textAlignment w:val="auto"/>
              <w:rPr>
                <w:rFonts w:eastAsia="Calibri"/>
                <w:bCs/>
                <w:color w:val="000000"/>
                <w:sz w:val="18"/>
                <w:szCs w:val="18"/>
              </w:rPr>
            </w:pPr>
            <w:r w:rsidRPr="00E863A1">
              <w:rPr>
                <w:bCs/>
                <w:sz w:val="18"/>
                <w:szCs w:val="18"/>
              </w:rPr>
              <w:t>TOTAL</w:t>
            </w:r>
          </w:p>
        </w:tc>
        <w:tc>
          <w:tcPr>
            <w:tcW w:w="1173" w:type="dxa"/>
            <w:tcBorders>
              <w:top w:val="nil"/>
              <w:left w:val="nil"/>
              <w:bottom w:val="single" w:sz="8" w:space="0" w:color="auto"/>
              <w:right w:val="single" w:sz="8" w:space="0" w:color="auto"/>
            </w:tcBorders>
            <w:tcMar>
              <w:top w:w="0" w:type="dxa"/>
              <w:left w:w="108" w:type="dxa"/>
              <w:bottom w:w="0" w:type="dxa"/>
              <w:right w:w="108" w:type="dxa"/>
            </w:tcMar>
          </w:tcPr>
          <w:p w:rsidR="00E863A1" w:rsidRPr="00E863A1" w:rsidP="000D1DE8" w14:paraId="60752870" w14:textId="5BBB22A1">
            <w:pPr>
              <w:pStyle w:val="NoSpacing"/>
              <w:jc w:val="right"/>
              <w:rPr>
                <w:rFonts w:eastAsia="Calibri"/>
                <w:bCs/>
                <w:color w:val="000000"/>
                <w:sz w:val="18"/>
                <w:szCs w:val="18"/>
              </w:rPr>
            </w:pPr>
          </w:p>
        </w:tc>
        <w:tc>
          <w:tcPr>
            <w:tcW w:w="1126" w:type="dxa"/>
            <w:tcBorders>
              <w:top w:val="nil"/>
              <w:left w:val="nil"/>
              <w:bottom w:val="single" w:sz="8" w:space="0" w:color="auto"/>
              <w:right w:val="single" w:sz="8" w:space="0" w:color="auto"/>
            </w:tcBorders>
            <w:tcMar>
              <w:top w:w="0" w:type="dxa"/>
              <w:left w:w="108" w:type="dxa"/>
              <w:bottom w:w="0" w:type="dxa"/>
              <w:right w:w="108" w:type="dxa"/>
            </w:tcMar>
          </w:tcPr>
          <w:p w:rsidR="00E863A1" w:rsidRPr="00E863A1" w:rsidP="000D1DE8" w14:paraId="099D3F5C" w14:textId="77777777">
            <w:pPr>
              <w:pStyle w:val="NoSpacing"/>
              <w:jc w:val="right"/>
              <w:rPr>
                <w:rFonts w:eastAsia="Calibri"/>
                <w:bCs/>
                <w:color w:val="000000"/>
                <w:sz w:val="18"/>
                <w:szCs w:val="18"/>
              </w:rPr>
            </w:pPr>
          </w:p>
        </w:tc>
        <w:tc>
          <w:tcPr>
            <w:tcW w:w="1090" w:type="dxa"/>
            <w:tcBorders>
              <w:top w:val="nil"/>
              <w:left w:val="nil"/>
              <w:bottom w:val="single" w:sz="8" w:space="0" w:color="auto"/>
              <w:right w:val="single" w:sz="8" w:space="0" w:color="auto"/>
            </w:tcBorders>
            <w:tcMar>
              <w:top w:w="0" w:type="dxa"/>
              <w:left w:w="108" w:type="dxa"/>
              <w:bottom w:w="0" w:type="dxa"/>
              <w:right w:w="108" w:type="dxa"/>
            </w:tcMar>
          </w:tcPr>
          <w:p w:rsidR="00E863A1" w:rsidRPr="00E863A1" w:rsidP="000D1DE8" w14:paraId="70946AC2" w14:textId="77777777">
            <w:pPr>
              <w:pStyle w:val="NoSpacing"/>
              <w:jc w:val="right"/>
              <w:rPr>
                <w:rFonts w:eastAsia="Calibri"/>
                <w:bCs/>
                <w:color w:val="000000"/>
                <w:sz w:val="18"/>
                <w:szCs w:val="18"/>
              </w:rPr>
            </w:pPr>
          </w:p>
        </w:tc>
        <w:tc>
          <w:tcPr>
            <w:tcW w:w="1013" w:type="dxa"/>
            <w:tcBorders>
              <w:top w:val="nil"/>
              <w:left w:val="nil"/>
              <w:bottom w:val="single" w:sz="8" w:space="0" w:color="auto"/>
              <w:right w:val="single" w:sz="8" w:space="0" w:color="auto"/>
            </w:tcBorders>
            <w:tcMar>
              <w:top w:w="0" w:type="dxa"/>
              <w:left w:w="108" w:type="dxa"/>
              <w:bottom w:w="0" w:type="dxa"/>
              <w:right w:w="108" w:type="dxa"/>
            </w:tcMar>
          </w:tcPr>
          <w:p w:rsidR="00E863A1" w:rsidRPr="00E863A1" w:rsidP="000D1DE8" w14:paraId="08D0997A" w14:textId="77777777">
            <w:pPr>
              <w:pStyle w:val="NoSpacing"/>
              <w:jc w:val="right"/>
              <w:rPr>
                <w:rFonts w:eastAsia="Calibri"/>
                <w:bCs/>
                <w:color w:val="000000"/>
                <w:sz w:val="18"/>
                <w:szCs w:val="18"/>
              </w:rPr>
            </w:pPr>
            <w:r w:rsidRPr="00E863A1">
              <w:rPr>
                <w:rFonts w:eastAsia="Calibri"/>
                <w:bCs/>
                <w:sz w:val="18"/>
                <w:szCs w:val="18"/>
              </w:rPr>
              <w:t>48.00</w:t>
            </w:r>
          </w:p>
        </w:tc>
        <w:tc>
          <w:tcPr>
            <w:tcW w:w="1206" w:type="dxa"/>
            <w:tcBorders>
              <w:top w:val="nil"/>
              <w:left w:val="nil"/>
              <w:bottom w:val="single" w:sz="8" w:space="0" w:color="auto"/>
              <w:right w:val="single" w:sz="8" w:space="0" w:color="auto"/>
            </w:tcBorders>
            <w:tcMar>
              <w:top w:w="0" w:type="dxa"/>
              <w:left w:w="108" w:type="dxa"/>
              <w:bottom w:w="0" w:type="dxa"/>
              <w:right w:w="108" w:type="dxa"/>
            </w:tcMar>
          </w:tcPr>
          <w:p w:rsidR="00E863A1" w:rsidRPr="00E863A1" w:rsidP="000D1DE8" w14:paraId="459CA0AE" w14:textId="77777777">
            <w:pPr>
              <w:pStyle w:val="NoSpacing"/>
              <w:jc w:val="right"/>
              <w:rPr>
                <w:rFonts w:eastAsia="Calibri"/>
                <w:bCs/>
                <w:color w:val="000000"/>
                <w:sz w:val="18"/>
                <w:szCs w:val="18"/>
              </w:rPr>
            </w:pPr>
            <w:r w:rsidRPr="00E863A1">
              <w:rPr>
                <w:bCs/>
                <w:sz w:val="18"/>
                <w:szCs w:val="18"/>
              </w:rPr>
              <w:t>2,928</w:t>
            </w:r>
          </w:p>
        </w:tc>
        <w:tc>
          <w:tcPr>
            <w:tcW w:w="1008" w:type="dxa"/>
            <w:tcBorders>
              <w:top w:val="nil"/>
              <w:left w:val="nil"/>
              <w:bottom w:val="single" w:sz="8" w:space="0" w:color="auto"/>
              <w:right w:val="single" w:sz="8" w:space="0" w:color="auto"/>
            </w:tcBorders>
            <w:tcMar>
              <w:top w:w="0" w:type="dxa"/>
              <w:left w:w="108" w:type="dxa"/>
              <w:bottom w:w="0" w:type="dxa"/>
              <w:right w:w="108" w:type="dxa"/>
            </w:tcMar>
          </w:tcPr>
          <w:p w:rsidR="00E863A1" w:rsidRPr="00E863A1" w:rsidP="000D1DE8" w14:paraId="24CD185E" w14:textId="77777777">
            <w:pPr>
              <w:pStyle w:val="NoSpacing"/>
              <w:jc w:val="right"/>
              <w:rPr>
                <w:rFonts w:eastAsia="Calibri"/>
                <w:bCs/>
                <w:color w:val="000000"/>
                <w:sz w:val="18"/>
                <w:szCs w:val="18"/>
              </w:rPr>
            </w:pPr>
          </w:p>
        </w:tc>
        <w:tc>
          <w:tcPr>
            <w:tcW w:w="1512" w:type="dxa"/>
            <w:tcBorders>
              <w:top w:val="nil"/>
              <w:left w:val="nil"/>
              <w:bottom w:val="single" w:sz="8" w:space="0" w:color="auto"/>
              <w:right w:val="single" w:sz="8" w:space="0" w:color="auto"/>
            </w:tcBorders>
            <w:tcMar>
              <w:top w:w="0" w:type="dxa"/>
              <w:left w:w="108" w:type="dxa"/>
              <w:bottom w:w="0" w:type="dxa"/>
              <w:right w:w="108" w:type="dxa"/>
            </w:tcMar>
          </w:tcPr>
          <w:p w:rsidR="00E863A1" w:rsidRPr="00E863A1" w:rsidP="000D1DE8" w14:paraId="6B2C89DD" w14:textId="02589081">
            <w:pPr>
              <w:pStyle w:val="NoSpacing"/>
              <w:jc w:val="right"/>
              <w:rPr>
                <w:rFonts w:eastAsia="Calibri"/>
                <w:bCs/>
                <w:color w:val="000000"/>
                <w:sz w:val="18"/>
                <w:szCs w:val="18"/>
              </w:rPr>
            </w:pPr>
            <w:r w:rsidRPr="00E863A1">
              <w:rPr>
                <w:sz w:val="18"/>
                <w:szCs w:val="18"/>
              </w:rPr>
              <w:t>$</w:t>
            </w:r>
            <w:r w:rsidRPr="00E863A1">
              <w:rPr>
                <w:sz w:val="18"/>
                <w:szCs w:val="18"/>
              </w:rPr>
              <w:t>151,231.20</w:t>
            </w:r>
          </w:p>
        </w:tc>
      </w:tr>
    </w:tbl>
    <w:p w:rsidR="00167E53" w:rsidP="00167E53" w14:paraId="101AF37A"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E35A38" w:rsidRPr="00E35A38" w:rsidP="00017498" w14:paraId="74FB3A07" w14:textId="0D17D186">
      <w:pPr>
        <w:keepLines/>
        <w:spacing w:before="120" w:after="80"/>
        <w:ind w:left="360"/>
        <w:rPr>
          <w:sz w:val="24"/>
          <w:szCs w:val="24"/>
        </w:rPr>
      </w:pPr>
      <w:r w:rsidRPr="00E35A38">
        <w:rPr>
          <w:sz w:val="24"/>
          <w:szCs w:val="24"/>
        </w:rPr>
        <w:t>The requested information is currently collected by the respondents.</w:t>
      </w:r>
      <w:r w:rsidR="003E288B">
        <w:rPr>
          <w:sz w:val="24"/>
          <w:szCs w:val="24"/>
        </w:rPr>
        <w:t xml:space="preserve"> </w:t>
      </w:r>
      <w:r w:rsidR="00880B95">
        <w:rPr>
          <w:sz w:val="24"/>
          <w:szCs w:val="24"/>
        </w:rPr>
        <w:t xml:space="preserve">(Note that </w:t>
      </w:r>
      <w:r w:rsidR="006F0D9A">
        <w:rPr>
          <w:sz w:val="24"/>
          <w:szCs w:val="24"/>
        </w:rPr>
        <w:t>there are 61 responses</w:t>
      </w:r>
      <w:r w:rsidR="008B6115">
        <w:rPr>
          <w:sz w:val="24"/>
          <w:szCs w:val="24"/>
        </w:rPr>
        <w:t xml:space="preserve"> because </w:t>
      </w:r>
      <w:r w:rsidR="0063488F">
        <w:rPr>
          <w:sz w:val="24"/>
          <w:szCs w:val="24"/>
        </w:rPr>
        <w:t xml:space="preserve">two </w:t>
      </w:r>
      <w:r w:rsidR="00362951">
        <w:rPr>
          <w:sz w:val="24"/>
          <w:szCs w:val="24"/>
        </w:rPr>
        <w:t>agenc</w:t>
      </w:r>
      <w:r w:rsidR="0063488F">
        <w:rPr>
          <w:sz w:val="24"/>
          <w:szCs w:val="24"/>
        </w:rPr>
        <w:t>ies</w:t>
      </w:r>
      <w:r w:rsidR="00362951">
        <w:rPr>
          <w:sz w:val="24"/>
          <w:szCs w:val="24"/>
        </w:rPr>
        <w:t xml:space="preserve"> do not </w:t>
      </w:r>
      <w:r w:rsidR="0063488F">
        <w:rPr>
          <w:sz w:val="24"/>
          <w:szCs w:val="24"/>
        </w:rPr>
        <w:t xml:space="preserve">actively </w:t>
      </w:r>
      <w:r w:rsidR="00327E7F">
        <w:rPr>
          <w:sz w:val="24"/>
          <w:szCs w:val="24"/>
        </w:rPr>
        <w:t>place new properties in service</w:t>
      </w:r>
      <w:r w:rsidR="00100583">
        <w:rPr>
          <w:sz w:val="24"/>
          <w:szCs w:val="24"/>
        </w:rPr>
        <w:t xml:space="preserve"> and </w:t>
      </w:r>
      <w:r w:rsidR="00164904">
        <w:rPr>
          <w:sz w:val="24"/>
          <w:szCs w:val="24"/>
        </w:rPr>
        <w:t xml:space="preserve">five sub-allocators in Minnesota </w:t>
      </w:r>
      <w:r w:rsidR="00331CE6">
        <w:rPr>
          <w:sz w:val="24"/>
          <w:szCs w:val="24"/>
        </w:rPr>
        <w:t xml:space="preserve">use one compliance </w:t>
      </w:r>
      <w:r w:rsidR="004451DD">
        <w:rPr>
          <w:sz w:val="24"/>
          <w:szCs w:val="24"/>
        </w:rPr>
        <w:t>firm to collect and submit the data.)</w:t>
      </w:r>
      <w:r w:rsidR="003E288B">
        <w:rPr>
          <w:sz w:val="24"/>
          <w:szCs w:val="24"/>
        </w:rPr>
        <w:t xml:space="preserve"> </w:t>
      </w:r>
      <w:r w:rsidRPr="00E35A38">
        <w:rPr>
          <w:sz w:val="24"/>
          <w:szCs w:val="24"/>
        </w:rPr>
        <w:t xml:space="preserve">  Respondents are also familiar with the electronic submission process that is used.  To assist with the electronic submission of data, HUD procure</w:t>
      </w:r>
      <w:r w:rsidR="00867DB7">
        <w:rPr>
          <w:sz w:val="24"/>
          <w:szCs w:val="24"/>
        </w:rPr>
        <w:t>d</w:t>
      </w:r>
      <w:r w:rsidRPr="00E35A38">
        <w:rPr>
          <w:sz w:val="24"/>
          <w:szCs w:val="24"/>
        </w:rPr>
        <w:t xml:space="preserve"> a contractor who will advise and if needed assist states in submitting the data.</w:t>
      </w:r>
    </w:p>
    <w:p w:rsidR="00E35A38" w:rsidRPr="00E35A38" w:rsidP="00017498" w14:paraId="64EE0CE9" w14:textId="64123F26">
      <w:pPr>
        <w:keepLines/>
        <w:spacing w:before="120" w:after="80"/>
        <w:ind w:left="360"/>
        <w:rPr>
          <w:sz w:val="24"/>
          <w:szCs w:val="24"/>
        </w:rPr>
      </w:pPr>
      <w:r w:rsidRPr="00E35A38">
        <w:rPr>
          <w:sz w:val="24"/>
          <w:szCs w:val="24"/>
        </w:rPr>
        <w:t xml:space="preserve">Based on </w:t>
      </w:r>
      <w:r w:rsidRPr="00E35A38">
        <w:rPr>
          <w:sz w:val="24"/>
          <w:szCs w:val="24"/>
        </w:rPr>
        <w:t>past experience</w:t>
      </w:r>
      <w:r w:rsidRPr="00E35A38">
        <w:rPr>
          <w:sz w:val="24"/>
          <w:szCs w:val="24"/>
        </w:rPr>
        <w:t xml:space="preserve"> with collecting data on projects placed in service, respondents generally spend approximately </w:t>
      </w:r>
      <w:r w:rsidR="00F04FCC">
        <w:rPr>
          <w:sz w:val="24"/>
          <w:szCs w:val="24"/>
        </w:rPr>
        <w:t>eight</w:t>
      </w:r>
      <w:r w:rsidRPr="00E35A38">
        <w:rPr>
          <w:sz w:val="24"/>
          <w:szCs w:val="24"/>
        </w:rPr>
        <w:t xml:space="preserve"> person-hours responding to the property survey. It is expected that respondents will spend an additional </w:t>
      </w:r>
      <w:r w:rsidR="005243A7">
        <w:rPr>
          <w:sz w:val="24"/>
          <w:szCs w:val="24"/>
        </w:rPr>
        <w:t>forty</w:t>
      </w:r>
      <w:r w:rsidRPr="00E35A38">
        <w:rPr>
          <w:sz w:val="24"/>
          <w:szCs w:val="24"/>
        </w:rPr>
        <w:t xml:space="preserve"> person-hours responding to the tenant survey.  The burden will be lessened with the assistance provided from the HUD-funded contractor described above.</w:t>
      </w:r>
    </w:p>
    <w:p w:rsidR="00667FEC" w:rsidRPr="00667FEC" w:rsidP="00017498" w14:paraId="1B7235EA" w14:textId="77777777">
      <w:pPr>
        <w:keepLines/>
        <w:tabs>
          <w:tab w:val="left" w:pos="360"/>
          <w:tab w:val="left" w:pos="720"/>
          <w:tab w:val="center" w:pos="1680"/>
          <w:tab w:val="center" w:pos="3120"/>
          <w:tab w:val="center" w:pos="4560"/>
          <w:tab w:val="center" w:pos="6000"/>
          <w:tab w:val="center" w:pos="7440"/>
          <w:tab w:val="center" w:pos="8880"/>
        </w:tabs>
        <w:spacing w:before="120" w:after="80"/>
        <w:ind w:left="360"/>
        <w:rPr>
          <w:sz w:val="24"/>
          <w:szCs w:val="24"/>
        </w:rPr>
      </w:pPr>
      <w:r w:rsidRPr="00667FEC">
        <w:rPr>
          <w:sz w:val="24"/>
          <w:szCs w:val="24"/>
        </w:rPr>
        <w:t>Each housing finance agency that administers LIHTCs must respond once annually to the tenant and property data requests.  There are 6</w:t>
      </w:r>
      <w:r w:rsidR="007E65A0">
        <w:rPr>
          <w:sz w:val="24"/>
          <w:szCs w:val="24"/>
        </w:rPr>
        <w:t>1</w:t>
      </w:r>
      <w:r w:rsidRPr="00667FEC">
        <w:rPr>
          <w:sz w:val="24"/>
          <w:szCs w:val="24"/>
        </w:rPr>
        <w:t xml:space="preserve"> agencies (states plus DC, territories, and a few sub-state allocators), excluding American Samoa which received a permanent waiver because it does not actively allocate new LIHTCs.  </w:t>
      </w:r>
    </w:p>
    <w:p w:rsidR="00E35A38" w:rsidP="00017498" w14:paraId="078B21BC" w14:textId="3AE2500D">
      <w:pPr>
        <w:keepLines/>
        <w:tabs>
          <w:tab w:val="left" w:pos="360"/>
          <w:tab w:val="left" w:pos="720"/>
          <w:tab w:val="center" w:pos="1680"/>
          <w:tab w:val="center" w:pos="3120"/>
          <w:tab w:val="center" w:pos="4560"/>
          <w:tab w:val="center" w:pos="6000"/>
          <w:tab w:val="center" w:pos="7440"/>
          <w:tab w:val="center" w:pos="8880"/>
        </w:tabs>
        <w:spacing w:before="120" w:after="80"/>
        <w:ind w:left="360"/>
        <w:rPr>
          <w:sz w:val="24"/>
          <w:szCs w:val="24"/>
        </w:rPr>
      </w:pPr>
      <w:r w:rsidRPr="00667FEC">
        <w:rPr>
          <w:sz w:val="24"/>
          <w:szCs w:val="24"/>
        </w:rPr>
        <w:t xml:space="preserve">The overall annual response burden totals 48 person-hours per respondent.  Based on the average hourly wage of </w:t>
      </w:r>
      <w:r w:rsidRPr="00E863A1" w:rsidR="00E863A1">
        <w:rPr>
          <w:sz w:val="24"/>
          <w:szCs w:val="24"/>
        </w:rPr>
        <w:t>15-1242 Database Administrators</w:t>
      </w:r>
      <w:r w:rsidR="00E863A1">
        <w:rPr>
          <w:sz w:val="24"/>
          <w:szCs w:val="24"/>
        </w:rPr>
        <w:t xml:space="preserve"> </w:t>
      </w:r>
      <w:r w:rsidRPr="00667FEC">
        <w:rPr>
          <w:sz w:val="24"/>
          <w:szCs w:val="24"/>
        </w:rPr>
        <w:t>employees (source: BLS) of $</w:t>
      </w:r>
      <w:r w:rsidR="00EE0A9A">
        <w:rPr>
          <w:sz w:val="24"/>
          <w:szCs w:val="24"/>
        </w:rPr>
        <w:t>5</w:t>
      </w:r>
      <w:r w:rsidR="00E863A1">
        <w:rPr>
          <w:sz w:val="24"/>
          <w:szCs w:val="24"/>
        </w:rPr>
        <w:t>1</w:t>
      </w:r>
      <w:r w:rsidRPr="00667FEC">
        <w:rPr>
          <w:sz w:val="24"/>
          <w:szCs w:val="24"/>
        </w:rPr>
        <w:t>.</w:t>
      </w:r>
      <w:r w:rsidR="00EE0A9A">
        <w:rPr>
          <w:sz w:val="24"/>
          <w:szCs w:val="24"/>
        </w:rPr>
        <w:t>6</w:t>
      </w:r>
      <w:r w:rsidR="00E863A1">
        <w:rPr>
          <w:sz w:val="24"/>
          <w:szCs w:val="24"/>
        </w:rPr>
        <w:t>5</w:t>
      </w:r>
      <w:r w:rsidRPr="00667FEC">
        <w:rPr>
          <w:sz w:val="24"/>
          <w:szCs w:val="24"/>
        </w:rPr>
        <w:t>, the total aggregate cost is $</w:t>
      </w:r>
      <w:r w:rsidRPr="000D1DE8" w:rsidR="000D1DE8">
        <w:rPr>
          <w:sz w:val="24"/>
          <w:szCs w:val="24"/>
        </w:rPr>
        <w:t>2,928</w:t>
      </w:r>
      <w:r w:rsidR="000D1DE8">
        <w:rPr>
          <w:sz w:val="24"/>
          <w:szCs w:val="24"/>
        </w:rPr>
        <w:t xml:space="preserve"> </w:t>
      </w:r>
      <w:r w:rsidRPr="00667FEC">
        <w:rPr>
          <w:sz w:val="24"/>
          <w:szCs w:val="24"/>
        </w:rPr>
        <w:t>per respondent annually and $</w:t>
      </w:r>
      <w:r w:rsidRPr="000D1DE8" w:rsidR="000D1DE8">
        <w:rPr>
          <w:sz w:val="24"/>
          <w:szCs w:val="24"/>
        </w:rPr>
        <w:t>151,231.20</w:t>
      </w:r>
      <w:r w:rsidRPr="00667FEC">
        <w:rPr>
          <w:sz w:val="24"/>
          <w:szCs w:val="24"/>
        </w:rPr>
        <w:t>annually in aggregate across all responding HFAs.</w:t>
      </w:r>
      <w:r w:rsidRPr="00E35A38">
        <w:rPr>
          <w:sz w:val="24"/>
          <w:szCs w:val="24"/>
        </w:rPr>
        <w:t xml:space="preserve"> </w:t>
      </w:r>
    </w:p>
    <w:p w:rsidR="00E35A38" w:rsidRPr="006C7FAE" w:rsidP="00167E53" w14:paraId="7F99E6F6"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9E13B1" w:rsidRPr="00424082" w14:paraId="4E3E5803" w14:textId="77777777">
      <w:pPr>
        <w:tabs>
          <w:tab w:val="left" w:pos="360"/>
        </w:tabs>
        <w:ind w:left="360" w:hanging="360"/>
        <w:rPr>
          <w:b/>
          <w:bCs/>
          <w:sz w:val="24"/>
          <w:szCs w:val="24"/>
        </w:rPr>
      </w:pPr>
      <w:r w:rsidRPr="00424082">
        <w:rPr>
          <w:b/>
          <w:bCs/>
          <w:sz w:val="24"/>
          <w:szCs w:val="24"/>
        </w:rPr>
        <w:t>13.</w:t>
      </w:r>
      <w:r w:rsidRPr="00424082">
        <w:rPr>
          <w:b/>
          <w:bCs/>
          <w:sz w:val="24"/>
          <w:szCs w:val="24"/>
        </w:rPr>
        <w:tab/>
        <w:t xml:space="preserve">Provide an estimate of the total annual cost burden to respondents or recordkeepers resulting from the collection of information (do not include the cost of any hour burden shown in Items 12 and 14). </w:t>
      </w:r>
    </w:p>
    <w:p w:rsidR="00424082" w:rsidRPr="00424082" w14:paraId="3E73FCA2" w14:textId="77777777">
      <w:pPr>
        <w:tabs>
          <w:tab w:val="left" w:pos="360"/>
        </w:tabs>
        <w:ind w:left="360" w:hanging="360"/>
        <w:rPr>
          <w:b/>
          <w:bCs/>
          <w:sz w:val="24"/>
          <w:szCs w:val="24"/>
        </w:rPr>
      </w:pPr>
    </w:p>
    <w:p w:rsidR="009E13B1" w:rsidRPr="00424082" w14:paraId="48C3539D" w14:textId="77777777">
      <w:pPr>
        <w:numPr>
          <w:ilvl w:val="0"/>
          <w:numId w:val="14"/>
        </w:numPr>
        <w:tabs>
          <w:tab w:val="left" w:pos="360"/>
        </w:tabs>
        <w:ind w:left="480"/>
        <w:rPr>
          <w:b/>
          <w:bCs/>
          <w:sz w:val="24"/>
          <w:szCs w:val="24"/>
        </w:rPr>
      </w:pPr>
      <w:r w:rsidRPr="00424082">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424082" w:rsidRPr="00424082" w:rsidP="00424082" w14:paraId="256497CC" w14:textId="77777777">
      <w:pPr>
        <w:tabs>
          <w:tab w:val="left" w:pos="360"/>
        </w:tabs>
        <w:ind w:left="480"/>
        <w:rPr>
          <w:b/>
          <w:bCs/>
          <w:sz w:val="24"/>
          <w:szCs w:val="24"/>
        </w:rPr>
      </w:pPr>
    </w:p>
    <w:p w:rsidR="009E13B1" w:rsidRPr="00424082" w14:paraId="086B96CA" w14:textId="77777777">
      <w:pPr>
        <w:numPr>
          <w:ilvl w:val="0"/>
          <w:numId w:val="14"/>
        </w:numPr>
        <w:tabs>
          <w:tab w:val="left" w:pos="360"/>
        </w:tabs>
        <w:ind w:left="480"/>
        <w:rPr>
          <w:b/>
          <w:bCs/>
          <w:sz w:val="24"/>
          <w:szCs w:val="24"/>
        </w:rPr>
      </w:pPr>
      <w:r w:rsidRPr="00424082">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424082" w:rsidRPr="00424082" w:rsidP="00424082" w14:paraId="5E44F149" w14:textId="77777777">
      <w:pPr>
        <w:pStyle w:val="ListParagraph"/>
        <w:rPr>
          <w:b/>
          <w:bCs/>
          <w:sz w:val="24"/>
          <w:szCs w:val="24"/>
        </w:rPr>
      </w:pPr>
    </w:p>
    <w:p w:rsidR="009E13B1" w:rsidRPr="00424082" w14:paraId="22847450" w14:textId="72E87272">
      <w:pPr>
        <w:keepLines/>
        <w:numPr>
          <w:ilvl w:val="0"/>
          <w:numId w:val="14"/>
        </w:numPr>
        <w:tabs>
          <w:tab w:val="left" w:pos="360"/>
        </w:tabs>
        <w:spacing w:after="80"/>
        <w:ind w:left="480"/>
        <w:rPr>
          <w:b/>
          <w:bCs/>
          <w:sz w:val="24"/>
          <w:szCs w:val="24"/>
        </w:rPr>
      </w:pPr>
      <w:r>
        <w:rPr>
          <w:b/>
          <w:bCs/>
          <w:sz w:val="24"/>
          <w:szCs w:val="24"/>
        </w:rPr>
        <w:t>G</w:t>
      </w:r>
      <w:r w:rsidRPr="00424082">
        <w:rPr>
          <w:b/>
          <w:bCs/>
          <w:sz w:val="24"/>
          <w:szCs w:val="24"/>
        </w:rPr>
        <w:t>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35A38" w:rsidP="00E35A38" w14:paraId="10603B54" w14:textId="24549DC3">
      <w:pPr>
        <w:keepLines/>
        <w:tabs>
          <w:tab w:val="left" w:pos="360"/>
        </w:tabs>
        <w:spacing w:before="120" w:after="80"/>
        <w:ind w:left="504"/>
        <w:rPr>
          <w:sz w:val="24"/>
          <w:szCs w:val="24"/>
        </w:rPr>
      </w:pPr>
      <w:r w:rsidRPr="0068469D">
        <w:rPr>
          <w:sz w:val="24"/>
          <w:szCs w:val="24"/>
        </w:rPr>
        <w:t xml:space="preserve">There will be no cost burden to respondents </w:t>
      </w:r>
      <w:r w:rsidR="00941449">
        <w:rPr>
          <w:sz w:val="24"/>
          <w:szCs w:val="24"/>
        </w:rPr>
        <w:t xml:space="preserve">beyond the costs captured under questions 12 and 14. </w:t>
      </w:r>
      <w:r w:rsidRPr="0068469D">
        <w:rPr>
          <w:sz w:val="24"/>
          <w:szCs w:val="24"/>
        </w:rPr>
        <w:t xml:space="preserve"> </w:t>
      </w:r>
    </w:p>
    <w:p w:rsidR="00EA3459" w:rsidRPr="006C7FAE" w:rsidP="00E35A38" w14:paraId="0D38D382" w14:textId="77777777">
      <w:pPr>
        <w:keepLines/>
        <w:tabs>
          <w:tab w:val="left" w:pos="360"/>
        </w:tabs>
        <w:spacing w:before="120" w:after="80"/>
        <w:ind w:left="504"/>
        <w:rPr>
          <w:sz w:val="24"/>
          <w:szCs w:val="24"/>
        </w:rPr>
      </w:pPr>
    </w:p>
    <w:p w:rsidR="009E13B1" w14:paraId="56D0C700" w14:textId="77777777">
      <w:pPr>
        <w:keepLines/>
        <w:tabs>
          <w:tab w:val="left" w:pos="360"/>
        </w:tabs>
        <w:spacing w:after="80"/>
        <w:ind w:left="360" w:hanging="360"/>
        <w:rPr>
          <w:b/>
          <w:bCs/>
          <w:sz w:val="24"/>
          <w:szCs w:val="24"/>
        </w:rPr>
      </w:pPr>
      <w:r w:rsidRPr="00941449">
        <w:rPr>
          <w:b/>
          <w:bCs/>
          <w:sz w:val="24"/>
          <w:szCs w:val="24"/>
        </w:rPr>
        <w:t>14.</w:t>
      </w:r>
      <w:r w:rsidRPr="00941449">
        <w:rPr>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941449" w:rsidRPr="00941449" w14:paraId="0FC8E995" w14:textId="77777777">
      <w:pPr>
        <w:keepLines/>
        <w:tabs>
          <w:tab w:val="left" w:pos="360"/>
        </w:tabs>
        <w:spacing w:after="80"/>
        <w:ind w:left="360" w:hanging="360"/>
        <w:rPr>
          <w:b/>
          <w:bCs/>
          <w:sz w:val="24"/>
          <w:szCs w:val="24"/>
        </w:rPr>
      </w:pPr>
    </w:p>
    <w:p w:rsidR="009E13B1" w:rsidP="00017498" w14:paraId="226F41C3" w14:textId="77777777">
      <w:pPr>
        <w:overflowPunct/>
        <w:autoSpaceDE/>
        <w:autoSpaceDN/>
        <w:adjustRightInd/>
        <w:spacing w:after="80"/>
        <w:ind w:left="360"/>
        <w:textAlignment w:val="auto"/>
        <w:rPr>
          <w:sz w:val="24"/>
          <w:szCs w:val="24"/>
        </w:rPr>
      </w:pPr>
      <w:r w:rsidRPr="00482FF5">
        <w:rPr>
          <w:sz w:val="24"/>
          <w:szCs w:val="24"/>
        </w:rPr>
        <w:t>The only budgeted cost to the federal government fund</w:t>
      </w:r>
      <w:r w:rsidR="004D3C72">
        <w:rPr>
          <w:sz w:val="24"/>
          <w:szCs w:val="24"/>
        </w:rPr>
        <w:t>s</w:t>
      </w:r>
      <w:r w:rsidRPr="00482FF5">
        <w:rPr>
          <w:sz w:val="24"/>
          <w:szCs w:val="24"/>
        </w:rPr>
        <w:t xml:space="preserve"> a contractor to assist state housing agencies with their data submissions</w:t>
      </w:r>
      <w:r w:rsidR="004D3C72">
        <w:rPr>
          <w:sz w:val="24"/>
          <w:szCs w:val="24"/>
        </w:rPr>
        <w:t xml:space="preserve"> and to clean and process the data received</w:t>
      </w:r>
      <w:r w:rsidRPr="00482FF5">
        <w:rPr>
          <w:sz w:val="24"/>
          <w:szCs w:val="24"/>
        </w:rPr>
        <w:t>.</w:t>
      </w:r>
      <w:r w:rsidR="003A2558">
        <w:rPr>
          <w:sz w:val="24"/>
          <w:szCs w:val="24"/>
        </w:rPr>
        <w:t xml:space="preserve">  </w:t>
      </w:r>
    </w:p>
    <w:p w:rsidR="004D3C72" w:rsidP="00671170" w14:paraId="213AABDC" w14:textId="77777777">
      <w:pPr>
        <w:overflowPunct/>
        <w:autoSpaceDE/>
        <w:autoSpaceDN/>
        <w:adjustRightInd/>
        <w:spacing w:after="80"/>
        <w:ind w:left="360"/>
        <w:textAlignment w:val="auto"/>
        <w:rPr>
          <w:sz w:val="24"/>
          <w:szCs w:val="24"/>
        </w:rPr>
      </w:pPr>
    </w:p>
    <w:tbl>
      <w:tblPr>
        <w:tblW w:w="3364" w:type="dxa"/>
        <w:tblInd w:w="1098" w:type="dxa"/>
        <w:tblLook w:val="04A0"/>
      </w:tblPr>
      <w:tblGrid>
        <w:gridCol w:w="2700"/>
        <w:gridCol w:w="1116"/>
      </w:tblGrid>
      <w:tr w14:paraId="21C89FA9" w14:textId="77777777" w:rsidTr="00671170">
        <w:tblPrEx>
          <w:tblW w:w="3364" w:type="dxa"/>
          <w:tblInd w:w="1098" w:type="dxa"/>
          <w:tblLook w:val="04A0"/>
        </w:tblPrEx>
        <w:trPr>
          <w:trHeight w:val="264"/>
        </w:trPr>
        <w:tc>
          <w:tcPr>
            <w:tcW w:w="2700" w:type="dxa"/>
            <w:tcBorders>
              <w:top w:val="nil"/>
              <w:left w:val="nil"/>
              <w:bottom w:val="single" w:sz="4" w:space="0" w:color="auto"/>
              <w:right w:val="nil"/>
            </w:tcBorders>
            <w:noWrap/>
            <w:vAlign w:val="bottom"/>
            <w:hideMark/>
          </w:tcPr>
          <w:p w:rsidR="004D3C72" w:rsidRPr="004D3C72" w:rsidP="00671170" w14:paraId="62DFDE7A" w14:textId="77777777">
            <w:pPr>
              <w:overflowPunct/>
              <w:autoSpaceDE/>
              <w:autoSpaceDN/>
              <w:adjustRightInd/>
              <w:textAlignment w:val="auto"/>
              <w:rPr>
                <w:sz w:val="24"/>
                <w:szCs w:val="24"/>
              </w:rPr>
            </w:pPr>
            <w:r w:rsidRPr="004D3C72">
              <w:rPr>
                <w:sz w:val="24"/>
                <w:szCs w:val="24"/>
              </w:rPr>
              <w:t>Year</w:t>
            </w:r>
          </w:p>
        </w:tc>
        <w:tc>
          <w:tcPr>
            <w:tcW w:w="664" w:type="dxa"/>
            <w:tcBorders>
              <w:top w:val="nil"/>
              <w:left w:val="nil"/>
              <w:bottom w:val="single" w:sz="4" w:space="0" w:color="auto"/>
              <w:right w:val="nil"/>
            </w:tcBorders>
            <w:noWrap/>
            <w:vAlign w:val="bottom"/>
            <w:hideMark/>
          </w:tcPr>
          <w:p w:rsidR="004D3C72" w:rsidRPr="004D3C72" w:rsidP="00671170" w14:paraId="4166DA11" w14:textId="77777777">
            <w:pPr>
              <w:overflowPunct/>
              <w:autoSpaceDE/>
              <w:autoSpaceDN/>
              <w:adjustRightInd/>
              <w:jc w:val="center"/>
              <w:textAlignment w:val="auto"/>
              <w:rPr>
                <w:sz w:val="24"/>
                <w:szCs w:val="24"/>
              </w:rPr>
            </w:pPr>
            <w:r w:rsidRPr="004D3C72">
              <w:rPr>
                <w:sz w:val="24"/>
                <w:szCs w:val="24"/>
              </w:rPr>
              <w:t>Total</w:t>
            </w:r>
          </w:p>
        </w:tc>
      </w:tr>
      <w:tr w14:paraId="018F485D" w14:textId="77777777" w:rsidTr="00671170">
        <w:tblPrEx>
          <w:tblW w:w="3364" w:type="dxa"/>
          <w:tblInd w:w="1098" w:type="dxa"/>
          <w:tblLook w:val="04A0"/>
        </w:tblPrEx>
        <w:trPr>
          <w:trHeight w:val="264"/>
        </w:trPr>
        <w:tc>
          <w:tcPr>
            <w:tcW w:w="2700" w:type="dxa"/>
            <w:tcBorders>
              <w:top w:val="single" w:sz="4" w:space="0" w:color="auto"/>
              <w:left w:val="nil"/>
              <w:bottom w:val="nil"/>
              <w:right w:val="nil"/>
            </w:tcBorders>
            <w:noWrap/>
            <w:vAlign w:val="bottom"/>
            <w:hideMark/>
          </w:tcPr>
          <w:p w:rsidR="004D3C72" w:rsidRPr="004D3C72" w:rsidP="00671170" w14:paraId="28A1D5EF" w14:textId="77777777">
            <w:pPr>
              <w:overflowPunct/>
              <w:autoSpaceDE/>
              <w:autoSpaceDN/>
              <w:adjustRightInd/>
              <w:textAlignment w:val="auto"/>
              <w:rPr>
                <w:sz w:val="24"/>
                <w:szCs w:val="24"/>
              </w:rPr>
            </w:pPr>
            <w:r w:rsidRPr="004D3C72">
              <w:rPr>
                <w:sz w:val="24"/>
                <w:szCs w:val="24"/>
              </w:rPr>
              <w:t>FY 2021 (Base)</w:t>
            </w:r>
          </w:p>
        </w:tc>
        <w:tc>
          <w:tcPr>
            <w:tcW w:w="664" w:type="dxa"/>
            <w:tcBorders>
              <w:top w:val="single" w:sz="4" w:space="0" w:color="auto"/>
              <w:left w:val="nil"/>
              <w:bottom w:val="nil"/>
              <w:right w:val="nil"/>
            </w:tcBorders>
            <w:noWrap/>
            <w:vAlign w:val="bottom"/>
            <w:hideMark/>
          </w:tcPr>
          <w:p w:rsidR="004D3C72" w:rsidRPr="004D3C72" w:rsidP="00671170" w14:paraId="63990CDC" w14:textId="77777777">
            <w:pPr>
              <w:overflowPunct/>
              <w:autoSpaceDE/>
              <w:autoSpaceDN/>
              <w:adjustRightInd/>
              <w:textAlignment w:val="auto"/>
              <w:rPr>
                <w:sz w:val="24"/>
                <w:szCs w:val="24"/>
              </w:rPr>
            </w:pPr>
            <w:r w:rsidRPr="004D3C72">
              <w:rPr>
                <w:sz w:val="24"/>
                <w:szCs w:val="24"/>
              </w:rPr>
              <w:t>$</w:t>
            </w:r>
            <w:r w:rsidR="00EE0A9A">
              <w:rPr>
                <w:sz w:val="24"/>
                <w:szCs w:val="24"/>
              </w:rPr>
              <w:t>3</w:t>
            </w:r>
            <w:r w:rsidRPr="00EE0A9A" w:rsidR="00EE0A9A">
              <w:rPr>
                <w:sz w:val="24"/>
                <w:szCs w:val="24"/>
              </w:rPr>
              <w:t>25,438</w:t>
            </w:r>
          </w:p>
        </w:tc>
      </w:tr>
      <w:tr w14:paraId="2845BBEE" w14:textId="77777777" w:rsidTr="00671170">
        <w:tblPrEx>
          <w:tblW w:w="3364" w:type="dxa"/>
          <w:tblInd w:w="1098" w:type="dxa"/>
          <w:tblLook w:val="04A0"/>
        </w:tblPrEx>
        <w:trPr>
          <w:trHeight w:val="264"/>
        </w:trPr>
        <w:tc>
          <w:tcPr>
            <w:tcW w:w="2700" w:type="dxa"/>
            <w:tcBorders>
              <w:top w:val="nil"/>
              <w:left w:val="nil"/>
              <w:bottom w:val="nil"/>
              <w:right w:val="nil"/>
            </w:tcBorders>
            <w:noWrap/>
            <w:vAlign w:val="bottom"/>
            <w:hideMark/>
          </w:tcPr>
          <w:p w:rsidR="004D3C72" w:rsidRPr="004D3C72" w:rsidP="00671170" w14:paraId="70D7D599" w14:textId="77777777">
            <w:pPr>
              <w:overflowPunct/>
              <w:autoSpaceDE/>
              <w:autoSpaceDN/>
              <w:adjustRightInd/>
              <w:textAlignment w:val="auto"/>
              <w:rPr>
                <w:sz w:val="24"/>
                <w:szCs w:val="24"/>
              </w:rPr>
            </w:pPr>
            <w:r w:rsidRPr="004D3C72">
              <w:rPr>
                <w:sz w:val="24"/>
                <w:szCs w:val="24"/>
              </w:rPr>
              <w:t>FY 202</w:t>
            </w:r>
            <w:r>
              <w:rPr>
                <w:sz w:val="24"/>
                <w:szCs w:val="24"/>
              </w:rPr>
              <w:t>2</w:t>
            </w:r>
            <w:r w:rsidRPr="004D3C72">
              <w:rPr>
                <w:sz w:val="24"/>
                <w:szCs w:val="24"/>
              </w:rPr>
              <w:t xml:space="preserve"> </w:t>
            </w:r>
            <w:r w:rsidRPr="004D3C72">
              <w:rPr>
                <w:sz w:val="24"/>
                <w:szCs w:val="24"/>
              </w:rPr>
              <w:t>Option Year 1</w:t>
            </w:r>
          </w:p>
        </w:tc>
        <w:tc>
          <w:tcPr>
            <w:tcW w:w="664" w:type="dxa"/>
            <w:tcBorders>
              <w:top w:val="nil"/>
              <w:left w:val="nil"/>
              <w:bottom w:val="nil"/>
              <w:right w:val="nil"/>
            </w:tcBorders>
            <w:noWrap/>
            <w:vAlign w:val="bottom"/>
            <w:hideMark/>
          </w:tcPr>
          <w:p w:rsidR="004D3C72" w:rsidRPr="004D3C72" w:rsidP="00671170" w14:paraId="232A492B" w14:textId="77777777">
            <w:pPr>
              <w:overflowPunct/>
              <w:autoSpaceDE/>
              <w:autoSpaceDN/>
              <w:adjustRightInd/>
              <w:textAlignment w:val="auto"/>
              <w:rPr>
                <w:sz w:val="24"/>
                <w:szCs w:val="24"/>
              </w:rPr>
            </w:pPr>
            <w:r w:rsidRPr="00EE0A9A">
              <w:rPr>
                <w:sz w:val="24"/>
                <w:szCs w:val="24"/>
              </w:rPr>
              <w:t>$333,820</w:t>
            </w:r>
          </w:p>
        </w:tc>
      </w:tr>
      <w:tr w14:paraId="7BFAA658" w14:textId="77777777" w:rsidTr="00671170">
        <w:tblPrEx>
          <w:tblW w:w="3364" w:type="dxa"/>
          <w:tblInd w:w="1098" w:type="dxa"/>
          <w:tblLook w:val="04A0"/>
        </w:tblPrEx>
        <w:trPr>
          <w:trHeight w:val="264"/>
        </w:trPr>
        <w:tc>
          <w:tcPr>
            <w:tcW w:w="2700" w:type="dxa"/>
            <w:tcBorders>
              <w:top w:val="nil"/>
              <w:left w:val="nil"/>
              <w:bottom w:val="nil"/>
              <w:right w:val="nil"/>
            </w:tcBorders>
            <w:noWrap/>
            <w:vAlign w:val="bottom"/>
            <w:hideMark/>
          </w:tcPr>
          <w:p w:rsidR="004D3C72" w:rsidRPr="004D3C72" w:rsidP="00671170" w14:paraId="164773FA" w14:textId="77777777">
            <w:pPr>
              <w:overflowPunct/>
              <w:autoSpaceDE/>
              <w:autoSpaceDN/>
              <w:adjustRightInd/>
              <w:textAlignment w:val="auto"/>
              <w:rPr>
                <w:sz w:val="24"/>
                <w:szCs w:val="24"/>
              </w:rPr>
            </w:pPr>
            <w:r w:rsidRPr="004D3C72">
              <w:rPr>
                <w:sz w:val="24"/>
                <w:szCs w:val="24"/>
              </w:rPr>
              <w:t>FY 202</w:t>
            </w:r>
            <w:r>
              <w:rPr>
                <w:sz w:val="24"/>
                <w:szCs w:val="24"/>
              </w:rPr>
              <w:t>3</w:t>
            </w:r>
            <w:r w:rsidRPr="004D3C72">
              <w:rPr>
                <w:sz w:val="24"/>
                <w:szCs w:val="24"/>
              </w:rPr>
              <w:t xml:space="preserve"> </w:t>
            </w:r>
            <w:r w:rsidRPr="004D3C72">
              <w:rPr>
                <w:sz w:val="24"/>
                <w:szCs w:val="24"/>
              </w:rPr>
              <w:t>Option Year 2</w:t>
            </w:r>
          </w:p>
        </w:tc>
        <w:tc>
          <w:tcPr>
            <w:tcW w:w="664" w:type="dxa"/>
            <w:tcBorders>
              <w:top w:val="nil"/>
              <w:left w:val="nil"/>
              <w:bottom w:val="nil"/>
              <w:right w:val="nil"/>
            </w:tcBorders>
            <w:noWrap/>
            <w:vAlign w:val="bottom"/>
            <w:hideMark/>
          </w:tcPr>
          <w:p w:rsidR="004D3C72" w:rsidRPr="004D3C72" w:rsidP="00671170" w14:paraId="4E39017B" w14:textId="77777777">
            <w:pPr>
              <w:overflowPunct/>
              <w:autoSpaceDE/>
              <w:autoSpaceDN/>
              <w:adjustRightInd/>
              <w:textAlignment w:val="auto"/>
              <w:rPr>
                <w:sz w:val="24"/>
                <w:szCs w:val="24"/>
              </w:rPr>
            </w:pPr>
            <w:r w:rsidRPr="00EE0A9A">
              <w:rPr>
                <w:sz w:val="24"/>
                <w:szCs w:val="24"/>
              </w:rPr>
              <w:t>$338,581</w:t>
            </w:r>
          </w:p>
        </w:tc>
      </w:tr>
      <w:tr w14:paraId="6D1F7951" w14:textId="77777777" w:rsidTr="00671170">
        <w:tblPrEx>
          <w:tblW w:w="3364" w:type="dxa"/>
          <w:tblInd w:w="1098" w:type="dxa"/>
          <w:tblLook w:val="04A0"/>
        </w:tblPrEx>
        <w:trPr>
          <w:trHeight w:val="264"/>
        </w:trPr>
        <w:tc>
          <w:tcPr>
            <w:tcW w:w="2700" w:type="dxa"/>
            <w:tcBorders>
              <w:top w:val="nil"/>
              <w:left w:val="nil"/>
              <w:bottom w:val="nil"/>
              <w:right w:val="nil"/>
            </w:tcBorders>
            <w:noWrap/>
            <w:vAlign w:val="bottom"/>
            <w:hideMark/>
          </w:tcPr>
          <w:p w:rsidR="004D3C72" w:rsidRPr="004D3C72" w:rsidP="00671170" w14:paraId="59CC75ED" w14:textId="77777777">
            <w:pPr>
              <w:overflowPunct/>
              <w:autoSpaceDE/>
              <w:autoSpaceDN/>
              <w:adjustRightInd/>
              <w:textAlignment w:val="auto"/>
              <w:rPr>
                <w:sz w:val="24"/>
                <w:szCs w:val="24"/>
              </w:rPr>
            </w:pPr>
            <w:r w:rsidRPr="004D3C72">
              <w:rPr>
                <w:sz w:val="24"/>
                <w:szCs w:val="24"/>
              </w:rPr>
              <w:t>FY 202</w:t>
            </w:r>
            <w:r>
              <w:rPr>
                <w:sz w:val="24"/>
                <w:szCs w:val="24"/>
              </w:rPr>
              <w:t>4</w:t>
            </w:r>
            <w:r w:rsidRPr="004D3C72">
              <w:rPr>
                <w:sz w:val="24"/>
                <w:szCs w:val="24"/>
              </w:rPr>
              <w:t xml:space="preserve"> </w:t>
            </w:r>
            <w:r w:rsidRPr="004D3C72">
              <w:rPr>
                <w:sz w:val="24"/>
                <w:szCs w:val="24"/>
              </w:rPr>
              <w:t>Option Year 3</w:t>
            </w:r>
          </w:p>
        </w:tc>
        <w:tc>
          <w:tcPr>
            <w:tcW w:w="664" w:type="dxa"/>
            <w:tcBorders>
              <w:top w:val="nil"/>
              <w:left w:val="nil"/>
              <w:bottom w:val="nil"/>
              <w:right w:val="nil"/>
            </w:tcBorders>
            <w:noWrap/>
            <w:vAlign w:val="bottom"/>
            <w:hideMark/>
          </w:tcPr>
          <w:p w:rsidR="004D3C72" w:rsidRPr="004D3C72" w:rsidP="00671170" w14:paraId="13D4FDF6" w14:textId="77777777">
            <w:pPr>
              <w:overflowPunct/>
              <w:autoSpaceDE/>
              <w:autoSpaceDN/>
              <w:adjustRightInd/>
              <w:textAlignment w:val="auto"/>
              <w:rPr>
                <w:sz w:val="24"/>
                <w:szCs w:val="24"/>
              </w:rPr>
            </w:pPr>
            <w:r w:rsidRPr="00EE0A9A">
              <w:rPr>
                <w:sz w:val="24"/>
                <w:szCs w:val="24"/>
              </w:rPr>
              <w:t>$345,359</w:t>
            </w:r>
          </w:p>
        </w:tc>
      </w:tr>
      <w:tr w14:paraId="04F00B59" w14:textId="77777777" w:rsidTr="00671170">
        <w:tblPrEx>
          <w:tblW w:w="3364" w:type="dxa"/>
          <w:tblInd w:w="1098" w:type="dxa"/>
          <w:tblLook w:val="04A0"/>
        </w:tblPrEx>
        <w:trPr>
          <w:trHeight w:val="264"/>
        </w:trPr>
        <w:tc>
          <w:tcPr>
            <w:tcW w:w="2700" w:type="dxa"/>
            <w:tcBorders>
              <w:top w:val="nil"/>
              <w:left w:val="nil"/>
              <w:bottom w:val="single" w:sz="4" w:space="0" w:color="auto"/>
              <w:right w:val="nil"/>
            </w:tcBorders>
            <w:noWrap/>
            <w:vAlign w:val="bottom"/>
            <w:hideMark/>
          </w:tcPr>
          <w:p w:rsidR="004D3C72" w:rsidRPr="004D3C72" w:rsidP="00671170" w14:paraId="6B7E060B" w14:textId="77777777">
            <w:pPr>
              <w:overflowPunct/>
              <w:autoSpaceDE/>
              <w:autoSpaceDN/>
              <w:adjustRightInd/>
              <w:textAlignment w:val="auto"/>
              <w:rPr>
                <w:sz w:val="24"/>
                <w:szCs w:val="24"/>
              </w:rPr>
            </w:pPr>
            <w:r w:rsidRPr="004D3C72">
              <w:rPr>
                <w:sz w:val="24"/>
                <w:szCs w:val="24"/>
              </w:rPr>
              <w:t>FY 202</w:t>
            </w:r>
            <w:r>
              <w:rPr>
                <w:sz w:val="24"/>
                <w:szCs w:val="24"/>
              </w:rPr>
              <w:t>5</w:t>
            </w:r>
            <w:r w:rsidRPr="004D3C72">
              <w:rPr>
                <w:sz w:val="24"/>
                <w:szCs w:val="24"/>
              </w:rPr>
              <w:t xml:space="preserve"> </w:t>
            </w:r>
            <w:r w:rsidRPr="004D3C72">
              <w:rPr>
                <w:sz w:val="24"/>
                <w:szCs w:val="24"/>
              </w:rPr>
              <w:t>Option Year 4</w:t>
            </w:r>
          </w:p>
        </w:tc>
        <w:tc>
          <w:tcPr>
            <w:tcW w:w="664" w:type="dxa"/>
            <w:tcBorders>
              <w:top w:val="nil"/>
              <w:left w:val="nil"/>
              <w:bottom w:val="single" w:sz="4" w:space="0" w:color="auto"/>
              <w:right w:val="nil"/>
            </w:tcBorders>
            <w:noWrap/>
            <w:vAlign w:val="bottom"/>
            <w:hideMark/>
          </w:tcPr>
          <w:p w:rsidR="004D3C72" w:rsidRPr="004D3C72" w:rsidP="00671170" w14:paraId="5CBACA4E" w14:textId="4FCA029B">
            <w:pPr>
              <w:overflowPunct/>
              <w:autoSpaceDE/>
              <w:autoSpaceDN/>
              <w:adjustRightInd/>
              <w:textAlignment w:val="auto"/>
              <w:rPr>
                <w:sz w:val="24"/>
                <w:szCs w:val="24"/>
              </w:rPr>
            </w:pPr>
            <w:r w:rsidRPr="00EE0A9A">
              <w:rPr>
                <w:sz w:val="24"/>
                <w:szCs w:val="24"/>
              </w:rPr>
              <w:t>$</w:t>
            </w:r>
            <w:r w:rsidRPr="00EE0A9A" w:rsidR="00D8724D">
              <w:rPr>
                <w:sz w:val="24"/>
                <w:szCs w:val="24"/>
              </w:rPr>
              <w:t>3</w:t>
            </w:r>
            <w:r w:rsidR="00D8724D">
              <w:rPr>
                <w:sz w:val="24"/>
                <w:szCs w:val="24"/>
              </w:rPr>
              <w:t>54</w:t>
            </w:r>
            <w:r w:rsidRPr="00EE0A9A">
              <w:rPr>
                <w:sz w:val="24"/>
                <w:szCs w:val="24"/>
              </w:rPr>
              <w:t>,</w:t>
            </w:r>
            <w:r w:rsidR="00D93619">
              <w:rPr>
                <w:sz w:val="24"/>
                <w:szCs w:val="24"/>
              </w:rPr>
              <w:t>259</w:t>
            </w:r>
          </w:p>
        </w:tc>
      </w:tr>
    </w:tbl>
    <w:p w:rsidR="006C7FAE" w:rsidRPr="00941449" w14:paraId="209147B9" w14:textId="77777777">
      <w:pPr>
        <w:tabs>
          <w:tab w:val="left" w:pos="360"/>
        </w:tabs>
        <w:ind w:left="360" w:hanging="360"/>
        <w:rPr>
          <w:b/>
          <w:bCs/>
          <w:sz w:val="24"/>
          <w:szCs w:val="24"/>
        </w:rPr>
      </w:pPr>
    </w:p>
    <w:p w:rsidR="009E13B1" w:rsidRPr="00941449" w14:paraId="007954D6" w14:textId="1B605FFA">
      <w:pPr>
        <w:keepLines/>
        <w:tabs>
          <w:tab w:val="left" w:pos="360"/>
        </w:tabs>
        <w:spacing w:after="80"/>
        <w:ind w:left="360" w:hanging="360"/>
        <w:rPr>
          <w:b/>
          <w:bCs/>
          <w:sz w:val="24"/>
          <w:szCs w:val="24"/>
        </w:rPr>
      </w:pPr>
      <w:r w:rsidRPr="00941449">
        <w:rPr>
          <w:b/>
          <w:bCs/>
          <w:sz w:val="24"/>
          <w:szCs w:val="24"/>
        </w:rPr>
        <w:t>15.</w:t>
      </w:r>
      <w:r w:rsidRPr="00941449">
        <w:rPr>
          <w:b/>
          <w:bCs/>
          <w:sz w:val="24"/>
          <w:szCs w:val="24"/>
        </w:rPr>
        <w:tab/>
        <w:t>Explain the reasons for any program changes or adjustments reported in Items 1</w:t>
      </w:r>
      <w:r w:rsidRPr="00941449" w:rsidR="00941449">
        <w:rPr>
          <w:b/>
          <w:bCs/>
          <w:sz w:val="24"/>
          <w:szCs w:val="24"/>
        </w:rPr>
        <w:t>2</w:t>
      </w:r>
      <w:r w:rsidRPr="00941449">
        <w:rPr>
          <w:b/>
          <w:bCs/>
          <w:sz w:val="24"/>
          <w:szCs w:val="24"/>
        </w:rPr>
        <w:t xml:space="preserve"> and 14 of the </w:t>
      </w:r>
      <w:r w:rsidRPr="00941449" w:rsidR="00941449">
        <w:rPr>
          <w:b/>
          <w:bCs/>
          <w:sz w:val="24"/>
          <w:szCs w:val="24"/>
        </w:rPr>
        <w:t>Supporting Statement</w:t>
      </w:r>
      <w:r w:rsidRPr="00941449">
        <w:rPr>
          <w:b/>
          <w:bCs/>
          <w:sz w:val="24"/>
          <w:szCs w:val="24"/>
        </w:rPr>
        <w:t>.</w:t>
      </w:r>
    </w:p>
    <w:p w:rsidR="0013715F" w:rsidP="0013715F" w14:paraId="49B833F0" w14:textId="77777777">
      <w:pPr>
        <w:keepLines/>
        <w:spacing w:before="120" w:after="80"/>
        <w:ind w:left="360"/>
        <w:rPr>
          <w:sz w:val="24"/>
          <w:szCs w:val="24"/>
        </w:rPr>
      </w:pPr>
      <w:r w:rsidRPr="00482FF5">
        <w:rPr>
          <w:sz w:val="24"/>
          <w:szCs w:val="24"/>
        </w:rPr>
        <w:t>There is no change in burden</w:t>
      </w:r>
      <w:r w:rsidR="00921080">
        <w:rPr>
          <w:sz w:val="24"/>
          <w:szCs w:val="24"/>
        </w:rPr>
        <w:t xml:space="preserve"> per agency.  </w:t>
      </w:r>
      <w:r w:rsidR="00F746A5">
        <w:rPr>
          <w:sz w:val="24"/>
          <w:szCs w:val="24"/>
        </w:rPr>
        <w:t>The only change HUD is proposing is the merging of the race and ethnicity questions, which are both already in the existing form</w:t>
      </w:r>
      <w:r w:rsidR="00C137A6">
        <w:rPr>
          <w:sz w:val="24"/>
          <w:szCs w:val="24"/>
        </w:rPr>
        <w:t>, into one question</w:t>
      </w:r>
      <w:r w:rsidR="00F746A5">
        <w:rPr>
          <w:sz w:val="24"/>
          <w:szCs w:val="24"/>
        </w:rPr>
        <w:t xml:space="preserve"> and </w:t>
      </w:r>
      <w:r w:rsidR="00C137A6">
        <w:rPr>
          <w:sz w:val="24"/>
          <w:szCs w:val="24"/>
        </w:rPr>
        <w:t xml:space="preserve">the </w:t>
      </w:r>
      <w:r w:rsidR="00F746A5">
        <w:rPr>
          <w:sz w:val="24"/>
          <w:szCs w:val="24"/>
        </w:rPr>
        <w:t>adoption the updated OMB race/ethnicity definitions</w:t>
      </w:r>
      <w:r w:rsidR="00C137A6">
        <w:rPr>
          <w:sz w:val="24"/>
          <w:szCs w:val="24"/>
        </w:rPr>
        <w:t xml:space="preserve"> consistent with SPD-15</w:t>
      </w:r>
      <w:r w:rsidR="00F746A5">
        <w:rPr>
          <w:sz w:val="24"/>
          <w:szCs w:val="24"/>
        </w:rPr>
        <w:t>.</w:t>
      </w:r>
      <w:r w:rsidR="00617CDD">
        <w:rPr>
          <w:sz w:val="24"/>
          <w:szCs w:val="24"/>
        </w:rPr>
        <w:t xml:space="preserve"> </w:t>
      </w:r>
    </w:p>
    <w:p w:rsidR="000D1DE8" w14:paraId="34E1CDCE" w14:textId="77777777">
      <w:pPr>
        <w:keepLines/>
        <w:tabs>
          <w:tab w:val="left" w:pos="360"/>
        </w:tabs>
        <w:spacing w:after="80"/>
        <w:ind w:left="360" w:hanging="360"/>
        <w:rPr>
          <w:b/>
          <w:bCs/>
          <w:sz w:val="24"/>
          <w:szCs w:val="24"/>
        </w:rPr>
      </w:pPr>
    </w:p>
    <w:p w:rsidR="009E13B1" w:rsidRPr="00A45427" w14:paraId="283EF45C" w14:textId="6250127A">
      <w:pPr>
        <w:keepLines/>
        <w:tabs>
          <w:tab w:val="left" w:pos="360"/>
        </w:tabs>
        <w:spacing w:after="80"/>
        <w:ind w:left="360" w:hanging="360"/>
        <w:rPr>
          <w:b/>
          <w:bCs/>
          <w:sz w:val="24"/>
          <w:szCs w:val="24"/>
        </w:rPr>
      </w:pPr>
      <w:r w:rsidRPr="00A45427">
        <w:rPr>
          <w:b/>
          <w:bCs/>
          <w:sz w:val="24"/>
          <w:szCs w:val="24"/>
        </w:rPr>
        <w:t>16.</w:t>
      </w:r>
      <w:r w:rsidRPr="00A45427">
        <w:rPr>
          <w:b/>
          <w:bCs/>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82FF5" w:rsidRPr="00482FF5" w:rsidP="0013715F" w14:paraId="12313C53" w14:textId="77777777">
      <w:pPr>
        <w:keepLines/>
        <w:spacing w:before="120" w:after="80"/>
        <w:ind w:left="360"/>
        <w:rPr>
          <w:sz w:val="24"/>
          <w:szCs w:val="24"/>
        </w:rPr>
      </w:pPr>
      <w:r w:rsidRPr="00482FF5">
        <w:rPr>
          <w:sz w:val="24"/>
          <w:szCs w:val="24"/>
        </w:rPr>
        <w:t xml:space="preserve">The data collection and analysis described </w:t>
      </w:r>
      <w:r>
        <w:rPr>
          <w:sz w:val="24"/>
          <w:szCs w:val="24"/>
        </w:rPr>
        <w:t>above</w:t>
      </w:r>
      <w:r w:rsidRPr="00482FF5">
        <w:rPr>
          <w:sz w:val="24"/>
          <w:szCs w:val="24"/>
        </w:rPr>
        <w:t xml:space="preserve"> will be completed by HUD.  The data collection is scheduled to occur in September </w:t>
      </w:r>
      <w:r w:rsidR="00F746A5">
        <w:rPr>
          <w:sz w:val="24"/>
          <w:szCs w:val="24"/>
        </w:rPr>
        <w:t xml:space="preserve">each year </w:t>
      </w:r>
      <w:r w:rsidRPr="00482FF5">
        <w:rPr>
          <w:sz w:val="24"/>
          <w:szCs w:val="24"/>
        </w:rPr>
        <w:t>and annually through the expiration of the data collection form.</w:t>
      </w:r>
      <w:r w:rsidR="00F746A5">
        <w:rPr>
          <w:sz w:val="24"/>
          <w:szCs w:val="24"/>
        </w:rPr>
        <w:t xml:space="preserve"> The proposed amended form would be first used in September 2026.</w:t>
      </w:r>
    </w:p>
    <w:p w:rsidR="00E35A38" w:rsidP="0013715F" w14:paraId="05E3F9E6" w14:textId="77777777">
      <w:pPr>
        <w:keepLines/>
        <w:spacing w:before="120" w:after="80"/>
        <w:ind w:left="360"/>
        <w:rPr>
          <w:sz w:val="24"/>
          <w:szCs w:val="24"/>
        </w:rPr>
      </w:pPr>
      <w:r w:rsidRPr="00482FF5">
        <w:rPr>
          <w:sz w:val="24"/>
          <w:szCs w:val="24"/>
        </w:rPr>
        <w:t xml:space="preserve">Following collection of all data, HUD will have all projects geocoded with Census Tract identifiers and continue the </w:t>
      </w:r>
      <w:r w:rsidRPr="00482FF5" w:rsidR="00952CB8">
        <w:rPr>
          <w:sz w:val="24"/>
          <w:szCs w:val="24"/>
        </w:rPr>
        <w:t>congressionally mandated</w:t>
      </w:r>
      <w:r w:rsidRPr="00482FF5">
        <w:rPr>
          <w:sz w:val="24"/>
          <w:szCs w:val="24"/>
        </w:rPr>
        <w:t xml:space="preserve"> descriptive report.  </w:t>
      </w:r>
      <w:r w:rsidR="00F746A5">
        <w:rPr>
          <w:sz w:val="24"/>
          <w:szCs w:val="24"/>
        </w:rPr>
        <w:t xml:space="preserve">The collected property data will be added to the publicly-accessible LIHTC property database, available at </w:t>
      </w:r>
      <w:hyperlink r:id="rId8" w:history="1">
        <w:r w:rsidRPr="00E91B2D" w:rsidR="00F746A5">
          <w:rPr>
            <w:rStyle w:val="Hyperlink"/>
            <w:sz w:val="24"/>
            <w:szCs w:val="24"/>
          </w:rPr>
          <w:t>https://lihtc.huduser.gov/</w:t>
        </w:r>
      </w:hyperlink>
      <w:r w:rsidR="00F746A5">
        <w:rPr>
          <w:sz w:val="24"/>
          <w:szCs w:val="24"/>
        </w:rPr>
        <w:t>.</w:t>
      </w:r>
    </w:p>
    <w:p w:rsidR="00A45427" w:rsidRPr="00A45427" w14:paraId="6FF741BE" w14:textId="77777777">
      <w:pPr>
        <w:keepLines/>
        <w:tabs>
          <w:tab w:val="left" w:pos="360"/>
        </w:tabs>
        <w:spacing w:after="80"/>
        <w:ind w:left="360" w:hanging="360"/>
        <w:rPr>
          <w:b/>
          <w:bCs/>
          <w:sz w:val="24"/>
          <w:szCs w:val="24"/>
        </w:rPr>
      </w:pPr>
    </w:p>
    <w:p w:rsidR="009E13B1" w:rsidRPr="00A45427" w14:paraId="2F833A4E" w14:textId="30BA23AC">
      <w:pPr>
        <w:keepLines/>
        <w:tabs>
          <w:tab w:val="left" w:pos="360"/>
        </w:tabs>
        <w:spacing w:after="80"/>
        <w:ind w:left="360" w:hanging="360"/>
        <w:rPr>
          <w:b/>
          <w:bCs/>
          <w:sz w:val="24"/>
          <w:szCs w:val="24"/>
        </w:rPr>
      </w:pPr>
      <w:r w:rsidRPr="00A45427">
        <w:rPr>
          <w:b/>
          <w:bCs/>
          <w:sz w:val="24"/>
          <w:szCs w:val="24"/>
        </w:rPr>
        <w:t>17.</w:t>
      </w:r>
      <w:r w:rsidRPr="00A45427">
        <w:rPr>
          <w:b/>
          <w:bCs/>
          <w:sz w:val="24"/>
          <w:szCs w:val="24"/>
        </w:rPr>
        <w:tab/>
        <w:t>If seeking approval to not display the expiration date for OMB approval of the information collection, explain the reasons that display would be inappropriate.</w:t>
      </w:r>
    </w:p>
    <w:p w:rsidR="0013715F" w14:paraId="0D87F9B2" w14:textId="0860C080">
      <w:pPr>
        <w:keepLines/>
        <w:tabs>
          <w:tab w:val="left" w:pos="360"/>
        </w:tabs>
        <w:spacing w:after="80"/>
        <w:ind w:left="360" w:hanging="360"/>
        <w:rPr>
          <w:sz w:val="24"/>
          <w:szCs w:val="24"/>
        </w:rPr>
      </w:pPr>
      <w:r>
        <w:rPr>
          <w:sz w:val="24"/>
          <w:szCs w:val="24"/>
        </w:rPr>
        <w:tab/>
      </w:r>
      <w:r w:rsidRPr="00A975D7" w:rsidR="00A45427">
        <w:rPr>
          <w:sz w:val="24"/>
          <w:szCs w:val="24"/>
        </w:rPr>
        <w:t>All data collection instruments will prominently display the expiration date for OMB approval.</w:t>
      </w:r>
    </w:p>
    <w:p w:rsidR="00A975D7" w:rsidRPr="00A975D7" w14:paraId="734B40D5" w14:textId="77777777">
      <w:pPr>
        <w:keepLines/>
        <w:tabs>
          <w:tab w:val="left" w:pos="360"/>
        </w:tabs>
        <w:spacing w:after="80"/>
        <w:ind w:left="360" w:hanging="360"/>
        <w:rPr>
          <w:sz w:val="24"/>
          <w:szCs w:val="24"/>
        </w:rPr>
      </w:pPr>
    </w:p>
    <w:p w:rsidR="009E13B1" w14:paraId="3482D73D" w14:textId="4DCB1D77">
      <w:pPr>
        <w:keepLines/>
        <w:tabs>
          <w:tab w:val="left" w:pos="360"/>
        </w:tabs>
        <w:spacing w:after="80"/>
        <w:ind w:left="360" w:hanging="360"/>
        <w:rPr>
          <w:b/>
          <w:bCs/>
          <w:sz w:val="24"/>
          <w:szCs w:val="24"/>
        </w:rPr>
      </w:pPr>
      <w:r w:rsidRPr="00997A87">
        <w:rPr>
          <w:b/>
          <w:bCs/>
          <w:sz w:val="24"/>
          <w:szCs w:val="24"/>
        </w:rPr>
        <w:t>18.</w:t>
      </w:r>
      <w:r w:rsidRPr="00997A87">
        <w:rPr>
          <w:b/>
          <w:bCs/>
          <w:sz w:val="24"/>
          <w:szCs w:val="24"/>
        </w:rPr>
        <w:tab/>
        <w:t>Explain each exception to the certification statement.</w:t>
      </w:r>
    </w:p>
    <w:p w:rsidR="00997A87" w:rsidRPr="00997A87" w14:paraId="7129FFFE" w14:textId="6D78EE3C">
      <w:pPr>
        <w:keepLines/>
        <w:tabs>
          <w:tab w:val="left" w:pos="360"/>
        </w:tabs>
        <w:spacing w:after="80"/>
        <w:ind w:left="360" w:hanging="360"/>
        <w:rPr>
          <w:rFonts w:ascii="Courier" w:hAnsi="Courier"/>
          <w:b/>
          <w:bCs/>
          <w:sz w:val="24"/>
          <w:szCs w:val="24"/>
        </w:rPr>
      </w:pPr>
      <w:r>
        <w:rPr>
          <w:i/>
          <w:iCs/>
          <w:color w:val="FF0000"/>
          <w:sz w:val="24"/>
          <w:szCs w:val="24"/>
        </w:rPr>
        <w:tab/>
      </w:r>
      <w:r w:rsidRPr="00A975D7">
        <w:rPr>
          <w:sz w:val="24"/>
          <w:szCs w:val="24"/>
        </w:rPr>
        <w:t>This submission requests no exceptions to the Certificate for Paperwork Reduction Act (5 CFR 1320.9).</w:t>
      </w:r>
    </w:p>
    <w:p w:rsidR="009E13B1" w:rsidRPr="006C7FAE" w14:paraId="71790F13" w14:textId="77777777">
      <w:pPr>
        <w:tabs>
          <w:tab w:val="left" w:pos="360"/>
          <w:tab w:val="left" w:pos="720"/>
        </w:tabs>
        <w:rPr>
          <w:sz w:val="24"/>
          <w:szCs w:val="24"/>
        </w:rPr>
      </w:pPr>
    </w:p>
    <w:p w:rsidR="009E13B1" w:rsidP="00167E53" w14:paraId="4C444AFB"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r w:rsidRPr="006C7FAE">
        <w:rPr>
          <w:rFonts w:ascii="Helvetica" w:hAnsi="Helvetica"/>
          <w:b/>
          <w:sz w:val="24"/>
          <w:szCs w:val="24"/>
        </w:rPr>
        <w:t xml:space="preserve">B. </w:t>
      </w:r>
      <w:r w:rsidRPr="006C7FAE">
        <w:rPr>
          <w:rFonts w:ascii="Helvetica" w:hAnsi="Helvetica"/>
          <w:b/>
          <w:sz w:val="24"/>
          <w:szCs w:val="24"/>
        </w:rPr>
        <w:tab/>
        <w:t>Collections of Information Employing Statistical Methods</w:t>
      </w:r>
    </w:p>
    <w:p w:rsidR="00482FF5" w:rsidP="00167E53" w14:paraId="72FD5B6B"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szCs w:val="24"/>
        </w:rPr>
      </w:pPr>
    </w:p>
    <w:p w:rsidR="00482FF5" w:rsidRPr="006C7FAE" w:rsidP="00167E53" w14:paraId="7CA908B6"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sz w:val="24"/>
          <w:szCs w:val="24"/>
        </w:rPr>
      </w:pPr>
      <w:r>
        <w:rPr>
          <w:sz w:val="24"/>
          <w:szCs w:val="24"/>
        </w:rPr>
        <w:t xml:space="preserve">Not applicable.  </w:t>
      </w:r>
      <w:r>
        <w:rPr>
          <w:sz w:val="24"/>
          <w:szCs w:val="24"/>
        </w:rPr>
        <w:t>Statistical methods will not be employed.</w:t>
      </w:r>
    </w:p>
    <w:sectPr w:rsidSect="006C7FAE">
      <w:headerReference w:type="default" r:id="rId9"/>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E13B1" w14:paraId="156C91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4">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5">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6">
    <w:nsid w:val="3ED542BD"/>
    <w:multiLevelType w:val="hybridMultilevel"/>
    <w:tmpl w:val="E486A9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8">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9">
    <w:nsid w:val="56553F12"/>
    <w:multiLevelType w:val="hybridMultilevel"/>
    <w:tmpl w:val="C5E21B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1">
    <w:nsid w:val="5A69306F"/>
    <w:multiLevelType w:val="hybridMultilevel"/>
    <w:tmpl w:val="8E943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16cid:durableId="816074305">
    <w:abstractNumId w:val="4"/>
  </w:num>
  <w:num w:numId="2" w16cid:durableId="1650012140">
    <w:abstractNumId w:val="2"/>
  </w:num>
  <w:num w:numId="3" w16cid:durableId="808979630">
    <w:abstractNumId w:val="10"/>
  </w:num>
  <w:num w:numId="4" w16cid:durableId="372926548">
    <w:abstractNumId w:val="5"/>
  </w:num>
  <w:num w:numId="5" w16cid:durableId="957179062">
    <w:abstractNumId w:val="7"/>
  </w:num>
  <w:num w:numId="6" w16cid:durableId="1590235564">
    <w:abstractNumId w:val="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406146426">
    <w:abstractNumId w:val="3"/>
  </w:num>
  <w:num w:numId="8" w16cid:durableId="52704048">
    <w:abstractNumId w:val="14"/>
  </w:num>
  <w:num w:numId="9" w16cid:durableId="2026129016">
    <w:abstractNumId w:val="1"/>
  </w:num>
  <w:num w:numId="10" w16cid:durableId="756947653">
    <w:abstractNumId w:val="13"/>
  </w:num>
  <w:num w:numId="11" w16cid:durableId="494996030">
    <w:abstractNumId w:val="12"/>
  </w:num>
  <w:num w:numId="12" w16cid:durableId="599605189">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684402085">
    <w:abstractNumId w:val="8"/>
  </w:num>
  <w:num w:numId="14" w16cid:durableId="1841853365">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16cid:durableId="628896272">
    <w:abstractNumId w:val="6"/>
  </w:num>
  <w:num w:numId="16" w16cid:durableId="1790392006">
    <w:abstractNumId w:val="11"/>
  </w:num>
  <w:num w:numId="17" w16cid:durableId="2141963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77"/>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7498"/>
    <w:rsid w:val="00024421"/>
    <w:rsid w:val="000326C1"/>
    <w:rsid w:val="000839A0"/>
    <w:rsid w:val="00085BAD"/>
    <w:rsid w:val="00086141"/>
    <w:rsid w:val="0008713F"/>
    <w:rsid w:val="000A1639"/>
    <w:rsid w:val="000C5EB8"/>
    <w:rsid w:val="000D1DE8"/>
    <w:rsid w:val="000E00A8"/>
    <w:rsid w:val="000E2A89"/>
    <w:rsid w:val="000F771A"/>
    <w:rsid w:val="00100583"/>
    <w:rsid w:val="001271B6"/>
    <w:rsid w:val="0013715F"/>
    <w:rsid w:val="00154AAB"/>
    <w:rsid w:val="001636D8"/>
    <w:rsid w:val="00164904"/>
    <w:rsid w:val="00167E53"/>
    <w:rsid w:val="001946E7"/>
    <w:rsid w:val="001A6D34"/>
    <w:rsid w:val="001F2EB7"/>
    <w:rsid w:val="0020373A"/>
    <w:rsid w:val="00226B9C"/>
    <w:rsid w:val="002274EF"/>
    <w:rsid w:val="00233ADE"/>
    <w:rsid w:val="00242C25"/>
    <w:rsid w:val="00251F8B"/>
    <w:rsid w:val="002A7A8E"/>
    <w:rsid w:val="002C0057"/>
    <w:rsid w:val="002C225F"/>
    <w:rsid w:val="002E5D54"/>
    <w:rsid w:val="002E7869"/>
    <w:rsid w:val="002F0026"/>
    <w:rsid w:val="002F208D"/>
    <w:rsid w:val="002F4B7A"/>
    <w:rsid w:val="002F6CE8"/>
    <w:rsid w:val="00311A2A"/>
    <w:rsid w:val="00311AE2"/>
    <w:rsid w:val="00327E7F"/>
    <w:rsid w:val="00331CE6"/>
    <w:rsid w:val="00352F26"/>
    <w:rsid w:val="00360090"/>
    <w:rsid w:val="003610DE"/>
    <w:rsid w:val="00362951"/>
    <w:rsid w:val="00366F09"/>
    <w:rsid w:val="00386BF5"/>
    <w:rsid w:val="00394A4E"/>
    <w:rsid w:val="003A2558"/>
    <w:rsid w:val="003B276C"/>
    <w:rsid w:val="003B638C"/>
    <w:rsid w:val="003B6958"/>
    <w:rsid w:val="003D186D"/>
    <w:rsid w:val="003D3261"/>
    <w:rsid w:val="003E288B"/>
    <w:rsid w:val="003E4354"/>
    <w:rsid w:val="003E566E"/>
    <w:rsid w:val="003F0560"/>
    <w:rsid w:val="003F7C4F"/>
    <w:rsid w:val="00402947"/>
    <w:rsid w:val="0040300C"/>
    <w:rsid w:val="00416195"/>
    <w:rsid w:val="00424082"/>
    <w:rsid w:val="00424D8E"/>
    <w:rsid w:val="00442F4B"/>
    <w:rsid w:val="004451DD"/>
    <w:rsid w:val="00450591"/>
    <w:rsid w:val="00456BF6"/>
    <w:rsid w:val="00457C20"/>
    <w:rsid w:val="00482FF5"/>
    <w:rsid w:val="004858A0"/>
    <w:rsid w:val="004A094B"/>
    <w:rsid w:val="004A359A"/>
    <w:rsid w:val="004A5D3E"/>
    <w:rsid w:val="004B212A"/>
    <w:rsid w:val="004B3099"/>
    <w:rsid w:val="004C618A"/>
    <w:rsid w:val="004D3C72"/>
    <w:rsid w:val="004D4B17"/>
    <w:rsid w:val="004F2444"/>
    <w:rsid w:val="005243A7"/>
    <w:rsid w:val="0052791D"/>
    <w:rsid w:val="00563947"/>
    <w:rsid w:val="00584FDA"/>
    <w:rsid w:val="005942CA"/>
    <w:rsid w:val="005C2B44"/>
    <w:rsid w:val="006016CE"/>
    <w:rsid w:val="00614BCD"/>
    <w:rsid w:val="00617CDD"/>
    <w:rsid w:val="00625A7A"/>
    <w:rsid w:val="0063488F"/>
    <w:rsid w:val="0066281D"/>
    <w:rsid w:val="006639AE"/>
    <w:rsid w:val="00667FEC"/>
    <w:rsid w:val="00671170"/>
    <w:rsid w:val="006749AC"/>
    <w:rsid w:val="0068469D"/>
    <w:rsid w:val="006B7674"/>
    <w:rsid w:val="006C7FAE"/>
    <w:rsid w:val="006F0D9A"/>
    <w:rsid w:val="006F7811"/>
    <w:rsid w:val="007141DC"/>
    <w:rsid w:val="00725650"/>
    <w:rsid w:val="007260D8"/>
    <w:rsid w:val="00731F1F"/>
    <w:rsid w:val="0073301A"/>
    <w:rsid w:val="00733FCA"/>
    <w:rsid w:val="00766CB9"/>
    <w:rsid w:val="007707C6"/>
    <w:rsid w:val="00771CB9"/>
    <w:rsid w:val="00783D93"/>
    <w:rsid w:val="0078655D"/>
    <w:rsid w:val="00795D5C"/>
    <w:rsid w:val="007A4DCA"/>
    <w:rsid w:val="007C11A2"/>
    <w:rsid w:val="007D4EDE"/>
    <w:rsid w:val="007E65A0"/>
    <w:rsid w:val="007F0018"/>
    <w:rsid w:val="008051EC"/>
    <w:rsid w:val="00867DB7"/>
    <w:rsid w:val="00880B95"/>
    <w:rsid w:val="0088715F"/>
    <w:rsid w:val="00895BBD"/>
    <w:rsid w:val="00897037"/>
    <w:rsid w:val="008A1D7A"/>
    <w:rsid w:val="008B6115"/>
    <w:rsid w:val="008B7F5E"/>
    <w:rsid w:val="008E4F54"/>
    <w:rsid w:val="00921080"/>
    <w:rsid w:val="00941449"/>
    <w:rsid w:val="00952CB8"/>
    <w:rsid w:val="00997A87"/>
    <w:rsid w:val="009A2658"/>
    <w:rsid w:val="009E0C3E"/>
    <w:rsid w:val="009E13B1"/>
    <w:rsid w:val="009E7172"/>
    <w:rsid w:val="009F5B60"/>
    <w:rsid w:val="00A30CE2"/>
    <w:rsid w:val="00A40581"/>
    <w:rsid w:val="00A45427"/>
    <w:rsid w:val="00A63090"/>
    <w:rsid w:val="00A677BE"/>
    <w:rsid w:val="00A975D7"/>
    <w:rsid w:val="00AB4E14"/>
    <w:rsid w:val="00AD15BE"/>
    <w:rsid w:val="00AD66A5"/>
    <w:rsid w:val="00AE2764"/>
    <w:rsid w:val="00AF3772"/>
    <w:rsid w:val="00AF46B2"/>
    <w:rsid w:val="00B01940"/>
    <w:rsid w:val="00B04BA6"/>
    <w:rsid w:val="00B11F9D"/>
    <w:rsid w:val="00B13801"/>
    <w:rsid w:val="00B30B99"/>
    <w:rsid w:val="00B43FFF"/>
    <w:rsid w:val="00B4510C"/>
    <w:rsid w:val="00B55CA2"/>
    <w:rsid w:val="00B627F4"/>
    <w:rsid w:val="00B901FF"/>
    <w:rsid w:val="00B97F2E"/>
    <w:rsid w:val="00BB459D"/>
    <w:rsid w:val="00BC10AF"/>
    <w:rsid w:val="00BE5586"/>
    <w:rsid w:val="00BF2C59"/>
    <w:rsid w:val="00BF355D"/>
    <w:rsid w:val="00C137A6"/>
    <w:rsid w:val="00C23998"/>
    <w:rsid w:val="00C328FA"/>
    <w:rsid w:val="00C467D9"/>
    <w:rsid w:val="00C65223"/>
    <w:rsid w:val="00C663C3"/>
    <w:rsid w:val="00C7232B"/>
    <w:rsid w:val="00C72E08"/>
    <w:rsid w:val="00C7530F"/>
    <w:rsid w:val="00CB7689"/>
    <w:rsid w:val="00CC4478"/>
    <w:rsid w:val="00CE1567"/>
    <w:rsid w:val="00CF2D1F"/>
    <w:rsid w:val="00D1208E"/>
    <w:rsid w:val="00D2639E"/>
    <w:rsid w:val="00D360E2"/>
    <w:rsid w:val="00D37B62"/>
    <w:rsid w:val="00D5058C"/>
    <w:rsid w:val="00D559F1"/>
    <w:rsid w:val="00D73E9C"/>
    <w:rsid w:val="00D77DF6"/>
    <w:rsid w:val="00D8724D"/>
    <w:rsid w:val="00D93619"/>
    <w:rsid w:val="00DB2F0C"/>
    <w:rsid w:val="00DD0EB3"/>
    <w:rsid w:val="00DE4156"/>
    <w:rsid w:val="00DF3305"/>
    <w:rsid w:val="00E0439C"/>
    <w:rsid w:val="00E17F45"/>
    <w:rsid w:val="00E3213B"/>
    <w:rsid w:val="00E32372"/>
    <w:rsid w:val="00E35A38"/>
    <w:rsid w:val="00E41861"/>
    <w:rsid w:val="00E66ADE"/>
    <w:rsid w:val="00E82B18"/>
    <w:rsid w:val="00E863A1"/>
    <w:rsid w:val="00E87700"/>
    <w:rsid w:val="00E91B2D"/>
    <w:rsid w:val="00E97DFD"/>
    <w:rsid w:val="00EA1187"/>
    <w:rsid w:val="00EA1491"/>
    <w:rsid w:val="00EA3459"/>
    <w:rsid w:val="00EA5284"/>
    <w:rsid w:val="00EA7678"/>
    <w:rsid w:val="00EB0400"/>
    <w:rsid w:val="00EB1352"/>
    <w:rsid w:val="00EC07AD"/>
    <w:rsid w:val="00ED3010"/>
    <w:rsid w:val="00EE0A9A"/>
    <w:rsid w:val="00EE31FB"/>
    <w:rsid w:val="00EF2054"/>
    <w:rsid w:val="00EF7052"/>
    <w:rsid w:val="00F04FCC"/>
    <w:rsid w:val="00F06D48"/>
    <w:rsid w:val="00F27C8F"/>
    <w:rsid w:val="00F61DE4"/>
    <w:rsid w:val="00F746A5"/>
    <w:rsid w:val="00F812C3"/>
    <w:rsid w:val="00FB0EA2"/>
    <w:rsid w:val="00FB0ED6"/>
    <w:rsid w:val="00FB1FC2"/>
    <w:rsid w:val="00FC74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2A4C307"/>
  <w15:chartTrackingRefBased/>
  <w15:docId w15:val="{8EB75C89-C6E9-4B76-ABF4-238FE14B9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character" w:styleId="CommentReference">
    <w:name w:val="annotation reference"/>
    <w:uiPriority w:val="99"/>
    <w:semiHidden/>
    <w:unhideWhenUsed/>
    <w:rsid w:val="003B638C"/>
    <w:rPr>
      <w:sz w:val="16"/>
      <w:szCs w:val="16"/>
    </w:rPr>
  </w:style>
  <w:style w:type="paragraph" w:styleId="CommentText">
    <w:name w:val="annotation text"/>
    <w:basedOn w:val="Normal"/>
    <w:link w:val="CommentTextChar"/>
    <w:uiPriority w:val="99"/>
    <w:unhideWhenUsed/>
    <w:rsid w:val="003B638C"/>
  </w:style>
  <w:style w:type="character" w:customStyle="1" w:styleId="CommentTextChar">
    <w:name w:val="Comment Text Char"/>
    <w:basedOn w:val="DefaultParagraphFont"/>
    <w:link w:val="CommentText"/>
    <w:uiPriority w:val="99"/>
    <w:rsid w:val="003B638C"/>
  </w:style>
  <w:style w:type="paragraph" w:styleId="CommentSubject">
    <w:name w:val="annotation subject"/>
    <w:basedOn w:val="CommentText"/>
    <w:next w:val="CommentText"/>
    <w:link w:val="CommentSubjectChar"/>
    <w:uiPriority w:val="99"/>
    <w:semiHidden/>
    <w:unhideWhenUsed/>
    <w:rsid w:val="003B638C"/>
    <w:rPr>
      <w:b/>
      <w:bCs/>
    </w:rPr>
  </w:style>
  <w:style w:type="character" w:customStyle="1" w:styleId="CommentSubjectChar">
    <w:name w:val="Comment Subject Char"/>
    <w:link w:val="CommentSubject"/>
    <w:uiPriority w:val="99"/>
    <w:semiHidden/>
    <w:rsid w:val="003B638C"/>
    <w:rPr>
      <w:b/>
      <w:bCs/>
    </w:rPr>
  </w:style>
  <w:style w:type="character" w:styleId="Hyperlink">
    <w:name w:val="Hyperlink"/>
    <w:uiPriority w:val="99"/>
    <w:unhideWhenUsed/>
    <w:rsid w:val="00F746A5"/>
    <w:rPr>
      <w:color w:val="467886"/>
      <w:u w:val="single"/>
    </w:rPr>
  </w:style>
  <w:style w:type="character" w:styleId="UnresolvedMention">
    <w:name w:val="Unresolved Mention"/>
    <w:uiPriority w:val="99"/>
    <w:semiHidden/>
    <w:unhideWhenUsed/>
    <w:rsid w:val="00F746A5"/>
    <w:rPr>
      <w:color w:val="605E5C"/>
      <w:shd w:val="clear" w:color="auto" w:fill="E1DFDD"/>
    </w:rPr>
  </w:style>
  <w:style w:type="paragraph" w:styleId="Revision">
    <w:name w:val="Revision"/>
    <w:hidden/>
    <w:uiPriority w:val="99"/>
    <w:semiHidden/>
    <w:rsid w:val="00352F26"/>
  </w:style>
  <w:style w:type="paragraph" w:styleId="ListParagraph">
    <w:name w:val="List Paragraph"/>
    <w:basedOn w:val="Normal"/>
    <w:uiPriority w:val="34"/>
    <w:qFormat/>
    <w:rsid w:val="00FB0ED6"/>
    <w:pPr>
      <w:ind w:left="720"/>
    </w:pPr>
  </w:style>
  <w:style w:type="character" w:styleId="FollowedHyperlink">
    <w:name w:val="FollowedHyperlink"/>
    <w:basedOn w:val="DefaultParagraphFont"/>
    <w:uiPriority w:val="99"/>
    <w:semiHidden/>
    <w:unhideWhenUsed/>
    <w:rsid w:val="00A45427"/>
    <w:rPr>
      <w:color w:val="96607D" w:themeColor="followedHyperlink"/>
      <w:u w:val="single"/>
    </w:rPr>
  </w:style>
  <w:style w:type="paragraph" w:styleId="NoSpacing">
    <w:name w:val="No Spacing"/>
    <w:uiPriority w:val="1"/>
    <w:qFormat/>
    <w:rsid w:val="00E863A1"/>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lihtc.huduser.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736E4F931D214190F18E93C27963DA" ma:contentTypeVersion="6" ma:contentTypeDescription="Create a new document." ma:contentTypeScope="" ma:versionID="7e2d9d080e983629c3301ec4d7367dd4">
  <xsd:schema xmlns:xsd="http://www.w3.org/2001/XMLSchema" xmlns:xs="http://www.w3.org/2001/XMLSchema" xmlns:p="http://schemas.microsoft.com/office/2006/metadata/properties" xmlns:ns2="7d53fd11-2a22-4582-9c54-c831a3162de8" xmlns:ns3="4c38136a-cdeb-4d96-8526-20949eee4bfc" targetNamespace="http://schemas.microsoft.com/office/2006/metadata/properties" ma:root="true" ma:fieldsID="6a6e8dba617a8b6cdaf6495acf0edd71" ns2:_="" ns3:_="">
    <xsd:import namespace="7d53fd11-2a22-4582-9c54-c831a3162de8"/>
    <xsd:import namespace="4c38136a-cdeb-4d96-8526-20949eee4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3fd11-2a22-4582-9c54-c831a3162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38136a-cdeb-4d96-8526-20949eee4bf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98CC9-8312-4A79-B158-7772DAB1C5AA}">
  <ds:schemaRefs>
    <ds:schemaRef ds:uri="http://schemas.openxmlformats.org/officeDocument/2006/bibliography"/>
  </ds:schemaRefs>
</ds:datastoreItem>
</file>

<file path=customXml/itemProps2.xml><?xml version="1.0" encoding="utf-8"?>
<ds:datastoreItem xmlns:ds="http://schemas.openxmlformats.org/officeDocument/2006/customXml" ds:itemID="{CD3F9304-9FA7-4F4E-93AC-6ABAA97A41C1}">
  <ds:schemaRefs/>
</ds:datastoreItem>
</file>

<file path=customXml/itemProps3.xml><?xml version="1.0" encoding="utf-8"?>
<ds:datastoreItem xmlns:ds="http://schemas.openxmlformats.org/officeDocument/2006/customXml" ds:itemID="{3E526E09-AEFE-44BF-9216-2B80D640FBBB}">
  <ds:schemaRefs/>
</ds:datastoreItem>
</file>

<file path=customXml/itemProps4.xml><?xml version="1.0" encoding="utf-8"?>
<ds:datastoreItem xmlns:ds="http://schemas.openxmlformats.org/officeDocument/2006/customXml" ds:itemID="{F2FCB088-4551-432D-8B27-5DDF45536234}">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3172</Words>
  <Characters>18058</Characters>
  <Application>Microsoft Office Word</Application>
  <DocSecurity>2</DocSecurity>
  <Lines>150</Lines>
  <Paragraphs>42</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2019-05-22T18:02:00Z</cp:lastPrinted>
  <dcterms:created xsi:type="dcterms:W3CDTF">2025-09-23T19:42:00Z</dcterms:created>
  <dcterms:modified xsi:type="dcterms:W3CDTF">2025-09-23T19:42:00Z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0x01010037736E4F931D214190F18E93C27963DA</vt:lpwstr>
  </property>
  <property fmtid="{D5CDD505-2E9C-101B-9397-08002B2CF9AE}" pid="3" name="_NewReviewCycle">
    <vt:lpwstr/>
  </property>
</Properties>
</file>