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E1479" w:rsidRPr="00FE321D" w:rsidP="00FD5924" w14:paraId="690042FF" w14:textId="0C94CA20">
      <w:pPr>
        <w:spacing w:after="0"/>
        <w:jc w:val="center"/>
        <w:rPr>
          <w:b/>
          <w:bCs/>
          <w:sz w:val="28"/>
          <w:szCs w:val="28"/>
        </w:rPr>
      </w:pPr>
      <w:r w:rsidRPr="00FE321D">
        <w:rPr>
          <w:b/>
          <w:bCs/>
          <w:sz w:val="28"/>
          <w:szCs w:val="28"/>
        </w:rPr>
        <w:t>Appendix</w:t>
      </w:r>
      <w:r w:rsidRPr="00FE321D" w:rsidR="00290ED7">
        <w:rPr>
          <w:b/>
          <w:bCs/>
          <w:sz w:val="28"/>
          <w:szCs w:val="28"/>
        </w:rPr>
        <w:t xml:space="preserve"> VI-20</w:t>
      </w:r>
    </w:p>
    <w:p w:rsidR="00FD5924" w:rsidRPr="00FE321D" w:rsidP="00022825" w14:paraId="6F4E594D" w14:textId="0F19BFA8">
      <w:pPr>
        <w:jc w:val="center"/>
        <w:rPr>
          <w:b/>
          <w:bCs/>
          <w:sz w:val="28"/>
          <w:szCs w:val="28"/>
        </w:rPr>
      </w:pPr>
      <w:r w:rsidRPr="00FE321D">
        <w:rPr>
          <w:b/>
          <w:bCs/>
          <w:sz w:val="28"/>
          <w:szCs w:val="28"/>
        </w:rPr>
        <w:t>Audit</w:t>
      </w:r>
      <w:r w:rsidRPr="00FE321D">
        <w:rPr>
          <w:b/>
          <w:bCs/>
          <w:sz w:val="28"/>
          <w:szCs w:val="28"/>
        </w:rPr>
        <w:t xml:space="preserve"> Schedules </w:t>
      </w:r>
      <w:r w:rsidRPr="00FE321D" w:rsidR="002A0DD7">
        <w:rPr>
          <w:b/>
          <w:bCs/>
          <w:sz w:val="28"/>
          <w:szCs w:val="28"/>
        </w:rPr>
        <w:t>Report</w:t>
      </w:r>
    </w:p>
    <w:p w:rsidR="00022825" w:rsidRPr="00FE321D" w:rsidP="00022825" w14:paraId="2D76AF38" w14:textId="23DCCF0F">
      <w:pPr>
        <w:jc w:val="center"/>
        <w:rPr>
          <w:sz w:val="28"/>
          <w:szCs w:val="28"/>
        </w:rPr>
      </w:pPr>
      <w:r w:rsidRPr="00FE321D">
        <w:rPr>
          <w:sz w:val="28"/>
          <w:szCs w:val="28"/>
        </w:rPr>
        <w:t>Annual Audited Financial Schedules for Adjusted Net Worth, Capital, and Liquidity</w:t>
      </w:r>
    </w:p>
    <w:p w:rsidR="00282418" w:rsidP="00282418" w14:paraId="146134CB" w14:textId="551C5215">
      <w:pPr>
        <w:spacing w:before="338" w:line="182" w:lineRule="exact"/>
        <w:ind w:right="504"/>
        <w:textAlignment w:val="baseline"/>
        <w:rPr>
          <w:rFonts w:ascii="Arial" w:eastAsia="Arial" w:hAnsi="Arial"/>
          <w:color w:val="000000"/>
          <w:sz w:val="16"/>
        </w:rPr>
      </w:pPr>
      <w:r>
        <w:rPr>
          <w:rFonts w:ascii="Arial" w:eastAsia="Arial" w:hAnsi="Arial"/>
          <w:color w:val="000000"/>
          <w:sz w:val="16"/>
        </w:rPr>
        <w:t xml:space="preserve">Public reporting for this information collection is estimated to average </w:t>
      </w:r>
      <w:r w:rsidR="007F0631">
        <w:rPr>
          <w:rFonts w:ascii="Arial" w:eastAsia="Arial" w:hAnsi="Arial"/>
          <w:color w:val="000000"/>
          <w:sz w:val="16"/>
        </w:rPr>
        <w:t>0</w:t>
      </w:r>
      <w:r w:rsidR="00C67AB2">
        <w:rPr>
          <w:rFonts w:ascii="Arial" w:eastAsia="Arial" w:hAnsi="Arial"/>
          <w:color w:val="000000"/>
          <w:sz w:val="16"/>
        </w:rPr>
        <w:t>.</w:t>
      </w:r>
      <w:r w:rsidR="007F0631">
        <w:rPr>
          <w:rFonts w:ascii="Arial" w:eastAsia="Arial" w:hAnsi="Arial"/>
          <w:color w:val="000000"/>
          <w:sz w:val="16"/>
        </w:rPr>
        <w:t>5</w:t>
      </w:r>
      <w:r>
        <w:rPr>
          <w:rFonts w:ascii="Arial" w:eastAsia="Arial" w:hAnsi="Arial"/>
          <w:color w:val="000000"/>
          <w:sz w:val="16"/>
        </w:rPr>
        <w:t xml:space="preserve"> hour</w:t>
      </w:r>
      <w:r w:rsidR="00C67AB2">
        <w:rPr>
          <w:rFonts w:ascii="Arial" w:eastAsia="Arial" w:hAnsi="Arial"/>
          <w:color w:val="000000"/>
          <w:sz w:val="16"/>
        </w:rPr>
        <w:t>s</w:t>
      </w:r>
      <w:r>
        <w:rPr>
          <w:rFonts w:ascii="Arial" w:eastAsia="Arial" w:hAnsi="Arial"/>
          <w:color w:val="000000"/>
          <w:sz w:val="16"/>
        </w:rPr>
        <w:t xml:space="preserve"> per response, including the time for reviewing instructions, searching existing data sources, gathering and maintaining the data needed and completing and reviewing the collection of information.</w:t>
      </w:r>
      <w:r w:rsidRPr="00865FD1" w:rsidR="00865FD1">
        <w:t xml:space="preserve"> </w:t>
      </w:r>
      <w:r w:rsidRPr="00865FD1" w:rsidR="00865FD1">
        <w:rPr>
          <w:rFonts w:ascii="Arial" w:eastAsia="Arial" w:hAnsi="Arial"/>
          <w:color w:val="000000"/>
          <w:sz w:val="16"/>
        </w:rPr>
        <w:t xml:space="preserve">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w:t>
      </w:r>
      <w:r>
        <w:rPr>
          <w:rFonts w:ascii="Arial" w:eastAsia="Arial" w:hAnsi="Arial"/>
          <w:color w:val="000000"/>
          <w:sz w:val="16"/>
        </w:rPr>
        <w:t xml:space="preserve"> This agency may not collect this information, and you are not required to complete this form, unless it displays a currently valid OMB control number.</w:t>
      </w:r>
    </w:p>
    <w:p w:rsidR="00282418" w:rsidP="00282418" w14:paraId="7033035E" w14:textId="24B8CB4B">
      <w:pPr>
        <w:spacing w:before="350" w:line="198" w:lineRule="exact"/>
        <w:ind w:right="216"/>
        <w:textAlignment w:val="baseline"/>
        <w:rPr>
          <w:rFonts w:ascii="Arial" w:eastAsia="Arial" w:hAnsi="Arial"/>
          <w:color w:val="000000"/>
          <w:sz w:val="16"/>
        </w:rPr>
      </w:pPr>
      <w:r>
        <w:rPr>
          <w:rFonts w:ascii="Arial" w:eastAsia="Arial" w:hAnsi="Arial"/>
          <w:color w:val="000000"/>
          <w:sz w:val="16"/>
        </w:rPr>
        <w:t xml:space="preserve">Ginnie Mae is authorized to collect this information pursuant to Section 306(g) of the National Housing Act and/or by Ginnie Mae’s Handbook 5500.3, Rev. 1. The purpose of this collection is to </w:t>
      </w:r>
      <w:r w:rsidR="009539B9">
        <w:rPr>
          <w:rFonts w:ascii="Arial" w:eastAsia="Arial" w:hAnsi="Arial"/>
          <w:color w:val="000000"/>
          <w:sz w:val="16"/>
        </w:rPr>
        <w:t>enable</w:t>
      </w:r>
      <w:r>
        <w:rPr>
          <w:rFonts w:ascii="Arial" w:eastAsia="Arial" w:hAnsi="Arial"/>
          <w:color w:val="000000"/>
          <w:sz w:val="16"/>
        </w:rPr>
        <w:t xml:space="preserve"> Ginnie Mae</w:t>
      </w:r>
      <w:r w:rsidR="009539B9">
        <w:rPr>
          <w:rFonts w:ascii="Arial" w:eastAsia="Arial" w:hAnsi="Arial"/>
          <w:color w:val="000000"/>
          <w:sz w:val="16"/>
        </w:rPr>
        <w:t xml:space="preserve"> to determine Issuer compliance with financial requirements</w:t>
      </w:r>
      <w:r>
        <w:rPr>
          <w:rFonts w:ascii="Arial" w:eastAsia="Arial" w:hAnsi="Arial"/>
          <w:color w:val="000000"/>
          <w:sz w:val="16"/>
        </w:rPr>
        <w:t>. The information collected will not be disclosed outside the Department except as required by law.</w:t>
      </w:r>
    </w:p>
    <w:p w:rsidR="00C22DFC" w:rsidRPr="00D1258C" w:rsidP="00811F9F" w14:paraId="3B691885" w14:textId="4B891677">
      <w:pPr>
        <w:spacing w:before="120" w:after="120"/>
        <w:jc w:val="center"/>
        <w:rPr>
          <w:sz w:val="32"/>
          <w:szCs w:val="32"/>
        </w:rPr>
      </w:pPr>
      <w:r w:rsidRPr="00D1258C">
        <w:rPr>
          <w:sz w:val="32"/>
          <w:szCs w:val="32"/>
        </w:rPr>
        <w:t>Computation of Adjusted Net Worth</w:t>
      </w:r>
    </w:p>
    <w:p w:rsidR="007D04E8" w:rsidP="00811F9F" w14:paraId="13E48B04" w14:textId="77777777">
      <w:pPr>
        <w:pStyle w:val="Heading1"/>
        <w:spacing w:before="0"/>
      </w:pPr>
      <w:r>
        <w:t>Adjusted Net Worth</w:t>
      </w:r>
    </w:p>
    <w:tbl>
      <w:tblPr>
        <w:tblStyle w:val="TableGrid"/>
        <w:tblW w:w="0" w:type="auto"/>
        <w:tblLook w:val="04A0"/>
      </w:tblPr>
      <w:tblGrid>
        <w:gridCol w:w="7825"/>
        <w:gridCol w:w="2965"/>
      </w:tblGrid>
      <w:tr w14:paraId="1ABB1C0C" w14:textId="77777777" w:rsidTr="00B83F02">
        <w:tblPrEx>
          <w:tblW w:w="0" w:type="auto"/>
          <w:tblLook w:val="04A0"/>
        </w:tblPrEx>
        <w:tc>
          <w:tcPr>
            <w:tcW w:w="7825" w:type="dxa"/>
          </w:tcPr>
          <w:p w:rsidR="007D04E8" w:rsidRPr="001374BA" w:rsidP="00694F88" w14:paraId="41B5D8BE" w14:textId="77777777">
            <w:pPr>
              <w:rPr>
                <w:b/>
                <w:bCs/>
                <w:sz w:val="20"/>
                <w:szCs w:val="20"/>
              </w:rPr>
            </w:pPr>
            <w:r w:rsidRPr="001374BA">
              <w:rPr>
                <w:b/>
                <w:bCs/>
                <w:sz w:val="20"/>
                <w:szCs w:val="20"/>
              </w:rPr>
              <w:t>Equity</w:t>
            </w:r>
          </w:p>
        </w:tc>
        <w:tc>
          <w:tcPr>
            <w:tcW w:w="2965" w:type="dxa"/>
            <w:shd w:val="clear" w:color="auto" w:fill="B4C6E7" w:themeFill="accent1" w:themeFillTint="66"/>
            <w:vAlign w:val="center"/>
          </w:tcPr>
          <w:p w:rsidR="007D04E8" w:rsidRPr="001374BA" w:rsidP="00B83F02" w14:paraId="7848C504" w14:textId="77777777">
            <w:pPr>
              <w:jc w:val="right"/>
              <w:rPr>
                <w:b/>
                <w:bCs/>
                <w:sz w:val="20"/>
                <w:szCs w:val="20"/>
              </w:rPr>
            </w:pPr>
            <w:r w:rsidRPr="001374BA">
              <w:rPr>
                <w:b/>
                <w:bCs/>
                <w:sz w:val="20"/>
                <w:szCs w:val="20"/>
              </w:rPr>
              <w:t>$</w:t>
            </w:r>
          </w:p>
        </w:tc>
      </w:tr>
      <w:tr w14:paraId="1A7F3958" w14:textId="77777777" w:rsidTr="00B83F02">
        <w:tblPrEx>
          <w:tblW w:w="0" w:type="auto"/>
          <w:tblLook w:val="04A0"/>
        </w:tblPrEx>
        <w:trPr>
          <w:trHeight w:val="107"/>
        </w:trPr>
        <w:tc>
          <w:tcPr>
            <w:tcW w:w="7825" w:type="dxa"/>
          </w:tcPr>
          <w:p w:rsidR="007D04E8" w:rsidRPr="001374BA" w:rsidP="00694F88" w14:paraId="172FB9ED" w14:textId="77777777">
            <w:pPr>
              <w:rPr>
                <w:sz w:val="20"/>
                <w:szCs w:val="20"/>
              </w:rPr>
            </w:pPr>
          </w:p>
        </w:tc>
        <w:tc>
          <w:tcPr>
            <w:tcW w:w="2965" w:type="dxa"/>
            <w:vAlign w:val="center"/>
          </w:tcPr>
          <w:p w:rsidR="007D04E8" w:rsidRPr="001374BA" w:rsidP="00B83F02" w14:paraId="1CFC6A1A" w14:textId="77777777">
            <w:pPr>
              <w:jc w:val="right"/>
              <w:rPr>
                <w:sz w:val="20"/>
                <w:szCs w:val="20"/>
              </w:rPr>
            </w:pPr>
          </w:p>
        </w:tc>
      </w:tr>
      <w:tr w14:paraId="233C5489" w14:textId="77777777" w:rsidTr="00B83F02">
        <w:tblPrEx>
          <w:tblW w:w="0" w:type="auto"/>
          <w:tblLook w:val="04A0"/>
        </w:tblPrEx>
        <w:tc>
          <w:tcPr>
            <w:tcW w:w="7825" w:type="dxa"/>
          </w:tcPr>
          <w:p w:rsidR="007D04E8" w:rsidRPr="001374BA" w:rsidP="00694F88" w14:paraId="1DC7ACE7" w14:textId="77777777">
            <w:pPr>
              <w:rPr>
                <w:b/>
                <w:bCs/>
                <w:sz w:val="20"/>
                <w:szCs w:val="20"/>
              </w:rPr>
            </w:pPr>
            <w:r w:rsidRPr="001374BA">
              <w:rPr>
                <w:b/>
                <w:bCs/>
                <w:sz w:val="20"/>
                <w:szCs w:val="20"/>
              </w:rPr>
              <w:t>Less Unacceptable Assets:</w:t>
            </w:r>
          </w:p>
        </w:tc>
        <w:tc>
          <w:tcPr>
            <w:tcW w:w="2965" w:type="dxa"/>
            <w:vAlign w:val="center"/>
          </w:tcPr>
          <w:p w:rsidR="007D04E8" w:rsidRPr="001374BA" w:rsidP="00B83F02" w14:paraId="1040DBC8" w14:textId="77777777">
            <w:pPr>
              <w:jc w:val="right"/>
              <w:rPr>
                <w:sz w:val="20"/>
                <w:szCs w:val="20"/>
              </w:rPr>
            </w:pPr>
          </w:p>
        </w:tc>
      </w:tr>
      <w:tr w14:paraId="47A12800" w14:textId="77777777" w:rsidTr="00B83F02">
        <w:tblPrEx>
          <w:tblW w:w="0" w:type="auto"/>
          <w:tblLook w:val="04A0"/>
        </w:tblPrEx>
        <w:tc>
          <w:tcPr>
            <w:tcW w:w="7825" w:type="dxa"/>
          </w:tcPr>
          <w:p w:rsidR="007D04E8" w:rsidRPr="00B632E5" w:rsidP="00694F88" w14:paraId="5C83CD2E" w14:textId="77777777">
            <w:pPr>
              <w:rPr>
                <w:sz w:val="18"/>
                <w:szCs w:val="18"/>
              </w:rPr>
            </w:pPr>
            <w:r w:rsidRPr="00B632E5">
              <w:rPr>
                <w:sz w:val="18"/>
                <w:szCs w:val="18"/>
              </w:rPr>
              <w:t xml:space="preserve">Category 1 - Any asset or portion thereof pledged to secure obligations of another entity or any person. Supervised institutions that provide financial services to incorporated communities are sometimes required by State law to pledge their assets for the benefit of the community. These pledged assets are acceptable </w:t>
            </w:r>
            <w:r w:rsidRPr="00B632E5">
              <w:rPr>
                <w:sz w:val="18"/>
                <w:szCs w:val="18"/>
              </w:rPr>
              <w:t>for</w:t>
            </w:r>
            <w:r w:rsidRPr="00B632E5">
              <w:rPr>
                <w:sz w:val="18"/>
                <w:szCs w:val="18"/>
              </w:rPr>
              <w:t xml:space="preserve"> supervised institutions only.</w:t>
            </w:r>
          </w:p>
        </w:tc>
        <w:tc>
          <w:tcPr>
            <w:tcW w:w="2965" w:type="dxa"/>
            <w:shd w:val="clear" w:color="auto" w:fill="B4C6E7" w:themeFill="accent1" w:themeFillTint="66"/>
            <w:vAlign w:val="center"/>
          </w:tcPr>
          <w:p w:rsidR="007D04E8" w:rsidRPr="001374BA" w:rsidP="00B83F02" w14:paraId="47634D81" w14:textId="77777777">
            <w:pPr>
              <w:jc w:val="right"/>
              <w:rPr>
                <w:sz w:val="20"/>
                <w:szCs w:val="20"/>
              </w:rPr>
            </w:pPr>
            <w:r w:rsidRPr="001374BA">
              <w:rPr>
                <w:sz w:val="20"/>
                <w:szCs w:val="20"/>
              </w:rPr>
              <w:t>$</w:t>
            </w:r>
          </w:p>
        </w:tc>
      </w:tr>
      <w:tr w14:paraId="17A92972" w14:textId="77777777" w:rsidTr="00B83F02">
        <w:tblPrEx>
          <w:tblW w:w="0" w:type="auto"/>
          <w:tblLook w:val="04A0"/>
        </w:tblPrEx>
        <w:tc>
          <w:tcPr>
            <w:tcW w:w="7825" w:type="dxa"/>
          </w:tcPr>
          <w:p w:rsidR="007D04E8" w:rsidRPr="00B632E5" w:rsidP="00694F88" w14:paraId="0C88758C" w14:textId="77777777">
            <w:pPr>
              <w:rPr>
                <w:sz w:val="18"/>
                <w:szCs w:val="18"/>
              </w:rPr>
            </w:pPr>
            <w:r w:rsidRPr="00B632E5">
              <w:rPr>
                <w:sz w:val="18"/>
                <w:szCs w:val="18"/>
              </w:rPr>
              <w:t xml:space="preserve">Category 2 - An asset due from an officer or stockholder of the lender or from a related entity, except for </w:t>
            </w:r>
          </w:p>
          <w:p w:rsidR="007D04E8" w:rsidRPr="00B632E5" w:rsidP="00CD46D4" w14:paraId="6A1244C3" w14:textId="7B4397CD">
            <w:pPr>
              <w:ind w:left="427" w:hanging="180"/>
              <w:rPr>
                <w:sz w:val="18"/>
                <w:szCs w:val="18"/>
              </w:rPr>
            </w:pPr>
            <w:r w:rsidRPr="00B632E5">
              <w:rPr>
                <w:sz w:val="18"/>
                <w:szCs w:val="18"/>
              </w:rPr>
              <w:t xml:space="preserve">a. A construction loan receivable secured by a first mortgage from a related entity. </w:t>
            </w:r>
          </w:p>
          <w:p w:rsidR="007D04E8" w:rsidRPr="00B632E5" w:rsidP="00CD46D4" w14:paraId="59E4E2ED" w14:textId="5207061A">
            <w:pPr>
              <w:ind w:left="427" w:hanging="180"/>
              <w:rPr>
                <w:sz w:val="18"/>
                <w:szCs w:val="18"/>
              </w:rPr>
            </w:pPr>
            <w:r w:rsidRPr="00B632E5">
              <w:rPr>
                <w:sz w:val="18"/>
                <w:szCs w:val="18"/>
              </w:rPr>
              <w:t xml:space="preserve">b. A mortgage loan receivable established in the normal course of business in an arm’s-length transaction and secured by a first mortgage on the related property. </w:t>
            </w:r>
          </w:p>
          <w:p w:rsidR="007D04E8" w:rsidRPr="00B632E5" w:rsidP="00CD46D4" w14:paraId="3CE28221" w14:textId="5090D017">
            <w:pPr>
              <w:ind w:left="427" w:hanging="180"/>
              <w:rPr>
                <w:sz w:val="18"/>
                <w:szCs w:val="18"/>
              </w:rPr>
            </w:pPr>
            <w:r w:rsidRPr="00B632E5">
              <w:rPr>
                <w:sz w:val="18"/>
                <w:szCs w:val="18"/>
              </w:rPr>
              <w:t>c. A receivable from a related party when the affected parties have executed a cross-default agreement</w:t>
            </w:r>
            <w:r>
              <w:rPr>
                <w:rStyle w:val="FootnoteReference"/>
                <w:sz w:val="18"/>
                <w:szCs w:val="18"/>
              </w:rPr>
              <w:footnoteReference w:id="2"/>
            </w:r>
            <w:r w:rsidRPr="00B632E5">
              <w:rPr>
                <w:sz w:val="18"/>
                <w:szCs w:val="18"/>
              </w:rPr>
              <w:t xml:space="preserve"> or corporate guarantee agreement</w:t>
            </w:r>
            <w:r>
              <w:rPr>
                <w:rStyle w:val="FootnoteReference"/>
                <w:sz w:val="18"/>
                <w:szCs w:val="18"/>
              </w:rPr>
              <w:footnoteReference w:id="3"/>
            </w:r>
            <w:r w:rsidRPr="00B632E5">
              <w:rPr>
                <w:sz w:val="18"/>
                <w:szCs w:val="18"/>
              </w:rPr>
              <w:t xml:space="preserve"> with Ginnie Mae.</w:t>
            </w:r>
          </w:p>
        </w:tc>
        <w:tc>
          <w:tcPr>
            <w:tcW w:w="2965" w:type="dxa"/>
            <w:shd w:val="clear" w:color="auto" w:fill="B4C6E7" w:themeFill="accent1" w:themeFillTint="66"/>
            <w:vAlign w:val="center"/>
          </w:tcPr>
          <w:p w:rsidR="007D04E8" w:rsidRPr="001374BA" w:rsidP="00B83F02" w14:paraId="58A6F245" w14:textId="77777777">
            <w:pPr>
              <w:jc w:val="right"/>
              <w:rPr>
                <w:sz w:val="20"/>
                <w:szCs w:val="20"/>
              </w:rPr>
            </w:pPr>
            <w:r w:rsidRPr="001374BA">
              <w:rPr>
                <w:sz w:val="20"/>
                <w:szCs w:val="20"/>
              </w:rPr>
              <w:t>$</w:t>
            </w:r>
          </w:p>
        </w:tc>
      </w:tr>
      <w:tr w14:paraId="768CC977" w14:textId="77777777" w:rsidTr="00B83F02">
        <w:tblPrEx>
          <w:tblW w:w="0" w:type="auto"/>
          <w:tblLook w:val="04A0"/>
        </w:tblPrEx>
        <w:tc>
          <w:tcPr>
            <w:tcW w:w="7825" w:type="dxa"/>
          </w:tcPr>
          <w:p w:rsidR="007D04E8" w:rsidRPr="00B632E5" w:rsidP="00694F88" w14:paraId="4FA7AEDD" w14:textId="77777777">
            <w:pPr>
              <w:rPr>
                <w:sz w:val="18"/>
                <w:szCs w:val="18"/>
              </w:rPr>
            </w:pPr>
            <w:r w:rsidRPr="00B632E5">
              <w:rPr>
                <w:sz w:val="18"/>
                <w:szCs w:val="18"/>
              </w:rPr>
              <w:t>Category 3 - An investment in a related entity in which any officer or stockholder of the lender has a personal interest 7 unrelated to that person’s position as an officer or stockholder of the lender.</w:t>
            </w:r>
          </w:p>
        </w:tc>
        <w:tc>
          <w:tcPr>
            <w:tcW w:w="2965" w:type="dxa"/>
            <w:shd w:val="clear" w:color="auto" w:fill="B4C6E7" w:themeFill="accent1" w:themeFillTint="66"/>
            <w:vAlign w:val="center"/>
          </w:tcPr>
          <w:p w:rsidR="007D04E8" w:rsidRPr="001374BA" w:rsidP="00B83F02" w14:paraId="6EEC33D1" w14:textId="77777777">
            <w:pPr>
              <w:jc w:val="right"/>
              <w:rPr>
                <w:sz w:val="20"/>
                <w:szCs w:val="20"/>
              </w:rPr>
            </w:pPr>
            <w:r w:rsidRPr="001374BA">
              <w:rPr>
                <w:sz w:val="20"/>
                <w:szCs w:val="20"/>
              </w:rPr>
              <w:t>$</w:t>
            </w:r>
          </w:p>
        </w:tc>
      </w:tr>
      <w:tr w14:paraId="5E047A84" w14:textId="77777777" w:rsidTr="00B83F02">
        <w:tblPrEx>
          <w:tblW w:w="0" w:type="auto"/>
          <w:tblLook w:val="04A0"/>
        </w:tblPrEx>
        <w:tc>
          <w:tcPr>
            <w:tcW w:w="7825" w:type="dxa"/>
          </w:tcPr>
          <w:p w:rsidR="007D04E8" w:rsidRPr="00B632E5" w:rsidP="00694F88" w14:paraId="1219D3D8" w14:textId="77777777">
            <w:pPr>
              <w:tabs>
                <w:tab w:val="left" w:pos="6035"/>
              </w:tabs>
              <w:rPr>
                <w:sz w:val="18"/>
                <w:szCs w:val="18"/>
              </w:rPr>
            </w:pPr>
            <w:r w:rsidRPr="00B632E5">
              <w:rPr>
                <w:sz w:val="18"/>
                <w:szCs w:val="18"/>
              </w:rPr>
              <w:t>Category 4 - That portion of an investment in a joint venture, subsidiary, affiliate, or other related entity, which is greater than equity as adjusted. “Equity as adjusted” means the book value of the related entity reduced by the amount of unacceptable assets carried by the related entity.</w:t>
            </w:r>
          </w:p>
        </w:tc>
        <w:tc>
          <w:tcPr>
            <w:tcW w:w="2965" w:type="dxa"/>
            <w:shd w:val="clear" w:color="auto" w:fill="B4C6E7" w:themeFill="accent1" w:themeFillTint="66"/>
            <w:vAlign w:val="center"/>
          </w:tcPr>
          <w:p w:rsidR="007D04E8" w:rsidRPr="001374BA" w:rsidP="00B83F02" w14:paraId="03E0B175" w14:textId="77777777">
            <w:pPr>
              <w:jc w:val="right"/>
              <w:rPr>
                <w:sz w:val="20"/>
                <w:szCs w:val="20"/>
              </w:rPr>
            </w:pPr>
            <w:r w:rsidRPr="001374BA">
              <w:rPr>
                <w:sz w:val="20"/>
                <w:szCs w:val="20"/>
              </w:rPr>
              <w:t>$</w:t>
            </w:r>
          </w:p>
        </w:tc>
      </w:tr>
      <w:tr w14:paraId="65A0895E" w14:textId="77777777" w:rsidTr="00B83F02">
        <w:tblPrEx>
          <w:tblW w:w="0" w:type="auto"/>
          <w:tblLook w:val="04A0"/>
        </w:tblPrEx>
        <w:tc>
          <w:tcPr>
            <w:tcW w:w="7825" w:type="dxa"/>
          </w:tcPr>
          <w:p w:rsidR="007D04E8" w:rsidRPr="00B632E5" w:rsidP="00694F88" w14:paraId="6CDD0FD0" w14:textId="77777777">
            <w:pPr>
              <w:rPr>
                <w:sz w:val="18"/>
                <w:szCs w:val="18"/>
              </w:rPr>
            </w:pPr>
            <w:r w:rsidRPr="00B632E5">
              <w:rPr>
                <w:sz w:val="18"/>
                <w:szCs w:val="18"/>
              </w:rPr>
              <w:t>Category 5 - Any intangible asset, including but not limited to goodwill, covenants not to compete, franchise fees, organization costs, software, value placed on insurance renewals, and value placed on property management contract renewals.</w:t>
            </w:r>
          </w:p>
        </w:tc>
        <w:tc>
          <w:tcPr>
            <w:tcW w:w="2965" w:type="dxa"/>
            <w:shd w:val="clear" w:color="auto" w:fill="B4C6E7" w:themeFill="accent1" w:themeFillTint="66"/>
            <w:vAlign w:val="center"/>
          </w:tcPr>
          <w:p w:rsidR="007D04E8" w:rsidRPr="001374BA" w:rsidP="00B83F02" w14:paraId="77B4940C" w14:textId="77777777">
            <w:pPr>
              <w:jc w:val="right"/>
              <w:rPr>
                <w:sz w:val="20"/>
                <w:szCs w:val="20"/>
              </w:rPr>
            </w:pPr>
            <w:r w:rsidRPr="001374BA">
              <w:rPr>
                <w:sz w:val="20"/>
                <w:szCs w:val="20"/>
              </w:rPr>
              <w:t>$</w:t>
            </w:r>
          </w:p>
        </w:tc>
      </w:tr>
      <w:tr w14:paraId="5B98E4D6" w14:textId="77777777" w:rsidTr="00B83F02">
        <w:tblPrEx>
          <w:tblW w:w="0" w:type="auto"/>
          <w:tblLook w:val="04A0"/>
        </w:tblPrEx>
        <w:tc>
          <w:tcPr>
            <w:tcW w:w="7825" w:type="dxa"/>
          </w:tcPr>
          <w:p w:rsidR="007D04E8" w:rsidRPr="00B632E5" w:rsidP="00694F88" w14:paraId="5AC2C279" w14:textId="77777777">
            <w:pPr>
              <w:rPr>
                <w:sz w:val="18"/>
                <w:szCs w:val="18"/>
              </w:rPr>
            </w:pPr>
            <w:r w:rsidRPr="00B632E5">
              <w:rPr>
                <w:sz w:val="18"/>
                <w:szCs w:val="18"/>
              </w:rPr>
              <w:t>Category 6 - The value of any servicing contract not determined in accordance with Statement of Financial Accounting Standards (SFAS) No. 65, “Accounting for Certain Mortgage Banking Activities,” and SFAS No. 125, “Accounting for Transfers and Servicing of Financial Assets and Extinguishments of Liabilities,” or their revisions.</w:t>
            </w:r>
          </w:p>
        </w:tc>
        <w:tc>
          <w:tcPr>
            <w:tcW w:w="2965" w:type="dxa"/>
            <w:shd w:val="clear" w:color="auto" w:fill="B4C6E7" w:themeFill="accent1" w:themeFillTint="66"/>
            <w:vAlign w:val="center"/>
          </w:tcPr>
          <w:p w:rsidR="007D04E8" w:rsidRPr="001374BA" w:rsidP="00B83F02" w14:paraId="7CAB884D" w14:textId="77777777">
            <w:pPr>
              <w:jc w:val="right"/>
              <w:rPr>
                <w:sz w:val="20"/>
                <w:szCs w:val="20"/>
              </w:rPr>
            </w:pPr>
            <w:r w:rsidRPr="001374BA">
              <w:rPr>
                <w:sz w:val="20"/>
                <w:szCs w:val="20"/>
              </w:rPr>
              <w:t>$</w:t>
            </w:r>
          </w:p>
        </w:tc>
      </w:tr>
      <w:tr w14:paraId="77AAC446" w14:textId="77777777" w:rsidTr="00B83F02">
        <w:tblPrEx>
          <w:tblW w:w="0" w:type="auto"/>
          <w:tblLook w:val="04A0"/>
        </w:tblPrEx>
        <w:tc>
          <w:tcPr>
            <w:tcW w:w="7825" w:type="dxa"/>
          </w:tcPr>
          <w:p w:rsidR="007D04E8" w:rsidRPr="00B632E5" w:rsidP="00694F88" w14:paraId="138FD11E" w14:textId="77777777">
            <w:pPr>
              <w:rPr>
                <w:sz w:val="18"/>
                <w:szCs w:val="18"/>
              </w:rPr>
            </w:pPr>
            <w:r w:rsidRPr="00B632E5">
              <w:rPr>
                <w:sz w:val="18"/>
                <w:szCs w:val="18"/>
              </w:rPr>
              <w:t>Category 7 - Any asset not readily marketable and for which appraised values are very subjective. Examples include but are not limited to antiques, artwork, and gemstones.</w:t>
            </w:r>
          </w:p>
        </w:tc>
        <w:tc>
          <w:tcPr>
            <w:tcW w:w="2965" w:type="dxa"/>
            <w:shd w:val="clear" w:color="auto" w:fill="B4C6E7" w:themeFill="accent1" w:themeFillTint="66"/>
            <w:vAlign w:val="center"/>
          </w:tcPr>
          <w:p w:rsidR="007D04E8" w:rsidRPr="001374BA" w:rsidP="00B83F02" w14:paraId="0F562A8B" w14:textId="77777777">
            <w:pPr>
              <w:jc w:val="right"/>
              <w:rPr>
                <w:sz w:val="20"/>
                <w:szCs w:val="20"/>
              </w:rPr>
            </w:pPr>
            <w:r w:rsidRPr="001374BA">
              <w:rPr>
                <w:sz w:val="20"/>
                <w:szCs w:val="20"/>
              </w:rPr>
              <w:t>$</w:t>
            </w:r>
          </w:p>
        </w:tc>
      </w:tr>
      <w:tr w14:paraId="43E6A5DF" w14:textId="77777777" w:rsidTr="00B83F02">
        <w:tblPrEx>
          <w:tblW w:w="0" w:type="auto"/>
          <w:tblLook w:val="04A0"/>
        </w:tblPrEx>
        <w:tc>
          <w:tcPr>
            <w:tcW w:w="7825" w:type="dxa"/>
          </w:tcPr>
          <w:p w:rsidR="007D04E8" w:rsidRPr="00B632E5" w:rsidP="00694F88" w14:paraId="6D38B0F5" w14:textId="77777777">
            <w:pPr>
              <w:rPr>
                <w:sz w:val="18"/>
                <w:szCs w:val="18"/>
              </w:rPr>
            </w:pPr>
            <w:r w:rsidRPr="00B632E5">
              <w:rPr>
                <w:sz w:val="18"/>
                <w:szCs w:val="18"/>
              </w:rPr>
              <w:t xml:space="preserve">Category 8 - That portion of any marketable security (listed or unlisted) </w:t>
            </w:r>
            <w:r w:rsidRPr="00B632E5">
              <w:rPr>
                <w:sz w:val="18"/>
                <w:szCs w:val="18"/>
              </w:rPr>
              <w:t>in excess of</w:t>
            </w:r>
            <w:r w:rsidRPr="00B632E5">
              <w:rPr>
                <w:sz w:val="18"/>
                <w:szCs w:val="18"/>
              </w:rPr>
              <w:t xml:space="preserve"> the lower of cost or market.</w:t>
            </w:r>
          </w:p>
        </w:tc>
        <w:tc>
          <w:tcPr>
            <w:tcW w:w="2965" w:type="dxa"/>
            <w:shd w:val="clear" w:color="auto" w:fill="B4C6E7" w:themeFill="accent1" w:themeFillTint="66"/>
            <w:vAlign w:val="center"/>
          </w:tcPr>
          <w:p w:rsidR="007D04E8" w:rsidRPr="001374BA" w:rsidP="00B83F02" w14:paraId="32E986D7" w14:textId="77777777">
            <w:pPr>
              <w:jc w:val="right"/>
              <w:rPr>
                <w:sz w:val="20"/>
                <w:szCs w:val="20"/>
              </w:rPr>
            </w:pPr>
            <w:r w:rsidRPr="001374BA">
              <w:rPr>
                <w:sz w:val="20"/>
                <w:szCs w:val="20"/>
              </w:rPr>
              <w:t>$</w:t>
            </w:r>
          </w:p>
        </w:tc>
      </w:tr>
      <w:tr w14:paraId="005D04C5" w14:textId="77777777" w:rsidTr="00B83F02">
        <w:tblPrEx>
          <w:tblW w:w="0" w:type="auto"/>
          <w:tblLook w:val="04A0"/>
        </w:tblPrEx>
        <w:tc>
          <w:tcPr>
            <w:tcW w:w="7825" w:type="dxa"/>
          </w:tcPr>
          <w:p w:rsidR="007D04E8" w:rsidRPr="00B632E5" w:rsidP="00694F88" w14:paraId="02762598" w14:textId="77777777">
            <w:pPr>
              <w:rPr>
                <w:sz w:val="18"/>
                <w:szCs w:val="18"/>
              </w:rPr>
            </w:pPr>
            <w:r w:rsidRPr="00B632E5">
              <w:rPr>
                <w:sz w:val="18"/>
                <w:szCs w:val="18"/>
              </w:rPr>
              <w:t xml:space="preserve">Category 9 - Any amount </w:t>
            </w:r>
            <w:r w:rsidRPr="00B632E5">
              <w:rPr>
                <w:sz w:val="18"/>
                <w:szCs w:val="18"/>
              </w:rPr>
              <w:t>in excess of</w:t>
            </w:r>
            <w:r w:rsidRPr="00B632E5">
              <w:rPr>
                <w:sz w:val="18"/>
                <w:szCs w:val="18"/>
              </w:rPr>
              <w:t xml:space="preserve"> the lower of cost or market value of mortgages in foreclosure, construction loans, or property acquired through foreclosure.</w:t>
            </w:r>
          </w:p>
        </w:tc>
        <w:tc>
          <w:tcPr>
            <w:tcW w:w="2965" w:type="dxa"/>
            <w:shd w:val="clear" w:color="auto" w:fill="B4C6E7" w:themeFill="accent1" w:themeFillTint="66"/>
            <w:vAlign w:val="center"/>
          </w:tcPr>
          <w:p w:rsidR="007D04E8" w:rsidRPr="001374BA" w:rsidP="00B83F02" w14:paraId="098CF9EF" w14:textId="77777777">
            <w:pPr>
              <w:jc w:val="right"/>
              <w:rPr>
                <w:sz w:val="20"/>
                <w:szCs w:val="20"/>
              </w:rPr>
            </w:pPr>
            <w:r w:rsidRPr="001374BA">
              <w:rPr>
                <w:sz w:val="20"/>
                <w:szCs w:val="20"/>
              </w:rPr>
              <w:t>$</w:t>
            </w:r>
          </w:p>
        </w:tc>
      </w:tr>
      <w:tr w14:paraId="3A7D6EB4" w14:textId="77777777" w:rsidTr="00B83F02">
        <w:tblPrEx>
          <w:tblW w:w="0" w:type="auto"/>
          <w:tblLook w:val="04A0"/>
        </w:tblPrEx>
        <w:tc>
          <w:tcPr>
            <w:tcW w:w="7825" w:type="dxa"/>
          </w:tcPr>
          <w:p w:rsidR="007D04E8" w:rsidRPr="00B632E5" w:rsidP="00694F88" w14:paraId="0B8CB3DB" w14:textId="77777777">
            <w:pPr>
              <w:rPr>
                <w:sz w:val="18"/>
                <w:szCs w:val="18"/>
              </w:rPr>
            </w:pPr>
            <w:r w:rsidRPr="00B632E5">
              <w:rPr>
                <w:sz w:val="18"/>
                <w:szCs w:val="18"/>
              </w:rPr>
              <w:t>Category 10 - Any asset that is principally used</w:t>
            </w:r>
            <w:r>
              <w:rPr>
                <w:rStyle w:val="FootnoteReference"/>
                <w:sz w:val="18"/>
                <w:szCs w:val="18"/>
              </w:rPr>
              <w:footnoteReference w:id="4"/>
            </w:r>
            <w:r w:rsidRPr="00B632E5">
              <w:rPr>
                <w:sz w:val="18"/>
                <w:szCs w:val="18"/>
              </w:rPr>
              <w:t xml:space="preserve"> for the personal enjoyment or benefit of an officer, director, or stockholder and not for normal business purposes. This includes motor vehicles and personal residences.</w:t>
            </w:r>
          </w:p>
        </w:tc>
        <w:tc>
          <w:tcPr>
            <w:tcW w:w="2965" w:type="dxa"/>
            <w:shd w:val="clear" w:color="auto" w:fill="B4C6E7" w:themeFill="accent1" w:themeFillTint="66"/>
            <w:vAlign w:val="center"/>
          </w:tcPr>
          <w:p w:rsidR="007D04E8" w:rsidRPr="001374BA" w:rsidP="00B83F02" w14:paraId="2FDC88EB" w14:textId="77777777">
            <w:pPr>
              <w:jc w:val="right"/>
              <w:rPr>
                <w:sz w:val="20"/>
                <w:szCs w:val="20"/>
              </w:rPr>
            </w:pPr>
            <w:r w:rsidRPr="001374BA">
              <w:rPr>
                <w:sz w:val="20"/>
                <w:szCs w:val="20"/>
              </w:rPr>
              <w:t>$</w:t>
            </w:r>
          </w:p>
        </w:tc>
      </w:tr>
      <w:tr w14:paraId="1DD773D7" w14:textId="77777777" w:rsidTr="00B83F02">
        <w:tblPrEx>
          <w:tblW w:w="0" w:type="auto"/>
          <w:tblLook w:val="04A0"/>
        </w:tblPrEx>
        <w:tc>
          <w:tcPr>
            <w:tcW w:w="7825" w:type="dxa"/>
          </w:tcPr>
          <w:p w:rsidR="007D04E8" w:rsidRPr="00B632E5" w:rsidP="00694F88" w14:paraId="790CB871" w14:textId="5A3C085C">
            <w:pPr>
              <w:rPr>
                <w:sz w:val="18"/>
                <w:szCs w:val="18"/>
              </w:rPr>
            </w:pPr>
            <w:r w:rsidRPr="00B632E5">
              <w:rPr>
                <w:sz w:val="18"/>
                <w:szCs w:val="18"/>
              </w:rPr>
              <w:t>Category 11 - “Other assets”</w:t>
            </w:r>
            <w:r>
              <w:rPr>
                <w:rStyle w:val="FootnoteReference"/>
                <w:sz w:val="18"/>
                <w:szCs w:val="18"/>
              </w:rPr>
              <w:footnoteReference w:id="5"/>
            </w:r>
            <w:r w:rsidRPr="00B632E5">
              <w:rPr>
                <w:sz w:val="18"/>
                <w:szCs w:val="18"/>
              </w:rPr>
              <w:t xml:space="preserve"> </w:t>
            </w:r>
            <w:r w:rsidRPr="00B632E5">
              <w:rPr>
                <w:i/>
                <w:iCs/>
                <w:sz w:val="18"/>
                <w:szCs w:val="18"/>
              </w:rPr>
              <w:t xml:space="preserve">unless the financial statements are accompanied by a schedule prepared by the </w:t>
            </w:r>
            <w:r w:rsidRPr="00B632E5" w:rsidR="001374BA">
              <w:rPr>
                <w:i/>
                <w:iCs/>
                <w:sz w:val="18"/>
                <w:szCs w:val="18"/>
              </w:rPr>
              <w:t>auditor,</w:t>
            </w:r>
            <w:r w:rsidRPr="00B632E5">
              <w:rPr>
                <w:i/>
                <w:iCs/>
                <w:sz w:val="18"/>
                <w:szCs w:val="18"/>
              </w:rPr>
              <w:t xml:space="preserve"> or a schedule prepared by the </w:t>
            </w:r>
            <w:r w:rsidR="00C514C8">
              <w:rPr>
                <w:i/>
                <w:iCs/>
                <w:sz w:val="18"/>
                <w:szCs w:val="18"/>
              </w:rPr>
              <w:t>I</w:t>
            </w:r>
            <w:r w:rsidRPr="00B632E5">
              <w:rPr>
                <w:i/>
                <w:iCs/>
                <w:sz w:val="18"/>
                <w:szCs w:val="18"/>
              </w:rPr>
              <w:t xml:space="preserve">ssuer-lender and signed by an officer of the </w:t>
            </w:r>
            <w:r w:rsidR="00C514C8">
              <w:rPr>
                <w:i/>
                <w:iCs/>
                <w:sz w:val="18"/>
                <w:szCs w:val="18"/>
              </w:rPr>
              <w:t>I</w:t>
            </w:r>
            <w:r w:rsidRPr="00B632E5">
              <w:rPr>
                <w:i/>
                <w:iCs/>
                <w:sz w:val="18"/>
                <w:szCs w:val="18"/>
              </w:rPr>
              <w:t>ssuer-lender.</w:t>
            </w:r>
          </w:p>
        </w:tc>
        <w:tc>
          <w:tcPr>
            <w:tcW w:w="2965" w:type="dxa"/>
            <w:shd w:val="clear" w:color="auto" w:fill="B4C6E7" w:themeFill="accent1" w:themeFillTint="66"/>
            <w:vAlign w:val="center"/>
          </w:tcPr>
          <w:p w:rsidR="007D04E8" w:rsidRPr="001374BA" w:rsidP="00B83F02" w14:paraId="780CCB12" w14:textId="77777777">
            <w:pPr>
              <w:jc w:val="right"/>
              <w:rPr>
                <w:sz w:val="20"/>
                <w:szCs w:val="20"/>
              </w:rPr>
            </w:pPr>
            <w:r w:rsidRPr="001374BA">
              <w:rPr>
                <w:sz w:val="20"/>
                <w:szCs w:val="20"/>
              </w:rPr>
              <w:t>$</w:t>
            </w:r>
          </w:p>
        </w:tc>
      </w:tr>
      <w:tr w14:paraId="2E781408" w14:textId="77777777" w:rsidTr="00B83F02">
        <w:tblPrEx>
          <w:tblW w:w="0" w:type="auto"/>
          <w:tblLook w:val="04A0"/>
        </w:tblPrEx>
        <w:tc>
          <w:tcPr>
            <w:tcW w:w="7825" w:type="dxa"/>
          </w:tcPr>
          <w:p w:rsidR="007D04E8" w:rsidRPr="00B632E5" w:rsidP="00694F88" w14:paraId="6D83D426" w14:textId="77777777">
            <w:pPr>
              <w:rPr>
                <w:sz w:val="18"/>
                <w:szCs w:val="18"/>
              </w:rPr>
            </w:pPr>
            <w:r w:rsidRPr="00B632E5">
              <w:rPr>
                <w:sz w:val="18"/>
                <w:szCs w:val="18"/>
              </w:rPr>
              <w:t xml:space="preserve">Category 12 - That portion of contributed property, not otherwise excluded, </w:t>
            </w:r>
            <w:r w:rsidRPr="00B632E5">
              <w:rPr>
                <w:sz w:val="18"/>
                <w:szCs w:val="18"/>
              </w:rPr>
              <w:t>in excess of</w:t>
            </w:r>
            <w:r w:rsidRPr="00B632E5">
              <w:rPr>
                <w:sz w:val="18"/>
                <w:szCs w:val="18"/>
              </w:rPr>
              <w:t xml:space="preserve"> the value as of the date of contribution determined by an independent appraisal.</w:t>
            </w:r>
          </w:p>
        </w:tc>
        <w:tc>
          <w:tcPr>
            <w:tcW w:w="2965" w:type="dxa"/>
            <w:shd w:val="clear" w:color="auto" w:fill="B4C6E7" w:themeFill="accent1" w:themeFillTint="66"/>
            <w:vAlign w:val="center"/>
          </w:tcPr>
          <w:p w:rsidR="007D04E8" w:rsidRPr="001374BA" w:rsidP="00B83F02" w14:paraId="756E95DC" w14:textId="77777777">
            <w:pPr>
              <w:jc w:val="right"/>
              <w:rPr>
                <w:sz w:val="20"/>
                <w:szCs w:val="20"/>
              </w:rPr>
            </w:pPr>
            <w:r w:rsidRPr="001374BA">
              <w:rPr>
                <w:sz w:val="20"/>
                <w:szCs w:val="20"/>
              </w:rPr>
              <w:t>$</w:t>
            </w:r>
          </w:p>
        </w:tc>
      </w:tr>
      <w:tr w14:paraId="5587D554" w14:textId="77777777" w:rsidTr="00B83F02">
        <w:tblPrEx>
          <w:tblW w:w="0" w:type="auto"/>
          <w:tblLook w:val="04A0"/>
        </w:tblPrEx>
        <w:tc>
          <w:tcPr>
            <w:tcW w:w="7825" w:type="dxa"/>
          </w:tcPr>
          <w:p w:rsidR="007D04E8" w:rsidRPr="00B632E5" w:rsidP="00694F88" w14:paraId="4FA53B2A" w14:textId="6775AE6E">
            <w:pPr>
              <w:rPr>
                <w:sz w:val="18"/>
                <w:szCs w:val="18"/>
              </w:rPr>
            </w:pPr>
            <w:r w:rsidRPr="00B632E5">
              <w:rPr>
                <w:sz w:val="18"/>
                <w:szCs w:val="18"/>
              </w:rPr>
              <w:t xml:space="preserve">Category 13 </w:t>
            </w:r>
            <w:r w:rsidRPr="00B632E5" w:rsidR="00B71648">
              <w:rPr>
                <w:sz w:val="18"/>
                <w:szCs w:val="18"/>
              </w:rPr>
              <w:t>–</w:t>
            </w:r>
            <w:r w:rsidRPr="00B632E5" w:rsidR="001374BA">
              <w:rPr>
                <w:sz w:val="18"/>
                <w:szCs w:val="18"/>
              </w:rPr>
              <w:t xml:space="preserve"> </w:t>
            </w:r>
            <w:r w:rsidRPr="00B632E5" w:rsidR="00B71648">
              <w:rPr>
                <w:sz w:val="18"/>
                <w:szCs w:val="18"/>
              </w:rPr>
              <w:t>Net d</w:t>
            </w:r>
            <w:r w:rsidRPr="00B632E5">
              <w:rPr>
                <w:sz w:val="18"/>
                <w:szCs w:val="18"/>
              </w:rPr>
              <w:t>eferred tax assets</w:t>
            </w:r>
            <w:r>
              <w:rPr>
                <w:rStyle w:val="FootnoteReference"/>
                <w:sz w:val="18"/>
                <w:szCs w:val="18"/>
              </w:rPr>
              <w:footnoteReference w:id="6"/>
            </w:r>
            <w:r w:rsidRPr="00B632E5" w:rsidR="00B54BD5">
              <w:rPr>
                <w:sz w:val="18"/>
                <w:szCs w:val="18"/>
              </w:rPr>
              <w:t xml:space="preserve">  </w:t>
            </w:r>
          </w:p>
        </w:tc>
        <w:tc>
          <w:tcPr>
            <w:tcW w:w="2965" w:type="dxa"/>
            <w:shd w:val="clear" w:color="auto" w:fill="B4C6E7" w:themeFill="accent1" w:themeFillTint="66"/>
            <w:vAlign w:val="center"/>
          </w:tcPr>
          <w:p w:rsidR="007D04E8" w:rsidRPr="001374BA" w:rsidP="00B83F02" w14:paraId="10DBA64F" w14:textId="77777777">
            <w:pPr>
              <w:jc w:val="right"/>
              <w:rPr>
                <w:sz w:val="20"/>
                <w:szCs w:val="20"/>
              </w:rPr>
            </w:pPr>
            <w:r w:rsidRPr="001374BA">
              <w:rPr>
                <w:sz w:val="20"/>
                <w:szCs w:val="20"/>
              </w:rPr>
              <w:t>$</w:t>
            </w:r>
          </w:p>
        </w:tc>
      </w:tr>
      <w:tr w14:paraId="6E7AB4C5" w14:textId="77777777" w:rsidTr="00B83F02">
        <w:tblPrEx>
          <w:tblW w:w="0" w:type="auto"/>
          <w:tblLook w:val="04A0"/>
        </w:tblPrEx>
        <w:tc>
          <w:tcPr>
            <w:tcW w:w="7825" w:type="dxa"/>
          </w:tcPr>
          <w:p w:rsidR="007D04E8" w:rsidRPr="001374BA" w:rsidP="00694F88" w14:paraId="570FCCEF" w14:textId="77777777">
            <w:pPr>
              <w:rPr>
                <w:b/>
                <w:bCs/>
                <w:sz w:val="20"/>
                <w:szCs w:val="20"/>
              </w:rPr>
            </w:pPr>
            <w:r w:rsidRPr="001374BA">
              <w:rPr>
                <w:b/>
                <w:bCs/>
                <w:sz w:val="20"/>
                <w:szCs w:val="20"/>
              </w:rPr>
              <w:t>Total Unacceptable Assets</w:t>
            </w:r>
          </w:p>
        </w:tc>
        <w:tc>
          <w:tcPr>
            <w:tcW w:w="2965" w:type="dxa"/>
            <w:shd w:val="clear" w:color="auto" w:fill="B4C6E7" w:themeFill="accent1" w:themeFillTint="66"/>
            <w:vAlign w:val="center"/>
          </w:tcPr>
          <w:p w:rsidR="007D04E8" w:rsidRPr="001374BA" w:rsidP="00B83F02" w14:paraId="1435C95D" w14:textId="77777777">
            <w:pPr>
              <w:jc w:val="right"/>
              <w:rPr>
                <w:b/>
                <w:bCs/>
                <w:sz w:val="20"/>
                <w:szCs w:val="20"/>
              </w:rPr>
            </w:pPr>
            <w:r w:rsidRPr="001374BA">
              <w:rPr>
                <w:b/>
                <w:bCs/>
                <w:sz w:val="20"/>
                <w:szCs w:val="20"/>
              </w:rPr>
              <w:t>$</w:t>
            </w:r>
          </w:p>
        </w:tc>
      </w:tr>
      <w:tr w14:paraId="4C0B0EB7" w14:textId="77777777" w:rsidTr="00B83F02">
        <w:tblPrEx>
          <w:tblW w:w="0" w:type="auto"/>
          <w:tblLook w:val="04A0"/>
        </w:tblPrEx>
        <w:tc>
          <w:tcPr>
            <w:tcW w:w="7825" w:type="dxa"/>
          </w:tcPr>
          <w:p w:rsidR="001374BA" w:rsidRPr="001374BA" w:rsidP="00694F88" w14:paraId="7475EE69" w14:textId="77777777">
            <w:pPr>
              <w:rPr>
                <w:sz w:val="20"/>
                <w:szCs w:val="20"/>
              </w:rPr>
            </w:pPr>
          </w:p>
        </w:tc>
        <w:tc>
          <w:tcPr>
            <w:tcW w:w="2965" w:type="dxa"/>
            <w:vAlign w:val="center"/>
          </w:tcPr>
          <w:p w:rsidR="001374BA" w:rsidRPr="001374BA" w:rsidP="00B83F02" w14:paraId="6B48344B" w14:textId="77777777">
            <w:pPr>
              <w:jc w:val="right"/>
              <w:rPr>
                <w:sz w:val="20"/>
                <w:szCs w:val="20"/>
              </w:rPr>
            </w:pPr>
          </w:p>
        </w:tc>
      </w:tr>
      <w:tr w14:paraId="300FD20C" w14:textId="77777777" w:rsidTr="00B83F02">
        <w:tblPrEx>
          <w:tblW w:w="0" w:type="auto"/>
          <w:tblLook w:val="04A0"/>
        </w:tblPrEx>
        <w:tc>
          <w:tcPr>
            <w:tcW w:w="7825" w:type="dxa"/>
          </w:tcPr>
          <w:p w:rsidR="001374BA" w:rsidRPr="001374BA" w:rsidP="00694F88" w14:paraId="5F406ADB" w14:textId="77777777">
            <w:pPr>
              <w:rPr>
                <w:b/>
                <w:bCs/>
                <w:sz w:val="20"/>
                <w:szCs w:val="20"/>
              </w:rPr>
            </w:pPr>
            <w:r w:rsidRPr="001374BA">
              <w:rPr>
                <w:b/>
                <w:bCs/>
                <w:sz w:val="20"/>
                <w:szCs w:val="20"/>
              </w:rPr>
              <w:t>Adjusted Net Worth</w:t>
            </w:r>
          </w:p>
        </w:tc>
        <w:tc>
          <w:tcPr>
            <w:tcW w:w="2965" w:type="dxa"/>
            <w:shd w:val="clear" w:color="auto" w:fill="B4C6E7" w:themeFill="accent1" w:themeFillTint="66"/>
            <w:vAlign w:val="center"/>
          </w:tcPr>
          <w:p w:rsidR="001374BA" w:rsidRPr="001374BA" w:rsidP="00B83F02" w14:paraId="45502E5F" w14:textId="77777777">
            <w:pPr>
              <w:jc w:val="right"/>
              <w:rPr>
                <w:b/>
                <w:bCs/>
                <w:sz w:val="20"/>
                <w:szCs w:val="20"/>
              </w:rPr>
            </w:pPr>
            <w:r w:rsidRPr="001374BA">
              <w:rPr>
                <w:b/>
                <w:bCs/>
                <w:sz w:val="20"/>
                <w:szCs w:val="20"/>
              </w:rPr>
              <w:t>$</w:t>
            </w:r>
          </w:p>
        </w:tc>
      </w:tr>
    </w:tbl>
    <w:p w:rsidR="009A7201" w:rsidP="001374BA" w14:paraId="69F9E089" w14:textId="77777777">
      <w:pPr>
        <w:pStyle w:val="Heading1"/>
      </w:pPr>
      <w:r>
        <w:t>Required Net Worth</w:t>
      </w:r>
    </w:p>
    <w:p w:rsidR="009A7201" w:rsidP="001374BA" w14:paraId="3227E13B" w14:textId="77777777">
      <w:pPr>
        <w:pStyle w:val="Heading2"/>
      </w:pPr>
      <w:r>
        <w:t>Single-family Issuer Requirement</w:t>
      </w:r>
    </w:p>
    <w:tbl>
      <w:tblPr>
        <w:tblStyle w:val="TableGrid"/>
        <w:tblW w:w="0" w:type="auto"/>
        <w:tblLayout w:type="fixed"/>
        <w:tblLook w:val="04A0"/>
      </w:tblPr>
      <w:tblGrid>
        <w:gridCol w:w="4135"/>
        <w:gridCol w:w="2430"/>
        <w:gridCol w:w="1260"/>
        <w:gridCol w:w="2965"/>
      </w:tblGrid>
      <w:tr w14:paraId="0AF30CF3" w14:textId="77777777" w:rsidTr="00D90DD7">
        <w:tblPrEx>
          <w:tblW w:w="0" w:type="auto"/>
          <w:tblLayout w:type="fixed"/>
          <w:tblLook w:val="04A0"/>
        </w:tblPrEx>
        <w:tc>
          <w:tcPr>
            <w:tcW w:w="4135" w:type="dxa"/>
            <w:vAlign w:val="center"/>
          </w:tcPr>
          <w:p w:rsidR="003A45E8" w:rsidRPr="00591303" w:rsidP="00D90DD7" w14:paraId="3EF858C5" w14:textId="54D33AA1">
            <w:pPr>
              <w:jc w:val="center"/>
              <w:rPr>
                <w:b/>
                <w:bCs/>
                <w:sz w:val="20"/>
                <w:szCs w:val="20"/>
              </w:rPr>
            </w:pPr>
            <w:r w:rsidRPr="00591303">
              <w:rPr>
                <w:b/>
                <w:bCs/>
                <w:sz w:val="20"/>
                <w:szCs w:val="20"/>
              </w:rPr>
              <w:t>Category</w:t>
            </w:r>
          </w:p>
        </w:tc>
        <w:tc>
          <w:tcPr>
            <w:tcW w:w="2430" w:type="dxa"/>
            <w:vAlign w:val="center"/>
          </w:tcPr>
          <w:p w:rsidR="003A45E8" w:rsidRPr="00591303" w:rsidP="00D90DD7" w14:paraId="58724A38" w14:textId="4A79DB44">
            <w:pPr>
              <w:jc w:val="center"/>
              <w:rPr>
                <w:b/>
                <w:bCs/>
                <w:sz w:val="20"/>
                <w:szCs w:val="20"/>
              </w:rPr>
            </w:pPr>
            <w:r w:rsidRPr="00591303">
              <w:rPr>
                <w:b/>
                <w:bCs/>
                <w:sz w:val="20"/>
                <w:szCs w:val="20"/>
              </w:rPr>
              <w:t>Amount</w:t>
            </w:r>
          </w:p>
        </w:tc>
        <w:tc>
          <w:tcPr>
            <w:tcW w:w="1260" w:type="dxa"/>
            <w:vAlign w:val="center"/>
          </w:tcPr>
          <w:p w:rsidR="003A45E8" w:rsidRPr="00591303" w:rsidP="00D90DD7" w14:paraId="33961937" w14:textId="77777777">
            <w:pPr>
              <w:jc w:val="center"/>
              <w:rPr>
                <w:b/>
                <w:bCs/>
                <w:sz w:val="20"/>
                <w:szCs w:val="20"/>
              </w:rPr>
            </w:pPr>
            <w:r w:rsidRPr="00591303">
              <w:rPr>
                <w:b/>
                <w:bCs/>
                <w:sz w:val="20"/>
                <w:szCs w:val="20"/>
              </w:rPr>
              <w:t>Required Percentage</w:t>
            </w:r>
          </w:p>
        </w:tc>
        <w:tc>
          <w:tcPr>
            <w:tcW w:w="2965" w:type="dxa"/>
            <w:vAlign w:val="center"/>
          </w:tcPr>
          <w:p w:rsidR="003A45E8" w:rsidRPr="00591303" w:rsidP="00D90DD7" w14:paraId="205228C7" w14:textId="77777777">
            <w:pPr>
              <w:jc w:val="center"/>
              <w:rPr>
                <w:b/>
                <w:bCs/>
                <w:sz w:val="20"/>
                <w:szCs w:val="20"/>
              </w:rPr>
            </w:pPr>
            <w:r w:rsidRPr="00591303">
              <w:rPr>
                <w:b/>
                <w:bCs/>
                <w:sz w:val="20"/>
                <w:szCs w:val="20"/>
              </w:rPr>
              <w:t>Required Amount</w:t>
            </w:r>
          </w:p>
        </w:tc>
      </w:tr>
      <w:tr w14:paraId="42FD806A" w14:textId="77777777" w:rsidTr="003A45E8">
        <w:tblPrEx>
          <w:tblW w:w="0" w:type="auto"/>
          <w:tblLayout w:type="fixed"/>
          <w:tblLook w:val="04A0"/>
        </w:tblPrEx>
        <w:tc>
          <w:tcPr>
            <w:tcW w:w="4135" w:type="dxa"/>
          </w:tcPr>
          <w:p w:rsidR="003A45E8" w:rsidRPr="00591303" w:rsidP="009A7201" w14:paraId="294471AA" w14:textId="77777777">
            <w:pPr>
              <w:rPr>
                <w:sz w:val="20"/>
                <w:szCs w:val="20"/>
              </w:rPr>
            </w:pPr>
            <w:r w:rsidRPr="00591303">
              <w:rPr>
                <w:sz w:val="20"/>
                <w:szCs w:val="20"/>
              </w:rPr>
              <w:t>Base Requirement</w:t>
            </w:r>
          </w:p>
        </w:tc>
        <w:tc>
          <w:tcPr>
            <w:tcW w:w="2430" w:type="dxa"/>
            <w:shd w:val="clear" w:color="auto" w:fill="D9D9D9" w:themeFill="background1" w:themeFillShade="D9"/>
            <w:vAlign w:val="center"/>
          </w:tcPr>
          <w:p w:rsidR="003A45E8" w:rsidRPr="00591303" w:rsidP="003A45E8" w14:paraId="41C940C1" w14:textId="77777777">
            <w:pPr>
              <w:jc w:val="right"/>
              <w:rPr>
                <w:sz w:val="20"/>
                <w:szCs w:val="20"/>
                <w:highlight w:val="lightGray"/>
              </w:rPr>
            </w:pPr>
          </w:p>
        </w:tc>
        <w:tc>
          <w:tcPr>
            <w:tcW w:w="1260" w:type="dxa"/>
            <w:shd w:val="clear" w:color="auto" w:fill="D9D9D9" w:themeFill="background1" w:themeFillShade="D9"/>
            <w:vAlign w:val="center"/>
          </w:tcPr>
          <w:p w:rsidR="003A45E8" w:rsidRPr="00591303" w:rsidP="003A45E8" w14:paraId="60C5F637" w14:textId="77777777">
            <w:pPr>
              <w:jc w:val="center"/>
              <w:rPr>
                <w:sz w:val="20"/>
                <w:szCs w:val="20"/>
                <w:highlight w:val="lightGray"/>
              </w:rPr>
            </w:pPr>
          </w:p>
        </w:tc>
        <w:tc>
          <w:tcPr>
            <w:tcW w:w="2965" w:type="dxa"/>
            <w:vAlign w:val="center"/>
          </w:tcPr>
          <w:p w:rsidR="003A45E8" w:rsidRPr="00591303" w:rsidP="003A45E8" w14:paraId="25838E79" w14:textId="77777777">
            <w:pPr>
              <w:jc w:val="right"/>
              <w:rPr>
                <w:sz w:val="20"/>
                <w:szCs w:val="20"/>
              </w:rPr>
            </w:pPr>
            <w:r w:rsidRPr="00591303">
              <w:rPr>
                <w:sz w:val="20"/>
                <w:szCs w:val="20"/>
              </w:rPr>
              <w:t>$2,500,000</w:t>
            </w:r>
          </w:p>
        </w:tc>
      </w:tr>
      <w:tr w14:paraId="61291CA5" w14:textId="77777777" w:rsidTr="00B83F02">
        <w:tblPrEx>
          <w:tblW w:w="0" w:type="auto"/>
          <w:tblLayout w:type="fixed"/>
          <w:tblLook w:val="04A0"/>
        </w:tblPrEx>
        <w:tc>
          <w:tcPr>
            <w:tcW w:w="4135" w:type="dxa"/>
          </w:tcPr>
          <w:p w:rsidR="003A45E8" w:rsidRPr="00591303" w:rsidP="009A7201" w14:paraId="12342ECA" w14:textId="77777777">
            <w:pPr>
              <w:rPr>
                <w:sz w:val="20"/>
                <w:szCs w:val="20"/>
              </w:rPr>
            </w:pPr>
            <w:r w:rsidRPr="00591303">
              <w:rPr>
                <w:sz w:val="20"/>
                <w:szCs w:val="20"/>
              </w:rPr>
              <w:t>Total effective Ginnie Mae single-family outstanding obligations</w:t>
            </w:r>
            <w:r>
              <w:rPr>
                <w:rStyle w:val="FootnoteReference"/>
                <w:sz w:val="20"/>
                <w:szCs w:val="20"/>
              </w:rPr>
              <w:footnoteReference w:id="7"/>
            </w:r>
          </w:p>
        </w:tc>
        <w:tc>
          <w:tcPr>
            <w:tcW w:w="2430" w:type="dxa"/>
            <w:shd w:val="clear" w:color="auto" w:fill="B4C6E7" w:themeFill="accent1" w:themeFillTint="66"/>
            <w:vAlign w:val="center"/>
          </w:tcPr>
          <w:p w:rsidR="003A45E8" w:rsidRPr="00591303" w:rsidP="00B83F02" w14:paraId="76F3AB69" w14:textId="77777777">
            <w:pPr>
              <w:jc w:val="right"/>
              <w:rPr>
                <w:sz w:val="20"/>
                <w:szCs w:val="20"/>
              </w:rPr>
            </w:pPr>
            <w:r w:rsidRPr="00591303">
              <w:rPr>
                <w:sz w:val="20"/>
                <w:szCs w:val="20"/>
              </w:rPr>
              <w:t>$</w:t>
            </w:r>
          </w:p>
        </w:tc>
        <w:tc>
          <w:tcPr>
            <w:tcW w:w="1260" w:type="dxa"/>
            <w:vAlign w:val="center"/>
          </w:tcPr>
          <w:p w:rsidR="003A45E8" w:rsidRPr="00591303" w:rsidP="003A45E8" w14:paraId="7D03C58A" w14:textId="77777777">
            <w:pPr>
              <w:jc w:val="center"/>
              <w:rPr>
                <w:sz w:val="20"/>
                <w:szCs w:val="20"/>
              </w:rPr>
            </w:pPr>
            <w:r w:rsidRPr="00591303">
              <w:rPr>
                <w:sz w:val="20"/>
                <w:szCs w:val="20"/>
              </w:rPr>
              <w:t>0.35%</w:t>
            </w:r>
          </w:p>
        </w:tc>
        <w:tc>
          <w:tcPr>
            <w:tcW w:w="2965" w:type="dxa"/>
            <w:shd w:val="clear" w:color="auto" w:fill="B4C6E7" w:themeFill="accent1" w:themeFillTint="66"/>
            <w:vAlign w:val="center"/>
          </w:tcPr>
          <w:p w:rsidR="003A45E8" w:rsidRPr="00591303" w:rsidP="00B83F02" w14:paraId="14BE3CA4" w14:textId="77777777">
            <w:pPr>
              <w:jc w:val="right"/>
              <w:rPr>
                <w:sz w:val="20"/>
                <w:szCs w:val="20"/>
              </w:rPr>
            </w:pPr>
            <w:r w:rsidRPr="00591303">
              <w:rPr>
                <w:sz w:val="20"/>
                <w:szCs w:val="20"/>
              </w:rPr>
              <w:t>$</w:t>
            </w:r>
          </w:p>
        </w:tc>
      </w:tr>
      <w:tr w14:paraId="30BF912D" w14:textId="77777777" w:rsidTr="00B83F02">
        <w:tblPrEx>
          <w:tblW w:w="0" w:type="auto"/>
          <w:tblLayout w:type="fixed"/>
          <w:tblLook w:val="04A0"/>
        </w:tblPrEx>
        <w:tc>
          <w:tcPr>
            <w:tcW w:w="4135" w:type="dxa"/>
          </w:tcPr>
          <w:p w:rsidR="003A45E8" w:rsidRPr="00591303" w:rsidP="009A7201" w14:paraId="013CC135" w14:textId="77777777">
            <w:pPr>
              <w:rPr>
                <w:sz w:val="20"/>
                <w:szCs w:val="20"/>
              </w:rPr>
            </w:pPr>
            <w:r w:rsidRPr="00591303">
              <w:rPr>
                <w:sz w:val="20"/>
                <w:szCs w:val="20"/>
              </w:rPr>
              <w:t>Total Government Sponsored Enterprise single-family outstanding servicing portfolio</w:t>
            </w:r>
          </w:p>
        </w:tc>
        <w:tc>
          <w:tcPr>
            <w:tcW w:w="2430" w:type="dxa"/>
            <w:shd w:val="clear" w:color="auto" w:fill="B4C6E7" w:themeFill="accent1" w:themeFillTint="66"/>
            <w:vAlign w:val="center"/>
          </w:tcPr>
          <w:p w:rsidR="003A45E8" w:rsidRPr="00591303" w:rsidP="00B83F02" w14:paraId="12CCCAE0" w14:textId="77777777">
            <w:pPr>
              <w:jc w:val="right"/>
              <w:rPr>
                <w:sz w:val="20"/>
                <w:szCs w:val="20"/>
              </w:rPr>
            </w:pPr>
            <w:r w:rsidRPr="00591303">
              <w:rPr>
                <w:sz w:val="20"/>
                <w:szCs w:val="20"/>
              </w:rPr>
              <w:t>$</w:t>
            </w:r>
          </w:p>
        </w:tc>
        <w:tc>
          <w:tcPr>
            <w:tcW w:w="1260" w:type="dxa"/>
            <w:vAlign w:val="center"/>
          </w:tcPr>
          <w:p w:rsidR="003A45E8" w:rsidRPr="00591303" w:rsidP="003A45E8" w14:paraId="558FA4D4" w14:textId="77777777">
            <w:pPr>
              <w:jc w:val="center"/>
              <w:rPr>
                <w:sz w:val="20"/>
                <w:szCs w:val="20"/>
              </w:rPr>
            </w:pPr>
            <w:r w:rsidRPr="00591303">
              <w:rPr>
                <w:sz w:val="20"/>
                <w:szCs w:val="20"/>
              </w:rPr>
              <w:t>0.25%</w:t>
            </w:r>
          </w:p>
        </w:tc>
        <w:tc>
          <w:tcPr>
            <w:tcW w:w="2965" w:type="dxa"/>
            <w:shd w:val="clear" w:color="auto" w:fill="B4C6E7" w:themeFill="accent1" w:themeFillTint="66"/>
            <w:vAlign w:val="center"/>
          </w:tcPr>
          <w:p w:rsidR="003A45E8" w:rsidRPr="00591303" w:rsidP="00B83F02" w14:paraId="02B339DD" w14:textId="77777777">
            <w:pPr>
              <w:jc w:val="right"/>
              <w:rPr>
                <w:sz w:val="20"/>
                <w:szCs w:val="20"/>
              </w:rPr>
            </w:pPr>
            <w:r w:rsidRPr="00591303">
              <w:rPr>
                <w:sz w:val="20"/>
                <w:szCs w:val="20"/>
              </w:rPr>
              <w:t>$</w:t>
            </w:r>
          </w:p>
        </w:tc>
      </w:tr>
      <w:tr w14:paraId="05376DDB" w14:textId="77777777" w:rsidTr="00B83F02">
        <w:tblPrEx>
          <w:tblW w:w="0" w:type="auto"/>
          <w:tblLayout w:type="fixed"/>
          <w:tblLook w:val="04A0"/>
        </w:tblPrEx>
        <w:tc>
          <w:tcPr>
            <w:tcW w:w="4135" w:type="dxa"/>
          </w:tcPr>
          <w:p w:rsidR="003A45E8" w:rsidRPr="00591303" w:rsidP="009A7201" w14:paraId="4031468A" w14:textId="77777777">
            <w:pPr>
              <w:rPr>
                <w:sz w:val="20"/>
                <w:szCs w:val="20"/>
              </w:rPr>
            </w:pPr>
            <w:r w:rsidRPr="00591303">
              <w:rPr>
                <w:sz w:val="20"/>
                <w:szCs w:val="20"/>
              </w:rPr>
              <w:t>Total non-agency single-family outstanding servicing portfolio</w:t>
            </w:r>
          </w:p>
        </w:tc>
        <w:tc>
          <w:tcPr>
            <w:tcW w:w="2430" w:type="dxa"/>
            <w:shd w:val="clear" w:color="auto" w:fill="B4C6E7" w:themeFill="accent1" w:themeFillTint="66"/>
            <w:vAlign w:val="center"/>
          </w:tcPr>
          <w:p w:rsidR="003A45E8" w:rsidRPr="00591303" w:rsidP="00B83F02" w14:paraId="3D6BE8C9" w14:textId="77777777">
            <w:pPr>
              <w:jc w:val="right"/>
              <w:rPr>
                <w:sz w:val="20"/>
                <w:szCs w:val="20"/>
              </w:rPr>
            </w:pPr>
            <w:r w:rsidRPr="00591303">
              <w:rPr>
                <w:sz w:val="20"/>
                <w:szCs w:val="20"/>
              </w:rPr>
              <w:t>$</w:t>
            </w:r>
          </w:p>
        </w:tc>
        <w:tc>
          <w:tcPr>
            <w:tcW w:w="1260" w:type="dxa"/>
            <w:vAlign w:val="center"/>
          </w:tcPr>
          <w:p w:rsidR="003A45E8" w:rsidRPr="00591303" w:rsidP="003A45E8" w14:paraId="6FCE39E3" w14:textId="77777777">
            <w:pPr>
              <w:jc w:val="center"/>
              <w:rPr>
                <w:sz w:val="20"/>
                <w:szCs w:val="20"/>
              </w:rPr>
            </w:pPr>
            <w:r w:rsidRPr="00591303">
              <w:rPr>
                <w:sz w:val="20"/>
                <w:szCs w:val="20"/>
              </w:rPr>
              <w:t>0.25%</w:t>
            </w:r>
          </w:p>
        </w:tc>
        <w:tc>
          <w:tcPr>
            <w:tcW w:w="2965" w:type="dxa"/>
            <w:shd w:val="clear" w:color="auto" w:fill="B4C6E7" w:themeFill="accent1" w:themeFillTint="66"/>
            <w:vAlign w:val="center"/>
          </w:tcPr>
          <w:p w:rsidR="003A45E8" w:rsidRPr="00591303" w:rsidP="00B83F02" w14:paraId="558FB59F" w14:textId="77777777">
            <w:pPr>
              <w:jc w:val="right"/>
              <w:rPr>
                <w:sz w:val="20"/>
                <w:szCs w:val="20"/>
              </w:rPr>
            </w:pPr>
            <w:r w:rsidRPr="00591303">
              <w:rPr>
                <w:sz w:val="20"/>
                <w:szCs w:val="20"/>
              </w:rPr>
              <w:t>$</w:t>
            </w:r>
          </w:p>
        </w:tc>
      </w:tr>
      <w:tr w14:paraId="5993D496" w14:textId="77777777" w:rsidTr="00B83F02">
        <w:tblPrEx>
          <w:tblW w:w="0" w:type="auto"/>
          <w:tblLayout w:type="fixed"/>
          <w:tblLook w:val="04A0"/>
        </w:tblPrEx>
        <w:tc>
          <w:tcPr>
            <w:tcW w:w="4135" w:type="dxa"/>
          </w:tcPr>
          <w:p w:rsidR="003A45E8" w:rsidRPr="00591303" w:rsidP="009A7201" w14:paraId="3A7E1CE9" w14:textId="77777777">
            <w:pPr>
              <w:rPr>
                <w:b/>
                <w:bCs/>
                <w:sz w:val="20"/>
                <w:szCs w:val="20"/>
              </w:rPr>
            </w:pPr>
            <w:r w:rsidRPr="00591303">
              <w:rPr>
                <w:b/>
                <w:bCs/>
                <w:sz w:val="20"/>
                <w:szCs w:val="20"/>
              </w:rPr>
              <w:t>Required Net Worth</w:t>
            </w:r>
            <w:r w:rsidRPr="00591303">
              <w:rPr>
                <w:b/>
                <w:bCs/>
                <w:sz w:val="20"/>
                <w:szCs w:val="20"/>
              </w:rPr>
              <w:t xml:space="preserve"> (Single-family)</w:t>
            </w:r>
          </w:p>
        </w:tc>
        <w:tc>
          <w:tcPr>
            <w:tcW w:w="2430" w:type="dxa"/>
            <w:shd w:val="clear" w:color="auto" w:fill="D9D9D9" w:themeFill="background1" w:themeFillShade="D9"/>
            <w:vAlign w:val="center"/>
          </w:tcPr>
          <w:p w:rsidR="003A45E8" w:rsidRPr="00591303" w:rsidP="003A45E8" w14:paraId="1327F2E2" w14:textId="77777777">
            <w:pPr>
              <w:jc w:val="right"/>
              <w:rPr>
                <w:b/>
                <w:bCs/>
                <w:sz w:val="20"/>
                <w:szCs w:val="20"/>
              </w:rPr>
            </w:pPr>
          </w:p>
        </w:tc>
        <w:tc>
          <w:tcPr>
            <w:tcW w:w="1260" w:type="dxa"/>
            <w:shd w:val="clear" w:color="auto" w:fill="D9D9D9" w:themeFill="background1" w:themeFillShade="D9"/>
            <w:vAlign w:val="center"/>
          </w:tcPr>
          <w:p w:rsidR="003A45E8" w:rsidRPr="00591303" w:rsidP="003A45E8" w14:paraId="7E9D9294" w14:textId="77777777">
            <w:pPr>
              <w:jc w:val="center"/>
              <w:rPr>
                <w:b/>
                <w:bCs/>
                <w:sz w:val="20"/>
                <w:szCs w:val="20"/>
              </w:rPr>
            </w:pPr>
          </w:p>
        </w:tc>
        <w:tc>
          <w:tcPr>
            <w:tcW w:w="2965" w:type="dxa"/>
            <w:shd w:val="clear" w:color="auto" w:fill="B4C6E7" w:themeFill="accent1" w:themeFillTint="66"/>
            <w:vAlign w:val="center"/>
          </w:tcPr>
          <w:p w:rsidR="003A45E8" w:rsidRPr="00591303" w:rsidP="00B83F02" w14:paraId="7E0D26BB" w14:textId="77777777">
            <w:pPr>
              <w:jc w:val="right"/>
              <w:rPr>
                <w:b/>
                <w:bCs/>
                <w:sz w:val="20"/>
                <w:szCs w:val="20"/>
              </w:rPr>
            </w:pPr>
            <w:r w:rsidRPr="00591303">
              <w:rPr>
                <w:b/>
                <w:bCs/>
                <w:sz w:val="20"/>
                <w:szCs w:val="20"/>
              </w:rPr>
              <w:t>$</w:t>
            </w:r>
          </w:p>
        </w:tc>
      </w:tr>
    </w:tbl>
    <w:p w:rsidR="003A45E8" w:rsidRPr="009B2745" w:rsidP="009A7201" w14:paraId="174F53B0" w14:textId="77777777">
      <w:pPr>
        <w:rPr>
          <w:sz w:val="16"/>
          <w:szCs w:val="16"/>
        </w:rPr>
      </w:pPr>
    </w:p>
    <w:p w:rsidR="001374BA" w:rsidP="001374BA" w14:paraId="594A4E91" w14:textId="6ABDF74C">
      <w:pPr>
        <w:pStyle w:val="Heading2"/>
      </w:pPr>
      <w:r>
        <w:t>Multifamily Issuer Requirement</w:t>
      </w:r>
    </w:p>
    <w:tbl>
      <w:tblPr>
        <w:tblStyle w:val="TableGrid"/>
        <w:tblW w:w="0" w:type="auto"/>
        <w:tblLayout w:type="fixed"/>
        <w:tblLook w:val="04A0"/>
      </w:tblPr>
      <w:tblGrid>
        <w:gridCol w:w="4135"/>
        <w:gridCol w:w="2430"/>
        <w:gridCol w:w="1260"/>
        <w:gridCol w:w="2965"/>
      </w:tblGrid>
      <w:tr w14:paraId="26D17637" w14:textId="77777777" w:rsidTr="00B83F02">
        <w:tblPrEx>
          <w:tblW w:w="0" w:type="auto"/>
          <w:tblLayout w:type="fixed"/>
          <w:tblLook w:val="04A0"/>
        </w:tblPrEx>
        <w:tc>
          <w:tcPr>
            <w:tcW w:w="7825" w:type="dxa"/>
            <w:gridSpan w:val="3"/>
            <w:vAlign w:val="center"/>
          </w:tcPr>
          <w:p w:rsidR="00DA40B1" w:rsidRPr="00591303" w:rsidP="00DA40B1" w14:paraId="12B50365" w14:textId="14C4FDFF">
            <w:pPr>
              <w:rPr>
                <w:b/>
                <w:bCs/>
                <w:sz w:val="20"/>
                <w:szCs w:val="20"/>
              </w:rPr>
            </w:pPr>
            <w:r w:rsidRPr="00591303">
              <w:rPr>
                <w:b/>
                <w:bCs/>
                <w:sz w:val="20"/>
                <w:szCs w:val="20"/>
              </w:rPr>
              <w:t xml:space="preserve">Total effective </w:t>
            </w:r>
            <w:r w:rsidR="00B21525">
              <w:rPr>
                <w:b/>
                <w:bCs/>
                <w:sz w:val="20"/>
                <w:szCs w:val="20"/>
              </w:rPr>
              <w:t>M</w:t>
            </w:r>
            <w:r w:rsidRPr="00591303">
              <w:rPr>
                <w:b/>
                <w:bCs/>
                <w:sz w:val="20"/>
                <w:szCs w:val="20"/>
              </w:rPr>
              <w:t>ulti</w:t>
            </w:r>
            <w:r w:rsidR="002802A7">
              <w:rPr>
                <w:b/>
                <w:bCs/>
                <w:sz w:val="20"/>
                <w:szCs w:val="20"/>
              </w:rPr>
              <w:t>f</w:t>
            </w:r>
            <w:r w:rsidRPr="00591303">
              <w:rPr>
                <w:b/>
                <w:bCs/>
                <w:sz w:val="20"/>
                <w:szCs w:val="20"/>
              </w:rPr>
              <w:t>amily outstanding obligation (</w:t>
            </w:r>
            <w:r w:rsidRPr="00591303">
              <w:rPr>
                <w:b/>
                <w:bCs/>
                <w:sz w:val="20"/>
                <w:szCs w:val="20"/>
              </w:rPr>
              <w:t>MfOO</w:t>
            </w:r>
            <w:r w:rsidRPr="00591303">
              <w:rPr>
                <w:b/>
                <w:bCs/>
                <w:sz w:val="20"/>
                <w:szCs w:val="20"/>
              </w:rPr>
              <w:t>)</w:t>
            </w:r>
            <w:r>
              <w:rPr>
                <w:rStyle w:val="FootnoteReference"/>
                <w:b/>
                <w:bCs/>
                <w:sz w:val="20"/>
                <w:szCs w:val="20"/>
              </w:rPr>
              <w:footnoteReference w:id="8"/>
            </w:r>
          </w:p>
        </w:tc>
        <w:tc>
          <w:tcPr>
            <w:tcW w:w="2965" w:type="dxa"/>
            <w:shd w:val="clear" w:color="auto" w:fill="B4C6E7" w:themeFill="accent1" w:themeFillTint="66"/>
            <w:vAlign w:val="center"/>
          </w:tcPr>
          <w:p w:rsidR="00DA40B1" w:rsidRPr="00591303" w:rsidP="00B83F02" w14:paraId="454FF0B0" w14:textId="77777777">
            <w:pPr>
              <w:jc w:val="right"/>
              <w:rPr>
                <w:b/>
                <w:bCs/>
                <w:sz w:val="20"/>
                <w:szCs w:val="20"/>
              </w:rPr>
            </w:pPr>
            <w:r w:rsidRPr="00591303">
              <w:rPr>
                <w:b/>
                <w:bCs/>
                <w:sz w:val="20"/>
                <w:szCs w:val="20"/>
              </w:rPr>
              <w:t>$</w:t>
            </w:r>
          </w:p>
        </w:tc>
      </w:tr>
      <w:tr w14:paraId="757A68B4" w14:textId="77777777" w:rsidTr="00694F88">
        <w:tblPrEx>
          <w:tblW w:w="0" w:type="auto"/>
          <w:tblLayout w:type="fixed"/>
          <w:tblLook w:val="04A0"/>
        </w:tblPrEx>
        <w:tc>
          <w:tcPr>
            <w:tcW w:w="4135" w:type="dxa"/>
            <w:vAlign w:val="center"/>
          </w:tcPr>
          <w:p w:rsidR="00DA40B1" w:rsidRPr="00591303" w:rsidP="00694F88" w14:paraId="4CB0F37F" w14:textId="77777777">
            <w:pPr>
              <w:jc w:val="center"/>
              <w:rPr>
                <w:b/>
                <w:bCs/>
                <w:sz w:val="20"/>
                <w:szCs w:val="20"/>
              </w:rPr>
            </w:pPr>
          </w:p>
        </w:tc>
        <w:tc>
          <w:tcPr>
            <w:tcW w:w="2430" w:type="dxa"/>
            <w:vAlign w:val="center"/>
          </w:tcPr>
          <w:p w:rsidR="00DA40B1" w:rsidRPr="00591303" w:rsidP="00694F88" w14:paraId="3B7A2EF8" w14:textId="77777777">
            <w:pPr>
              <w:jc w:val="center"/>
              <w:rPr>
                <w:b/>
                <w:bCs/>
                <w:sz w:val="20"/>
                <w:szCs w:val="20"/>
              </w:rPr>
            </w:pPr>
          </w:p>
        </w:tc>
        <w:tc>
          <w:tcPr>
            <w:tcW w:w="1260" w:type="dxa"/>
            <w:vAlign w:val="center"/>
          </w:tcPr>
          <w:p w:rsidR="00DA40B1" w:rsidRPr="00591303" w:rsidP="00694F88" w14:paraId="5968C625" w14:textId="77777777">
            <w:pPr>
              <w:jc w:val="center"/>
              <w:rPr>
                <w:b/>
                <w:bCs/>
                <w:sz w:val="20"/>
                <w:szCs w:val="20"/>
              </w:rPr>
            </w:pPr>
          </w:p>
        </w:tc>
        <w:tc>
          <w:tcPr>
            <w:tcW w:w="2965" w:type="dxa"/>
            <w:vAlign w:val="center"/>
          </w:tcPr>
          <w:p w:rsidR="00DA40B1" w:rsidRPr="00591303" w:rsidP="00694F88" w14:paraId="2386626B" w14:textId="77777777">
            <w:pPr>
              <w:jc w:val="center"/>
              <w:rPr>
                <w:b/>
                <w:bCs/>
                <w:sz w:val="20"/>
                <w:szCs w:val="20"/>
              </w:rPr>
            </w:pPr>
          </w:p>
        </w:tc>
      </w:tr>
      <w:tr w14:paraId="7BF60391" w14:textId="77777777" w:rsidTr="00694F88">
        <w:tblPrEx>
          <w:tblW w:w="0" w:type="auto"/>
          <w:tblLayout w:type="fixed"/>
          <w:tblLook w:val="04A0"/>
        </w:tblPrEx>
        <w:tc>
          <w:tcPr>
            <w:tcW w:w="4135" w:type="dxa"/>
            <w:vAlign w:val="center"/>
          </w:tcPr>
          <w:p w:rsidR="00DA40B1" w:rsidRPr="00591303" w:rsidP="00694F88" w14:paraId="740FA651" w14:textId="1FCE10E8">
            <w:pPr>
              <w:jc w:val="center"/>
              <w:rPr>
                <w:b/>
                <w:bCs/>
                <w:sz w:val="20"/>
                <w:szCs w:val="20"/>
              </w:rPr>
            </w:pPr>
            <w:r>
              <w:rPr>
                <w:b/>
                <w:bCs/>
                <w:sz w:val="20"/>
                <w:szCs w:val="20"/>
              </w:rPr>
              <w:t>C</w:t>
            </w:r>
            <w:r w:rsidRPr="00591303">
              <w:rPr>
                <w:b/>
                <w:bCs/>
                <w:sz w:val="20"/>
                <w:szCs w:val="20"/>
              </w:rPr>
              <w:t>ategory</w:t>
            </w:r>
          </w:p>
        </w:tc>
        <w:tc>
          <w:tcPr>
            <w:tcW w:w="2430" w:type="dxa"/>
            <w:vAlign w:val="center"/>
          </w:tcPr>
          <w:p w:rsidR="00DA40B1" w:rsidRPr="00591303" w:rsidP="00694F88" w14:paraId="176C650B" w14:textId="093BFBCA">
            <w:pPr>
              <w:jc w:val="center"/>
              <w:rPr>
                <w:b/>
                <w:bCs/>
                <w:sz w:val="20"/>
                <w:szCs w:val="20"/>
              </w:rPr>
            </w:pPr>
            <w:r w:rsidRPr="00591303">
              <w:rPr>
                <w:b/>
                <w:bCs/>
                <w:sz w:val="20"/>
                <w:szCs w:val="20"/>
              </w:rPr>
              <w:t>Amount</w:t>
            </w:r>
          </w:p>
        </w:tc>
        <w:tc>
          <w:tcPr>
            <w:tcW w:w="1260" w:type="dxa"/>
            <w:vAlign w:val="center"/>
          </w:tcPr>
          <w:p w:rsidR="00DA40B1" w:rsidRPr="00591303" w:rsidP="00694F88" w14:paraId="346D14F6" w14:textId="77777777">
            <w:pPr>
              <w:jc w:val="center"/>
              <w:rPr>
                <w:b/>
                <w:bCs/>
                <w:sz w:val="20"/>
                <w:szCs w:val="20"/>
              </w:rPr>
            </w:pPr>
            <w:r w:rsidRPr="00591303">
              <w:rPr>
                <w:b/>
                <w:bCs/>
                <w:sz w:val="20"/>
                <w:szCs w:val="20"/>
              </w:rPr>
              <w:t>Required Percentage</w:t>
            </w:r>
          </w:p>
        </w:tc>
        <w:tc>
          <w:tcPr>
            <w:tcW w:w="2965" w:type="dxa"/>
            <w:vAlign w:val="center"/>
          </w:tcPr>
          <w:p w:rsidR="00DA40B1" w:rsidRPr="00591303" w:rsidP="00694F88" w14:paraId="57CA0386" w14:textId="77777777">
            <w:pPr>
              <w:jc w:val="center"/>
              <w:rPr>
                <w:b/>
                <w:bCs/>
                <w:sz w:val="20"/>
                <w:szCs w:val="20"/>
              </w:rPr>
            </w:pPr>
            <w:r w:rsidRPr="00591303">
              <w:rPr>
                <w:b/>
                <w:bCs/>
                <w:sz w:val="20"/>
                <w:szCs w:val="20"/>
              </w:rPr>
              <w:t>Required Amount</w:t>
            </w:r>
          </w:p>
        </w:tc>
      </w:tr>
      <w:tr w14:paraId="772FF190" w14:textId="77777777" w:rsidTr="00694F88">
        <w:tblPrEx>
          <w:tblW w:w="0" w:type="auto"/>
          <w:tblLayout w:type="fixed"/>
          <w:tblLook w:val="04A0"/>
        </w:tblPrEx>
        <w:tc>
          <w:tcPr>
            <w:tcW w:w="4135" w:type="dxa"/>
          </w:tcPr>
          <w:p w:rsidR="00DA40B1" w:rsidRPr="00591303" w:rsidP="00694F88" w14:paraId="27F3D45A" w14:textId="77777777">
            <w:pPr>
              <w:rPr>
                <w:sz w:val="20"/>
                <w:szCs w:val="20"/>
              </w:rPr>
            </w:pPr>
            <w:r w:rsidRPr="00591303">
              <w:rPr>
                <w:sz w:val="20"/>
                <w:szCs w:val="20"/>
              </w:rPr>
              <w:t>Base Requirement</w:t>
            </w:r>
          </w:p>
        </w:tc>
        <w:tc>
          <w:tcPr>
            <w:tcW w:w="2430" w:type="dxa"/>
            <w:shd w:val="clear" w:color="auto" w:fill="D9D9D9" w:themeFill="background1" w:themeFillShade="D9"/>
            <w:vAlign w:val="center"/>
          </w:tcPr>
          <w:p w:rsidR="00DA40B1" w:rsidRPr="00591303" w:rsidP="00694F88" w14:paraId="50265224" w14:textId="77777777">
            <w:pPr>
              <w:jc w:val="right"/>
              <w:rPr>
                <w:sz w:val="20"/>
                <w:szCs w:val="20"/>
                <w:highlight w:val="lightGray"/>
              </w:rPr>
            </w:pPr>
          </w:p>
        </w:tc>
        <w:tc>
          <w:tcPr>
            <w:tcW w:w="1260" w:type="dxa"/>
            <w:shd w:val="clear" w:color="auto" w:fill="D9D9D9" w:themeFill="background1" w:themeFillShade="D9"/>
            <w:vAlign w:val="center"/>
          </w:tcPr>
          <w:p w:rsidR="00DA40B1" w:rsidRPr="00591303" w:rsidP="00694F88" w14:paraId="692A19EC" w14:textId="77777777">
            <w:pPr>
              <w:jc w:val="center"/>
              <w:rPr>
                <w:sz w:val="20"/>
                <w:szCs w:val="20"/>
                <w:highlight w:val="lightGray"/>
              </w:rPr>
            </w:pPr>
          </w:p>
        </w:tc>
        <w:tc>
          <w:tcPr>
            <w:tcW w:w="2965" w:type="dxa"/>
            <w:vAlign w:val="center"/>
          </w:tcPr>
          <w:p w:rsidR="00DA40B1" w:rsidRPr="00591303" w:rsidP="00694F88" w14:paraId="0F3173B0" w14:textId="77777777">
            <w:pPr>
              <w:jc w:val="right"/>
              <w:rPr>
                <w:sz w:val="20"/>
                <w:szCs w:val="20"/>
              </w:rPr>
            </w:pPr>
            <w:r w:rsidRPr="00591303">
              <w:rPr>
                <w:sz w:val="20"/>
                <w:szCs w:val="20"/>
              </w:rPr>
              <w:t>$1,000,000</w:t>
            </w:r>
          </w:p>
        </w:tc>
      </w:tr>
      <w:tr w14:paraId="1DD6136F" w14:textId="77777777" w:rsidTr="00B83F02">
        <w:tblPrEx>
          <w:tblW w:w="0" w:type="auto"/>
          <w:tblLayout w:type="fixed"/>
          <w:tblLook w:val="04A0"/>
        </w:tblPrEx>
        <w:tc>
          <w:tcPr>
            <w:tcW w:w="4135" w:type="dxa"/>
          </w:tcPr>
          <w:p w:rsidR="00DA40B1" w:rsidRPr="00591303" w:rsidP="00694F88" w14:paraId="05531E39" w14:textId="6C6B9F61">
            <w:pPr>
              <w:rPr>
                <w:sz w:val="20"/>
                <w:szCs w:val="20"/>
              </w:rPr>
            </w:pPr>
            <w:r w:rsidRPr="00591303">
              <w:rPr>
                <w:sz w:val="20"/>
                <w:szCs w:val="20"/>
              </w:rPr>
              <w:t>MfOO</w:t>
            </w:r>
            <w:r w:rsidRPr="00591303">
              <w:rPr>
                <w:sz w:val="20"/>
                <w:szCs w:val="20"/>
              </w:rPr>
              <w:t xml:space="preserve"> </w:t>
            </w:r>
            <w:r w:rsidRPr="00591303" w:rsidR="0085084E">
              <w:rPr>
                <w:sz w:val="20"/>
                <w:szCs w:val="20"/>
              </w:rPr>
              <w:t xml:space="preserve">greater than </w:t>
            </w:r>
            <w:r w:rsidRPr="00591303">
              <w:rPr>
                <w:sz w:val="20"/>
                <w:szCs w:val="20"/>
              </w:rPr>
              <w:t xml:space="preserve">$25M &amp; </w:t>
            </w:r>
            <w:r w:rsidRPr="00591303" w:rsidR="0085084E">
              <w:rPr>
                <w:sz w:val="20"/>
                <w:szCs w:val="20"/>
              </w:rPr>
              <w:t xml:space="preserve">less than or equal to </w:t>
            </w:r>
            <w:r w:rsidRPr="00591303">
              <w:rPr>
                <w:sz w:val="20"/>
                <w:szCs w:val="20"/>
              </w:rPr>
              <w:t>$175M</w:t>
            </w:r>
          </w:p>
        </w:tc>
        <w:tc>
          <w:tcPr>
            <w:tcW w:w="2430" w:type="dxa"/>
            <w:shd w:val="clear" w:color="auto" w:fill="B4C6E7" w:themeFill="accent1" w:themeFillTint="66"/>
            <w:vAlign w:val="center"/>
          </w:tcPr>
          <w:p w:rsidR="00DA40B1" w:rsidRPr="00591303" w:rsidP="00B83F02" w14:paraId="60BB1C63" w14:textId="77777777">
            <w:pPr>
              <w:jc w:val="right"/>
              <w:rPr>
                <w:sz w:val="20"/>
                <w:szCs w:val="20"/>
              </w:rPr>
            </w:pPr>
            <w:r w:rsidRPr="00591303">
              <w:rPr>
                <w:sz w:val="20"/>
                <w:szCs w:val="20"/>
              </w:rPr>
              <w:t>$</w:t>
            </w:r>
          </w:p>
        </w:tc>
        <w:tc>
          <w:tcPr>
            <w:tcW w:w="1260" w:type="dxa"/>
            <w:vAlign w:val="center"/>
          </w:tcPr>
          <w:p w:rsidR="00DA40B1" w:rsidRPr="00591303" w:rsidP="00694F88" w14:paraId="053CFE33" w14:textId="77777777">
            <w:pPr>
              <w:jc w:val="center"/>
              <w:rPr>
                <w:sz w:val="20"/>
                <w:szCs w:val="20"/>
              </w:rPr>
            </w:pPr>
            <w:r w:rsidRPr="00591303">
              <w:rPr>
                <w:sz w:val="20"/>
                <w:szCs w:val="20"/>
              </w:rPr>
              <w:t>1.00%</w:t>
            </w:r>
          </w:p>
        </w:tc>
        <w:tc>
          <w:tcPr>
            <w:tcW w:w="2965" w:type="dxa"/>
            <w:shd w:val="clear" w:color="auto" w:fill="B4C6E7" w:themeFill="accent1" w:themeFillTint="66"/>
            <w:vAlign w:val="center"/>
          </w:tcPr>
          <w:p w:rsidR="00DA40B1" w:rsidRPr="00591303" w:rsidP="00B83F02" w14:paraId="0FF0A427" w14:textId="77777777">
            <w:pPr>
              <w:jc w:val="right"/>
              <w:rPr>
                <w:sz w:val="20"/>
                <w:szCs w:val="20"/>
              </w:rPr>
            </w:pPr>
            <w:r w:rsidRPr="00591303">
              <w:rPr>
                <w:sz w:val="20"/>
                <w:szCs w:val="20"/>
              </w:rPr>
              <w:t>$</w:t>
            </w:r>
          </w:p>
        </w:tc>
      </w:tr>
      <w:tr w14:paraId="09E0B2F5" w14:textId="77777777" w:rsidTr="00B83F02">
        <w:tblPrEx>
          <w:tblW w:w="0" w:type="auto"/>
          <w:tblLayout w:type="fixed"/>
          <w:tblLook w:val="04A0"/>
        </w:tblPrEx>
        <w:tc>
          <w:tcPr>
            <w:tcW w:w="4135" w:type="dxa"/>
          </w:tcPr>
          <w:p w:rsidR="00DA40B1" w:rsidRPr="00591303" w:rsidP="00694F88" w14:paraId="38B443B2" w14:textId="77CE2CAB">
            <w:pPr>
              <w:rPr>
                <w:sz w:val="20"/>
                <w:szCs w:val="20"/>
              </w:rPr>
            </w:pPr>
            <w:r w:rsidRPr="00591303">
              <w:rPr>
                <w:sz w:val="20"/>
                <w:szCs w:val="20"/>
              </w:rPr>
              <w:t>MfOO</w:t>
            </w:r>
            <w:r w:rsidRPr="00591303">
              <w:rPr>
                <w:sz w:val="20"/>
                <w:szCs w:val="20"/>
              </w:rPr>
              <w:t xml:space="preserve"> </w:t>
            </w:r>
            <w:r w:rsidRPr="00591303" w:rsidR="0085084E">
              <w:rPr>
                <w:sz w:val="20"/>
                <w:szCs w:val="20"/>
              </w:rPr>
              <w:t xml:space="preserve">greater than </w:t>
            </w:r>
            <w:r w:rsidRPr="00591303">
              <w:rPr>
                <w:sz w:val="20"/>
                <w:szCs w:val="20"/>
              </w:rPr>
              <w:t>$175M</w:t>
            </w:r>
          </w:p>
        </w:tc>
        <w:tc>
          <w:tcPr>
            <w:tcW w:w="2430" w:type="dxa"/>
            <w:shd w:val="clear" w:color="auto" w:fill="B4C6E7" w:themeFill="accent1" w:themeFillTint="66"/>
            <w:vAlign w:val="center"/>
          </w:tcPr>
          <w:p w:rsidR="00DA40B1" w:rsidRPr="00591303" w:rsidP="00B83F02" w14:paraId="7695CA3E" w14:textId="77777777">
            <w:pPr>
              <w:jc w:val="right"/>
              <w:rPr>
                <w:sz w:val="20"/>
                <w:szCs w:val="20"/>
              </w:rPr>
            </w:pPr>
            <w:r w:rsidRPr="00591303">
              <w:rPr>
                <w:sz w:val="20"/>
                <w:szCs w:val="20"/>
              </w:rPr>
              <w:t>$</w:t>
            </w:r>
          </w:p>
        </w:tc>
        <w:tc>
          <w:tcPr>
            <w:tcW w:w="1260" w:type="dxa"/>
            <w:vAlign w:val="center"/>
          </w:tcPr>
          <w:p w:rsidR="00DA40B1" w:rsidRPr="00591303" w:rsidP="00694F88" w14:paraId="6B7CB0C5" w14:textId="77777777">
            <w:pPr>
              <w:jc w:val="center"/>
              <w:rPr>
                <w:sz w:val="20"/>
                <w:szCs w:val="20"/>
              </w:rPr>
            </w:pPr>
            <w:r w:rsidRPr="00591303">
              <w:rPr>
                <w:sz w:val="20"/>
                <w:szCs w:val="20"/>
              </w:rPr>
              <w:t>0.20%</w:t>
            </w:r>
          </w:p>
        </w:tc>
        <w:tc>
          <w:tcPr>
            <w:tcW w:w="2965" w:type="dxa"/>
            <w:shd w:val="clear" w:color="auto" w:fill="B4C6E7" w:themeFill="accent1" w:themeFillTint="66"/>
            <w:vAlign w:val="center"/>
          </w:tcPr>
          <w:p w:rsidR="00DA40B1" w:rsidRPr="00591303" w:rsidP="00B83F02" w14:paraId="29966656" w14:textId="77777777">
            <w:pPr>
              <w:jc w:val="right"/>
              <w:rPr>
                <w:sz w:val="20"/>
                <w:szCs w:val="20"/>
              </w:rPr>
            </w:pPr>
            <w:r w:rsidRPr="00591303">
              <w:rPr>
                <w:sz w:val="20"/>
                <w:szCs w:val="20"/>
              </w:rPr>
              <w:t>$</w:t>
            </w:r>
          </w:p>
        </w:tc>
      </w:tr>
      <w:tr w14:paraId="64413B92" w14:textId="77777777" w:rsidTr="00B83F02">
        <w:tblPrEx>
          <w:tblW w:w="0" w:type="auto"/>
          <w:tblLayout w:type="fixed"/>
          <w:tblLook w:val="04A0"/>
        </w:tblPrEx>
        <w:tc>
          <w:tcPr>
            <w:tcW w:w="4135" w:type="dxa"/>
          </w:tcPr>
          <w:p w:rsidR="00DA40B1" w:rsidRPr="00591303" w:rsidP="00694F88" w14:paraId="0C3E1FF2" w14:textId="6450DBE1">
            <w:pPr>
              <w:rPr>
                <w:b/>
                <w:bCs/>
                <w:sz w:val="20"/>
                <w:szCs w:val="20"/>
              </w:rPr>
            </w:pPr>
            <w:r w:rsidRPr="00591303">
              <w:rPr>
                <w:b/>
                <w:bCs/>
                <w:sz w:val="20"/>
                <w:szCs w:val="20"/>
              </w:rPr>
              <w:t>Required Net Worth</w:t>
            </w:r>
            <w:r w:rsidRPr="00591303">
              <w:rPr>
                <w:b/>
                <w:bCs/>
                <w:sz w:val="20"/>
                <w:szCs w:val="20"/>
              </w:rPr>
              <w:t xml:space="preserve"> (</w:t>
            </w:r>
            <w:r w:rsidR="00B21525">
              <w:rPr>
                <w:b/>
                <w:bCs/>
                <w:sz w:val="20"/>
                <w:szCs w:val="20"/>
              </w:rPr>
              <w:t>Multi</w:t>
            </w:r>
            <w:r w:rsidR="000E0DE5">
              <w:rPr>
                <w:b/>
                <w:bCs/>
                <w:sz w:val="20"/>
                <w:szCs w:val="20"/>
              </w:rPr>
              <w:t>f</w:t>
            </w:r>
            <w:r w:rsidR="00B21525">
              <w:rPr>
                <w:b/>
                <w:bCs/>
                <w:sz w:val="20"/>
                <w:szCs w:val="20"/>
              </w:rPr>
              <w:t>amily</w:t>
            </w:r>
            <w:r w:rsidRPr="00591303">
              <w:rPr>
                <w:b/>
                <w:bCs/>
                <w:sz w:val="20"/>
                <w:szCs w:val="20"/>
              </w:rPr>
              <w:t>)</w:t>
            </w:r>
          </w:p>
        </w:tc>
        <w:tc>
          <w:tcPr>
            <w:tcW w:w="2430" w:type="dxa"/>
            <w:shd w:val="clear" w:color="auto" w:fill="D9D9D9" w:themeFill="background1" w:themeFillShade="D9"/>
            <w:vAlign w:val="center"/>
          </w:tcPr>
          <w:p w:rsidR="00DA40B1" w:rsidRPr="00591303" w:rsidP="00694F88" w14:paraId="465C5092" w14:textId="5446BCD7">
            <w:pPr>
              <w:jc w:val="right"/>
              <w:rPr>
                <w:b/>
                <w:bCs/>
                <w:sz w:val="20"/>
                <w:szCs w:val="20"/>
              </w:rPr>
            </w:pPr>
          </w:p>
        </w:tc>
        <w:tc>
          <w:tcPr>
            <w:tcW w:w="1260" w:type="dxa"/>
            <w:shd w:val="clear" w:color="auto" w:fill="D9D9D9" w:themeFill="background1" w:themeFillShade="D9"/>
            <w:vAlign w:val="center"/>
          </w:tcPr>
          <w:p w:rsidR="00DA40B1" w:rsidRPr="00591303" w:rsidP="00694F88" w14:paraId="5E8BB9B8" w14:textId="77777777">
            <w:pPr>
              <w:jc w:val="center"/>
              <w:rPr>
                <w:b/>
                <w:bCs/>
                <w:sz w:val="20"/>
                <w:szCs w:val="20"/>
              </w:rPr>
            </w:pPr>
          </w:p>
        </w:tc>
        <w:tc>
          <w:tcPr>
            <w:tcW w:w="2965" w:type="dxa"/>
            <w:shd w:val="clear" w:color="auto" w:fill="B4C6E7" w:themeFill="accent1" w:themeFillTint="66"/>
            <w:vAlign w:val="center"/>
          </w:tcPr>
          <w:p w:rsidR="00DA40B1" w:rsidRPr="00591303" w:rsidP="00B83F02" w14:paraId="3160A907" w14:textId="77777777">
            <w:pPr>
              <w:jc w:val="right"/>
              <w:rPr>
                <w:b/>
                <w:bCs/>
                <w:sz w:val="20"/>
                <w:szCs w:val="20"/>
              </w:rPr>
            </w:pPr>
            <w:r w:rsidRPr="00591303">
              <w:rPr>
                <w:b/>
                <w:bCs/>
                <w:sz w:val="20"/>
                <w:szCs w:val="20"/>
              </w:rPr>
              <w:t>$</w:t>
            </w:r>
          </w:p>
        </w:tc>
      </w:tr>
    </w:tbl>
    <w:p w:rsidR="001374BA" w:rsidP="001374BA" w14:paraId="35973B90" w14:textId="77777777">
      <w:pPr>
        <w:rPr>
          <w:sz w:val="16"/>
          <w:szCs w:val="16"/>
        </w:rPr>
      </w:pPr>
    </w:p>
    <w:p w:rsidR="00FE321D" w:rsidP="001374BA" w14:paraId="706A0755" w14:textId="77777777">
      <w:pPr>
        <w:rPr>
          <w:sz w:val="16"/>
          <w:szCs w:val="16"/>
        </w:rPr>
      </w:pPr>
    </w:p>
    <w:p w:rsidR="00FE321D" w:rsidRPr="009B2745" w:rsidP="001374BA" w14:paraId="085545CB" w14:textId="77777777">
      <w:pPr>
        <w:rPr>
          <w:sz w:val="16"/>
          <w:szCs w:val="16"/>
        </w:rPr>
      </w:pPr>
    </w:p>
    <w:p w:rsidR="001374BA" w:rsidRPr="00FE321D" w:rsidP="001374BA" w14:paraId="05D4CFE5" w14:textId="77777777">
      <w:pPr>
        <w:pStyle w:val="Heading2"/>
        <w:rPr>
          <w:sz w:val="32"/>
          <w:szCs w:val="32"/>
        </w:rPr>
      </w:pPr>
      <w:r w:rsidRPr="00FE321D">
        <w:rPr>
          <w:sz w:val="32"/>
          <w:szCs w:val="32"/>
        </w:rPr>
        <w:t>HMBS Issuer Requirement</w:t>
      </w:r>
    </w:p>
    <w:tbl>
      <w:tblPr>
        <w:tblStyle w:val="TableGrid"/>
        <w:tblW w:w="0" w:type="auto"/>
        <w:tblLayout w:type="fixed"/>
        <w:tblLook w:val="04A0"/>
      </w:tblPr>
      <w:tblGrid>
        <w:gridCol w:w="4135"/>
        <w:gridCol w:w="2430"/>
        <w:gridCol w:w="1260"/>
        <w:gridCol w:w="2965"/>
      </w:tblGrid>
      <w:tr w14:paraId="137D917A" w14:textId="77777777" w:rsidTr="00B83F02">
        <w:tblPrEx>
          <w:tblW w:w="0" w:type="auto"/>
          <w:tblLayout w:type="fixed"/>
          <w:tblLook w:val="04A0"/>
        </w:tblPrEx>
        <w:tc>
          <w:tcPr>
            <w:tcW w:w="7825" w:type="dxa"/>
            <w:gridSpan w:val="3"/>
            <w:vAlign w:val="center"/>
          </w:tcPr>
          <w:p w:rsidR="00DA40B1" w:rsidRPr="00591303" w:rsidP="00694F88" w14:paraId="503829BB" w14:textId="03DA61C7">
            <w:pPr>
              <w:rPr>
                <w:b/>
                <w:bCs/>
                <w:sz w:val="20"/>
                <w:szCs w:val="20"/>
              </w:rPr>
            </w:pPr>
            <w:r w:rsidRPr="00591303">
              <w:rPr>
                <w:b/>
                <w:bCs/>
                <w:sz w:val="20"/>
                <w:szCs w:val="20"/>
              </w:rPr>
              <w:t>Total effective H</w:t>
            </w:r>
            <w:r w:rsidR="00CE12B5">
              <w:rPr>
                <w:b/>
                <w:bCs/>
                <w:sz w:val="20"/>
                <w:szCs w:val="20"/>
              </w:rPr>
              <w:t>MBS o</w:t>
            </w:r>
            <w:r w:rsidRPr="00591303">
              <w:rPr>
                <w:b/>
                <w:bCs/>
                <w:sz w:val="20"/>
                <w:szCs w:val="20"/>
              </w:rPr>
              <w:t>utstanding obligation (HOO)</w:t>
            </w:r>
            <w:r>
              <w:rPr>
                <w:rStyle w:val="FootnoteReference"/>
                <w:b/>
                <w:bCs/>
                <w:sz w:val="20"/>
                <w:szCs w:val="20"/>
              </w:rPr>
              <w:footnoteReference w:id="9"/>
            </w:r>
          </w:p>
        </w:tc>
        <w:tc>
          <w:tcPr>
            <w:tcW w:w="2965" w:type="dxa"/>
            <w:shd w:val="clear" w:color="auto" w:fill="B4C6E7" w:themeFill="accent1" w:themeFillTint="66"/>
            <w:vAlign w:val="center"/>
          </w:tcPr>
          <w:p w:rsidR="00DA40B1" w:rsidRPr="00591303" w:rsidP="00B83F02" w14:paraId="15A5C4DA" w14:textId="77777777">
            <w:pPr>
              <w:jc w:val="right"/>
              <w:rPr>
                <w:b/>
                <w:bCs/>
                <w:sz w:val="20"/>
                <w:szCs w:val="20"/>
              </w:rPr>
            </w:pPr>
            <w:r w:rsidRPr="00591303">
              <w:rPr>
                <w:b/>
                <w:bCs/>
                <w:sz w:val="20"/>
                <w:szCs w:val="20"/>
              </w:rPr>
              <w:t>$</w:t>
            </w:r>
          </w:p>
        </w:tc>
      </w:tr>
      <w:tr w14:paraId="76D6DFBC" w14:textId="77777777" w:rsidTr="00694F88">
        <w:tblPrEx>
          <w:tblW w:w="0" w:type="auto"/>
          <w:tblLayout w:type="fixed"/>
          <w:tblLook w:val="04A0"/>
        </w:tblPrEx>
        <w:tc>
          <w:tcPr>
            <w:tcW w:w="4135" w:type="dxa"/>
            <w:vAlign w:val="center"/>
          </w:tcPr>
          <w:p w:rsidR="00DA40B1" w:rsidRPr="00591303" w:rsidP="00694F88" w14:paraId="5342A439" w14:textId="77777777">
            <w:pPr>
              <w:jc w:val="center"/>
              <w:rPr>
                <w:b/>
                <w:bCs/>
                <w:sz w:val="20"/>
                <w:szCs w:val="20"/>
              </w:rPr>
            </w:pPr>
          </w:p>
        </w:tc>
        <w:tc>
          <w:tcPr>
            <w:tcW w:w="2430" w:type="dxa"/>
            <w:vAlign w:val="center"/>
          </w:tcPr>
          <w:p w:rsidR="00DA40B1" w:rsidRPr="00591303" w:rsidP="00694F88" w14:paraId="3EA313AC" w14:textId="77777777">
            <w:pPr>
              <w:jc w:val="center"/>
              <w:rPr>
                <w:b/>
                <w:bCs/>
                <w:sz w:val="20"/>
                <w:szCs w:val="20"/>
              </w:rPr>
            </w:pPr>
          </w:p>
        </w:tc>
        <w:tc>
          <w:tcPr>
            <w:tcW w:w="1260" w:type="dxa"/>
            <w:vAlign w:val="center"/>
          </w:tcPr>
          <w:p w:rsidR="00DA40B1" w:rsidRPr="00591303" w:rsidP="00694F88" w14:paraId="113675B8" w14:textId="77777777">
            <w:pPr>
              <w:jc w:val="center"/>
              <w:rPr>
                <w:b/>
                <w:bCs/>
                <w:sz w:val="20"/>
                <w:szCs w:val="20"/>
              </w:rPr>
            </w:pPr>
          </w:p>
        </w:tc>
        <w:tc>
          <w:tcPr>
            <w:tcW w:w="2965" w:type="dxa"/>
            <w:vAlign w:val="center"/>
          </w:tcPr>
          <w:p w:rsidR="00DA40B1" w:rsidRPr="00591303" w:rsidP="00694F88" w14:paraId="714ECB37" w14:textId="77777777">
            <w:pPr>
              <w:jc w:val="center"/>
              <w:rPr>
                <w:b/>
                <w:bCs/>
                <w:sz w:val="20"/>
                <w:szCs w:val="20"/>
              </w:rPr>
            </w:pPr>
          </w:p>
        </w:tc>
      </w:tr>
      <w:tr w14:paraId="34D6263A" w14:textId="77777777" w:rsidTr="00694F88">
        <w:tblPrEx>
          <w:tblW w:w="0" w:type="auto"/>
          <w:tblLayout w:type="fixed"/>
          <w:tblLook w:val="04A0"/>
        </w:tblPrEx>
        <w:tc>
          <w:tcPr>
            <w:tcW w:w="4135" w:type="dxa"/>
            <w:vAlign w:val="center"/>
          </w:tcPr>
          <w:p w:rsidR="00DA40B1" w:rsidRPr="00591303" w:rsidP="00694F88" w14:paraId="2C5218B9" w14:textId="1CC60B3E">
            <w:pPr>
              <w:jc w:val="center"/>
              <w:rPr>
                <w:b/>
                <w:bCs/>
                <w:sz w:val="20"/>
                <w:szCs w:val="20"/>
              </w:rPr>
            </w:pPr>
            <w:r>
              <w:rPr>
                <w:b/>
                <w:bCs/>
                <w:sz w:val="20"/>
                <w:szCs w:val="20"/>
              </w:rPr>
              <w:t>C</w:t>
            </w:r>
            <w:r w:rsidRPr="00591303">
              <w:rPr>
                <w:b/>
                <w:bCs/>
                <w:sz w:val="20"/>
                <w:szCs w:val="20"/>
              </w:rPr>
              <w:t>ategory</w:t>
            </w:r>
          </w:p>
        </w:tc>
        <w:tc>
          <w:tcPr>
            <w:tcW w:w="2430" w:type="dxa"/>
            <w:vAlign w:val="center"/>
          </w:tcPr>
          <w:p w:rsidR="00DA40B1" w:rsidRPr="00591303" w:rsidP="00694F88" w14:paraId="648B3A8F" w14:textId="50FED867">
            <w:pPr>
              <w:jc w:val="center"/>
              <w:rPr>
                <w:b/>
                <w:bCs/>
                <w:sz w:val="20"/>
                <w:szCs w:val="20"/>
              </w:rPr>
            </w:pPr>
            <w:r w:rsidRPr="00591303">
              <w:rPr>
                <w:b/>
                <w:bCs/>
                <w:sz w:val="20"/>
                <w:szCs w:val="20"/>
              </w:rPr>
              <w:t>Amount</w:t>
            </w:r>
          </w:p>
        </w:tc>
        <w:tc>
          <w:tcPr>
            <w:tcW w:w="1260" w:type="dxa"/>
            <w:vAlign w:val="center"/>
          </w:tcPr>
          <w:p w:rsidR="00DA40B1" w:rsidRPr="00591303" w:rsidP="00694F88" w14:paraId="4C52797C" w14:textId="77777777">
            <w:pPr>
              <w:jc w:val="center"/>
              <w:rPr>
                <w:b/>
                <w:bCs/>
                <w:sz w:val="20"/>
                <w:szCs w:val="20"/>
              </w:rPr>
            </w:pPr>
            <w:r w:rsidRPr="00591303">
              <w:rPr>
                <w:b/>
                <w:bCs/>
                <w:sz w:val="20"/>
                <w:szCs w:val="20"/>
              </w:rPr>
              <w:t>Required Percentage</w:t>
            </w:r>
          </w:p>
        </w:tc>
        <w:tc>
          <w:tcPr>
            <w:tcW w:w="2965" w:type="dxa"/>
            <w:vAlign w:val="center"/>
          </w:tcPr>
          <w:p w:rsidR="00DA40B1" w:rsidRPr="00591303" w:rsidP="00694F88" w14:paraId="130B555A" w14:textId="77777777">
            <w:pPr>
              <w:jc w:val="center"/>
              <w:rPr>
                <w:b/>
                <w:bCs/>
                <w:sz w:val="20"/>
                <w:szCs w:val="20"/>
              </w:rPr>
            </w:pPr>
            <w:r w:rsidRPr="00591303">
              <w:rPr>
                <w:b/>
                <w:bCs/>
                <w:sz w:val="20"/>
                <w:szCs w:val="20"/>
              </w:rPr>
              <w:t>Required Amount</w:t>
            </w:r>
          </w:p>
        </w:tc>
      </w:tr>
      <w:tr w14:paraId="4C4D9B73" w14:textId="77777777" w:rsidTr="00694F88">
        <w:tblPrEx>
          <w:tblW w:w="0" w:type="auto"/>
          <w:tblLayout w:type="fixed"/>
          <w:tblLook w:val="04A0"/>
        </w:tblPrEx>
        <w:tc>
          <w:tcPr>
            <w:tcW w:w="4135" w:type="dxa"/>
          </w:tcPr>
          <w:p w:rsidR="00DA40B1" w:rsidRPr="00591303" w:rsidP="00694F88" w14:paraId="16855252" w14:textId="77777777">
            <w:pPr>
              <w:rPr>
                <w:sz w:val="20"/>
                <w:szCs w:val="20"/>
              </w:rPr>
            </w:pPr>
            <w:r w:rsidRPr="00591303">
              <w:rPr>
                <w:sz w:val="20"/>
                <w:szCs w:val="20"/>
              </w:rPr>
              <w:t>Base Requirement</w:t>
            </w:r>
          </w:p>
        </w:tc>
        <w:tc>
          <w:tcPr>
            <w:tcW w:w="2430" w:type="dxa"/>
            <w:shd w:val="clear" w:color="auto" w:fill="D9D9D9" w:themeFill="background1" w:themeFillShade="D9"/>
            <w:vAlign w:val="center"/>
          </w:tcPr>
          <w:p w:rsidR="00DA40B1" w:rsidRPr="00591303" w:rsidP="00694F88" w14:paraId="13B3BFB3" w14:textId="77777777">
            <w:pPr>
              <w:jc w:val="right"/>
              <w:rPr>
                <w:sz w:val="20"/>
                <w:szCs w:val="20"/>
                <w:highlight w:val="lightGray"/>
              </w:rPr>
            </w:pPr>
          </w:p>
        </w:tc>
        <w:tc>
          <w:tcPr>
            <w:tcW w:w="1260" w:type="dxa"/>
            <w:shd w:val="clear" w:color="auto" w:fill="D9D9D9" w:themeFill="background1" w:themeFillShade="D9"/>
            <w:vAlign w:val="center"/>
          </w:tcPr>
          <w:p w:rsidR="00DA40B1" w:rsidRPr="00591303" w:rsidP="00694F88" w14:paraId="71CDFA6F" w14:textId="77777777">
            <w:pPr>
              <w:jc w:val="center"/>
              <w:rPr>
                <w:sz w:val="20"/>
                <w:szCs w:val="20"/>
                <w:highlight w:val="lightGray"/>
              </w:rPr>
            </w:pPr>
          </w:p>
        </w:tc>
        <w:tc>
          <w:tcPr>
            <w:tcW w:w="2965" w:type="dxa"/>
            <w:vAlign w:val="center"/>
          </w:tcPr>
          <w:p w:rsidR="00DA40B1" w:rsidRPr="00591303" w:rsidP="00694F88" w14:paraId="060D6E50" w14:textId="77777777">
            <w:pPr>
              <w:jc w:val="right"/>
              <w:rPr>
                <w:sz w:val="20"/>
                <w:szCs w:val="20"/>
              </w:rPr>
            </w:pPr>
            <w:r w:rsidRPr="00591303">
              <w:rPr>
                <w:sz w:val="20"/>
                <w:szCs w:val="20"/>
              </w:rPr>
              <w:t>$</w:t>
            </w:r>
            <w:r w:rsidRPr="00591303" w:rsidR="009B2745">
              <w:rPr>
                <w:sz w:val="20"/>
                <w:szCs w:val="20"/>
              </w:rPr>
              <w:t>5</w:t>
            </w:r>
            <w:r w:rsidRPr="00591303">
              <w:rPr>
                <w:sz w:val="20"/>
                <w:szCs w:val="20"/>
              </w:rPr>
              <w:t>,000,000</w:t>
            </w:r>
          </w:p>
        </w:tc>
      </w:tr>
      <w:tr w14:paraId="6839CC9B" w14:textId="77777777" w:rsidTr="00B83F02">
        <w:tblPrEx>
          <w:tblW w:w="0" w:type="auto"/>
          <w:tblLayout w:type="fixed"/>
          <w:tblLook w:val="04A0"/>
        </w:tblPrEx>
        <w:tc>
          <w:tcPr>
            <w:tcW w:w="4135" w:type="dxa"/>
          </w:tcPr>
          <w:p w:rsidR="00DA40B1" w:rsidRPr="00591303" w:rsidP="00694F88" w14:paraId="585160F2" w14:textId="77777777">
            <w:pPr>
              <w:rPr>
                <w:sz w:val="20"/>
                <w:szCs w:val="20"/>
              </w:rPr>
            </w:pPr>
            <w:r w:rsidRPr="00591303">
              <w:rPr>
                <w:sz w:val="20"/>
                <w:szCs w:val="20"/>
              </w:rPr>
              <w:t>HOO</w:t>
            </w:r>
          </w:p>
        </w:tc>
        <w:tc>
          <w:tcPr>
            <w:tcW w:w="2430" w:type="dxa"/>
            <w:shd w:val="clear" w:color="auto" w:fill="B4C6E7" w:themeFill="accent1" w:themeFillTint="66"/>
            <w:vAlign w:val="center"/>
          </w:tcPr>
          <w:p w:rsidR="00DA40B1" w:rsidRPr="00591303" w:rsidP="00B83F02" w14:paraId="4500F968" w14:textId="77777777">
            <w:pPr>
              <w:jc w:val="right"/>
              <w:rPr>
                <w:sz w:val="20"/>
                <w:szCs w:val="20"/>
              </w:rPr>
            </w:pPr>
            <w:r w:rsidRPr="00591303">
              <w:rPr>
                <w:sz w:val="20"/>
                <w:szCs w:val="20"/>
              </w:rPr>
              <w:t>$</w:t>
            </w:r>
          </w:p>
        </w:tc>
        <w:tc>
          <w:tcPr>
            <w:tcW w:w="1260" w:type="dxa"/>
            <w:vAlign w:val="center"/>
          </w:tcPr>
          <w:p w:rsidR="00DA40B1" w:rsidRPr="00591303" w:rsidP="00694F88" w14:paraId="516CEE49" w14:textId="77777777">
            <w:pPr>
              <w:jc w:val="center"/>
              <w:rPr>
                <w:sz w:val="20"/>
                <w:szCs w:val="20"/>
              </w:rPr>
            </w:pPr>
            <w:r w:rsidRPr="00591303">
              <w:rPr>
                <w:sz w:val="20"/>
                <w:szCs w:val="20"/>
              </w:rPr>
              <w:t>1.00%</w:t>
            </w:r>
          </w:p>
        </w:tc>
        <w:tc>
          <w:tcPr>
            <w:tcW w:w="2965" w:type="dxa"/>
            <w:shd w:val="clear" w:color="auto" w:fill="B4C6E7" w:themeFill="accent1" w:themeFillTint="66"/>
            <w:vAlign w:val="center"/>
          </w:tcPr>
          <w:p w:rsidR="00DA40B1" w:rsidRPr="00591303" w:rsidP="00B83F02" w14:paraId="5AFE48C0" w14:textId="77777777">
            <w:pPr>
              <w:jc w:val="right"/>
              <w:rPr>
                <w:sz w:val="20"/>
                <w:szCs w:val="20"/>
              </w:rPr>
            </w:pPr>
            <w:r w:rsidRPr="00591303">
              <w:rPr>
                <w:sz w:val="20"/>
                <w:szCs w:val="20"/>
              </w:rPr>
              <w:t>$</w:t>
            </w:r>
          </w:p>
        </w:tc>
      </w:tr>
      <w:tr w14:paraId="3BD222AE" w14:textId="77777777" w:rsidTr="00B83F02">
        <w:tblPrEx>
          <w:tblW w:w="0" w:type="auto"/>
          <w:tblLayout w:type="fixed"/>
          <w:tblLook w:val="04A0"/>
        </w:tblPrEx>
        <w:tc>
          <w:tcPr>
            <w:tcW w:w="4135" w:type="dxa"/>
          </w:tcPr>
          <w:p w:rsidR="00DA40B1" w:rsidRPr="00591303" w:rsidP="00694F88" w14:paraId="0C6B54DE" w14:textId="745B0ADD">
            <w:pPr>
              <w:rPr>
                <w:b/>
                <w:bCs/>
                <w:sz w:val="20"/>
                <w:szCs w:val="20"/>
              </w:rPr>
            </w:pPr>
            <w:r w:rsidRPr="00591303">
              <w:rPr>
                <w:b/>
                <w:bCs/>
                <w:sz w:val="20"/>
                <w:szCs w:val="20"/>
              </w:rPr>
              <w:t>Required Net Worth</w:t>
            </w:r>
            <w:r w:rsidRPr="00591303">
              <w:rPr>
                <w:b/>
                <w:bCs/>
                <w:sz w:val="20"/>
                <w:szCs w:val="20"/>
              </w:rPr>
              <w:t xml:space="preserve"> (</w:t>
            </w:r>
            <w:r w:rsidR="00B21525">
              <w:rPr>
                <w:b/>
                <w:bCs/>
                <w:sz w:val="20"/>
                <w:szCs w:val="20"/>
              </w:rPr>
              <w:t>HMBS</w:t>
            </w:r>
            <w:r w:rsidRPr="00591303">
              <w:rPr>
                <w:b/>
                <w:bCs/>
                <w:sz w:val="20"/>
                <w:szCs w:val="20"/>
              </w:rPr>
              <w:t>)</w:t>
            </w:r>
          </w:p>
        </w:tc>
        <w:tc>
          <w:tcPr>
            <w:tcW w:w="2430" w:type="dxa"/>
            <w:shd w:val="clear" w:color="auto" w:fill="D9D9D9" w:themeFill="background1" w:themeFillShade="D9"/>
            <w:vAlign w:val="center"/>
          </w:tcPr>
          <w:p w:rsidR="00DA40B1" w:rsidRPr="00591303" w:rsidP="00694F88" w14:paraId="0CA3741C" w14:textId="244224D9">
            <w:pPr>
              <w:jc w:val="right"/>
              <w:rPr>
                <w:b/>
                <w:bCs/>
                <w:sz w:val="20"/>
                <w:szCs w:val="20"/>
              </w:rPr>
            </w:pPr>
          </w:p>
        </w:tc>
        <w:tc>
          <w:tcPr>
            <w:tcW w:w="1260" w:type="dxa"/>
            <w:shd w:val="clear" w:color="auto" w:fill="D9D9D9" w:themeFill="background1" w:themeFillShade="D9"/>
            <w:vAlign w:val="center"/>
          </w:tcPr>
          <w:p w:rsidR="00DA40B1" w:rsidRPr="00591303" w:rsidP="00694F88" w14:paraId="75AA1722" w14:textId="77777777">
            <w:pPr>
              <w:jc w:val="center"/>
              <w:rPr>
                <w:b/>
                <w:bCs/>
                <w:sz w:val="20"/>
                <w:szCs w:val="20"/>
              </w:rPr>
            </w:pPr>
          </w:p>
        </w:tc>
        <w:tc>
          <w:tcPr>
            <w:tcW w:w="2965" w:type="dxa"/>
            <w:shd w:val="clear" w:color="auto" w:fill="B4C6E7" w:themeFill="accent1" w:themeFillTint="66"/>
            <w:vAlign w:val="center"/>
          </w:tcPr>
          <w:p w:rsidR="00DA40B1" w:rsidRPr="00591303" w:rsidP="00B83F02" w14:paraId="19465FB3" w14:textId="77777777">
            <w:pPr>
              <w:jc w:val="right"/>
              <w:rPr>
                <w:b/>
                <w:bCs/>
                <w:sz w:val="20"/>
                <w:szCs w:val="20"/>
              </w:rPr>
            </w:pPr>
            <w:r w:rsidRPr="00591303">
              <w:rPr>
                <w:b/>
                <w:bCs/>
                <w:sz w:val="20"/>
                <w:szCs w:val="20"/>
              </w:rPr>
              <w:t>$</w:t>
            </w:r>
          </w:p>
        </w:tc>
      </w:tr>
    </w:tbl>
    <w:p w:rsidR="001374BA" w:rsidRPr="009B2745" w:rsidP="001374BA" w14:paraId="07894016" w14:textId="77777777">
      <w:pPr>
        <w:rPr>
          <w:sz w:val="16"/>
          <w:szCs w:val="16"/>
        </w:rPr>
      </w:pPr>
    </w:p>
    <w:p w:rsidR="001374BA" w:rsidP="001374BA" w14:paraId="376C3B6C" w14:textId="7A82FFE5">
      <w:pPr>
        <w:pStyle w:val="Heading2"/>
      </w:pPr>
      <w:r>
        <w:t>Manufactured Ho</w:t>
      </w:r>
      <w:r w:rsidR="00D64C29">
        <w:t>using</w:t>
      </w:r>
      <w:r w:rsidR="004D7801">
        <w:t xml:space="preserve"> (MH)</w:t>
      </w:r>
      <w:r>
        <w:t xml:space="preserve"> Issuer Requirement</w:t>
      </w:r>
    </w:p>
    <w:tbl>
      <w:tblPr>
        <w:tblStyle w:val="TableGrid"/>
        <w:tblW w:w="0" w:type="auto"/>
        <w:tblLayout w:type="fixed"/>
        <w:tblLook w:val="04A0"/>
      </w:tblPr>
      <w:tblGrid>
        <w:gridCol w:w="4135"/>
        <w:gridCol w:w="2430"/>
        <w:gridCol w:w="1260"/>
        <w:gridCol w:w="2965"/>
      </w:tblGrid>
      <w:tr w14:paraId="3AAF4DFF" w14:textId="77777777" w:rsidTr="00B83F02">
        <w:tblPrEx>
          <w:tblW w:w="0" w:type="auto"/>
          <w:tblLayout w:type="fixed"/>
          <w:tblLook w:val="04A0"/>
        </w:tblPrEx>
        <w:tc>
          <w:tcPr>
            <w:tcW w:w="7825" w:type="dxa"/>
            <w:gridSpan w:val="3"/>
            <w:vAlign w:val="center"/>
          </w:tcPr>
          <w:p w:rsidR="009B2745" w:rsidRPr="00591303" w:rsidP="00694F88" w14:paraId="4E307740" w14:textId="286910C4">
            <w:pPr>
              <w:rPr>
                <w:b/>
                <w:bCs/>
                <w:sz w:val="20"/>
                <w:szCs w:val="20"/>
              </w:rPr>
            </w:pPr>
            <w:r w:rsidRPr="00591303">
              <w:rPr>
                <w:b/>
                <w:bCs/>
                <w:sz w:val="20"/>
                <w:szCs w:val="20"/>
              </w:rPr>
              <w:t xml:space="preserve">Total effective </w:t>
            </w:r>
            <w:r w:rsidR="00820675">
              <w:rPr>
                <w:b/>
                <w:bCs/>
                <w:sz w:val="20"/>
                <w:szCs w:val="20"/>
              </w:rPr>
              <w:t>M</w:t>
            </w:r>
            <w:r w:rsidRPr="00591303">
              <w:rPr>
                <w:b/>
                <w:bCs/>
                <w:sz w:val="20"/>
                <w:szCs w:val="20"/>
              </w:rPr>
              <w:t xml:space="preserve">anufactured </w:t>
            </w:r>
            <w:r w:rsidR="00820675">
              <w:rPr>
                <w:b/>
                <w:bCs/>
                <w:sz w:val="20"/>
                <w:szCs w:val="20"/>
              </w:rPr>
              <w:t>H</w:t>
            </w:r>
            <w:r w:rsidRPr="00591303">
              <w:rPr>
                <w:b/>
                <w:bCs/>
                <w:sz w:val="20"/>
                <w:szCs w:val="20"/>
              </w:rPr>
              <w:t>o</w:t>
            </w:r>
            <w:r w:rsidR="00D64C29">
              <w:rPr>
                <w:b/>
                <w:bCs/>
                <w:sz w:val="20"/>
                <w:szCs w:val="20"/>
              </w:rPr>
              <w:t>using</w:t>
            </w:r>
            <w:r w:rsidRPr="00591303">
              <w:rPr>
                <w:b/>
                <w:bCs/>
                <w:sz w:val="20"/>
                <w:szCs w:val="20"/>
              </w:rPr>
              <w:t xml:space="preserve"> outstanding obligation (</w:t>
            </w:r>
            <w:r w:rsidRPr="00591303">
              <w:rPr>
                <w:b/>
                <w:bCs/>
                <w:sz w:val="20"/>
                <w:szCs w:val="20"/>
              </w:rPr>
              <w:t>MhOO</w:t>
            </w:r>
            <w:r w:rsidRPr="00591303">
              <w:rPr>
                <w:b/>
                <w:bCs/>
                <w:sz w:val="20"/>
                <w:szCs w:val="20"/>
              </w:rPr>
              <w:t>)</w:t>
            </w:r>
            <w:r>
              <w:rPr>
                <w:rStyle w:val="FootnoteReference"/>
                <w:b/>
                <w:bCs/>
                <w:sz w:val="20"/>
                <w:szCs w:val="20"/>
              </w:rPr>
              <w:footnoteReference w:id="10"/>
            </w:r>
          </w:p>
        </w:tc>
        <w:tc>
          <w:tcPr>
            <w:tcW w:w="2965" w:type="dxa"/>
            <w:shd w:val="clear" w:color="auto" w:fill="B4C6E7" w:themeFill="accent1" w:themeFillTint="66"/>
            <w:vAlign w:val="center"/>
          </w:tcPr>
          <w:p w:rsidR="009B2745" w:rsidRPr="00591303" w:rsidP="00B83F02" w14:paraId="345BA3FF" w14:textId="77777777">
            <w:pPr>
              <w:jc w:val="right"/>
              <w:rPr>
                <w:b/>
                <w:bCs/>
                <w:sz w:val="20"/>
                <w:szCs w:val="20"/>
              </w:rPr>
            </w:pPr>
            <w:r w:rsidRPr="00591303">
              <w:rPr>
                <w:b/>
                <w:bCs/>
                <w:sz w:val="20"/>
                <w:szCs w:val="20"/>
              </w:rPr>
              <w:t>$</w:t>
            </w:r>
          </w:p>
        </w:tc>
      </w:tr>
      <w:tr w14:paraId="13CB8151" w14:textId="77777777" w:rsidTr="00694F88">
        <w:tblPrEx>
          <w:tblW w:w="0" w:type="auto"/>
          <w:tblLayout w:type="fixed"/>
          <w:tblLook w:val="04A0"/>
        </w:tblPrEx>
        <w:tc>
          <w:tcPr>
            <w:tcW w:w="4135" w:type="dxa"/>
            <w:vAlign w:val="center"/>
          </w:tcPr>
          <w:p w:rsidR="009B2745" w:rsidRPr="00591303" w:rsidP="00694F88" w14:paraId="724FF9BD" w14:textId="77777777">
            <w:pPr>
              <w:jc w:val="center"/>
              <w:rPr>
                <w:b/>
                <w:bCs/>
                <w:sz w:val="20"/>
                <w:szCs w:val="20"/>
              </w:rPr>
            </w:pPr>
          </w:p>
        </w:tc>
        <w:tc>
          <w:tcPr>
            <w:tcW w:w="2430" w:type="dxa"/>
            <w:vAlign w:val="center"/>
          </w:tcPr>
          <w:p w:rsidR="009B2745" w:rsidRPr="00591303" w:rsidP="00694F88" w14:paraId="012CBA28" w14:textId="77777777">
            <w:pPr>
              <w:jc w:val="center"/>
              <w:rPr>
                <w:b/>
                <w:bCs/>
                <w:sz w:val="20"/>
                <w:szCs w:val="20"/>
              </w:rPr>
            </w:pPr>
          </w:p>
        </w:tc>
        <w:tc>
          <w:tcPr>
            <w:tcW w:w="1260" w:type="dxa"/>
            <w:vAlign w:val="center"/>
          </w:tcPr>
          <w:p w:rsidR="009B2745" w:rsidRPr="00591303" w:rsidP="00694F88" w14:paraId="2BEE32A0" w14:textId="77777777">
            <w:pPr>
              <w:jc w:val="center"/>
              <w:rPr>
                <w:b/>
                <w:bCs/>
                <w:sz w:val="20"/>
                <w:szCs w:val="20"/>
              </w:rPr>
            </w:pPr>
          </w:p>
        </w:tc>
        <w:tc>
          <w:tcPr>
            <w:tcW w:w="2965" w:type="dxa"/>
            <w:vAlign w:val="center"/>
          </w:tcPr>
          <w:p w:rsidR="009B2745" w:rsidRPr="00591303" w:rsidP="00694F88" w14:paraId="6C18F067" w14:textId="77777777">
            <w:pPr>
              <w:jc w:val="center"/>
              <w:rPr>
                <w:b/>
                <w:bCs/>
                <w:sz w:val="20"/>
                <w:szCs w:val="20"/>
              </w:rPr>
            </w:pPr>
          </w:p>
        </w:tc>
      </w:tr>
      <w:tr w14:paraId="3D3F46C1" w14:textId="77777777" w:rsidTr="00694F88">
        <w:tblPrEx>
          <w:tblW w:w="0" w:type="auto"/>
          <w:tblLayout w:type="fixed"/>
          <w:tblLook w:val="04A0"/>
        </w:tblPrEx>
        <w:tc>
          <w:tcPr>
            <w:tcW w:w="4135" w:type="dxa"/>
            <w:vAlign w:val="center"/>
          </w:tcPr>
          <w:p w:rsidR="009B2745" w:rsidRPr="00591303" w:rsidP="00694F88" w14:paraId="012CACDD" w14:textId="282CD806">
            <w:pPr>
              <w:jc w:val="center"/>
              <w:rPr>
                <w:b/>
                <w:bCs/>
                <w:sz w:val="20"/>
                <w:szCs w:val="20"/>
              </w:rPr>
            </w:pPr>
            <w:r>
              <w:rPr>
                <w:b/>
                <w:bCs/>
                <w:sz w:val="20"/>
                <w:szCs w:val="20"/>
              </w:rPr>
              <w:t>Cat</w:t>
            </w:r>
            <w:r w:rsidRPr="00591303">
              <w:rPr>
                <w:b/>
                <w:bCs/>
                <w:sz w:val="20"/>
                <w:szCs w:val="20"/>
              </w:rPr>
              <w:t>egory</w:t>
            </w:r>
          </w:p>
        </w:tc>
        <w:tc>
          <w:tcPr>
            <w:tcW w:w="2430" w:type="dxa"/>
            <w:vAlign w:val="center"/>
          </w:tcPr>
          <w:p w:rsidR="009B2745" w:rsidRPr="00591303" w:rsidP="00694F88" w14:paraId="29F042C0" w14:textId="6AC7D9FA">
            <w:pPr>
              <w:jc w:val="center"/>
              <w:rPr>
                <w:b/>
                <w:bCs/>
                <w:sz w:val="20"/>
                <w:szCs w:val="20"/>
              </w:rPr>
            </w:pPr>
            <w:r>
              <w:rPr>
                <w:b/>
                <w:bCs/>
                <w:sz w:val="20"/>
                <w:szCs w:val="20"/>
              </w:rPr>
              <w:t>Am</w:t>
            </w:r>
            <w:r w:rsidRPr="00591303">
              <w:rPr>
                <w:b/>
                <w:bCs/>
                <w:sz w:val="20"/>
                <w:szCs w:val="20"/>
              </w:rPr>
              <w:t>ount</w:t>
            </w:r>
          </w:p>
        </w:tc>
        <w:tc>
          <w:tcPr>
            <w:tcW w:w="1260" w:type="dxa"/>
            <w:vAlign w:val="center"/>
          </w:tcPr>
          <w:p w:rsidR="009B2745" w:rsidRPr="00591303" w:rsidP="00694F88" w14:paraId="013D7687" w14:textId="77777777">
            <w:pPr>
              <w:jc w:val="center"/>
              <w:rPr>
                <w:b/>
                <w:bCs/>
                <w:sz w:val="20"/>
                <w:szCs w:val="20"/>
              </w:rPr>
            </w:pPr>
            <w:r w:rsidRPr="00591303">
              <w:rPr>
                <w:b/>
                <w:bCs/>
                <w:sz w:val="20"/>
                <w:szCs w:val="20"/>
              </w:rPr>
              <w:t>Required Percentage</w:t>
            </w:r>
          </w:p>
        </w:tc>
        <w:tc>
          <w:tcPr>
            <w:tcW w:w="2965" w:type="dxa"/>
            <w:vAlign w:val="center"/>
          </w:tcPr>
          <w:p w:rsidR="009B2745" w:rsidRPr="00591303" w:rsidP="00694F88" w14:paraId="2DF8CF8E" w14:textId="77777777">
            <w:pPr>
              <w:jc w:val="center"/>
              <w:rPr>
                <w:b/>
                <w:bCs/>
                <w:sz w:val="20"/>
                <w:szCs w:val="20"/>
              </w:rPr>
            </w:pPr>
            <w:r w:rsidRPr="00591303">
              <w:rPr>
                <w:b/>
                <w:bCs/>
                <w:sz w:val="20"/>
                <w:szCs w:val="20"/>
              </w:rPr>
              <w:t>Required Amount</w:t>
            </w:r>
          </w:p>
        </w:tc>
      </w:tr>
      <w:tr w14:paraId="7E9D9AA0" w14:textId="77777777" w:rsidTr="00694F88">
        <w:tblPrEx>
          <w:tblW w:w="0" w:type="auto"/>
          <w:tblLayout w:type="fixed"/>
          <w:tblLook w:val="04A0"/>
        </w:tblPrEx>
        <w:tc>
          <w:tcPr>
            <w:tcW w:w="4135" w:type="dxa"/>
          </w:tcPr>
          <w:p w:rsidR="009B2745" w:rsidRPr="00591303" w:rsidP="00694F88" w14:paraId="3F8A1E60" w14:textId="77777777">
            <w:pPr>
              <w:rPr>
                <w:sz w:val="20"/>
                <w:szCs w:val="20"/>
              </w:rPr>
            </w:pPr>
            <w:r w:rsidRPr="00591303">
              <w:rPr>
                <w:sz w:val="20"/>
                <w:szCs w:val="20"/>
              </w:rPr>
              <w:t>Base Requirement</w:t>
            </w:r>
          </w:p>
        </w:tc>
        <w:tc>
          <w:tcPr>
            <w:tcW w:w="2430" w:type="dxa"/>
            <w:shd w:val="clear" w:color="auto" w:fill="D9D9D9" w:themeFill="background1" w:themeFillShade="D9"/>
            <w:vAlign w:val="center"/>
          </w:tcPr>
          <w:p w:rsidR="009B2745" w:rsidRPr="00591303" w:rsidP="00694F88" w14:paraId="30BC0E8F" w14:textId="77777777">
            <w:pPr>
              <w:jc w:val="right"/>
              <w:rPr>
                <w:sz w:val="20"/>
                <w:szCs w:val="20"/>
                <w:highlight w:val="lightGray"/>
              </w:rPr>
            </w:pPr>
          </w:p>
        </w:tc>
        <w:tc>
          <w:tcPr>
            <w:tcW w:w="1260" w:type="dxa"/>
            <w:shd w:val="clear" w:color="auto" w:fill="D9D9D9" w:themeFill="background1" w:themeFillShade="D9"/>
            <w:vAlign w:val="center"/>
          </w:tcPr>
          <w:p w:rsidR="009B2745" w:rsidRPr="00591303" w:rsidP="00694F88" w14:paraId="39875AF1" w14:textId="77777777">
            <w:pPr>
              <w:jc w:val="center"/>
              <w:rPr>
                <w:sz w:val="20"/>
                <w:szCs w:val="20"/>
                <w:highlight w:val="lightGray"/>
              </w:rPr>
            </w:pPr>
          </w:p>
        </w:tc>
        <w:tc>
          <w:tcPr>
            <w:tcW w:w="2965" w:type="dxa"/>
            <w:vAlign w:val="center"/>
          </w:tcPr>
          <w:p w:rsidR="009B2745" w:rsidRPr="00591303" w:rsidP="00694F88" w14:paraId="18B8A4F9" w14:textId="1E506BE0">
            <w:pPr>
              <w:jc w:val="right"/>
              <w:rPr>
                <w:sz w:val="20"/>
                <w:szCs w:val="20"/>
              </w:rPr>
            </w:pPr>
            <w:r w:rsidRPr="00591303">
              <w:rPr>
                <w:sz w:val="20"/>
                <w:szCs w:val="20"/>
              </w:rPr>
              <w:t>$</w:t>
            </w:r>
            <w:r w:rsidR="00AD7C57">
              <w:rPr>
                <w:sz w:val="20"/>
                <w:szCs w:val="20"/>
              </w:rPr>
              <w:t>2,500,000</w:t>
            </w:r>
          </w:p>
        </w:tc>
      </w:tr>
      <w:tr w14:paraId="67879431" w14:textId="77777777" w:rsidTr="00B83F02">
        <w:tblPrEx>
          <w:tblW w:w="0" w:type="auto"/>
          <w:tblLayout w:type="fixed"/>
          <w:tblLook w:val="04A0"/>
        </w:tblPrEx>
        <w:tc>
          <w:tcPr>
            <w:tcW w:w="4135" w:type="dxa"/>
          </w:tcPr>
          <w:p w:rsidR="009B2745" w:rsidRPr="00591303" w:rsidP="00694F88" w14:paraId="7F41F8D6" w14:textId="77777777">
            <w:pPr>
              <w:rPr>
                <w:sz w:val="20"/>
                <w:szCs w:val="20"/>
              </w:rPr>
            </w:pPr>
            <w:r w:rsidRPr="00591303">
              <w:rPr>
                <w:sz w:val="20"/>
                <w:szCs w:val="20"/>
              </w:rPr>
              <w:t>MhOO</w:t>
            </w:r>
          </w:p>
        </w:tc>
        <w:tc>
          <w:tcPr>
            <w:tcW w:w="2430" w:type="dxa"/>
            <w:shd w:val="clear" w:color="auto" w:fill="B4C6E7" w:themeFill="accent1" w:themeFillTint="66"/>
            <w:vAlign w:val="center"/>
          </w:tcPr>
          <w:p w:rsidR="009B2745" w:rsidRPr="00591303" w:rsidP="00B83F02" w14:paraId="20F42EBE" w14:textId="77777777">
            <w:pPr>
              <w:jc w:val="right"/>
              <w:rPr>
                <w:sz w:val="20"/>
                <w:szCs w:val="20"/>
              </w:rPr>
            </w:pPr>
            <w:r w:rsidRPr="00591303">
              <w:rPr>
                <w:sz w:val="20"/>
                <w:szCs w:val="20"/>
              </w:rPr>
              <w:t>$</w:t>
            </w:r>
          </w:p>
        </w:tc>
        <w:tc>
          <w:tcPr>
            <w:tcW w:w="1260" w:type="dxa"/>
            <w:vAlign w:val="center"/>
          </w:tcPr>
          <w:p w:rsidR="009B2745" w:rsidRPr="00591303" w:rsidP="00694F88" w14:paraId="52B1F262" w14:textId="0437663D">
            <w:pPr>
              <w:jc w:val="center"/>
              <w:rPr>
                <w:sz w:val="20"/>
                <w:szCs w:val="20"/>
              </w:rPr>
            </w:pPr>
            <w:r>
              <w:rPr>
                <w:sz w:val="20"/>
                <w:szCs w:val="20"/>
              </w:rPr>
              <w:t>2.5</w:t>
            </w:r>
            <w:r w:rsidRPr="00591303">
              <w:rPr>
                <w:sz w:val="20"/>
                <w:szCs w:val="20"/>
              </w:rPr>
              <w:t>%</w:t>
            </w:r>
          </w:p>
        </w:tc>
        <w:tc>
          <w:tcPr>
            <w:tcW w:w="2965" w:type="dxa"/>
            <w:shd w:val="clear" w:color="auto" w:fill="B4C6E7" w:themeFill="accent1" w:themeFillTint="66"/>
            <w:vAlign w:val="center"/>
          </w:tcPr>
          <w:p w:rsidR="009B2745" w:rsidRPr="00591303" w:rsidP="00B83F02" w14:paraId="0FAC7EC2" w14:textId="77777777">
            <w:pPr>
              <w:jc w:val="right"/>
              <w:rPr>
                <w:sz w:val="20"/>
                <w:szCs w:val="20"/>
              </w:rPr>
            </w:pPr>
            <w:r w:rsidRPr="00591303">
              <w:rPr>
                <w:sz w:val="20"/>
                <w:szCs w:val="20"/>
              </w:rPr>
              <w:t>$</w:t>
            </w:r>
          </w:p>
        </w:tc>
      </w:tr>
      <w:tr w14:paraId="706875AD" w14:textId="77777777" w:rsidTr="00B83F02">
        <w:tblPrEx>
          <w:tblW w:w="0" w:type="auto"/>
          <w:tblLayout w:type="fixed"/>
          <w:tblLook w:val="04A0"/>
        </w:tblPrEx>
        <w:tc>
          <w:tcPr>
            <w:tcW w:w="4135" w:type="dxa"/>
          </w:tcPr>
          <w:p w:rsidR="009B2745" w:rsidRPr="00591303" w:rsidP="00694F88" w14:paraId="574D1316" w14:textId="2F82B8EE">
            <w:pPr>
              <w:rPr>
                <w:b/>
                <w:bCs/>
                <w:sz w:val="20"/>
                <w:szCs w:val="20"/>
              </w:rPr>
            </w:pPr>
            <w:r w:rsidRPr="00591303">
              <w:rPr>
                <w:b/>
                <w:bCs/>
                <w:sz w:val="20"/>
                <w:szCs w:val="20"/>
              </w:rPr>
              <w:t>Required Net Worth</w:t>
            </w:r>
            <w:r w:rsidRPr="00591303">
              <w:rPr>
                <w:b/>
                <w:bCs/>
                <w:sz w:val="20"/>
                <w:szCs w:val="20"/>
              </w:rPr>
              <w:t xml:space="preserve"> (</w:t>
            </w:r>
            <w:r w:rsidR="00234580">
              <w:rPr>
                <w:b/>
                <w:bCs/>
                <w:sz w:val="20"/>
                <w:szCs w:val="20"/>
              </w:rPr>
              <w:t>Manufactured Housing</w:t>
            </w:r>
            <w:r w:rsidRPr="00591303">
              <w:rPr>
                <w:b/>
                <w:bCs/>
                <w:sz w:val="20"/>
                <w:szCs w:val="20"/>
              </w:rPr>
              <w:t>)</w:t>
            </w:r>
          </w:p>
        </w:tc>
        <w:tc>
          <w:tcPr>
            <w:tcW w:w="2430" w:type="dxa"/>
            <w:shd w:val="clear" w:color="auto" w:fill="D9D9D9" w:themeFill="background1" w:themeFillShade="D9"/>
            <w:vAlign w:val="center"/>
          </w:tcPr>
          <w:p w:rsidR="009B2745" w:rsidRPr="00591303" w:rsidP="00694F88" w14:paraId="42E2136D" w14:textId="77777777">
            <w:pPr>
              <w:jc w:val="right"/>
              <w:rPr>
                <w:b/>
                <w:bCs/>
                <w:sz w:val="20"/>
                <w:szCs w:val="20"/>
              </w:rPr>
            </w:pPr>
          </w:p>
        </w:tc>
        <w:tc>
          <w:tcPr>
            <w:tcW w:w="1260" w:type="dxa"/>
            <w:shd w:val="clear" w:color="auto" w:fill="D9D9D9" w:themeFill="background1" w:themeFillShade="D9"/>
            <w:vAlign w:val="center"/>
          </w:tcPr>
          <w:p w:rsidR="009B2745" w:rsidRPr="00591303" w:rsidP="00694F88" w14:paraId="76100DAB" w14:textId="77777777">
            <w:pPr>
              <w:jc w:val="center"/>
              <w:rPr>
                <w:b/>
                <w:bCs/>
                <w:sz w:val="20"/>
                <w:szCs w:val="20"/>
              </w:rPr>
            </w:pPr>
          </w:p>
        </w:tc>
        <w:tc>
          <w:tcPr>
            <w:tcW w:w="2965" w:type="dxa"/>
            <w:shd w:val="clear" w:color="auto" w:fill="B4C6E7" w:themeFill="accent1" w:themeFillTint="66"/>
            <w:vAlign w:val="center"/>
          </w:tcPr>
          <w:p w:rsidR="009B2745" w:rsidRPr="00591303" w:rsidP="00B83F02" w14:paraId="60E9477D" w14:textId="77777777">
            <w:pPr>
              <w:jc w:val="right"/>
              <w:rPr>
                <w:b/>
                <w:bCs/>
                <w:sz w:val="20"/>
                <w:szCs w:val="20"/>
              </w:rPr>
            </w:pPr>
            <w:r w:rsidRPr="00591303">
              <w:rPr>
                <w:b/>
                <w:bCs/>
                <w:sz w:val="20"/>
                <w:szCs w:val="20"/>
              </w:rPr>
              <w:t>$</w:t>
            </w:r>
          </w:p>
        </w:tc>
      </w:tr>
    </w:tbl>
    <w:p w:rsidR="007D04E8" w14:paraId="727763EF" w14:textId="77777777">
      <w:pPr>
        <w:rPr>
          <w:rFonts w:asciiTheme="majorHAnsi" w:eastAsiaTheme="majorEastAsia" w:hAnsiTheme="majorHAnsi" w:cstheme="majorBidi"/>
          <w:color w:val="2F5496" w:themeColor="accent1" w:themeShade="BF"/>
          <w:sz w:val="26"/>
          <w:szCs w:val="26"/>
        </w:rPr>
      </w:pPr>
    </w:p>
    <w:p w:rsidR="009B2745" w:rsidP="009B2745" w14:paraId="6941ABDA" w14:textId="77777777">
      <w:pPr>
        <w:pStyle w:val="Heading2"/>
      </w:pPr>
      <w:r>
        <w:t>Multi-program Issuer Requirement</w:t>
      </w:r>
      <w:r>
        <w:rPr>
          <w:rStyle w:val="FootnoteReference"/>
        </w:rPr>
        <w:footnoteReference w:id="11"/>
      </w:r>
    </w:p>
    <w:tbl>
      <w:tblPr>
        <w:tblStyle w:val="TableGrid"/>
        <w:tblW w:w="0" w:type="auto"/>
        <w:tblLook w:val="04A0"/>
      </w:tblPr>
      <w:tblGrid>
        <w:gridCol w:w="5395"/>
        <w:gridCol w:w="5395"/>
      </w:tblGrid>
      <w:tr w14:paraId="10B13964" w14:textId="77777777" w:rsidTr="009B2745">
        <w:tblPrEx>
          <w:tblW w:w="0" w:type="auto"/>
          <w:tblLook w:val="04A0"/>
        </w:tblPrEx>
        <w:tc>
          <w:tcPr>
            <w:tcW w:w="5395" w:type="dxa"/>
          </w:tcPr>
          <w:p w:rsidR="009B2745" w:rsidRPr="009B2745" w:rsidP="009B2745" w14:paraId="176AB6EB" w14:textId="77777777">
            <w:pPr>
              <w:rPr>
                <w:b/>
                <w:bCs/>
              </w:rPr>
            </w:pPr>
            <w:r w:rsidRPr="009B2745">
              <w:rPr>
                <w:b/>
                <w:bCs/>
              </w:rPr>
              <w:t>Program</w:t>
            </w:r>
          </w:p>
        </w:tc>
        <w:tc>
          <w:tcPr>
            <w:tcW w:w="5395" w:type="dxa"/>
          </w:tcPr>
          <w:p w:rsidR="009B2745" w:rsidRPr="009B2745" w:rsidP="009B2745" w14:paraId="73F81E59" w14:textId="77777777">
            <w:pPr>
              <w:rPr>
                <w:b/>
                <w:bCs/>
              </w:rPr>
            </w:pPr>
            <w:r w:rsidRPr="009B2745">
              <w:rPr>
                <w:b/>
                <w:bCs/>
              </w:rPr>
              <w:t>Required Net Worth</w:t>
            </w:r>
          </w:p>
        </w:tc>
      </w:tr>
      <w:tr w14:paraId="559AB3A6" w14:textId="77777777" w:rsidTr="00B83F02">
        <w:tblPrEx>
          <w:tblW w:w="0" w:type="auto"/>
          <w:tblLook w:val="04A0"/>
        </w:tblPrEx>
        <w:tc>
          <w:tcPr>
            <w:tcW w:w="5395" w:type="dxa"/>
          </w:tcPr>
          <w:p w:rsidR="009B2745" w:rsidP="009B2745" w14:paraId="79F36AF2" w14:textId="77777777">
            <w:r>
              <w:t xml:space="preserve">   </w:t>
            </w:r>
            <w:r>
              <w:t>Single-family</w:t>
            </w:r>
          </w:p>
        </w:tc>
        <w:tc>
          <w:tcPr>
            <w:tcW w:w="5395" w:type="dxa"/>
            <w:shd w:val="clear" w:color="auto" w:fill="B4C6E7" w:themeFill="accent1" w:themeFillTint="66"/>
            <w:vAlign w:val="center"/>
          </w:tcPr>
          <w:p w:rsidR="009B2745" w:rsidP="00B83F02" w14:paraId="0A5AB9E8" w14:textId="77777777">
            <w:pPr>
              <w:jc w:val="right"/>
            </w:pPr>
            <w:r>
              <w:t>$</w:t>
            </w:r>
          </w:p>
        </w:tc>
      </w:tr>
      <w:tr w14:paraId="047CFE0C" w14:textId="77777777" w:rsidTr="00B83F02">
        <w:tblPrEx>
          <w:tblW w:w="0" w:type="auto"/>
          <w:tblLook w:val="04A0"/>
        </w:tblPrEx>
        <w:tc>
          <w:tcPr>
            <w:tcW w:w="5395" w:type="dxa"/>
          </w:tcPr>
          <w:p w:rsidR="009B2745" w:rsidP="009B2745" w14:paraId="2AEAD441" w14:textId="5A12D6CC">
            <w:r>
              <w:t xml:space="preserve">   </w:t>
            </w:r>
            <w:r>
              <w:t>Multifamily</w:t>
            </w:r>
          </w:p>
        </w:tc>
        <w:tc>
          <w:tcPr>
            <w:tcW w:w="5395" w:type="dxa"/>
            <w:shd w:val="clear" w:color="auto" w:fill="B4C6E7" w:themeFill="accent1" w:themeFillTint="66"/>
            <w:vAlign w:val="center"/>
          </w:tcPr>
          <w:p w:rsidR="009B2745" w:rsidP="00B83F02" w14:paraId="0DDD7923" w14:textId="77777777">
            <w:pPr>
              <w:jc w:val="right"/>
            </w:pPr>
            <w:r>
              <w:t>$</w:t>
            </w:r>
          </w:p>
        </w:tc>
      </w:tr>
      <w:tr w14:paraId="488A9567" w14:textId="77777777" w:rsidTr="00B83F02">
        <w:tblPrEx>
          <w:tblW w:w="0" w:type="auto"/>
          <w:tblLook w:val="04A0"/>
        </w:tblPrEx>
        <w:tc>
          <w:tcPr>
            <w:tcW w:w="5395" w:type="dxa"/>
          </w:tcPr>
          <w:p w:rsidR="009B2745" w:rsidP="009B2745" w14:paraId="4A2ACD07" w14:textId="1E065ADC">
            <w:r>
              <w:t xml:space="preserve">   </w:t>
            </w:r>
            <w:r>
              <w:t>H</w:t>
            </w:r>
            <w:r w:rsidR="00CE12B5">
              <w:t>MBS</w:t>
            </w:r>
          </w:p>
        </w:tc>
        <w:tc>
          <w:tcPr>
            <w:tcW w:w="5395" w:type="dxa"/>
            <w:shd w:val="clear" w:color="auto" w:fill="B4C6E7" w:themeFill="accent1" w:themeFillTint="66"/>
            <w:vAlign w:val="center"/>
          </w:tcPr>
          <w:p w:rsidR="009B2745" w:rsidP="00B83F02" w14:paraId="670867FF" w14:textId="77777777">
            <w:pPr>
              <w:jc w:val="right"/>
            </w:pPr>
            <w:r>
              <w:t>$</w:t>
            </w:r>
          </w:p>
        </w:tc>
      </w:tr>
      <w:tr w14:paraId="640B5B23" w14:textId="77777777" w:rsidTr="00B83F02">
        <w:tblPrEx>
          <w:tblW w:w="0" w:type="auto"/>
          <w:tblLook w:val="04A0"/>
        </w:tblPrEx>
        <w:tc>
          <w:tcPr>
            <w:tcW w:w="5395" w:type="dxa"/>
          </w:tcPr>
          <w:p w:rsidR="009B2745" w:rsidP="009B2745" w14:paraId="07925C40" w14:textId="4C904743">
            <w:r>
              <w:t xml:space="preserve">   </w:t>
            </w:r>
            <w:r>
              <w:t>M</w:t>
            </w:r>
            <w:r>
              <w:t xml:space="preserve">anufactured </w:t>
            </w:r>
            <w:r>
              <w:t>H</w:t>
            </w:r>
            <w:r>
              <w:t>o</w:t>
            </w:r>
            <w:r w:rsidR="00D64C29">
              <w:t>using</w:t>
            </w:r>
          </w:p>
        </w:tc>
        <w:tc>
          <w:tcPr>
            <w:tcW w:w="5395" w:type="dxa"/>
            <w:shd w:val="clear" w:color="auto" w:fill="B4C6E7" w:themeFill="accent1" w:themeFillTint="66"/>
            <w:vAlign w:val="center"/>
          </w:tcPr>
          <w:p w:rsidR="009B2745" w:rsidP="00B83F02" w14:paraId="14E9AFD6" w14:textId="77777777">
            <w:pPr>
              <w:jc w:val="right"/>
            </w:pPr>
            <w:r>
              <w:t>$</w:t>
            </w:r>
          </w:p>
        </w:tc>
      </w:tr>
      <w:tr w14:paraId="7E19EC99" w14:textId="77777777" w:rsidTr="00B83F02">
        <w:tblPrEx>
          <w:tblW w:w="0" w:type="auto"/>
          <w:tblLook w:val="04A0"/>
        </w:tblPrEx>
        <w:tc>
          <w:tcPr>
            <w:tcW w:w="5395" w:type="dxa"/>
          </w:tcPr>
          <w:p w:rsidR="009B2745" w:rsidP="009B2745" w14:paraId="22B448F9" w14:textId="77777777"/>
        </w:tc>
        <w:tc>
          <w:tcPr>
            <w:tcW w:w="5395" w:type="dxa"/>
            <w:vAlign w:val="center"/>
          </w:tcPr>
          <w:p w:rsidR="009B2745" w:rsidP="00B83F02" w14:paraId="79604A93" w14:textId="77777777">
            <w:pPr>
              <w:jc w:val="right"/>
            </w:pPr>
          </w:p>
        </w:tc>
      </w:tr>
      <w:tr w14:paraId="4C26B580" w14:textId="77777777" w:rsidTr="00B83F02">
        <w:tblPrEx>
          <w:tblW w:w="0" w:type="auto"/>
          <w:tblLook w:val="04A0"/>
        </w:tblPrEx>
        <w:tc>
          <w:tcPr>
            <w:tcW w:w="5395" w:type="dxa"/>
          </w:tcPr>
          <w:p w:rsidR="009B2745" w:rsidRPr="009B2745" w:rsidP="009B2745" w14:paraId="4396ABE2" w14:textId="77777777">
            <w:pPr>
              <w:rPr>
                <w:b/>
                <w:bCs/>
              </w:rPr>
            </w:pPr>
            <w:r w:rsidRPr="009B2745">
              <w:rPr>
                <w:b/>
                <w:bCs/>
              </w:rPr>
              <w:t>Total</w:t>
            </w:r>
          </w:p>
        </w:tc>
        <w:tc>
          <w:tcPr>
            <w:tcW w:w="5395" w:type="dxa"/>
            <w:shd w:val="clear" w:color="auto" w:fill="B4C6E7" w:themeFill="accent1" w:themeFillTint="66"/>
            <w:vAlign w:val="center"/>
          </w:tcPr>
          <w:p w:rsidR="009B2745" w:rsidRPr="009B2745" w:rsidP="00B83F02" w14:paraId="064CD226" w14:textId="77777777">
            <w:pPr>
              <w:jc w:val="right"/>
              <w:rPr>
                <w:b/>
                <w:bCs/>
              </w:rPr>
            </w:pPr>
            <w:r w:rsidRPr="009B2745">
              <w:rPr>
                <w:b/>
                <w:bCs/>
              </w:rPr>
              <w:t>$</w:t>
            </w:r>
          </w:p>
        </w:tc>
      </w:tr>
      <w:tr w14:paraId="3531A3F0" w14:textId="77777777" w:rsidTr="00B83F02">
        <w:tblPrEx>
          <w:tblW w:w="0" w:type="auto"/>
          <w:tblLook w:val="04A0"/>
        </w:tblPrEx>
        <w:tc>
          <w:tcPr>
            <w:tcW w:w="5395" w:type="dxa"/>
          </w:tcPr>
          <w:p w:rsidR="00551F86" w:rsidRPr="009B2745" w:rsidP="009B2745" w14:paraId="5C548C16" w14:textId="0737C565">
            <w:pPr>
              <w:rPr>
                <w:b/>
                <w:bCs/>
              </w:rPr>
            </w:pPr>
            <w:r>
              <w:rPr>
                <w:b/>
                <w:bCs/>
              </w:rPr>
              <w:t>Adjusted Net Worth</w:t>
            </w:r>
          </w:p>
        </w:tc>
        <w:tc>
          <w:tcPr>
            <w:tcW w:w="5395" w:type="dxa"/>
            <w:shd w:val="clear" w:color="auto" w:fill="B4C6E7" w:themeFill="accent1" w:themeFillTint="66"/>
            <w:vAlign w:val="center"/>
          </w:tcPr>
          <w:p w:rsidR="00551F86" w:rsidRPr="009B2745" w:rsidP="00B83F02" w14:paraId="328F0EA5" w14:textId="66AEE605">
            <w:pPr>
              <w:jc w:val="right"/>
              <w:rPr>
                <w:b/>
                <w:bCs/>
              </w:rPr>
            </w:pPr>
            <w:r>
              <w:rPr>
                <w:b/>
                <w:bCs/>
              </w:rPr>
              <w:t>$</w:t>
            </w:r>
          </w:p>
        </w:tc>
      </w:tr>
    </w:tbl>
    <w:p w:rsidR="009B2745" w:rsidRPr="00CD46D4" w:rsidP="009B2745" w14:paraId="040DC419" w14:textId="77777777">
      <w:pPr>
        <w:rPr>
          <w:sz w:val="16"/>
          <w:szCs w:val="16"/>
        </w:rPr>
      </w:pPr>
    </w:p>
    <w:p w:rsidR="001D00D8" w:rsidP="001D00D8" w14:paraId="4F95341B" w14:textId="7ADD6428">
      <w:pPr>
        <w:rPr>
          <w:shd w:val="clear" w:color="auto" w:fill="B4C6E7" w:themeFill="accent1" w:themeFillTint="66"/>
        </w:rPr>
      </w:pPr>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152754001"/>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973594922"/>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00B21525">
        <w:rPr>
          <w:shd w:val="clear" w:color="auto" w:fill="B4C6E7" w:themeFill="accent1" w:themeFillTint="66"/>
        </w:rPr>
        <w:t xml:space="preserve">  </w:t>
      </w:r>
    </w:p>
    <w:p w:rsidR="00D01933" w:rsidP="001D00D8" w14:paraId="5C98666F" w14:textId="77777777">
      <w:pPr>
        <w:rPr>
          <w:shd w:val="clear" w:color="auto" w:fill="B4C6E7" w:themeFill="accent1" w:themeFillTint="66"/>
        </w:rPr>
      </w:pPr>
    </w:p>
    <w:p w:rsidR="00D01933" w:rsidP="001D00D8" w14:paraId="2AECE7F8" w14:textId="77777777">
      <w:pPr>
        <w:rPr>
          <w:shd w:val="clear" w:color="auto" w:fill="B4C6E7" w:themeFill="accent1" w:themeFillTint="66"/>
        </w:rPr>
      </w:pPr>
    </w:p>
    <w:p w:rsidR="00D01933" w:rsidP="001D00D8" w14:paraId="5885E498" w14:textId="77777777">
      <w:pPr>
        <w:rPr>
          <w:shd w:val="clear" w:color="auto" w:fill="B4C6E7" w:themeFill="accent1" w:themeFillTint="66"/>
        </w:rPr>
      </w:pPr>
    </w:p>
    <w:p w:rsidR="00D01933" w:rsidP="001D00D8" w14:paraId="3AE9C920" w14:textId="77777777">
      <w:pPr>
        <w:rPr>
          <w:shd w:val="clear" w:color="auto" w:fill="B4C6E7" w:themeFill="accent1" w:themeFillTint="66"/>
        </w:rPr>
      </w:pPr>
    </w:p>
    <w:p w:rsidR="00D01933" w:rsidP="001D00D8" w14:paraId="609A8D2B" w14:textId="77777777">
      <w:pPr>
        <w:rPr>
          <w:shd w:val="clear" w:color="auto" w:fill="B4C6E7" w:themeFill="accent1" w:themeFillTint="66"/>
        </w:rPr>
      </w:pPr>
    </w:p>
    <w:p w:rsidR="00D01933" w:rsidP="001D00D8" w14:paraId="77C5313B" w14:textId="77777777">
      <w:pPr>
        <w:rPr>
          <w:shd w:val="clear" w:color="auto" w:fill="B4C6E7" w:themeFill="accent1" w:themeFillTint="66"/>
        </w:rPr>
      </w:pPr>
    </w:p>
    <w:p w:rsidR="00D01933" w:rsidRPr="00D1258C" w:rsidP="00C22DFC" w14:paraId="6AE3D591" w14:textId="6EEED1CA">
      <w:pPr>
        <w:jc w:val="center"/>
        <w:rPr>
          <w:shd w:val="clear" w:color="auto" w:fill="B4C6E7" w:themeFill="accent1" w:themeFillTint="66"/>
        </w:rPr>
      </w:pPr>
      <w:r w:rsidRPr="00D1258C">
        <w:rPr>
          <w:sz w:val="32"/>
          <w:szCs w:val="32"/>
        </w:rPr>
        <w:t>Computation of Capital</w:t>
      </w:r>
    </w:p>
    <w:p w:rsidR="00D01933" w:rsidP="00D01933" w14:paraId="1648D334" w14:textId="77777777">
      <w:pPr>
        <w:pStyle w:val="Heading1"/>
      </w:pPr>
      <w:r>
        <w:t>Regulated</w:t>
      </w:r>
      <w:r>
        <w:rPr>
          <w:rStyle w:val="FootnoteReference"/>
        </w:rPr>
        <w:footnoteReference w:id="12"/>
      </w:r>
      <w:r>
        <w:t xml:space="preserve"> Issuers (Non-Credit Unions)</w:t>
      </w:r>
    </w:p>
    <w:p w:rsidR="00D01933" w:rsidP="00D01933" w14:paraId="02DB3388" w14:textId="7C541804">
      <w:r>
        <w:t>Issuers that fall within this category must meet all regulatory capital requirements to be considered at least “well-capitalized” or its equivalent. If none of the ratios below are required by the applicable regulatory agency(</w:t>
      </w:r>
      <w:r>
        <w:t>ies</w:t>
      </w:r>
      <w:r>
        <w:t xml:space="preserve">), the Issuer should </w:t>
      </w:r>
      <w:r w:rsidR="00B35A53">
        <w:t xml:space="preserve">at minimum </w:t>
      </w:r>
      <w:r w:rsidR="008A05A1">
        <w:t>provide</w:t>
      </w:r>
      <w:r>
        <w:t xml:space="preserve"> </w:t>
      </w:r>
      <w:r w:rsidR="00EB3028">
        <w:t>its</w:t>
      </w:r>
      <w:r>
        <w:t xml:space="preserve"> </w:t>
      </w:r>
      <w:r w:rsidRPr="008B5C7C">
        <w:rPr>
          <w:i/>
          <w:iCs/>
        </w:rPr>
        <w:t>Leverage Ratio</w:t>
      </w:r>
      <w:r>
        <w:t xml:space="preserve"> </w:t>
      </w:r>
      <w:r w:rsidR="00EB1B70">
        <w:t xml:space="preserve">as </w:t>
      </w:r>
      <w:r>
        <w:t xml:space="preserve">required </w:t>
      </w:r>
      <w:r w:rsidR="00663740">
        <w:t xml:space="preserve">by Ginnie Mae </w:t>
      </w:r>
      <w:r>
        <w:t xml:space="preserve">for </w:t>
      </w:r>
      <w:r w:rsidRPr="008B5C7C">
        <w:rPr>
          <w:i/>
          <w:iCs/>
        </w:rPr>
        <w:t>Other Issuers</w:t>
      </w:r>
      <w:r>
        <w:t xml:space="preserve"> </w:t>
      </w:r>
      <w:r w:rsidR="0024794F">
        <w:t xml:space="preserve">(see </w:t>
      </w:r>
      <w:r>
        <w:t>below</w:t>
      </w:r>
      <w:r w:rsidR="0024794F">
        <w:t>)</w:t>
      </w:r>
      <w:r>
        <w:t xml:space="preserve">. </w:t>
      </w:r>
    </w:p>
    <w:tbl>
      <w:tblPr>
        <w:tblStyle w:val="TableGrid"/>
        <w:tblW w:w="0" w:type="auto"/>
        <w:tblLook w:val="04A0"/>
      </w:tblPr>
      <w:tblGrid>
        <w:gridCol w:w="3893"/>
        <w:gridCol w:w="1831"/>
        <w:gridCol w:w="2371"/>
        <w:gridCol w:w="2250"/>
      </w:tblGrid>
      <w:tr w14:paraId="6782F6C7" w14:textId="77777777" w:rsidTr="00355EC1">
        <w:tblPrEx>
          <w:tblW w:w="0" w:type="auto"/>
          <w:tblLook w:val="04A0"/>
        </w:tblPrEx>
        <w:tc>
          <w:tcPr>
            <w:tcW w:w="3893" w:type="dxa"/>
            <w:vAlign w:val="center"/>
          </w:tcPr>
          <w:p w:rsidR="00D01933" w:rsidRPr="00C32362" w:rsidP="00355EC1" w14:paraId="2E54A061" w14:textId="77777777">
            <w:pPr>
              <w:jc w:val="center"/>
              <w:rPr>
                <w:b/>
                <w:bCs/>
              </w:rPr>
            </w:pPr>
            <w:r w:rsidRPr="00C32362">
              <w:rPr>
                <w:b/>
                <w:bCs/>
              </w:rPr>
              <w:t>Ratios</w:t>
            </w:r>
          </w:p>
        </w:tc>
        <w:tc>
          <w:tcPr>
            <w:tcW w:w="1831" w:type="dxa"/>
            <w:vAlign w:val="center"/>
          </w:tcPr>
          <w:p w:rsidR="00D01933" w:rsidRPr="00C32362" w:rsidP="00355EC1" w14:paraId="7F997703" w14:textId="77777777">
            <w:pPr>
              <w:jc w:val="center"/>
              <w:rPr>
                <w:b/>
                <w:bCs/>
              </w:rPr>
            </w:pPr>
            <w:r w:rsidRPr="00C32362">
              <w:rPr>
                <w:b/>
                <w:bCs/>
              </w:rPr>
              <w:t>Percentage</w:t>
            </w:r>
          </w:p>
        </w:tc>
        <w:tc>
          <w:tcPr>
            <w:tcW w:w="2371" w:type="dxa"/>
          </w:tcPr>
          <w:p w:rsidR="00D01933" w:rsidRPr="00C32362" w:rsidP="00355EC1" w14:paraId="3D77B3C3" w14:textId="77777777">
            <w:pPr>
              <w:jc w:val="center"/>
              <w:rPr>
                <w:b/>
                <w:bCs/>
              </w:rPr>
            </w:pPr>
            <w:r>
              <w:rPr>
                <w:b/>
                <w:bCs/>
              </w:rPr>
              <w:t>Regulator Well-Capitalized Threshold %</w:t>
            </w:r>
          </w:p>
        </w:tc>
        <w:tc>
          <w:tcPr>
            <w:tcW w:w="2250" w:type="dxa"/>
            <w:vAlign w:val="center"/>
          </w:tcPr>
          <w:p w:rsidR="00D01933" w:rsidRPr="00C32362" w:rsidP="00355EC1" w14:paraId="34381B7A" w14:textId="77777777">
            <w:pPr>
              <w:jc w:val="center"/>
              <w:rPr>
                <w:b/>
                <w:bCs/>
              </w:rPr>
            </w:pPr>
            <w:r w:rsidRPr="00C32362">
              <w:rPr>
                <w:b/>
                <w:bCs/>
              </w:rPr>
              <w:t>Well</w:t>
            </w:r>
            <w:r>
              <w:rPr>
                <w:b/>
                <w:bCs/>
              </w:rPr>
              <w:t>-</w:t>
            </w:r>
            <w:r w:rsidRPr="00C32362">
              <w:rPr>
                <w:b/>
                <w:bCs/>
              </w:rPr>
              <w:t>Capitalized</w:t>
            </w:r>
            <w:r>
              <w:rPr>
                <w:b/>
                <w:bCs/>
              </w:rPr>
              <w:t xml:space="preserve">? </w:t>
            </w:r>
            <w:r w:rsidRPr="000B3195">
              <w:t>(X=Yes, Blank=No)</w:t>
            </w:r>
          </w:p>
        </w:tc>
      </w:tr>
      <w:tr w14:paraId="6382EDF1" w14:textId="77777777" w:rsidTr="00355EC1">
        <w:tblPrEx>
          <w:tblW w:w="0" w:type="auto"/>
          <w:tblLook w:val="04A0"/>
        </w:tblPrEx>
        <w:tc>
          <w:tcPr>
            <w:tcW w:w="3893" w:type="dxa"/>
          </w:tcPr>
          <w:p w:rsidR="00D01933" w:rsidP="00355EC1" w14:paraId="264219DE" w14:textId="77777777">
            <w:r>
              <w:t>Tier 1 Leverage Ratio</w:t>
            </w:r>
          </w:p>
        </w:tc>
        <w:tc>
          <w:tcPr>
            <w:tcW w:w="1831" w:type="dxa"/>
            <w:shd w:val="clear" w:color="auto" w:fill="B4C6E7" w:themeFill="accent1" w:themeFillTint="66"/>
            <w:vAlign w:val="center"/>
          </w:tcPr>
          <w:p w:rsidR="00D01933" w:rsidP="00355EC1" w14:paraId="50E730DD" w14:textId="77777777">
            <w:pPr>
              <w:jc w:val="center"/>
            </w:pPr>
            <w:r>
              <w:t>%</w:t>
            </w:r>
          </w:p>
        </w:tc>
        <w:tc>
          <w:tcPr>
            <w:tcW w:w="2371" w:type="dxa"/>
          </w:tcPr>
          <w:p w:rsidR="00D01933" w:rsidP="00355EC1" w14:paraId="504A789C" w14:textId="77777777">
            <w:pPr>
              <w:jc w:val="center"/>
              <w:rPr>
                <w:shd w:val="clear" w:color="auto" w:fill="B4C6E7" w:themeFill="accent1" w:themeFillTint="66"/>
              </w:rPr>
            </w:pPr>
          </w:p>
        </w:tc>
        <w:sdt>
          <w:sdtPr>
            <w:rPr>
              <w:shd w:val="clear" w:color="auto" w:fill="B4C6E7" w:themeFill="accent1" w:themeFillTint="66"/>
            </w:rPr>
            <w:id w:val="-621153051"/>
            <w14:checkbox>
              <w14:checked w14:val="0"/>
              <w14:checkedState w14:val="2612" w14:font="MS Gothic"/>
              <w14:uncheckedState w14:val="2610" w14:font="MS Gothic"/>
            </w14:checkbox>
          </w:sdtPr>
          <w:sdtContent>
            <w:tc>
              <w:tcPr>
                <w:tcW w:w="2250" w:type="dxa"/>
                <w:vAlign w:val="center"/>
              </w:tcPr>
              <w:p w:rsidR="00D01933" w:rsidP="00355EC1" w14:paraId="5401C8D8" w14:textId="77777777">
                <w:pPr>
                  <w:jc w:val="center"/>
                </w:pPr>
                <w:r>
                  <w:rPr>
                    <w:rFonts w:ascii="MS Gothic" w:eastAsia="MS Gothic" w:hAnsi="MS Gothic" w:hint="eastAsia"/>
                    <w:shd w:val="clear" w:color="auto" w:fill="B4C6E7" w:themeFill="accent1" w:themeFillTint="66"/>
                  </w:rPr>
                  <w:t>☐</w:t>
                </w:r>
              </w:p>
            </w:tc>
          </w:sdtContent>
        </w:sdt>
      </w:tr>
      <w:tr w14:paraId="17A53331" w14:textId="77777777" w:rsidTr="00355EC1">
        <w:tblPrEx>
          <w:tblW w:w="0" w:type="auto"/>
          <w:tblLook w:val="04A0"/>
        </w:tblPrEx>
        <w:tc>
          <w:tcPr>
            <w:tcW w:w="3893" w:type="dxa"/>
          </w:tcPr>
          <w:p w:rsidR="00D01933" w:rsidP="00355EC1" w14:paraId="30EF30D6" w14:textId="77777777">
            <w:r>
              <w:t>Common Equity Tier 1 Risk-Based Capital Ratio</w:t>
            </w:r>
          </w:p>
        </w:tc>
        <w:tc>
          <w:tcPr>
            <w:tcW w:w="1831" w:type="dxa"/>
            <w:shd w:val="clear" w:color="auto" w:fill="B4C6E7" w:themeFill="accent1" w:themeFillTint="66"/>
            <w:vAlign w:val="center"/>
          </w:tcPr>
          <w:p w:rsidR="00D01933" w:rsidP="00355EC1" w14:paraId="63314600" w14:textId="77777777">
            <w:pPr>
              <w:jc w:val="center"/>
            </w:pPr>
            <w:r>
              <w:t>%</w:t>
            </w:r>
          </w:p>
        </w:tc>
        <w:tc>
          <w:tcPr>
            <w:tcW w:w="2371" w:type="dxa"/>
          </w:tcPr>
          <w:p w:rsidR="00D01933" w:rsidP="00355EC1" w14:paraId="74575A0B" w14:textId="77777777">
            <w:pPr>
              <w:jc w:val="center"/>
              <w:rPr>
                <w:shd w:val="clear" w:color="auto" w:fill="B4C6E7" w:themeFill="accent1" w:themeFillTint="66"/>
              </w:rPr>
            </w:pPr>
          </w:p>
        </w:tc>
        <w:sdt>
          <w:sdtPr>
            <w:rPr>
              <w:shd w:val="clear" w:color="auto" w:fill="B4C6E7" w:themeFill="accent1" w:themeFillTint="66"/>
            </w:rPr>
            <w:id w:val="477344465"/>
            <w14:checkbox>
              <w14:checked w14:val="0"/>
              <w14:checkedState w14:val="2612" w14:font="MS Gothic"/>
              <w14:uncheckedState w14:val="2610" w14:font="MS Gothic"/>
            </w14:checkbox>
          </w:sdtPr>
          <w:sdtContent>
            <w:tc>
              <w:tcPr>
                <w:tcW w:w="2250" w:type="dxa"/>
                <w:vAlign w:val="center"/>
              </w:tcPr>
              <w:p w:rsidR="00D01933" w:rsidP="00355EC1" w14:paraId="5626555A" w14:textId="77777777">
                <w:pPr>
                  <w:jc w:val="center"/>
                </w:pPr>
                <w:r w:rsidRPr="003E4BE5">
                  <w:rPr>
                    <w:rFonts w:ascii="MS Gothic" w:eastAsia="MS Gothic" w:hAnsi="MS Gothic" w:hint="eastAsia"/>
                    <w:shd w:val="clear" w:color="auto" w:fill="B4C6E7" w:themeFill="accent1" w:themeFillTint="66"/>
                  </w:rPr>
                  <w:t>☐</w:t>
                </w:r>
              </w:p>
            </w:tc>
          </w:sdtContent>
        </w:sdt>
      </w:tr>
      <w:tr w14:paraId="370BDDBA" w14:textId="77777777" w:rsidTr="00355EC1">
        <w:tblPrEx>
          <w:tblW w:w="0" w:type="auto"/>
          <w:tblLook w:val="04A0"/>
        </w:tblPrEx>
        <w:tc>
          <w:tcPr>
            <w:tcW w:w="3893" w:type="dxa"/>
          </w:tcPr>
          <w:p w:rsidR="00D01933" w:rsidP="00355EC1" w14:paraId="37A99BF1" w14:textId="77777777">
            <w:r>
              <w:t>Tier 1 Risk-Based Capital Ratio</w:t>
            </w:r>
          </w:p>
        </w:tc>
        <w:tc>
          <w:tcPr>
            <w:tcW w:w="1831" w:type="dxa"/>
            <w:shd w:val="clear" w:color="auto" w:fill="B4C6E7" w:themeFill="accent1" w:themeFillTint="66"/>
            <w:vAlign w:val="center"/>
          </w:tcPr>
          <w:p w:rsidR="00D01933" w:rsidP="00355EC1" w14:paraId="00D04EC9" w14:textId="77777777">
            <w:pPr>
              <w:jc w:val="center"/>
            </w:pPr>
            <w:r>
              <w:t>%</w:t>
            </w:r>
          </w:p>
        </w:tc>
        <w:tc>
          <w:tcPr>
            <w:tcW w:w="2371" w:type="dxa"/>
          </w:tcPr>
          <w:p w:rsidR="00D01933" w:rsidP="00355EC1" w14:paraId="526B2D84" w14:textId="77777777">
            <w:pPr>
              <w:jc w:val="center"/>
              <w:rPr>
                <w:shd w:val="clear" w:color="auto" w:fill="B4C6E7" w:themeFill="accent1" w:themeFillTint="66"/>
              </w:rPr>
            </w:pPr>
          </w:p>
        </w:tc>
        <w:sdt>
          <w:sdtPr>
            <w:rPr>
              <w:shd w:val="clear" w:color="auto" w:fill="B4C6E7" w:themeFill="accent1" w:themeFillTint="66"/>
            </w:rPr>
            <w:id w:val="167452356"/>
            <w14:checkbox>
              <w14:checked w14:val="0"/>
              <w14:checkedState w14:val="2612" w14:font="MS Gothic"/>
              <w14:uncheckedState w14:val="2610" w14:font="MS Gothic"/>
            </w14:checkbox>
          </w:sdtPr>
          <w:sdtContent>
            <w:tc>
              <w:tcPr>
                <w:tcW w:w="2250" w:type="dxa"/>
                <w:vAlign w:val="center"/>
              </w:tcPr>
              <w:p w:rsidR="00D01933" w:rsidP="00355EC1" w14:paraId="74BDF924" w14:textId="77777777">
                <w:pPr>
                  <w:jc w:val="center"/>
                </w:pPr>
                <w:r w:rsidRPr="003E4BE5">
                  <w:rPr>
                    <w:rFonts w:ascii="MS Gothic" w:eastAsia="MS Gothic" w:hAnsi="MS Gothic" w:hint="eastAsia"/>
                    <w:shd w:val="clear" w:color="auto" w:fill="B4C6E7" w:themeFill="accent1" w:themeFillTint="66"/>
                  </w:rPr>
                  <w:t>☐</w:t>
                </w:r>
              </w:p>
            </w:tc>
          </w:sdtContent>
        </w:sdt>
      </w:tr>
      <w:tr w14:paraId="3592C6E1" w14:textId="77777777" w:rsidTr="00355EC1">
        <w:tblPrEx>
          <w:tblW w:w="0" w:type="auto"/>
          <w:tblLook w:val="04A0"/>
        </w:tblPrEx>
        <w:tc>
          <w:tcPr>
            <w:tcW w:w="3893" w:type="dxa"/>
          </w:tcPr>
          <w:p w:rsidR="00D01933" w:rsidP="00355EC1" w14:paraId="5D4607F4" w14:textId="77777777">
            <w:r>
              <w:t>Total Risk-Based Capital Ratio</w:t>
            </w:r>
          </w:p>
        </w:tc>
        <w:tc>
          <w:tcPr>
            <w:tcW w:w="1831" w:type="dxa"/>
            <w:shd w:val="clear" w:color="auto" w:fill="B4C6E7" w:themeFill="accent1" w:themeFillTint="66"/>
            <w:vAlign w:val="center"/>
          </w:tcPr>
          <w:p w:rsidR="00D01933" w:rsidP="00355EC1" w14:paraId="62ABFE3F" w14:textId="77777777">
            <w:pPr>
              <w:jc w:val="center"/>
            </w:pPr>
            <w:r>
              <w:t>%</w:t>
            </w:r>
          </w:p>
        </w:tc>
        <w:tc>
          <w:tcPr>
            <w:tcW w:w="2371" w:type="dxa"/>
          </w:tcPr>
          <w:p w:rsidR="00D01933" w:rsidP="00355EC1" w14:paraId="7B459239" w14:textId="77777777">
            <w:pPr>
              <w:jc w:val="center"/>
              <w:rPr>
                <w:shd w:val="clear" w:color="auto" w:fill="B4C6E7" w:themeFill="accent1" w:themeFillTint="66"/>
              </w:rPr>
            </w:pPr>
          </w:p>
        </w:tc>
        <w:sdt>
          <w:sdtPr>
            <w:rPr>
              <w:shd w:val="clear" w:color="auto" w:fill="B4C6E7" w:themeFill="accent1" w:themeFillTint="66"/>
            </w:rPr>
            <w:id w:val="-225756790"/>
            <w14:checkbox>
              <w14:checked w14:val="0"/>
              <w14:checkedState w14:val="2612" w14:font="MS Gothic"/>
              <w14:uncheckedState w14:val="2610" w14:font="MS Gothic"/>
            </w14:checkbox>
          </w:sdtPr>
          <w:sdtContent>
            <w:tc>
              <w:tcPr>
                <w:tcW w:w="2250" w:type="dxa"/>
                <w:vAlign w:val="center"/>
              </w:tcPr>
              <w:p w:rsidR="00D01933" w:rsidP="00355EC1" w14:paraId="37077EA8" w14:textId="77777777">
                <w:pPr>
                  <w:jc w:val="center"/>
                </w:pPr>
                <w:r w:rsidRPr="003E4BE5">
                  <w:rPr>
                    <w:rFonts w:ascii="MS Gothic" w:eastAsia="MS Gothic" w:hAnsi="MS Gothic" w:hint="eastAsia"/>
                    <w:shd w:val="clear" w:color="auto" w:fill="B4C6E7" w:themeFill="accent1" w:themeFillTint="66"/>
                  </w:rPr>
                  <w:t>☐</w:t>
                </w:r>
              </w:p>
            </w:tc>
          </w:sdtContent>
        </w:sdt>
      </w:tr>
    </w:tbl>
    <w:p w:rsidR="00D01933" w:rsidP="00D01933" w14:paraId="5AE46307" w14:textId="77777777"/>
    <w:p w:rsidR="00D01933" w:rsidP="00D01933" w14:paraId="06B7F3B7" w14:textId="77777777">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1444886689"/>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735931773"/>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P="00D01933" w14:paraId="5A0D63BC" w14:textId="77777777">
      <w:pPr>
        <w:pStyle w:val="Heading1"/>
      </w:pPr>
      <w:r>
        <w:t>Regulated</w:t>
      </w:r>
      <w:r>
        <w:rPr>
          <w:rStyle w:val="FootnoteReference"/>
        </w:rPr>
        <w:footnoteReference w:id="13"/>
      </w:r>
      <w:r>
        <w:t xml:space="preserve"> Issuers (Credit Unions) </w:t>
      </w:r>
    </w:p>
    <w:p w:rsidR="00D01933" w:rsidP="00D01933" w14:paraId="4EB7FC3C" w14:textId="77777777">
      <w:r>
        <w:t>Issuers that fall within this category must meet all regulatory capital requirements to be considered at least “well-capitalized” or its equivalent.</w:t>
      </w:r>
    </w:p>
    <w:tbl>
      <w:tblPr>
        <w:tblStyle w:val="TableGrid"/>
        <w:tblW w:w="0" w:type="auto"/>
        <w:tblLook w:val="04A0"/>
      </w:tblPr>
      <w:tblGrid>
        <w:gridCol w:w="3893"/>
        <w:gridCol w:w="2672"/>
        <w:gridCol w:w="3510"/>
      </w:tblGrid>
      <w:tr w14:paraId="19B90BDA" w14:textId="77777777" w:rsidTr="00355EC1">
        <w:tblPrEx>
          <w:tblW w:w="0" w:type="auto"/>
          <w:tblLook w:val="04A0"/>
        </w:tblPrEx>
        <w:tc>
          <w:tcPr>
            <w:tcW w:w="3893" w:type="dxa"/>
            <w:vAlign w:val="center"/>
          </w:tcPr>
          <w:p w:rsidR="00D01933" w:rsidRPr="00C32362" w:rsidP="00355EC1" w14:paraId="03547AF1" w14:textId="77777777">
            <w:pPr>
              <w:jc w:val="center"/>
              <w:rPr>
                <w:b/>
                <w:bCs/>
              </w:rPr>
            </w:pPr>
            <w:r>
              <w:rPr>
                <w:b/>
                <w:bCs/>
              </w:rPr>
              <w:t>Are you a Complex Credit Union?</w:t>
            </w:r>
          </w:p>
        </w:tc>
        <w:tc>
          <w:tcPr>
            <w:tcW w:w="2672" w:type="dxa"/>
            <w:tcBorders>
              <w:bottom w:val="single" w:sz="4" w:space="0" w:color="auto"/>
            </w:tcBorders>
            <w:vAlign w:val="center"/>
          </w:tcPr>
          <w:p w:rsidR="00D01933" w:rsidRPr="00C32362" w:rsidP="00355EC1" w14:paraId="5AFD2DAA" w14:textId="77777777">
            <w:pPr>
              <w:jc w:val="center"/>
              <w:rPr>
                <w:b/>
                <w:bCs/>
              </w:rPr>
            </w:pPr>
            <w:r>
              <w:rPr>
                <w:b/>
                <w:bCs/>
              </w:rPr>
              <w:t>Amount/Percentage</w:t>
            </w:r>
          </w:p>
        </w:tc>
        <w:tc>
          <w:tcPr>
            <w:tcW w:w="3510" w:type="dxa"/>
            <w:tcBorders>
              <w:bottom w:val="single" w:sz="4" w:space="0" w:color="auto"/>
            </w:tcBorders>
            <w:vAlign w:val="center"/>
          </w:tcPr>
          <w:p w:rsidR="00D01933" w:rsidRPr="00C32362" w:rsidP="00355EC1" w14:paraId="3DCDC2DA" w14:textId="77777777">
            <w:pPr>
              <w:jc w:val="center"/>
              <w:rPr>
                <w:b/>
                <w:bCs/>
              </w:rPr>
            </w:pPr>
            <w:r w:rsidRPr="00C32362">
              <w:rPr>
                <w:b/>
                <w:bCs/>
              </w:rPr>
              <w:t>Well</w:t>
            </w:r>
            <w:r>
              <w:rPr>
                <w:b/>
                <w:bCs/>
              </w:rPr>
              <w:t>-</w:t>
            </w:r>
            <w:r w:rsidRPr="00C32362">
              <w:rPr>
                <w:b/>
                <w:bCs/>
              </w:rPr>
              <w:t>Capitalized</w:t>
            </w:r>
            <w:r>
              <w:rPr>
                <w:b/>
                <w:bCs/>
              </w:rPr>
              <w:t xml:space="preserve">? </w:t>
            </w:r>
            <w:r w:rsidRPr="000B3195">
              <w:t>(X=Yes, Blank=No)</w:t>
            </w:r>
          </w:p>
        </w:tc>
      </w:tr>
      <w:tr w14:paraId="3A090025" w14:textId="77777777" w:rsidTr="00355EC1">
        <w:tblPrEx>
          <w:tblW w:w="0" w:type="auto"/>
          <w:tblLook w:val="04A0"/>
        </w:tblPrEx>
        <w:tc>
          <w:tcPr>
            <w:tcW w:w="3893" w:type="dxa"/>
          </w:tcPr>
          <w:p w:rsidR="00D01933" w:rsidP="00355EC1" w14:paraId="6B0857D3" w14:textId="77777777">
            <w:r>
              <w:t xml:space="preserve">If </w:t>
            </w:r>
            <w:r>
              <w:t>Yes</w:t>
            </w:r>
            <w:r>
              <w:t xml:space="preserve">, </w:t>
            </w:r>
          </w:p>
        </w:tc>
        <w:tc>
          <w:tcPr>
            <w:tcW w:w="2672" w:type="dxa"/>
            <w:shd w:val="clear" w:color="auto" w:fill="BFBFBF" w:themeFill="background1" w:themeFillShade="BF"/>
            <w:vAlign w:val="center"/>
          </w:tcPr>
          <w:p w:rsidR="00D01933" w:rsidP="00355EC1" w14:paraId="3A1E2B3F" w14:textId="77777777">
            <w:pPr>
              <w:jc w:val="center"/>
            </w:pPr>
          </w:p>
        </w:tc>
        <w:tc>
          <w:tcPr>
            <w:tcW w:w="3510" w:type="dxa"/>
            <w:tcBorders>
              <w:bottom w:val="single" w:sz="4" w:space="0" w:color="auto"/>
            </w:tcBorders>
            <w:shd w:val="clear" w:color="auto" w:fill="BFBFBF" w:themeFill="background1" w:themeFillShade="BF"/>
            <w:vAlign w:val="center"/>
          </w:tcPr>
          <w:p w:rsidR="00D01933" w:rsidP="00355EC1" w14:paraId="326DD173" w14:textId="77777777">
            <w:pPr>
              <w:jc w:val="center"/>
            </w:pPr>
          </w:p>
        </w:tc>
      </w:tr>
      <w:tr w14:paraId="39C14084" w14:textId="77777777" w:rsidTr="00355EC1">
        <w:tblPrEx>
          <w:tblW w:w="0" w:type="auto"/>
          <w:tblLook w:val="04A0"/>
        </w:tblPrEx>
        <w:tc>
          <w:tcPr>
            <w:tcW w:w="3893" w:type="dxa"/>
          </w:tcPr>
          <w:p w:rsidR="00D01933" w:rsidP="00D01933" w14:paraId="06575D58" w14:textId="77777777">
            <w:pPr>
              <w:pStyle w:val="ListParagraph"/>
              <w:numPr>
                <w:ilvl w:val="0"/>
                <w:numId w:val="1"/>
              </w:numPr>
            </w:pPr>
            <w:r w:rsidRPr="009825C3">
              <w:t>Net Worth</w:t>
            </w:r>
          </w:p>
        </w:tc>
        <w:tc>
          <w:tcPr>
            <w:tcW w:w="2672" w:type="dxa"/>
            <w:shd w:val="clear" w:color="auto" w:fill="B4C6E7" w:themeFill="accent1" w:themeFillTint="66"/>
          </w:tcPr>
          <w:p w:rsidR="00D01933" w:rsidP="00355EC1" w14:paraId="60A49A89" w14:textId="77777777">
            <w:pPr>
              <w:jc w:val="center"/>
            </w:pPr>
            <w:r w:rsidRPr="0064376E">
              <w:t>$</w:t>
            </w:r>
          </w:p>
        </w:tc>
        <w:tc>
          <w:tcPr>
            <w:tcW w:w="3510" w:type="dxa"/>
            <w:shd w:val="clear" w:color="auto" w:fill="BFBFBF" w:themeFill="background1" w:themeFillShade="BF"/>
            <w:vAlign w:val="center"/>
          </w:tcPr>
          <w:p w:rsidR="00D01933" w:rsidP="00355EC1" w14:paraId="25C961FF" w14:textId="77777777">
            <w:pPr>
              <w:jc w:val="center"/>
            </w:pPr>
          </w:p>
        </w:tc>
      </w:tr>
      <w:tr w14:paraId="6EDF1A76" w14:textId="77777777" w:rsidTr="00355EC1">
        <w:tblPrEx>
          <w:tblW w:w="0" w:type="auto"/>
          <w:tblLook w:val="04A0"/>
        </w:tblPrEx>
        <w:tc>
          <w:tcPr>
            <w:tcW w:w="3893" w:type="dxa"/>
          </w:tcPr>
          <w:p w:rsidR="00D01933" w:rsidP="00D01933" w14:paraId="45D4C95E" w14:textId="77777777">
            <w:pPr>
              <w:pStyle w:val="ListParagraph"/>
              <w:numPr>
                <w:ilvl w:val="0"/>
                <w:numId w:val="1"/>
              </w:numPr>
            </w:pPr>
            <w:r w:rsidRPr="009825C3">
              <w:t>Total Assets</w:t>
            </w:r>
          </w:p>
        </w:tc>
        <w:tc>
          <w:tcPr>
            <w:tcW w:w="2672" w:type="dxa"/>
            <w:shd w:val="clear" w:color="auto" w:fill="B4C6E7" w:themeFill="accent1" w:themeFillTint="66"/>
          </w:tcPr>
          <w:p w:rsidR="00D01933" w:rsidP="00355EC1" w14:paraId="0F3DE495" w14:textId="77777777">
            <w:pPr>
              <w:jc w:val="center"/>
            </w:pPr>
            <w:r w:rsidRPr="0064376E">
              <w:t>$</w:t>
            </w:r>
          </w:p>
        </w:tc>
        <w:tc>
          <w:tcPr>
            <w:tcW w:w="3510" w:type="dxa"/>
            <w:shd w:val="clear" w:color="auto" w:fill="BFBFBF" w:themeFill="background1" w:themeFillShade="BF"/>
            <w:vAlign w:val="center"/>
          </w:tcPr>
          <w:p w:rsidR="00D01933" w:rsidP="00355EC1" w14:paraId="5476DBE7" w14:textId="77777777">
            <w:pPr>
              <w:jc w:val="center"/>
            </w:pPr>
          </w:p>
        </w:tc>
      </w:tr>
      <w:tr w14:paraId="06E49AA8" w14:textId="77777777" w:rsidTr="00355EC1">
        <w:tblPrEx>
          <w:tblW w:w="0" w:type="auto"/>
          <w:tblLook w:val="04A0"/>
        </w:tblPrEx>
        <w:tc>
          <w:tcPr>
            <w:tcW w:w="3893" w:type="dxa"/>
          </w:tcPr>
          <w:p w:rsidR="00D01933" w:rsidP="00D01933" w14:paraId="00071024" w14:textId="77777777">
            <w:pPr>
              <w:pStyle w:val="ListParagraph"/>
              <w:numPr>
                <w:ilvl w:val="0"/>
                <w:numId w:val="1"/>
              </w:numPr>
            </w:pPr>
            <w:r w:rsidRPr="009825C3">
              <w:t>Net Worth Ratio</w:t>
            </w:r>
          </w:p>
        </w:tc>
        <w:tc>
          <w:tcPr>
            <w:tcW w:w="2672" w:type="dxa"/>
            <w:shd w:val="clear" w:color="auto" w:fill="B4C6E7" w:themeFill="accent1" w:themeFillTint="66"/>
            <w:vAlign w:val="center"/>
          </w:tcPr>
          <w:p w:rsidR="00D01933" w:rsidP="00355EC1" w14:paraId="2A02DE84" w14:textId="77777777">
            <w:pPr>
              <w:jc w:val="center"/>
            </w:pPr>
            <w:r>
              <w:t>%</w:t>
            </w:r>
          </w:p>
        </w:tc>
        <w:sdt>
          <w:sdtPr>
            <w:rPr>
              <w:shd w:val="clear" w:color="auto" w:fill="B4C6E7" w:themeFill="accent1" w:themeFillTint="66"/>
            </w:rPr>
            <w:id w:val="1041247530"/>
            <w14:checkbox>
              <w14:checked w14:val="0"/>
              <w14:checkedState w14:val="2612" w14:font="MS Gothic"/>
              <w14:uncheckedState w14:val="2610" w14:font="MS Gothic"/>
            </w14:checkbox>
          </w:sdtPr>
          <w:sdtContent>
            <w:tc>
              <w:tcPr>
                <w:tcW w:w="3510" w:type="dxa"/>
                <w:tcBorders>
                  <w:bottom w:val="single" w:sz="4" w:space="0" w:color="auto"/>
                </w:tcBorders>
                <w:vAlign w:val="center"/>
              </w:tcPr>
              <w:p w:rsidR="00D01933" w:rsidP="00355EC1" w14:paraId="4B1F3297" w14:textId="77777777">
                <w:pPr>
                  <w:jc w:val="center"/>
                  <w:rPr>
                    <w:shd w:val="clear" w:color="auto" w:fill="B4C6E7" w:themeFill="accent1" w:themeFillTint="66"/>
                  </w:rPr>
                </w:pPr>
                <w:r>
                  <w:rPr>
                    <w:rFonts w:ascii="MS Gothic" w:eastAsia="MS Gothic" w:hAnsi="MS Gothic" w:hint="eastAsia"/>
                    <w:shd w:val="clear" w:color="auto" w:fill="B4C6E7" w:themeFill="accent1" w:themeFillTint="66"/>
                  </w:rPr>
                  <w:t>☐</w:t>
                </w:r>
              </w:p>
            </w:tc>
          </w:sdtContent>
        </w:sdt>
      </w:tr>
      <w:tr w14:paraId="6651A692" w14:textId="77777777" w:rsidTr="00355EC1">
        <w:tblPrEx>
          <w:tblW w:w="0" w:type="auto"/>
          <w:tblLook w:val="04A0"/>
        </w:tblPrEx>
        <w:tc>
          <w:tcPr>
            <w:tcW w:w="3893" w:type="dxa"/>
          </w:tcPr>
          <w:p w:rsidR="00D01933" w:rsidRPr="009825C3" w:rsidP="00355EC1" w14:paraId="0B0DE3AB" w14:textId="77777777">
            <w:r>
              <w:t xml:space="preserve">If No, </w:t>
            </w:r>
          </w:p>
        </w:tc>
        <w:tc>
          <w:tcPr>
            <w:tcW w:w="2672" w:type="dxa"/>
            <w:shd w:val="clear" w:color="auto" w:fill="BFBFBF" w:themeFill="background1" w:themeFillShade="BF"/>
            <w:vAlign w:val="center"/>
          </w:tcPr>
          <w:p w:rsidR="00D01933" w:rsidP="00355EC1" w14:paraId="2EE3D949" w14:textId="77777777">
            <w:pPr>
              <w:jc w:val="center"/>
            </w:pPr>
          </w:p>
        </w:tc>
        <w:tc>
          <w:tcPr>
            <w:tcW w:w="3510" w:type="dxa"/>
            <w:shd w:val="clear" w:color="auto" w:fill="BFBFBF" w:themeFill="background1" w:themeFillShade="BF"/>
            <w:vAlign w:val="center"/>
          </w:tcPr>
          <w:p w:rsidR="00D01933" w:rsidP="00355EC1" w14:paraId="761387E7" w14:textId="77777777">
            <w:pPr>
              <w:jc w:val="center"/>
              <w:rPr>
                <w:shd w:val="clear" w:color="auto" w:fill="B4C6E7" w:themeFill="accent1" w:themeFillTint="66"/>
              </w:rPr>
            </w:pPr>
          </w:p>
        </w:tc>
      </w:tr>
      <w:tr w14:paraId="415A8FAA" w14:textId="77777777" w:rsidTr="00355EC1">
        <w:tblPrEx>
          <w:tblW w:w="0" w:type="auto"/>
          <w:tblLook w:val="04A0"/>
        </w:tblPrEx>
        <w:tc>
          <w:tcPr>
            <w:tcW w:w="3893" w:type="dxa"/>
          </w:tcPr>
          <w:p w:rsidR="00D01933" w:rsidRPr="009825C3" w:rsidP="00D01933" w14:paraId="65702067" w14:textId="77777777">
            <w:pPr>
              <w:pStyle w:val="ListParagraph"/>
              <w:numPr>
                <w:ilvl w:val="0"/>
                <w:numId w:val="1"/>
              </w:numPr>
            </w:pPr>
            <w:r w:rsidRPr="009825C3">
              <w:t>Total R</w:t>
            </w:r>
            <w:r>
              <w:t>isk Based Capital</w:t>
            </w:r>
            <w:r w:rsidRPr="009825C3">
              <w:t xml:space="preserve"> Numerator</w:t>
            </w:r>
          </w:p>
        </w:tc>
        <w:tc>
          <w:tcPr>
            <w:tcW w:w="2672" w:type="dxa"/>
            <w:shd w:val="clear" w:color="auto" w:fill="B4C6E7" w:themeFill="accent1" w:themeFillTint="66"/>
          </w:tcPr>
          <w:p w:rsidR="00D01933" w:rsidP="00355EC1" w14:paraId="199808CE" w14:textId="77777777">
            <w:pPr>
              <w:jc w:val="center"/>
            </w:pPr>
            <w:r w:rsidRPr="009C1EAE">
              <w:t>$</w:t>
            </w:r>
          </w:p>
        </w:tc>
        <w:tc>
          <w:tcPr>
            <w:tcW w:w="3510" w:type="dxa"/>
            <w:shd w:val="clear" w:color="auto" w:fill="BFBFBF" w:themeFill="background1" w:themeFillShade="BF"/>
            <w:vAlign w:val="center"/>
          </w:tcPr>
          <w:p w:rsidR="00D01933" w:rsidP="00355EC1" w14:paraId="78968433" w14:textId="77777777">
            <w:pPr>
              <w:jc w:val="center"/>
              <w:rPr>
                <w:shd w:val="clear" w:color="auto" w:fill="B4C6E7" w:themeFill="accent1" w:themeFillTint="66"/>
              </w:rPr>
            </w:pPr>
          </w:p>
        </w:tc>
      </w:tr>
      <w:tr w14:paraId="5031111F" w14:textId="77777777" w:rsidTr="00355EC1">
        <w:tblPrEx>
          <w:tblW w:w="0" w:type="auto"/>
          <w:tblLook w:val="04A0"/>
        </w:tblPrEx>
        <w:tc>
          <w:tcPr>
            <w:tcW w:w="3893" w:type="dxa"/>
          </w:tcPr>
          <w:p w:rsidR="00D01933" w:rsidRPr="009825C3" w:rsidP="00D01933" w14:paraId="4A463F67" w14:textId="77777777">
            <w:pPr>
              <w:pStyle w:val="ListParagraph"/>
              <w:numPr>
                <w:ilvl w:val="0"/>
                <w:numId w:val="1"/>
              </w:numPr>
            </w:pPr>
            <w:r w:rsidRPr="009825C3">
              <w:t>Risk-weighted Assets</w:t>
            </w:r>
          </w:p>
        </w:tc>
        <w:tc>
          <w:tcPr>
            <w:tcW w:w="2672" w:type="dxa"/>
            <w:shd w:val="clear" w:color="auto" w:fill="B4C6E7" w:themeFill="accent1" w:themeFillTint="66"/>
          </w:tcPr>
          <w:p w:rsidR="00D01933" w:rsidP="00355EC1" w14:paraId="03FB39AC" w14:textId="77777777">
            <w:pPr>
              <w:jc w:val="center"/>
            </w:pPr>
            <w:r w:rsidRPr="009C1EAE">
              <w:t>$</w:t>
            </w:r>
          </w:p>
        </w:tc>
        <w:tc>
          <w:tcPr>
            <w:tcW w:w="3510" w:type="dxa"/>
            <w:shd w:val="clear" w:color="auto" w:fill="BFBFBF" w:themeFill="background1" w:themeFillShade="BF"/>
            <w:vAlign w:val="center"/>
          </w:tcPr>
          <w:p w:rsidR="00D01933" w:rsidP="00355EC1" w14:paraId="57E03A7F" w14:textId="77777777">
            <w:pPr>
              <w:jc w:val="center"/>
              <w:rPr>
                <w:shd w:val="clear" w:color="auto" w:fill="B4C6E7" w:themeFill="accent1" w:themeFillTint="66"/>
              </w:rPr>
            </w:pPr>
          </w:p>
        </w:tc>
      </w:tr>
      <w:tr w14:paraId="491C566A" w14:textId="77777777" w:rsidTr="00355EC1">
        <w:tblPrEx>
          <w:tblW w:w="0" w:type="auto"/>
          <w:tblLook w:val="04A0"/>
        </w:tblPrEx>
        <w:tc>
          <w:tcPr>
            <w:tcW w:w="3893" w:type="dxa"/>
          </w:tcPr>
          <w:p w:rsidR="00D01933" w:rsidRPr="009825C3" w:rsidP="00D01933" w14:paraId="056ABD30" w14:textId="77777777">
            <w:pPr>
              <w:pStyle w:val="ListParagraph"/>
              <w:numPr>
                <w:ilvl w:val="0"/>
                <w:numId w:val="1"/>
              </w:numPr>
            </w:pPr>
            <w:r w:rsidRPr="009825C3">
              <w:t>R</w:t>
            </w:r>
            <w:r>
              <w:t>isk Based Capital</w:t>
            </w:r>
            <w:r w:rsidRPr="009825C3">
              <w:t xml:space="preserve"> </w:t>
            </w:r>
            <w:r>
              <w:t>R</w:t>
            </w:r>
            <w:r w:rsidRPr="009825C3">
              <w:t>atio</w:t>
            </w:r>
          </w:p>
        </w:tc>
        <w:tc>
          <w:tcPr>
            <w:tcW w:w="2672" w:type="dxa"/>
            <w:shd w:val="clear" w:color="auto" w:fill="B4C6E7" w:themeFill="accent1" w:themeFillTint="66"/>
            <w:vAlign w:val="center"/>
          </w:tcPr>
          <w:p w:rsidR="00D01933" w:rsidP="00355EC1" w14:paraId="6AE895A1" w14:textId="77777777">
            <w:pPr>
              <w:jc w:val="center"/>
            </w:pPr>
            <w:r>
              <w:t>%</w:t>
            </w:r>
          </w:p>
        </w:tc>
        <w:sdt>
          <w:sdtPr>
            <w:rPr>
              <w:shd w:val="clear" w:color="auto" w:fill="B4C6E7" w:themeFill="accent1" w:themeFillTint="66"/>
            </w:rPr>
            <w:id w:val="2108917251"/>
            <w14:checkbox>
              <w14:checked w14:val="0"/>
              <w14:checkedState w14:val="2612" w14:font="MS Gothic"/>
              <w14:uncheckedState w14:val="2610" w14:font="MS Gothic"/>
            </w14:checkbox>
          </w:sdtPr>
          <w:sdtContent>
            <w:tc>
              <w:tcPr>
                <w:tcW w:w="3510" w:type="dxa"/>
                <w:vAlign w:val="center"/>
              </w:tcPr>
              <w:p w:rsidR="00D01933" w:rsidP="00355EC1" w14:paraId="77C12E5B" w14:textId="77777777">
                <w:pPr>
                  <w:jc w:val="center"/>
                  <w:rPr>
                    <w:shd w:val="clear" w:color="auto" w:fill="B4C6E7" w:themeFill="accent1" w:themeFillTint="66"/>
                  </w:rPr>
                </w:pPr>
                <w:r>
                  <w:rPr>
                    <w:rFonts w:ascii="MS Gothic" w:eastAsia="MS Gothic" w:hAnsi="MS Gothic" w:hint="eastAsia"/>
                    <w:shd w:val="clear" w:color="auto" w:fill="B4C6E7" w:themeFill="accent1" w:themeFillTint="66"/>
                  </w:rPr>
                  <w:t>☐</w:t>
                </w:r>
              </w:p>
            </w:tc>
          </w:sdtContent>
        </w:sdt>
      </w:tr>
    </w:tbl>
    <w:p w:rsidR="00D01933" w:rsidP="00D01933" w14:paraId="5F2BF600" w14:textId="77777777">
      <w:pPr>
        <w:rPr>
          <w:b/>
          <w:bCs/>
          <w:color w:val="FF0000"/>
        </w:rPr>
      </w:pPr>
    </w:p>
    <w:p w:rsidR="00D01933" w:rsidP="00D01933" w14:paraId="34894181" w14:textId="77777777">
      <w:pPr>
        <w:rPr>
          <w:shd w:val="clear" w:color="auto" w:fill="B4C6E7" w:themeFill="accent1" w:themeFillTint="66"/>
        </w:rPr>
      </w:pPr>
      <w:r w:rsidRPr="00C25FFB">
        <w:rPr>
          <w:b/>
          <w:bCs/>
          <w:color w:val="FF0000"/>
        </w:rPr>
        <w:t xml:space="preserve">Compliant with </w:t>
      </w:r>
      <w:r>
        <w:rPr>
          <w:b/>
          <w:bCs/>
          <w:color w:val="FF0000"/>
        </w:rPr>
        <w:t xml:space="preserve">NCUA Well-Capitalized </w:t>
      </w:r>
      <w:r w:rsidRPr="00C25FFB">
        <w:rPr>
          <w:b/>
          <w:bCs/>
          <w:color w:val="FF0000"/>
        </w:rPr>
        <w:t>Requirement</w:t>
      </w:r>
      <w:r>
        <w:rPr>
          <w:b/>
          <w:bCs/>
          <w:color w:val="FF0000"/>
        </w:rPr>
        <w:t>?</w:t>
      </w:r>
      <w:r w:rsidRPr="00C25FFB">
        <w:rPr>
          <w:color w:val="FF0000"/>
        </w:rPr>
        <w:t xml:space="preserve"> </w:t>
      </w:r>
      <w:r>
        <w:tab/>
        <w:t xml:space="preserve">Yes </w:t>
      </w:r>
      <w:sdt>
        <w:sdtPr>
          <w:rPr>
            <w:shd w:val="clear" w:color="auto" w:fill="B4C6E7" w:themeFill="accent1" w:themeFillTint="66"/>
          </w:rPr>
          <w:id w:val="-2020232154"/>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1811368434"/>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FE321D" w:rsidP="00D01933" w14:paraId="580785DB" w14:textId="77777777"/>
    <w:p w:rsidR="00D01933" w:rsidP="00D01933" w14:paraId="10A2D419" w14:textId="77777777">
      <w:pPr>
        <w:pStyle w:val="Heading1"/>
      </w:pPr>
      <w:r>
        <w:t>US State or Territory</w:t>
      </w:r>
    </w:p>
    <w:p w:rsidR="00D01933" w:rsidP="00D01933" w14:paraId="51AF7B94" w14:textId="77777777">
      <w:r>
        <w:t>Issuers that are instrumentalities of a US state or territory, including but not limited to State Housing Finance Authorities or Agencies, are not subject to institution-wide capital requirements.</w:t>
      </w:r>
    </w:p>
    <w:p w:rsidR="00D01933" w:rsidP="00D01933" w14:paraId="5424B4F5" w14:textId="77777777">
      <w:pPr>
        <w:pStyle w:val="Heading1"/>
      </w:pPr>
      <w:r>
        <w:t>Other Issuers</w:t>
      </w:r>
      <w:r>
        <w:rPr>
          <w:rStyle w:val="FootnoteReference"/>
        </w:rPr>
        <w:footnoteReference w:id="14"/>
      </w:r>
    </w:p>
    <w:p w:rsidR="00D01933" w:rsidP="00D01933" w14:paraId="1F3EECD4" w14:textId="77777777">
      <w:pPr>
        <w:pStyle w:val="Heading2"/>
      </w:pPr>
      <w:r>
        <w:t>Leverage Ratio</w:t>
      </w:r>
    </w:p>
    <w:p w:rsidR="00D01933" w:rsidRPr="000D1E4B" w:rsidP="00D01933" w14:paraId="4C1041FA" w14:textId="77777777">
      <w:r>
        <w:t xml:space="preserve">The Leverage Ratio is required for all other Issuers. There are additional single-family and manufactured home Issuer requirements </w:t>
      </w:r>
      <w:r w:rsidRPr="009C3005">
        <w:rPr>
          <w:i/>
          <w:iCs/>
        </w:rPr>
        <w:t>in addition to</w:t>
      </w:r>
      <w:r>
        <w:t xml:space="preserve"> the Leverage Ratio which must be completed below. </w:t>
      </w:r>
    </w:p>
    <w:tbl>
      <w:tblPr>
        <w:tblStyle w:val="TableGrid"/>
        <w:tblW w:w="0" w:type="auto"/>
        <w:tblLook w:val="04A0"/>
      </w:tblPr>
      <w:tblGrid>
        <w:gridCol w:w="5395"/>
        <w:gridCol w:w="5395"/>
      </w:tblGrid>
      <w:tr w14:paraId="7903168E" w14:textId="77777777" w:rsidTr="00355EC1">
        <w:tblPrEx>
          <w:tblW w:w="0" w:type="auto"/>
          <w:tblLook w:val="04A0"/>
        </w:tblPrEx>
        <w:tc>
          <w:tcPr>
            <w:tcW w:w="5395" w:type="dxa"/>
            <w:vAlign w:val="center"/>
          </w:tcPr>
          <w:p w:rsidR="00D01933" w:rsidRPr="00D3673D" w:rsidP="00355EC1" w14:paraId="26C0002B" w14:textId="77777777">
            <w:pPr>
              <w:jc w:val="center"/>
              <w:rPr>
                <w:b/>
                <w:bCs/>
              </w:rPr>
            </w:pPr>
            <w:r w:rsidRPr="00D3673D">
              <w:rPr>
                <w:b/>
                <w:bCs/>
              </w:rPr>
              <w:t>Category</w:t>
            </w:r>
          </w:p>
        </w:tc>
        <w:tc>
          <w:tcPr>
            <w:tcW w:w="5395" w:type="dxa"/>
            <w:vAlign w:val="center"/>
          </w:tcPr>
          <w:p w:rsidR="00D01933" w:rsidRPr="00D3673D" w:rsidP="00355EC1" w14:paraId="2ED33E20" w14:textId="77777777">
            <w:pPr>
              <w:jc w:val="center"/>
              <w:rPr>
                <w:b/>
                <w:bCs/>
              </w:rPr>
            </w:pPr>
            <w:r w:rsidRPr="00D3673D">
              <w:rPr>
                <w:b/>
                <w:bCs/>
              </w:rPr>
              <w:t>Amount</w:t>
            </w:r>
          </w:p>
        </w:tc>
      </w:tr>
      <w:tr w14:paraId="7C1E8438" w14:textId="77777777" w:rsidTr="00355EC1">
        <w:tblPrEx>
          <w:tblW w:w="0" w:type="auto"/>
          <w:tblLook w:val="04A0"/>
        </w:tblPrEx>
        <w:tc>
          <w:tcPr>
            <w:tcW w:w="5395" w:type="dxa"/>
          </w:tcPr>
          <w:p w:rsidR="00D01933" w:rsidP="00355EC1" w14:paraId="068549FD" w14:textId="77777777">
            <w:r>
              <w:t>Adjusted Net Worth</w:t>
            </w:r>
          </w:p>
        </w:tc>
        <w:tc>
          <w:tcPr>
            <w:tcW w:w="5395" w:type="dxa"/>
            <w:shd w:val="clear" w:color="auto" w:fill="B4C6E7" w:themeFill="accent1" w:themeFillTint="66"/>
            <w:vAlign w:val="center"/>
          </w:tcPr>
          <w:p w:rsidR="00D01933" w:rsidP="00355EC1" w14:paraId="427420E3" w14:textId="77777777">
            <w:pPr>
              <w:jc w:val="right"/>
            </w:pPr>
            <w:r>
              <w:t>$</w:t>
            </w:r>
          </w:p>
        </w:tc>
      </w:tr>
      <w:tr w14:paraId="5C4C4303" w14:textId="77777777" w:rsidTr="00355EC1">
        <w:tblPrEx>
          <w:tblW w:w="0" w:type="auto"/>
          <w:tblLook w:val="04A0"/>
        </w:tblPrEx>
        <w:tc>
          <w:tcPr>
            <w:tcW w:w="5395" w:type="dxa"/>
          </w:tcPr>
          <w:p w:rsidR="00D01933" w:rsidP="00355EC1" w14:paraId="39C35DCB" w14:textId="77777777"/>
        </w:tc>
        <w:tc>
          <w:tcPr>
            <w:tcW w:w="5395" w:type="dxa"/>
          </w:tcPr>
          <w:p w:rsidR="00D01933" w:rsidP="00355EC1" w14:paraId="16F1FB8E" w14:textId="77777777"/>
        </w:tc>
      </w:tr>
      <w:tr w14:paraId="59FAE195" w14:textId="77777777" w:rsidTr="00355EC1">
        <w:tblPrEx>
          <w:tblW w:w="0" w:type="auto"/>
          <w:tblLook w:val="04A0"/>
        </w:tblPrEx>
        <w:tc>
          <w:tcPr>
            <w:tcW w:w="5395" w:type="dxa"/>
          </w:tcPr>
          <w:p w:rsidR="00D01933" w:rsidP="00355EC1" w14:paraId="74B3AE6A" w14:textId="77777777">
            <w:r>
              <w:t>Total Assets</w:t>
            </w:r>
          </w:p>
        </w:tc>
        <w:tc>
          <w:tcPr>
            <w:tcW w:w="5395" w:type="dxa"/>
            <w:shd w:val="clear" w:color="auto" w:fill="B4C6E7" w:themeFill="accent1" w:themeFillTint="66"/>
            <w:vAlign w:val="center"/>
          </w:tcPr>
          <w:p w:rsidR="00D01933" w:rsidP="00355EC1" w14:paraId="2C372107" w14:textId="77777777">
            <w:pPr>
              <w:jc w:val="right"/>
            </w:pPr>
            <w:r>
              <w:t>$</w:t>
            </w:r>
          </w:p>
        </w:tc>
      </w:tr>
      <w:tr w14:paraId="4C56B7A6" w14:textId="77777777" w:rsidTr="00355EC1">
        <w:tblPrEx>
          <w:tblW w:w="0" w:type="auto"/>
          <w:tblLook w:val="04A0"/>
        </w:tblPrEx>
        <w:tc>
          <w:tcPr>
            <w:tcW w:w="5395" w:type="dxa"/>
          </w:tcPr>
          <w:p w:rsidR="00D01933" w:rsidP="00355EC1" w14:paraId="08ACFB62" w14:textId="77777777">
            <w:r>
              <w:t>GMLERs</w:t>
            </w:r>
            <w:r>
              <w:rPr>
                <w:rStyle w:val="FootnoteReference"/>
              </w:rPr>
              <w:footnoteReference w:id="15"/>
            </w:r>
          </w:p>
        </w:tc>
        <w:tc>
          <w:tcPr>
            <w:tcW w:w="5395" w:type="dxa"/>
            <w:shd w:val="clear" w:color="auto" w:fill="B4C6E7" w:themeFill="accent1" w:themeFillTint="66"/>
            <w:vAlign w:val="center"/>
          </w:tcPr>
          <w:p w:rsidR="00D01933" w:rsidP="00355EC1" w14:paraId="6F348171" w14:textId="77777777">
            <w:pPr>
              <w:jc w:val="right"/>
            </w:pPr>
            <w:r>
              <w:t>$</w:t>
            </w:r>
          </w:p>
        </w:tc>
      </w:tr>
      <w:tr w14:paraId="7E0AD91B" w14:textId="77777777" w:rsidTr="00355EC1">
        <w:tblPrEx>
          <w:tblW w:w="0" w:type="auto"/>
          <w:tblLook w:val="04A0"/>
        </w:tblPrEx>
        <w:tc>
          <w:tcPr>
            <w:tcW w:w="5395" w:type="dxa"/>
          </w:tcPr>
          <w:p w:rsidR="00D01933" w:rsidP="00355EC1" w14:paraId="35D02EDA" w14:textId="77777777">
            <w:r>
              <w:t>Total Assets less GMLERs</w:t>
            </w:r>
          </w:p>
        </w:tc>
        <w:tc>
          <w:tcPr>
            <w:tcW w:w="5395" w:type="dxa"/>
            <w:shd w:val="clear" w:color="auto" w:fill="B4C6E7" w:themeFill="accent1" w:themeFillTint="66"/>
            <w:vAlign w:val="center"/>
          </w:tcPr>
          <w:p w:rsidR="00D01933" w:rsidP="00355EC1" w14:paraId="0EA228FB" w14:textId="77777777">
            <w:pPr>
              <w:jc w:val="right"/>
            </w:pPr>
            <w:r>
              <w:t>$</w:t>
            </w:r>
          </w:p>
        </w:tc>
      </w:tr>
      <w:tr w14:paraId="58BC601E" w14:textId="77777777" w:rsidTr="00355EC1">
        <w:tblPrEx>
          <w:tblW w:w="0" w:type="auto"/>
          <w:tblLook w:val="04A0"/>
        </w:tblPrEx>
        <w:tc>
          <w:tcPr>
            <w:tcW w:w="5395" w:type="dxa"/>
          </w:tcPr>
          <w:p w:rsidR="00D01933" w:rsidP="00355EC1" w14:paraId="0137DC4B" w14:textId="77777777"/>
        </w:tc>
        <w:tc>
          <w:tcPr>
            <w:tcW w:w="5395" w:type="dxa"/>
          </w:tcPr>
          <w:p w:rsidR="00D01933" w:rsidP="00355EC1" w14:paraId="570AE9E8" w14:textId="77777777"/>
        </w:tc>
      </w:tr>
      <w:tr w14:paraId="514A4AF2" w14:textId="77777777" w:rsidTr="00355EC1">
        <w:tblPrEx>
          <w:tblW w:w="0" w:type="auto"/>
          <w:tblLook w:val="04A0"/>
        </w:tblPrEx>
        <w:tc>
          <w:tcPr>
            <w:tcW w:w="5395" w:type="dxa"/>
          </w:tcPr>
          <w:p w:rsidR="00D01933" w:rsidP="00355EC1" w14:paraId="4DC04759" w14:textId="77777777">
            <w:r>
              <w:t>Leverage Ratio</w:t>
            </w:r>
            <w:r>
              <w:rPr>
                <w:rStyle w:val="FootnoteReference"/>
              </w:rPr>
              <w:footnoteReference w:id="16"/>
            </w:r>
          </w:p>
        </w:tc>
        <w:tc>
          <w:tcPr>
            <w:tcW w:w="5395" w:type="dxa"/>
            <w:shd w:val="clear" w:color="auto" w:fill="B4C6E7" w:themeFill="accent1" w:themeFillTint="66"/>
            <w:vAlign w:val="center"/>
          </w:tcPr>
          <w:p w:rsidR="00D01933" w:rsidRPr="00A543C2" w:rsidP="00355EC1" w14:paraId="647E031D" w14:textId="77777777">
            <w:pPr>
              <w:jc w:val="center"/>
              <w:rPr>
                <w:b/>
                <w:bCs/>
              </w:rPr>
            </w:pPr>
            <w:r w:rsidRPr="00A543C2">
              <w:rPr>
                <w:b/>
                <w:bCs/>
              </w:rPr>
              <w:t>%</w:t>
            </w:r>
          </w:p>
        </w:tc>
      </w:tr>
    </w:tbl>
    <w:p w:rsidR="00D01933" w:rsidP="00D01933" w14:paraId="2A2A16D5" w14:textId="77777777">
      <w:pPr>
        <w:rPr>
          <w:shd w:val="clear" w:color="auto" w:fill="B4C6E7" w:themeFill="accent1" w:themeFillTint="66"/>
        </w:rPr>
      </w:pPr>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178940691"/>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28806134"/>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P="00D01933" w14:paraId="2BBAB8F4" w14:textId="77777777">
      <w:pPr>
        <w:pStyle w:val="Heading2"/>
      </w:pPr>
      <w:r w:rsidRPr="00FE321D">
        <w:rPr>
          <w:sz w:val="32"/>
          <w:szCs w:val="32"/>
        </w:rPr>
        <w:t>Single-Family (SF) Issuer Requirement</w:t>
      </w:r>
      <w:r>
        <w:rPr>
          <w:rStyle w:val="FootnoteReference"/>
        </w:rPr>
        <w:footnoteReference w:id="17"/>
      </w:r>
    </w:p>
    <w:p w:rsidR="00D01933" w:rsidP="00D01933" w14:paraId="35563EBC" w14:textId="77777777">
      <w:pPr>
        <w:pStyle w:val="Heading3"/>
      </w:pPr>
      <w:r>
        <w:t>SF RBCR</w:t>
      </w:r>
      <w:r>
        <w:rPr>
          <w:rStyle w:val="FootnoteReference"/>
        </w:rPr>
        <w:footnoteReference w:id="18"/>
      </w:r>
    </w:p>
    <w:tbl>
      <w:tblPr>
        <w:tblStyle w:val="TableGrid"/>
        <w:tblW w:w="0" w:type="auto"/>
        <w:tblLook w:val="04A0"/>
      </w:tblPr>
      <w:tblGrid>
        <w:gridCol w:w="5395"/>
        <w:gridCol w:w="5395"/>
      </w:tblGrid>
      <w:tr w14:paraId="2F45F5DE" w14:textId="77777777" w:rsidTr="00355EC1">
        <w:tblPrEx>
          <w:tblW w:w="0" w:type="auto"/>
          <w:tblLook w:val="04A0"/>
        </w:tblPrEx>
        <w:tc>
          <w:tcPr>
            <w:tcW w:w="5395" w:type="dxa"/>
            <w:vAlign w:val="center"/>
          </w:tcPr>
          <w:p w:rsidR="00D01933" w:rsidRPr="00D3673D" w:rsidP="00355EC1" w14:paraId="48B180D2" w14:textId="77777777">
            <w:pPr>
              <w:jc w:val="center"/>
              <w:rPr>
                <w:b/>
                <w:bCs/>
              </w:rPr>
            </w:pPr>
            <w:r w:rsidRPr="00D3673D">
              <w:rPr>
                <w:b/>
                <w:bCs/>
              </w:rPr>
              <w:t>Category</w:t>
            </w:r>
          </w:p>
        </w:tc>
        <w:tc>
          <w:tcPr>
            <w:tcW w:w="5395" w:type="dxa"/>
            <w:vAlign w:val="center"/>
          </w:tcPr>
          <w:p w:rsidR="00D01933" w:rsidRPr="00D3673D" w:rsidP="00355EC1" w14:paraId="5CA7DFEA" w14:textId="77777777">
            <w:pPr>
              <w:jc w:val="center"/>
              <w:rPr>
                <w:b/>
                <w:bCs/>
              </w:rPr>
            </w:pPr>
            <w:r w:rsidRPr="00D3673D">
              <w:rPr>
                <w:b/>
                <w:bCs/>
              </w:rPr>
              <w:t>Amount</w:t>
            </w:r>
          </w:p>
        </w:tc>
      </w:tr>
      <w:tr w14:paraId="7B1CEE88" w14:textId="77777777" w:rsidTr="00355EC1">
        <w:tblPrEx>
          <w:tblW w:w="0" w:type="auto"/>
          <w:tblLook w:val="04A0"/>
        </w:tblPrEx>
        <w:tc>
          <w:tcPr>
            <w:tcW w:w="5395" w:type="dxa"/>
          </w:tcPr>
          <w:p w:rsidR="00D01933" w:rsidP="00355EC1" w14:paraId="29F601AB" w14:textId="77777777">
            <w:r>
              <w:t>Adjusted Net Worth</w:t>
            </w:r>
          </w:p>
        </w:tc>
        <w:tc>
          <w:tcPr>
            <w:tcW w:w="5395" w:type="dxa"/>
            <w:shd w:val="clear" w:color="auto" w:fill="B4C6E7" w:themeFill="accent1" w:themeFillTint="66"/>
            <w:vAlign w:val="center"/>
          </w:tcPr>
          <w:p w:rsidR="00D01933" w:rsidP="00355EC1" w14:paraId="5DAAC38D" w14:textId="77777777">
            <w:pPr>
              <w:jc w:val="right"/>
            </w:pPr>
            <w:r>
              <w:t>$</w:t>
            </w:r>
          </w:p>
        </w:tc>
      </w:tr>
      <w:tr w14:paraId="0A56A2B5" w14:textId="77777777" w:rsidTr="00355EC1">
        <w:tblPrEx>
          <w:tblW w:w="0" w:type="auto"/>
          <w:tblLook w:val="04A0"/>
        </w:tblPrEx>
        <w:tc>
          <w:tcPr>
            <w:tcW w:w="5395" w:type="dxa"/>
          </w:tcPr>
          <w:p w:rsidR="00D01933" w:rsidP="00355EC1" w14:paraId="1FF7D058" w14:textId="77777777">
            <w:r>
              <w:t xml:space="preserve">   Less: Excess MSR</w:t>
            </w:r>
          </w:p>
        </w:tc>
        <w:tc>
          <w:tcPr>
            <w:tcW w:w="5395" w:type="dxa"/>
            <w:shd w:val="clear" w:color="auto" w:fill="B4C6E7" w:themeFill="accent1" w:themeFillTint="66"/>
            <w:vAlign w:val="center"/>
          </w:tcPr>
          <w:p w:rsidR="00D01933" w:rsidP="00355EC1" w14:paraId="01007A0B" w14:textId="77777777">
            <w:pPr>
              <w:jc w:val="right"/>
            </w:pPr>
            <w:r>
              <w:t>$</w:t>
            </w:r>
          </w:p>
        </w:tc>
      </w:tr>
      <w:tr w14:paraId="4068B15A" w14:textId="77777777" w:rsidTr="00355EC1">
        <w:tblPrEx>
          <w:tblW w:w="0" w:type="auto"/>
          <w:tblLook w:val="04A0"/>
        </w:tblPrEx>
        <w:tc>
          <w:tcPr>
            <w:tcW w:w="5395" w:type="dxa"/>
          </w:tcPr>
          <w:p w:rsidR="00D01933" w:rsidP="00355EC1" w14:paraId="38ACC1C3" w14:textId="77777777">
            <w:r>
              <w:t>Adjusted Net Worth – Excess MSR</w:t>
            </w:r>
          </w:p>
        </w:tc>
        <w:tc>
          <w:tcPr>
            <w:tcW w:w="5395" w:type="dxa"/>
            <w:shd w:val="clear" w:color="auto" w:fill="B4C6E7" w:themeFill="accent1" w:themeFillTint="66"/>
            <w:vAlign w:val="center"/>
          </w:tcPr>
          <w:p w:rsidR="00D01933" w:rsidP="00355EC1" w14:paraId="56922A2C" w14:textId="77777777">
            <w:pPr>
              <w:jc w:val="right"/>
            </w:pPr>
            <w:r>
              <w:t>$</w:t>
            </w:r>
          </w:p>
        </w:tc>
      </w:tr>
      <w:tr w14:paraId="12C84008" w14:textId="77777777" w:rsidTr="00355EC1">
        <w:tblPrEx>
          <w:tblW w:w="0" w:type="auto"/>
          <w:tblLook w:val="04A0"/>
        </w:tblPrEx>
        <w:tc>
          <w:tcPr>
            <w:tcW w:w="5395" w:type="dxa"/>
          </w:tcPr>
          <w:p w:rsidR="00D01933" w:rsidP="00355EC1" w14:paraId="0B689B98" w14:textId="77777777"/>
        </w:tc>
        <w:tc>
          <w:tcPr>
            <w:tcW w:w="5395" w:type="dxa"/>
            <w:shd w:val="clear" w:color="auto" w:fill="B4C6E7" w:themeFill="accent1" w:themeFillTint="66"/>
            <w:vAlign w:val="center"/>
          </w:tcPr>
          <w:p w:rsidR="00D01933" w:rsidP="00355EC1" w14:paraId="4725DE26" w14:textId="77777777">
            <w:pPr>
              <w:jc w:val="right"/>
            </w:pPr>
          </w:p>
        </w:tc>
      </w:tr>
      <w:tr w14:paraId="3B1A42C1" w14:textId="77777777" w:rsidTr="00355EC1">
        <w:tblPrEx>
          <w:tblW w:w="0" w:type="auto"/>
          <w:tblLook w:val="04A0"/>
        </w:tblPrEx>
        <w:tc>
          <w:tcPr>
            <w:tcW w:w="5395" w:type="dxa"/>
          </w:tcPr>
          <w:p w:rsidR="00D01933" w:rsidP="00355EC1" w14:paraId="274D3FC9" w14:textId="77777777">
            <w:r>
              <w:t>Total Risk Based Assets</w:t>
            </w:r>
          </w:p>
        </w:tc>
        <w:tc>
          <w:tcPr>
            <w:tcW w:w="5395" w:type="dxa"/>
            <w:shd w:val="clear" w:color="auto" w:fill="B4C6E7" w:themeFill="accent1" w:themeFillTint="66"/>
            <w:vAlign w:val="center"/>
          </w:tcPr>
          <w:p w:rsidR="00D01933" w:rsidP="00355EC1" w14:paraId="5994C36E" w14:textId="77777777">
            <w:pPr>
              <w:jc w:val="right"/>
            </w:pPr>
            <w:r>
              <w:t>$</w:t>
            </w:r>
          </w:p>
        </w:tc>
      </w:tr>
      <w:tr w14:paraId="3FFF0F2A" w14:textId="77777777" w:rsidTr="00355EC1">
        <w:tblPrEx>
          <w:tblW w:w="0" w:type="auto"/>
          <w:tblLook w:val="04A0"/>
        </w:tblPrEx>
        <w:tc>
          <w:tcPr>
            <w:tcW w:w="5395" w:type="dxa"/>
          </w:tcPr>
          <w:p w:rsidR="00D01933" w:rsidP="00355EC1" w14:paraId="797FC040" w14:textId="77777777"/>
        </w:tc>
        <w:tc>
          <w:tcPr>
            <w:tcW w:w="5395" w:type="dxa"/>
          </w:tcPr>
          <w:p w:rsidR="00D01933" w:rsidP="00355EC1" w14:paraId="34FF44CC" w14:textId="77777777"/>
        </w:tc>
      </w:tr>
      <w:tr w14:paraId="3DA185ED" w14:textId="77777777" w:rsidTr="00355EC1">
        <w:tblPrEx>
          <w:tblW w:w="0" w:type="auto"/>
          <w:tblLook w:val="04A0"/>
        </w:tblPrEx>
        <w:tc>
          <w:tcPr>
            <w:tcW w:w="5395" w:type="dxa"/>
          </w:tcPr>
          <w:p w:rsidR="00D01933" w:rsidP="00355EC1" w14:paraId="36F59BEB" w14:textId="77777777">
            <w:r>
              <w:t>SF Risk Based Capital Ratio</w:t>
            </w:r>
          </w:p>
        </w:tc>
        <w:tc>
          <w:tcPr>
            <w:tcW w:w="5395" w:type="dxa"/>
            <w:shd w:val="clear" w:color="auto" w:fill="B4C6E7" w:themeFill="accent1" w:themeFillTint="66"/>
            <w:vAlign w:val="center"/>
          </w:tcPr>
          <w:p w:rsidR="00D01933" w:rsidRPr="00A543C2" w:rsidP="00355EC1" w14:paraId="076B6229" w14:textId="77777777">
            <w:pPr>
              <w:jc w:val="center"/>
              <w:rPr>
                <w:b/>
                <w:bCs/>
              </w:rPr>
            </w:pPr>
            <w:r w:rsidRPr="00A543C2">
              <w:rPr>
                <w:b/>
                <w:bCs/>
              </w:rPr>
              <w:t>%</w:t>
            </w:r>
          </w:p>
        </w:tc>
      </w:tr>
    </w:tbl>
    <w:p w:rsidR="00D01933" w:rsidRPr="00670258" w:rsidP="00D01933" w14:paraId="789BB66D" w14:textId="77777777">
      <w:pPr>
        <w:rPr>
          <w:shd w:val="clear" w:color="auto" w:fill="B4C6E7" w:themeFill="accent1" w:themeFillTint="66"/>
        </w:rPr>
      </w:pPr>
      <w:r>
        <w:rPr>
          <w:b/>
          <w:bCs/>
          <w:color w:val="FF0000"/>
        </w:rPr>
        <w:t>Includes MSR Value Adjustment?</w:t>
      </w:r>
      <w:r>
        <w:rPr>
          <w:rStyle w:val="FootnoteReference"/>
          <w:b/>
          <w:bCs/>
          <w:color w:val="FF0000"/>
        </w:rPr>
        <w:footnoteReference w:id="19"/>
      </w:r>
      <w:r w:rsidRPr="00C25FFB">
        <w:rPr>
          <w:color w:val="FF0000"/>
        </w:rPr>
        <w:t xml:space="preserve"> </w:t>
      </w:r>
      <w:r>
        <w:tab/>
      </w:r>
      <w:r>
        <w:tab/>
        <w:t xml:space="preserve">Yes </w:t>
      </w:r>
      <w:sdt>
        <w:sdtPr>
          <w:rPr>
            <w:shd w:val="clear" w:color="auto" w:fill="B4C6E7" w:themeFill="accent1" w:themeFillTint="66"/>
          </w:rPr>
          <w:id w:val="1918816331"/>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968473117"/>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RPr="00952F20" w:rsidP="00D01933" w14:paraId="08B271EE" w14:textId="77777777">
      <w:pPr>
        <w:rPr>
          <w:shd w:val="clear" w:color="auto" w:fill="B4C6E7" w:themeFill="accent1" w:themeFillTint="66"/>
        </w:rPr>
      </w:pPr>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1916048660"/>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2039883903"/>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P="00D01933" w14:paraId="40C97487" w14:textId="77777777">
      <w:pPr>
        <w:pStyle w:val="Heading2"/>
      </w:pPr>
      <w:r w:rsidRPr="00FE321D">
        <w:rPr>
          <w:sz w:val="32"/>
          <w:szCs w:val="32"/>
        </w:rPr>
        <w:t>Manufactured Home (MH) Issuer Requirement</w:t>
      </w:r>
      <w:r>
        <w:rPr>
          <w:rStyle w:val="FootnoteReference"/>
        </w:rPr>
        <w:footnoteReference w:id="20"/>
      </w:r>
    </w:p>
    <w:p w:rsidR="00D01933" w:rsidP="00D01933" w14:paraId="0B883A4F" w14:textId="77777777">
      <w:pPr>
        <w:pStyle w:val="Heading3"/>
      </w:pPr>
      <w:r>
        <w:t>MH RBCR</w:t>
      </w:r>
      <w:r>
        <w:rPr>
          <w:rStyle w:val="FootnoteReference"/>
        </w:rPr>
        <w:footnoteReference w:id="21"/>
      </w:r>
    </w:p>
    <w:tbl>
      <w:tblPr>
        <w:tblStyle w:val="TableGrid"/>
        <w:tblW w:w="0" w:type="auto"/>
        <w:tblLook w:val="04A0"/>
      </w:tblPr>
      <w:tblGrid>
        <w:gridCol w:w="5395"/>
        <w:gridCol w:w="5395"/>
      </w:tblGrid>
      <w:tr w14:paraId="3536DBDE" w14:textId="77777777" w:rsidTr="00355EC1">
        <w:tblPrEx>
          <w:tblW w:w="0" w:type="auto"/>
          <w:tblLook w:val="04A0"/>
        </w:tblPrEx>
        <w:tc>
          <w:tcPr>
            <w:tcW w:w="5395" w:type="dxa"/>
            <w:vAlign w:val="center"/>
          </w:tcPr>
          <w:p w:rsidR="00D01933" w:rsidRPr="00D3673D" w:rsidP="00355EC1" w14:paraId="0431A552" w14:textId="77777777">
            <w:pPr>
              <w:jc w:val="center"/>
              <w:rPr>
                <w:b/>
                <w:bCs/>
              </w:rPr>
            </w:pPr>
            <w:r w:rsidRPr="00D3673D">
              <w:rPr>
                <w:b/>
                <w:bCs/>
              </w:rPr>
              <w:t>Category</w:t>
            </w:r>
          </w:p>
        </w:tc>
        <w:tc>
          <w:tcPr>
            <w:tcW w:w="5395" w:type="dxa"/>
            <w:vAlign w:val="center"/>
          </w:tcPr>
          <w:p w:rsidR="00D01933" w:rsidRPr="00D3673D" w:rsidP="00355EC1" w14:paraId="7F9FEC3D" w14:textId="77777777">
            <w:pPr>
              <w:jc w:val="center"/>
              <w:rPr>
                <w:b/>
                <w:bCs/>
              </w:rPr>
            </w:pPr>
            <w:r w:rsidRPr="00D3673D">
              <w:rPr>
                <w:b/>
                <w:bCs/>
              </w:rPr>
              <w:t>Amount</w:t>
            </w:r>
          </w:p>
        </w:tc>
      </w:tr>
      <w:tr w14:paraId="3092E324" w14:textId="77777777" w:rsidTr="00355EC1">
        <w:tblPrEx>
          <w:tblW w:w="0" w:type="auto"/>
          <w:tblLook w:val="04A0"/>
        </w:tblPrEx>
        <w:tc>
          <w:tcPr>
            <w:tcW w:w="5395" w:type="dxa"/>
          </w:tcPr>
          <w:p w:rsidR="00D01933" w:rsidP="00355EC1" w14:paraId="149DA94B" w14:textId="77777777">
            <w:r>
              <w:t>Adjusted Net Worth</w:t>
            </w:r>
          </w:p>
        </w:tc>
        <w:tc>
          <w:tcPr>
            <w:tcW w:w="5395" w:type="dxa"/>
            <w:shd w:val="clear" w:color="auto" w:fill="B4C6E7" w:themeFill="accent1" w:themeFillTint="66"/>
            <w:vAlign w:val="center"/>
          </w:tcPr>
          <w:p w:rsidR="00D01933" w:rsidP="00355EC1" w14:paraId="7F746D52" w14:textId="77777777">
            <w:pPr>
              <w:jc w:val="right"/>
            </w:pPr>
            <w:r>
              <w:t>$</w:t>
            </w:r>
          </w:p>
        </w:tc>
      </w:tr>
      <w:tr w14:paraId="7E9B24DB" w14:textId="77777777" w:rsidTr="00355EC1">
        <w:tblPrEx>
          <w:tblW w:w="0" w:type="auto"/>
          <w:tblLook w:val="04A0"/>
        </w:tblPrEx>
        <w:tc>
          <w:tcPr>
            <w:tcW w:w="5395" w:type="dxa"/>
          </w:tcPr>
          <w:p w:rsidR="00D01933" w:rsidP="00355EC1" w14:paraId="0E20BBC4" w14:textId="77777777">
            <w:r>
              <w:t>Total Risk Based Assets</w:t>
            </w:r>
          </w:p>
        </w:tc>
        <w:tc>
          <w:tcPr>
            <w:tcW w:w="5395" w:type="dxa"/>
            <w:shd w:val="clear" w:color="auto" w:fill="B4C6E7" w:themeFill="accent1" w:themeFillTint="66"/>
            <w:vAlign w:val="center"/>
          </w:tcPr>
          <w:p w:rsidR="00D01933" w:rsidP="00355EC1" w14:paraId="18CFFFF5" w14:textId="77777777">
            <w:pPr>
              <w:jc w:val="right"/>
            </w:pPr>
            <w:r>
              <w:t>$</w:t>
            </w:r>
          </w:p>
        </w:tc>
      </w:tr>
      <w:tr w14:paraId="57251602" w14:textId="77777777" w:rsidTr="00355EC1">
        <w:tblPrEx>
          <w:tblW w:w="0" w:type="auto"/>
          <w:tblLook w:val="04A0"/>
        </w:tblPrEx>
        <w:tc>
          <w:tcPr>
            <w:tcW w:w="5395" w:type="dxa"/>
          </w:tcPr>
          <w:p w:rsidR="00D01933" w:rsidP="00355EC1" w14:paraId="20E1D102" w14:textId="77777777"/>
        </w:tc>
        <w:tc>
          <w:tcPr>
            <w:tcW w:w="5395" w:type="dxa"/>
          </w:tcPr>
          <w:p w:rsidR="00D01933" w:rsidP="00355EC1" w14:paraId="121BFF7D" w14:textId="77777777"/>
        </w:tc>
      </w:tr>
      <w:tr w14:paraId="175E2830" w14:textId="77777777" w:rsidTr="00355EC1">
        <w:tblPrEx>
          <w:tblW w:w="0" w:type="auto"/>
          <w:tblLook w:val="04A0"/>
        </w:tblPrEx>
        <w:tc>
          <w:tcPr>
            <w:tcW w:w="5395" w:type="dxa"/>
          </w:tcPr>
          <w:p w:rsidR="00D01933" w:rsidP="00355EC1" w14:paraId="44CA1C06" w14:textId="77777777">
            <w:r>
              <w:t>MH Risk Based Capital Ratio</w:t>
            </w:r>
          </w:p>
        </w:tc>
        <w:tc>
          <w:tcPr>
            <w:tcW w:w="5395" w:type="dxa"/>
            <w:shd w:val="clear" w:color="auto" w:fill="B4C6E7" w:themeFill="accent1" w:themeFillTint="66"/>
            <w:vAlign w:val="center"/>
          </w:tcPr>
          <w:p w:rsidR="00D01933" w:rsidRPr="00A543C2" w:rsidP="00355EC1" w14:paraId="18A1EF18" w14:textId="77777777">
            <w:pPr>
              <w:jc w:val="center"/>
              <w:rPr>
                <w:b/>
                <w:bCs/>
              </w:rPr>
            </w:pPr>
            <w:r w:rsidRPr="00A543C2">
              <w:rPr>
                <w:b/>
                <w:bCs/>
              </w:rPr>
              <w:t>%</w:t>
            </w:r>
          </w:p>
        </w:tc>
      </w:tr>
    </w:tbl>
    <w:p w:rsidR="00D01933" w:rsidRPr="004E7A1B" w:rsidP="00D01933" w14:paraId="12388352" w14:textId="77777777">
      <w:pPr>
        <w:spacing w:after="0"/>
      </w:pPr>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2034310711"/>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1698735201"/>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P="001D00D8" w14:paraId="64C3439F" w14:textId="77777777"/>
    <w:p w:rsidR="00D01933" w:rsidRPr="00D1258C" w:rsidP="00D01933" w14:paraId="07BCC724" w14:textId="54FF0965">
      <w:pPr>
        <w:jc w:val="center"/>
        <w:rPr>
          <w:sz w:val="32"/>
          <w:szCs w:val="32"/>
        </w:rPr>
      </w:pPr>
      <w:r w:rsidRPr="00D1258C">
        <w:rPr>
          <w:sz w:val="32"/>
          <w:szCs w:val="32"/>
        </w:rPr>
        <w:t>Computation of Liquid Assets</w:t>
      </w:r>
    </w:p>
    <w:p w:rsidR="00D01933" w:rsidP="00D01933" w14:paraId="70305A69" w14:textId="77777777">
      <w:pPr>
        <w:pStyle w:val="Heading1"/>
      </w:pPr>
      <w:r>
        <w:t>Single-family Issuer Requirement</w:t>
      </w:r>
    </w:p>
    <w:p w:rsidR="00D01933" w:rsidP="00D01933" w14:paraId="0A09600A" w14:textId="77777777">
      <w:pPr>
        <w:pStyle w:val="Heading2"/>
      </w:pPr>
      <w:r>
        <w:t>Liquid Assets</w:t>
      </w:r>
    </w:p>
    <w:tbl>
      <w:tblPr>
        <w:tblStyle w:val="TableGrid"/>
        <w:tblW w:w="0" w:type="auto"/>
        <w:tblLook w:val="04A0"/>
      </w:tblPr>
      <w:tblGrid>
        <w:gridCol w:w="7105"/>
        <w:gridCol w:w="3685"/>
      </w:tblGrid>
      <w:tr w14:paraId="0FFD149D" w14:textId="77777777" w:rsidTr="00355EC1">
        <w:tblPrEx>
          <w:tblW w:w="0" w:type="auto"/>
          <w:tblLook w:val="04A0"/>
        </w:tblPrEx>
        <w:tc>
          <w:tcPr>
            <w:tcW w:w="7105" w:type="dxa"/>
          </w:tcPr>
          <w:p w:rsidR="00D01933" w:rsidRPr="001A2B45" w:rsidP="00355EC1" w14:paraId="24B616B5" w14:textId="77777777">
            <w:pPr>
              <w:rPr>
                <w:b/>
                <w:bCs/>
                <w:sz w:val="20"/>
                <w:szCs w:val="20"/>
              </w:rPr>
            </w:pPr>
            <w:r w:rsidRPr="001A2B45">
              <w:rPr>
                <w:b/>
                <w:bCs/>
                <w:sz w:val="20"/>
                <w:szCs w:val="20"/>
              </w:rPr>
              <w:t>Liquid Assets</w:t>
            </w:r>
          </w:p>
        </w:tc>
        <w:tc>
          <w:tcPr>
            <w:tcW w:w="3685" w:type="dxa"/>
          </w:tcPr>
          <w:p w:rsidR="00D01933" w:rsidRPr="001A2B45" w:rsidP="00355EC1" w14:paraId="7891E4A2" w14:textId="77777777">
            <w:pPr>
              <w:jc w:val="center"/>
              <w:rPr>
                <w:b/>
                <w:bCs/>
                <w:sz w:val="20"/>
                <w:szCs w:val="20"/>
              </w:rPr>
            </w:pPr>
            <w:r w:rsidRPr="001A2B45">
              <w:rPr>
                <w:b/>
                <w:bCs/>
                <w:sz w:val="20"/>
                <w:szCs w:val="20"/>
              </w:rPr>
              <w:t>Amount</w:t>
            </w:r>
          </w:p>
        </w:tc>
      </w:tr>
      <w:tr w14:paraId="2A6F2B54" w14:textId="77777777" w:rsidTr="00355EC1">
        <w:tblPrEx>
          <w:tblW w:w="0" w:type="auto"/>
          <w:tblLook w:val="04A0"/>
        </w:tblPrEx>
        <w:tc>
          <w:tcPr>
            <w:tcW w:w="7105" w:type="dxa"/>
          </w:tcPr>
          <w:p w:rsidR="00D01933" w:rsidRPr="001A2B45" w:rsidP="00355EC1" w14:paraId="7B0C84F4" w14:textId="77777777">
            <w:pPr>
              <w:rPr>
                <w:sz w:val="20"/>
                <w:szCs w:val="20"/>
              </w:rPr>
            </w:pPr>
            <w:r w:rsidRPr="001A2B45">
              <w:rPr>
                <w:sz w:val="20"/>
                <w:szCs w:val="20"/>
              </w:rPr>
              <w:t>Cash (FAS95)</w:t>
            </w:r>
          </w:p>
        </w:tc>
        <w:tc>
          <w:tcPr>
            <w:tcW w:w="3685" w:type="dxa"/>
            <w:shd w:val="clear" w:color="auto" w:fill="B4C6E7" w:themeFill="accent1" w:themeFillTint="66"/>
            <w:vAlign w:val="center"/>
          </w:tcPr>
          <w:p w:rsidR="00D01933" w:rsidRPr="001A2B45" w:rsidP="00355EC1" w14:paraId="2A556E24" w14:textId="77777777">
            <w:pPr>
              <w:jc w:val="right"/>
              <w:rPr>
                <w:sz w:val="20"/>
                <w:szCs w:val="20"/>
              </w:rPr>
            </w:pPr>
            <w:r w:rsidRPr="001A2B45">
              <w:rPr>
                <w:sz w:val="20"/>
                <w:szCs w:val="20"/>
              </w:rPr>
              <w:t>$</w:t>
            </w:r>
          </w:p>
        </w:tc>
      </w:tr>
      <w:tr w14:paraId="0739C23D" w14:textId="77777777" w:rsidTr="00355EC1">
        <w:tblPrEx>
          <w:tblW w:w="0" w:type="auto"/>
          <w:tblLook w:val="04A0"/>
        </w:tblPrEx>
        <w:tc>
          <w:tcPr>
            <w:tcW w:w="7105" w:type="dxa"/>
          </w:tcPr>
          <w:p w:rsidR="00D01933" w:rsidRPr="001A2B45" w:rsidP="00355EC1" w14:paraId="05DDFD9A" w14:textId="77777777">
            <w:pPr>
              <w:rPr>
                <w:sz w:val="20"/>
                <w:szCs w:val="20"/>
              </w:rPr>
            </w:pPr>
            <w:r w:rsidRPr="001A2B45">
              <w:rPr>
                <w:sz w:val="20"/>
                <w:szCs w:val="20"/>
              </w:rPr>
              <w:t>Cash equivalents (FAS95)</w:t>
            </w:r>
          </w:p>
        </w:tc>
        <w:tc>
          <w:tcPr>
            <w:tcW w:w="3685" w:type="dxa"/>
            <w:shd w:val="clear" w:color="auto" w:fill="B4C6E7" w:themeFill="accent1" w:themeFillTint="66"/>
            <w:vAlign w:val="center"/>
          </w:tcPr>
          <w:p w:rsidR="00D01933" w:rsidRPr="001A2B45" w:rsidP="00355EC1" w14:paraId="3056A662" w14:textId="77777777">
            <w:pPr>
              <w:jc w:val="right"/>
              <w:rPr>
                <w:sz w:val="20"/>
                <w:szCs w:val="20"/>
              </w:rPr>
            </w:pPr>
            <w:r w:rsidRPr="001A2B45">
              <w:rPr>
                <w:sz w:val="20"/>
                <w:szCs w:val="20"/>
              </w:rPr>
              <w:t>$</w:t>
            </w:r>
          </w:p>
        </w:tc>
      </w:tr>
      <w:tr w14:paraId="63650F6C" w14:textId="77777777" w:rsidTr="00355EC1">
        <w:tblPrEx>
          <w:tblW w:w="0" w:type="auto"/>
          <w:tblLook w:val="04A0"/>
        </w:tblPrEx>
        <w:tc>
          <w:tcPr>
            <w:tcW w:w="7105" w:type="dxa"/>
          </w:tcPr>
          <w:p w:rsidR="00D01933" w:rsidRPr="001A2B45" w:rsidP="00355EC1" w14:paraId="4DDD6052" w14:textId="77777777">
            <w:pPr>
              <w:rPr>
                <w:sz w:val="20"/>
                <w:szCs w:val="20"/>
              </w:rPr>
            </w:pPr>
            <w:r w:rsidRPr="001A2B45">
              <w:rPr>
                <w:sz w:val="20"/>
                <w:szCs w:val="20"/>
              </w:rPr>
              <w:t>AAA rated government securities marked-to-market (M2M)</w:t>
            </w:r>
            <w:r>
              <w:rPr>
                <w:sz w:val="20"/>
                <w:szCs w:val="20"/>
              </w:rPr>
              <w:t xml:space="preserve"> </w:t>
            </w:r>
            <w:r w:rsidRPr="001A2B45">
              <w:rPr>
                <w:sz w:val="20"/>
                <w:szCs w:val="20"/>
              </w:rPr>
              <w:t>(FAS95)</w:t>
            </w:r>
          </w:p>
        </w:tc>
        <w:tc>
          <w:tcPr>
            <w:tcW w:w="3685" w:type="dxa"/>
            <w:shd w:val="clear" w:color="auto" w:fill="B4C6E7" w:themeFill="accent1" w:themeFillTint="66"/>
            <w:vAlign w:val="center"/>
          </w:tcPr>
          <w:p w:rsidR="00D01933" w:rsidRPr="001A2B45" w:rsidP="00355EC1" w14:paraId="40C5128A" w14:textId="77777777">
            <w:pPr>
              <w:jc w:val="right"/>
              <w:rPr>
                <w:sz w:val="20"/>
                <w:szCs w:val="20"/>
              </w:rPr>
            </w:pPr>
            <w:r w:rsidRPr="001A2B45">
              <w:rPr>
                <w:sz w:val="20"/>
                <w:szCs w:val="20"/>
              </w:rPr>
              <w:t>$</w:t>
            </w:r>
          </w:p>
        </w:tc>
      </w:tr>
      <w:tr w14:paraId="49497692" w14:textId="77777777" w:rsidTr="00355EC1">
        <w:tblPrEx>
          <w:tblW w:w="0" w:type="auto"/>
          <w:tblLook w:val="04A0"/>
        </w:tblPrEx>
        <w:tc>
          <w:tcPr>
            <w:tcW w:w="7105" w:type="dxa"/>
          </w:tcPr>
          <w:p w:rsidR="00D01933" w:rsidRPr="001A2B45" w:rsidP="00355EC1" w14:paraId="370D9387" w14:textId="77777777">
            <w:pPr>
              <w:rPr>
                <w:sz w:val="20"/>
                <w:szCs w:val="20"/>
              </w:rPr>
            </w:pPr>
            <w:r w:rsidRPr="001A2B45">
              <w:rPr>
                <w:sz w:val="20"/>
                <w:szCs w:val="20"/>
              </w:rPr>
              <w:t>Government Sponsored Entity (GSE) MBS M2M</w:t>
            </w:r>
          </w:p>
        </w:tc>
        <w:tc>
          <w:tcPr>
            <w:tcW w:w="3685" w:type="dxa"/>
            <w:shd w:val="clear" w:color="auto" w:fill="B4C6E7" w:themeFill="accent1" w:themeFillTint="66"/>
            <w:vAlign w:val="center"/>
          </w:tcPr>
          <w:p w:rsidR="00D01933" w:rsidRPr="001A2B45" w:rsidP="00355EC1" w14:paraId="1EE16E19" w14:textId="77777777">
            <w:pPr>
              <w:jc w:val="right"/>
              <w:rPr>
                <w:sz w:val="20"/>
                <w:szCs w:val="20"/>
              </w:rPr>
            </w:pPr>
            <w:r w:rsidRPr="001A2B45">
              <w:rPr>
                <w:sz w:val="20"/>
                <w:szCs w:val="20"/>
              </w:rPr>
              <w:t>$</w:t>
            </w:r>
          </w:p>
        </w:tc>
      </w:tr>
      <w:tr w14:paraId="68E7944F" w14:textId="77777777" w:rsidTr="00355EC1">
        <w:tblPrEx>
          <w:tblW w:w="0" w:type="auto"/>
          <w:tblLook w:val="04A0"/>
        </w:tblPrEx>
        <w:tc>
          <w:tcPr>
            <w:tcW w:w="7105" w:type="dxa"/>
          </w:tcPr>
          <w:p w:rsidR="00D01933" w:rsidRPr="001A2B45" w:rsidP="00355EC1" w14:paraId="22568F70" w14:textId="77777777">
            <w:pPr>
              <w:rPr>
                <w:sz w:val="20"/>
                <w:szCs w:val="20"/>
              </w:rPr>
            </w:pPr>
            <w:r w:rsidRPr="001A2B45">
              <w:rPr>
                <w:sz w:val="20"/>
                <w:szCs w:val="20"/>
              </w:rPr>
              <w:t>GSE obligations M2M</w:t>
            </w:r>
          </w:p>
        </w:tc>
        <w:tc>
          <w:tcPr>
            <w:tcW w:w="3685" w:type="dxa"/>
            <w:shd w:val="clear" w:color="auto" w:fill="B4C6E7" w:themeFill="accent1" w:themeFillTint="66"/>
            <w:vAlign w:val="center"/>
          </w:tcPr>
          <w:p w:rsidR="00D01933" w:rsidRPr="001A2B45" w:rsidP="00355EC1" w14:paraId="6DC991B4" w14:textId="77777777">
            <w:pPr>
              <w:jc w:val="right"/>
              <w:rPr>
                <w:sz w:val="20"/>
                <w:szCs w:val="20"/>
              </w:rPr>
            </w:pPr>
            <w:r w:rsidRPr="001A2B45">
              <w:rPr>
                <w:sz w:val="20"/>
                <w:szCs w:val="20"/>
              </w:rPr>
              <w:t>$</w:t>
            </w:r>
          </w:p>
        </w:tc>
      </w:tr>
      <w:tr w14:paraId="15AC34FD" w14:textId="77777777" w:rsidTr="00355EC1">
        <w:tblPrEx>
          <w:tblW w:w="0" w:type="auto"/>
          <w:tblLook w:val="04A0"/>
        </w:tblPrEx>
        <w:tc>
          <w:tcPr>
            <w:tcW w:w="7105" w:type="dxa"/>
          </w:tcPr>
          <w:p w:rsidR="00D01933" w:rsidRPr="001A2B45" w:rsidP="00355EC1" w14:paraId="17318686" w14:textId="77777777">
            <w:pPr>
              <w:rPr>
                <w:sz w:val="20"/>
                <w:szCs w:val="20"/>
              </w:rPr>
            </w:pPr>
            <w:r w:rsidRPr="001A2B45">
              <w:rPr>
                <w:sz w:val="20"/>
                <w:szCs w:val="20"/>
              </w:rPr>
              <w:t>Advances</w:t>
            </w:r>
            <w:r>
              <w:rPr>
                <w:rStyle w:val="FootnoteReference"/>
              </w:rPr>
              <w:footnoteReference w:id="22"/>
            </w:r>
          </w:p>
        </w:tc>
        <w:tc>
          <w:tcPr>
            <w:tcW w:w="3685" w:type="dxa"/>
            <w:shd w:val="clear" w:color="auto" w:fill="B4C6E7" w:themeFill="accent1" w:themeFillTint="66"/>
            <w:vAlign w:val="center"/>
          </w:tcPr>
          <w:p w:rsidR="00D01933" w:rsidRPr="001A2B45" w:rsidP="00355EC1" w14:paraId="620284C4" w14:textId="77777777">
            <w:pPr>
              <w:jc w:val="right"/>
              <w:rPr>
                <w:sz w:val="20"/>
                <w:szCs w:val="20"/>
              </w:rPr>
            </w:pPr>
            <w:r w:rsidRPr="001A2B45">
              <w:rPr>
                <w:sz w:val="20"/>
                <w:szCs w:val="20"/>
              </w:rPr>
              <w:t>$</w:t>
            </w:r>
          </w:p>
        </w:tc>
      </w:tr>
      <w:tr w14:paraId="4764EA4F" w14:textId="77777777" w:rsidTr="00355EC1">
        <w:tblPrEx>
          <w:tblW w:w="0" w:type="auto"/>
          <w:tblLook w:val="04A0"/>
        </w:tblPrEx>
        <w:tc>
          <w:tcPr>
            <w:tcW w:w="7105" w:type="dxa"/>
          </w:tcPr>
          <w:p w:rsidR="00D01933" w:rsidRPr="00C25FFB" w:rsidP="00355EC1" w14:paraId="0A7982F7" w14:textId="77777777">
            <w:pPr>
              <w:rPr>
                <w:b/>
                <w:bCs/>
                <w:sz w:val="20"/>
                <w:szCs w:val="20"/>
              </w:rPr>
            </w:pPr>
            <w:r w:rsidRPr="00C25FFB">
              <w:rPr>
                <w:b/>
                <w:bCs/>
                <w:sz w:val="20"/>
                <w:szCs w:val="20"/>
              </w:rPr>
              <w:t>Total Liquid Assets</w:t>
            </w:r>
          </w:p>
        </w:tc>
        <w:tc>
          <w:tcPr>
            <w:tcW w:w="3685" w:type="dxa"/>
            <w:shd w:val="clear" w:color="auto" w:fill="B4C6E7" w:themeFill="accent1" w:themeFillTint="66"/>
            <w:vAlign w:val="center"/>
          </w:tcPr>
          <w:p w:rsidR="00D01933" w:rsidRPr="00C25FFB" w:rsidP="00355EC1" w14:paraId="72A1E1EB" w14:textId="77777777">
            <w:pPr>
              <w:jc w:val="right"/>
              <w:rPr>
                <w:b/>
                <w:bCs/>
                <w:sz w:val="20"/>
                <w:szCs w:val="20"/>
              </w:rPr>
            </w:pPr>
            <w:r w:rsidRPr="00C25FFB">
              <w:rPr>
                <w:b/>
                <w:bCs/>
                <w:sz w:val="20"/>
                <w:szCs w:val="20"/>
              </w:rPr>
              <w:t>$</w:t>
            </w:r>
          </w:p>
        </w:tc>
      </w:tr>
    </w:tbl>
    <w:p w:rsidR="00D01933" w:rsidRPr="00C25FFB" w:rsidP="00D01933" w14:paraId="057DAEF2" w14:textId="77777777">
      <w:pPr>
        <w:rPr>
          <w:sz w:val="16"/>
          <w:szCs w:val="16"/>
        </w:rPr>
      </w:pPr>
    </w:p>
    <w:p w:rsidR="00D01933" w:rsidP="00D01933" w14:paraId="41AD3003" w14:textId="77777777">
      <w:pPr>
        <w:pStyle w:val="Heading2"/>
      </w:pPr>
      <w:r>
        <w:t>Required Liquid Assets</w:t>
      </w:r>
    </w:p>
    <w:tbl>
      <w:tblPr>
        <w:tblStyle w:val="TableGrid"/>
        <w:tblW w:w="10795" w:type="dxa"/>
        <w:tblLook w:val="04A0"/>
      </w:tblPr>
      <w:tblGrid>
        <w:gridCol w:w="3923"/>
        <w:gridCol w:w="2822"/>
        <w:gridCol w:w="1350"/>
        <w:gridCol w:w="2700"/>
      </w:tblGrid>
      <w:tr w14:paraId="7BF79074" w14:textId="77777777" w:rsidTr="00355EC1">
        <w:tblPrEx>
          <w:tblW w:w="10795" w:type="dxa"/>
          <w:tblLook w:val="04A0"/>
        </w:tblPrEx>
        <w:trPr>
          <w:trHeight w:val="261"/>
        </w:trPr>
        <w:tc>
          <w:tcPr>
            <w:tcW w:w="3923" w:type="dxa"/>
          </w:tcPr>
          <w:p w:rsidR="00D01933" w:rsidRPr="001A2B45" w:rsidP="00355EC1" w14:paraId="2C17C27A" w14:textId="77777777">
            <w:pPr>
              <w:rPr>
                <w:rFonts w:cstheme="minorHAnsi"/>
                <w:b/>
                <w:bCs/>
                <w:sz w:val="20"/>
                <w:szCs w:val="20"/>
              </w:rPr>
            </w:pPr>
            <w:r w:rsidRPr="001A2B45">
              <w:rPr>
                <w:rFonts w:cstheme="minorHAnsi"/>
                <w:b/>
                <w:bCs/>
                <w:sz w:val="20"/>
                <w:szCs w:val="20"/>
              </w:rPr>
              <w:t xml:space="preserve">Greater of </w:t>
            </w:r>
          </w:p>
        </w:tc>
        <w:tc>
          <w:tcPr>
            <w:tcW w:w="2822" w:type="dxa"/>
          </w:tcPr>
          <w:p w:rsidR="00D01933" w:rsidRPr="001A2B45" w:rsidP="00355EC1" w14:paraId="268C7E91" w14:textId="77777777">
            <w:pPr>
              <w:rPr>
                <w:rFonts w:cstheme="minorHAnsi"/>
                <w:sz w:val="20"/>
                <w:szCs w:val="20"/>
              </w:rPr>
            </w:pPr>
          </w:p>
        </w:tc>
        <w:tc>
          <w:tcPr>
            <w:tcW w:w="1350" w:type="dxa"/>
          </w:tcPr>
          <w:p w:rsidR="00D01933" w:rsidRPr="001A2B45" w:rsidP="00355EC1" w14:paraId="76E035A6" w14:textId="77777777">
            <w:pPr>
              <w:rPr>
                <w:rFonts w:cstheme="minorHAnsi"/>
                <w:sz w:val="20"/>
                <w:szCs w:val="20"/>
              </w:rPr>
            </w:pPr>
          </w:p>
        </w:tc>
        <w:tc>
          <w:tcPr>
            <w:tcW w:w="2700" w:type="dxa"/>
          </w:tcPr>
          <w:p w:rsidR="00D01933" w:rsidRPr="001A2B45" w:rsidP="00355EC1" w14:paraId="12770B42" w14:textId="77777777">
            <w:pPr>
              <w:rPr>
                <w:rFonts w:cstheme="minorHAnsi"/>
                <w:sz w:val="20"/>
                <w:szCs w:val="20"/>
              </w:rPr>
            </w:pPr>
          </w:p>
        </w:tc>
      </w:tr>
      <w:tr w14:paraId="118B264A" w14:textId="77777777" w:rsidTr="00355EC1">
        <w:tblPrEx>
          <w:tblW w:w="10795" w:type="dxa"/>
          <w:tblLook w:val="04A0"/>
        </w:tblPrEx>
        <w:trPr>
          <w:trHeight w:val="261"/>
        </w:trPr>
        <w:tc>
          <w:tcPr>
            <w:tcW w:w="3923" w:type="dxa"/>
          </w:tcPr>
          <w:p w:rsidR="00D01933" w:rsidRPr="001A2B45" w:rsidP="00355EC1" w14:paraId="636DBC28" w14:textId="77777777">
            <w:pPr>
              <w:rPr>
                <w:rFonts w:cstheme="minorHAnsi"/>
                <w:b/>
                <w:bCs/>
                <w:sz w:val="20"/>
                <w:szCs w:val="20"/>
              </w:rPr>
            </w:pPr>
            <w:r w:rsidRPr="001A2B45">
              <w:rPr>
                <w:rFonts w:cstheme="minorHAnsi"/>
                <w:b/>
                <w:bCs/>
                <w:sz w:val="20"/>
                <w:szCs w:val="20"/>
              </w:rPr>
              <w:t>Minimum Requirement</w:t>
            </w:r>
          </w:p>
        </w:tc>
        <w:tc>
          <w:tcPr>
            <w:tcW w:w="2822" w:type="dxa"/>
            <w:shd w:val="clear" w:color="auto" w:fill="D9D9D9" w:themeFill="background1" w:themeFillShade="D9"/>
          </w:tcPr>
          <w:p w:rsidR="00D01933" w:rsidRPr="001A2B45" w:rsidP="00355EC1" w14:paraId="03D83ADA" w14:textId="77777777">
            <w:pPr>
              <w:rPr>
                <w:rFonts w:cstheme="minorHAnsi"/>
                <w:sz w:val="20"/>
                <w:szCs w:val="20"/>
              </w:rPr>
            </w:pPr>
          </w:p>
        </w:tc>
        <w:tc>
          <w:tcPr>
            <w:tcW w:w="1350" w:type="dxa"/>
            <w:shd w:val="clear" w:color="auto" w:fill="D9D9D9" w:themeFill="background1" w:themeFillShade="D9"/>
          </w:tcPr>
          <w:p w:rsidR="00D01933" w:rsidRPr="001A2B45" w:rsidP="00355EC1" w14:paraId="19567B63" w14:textId="77777777">
            <w:pPr>
              <w:rPr>
                <w:rFonts w:cstheme="minorHAnsi"/>
                <w:sz w:val="20"/>
                <w:szCs w:val="20"/>
              </w:rPr>
            </w:pPr>
          </w:p>
        </w:tc>
        <w:tc>
          <w:tcPr>
            <w:tcW w:w="2700" w:type="dxa"/>
            <w:vAlign w:val="center"/>
          </w:tcPr>
          <w:p w:rsidR="00D01933" w:rsidRPr="001A2B45" w:rsidP="00355EC1" w14:paraId="25C855AA" w14:textId="77777777">
            <w:pPr>
              <w:jc w:val="right"/>
              <w:rPr>
                <w:rFonts w:cstheme="minorHAnsi"/>
                <w:b/>
                <w:bCs/>
                <w:sz w:val="20"/>
                <w:szCs w:val="20"/>
              </w:rPr>
            </w:pPr>
            <w:r w:rsidRPr="001A2B45">
              <w:rPr>
                <w:rFonts w:cstheme="minorHAnsi"/>
                <w:b/>
                <w:bCs/>
                <w:sz w:val="20"/>
                <w:szCs w:val="20"/>
              </w:rPr>
              <w:t>$1,000,000</w:t>
            </w:r>
          </w:p>
        </w:tc>
      </w:tr>
      <w:tr w14:paraId="6A8E1784" w14:textId="77777777" w:rsidTr="00355EC1">
        <w:tblPrEx>
          <w:tblW w:w="10795" w:type="dxa"/>
          <w:tblLook w:val="04A0"/>
        </w:tblPrEx>
        <w:trPr>
          <w:trHeight w:val="273"/>
        </w:trPr>
        <w:tc>
          <w:tcPr>
            <w:tcW w:w="3923" w:type="dxa"/>
          </w:tcPr>
          <w:p w:rsidR="00D01933" w:rsidRPr="001A2B45" w:rsidP="00355EC1" w14:paraId="22489BF5" w14:textId="77777777">
            <w:pPr>
              <w:ind w:left="720"/>
              <w:rPr>
                <w:rFonts w:cstheme="minorHAnsi"/>
                <w:b/>
                <w:bCs/>
                <w:sz w:val="20"/>
                <w:szCs w:val="20"/>
              </w:rPr>
            </w:pPr>
            <w:r w:rsidRPr="001A2B45">
              <w:rPr>
                <w:rFonts w:cstheme="minorHAnsi"/>
                <w:b/>
                <w:bCs/>
                <w:sz w:val="20"/>
                <w:szCs w:val="20"/>
              </w:rPr>
              <w:t xml:space="preserve">- Or - </w:t>
            </w:r>
          </w:p>
        </w:tc>
        <w:tc>
          <w:tcPr>
            <w:tcW w:w="2822" w:type="dxa"/>
          </w:tcPr>
          <w:p w:rsidR="00D01933" w:rsidRPr="001A2B45" w:rsidP="00355EC1" w14:paraId="5693CCE3" w14:textId="77777777">
            <w:pPr>
              <w:rPr>
                <w:rFonts w:cstheme="minorHAnsi"/>
                <w:sz w:val="20"/>
                <w:szCs w:val="20"/>
              </w:rPr>
            </w:pPr>
          </w:p>
        </w:tc>
        <w:tc>
          <w:tcPr>
            <w:tcW w:w="1350" w:type="dxa"/>
          </w:tcPr>
          <w:p w:rsidR="00D01933" w:rsidRPr="001A2B45" w:rsidP="00355EC1" w14:paraId="7F27F3DB" w14:textId="77777777">
            <w:pPr>
              <w:rPr>
                <w:rFonts w:cstheme="minorHAnsi"/>
                <w:sz w:val="20"/>
                <w:szCs w:val="20"/>
              </w:rPr>
            </w:pPr>
          </w:p>
        </w:tc>
        <w:tc>
          <w:tcPr>
            <w:tcW w:w="2700" w:type="dxa"/>
          </w:tcPr>
          <w:p w:rsidR="00D01933" w:rsidRPr="001A2B45" w:rsidP="00355EC1" w14:paraId="3AC31F21" w14:textId="77777777">
            <w:pPr>
              <w:rPr>
                <w:rFonts w:cstheme="minorHAnsi"/>
                <w:sz w:val="20"/>
                <w:szCs w:val="20"/>
              </w:rPr>
            </w:pPr>
          </w:p>
        </w:tc>
      </w:tr>
      <w:tr w14:paraId="0C31B06C" w14:textId="77777777" w:rsidTr="00355EC1">
        <w:tblPrEx>
          <w:tblW w:w="10795" w:type="dxa"/>
          <w:tblLook w:val="04A0"/>
        </w:tblPrEx>
        <w:trPr>
          <w:trHeight w:val="261"/>
        </w:trPr>
        <w:tc>
          <w:tcPr>
            <w:tcW w:w="3923" w:type="dxa"/>
          </w:tcPr>
          <w:p w:rsidR="00D01933" w:rsidRPr="001A2B45" w:rsidP="00355EC1" w14:paraId="68291DAF" w14:textId="77777777">
            <w:pPr>
              <w:rPr>
                <w:rFonts w:cstheme="minorHAnsi"/>
                <w:b/>
                <w:bCs/>
                <w:sz w:val="20"/>
                <w:szCs w:val="20"/>
              </w:rPr>
            </w:pPr>
            <w:r w:rsidRPr="001A2B45">
              <w:rPr>
                <w:rFonts w:cstheme="minorHAnsi"/>
                <w:b/>
                <w:bCs/>
                <w:sz w:val="20"/>
                <w:szCs w:val="20"/>
              </w:rPr>
              <w:t>Sum</w:t>
            </w:r>
            <w:r w:rsidRPr="001A2B45">
              <w:rPr>
                <w:rFonts w:cstheme="minorHAnsi"/>
                <w:b/>
                <w:bCs/>
                <w:sz w:val="20"/>
                <w:szCs w:val="20"/>
              </w:rPr>
              <w:t xml:space="preserve"> of:</w:t>
            </w:r>
          </w:p>
        </w:tc>
        <w:tc>
          <w:tcPr>
            <w:tcW w:w="2822" w:type="dxa"/>
          </w:tcPr>
          <w:p w:rsidR="00D01933" w:rsidRPr="001A2B45" w:rsidP="00355EC1" w14:paraId="0C64B0A6" w14:textId="77777777">
            <w:pPr>
              <w:rPr>
                <w:rFonts w:cstheme="minorHAnsi"/>
                <w:sz w:val="20"/>
                <w:szCs w:val="20"/>
              </w:rPr>
            </w:pPr>
          </w:p>
        </w:tc>
        <w:tc>
          <w:tcPr>
            <w:tcW w:w="1350" w:type="dxa"/>
          </w:tcPr>
          <w:p w:rsidR="00D01933" w:rsidRPr="001A2B45" w:rsidP="00355EC1" w14:paraId="0DD97D44" w14:textId="77777777">
            <w:pPr>
              <w:rPr>
                <w:rFonts w:cstheme="minorHAnsi"/>
                <w:sz w:val="20"/>
                <w:szCs w:val="20"/>
              </w:rPr>
            </w:pPr>
          </w:p>
        </w:tc>
        <w:tc>
          <w:tcPr>
            <w:tcW w:w="2700" w:type="dxa"/>
          </w:tcPr>
          <w:p w:rsidR="00D01933" w:rsidRPr="001A2B45" w:rsidP="00355EC1" w14:paraId="6BA74C94" w14:textId="77777777">
            <w:pPr>
              <w:rPr>
                <w:rFonts w:cstheme="minorHAnsi"/>
                <w:sz w:val="20"/>
                <w:szCs w:val="20"/>
              </w:rPr>
            </w:pPr>
          </w:p>
        </w:tc>
      </w:tr>
      <w:tr w14:paraId="13609F3E" w14:textId="77777777" w:rsidTr="00355EC1">
        <w:tblPrEx>
          <w:tblW w:w="10795" w:type="dxa"/>
          <w:tblLook w:val="04A0"/>
        </w:tblPrEx>
        <w:trPr>
          <w:trHeight w:val="535"/>
        </w:trPr>
        <w:tc>
          <w:tcPr>
            <w:tcW w:w="3923" w:type="dxa"/>
            <w:vAlign w:val="center"/>
          </w:tcPr>
          <w:p w:rsidR="00D01933" w:rsidRPr="001A2B45" w:rsidP="00355EC1" w14:paraId="6949CD03" w14:textId="77777777">
            <w:pPr>
              <w:jc w:val="center"/>
              <w:rPr>
                <w:rFonts w:cstheme="minorHAnsi"/>
                <w:b/>
                <w:bCs/>
                <w:sz w:val="20"/>
                <w:szCs w:val="20"/>
              </w:rPr>
            </w:pPr>
            <w:r w:rsidRPr="001A2B45">
              <w:rPr>
                <w:rFonts w:cstheme="minorHAnsi"/>
                <w:b/>
                <w:bCs/>
                <w:sz w:val="20"/>
                <w:szCs w:val="20"/>
              </w:rPr>
              <w:t>Category</w:t>
            </w:r>
          </w:p>
        </w:tc>
        <w:tc>
          <w:tcPr>
            <w:tcW w:w="2822" w:type="dxa"/>
            <w:vAlign w:val="center"/>
          </w:tcPr>
          <w:p w:rsidR="00D01933" w:rsidRPr="001A2B45" w:rsidP="00355EC1" w14:paraId="4F4AEB9E" w14:textId="77777777">
            <w:pPr>
              <w:jc w:val="center"/>
              <w:rPr>
                <w:rFonts w:cstheme="minorHAnsi"/>
                <w:b/>
                <w:bCs/>
                <w:sz w:val="20"/>
                <w:szCs w:val="20"/>
              </w:rPr>
            </w:pPr>
            <w:r w:rsidRPr="001A2B45">
              <w:rPr>
                <w:rFonts w:cstheme="minorHAnsi"/>
                <w:b/>
                <w:bCs/>
                <w:sz w:val="20"/>
                <w:szCs w:val="20"/>
              </w:rPr>
              <w:t>Base Amount</w:t>
            </w:r>
          </w:p>
        </w:tc>
        <w:tc>
          <w:tcPr>
            <w:tcW w:w="1350" w:type="dxa"/>
            <w:vAlign w:val="center"/>
          </w:tcPr>
          <w:p w:rsidR="00D01933" w:rsidRPr="001A2B45" w:rsidP="00355EC1" w14:paraId="083DEC16" w14:textId="77777777">
            <w:pPr>
              <w:jc w:val="center"/>
              <w:rPr>
                <w:rFonts w:cstheme="minorHAnsi"/>
                <w:b/>
                <w:bCs/>
                <w:sz w:val="20"/>
                <w:szCs w:val="20"/>
              </w:rPr>
            </w:pPr>
            <w:r w:rsidRPr="001A2B45">
              <w:rPr>
                <w:rFonts w:cstheme="minorHAnsi"/>
                <w:b/>
                <w:bCs/>
                <w:sz w:val="20"/>
                <w:szCs w:val="20"/>
              </w:rPr>
              <w:t>Required Percentage</w:t>
            </w:r>
          </w:p>
        </w:tc>
        <w:tc>
          <w:tcPr>
            <w:tcW w:w="2700" w:type="dxa"/>
            <w:vAlign w:val="center"/>
          </w:tcPr>
          <w:p w:rsidR="00D01933" w:rsidRPr="001A2B45" w:rsidP="00355EC1" w14:paraId="4A96B9BF" w14:textId="77777777">
            <w:pPr>
              <w:jc w:val="center"/>
              <w:rPr>
                <w:rFonts w:cstheme="minorHAnsi"/>
                <w:b/>
                <w:bCs/>
                <w:sz w:val="20"/>
                <w:szCs w:val="20"/>
              </w:rPr>
            </w:pPr>
            <w:r w:rsidRPr="001A2B45">
              <w:rPr>
                <w:rFonts w:cstheme="minorHAnsi"/>
                <w:b/>
                <w:bCs/>
                <w:sz w:val="20"/>
                <w:szCs w:val="20"/>
              </w:rPr>
              <w:t>Required Amount</w:t>
            </w:r>
          </w:p>
        </w:tc>
      </w:tr>
      <w:tr w14:paraId="519DFD4D" w14:textId="77777777" w:rsidTr="00355EC1">
        <w:tblPrEx>
          <w:tblW w:w="10795" w:type="dxa"/>
          <w:tblLook w:val="04A0"/>
        </w:tblPrEx>
        <w:trPr>
          <w:trHeight w:val="261"/>
        </w:trPr>
        <w:tc>
          <w:tcPr>
            <w:tcW w:w="3923" w:type="dxa"/>
          </w:tcPr>
          <w:p w:rsidR="00D01933" w:rsidRPr="001A2B45" w:rsidP="00355EC1" w14:paraId="7CC9D29B" w14:textId="77777777">
            <w:pPr>
              <w:rPr>
                <w:rFonts w:cstheme="minorHAnsi"/>
                <w:sz w:val="20"/>
                <w:szCs w:val="20"/>
              </w:rPr>
            </w:pPr>
            <w:r w:rsidRPr="001A2B45">
              <w:rPr>
                <w:rFonts w:cstheme="minorHAnsi"/>
                <w:sz w:val="20"/>
                <w:szCs w:val="20"/>
              </w:rPr>
              <w:t>Outstanding Ginnie Mae single-family servicing unpaid principal balance (UPB)</w:t>
            </w:r>
          </w:p>
        </w:tc>
        <w:tc>
          <w:tcPr>
            <w:tcW w:w="2822" w:type="dxa"/>
            <w:shd w:val="clear" w:color="auto" w:fill="B4C6E7" w:themeFill="accent1" w:themeFillTint="66"/>
            <w:vAlign w:val="center"/>
          </w:tcPr>
          <w:p w:rsidR="00D01933" w:rsidRPr="001A2B45" w:rsidP="00355EC1" w14:paraId="65A17047" w14:textId="77777777">
            <w:pPr>
              <w:jc w:val="right"/>
              <w:rPr>
                <w:rFonts w:cstheme="minorHAnsi"/>
                <w:sz w:val="20"/>
                <w:szCs w:val="20"/>
              </w:rPr>
            </w:pPr>
            <w:r w:rsidRPr="001A2B45">
              <w:rPr>
                <w:rFonts w:cstheme="minorHAnsi"/>
                <w:sz w:val="20"/>
                <w:szCs w:val="20"/>
              </w:rPr>
              <w:t>$</w:t>
            </w:r>
          </w:p>
        </w:tc>
        <w:tc>
          <w:tcPr>
            <w:tcW w:w="1350" w:type="dxa"/>
            <w:vAlign w:val="center"/>
          </w:tcPr>
          <w:p w:rsidR="00D01933" w:rsidRPr="001A2B45" w:rsidP="00355EC1" w14:paraId="7D5D4A40" w14:textId="77777777">
            <w:pPr>
              <w:jc w:val="center"/>
              <w:rPr>
                <w:rFonts w:cstheme="minorHAnsi"/>
                <w:sz w:val="20"/>
                <w:szCs w:val="20"/>
              </w:rPr>
            </w:pPr>
            <w:r w:rsidRPr="001A2B45">
              <w:rPr>
                <w:rFonts w:cstheme="minorHAnsi"/>
                <w:sz w:val="20"/>
                <w:szCs w:val="20"/>
              </w:rPr>
              <w:t>0.10</w:t>
            </w:r>
            <w:r>
              <w:rPr>
                <w:rFonts w:cstheme="minorHAnsi"/>
                <w:sz w:val="20"/>
                <w:szCs w:val="20"/>
              </w:rPr>
              <w:t>0</w:t>
            </w:r>
            <w:r w:rsidRPr="001A2B45">
              <w:rPr>
                <w:rFonts w:cstheme="minorHAnsi"/>
                <w:sz w:val="20"/>
                <w:szCs w:val="20"/>
              </w:rPr>
              <w:t>%</w:t>
            </w:r>
          </w:p>
        </w:tc>
        <w:tc>
          <w:tcPr>
            <w:tcW w:w="2700" w:type="dxa"/>
            <w:shd w:val="clear" w:color="auto" w:fill="B4C6E7" w:themeFill="accent1" w:themeFillTint="66"/>
            <w:vAlign w:val="center"/>
          </w:tcPr>
          <w:p w:rsidR="00D01933" w:rsidRPr="001A2B45" w:rsidP="00355EC1" w14:paraId="7EF6801E" w14:textId="77777777">
            <w:pPr>
              <w:jc w:val="right"/>
              <w:rPr>
                <w:rFonts w:cstheme="minorHAnsi"/>
                <w:sz w:val="20"/>
                <w:szCs w:val="20"/>
              </w:rPr>
            </w:pPr>
            <w:r w:rsidRPr="001A2B45">
              <w:rPr>
                <w:rFonts w:cstheme="minorHAnsi"/>
                <w:sz w:val="20"/>
                <w:szCs w:val="20"/>
              </w:rPr>
              <w:t>$</w:t>
            </w:r>
          </w:p>
        </w:tc>
      </w:tr>
      <w:tr w14:paraId="2EAEC9B1" w14:textId="77777777" w:rsidTr="00355EC1">
        <w:tblPrEx>
          <w:tblW w:w="10795" w:type="dxa"/>
          <w:tblLook w:val="04A0"/>
        </w:tblPrEx>
        <w:trPr>
          <w:trHeight w:val="261"/>
        </w:trPr>
        <w:tc>
          <w:tcPr>
            <w:tcW w:w="3923" w:type="dxa"/>
          </w:tcPr>
          <w:p w:rsidR="00D01933" w:rsidRPr="001A2B45" w:rsidP="00355EC1" w14:paraId="350B5D4C" w14:textId="77777777">
            <w:pPr>
              <w:rPr>
                <w:rFonts w:cstheme="minorHAnsi"/>
                <w:sz w:val="20"/>
                <w:szCs w:val="20"/>
              </w:rPr>
            </w:pPr>
            <w:r w:rsidRPr="001A2B45">
              <w:rPr>
                <w:rFonts w:cstheme="minorHAnsi"/>
                <w:sz w:val="20"/>
                <w:szCs w:val="20"/>
              </w:rPr>
              <w:t xml:space="preserve">Outstanding GSE single-family servicing UPB, </w:t>
            </w:r>
            <w:r w:rsidRPr="001A2B45">
              <w:rPr>
                <w:rFonts w:cstheme="minorHAnsi"/>
                <w:i/>
                <w:iCs/>
                <w:sz w:val="20"/>
                <w:szCs w:val="20"/>
              </w:rPr>
              <w:t xml:space="preserve">if the </w:t>
            </w:r>
            <w:r>
              <w:rPr>
                <w:rFonts w:cstheme="minorHAnsi"/>
                <w:i/>
                <w:iCs/>
                <w:sz w:val="20"/>
                <w:szCs w:val="20"/>
              </w:rPr>
              <w:t>I</w:t>
            </w:r>
            <w:r w:rsidRPr="001A2B45">
              <w:rPr>
                <w:rFonts w:cstheme="minorHAnsi"/>
                <w:i/>
                <w:iCs/>
                <w:sz w:val="20"/>
                <w:szCs w:val="20"/>
              </w:rPr>
              <w:t>ssuer remits (or the Enterprise draws) the principal and interest only as actually collected from the borrower.</w:t>
            </w:r>
          </w:p>
        </w:tc>
        <w:tc>
          <w:tcPr>
            <w:tcW w:w="2822" w:type="dxa"/>
            <w:shd w:val="clear" w:color="auto" w:fill="B4C6E7" w:themeFill="accent1" w:themeFillTint="66"/>
            <w:vAlign w:val="center"/>
          </w:tcPr>
          <w:p w:rsidR="00D01933" w:rsidRPr="001A2B45" w:rsidP="00355EC1" w14:paraId="1006FCC9" w14:textId="77777777">
            <w:pPr>
              <w:jc w:val="right"/>
              <w:rPr>
                <w:rFonts w:cstheme="minorHAnsi"/>
                <w:sz w:val="20"/>
                <w:szCs w:val="20"/>
              </w:rPr>
            </w:pPr>
            <w:r w:rsidRPr="001A2B45">
              <w:rPr>
                <w:rFonts w:cstheme="minorHAnsi"/>
                <w:sz w:val="20"/>
                <w:szCs w:val="20"/>
              </w:rPr>
              <w:t>$</w:t>
            </w:r>
          </w:p>
        </w:tc>
        <w:tc>
          <w:tcPr>
            <w:tcW w:w="1350" w:type="dxa"/>
            <w:vAlign w:val="center"/>
          </w:tcPr>
          <w:p w:rsidR="00D01933" w:rsidRPr="001A2B45" w:rsidP="00355EC1" w14:paraId="771C6C21" w14:textId="77777777">
            <w:pPr>
              <w:jc w:val="center"/>
              <w:rPr>
                <w:rFonts w:cstheme="minorHAnsi"/>
                <w:sz w:val="20"/>
                <w:szCs w:val="20"/>
              </w:rPr>
            </w:pPr>
            <w:r w:rsidRPr="001A2B45">
              <w:rPr>
                <w:rFonts w:cstheme="minorHAnsi"/>
                <w:sz w:val="20"/>
                <w:szCs w:val="20"/>
              </w:rPr>
              <w:t>0.035%</w:t>
            </w:r>
          </w:p>
        </w:tc>
        <w:tc>
          <w:tcPr>
            <w:tcW w:w="2700" w:type="dxa"/>
            <w:shd w:val="clear" w:color="auto" w:fill="B4C6E7" w:themeFill="accent1" w:themeFillTint="66"/>
            <w:vAlign w:val="center"/>
          </w:tcPr>
          <w:p w:rsidR="00D01933" w:rsidRPr="001A2B45" w:rsidP="00355EC1" w14:paraId="186D2846" w14:textId="77777777">
            <w:pPr>
              <w:jc w:val="right"/>
              <w:rPr>
                <w:rFonts w:cstheme="minorHAnsi"/>
                <w:sz w:val="20"/>
                <w:szCs w:val="20"/>
              </w:rPr>
            </w:pPr>
            <w:r w:rsidRPr="001A2B45">
              <w:rPr>
                <w:rFonts w:cstheme="minorHAnsi"/>
                <w:sz w:val="20"/>
                <w:szCs w:val="20"/>
              </w:rPr>
              <w:t>$</w:t>
            </w:r>
          </w:p>
        </w:tc>
      </w:tr>
      <w:tr w14:paraId="578766FF" w14:textId="77777777" w:rsidTr="00355EC1">
        <w:tblPrEx>
          <w:tblW w:w="10795" w:type="dxa"/>
          <w:tblLook w:val="04A0"/>
        </w:tblPrEx>
        <w:trPr>
          <w:trHeight w:val="261"/>
        </w:trPr>
        <w:tc>
          <w:tcPr>
            <w:tcW w:w="3923" w:type="dxa"/>
          </w:tcPr>
          <w:p w:rsidR="00D01933" w:rsidRPr="001A2B45" w:rsidP="00355EC1" w14:paraId="027C50FD" w14:textId="77777777">
            <w:pPr>
              <w:rPr>
                <w:rFonts w:cstheme="minorHAnsi"/>
                <w:sz w:val="20"/>
                <w:szCs w:val="20"/>
              </w:rPr>
            </w:pPr>
            <w:r w:rsidRPr="001A2B45">
              <w:rPr>
                <w:rFonts w:cstheme="minorHAnsi"/>
                <w:sz w:val="20"/>
                <w:szCs w:val="20"/>
              </w:rPr>
              <w:t xml:space="preserve">Outstanding GSE single-family servicing UPB, </w:t>
            </w:r>
            <w:r w:rsidRPr="001A2B45">
              <w:rPr>
                <w:rFonts w:cstheme="minorHAnsi"/>
                <w:i/>
                <w:iCs/>
                <w:sz w:val="20"/>
                <w:szCs w:val="20"/>
              </w:rPr>
              <w:t xml:space="preserve">if the Issuer remits (or the Enterprise draws) the principal or interest, or both, as scheduled, regardless of whether principal or </w:t>
            </w:r>
            <w:r w:rsidRPr="001A2B45">
              <w:rPr>
                <w:rFonts w:cstheme="minorHAnsi"/>
                <w:i/>
                <w:iCs/>
                <w:sz w:val="20"/>
                <w:szCs w:val="20"/>
              </w:rPr>
              <w:t>interest has been collected from the borrower.</w:t>
            </w:r>
            <w:r w:rsidRPr="001A2B45">
              <w:rPr>
                <w:rFonts w:cstheme="minorHAnsi"/>
                <w:sz w:val="20"/>
                <w:szCs w:val="20"/>
              </w:rPr>
              <w:t xml:space="preserve"> </w:t>
            </w:r>
          </w:p>
        </w:tc>
        <w:tc>
          <w:tcPr>
            <w:tcW w:w="2822" w:type="dxa"/>
            <w:shd w:val="clear" w:color="auto" w:fill="B4C6E7" w:themeFill="accent1" w:themeFillTint="66"/>
            <w:vAlign w:val="center"/>
          </w:tcPr>
          <w:p w:rsidR="00D01933" w:rsidRPr="001A2B45" w:rsidP="00355EC1" w14:paraId="763BAA89" w14:textId="77777777">
            <w:pPr>
              <w:jc w:val="right"/>
              <w:rPr>
                <w:rFonts w:cstheme="minorHAnsi"/>
                <w:sz w:val="20"/>
                <w:szCs w:val="20"/>
              </w:rPr>
            </w:pPr>
            <w:r w:rsidRPr="001A2B45">
              <w:rPr>
                <w:rFonts w:cstheme="minorHAnsi"/>
                <w:sz w:val="20"/>
                <w:szCs w:val="20"/>
              </w:rPr>
              <w:t>$</w:t>
            </w:r>
          </w:p>
        </w:tc>
        <w:tc>
          <w:tcPr>
            <w:tcW w:w="1350" w:type="dxa"/>
            <w:vAlign w:val="center"/>
          </w:tcPr>
          <w:p w:rsidR="00D01933" w:rsidRPr="001A2B45" w:rsidP="00355EC1" w14:paraId="6A0A458D" w14:textId="77777777">
            <w:pPr>
              <w:jc w:val="center"/>
              <w:rPr>
                <w:rFonts w:cstheme="minorHAnsi"/>
                <w:sz w:val="20"/>
                <w:szCs w:val="20"/>
              </w:rPr>
            </w:pPr>
            <w:r w:rsidRPr="001A2B45">
              <w:rPr>
                <w:rFonts w:cstheme="minorHAnsi"/>
                <w:sz w:val="20"/>
                <w:szCs w:val="20"/>
              </w:rPr>
              <w:t>0.07</w:t>
            </w:r>
            <w:r>
              <w:rPr>
                <w:rFonts w:cstheme="minorHAnsi"/>
                <w:sz w:val="20"/>
                <w:szCs w:val="20"/>
              </w:rPr>
              <w:t>0</w:t>
            </w:r>
            <w:r w:rsidRPr="001A2B45">
              <w:rPr>
                <w:rFonts w:cstheme="minorHAnsi"/>
                <w:sz w:val="20"/>
                <w:szCs w:val="20"/>
              </w:rPr>
              <w:t>%</w:t>
            </w:r>
          </w:p>
        </w:tc>
        <w:tc>
          <w:tcPr>
            <w:tcW w:w="2700" w:type="dxa"/>
            <w:shd w:val="clear" w:color="auto" w:fill="B4C6E7" w:themeFill="accent1" w:themeFillTint="66"/>
            <w:vAlign w:val="center"/>
          </w:tcPr>
          <w:p w:rsidR="00D01933" w:rsidRPr="001A2B45" w:rsidP="00355EC1" w14:paraId="271B25D7" w14:textId="77777777">
            <w:pPr>
              <w:jc w:val="right"/>
              <w:rPr>
                <w:rFonts w:cstheme="minorHAnsi"/>
                <w:sz w:val="20"/>
                <w:szCs w:val="20"/>
              </w:rPr>
            </w:pPr>
            <w:r w:rsidRPr="001A2B45">
              <w:rPr>
                <w:rFonts w:cstheme="minorHAnsi"/>
                <w:sz w:val="20"/>
                <w:szCs w:val="20"/>
              </w:rPr>
              <w:t>$</w:t>
            </w:r>
          </w:p>
        </w:tc>
      </w:tr>
      <w:tr w14:paraId="612E3727" w14:textId="77777777" w:rsidTr="00355EC1">
        <w:tblPrEx>
          <w:tblW w:w="10795" w:type="dxa"/>
          <w:tblLook w:val="04A0"/>
        </w:tblPrEx>
        <w:trPr>
          <w:trHeight w:val="261"/>
        </w:trPr>
        <w:tc>
          <w:tcPr>
            <w:tcW w:w="3923" w:type="dxa"/>
          </w:tcPr>
          <w:p w:rsidR="00D01933" w:rsidRPr="001A2B45" w:rsidP="00355EC1" w14:paraId="00871FD4" w14:textId="77777777">
            <w:pPr>
              <w:rPr>
                <w:rFonts w:cstheme="minorHAnsi"/>
                <w:sz w:val="20"/>
                <w:szCs w:val="20"/>
              </w:rPr>
            </w:pPr>
            <w:r w:rsidRPr="001A2B45">
              <w:rPr>
                <w:rFonts w:cstheme="minorHAnsi"/>
                <w:sz w:val="20"/>
                <w:szCs w:val="20"/>
              </w:rPr>
              <w:t>Outstanding non-agency single-family servicing UPB.</w:t>
            </w:r>
          </w:p>
        </w:tc>
        <w:tc>
          <w:tcPr>
            <w:tcW w:w="2822" w:type="dxa"/>
            <w:shd w:val="clear" w:color="auto" w:fill="B4C6E7" w:themeFill="accent1" w:themeFillTint="66"/>
            <w:vAlign w:val="center"/>
          </w:tcPr>
          <w:p w:rsidR="00D01933" w:rsidRPr="001A2B45" w:rsidP="00355EC1" w14:paraId="5ADCBDAA" w14:textId="77777777">
            <w:pPr>
              <w:jc w:val="right"/>
              <w:rPr>
                <w:rFonts w:cstheme="minorHAnsi"/>
                <w:sz w:val="20"/>
                <w:szCs w:val="20"/>
              </w:rPr>
            </w:pPr>
            <w:r w:rsidRPr="001A2B45">
              <w:rPr>
                <w:rFonts w:cstheme="minorHAnsi"/>
                <w:sz w:val="20"/>
                <w:szCs w:val="20"/>
              </w:rPr>
              <w:t>$</w:t>
            </w:r>
          </w:p>
        </w:tc>
        <w:tc>
          <w:tcPr>
            <w:tcW w:w="1350" w:type="dxa"/>
            <w:vAlign w:val="center"/>
          </w:tcPr>
          <w:p w:rsidR="00D01933" w:rsidRPr="001A2B45" w:rsidP="00355EC1" w14:paraId="6164FEB2" w14:textId="77777777">
            <w:pPr>
              <w:jc w:val="center"/>
              <w:rPr>
                <w:rFonts w:cstheme="minorHAnsi"/>
                <w:sz w:val="20"/>
                <w:szCs w:val="20"/>
              </w:rPr>
            </w:pPr>
            <w:r w:rsidRPr="001A2B45">
              <w:rPr>
                <w:rFonts w:cstheme="minorHAnsi"/>
                <w:sz w:val="20"/>
                <w:szCs w:val="20"/>
              </w:rPr>
              <w:t>0.035%</w:t>
            </w:r>
          </w:p>
        </w:tc>
        <w:tc>
          <w:tcPr>
            <w:tcW w:w="2700" w:type="dxa"/>
            <w:shd w:val="clear" w:color="auto" w:fill="B4C6E7" w:themeFill="accent1" w:themeFillTint="66"/>
            <w:vAlign w:val="center"/>
          </w:tcPr>
          <w:p w:rsidR="00D01933" w:rsidRPr="001A2B45" w:rsidP="00355EC1" w14:paraId="7A8BD318" w14:textId="77777777">
            <w:pPr>
              <w:jc w:val="right"/>
              <w:rPr>
                <w:rFonts w:cstheme="minorHAnsi"/>
                <w:sz w:val="20"/>
                <w:szCs w:val="20"/>
              </w:rPr>
            </w:pPr>
            <w:r w:rsidRPr="001A2B45">
              <w:rPr>
                <w:rFonts w:cstheme="minorHAnsi"/>
                <w:sz w:val="20"/>
                <w:szCs w:val="20"/>
              </w:rPr>
              <w:t>$</w:t>
            </w:r>
          </w:p>
        </w:tc>
      </w:tr>
      <w:tr w14:paraId="210B8D2D" w14:textId="77777777" w:rsidTr="00355EC1">
        <w:tblPrEx>
          <w:tblW w:w="10795" w:type="dxa"/>
          <w:tblLook w:val="04A0"/>
        </w:tblPrEx>
        <w:trPr>
          <w:trHeight w:val="261"/>
        </w:trPr>
        <w:tc>
          <w:tcPr>
            <w:tcW w:w="3923" w:type="dxa"/>
            <w:vAlign w:val="center"/>
          </w:tcPr>
          <w:p w:rsidR="00D01933" w:rsidRPr="001A2B45" w:rsidP="00355EC1" w14:paraId="4506C1B0" w14:textId="77777777">
            <w:pPr>
              <w:rPr>
                <w:rFonts w:cstheme="minorHAnsi"/>
                <w:b/>
                <w:bCs/>
                <w:i/>
                <w:iCs/>
                <w:sz w:val="20"/>
                <w:szCs w:val="20"/>
              </w:rPr>
            </w:pPr>
            <w:r w:rsidRPr="001A2B45">
              <w:rPr>
                <w:rFonts w:cstheme="minorHAnsi"/>
                <w:b/>
                <w:bCs/>
                <w:i/>
                <w:iCs/>
                <w:sz w:val="20"/>
                <w:szCs w:val="20"/>
              </w:rPr>
              <w:t>Additional requirement for single-family Issuers that originated more than $1,000,000,000 in UPB of any residential first mortgages, regardless of channel (including retail, wholesale correspondent, and wholesale broker) in the most recent four-quarter period</w:t>
            </w:r>
          </w:p>
        </w:tc>
        <w:tc>
          <w:tcPr>
            <w:tcW w:w="2822" w:type="dxa"/>
            <w:shd w:val="clear" w:color="auto" w:fill="D9D9D9" w:themeFill="background1" w:themeFillShade="D9"/>
            <w:vAlign w:val="center"/>
          </w:tcPr>
          <w:p w:rsidR="00D01933" w:rsidRPr="001A2B45" w:rsidP="00355EC1" w14:paraId="2F4153B5" w14:textId="77777777">
            <w:pPr>
              <w:jc w:val="right"/>
              <w:rPr>
                <w:rFonts w:cstheme="minorHAnsi"/>
                <w:sz w:val="20"/>
                <w:szCs w:val="20"/>
              </w:rPr>
            </w:pPr>
          </w:p>
        </w:tc>
        <w:tc>
          <w:tcPr>
            <w:tcW w:w="1350" w:type="dxa"/>
            <w:shd w:val="clear" w:color="auto" w:fill="D9D9D9" w:themeFill="background1" w:themeFillShade="D9"/>
            <w:vAlign w:val="center"/>
          </w:tcPr>
          <w:p w:rsidR="00D01933" w:rsidRPr="001A2B45" w:rsidP="00355EC1" w14:paraId="78350744" w14:textId="77777777">
            <w:pPr>
              <w:jc w:val="center"/>
              <w:rPr>
                <w:rFonts w:cstheme="minorHAnsi"/>
                <w:sz w:val="20"/>
                <w:szCs w:val="20"/>
              </w:rPr>
            </w:pPr>
          </w:p>
        </w:tc>
        <w:tc>
          <w:tcPr>
            <w:tcW w:w="2700" w:type="dxa"/>
            <w:shd w:val="clear" w:color="auto" w:fill="D9D9D9" w:themeFill="background1" w:themeFillShade="D9"/>
            <w:vAlign w:val="center"/>
          </w:tcPr>
          <w:p w:rsidR="00D01933" w:rsidRPr="001A2B45" w:rsidP="00355EC1" w14:paraId="2564A49B" w14:textId="77777777">
            <w:pPr>
              <w:jc w:val="right"/>
              <w:rPr>
                <w:rFonts w:cstheme="minorHAnsi"/>
                <w:sz w:val="20"/>
                <w:szCs w:val="20"/>
              </w:rPr>
            </w:pPr>
          </w:p>
        </w:tc>
      </w:tr>
      <w:tr w14:paraId="24A888DF" w14:textId="77777777" w:rsidTr="00355EC1">
        <w:tblPrEx>
          <w:tblW w:w="10795" w:type="dxa"/>
          <w:tblLook w:val="04A0"/>
        </w:tblPrEx>
        <w:trPr>
          <w:trHeight w:val="261"/>
        </w:trPr>
        <w:tc>
          <w:tcPr>
            <w:tcW w:w="3923" w:type="dxa"/>
          </w:tcPr>
          <w:p w:rsidR="00D01933" w:rsidRPr="001A2B45" w:rsidP="00355EC1" w14:paraId="5333BA08" w14:textId="77777777">
            <w:pPr>
              <w:rPr>
                <w:rFonts w:cstheme="minorHAnsi"/>
                <w:sz w:val="20"/>
                <w:szCs w:val="20"/>
              </w:rPr>
            </w:pPr>
            <w:r w:rsidRPr="001A2B45">
              <w:rPr>
                <w:rFonts w:cstheme="minorHAnsi"/>
                <w:sz w:val="20"/>
                <w:szCs w:val="20"/>
              </w:rPr>
              <w:t>Loans held-for-sale</w:t>
            </w:r>
          </w:p>
        </w:tc>
        <w:tc>
          <w:tcPr>
            <w:tcW w:w="2822" w:type="dxa"/>
            <w:shd w:val="clear" w:color="auto" w:fill="B4C6E7" w:themeFill="accent1" w:themeFillTint="66"/>
            <w:vAlign w:val="center"/>
          </w:tcPr>
          <w:p w:rsidR="00D01933" w:rsidRPr="001A2B45" w:rsidP="00355EC1" w14:paraId="0274B813" w14:textId="77777777">
            <w:pPr>
              <w:jc w:val="right"/>
              <w:rPr>
                <w:rFonts w:cstheme="minorHAnsi"/>
                <w:sz w:val="20"/>
                <w:szCs w:val="20"/>
              </w:rPr>
            </w:pPr>
            <w:r>
              <w:rPr>
                <w:rFonts w:cstheme="minorHAnsi"/>
                <w:sz w:val="20"/>
                <w:szCs w:val="20"/>
              </w:rPr>
              <w:t>$</w:t>
            </w:r>
          </w:p>
        </w:tc>
        <w:tc>
          <w:tcPr>
            <w:tcW w:w="1350" w:type="dxa"/>
            <w:vAlign w:val="center"/>
          </w:tcPr>
          <w:p w:rsidR="00D01933" w:rsidRPr="001A2B45" w:rsidP="00355EC1" w14:paraId="52C66B58" w14:textId="77777777">
            <w:pPr>
              <w:jc w:val="center"/>
              <w:rPr>
                <w:rFonts w:cstheme="minorHAnsi"/>
                <w:sz w:val="20"/>
                <w:szCs w:val="20"/>
              </w:rPr>
            </w:pPr>
            <w:r w:rsidRPr="001A2B45">
              <w:rPr>
                <w:rFonts w:cstheme="minorHAnsi"/>
                <w:sz w:val="20"/>
                <w:szCs w:val="20"/>
              </w:rPr>
              <w:t>0.50</w:t>
            </w:r>
            <w:r>
              <w:rPr>
                <w:rFonts w:cstheme="minorHAnsi"/>
                <w:sz w:val="20"/>
                <w:szCs w:val="20"/>
              </w:rPr>
              <w:t>0</w:t>
            </w:r>
            <w:r w:rsidRPr="001A2B45">
              <w:rPr>
                <w:rFonts w:cstheme="minorHAnsi"/>
                <w:sz w:val="20"/>
                <w:szCs w:val="20"/>
              </w:rPr>
              <w:t>%</w:t>
            </w:r>
          </w:p>
        </w:tc>
        <w:tc>
          <w:tcPr>
            <w:tcW w:w="2700" w:type="dxa"/>
            <w:shd w:val="clear" w:color="auto" w:fill="B4C6E7" w:themeFill="accent1" w:themeFillTint="66"/>
            <w:vAlign w:val="center"/>
          </w:tcPr>
          <w:p w:rsidR="00D01933" w:rsidRPr="001A2B45" w:rsidP="00355EC1" w14:paraId="211102E3" w14:textId="77777777">
            <w:pPr>
              <w:jc w:val="right"/>
              <w:rPr>
                <w:rFonts w:cstheme="minorHAnsi"/>
                <w:sz w:val="20"/>
                <w:szCs w:val="20"/>
              </w:rPr>
            </w:pPr>
            <w:r>
              <w:rPr>
                <w:rFonts w:cstheme="minorHAnsi"/>
                <w:sz w:val="20"/>
                <w:szCs w:val="20"/>
              </w:rPr>
              <w:t>$</w:t>
            </w:r>
          </w:p>
        </w:tc>
      </w:tr>
      <w:tr w14:paraId="1C4AE763" w14:textId="77777777" w:rsidTr="00355EC1">
        <w:tblPrEx>
          <w:tblW w:w="10795" w:type="dxa"/>
          <w:tblLook w:val="04A0"/>
        </w:tblPrEx>
        <w:trPr>
          <w:trHeight w:val="261"/>
        </w:trPr>
        <w:tc>
          <w:tcPr>
            <w:tcW w:w="3923" w:type="dxa"/>
          </w:tcPr>
          <w:p w:rsidR="00D01933" w:rsidRPr="001A2B45" w:rsidP="00355EC1" w14:paraId="709794A5" w14:textId="77777777">
            <w:pPr>
              <w:rPr>
                <w:rFonts w:cstheme="minorHAnsi"/>
                <w:sz w:val="20"/>
                <w:szCs w:val="20"/>
              </w:rPr>
            </w:pPr>
            <w:r w:rsidRPr="001A2B45">
              <w:rPr>
                <w:rFonts w:cstheme="minorHAnsi"/>
                <w:sz w:val="20"/>
                <w:szCs w:val="20"/>
              </w:rPr>
              <w:t>UPB of interest rate lock commitments (IRLC) after fallout adjustments</w:t>
            </w:r>
            <w:r>
              <w:rPr>
                <w:rStyle w:val="FootnoteReference"/>
                <w:rFonts w:cstheme="minorHAnsi"/>
              </w:rPr>
              <w:footnoteReference w:id="23"/>
            </w:r>
            <w:r w:rsidRPr="001A2B45">
              <w:rPr>
                <w:rFonts w:cstheme="minorHAnsi"/>
                <w:sz w:val="20"/>
                <w:szCs w:val="20"/>
              </w:rPr>
              <w:t xml:space="preserve">. </w:t>
            </w:r>
          </w:p>
        </w:tc>
        <w:tc>
          <w:tcPr>
            <w:tcW w:w="2822" w:type="dxa"/>
            <w:shd w:val="clear" w:color="auto" w:fill="B4C6E7" w:themeFill="accent1" w:themeFillTint="66"/>
            <w:vAlign w:val="center"/>
          </w:tcPr>
          <w:p w:rsidR="00D01933" w:rsidRPr="001A2B45" w:rsidP="00355EC1" w14:paraId="022E82A5" w14:textId="77777777">
            <w:pPr>
              <w:jc w:val="right"/>
              <w:rPr>
                <w:rFonts w:cstheme="minorHAnsi"/>
                <w:sz w:val="20"/>
                <w:szCs w:val="20"/>
              </w:rPr>
            </w:pPr>
            <w:r>
              <w:rPr>
                <w:rFonts w:cstheme="minorHAnsi"/>
                <w:sz w:val="20"/>
                <w:szCs w:val="20"/>
              </w:rPr>
              <w:t>$</w:t>
            </w:r>
          </w:p>
        </w:tc>
        <w:tc>
          <w:tcPr>
            <w:tcW w:w="1350" w:type="dxa"/>
            <w:vAlign w:val="center"/>
          </w:tcPr>
          <w:p w:rsidR="00D01933" w:rsidRPr="001A2B45" w:rsidP="00355EC1" w14:paraId="4D569B6E" w14:textId="77777777">
            <w:pPr>
              <w:jc w:val="center"/>
              <w:rPr>
                <w:rFonts w:cstheme="minorHAnsi"/>
                <w:sz w:val="20"/>
                <w:szCs w:val="20"/>
              </w:rPr>
            </w:pPr>
            <w:r w:rsidRPr="001A2B45">
              <w:rPr>
                <w:rFonts w:cstheme="minorHAnsi"/>
                <w:sz w:val="20"/>
                <w:szCs w:val="20"/>
              </w:rPr>
              <w:t>0.50</w:t>
            </w:r>
            <w:r>
              <w:rPr>
                <w:rFonts w:cstheme="minorHAnsi"/>
                <w:sz w:val="20"/>
                <w:szCs w:val="20"/>
              </w:rPr>
              <w:t>0</w:t>
            </w:r>
            <w:r w:rsidRPr="001A2B45">
              <w:rPr>
                <w:rFonts w:cstheme="minorHAnsi"/>
                <w:sz w:val="20"/>
                <w:szCs w:val="20"/>
              </w:rPr>
              <w:t>%</w:t>
            </w:r>
          </w:p>
        </w:tc>
        <w:tc>
          <w:tcPr>
            <w:tcW w:w="2700" w:type="dxa"/>
            <w:shd w:val="clear" w:color="auto" w:fill="B4C6E7" w:themeFill="accent1" w:themeFillTint="66"/>
            <w:vAlign w:val="center"/>
          </w:tcPr>
          <w:p w:rsidR="00D01933" w:rsidRPr="001A2B45" w:rsidP="00355EC1" w14:paraId="0E959A3E" w14:textId="77777777">
            <w:pPr>
              <w:jc w:val="right"/>
              <w:rPr>
                <w:rFonts w:cstheme="minorHAnsi"/>
                <w:sz w:val="20"/>
                <w:szCs w:val="20"/>
              </w:rPr>
            </w:pPr>
            <w:r>
              <w:rPr>
                <w:rFonts w:cstheme="minorHAnsi"/>
                <w:sz w:val="20"/>
                <w:szCs w:val="20"/>
              </w:rPr>
              <w:t>$</w:t>
            </w:r>
          </w:p>
        </w:tc>
      </w:tr>
      <w:tr w14:paraId="32C3E2FA" w14:textId="77777777" w:rsidTr="00355EC1">
        <w:tblPrEx>
          <w:tblW w:w="10795" w:type="dxa"/>
          <w:tblLook w:val="04A0"/>
        </w:tblPrEx>
        <w:trPr>
          <w:trHeight w:val="261"/>
        </w:trPr>
        <w:tc>
          <w:tcPr>
            <w:tcW w:w="3923" w:type="dxa"/>
          </w:tcPr>
          <w:p w:rsidR="00D01933" w:rsidRPr="001A2B45" w:rsidP="00355EC1" w14:paraId="009B708C" w14:textId="77777777">
            <w:pPr>
              <w:rPr>
                <w:rFonts w:cstheme="minorHAnsi"/>
                <w:b/>
                <w:bCs/>
                <w:sz w:val="20"/>
                <w:szCs w:val="20"/>
              </w:rPr>
            </w:pPr>
            <w:r w:rsidRPr="001A2B45">
              <w:rPr>
                <w:rFonts w:cstheme="minorHAnsi"/>
                <w:b/>
                <w:bCs/>
                <w:sz w:val="20"/>
                <w:szCs w:val="20"/>
              </w:rPr>
              <w:t>Total</w:t>
            </w:r>
          </w:p>
        </w:tc>
        <w:tc>
          <w:tcPr>
            <w:tcW w:w="2822" w:type="dxa"/>
            <w:shd w:val="clear" w:color="auto" w:fill="D9D9D9" w:themeFill="background1" w:themeFillShade="D9"/>
          </w:tcPr>
          <w:p w:rsidR="00D01933" w:rsidRPr="001A2B45" w:rsidP="00355EC1" w14:paraId="66396B72" w14:textId="77777777">
            <w:pPr>
              <w:rPr>
                <w:rFonts w:cstheme="minorHAnsi"/>
                <w:b/>
                <w:bCs/>
                <w:sz w:val="20"/>
                <w:szCs w:val="20"/>
              </w:rPr>
            </w:pPr>
          </w:p>
        </w:tc>
        <w:tc>
          <w:tcPr>
            <w:tcW w:w="1350" w:type="dxa"/>
            <w:shd w:val="clear" w:color="auto" w:fill="D9D9D9" w:themeFill="background1" w:themeFillShade="D9"/>
            <w:vAlign w:val="center"/>
          </w:tcPr>
          <w:p w:rsidR="00D01933" w:rsidRPr="001A2B45" w:rsidP="00355EC1" w14:paraId="43DBE449" w14:textId="77777777">
            <w:pPr>
              <w:jc w:val="center"/>
              <w:rPr>
                <w:rFonts w:cstheme="minorHAnsi"/>
                <w:b/>
                <w:bCs/>
                <w:sz w:val="20"/>
                <w:szCs w:val="20"/>
              </w:rPr>
            </w:pPr>
          </w:p>
        </w:tc>
        <w:tc>
          <w:tcPr>
            <w:tcW w:w="2700" w:type="dxa"/>
            <w:shd w:val="clear" w:color="auto" w:fill="B4C6E7" w:themeFill="accent1" w:themeFillTint="66"/>
            <w:vAlign w:val="center"/>
          </w:tcPr>
          <w:p w:rsidR="00D01933" w:rsidRPr="001A2B45" w:rsidP="00355EC1" w14:paraId="65D18ABA" w14:textId="77777777">
            <w:pPr>
              <w:jc w:val="right"/>
              <w:rPr>
                <w:rFonts w:cstheme="minorHAnsi"/>
                <w:b/>
                <w:bCs/>
                <w:sz w:val="20"/>
                <w:szCs w:val="20"/>
              </w:rPr>
            </w:pPr>
            <w:r w:rsidRPr="001A2B45">
              <w:rPr>
                <w:rFonts w:cstheme="minorHAnsi"/>
                <w:b/>
                <w:bCs/>
                <w:sz w:val="20"/>
                <w:szCs w:val="20"/>
              </w:rPr>
              <w:t>$</w:t>
            </w:r>
          </w:p>
        </w:tc>
      </w:tr>
    </w:tbl>
    <w:p w:rsidR="00D01933" w:rsidP="00D01933" w14:paraId="1FE76FC2" w14:textId="77777777">
      <w:pPr>
        <w:spacing w:before="160"/>
        <w:rPr>
          <w:shd w:val="clear" w:color="auto" w:fill="B4C6E7" w:themeFill="accent1" w:themeFillTint="66"/>
        </w:rPr>
      </w:pPr>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237211212"/>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1313292963"/>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P="00D01933" w14:paraId="0CB71E47" w14:textId="77777777">
      <w:pPr>
        <w:pStyle w:val="Heading1"/>
      </w:pPr>
      <w:r>
        <w:t xml:space="preserve">Manufactured Home (MH) Issuer Requirement </w:t>
      </w:r>
    </w:p>
    <w:p w:rsidR="00D01933" w:rsidP="00D01933" w14:paraId="68113121" w14:textId="77777777">
      <w:pPr>
        <w:pStyle w:val="Heading2"/>
      </w:pPr>
      <w:r>
        <w:t>Liquid Assets</w:t>
      </w:r>
    </w:p>
    <w:tbl>
      <w:tblPr>
        <w:tblStyle w:val="TableGrid"/>
        <w:tblW w:w="0" w:type="auto"/>
        <w:tblLook w:val="04A0"/>
      </w:tblPr>
      <w:tblGrid>
        <w:gridCol w:w="7105"/>
        <w:gridCol w:w="3685"/>
      </w:tblGrid>
      <w:tr w14:paraId="7BF5952C" w14:textId="77777777" w:rsidTr="00355EC1">
        <w:tblPrEx>
          <w:tblW w:w="0" w:type="auto"/>
          <w:tblLook w:val="04A0"/>
        </w:tblPrEx>
        <w:tc>
          <w:tcPr>
            <w:tcW w:w="7105" w:type="dxa"/>
          </w:tcPr>
          <w:p w:rsidR="00D01933" w:rsidRPr="001A2B45" w:rsidP="00355EC1" w14:paraId="7696A6B0" w14:textId="77777777">
            <w:pPr>
              <w:rPr>
                <w:b/>
                <w:bCs/>
                <w:sz w:val="20"/>
                <w:szCs w:val="20"/>
              </w:rPr>
            </w:pPr>
            <w:r w:rsidRPr="001A2B45">
              <w:rPr>
                <w:b/>
                <w:bCs/>
                <w:sz w:val="20"/>
                <w:szCs w:val="20"/>
              </w:rPr>
              <w:t>Liquid Assets</w:t>
            </w:r>
          </w:p>
        </w:tc>
        <w:tc>
          <w:tcPr>
            <w:tcW w:w="3685" w:type="dxa"/>
          </w:tcPr>
          <w:p w:rsidR="00D01933" w:rsidRPr="001A2B45" w:rsidP="00355EC1" w14:paraId="0C8596C4" w14:textId="77777777">
            <w:pPr>
              <w:jc w:val="center"/>
              <w:rPr>
                <w:b/>
                <w:bCs/>
                <w:sz w:val="20"/>
                <w:szCs w:val="20"/>
              </w:rPr>
            </w:pPr>
            <w:r w:rsidRPr="001A2B45">
              <w:rPr>
                <w:b/>
                <w:bCs/>
                <w:sz w:val="20"/>
                <w:szCs w:val="20"/>
              </w:rPr>
              <w:t>Amount</w:t>
            </w:r>
          </w:p>
        </w:tc>
      </w:tr>
      <w:tr w14:paraId="48538AE8" w14:textId="77777777" w:rsidTr="00355EC1">
        <w:tblPrEx>
          <w:tblW w:w="0" w:type="auto"/>
          <w:tblLook w:val="04A0"/>
        </w:tblPrEx>
        <w:tc>
          <w:tcPr>
            <w:tcW w:w="7105" w:type="dxa"/>
          </w:tcPr>
          <w:p w:rsidR="00D01933" w:rsidRPr="001A2B45" w:rsidP="00355EC1" w14:paraId="1768AD20" w14:textId="77777777">
            <w:pPr>
              <w:rPr>
                <w:sz w:val="20"/>
                <w:szCs w:val="20"/>
              </w:rPr>
            </w:pPr>
            <w:r w:rsidRPr="001A2B45">
              <w:rPr>
                <w:sz w:val="20"/>
                <w:szCs w:val="20"/>
              </w:rPr>
              <w:t>Cash (FAS95)</w:t>
            </w:r>
          </w:p>
        </w:tc>
        <w:tc>
          <w:tcPr>
            <w:tcW w:w="3685" w:type="dxa"/>
            <w:shd w:val="clear" w:color="auto" w:fill="B4C6E7" w:themeFill="accent1" w:themeFillTint="66"/>
            <w:vAlign w:val="center"/>
          </w:tcPr>
          <w:p w:rsidR="00D01933" w:rsidRPr="001A2B45" w:rsidP="00355EC1" w14:paraId="25C66D15" w14:textId="77777777">
            <w:pPr>
              <w:jc w:val="right"/>
              <w:rPr>
                <w:sz w:val="20"/>
                <w:szCs w:val="20"/>
              </w:rPr>
            </w:pPr>
            <w:r w:rsidRPr="001A2B45">
              <w:rPr>
                <w:sz w:val="20"/>
                <w:szCs w:val="20"/>
              </w:rPr>
              <w:t>$</w:t>
            </w:r>
          </w:p>
        </w:tc>
      </w:tr>
      <w:tr w14:paraId="04E0413F" w14:textId="77777777" w:rsidTr="00355EC1">
        <w:tblPrEx>
          <w:tblW w:w="0" w:type="auto"/>
          <w:tblLook w:val="04A0"/>
        </w:tblPrEx>
        <w:tc>
          <w:tcPr>
            <w:tcW w:w="7105" w:type="dxa"/>
          </w:tcPr>
          <w:p w:rsidR="00D01933" w:rsidRPr="001A2B45" w:rsidP="00355EC1" w14:paraId="4804BCAC" w14:textId="77777777">
            <w:pPr>
              <w:rPr>
                <w:sz w:val="20"/>
                <w:szCs w:val="20"/>
              </w:rPr>
            </w:pPr>
            <w:r w:rsidRPr="001A2B45">
              <w:rPr>
                <w:sz w:val="20"/>
                <w:szCs w:val="20"/>
              </w:rPr>
              <w:t>Cash equivalents (FAS95)</w:t>
            </w:r>
          </w:p>
        </w:tc>
        <w:tc>
          <w:tcPr>
            <w:tcW w:w="3685" w:type="dxa"/>
            <w:shd w:val="clear" w:color="auto" w:fill="B4C6E7" w:themeFill="accent1" w:themeFillTint="66"/>
            <w:vAlign w:val="center"/>
          </w:tcPr>
          <w:p w:rsidR="00D01933" w:rsidRPr="001A2B45" w:rsidP="00355EC1" w14:paraId="78C6FCE1" w14:textId="77777777">
            <w:pPr>
              <w:jc w:val="right"/>
              <w:rPr>
                <w:sz w:val="20"/>
                <w:szCs w:val="20"/>
              </w:rPr>
            </w:pPr>
            <w:r w:rsidRPr="001A2B45">
              <w:rPr>
                <w:sz w:val="20"/>
                <w:szCs w:val="20"/>
              </w:rPr>
              <w:t>$</w:t>
            </w:r>
          </w:p>
        </w:tc>
      </w:tr>
      <w:tr w14:paraId="66D0F9E5" w14:textId="77777777" w:rsidTr="00355EC1">
        <w:tblPrEx>
          <w:tblW w:w="0" w:type="auto"/>
          <w:tblLook w:val="04A0"/>
        </w:tblPrEx>
        <w:tc>
          <w:tcPr>
            <w:tcW w:w="7105" w:type="dxa"/>
          </w:tcPr>
          <w:p w:rsidR="00D01933" w:rsidRPr="001A2B45" w:rsidP="00355EC1" w14:paraId="2A33CAF4" w14:textId="77777777">
            <w:pPr>
              <w:rPr>
                <w:sz w:val="20"/>
                <w:szCs w:val="20"/>
              </w:rPr>
            </w:pPr>
            <w:r w:rsidRPr="001A2B45">
              <w:rPr>
                <w:sz w:val="20"/>
                <w:szCs w:val="20"/>
              </w:rPr>
              <w:t>AAA rated government securities marked-to-market (M2M)</w:t>
            </w:r>
          </w:p>
        </w:tc>
        <w:tc>
          <w:tcPr>
            <w:tcW w:w="3685" w:type="dxa"/>
            <w:shd w:val="clear" w:color="auto" w:fill="B4C6E7" w:themeFill="accent1" w:themeFillTint="66"/>
            <w:vAlign w:val="center"/>
          </w:tcPr>
          <w:p w:rsidR="00D01933" w:rsidRPr="001A2B45" w:rsidP="00355EC1" w14:paraId="1FFDCDE8" w14:textId="77777777">
            <w:pPr>
              <w:jc w:val="right"/>
              <w:rPr>
                <w:sz w:val="20"/>
                <w:szCs w:val="20"/>
              </w:rPr>
            </w:pPr>
            <w:r w:rsidRPr="001A2B45">
              <w:rPr>
                <w:sz w:val="20"/>
                <w:szCs w:val="20"/>
              </w:rPr>
              <w:t>$</w:t>
            </w:r>
          </w:p>
        </w:tc>
      </w:tr>
      <w:tr w14:paraId="2E9DB834" w14:textId="77777777" w:rsidTr="00355EC1">
        <w:tblPrEx>
          <w:tblW w:w="0" w:type="auto"/>
          <w:tblLook w:val="04A0"/>
        </w:tblPrEx>
        <w:tc>
          <w:tcPr>
            <w:tcW w:w="7105" w:type="dxa"/>
          </w:tcPr>
          <w:p w:rsidR="00D01933" w:rsidRPr="00C25FFB" w:rsidP="00355EC1" w14:paraId="7A0FC45E" w14:textId="77777777">
            <w:pPr>
              <w:rPr>
                <w:b/>
                <w:bCs/>
                <w:sz w:val="20"/>
                <w:szCs w:val="20"/>
              </w:rPr>
            </w:pPr>
            <w:r w:rsidRPr="00C25FFB">
              <w:rPr>
                <w:b/>
                <w:bCs/>
                <w:sz w:val="20"/>
                <w:szCs w:val="20"/>
              </w:rPr>
              <w:t>Total Liquid Assets</w:t>
            </w:r>
          </w:p>
        </w:tc>
        <w:tc>
          <w:tcPr>
            <w:tcW w:w="3685" w:type="dxa"/>
            <w:shd w:val="clear" w:color="auto" w:fill="B4C6E7" w:themeFill="accent1" w:themeFillTint="66"/>
            <w:vAlign w:val="center"/>
          </w:tcPr>
          <w:p w:rsidR="00D01933" w:rsidRPr="00C25FFB" w:rsidP="00355EC1" w14:paraId="49ED45DB" w14:textId="77777777">
            <w:pPr>
              <w:jc w:val="right"/>
              <w:rPr>
                <w:b/>
                <w:bCs/>
                <w:sz w:val="20"/>
                <w:szCs w:val="20"/>
              </w:rPr>
            </w:pPr>
            <w:r w:rsidRPr="00C25FFB">
              <w:rPr>
                <w:b/>
                <w:bCs/>
                <w:sz w:val="20"/>
                <w:szCs w:val="20"/>
              </w:rPr>
              <w:t>$</w:t>
            </w:r>
          </w:p>
        </w:tc>
      </w:tr>
    </w:tbl>
    <w:p w:rsidR="00D01933" w:rsidP="00D01933" w14:paraId="73B06DF7" w14:textId="77777777"/>
    <w:p w:rsidR="00D01933" w:rsidRPr="00FE321D" w:rsidP="00D01933" w14:paraId="52779D15" w14:textId="77777777">
      <w:pPr>
        <w:pStyle w:val="Heading2"/>
        <w:rPr>
          <w:sz w:val="32"/>
          <w:szCs w:val="32"/>
        </w:rPr>
      </w:pPr>
      <w:r w:rsidRPr="00FE321D">
        <w:rPr>
          <w:sz w:val="32"/>
          <w:szCs w:val="32"/>
        </w:rPr>
        <w:t>Required Liquid Assets</w:t>
      </w:r>
    </w:p>
    <w:tbl>
      <w:tblPr>
        <w:tblStyle w:val="TableGrid"/>
        <w:tblW w:w="10795" w:type="dxa"/>
        <w:tblLook w:val="04A0"/>
      </w:tblPr>
      <w:tblGrid>
        <w:gridCol w:w="3923"/>
        <w:gridCol w:w="2822"/>
        <w:gridCol w:w="1350"/>
        <w:gridCol w:w="2700"/>
      </w:tblGrid>
      <w:tr w14:paraId="7E373673" w14:textId="77777777" w:rsidTr="00355EC1">
        <w:tblPrEx>
          <w:tblW w:w="10795" w:type="dxa"/>
          <w:tblLook w:val="04A0"/>
        </w:tblPrEx>
        <w:trPr>
          <w:trHeight w:val="261"/>
        </w:trPr>
        <w:tc>
          <w:tcPr>
            <w:tcW w:w="3923" w:type="dxa"/>
          </w:tcPr>
          <w:p w:rsidR="00D01933" w:rsidRPr="001A2B45" w:rsidP="00355EC1" w14:paraId="51D20E50" w14:textId="77777777">
            <w:pPr>
              <w:rPr>
                <w:rFonts w:cstheme="minorHAnsi"/>
                <w:b/>
                <w:bCs/>
                <w:sz w:val="20"/>
                <w:szCs w:val="20"/>
              </w:rPr>
            </w:pPr>
            <w:r w:rsidRPr="001A2B45">
              <w:rPr>
                <w:rFonts w:cstheme="minorHAnsi"/>
                <w:b/>
                <w:bCs/>
                <w:sz w:val="20"/>
                <w:szCs w:val="20"/>
              </w:rPr>
              <w:t xml:space="preserve">Greater of </w:t>
            </w:r>
          </w:p>
        </w:tc>
        <w:tc>
          <w:tcPr>
            <w:tcW w:w="2822" w:type="dxa"/>
          </w:tcPr>
          <w:p w:rsidR="00D01933" w:rsidRPr="001A2B45" w:rsidP="00355EC1" w14:paraId="027BEB2F" w14:textId="77777777">
            <w:pPr>
              <w:rPr>
                <w:rFonts w:cstheme="minorHAnsi"/>
                <w:sz w:val="20"/>
                <w:szCs w:val="20"/>
              </w:rPr>
            </w:pPr>
          </w:p>
        </w:tc>
        <w:tc>
          <w:tcPr>
            <w:tcW w:w="1350" w:type="dxa"/>
          </w:tcPr>
          <w:p w:rsidR="00D01933" w:rsidRPr="001A2B45" w:rsidP="00355EC1" w14:paraId="66FA0E90" w14:textId="77777777">
            <w:pPr>
              <w:rPr>
                <w:rFonts w:cstheme="minorHAnsi"/>
                <w:sz w:val="20"/>
                <w:szCs w:val="20"/>
              </w:rPr>
            </w:pPr>
          </w:p>
        </w:tc>
        <w:tc>
          <w:tcPr>
            <w:tcW w:w="2700" w:type="dxa"/>
          </w:tcPr>
          <w:p w:rsidR="00D01933" w:rsidRPr="001A2B45" w:rsidP="00355EC1" w14:paraId="220D95C4" w14:textId="77777777">
            <w:pPr>
              <w:rPr>
                <w:rFonts w:cstheme="minorHAnsi"/>
                <w:sz w:val="20"/>
                <w:szCs w:val="20"/>
              </w:rPr>
            </w:pPr>
          </w:p>
        </w:tc>
      </w:tr>
      <w:tr w14:paraId="08C290D6" w14:textId="77777777" w:rsidTr="00355EC1">
        <w:tblPrEx>
          <w:tblW w:w="10795" w:type="dxa"/>
          <w:tblLook w:val="04A0"/>
        </w:tblPrEx>
        <w:trPr>
          <w:trHeight w:val="261"/>
        </w:trPr>
        <w:tc>
          <w:tcPr>
            <w:tcW w:w="3923" w:type="dxa"/>
          </w:tcPr>
          <w:p w:rsidR="00D01933" w:rsidRPr="001A2B45" w:rsidP="00355EC1" w14:paraId="2730C719" w14:textId="77777777">
            <w:pPr>
              <w:rPr>
                <w:rFonts w:cstheme="minorHAnsi"/>
                <w:b/>
                <w:bCs/>
                <w:sz w:val="20"/>
                <w:szCs w:val="20"/>
              </w:rPr>
            </w:pPr>
            <w:r w:rsidRPr="001A2B45">
              <w:rPr>
                <w:rFonts w:cstheme="minorHAnsi"/>
                <w:b/>
                <w:bCs/>
                <w:sz w:val="20"/>
                <w:szCs w:val="20"/>
              </w:rPr>
              <w:t>Minimum Requirement</w:t>
            </w:r>
          </w:p>
        </w:tc>
        <w:tc>
          <w:tcPr>
            <w:tcW w:w="2822" w:type="dxa"/>
            <w:shd w:val="clear" w:color="auto" w:fill="D9D9D9" w:themeFill="background1" w:themeFillShade="D9"/>
          </w:tcPr>
          <w:p w:rsidR="00D01933" w:rsidRPr="001A2B45" w:rsidP="00355EC1" w14:paraId="1552E486" w14:textId="77777777">
            <w:pPr>
              <w:rPr>
                <w:rFonts w:cstheme="minorHAnsi"/>
                <w:sz w:val="20"/>
                <w:szCs w:val="20"/>
              </w:rPr>
            </w:pPr>
          </w:p>
        </w:tc>
        <w:tc>
          <w:tcPr>
            <w:tcW w:w="1350" w:type="dxa"/>
            <w:shd w:val="clear" w:color="auto" w:fill="D9D9D9" w:themeFill="background1" w:themeFillShade="D9"/>
          </w:tcPr>
          <w:p w:rsidR="00D01933" w:rsidRPr="001A2B45" w:rsidP="00355EC1" w14:paraId="2815A560" w14:textId="77777777">
            <w:pPr>
              <w:rPr>
                <w:rFonts w:cstheme="minorHAnsi"/>
                <w:sz w:val="20"/>
                <w:szCs w:val="20"/>
              </w:rPr>
            </w:pPr>
          </w:p>
        </w:tc>
        <w:tc>
          <w:tcPr>
            <w:tcW w:w="2700" w:type="dxa"/>
            <w:vAlign w:val="center"/>
          </w:tcPr>
          <w:p w:rsidR="00D01933" w:rsidRPr="001A2B45" w:rsidP="00355EC1" w14:paraId="61760C4B" w14:textId="77777777">
            <w:pPr>
              <w:jc w:val="right"/>
              <w:rPr>
                <w:rFonts w:cstheme="minorHAnsi"/>
                <w:b/>
                <w:bCs/>
                <w:sz w:val="20"/>
                <w:szCs w:val="20"/>
              </w:rPr>
            </w:pPr>
            <w:r w:rsidRPr="001A2B45">
              <w:rPr>
                <w:rFonts w:cstheme="minorHAnsi"/>
                <w:b/>
                <w:bCs/>
                <w:sz w:val="20"/>
                <w:szCs w:val="20"/>
              </w:rPr>
              <w:t>$1,000,000</w:t>
            </w:r>
          </w:p>
        </w:tc>
      </w:tr>
      <w:tr w14:paraId="5B6E6A3A" w14:textId="77777777" w:rsidTr="00355EC1">
        <w:tblPrEx>
          <w:tblW w:w="10795" w:type="dxa"/>
          <w:tblLook w:val="04A0"/>
        </w:tblPrEx>
        <w:trPr>
          <w:trHeight w:val="273"/>
        </w:trPr>
        <w:tc>
          <w:tcPr>
            <w:tcW w:w="3923" w:type="dxa"/>
          </w:tcPr>
          <w:p w:rsidR="00D01933" w:rsidRPr="001A2B45" w:rsidP="00355EC1" w14:paraId="2B3B1153" w14:textId="77777777">
            <w:pPr>
              <w:ind w:left="720"/>
              <w:rPr>
                <w:rFonts w:cstheme="minorHAnsi"/>
                <w:b/>
                <w:bCs/>
                <w:sz w:val="20"/>
                <w:szCs w:val="20"/>
              </w:rPr>
            </w:pPr>
            <w:r w:rsidRPr="001A2B45">
              <w:rPr>
                <w:rFonts w:cstheme="minorHAnsi"/>
                <w:b/>
                <w:bCs/>
                <w:sz w:val="20"/>
                <w:szCs w:val="20"/>
              </w:rPr>
              <w:t xml:space="preserve">- Or - </w:t>
            </w:r>
          </w:p>
        </w:tc>
        <w:tc>
          <w:tcPr>
            <w:tcW w:w="2822" w:type="dxa"/>
          </w:tcPr>
          <w:p w:rsidR="00D01933" w:rsidRPr="001A2B45" w:rsidP="00355EC1" w14:paraId="14145DBE" w14:textId="77777777">
            <w:pPr>
              <w:rPr>
                <w:rFonts w:cstheme="minorHAnsi"/>
                <w:sz w:val="20"/>
                <w:szCs w:val="20"/>
              </w:rPr>
            </w:pPr>
          </w:p>
        </w:tc>
        <w:tc>
          <w:tcPr>
            <w:tcW w:w="1350" w:type="dxa"/>
          </w:tcPr>
          <w:p w:rsidR="00D01933" w:rsidRPr="001A2B45" w:rsidP="00355EC1" w14:paraId="6C5D0B87" w14:textId="77777777">
            <w:pPr>
              <w:rPr>
                <w:rFonts w:cstheme="minorHAnsi"/>
                <w:sz w:val="20"/>
                <w:szCs w:val="20"/>
              </w:rPr>
            </w:pPr>
          </w:p>
        </w:tc>
        <w:tc>
          <w:tcPr>
            <w:tcW w:w="2700" w:type="dxa"/>
          </w:tcPr>
          <w:p w:rsidR="00D01933" w:rsidRPr="001A2B45" w:rsidP="00355EC1" w14:paraId="48901B26" w14:textId="77777777">
            <w:pPr>
              <w:rPr>
                <w:rFonts w:cstheme="minorHAnsi"/>
                <w:sz w:val="20"/>
                <w:szCs w:val="20"/>
              </w:rPr>
            </w:pPr>
          </w:p>
        </w:tc>
      </w:tr>
      <w:tr w14:paraId="6153685F" w14:textId="77777777" w:rsidTr="00355EC1">
        <w:tblPrEx>
          <w:tblW w:w="10795" w:type="dxa"/>
          <w:tblLook w:val="04A0"/>
        </w:tblPrEx>
        <w:trPr>
          <w:trHeight w:val="535"/>
        </w:trPr>
        <w:tc>
          <w:tcPr>
            <w:tcW w:w="3923" w:type="dxa"/>
            <w:vAlign w:val="center"/>
          </w:tcPr>
          <w:p w:rsidR="00D01933" w:rsidRPr="001A2B45" w:rsidP="00355EC1" w14:paraId="35EE22B7" w14:textId="77777777">
            <w:pPr>
              <w:jc w:val="center"/>
              <w:rPr>
                <w:rFonts w:cstheme="minorHAnsi"/>
                <w:b/>
                <w:bCs/>
                <w:sz w:val="20"/>
                <w:szCs w:val="20"/>
              </w:rPr>
            </w:pPr>
            <w:r w:rsidRPr="001A2B45">
              <w:rPr>
                <w:rFonts w:cstheme="minorHAnsi"/>
                <w:b/>
                <w:bCs/>
                <w:sz w:val="20"/>
                <w:szCs w:val="20"/>
              </w:rPr>
              <w:t>Category</w:t>
            </w:r>
          </w:p>
        </w:tc>
        <w:tc>
          <w:tcPr>
            <w:tcW w:w="2822" w:type="dxa"/>
            <w:vAlign w:val="center"/>
          </w:tcPr>
          <w:p w:rsidR="00D01933" w:rsidRPr="001A2B45" w:rsidP="00355EC1" w14:paraId="0BB692B0" w14:textId="77777777">
            <w:pPr>
              <w:jc w:val="center"/>
              <w:rPr>
                <w:rFonts w:cstheme="minorHAnsi"/>
                <w:b/>
                <w:bCs/>
                <w:sz w:val="20"/>
                <w:szCs w:val="20"/>
              </w:rPr>
            </w:pPr>
            <w:r w:rsidRPr="001A2B45">
              <w:rPr>
                <w:rFonts w:cstheme="minorHAnsi"/>
                <w:b/>
                <w:bCs/>
                <w:sz w:val="20"/>
                <w:szCs w:val="20"/>
              </w:rPr>
              <w:t>Base Amount</w:t>
            </w:r>
          </w:p>
        </w:tc>
        <w:tc>
          <w:tcPr>
            <w:tcW w:w="1350" w:type="dxa"/>
            <w:vAlign w:val="center"/>
          </w:tcPr>
          <w:p w:rsidR="00D01933" w:rsidRPr="001A2B45" w:rsidP="00355EC1" w14:paraId="762612FF" w14:textId="77777777">
            <w:pPr>
              <w:jc w:val="center"/>
              <w:rPr>
                <w:rFonts w:cstheme="minorHAnsi"/>
                <w:b/>
                <w:bCs/>
                <w:sz w:val="20"/>
                <w:szCs w:val="20"/>
              </w:rPr>
            </w:pPr>
            <w:r w:rsidRPr="001A2B45">
              <w:rPr>
                <w:rFonts w:cstheme="minorHAnsi"/>
                <w:b/>
                <w:bCs/>
                <w:sz w:val="20"/>
                <w:szCs w:val="20"/>
              </w:rPr>
              <w:t>Required Percentage</w:t>
            </w:r>
          </w:p>
        </w:tc>
        <w:tc>
          <w:tcPr>
            <w:tcW w:w="2700" w:type="dxa"/>
            <w:vAlign w:val="center"/>
          </w:tcPr>
          <w:p w:rsidR="00D01933" w:rsidRPr="001A2B45" w:rsidP="00355EC1" w14:paraId="2DB3AF28" w14:textId="77777777">
            <w:pPr>
              <w:jc w:val="center"/>
              <w:rPr>
                <w:rFonts w:cstheme="minorHAnsi"/>
                <w:b/>
                <w:bCs/>
                <w:sz w:val="20"/>
                <w:szCs w:val="20"/>
              </w:rPr>
            </w:pPr>
            <w:r w:rsidRPr="001A2B45">
              <w:rPr>
                <w:rFonts w:cstheme="minorHAnsi"/>
                <w:b/>
                <w:bCs/>
                <w:sz w:val="20"/>
                <w:szCs w:val="20"/>
              </w:rPr>
              <w:t>Required Amount</w:t>
            </w:r>
          </w:p>
        </w:tc>
      </w:tr>
      <w:tr w14:paraId="0407ABB3" w14:textId="77777777" w:rsidTr="00355EC1">
        <w:tblPrEx>
          <w:tblW w:w="10795" w:type="dxa"/>
          <w:tblLook w:val="04A0"/>
        </w:tblPrEx>
        <w:trPr>
          <w:trHeight w:val="261"/>
        </w:trPr>
        <w:tc>
          <w:tcPr>
            <w:tcW w:w="3923" w:type="dxa"/>
          </w:tcPr>
          <w:p w:rsidR="00D01933" w:rsidRPr="001A2B45" w:rsidP="00355EC1" w14:paraId="57D7F25B" w14:textId="77777777">
            <w:pPr>
              <w:rPr>
                <w:rFonts w:cstheme="minorHAnsi"/>
                <w:sz w:val="20"/>
                <w:szCs w:val="20"/>
              </w:rPr>
            </w:pPr>
            <w:r>
              <w:rPr>
                <w:rFonts w:cstheme="minorHAnsi"/>
                <w:sz w:val="20"/>
                <w:szCs w:val="20"/>
              </w:rPr>
              <w:t>MH outstanding obligation (</w:t>
            </w:r>
            <w:r>
              <w:rPr>
                <w:rFonts w:cstheme="minorHAnsi"/>
                <w:sz w:val="20"/>
                <w:szCs w:val="20"/>
              </w:rPr>
              <w:t>MhOO</w:t>
            </w:r>
            <w:r>
              <w:rPr>
                <w:rFonts w:cstheme="minorHAnsi"/>
                <w:sz w:val="20"/>
                <w:szCs w:val="20"/>
              </w:rPr>
              <w:t>)</w:t>
            </w:r>
            <w:r>
              <w:rPr>
                <w:rStyle w:val="FootnoteReference"/>
                <w:rFonts w:cstheme="minorHAnsi"/>
              </w:rPr>
              <w:footnoteReference w:id="24"/>
            </w:r>
          </w:p>
        </w:tc>
        <w:tc>
          <w:tcPr>
            <w:tcW w:w="2822" w:type="dxa"/>
            <w:shd w:val="clear" w:color="auto" w:fill="B4C6E7" w:themeFill="accent1" w:themeFillTint="66"/>
            <w:vAlign w:val="center"/>
          </w:tcPr>
          <w:p w:rsidR="00D01933" w:rsidRPr="001A2B45" w:rsidP="00355EC1" w14:paraId="127971D7" w14:textId="77777777">
            <w:pPr>
              <w:jc w:val="right"/>
              <w:rPr>
                <w:rFonts w:cstheme="minorHAnsi"/>
                <w:sz w:val="20"/>
                <w:szCs w:val="20"/>
              </w:rPr>
            </w:pPr>
            <w:r w:rsidRPr="001A2B45">
              <w:rPr>
                <w:rFonts w:cstheme="minorHAnsi"/>
                <w:sz w:val="20"/>
                <w:szCs w:val="20"/>
              </w:rPr>
              <w:t>$</w:t>
            </w:r>
          </w:p>
        </w:tc>
        <w:tc>
          <w:tcPr>
            <w:tcW w:w="1350" w:type="dxa"/>
            <w:vAlign w:val="center"/>
          </w:tcPr>
          <w:p w:rsidR="00D01933" w:rsidRPr="001A2B45" w:rsidP="00355EC1" w14:paraId="58110458" w14:textId="77777777">
            <w:pPr>
              <w:jc w:val="center"/>
              <w:rPr>
                <w:rFonts w:cstheme="minorHAnsi"/>
                <w:sz w:val="20"/>
                <w:szCs w:val="20"/>
              </w:rPr>
            </w:pPr>
            <w:r w:rsidRPr="001A2B45">
              <w:rPr>
                <w:rFonts w:cstheme="minorHAnsi"/>
                <w:sz w:val="20"/>
                <w:szCs w:val="20"/>
              </w:rPr>
              <w:t>0.</w:t>
            </w:r>
            <w:r>
              <w:rPr>
                <w:rFonts w:cstheme="minorHAnsi"/>
                <w:sz w:val="20"/>
                <w:szCs w:val="20"/>
              </w:rPr>
              <w:t>5</w:t>
            </w:r>
            <w:r w:rsidRPr="001A2B45">
              <w:rPr>
                <w:rFonts w:cstheme="minorHAnsi"/>
                <w:sz w:val="20"/>
                <w:szCs w:val="20"/>
              </w:rPr>
              <w:t>0</w:t>
            </w:r>
            <w:r>
              <w:rPr>
                <w:rFonts w:cstheme="minorHAnsi"/>
                <w:sz w:val="20"/>
                <w:szCs w:val="20"/>
              </w:rPr>
              <w:t>0</w:t>
            </w:r>
            <w:r w:rsidRPr="001A2B45">
              <w:rPr>
                <w:rFonts w:cstheme="minorHAnsi"/>
                <w:sz w:val="20"/>
                <w:szCs w:val="20"/>
              </w:rPr>
              <w:t>%</w:t>
            </w:r>
          </w:p>
        </w:tc>
        <w:tc>
          <w:tcPr>
            <w:tcW w:w="2700" w:type="dxa"/>
            <w:shd w:val="clear" w:color="auto" w:fill="B4C6E7" w:themeFill="accent1" w:themeFillTint="66"/>
            <w:vAlign w:val="center"/>
          </w:tcPr>
          <w:p w:rsidR="00D01933" w:rsidRPr="001A2B45" w:rsidP="00355EC1" w14:paraId="1FE08980" w14:textId="77777777">
            <w:pPr>
              <w:jc w:val="right"/>
              <w:rPr>
                <w:rFonts w:cstheme="minorHAnsi"/>
                <w:sz w:val="20"/>
                <w:szCs w:val="20"/>
              </w:rPr>
            </w:pPr>
            <w:r w:rsidRPr="001A2B45">
              <w:rPr>
                <w:rFonts w:cstheme="minorHAnsi"/>
                <w:sz w:val="20"/>
                <w:szCs w:val="20"/>
              </w:rPr>
              <w:t>$</w:t>
            </w:r>
          </w:p>
        </w:tc>
      </w:tr>
      <w:tr w14:paraId="0027998F" w14:textId="77777777" w:rsidTr="00355EC1">
        <w:tblPrEx>
          <w:tblW w:w="10795" w:type="dxa"/>
          <w:tblLook w:val="04A0"/>
        </w:tblPrEx>
        <w:trPr>
          <w:trHeight w:val="261"/>
        </w:trPr>
        <w:tc>
          <w:tcPr>
            <w:tcW w:w="3923" w:type="dxa"/>
          </w:tcPr>
          <w:p w:rsidR="00D01933" w:rsidRPr="001A2B45" w:rsidP="00355EC1" w14:paraId="3552AE58" w14:textId="77777777">
            <w:pPr>
              <w:rPr>
                <w:rFonts w:cstheme="minorHAnsi"/>
                <w:b/>
                <w:bCs/>
                <w:sz w:val="20"/>
                <w:szCs w:val="20"/>
              </w:rPr>
            </w:pPr>
            <w:r w:rsidRPr="001A2B45">
              <w:rPr>
                <w:rFonts w:cstheme="minorHAnsi"/>
                <w:b/>
                <w:bCs/>
                <w:sz w:val="20"/>
                <w:szCs w:val="20"/>
              </w:rPr>
              <w:t>Total</w:t>
            </w:r>
          </w:p>
        </w:tc>
        <w:tc>
          <w:tcPr>
            <w:tcW w:w="2822" w:type="dxa"/>
            <w:shd w:val="clear" w:color="auto" w:fill="D9D9D9" w:themeFill="background1" w:themeFillShade="D9"/>
          </w:tcPr>
          <w:p w:rsidR="00D01933" w:rsidRPr="001A2B45" w:rsidP="00355EC1" w14:paraId="3FF74846" w14:textId="77777777">
            <w:pPr>
              <w:rPr>
                <w:rFonts w:cstheme="minorHAnsi"/>
                <w:b/>
                <w:bCs/>
                <w:sz w:val="20"/>
                <w:szCs w:val="20"/>
              </w:rPr>
            </w:pPr>
          </w:p>
        </w:tc>
        <w:tc>
          <w:tcPr>
            <w:tcW w:w="1350" w:type="dxa"/>
            <w:shd w:val="clear" w:color="auto" w:fill="D9D9D9" w:themeFill="background1" w:themeFillShade="D9"/>
            <w:vAlign w:val="center"/>
          </w:tcPr>
          <w:p w:rsidR="00D01933" w:rsidRPr="001A2B45" w:rsidP="00355EC1" w14:paraId="0C9C8B43" w14:textId="77777777">
            <w:pPr>
              <w:jc w:val="center"/>
              <w:rPr>
                <w:rFonts w:cstheme="minorHAnsi"/>
                <w:b/>
                <w:bCs/>
                <w:sz w:val="20"/>
                <w:szCs w:val="20"/>
              </w:rPr>
            </w:pPr>
          </w:p>
        </w:tc>
        <w:tc>
          <w:tcPr>
            <w:tcW w:w="2700" w:type="dxa"/>
            <w:shd w:val="clear" w:color="auto" w:fill="B4C6E7" w:themeFill="accent1" w:themeFillTint="66"/>
            <w:vAlign w:val="center"/>
          </w:tcPr>
          <w:p w:rsidR="00D01933" w:rsidRPr="001A2B45" w:rsidP="00355EC1" w14:paraId="6C97370B" w14:textId="77777777">
            <w:pPr>
              <w:jc w:val="right"/>
              <w:rPr>
                <w:rFonts w:cstheme="minorHAnsi"/>
                <w:b/>
                <w:bCs/>
                <w:sz w:val="20"/>
                <w:szCs w:val="20"/>
              </w:rPr>
            </w:pPr>
            <w:r w:rsidRPr="001A2B45">
              <w:rPr>
                <w:rFonts w:cstheme="minorHAnsi"/>
                <w:b/>
                <w:bCs/>
                <w:sz w:val="20"/>
                <w:szCs w:val="20"/>
              </w:rPr>
              <w:t>$</w:t>
            </w:r>
          </w:p>
        </w:tc>
      </w:tr>
    </w:tbl>
    <w:p w:rsidR="00D01933" w:rsidP="00D01933" w14:paraId="0A3AC078" w14:textId="77777777"/>
    <w:p w:rsidR="00D01933" w:rsidRPr="00690F54" w:rsidP="00D01933" w14:paraId="0AF673F2" w14:textId="77777777">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28193039"/>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1321238256"/>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P="00D01933" w14:paraId="2BCABD2F" w14:textId="77777777">
      <w:pPr>
        <w:pStyle w:val="Heading1"/>
      </w:pPr>
      <w:r>
        <w:t>Multifamily (MF) and HMBS Issuer Requirement</w:t>
      </w:r>
    </w:p>
    <w:p w:rsidR="00D01933" w:rsidP="00D01933" w14:paraId="1BC87A16" w14:textId="77777777">
      <w:pPr>
        <w:pStyle w:val="Heading2"/>
      </w:pPr>
      <w:r>
        <w:t>Liquid Assets</w:t>
      </w:r>
    </w:p>
    <w:tbl>
      <w:tblPr>
        <w:tblStyle w:val="TableGrid"/>
        <w:tblW w:w="0" w:type="auto"/>
        <w:tblLook w:val="04A0"/>
      </w:tblPr>
      <w:tblGrid>
        <w:gridCol w:w="7105"/>
        <w:gridCol w:w="3685"/>
      </w:tblGrid>
      <w:tr w14:paraId="14DB36D4" w14:textId="77777777" w:rsidTr="00355EC1">
        <w:tblPrEx>
          <w:tblW w:w="0" w:type="auto"/>
          <w:tblLook w:val="04A0"/>
        </w:tblPrEx>
        <w:tc>
          <w:tcPr>
            <w:tcW w:w="7105" w:type="dxa"/>
          </w:tcPr>
          <w:p w:rsidR="00D01933" w:rsidRPr="001A2B45" w:rsidP="00355EC1" w14:paraId="750071E9" w14:textId="77777777">
            <w:pPr>
              <w:rPr>
                <w:b/>
                <w:bCs/>
                <w:sz w:val="20"/>
                <w:szCs w:val="20"/>
              </w:rPr>
            </w:pPr>
            <w:r w:rsidRPr="001A2B45">
              <w:rPr>
                <w:b/>
                <w:bCs/>
                <w:sz w:val="20"/>
                <w:szCs w:val="20"/>
              </w:rPr>
              <w:t>Liquid Assets</w:t>
            </w:r>
          </w:p>
        </w:tc>
        <w:tc>
          <w:tcPr>
            <w:tcW w:w="3685" w:type="dxa"/>
          </w:tcPr>
          <w:p w:rsidR="00D01933" w:rsidRPr="001A2B45" w:rsidP="00355EC1" w14:paraId="2D1EE245" w14:textId="77777777">
            <w:pPr>
              <w:jc w:val="center"/>
              <w:rPr>
                <w:b/>
                <w:bCs/>
                <w:sz w:val="20"/>
                <w:szCs w:val="20"/>
              </w:rPr>
            </w:pPr>
            <w:r w:rsidRPr="001A2B45">
              <w:rPr>
                <w:b/>
                <w:bCs/>
                <w:sz w:val="20"/>
                <w:szCs w:val="20"/>
              </w:rPr>
              <w:t>Amount</w:t>
            </w:r>
          </w:p>
        </w:tc>
      </w:tr>
      <w:tr w14:paraId="3A4EFBCA" w14:textId="77777777" w:rsidTr="00355EC1">
        <w:tblPrEx>
          <w:tblW w:w="0" w:type="auto"/>
          <w:tblLook w:val="04A0"/>
        </w:tblPrEx>
        <w:tc>
          <w:tcPr>
            <w:tcW w:w="7105" w:type="dxa"/>
          </w:tcPr>
          <w:p w:rsidR="00D01933" w:rsidRPr="001A2B45" w:rsidP="00355EC1" w14:paraId="38D31A9D" w14:textId="77777777">
            <w:pPr>
              <w:rPr>
                <w:sz w:val="20"/>
                <w:szCs w:val="20"/>
              </w:rPr>
            </w:pPr>
            <w:r w:rsidRPr="001A2B45">
              <w:rPr>
                <w:sz w:val="20"/>
                <w:szCs w:val="20"/>
              </w:rPr>
              <w:t>Cash (FAS95)</w:t>
            </w:r>
          </w:p>
        </w:tc>
        <w:tc>
          <w:tcPr>
            <w:tcW w:w="3685" w:type="dxa"/>
            <w:shd w:val="clear" w:color="auto" w:fill="B4C6E7" w:themeFill="accent1" w:themeFillTint="66"/>
            <w:vAlign w:val="center"/>
          </w:tcPr>
          <w:p w:rsidR="00D01933" w:rsidRPr="001A2B45" w:rsidP="00355EC1" w14:paraId="15B0CA56" w14:textId="77777777">
            <w:pPr>
              <w:jc w:val="right"/>
              <w:rPr>
                <w:sz w:val="20"/>
                <w:szCs w:val="20"/>
              </w:rPr>
            </w:pPr>
            <w:r w:rsidRPr="001A2B45">
              <w:rPr>
                <w:sz w:val="20"/>
                <w:szCs w:val="20"/>
              </w:rPr>
              <w:t>$</w:t>
            </w:r>
          </w:p>
        </w:tc>
      </w:tr>
      <w:tr w14:paraId="52E8AF82" w14:textId="77777777" w:rsidTr="00355EC1">
        <w:tblPrEx>
          <w:tblW w:w="0" w:type="auto"/>
          <w:tblLook w:val="04A0"/>
        </w:tblPrEx>
        <w:tc>
          <w:tcPr>
            <w:tcW w:w="7105" w:type="dxa"/>
          </w:tcPr>
          <w:p w:rsidR="00D01933" w:rsidRPr="001A2B45" w:rsidP="00355EC1" w14:paraId="031E5738" w14:textId="77777777">
            <w:pPr>
              <w:rPr>
                <w:sz w:val="20"/>
                <w:szCs w:val="20"/>
              </w:rPr>
            </w:pPr>
            <w:r w:rsidRPr="001A2B45">
              <w:rPr>
                <w:sz w:val="20"/>
                <w:szCs w:val="20"/>
              </w:rPr>
              <w:t>Cash equivalents (FAS95)</w:t>
            </w:r>
          </w:p>
        </w:tc>
        <w:tc>
          <w:tcPr>
            <w:tcW w:w="3685" w:type="dxa"/>
            <w:shd w:val="clear" w:color="auto" w:fill="B4C6E7" w:themeFill="accent1" w:themeFillTint="66"/>
            <w:vAlign w:val="center"/>
          </w:tcPr>
          <w:p w:rsidR="00D01933" w:rsidRPr="001A2B45" w:rsidP="00355EC1" w14:paraId="3E04A2DC" w14:textId="77777777">
            <w:pPr>
              <w:jc w:val="right"/>
              <w:rPr>
                <w:sz w:val="20"/>
                <w:szCs w:val="20"/>
              </w:rPr>
            </w:pPr>
            <w:r w:rsidRPr="001A2B45">
              <w:rPr>
                <w:sz w:val="20"/>
                <w:szCs w:val="20"/>
              </w:rPr>
              <w:t>$</w:t>
            </w:r>
          </w:p>
        </w:tc>
      </w:tr>
      <w:tr w14:paraId="53FA94FB" w14:textId="77777777" w:rsidTr="00355EC1">
        <w:tblPrEx>
          <w:tblW w:w="0" w:type="auto"/>
          <w:tblLook w:val="04A0"/>
        </w:tblPrEx>
        <w:tc>
          <w:tcPr>
            <w:tcW w:w="7105" w:type="dxa"/>
          </w:tcPr>
          <w:p w:rsidR="00D01933" w:rsidRPr="001A2B45" w:rsidP="00355EC1" w14:paraId="43A1FA0C" w14:textId="77777777">
            <w:pPr>
              <w:rPr>
                <w:sz w:val="20"/>
                <w:szCs w:val="20"/>
              </w:rPr>
            </w:pPr>
            <w:r w:rsidRPr="001A2B45">
              <w:rPr>
                <w:sz w:val="20"/>
                <w:szCs w:val="20"/>
              </w:rPr>
              <w:t>AAA rated government securities marked-to-market (M2M)</w:t>
            </w:r>
          </w:p>
        </w:tc>
        <w:tc>
          <w:tcPr>
            <w:tcW w:w="3685" w:type="dxa"/>
            <w:shd w:val="clear" w:color="auto" w:fill="B4C6E7" w:themeFill="accent1" w:themeFillTint="66"/>
            <w:vAlign w:val="center"/>
          </w:tcPr>
          <w:p w:rsidR="00D01933" w:rsidRPr="001A2B45" w:rsidP="00355EC1" w14:paraId="380286CF" w14:textId="77777777">
            <w:pPr>
              <w:jc w:val="right"/>
              <w:rPr>
                <w:sz w:val="20"/>
                <w:szCs w:val="20"/>
              </w:rPr>
            </w:pPr>
            <w:r w:rsidRPr="001A2B45">
              <w:rPr>
                <w:sz w:val="20"/>
                <w:szCs w:val="20"/>
              </w:rPr>
              <w:t>$</w:t>
            </w:r>
          </w:p>
        </w:tc>
      </w:tr>
      <w:tr w14:paraId="4D19024A" w14:textId="77777777" w:rsidTr="00355EC1">
        <w:tblPrEx>
          <w:tblW w:w="0" w:type="auto"/>
          <w:tblLook w:val="04A0"/>
        </w:tblPrEx>
        <w:tc>
          <w:tcPr>
            <w:tcW w:w="7105" w:type="dxa"/>
          </w:tcPr>
          <w:p w:rsidR="00D01933" w:rsidRPr="00C25FFB" w:rsidP="00355EC1" w14:paraId="4F323C98" w14:textId="77777777">
            <w:pPr>
              <w:rPr>
                <w:b/>
                <w:bCs/>
                <w:sz w:val="20"/>
                <w:szCs w:val="20"/>
              </w:rPr>
            </w:pPr>
            <w:r w:rsidRPr="00C25FFB">
              <w:rPr>
                <w:b/>
                <w:bCs/>
                <w:sz w:val="20"/>
                <w:szCs w:val="20"/>
              </w:rPr>
              <w:t>Total Liquid Assets</w:t>
            </w:r>
          </w:p>
        </w:tc>
        <w:tc>
          <w:tcPr>
            <w:tcW w:w="3685" w:type="dxa"/>
            <w:shd w:val="clear" w:color="auto" w:fill="B4C6E7" w:themeFill="accent1" w:themeFillTint="66"/>
            <w:vAlign w:val="center"/>
          </w:tcPr>
          <w:p w:rsidR="00D01933" w:rsidRPr="00C25FFB" w:rsidP="00355EC1" w14:paraId="554B8422" w14:textId="77777777">
            <w:pPr>
              <w:jc w:val="right"/>
              <w:rPr>
                <w:b/>
                <w:bCs/>
                <w:sz w:val="20"/>
                <w:szCs w:val="20"/>
              </w:rPr>
            </w:pPr>
            <w:r w:rsidRPr="00C25FFB">
              <w:rPr>
                <w:b/>
                <w:bCs/>
                <w:sz w:val="20"/>
                <w:szCs w:val="20"/>
              </w:rPr>
              <w:t>$</w:t>
            </w:r>
          </w:p>
        </w:tc>
      </w:tr>
    </w:tbl>
    <w:p w:rsidR="00D01933" w:rsidP="00D01933" w14:paraId="5379A6F9" w14:textId="77777777"/>
    <w:p w:rsidR="00D01933" w:rsidRPr="00FE321D" w:rsidP="00D01933" w14:paraId="7D079357" w14:textId="77777777">
      <w:pPr>
        <w:pStyle w:val="Heading2"/>
        <w:rPr>
          <w:sz w:val="32"/>
          <w:szCs w:val="32"/>
        </w:rPr>
      </w:pPr>
      <w:r w:rsidRPr="00FE321D">
        <w:rPr>
          <w:sz w:val="32"/>
          <w:szCs w:val="32"/>
        </w:rPr>
        <w:t>Required Liquid Assets</w:t>
      </w:r>
    </w:p>
    <w:tbl>
      <w:tblPr>
        <w:tblStyle w:val="TableGrid"/>
        <w:tblW w:w="10795" w:type="dxa"/>
        <w:tblLook w:val="04A0"/>
      </w:tblPr>
      <w:tblGrid>
        <w:gridCol w:w="3923"/>
        <w:gridCol w:w="2822"/>
        <w:gridCol w:w="1350"/>
        <w:gridCol w:w="2700"/>
      </w:tblGrid>
      <w:tr w14:paraId="44C6CCDE" w14:textId="77777777" w:rsidTr="00355EC1">
        <w:tblPrEx>
          <w:tblW w:w="10795" w:type="dxa"/>
          <w:tblLook w:val="04A0"/>
        </w:tblPrEx>
        <w:trPr>
          <w:trHeight w:val="261"/>
        </w:trPr>
        <w:tc>
          <w:tcPr>
            <w:tcW w:w="3923" w:type="dxa"/>
            <w:vAlign w:val="center"/>
          </w:tcPr>
          <w:p w:rsidR="00D01933" w:rsidRPr="00FA1E0C" w:rsidP="00355EC1" w14:paraId="26AC7E99" w14:textId="77777777">
            <w:pPr>
              <w:jc w:val="center"/>
              <w:rPr>
                <w:rFonts w:cstheme="minorHAnsi"/>
                <w:b/>
                <w:bCs/>
                <w:sz w:val="20"/>
                <w:szCs w:val="20"/>
              </w:rPr>
            </w:pPr>
            <w:r w:rsidRPr="00FA1E0C">
              <w:rPr>
                <w:rFonts w:cstheme="minorHAnsi"/>
                <w:b/>
                <w:bCs/>
                <w:sz w:val="20"/>
                <w:szCs w:val="20"/>
              </w:rPr>
              <w:t>Category</w:t>
            </w:r>
          </w:p>
        </w:tc>
        <w:tc>
          <w:tcPr>
            <w:tcW w:w="2822" w:type="dxa"/>
            <w:vAlign w:val="center"/>
          </w:tcPr>
          <w:p w:rsidR="00D01933" w:rsidRPr="00FA1E0C" w:rsidP="00355EC1" w14:paraId="42816F26" w14:textId="77777777">
            <w:pPr>
              <w:jc w:val="center"/>
              <w:rPr>
                <w:rFonts w:cstheme="minorHAnsi"/>
                <w:b/>
                <w:bCs/>
                <w:sz w:val="20"/>
                <w:szCs w:val="20"/>
              </w:rPr>
            </w:pPr>
            <w:r>
              <w:rPr>
                <w:rFonts w:cstheme="minorHAnsi"/>
                <w:b/>
                <w:bCs/>
                <w:sz w:val="20"/>
                <w:szCs w:val="20"/>
              </w:rPr>
              <w:t xml:space="preserve">Base </w:t>
            </w:r>
            <w:r w:rsidRPr="00FA1E0C">
              <w:rPr>
                <w:rFonts w:cstheme="minorHAnsi"/>
                <w:b/>
                <w:bCs/>
                <w:sz w:val="20"/>
                <w:szCs w:val="20"/>
              </w:rPr>
              <w:t>Amount</w:t>
            </w:r>
          </w:p>
        </w:tc>
        <w:tc>
          <w:tcPr>
            <w:tcW w:w="1350" w:type="dxa"/>
            <w:vAlign w:val="center"/>
          </w:tcPr>
          <w:p w:rsidR="00D01933" w:rsidRPr="00FA1E0C" w:rsidP="00355EC1" w14:paraId="7A91EE27" w14:textId="77777777">
            <w:pPr>
              <w:jc w:val="center"/>
              <w:rPr>
                <w:rFonts w:cstheme="minorHAnsi"/>
                <w:b/>
                <w:bCs/>
                <w:sz w:val="20"/>
                <w:szCs w:val="20"/>
              </w:rPr>
            </w:pPr>
            <w:r w:rsidRPr="00FA1E0C">
              <w:rPr>
                <w:rFonts w:cstheme="minorHAnsi"/>
                <w:b/>
                <w:bCs/>
                <w:sz w:val="20"/>
                <w:szCs w:val="20"/>
              </w:rPr>
              <w:t>Required Percentage</w:t>
            </w:r>
          </w:p>
        </w:tc>
        <w:tc>
          <w:tcPr>
            <w:tcW w:w="2700" w:type="dxa"/>
            <w:vAlign w:val="center"/>
          </w:tcPr>
          <w:p w:rsidR="00D01933" w:rsidRPr="00FA1E0C" w:rsidP="00355EC1" w14:paraId="4B6A36D8" w14:textId="77777777">
            <w:pPr>
              <w:jc w:val="center"/>
              <w:rPr>
                <w:rFonts w:cstheme="minorHAnsi"/>
                <w:b/>
                <w:bCs/>
                <w:sz w:val="20"/>
                <w:szCs w:val="20"/>
              </w:rPr>
            </w:pPr>
            <w:r w:rsidRPr="00FA1E0C">
              <w:rPr>
                <w:rFonts w:cstheme="minorHAnsi"/>
                <w:b/>
                <w:bCs/>
                <w:sz w:val="20"/>
                <w:szCs w:val="20"/>
              </w:rPr>
              <w:t>Required Amount</w:t>
            </w:r>
          </w:p>
        </w:tc>
      </w:tr>
      <w:tr w14:paraId="252F71EF" w14:textId="77777777" w:rsidTr="00355EC1">
        <w:tblPrEx>
          <w:tblW w:w="10795" w:type="dxa"/>
          <w:tblLook w:val="04A0"/>
        </w:tblPrEx>
        <w:trPr>
          <w:trHeight w:val="261"/>
        </w:trPr>
        <w:tc>
          <w:tcPr>
            <w:tcW w:w="3923" w:type="dxa"/>
          </w:tcPr>
          <w:p w:rsidR="00D01933" w:rsidRPr="00C25FFB" w:rsidP="00355EC1" w14:paraId="19AE36AB" w14:textId="77777777">
            <w:pPr>
              <w:rPr>
                <w:rFonts w:cstheme="minorHAnsi"/>
                <w:sz w:val="20"/>
                <w:szCs w:val="20"/>
              </w:rPr>
            </w:pPr>
            <w:r w:rsidRPr="00C25FFB">
              <w:rPr>
                <w:rFonts w:cstheme="minorHAnsi"/>
                <w:sz w:val="20"/>
                <w:szCs w:val="20"/>
              </w:rPr>
              <w:t>Required Net Worth</w:t>
            </w:r>
          </w:p>
        </w:tc>
        <w:tc>
          <w:tcPr>
            <w:tcW w:w="2822" w:type="dxa"/>
            <w:shd w:val="clear" w:color="auto" w:fill="B4C6E7" w:themeFill="accent1" w:themeFillTint="66"/>
            <w:vAlign w:val="center"/>
          </w:tcPr>
          <w:p w:rsidR="00D01933" w:rsidRPr="001A2B45" w:rsidP="00355EC1" w14:paraId="4B7405AD" w14:textId="77777777">
            <w:pPr>
              <w:jc w:val="right"/>
              <w:rPr>
                <w:rFonts w:cstheme="minorHAnsi"/>
                <w:sz w:val="20"/>
                <w:szCs w:val="20"/>
              </w:rPr>
            </w:pPr>
            <w:r>
              <w:rPr>
                <w:rFonts w:cstheme="minorHAnsi"/>
                <w:sz w:val="20"/>
                <w:szCs w:val="20"/>
              </w:rPr>
              <w:t>$</w:t>
            </w:r>
          </w:p>
        </w:tc>
        <w:tc>
          <w:tcPr>
            <w:tcW w:w="1350" w:type="dxa"/>
            <w:vAlign w:val="center"/>
          </w:tcPr>
          <w:p w:rsidR="00D01933" w:rsidRPr="001A2B45" w:rsidP="00355EC1" w14:paraId="3D0AA998" w14:textId="77777777">
            <w:pPr>
              <w:jc w:val="center"/>
              <w:rPr>
                <w:rFonts w:cstheme="minorHAnsi"/>
                <w:sz w:val="20"/>
                <w:szCs w:val="20"/>
              </w:rPr>
            </w:pPr>
            <w:r>
              <w:rPr>
                <w:rFonts w:cstheme="minorHAnsi"/>
                <w:sz w:val="20"/>
                <w:szCs w:val="20"/>
              </w:rPr>
              <w:t>20.0%</w:t>
            </w:r>
          </w:p>
        </w:tc>
        <w:tc>
          <w:tcPr>
            <w:tcW w:w="2700" w:type="dxa"/>
            <w:shd w:val="clear" w:color="auto" w:fill="B4C6E7" w:themeFill="accent1" w:themeFillTint="66"/>
            <w:vAlign w:val="center"/>
          </w:tcPr>
          <w:p w:rsidR="00D01933" w:rsidRPr="001A2B45" w:rsidP="00355EC1" w14:paraId="5D190DB3" w14:textId="77777777">
            <w:pPr>
              <w:jc w:val="right"/>
              <w:rPr>
                <w:rFonts w:cstheme="minorHAnsi"/>
                <w:sz w:val="20"/>
                <w:szCs w:val="20"/>
              </w:rPr>
            </w:pPr>
            <w:r>
              <w:rPr>
                <w:rFonts w:cstheme="minorHAnsi"/>
                <w:sz w:val="20"/>
                <w:szCs w:val="20"/>
              </w:rPr>
              <w:t>$</w:t>
            </w:r>
          </w:p>
        </w:tc>
      </w:tr>
    </w:tbl>
    <w:p w:rsidR="00D01933" w:rsidRPr="00C25FFB" w:rsidP="00D01933" w14:paraId="28329280" w14:textId="77777777">
      <w:pPr>
        <w:rPr>
          <w:sz w:val="16"/>
          <w:szCs w:val="16"/>
        </w:rPr>
      </w:pPr>
    </w:p>
    <w:p w:rsidR="00D01933" w:rsidP="00D01933" w14:paraId="372B0693" w14:textId="77777777">
      <w:r w:rsidRPr="00C25FFB">
        <w:rPr>
          <w:b/>
          <w:bCs/>
          <w:color w:val="FF0000"/>
        </w:rPr>
        <w:t>Compliant with Ginnie Mae Requirement</w:t>
      </w:r>
      <w:r>
        <w:rPr>
          <w:b/>
          <w:bCs/>
          <w:color w:val="FF0000"/>
        </w:rPr>
        <w:t>?</w:t>
      </w:r>
      <w:r w:rsidRPr="00C25FFB">
        <w:rPr>
          <w:color w:val="FF0000"/>
        </w:rPr>
        <w:t xml:space="preserve"> </w:t>
      </w:r>
      <w:r>
        <w:tab/>
        <w:t xml:space="preserve">Yes </w:t>
      </w:r>
      <w:sdt>
        <w:sdtPr>
          <w:rPr>
            <w:shd w:val="clear" w:color="auto" w:fill="B4C6E7" w:themeFill="accent1" w:themeFillTint="66"/>
          </w:rPr>
          <w:id w:val="1589034599"/>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r w:rsidRPr="00C25FFB">
        <w:rPr>
          <w:shd w:val="clear" w:color="auto" w:fill="B4C6E7" w:themeFill="accent1" w:themeFillTint="66"/>
        </w:rPr>
        <w:t xml:space="preserve"> </w:t>
      </w:r>
      <w:r w:rsidRPr="00C25FFB">
        <w:tab/>
      </w:r>
      <w:r>
        <w:tab/>
        <w:t xml:space="preserve">No </w:t>
      </w:r>
      <w:sdt>
        <w:sdtPr>
          <w:rPr>
            <w:shd w:val="clear" w:color="auto" w:fill="B4C6E7" w:themeFill="accent1" w:themeFillTint="66"/>
          </w:rPr>
          <w:id w:val="-388496655"/>
          <w14:checkbox>
            <w14:checked w14:val="0"/>
            <w14:checkedState w14:val="2612" w14:font="MS Gothic"/>
            <w14:uncheckedState w14:val="2610" w14:font="MS Gothic"/>
          </w14:checkbox>
        </w:sdtPr>
        <w:sdtContent>
          <w:r w:rsidRPr="00C25FFB">
            <w:rPr>
              <w:rFonts w:ascii="MS Gothic" w:eastAsia="MS Gothic" w:hAnsi="MS Gothic" w:hint="eastAsia"/>
              <w:shd w:val="clear" w:color="auto" w:fill="B4C6E7" w:themeFill="accent1" w:themeFillTint="66"/>
            </w:rPr>
            <w:t>☐</w:t>
          </w:r>
        </w:sdtContent>
      </w:sdt>
    </w:p>
    <w:p w:rsidR="00D01933" w:rsidRPr="001A2B45" w:rsidP="00D01933" w14:paraId="08A81996" w14:textId="77777777"/>
    <w:p w:rsidR="00D01933" w:rsidRPr="00CD46D4" w:rsidP="001D00D8" w14:paraId="796111F3" w14:textId="77777777"/>
    <w:sectPr w:rsidSect="00DD0A3F">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7849746"/>
      <w:docPartObj>
        <w:docPartGallery w:val="Page Numbers (Bottom of Page)"/>
        <w:docPartUnique/>
      </w:docPartObj>
    </w:sdtPr>
    <w:sdtEndPr>
      <w:rPr>
        <w:noProof/>
      </w:rPr>
    </w:sdtEndPr>
    <w:sdtContent>
      <w:p w:rsidR="00C94BDC" w14:paraId="071D4342" w14:textId="66D9E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1518" w:rsidP="00F53C4B" w14:paraId="57E8E6E0" w14:textId="6B53769B">
    <w:pPr>
      <w:pStyle w:val="Footer"/>
      <w:tabs>
        <w:tab w:val="clear" w:pos="4680"/>
        <w:tab w:val="left" w:pos="8700"/>
        <w:tab w:val="clear" w:pos="9360"/>
      </w:tabs>
    </w:pPr>
    <w:r>
      <w:t xml:space="preserve">Date: </w:t>
    </w:r>
    <w:r w:rsidR="00F53C4B">
      <w:t>02/</w:t>
    </w:r>
    <w:r w:rsidR="00A0008B">
      <w:t>XX</w:t>
    </w:r>
    <w:r w:rsidR="00F53C4B">
      <w:t xml:space="preserve">/2026                                                                                          </w:t>
    </w:r>
    <w:r w:rsidR="001967FE">
      <w:t xml:space="preserve">      </w:t>
    </w:r>
    <w:r w:rsidR="00F53C4B">
      <w:t xml:space="preserve">        Appendix VI-20: </w:t>
    </w:r>
    <w:r w:rsidR="00C72F31">
      <w:t>Audit</w:t>
    </w:r>
    <w:r w:rsidR="00F53C4B">
      <w:t xml:space="preserve"> Schedules </w:t>
    </w:r>
    <w:r w:rsidR="002A0DD7">
      <w:t>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4996" w:rsidP="00D90DD7" w14:paraId="44F7C774" w14:textId="77777777">
      <w:pPr>
        <w:spacing w:after="0" w:line="240" w:lineRule="auto"/>
      </w:pPr>
      <w:r>
        <w:separator/>
      </w:r>
    </w:p>
  </w:footnote>
  <w:footnote w:type="continuationSeparator" w:id="1">
    <w:p w:rsidR="00664996" w:rsidP="00D90DD7" w14:paraId="0193C3C5" w14:textId="77777777">
      <w:pPr>
        <w:spacing w:after="0" w:line="240" w:lineRule="auto"/>
      </w:pPr>
      <w:r>
        <w:continuationSeparator/>
      </w:r>
    </w:p>
  </w:footnote>
  <w:footnote w:id="2">
    <w:p w:rsidR="007D04E8" w:rsidRPr="001374BA" w:rsidP="007D04E8" w14:paraId="4C16B32D" w14:textId="2B634ACF">
      <w:pPr>
        <w:pStyle w:val="FootnoteText"/>
        <w:rPr>
          <w:sz w:val="16"/>
          <w:szCs w:val="16"/>
        </w:rPr>
      </w:pPr>
      <w:r w:rsidRPr="001374BA">
        <w:rPr>
          <w:rStyle w:val="FootnoteReference"/>
          <w:sz w:val="16"/>
          <w:szCs w:val="16"/>
        </w:rPr>
        <w:footnoteRef/>
      </w:r>
      <w:r w:rsidRPr="001374BA">
        <w:rPr>
          <w:sz w:val="16"/>
          <w:szCs w:val="16"/>
        </w:rPr>
        <w:t xml:space="preserve"> A cross-default agreement is an agreement between related affiliated Ginnie Mae </w:t>
      </w:r>
      <w:r w:rsidR="00C514C8">
        <w:rPr>
          <w:sz w:val="16"/>
          <w:szCs w:val="16"/>
        </w:rPr>
        <w:t>I</w:t>
      </w:r>
      <w:r w:rsidRPr="001374BA">
        <w:rPr>
          <w:sz w:val="16"/>
          <w:szCs w:val="16"/>
        </w:rPr>
        <w:t xml:space="preserve">ssuers, which provides for the default of all affiliated </w:t>
      </w:r>
      <w:r w:rsidR="001737F2">
        <w:rPr>
          <w:sz w:val="16"/>
          <w:szCs w:val="16"/>
        </w:rPr>
        <w:t>I</w:t>
      </w:r>
      <w:r w:rsidRPr="001374BA">
        <w:rPr>
          <w:sz w:val="16"/>
          <w:szCs w:val="16"/>
        </w:rPr>
        <w:t>ssuers in the event of a default by any one of them.</w:t>
      </w:r>
    </w:p>
  </w:footnote>
  <w:footnote w:id="3">
    <w:p w:rsidR="007D04E8" w:rsidRPr="001374BA" w:rsidP="007D04E8" w14:paraId="1DE4B452" w14:textId="56A5ED88">
      <w:pPr>
        <w:pStyle w:val="FootnoteText"/>
        <w:rPr>
          <w:sz w:val="16"/>
          <w:szCs w:val="16"/>
        </w:rPr>
      </w:pPr>
      <w:r w:rsidRPr="001374BA">
        <w:rPr>
          <w:rStyle w:val="FootnoteReference"/>
          <w:sz w:val="16"/>
          <w:szCs w:val="16"/>
        </w:rPr>
        <w:footnoteRef/>
      </w:r>
      <w:r w:rsidRPr="001374BA">
        <w:rPr>
          <w:sz w:val="16"/>
          <w:szCs w:val="16"/>
        </w:rPr>
        <w:t xml:space="preserve"> A corporate guaranty agreement is an agreement in which the </w:t>
      </w:r>
      <w:r w:rsidR="00C514C8">
        <w:rPr>
          <w:sz w:val="16"/>
          <w:szCs w:val="16"/>
        </w:rPr>
        <w:t>I</w:t>
      </w:r>
      <w:r w:rsidRPr="001374BA">
        <w:rPr>
          <w:sz w:val="16"/>
          <w:szCs w:val="16"/>
        </w:rPr>
        <w:t xml:space="preserve">ssuer’s parent guarantees the performance of the </w:t>
      </w:r>
      <w:r w:rsidR="00C514C8">
        <w:rPr>
          <w:sz w:val="16"/>
          <w:szCs w:val="16"/>
        </w:rPr>
        <w:t>I</w:t>
      </w:r>
      <w:r w:rsidRPr="001374BA">
        <w:rPr>
          <w:sz w:val="16"/>
          <w:szCs w:val="16"/>
        </w:rPr>
        <w:t>ssuer.</w:t>
      </w:r>
    </w:p>
  </w:footnote>
  <w:footnote w:id="4">
    <w:p w:rsidR="007D04E8" w:rsidRPr="001374BA" w:rsidP="007D04E8" w14:paraId="69E661A3" w14:textId="77777777">
      <w:pPr>
        <w:pStyle w:val="FootnoteText"/>
        <w:rPr>
          <w:sz w:val="16"/>
          <w:szCs w:val="16"/>
        </w:rPr>
      </w:pPr>
      <w:r w:rsidRPr="001374BA">
        <w:rPr>
          <w:rStyle w:val="FootnoteReference"/>
          <w:sz w:val="16"/>
          <w:szCs w:val="16"/>
        </w:rPr>
        <w:footnoteRef/>
      </w:r>
      <w:r w:rsidRPr="001374BA">
        <w:rPr>
          <w:sz w:val="16"/>
          <w:szCs w:val="16"/>
        </w:rPr>
        <w:t xml:space="preserve"> “Principally used” means that any other use of the property must be solely incidental.</w:t>
      </w:r>
    </w:p>
  </w:footnote>
  <w:footnote w:id="5">
    <w:p w:rsidR="005142C6" w14:paraId="40DD2BF1" w14:textId="2B733019">
      <w:pPr>
        <w:pStyle w:val="FootnoteText"/>
      </w:pPr>
      <w:r>
        <w:rPr>
          <w:rStyle w:val="FootnoteReference"/>
        </w:rPr>
        <w:footnoteRef/>
      </w:r>
      <w:r>
        <w:t xml:space="preserve"> </w:t>
      </w:r>
      <w:r w:rsidR="00947534">
        <w:rPr>
          <w:sz w:val="16"/>
          <w:szCs w:val="16"/>
        </w:rPr>
        <w:t xml:space="preserve">When a schedule of other assets is not provided, </w:t>
      </w:r>
      <w:r w:rsidR="001D21B8">
        <w:rPr>
          <w:sz w:val="16"/>
          <w:szCs w:val="16"/>
        </w:rPr>
        <w:t xml:space="preserve">the entire balance of other assets should be included as unacceptable assets. This includes any </w:t>
      </w:r>
      <w:r w:rsidR="00D74C97">
        <w:rPr>
          <w:sz w:val="16"/>
          <w:szCs w:val="16"/>
        </w:rPr>
        <w:t xml:space="preserve">balances that </w:t>
      </w:r>
      <w:r w:rsidR="00A2712D">
        <w:rPr>
          <w:sz w:val="16"/>
          <w:szCs w:val="16"/>
        </w:rPr>
        <w:t xml:space="preserve">are </w:t>
      </w:r>
      <w:r w:rsidR="00D74C97">
        <w:rPr>
          <w:sz w:val="16"/>
          <w:szCs w:val="16"/>
        </w:rPr>
        <w:t xml:space="preserve">combined </w:t>
      </w:r>
      <w:r w:rsidR="00A2712D">
        <w:rPr>
          <w:sz w:val="16"/>
          <w:szCs w:val="16"/>
        </w:rPr>
        <w:t>and inseparable from other assets on the financial statements</w:t>
      </w:r>
      <w:r w:rsidR="005F6E24">
        <w:rPr>
          <w:sz w:val="16"/>
          <w:szCs w:val="16"/>
        </w:rPr>
        <w:t xml:space="preserve"> </w:t>
      </w:r>
      <w:r w:rsidR="00A2712D">
        <w:rPr>
          <w:sz w:val="16"/>
          <w:szCs w:val="16"/>
        </w:rPr>
        <w:t xml:space="preserve">(e.g. If “Prepaids and other assets” is presented on the balance sheet without </w:t>
      </w:r>
      <w:r w:rsidR="00BD0C53">
        <w:rPr>
          <w:sz w:val="16"/>
          <w:szCs w:val="16"/>
        </w:rPr>
        <w:t xml:space="preserve">a separate schedule or footnote detailing the other assets balance, the entire </w:t>
      </w:r>
      <w:r w:rsidRPr="00C31BBF" w:rsidR="00C31BBF">
        <w:rPr>
          <w:i/>
          <w:iCs/>
          <w:sz w:val="16"/>
          <w:szCs w:val="16"/>
        </w:rPr>
        <w:t>Prepaids and other assets</w:t>
      </w:r>
      <w:r w:rsidR="00C31BBF">
        <w:rPr>
          <w:sz w:val="16"/>
          <w:szCs w:val="16"/>
        </w:rPr>
        <w:t xml:space="preserve"> balance is considered unallowable under category 11</w:t>
      </w:r>
      <w:r w:rsidR="005F6E24">
        <w:rPr>
          <w:sz w:val="16"/>
          <w:szCs w:val="16"/>
        </w:rPr>
        <w:t>)</w:t>
      </w:r>
      <w:r w:rsidR="00C31BBF">
        <w:rPr>
          <w:sz w:val="16"/>
          <w:szCs w:val="16"/>
        </w:rPr>
        <w:t xml:space="preserve">. </w:t>
      </w:r>
    </w:p>
  </w:footnote>
  <w:footnote w:id="6">
    <w:p w:rsidR="001374BA" w14:paraId="463C9EBA" w14:textId="1C85139F">
      <w:pPr>
        <w:pStyle w:val="FootnoteText"/>
      </w:pPr>
      <w:r w:rsidRPr="001374BA">
        <w:rPr>
          <w:rStyle w:val="FootnoteReference"/>
          <w:sz w:val="16"/>
          <w:szCs w:val="16"/>
        </w:rPr>
        <w:footnoteRef/>
      </w:r>
      <w:r w:rsidRPr="001374BA">
        <w:rPr>
          <w:sz w:val="16"/>
          <w:szCs w:val="16"/>
        </w:rPr>
        <w:t xml:space="preserve"> Issuers may net deferred tax assets and deferred tax liabilities, considering only net deferred tax assets to be unacceptable </w:t>
      </w:r>
      <w:r w:rsidRPr="001374BA" w:rsidR="00CD46D4">
        <w:rPr>
          <w:sz w:val="16"/>
          <w:szCs w:val="16"/>
        </w:rPr>
        <w:t>assets.</w:t>
      </w:r>
    </w:p>
  </w:footnote>
  <w:footnote w:id="7">
    <w:p w:rsidR="00D90DD7" w:rsidRPr="001374BA" w14:paraId="1EA230B8" w14:textId="77777777">
      <w:pPr>
        <w:pStyle w:val="FootnoteText"/>
        <w:rPr>
          <w:sz w:val="16"/>
          <w:szCs w:val="16"/>
        </w:rPr>
      </w:pPr>
      <w:r w:rsidRPr="001374BA">
        <w:rPr>
          <w:rStyle w:val="FootnoteReference"/>
          <w:sz w:val="16"/>
          <w:szCs w:val="16"/>
        </w:rPr>
        <w:footnoteRef/>
      </w:r>
      <w:r w:rsidRPr="001374BA">
        <w:rPr>
          <w:sz w:val="16"/>
          <w:szCs w:val="16"/>
        </w:rPr>
        <w:t xml:space="preserve"> The total effective Ginnie Mae single-family outstanding obligation is the sum </w:t>
      </w:r>
      <w:r w:rsidRPr="001374BA" w:rsidR="009B2745">
        <w:rPr>
          <w:sz w:val="16"/>
          <w:szCs w:val="16"/>
        </w:rPr>
        <w:t>of</w:t>
      </w:r>
      <w:r w:rsidRPr="001374BA">
        <w:rPr>
          <w:sz w:val="16"/>
          <w:szCs w:val="16"/>
        </w:rPr>
        <w:t xml:space="preserve"> a) all single-family Ginnie Mae securities outstanding, b) available commitment authority to issue new single-family pools, and c) total single-family pools </w:t>
      </w:r>
      <w:r w:rsidRPr="001374BA" w:rsidR="009B2745">
        <w:rPr>
          <w:sz w:val="16"/>
          <w:szCs w:val="16"/>
        </w:rPr>
        <w:t>funded.</w:t>
      </w:r>
    </w:p>
  </w:footnote>
  <w:footnote w:id="8">
    <w:p w:rsidR="00DA40B1" w:rsidRPr="00DA40B1" w14:paraId="4F33D2F1" w14:textId="77777777">
      <w:pPr>
        <w:pStyle w:val="FootnoteText"/>
        <w:rPr>
          <w:sz w:val="16"/>
          <w:szCs w:val="16"/>
        </w:rPr>
      </w:pPr>
      <w:r w:rsidRPr="00DA40B1">
        <w:rPr>
          <w:rStyle w:val="FootnoteReference"/>
          <w:sz w:val="16"/>
          <w:szCs w:val="16"/>
        </w:rPr>
        <w:footnoteRef/>
      </w:r>
      <w:r w:rsidRPr="00DA40B1">
        <w:rPr>
          <w:sz w:val="16"/>
          <w:szCs w:val="16"/>
        </w:rPr>
        <w:t xml:space="preserve"> The total effective Multifamily outstanding obligation is the sum </w:t>
      </w:r>
      <w:r w:rsidRPr="00DA40B1" w:rsidR="009B2745">
        <w:rPr>
          <w:sz w:val="16"/>
          <w:szCs w:val="16"/>
        </w:rPr>
        <w:t>of</w:t>
      </w:r>
      <w:r w:rsidRPr="00DA40B1">
        <w:rPr>
          <w:sz w:val="16"/>
          <w:szCs w:val="16"/>
        </w:rPr>
        <w:t xml:space="preserve"> 1) all Multifamily securities outstanding, 2) available commitment authority to issue new Multifamily pools, </w:t>
      </w:r>
      <w:r w:rsidRPr="00DA40B1" w:rsidR="009B2745">
        <w:rPr>
          <w:sz w:val="16"/>
          <w:szCs w:val="16"/>
        </w:rPr>
        <w:t>and</w:t>
      </w:r>
      <w:r w:rsidRPr="00DA40B1">
        <w:rPr>
          <w:sz w:val="16"/>
          <w:szCs w:val="16"/>
        </w:rPr>
        <w:t xml:space="preserve"> 3) unexpended Multifamily construction draws.</w:t>
      </w:r>
    </w:p>
  </w:footnote>
  <w:footnote w:id="9">
    <w:p w:rsidR="00DA40B1" w:rsidRPr="009B2745" w:rsidP="00DA40B1" w14:paraId="12304810" w14:textId="77777777">
      <w:pPr>
        <w:pStyle w:val="FootnoteText"/>
        <w:rPr>
          <w:sz w:val="16"/>
          <w:szCs w:val="16"/>
        </w:rPr>
      </w:pPr>
      <w:r w:rsidRPr="009B2745">
        <w:rPr>
          <w:rStyle w:val="FootnoteReference"/>
          <w:sz w:val="16"/>
          <w:szCs w:val="16"/>
        </w:rPr>
        <w:footnoteRef/>
      </w:r>
      <w:r w:rsidRPr="009B2745">
        <w:rPr>
          <w:sz w:val="16"/>
          <w:szCs w:val="16"/>
        </w:rPr>
        <w:t xml:space="preserve"> </w:t>
      </w:r>
      <w:r w:rsidRPr="009B2745" w:rsidR="009B2745">
        <w:rPr>
          <w:sz w:val="16"/>
          <w:szCs w:val="16"/>
        </w:rPr>
        <w:t>The total effective HMBS outstanding obligation is the sum of 1) all HMBS securities outstanding, 2) available commitment authority to issue new HMBS pools, and 3) total HMBS pools funded.</w:t>
      </w:r>
    </w:p>
  </w:footnote>
  <w:footnote w:id="10">
    <w:p w:rsidR="009B2745" w:rsidRPr="009B2745" w:rsidP="009B2745" w14:paraId="61493F7D" w14:textId="082695ED">
      <w:pPr>
        <w:pStyle w:val="FootnoteText"/>
        <w:rPr>
          <w:sz w:val="16"/>
          <w:szCs w:val="16"/>
        </w:rPr>
      </w:pPr>
      <w:r w:rsidRPr="009B2745">
        <w:rPr>
          <w:rStyle w:val="FootnoteReference"/>
          <w:sz w:val="16"/>
          <w:szCs w:val="16"/>
        </w:rPr>
        <w:footnoteRef/>
      </w:r>
      <w:r w:rsidRPr="009B2745">
        <w:rPr>
          <w:sz w:val="16"/>
          <w:szCs w:val="16"/>
        </w:rPr>
        <w:t xml:space="preserve"> The total effective MH outstanding obligation is the sum </w:t>
      </w:r>
      <w:r w:rsidRPr="009B2745" w:rsidR="00B16D9C">
        <w:rPr>
          <w:sz w:val="16"/>
          <w:szCs w:val="16"/>
        </w:rPr>
        <w:t>of</w:t>
      </w:r>
      <w:r w:rsidRPr="009B2745">
        <w:rPr>
          <w:sz w:val="16"/>
          <w:szCs w:val="16"/>
        </w:rPr>
        <w:t xml:space="preserve"> a) all MH securities outstanding, b) available commitment authority to issue new MH pools, and c) total MH pools funded.</w:t>
      </w:r>
    </w:p>
  </w:footnote>
  <w:footnote w:id="11">
    <w:p w:rsidR="009B2745" w:rsidRPr="009B2745" w:rsidP="009B2745" w14:paraId="521588A8" w14:textId="21C4FE93">
      <w:pPr>
        <w:rPr>
          <w:sz w:val="16"/>
          <w:szCs w:val="16"/>
        </w:rPr>
      </w:pPr>
      <w:r w:rsidRPr="009B2745">
        <w:rPr>
          <w:rStyle w:val="FootnoteReference"/>
          <w:sz w:val="16"/>
          <w:szCs w:val="16"/>
        </w:rPr>
        <w:footnoteRef/>
      </w:r>
      <w:r w:rsidRPr="009B2745">
        <w:rPr>
          <w:sz w:val="16"/>
          <w:szCs w:val="16"/>
        </w:rPr>
        <w:t xml:space="preserve"> Issuers approved to participate in more than one program type (Single-family, Multifamily, Manufactured Ho</w:t>
      </w:r>
      <w:r w:rsidR="00D64C29">
        <w:rPr>
          <w:sz w:val="16"/>
          <w:szCs w:val="16"/>
        </w:rPr>
        <w:t>using</w:t>
      </w:r>
      <w:r w:rsidRPr="009B2745">
        <w:rPr>
          <w:sz w:val="16"/>
          <w:szCs w:val="16"/>
        </w:rPr>
        <w:t xml:space="preserve">, and HMBS) will be required to meet </w:t>
      </w:r>
      <w:r w:rsidR="00465CE9">
        <w:rPr>
          <w:sz w:val="16"/>
          <w:szCs w:val="16"/>
        </w:rPr>
        <w:t xml:space="preserve"> </w:t>
      </w:r>
      <w:r w:rsidRPr="009B2745">
        <w:rPr>
          <w:sz w:val="16"/>
          <w:szCs w:val="16"/>
        </w:rPr>
        <w:t xml:space="preserve"> a minimum adjusted net worth equal to or greater than the sum of the minimum net worth requirements for all program types in which the Issuer is approved to participate.</w:t>
      </w:r>
    </w:p>
  </w:footnote>
  <w:footnote w:id="12">
    <w:p w:rsidR="00D01933" w:rsidRPr="0015735E" w:rsidP="00D01933" w14:paraId="087FF6F1" w14:textId="77777777">
      <w:pPr>
        <w:pStyle w:val="FootnoteText"/>
        <w:rPr>
          <w:sz w:val="16"/>
          <w:szCs w:val="16"/>
        </w:rPr>
      </w:pPr>
      <w:r w:rsidRPr="0015735E">
        <w:rPr>
          <w:rStyle w:val="FootnoteReference"/>
          <w:sz w:val="16"/>
          <w:szCs w:val="16"/>
        </w:rPr>
        <w:footnoteRef/>
      </w:r>
      <w:r w:rsidRPr="0015735E">
        <w:rPr>
          <w:sz w:val="16"/>
          <w:szCs w:val="16"/>
        </w:rPr>
        <w:t xml:space="preserve"> Issuers that are subject to federal regulation by the Board of Governors of the Federal Reserve System (the Fed), FDIC, OCC, NCUA or to regulation by the Federal Housing Finance Agency or (FHFA). Issuers in this category include but are not limited to bank holding companies (BHCs), banks, wholly owned subsidiaries of BHCs that are consolidated for purposes of regulatory oversight, thrifts, savings and loan holding companies, and credit unions. Non-depository mortgage companies are generally not included in this category.</w:t>
      </w:r>
    </w:p>
  </w:footnote>
  <w:footnote w:id="13">
    <w:p w:rsidR="00D01933" w:rsidRPr="0015735E" w:rsidP="00D01933" w14:paraId="30312117" w14:textId="73CDF68D">
      <w:pPr>
        <w:pStyle w:val="FootnoteText"/>
        <w:rPr>
          <w:sz w:val="16"/>
          <w:szCs w:val="16"/>
        </w:rPr>
      </w:pPr>
      <w:r w:rsidRPr="0015735E">
        <w:rPr>
          <w:rStyle w:val="FootnoteReference"/>
          <w:sz w:val="16"/>
          <w:szCs w:val="16"/>
        </w:rPr>
        <w:footnoteRef/>
      </w:r>
      <w:r w:rsidRPr="0015735E">
        <w:rPr>
          <w:sz w:val="16"/>
          <w:szCs w:val="16"/>
        </w:rPr>
        <w:t xml:space="preserve"> Issuers that are </w:t>
      </w:r>
      <w:r w:rsidRPr="003C3C44" w:rsidR="003C3C44">
        <w:rPr>
          <w:sz w:val="16"/>
          <w:szCs w:val="16"/>
        </w:rPr>
        <w:t>subject to NCUA insurance regulation and/or respective state’s Department of Financial Institutions.</w:t>
      </w:r>
    </w:p>
  </w:footnote>
  <w:footnote w:id="14">
    <w:p w:rsidR="00D01933" w:rsidRPr="0015735E" w:rsidP="00D01933" w14:paraId="67CF4944" w14:textId="77777777">
      <w:pPr>
        <w:spacing w:after="0"/>
        <w:rPr>
          <w:sz w:val="16"/>
          <w:szCs w:val="16"/>
        </w:rPr>
      </w:pPr>
      <w:r w:rsidRPr="0015735E">
        <w:rPr>
          <w:rStyle w:val="FootnoteReference"/>
          <w:sz w:val="16"/>
          <w:szCs w:val="16"/>
        </w:rPr>
        <w:footnoteRef/>
      </w:r>
      <w:r w:rsidRPr="0015735E">
        <w:rPr>
          <w:sz w:val="16"/>
          <w:szCs w:val="16"/>
        </w:rPr>
        <w:t xml:space="preserve"> Issuers not covered under the </w:t>
      </w:r>
      <w:r w:rsidRPr="0015735E">
        <w:rPr>
          <w:i/>
          <w:iCs/>
          <w:sz w:val="16"/>
          <w:szCs w:val="16"/>
        </w:rPr>
        <w:t>Regulated Issuers</w:t>
      </w:r>
      <w:r w:rsidRPr="0015735E">
        <w:rPr>
          <w:sz w:val="16"/>
          <w:szCs w:val="16"/>
        </w:rPr>
        <w:t xml:space="preserve"> or </w:t>
      </w:r>
      <w:r w:rsidRPr="0015735E">
        <w:rPr>
          <w:i/>
          <w:iCs/>
          <w:sz w:val="16"/>
          <w:szCs w:val="16"/>
        </w:rPr>
        <w:t>US State or Territory</w:t>
      </w:r>
      <w:r w:rsidRPr="0015735E">
        <w:rPr>
          <w:sz w:val="16"/>
          <w:szCs w:val="16"/>
        </w:rPr>
        <w:t xml:space="preserve"> sections above must maintain a Leverage Ratio of at least 6%. </w:t>
      </w:r>
    </w:p>
  </w:footnote>
  <w:footnote w:id="15">
    <w:p w:rsidR="00D01933" w:rsidRPr="0015735E" w:rsidP="00D01933" w14:paraId="163AB4B6" w14:textId="77777777">
      <w:pPr>
        <w:pStyle w:val="FootnoteText"/>
        <w:rPr>
          <w:sz w:val="16"/>
          <w:szCs w:val="16"/>
        </w:rPr>
      </w:pPr>
      <w:r w:rsidRPr="0015735E">
        <w:rPr>
          <w:rStyle w:val="FootnoteReference"/>
          <w:sz w:val="16"/>
          <w:szCs w:val="16"/>
        </w:rPr>
        <w:footnoteRef/>
      </w:r>
      <w:r w:rsidRPr="0015735E">
        <w:rPr>
          <w:sz w:val="16"/>
          <w:szCs w:val="16"/>
        </w:rPr>
        <w:t xml:space="preserve"> GMLERs are delinquent loans that are eligible to be bought out of a pool but that have not yet been bought out, consistent with MBS Guide Chapter 18, Part 3 § B (1). GMLERs are not applicable to the HMBS program.</w:t>
      </w:r>
    </w:p>
  </w:footnote>
  <w:footnote w:id="16">
    <w:p w:rsidR="00D01933" w:rsidRPr="003E1B76" w:rsidP="00D01933" w14:paraId="65335905" w14:textId="77777777">
      <w:pPr>
        <w:pStyle w:val="FootnoteText"/>
        <w:rPr>
          <w:sz w:val="16"/>
          <w:szCs w:val="16"/>
        </w:rPr>
      </w:pPr>
      <w:r w:rsidRPr="0015735E">
        <w:rPr>
          <w:rStyle w:val="FootnoteReference"/>
          <w:sz w:val="16"/>
          <w:szCs w:val="16"/>
        </w:rPr>
        <w:footnoteRef/>
      </w:r>
      <w:r w:rsidRPr="0015735E">
        <w:rPr>
          <w:sz w:val="16"/>
          <w:szCs w:val="16"/>
        </w:rPr>
        <w:t xml:space="preserve"> For purposes of this section, Leverage Ratio is defined as (i) Total Adjusted Net Worth (as defined by Ginnie Mae) divided by the Issuer’s Total Assets. For purposes of this requirement, Total Assets do not include Ginnie Mae Loans Eligible for Repurchase (GMLERs).</w:t>
      </w:r>
      <w:r w:rsidRPr="003E1B76">
        <w:rPr>
          <w:sz w:val="16"/>
          <w:szCs w:val="16"/>
        </w:rPr>
        <w:t xml:space="preserve"> </w:t>
      </w:r>
    </w:p>
  </w:footnote>
  <w:footnote w:id="17">
    <w:p w:rsidR="00D01933" w:rsidRPr="0061030A" w:rsidP="00D01933" w14:paraId="7DEB09C7" w14:textId="77777777">
      <w:pPr>
        <w:rPr>
          <w:sz w:val="16"/>
          <w:szCs w:val="16"/>
        </w:rPr>
      </w:pPr>
      <w:r w:rsidRPr="0061030A">
        <w:rPr>
          <w:rStyle w:val="FootnoteReference"/>
          <w:sz w:val="16"/>
          <w:szCs w:val="16"/>
        </w:rPr>
        <w:footnoteRef/>
      </w:r>
      <w:r w:rsidRPr="0061030A">
        <w:rPr>
          <w:sz w:val="16"/>
          <w:szCs w:val="16"/>
        </w:rPr>
        <w:t xml:space="preserve"> Effective December 31, 202</w:t>
      </w:r>
      <w:r>
        <w:rPr>
          <w:sz w:val="16"/>
          <w:szCs w:val="16"/>
        </w:rPr>
        <w:t>4</w:t>
      </w:r>
      <w:r w:rsidRPr="0061030A">
        <w:rPr>
          <w:sz w:val="16"/>
          <w:szCs w:val="16"/>
        </w:rPr>
        <w:t xml:space="preserve">, </w:t>
      </w:r>
      <w:r>
        <w:rPr>
          <w:sz w:val="16"/>
          <w:szCs w:val="16"/>
        </w:rPr>
        <w:t xml:space="preserve">Issuers </w:t>
      </w:r>
      <w:r w:rsidRPr="0061030A">
        <w:rPr>
          <w:sz w:val="16"/>
          <w:szCs w:val="16"/>
        </w:rPr>
        <w:t>that are not covered by the requirements for financial institutions in the MBS Guide Chapter 2, Part 9, § B(2)(a) and (b), and SF Issuers that are not covered by the requirements for financial institutions in the MBS Guide Chapter 3, Part 8, § A(3)(a) and (b) must maintain a Risk-Based Capital Ratio (“RBCR”) of at least 6% in addition to continuing to maintain a Leverage Ratio of at least 6%.</w:t>
      </w:r>
    </w:p>
  </w:footnote>
  <w:footnote w:id="18">
    <w:p w:rsidR="00D01933" w:rsidRPr="004D78B2" w:rsidP="00D01933" w14:paraId="3CE305E3" w14:textId="77777777">
      <w:pPr>
        <w:pStyle w:val="FootnoteText"/>
        <w:rPr>
          <w:sz w:val="16"/>
          <w:szCs w:val="16"/>
        </w:rPr>
      </w:pPr>
      <w:r w:rsidRPr="004D78B2">
        <w:rPr>
          <w:rStyle w:val="FootnoteReference"/>
          <w:sz w:val="16"/>
          <w:szCs w:val="16"/>
        </w:rPr>
        <w:footnoteRef/>
      </w:r>
      <w:r w:rsidRPr="004D78B2">
        <w:rPr>
          <w:sz w:val="16"/>
          <w:szCs w:val="16"/>
        </w:rPr>
        <w:t xml:space="preserve"> The Single-family RBCR is defined as Adjusted Net Worth </w:t>
      </w:r>
      <w:r>
        <w:rPr>
          <w:sz w:val="16"/>
          <w:szCs w:val="16"/>
        </w:rPr>
        <w:t xml:space="preserve">(as defined by Ginnie Mae) </w:t>
      </w:r>
      <w:r w:rsidRPr="004D78B2">
        <w:rPr>
          <w:sz w:val="16"/>
          <w:szCs w:val="16"/>
        </w:rPr>
        <w:t xml:space="preserve">less Excess Mortgage Servicing Rights (“MSRs”) (MSRs </w:t>
      </w:r>
      <w:r w:rsidRPr="004D78B2">
        <w:rPr>
          <w:sz w:val="16"/>
          <w:szCs w:val="16"/>
        </w:rPr>
        <w:t>in excess of</w:t>
      </w:r>
      <w:r w:rsidRPr="004D78B2">
        <w:rPr>
          <w:sz w:val="16"/>
          <w:szCs w:val="16"/>
        </w:rPr>
        <w:t xml:space="preserve"> an SF Issuer’s Net Worth) divided by total Risk-Based Assets.</w:t>
      </w:r>
    </w:p>
  </w:footnote>
  <w:footnote w:id="19">
    <w:p w:rsidR="00D01933" w:rsidRPr="00670258" w:rsidP="00D01933" w14:paraId="6C65B333" w14:textId="77777777">
      <w:pPr>
        <w:pStyle w:val="FootnoteText"/>
        <w:rPr>
          <w:sz w:val="16"/>
          <w:szCs w:val="16"/>
        </w:rPr>
      </w:pPr>
      <w:r w:rsidRPr="00670258">
        <w:rPr>
          <w:rStyle w:val="FootnoteReference"/>
          <w:sz w:val="16"/>
          <w:szCs w:val="16"/>
        </w:rPr>
        <w:footnoteRef/>
      </w:r>
      <w:r w:rsidRPr="00670258">
        <w:rPr>
          <w:sz w:val="16"/>
          <w:szCs w:val="16"/>
        </w:rPr>
        <w:t xml:space="preserve"> The MSR Value Adjustment is an average of an Issuer’s quarterly Hedging Efficacy results, </w:t>
      </w:r>
      <w:r w:rsidRPr="00D4761F">
        <w:rPr>
          <w:sz w:val="16"/>
          <w:szCs w:val="16"/>
        </w:rPr>
        <w:t>please</w:t>
      </w:r>
      <w:r w:rsidRPr="00670258">
        <w:rPr>
          <w:sz w:val="16"/>
          <w:szCs w:val="16"/>
        </w:rPr>
        <w:t xml:space="preserve"> see Chapter 3, Part 8 §A(3)(f) of the MBS Guide for the full calculation.  Hedging Efficacy is the proportion of gains (or losses) on derivatives used to hedge MSRs relative to the changes in MSR value due to market and model changes, as defined in the MBFRF.</w:t>
      </w:r>
    </w:p>
  </w:footnote>
  <w:footnote w:id="20">
    <w:p w:rsidR="00D01933" w:rsidRPr="0061030A" w:rsidP="00D01933" w14:paraId="14988E49" w14:textId="77777777">
      <w:pPr>
        <w:rPr>
          <w:sz w:val="16"/>
          <w:szCs w:val="16"/>
        </w:rPr>
      </w:pPr>
      <w:r w:rsidRPr="0061030A">
        <w:rPr>
          <w:rStyle w:val="FootnoteReference"/>
          <w:sz w:val="16"/>
          <w:szCs w:val="16"/>
        </w:rPr>
        <w:footnoteRef/>
      </w:r>
      <w:r w:rsidRPr="0061030A">
        <w:rPr>
          <w:sz w:val="16"/>
          <w:szCs w:val="16"/>
        </w:rPr>
        <w:t xml:space="preserve"> MH Issuers that are not covered by the requirements for financial institutions in the MBS Guide Chapter 3, Part 8, § D(3)(a) and (b) must maintain a Risk-Based Capital Ratio (“RBCR”) of at least 6% in addition to continuing to maintain a Leverage Ratio of at least 6%.</w:t>
      </w:r>
    </w:p>
  </w:footnote>
  <w:footnote w:id="21">
    <w:p w:rsidR="00D01933" w:rsidRPr="00511FBC" w:rsidP="00D01933" w14:paraId="3B974995" w14:textId="77777777">
      <w:pPr>
        <w:pStyle w:val="FootnoteText"/>
        <w:rPr>
          <w:sz w:val="16"/>
          <w:szCs w:val="16"/>
        </w:rPr>
      </w:pPr>
      <w:r w:rsidRPr="00511FBC">
        <w:rPr>
          <w:rStyle w:val="FootnoteReference"/>
          <w:sz w:val="16"/>
          <w:szCs w:val="16"/>
        </w:rPr>
        <w:footnoteRef/>
      </w:r>
      <w:r w:rsidRPr="00511FBC">
        <w:rPr>
          <w:sz w:val="16"/>
          <w:szCs w:val="16"/>
        </w:rPr>
        <w:t xml:space="preserve"> The Manufactured </w:t>
      </w:r>
      <w:r>
        <w:rPr>
          <w:sz w:val="16"/>
          <w:szCs w:val="16"/>
        </w:rPr>
        <w:t xml:space="preserve">Housing </w:t>
      </w:r>
      <w:r w:rsidRPr="00511FBC">
        <w:rPr>
          <w:sz w:val="16"/>
          <w:szCs w:val="16"/>
        </w:rPr>
        <w:t>RBCR is defined as Adjusted Net Worth (as defined by Ginnie Mae) divided by Total Risk-based Assets.</w:t>
      </w:r>
    </w:p>
  </w:footnote>
  <w:footnote w:id="22">
    <w:p w:rsidR="00D01933" w:rsidRPr="009C0673" w:rsidP="00D01933" w14:paraId="33EA3D59" w14:textId="77777777">
      <w:pPr>
        <w:pStyle w:val="FootnoteText"/>
        <w:rPr>
          <w:sz w:val="16"/>
          <w:szCs w:val="16"/>
        </w:rPr>
      </w:pPr>
      <w:r w:rsidRPr="009C0673">
        <w:rPr>
          <w:rStyle w:val="FootnoteReference"/>
          <w:sz w:val="16"/>
          <w:szCs w:val="16"/>
        </w:rPr>
        <w:footnoteRef/>
      </w:r>
      <w:r w:rsidRPr="009C0673">
        <w:rPr>
          <w:sz w:val="16"/>
          <w:szCs w:val="16"/>
        </w:rPr>
        <w:t xml:space="preserve"> Advances allowable per the Ginnie Mae MBS Guide, Chapter 3, include the following advances made as reflected in total assets reported on the balance sheet 1)</w:t>
      </w:r>
      <w:r>
        <w:rPr>
          <w:sz w:val="16"/>
          <w:szCs w:val="16"/>
        </w:rPr>
        <w:t xml:space="preserve"> A</w:t>
      </w:r>
      <w:r w:rsidRPr="009C0673">
        <w:rPr>
          <w:sz w:val="16"/>
          <w:szCs w:val="16"/>
        </w:rPr>
        <w:t xml:space="preserve">dvances made to cover principal and interest payments 2) </w:t>
      </w:r>
      <w:r>
        <w:rPr>
          <w:sz w:val="16"/>
          <w:szCs w:val="16"/>
        </w:rPr>
        <w:t>A</w:t>
      </w:r>
      <w:r w:rsidRPr="009C0673">
        <w:rPr>
          <w:sz w:val="16"/>
          <w:szCs w:val="16"/>
        </w:rPr>
        <w:t>dvances made to cover taxes and insurance payments, and HMBS program applicants 3)</w:t>
      </w:r>
      <w:r>
        <w:rPr>
          <w:sz w:val="16"/>
          <w:szCs w:val="16"/>
        </w:rPr>
        <w:t xml:space="preserve"> F</w:t>
      </w:r>
      <w:r w:rsidRPr="009C0673">
        <w:rPr>
          <w:sz w:val="16"/>
          <w:szCs w:val="16"/>
        </w:rPr>
        <w:t xml:space="preserve">oreclosure advances relating to loans serviced on behalf of mortgagors and investors. </w:t>
      </w:r>
    </w:p>
  </w:footnote>
  <w:footnote w:id="23">
    <w:p w:rsidR="00D01933" w:rsidRPr="001A2B45" w:rsidP="00D01933" w14:paraId="3C405F77" w14:textId="77777777">
      <w:pPr>
        <w:pStyle w:val="FootnoteText"/>
        <w:rPr>
          <w:sz w:val="16"/>
          <w:szCs w:val="16"/>
        </w:rPr>
      </w:pPr>
      <w:r w:rsidRPr="001A2B45">
        <w:rPr>
          <w:rStyle w:val="FootnoteReference"/>
          <w:sz w:val="16"/>
          <w:szCs w:val="16"/>
        </w:rPr>
        <w:footnoteRef/>
      </w:r>
      <w:r w:rsidRPr="001A2B45">
        <w:rPr>
          <w:sz w:val="16"/>
          <w:szCs w:val="16"/>
        </w:rPr>
        <w:t xml:space="preserve"> UPB of IRLCs after fallout adjustments is UPB of IRLCs after </w:t>
      </w:r>
      <w:r w:rsidRPr="001A2B45">
        <w:rPr>
          <w:sz w:val="16"/>
          <w:szCs w:val="16"/>
        </w:rPr>
        <w:t>making adjustments</w:t>
      </w:r>
      <w:r w:rsidRPr="001A2B45">
        <w:rPr>
          <w:sz w:val="16"/>
          <w:szCs w:val="16"/>
        </w:rPr>
        <w:t xml:space="preserve"> for estimated fallout (i.e., excluding part of the balance because some locks are not expected to close).</w:t>
      </w:r>
    </w:p>
  </w:footnote>
  <w:footnote w:id="24">
    <w:p w:rsidR="00D01933" w:rsidP="00D01933" w14:paraId="0C9B33CC" w14:textId="77777777">
      <w:pPr>
        <w:pStyle w:val="FootnoteText"/>
      </w:pPr>
      <w:r>
        <w:rPr>
          <w:rStyle w:val="FootnoteReference"/>
        </w:rPr>
        <w:footnoteRef/>
      </w:r>
      <w:r>
        <w:t xml:space="preserve"> </w:t>
      </w:r>
      <w:r w:rsidRPr="009B2745">
        <w:rPr>
          <w:sz w:val="16"/>
          <w:szCs w:val="16"/>
        </w:rPr>
        <w:t>The total effective MH outstanding obligation is the sum of a) all MH securities outstanding, b) available commitment authority to issue new MH pools, and c) total MH pools funded.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21D" w:rsidRPr="00FE321D" w:rsidP="00FE321D" w14:paraId="0CF8A8E4" w14:textId="77777777">
    <w:pPr>
      <w:pStyle w:val="NoSpacing"/>
      <w:jc w:val="right"/>
      <w:rPr>
        <w:sz w:val="18"/>
        <w:szCs w:val="18"/>
      </w:rPr>
    </w:pPr>
    <w:r w:rsidRPr="00FE321D">
      <w:rPr>
        <w:sz w:val="18"/>
        <w:szCs w:val="18"/>
      </w:rPr>
      <w:t>OMB Approval No. 2503-0033</w:t>
    </w:r>
  </w:p>
  <w:p w:rsidR="00FE321D" w:rsidRPr="00FE321D" w:rsidP="00FE321D" w14:paraId="3A73EB1A" w14:textId="77777777">
    <w:pPr>
      <w:pStyle w:val="NoSpacing"/>
      <w:jc w:val="right"/>
      <w:rPr>
        <w:sz w:val="18"/>
        <w:szCs w:val="18"/>
      </w:rPr>
    </w:pPr>
    <w:r w:rsidRPr="00FE321D">
      <w:rPr>
        <w:sz w:val="18"/>
        <w:szCs w:val="18"/>
      </w:rPr>
      <w:t xml:space="preserve"> (Exp. XX/XX/XXXX)</w:t>
    </w:r>
  </w:p>
  <w:p w:rsidR="00FE321D" w14:paraId="443AEF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651080A"/>
    <w:multiLevelType w:val="hybridMultilevel"/>
    <w:tmpl w:val="18943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76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01"/>
    <w:rsid w:val="00016596"/>
    <w:rsid w:val="000167C7"/>
    <w:rsid w:val="00022825"/>
    <w:rsid w:val="00037CF6"/>
    <w:rsid w:val="00050250"/>
    <w:rsid w:val="00051439"/>
    <w:rsid w:val="00071D2B"/>
    <w:rsid w:val="0007276D"/>
    <w:rsid w:val="000A1F49"/>
    <w:rsid w:val="000B1F08"/>
    <w:rsid w:val="000B3195"/>
    <w:rsid w:val="000C7D86"/>
    <w:rsid w:val="000D1E4B"/>
    <w:rsid w:val="000E0DE5"/>
    <w:rsid w:val="000E5934"/>
    <w:rsid w:val="000F1BCB"/>
    <w:rsid w:val="000F2A71"/>
    <w:rsid w:val="00107D94"/>
    <w:rsid w:val="001165E5"/>
    <w:rsid w:val="00117DCA"/>
    <w:rsid w:val="001374BA"/>
    <w:rsid w:val="00151D4A"/>
    <w:rsid w:val="00153F71"/>
    <w:rsid w:val="0015735E"/>
    <w:rsid w:val="00167D98"/>
    <w:rsid w:val="001737F2"/>
    <w:rsid w:val="00173DAF"/>
    <w:rsid w:val="0018163C"/>
    <w:rsid w:val="001868FE"/>
    <w:rsid w:val="00193B94"/>
    <w:rsid w:val="001967FE"/>
    <w:rsid w:val="001A2B45"/>
    <w:rsid w:val="001A3EFF"/>
    <w:rsid w:val="001D00D8"/>
    <w:rsid w:val="001D1960"/>
    <w:rsid w:val="001D21B8"/>
    <w:rsid w:val="001F516F"/>
    <w:rsid w:val="00234580"/>
    <w:rsid w:val="0024794F"/>
    <w:rsid w:val="002538DE"/>
    <w:rsid w:val="00256430"/>
    <w:rsid w:val="00266211"/>
    <w:rsid w:val="00272EFD"/>
    <w:rsid w:val="002802A7"/>
    <w:rsid w:val="00282418"/>
    <w:rsid w:val="00290ED7"/>
    <w:rsid w:val="002A0DD7"/>
    <w:rsid w:val="002A4EB4"/>
    <w:rsid w:val="002B43D6"/>
    <w:rsid w:val="002F35C1"/>
    <w:rsid w:val="002F5F80"/>
    <w:rsid w:val="002F6828"/>
    <w:rsid w:val="0032744F"/>
    <w:rsid w:val="00355EC1"/>
    <w:rsid w:val="003A45E8"/>
    <w:rsid w:val="003B3991"/>
    <w:rsid w:val="003C3C44"/>
    <w:rsid w:val="003D7477"/>
    <w:rsid w:val="003E03A1"/>
    <w:rsid w:val="003E09C9"/>
    <w:rsid w:val="003E1B76"/>
    <w:rsid w:val="003E4BE5"/>
    <w:rsid w:val="003F3384"/>
    <w:rsid w:val="003F42BB"/>
    <w:rsid w:val="0041404B"/>
    <w:rsid w:val="004213A4"/>
    <w:rsid w:val="004501C5"/>
    <w:rsid w:val="00461FBC"/>
    <w:rsid w:val="00465CE9"/>
    <w:rsid w:val="004817BE"/>
    <w:rsid w:val="004A25B3"/>
    <w:rsid w:val="004A6E76"/>
    <w:rsid w:val="004B31A6"/>
    <w:rsid w:val="004D7801"/>
    <w:rsid w:val="004D78B2"/>
    <w:rsid w:val="004D7FB2"/>
    <w:rsid w:val="004E7A1B"/>
    <w:rsid w:val="00503077"/>
    <w:rsid w:val="00511FBC"/>
    <w:rsid w:val="005142C6"/>
    <w:rsid w:val="00551F86"/>
    <w:rsid w:val="00552ACF"/>
    <w:rsid w:val="00552C5D"/>
    <w:rsid w:val="00591303"/>
    <w:rsid w:val="005B5544"/>
    <w:rsid w:val="005E72C4"/>
    <w:rsid w:val="005F6E24"/>
    <w:rsid w:val="0061030A"/>
    <w:rsid w:val="00614D3A"/>
    <w:rsid w:val="00621F07"/>
    <w:rsid w:val="006264D2"/>
    <w:rsid w:val="00633CE8"/>
    <w:rsid w:val="00637104"/>
    <w:rsid w:val="006421BA"/>
    <w:rsid w:val="0064376E"/>
    <w:rsid w:val="00661518"/>
    <w:rsid w:val="00663740"/>
    <w:rsid w:val="0066417F"/>
    <w:rsid w:val="00664996"/>
    <w:rsid w:val="00670258"/>
    <w:rsid w:val="00690F54"/>
    <w:rsid w:val="00693F58"/>
    <w:rsid w:val="00694F01"/>
    <w:rsid w:val="00694F88"/>
    <w:rsid w:val="006D5584"/>
    <w:rsid w:val="006D7A94"/>
    <w:rsid w:val="007053EA"/>
    <w:rsid w:val="00710951"/>
    <w:rsid w:val="0072705B"/>
    <w:rsid w:val="0079244A"/>
    <w:rsid w:val="007D04E8"/>
    <w:rsid w:val="007D5E06"/>
    <w:rsid w:val="007F0631"/>
    <w:rsid w:val="007F35C5"/>
    <w:rsid w:val="00811F9F"/>
    <w:rsid w:val="00820675"/>
    <w:rsid w:val="00830500"/>
    <w:rsid w:val="008307CE"/>
    <w:rsid w:val="0084719D"/>
    <w:rsid w:val="0085084E"/>
    <w:rsid w:val="00851FC9"/>
    <w:rsid w:val="00865FD1"/>
    <w:rsid w:val="008718C3"/>
    <w:rsid w:val="00894724"/>
    <w:rsid w:val="00895314"/>
    <w:rsid w:val="008A05A1"/>
    <w:rsid w:val="008B123A"/>
    <w:rsid w:val="008B5C7C"/>
    <w:rsid w:val="008D14AC"/>
    <w:rsid w:val="008E2725"/>
    <w:rsid w:val="008F6BD3"/>
    <w:rsid w:val="0090529D"/>
    <w:rsid w:val="00910793"/>
    <w:rsid w:val="00916EF7"/>
    <w:rsid w:val="009254F8"/>
    <w:rsid w:val="0094740C"/>
    <w:rsid w:val="00947534"/>
    <w:rsid w:val="00952F20"/>
    <w:rsid w:val="009539B9"/>
    <w:rsid w:val="00957978"/>
    <w:rsid w:val="009825C3"/>
    <w:rsid w:val="00983236"/>
    <w:rsid w:val="009A7201"/>
    <w:rsid w:val="009B0EF3"/>
    <w:rsid w:val="009B2745"/>
    <w:rsid w:val="009B713D"/>
    <w:rsid w:val="009C0673"/>
    <w:rsid w:val="009C1EAE"/>
    <w:rsid w:val="009C3005"/>
    <w:rsid w:val="009C4A88"/>
    <w:rsid w:val="009D51BB"/>
    <w:rsid w:val="009F626B"/>
    <w:rsid w:val="00A0008B"/>
    <w:rsid w:val="00A179DC"/>
    <w:rsid w:val="00A2712D"/>
    <w:rsid w:val="00A35ACF"/>
    <w:rsid w:val="00A4311E"/>
    <w:rsid w:val="00A4323B"/>
    <w:rsid w:val="00A543C2"/>
    <w:rsid w:val="00A6687C"/>
    <w:rsid w:val="00A75A47"/>
    <w:rsid w:val="00A764B4"/>
    <w:rsid w:val="00AB0199"/>
    <w:rsid w:val="00AC072D"/>
    <w:rsid w:val="00AC13BB"/>
    <w:rsid w:val="00AC3725"/>
    <w:rsid w:val="00AD7C57"/>
    <w:rsid w:val="00AF4DCD"/>
    <w:rsid w:val="00B00FF8"/>
    <w:rsid w:val="00B16D9C"/>
    <w:rsid w:val="00B21525"/>
    <w:rsid w:val="00B26EB7"/>
    <w:rsid w:val="00B27EB7"/>
    <w:rsid w:val="00B35A53"/>
    <w:rsid w:val="00B41094"/>
    <w:rsid w:val="00B437D0"/>
    <w:rsid w:val="00B54BD5"/>
    <w:rsid w:val="00B56EF8"/>
    <w:rsid w:val="00B632E5"/>
    <w:rsid w:val="00B71648"/>
    <w:rsid w:val="00B748A3"/>
    <w:rsid w:val="00B83F02"/>
    <w:rsid w:val="00B95CAA"/>
    <w:rsid w:val="00BB717B"/>
    <w:rsid w:val="00BD0C53"/>
    <w:rsid w:val="00BD4E88"/>
    <w:rsid w:val="00BD60E7"/>
    <w:rsid w:val="00BE1479"/>
    <w:rsid w:val="00C1569C"/>
    <w:rsid w:val="00C17D7A"/>
    <w:rsid w:val="00C22DFC"/>
    <w:rsid w:val="00C25FFB"/>
    <w:rsid w:val="00C31BBF"/>
    <w:rsid w:val="00C32362"/>
    <w:rsid w:val="00C41D23"/>
    <w:rsid w:val="00C45E8A"/>
    <w:rsid w:val="00C514C8"/>
    <w:rsid w:val="00C67AB2"/>
    <w:rsid w:val="00C7279F"/>
    <w:rsid w:val="00C72F31"/>
    <w:rsid w:val="00C73DC3"/>
    <w:rsid w:val="00C94BDC"/>
    <w:rsid w:val="00C95AB6"/>
    <w:rsid w:val="00CA15FB"/>
    <w:rsid w:val="00CD46D4"/>
    <w:rsid w:val="00CD7547"/>
    <w:rsid w:val="00CE12B5"/>
    <w:rsid w:val="00D01933"/>
    <w:rsid w:val="00D1258C"/>
    <w:rsid w:val="00D1433F"/>
    <w:rsid w:val="00D3673D"/>
    <w:rsid w:val="00D4761F"/>
    <w:rsid w:val="00D5018B"/>
    <w:rsid w:val="00D634F1"/>
    <w:rsid w:val="00D649B0"/>
    <w:rsid w:val="00D64C29"/>
    <w:rsid w:val="00D73EC4"/>
    <w:rsid w:val="00D74C97"/>
    <w:rsid w:val="00D75767"/>
    <w:rsid w:val="00D76DDB"/>
    <w:rsid w:val="00D80B14"/>
    <w:rsid w:val="00D90DD7"/>
    <w:rsid w:val="00DA40B1"/>
    <w:rsid w:val="00DB2348"/>
    <w:rsid w:val="00DD0A3F"/>
    <w:rsid w:val="00DF0859"/>
    <w:rsid w:val="00E1283D"/>
    <w:rsid w:val="00E34125"/>
    <w:rsid w:val="00E77DF5"/>
    <w:rsid w:val="00E80E35"/>
    <w:rsid w:val="00E82CF3"/>
    <w:rsid w:val="00EB16AC"/>
    <w:rsid w:val="00EB1B70"/>
    <w:rsid w:val="00EB3028"/>
    <w:rsid w:val="00EC2AA4"/>
    <w:rsid w:val="00EF7631"/>
    <w:rsid w:val="00F22A4B"/>
    <w:rsid w:val="00F25D33"/>
    <w:rsid w:val="00F52223"/>
    <w:rsid w:val="00F53C4B"/>
    <w:rsid w:val="00F64C2F"/>
    <w:rsid w:val="00F85360"/>
    <w:rsid w:val="00F90391"/>
    <w:rsid w:val="00FA1E0C"/>
    <w:rsid w:val="00FD5924"/>
    <w:rsid w:val="00FE3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10A191"/>
  <w15:chartTrackingRefBased/>
  <w15:docId w15:val="{64FF9D2C-B146-4DA1-9485-3ACD4B00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5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45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19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0A3F"/>
    <w:rPr>
      <w:color w:val="808080"/>
    </w:rPr>
  </w:style>
  <w:style w:type="character" w:customStyle="1" w:styleId="Heading1Char">
    <w:name w:val="Heading 1 Char"/>
    <w:basedOn w:val="DefaultParagraphFont"/>
    <w:link w:val="Heading1"/>
    <w:uiPriority w:val="9"/>
    <w:rsid w:val="003A45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45E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D90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DD7"/>
    <w:rPr>
      <w:sz w:val="20"/>
      <w:szCs w:val="20"/>
    </w:rPr>
  </w:style>
  <w:style w:type="character" w:styleId="FootnoteReference">
    <w:name w:val="footnote reference"/>
    <w:basedOn w:val="DefaultParagraphFont"/>
    <w:uiPriority w:val="99"/>
    <w:semiHidden/>
    <w:unhideWhenUsed/>
    <w:rsid w:val="00D90DD7"/>
    <w:rPr>
      <w:vertAlign w:val="superscript"/>
    </w:rPr>
  </w:style>
  <w:style w:type="paragraph" w:styleId="Header">
    <w:name w:val="header"/>
    <w:basedOn w:val="Normal"/>
    <w:link w:val="HeaderChar"/>
    <w:uiPriority w:val="99"/>
    <w:unhideWhenUsed/>
    <w:rsid w:val="0085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FC9"/>
  </w:style>
  <w:style w:type="paragraph" w:styleId="Footer">
    <w:name w:val="footer"/>
    <w:basedOn w:val="Normal"/>
    <w:link w:val="FooterChar"/>
    <w:uiPriority w:val="99"/>
    <w:unhideWhenUsed/>
    <w:rsid w:val="0085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FC9"/>
  </w:style>
  <w:style w:type="paragraph" w:styleId="Revision">
    <w:name w:val="Revision"/>
    <w:hidden/>
    <w:uiPriority w:val="99"/>
    <w:semiHidden/>
    <w:rsid w:val="00B21525"/>
    <w:pPr>
      <w:spacing w:after="0" w:line="240" w:lineRule="auto"/>
    </w:pPr>
  </w:style>
  <w:style w:type="character" w:styleId="CommentReference">
    <w:name w:val="annotation reference"/>
    <w:basedOn w:val="DefaultParagraphFont"/>
    <w:uiPriority w:val="99"/>
    <w:semiHidden/>
    <w:unhideWhenUsed/>
    <w:rsid w:val="00051439"/>
    <w:rPr>
      <w:sz w:val="16"/>
      <w:szCs w:val="16"/>
    </w:rPr>
  </w:style>
  <w:style w:type="paragraph" w:styleId="CommentText">
    <w:name w:val="annotation text"/>
    <w:basedOn w:val="Normal"/>
    <w:link w:val="CommentTextChar"/>
    <w:uiPriority w:val="99"/>
    <w:unhideWhenUsed/>
    <w:rsid w:val="00051439"/>
    <w:pPr>
      <w:spacing w:line="240" w:lineRule="auto"/>
    </w:pPr>
    <w:rPr>
      <w:sz w:val="20"/>
      <w:szCs w:val="20"/>
    </w:rPr>
  </w:style>
  <w:style w:type="character" w:customStyle="1" w:styleId="CommentTextChar">
    <w:name w:val="Comment Text Char"/>
    <w:basedOn w:val="DefaultParagraphFont"/>
    <w:link w:val="CommentText"/>
    <w:uiPriority w:val="99"/>
    <w:rsid w:val="00051439"/>
    <w:rPr>
      <w:sz w:val="20"/>
      <w:szCs w:val="20"/>
    </w:rPr>
  </w:style>
  <w:style w:type="paragraph" w:styleId="CommentSubject">
    <w:name w:val="annotation subject"/>
    <w:basedOn w:val="CommentText"/>
    <w:next w:val="CommentText"/>
    <w:link w:val="CommentSubjectChar"/>
    <w:uiPriority w:val="99"/>
    <w:semiHidden/>
    <w:unhideWhenUsed/>
    <w:rsid w:val="00051439"/>
    <w:rPr>
      <w:b/>
      <w:bCs/>
    </w:rPr>
  </w:style>
  <w:style w:type="character" w:customStyle="1" w:styleId="CommentSubjectChar">
    <w:name w:val="Comment Subject Char"/>
    <w:basedOn w:val="CommentTextChar"/>
    <w:link w:val="CommentSubject"/>
    <w:uiPriority w:val="99"/>
    <w:semiHidden/>
    <w:rsid w:val="00051439"/>
    <w:rPr>
      <w:b/>
      <w:bCs/>
      <w:sz w:val="20"/>
      <w:szCs w:val="20"/>
    </w:rPr>
  </w:style>
  <w:style w:type="character" w:customStyle="1" w:styleId="Heading3Char">
    <w:name w:val="Heading 3 Char"/>
    <w:basedOn w:val="DefaultParagraphFont"/>
    <w:link w:val="Heading3"/>
    <w:uiPriority w:val="9"/>
    <w:rsid w:val="00D0193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01933"/>
    <w:pPr>
      <w:ind w:left="720"/>
      <w:contextualSpacing/>
    </w:pPr>
  </w:style>
  <w:style w:type="paragraph" w:styleId="NoSpacing">
    <w:name w:val="No Spacing"/>
    <w:uiPriority w:val="1"/>
    <w:qFormat/>
    <w:rsid w:val="00FE3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088ec59-138d-4fdf-9ad8-cf7014afafa2">HUDSEC-1646034315-42395</_dlc_DocId>
    <_dlc_DocIdUrl xmlns="7088ec59-138d-4fdf-9ad8-cf7014afafa2">
      <Url>https://hudgov.sharepoint.com/sites/SEC/gnma/_layouts/15/DocIdRedir.aspx?ID=HUDSEC-1646034315-42395</Url>
      <Description>HUDSEC-1646034315-42395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BF9D9F3FC81041B573209ED5A13010" ma:contentTypeVersion="2173" ma:contentTypeDescription="Create a new document." ma:contentTypeScope="" ma:versionID="0ed983588ae555ae95102a1f1500df12">
  <xsd:schema xmlns:xsd="http://www.w3.org/2001/XMLSchema" xmlns:xs="http://www.w3.org/2001/XMLSchema" xmlns:p="http://schemas.microsoft.com/office/2006/metadata/properties" xmlns:ns2="7088ec59-138d-4fdf-9ad8-cf7014afafa2" xmlns:ns3="74b85266-d009-4b1e-b8c9-6bf123c7797c" xmlns:ns4="d1d26821-77a6-42d4-870c-e59a91eb0537" targetNamespace="http://schemas.microsoft.com/office/2006/metadata/properties" ma:root="true" ma:fieldsID="d782e87fc664dc2cf040823ee7a7849a" ns2:_="" ns3:_="" ns4:_="">
    <xsd:import namespace="7088ec59-138d-4fdf-9ad8-cf7014afafa2"/>
    <xsd:import namespace="74b85266-d009-4b1e-b8c9-6bf123c7797c"/>
    <xsd:import namespace="d1d26821-77a6-42d4-870c-e59a91eb05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b85266-d009-4b1e-b8c9-6bf123c77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26821-77a6-42d4-870c-e59a91eb05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DDD3D-5F61-48D9-8107-9B69754A3CC2}">
  <ds:schemaRefs>
    <ds:schemaRef ds:uri="http://schemas.microsoft.com/office/2006/metadata/properties"/>
    <ds:schemaRef ds:uri="http://schemas.microsoft.com/office/infopath/2007/PartnerControls"/>
    <ds:schemaRef ds:uri="7088ec59-138d-4fdf-9ad8-cf7014afafa2"/>
  </ds:schemaRefs>
</ds:datastoreItem>
</file>

<file path=customXml/itemProps2.xml><?xml version="1.0" encoding="utf-8"?>
<ds:datastoreItem xmlns:ds="http://schemas.openxmlformats.org/officeDocument/2006/customXml" ds:itemID="{3F01178A-4691-4410-98A1-29981CDC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8ec59-138d-4fdf-9ad8-cf7014afafa2"/>
    <ds:schemaRef ds:uri="74b85266-d009-4b1e-b8c9-6bf123c7797c"/>
    <ds:schemaRef ds:uri="d1d26821-77a6-42d4-870c-e59a91eb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E5360-2C10-413A-835B-7DC9CF8C80C1}">
  <ds:schemaRefs>
    <ds:schemaRef ds:uri="http://schemas.microsoft.com/sharepoint/events"/>
  </ds:schemaRefs>
</ds:datastoreItem>
</file>

<file path=customXml/itemProps4.xml><?xml version="1.0" encoding="utf-8"?>
<ds:datastoreItem xmlns:ds="http://schemas.openxmlformats.org/officeDocument/2006/customXml" ds:itemID="{22787B1E-31C2-4976-A14C-C56F4E83E4F3}">
  <ds:schemaRefs>
    <ds:schemaRef ds:uri="http://schemas.openxmlformats.org/officeDocument/2006/bibliography"/>
  </ds:schemaRefs>
</ds:datastoreItem>
</file>

<file path=customXml/itemProps5.xml><?xml version="1.0" encoding="utf-8"?>
<ds:datastoreItem xmlns:ds="http://schemas.openxmlformats.org/officeDocument/2006/customXml" ds:itemID="{D0140E3A-1B55-42CD-A957-48D304859BE7}">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1745</Words>
  <Characters>8865</Characters>
  <Application>Microsoft Office Word</Application>
  <DocSecurity>0</DocSecurity>
  <Lines>354</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Ng</dc:creator>
  <cp:lastModifiedBy>Guido, Anna P</cp:lastModifiedBy>
  <cp:revision>2</cp:revision>
  <dcterms:created xsi:type="dcterms:W3CDTF">2026-04-01T20:17:00Z</dcterms:created>
  <dcterms:modified xsi:type="dcterms:W3CDTF">2026-04-01T20:17:00Z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0x0101008DBF9D9F3FC81041B573209ED5A13010</vt:lpwstr>
  </property>
  <property fmtid="{D5CDD505-2E9C-101B-9397-08002B2CF9AE}" pid="3" name="_dlc_DocIdItemGuid">
    <vt:lpwstr>8b8c16db-aef0-403b-a29a-f6a515e680f7</vt:lpwstr>
  </property>
</Properties>
</file>