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4254E" w:rsidRPr="00481526" w:rsidP="0094254E" w14:paraId="022825D2" w14:textId="77777777">
      <w:pPr>
        <w:jc w:val="center"/>
        <w:rPr>
          <w:b/>
          <w:bCs/>
          <w:szCs w:val="24"/>
        </w:rPr>
      </w:pPr>
      <w:r w:rsidRPr="00481526">
        <w:rPr>
          <w:b/>
          <w:bCs/>
          <w:szCs w:val="24"/>
        </w:rPr>
        <w:t>Department of Transportation</w:t>
      </w:r>
    </w:p>
    <w:p w:rsidR="0094254E" w:rsidRPr="00481526" w:rsidP="0094254E" w14:paraId="593F884F" w14:textId="77777777">
      <w:pPr>
        <w:jc w:val="center"/>
        <w:rPr>
          <w:b/>
          <w:bCs/>
          <w:szCs w:val="24"/>
        </w:rPr>
      </w:pPr>
      <w:r w:rsidRPr="00481526">
        <w:rPr>
          <w:b/>
          <w:bCs/>
          <w:szCs w:val="24"/>
        </w:rPr>
        <w:t xml:space="preserve">Pipeline and Hazardous Materials Safety Administration </w:t>
      </w:r>
    </w:p>
    <w:p w:rsidR="0094254E" w:rsidRPr="00481526" w:rsidP="0094254E" w14:paraId="755D202E" w14:textId="77777777">
      <w:pPr>
        <w:jc w:val="center"/>
        <w:rPr>
          <w:b/>
          <w:bCs/>
          <w:szCs w:val="24"/>
        </w:rPr>
      </w:pPr>
      <w:r w:rsidRPr="00481526">
        <w:rPr>
          <w:b/>
          <w:bCs/>
          <w:szCs w:val="24"/>
        </w:rPr>
        <w:t>Office of Pipeline Safety</w:t>
      </w:r>
    </w:p>
    <w:p w:rsidR="0094254E" w:rsidRPr="00481526" w:rsidP="0094254E" w14:paraId="10A8819F" w14:textId="77777777">
      <w:pPr>
        <w:jc w:val="center"/>
        <w:rPr>
          <w:b/>
          <w:bCs/>
          <w:szCs w:val="24"/>
        </w:rPr>
      </w:pPr>
    </w:p>
    <w:p w:rsidR="0094254E" w:rsidRPr="00481526" w:rsidP="0094254E" w14:paraId="2B815C72" w14:textId="77777777">
      <w:pPr>
        <w:jc w:val="center"/>
        <w:rPr>
          <w:b/>
          <w:bCs/>
          <w:szCs w:val="24"/>
        </w:rPr>
      </w:pPr>
      <w:r w:rsidRPr="00481526">
        <w:rPr>
          <w:b/>
          <w:bCs/>
          <w:szCs w:val="24"/>
        </w:rPr>
        <w:t>SUPPORTING STATEMENT</w:t>
      </w:r>
    </w:p>
    <w:p w:rsidR="00F45271" w:rsidRPr="00981917" w:rsidP="6C720080" w14:paraId="7212DFC6" w14:textId="5B6954FA">
      <w:pPr>
        <w:widowControl w:val="0"/>
        <w:jc w:val="center"/>
        <w:rPr>
          <w:b/>
          <w:bCs/>
          <w:szCs w:val="24"/>
        </w:rPr>
      </w:pPr>
      <w:r w:rsidRPr="6C720080">
        <w:rPr>
          <w:b/>
          <w:bCs/>
          <w:szCs w:val="24"/>
        </w:rPr>
        <w:t xml:space="preserve"> </w:t>
      </w:r>
    </w:p>
    <w:p w:rsidR="00F45271" w:rsidRPr="00981917" w:rsidP="6C720080" w14:paraId="59AA9392" w14:textId="50EC35BC">
      <w:pPr>
        <w:widowControl w:val="0"/>
        <w:jc w:val="center"/>
        <w:rPr>
          <w:b/>
          <w:bCs/>
          <w:szCs w:val="24"/>
        </w:rPr>
      </w:pPr>
      <w:r w:rsidRPr="6C720080">
        <w:rPr>
          <w:b/>
          <w:bCs/>
          <w:color w:val="000000" w:themeColor="text1"/>
          <w:szCs w:val="24"/>
        </w:rPr>
        <w:t>Natural Gas Distribution Infrastructure Safety and Modernization Grant Program</w:t>
      </w:r>
    </w:p>
    <w:p w:rsidR="00F45271" w:rsidRPr="00981917" w:rsidP="6C720080" w14:paraId="324A4097" w14:textId="2EC1C05A">
      <w:pPr>
        <w:widowControl w:val="0"/>
        <w:jc w:val="center"/>
        <w:rPr>
          <w:b/>
          <w:bCs/>
          <w:szCs w:val="24"/>
        </w:rPr>
      </w:pPr>
      <w:r>
        <w:rPr>
          <w:b/>
          <w:bCs/>
          <w:szCs w:val="24"/>
        </w:rPr>
        <w:t>OMB Control No. 2137-0641</w:t>
      </w:r>
    </w:p>
    <w:p w:rsidR="00F45271" w:rsidRPr="00981917" w:rsidP="6C720080" w14:paraId="3CBF93BD" w14:textId="7AC547F8">
      <w:pPr>
        <w:widowControl w:val="0"/>
        <w:tabs>
          <w:tab w:val="center" w:pos="4680"/>
        </w:tabs>
        <w:jc w:val="center"/>
        <w:rPr>
          <w:b/>
          <w:bCs/>
          <w:szCs w:val="24"/>
        </w:rPr>
      </w:pPr>
      <w:r>
        <w:fldChar w:fldCharType="begin"/>
      </w:r>
      <w:r>
        <w:instrText xml:space="preserve"> SEQ CHAPTER \h \r 1</w:instrText>
      </w:r>
      <w:r w:rsidR="00F44A4A">
        <w:fldChar w:fldCharType="separate"/>
      </w:r>
      <w:r>
        <w:fldChar w:fldCharType="end"/>
      </w:r>
    </w:p>
    <w:p w:rsidR="00EC23D6" w:rsidRPr="00981917" w:rsidP="00EC23D6" w14:paraId="1C939DB1" w14:textId="77777777">
      <w:pPr>
        <w:rPr>
          <w:b/>
          <w:szCs w:val="24"/>
          <w:u w:val="single"/>
        </w:rPr>
      </w:pPr>
      <w:r w:rsidRPr="00981917">
        <w:rPr>
          <w:b/>
          <w:szCs w:val="24"/>
          <w:u w:val="single"/>
        </w:rPr>
        <w:t>INTRODUCTION</w:t>
      </w:r>
    </w:p>
    <w:p w:rsidR="00EC23D6" w:rsidRPr="00981917" w:rsidP="00EC23D6" w14:paraId="66155595" w14:textId="77777777">
      <w:pPr>
        <w:rPr>
          <w:b/>
          <w:szCs w:val="24"/>
          <w:u w:val="single"/>
        </w:rPr>
      </w:pPr>
    </w:p>
    <w:p w:rsidR="000919BF" w:rsidRPr="00207ED7" w:rsidP="000919BF" w14:paraId="39D28AB2" w14:textId="7F52B54D">
      <w:r w:rsidRPr="00207ED7">
        <w:t xml:space="preserve">The Pipeline and Hazardous Materials Safety Administration (PHMSA) requests approval from the Office of Management and Budget (OMB) for an extension of a currently approved collection entitled </w:t>
      </w:r>
      <w:r w:rsidRPr="6C720080" w:rsidR="6C720080">
        <w:rPr>
          <w:szCs w:val="24"/>
        </w:rPr>
        <w:t>“</w:t>
      </w:r>
      <w:r w:rsidRPr="6C720080" w:rsidR="6C720080">
        <w:rPr>
          <w:color w:val="000000" w:themeColor="text1"/>
          <w:szCs w:val="24"/>
        </w:rPr>
        <w:t>Natural Gas Distribution Infrastructure Safety and Modernization Grant Program”</w:t>
      </w:r>
      <w:r>
        <w:rPr>
          <w:color w:val="000000" w:themeColor="text1"/>
          <w:szCs w:val="24"/>
        </w:rPr>
        <w:t xml:space="preserve"> under OMB Control No. 2137-0641</w:t>
      </w:r>
      <w:r w:rsidRPr="6C720080" w:rsidR="6C720080">
        <w:rPr>
          <w:color w:val="000000" w:themeColor="text1"/>
          <w:szCs w:val="24"/>
        </w:rPr>
        <w:t>.</w:t>
      </w:r>
      <w:r>
        <w:rPr>
          <w:color w:val="000000" w:themeColor="text1"/>
          <w:szCs w:val="24"/>
        </w:rPr>
        <w:t xml:space="preserve"> </w:t>
      </w:r>
      <w:r w:rsidRPr="00207ED7">
        <w:t xml:space="preserve">The current expiration date for this information collection is </w:t>
      </w:r>
      <w:r w:rsidR="00D17341">
        <w:t>January 31</w:t>
      </w:r>
      <w:r>
        <w:t>, 202</w:t>
      </w:r>
      <w:r w:rsidR="00D17341">
        <w:t>6</w:t>
      </w:r>
      <w:r>
        <w:t>.</w:t>
      </w:r>
    </w:p>
    <w:p w:rsidR="6C720080" w:rsidP="6C720080" w14:paraId="2288DA86" w14:textId="5D1F95D8">
      <w:pPr>
        <w:rPr>
          <w:color w:val="000000" w:themeColor="text1"/>
          <w:szCs w:val="24"/>
        </w:rPr>
      </w:pPr>
    </w:p>
    <w:p w:rsidR="00EC23D6" w:rsidRPr="00981917" w:rsidP="00EC23D6" w14:paraId="0A9AA463" w14:textId="77777777">
      <w:pPr>
        <w:rPr>
          <w:b/>
          <w:szCs w:val="24"/>
        </w:rPr>
      </w:pPr>
      <w:r w:rsidRPr="00981917">
        <w:rPr>
          <w:b/>
          <w:szCs w:val="24"/>
        </w:rPr>
        <w:t>Part A. Justification</w:t>
      </w:r>
    </w:p>
    <w:p w:rsidR="00EC23D6" w:rsidRPr="00981917" w:rsidP="00EC23D6" w14:paraId="69A10DC7" w14:textId="77777777">
      <w:pPr>
        <w:jc w:val="center"/>
        <w:rPr>
          <w:b/>
          <w:szCs w:val="24"/>
        </w:rPr>
      </w:pPr>
    </w:p>
    <w:p w:rsidR="00FA169D" w:rsidP="6C720080" w14:paraId="4505FAD5" w14:textId="4101009C">
      <w:pPr>
        <w:numPr>
          <w:ilvl w:val="0"/>
          <w:numId w:val="17"/>
        </w:numPr>
        <w:tabs>
          <w:tab w:val="left" w:pos="540"/>
          <w:tab w:val="clear" w:pos="720"/>
        </w:tabs>
        <w:ind w:left="0" w:firstLine="0"/>
        <w:rPr>
          <w:color w:val="FF0000"/>
        </w:rPr>
      </w:pPr>
      <w:r w:rsidRPr="6C720080">
        <w:rPr>
          <w:b/>
          <w:bCs/>
          <w:u w:val="single"/>
        </w:rPr>
        <w:t>Circumstances that make the collection of information necessary</w:t>
      </w:r>
      <w:r w:rsidRPr="6C720080">
        <w:rPr>
          <w:b/>
          <w:bCs/>
        </w:rPr>
        <w:t>.</w:t>
      </w:r>
      <w:r w:rsidR="005E0098">
        <w:rPr>
          <w:b/>
          <w:bCs/>
        </w:rPr>
        <w:t xml:space="preserve"> </w:t>
      </w:r>
    </w:p>
    <w:p w:rsidR="6C720080" w:rsidP="6C720080" w14:paraId="4EE05A79" w14:textId="7B500AA9">
      <w:pPr>
        <w:tabs>
          <w:tab w:val="left" w:pos="540"/>
        </w:tabs>
        <w:rPr>
          <w:color w:val="4471C4"/>
        </w:rPr>
      </w:pPr>
    </w:p>
    <w:p w:rsidR="005A3EC7" w:rsidP="6C720080" w14:paraId="754886D4" w14:textId="2DF2F63C">
      <w:pPr>
        <w:tabs>
          <w:tab w:val="left" w:pos="540"/>
        </w:tabs>
      </w:pPr>
      <w:r w:rsidRPr="6C720080">
        <w:t xml:space="preserve">The Infrastructure Investment and Jobs Act </w:t>
      </w:r>
      <w:r w:rsidRPr="6C720080" w:rsidR="143DBBD5">
        <w:t xml:space="preserve">(H.R. 3684, </w:t>
      </w:r>
      <w:r w:rsidRPr="6C720080" w:rsidR="10973F2A">
        <w:t xml:space="preserve">Public Law 117 - 58) </w:t>
      </w:r>
      <w:r w:rsidRPr="6C720080">
        <w:t>is the most significant investment in our nation’s infrastructure in more than half a century. This includes the Pipeline and Hazardous Materials Safety Administration</w:t>
      </w:r>
      <w:r w:rsidRPr="6C720080" w:rsidR="10973F2A">
        <w:t>’</w:t>
      </w:r>
      <w:r w:rsidRPr="6C720080">
        <w:t xml:space="preserve">s (PHMSA) first ever infrastructure grant program. Subject to funding availability, the legislation designated $200 million a year in grant funding with a total of $1 billion in grant funding over the next five years. </w:t>
      </w:r>
    </w:p>
    <w:p w:rsidR="005A3EC7" w:rsidP="6C720080" w14:paraId="71F1ECF9" w14:textId="34349439">
      <w:pPr>
        <w:tabs>
          <w:tab w:val="left" w:pos="540"/>
        </w:tabs>
      </w:pPr>
    </w:p>
    <w:p w:rsidR="005A3EC7" w:rsidP="6C720080" w14:paraId="45F149BF" w14:textId="63F64CB7">
      <w:pPr>
        <w:tabs>
          <w:tab w:val="left" w:pos="540"/>
        </w:tabs>
      </w:pPr>
      <w:r w:rsidRPr="6C720080">
        <w:t xml:space="preserve">This grant </w:t>
      </w:r>
      <w:r w:rsidRPr="6C720080" w:rsidR="4B7EB96A">
        <w:t>funding is intended to reduce potential incidents and fatalities and to avoid the economic loss</w:t>
      </w:r>
      <w:r w:rsidRPr="6C720080">
        <w:t>es</w:t>
      </w:r>
      <w:r w:rsidRPr="6C720080" w:rsidR="4B7EB96A">
        <w:t xml:space="preserve"> that can result from an incident occurring.</w:t>
      </w:r>
      <w:r w:rsidR="005E0098">
        <w:t xml:space="preserve"> </w:t>
      </w:r>
      <w:r w:rsidRPr="6C720080" w:rsidR="20224B2D">
        <w:t xml:space="preserve">Additionally, this will also assist in the reduction of </w:t>
      </w:r>
      <w:r w:rsidR="008C1187">
        <w:t xml:space="preserve">lost or leaking gas </w:t>
      </w:r>
      <w:r w:rsidRPr="6C720080" w:rsidR="20224B2D">
        <w:t xml:space="preserve">by replacing existing pipe that is more prone to fugitive emissions </w:t>
      </w:r>
      <w:r w:rsidRPr="6C720080" w:rsidR="20224B2D">
        <w:t xml:space="preserve">of </w:t>
      </w:r>
      <w:r w:rsidR="008C1187">
        <w:t xml:space="preserve"> natural</w:t>
      </w:r>
      <w:r w:rsidR="008C1187">
        <w:t xml:space="preserve"> gas</w:t>
      </w:r>
      <w:r w:rsidRPr="6C720080" w:rsidR="20224B2D">
        <w:t>.</w:t>
      </w:r>
      <w:r w:rsidR="005E0098">
        <w:t xml:space="preserve"> </w:t>
      </w:r>
    </w:p>
    <w:p w:rsidR="005A3EC7" w:rsidP="6C720080" w14:paraId="54A704BE" w14:textId="77777777">
      <w:pPr>
        <w:tabs>
          <w:tab w:val="left" w:pos="540"/>
        </w:tabs>
      </w:pPr>
    </w:p>
    <w:p w:rsidR="00806A71" w:rsidRPr="00806A71" w:rsidP="6C720080" w14:paraId="54CAC45F" w14:textId="79708E7A">
      <w:pPr>
        <w:tabs>
          <w:tab w:val="left" w:pos="540"/>
        </w:tabs>
      </w:pPr>
      <w:r w:rsidRPr="6C720080">
        <w:t xml:space="preserve">The Act sets forth that </w:t>
      </w:r>
      <w:r w:rsidRPr="6C720080" w:rsidR="1E3DAAD0">
        <w:t xml:space="preserve">the Secretary </w:t>
      </w:r>
      <w:r w:rsidRPr="6C720080">
        <w:t xml:space="preserve">of Transportation </w:t>
      </w:r>
      <w:r w:rsidRPr="6C720080" w:rsidR="1E3DAAD0">
        <w:t xml:space="preserve">shall establish procedures for awarding grants that take into consideration the following: (1) the risk profile of the existing pipeline system operated by the applicant, including the presence of pipe prone to leakage; (2) the potential of the project for creating jobs; (3) the potential for benefiting disadvantaged rural and urban communities; and (4) economic impact or growth. </w:t>
      </w:r>
      <w:r w:rsidRPr="6C720080">
        <w:t>This information collection is necessary to meet the Act’s requirements stipulated above.</w:t>
      </w:r>
      <w:r w:rsidR="005E0098">
        <w:t xml:space="preserve"> </w:t>
      </w:r>
      <w:r w:rsidRPr="6C720080" w:rsidR="4B7EB96A">
        <w:t>In order to award the grant money, DOT/PHMSA must request solicitations from the municipalities and community owned utility systems for review against set criteria for consideration as laid out in H. R. 3684—1015.</w:t>
      </w:r>
    </w:p>
    <w:p w:rsidR="001D224D" w:rsidRPr="00981917" w:rsidP="00C35CCA" w14:paraId="01DC6328" w14:textId="77777777">
      <w:pPr>
        <w:widowControl w:val="0"/>
        <w:tabs>
          <w:tab w:val="left" w:pos="540"/>
        </w:tabs>
        <w:rPr>
          <w:b/>
          <w:szCs w:val="24"/>
        </w:rPr>
      </w:pPr>
    </w:p>
    <w:p w:rsidR="00595674" w:rsidP="6C720080" w14:paraId="44C3077B" w14:textId="4B10821A">
      <w:pPr>
        <w:widowControl w:val="0"/>
        <w:tabs>
          <w:tab w:val="left" w:pos="540"/>
        </w:tabs>
        <w:rPr>
          <w:b/>
          <w:bCs/>
        </w:rPr>
      </w:pPr>
      <w:r w:rsidRPr="6C720080">
        <w:rPr>
          <w:b/>
          <w:bCs/>
        </w:rPr>
        <w:t>2.</w:t>
      </w:r>
      <w:r w:rsidRPr="6C720080" w:rsidR="413061CF">
        <w:rPr>
          <w:b/>
          <w:bCs/>
        </w:rPr>
        <w:t xml:space="preserve"> </w:t>
      </w:r>
      <w:r>
        <w:tab/>
      </w:r>
      <w:r w:rsidRPr="6C720080" w:rsidR="413061CF">
        <w:rPr>
          <w:b/>
          <w:bCs/>
          <w:u w:val="single"/>
        </w:rPr>
        <w:t xml:space="preserve">How, by whom, and for what purpose </w:t>
      </w:r>
      <w:r w:rsidRPr="6C720080" w:rsidR="06C17676">
        <w:rPr>
          <w:b/>
          <w:bCs/>
          <w:u w:val="single"/>
        </w:rPr>
        <w:t xml:space="preserve">is </w:t>
      </w:r>
      <w:r w:rsidRPr="6C720080" w:rsidR="413061CF">
        <w:rPr>
          <w:b/>
          <w:bCs/>
          <w:u w:val="single"/>
        </w:rPr>
        <w:t>the information to be used</w:t>
      </w:r>
      <w:r w:rsidRPr="6C720080" w:rsidR="413061CF">
        <w:rPr>
          <w:b/>
          <w:bCs/>
        </w:rPr>
        <w:t>.</w:t>
      </w:r>
      <w:r w:rsidR="413061CF">
        <w:t xml:space="preserve"> </w:t>
      </w:r>
    </w:p>
    <w:p w:rsidR="6C720080" w:rsidP="6C720080" w14:paraId="51AB4422" w14:textId="48F6E269">
      <w:pPr>
        <w:widowControl w:val="0"/>
        <w:tabs>
          <w:tab w:val="left" w:pos="540"/>
        </w:tabs>
        <w:rPr>
          <w:szCs w:val="24"/>
        </w:rPr>
      </w:pPr>
    </w:p>
    <w:p w:rsidR="00C35CCA" w:rsidP="6C720080" w14:paraId="0902CAAF" w14:textId="4E472C7A">
      <w:pPr>
        <w:widowControl w:val="0"/>
        <w:tabs>
          <w:tab w:val="left" w:pos="540"/>
        </w:tabs>
      </w:pPr>
      <w:r w:rsidRPr="6C720080">
        <w:t xml:space="preserve">Information will be collected by PHMSA beginning with PHMSA’s Notice of Funding Opportunity (NOFO), posted on Grants.gov. Prospective applicants will apply for grant funding consideration and the information collected will be used to evaluate and award grant funding. After grants are awarded, PHMSA will collect information as required by </w:t>
      </w:r>
      <w:r w:rsidRPr="6C720080" w:rsidR="56202D5F">
        <w:t xml:space="preserve">the NOFO and Federal Grants process and, if needed, additional information </w:t>
      </w:r>
      <w:r w:rsidRPr="6C720080">
        <w:t>to monitor use of grant funding and track grantee progress.</w:t>
      </w:r>
    </w:p>
    <w:p w:rsidR="001D224D" w:rsidRPr="00981917" w:rsidP="6C720080" w14:paraId="3441591A" w14:textId="13B4727F">
      <w:pPr>
        <w:widowControl w:val="0"/>
        <w:tabs>
          <w:tab w:val="left" w:pos="540"/>
        </w:tabs>
        <w:rPr>
          <w:b/>
          <w:bCs/>
        </w:rPr>
      </w:pPr>
      <w:r w:rsidRPr="6C720080">
        <w:rPr>
          <w:b/>
          <w:bCs/>
        </w:rPr>
        <w:t xml:space="preserve"> </w:t>
      </w:r>
    </w:p>
    <w:p w:rsidR="00F45271" w:rsidP="6C720080" w14:paraId="040EEF8F" w14:textId="226E219A">
      <w:pPr>
        <w:widowControl w:val="0"/>
        <w:tabs>
          <w:tab w:val="left" w:pos="540"/>
        </w:tabs>
        <w:rPr>
          <w:b/>
          <w:bCs/>
        </w:rPr>
      </w:pPr>
      <w:r w:rsidRPr="6C720080">
        <w:rPr>
          <w:b/>
          <w:bCs/>
        </w:rPr>
        <w:t>3.</w:t>
      </w:r>
      <w:r>
        <w:tab/>
      </w:r>
      <w:r w:rsidRPr="6C720080" w:rsidR="413061CF">
        <w:rPr>
          <w:b/>
          <w:bCs/>
          <w:u w:val="single"/>
        </w:rPr>
        <w:t>Extent of automated information collection</w:t>
      </w:r>
      <w:r w:rsidRPr="6C720080" w:rsidR="413061CF">
        <w:rPr>
          <w:b/>
          <w:bCs/>
        </w:rPr>
        <w:t>.</w:t>
      </w:r>
      <w:r w:rsidR="005E0098">
        <w:rPr>
          <w:b/>
          <w:bCs/>
        </w:rPr>
        <w:t xml:space="preserve"> </w:t>
      </w:r>
    </w:p>
    <w:p w:rsidR="00A86E73" w:rsidRPr="00A86E73" w:rsidP="000A6210" w14:paraId="4C08ED02" w14:textId="77777777">
      <w:pPr>
        <w:widowControl w:val="0"/>
        <w:tabs>
          <w:tab w:val="left" w:pos="540"/>
        </w:tabs>
      </w:pPr>
    </w:p>
    <w:p w:rsidR="00A86E73" w:rsidP="000A6210" w14:paraId="0D793813" w14:textId="23F08042">
      <w:pPr>
        <w:widowControl w:val="0"/>
        <w:tabs>
          <w:tab w:val="left" w:pos="540"/>
        </w:tabs>
      </w:pPr>
      <w:r>
        <w:t>Grant applicants must submit the required Federal grant application forms and narrative statements in electronic form through www.grants.gov.</w:t>
      </w:r>
      <w:r w:rsidR="005E0098">
        <w:t xml:space="preserve"> </w:t>
      </w:r>
    </w:p>
    <w:p w:rsidR="00A86E73" w:rsidP="000A6210" w14:paraId="7E68FC47" w14:textId="77777777">
      <w:pPr>
        <w:widowControl w:val="0"/>
        <w:tabs>
          <w:tab w:val="left" w:pos="540"/>
        </w:tabs>
      </w:pPr>
    </w:p>
    <w:p w:rsidR="00A86E73" w:rsidP="6C720080" w14:paraId="1CA325A8" w14:textId="69A48856">
      <w:pPr>
        <w:widowControl w:val="0"/>
        <w:tabs>
          <w:tab w:val="left" w:pos="540"/>
        </w:tabs>
      </w:pPr>
      <w:r>
        <w:t>PHMSA is currently reviewing and assessing existing grant management and reporting systems with the goal of streamlining the reporting requirements within the statute to reduce the reporting burden of prospective and awarded grantees</w:t>
      </w:r>
      <w:r w:rsidR="00C171A0">
        <w:t xml:space="preserve"> and determining the most efficient and effective way to submit that information to include grants.gov, web portal, e-mails, or some other electronic means</w:t>
      </w:r>
      <w:r>
        <w:t>.</w:t>
      </w:r>
      <w:r w:rsidR="005E0098">
        <w:t xml:space="preserve"> </w:t>
      </w:r>
    </w:p>
    <w:p w:rsidR="00A86E73" w:rsidP="00A86E73" w14:paraId="39E86D3B" w14:textId="77777777">
      <w:pPr>
        <w:widowControl w:val="0"/>
        <w:tabs>
          <w:tab w:val="left" w:pos="540"/>
        </w:tabs>
      </w:pPr>
    </w:p>
    <w:p w:rsidR="000907D5" w:rsidRPr="00A86E73" w:rsidP="6C720080" w14:paraId="6A446E17" w14:textId="6E85CCEE">
      <w:pPr>
        <w:widowControl w:val="0"/>
        <w:numPr>
          <w:ilvl w:val="0"/>
          <w:numId w:val="12"/>
        </w:numPr>
        <w:tabs>
          <w:tab w:val="left" w:pos="540"/>
          <w:tab w:val="clear" w:pos="720"/>
        </w:tabs>
        <w:ind w:left="-90" w:firstLine="0"/>
        <w:rPr>
          <w:b/>
          <w:bCs/>
        </w:rPr>
      </w:pPr>
      <w:r w:rsidRPr="6C720080">
        <w:rPr>
          <w:b/>
          <w:bCs/>
          <w:u w:val="single"/>
        </w:rPr>
        <w:t>Describe efforts to identify duplication.</w:t>
      </w:r>
      <w:r w:rsidR="005E0098">
        <w:rPr>
          <w:b/>
          <w:bCs/>
        </w:rPr>
        <w:t xml:space="preserve"> </w:t>
      </w:r>
      <w:r w:rsidRPr="6C720080">
        <w:rPr>
          <w:b/>
          <w:bCs/>
        </w:rPr>
        <w:t xml:space="preserve"> </w:t>
      </w:r>
    </w:p>
    <w:p w:rsidR="6C720080" w:rsidP="6C720080" w14:paraId="5598B461" w14:textId="2566F9B6">
      <w:pPr>
        <w:widowControl w:val="0"/>
        <w:tabs>
          <w:tab w:val="left" w:pos="540"/>
        </w:tabs>
        <w:rPr>
          <w:b/>
          <w:bCs/>
          <w:szCs w:val="24"/>
        </w:rPr>
      </w:pPr>
    </w:p>
    <w:p w:rsidR="00A86E73" w:rsidRPr="00A86E73" w:rsidP="00A86E73" w14:paraId="5E4060EA" w14:textId="77777777">
      <w:pPr>
        <w:widowControl w:val="0"/>
        <w:tabs>
          <w:tab w:val="left" w:pos="540"/>
        </w:tabs>
      </w:pPr>
      <w:r>
        <w:t>PHMSA does not foresee any duplication of efforts caused by our information collection.</w:t>
      </w:r>
    </w:p>
    <w:p w:rsidR="00A86E73" w:rsidRPr="00A86E73" w:rsidP="00A86E73" w14:paraId="66D2D4CF" w14:textId="77777777">
      <w:pPr>
        <w:widowControl w:val="0"/>
        <w:tabs>
          <w:tab w:val="left" w:pos="540"/>
        </w:tabs>
      </w:pPr>
    </w:p>
    <w:p w:rsidR="001D224D" w:rsidRPr="00981917" w:rsidP="6C720080" w14:paraId="109409B7" w14:textId="3553ABE2">
      <w:pPr>
        <w:widowControl w:val="0"/>
        <w:tabs>
          <w:tab w:val="left" w:pos="540"/>
        </w:tabs>
      </w:pPr>
      <w:r>
        <w:t xml:space="preserve">        </w:t>
      </w:r>
      <w:r w:rsidR="002152DD">
        <w:t xml:space="preserve"> </w:t>
      </w:r>
    </w:p>
    <w:p w:rsidR="00720D5B" w:rsidP="6C720080" w14:paraId="73391CEE" w14:textId="22F7B3AE">
      <w:pPr>
        <w:widowControl w:val="0"/>
        <w:tabs>
          <w:tab w:val="left" w:pos="540"/>
        </w:tabs>
        <w:rPr>
          <w:b/>
          <w:bCs/>
        </w:rPr>
      </w:pPr>
      <w:r w:rsidRPr="6C720080">
        <w:rPr>
          <w:b/>
          <w:bCs/>
        </w:rPr>
        <w:t>5.</w:t>
      </w:r>
      <w:r>
        <w:tab/>
      </w:r>
      <w:r w:rsidRPr="6C720080" w:rsidR="1CD1CFB3">
        <w:rPr>
          <w:b/>
          <w:bCs/>
          <w:u w:val="single"/>
        </w:rPr>
        <w:t xml:space="preserve">Efforts to minimize the </w:t>
      </w:r>
      <w:r w:rsidRPr="6C720080" w:rsidR="2D4C1133">
        <w:rPr>
          <w:b/>
          <w:bCs/>
          <w:u w:val="single"/>
        </w:rPr>
        <w:t>burden on</w:t>
      </w:r>
      <w:r w:rsidRPr="6C720080" w:rsidR="1CD1CFB3">
        <w:rPr>
          <w:b/>
          <w:bCs/>
          <w:u w:val="single"/>
        </w:rPr>
        <w:t xml:space="preserve"> small businesses</w:t>
      </w:r>
      <w:r w:rsidR="1CD1CFB3">
        <w:t>.</w:t>
      </w:r>
      <w:r w:rsidR="005E0098">
        <w:t xml:space="preserve"> </w:t>
      </w:r>
    </w:p>
    <w:p w:rsidR="00A86E73" w:rsidP="6C720080" w14:paraId="563BE4E8" w14:textId="308D3B7D">
      <w:pPr>
        <w:widowControl w:val="0"/>
        <w:tabs>
          <w:tab w:val="left" w:pos="540"/>
        </w:tabs>
        <w:ind w:left="-90"/>
      </w:pPr>
    </w:p>
    <w:p w:rsidR="00A86E73" w:rsidP="6C720080" w14:paraId="7117DE74" w14:textId="2B50BE1D">
      <w:pPr>
        <w:widowControl w:val="0"/>
      </w:pPr>
      <w:r w:rsidRPr="6C720080">
        <w:rPr>
          <w:szCs w:val="24"/>
        </w:rPr>
        <w:t>This information collection applies only to municipalities and community-owned utility companies.</w:t>
      </w:r>
      <w:r w:rsidR="005E0098">
        <w:rPr>
          <w:szCs w:val="24"/>
        </w:rPr>
        <w:t xml:space="preserve"> </w:t>
      </w:r>
      <w:r w:rsidRPr="6C720080">
        <w:rPr>
          <w:szCs w:val="24"/>
        </w:rPr>
        <w:t xml:space="preserve">PHMSA does not expect this </w:t>
      </w:r>
      <w:r w:rsidR="11865023">
        <w:t>information collection to adversely impact small businesses or other small entities.</w:t>
      </w:r>
      <w:r w:rsidR="005E0098">
        <w:t xml:space="preserve"> </w:t>
      </w:r>
    </w:p>
    <w:p w:rsidR="00A86E73" w:rsidRPr="00981917" w:rsidP="00720D5B" w14:paraId="3BBDFC0E" w14:textId="77777777">
      <w:pPr>
        <w:widowControl w:val="0"/>
        <w:tabs>
          <w:tab w:val="left" w:pos="0"/>
          <w:tab w:val="left" w:pos="540"/>
        </w:tabs>
        <w:ind w:left="-90"/>
        <w:rPr>
          <w:szCs w:val="24"/>
        </w:rPr>
      </w:pPr>
    </w:p>
    <w:p w:rsidR="00743112" w:rsidP="6C720080" w14:paraId="1716F53C" w14:textId="1E50B9A2">
      <w:pPr>
        <w:widowControl w:val="0"/>
        <w:tabs>
          <w:tab w:val="left" w:pos="540"/>
        </w:tabs>
        <w:rPr>
          <w:b/>
          <w:bCs/>
        </w:rPr>
      </w:pPr>
      <w:r w:rsidRPr="6C720080">
        <w:rPr>
          <w:b/>
          <w:bCs/>
        </w:rPr>
        <w:t>6.</w:t>
      </w:r>
      <w:r>
        <w:tab/>
      </w:r>
      <w:r w:rsidRPr="6C720080" w:rsidR="79E2E51C">
        <w:rPr>
          <w:b/>
          <w:bCs/>
          <w:u w:val="single"/>
        </w:rPr>
        <w:t>Impact of less frequent collection of information</w:t>
      </w:r>
      <w:r w:rsidR="79E2E51C">
        <w:t>.</w:t>
      </w:r>
      <w:r w:rsidR="005E0098">
        <w:t xml:space="preserve"> </w:t>
      </w:r>
    </w:p>
    <w:p w:rsidR="6C720080" w:rsidP="6C720080" w14:paraId="140A9386" w14:textId="6BD6D2D8">
      <w:pPr>
        <w:widowControl w:val="0"/>
        <w:tabs>
          <w:tab w:val="left" w:pos="540"/>
        </w:tabs>
        <w:rPr>
          <w:szCs w:val="24"/>
        </w:rPr>
      </w:pPr>
    </w:p>
    <w:p w:rsidR="009C368D" w:rsidP="6C720080" w14:paraId="77E8442A" w14:textId="437A7FDB">
      <w:pPr>
        <w:widowControl w:val="0"/>
      </w:pPr>
      <w:r>
        <w:t xml:space="preserve"> </w:t>
      </w:r>
      <w:r w:rsidRPr="6C720080" w:rsidR="6C720080">
        <w:rPr>
          <w:szCs w:val="24"/>
        </w:rPr>
        <w:t>If this information was collected less frequently, the disbursement of federal funds to municipalities and community-owned utilities would be adversely impacted.</w:t>
      </w:r>
      <w:r w:rsidR="005E0098">
        <w:rPr>
          <w:szCs w:val="24"/>
        </w:rPr>
        <w:t xml:space="preserve"> </w:t>
      </w:r>
      <w:r w:rsidRPr="6C720080" w:rsidR="6C720080">
        <w:rPr>
          <w:szCs w:val="24"/>
        </w:rPr>
        <w:t>Information used to evaluate potential grantees would not be timely or accurate, possibly resulting in an inequitable distribution of funds.</w:t>
      </w:r>
    </w:p>
    <w:p w:rsidR="009C368D" w:rsidP="6C720080" w14:paraId="66CAC17B" w14:textId="64FB34A8">
      <w:pPr>
        <w:widowControl w:val="0"/>
        <w:tabs>
          <w:tab w:val="left" w:pos="540"/>
        </w:tabs>
        <w:rPr>
          <w:szCs w:val="24"/>
        </w:rPr>
      </w:pPr>
    </w:p>
    <w:p w:rsidR="00F512C5" w:rsidP="6C720080" w14:paraId="49A01737" w14:textId="5D8F0381">
      <w:pPr>
        <w:widowControl w:val="0"/>
        <w:tabs>
          <w:tab w:val="left" w:pos="540"/>
        </w:tabs>
        <w:rPr>
          <w:szCs w:val="24"/>
        </w:rPr>
      </w:pPr>
      <w:r w:rsidRPr="6C720080">
        <w:rPr>
          <w:b/>
          <w:bCs/>
        </w:rPr>
        <w:t>7.</w:t>
      </w:r>
      <w:r>
        <w:tab/>
      </w:r>
      <w:r w:rsidRPr="6C720080" w:rsidR="79E2E51C">
        <w:rPr>
          <w:b/>
          <w:bCs/>
          <w:u w:val="single"/>
        </w:rPr>
        <w:t>Special Circumstances</w:t>
      </w:r>
      <w:r w:rsidRPr="6C720080" w:rsidR="79E2E51C">
        <w:rPr>
          <w:b/>
          <w:bCs/>
        </w:rPr>
        <w:t>.</w:t>
      </w:r>
      <w:r w:rsidR="005E0098">
        <w:rPr>
          <w:b/>
          <w:bCs/>
        </w:rPr>
        <w:t xml:space="preserve"> </w:t>
      </w:r>
    </w:p>
    <w:p w:rsidR="6C720080" w:rsidP="6C720080" w14:paraId="196F0198" w14:textId="432E3933">
      <w:pPr>
        <w:widowControl w:val="0"/>
        <w:tabs>
          <w:tab w:val="left" w:pos="540"/>
        </w:tabs>
        <w:rPr>
          <w:b/>
          <w:bCs/>
          <w:szCs w:val="24"/>
        </w:rPr>
      </w:pPr>
    </w:p>
    <w:p w:rsidR="6C720080" w:rsidP="6C720080" w14:paraId="6C917C1E" w14:textId="26FEEFE3">
      <w:r w:rsidRPr="6C720080">
        <w:rPr>
          <w:szCs w:val="24"/>
        </w:rPr>
        <w:t>PHMSA intends for this information collection to be conducted in a manner consistent with the guidelines in 5 CFR 1320.5(d)(2).</w:t>
      </w:r>
      <w:r w:rsidR="005E0098">
        <w:rPr>
          <w:szCs w:val="24"/>
        </w:rPr>
        <w:t xml:space="preserve"> </w:t>
      </w:r>
    </w:p>
    <w:p w:rsidR="6C720080" w:rsidP="6C720080" w14:paraId="024EB60A" w14:textId="3F85372C">
      <w:pPr>
        <w:tabs>
          <w:tab w:val="left" w:pos="360"/>
        </w:tabs>
        <w:rPr>
          <w:szCs w:val="24"/>
        </w:rPr>
      </w:pPr>
    </w:p>
    <w:p w:rsidR="00F512C5" w:rsidRPr="00981917" w:rsidP="6C720080" w14:paraId="409EBC03" w14:textId="68315921">
      <w:pPr>
        <w:widowControl w:val="0"/>
        <w:tabs>
          <w:tab w:val="left" w:pos="540"/>
        </w:tabs>
        <w:rPr>
          <w:b/>
          <w:bCs/>
        </w:rPr>
      </w:pPr>
      <w:r>
        <w:t xml:space="preserve"> </w:t>
      </w:r>
      <w:r w:rsidRPr="6C720080" w:rsidR="572BD6E3">
        <w:rPr>
          <w:b/>
          <w:bCs/>
        </w:rPr>
        <w:t>8.</w:t>
      </w:r>
      <w:r>
        <w:tab/>
      </w:r>
      <w:r w:rsidRPr="6C720080" w:rsidR="27E15FD9">
        <w:rPr>
          <w:b/>
          <w:bCs/>
          <w:u w:val="single"/>
        </w:rPr>
        <w:t>Compliance with 5 CFR 1320.8(d)</w:t>
      </w:r>
      <w:r w:rsidRPr="6C720080" w:rsidR="27E15FD9">
        <w:rPr>
          <w:b/>
          <w:bCs/>
        </w:rPr>
        <w:t>.</w:t>
      </w:r>
      <w:r w:rsidR="005E0098">
        <w:t xml:space="preserve"> </w:t>
      </w:r>
    </w:p>
    <w:p w:rsidR="00F512C5" w:rsidRPr="00981917" w:rsidP="6C720080" w14:paraId="58C132C2" w14:textId="56845E10">
      <w:pPr>
        <w:widowControl w:val="0"/>
        <w:tabs>
          <w:tab w:val="left" w:pos="540"/>
        </w:tabs>
        <w:rPr>
          <w:szCs w:val="24"/>
        </w:rPr>
      </w:pPr>
    </w:p>
    <w:p w:rsidR="002E791F" w:rsidP="6C720080" w14:paraId="7D0F40B0" w14:textId="1505285C">
      <w:pPr>
        <w:widowControl w:val="0"/>
        <w:tabs>
          <w:tab w:val="left" w:pos="540"/>
        </w:tabs>
      </w:pPr>
      <w:r w:rsidRPr="0076763B">
        <w:rPr>
          <w:szCs w:val="24"/>
        </w:rPr>
        <w:t xml:space="preserve">PHMSA </w:t>
      </w:r>
      <w:r>
        <w:rPr>
          <w:szCs w:val="24"/>
        </w:rPr>
        <w:t xml:space="preserve">published notice and request for comments </w:t>
      </w:r>
      <w:r>
        <w:rPr>
          <w:szCs w:val="24"/>
        </w:rPr>
        <w:t xml:space="preserve">on this information collection request </w:t>
      </w:r>
      <w:r>
        <w:rPr>
          <w:szCs w:val="24"/>
        </w:rPr>
        <w:t xml:space="preserve">in the Federal Register (90 FR 31748) on July 15, 2025.  </w:t>
      </w:r>
      <w:r>
        <w:rPr>
          <w:szCs w:val="24"/>
        </w:rPr>
        <w:t>PHMSA did not receive any comments pertaining to the renewal of this information collection.</w:t>
      </w:r>
    </w:p>
    <w:p w:rsidR="0094254E" w:rsidP="6C720080" w14:paraId="73543D37" w14:textId="77777777">
      <w:pPr>
        <w:widowControl w:val="0"/>
        <w:tabs>
          <w:tab w:val="left" w:pos="540"/>
        </w:tabs>
        <w:rPr>
          <w:b/>
          <w:bCs/>
          <w:szCs w:val="24"/>
        </w:rPr>
      </w:pPr>
    </w:p>
    <w:p w:rsidR="009D5E83" w:rsidP="6C720080" w14:paraId="35C26900" w14:textId="717C1F1F">
      <w:pPr>
        <w:widowControl w:val="0"/>
        <w:numPr>
          <w:ilvl w:val="0"/>
          <w:numId w:val="10"/>
        </w:numPr>
        <w:tabs>
          <w:tab w:val="num" w:pos="90"/>
          <w:tab w:val="left" w:pos="540"/>
          <w:tab w:val="clear" w:pos="720"/>
        </w:tabs>
        <w:ind w:left="0" w:firstLine="0"/>
        <w:rPr>
          <w:b/>
          <w:bCs/>
        </w:rPr>
      </w:pPr>
      <w:r w:rsidRPr="6C720080">
        <w:rPr>
          <w:b/>
          <w:bCs/>
          <w:u w:val="single"/>
        </w:rPr>
        <w:t>Payment or gifts to respondents.</w:t>
      </w:r>
      <w:r w:rsidR="005E0098">
        <w:rPr>
          <w:b/>
          <w:bCs/>
        </w:rPr>
        <w:t xml:space="preserve"> </w:t>
      </w:r>
      <w:r w:rsidRPr="6C720080">
        <w:rPr>
          <w:b/>
          <w:bCs/>
        </w:rPr>
        <w:t xml:space="preserve"> </w:t>
      </w:r>
    </w:p>
    <w:p w:rsidR="00940F76" w:rsidP="6C720080" w14:paraId="29F80002" w14:textId="77777777">
      <w:pPr>
        <w:widowControl w:val="0"/>
        <w:tabs>
          <w:tab w:val="num" w:pos="90"/>
          <w:tab w:val="left" w:pos="540"/>
        </w:tabs>
        <w:rPr>
          <w:szCs w:val="24"/>
        </w:rPr>
      </w:pPr>
    </w:p>
    <w:p w:rsidR="009D5E83" w:rsidP="6C720080" w14:paraId="4E00F27F" w14:textId="21FAB4D4">
      <w:pPr>
        <w:widowControl w:val="0"/>
        <w:tabs>
          <w:tab w:val="num" w:pos="90"/>
          <w:tab w:val="left" w:pos="540"/>
        </w:tabs>
        <w:rPr>
          <w:b/>
          <w:bCs/>
        </w:rPr>
      </w:pPr>
      <w:r w:rsidRPr="6C720080">
        <w:rPr>
          <w:szCs w:val="24"/>
        </w:rPr>
        <w:t xml:space="preserve">There is no payment or gift provided to respondents associated with this collection of </w:t>
      </w:r>
      <w:r w:rsidRPr="6C720080">
        <w:rPr>
          <w:szCs w:val="24"/>
        </w:rPr>
        <w:t>information.</w:t>
      </w:r>
    </w:p>
    <w:p w:rsidR="009D5E83" w:rsidP="6C720080" w14:paraId="3F6A144F" w14:textId="5A24B269">
      <w:pPr>
        <w:tabs>
          <w:tab w:val="left" w:pos="360"/>
        </w:tabs>
        <w:rPr>
          <w:color w:val="000000"/>
          <w:szCs w:val="24"/>
        </w:rPr>
      </w:pPr>
    </w:p>
    <w:p w:rsidR="009D5E83" w:rsidP="6C720080" w14:paraId="4A74D78B" w14:textId="3EE8748C">
      <w:pPr>
        <w:widowControl w:val="0"/>
        <w:tabs>
          <w:tab w:val="left" w:pos="540"/>
        </w:tabs>
        <w:rPr>
          <w:b/>
          <w:bCs/>
        </w:rPr>
      </w:pPr>
      <w:r w:rsidRPr="6C720080">
        <w:rPr>
          <w:b/>
          <w:bCs/>
        </w:rPr>
        <w:t>10.</w:t>
      </w:r>
      <w:r>
        <w:tab/>
      </w:r>
      <w:r w:rsidRPr="6C720080" w:rsidR="27E15FD9">
        <w:rPr>
          <w:b/>
          <w:bCs/>
          <w:u w:val="single"/>
        </w:rPr>
        <w:t>Assurance of confidentiality</w:t>
      </w:r>
      <w:r w:rsidRPr="6C720080" w:rsidR="27E15FD9">
        <w:rPr>
          <w:b/>
          <w:bCs/>
        </w:rPr>
        <w:t>.</w:t>
      </w:r>
      <w:r w:rsidR="005E0098">
        <w:rPr>
          <w:b/>
          <w:bCs/>
        </w:rPr>
        <w:t xml:space="preserve"> </w:t>
      </w:r>
    </w:p>
    <w:p w:rsidR="009D5E83" w:rsidRPr="00981917" w:rsidP="6C720080" w14:paraId="019DBB12" w14:textId="2397133E">
      <w:pPr>
        <w:widowControl w:val="0"/>
        <w:tabs>
          <w:tab w:val="left" w:pos="540"/>
        </w:tabs>
        <w:rPr>
          <w:b/>
          <w:bCs/>
          <w:szCs w:val="24"/>
        </w:rPr>
      </w:pPr>
    </w:p>
    <w:p w:rsidR="009D5E83" w:rsidRPr="00981917" w:rsidP="6C720080" w14:paraId="621880FA" w14:textId="25EECA9B">
      <w:pPr>
        <w:widowControl w:val="0"/>
      </w:pPr>
      <w:r w:rsidRPr="6C720080">
        <w:rPr>
          <w:szCs w:val="24"/>
        </w:rPr>
        <w:t>PHMSA does not have the authority to grant confidentiality.</w:t>
      </w:r>
    </w:p>
    <w:p w:rsidR="009D5E83" w:rsidRPr="00981917" w:rsidP="6C720080" w14:paraId="7F7DD0C0" w14:textId="22B7484A">
      <w:pPr>
        <w:widowControl w:val="0"/>
        <w:rPr>
          <w:szCs w:val="24"/>
        </w:rPr>
      </w:pPr>
    </w:p>
    <w:p w:rsidR="00AA1704" w:rsidP="6C720080" w14:paraId="3640FB55" w14:textId="77ADBAE8">
      <w:pPr>
        <w:widowControl w:val="0"/>
        <w:tabs>
          <w:tab w:val="left" w:pos="540"/>
        </w:tabs>
        <w:rPr>
          <w:b/>
          <w:bCs/>
        </w:rPr>
      </w:pPr>
      <w:r w:rsidRPr="47B1F7BC">
        <w:rPr>
          <w:b/>
          <w:bCs/>
        </w:rPr>
        <w:t>11.</w:t>
      </w:r>
      <w:r>
        <w:tab/>
      </w:r>
      <w:r w:rsidRPr="47B1F7BC" w:rsidR="4CBD871F">
        <w:rPr>
          <w:b/>
          <w:bCs/>
          <w:u w:val="single"/>
        </w:rPr>
        <w:t>Justification for collection of sensitive information</w:t>
      </w:r>
      <w:r w:rsidRPr="47B1F7BC" w:rsidR="4CBD871F">
        <w:rPr>
          <w:b/>
          <w:bCs/>
        </w:rPr>
        <w:t>.</w:t>
      </w:r>
      <w:r w:rsidRPr="47B1F7BC" w:rsidR="005E0098">
        <w:rPr>
          <w:b/>
          <w:bCs/>
        </w:rPr>
        <w:t xml:space="preserve"> </w:t>
      </w:r>
    </w:p>
    <w:p w:rsidR="6C720080" w:rsidP="6C720080" w14:paraId="2FDF0211" w14:textId="3BC233D4">
      <w:pPr>
        <w:widowControl w:val="0"/>
        <w:tabs>
          <w:tab w:val="left" w:pos="540"/>
        </w:tabs>
        <w:rPr>
          <w:b/>
          <w:bCs/>
          <w:szCs w:val="24"/>
        </w:rPr>
      </w:pPr>
    </w:p>
    <w:p w:rsidR="0049371B" w:rsidRPr="002A4BE3" w:rsidP="6C720080" w14:paraId="5D1F415F" w14:textId="4C652298">
      <w:pPr>
        <w:tabs>
          <w:tab w:val="left" w:pos="360"/>
          <w:tab w:val="left" w:pos="720"/>
        </w:tabs>
        <w:rPr>
          <w:color w:val="000000"/>
        </w:rPr>
      </w:pPr>
      <w:r w:rsidRPr="0049371B">
        <w:rPr>
          <w:color w:val="000000" w:themeColor="text1"/>
        </w:rPr>
        <w:t xml:space="preserve">The agency collects information of a sensitive nature as needed for the completion of National Environmental Policy Act (NEPA) requirements. Sensitive information includes the locations of pipelines in the form of written descriptions, GPS coordinates, </w:t>
      </w:r>
      <w:r w:rsidR="00AB1F25">
        <w:rPr>
          <w:color w:val="000000" w:themeColor="text1"/>
        </w:rPr>
        <w:t xml:space="preserve">maps, </w:t>
      </w:r>
      <w:r w:rsidRPr="0049371B">
        <w:rPr>
          <w:color w:val="000000" w:themeColor="text1"/>
        </w:rPr>
        <w:t>and photographs. This information is redacted from environmental assessments and categorical exclusions prior to their publication.</w:t>
      </w:r>
    </w:p>
    <w:p w:rsidR="009D5E83" w:rsidRPr="00981917" w:rsidP="000A6210" w14:paraId="1406B84F" w14:textId="77777777">
      <w:pPr>
        <w:widowControl w:val="0"/>
        <w:tabs>
          <w:tab w:val="left" w:pos="540"/>
        </w:tabs>
        <w:rPr>
          <w:b/>
          <w:szCs w:val="24"/>
        </w:rPr>
      </w:pPr>
    </w:p>
    <w:p w:rsidR="001D224D" w:rsidP="6C720080" w14:paraId="18DFC324" w14:textId="455F8719">
      <w:pPr>
        <w:widowControl w:val="0"/>
        <w:tabs>
          <w:tab w:val="left" w:pos="540"/>
        </w:tabs>
        <w:rPr>
          <w:b/>
          <w:bCs/>
          <w:szCs w:val="24"/>
        </w:rPr>
      </w:pPr>
      <w:r w:rsidRPr="6C720080">
        <w:rPr>
          <w:b/>
          <w:bCs/>
        </w:rPr>
        <w:t>12.</w:t>
      </w:r>
      <w:r>
        <w:tab/>
      </w:r>
      <w:r w:rsidRPr="6C720080" w:rsidR="4CBD871F">
        <w:rPr>
          <w:b/>
          <w:bCs/>
          <w:u w:val="single"/>
        </w:rPr>
        <w:t>Estimate of burden hours for information requested.</w:t>
      </w:r>
      <w:r w:rsidR="005E0098">
        <w:rPr>
          <w:b/>
          <w:bCs/>
          <w:u w:val="single"/>
        </w:rPr>
        <w:t xml:space="preserve"> </w:t>
      </w:r>
    </w:p>
    <w:p w:rsidR="6C720080" w:rsidP="6C720080" w14:paraId="3DA4BC99" w14:textId="73A0951A">
      <w:pPr>
        <w:widowControl w:val="0"/>
        <w:tabs>
          <w:tab w:val="left" w:pos="540"/>
        </w:tabs>
        <w:rPr>
          <w:b/>
          <w:bCs/>
          <w:szCs w:val="24"/>
        </w:rPr>
      </w:pPr>
    </w:p>
    <w:p w:rsidR="6C720080" w:rsidRPr="002E791F" w:rsidP="784DFEAA" w14:paraId="29D21211" w14:textId="0D38FBF4">
      <w:pPr>
        <w:rPr>
          <w:i/>
          <w:iCs/>
        </w:rPr>
      </w:pPr>
      <w:r w:rsidRPr="784DFEAA">
        <w:rPr>
          <w:i/>
          <w:iCs/>
        </w:rPr>
        <w:t xml:space="preserve">Estimated Annual Burden: </w:t>
      </w:r>
      <w:r w:rsidR="00277F39">
        <w:rPr>
          <w:i/>
          <w:iCs/>
        </w:rPr>
        <w:t>1,540</w:t>
      </w:r>
      <w:r w:rsidRPr="784DFEAA" w:rsidR="007A7A6B">
        <w:rPr>
          <w:i/>
          <w:iCs/>
        </w:rPr>
        <w:t xml:space="preserve"> </w:t>
      </w:r>
      <w:r w:rsidRPr="784DFEAA">
        <w:rPr>
          <w:i/>
          <w:iCs/>
        </w:rPr>
        <w:t xml:space="preserve">responses and </w:t>
      </w:r>
      <w:r w:rsidR="00277F39">
        <w:rPr>
          <w:i/>
          <w:iCs/>
        </w:rPr>
        <w:t>39,840</w:t>
      </w:r>
      <w:r w:rsidRPr="784DFEAA">
        <w:rPr>
          <w:i/>
          <w:iCs/>
        </w:rPr>
        <w:t xml:space="preserve"> burden hours.</w:t>
      </w:r>
    </w:p>
    <w:p w:rsidR="6C720080" w:rsidP="6C720080" w14:paraId="468E2BE9" w14:textId="1EE88893">
      <w:pPr>
        <w:widowControl w:val="0"/>
        <w:tabs>
          <w:tab w:val="left" w:pos="540"/>
        </w:tabs>
        <w:rPr>
          <w:b/>
          <w:bCs/>
          <w:szCs w:val="24"/>
        </w:rPr>
      </w:pPr>
    </w:p>
    <w:p w:rsidR="00C92D14" w:rsidP="00190253" w14:paraId="2E2364B6" w14:textId="5950D002">
      <w:pPr>
        <w:widowControl w:val="0"/>
        <w:rPr>
          <w:rFonts w:eastAsia="Arial Unicode MS"/>
          <w:color w:val="000000"/>
          <w:szCs w:val="24"/>
        </w:rPr>
      </w:pPr>
      <w:r>
        <w:t xml:space="preserve">PHMSA expects the requested information to be collected once per applicant for each NOFO. </w:t>
      </w:r>
      <w:r w:rsidRPr="007A7A6B" w:rsidR="007A7A6B">
        <w:rPr>
          <w:rFonts w:eastAsia="Arial Unicode MS"/>
          <w:color w:val="000000"/>
          <w:szCs w:val="24"/>
        </w:rPr>
        <w:t>PHMSA expects to receive approximately 200 applications from potential grantees annually over the next four years.</w:t>
      </w:r>
      <w:r w:rsidR="005E0098">
        <w:rPr>
          <w:rFonts w:eastAsia="Arial Unicode MS"/>
          <w:color w:val="000000"/>
          <w:szCs w:val="24"/>
        </w:rPr>
        <w:t xml:space="preserve"> </w:t>
      </w:r>
      <w:r w:rsidRPr="007A7A6B" w:rsidR="007A7A6B">
        <w:rPr>
          <w:rFonts w:eastAsia="Arial Unicode MS"/>
          <w:color w:val="000000"/>
          <w:szCs w:val="24"/>
        </w:rPr>
        <w:t xml:space="preserve">PHMSA estimates that it will take </w:t>
      </w:r>
      <w:r w:rsidR="007B2AA7">
        <w:rPr>
          <w:rFonts w:eastAsia="Arial Unicode MS"/>
          <w:color w:val="000000"/>
          <w:szCs w:val="24"/>
        </w:rPr>
        <w:t>each</w:t>
      </w:r>
      <w:r w:rsidR="006F3995">
        <w:rPr>
          <w:rFonts w:eastAsia="Arial Unicode MS"/>
          <w:color w:val="000000"/>
          <w:szCs w:val="24"/>
        </w:rPr>
        <w:t xml:space="preserve"> applicant</w:t>
      </w:r>
      <w:r w:rsidRPr="007A7A6B" w:rsidR="007A7A6B">
        <w:rPr>
          <w:rFonts w:eastAsia="Arial Unicode MS"/>
          <w:color w:val="000000"/>
          <w:szCs w:val="24"/>
        </w:rPr>
        <w:t xml:space="preserve"> approximately 160 hours to compile and submit the forms required to complete the application</w:t>
      </w:r>
      <w:r w:rsidR="006F3995">
        <w:rPr>
          <w:rFonts w:eastAsia="Arial Unicode MS"/>
          <w:color w:val="000000"/>
          <w:szCs w:val="24"/>
        </w:rPr>
        <w:t>. Fo</w:t>
      </w:r>
      <w:r w:rsidR="000F4173">
        <w:rPr>
          <w:rFonts w:eastAsia="Arial Unicode MS"/>
          <w:color w:val="000000"/>
          <w:szCs w:val="24"/>
        </w:rPr>
        <w:t>r an estimated 200 applications, the amount of</w:t>
      </w:r>
      <w:r w:rsidRPr="007A7A6B" w:rsidR="007A7A6B">
        <w:rPr>
          <w:rFonts w:eastAsia="Arial Unicode MS"/>
          <w:color w:val="000000"/>
          <w:szCs w:val="24"/>
        </w:rPr>
        <w:t xml:space="preserve"> </w:t>
      </w:r>
      <w:r w:rsidR="000F4173">
        <w:rPr>
          <w:rFonts w:eastAsia="Arial Unicode MS"/>
          <w:color w:val="000000"/>
          <w:szCs w:val="24"/>
        </w:rPr>
        <w:t>the</w:t>
      </w:r>
      <w:r w:rsidRPr="007A7A6B" w:rsidR="007A7A6B">
        <w:rPr>
          <w:rFonts w:eastAsia="Arial Unicode MS"/>
          <w:color w:val="000000"/>
          <w:szCs w:val="24"/>
        </w:rPr>
        <w:t xml:space="preserve"> annual burden </w:t>
      </w:r>
      <w:r w:rsidR="000F4173">
        <w:rPr>
          <w:rFonts w:eastAsia="Arial Unicode MS"/>
          <w:color w:val="000000"/>
          <w:szCs w:val="24"/>
        </w:rPr>
        <w:t>is</w:t>
      </w:r>
      <w:r w:rsidRPr="007A7A6B" w:rsidR="007A7A6B">
        <w:rPr>
          <w:rFonts w:eastAsia="Arial Unicode MS"/>
          <w:color w:val="000000"/>
          <w:szCs w:val="24"/>
        </w:rPr>
        <w:t xml:space="preserve"> 32,000 hours.</w:t>
      </w:r>
      <w:r w:rsidR="005E0098">
        <w:rPr>
          <w:rFonts w:eastAsia="Arial Unicode MS"/>
          <w:color w:val="000000"/>
          <w:szCs w:val="24"/>
        </w:rPr>
        <w:t xml:space="preserve"> </w:t>
      </w:r>
    </w:p>
    <w:p w:rsidR="00C92D14" w:rsidP="007A7A6B" w14:paraId="63F3B010" w14:textId="77777777">
      <w:pPr>
        <w:widowControl w:val="0"/>
        <w:ind w:firstLine="720"/>
        <w:rPr>
          <w:rFonts w:eastAsia="Arial Unicode MS"/>
          <w:color w:val="000000"/>
          <w:szCs w:val="24"/>
        </w:rPr>
      </w:pPr>
    </w:p>
    <w:p w:rsidR="00C92D14" w14:paraId="6817F6C6" w14:textId="7F6B296B">
      <w:pPr>
        <w:widowControl w:val="0"/>
        <w:rPr>
          <w:rFonts w:eastAsia="Arial Unicode MS"/>
          <w:color w:val="000000" w:themeColor="text1"/>
        </w:rPr>
      </w:pPr>
      <w:r w:rsidRPr="784DFEAA">
        <w:rPr>
          <w:rFonts w:eastAsia="Arial Unicode MS"/>
          <w:color w:val="000000" w:themeColor="text1"/>
        </w:rPr>
        <w:t xml:space="preserve">PHMSA estimates that </w:t>
      </w:r>
      <w:r w:rsidRPr="784DFEAA" w:rsidR="0027640C">
        <w:rPr>
          <w:rFonts w:eastAsia="Arial Unicode MS"/>
          <w:color w:val="000000" w:themeColor="text1"/>
        </w:rPr>
        <w:t xml:space="preserve">there will be </w:t>
      </w:r>
      <w:r w:rsidRPr="784DFEAA">
        <w:rPr>
          <w:rFonts w:eastAsia="Arial Unicode MS"/>
          <w:color w:val="000000" w:themeColor="text1"/>
        </w:rPr>
        <w:t>1</w:t>
      </w:r>
      <w:r w:rsidR="00C540BC">
        <w:rPr>
          <w:rFonts w:eastAsia="Arial Unicode MS"/>
          <w:color w:val="000000" w:themeColor="text1"/>
        </w:rPr>
        <w:t>6</w:t>
      </w:r>
      <w:r w:rsidRPr="784DFEAA">
        <w:rPr>
          <w:rFonts w:eastAsia="Arial Unicode MS"/>
          <w:color w:val="000000" w:themeColor="text1"/>
        </w:rPr>
        <w:t xml:space="preserve">0 </w:t>
      </w:r>
      <w:r w:rsidR="00466EC4">
        <w:rPr>
          <w:rFonts w:eastAsia="Arial Unicode MS"/>
          <w:color w:val="000000" w:themeColor="text1"/>
        </w:rPr>
        <w:t xml:space="preserve">total </w:t>
      </w:r>
      <w:r w:rsidRPr="784DFEAA">
        <w:rPr>
          <w:rFonts w:eastAsia="Arial Unicode MS"/>
          <w:color w:val="000000" w:themeColor="text1"/>
        </w:rPr>
        <w:t>grant recipients</w:t>
      </w:r>
      <w:r w:rsidRPr="784DFEAA" w:rsidR="0027640C">
        <w:rPr>
          <w:rFonts w:eastAsia="Arial Unicode MS"/>
          <w:color w:val="000000" w:themeColor="text1"/>
        </w:rPr>
        <w:t>. Each recipient</w:t>
      </w:r>
      <w:r w:rsidR="005E0098">
        <w:rPr>
          <w:rFonts w:eastAsia="Arial Unicode MS"/>
          <w:color w:val="000000" w:themeColor="text1"/>
        </w:rPr>
        <w:t xml:space="preserve"> </w:t>
      </w:r>
      <w:r w:rsidRPr="784DFEAA">
        <w:rPr>
          <w:rFonts w:eastAsia="Arial Unicode MS"/>
          <w:color w:val="000000" w:themeColor="text1"/>
        </w:rPr>
        <w:t xml:space="preserve">will </w:t>
      </w:r>
      <w:r w:rsidRPr="784DFEAA" w:rsidR="0027640C">
        <w:rPr>
          <w:rFonts w:eastAsia="Arial Unicode MS"/>
          <w:color w:val="000000" w:themeColor="text1"/>
        </w:rPr>
        <w:t>submit a progress report and a financial report every quarter (i.e.</w:t>
      </w:r>
      <w:r w:rsidR="003339BE">
        <w:rPr>
          <w:rFonts w:eastAsia="Arial Unicode MS"/>
          <w:color w:val="000000" w:themeColor="text1"/>
        </w:rPr>
        <w:t>,</w:t>
      </w:r>
      <w:r w:rsidRPr="784DFEAA" w:rsidR="0027640C">
        <w:rPr>
          <w:rFonts w:eastAsia="Arial Unicode MS"/>
          <w:color w:val="000000" w:themeColor="text1"/>
        </w:rPr>
        <w:t xml:space="preserve"> two reports per quarter). PHMSA estimates each recipient will spend </w:t>
      </w:r>
      <w:r w:rsidRPr="784DFEAA" w:rsidR="29547F04">
        <w:rPr>
          <w:rFonts w:eastAsia="Arial Unicode MS"/>
          <w:color w:val="000000" w:themeColor="text1"/>
        </w:rPr>
        <w:t>five</w:t>
      </w:r>
      <w:r w:rsidRPr="784DFEAA" w:rsidR="0027640C">
        <w:rPr>
          <w:rFonts w:eastAsia="Arial Unicode MS"/>
          <w:color w:val="000000" w:themeColor="text1"/>
        </w:rPr>
        <w:t xml:space="preserve"> hours per report. PHMSA estimates every </w:t>
      </w:r>
      <w:r w:rsidRPr="784DFEAA" w:rsidR="00C0590D">
        <w:rPr>
          <w:rFonts w:eastAsia="Arial Unicode MS"/>
          <w:color w:val="000000" w:themeColor="text1"/>
        </w:rPr>
        <w:t xml:space="preserve">recipient will spend a total of 10 hours per quarter to </w:t>
      </w:r>
      <w:r w:rsidR="00852D77">
        <w:rPr>
          <w:rFonts w:eastAsia="Arial Unicode MS"/>
          <w:color w:val="000000" w:themeColor="text1"/>
        </w:rPr>
        <w:t>complete</w:t>
      </w:r>
      <w:r w:rsidRPr="784DFEAA" w:rsidR="00C0590D">
        <w:rPr>
          <w:rFonts w:eastAsia="Arial Unicode MS"/>
          <w:color w:val="000000" w:themeColor="text1"/>
        </w:rPr>
        <w:t xml:space="preserve"> both </w:t>
      </w:r>
      <w:r w:rsidR="00852D77">
        <w:rPr>
          <w:rFonts w:eastAsia="Arial Unicode MS"/>
          <w:color w:val="000000" w:themeColor="text1"/>
        </w:rPr>
        <w:t xml:space="preserve">the </w:t>
      </w:r>
      <w:r w:rsidRPr="784DFEAA" w:rsidR="00C0590D">
        <w:rPr>
          <w:rFonts w:eastAsia="Arial Unicode MS"/>
          <w:color w:val="000000" w:themeColor="text1"/>
        </w:rPr>
        <w:t xml:space="preserve">progress and financial reports. Each recipient will spend a total of 40 hours annually. </w:t>
      </w:r>
      <w:r w:rsidR="004373BE">
        <w:rPr>
          <w:rFonts w:eastAsia="Arial Unicode MS"/>
          <w:color w:val="000000" w:themeColor="text1"/>
        </w:rPr>
        <w:t>F</w:t>
      </w:r>
      <w:r w:rsidR="006A25F9">
        <w:rPr>
          <w:rFonts w:eastAsia="Arial Unicode MS"/>
          <w:color w:val="000000" w:themeColor="text1"/>
        </w:rPr>
        <w:t xml:space="preserve">or the </w:t>
      </w:r>
      <w:r w:rsidR="004373BE">
        <w:rPr>
          <w:rFonts w:eastAsia="Arial Unicode MS"/>
          <w:color w:val="000000" w:themeColor="text1"/>
        </w:rPr>
        <w:t xml:space="preserve">estimated </w:t>
      </w:r>
      <w:r w:rsidRPr="00190253" w:rsidR="006A25F9">
        <w:rPr>
          <w:rFonts w:eastAsia="Arial Unicode MS"/>
          <w:color w:val="000000" w:themeColor="text1"/>
        </w:rPr>
        <w:t>160 grant recipients</w:t>
      </w:r>
      <w:r w:rsidRPr="00190253" w:rsidR="004373BE">
        <w:rPr>
          <w:rFonts w:eastAsia="Arial Unicode MS"/>
          <w:color w:val="000000" w:themeColor="text1"/>
        </w:rPr>
        <w:t>,</w:t>
      </w:r>
      <w:r w:rsidRPr="00190253" w:rsidR="006A25F9">
        <w:rPr>
          <w:rFonts w:eastAsia="Arial Unicode MS"/>
          <w:color w:val="000000" w:themeColor="text1"/>
        </w:rPr>
        <w:t xml:space="preserve"> </w:t>
      </w:r>
      <w:r w:rsidRPr="00190253" w:rsidR="0080354F">
        <w:rPr>
          <w:rFonts w:eastAsia="Arial Unicode MS"/>
          <w:color w:val="000000" w:themeColor="text1"/>
        </w:rPr>
        <w:t>the</w:t>
      </w:r>
      <w:r w:rsidR="0080354F">
        <w:rPr>
          <w:rFonts w:eastAsia="Arial Unicode MS"/>
          <w:color w:val="000000" w:themeColor="text1"/>
        </w:rPr>
        <w:t xml:space="preserve"> </w:t>
      </w:r>
      <w:r w:rsidR="0088150A">
        <w:rPr>
          <w:rFonts w:eastAsia="Arial Unicode MS"/>
          <w:color w:val="000000" w:themeColor="text1"/>
        </w:rPr>
        <w:t xml:space="preserve">amount of the </w:t>
      </w:r>
      <w:r w:rsidRPr="784DFEAA">
        <w:rPr>
          <w:rFonts w:eastAsia="Arial Unicode MS"/>
          <w:color w:val="000000" w:themeColor="text1"/>
        </w:rPr>
        <w:t xml:space="preserve">annual burden </w:t>
      </w:r>
      <w:r w:rsidR="0080354F">
        <w:rPr>
          <w:rFonts w:eastAsia="Arial Unicode MS"/>
          <w:color w:val="000000" w:themeColor="text1"/>
        </w:rPr>
        <w:t>is</w:t>
      </w:r>
      <w:r w:rsidR="00677658">
        <w:rPr>
          <w:rFonts w:eastAsia="Arial Unicode MS"/>
          <w:color w:val="000000" w:themeColor="text1"/>
        </w:rPr>
        <w:t xml:space="preserve"> </w:t>
      </w:r>
      <w:r w:rsidRPr="784DFEAA" w:rsidR="0045006B">
        <w:rPr>
          <w:rFonts w:eastAsia="Arial Unicode MS"/>
          <w:color w:val="000000" w:themeColor="text1"/>
        </w:rPr>
        <w:t>6,4</w:t>
      </w:r>
      <w:r w:rsidRPr="784DFEAA">
        <w:rPr>
          <w:rFonts w:eastAsia="Arial Unicode MS"/>
          <w:color w:val="000000" w:themeColor="text1"/>
        </w:rPr>
        <w:t>00 hours.</w:t>
      </w:r>
      <w:r w:rsidR="005E0098">
        <w:rPr>
          <w:rFonts w:eastAsia="Arial Unicode MS"/>
          <w:color w:val="000000" w:themeColor="text1"/>
        </w:rPr>
        <w:t xml:space="preserve"> </w:t>
      </w:r>
      <w:r w:rsidRPr="784DFEAA" w:rsidR="00C0590D">
        <w:rPr>
          <w:rFonts w:eastAsia="Arial Unicode MS"/>
          <w:color w:val="000000" w:themeColor="text1"/>
        </w:rPr>
        <w:t xml:space="preserve">PHMSA estimates collecting eight reports per year from </w:t>
      </w:r>
      <w:r w:rsidRPr="00190253" w:rsidR="00C0590D">
        <w:rPr>
          <w:rFonts w:eastAsia="Arial Unicode MS"/>
          <w:color w:val="000000" w:themeColor="text1"/>
        </w:rPr>
        <w:t>160 grant recipients,</w:t>
      </w:r>
      <w:r w:rsidRPr="784DFEAA" w:rsidR="00C0590D">
        <w:rPr>
          <w:rFonts w:eastAsia="Arial Unicode MS"/>
          <w:color w:val="000000" w:themeColor="text1"/>
        </w:rPr>
        <w:t xml:space="preserve"> for a total of 1</w:t>
      </w:r>
      <w:r w:rsidR="00690E58">
        <w:rPr>
          <w:rFonts w:eastAsia="Arial Unicode MS"/>
          <w:color w:val="000000" w:themeColor="text1"/>
        </w:rPr>
        <w:t>,</w:t>
      </w:r>
      <w:r w:rsidRPr="784DFEAA" w:rsidR="00C0590D">
        <w:rPr>
          <w:rFonts w:eastAsia="Arial Unicode MS"/>
          <w:color w:val="000000" w:themeColor="text1"/>
        </w:rPr>
        <w:t>280</w:t>
      </w:r>
      <w:r w:rsidRPr="784DFEAA" w:rsidR="7C0E437D">
        <w:rPr>
          <w:rFonts w:eastAsia="Arial Unicode MS"/>
          <w:color w:val="000000" w:themeColor="text1"/>
        </w:rPr>
        <w:t xml:space="preserve"> reports per year</w:t>
      </w:r>
      <w:r w:rsidRPr="784DFEAA" w:rsidR="00C0590D">
        <w:rPr>
          <w:rFonts w:eastAsia="Arial Unicode MS"/>
          <w:color w:val="000000" w:themeColor="text1"/>
        </w:rPr>
        <w:t>.</w:t>
      </w:r>
    </w:p>
    <w:p w:rsidR="004D67C5" w14:paraId="4733EFFF" w14:textId="77777777">
      <w:pPr>
        <w:widowControl w:val="0"/>
        <w:rPr>
          <w:rFonts w:eastAsia="Arial Unicode MS"/>
          <w:color w:val="000000" w:themeColor="text1"/>
        </w:rPr>
      </w:pPr>
    </w:p>
    <w:p w:rsidR="004D67C5" w:rsidP="00190253" w14:paraId="2EA0D361" w14:textId="322E27E4">
      <w:pPr>
        <w:widowControl w:val="0"/>
        <w:rPr>
          <w:rFonts w:eastAsia="Arial Unicode MS"/>
          <w:color w:val="000000"/>
        </w:rPr>
      </w:pPr>
      <w:r>
        <w:rPr>
          <w:rFonts w:eastAsia="Arial Unicode MS"/>
          <w:color w:val="000000" w:themeColor="text1"/>
        </w:rPr>
        <w:t xml:space="preserve">PHMSA estimates there will be </w:t>
      </w:r>
      <w:r w:rsidR="00F24B15">
        <w:rPr>
          <w:rFonts w:eastAsia="Arial Unicode MS"/>
          <w:color w:val="000000" w:themeColor="text1"/>
        </w:rPr>
        <w:t xml:space="preserve">approximately 60 grants recipients </w:t>
      </w:r>
      <w:r w:rsidR="002365DE">
        <w:rPr>
          <w:rFonts w:eastAsia="Arial Unicode MS"/>
          <w:color w:val="000000" w:themeColor="text1"/>
        </w:rPr>
        <w:t>completing an environmental assessment</w:t>
      </w:r>
      <w:r w:rsidRPr="00E61FF6" w:rsidR="00E61FF6">
        <w:rPr>
          <w:rFonts w:eastAsia="Arial Unicode MS"/>
          <w:color w:val="000000" w:themeColor="text1"/>
        </w:rPr>
        <w:t xml:space="preserve"> </w:t>
      </w:r>
      <w:r w:rsidR="00E61FF6">
        <w:rPr>
          <w:rFonts w:eastAsia="Arial Unicode MS"/>
          <w:color w:val="000000" w:themeColor="text1"/>
        </w:rPr>
        <w:t>annually</w:t>
      </w:r>
      <w:r w:rsidR="002365DE">
        <w:rPr>
          <w:rFonts w:eastAsia="Arial Unicode MS"/>
          <w:color w:val="000000" w:themeColor="text1"/>
        </w:rPr>
        <w:t>.</w:t>
      </w:r>
      <w:r w:rsidR="0050270F">
        <w:rPr>
          <w:rFonts w:eastAsia="Arial Unicode MS"/>
          <w:color w:val="000000" w:themeColor="text1"/>
        </w:rPr>
        <w:t xml:space="preserve"> </w:t>
      </w:r>
      <w:r w:rsidR="0053099B">
        <w:rPr>
          <w:rFonts w:eastAsia="Arial Unicode MS"/>
          <w:color w:val="000000" w:themeColor="text1"/>
        </w:rPr>
        <w:t>E</w:t>
      </w:r>
      <w:r w:rsidR="0050270F">
        <w:rPr>
          <w:rFonts w:eastAsia="Arial Unicode MS"/>
          <w:color w:val="000000" w:themeColor="text1"/>
        </w:rPr>
        <w:t xml:space="preserve">ach recipient will spend </w:t>
      </w:r>
      <w:r w:rsidR="00466EC4">
        <w:rPr>
          <w:rFonts w:eastAsia="Arial Unicode MS"/>
          <w:color w:val="000000" w:themeColor="text1"/>
        </w:rPr>
        <w:t xml:space="preserve">a total of </w:t>
      </w:r>
      <w:r w:rsidR="0050270F">
        <w:rPr>
          <w:rFonts w:eastAsia="Arial Unicode MS"/>
          <w:color w:val="000000" w:themeColor="text1"/>
        </w:rPr>
        <w:t xml:space="preserve">24 hours </w:t>
      </w:r>
      <w:r w:rsidR="007B1CCD">
        <w:rPr>
          <w:rFonts w:eastAsia="Arial Unicode MS"/>
          <w:color w:val="000000" w:themeColor="text1"/>
        </w:rPr>
        <w:t>c</w:t>
      </w:r>
      <w:r w:rsidR="0053099B">
        <w:rPr>
          <w:rFonts w:eastAsia="Arial Unicode MS"/>
          <w:color w:val="000000" w:themeColor="text1"/>
        </w:rPr>
        <w:t>ompleting the</w:t>
      </w:r>
      <w:r w:rsidR="0050270F">
        <w:rPr>
          <w:rFonts w:eastAsia="Arial Unicode MS"/>
          <w:color w:val="000000" w:themeColor="text1"/>
        </w:rPr>
        <w:t xml:space="preserve"> environmental assessment. </w:t>
      </w:r>
      <w:r w:rsidR="00466EC4">
        <w:rPr>
          <w:rFonts w:eastAsia="Arial Unicode MS"/>
          <w:color w:val="000000" w:themeColor="text1"/>
        </w:rPr>
        <w:t>For the estimated 60 grant recipients</w:t>
      </w:r>
      <w:r w:rsidR="00E61FF6">
        <w:rPr>
          <w:rFonts w:eastAsia="Arial Unicode MS"/>
          <w:color w:val="000000" w:themeColor="text1"/>
        </w:rPr>
        <w:t xml:space="preserve"> completing an environmental assessment, the amount of the annual burden is 1,440 hours.</w:t>
      </w:r>
      <w:r w:rsidR="003559E4">
        <w:rPr>
          <w:rFonts w:eastAsia="Arial Unicode MS"/>
          <w:color w:val="000000" w:themeColor="text1"/>
        </w:rPr>
        <w:t xml:space="preserve"> PHMSA estimates collecting one environmental assessment </w:t>
      </w:r>
      <w:r w:rsidR="00AC523A">
        <w:rPr>
          <w:rFonts w:eastAsia="Arial Unicode MS"/>
          <w:color w:val="000000" w:themeColor="text1"/>
        </w:rPr>
        <w:t>from 60 grant recipients, for a total of 60 environmental assessments per year.</w:t>
      </w:r>
    </w:p>
    <w:p w:rsidR="00C92D14" w:rsidP="007A7A6B" w14:paraId="4401721A" w14:textId="77777777">
      <w:pPr>
        <w:widowControl w:val="0"/>
        <w:ind w:firstLine="720"/>
        <w:rPr>
          <w:rFonts w:eastAsia="Arial Unicode MS"/>
          <w:color w:val="000000"/>
          <w:szCs w:val="24"/>
        </w:rPr>
      </w:pPr>
    </w:p>
    <w:p w:rsidR="00C92D14" w:rsidP="007A7A6B" w14:paraId="20422201" w14:textId="08669D41">
      <w:pPr>
        <w:widowControl w:val="0"/>
        <w:tabs>
          <w:tab w:val="left" w:pos="360"/>
        </w:tabs>
      </w:pPr>
      <w:r w:rsidRPr="007A7A6B">
        <w:rPr>
          <w:rFonts w:eastAsia="Arial Unicode MS"/>
          <w:color w:val="000000"/>
          <w:szCs w:val="24"/>
        </w:rPr>
        <w:t>Therefore, PHMSA estimates that there will be a total of 1,</w:t>
      </w:r>
      <w:r w:rsidR="00851BBD">
        <w:rPr>
          <w:rFonts w:eastAsia="Arial Unicode MS"/>
          <w:color w:val="000000"/>
          <w:szCs w:val="24"/>
        </w:rPr>
        <w:t>540</w:t>
      </w:r>
      <w:r w:rsidRPr="007A7A6B" w:rsidR="006354C4">
        <w:rPr>
          <w:rFonts w:eastAsia="Arial Unicode MS"/>
          <w:color w:val="000000"/>
          <w:szCs w:val="24"/>
        </w:rPr>
        <w:t xml:space="preserve"> </w:t>
      </w:r>
      <w:r w:rsidRPr="007A7A6B">
        <w:rPr>
          <w:rFonts w:eastAsia="Arial Unicode MS"/>
          <w:color w:val="000000"/>
          <w:szCs w:val="24"/>
        </w:rPr>
        <w:t xml:space="preserve">responses (200 applications plus </w:t>
      </w:r>
      <w:r w:rsidR="006354C4">
        <w:rPr>
          <w:rFonts w:eastAsia="Arial Unicode MS"/>
          <w:color w:val="000000"/>
          <w:szCs w:val="24"/>
        </w:rPr>
        <w:t>1,280</w:t>
      </w:r>
      <w:r w:rsidRPr="007A7A6B" w:rsidR="006354C4">
        <w:rPr>
          <w:rFonts w:eastAsia="Arial Unicode MS"/>
          <w:color w:val="000000"/>
          <w:szCs w:val="24"/>
        </w:rPr>
        <w:t xml:space="preserve"> </w:t>
      </w:r>
      <w:r w:rsidRPr="007A7A6B">
        <w:rPr>
          <w:rFonts w:eastAsia="Arial Unicode MS"/>
          <w:color w:val="000000"/>
          <w:szCs w:val="24"/>
        </w:rPr>
        <w:t>post-award reports</w:t>
      </w:r>
      <w:r w:rsidR="00273783">
        <w:rPr>
          <w:rFonts w:eastAsia="Arial Unicode MS"/>
          <w:color w:val="000000"/>
          <w:szCs w:val="24"/>
        </w:rPr>
        <w:t xml:space="preserve"> plus 60 environmental assessments</w:t>
      </w:r>
      <w:r w:rsidRPr="007A7A6B">
        <w:rPr>
          <w:rFonts w:eastAsia="Arial Unicode MS"/>
          <w:color w:val="000000"/>
          <w:szCs w:val="24"/>
        </w:rPr>
        <w:t xml:space="preserve">) for an aggregate total annual burden for the information collection of </w:t>
      </w:r>
      <w:r w:rsidR="006354C4">
        <w:rPr>
          <w:rFonts w:eastAsia="Arial Unicode MS"/>
          <w:color w:val="000000"/>
          <w:szCs w:val="24"/>
        </w:rPr>
        <w:t>3</w:t>
      </w:r>
      <w:r w:rsidR="00273783">
        <w:rPr>
          <w:rFonts w:eastAsia="Arial Unicode MS"/>
          <w:color w:val="000000"/>
          <w:szCs w:val="24"/>
        </w:rPr>
        <w:t>9</w:t>
      </w:r>
      <w:r w:rsidR="006354C4">
        <w:rPr>
          <w:rFonts w:eastAsia="Arial Unicode MS"/>
          <w:color w:val="000000"/>
          <w:szCs w:val="24"/>
        </w:rPr>
        <w:t>,</w:t>
      </w:r>
      <w:r w:rsidR="00273783">
        <w:rPr>
          <w:rFonts w:eastAsia="Arial Unicode MS"/>
          <w:color w:val="000000"/>
          <w:szCs w:val="24"/>
        </w:rPr>
        <w:t>840</w:t>
      </w:r>
      <w:r w:rsidRPr="007A7A6B">
        <w:rPr>
          <w:rFonts w:eastAsia="Arial Unicode MS"/>
          <w:color w:val="000000"/>
          <w:szCs w:val="24"/>
        </w:rPr>
        <w:t xml:space="preserve"> hours (32,000 hours for applications plus </w:t>
      </w:r>
      <w:r w:rsidR="006354C4">
        <w:rPr>
          <w:rFonts w:eastAsia="Arial Unicode MS"/>
          <w:color w:val="000000"/>
          <w:szCs w:val="24"/>
        </w:rPr>
        <w:t>6,400</w:t>
      </w:r>
      <w:r w:rsidRPr="007A7A6B">
        <w:rPr>
          <w:rFonts w:eastAsia="Arial Unicode MS"/>
          <w:color w:val="000000"/>
          <w:szCs w:val="24"/>
        </w:rPr>
        <w:t xml:space="preserve"> hours for post-award reports</w:t>
      </w:r>
      <w:r w:rsidR="00273783">
        <w:rPr>
          <w:rFonts w:eastAsia="Arial Unicode MS"/>
          <w:color w:val="000000"/>
          <w:szCs w:val="24"/>
        </w:rPr>
        <w:t xml:space="preserve"> plus 1,440 hours for environmental assessments</w:t>
      </w:r>
      <w:r w:rsidRPr="007A7A6B">
        <w:rPr>
          <w:rFonts w:eastAsia="Arial Unicode MS"/>
          <w:color w:val="000000"/>
          <w:szCs w:val="24"/>
        </w:rPr>
        <w:t>).</w:t>
      </w:r>
      <w:r w:rsidR="005E0098">
        <w:rPr>
          <w:rFonts w:eastAsia="Arial Unicode MS"/>
          <w:color w:val="000000"/>
          <w:szCs w:val="24"/>
        </w:rPr>
        <w:t xml:space="preserve"> </w:t>
      </w:r>
      <w:r w:rsidR="0CAA2222">
        <w:t xml:space="preserve">Actual hours will vary depending on the proposed scope of the applicant’s program, the applicant’s geographic </w:t>
      </w:r>
      <w:r w:rsidR="0CAA2222">
        <w:t>service area</w:t>
      </w:r>
      <w:r w:rsidR="005170CB">
        <w:t>,</w:t>
      </w:r>
      <w:r w:rsidR="0CAA2222">
        <w:t xml:space="preserve"> and the number of affiliate organizations.</w:t>
      </w:r>
      <w:r w:rsidR="005E0098">
        <w:t xml:space="preserve"> </w:t>
      </w:r>
    </w:p>
    <w:p w:rsidR="00C92D14" w:rsidP="007A7A6B" w14:paraId="6139158B" w14:textId="77777777">
      <w:pPr>
        <w:widowControl w:val="0"/>
        <w:tabs>
          <w:tab w:val="left" w:pos="360"/>
        </w:tabs>
      </w:pPr>
    </w:p>
    <w:p w:rsidR="002631C8" w:rsidP="007A7A6B" w14:paraId="2577359E" w14:textId="0921A92F">
      <w:pPr>
        <w:widowControl w:val="0"/>
        <w:tabs>
          <w:tab w:val="left" w:pos="360"/>
        </w:tabs>
      </w:pPr>
      <w:r>
        <w:t xml:space="preserve">The burden </w:t>
      </w:r>
      <w:r w:rsidR="343BF79A">
        <w:t>estimates</w:t>
      </w:r>
      <w:r>
        <w:t xml:space="preserve"> below accounts for the total amount of effort involved. </w:t>
      </w:r>
    </w:p>
    <w:p w:rsidR="6C720080" w:rsidP="3A7FDE9A" w14:paraId="0B01332B" w14:textId="06F2F9A2">
      <w:pPr>
        <w:widowControl w:val="0"/>
        <w:tabs>
          <w:tab w:val="left" w:pos="540"/>
        </w:tabs>
        <w:rPr>
          <w:b/>
          <w:bCs/>
          <w:szCs w:val="24"/>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0"/>
        <w:gridCol w:w="1740"/>
        <w:gridCol w:w="1260"/>
        <w:gridCol w:w="2790"/>
      </w:tblGrid>
      <w:tr w14:paraId="0FE6428A" w14:textId="77777777" w:rsidTr="00651025">
        <w:tblPrEx>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00" w:type="dxa"/>
            <w:shd w:val="clear" w:color="auto" w:fill="D6DCE4" w:themeFill="text2" w:themeFillTint="33"/>
          </w:tcPr>
          <w:p w:rsidR="00651025" w:rsidRPr="002E791F" w:rsidP="3A7FDE9A" w14:paraId="5B4DF89E" w14:textId="77777777">
            <w:pPr>
              <w:jc w:val="center"/>
              <w:rPr>
                <w:rFonts w:eastAsia="Calibri"/>
                <w:b/>
                <w:bCs/>
                <w:sz w:val="20"/>
              </w:rPr>
            </w:pPr>
            <w:r w:rsidRPr="002E791F">
              <w:rPr>
                <w:rFonts w:eastAsia="Calibri"/>
                <w:b/>
                <w:bCs/>
                <w:sz w:val="20"/>
              </w:rPr>
              <w:t>Information</w:t>
            </w:r>
          </w:p>
          <w:p w:rsidR="00651025" w:rsidRPr="001174AD" w:rsidP="3A7FDE9A" w14:paraId="5947BC9C" w14:textId="77777777">
            <w:pPr>
              <w:jc w:val="center"/>
              <w:rPr>
                <w:rFonts w:eastAsia="Calibri"/>
                <w:b/>
                <w:bCs/>
                <w:sz w:val="20"/>
              </w:rPr>
            </w:pPr>
            <w:r w:rsidRPr="3A7FDE9A">
              <w:rPr>
                <w:rFonts w:eastAsia="Calibri"/>
                <w:b/>
                <w:bCs/>
                <w:sz w:val="20"/>
              </w:rPr>
              <w:t>Collection</w:t>
            </w:r>
          </w:p>
        </w:tc>
        <w:tc>
          <w:tcPr>
            <w:tcW w:w="1740" w:type="dxa"/>
            <w:shd w:val="clear" w:color="auto" w:fill="D6DCE4" w:themeFill="text2" w:themeFillTint="33"/>
          </w:tcPr>
          <w:p w:rsidR="00651025" w:rsidRPr="001174AD" w:rsidP="3A7FDE9A" w14:paraId="301B8623" w14:textId="7CC0EDA9">
            <w:pPr>
              <w:jc w:val="center"/>
              <w:rPr>
                <w:rFonts w:eastAsia="Calibri"/>
                <w:b/>
                <w:bCs/>
                <w:sz w:val="20"/>
              </w:rPr>
            </w:pPr>
            <w:r w:rsidRPr="3A7FDE9A">
              <w:rPr>
                <w:rFonts w:eastAsia="Calibri"/>
                <w:b/>
                <w:bCs/>
                <w:sz w:val="20"/>
              </w:rPr>
              <w:t>Number of Respon</w:t>
            </w:r>
            <w:r>
              <w:rPr>
                <w:rFonts w:eastAsia="Calibri"/>
                <w:b/>
                <w:bCs/>
                <w:sz w:val="20"/>
              </w:rPr>
              <w:t>ses</w:t>
            </w:r>
          </w:p>
        </w:tc>
        <w:tc>
          <w:tcPr>
            <w:tcW w:w="1260" w:type="dxa"/>
            <w:shd w:val="clear" w:color="auto" w:fill="D6DCE4" w:themeFill="text2" w:themeFillTint="33"/>
          </w:tcPr>
          <w:p w:rsidR="00651025" w:rsidRPr="001174AD" w:rsidP="3A7FDE9A" w14:paraId="3948A325" w14:textId="613E01AE">
            <w:pPr>
              <w:jc w:val="center"/>
              <w:rPr>
                <w:rFonts w:eastAsia="Calibri"/>
                <w:b/>
                <w:bCs/>
                <w:sz w:val="20"/>
              </w:rPr>
            </w:pPr>
            <w:r w:rsidRPr="3A7FDE9A">
              <w:rPr>
                <w:rFonts w:eastAsia="Calibri"/>
                <w:b/>
                <w:bCs/>
                <w:sz w:val="20"/>
              </w:rPr>
              <w:t>Burden Hour</w:t>
            </w:r>
            <w:r>
              <w:rPr>
                <w:rFonts w:eastAsia="Calibri"/>
                <w:b/>
                <w:bCs/>
                <w:sz w:val="20"/>
              </w:rPr>
              <w:t>s</w:t>
            </w:r>
            <w:r w:rsidRPr="3A7FDE9A">
              <w:rPr>
                <w:rFonts w:eastAsia="Calibri"/>
                <w:b/>
                <w:bCs/>
                <w:sz w:val="20"/>
              </w:rPr>
              <w:t xml:space="preserve"> Per Respon</w:t>
            </w:r>
            <w:r>
              <w:rPr>
                <w:rFonts w:eastAsia="Calibri"/>
                <w:b/>
                <w:bCs/>
                <w:sz w:val="20"/>
              </w:rPr>
              <w:t>dent</w:t>
            </w:r>
          </w:p>
        </w:tc>
        <w:tc>
          <w:tcPr>
            <w:tcW w:w="2790" w:type="dxa"/>
            <w:shd w:val="clear" w:color="auto" w:fill="D6DCE4" w:themeFill="text2" w:themeFillTint="33"/>
          </w:tcPr>
          <w:p w:rsidR="00651025" w:rsidRPr="001174AD" w:rsidP="3A7FDE9A" w14:paraId="32A79FCE" w14:textId="09654ABB">
            <w:pPr>
              <w:jc w:val="center"/>
              <w:rPr>
                <w:rFonts w:eastAsia="Calibri"/>
                <w:b/>
                <w:bCs/>
                <w:sz w:val="20"/>
              </w:rPr>
            </w:pPr>
            <w:r w:rsidRPr="3A7FDE9A">
              <w:rPr>
                <w:rFonts w:eastAsia="Calibri"/>
                <w:b/>
                <w:bCs/>
                <w:sz w:val="20"/>
              </w:rPr>
              <w:t>Total Annual Burden Hours</w:t>
            </w:r>
          </w:p>
        </w:tc>
      </w:tr>
      <w:tr w14:paraId="33CA8E23" w14:textId="77777777" w:rsidTr="00651025">
        <w:tblPrEx>
          <w:tblW w:w="8190" w:type="dxa"/>
          <w:tblLayout w:type="fixed"/>
          <w:tblLook w:val="04A0"/>
        </w:tblPrEx>
        <w:tc>
          <w:tcPr>
            <w:tcW w:w="2400" w:type="dxa"/>
            <w:shd w:val="clear" w:color="auto" w:fill="auto"/>
          </w:tcPr>
          <w:p w:rsidR="00651025" w:rsidRPr="002E791F" w14:paraId="0F9367D3" w14:textId="6C50AFE3">
            <w:pPr>
              <w:rPr>
                <w:b/>
                <w:bCs/>
                <w:color w:val="000000" w:themeColor="text1"/>
                <w:sz w:val="20"/>
              </w:rPr>
            </w:pPr>
            <w:r w:rsidRPr="002E791F">
              <w:rPr>
                <w:b/>
                <w:bCs/>
                <w:color w:val="000000" w:themeColor="text1"/>
                <w:sz w:val="20"/>
              </w:rPr>
              <w:t>Natural Gas Distribution Infrastructure Safety and Modernization Grant Application</w:t>
            </w:r>
          </w:p>
        </w:tc>
        <w:tc>
          <w:tcPr>
            <w:tcW w:w="1740" w:type="dxa"/>
            <w:shd w:val="clear" w:color="auto" w:fill="auto"/>
          </w:tcPr>
          <w:p w:rsidR="00651025" w:rsidRPr="001174AD" w:rsidP="001174AD" w14:paraId="2502CC44" w14:textId="300AEB59">
            <w:pPr>
              <w:jc w:val="right"/>
              <w:rPr>
                <w:rFonts w:eastAsia="Calibri"/>
                <w:sz w:val="18"/>
                <w:szCs w:val="18"/>
              </w:rPr>
            </w:pPr>
            <w:r>
              <w:rPr>
                <w:rFonts w:eastAsia="Calibri"/>
                <w:sz w:val="18"/>
                <w:szCs w:val="18"/>
              </w:rPr>
              <w:t>200</w:t>
            </w:r>
          </w:p>
        </w:tc>
        <w:tc>
          <w:tcPr>
            <w:tcW w:w="1260" w:type="dxa"/>
            <w:shd w:val="clear" w:color="auto" w:fill="auto"/>
          </w:tcPr>
          <w:p w:rsidR="00651025" w:rsidRPr="001174AD" w:rsidP="002E791F" w14:paraId="7935CE0B" w14:textId="2DF371F3">
            <w:pPr>
              <w:spacing w:line="259" w:lineRule="auto"/>
              <w:jc w:val="right"/>
              <w:rPr>
                <w:szCs w:val="24"/>
              </w:rPr>
            </w:pPr>
            <w:r>
              <w:rPr>
                <w:rFonts w:eastAsia="Calibri"/>
                <w:sz w:val="18"/>
                <w:szCs w:val="18"/>
              </w:rPr>
              <w:t>160</w:t>
            </w:r>
          </w:p>
        </w:tc>
        <w:tc>
          <w:tcPr>
            <w:tcW w:w="2790" w:type="dxa"/>
            <w:shd w:val="clear" w:color="auto" w:fill="auto"/>
          </w:tcPr>
          <w:p w:rsidR="00651025" w:rsidRPr="001174AD" w:rsidP="001174AD" w14:paraId="202E7D8D" w14:textId="6F674F17">
            <w:pPr>
              <w:jc w:val="right"/>
              <w:rPr>
                <w:rFonts w:eastAsia="Calibri"/>
                <w:sz w:val="18"/>
                <w:szCs w:val="18"/>
              </w:rPr>
            </w:pPr>
            <w:r>
              <w:rPr>
                <w:rFonts w:eastAsia="Calibri"/>
                <w:sz w:val="18"/>
                <w:szCs w:val="18"/>
              </w:rPr>
              <w:t>32,000</w:t>
            </w:r>
          </w:p>
        </w:tc>
      </w:tr>
      <w:tr w14:paraId="4B9783AB" w14:textId="77777777" w:rsidTr="00651025">
        <w:tblPrEx>
          <w:tblW w:w="8190" w:type="dxa"/>
          <w:tblLayout w:type="fixed"/>
          <w:tblLook w:val="04A0"/>
        </w:tblPrEx>
        <w:tc>
          <w:tcPr>
            <w:tcW w:w="2400" w:type="dxa"/>
            <w:shd w:val="clear" w:color="auto" w:fill="auto"/>
          </w:tcPr>
          <w:p w:rsidR="005453CF" w:rsidRPr="002E791F" w14:paraId="3FEDEA80" w14:textId="11805044">
            <w:pPr>
              <w:rPr>
                <w:b/>
                <w:bCs/>
                <w:color w:val="000000" w:themeColor="text1"/>
                <w:sz w:val="20"/>
              </w:rPr>
            </w:pPr>
            <w:r>
              <w:rPr>
                <w:b/>
                <w:bCs/>
                <w:color w:val="000000" w:themeColor="text1"/>
                <w:sz w:val="20"/>
              </w:rPr>
              <w:t>Environmental Assessment</w:t>
            </w:r>
          </w:p>
        </w:tc>
        <w:tc>
          <w:tcPr>
            <w:tcW w:w="1740" w:type="dxa"/>
            <w:shd w:val="clear" w:color="auto" w:fill="auto"/>
          </w:tcPr>
          <w:p w:rsidR="005453CF" w:rsidP="001174AD" w14:paraId="254A0EE9" w14:textId="4219F01D">
            <w:pPr>
              <w:jc w:val="right"/>
              <w:rPr>
                <w:rFonts w:eastAsia="Calibri"/>
                <w:sz w:val="18"/>
                <w:szCs w:val="18"/>
              </w:rPr>
            </w:pPr>
            <w:r w:rsidR="002B6221">
              <w:rPr>
                <w:rFonts w:eastAsia="Calibri"/>
                <w:sz w:val="18"/>
                <w:szCs w:val="18"/>
              </w:rPr>
              <w:t>60</w:t>
            </w:r>
          </w:p>
        </w:tc>
        <w:tc>
          <w:tcPr>
            <w:tcW w:w="1260" w:type="dxa"/>
            <w:shd w:val="clear" w:color="auto" w:fill="auto"/>
          </w:tcPr>
          <w:p w:rsidR="005453CF" w:rsidP="002E791F" w14:paraId="252AD564" w14:textId="50E8300B">
            <w:pPr>
              <w:spacing w:line="259" w:lineRule="auto"/>
              <w:jc w:val="right"/>
              <w:rPr>
                <w:rFonts w:eastAsia="Calibri"/>
                <w:sz w:val="18"/>
                <w:szCs w:val="18"/>
              </w:rPr>
            </w:pPr>
            <w:r>
              <w:rPr>
                <w:rFonts w:eastAsia="Calibri"/>
                <w:sz w:val="18"/>
                <w:szCs w:val="18"/>
              </w:rPr>
              <w:t>24</w:t>
            </w:r>
          </w:p>
        </w:tc>
        <w:tc>
          <w:tcPr>
            <w:tcW w:w="2790" w:type="dxa"/>
            <w:shd w:val="clear" w:color="auto" w:fill="auto"/>
          </w:tcPr>
          <w:p w:rsidR="005453CF" w:rsidP="001174AD" w14:paraId="77492183" w14:textId="01281595">
            <w:pPr>
              <w:jc w:val="right"/>
              <w:rPr>
                <w:rFonts w:eastAsia="Calibri"/>
                <w:sz w:val="18"/>
                <w:szCs w:val="18"/>
              </w:rPr>
            </w:pPr>
            <w:r>
              <w:rPr>
                <w:rFonts w:eastAsia="Calibri"/>
                <w:sz w:val="18"/>
                <w:szCs w:val="18"/>
              </w:rPr>
              <w:t>1,440</w:t>
            </w:r>
          </w:p>
        </w:tc>
      </w:tr>
      <w:tr w14:paraId="76A3BA1D" w14:textId="77777777" w:rsidTr="00651025">
        <w:tblPrEx>
          <w:tblW w:w="8190" w:type="dxa"/>
          <w:tblLayout w:type="fixed"/>
          <w:tblLook w:val="04A0"/>
        </w:tblPrEx>
        <w:trPr>
          <w:trHeight w:val="152"/>
        </w:trPr>
        <w:tc>
          <w:tcPr>
            <w:tcW w:w="2400" w:type="dxa"/>
            <w:shd w:val="clear" w:color="auto" w:fill="auto"/>
          </w:tcPr>
          <w:p w:rsidR="00651025" w:rsidRPr="002E791F" w:rsidP="001174AD" w14:paraId="2E54A10E" w14:textId="6FB15C51">
            <w:pPr>
              <w:rPr>
                <w:b/>
                <w:bCs/>
                <w:color w:val="000000" w:themeColor="text1"/>
                <w:sz w:val="20"/>
              </w:rPr>
            </w:pPr>
            <w:r>
              <w:rPr>
                <w:b/>
                <w:bCs/>
                <w:color w:val="000000" w:themeColor="text1"/>
                <w:sz w:val="20"/>
              </w:rPr>
              <w:t xml:space="preserve">Post-Grant Reporting </w:t>
            </w:r>
            <w:r w:rsidRPr="002E791F">
              <w:rPr>
                <w:b/>
                <w:bCs/>
                <w:color w:val="000000" w:themeColor="text1"/>
                <w:sz w:val="20"/>
              </w:rPr>
              <w:t>Quarterly/Closeout Reporting</w:t>
            </w:r>
          </w:p>
        </w:tc>
        <w:tc>
          <w:tcPr>
            <w:tcW w:w="1740" w:type="dxa"/>
            <w:shd w:val="clear" w:color="auto" w:fill="auto"/>
          </w:tcPr>
          <w:p w:rsidR="00651025" w:rsidRPr="004512F6" w:rsidP="3A7FDE9A" w14:paraId="7FB36788" w14:textId="0EBA8126">
            <w:pPr>
              <w:jc w:val="right"/>
              <w:rPr>
                <w:color w:val="000000" w:themeColor="text1"/>
                <w:sz w:val="20"/>
              </w:rPr>
            </w:pPr>
            <w:r>
              <w:rPr>
                <w:color w:val="000000" w:themeColor="text1"/>
                <w:sz w:val="20"/>
              </w:rPr>
              <w:t>1,280</w:t>
            </w:r>
          </w:p>
        </w:tc>
        <w:tc>
          <w:tcPr>
            <w:tcW w:w="1260" w:type="dxa"/>
            <w:shd w:val="clear" w:color="auto" w:fill="auto"/>
          </w:tcPr>
          <w:p w:rsidR="00651025" w:rsidRPr="004512F6" w:rsidP="001174AD" w14:paraId="6F193C42" w14:textId="4DFC2D86">
            <w:pPr>
              <w:jc w:val="right"/>
              <w:rPr>
                <w:color w:val="000000" w:themeColor="text1"/>
                <w:sz w:val="20"/>
              </w:rPr>
            </w:pPr>
            <w:r>
              <w:rPr>
                <w:color w:val="000000" w:themeColor="text1"/>
                <w:sz w:val="20"/>
              </w:rPr>
              <w:t>5</w:t>
            </w:r>
          </w:p>
        </w:tc>
        <w:tc>
          <w:tcPr>
            <w:tcW w:w="2790" w:type="dxa"/>
            <w:shd w:val="clear" w:color="auto" w:fill="auto"/>
          </w:tcPr>
          <w:p w:rsidR="00651025" w:rsidRPr="004512F6" w:rsidP="001174AD" w14:paraId="3629A4CA" w14:textId="5B980805">
            <w:pPr>
              <w:jc w:val="right"/>
              <w:rPr>
                <w:color w:val="000000" w:themeColor="text1"/>
                <w:sz w:val="20"/>
              </w:rPr>
            </w:pPr>
            <w:r>
              <w:rPr>
                <w:color w:val="000000" w:themeColor="text1"/>
                <w:sz w:val="20"/>
              </w:rPr>
              <w:t>6,400</w:t>
            </w:r>
          </w:p>
        </w:tc>
      </w:tr>
      <w:tr w14:paraId="0F9E6EF5" w14:textId="77777777" w:rsidTr="00651025">
        <w:tblPrEx>
          <w:tblW w:w="8190" w:type="dxa"/>
          <w:tblLayout w:type="fixed"/>
          <w:tblLook w:val="04A0"/>
        </w:tblPrEx>
        <w:trPr>
          <w:trHeight w:val="152"/>
        </w:trPr>
        <w:tc>
          <w:tcPr>
            <w:tcW w:w="2400" w:type="dxa"/>
            <w:shd w:val="clear" w:color="auto" w:fill="auto"/>
          </w:tcPr>
          <w:p w:rsidR="00651025" w:rsidRPr="002E791F" w:rsidP="001174AD" w14:paraId="008C9FF6" w14:textId="5E40B1A9">
            <w:pPr>
              <w:rPr>
                <w:b/>
                <w:bCs/>
                <w:color w:val="000000" w:themeColor="text1"/>
                <w:sz w:val="20"/>
              </w:rPr>
            </w:pPr>
            <w:r>
              <w:rPr>
                <w:b/>
                <w:bCs/>
                <w:color w:val="000000" w:themeColor="text1"/>
                <w:sz w:val="20"/>
              </w:rPr>
              <w:t xml:space="preserve">Total </w:t>
            </w:r>
          </w:p>
        </w:tc>
        <w:tc>
          <w:tcPr>
            <w:tcW w:w="1740" w:type="dxa"/>
            <w:shd w:val="clear" w:color="auto" w:fill="auto"/>
          </w:tcPr>
          <w:p w:rsidR="00651025" w:rsidRPr="004512F6" w:rsidP="3A7FDE9A" w14:paraId="2DE14981" w14:textId="72C9FC5E">
            <w:pPr>
              <w:jc w:val="right"/>
              <w:rPr>
                <w:color w:val="000000" w:themeColor="text1"/>
                <w:sz w:val="20"/>
              </w:rPr>
            </w:pPr>
            <w:r>
              <w:rPr>
                <w:color w:val="000000" w:themeColor="text1"/>
                <w:sz w:val="20"/>
              </w:rPr>
              <w:t>1,</w:t>
            </w:r>
            <w:r w:rsidR="00EE5E08">
              <w:rPr>
                <w:color w:val="000000" w:themeColor="text1"/>
                <w:sz w:val="20"/>
              </w:rPr>
              <w:t>5</w:t>
            </w:r>
            <w:r w:rsidR="0050219A">
              <w:rPr>
                <w:color w:val="000000" w:themeColor="text1"/>
                <w:sz w:val="20"/>
              </w:rPr>
              <w:t>40</w:t>
            </w:r>
            <w:r w:rsidR="00A61053">
              <w:rPr>
                <w:color w:val="000000" w:themeColor="text1"/>
                <w:sz w:val="20"/>
              </w:rPr>
              <w:t xml:space="preserve"> </w:t>
            </w:r>
            <w:r>
              <w:rPr>
                <w:color w:val="000000" w:themeColor="text1"/>
                <w:sz w:val="20"/>
              </w:rPr>
              <w:t>responses</w:t>
            </w:r>
          </w:p>
        </w:tc>
        <w:tc>
          <w:tcPr>
            <w:tcW w:w="1260" w:type="dxa"/>
            <w:shd w:val="clear" w:color="auto" w:fill="auto"/>
          </w:tcPr>
          <w:p w:rsidR="00651025" w:rsidRPr="004512F6" w:rsidP="001174AD" w14:paraId="3AB29F06" w14:textId="0D3389D5">
            <w:pPr>
              <w:jc w:val="right"/>
              <w:rPr>
                <w:color w:val="000000" w:themeColor="text1"/>
                <w:sz w:val="20"/>
              </w:rPr>
            </w:pPr>
          </w:p>
        </w:tc>
        <w:tc>
          <w:tcPr>
            <w:tcW w:w="2790" w:type="dxa"/>
            <w:shd w:val="clear" w:color="auto" w:fill="auto"/>
          </w:tcPr>
          <w:p w:rsidR="00651025" w:rsidRPr="007961DE" w:rsidP="007961DE" w14:paraId="718B7F45" w14:textId="4792944B">
            <w:pPr>
              <w:rPr>
                <w:b/>
                <w:bCs/>
                <w:color w:val="000000" w:themeColor="text1"/>
                <w:sz w:val="20"/>
              </w:rPr>
            </w:pPr>
            <w:r>
              <w:rPr>
                <w:b/>
                <w:bCs/>
                <w:color w:val="000000" w:themeColor="text1"/>
                <w:sz w:val="20"/>
              </w:rPr>
              <w:t>3</w:t>
            </w:r>
            <w:r w:rsidR="00277F39">
              <w:rPr>
                <w:b/>
                <w:bCs/>
                <w:color w:val="000000" w:themeColor="text1"/>
                <w:sz w:val="20"/>
              </w:rPr>
              <w:t>9</w:t>
            </w:r>
            <w:r>
              <w:rPr>
                <w:b/>
                <w:bCs/>
                <w:color w:val="000000" w:themeColor="text1"/>
                <w:sz w:val="20"/>
              </w:rPr>
              <w:t>,</w:t>
            </w:r>
            <w:r w:rsidR="00277F39">
              <w:rPr>
                <w:b/>
                <w:bCs/>
                <w:color w:val="000000" w:themeColor="text1"/>
                <w:sz w:val="20"/>
              </w:rPr>
              <w:t>8</w:t>
            </w:r>
            <w:r>
              <w:rPr>
                <w:b/>
                <w:bCs/>
                <w:color w:val="000000" w:themeColor="text1"/>
                <w:sz w:val="20"/>
              </w:rPr>
              <w:t>40</w:t>
            </w:r>
            <w:r w:rsidRPr="007961DE" w:rsidR="002152DD">
              <w:rPr>
                <w:b/>
                <w:bCs/>
                <w:color w:val="000000" w:themeColor="text1"/>
                <w:sz w:val="20"/>
              </w:rPr>
              <w:t xml:space="preserve"> total burden hours</w:t>
            </w:r>
          </w:p>
        </w:tc>
      </w:tr>
    </w:tbl>
    <w:p w:rsidR="3A7FDE9A" w:rsidP="3A7FDE9A" w14:paraId="2947D81F" w14:textId="1017518C">
      <w:pPr>
        <w:rPr>
          <w:szCs w:val="24"/>
        </w:rPr>
      </w:pPr>
    </w:p>
    <w:p w:rsidR="001D224D" w:rsidP="3A7FDE9A" w14:paraId="230FFE1A" w14:textId="165FE4E9">
      <w:pPr>
        <w:widowControl w:val="0"/>
        <w:tabs>
          <w:tab w:val="left" w:pos="540"/>
        </w:tabs>
        <w:rPr>
          <w:b/>
          <w:bCs/>
        </w:rPr>
      </w:pPr>
      <w:r w:rsidRPr="452709A4">
        <w:rPr>
          <w:b/>
          <w:bCs/>
        </w:rPr>
        <w:t>13.</w:t>
      </w:r>
      <w:r>
        <w:tab/>
      </w:r>
      <w:r w:rsidRPr="452709A4" w:rsidR="4CBD871F">
        <w:rPr>
          <w:b/>
          <w:bCs/>
          <w:u w:val="single"/>
        </w:rPr>
        <w:t>Estimate of the total annual costs burden</w:t>
      </w:r>
      <w:r w:rsidRPr="452709A4" w:rsidR="5FFAC887">
        <w:rPr>
          <w:b/>
          <w:bCs/>
          <w:u w:val="single"/>
        </w:rPr>
        <w:t xml:space="preserve"> to Grant Applicants</w:t>
      </w:r>
      <w:r w:rsidRPr="452709A4" w:rsidR="4CBD871F">
        <w:rPr>
          <w:b/>
          <w:bCs/>
        </w:rPr>
        <w:t>.</w:t>
      </w:r>
      <w:r w:rsidR="005E0098">
        <w:rPr>
          <w:b/>
          <w:bCs/>
        </w:rPr>
        <w:t xml:space="preserve"> </w:t>
      </w:r>
    </w:p>
    <w:p w:rsidR="6C720080" w:rsidP="6C720080" w14:paraId="1108159A" w14:textId="0A30F1B8">
      <w:pPr>
        <w:widowControl w:val="0"/>
        <w:tabs>
          <w:tab w:val="left" w:pos="540"/>
        </w:tabs>
        <w:rPr>
          <w:b/>
          <w:bCs/>
          <w:szCs w:val="24"/>
        </w:rPr>
      </w:pPr>
    </w:p>
    <w:p w:rsidR="00940F76" w:rsidP="006C17A7" w14:paraId="3EA638B7" w14:textId="7195B186">
      <w:pPr>
        <w:rPr>
          <w:b/>
          <w:bCs/>
        </w:rPr>
      </w:pPr>
      <w:r>
        <w:t xml:space="preserve">PHMSA expects the grant applications to be completed </w:t>
      </w:r>
      <w:r>
        <w:t>in the course of</w:t>
      </w:r>
      <w:r>
        <w:t xml:space="preserve"> an employee’s regular duties.</w:t>
      </w:r>
      <w:r w:rsidR="005E0098">
        <w:t xml:space="preserve"> </w:t>
      </w:r>
      <w:r>
        <w:t>Because prospective applicants range in size, staff, and resources, it’s difficult to estimate a cost, other than time, across the applicant pool.</w:t>
      </w:r>
      <w:r w:rsidR="005E0098">
        <w:t xml:space="preserve"> </w:t>
      </w:r>
      <w:r>
        <w:t>PHMSA expects most of the entities applying for this grant to be smaller businesses who can’t afford to hire technical engineers or design firms to complete the application.</w:t>
      </w:r>
      <w:r w:rsidR="005E0098">
        <w:t xml:space="preserve"> </w:t>
      </w:r>
      <w:r>
        <w:t>PHMSA assumes that the applications will be completed by in-house staff across various salary levels.</w:t>
      </w:r>
      <w:r w:rsidR="005E0098">
        <w:t xml:space="preserve"> </w:t>
      </w:r>
      <w:r>
        <w:t xml:space="preserve">For this reason, PHMSA estimates no additional costs </w:t>
      </w:r>
      <w:r w:rsidR="0CAA2222">
        <w:t xml:space="preserve">to the respondents other than </w:t>
      </w:r>
      <w:r>
        <w:t>the time burden estimated in Question 1</w:t>
      </w:r>
      <w:r w:rsidR="0CAA2222">
        <w:t xml:space="preserve">2 above. </w:t>
      </w:r>
      <w:r w:rsidR="001D224D">
        <w:br/>
      </w:r>
    </w:p>
    <w:p w:rsidR="006C0638" w:rsidRPr="00981917" w:rsidP="003B16AD" w14:paraId="60DC8AA7" w14:textId="3D2AE3D7">
      <w:pPr>
        <w:widowControl w:val="0"/>
        <w:rPr>
          <w:color w:val="FF0000"/>
          <w:szCs w:val="24"/>
        </w:rPr>
      </w:pPr>
      <w:r w:rsidRPr="6C720080">
        <w:rPr>
          <w:b/>
          <w:bCs/>
        </w:rPr>
        <w:t>14.</w:t>
      </w:r>
      <w:r w:rsidR="001D224D">
        <w:tab/>
      </w:r>
      <w:r w:rsidRPr="6C720080" w:rsidR="4CBD871F">
        <w:rPr>
          <w:b/>
          <w:bCs/>
          <w:u w:val="single"/>
        </w:rPr>
        <w:t>Estimates of costs to the Federal Government</w:t>
      </w:r>
      <w:r w:rsidRPr="6C720080" w:rsidR="4CBD871F">
        <w:rPr>
          <w:b/>
          <w:bCs/>
        </w:rPr>
        <w:t>.</w:t>
      </w:r>
      <w:r w:rsidR="005E0098">
        <w:rPr>
          <w:b/>
          <w:bCs/>
        </w:rPr>
        <w:t xml:space="preserve"> </w:t>
      </w:r>
    </w:p>
    <w:p w:rsidR="006C0638" w:rsidP="000A6210" w14:paraId="07C00E20" w14:textId="77777777">
      <w:pPr>
        <w:widowControl w:val="0"/>
        <w:tabs>
          <w:tab w:val="left" w:pos="540"/>
        </w:tabs>
        <w:rPr>
          <w:szCs w:val="24"/>
        </w:rPr>
      </w:pPr>
    </w:p>
    <w:p w:rsidR="00FF758C" w:rsidP="00FF758C" w14:paraId="6DEA92DA" w14:textId="508ACA60">
      <w:pPr>
        <w:pStyle w:val="BodyText"/>
        <w:keepLines w:val="0"/>
        <w:tabs>
          <w:tab w:val="left" w:pos="360"/>
        </w:tabs>
        <w:spacing w:after="0"/>
        <w:rPr>
          <w:sz w:val="24"/>
          <w:szCs w:val="24"/>
        </w:rPr>
      </w:pPr>
      <w:r w:rsidRPr="784DFEAA">
        <w:rPr>
          <w:sz w:val="24"/>
          <w:szCs w:val="24"/>
        </w:rPr>
        <w:t>Based on PHMSA’s best projections using examples of other NOFO’s published by PHMSA, t</w:t>
      </w:r>
      <w:r w:rsidRPr="784DFEAA" w:rsidR="65035522">
        <w:rPr>
          <w:sz w:val="24"/>
          <w:szCs w:val="24"/>
        </w:rPr>
        <w:t xml:space="preserve">he </w:t>
      </w:r>
      <w:r w:rsidRPr="784DFEAA">
        <w:rPr>
          <w:sz w:val="24"/>
          <w:szCs w:val="24"/>
        </w:rPr>
        <w:t xml:space="preserve">estimated </w:t>
      </w:r>
      <w:r w:rsidRPr="784DFEAA" w:rsidR="65035522">
        <w:rPr>
          <w:sz w:val="24"/>
          <w:szCs w:val="24"/>
        </w:rPr>
        <w:t>cost to the federal government to review and rate applications and select grantees is $</w:t>
      </w:r>
      <w:r w:rsidR="002C70D4">
        <w:rPr>
          <w:sz w:val="24"/>
          <w:szCs w:val="24"/>
        </w:rPr>
        <w:t>345</w:t>
      </w:r>
      <w:r w:rsidRPr="784DFEAA" w:rsidR="003B16AD">
        <w:rPr>
          <w:sz w:val="24"/>
          <w:szCs w:val="24"/>
        </w:rPr>
        <w:t>,000</w:t>
      </w:r>
      <w:r w:rsidRPr="784DFEAA" w:rsidR="65035522">
        <w:rPr>
          <w:sz w:val="24"/>
          <w:szCs w:val="24"/>
        </w:rPr>
        <w:t xml:space="preserve"> on an annual basis.</w:t>
      </w:r>
      <w:r w:rsidR="005E0098">
        <w:rPr>
          <w:sz w:val="24"/>
          <w:szCs w:val="24"/>
        </w:rPr>
        <w:t xml:space="preserve"> </w:t>
      </w:r>
      <w:r w:rsidRPr="784DFEAA" w:rsidR="65035522">
        <w:rPr>
          <w:sz w:val="24"/>
          <w:szCs w:val="24"/>
        </w:rPr>
        <w:t>This estimate is based on experience with prior NOFO application cycles.</w:t>
      </w:r>
      <w:r w:rsidR="00CC1B07">
        <w:rPr>
          <w:sz w:val="24"/>
          <w:szCs w:val="24"/>
        </w:rPr>
        <w:t xml:space="preserve"> </w:t>
      </w:r>
      <w:r w:rsidR="00E128F3">
        <w:rPr>
          <w:sz w:val="24"/>
          <w:szCs w:val="24"/>
        </w:rPr>
        <w:t xml:space="preserve">On average, </w:t>
      </w:r>
      <w:r w:rsidR="00CC1B07">
        <w:rPr>
          <w:sz w:val="24"/>
          <w:szCs w:val="24"/>
        </w:rPr>
        <w:t xml:space="preserve">PHMSA </w:t>
      </w:r>
      <w:r w:rsidR="00E128F3">
        <w:rPr>
          <w:sz w:val="24"/>
          <w:szCs w:val="24"/>
        </w:rPr>
        <w:t>receives 200</w:t>
      </w:r>
      <w:r w:rsidR="00B97EA3">
        <w:rPr>
          <w:sz w:val="24"/>
          <w:szCs w:val="24"/>
        </w:rPr>
        <w:t xml:space="preserve"> applications per year. </w:t>
      </w:r>
      <w:r w:rsidRPr="784DFEAA" w:rsidR="003B16AD">
        <w:rPr>
          <w:sz w:val="24"/>
          <w:szCs w:val="24"/>
        </w:rPr>
        <w:t>PHM</w:t>
      </w:r>
      <w:r w:rsidRPr="784DFEAA" w:rsidR="00AC0C75">
        <w:rPr>
          <w:sz w:val="24"/>
          <w:szCs w:val="24"/>
        </w:rPr>
        <w:t>S</w:t>
      </w:r>
      <w:r w:rsidRPr="784DFEAA" w:rsidR="003B16AD">
        <w:rPr>
          <w:sz w:val="24"/>
          <w:szCs w:val="24"/>
        </w:rPr>
        <w:t xml:space="preserve">A estimates that it will </w:t>
      </w:r>
      <w:r w:rsidRPr="784DFEAA" w:rsidR="000B44D9">
        <w:rPr>
          <w:sz w:val="24"/>
          <w:szCs w:val="24"/>
        </w:rPr>
        <w:t>spend</w:t>
      </w:r>
      <w:r w:rsidRPr="784DFEAA" w:rsidR="003B16AD">
        <w:rPr>
          <w:sz w:val="24"/>
          <w:szCs w:val="24"/>
        </w:rPr>
        <w:t xml:space="preserve"> approximately </w:t>
      </w:r>
      <w:r w:rsidRPr="784DFEAA" w:rsidR="22597737">
        <w:rPr>
          <w:sz w:val="24"/>
          <w:szCs w:val="24"/>
        </w:rPr>
        <w:t>2</w:t>
      </w:r>
      <w:r w:rsidRPr="784DFEAA" w:rsidR="000B44D9">
        <w:rPr>
          <w:sz w:val="24"/>
          <w:szCs w:val="24"/>
        </w:rPr>
        <w:t xml:space="preserve">3 hours, per application, reviewing and </w:t>
      </w:r>
      <w:r w:rsidRPr="784DFEAA" w:rsidR="00940F76">
        <w:rPr>
          <w:sz w:val="24"/>
          <w:szCs w:val="24"/>
        </w:rPr>
        <w:t>rating</w:t>
      </w:r>
      <w:r w:rsidRPr="784DFEAA" w:rsidR="000B44D9">
        <w:rPr>
          <w:sz w:val="24"/>
          <w:szCs w:val="24"/>
        </w:rPr>
        <w:t xml:space="preserve"> each</w:t>
      </w:r>
      <w:r w:rsidRPr="784DFEAA" w:rsidR="00940F76">
        <w:rPr>
          <w:sz w:val="24"/>
          <w:szCs w:val="24"/>
        </w:rPr>
        <w:t xml:space="preserve"> </w:t>
      </w:r>
      <w:r w:rsidRPr="784DFEAA" w:rsidR="24E985F3">
        <w:rPr>
          <w:sz w:val="24"/>
          <w:szCs w:val="24"/>
        </w:rPr>
        <w:t>application.</w:t>
      </w:r>
      <w:r w:rsidR="005E0098">
        <w:rPr>
          <w:sz w:val="24"/>
          <w:szCs w:val="24"/>
        </w:rPr>
        <w:t xml:space="preserve"> </w:t>
      </w:r>
      <w:r w:rsidRPr="784DFEAA" w:rsidR="000B44D9">
        <w:rPr>
          <w:sz w:val="24"/>
          <w:szCs w:val="24"/>
        </w:rPr>
        <w:t>At a rate of approximately $</w:t>
      </w:r>
      <w:r w:rsidR="00E479AC">
        <w:rPr>
          <w:sz w:val="24"/>
          <w:szCs w:val="24"/>
        </w:rPr>
        <w:t>75</w:t>
      </w:r>
      <w:r w:rsidRPr="784DFEAA" w:rsidR="00E479AC">
        <w:rPr>
          <w:sz w:val="24"/>
          <w:szCs w:val="24"/>
        </w:rPr>
        <w:t xml:space="preserve"> </w:t>
      </w:r>
      <w:r w:rsidRPr="784DFEAA" w:rsidR="000B44D9">
        <w:rPr>
          <w:sz w:val="24"/>
          <w:szCs w:val="24"/>
        </w:rPr>
        <w:t xml:space="preserve">per hour, </w:t>
      </w:r>
      <w:r w:rsidRPr="784DFEAA" w:rsidR="00DE3409">
        <w:rPr>
          <w:sz w:val="24"/>
          <w:szCs w:val="24"/>
        </w:rPr>
        <w:t xml:space="preserve">including fringe benefits, </w:t>
      </w:r>
      <w:r w:rsidRPr="784DFEAA" w:rsidR="000B44D9">
        <w:rPr>
          <w:sz w:val="24"/>
          <w:szCs w:val="24"/>
        </w:rPr>
        <w:t>PHMSA expects that this information collection will cost the federal government $</w:t>
      </w:r>
      <w:r w:rsidR="00076762">
        <w:rPr>
          <w:sz w:val="24"/>
          <w:szCs w:val="24"/>
        </w:rPr>
        <w:t>345</w:t>
      </w:r>
      <w:r w:rsidRPr="784DFEAA" w:rsidR="000B44D9">
        <w:rPr>
          <w:sz w:val="24"/>
          <w:szCs w:val="24"/>
        </w:rPr>
        <w:t>,00</w:t>
      </w:r>
      <w:r w:rsidRPr="784DFEAA" w:rsidR="00940F76">
        <w:rPr>
          <w:sz w:val="24"/>
          <w:szCs w:val="24"/>
        </w:rPr>
        <w:t>0 annually.</w:t>
      </w:r>
    </w:p>
    <w:p w:rsidR="00FF758C" w:rsidP="00FF758C" w14:paraId="5B109BFF" w14:textId="77777777">
      <w:pPr>
        <w:pStyle w:val="BodyText"/>
        <w:keepLines w:val="0"/>
        <w:tabs>
          <w:tab w:val="left" w:pos="360"/>
        </w:tabs>
        <w:spacing w:after="0"/>
        <w:rPr>
          <w:sz w:val="24"/>
          <w:szCs w:val="24"/>
        </w:rPr>
      </w:pPr>
    </w:p>
    <w:p w:rsidR="00FF758C" w:rsidRPr="002A4BE3" w:rsidP="00FF758C" w14:paraId="273D6792" w14:textId="2D3E18CF">
      <w:pPr>
        <w:pStyle w:val="BodyText"/>
        <w:keepLines w:val="0"/>
        <w:tabs>
          <w:tab w:val="left" w:pos="360"/>
        </w:tabs>
        <w:spacing w:after="0"/>
        <w:rPr>
          <w:sz w:val="24"/>
          <w:szCs w:val="24"/>
        </w:rPr>
      </w:pPr>
      <w:r>
        <w:rPr>
          <w:sz w:val="24"/>
          <w:szCs w:val="24"/>
        </w:rPr>
        <w:t>The hourly cost reflects the rate of PHMSA staff</w:t>
      </w:r>
      <w:r w:rsidR="006C17A7">
        <w:rPr>
          <w:sz w:val="24"/>
          <w:szCs w:val="24"/>
        </w:rPr>
        <w:t xml:space="preserve">, including fringe benefits, </w:t>
      </w:r>
      <w:r>
        <w:rPr>
          <w:sz w:val="24"/>
          <w:szCs w:val="24"/>
        </w:rPr>
        <w:t>who are assigned to perform each of the required actions listed in the chart below.</w:t>
      </w:r>
      <w:r w:rsidR="005E0098">
        <w:rPr>
          <w:sz w:val="24"/>
          <w:szCs w:val="24"/>
        </w:rPr>
        <w:t xml:space="preserve"> </w:t>
      </w:r>
      <w:r>
        <w:rPr>
          <w:sz w:val="24"/>
          <w:szCs w:val="24"/>
        </w:rPr>
        <w:t>The hourly cost is based on PHMSA</w:t>
      </w:r>
      <w:r w:rsidR="00076762">
        <w:rPr>
          <w:sz w:val="24"/>
          <w:szCs w:val="24"/>
        </w:rPr>
        <w:t>’s</w:t>
      </w:r>
      <w:r>
        <w:rPr>
          <w:sz w:val="24"/>
          <w:szCs w:val="24"/>
        </w:rPr>
        <w:t xml:space="preserve"> experience under </w:t>
      </w:r>
      <w:r w:rsidR="00076762">
        <w:rPr>
          <w:sz w:val="24"/>
          <w:szCs w:val="24"/>
        </w:rPr>
        <w:t xml:space="preserve">pervious </w:t>
      </w:r>
      <w:r>
        <w:rPr>
          <w:sz w:val="24"/>
          <w:szCs w:val="24"/>
        </w:rPr>
        <w:t>application</w:t>
      </w:r>
      <w:r w:rsidR="00076762">
        <w:rPr>
          <w:sz w:val="24"/>
          <w:szCs w:val="24"/>
        </w:rPr>
        <w:t xml:space="preserve"> review</w:t>
      </w:r>
      <w:r>
        <w:rPr>
          <w:sz w:val="24"/>
          <w:szCs w:val="24"/>
        </w:rPr>
        <w:t xml:space="preserve"> cycles</w:t>
      </w:r>
      <w:r w:rsidR="00076762">
        <w:rPr>
          <w:sz w:val="24"/>
          <w:szCs w:val="24"/>
        </w:rPr>
        <w:t xml:space="preserve"> of this grant program</w:t>
      </w:r>
      <w:r>
        <w:rPr>
          <w:sz w:val="24"/>
          <w:szCs w:val="24"/>
        </w:rPr>
        <w:t>.</w:t>
      </w:r>
    </w:p>
    <w:p w:rsidR="00FF758C" w:rsidRPr="002A4BE3" w:rsidP="00FF758C" w14:paraId="79BB0F06" w14:textId="77777777">
      <w:pPr>
        <w:tabs>
          <w:tab w:val="left" w:pos="360"/>
        </w:tabs>
        <w:rPr>
          <w:color w:val="000000"/>
          <w:szCs w:val="24"/>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1147"/>
        <w:gridCol w:w="1170"/>
        <w:gridCol w:w="1440"/>
        <w:gridCol w:w="1260"/>
        <w:gridCol w:w="1170"/>
        <w:gridCol w:w="1260"/>
      </w:tblGrid>
      <w:tr w14:paraId="435366BF" w14:textId="77777777" w:rsidTr="784DFEAA">
        <w:tblPrEx>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88"/>
        </w:trPr>
        <w:tc>
          <w:tcPr>
            <w:tcW w:w="1710" w:type="dxa"/>
          </w:tcPr>
          <w:p w:rsidR="00FF758C" w:rsidRPr="00DA2C6C" w:rsidP="001174AD" w14:paraId="183C41DB" w14:textId="77777777">
            <w:pPr>
              <w:keepNext/>
              <w:keepLines/>
              <w:tabs>
                <w:tab w:val="left" w:pos="360"/>
              </w:tabs>
              <w:jc w:val="center"/>
              <w:rPr>
                <w:b/>
                <w:bCs/>
                <w:color w:val="000000"/>
                <w:sz w:val="18"/>
                <w:szCs w:val="18"/>
              </w:rPr>
            </w:pPr>
            <w:r w:rsidRPr="00DA2C6C">
              <w:rPr>
                <w:b/>
                <w:bCs/>
                <w:color w:val="000000"/>
                <w:sz w:val="18"/>
                <w:szCs w:val="18"/>
              </w:rPr>
              <w:t>Required Action</w:t>
            </w:r>
          </w:p>
        </w:tc>
        <w:tc>
          <w:tcPr>
            <w:tcW w:w="1147" w:type="dxa"/>
          </w:tcPr>
          <w:p w:rsidR="00FF758C" w:rsidRPr="00DA2C6C" w:rsidP="001174AD" w14:paraId="5AB73EF5" w14:textId="77777777">
            <w:pPr>
              <w:keepNext/>
              <w:keepLines/>
              <w:tabs>
                <w:tab w:val="left" w:pos="360"/>
              </w:tabs>
              <w:ind w:left="-108" w:firstLine="108"/>
              <w:jc w:val="center"/>
              <w:rPr>
                <w:b/>
                <w:bCs/>
                <w:color w:val="000000"/>
                <w:sz w:val="18"/>
                <w:szCs w:val="18"/>
              </w:rPr>
            </w:pPr>
            <w:r w:rsidRPr="00DA2C6C">
              <w:rPr>
                <w:b/>
                <w:bCs/>
                <w:color w:val="000000"/>
                <w:sz w:val="18"/>
                <w:szCs w:val="18"/>
              </w:rPr>
              <w:t>Frequency of Action</w:t>
            </w:r>
          </w:p>
        </w:tc>
        <w:tc>
          <w:tcPr>
            <w:tcW w:w="1170" w:type="dxa"/>
          </w:tcPr>
          <w:p w:rsidR="00FF758C" w:rsidRPr="00DA2C6C" w:rsidP="001174AD" w14:paraId="42F71306" w14:textId="77777777">
            <w:pPr>
              <w:keepNext/>
              <w:keepLines/>
              <w:tabs>
                <w:tab w:val="left" w:pos="360"/>
              </w:tabs>
              <w:ind w:left="-108" w:firstLine="108"/>
              <w:jc w:val="center"/>
              <w:rPr>
                <w:b/>
                <w:bCs/>
                <w:color w:val="000000"/>
                <w:sz w:val="18"/>
                <w:szCs w:val="18"/>
              </w:rPr>
            </w:pPr>
            <w:r w:rsidRPr="00DA2C6C">
              <w:rPr>
                <w:b/>
                <w:bCs/>
                <w:color w:val="000000"/>
                <w:sz w:val="18"/>
                <w:szCs w:val="18"/>
              </w:rPr>
              <w:t>Hours per Action</w:t>
            </w:r>
          </w:p>
        </w:tc>
        <w:tc>
          <w:tcPr>
            <w:tcW w:w="1440" w:type="dxa"/>
          </w:tcPr>
          <w:p w:rsidR="00FF758C" w:rsidRPr="00DA2C6C" w:rsidP="001174AD" w14:paraId="1BA194BD" w14:textId="77777777">
            <w:pPr>
              <w:tabs>
                <w:tab w:val="left" w:pos="360"/>
              </w:tabs>
              <w:ind w:left="-108" w:firstLine="108"/>
              <w:jc w:val="center"/>
              <w:rPr>
                <w:b/>
                <w:bCs/>
                <w:color w:val="000000"/>
                <w:sz w:val="18"/>
                <w:szCs w:val="18"/>
              </w:rPr>
            </w:pPr>
            <w:r w:rsidRPr="00DA2C6C">
              <w:rPr>
                <w:b/>
                <w:bCs/>
                <w:color w:val="000000"/>
                <w:sz w:val="18"/>
                <w:szCs w:val="18"/>
              </w:rPr>
              <w:t>Number of Respondents</w:t>
            </w:r>
          </w:p>
        </w:tc>
        <w:tc>
          <w:tcPr>
            <w:tcW w:w="1260" w:type="dxa"/>
          </w:tcPr>
          <w:p w:rsidR="00FF758C" w:rsidRPr="00DA2C6C" w:rsidP="001174AD" w14:paraId="20D3DC0C" w14:textId="77777777">
            <w:pPr>
              <w:tabs>
                <w:tab w:val="left" w:pos="360"/>
              </w:tabs>
              <w:ind w:left="-108" w:firstLine="108"/>
              <w:jc w:val="center"/>
              <w:rPr>
                <w:b/>
                <w:bCs/>
                <w:color w:val="000000"/>
                <w:sz w:val="18"/>
                <w:szCs w:val="18"/>
              </w:rPr>
            </w:pPr>
            <w:r w:rsidRPr="00DA2C6C">
              <w:rPr>
                <w:b/>
                <w:bCs/>
                <w:color w:val="000000"/>
                <w:sz w:val="18"/>
                <w:szCs w:val="18"/>
              </w:rPr>
              <w:t xml:space="preserve">Number of </w:t>
            </w:r>
            <w:r w:rsidRPr="00DA2C6C" w:rsidR="00DA2C6C">
              <w:rPr>
                <w:b/>
                <w:bCs/>
                <w:color w:val="000000"/>
                <w:sz w:val="18"/>
                <w:szCs w:val="18"/>
              </w:rPr>
              <w:t>PHMSA</w:t>
            </w:r>
            <w:r w:rsidRPr="00DA2C6C">
              <w:rPr>
                <w:b/>
                <w:bCs/>
                <w:color w:val="000000"/>
                <w:sz w:val="18"/>
                <w:szCs w:val="18"/>
              </w:rPr>
              <w:t xml:space="preserve"> Staff Hours</w:t>
            </w:r>
          </w:p>
        </w:tc>
        <w:tc>
          <w:tcPr>
            <w:tcW w:w="1170" w:type="dxa"/>
          </w:tcPr>
          <w:p w:rsidR="00FF758C" w:rsidRPr="00DA2C6C" w:rsidP="001174AD" w14:paraId="7AAD7379" w14:textId="77777777">
            <w:pPr>
              <w:tabs>
                <w:tab w:val="left" w:pos="360"/>
              </w:tabs>
              <w:ind w:left="-108" w:firstLine="108"/>
              <w:jc w:val="center"/>
              <w:rPr>
                <w:b/>
                <w:bCs/>
                <w:color w:val="000000"/>
                <w:sz w:val="18"/>
                <w:szCs w:val="18"/>
              </w:rPr>
            </w:pPr>
            <w:r w:rsidRPr="00DA2C6C">
              <w:rPr>
                <w:b/>
                <w:bCs/>
                <w:color w:val="000000"/>
                <w:sz w:val="18"/>
                <w:szCs w:val="18"/>
              </w:rPr>
              <w:t>Average GS Hourly Rate</w:t>
            </w:r>
          </w:p>
        </w:tc>
        <w:tc>
          <w:tcPr>
            <w:tcW w:w="1260" w:type="dxa"/>
          </w:tcPr>
          <w:p w:rsidR="00FF758C" w:rsidRPr="00DA2C6C" w:rsidP="001174AD" w14:paraId="6B33F538" w14:textId="77777777">
            <w:pPr>
              <w:tabs>
                <w:tab w:val="left" w:pos="360"/>
              </w:tabs>
              <w:ind w:left="-108" w:firstLine="108"/>
              <w:jc w:val="center"/>
              <w:rPr>
                <w:b/>
                <w:bCs/>
                <w:color w:val="000000"/>
                <w:sz w:val="18"/>
                <w:szCs w:val="18"/>
              </w:rPr>
            </w:pPr>
            <w:r w:rsidRPr="00DA2C6C">
              <w:rPr>
                <w:b/>
                <w:bCs/>
                <w:color w:val="000000"/>
                <w:sz w:val="18"/>
                <w:szCs w:val="18"/>
              </w:rPr>
              <w:t>Annual Cost</w:t>
            </w:r>
          </w:p>
        </w:tc>
      </w:tr>
      <w:tr w14:paraId="23A9DA8C" w14:textId="77777777" w:rsidTr="784DFEAA">
        <w:tblPrEx>
          <w:tblW w:w="9157" w:type="dxa"/>
          <w:tblInd w:w="108" w:type="dxa"/>
          <w:tblLayout w:type="fixed"/>
          <w:tblLook w:val="0000"/>
        </w:tblPrEx>
        <w:trPr>
          <w:trHeight w:val="510"/>
        </w:trPr>
        <w:tc>
          <w:tcPr>
            <w:tcW w:w="1710" w:type="dxa"/>
          </w:tcPr>
          <w:p w:rsidR="00FF758C" w:rsidRPr="00DA2C6C" w:rsidP="001174AD" w14:paraId="282521EB" w14:textId="65F6791B">
            <w:pPr>
              <w:keepNext/>
              <w:keepLines/>
              <w:ind w:right="-7726"/>
              <w:jc w:val="both"/>
              <w:rPr>
                <w:rFonts w:eastAsia="Calibri"/>
                <w:color w:val="000000"/>
                <w:sz w:val="18"/>
                <w:szCs w:val="18"/>
              </w:rPr>
            </w:pPr>
            <w:r w:rsidRPr="584FC3A7">
              <w:rPr>
                <w:rFonts w:eastAsia="Calibri"/>
                <w:color w:val="000000" w:themeColor="text1"/>
                <w:sz w:val="18"/>
                <w:szCs w:val="18"/>
              </w:rPr>
              <w:t>Eligibility Review</w:t>
            </w:r>
          </w:p>
        </w:tc>
        <w:tc>
          <w:tcPr>
            <w:tcW w:w="1147" w:type="dxa"/>
          </w:tcPr>
          <w:p w:rsidR="00FF758C" w:rsidRPr="00DA2C6C" w:rsidP="001174AD" w14:paraId="3393049F" w14:textId="77777777">
            <w:pPr>
              <w:keepNext/>
              <w:keepLines/>
              <w:tabs>
                <w:tab w:val="left" w:pos="360"/>
              </w:tabs>
              <w:ind w:left="-108" w:firstLine="108"/>
              <w:jc w:val="right"/>
              <w:rPr>
                <w:rFonts w:eastAsia="Calibri"/>
                <w:color w:val="000000"/>
                <w:sz w:val="18"/>
                <w:szCs w:val="18"/>
              </w:rPr>
            </w:pPr>
          </w:p>
          <w:p w:rsidR="00FF758C" w:rsidRPr="00DA2C6C" w:rsidP="001174AD" w14:paraId="2A250FD8" w14:textId="77777777">
            <w:pPr>
              <w:keepNext/>
              <w:keepLines/>
              <w:tabs>
                <w:tab w:val="left" w:pos="360"/>
              </w:tabs>
              <w:ind w:left="-108" w:firstLine="108"/>
              <w:jc w:val="right"/>
              <w:rPr>
                <w:rFonts w:eastAsia="Calibri"/>
                <w:color w:val="000000"/>
                <w:sz w:val="18"/>
                <w:szCs w:val="18"/>
              </w:rPr>
            </w:pPr>
            <w:r w:rsidRPr="00DA2C6C">
              <w:rPr>
                <w:rFonts w:eastAsia="Calibri"/>
                <w:color w:val="000000"/>
                <w:sz w:val="18"/>
                <w:szCs w:val="18"/>
              </w:rPr>
              <w:t>1</w:t>
            </w:r>
            <w:r w:rsidRPr="00DA2C6C">
              <w:rPr>
                <w:sz w:val="18"/>
                <w:szCs w:val="18"/>
              </w:rPr>
              <w:t>.00</w:t>
            </w:r>
          </w:p>
        </w:tc>
        <w:tc>
          <w:tcPr>
            <w:tcW w:w="1170" w:type="dxa"/>
          </w:tcPr>
          <w:p w:rsidR="00FF758C" w:rsidRPr="00DA2C6C" w:rsidP="001174AD" w14:paraId="6ADDA144" w14:textId="77777777">
            <w:pPr>
              <w:keepNext/>
              <w:keepLines/>
              <w:tabs>
                <w:tab w:val="left" w:pos="360"/>
              </w:tabs>
              <w:ind w:left="-108" w:firstLine="108"/>
              <w:jc w:val="right"/>
              <w:rPr>
                <w:rFonts w:eastAsia="Calibri"/>
                <w:color w:val="000000"/>
                <w:sz w:val="18"/>
                <w:szCs w:val="18"/>
              </w:rPr>
            </w:pPr>
          </w:p>
          <w:p w:rsidR="00FF758C" w:rsidRPr="00DA2C6C" w:rsidP="001174AD" w14:paraId="538098B3" w14:textId="366ACC97">
            <w:pPr>
              <w:keepNext/>
              <w:keepLines/>
              <w:tabs>
                <w:tab w:val="left" w:pos="360"/>
              </w:tabs>
              <w:ind w:left="-108" w:firstLine="108"/>
              <w:jc w:val="right"/>
              <w:rPr>
                <w:rFonts w:eastAsia="Calibri"/>
                <w:color w:val="000000"/>
                <w:sz w:val="18"/>
                <w:szCs w:val="18"/>
              </w:rPr>
            </w:pPr>
            <w:r w:rsidRPr="584FC3A7">
              <w:rPr>
                <w:sz w:val="18"/>
                <w:szCs w:val="18"/>
              </w:rPr>
              <w:t>5.00</w:t>
            </w:r>
          </w:p>
        </w:tc>
        <w:tc>
          <w:tcPr>
            <w:tcW w:w="1440" w:type="dxa"/>
          </w:tcPr>
          <w:p w:rsidR="00FF758C" w:rsidRPr="00DA2C6C" w:rsidP="001174AD" w14:paraId="076EF38E" w14:textId="77777777">
            <w:pPr>
              <w:tabs>
                <w:tab w:val="left" w:pos="360"/>
              </w:tabs>
              <w:ind w:left="-108" w:firstLine="108"/>
              <w:jc w:val="right"/>
              <w:rPr>
                <w:rFonts w:eastAsia="Calibri"/>
                <w:color w:val="000000"/>
                <w:sz w:val="18"/>
                <w:szCs w:val="18"/>
              </w:rPr>
            </w:pPr>
          </w:p>
          <w:p w:rsidR="00FF758C" w:rsidRPr="00DA2C6C" w:rsidP="001174AD" w14:paraId="468250F9" w14:textId="3CF706C9">
            <w:pPr>
              <w:tabs>
                <w:tab w:val="left" w:pos="360"/>
              </w:tabs>
              <w:ind w:left="-108" w:firstLine="108"/>
              <w:jc w:val="right"/>
              <w:rPr>
                <w:rFonts w:eastAsia="Calibri"/>
                <w:color w:val="000000"/>
                <w:sz w:val="18"/>
                <w:szCs w:val="18"/>
              </w:rPr>
            </w:pPr>
            <w:r>
              <w:rPr>
                <w:rFonts w:eastAsia="Calibri"/>
                <w:color w:val="000000" w:themeColor="text1"/>
                <w:sz w:val="18"/>
                <w:szCs w:val="18"/>
              </w:rPr>
              <w:t>2</w:t>
            </w:r>
            <w:r w:rsidRPr="584FC3A7">
              <w:rPr>
                <w:rFonts w:eastAsia="Calibri"/>
                <w:color w:val="000000" w:themeColor="text1"/>
                <w:sz w:val="18"/>
                <w:szCs w:val="18"/>
              </w:rPr>
              <w:t>00</w:t>
            </w:r>
            <w:r w:rsidRPr="584FC3A7" w:rsidR="65035522">
              <w:rPr>
                <w:sz w:val="18"/>
                <w:szCs w:val="18"/>
              </w:rPr>
              <w:t>.00</w:t>
            </w:r>
          </w:p>
        </w:tc>
        <w:tc>
          <w:tcPr>
            <w:tcW w:w="1260" w:type="dxa"/>
          </w:tcPr>
          <w:p w:rsidR="00FF758C" w:rsidRPr="00DA2C6C" w:rsidP="001174AD" w14:paraId="106937C0" w14:textId="77777777">
            <w:pPr>
              <w:tabs>
                <w:tab w:val="left" w:pos="360"/>
              </w:tabs>
              <w:ind w:left="-108" w:firstLine="108"/>
              <w:jc w:val="right"/>
              <w:rPr>
                <w:rFonts w:eastAsia="Calibri"/>
                <w:color w:val="000000"/>
                <w:sz w:val="18"/>
                <w:szCs w:val="18"/>
              </w:rPr>
            </w:pPr>
          </w:p>
          <w:p w:rsidR="00FF758C" w:rsidRPr="00DA2C6C" w:rsidP="001174AD" w14:paraId="2F8C8BAE" w14:textId="622944CD">
            <w:pPr>
              <w:tabs>
                <w:tab w:val="left" w:pos="360"/>
              </w:tabs>
              <w:ind w:left="-108" w:firstLine="108"/>
              <w:jc w:val="right"/>
              <w:rPr>
                <w:rFonts w:eastAsia="Calibri"/>
                <w:color w:val="000000"/>
                <w:sz w:val="18"/>
                <w:szCs w:val="18"/>
              </w:rPr>
            </w:pPr>
            <w:r>
              <w:rPr>
                <w:rFonts w:eastAsia="Calibri"/>
                <w:color w:val="000000" w:themeColor="text1"/>
                <w:sz w:val="18"/>
                <w:szCs w:val="18"/>
              </w:rPr>
              <w:t>1,000</w:t>
            </w:r>
          </w:p>
        </w:tc>
        <w:tc>
          <w:tcPr>
            <w:tcW w:w="1170" w:type="dxa"/>
          </w:tcPr>
          <w:p w:rsidR="00FF758C" w:rsidRPr="00DA2C6C" w:rsidP="001174AD" w14:paraId="3DD75E43" w14:textId="77777777">
            <w:pPr>
              <w:tabs>
                <w:tab w:val="left" w:pos="360"/>
              </w:tabs>
              <w:ind w:left="-108" w:firstLine="108"/>
              <w:jc w:val="right"/>
              <w:rPr>
                <w:rFonts w:eastAsia="Calibri"/>
                <w:color w:val="000000"/>
                <w:sz w:val="18"/>
                <w:szCs w:val="18"/>
              </w:rPr>
            </w:pPr>
          </w:p>
          <w:p w:rsidR="00FF758C" w:rsidRPr="00DA2C6C" w:rsidP="001174AD" w14:paraId="0A481832" w14:textId="7DCCEDAD">
            <w:pPr>
              <w:tabs>
                <w:tab w:val="left" w:pos="360"/>
              </w:tabs>
              <w:ind w:left="-108" w:firstLine="108"/>
              <w:jc w:val="right"/>
              <w:rPr>
                <w:rFonts w:eastAsia="Calibri"/>
                <w:color w:val="000000"/>
                <w:sz w:val="18"/>
                <w:szCs w:val="18"/>
              </w:rPr>
            </w:pPr>
            <w:r w:rsidRPr="00DA2C6C">
              <w:rPr>
                <w:rFonts w:eastAsia="Calibri"/>
                <w:color w:val="000000"/>
                <w:sz w:val="18"/>
                <w:szCs w:val="18"/>
              </w:rPr>
              <w:t>$</w:t>
            </w:r>
            <w:r w:rsidR="00E479AC">
              <w:rPr>
                <w:rFonts w:eastAsia="Calibri"/>
                <w:color w:val="000000"/>
                <w:sz w:val="18"/>
                <w:szCs w:val="18"/>
              </w:rPr>
              <w:t>75.00</w:t>
            </w:r>
          </w:p>
        </w:tc>
        <w:tc>
          <w:tcPr>
            <w:tcW w:w="1260" w:type="dxa"/>
          </w:tcPr>
          <w:p w:rsidR="00BA17E7" w:rsidP="00BA17E7" w14:paraId="20DAE2C1" w14:textId="77777777">
            <w:pPr>
              <w:tabs>
                <w:tab w:val="left" w:pos="360"/>
              </w:tabs>
              <w:ind w:left="-108" w:firstLine="108"/>
              <w:jc w:val="center"/>
              <w:rPr>
                <w:rFonts w:eastAsia="Calibri"/>
                <w:color w:val="000000"/>
                <w:sz w:val="18"/>
                <w:szCs w:val="18"/>
              </w:rPr>
            </w:pPr>
          </w:p>
          <w:p w:rsidR="00FF758C" w:rsidRPr="00DA2C6C" w:rsidP="003B16AD" w14:paraId="0AD4E034" w14:textId="60A78899">
            <w:pPr>
              <w:tabs>
                <w:tab w:val="left" w:pos="360"/>
              </w:tabs>
              <w:ind w:left="-108" w:firstLine="108"/>
              <w:jc w:val="center"/>
              <w:rPr>
                <w:rFonts w:eastAsia="Calibri"/>
                <w:color w:val="000000"/>
                <w:sz w:val="18"/>
                <w:szCs w:val="18"/>
              </w:rPr>
            </w:pPr>
            <w:r>
              <w:rPr>
                <w:rFonts w:eastAsia="Calibri"/>
                <w:color w:val="000000"/>
                <w:sz w:val="18"/>
                <w:szCs w:val="18"/>
              </w:rPr>
              <w:t>$</w:t>
            </w:r>
            <w:r w:rsidR="00E479AC">
              <w:rPr>
                <w:rFonts w:eastAsia="Calibri"/>
                <w:color w:val="000000"/>
                <w:sz w:val="18"/>
                <w:szCs w:val="18"/>
              </w:rPr>
              <w:t>75</w:t>
            </w:r>
            <w:r>
              <w:rPr>
                <w:rFonts w:eastAsia="Calibri"/>
                <w:color w:val="000000"/>
                <w:sz w:val="18"/>
                <w:szCs w:val="18"/>
              </w:rPr>
              <w:t>,000.00</w:t>
            </w:r>
          </w:p>
        </w:tc>
      </w:tr>
      <w:tr w14:paraId="6008760A" w14:textId="77777777" w:rsidTr="784DFEAA">
        <w:tblPrEx>
          <w:tblW w:w="9157" w:type="dxa"/>
          <w:tblInd w:w="108" w:type="dxa"/>
          <w:tblLayout w:type="fixed"/>
          <w:tblLook w:val="0000"/>
        </w:tblPrEx>
        <w:tc>
          <w:tcPr>
            <w:tcW w:w="1710" w:type="dxa"/>
          </w:tcPr>
          <w:p w:rsidR="00FF758C" w:rsidRPr="00DA2C6C" w:rsidP="003B16AD" w14:paraId="4631F46A" w14:textId="0C298341">
            <w:pPr>
              <w:keepNext/>
              <w:keepLines/>
              <w:rPr>
                <w:rFonts w:eastAsia="Calibri"/>
                <w:color w:val="000000"/>
                <w:sz w:val="18"/>
                <w:szCs w:val="18"/>
              </w:rPr>
            </w:pPr>
            <w:r w:rsidRPr="584FC3A7">
              <w:rPr>
                <w:rFonts w:eastAsia="Calibri"/>
                <w:color w:val="000000" w:themeColor="text1"/>
                <w:sz w:val="18"/>
                <w:szCs w:val="18"/>
              </w:rPr>
              <w:t>Technical Review &amp; Rating Application</w:t>
            </w:r>
          </w:p>
        </w:tc>
        <w:tc>
          <w:tcPr>
            <w:tcW w:w="1147" w:type="dxa"/>
          </w:tcPr>
          <w:p w:rsidR="00FF758C" w:rsidRPr="00DA2C6C" w:rsidP="001174AD" w14:paraId="057A7242" w14:textId="77777777">
            <w:pPr>
              <w:keepNext/>
              <w:keepLines/>
              <w:tabs>
                <w:tab w:val="left" w:pos="360"/>
              </w:tabs>
              <w:ind w:left="-108" w:firstLine="108"/>
              <w:jc w:val="right"/>
              <w:rPr>
                <w:rFonts w:eastAsia="Calibri"/>
                <w:color w:val="000000"/>
                <w:sz w:val="18"/>
                <w:szCs w:val="18"/>
              </w:rPr>
            </w:pPr>
          </w:p>
          <w:p w:rsidR="00FF758C" w:rsidRPr="00DA2C6C" w:rsidP="001174AD" w14:paraId="457E0918" w14:textId="031BA2B2">
            <w:pPr>
              <w:keepNext/>
              <w:keepLines/>
              <w:tabs>
                <w:tab w:val="left" w:pos="360"/>
              </w:tabs>
              <w:ind w:left="-108" w:firstLine="108"/>
              <w:jc w:val="right"/>
              <w:rPr>
                <w:rFonts w:eastAsia="Calibri"/>
                <w:color w:val="000000"/>
                <w:sz w:val="18"/>
                <w:szCs w:val="18"/>
              </w:rPr>
            </w:pPr>
            <w:r w:rsidRPr="784DFEAA">
              <w:rPr>
                <w:rFonts w:eastAsia="Calibri"/>
                <w:color w:val="000000" w:themeColor="text1"/>
                <w:sz w:val="18"/>
                <w:szCs w:val="18"/>
              </w:rPr>
              <w:t>2</w:t>
            </w:r>
            <w:r w:rsidRPr="784DFEAA" w:rsidR="002152DD">
              <w:rPr>
                <w:sz w:val="18"/>
                <w:szCs w:val="18"/>
              </w:rPr>
              <w:t>.00</w:t>
            </w:r>
          </w:p>
        </w:tc>
        <w:tc>
          <w:tcPr>
            <w:tcW w:w="1170" w:type="dxa"/>
          </w:tcPr>
          <w:p w:rsidR="00FF758C" w:rsidRPr="00DA2C6C" w:rsidP="001174AD" w14:paraId="0F2FC3A0" w14:textId="77777777">
            <w:pPr>
              <w:keepNext/>
              <w:keepLines/>
              <w:tabs>
                <w:tab w:val="left" w:pos="360"/>
              </w:tabs>
              <w:ind w:left="-108" w:firstLine="108"/>
              <w:jc w:val="right"/>
              <w:rPr>
                <w:rFonts w:eastAsia="Calibri"/>
                <w:color w:val="000000"/>
                <w:sz w:val="18"/>
                <w:szCs w:val="18"/>
              </w:rPr>
            </w:pPr>
          </w:p>
          <w:p w:rsidR="00FF758C" w:rsidRPr="00DA2C6C" w:rsidP="001174AD" w14:paraId="367085CD" w14:textId="41E3C029">
            <w:pPr>
              <w:keepNext/>
              <w:keepLines/>
              <w:tabs>
                <w:tab w:val="left" w:pos="360"/>
              </w:tabs>
              <w:ind w:left="-108" w:firstLine="108"/>
              <w:jc w:val="right"/>
              <w:rPr>
                <w:rFonts w:eastAsia="Calibri"/>
                <w:color w:val="000000"/>
                <w:sz w:val="18"/>
                <w:szCs w:val="18"/>
              </w:rPr>
            </w:pPr>
            <w:r w:rsidRPr="784DFEAA">
              <w:rPr>
                <w:sz w:val="18"/>
                <w:szCs w:val="18"/>
              </w:rPr>
              <w:t>7</w:t>
            </w:r>
            <w:r w:rsidRPr="784DFEAA" w:rsidR="002152DD">
              <w:rPr>
                <w:sz w:val="18"/>
                <w:szCs w:val="18"/>
              </w:rPr>
              <w:t>.00</w:t>
            </w:r>
          </w:p>
        </w:tc>
        <w:tc>
          <w:tcPr>
            <w:tcW w:w="1440" w:type="dxa"/>
          </w:tcPr>
          <w:p w:rsidR="00FF758C" w:rsidRPr="00DA2C6C" w:rsidP="001174AD" w14:paraId="15C9D78D" w14:textId="77777777">
            <w:pPr>
              <w:tabs>
                <w:tab w:val="left" w:pos="360"/>
              </w:tabs>
              <w:ind w:left="-108" w:firstLine="108"/>
              <w:jc w:val="right"/>
              <w:rPr>
                <w:rFonts w:eastAsia="Calibri"/>
                <w:color w:val="000000"/>
                <w:sz w:val="18"/>
                <w:szCs w:val="18"/>
              </w:rPr>
            </w:pPr>
          </w:p>
          <w:p w:rsidR="00FF758C" w:rsidRPr="00DA2C6C" w:rsidP="003B16AD" w14:paraId="7B5EFA09" w14:textId="11E1B8C3">
            <w:pPr>
              <w:tabs>
                <w:tab w:val="left" w:pos="360"/>
              </w:tabs>
              <w:ind w:left="-108"/>
              <w:jc w:val="right"/>
              <w:rPr>
                <w:rFonts w:eastAsia="Calibri"/>
                <w:color w:val="000000"/>
                <w:sz w:val="18"/>
                <w:szCs w:val="18"/>
              </w:rPr>
            </w:pPr>
            <w:r>
              <w:rPr>
                <w:sz w:val="18"/>
                <w:szCs w:val="18"/>
              </w:rPr>
              <w:t>2</w:t>
            </w:r>
            <w:r w:rsidRPr="584FC3A7">
              <w:rPr>
                <w:sz w:val="18"/>
                <w:szCs w:val="18"/>
              </w:rPr>
              <w:t>00</w:t>
            </w:r>
            <w:r w:rsidRPr="584FC3A7" w:rsidR="65035522">
              <w:rPr>
                <w:sz w:val="18"/>
                <w:szCs w:val="18"/>
              </w:rPr>
              <w:t>.00</w:t>
            </w:r>
          </w:p>
        </w:tc>
        <w:tc>
          <w:tcPr>
            <w:tcW w:w="1260" w:type="dxa"/>
          </w:tcPr>
          <w:p w:rsidR="00FF758C" w:rsidRPr="00DA2C6C" w:rsidP="001174AD" w14:paraId="05AB25DB" w14:textId="77777777">
            <w:pPr>
              <w:tabs>
                <w:tab w:val="left" w:pos="360"/>
              </w:tabs>
              <w:ind w:left="-108" w:firstLine="108"/>
              <w:jc w:val="right"/>
              <w:rPr>
                <w:rFonts w:eastAsia="Calibri"/>
                <w:color w:val="000000"/>
                <w:sz w:val="18"/>
                <w:szCs w:val="18"/>
              </w:rPr>
            </w:pPr>
          </w:p>
          <w:p w:rsidR="00FF758C" w:rsidRPr="00DA2C6C" w:rsidP="001174AD" w14:paraId="11D7FC55" w14:textId="01463826">
            <w:pPr>
              <w:tabs>
                <w:tab w:val="left" w:pos="360"/>
              </w:tabs>
              <w:ind w:left="-108" w:firstLine="108"/>
              <w:jc w:val="right"/>
              <w:rPr>
                <w:rFonts w:eastAsia="Calibri"/>
                <w:color w:val="000000"/>
                <w:sz w:val="18"/>
                <w:szCs w:val="18"/>
              </w:rPr>
            </w:pPr>
            <w:r w:rsidRPr="784DFEAA">
              <w:rPr>
                <w:rFonts w:eastAsia="Calibri"/>
                <w:color w:val="000000" w:themeColor="text1"/>
                <w:sz w:val="18"/>
                <w:szCs w:val="18"/>
              </w:rPr>
              <w:t>2,8</w:t>
            </w:r>
            <w:r w:rsidRPr="784DFEAA" w:rsidR="002152DD">
              <w:rPr>
                <w:rFonts w:eastAsia="Calibri"/>
                <w:color w:val="000000" w:themeColor="text1"/>
                <w:sz w:val="18"/>
                <w:szCs w:val="18"/>
              </w:rPr>
              <w:t>00</w:t>
            </w:r>
          </w:p>
        </w:tc>
        <w:tc>
          <w:tcPr>
            <w:tcW w:w="1170" w:type="dxa"/>
          </w:tcPr>
          <w:p w:rsidR="00FF758C" w:rsidRPr="00DA2C6C" w:rsidP="001174AD" w14:paraId="25F7FE14" w14:textId="77777777">
            <w:pPr>
              <w:tabs>
                <w:tab w:val="left" w:pos="360"/>
              </w:tabs>
              <w:ind w:left="-108" w:firstLine="108"/>
              <w:jc w:val="right"/>
              <w:rPr>
                <w:rFonts w:eastAsia="Calibri"/>
                <w:color w:val="000000"/>
                <w:sz w:val="18"/>
                <w:szCs w:val="18"/>
              </w:rPr>
            </w:pPr>
          </w:p>
          <w:p w:rsidR="00FF758C" w:rsidRPr="00DA2C6C" w:rsidP="001174AD" w14:paraId="35DB1DC2" w14:textId="254DD93A">
            <w:pPr>
              <w:tabs>
                <w:tab w:val="left" w:pos="360"/>
              </w:tabs>
              <w:ind w:left="-108" w:firstLine="108"/>
              <w:jc w:val="right"/>
              <w:rPr>
                <w:rFonts w:eastAsia="Calibri"/>
                <w:color w:val="000000"/>
                <w:sz w:val="18"/>
                <w:szCs w:val="18"/>
              </w:rPr>
            </w:pPr>
            <w:r w:rsidRPr="00DA2C6C">
              <w:rPr>
                <w:rFonts w:eastAsia="Calibri"/>
                <w:color w:val="000000"/>
                <w:sz w:val="18"/>
                <w:szCs w:val="18"/>
              </w:rPr>
              <w:t>$</w:t>
            </w:r>
            <w:r w:rsidR="00E479AC">
              <w:rPr>
                <w:rFonts w:eastAsia="Calibri"/>
                <w:color w:val="000000"/>
                <w:sz w:val="18"/>
                <w:szCs w:val="18"/>
              </w:rPr>
              <w:t>75.00</w:t>
            </w:r>
          </w:p>
        </w:tc>
        <w:tc>
          <w:tcPr>
            <w:tcW w:w="1260" w:type="dxa"/>
          </w:tcPr>
          <w:p w:rsidR="00BA17E7" w:rsidP="00BA17E7" w14:paraId="03BD85D2" w14:textId="77777777">
            <w:pPr>
              <w:tabs>
                <w:tab w:val="left" w:pos="360"/>
              </w:tabs>
              <w:ind w:left="-108" w:firstLine="108"/>
              <w:jc w:val="center"/>
              <w:rPr>
                <w:rFonts w:eastAsia="Calibri"/>
                <w:color w:val="000000"/>
                <w:sz w:val="18"/>
                <w:szCs w:val="18"/>
              </w:rPr>
            </w:pPr>
          </w:p>
          <w:p w:rsidR="00FF758C" w:rsidRPr="00DA2C6C" w:rsidP="003B16AD" w14:paraId="321162CF" w14:textId="34DD4558">
            <w:pPr>
              <w:tabs>
                <w:tab w:val="left" w:pos="360"/>
              </w:tabs>
              <w:ind w:left="-108" w:firstLine="108"/>
              <w:jc w:val="center"/>
              <w:rPr>
                <w:rFonts w:eastAsia="Calibri"/>
                <w:color w:val="000000"/>
                <w:sz w:val="18"/>
                <w:szCs w:val="18"/>
              </w:rPr>
            </w:pPr>
            <w:r w:rsidRPr="784DFEAA">
              <w:rPr>
                <w:rFonts w:eastAsia="Calibri"/>
                <w:color w:val="000000" w:themeColor="text1"/>
                <w:sz w:val="18"/>
                <w:szCs w:val="18"/>
              </w:rPr>
              <w:t>$</w:t>
            </w:r>
            <w:r w:rsidR="00680B47">
              <w:rPr>
                <w:rFonts w:eastAsia="Calibri"/>
                <w:color w:val="000000" w:themeColor="text1"/>
                <w:sz w:val="18"/>
                <w:szCs w:val="18"/>
              </w:rPr>
              <w:t>210,</w:t>
            </w:r>
            <w:r w:rsidRPr="784DFEAA">
              <w:rPr>
                <w:rFonts w:eastAsia="Calibri"/>
                <w:color w:val="000000" w:themeColor="text1"/>
                <w:sz w:val="18"/>
                <w:szCs w:val="18"/>
              </w:rPr>
              <w:t>000.00</w:t>
            </w:r>
          </w:p>
        </w:tc>
      </w:tr>
      <w:tr w14:paraId="23831D09" w14:textId="77777777" w:rsidTr="784DFEAA">
        <w:tblPrEx>
          <w:tblW w:w="9157" w:type="dxa"/>
          <w:tblInd w:w="108" w:type="dxa"/>
          <w:tblLayout w:type="fixed"/>
          <w:tblLook w:val="0000"/>
        </w:tblPrEx>
        <w:tc>
          <w:tcPr>
            <w:tcW w:w="1710" w:type="dxa"/>
          </w:tcPr>
          <w:p w:rsidR="003B16AD" w:rsidP="001174AD" w14:paraId="4F648FCA" w14:textId="77777777">
            <w:pPr>
              <w:keepNext/>
              <w:keepLines/>
              <w:jc w:val="both"/>
              <w:rPr>
                <w:rFonts w:eastAsia="Calibri"/>
                <w:color w:val="000000"/>
                <w:sz w:val="18"/>
                <w:szCs w:val="18"/>
              </w:rPr>
            </w:pPr>
          </w:p>
          <w:p w:rsidR="00FF758C" w:rsidRPr="00DA2C6C" w:rsidP="001174AD" w14:paraId="71F3F4CA" w14:textId="12C5F56A">
            <w:pPr>
              <w:keepNext/>
              <w:keepLines/>
              <w:jc w:val="both"/>
              <w:rPr>
                <w:rFonts w:eastAsia="Calibri"/>
                <w:color w:val="000000"/>
                <w:sz w:val="18"/>
                <w:szCs w:val="18"/>
              </w:rPr>
            </w:pPr>
            <w:r w:rsidRPr="00DA2C6C">
              <w:rPr>
                <w:rFonts w:eastAsia="Calibri"/>
                <w:color w:val="000000"/>
                <w:sz w:val="18"/>
                <w:szCs w:val="18"/>
              </w:rPr>
              <w:t>Grantee Selection</w:t>
            </w:r>
          </w:p>
        </w:tc>
        <w:tc>
          <w:tcPr>
            <w:tcW w:w="1147" w:type="dxa"/>
          </w:tcPr>
          <w:p w:rsidR="00FF758C" w:rsidRPr="00DA2C6C" w:rsidP="001174AD" w14:paraId="3702CBEA" w14:textId="77777777">
            <w:pPr>
              <w:keepNext/>
              <w:keepLines/>
              <w:tabs>
                <w:tab w:val="left" w:pos="360"/>
              </w:tabs>
              <w:ind w:left="-108" w:firstLine="108"/>
              <w:jc w:val="right"/>
              <w:rPr>
                <w:rFonts w:eastAsia="Calibri"/>
                <w:color w:val="000000"/>
                <w:sz w:val="18"/>
                <w:szCs w:val="18"/>
              </w:rPr>
            </w:pPr>
          </w:p>
          <w:p w:rsidR="00FF758C" w:rsidRPr="00DA2C6C" w:rsidP="001174AD" w14:paraId="0155A475" w14:textId="77777777">
            <w:pPr>
              <w:keepNext/>
              <w:keepLines/>
              <w:tabs>
                <w:tab w:val="left" w:pos="360"/>
              </w:tabs>
              <w:ind w:left="-108" w:firstLine="108"/>
              <w:jc w:val="right"/>
              <w:rPr>
                <w:rFonts w:eastAsia="Calibri"/>
                <w:color w:val="000000"/>
                <w:sz w:val="18"/>
                <w:szCs w:val="18"/>
              </w:rPr>
            </w:pPr>
            <w:r w:rsidRPr="00DA2C6C">
              <w:rPr>
                <w:rFonts w:eastAsia="Calibri"/>
                <w:color w:val="000000"/>
                <w:sz w:val="18"/>
                <w:szCs w:val="18"/>
              </w:rPr>
              <w:t>1</w:t>
            </w:r>
            <w:r w:rsidRPr="00DA2C6C">
              <w:rPr>
                <w:sz w:val="18"/>
                <w:szCs w:val="18"/>
              </w:rPr>
              <w:t>.00</w:t>
            </w:r>
          </w:p>
        </w:tc>
        <w:tc>
          <w:tcPr>
            <w:tcW w:w="1170" w:type="dxa"/>
          </w:tcPr>
          <w:p w:rsidR="00FF758C" w:rsidRPr="00DA2C6C" w:rsidP="001174AD" w14:paraId="4D92C4D1" w14:textId="77777777">
            <w:pPr>
              <w:keepNext/>
              <w:keepLines/>
              <w:tabs>
                <w:tab w:val="left" w:pos="360"/>
              </w:tabs>
              <w:ind w:left="-108" w:firstLine="108"/>
              <w:jc w:val="right"/>
              <w:rPr>
                <w:rFonts w:eastAsia="Calibri"/>
                <w:color w:val="000000"/>
                <w:sz w:val="18"/>
                <w:szCs w:val="18"/>
              </w:rPr>
            </w:pPr>
          </w:p>
          <w:p w:rsidR="00FF758C" w:rsidRPr="00DA2C6C" w:rsidP="001174AD" w14:paraId="12955521" w14:textId="39AF8A9E">
            <w:pPr>
              <w:keepNext/>
              <w:keepLines/>
              <w:tabs>
                <w:tab w:val="left" w:pos="360"/>
              </w:tabs>
              <w:ind w:left="-108" w:firstLine="108"/>
              <w:jc w:val="right"/>
              <w:rPr>
                <w:rFonts w:eastAsia="Calibri"/>
                <w:color w:val="000000"/>
                <w:sz w:val="18"/>
                <w:szCs w:val="18"/>
              </w:rPr>
            </w:pPr>
            <w:r w:rsidRPr="784DFEAA">
              <w:rPr>
                <w:sz w:val="18"/>
                <w:szCs w:val="18"/>
              </w:rPr>
              <w:t>4</w:t>
            </w:r>
            <w:r w:rsidRPr="784DFEAA" w:rsidR="002152DD">
              <w:rPr>
                <w:sz w:val="18"/>
                <w:szCs w:val="18"/>
              </w:rPr>
              <w:t>.00</w:t>
            </w:r>
          </w:p>
        </w:tc>
        <w:tc>
          <w:tcPr>
            <w:tcW w:w="1440" w:type="dxa"/>
          </w:tcPr>
          <w:p w:rsidR="00FF758C" w:rsidRPr="00DA2C6C" w:rsidP="001174AD" w14:paraId="05EF91B5" w14:textId="77777777">
            <w:pPr>
              <w:tabs>
                <w:tab w:val="left" w:pos="360"/>
              </w:tabs>
              <w:ind w:left="-108" w:firstLine="108"/>
              <w:jc w:val="right"/>
              <w:rPr>
                <w:rFonts w:eastAsia="Calibri"/>
                <w:color w:val="000000"/>
                <w:sz w:val="18"/>
                <w:szCs w:val="18"/>
              </w:rPr>
            </w:pPr>
          </w:p>
          <w:p w:rsidR="00FF758C" w:rsidRPr="00DA2C6C" w:rsidP="001174AD" w14:paraId="52B58181" w14:textId="292DEBF2">
            <w:pPr>
              <w:tabs>
                <w:tab w:val="left" w:pos="360"/>
              </w:tabs>
              <w:ind w:left="-108" w:firstLine="108"/>
              <w:jc w:val="right"/>
              <w:rPr>
                <w:rFonts w:eastAsia="Calibri"/>
                <w:color w:val="000000"/>
                <w:sz w:val="18"/>
                <w:szCs w:val="18"/>
              </w:rPr>
            </w:pPr>
            <w:r>
              <w:rPr>
                <w:sz w:val="18"/>
                <w:szCs w:val="18"/>
              </w:rPr>
              <w:t>2</w:t>
            </w:r>
            <w:r w:rsidRPr="584FC3A7">
              <w:rPr>
                <w:sz w:val="18"/>
                <w:szCs w:val="18"/>
              </w:rPr>
              <w:t>00</w:t>
            </w:r>
            <w:r w:rsidRPr="584FC3A7" w:rsidR="65035522">
              <w:rPr>
                <w:sz w:val="18"/>
                <w:szCs w:val="18"/>
              </w:rPr>
              <w:t>.00</w:t>
            </w:r>
          </w:p>
        </w:tc>
        <w:tc>
          <w:tcPr>
            <w:tcW w:w="1260" w:type="dxa"/>
          </w:tcPr>
          <w:p w:rsidR="00FF758C" w:rsidRPr="00DA2C6C" w:rsidP="001174AD" w14:paraId="183606E9" w14:textId="77777777">
            <w:pPr>
              <w:tabs>
                <w:tab w:val="left" w:pos="360"/>
              </w:tabs>
              <w:ind w:left="-108" w:firstLine="108"/>
              <w:jc w:val="right"/>
              <w:rPr>
                <w:rFonts w:eastAsia="Calibri"/>
                <w:color w:val="000000"/>
                <w:sz w:val="18"/>
                <w:szCs w:val="18"/>
              </w:rPr>
            </w:pPr>
          </w:p>
          <w:p w:rsidR="00FF758C" w:rsidRPr="00DA2C6C" w:rsidP="00190253" w14:paraId="6BB3D256" w14:textId="14D2A735">
            <w:pPr>
              <w:tabs>
                <w:tab w:val="left" w:pos="360"/>
              </w:tabs>
              <w:spacing w:line="259" w:lineRule="auto"/>
              <w:ind w:left="-108" w:firstLine="108"/>
              <w:jc w:val="right"/>
              <w:rPr>
                <w:sz w:val="18"/>
                <w:szCs w:val="18"/>
              </w:rPr>
            </w:pPr>
            <w:r w:rsidRPr="784DFEAA">
              <w:rPr>
                <w:rFonts w:eastAsia="Calibri"/>
                <w:color w:val="000000" w:themeColor="text1"/>
                <w:sz w:val="18"/>
                <w:szCs w:val="18"/>
              </w:rPr>
              <w:t>800</w:t>
            </w:r>
          </w:p>
        </w:tc>
        <w:tc>
          <w:tcPr>
            <w:tcW w:w="1170" w:type="dxa"/>
          </w:tcPr>
          <w:p w:rsidR="00FF758C" w:rsidRPr="00DA2C6C" w:rsidP="001174AD" w14:paraId="6C992832" w14:textId="77777777">
            <w:pPr>
              <w:tabs>
                <w:tab w:val="left" w:pos="360"/>
              </w:tabs>
              <w:ind w:left="-108" w:firstLine="108"/>
              <w:jc w:val="right"/>
              <w:rPr>
                <w:rFonts w:eastAsia="Calibri"/>
                <w:color w:val="000000"/>
                <w:sz w:val="18"/>
                <w:szCs w:val="18"/>
              </w:rPr>
            </w:pPr>
          </w:p>
          <w:p w:rsidR="00FF758C" w:rsidRPr="00DA2C6C" w:rsidP="001174AD" w14:paraId="4AA80937" w14:textId="4C138B60">
            <w:pPr>
              <w:tabs>
                <w:tab w:val="left" w:pos="360"/>
              </w:tabs>
              <w:ind w:left="-108" w:firstLine="108"/>
              <w:jc w:val="right"/>
              <w:rPr>
                <w:rFonts w:eastAsia="Calibri"/>
                <w:color w:val="000000"/>
                <w:sz w:val="18"/>
                <w:szCs w:val="18"/>
              </w:rPr>
            </w:pPr>
            <w:r w:rsidRPr="00DA2C6C">
              <w:rPr>
                <w:rFonts w:eastAsia="Calibri"/>
                <w:color w:val="000000"/>
                <w:sz w:val="18"/>
                <w:szCs w:val="18"/>
              </w:rPr>
              <w:t>$</w:t>
            </w:r>
            <w:r w:rsidR="00E479AC">
              <w:rPr>
                <w:rFonts w:eastAsia="Calibri"/>
                <w:color w:val="000000"/>
                <w:sz w:val="18"/>
                <w:szCs w:val="18"/>
              </w:rPr>
              <w:t>75.00</w:t>
            </w:r>
          </w:p>
        </w:tc>
        <w:tc>
          <w:tcPr>
            <w:tcW w:w="1260" w:type="dxa"/>
          </w:tcPr>
          <w:p w:rsidR="00FF758C" w:rsidRPr="00DA2C6C" w:rsidP="003B16AD" w14:paraId="2B7650FB" w14:textId="77777777">
            <w:pPr>
              <w:tabs>
                <w:tab w:val="left" w:pos="360"/>
              </w:tabs>
              <w:ind w:left="-108" w:firstLine="108"/>
              <w:jc w:val="center"/>
              <w:rPr>
                <w:rFonts w:eastAsia="Calibri"/>
                <w:color w:val="000000"/>
                <w:sz w:val="18"/>
                <w:szCs w:val="18"/>
              </w:rPr>
            </w:pPr>
          </w:p>
          <w:p w:rsidR="00FF758C" w:rsidRPr="00DA2C6C" w:rsidP="003B16AD" w14:paraId="750D8A64" w14:textId="048AF0B6">
            <w:pPr>
              <w:tabs>
                <w:tab w:val="left" w:pos="360"/>
              </w:tabs>
              <w:ind w:left="-108" w:firstLine="108"/>
              <w:jc w:val="center"/>
              <w:rPr>
                <w:rFonts w:eastAsia="Calibri"/>
                <w:color w:val="000000"/>
                <w:sz w:val="18"/>
                <w:szCs w:val="18"/>
              </w:rPr>
            </w:pPr>
            <w:r w:rsidRPr="784DFEAA">
              <w:rPr>
                <w:rFonts w:eastAsia="Calibri"/>
                <w:color w:val="000000" w:themeColor="text1"/>
                <w:sz w:val="18"/>
                <w:szCs w:val="18"/>
              </w:rPr>
              <w:t>$</w:t>
            </w:r>
            <w:r w:rsidR="00680B47">
              <w:rPr>
                <w:rFonts w:eastAsia="Calibri"/>
                <w:color w:val="000000" w:themeColor="text1"/>
                <w:sz w:val="18"/>
                <w:szCs w:val="18"/>
              </w:rPr>
              <w:t>60,</w:t>
            </w:r>
            <w:r w:rsidRPr="784DFEAA">
              <w:rPr>
                <w:rFonts w:eastAsia="Calibri"/>
                <w:color w:val="000000" w:themeColor="text1"/>
                <w:sz w:val="18"/>
                <w:szCs w:val="18"/>
              </w:rPr>
              <w:t>000.00</w:t>
            </w:r>
          </w:p>
        </w:tc>
      </w:tr>
      <w:tr w14:paraId="6F25F6BB" w14:textId="77777777" w:rsidTr="784DFEAA">
        <w:tblPrEx>
          <w:tblW w:w="9157" w:type="dxa"/>
          <w:tblInd w:w="108" w:type="dxa"/>
          <w:tblLayout w:type="fixed"/>
          <w:tblLook w:val="0000"/>
        </w:tblPrEx>
        <w:trPr>
          <w:trHeight w:val="683"/>
        </w:trPr>
        <w:tc>
          <w:tcPr>
            <w:tcW w:w="1710" w:type="dxa"/>
          </w:tcPr>
          <w:p w:rsidR="003B16AD" w:rsidP="001174AD" w14:paraId="3B67A8DD" w14:textId="77777777">
            <w:pPr>
              <w:keepNext/>
              <w:keepLines/>
              <w:jc w:val="both"/>
              <w:rPr>
                <w:rFonts w:eastAsia="Calibri"/>
                <w:b/>
                <w:color w:val="000000"/>
                <w:sz w:val="18"/>
                <w:szCs w:val="18"/>
              </w:rPr>
            </w:pPr>
          </w:p>
          <w:p w:rsidR="00FF758C" w:rsidRPr="00DA2C6C" w:rsidP="001174AD" w14:paraId="77FD9BBD" w14:textId="16544F01">
            <w:pPr>
              <w:keepNext/>
              <w:keepLines/>
              <w:jc w:val="both"/>
              <w:rPr>
                <w:rFonts w:eastAsia="Calibri"/>
                <w:b/>
                <w:color w:val="000000"/>
                <w:sz w:val="18"/>
                <w:szCs w:val="18"/>
              </w:rPr>
            </w:pPr>
            <w:r w:rsidRPr="00DA2C6C">
              <w:rPr>
                <w:rFonts w:eastAsia="Calibri"/>
                <w:b/>
                <w:color w:val="000000"/>
                <w:sz w:val="18"/>
                <w:szCs w:val="18"/>
              </w:rPr>
              <w:t>Total</w:t>
            </w:r>
          </w:p>
        </w:tc>
        <w:tc>
          <w:tcPr>
            <w:tcW w:w="1147" w:type="dxa"/>
          </w:tcPr>
          <w:p w:rsidR="00FF758C" w:rsidRPr="00DA2C6C" w:rsidP="001174AD" w14:paraId="574C87B6" w14:textId="77777777">
            <w:pPr>
              <w:keepNext/>
              <w:keepLines/>
              <w:tabs>
                <w:tab w:val="left" w:pos="360"/>
              </w:tabs>
              <w:ind w:left="-108" w:firstLine="108"/>
              <w:jc w:val="right"/>
              <w:rPr>
                <w:rFonts w:eastAsia="Calibri"/>
                <w:color w:val="000000"/>
                <w:sz w:val="18"/>
                <w:szCs w:val="18"/>
              </w:rPr>
            </w:pPr>
          </w:p>
        </w:tc>
        <w:tc>
          <w:tcPr>
            <w:tcW w:w="1170" w:type="dxa"/>
          </w:tcPr>
          <w:p w:rsidR="00FF758C" w:rsidRPr="00DA2C6C" w:rsidP="001174AD" w14:paraId="2DFF3A3E" w14:textId="77777777">
            <w:pPr>
              <w:keepNext/>
              <w:keepLines/>
              <w:tabs>
                <w:tab w:val="left" w:pos="360"/>
              </w:tabs>
              <w:ind w:left="-108" w:firstLine="108"/>
              <w:jc w:val="right"/>
              <w:rPr>
                <w:rFonts w:eastAsia="Calibri"/>
                <w:color w:val="000000"/>
                <w:sz w:val="18"/>
                <w:szCs w:val="18"/>
              </w:rPr>
            </w:pPr>
          </w:p>
        </w:tc>
        <w:tc>
          <w:tcPr>
            <w:tcW w:w="1440" w:type="dxa"/>
          </w:tcPr>
          <w:p w:rsidR="00FF758C" w:rsidRPr="00DA2C6C" w:rsidP="001174AD" w14:paraId="336A304B" w14:textId="77777777">
            <w:pPr>
              <w:tabs>
                <w:tab w:val="left" w:pos="360"/>
              </w:tabs>
              <w:ind w:left="-108" w:firstLine="108"/>
              <w:jc w:val="right"/>
              <w:rPr>
                <w:rFonts w:eastAsia="Calibri"/>
                <w:color w:val="000000"/>
                <w:sz w:val="18"/>
                <w:szCs w:val="18"/>
              </w:rPr>
            </w:pPr>
          </w:p>
        </w:tc>
        <w:tc>
          <w:tcPr>
            <w:tcW w:w="1260" w:type="dxa"/>
          </w:tcPr>
          <w:p w:rsidR="00FF758C" w:rsidRPr="00DA2C6C" w:rsidP="001174AD" w14:paraId="0BCB89F0" w14:textId="77777777">
            <w:pPr>
              <w:tabs>
                <w:tab w:val="left" w:pos="360"/>
              </w:tabs>
              <w:ind w:left="-108" w:firstLine="108"/>
              <w:jc w:val="right"/>
              <w:rPr>
                <w:rFonts w:eastAsia="Calibri"/>
                <w:color w:val="000000"/>
                <w:sz w:val="18"/>
                <w:szCs w:val="18"/>
              </w:rPr>
            </w:pPr>
          </w:p>
        </w:tc>
        <w:tc>
          <w:tcPr>
            <w:tcW w:w="1170" w:type="dxa"/>
          </w:tcPr>
          <w:p w:rsidR="00FF758C" w:rsidRPr="00DA2C6C" w:rsidP="001174AD" w14:paraId="1A7763C1" w14:textId="77777777">
            <w:pPr>
              <w:tabs>
                <w:tab w:val="left" w:pos="360"/>
              </w:tabs>
              <w:ind w:left="-108" w:firstLine="108"/>
              <w:jc w:val="right"/>
              <w:rPr>
                <w:rFonts w:eastAsia="Calibri"/>
                <w:color w:val="000000"/>
                <w:sz w:val="18"/>
                <w:szCs w:val="18"/>
              </w:rPr>
            </w:pPr>
          </w:p>
        </w:tc>
        <w:tc>
          <w:tcPr>
            <w:tcW w:w="1260" w:type="dxa"/>
          </w:tcPr>
          <w:p w:rsidR="00BA17E7" w:rsidP="00BA17E7" w14:paraId="1B320C9D" w14:textId="77777777">
            <w:pPr>
              <w:tabs>
                <w:tab w:val="left" w:pos="360"/>
              </w:tabs>
              <w:ind w:left="-108" w:firstLine="108"/>
              <w:jc w:val="center"/>
              <w:rPr>
                <w:rFonts w:eastAsia="Calibri"/>
                <w:b/>
                <w:bCs/>
                <w:color w:val="000000"/>
                <w:sz w:val="18"/>
                <w:szCs w:val="18"/>
              </w:rPr>
            </w:pPr>
          </w:p>
          <w:p w:rsidR="00BA17E7" w:rsidP="00BA17E7" w14:paraId="1AEA1BCC" w14:textId="77777777">
            <w:pPr>
              <w:tabs>
                <w:tab w:val="left" w:pos="360"/>
              </w:tabs>
              <w:ind w:left="-108" w:firstLine="108"/>
              <w:jc w:val="center"/>
              <w:rPr>
                <w:rFonts w:eastAsia="Calibri"/>
                <w:b/>
                <w:bCs/>
                <w:color w:val="000000"/>
                <w:sz w:val="18"/>
                <w:szCs w:val="18"/>
              </w:rPr>
            </w:pPr>
          </w:p>
          <w:p w:rsidR="00FF758C" w:rsidRPr="00DA2C6C" w:rsidP="003B16AD" w14:paraId="713A92FD" w14:textId="6B504FCD">
            <w:pPr>
              <w:tabs>
                <w:tab w:val="left" w:pos="360"/>
              </w:tabs>
              <w:ind w:left="-108" w:firstLine="108"/>
              <w:jc w:val="center"/>
              <w:rPr>
                <w:rFonts w:eastAsia="Calibri"/>
                <w:b/>
                <w:bCs/>
                <w:color w:val="000000"/>
                <w:sz w:val="18"/>
                <w:szCs w:val="18"/>
              </w:rPr>
            </w:pPr>
            <w:r w:rsidRPr="784DFEAA">
              <w:rPr>
                <w:rFonts w:eastAsia="Calibri"/>
                <w:b/>
                <w:bCs/>
                <w:color w:val="000000" w:themeColor="text1"/>
                <w:sz w:val="18"/>
                <w:szCs w:val="18"/>
              </w:rPr>
              <w:t>$</w:t>
            </w:r>
            <w:r w:rsidR="002C70D4">
              <w:rPr>
                <w:rFonts w:eastAsia="Calibri"/>
                <w:b/>
                <w:bCs/>
                <w:color w:val="000000" w:themeColor="text1"/>
                <w:sz w:val="18"/>
                <w:szCs w:val="18"/>
              </w:rPr>
              <w:t>345</w:t>
            </w:r>
            <w:r w:rsidRPr="784DFEAA">
              <w:rPr>
                <w:rFonts w:eastAsia="Calibri"/>
                <w:b/>
                <w:bCs/>
                <w:color w:val="000000" w:themeColor="text1"/>
                <w:sz w:val="18"/>
                <w:szCs w:val="18"/>
              </w:rPr>
              <w:t>,000.00</w:t>
            </w:r>
          </w:p>
        </w:tc>
      </w:tr>
    </w:tbl>
    <w:p w:rsidR="00FF758C" w:rsidRPr="002A4BE3" w:rsidP="00FF758C" w14:paraId="1E7769D5" w14:textId="77777777">
      <w:pPr>
        <w:rPr>
          <w:szCs w:val="24"/>
        </w:rPr>
      </w:pPr>
    </w:p>
    <w:p w:rsidR="00FF758C" w:rsidRPr="00FF758C" w:rsidP="000A6210" w14:paraId="088752EB" w14:textId="77777777">
      <w:pPr>
        <w:widowControl w:val="0"/>
        <w:tabs>
          <w:tab w:val="left" w:pos="540"/>
        </w:tabs>
        <w:rPr>
          <w:szCs w:val="24"/>
        </w:rPr>
      </w:pPr>
    </w:p>
    <w:p w:rsidR="00F67FCC" w:rsidRPr="00981917" w:rsidP="6C720080" w14:paraId="62036484" w14:textId="05555672">
      <w:pPr>
        <w:widowControl w:val="0"/>
        <w:numPr>
          <w:ilvl w:val="0"/>
          <w:numId w:val="11"/>
        </w:numPr>
        <w:tabs>
          <w:tab w:val="left" w:pos="540"/>
          <w:tab w:val="clear" w:pos="720"/>
        </w:tabs>
        <w:ind w:left="0" w:firstLine="0"/>
        <w:rPr>
          <w:b/>
          <w:bCs/>
        </w:rPr>
      </w:pPr>
      <w:r w:rsidRPr="6C720080">
        <w:rPr>
          <w:b/>
          <w:bCs/>
          <w:u w:val="single"/>
        </w:rPr>
        <w:t>Explanation of the program change or adjustments</w:t>
      </w:r>
      <w:r w:rsidRPr="6C720080">
        <w:rPr>
          <w:b/>
          <w:bCs/>
        </w:rPr>
        <w:t>.</w:t>
      </w:r>
      <w:r w:rsidR="005E0098">
        <w:rPr>
          <w:b/>
          <w:bCs/>
        </w:rPr>
        <w:t xml:space="preserve"> </w:t>
      </w:r>
    </w:p>
    <w:p w:rsidR="00FF758C" w:rsidRPr="00981917" w:rsidP="6C720080" w14:paraId="341C04B0" w14:textId="130F75A5">
      <w:pPr>
        <w:widowControl w:val="0"/>
        <w:tabs>
          <w:tab w:val="left" w:pos="540"/>
        </w:tabs>
        <w:rPr>
          <w:b/>
          <w:bCs/>
          <w:szCs w:val="24"/>
        </w:rPr>
      </w:pPr>
    </w:p>
    <w:p w:rsidR="00651025" w:rsidP="00F44A4A" w14:paraId="33A01215" w14:textId="649D814D">
      <w:pPr>
        <w:pStyle w:val="NoSpacing"/>
        <w:rPr>
          <w:rFonts w:ascii="Times New Roman" w:eastAsia="Times New Roman" w:hAnsi="Times New Roman"/>
          <w:sz w:val="24"/>
          <w:szCs w:val="24"/>
        </w:rPr>
      </w:pPr>
      <w:r w:rsidRPr="00F44A4A">
        <w:rPr>
          <w:rFonts w:ascii="Times New Roman" w:eastAsia="Times New Roman" w:hAnsi="Times New Roman"/>
          <w:sz w:val="24"/>
          <w:szCs w:val="24"/>
        </w:rPr>
        <w:t xml:space="preserve">The burden of this information collection has been adjusted to reflect actual grant application submissions received over the past three years since our initial burden estimate. No additional </w:t>
      </w:r>
      <w:r>
        <w:rPr>
          <w:rFonts w:ascii="Times New Roman" w:eastAsia="Times New Roman" w:hAnsi="Times New Roman"/>
          <w:sz w:val="24"/>
          <w:szCs w:val="24"/>
        </w:rPr>
        <w:t>no program changes or adjustments</w:t>
      </w:r>
      <w:r>
        <w:rPr>
          <w:rFonts w:ascii="Times New Roman" w:eastAsia="Times New Roman" w:hAnsi="Times New Roman"/>
          <w:sz w:val="24"/>
          <w:szCs w:val="24"/>
        </w:rPr>
        <w:t xml:space="preserve"> </w:t>
      </w:r>
      <w:r w:rsidRPr="00F44A4A">
        <w:rPr>
          <w:rFonts w:ascii="Times New Roman" w:eastAsia="Times New Roman" w:hAnsi="Times New Roman"/>
          <w:sz w:val="24"/>
          <w:szCs w:val="24"/>
        </w:rPr>
        <w:t>are included in this request.</w:t>
      </w:r>
      <w:r w:rsidR="0094254E">
        <w:rPr>
          <w:rFonts w:ascii="Times New Roman" w:eastAsia="Times New Roman" w:hAnsi="Times New Roman"/>
          <w:sz w:val="24"/>
          <w:szCs w:val="24"/>
        </w:rPr>
        <w:t xml:space="preserve"> </w:t>
      </w:r>
    </w:p>
    <w:p w:rsidR="00F44A4A" w:rsidRPr="00981917" w:rsidP="00F44A4A" w14:paraId="75D2C7EE" w14:textId="77777777">
      <w:pPr>
        <w:pStyle w:val="NoSpacing"/>
        <w:rPr>
          <w:color w:val="000000" w:themeColor="text1"/>
          <w:szCs w:val="24"/>
        </w:rPr>
      </w:pPr>
    </w:p>
    <w:p w:rsidR="007B68C6" w:rsidP="6C720080" w14:paraId="65544387" w14:textId="4EC0E395">
      <w:pPr>
        <w:widowControl w:val="0"/>
        <w:tabs>
          <w:tab w:val="left" w:pos="540"/>
        </w:tabs>
        <w:rPr>
          <w:b/>
          <w:bCs/>
        </w:rPr>
      </w:pPr>
      <w:r w:rsidRPr="6C720080">
        <w:rPr>
          <w:b/>
          <w:bCs/>
        </w:rPr>
        <w:t>16.</w:t>
      </w:r>
      <w:r>
        <w:tab/>
      </w:r>
      <w:r>
        <w:tab/>
      </w:r>
      <w:r w:rsidRPr="6C720080" w:rsidR="30A80824">
        <w:rPr>
          <w:b/>
          <w:bCs/>
          <w:u w:val="single"/>
        </w:rPr>
        <w:t>Publication of results of data collection</w:t>
      </w:r>
      <w:r w:rsidRPr="6C720080" w:rsidR="30A80824">
        <w:rPr>
          <w:b/>
          <w:bCs/>
        </w:rPr>
        <w:t>.</w:t>
      </w:r>
      <w:r w:rsidR="005E0098">
        <w:rPr>
          <w:b/>
          <w:bCs/>
        </w:rPr>
        <w:t xml:space="preserve"> </w:t>
      </w:r>
    </w:p>
    <w:p w:rsidR="6C720080" w:rsidP="6C720080" w14:paraId="63AEE9AD" w14:textId="77D7ED22">
      <w:pPr>
        <w:widowControl w:val="0"/>
        <w:tabs>
          <w:tab w:val="left" w:pos="540"/>
        </w:tabs>
      </w:pPr>
    </w:p>
    <w:p w:rsidR="00495B41" w:rsidRPr="00981917" w:rsidP="000A6210" w14:paraId="21126B8B" w14:textId="27853345">
      <w:pPr>
        <w:widowControl w:val="0"/>
        <w:tabs>
          <w:tab w:val="left" w:pos="540"/>
        </w:tabs>
      </w:pPr>
      <w:r>
        <w:t xml:space="preserve">Annual grant awards will be publicly announced. </w:t>
      </w:r>
    </w:p>
    <w:p w:rsidR="584FC3A7" w:rsidP="584FC3A7" w14:paraId="5BAA5758" w14:textId="1D536A75">
      <w:pPr>
        <w:widowControl w:val="0"/>
        <w:tabs>
          <w:tab w:val="left" w:pos="540"/>
        </w:tabs>
        <w:rPr>
          <w:szCs w:val="24"/>
        </w:rPr>
      </w:pPr>
    </w:p>
    <w:p w:rsidR="007B68C6" w:rsidP="6C720080" w14:paraId="19E1A619" w14:textId="2B00C69C">
      <w:pPr>
        <w:widowControl w:val="0"/>
        <w:tabs>
          <w:tab w:val="left" w:pos="540"/>
        </w:tabs>
        <w:rPr>
          <w:b/>
          <w:bCs/>
        </w:rPr>
      </w:pPr>
      <w:r w:rsidRPr="6C720080">
        <w:rPr>
          <w:b/>
          <w:bCs/>
        </w:rPr>
        <w:t>17.</w:t>
      </w:r>
      <w:r>
        <w:tab/>
      </w:r>
      <w:r>
        <w:tab/>
      </w:r>
      <w:r w:rsidRPr="6C720080" w:rsidR="30A80824">
        <w:rPr>
          <w:b/>
          <w:bCs/>
          <w:u w:val="single"/>
        </w:rPr>
        <w:t>Approval for not displaying the expiration date of OMB approval</w:t>
      </w:r>
      <w:r w:rsidRPr="6C720080" w:rsidR="30A80824">
        <w:rPr>
          <w:b/>
          <w:bCs/>
        </w:rPr>
        <w:t>.</w:t>
      </w:r>
      <w:r w:rsidR="005E0098">
        <w:rPr>
          <w:b/>
          <w:bCs/>
        </w:rPr>
        <w:t xml:space="preserve"> </w:t>
      </w:r>
    </w:p>
    <w:p w:rsidR="6C720080" w:rsidP="6C720080" w14:paraId="3BCF37D7" w14:textId="7FBCF839">
      <w:pPr>
        <w:keepNext/>
        <w:tabs>
          <w:tab w:val="left" w:pos="360"/>
        </w:tabs>
        <w:rPr>
          <w:color w:val="000000" w:themeColor="text1"/>
        </w:rPr>
      </w:pPr>
    </w:p>
    <w:p w:rsidR="001D224D" w:rsidRPr="00981917" w:rsidP="6C720080" w14:paraId="618CE755" w14:textId="7E66CC8E">
      <w:pPr>
        <w:keepNext/>
        <w:widowControl w:val="0"/>
        <w:tabs>
          <w:tab w:val="left" w:pos="360"/>
        </w:tabs>
        <w:rPr>
          <w:szCs w:val="24"/>
        </w:rPr>
      </w:pPr>
      <w:r w:rsidRPr="6C720080">
        <w:rPr>
          <w:szCs w:val="24"/>
        </w:rPr>
        <w:t>PHMSA is not seeking approval to not display the expiration date.</w:t>
      </w:r>
    </w:p>
    <w:p w:rsidR="001D224D" w:rsidRPr="00981917" w:rsidP="6C720080" w14:paraId="5869E05F" w14:textId="2CB4EB67">
      <w:pPr>
        <w:widowControl w:val="0"/>
        <w:rPr>
          <w:szCs w:val="24"/>
        </w:rPr>
      </w:pPr>
    </w:p>
    <w:p w:rsidR="001D224D" w:rsidRPr="00981917" w:rsidP="6C720080" w14:paraId="26FCFA5D" w14:textId="61CB6B7B">
      <w:pPr>
        <w:widowControl w:val="0"/>
        <w:tabs>
          <w:tab w:val="left" w:pos="540"/>
        </w:tabs>
        <w:rPr>
          <w:b/>
          <w:bCs/>
          <w:szCs w:val="24"/>
        </w:rPr>
      </w:pPr>
      <w:r w:rsidRPr="00190253">
        <w:rPr>
          <w:b/>
          <w:bCs/>
        </w:rPr>
        <w:t>18.</w:t>
      </w:r>
      <w:r w:rsidRPr="005C5D65" w:rsidR="005C5D65">
        <w:t xml:space="preserve"> </w:t>
      </w:r>
      <w:r w:rsidRPr="005C5D65" w:rsidR="005C5D65">
        <w:tab/>
      </w:r>
      <w:r w:rsidRPr="005C5D65" w:rsidR="005C5D65">
        <w:tab/>
      </w:r>
      <w:r w:rsidRPr="6C720080">
        <w:rPr>
          <w:b/>
          <w:bCs/>
          <w:u w:val="single"/>
        </w:rPr>
        <w:t>Exceptions to the certification statement</w:t>
      </w:r>
      <w:r w:rsidRPr="6C720080">
        <w:rPr>
          <w:b/>
          <w:bCs/>
        </w:rPr>
        <w:t>.</w:t>
      </w:r>
      <w:r w:rsidR="005E0098">
        <w:rPr>
          <w:b/>
          <w:bCs/>
        </w:rPr>
        <w:t xml:space="preserve"> </w:t>
      </w:r>
    </w:p>
    <w:p w:rsidR="001D224D" w:rsidRPr="00981917" w:rsidP="6C720080" w14:paraId="139E594A" w14:textId="7A7EAE9D">
      <w:pPr>
        <w:widowControl w:val="0"/>
        <w:tabs>
          <w:tab w:val="left" w:pos="540"/>
        </w:tabs>
        <w:rPr>
          <w:szCs w:val="24"/>
        </w:rPr>
      </w:pPr>
    </w:p>
    <w:p w:rsidR="001D224D" w:rsidRPr="00981917" w:rsidP="0094254E" w14:paraId="07A42B81" w14:textId="79CD76A9">
      <w:pPr>
        <w:widowControl w:val="0"/>
        <w:tabs>
          <w:tab w:val="left" w:pos="540"/>
        </w:tabs>
        <w:rPr>
          <w:szCs w:val="24"/>
        </w:rPr>
      </w:pPr>
      <w:r w:rsidRPr="6C720080">
        <w:rPr>
          <w:szCs w:val="24"/>
        </w:rPr>
        <w:t>There is no exception to PHMSA’s certification of this request for information collection approval.</w:t>
      </w:r>
    </w:p>
    <w:sectPr w:rsidSect="000673B2">
      <w:headerReference w:type="even" r:id="rId7"/>
      <w:headerReference w:type="default" r:id="rId8"/>
      <w:footerReference w:type="even" r:id="rId9"/>
      <w:footerReference w:type="default" r:id="rId10"/>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5EA9" w14:paraId="35BACD33"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5EA9" w14:paraId="082DA3DC"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5EA9" w:rsidP="00A40753" w14:paraId="096850B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B8C">
      <w:rPr>
        <w:rStyle w:val="PageNumber"/>
        <w:noProof/>
      </w:rPr>
      <w:t>2</w:t>
    </w:r>
    <w:r>
      <w:rPr>
        <w:rStyle w:val="PageNumber"/>
      </w:rPr>
      <w:fldChar w:fldCharType="end"/>
    </w:r>
  </w:p>
  <w:p w:rsidR="00B15EA9" w14:paraId="01ED835B" w14:textId="77777777">
    <w:pPr>
      <w:widowControl w:val="0"/>
    </w:pPr>
  </w:p>
  <w:p w:rsidR="00B15EA9" w14:paraId="0FD4EBBD"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5EA9" w:rsidP="00A40753" w14:paraId="06FE5C1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B8C">
      <w:rPr>
        <w:rStyle w:val="PageNumber"/>
        <w:noProof/>
      </w:rPr>
      <w:t>3</w:t>
    </w:r>
    <w:r>
      <w:rPr>
        <w:rStyle w:val="PageNumber"/>
      </w:rPr>
      <w:fldChar w:fldCharType="end"/>
    </w:r>
  </w:p>
  <w:p w:rsidR="00B15EA9" w14:paraId="671EDAB4" w14:textId="77777777">
    <w:pPr>
      <w:widowControl w:val="0"/>
    </w:pPr>
  </w:p>
  <w:p w:rsidR="00B15EA9" w14:paraId="25B92620"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1B541D3C"/>
    <w:multiLevelType w:val="hybridMultilevel"/>
    <w:tmpl w:val="FFFFFFFF"/>
    <w:lvl w:ilvl="0">
      <w:start w:val="7"/>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378A7AD2"/>
    <w:multiLevelType w:val="hybridMultilevel"/>
    <w:tmpl w:val="E0DE30A0"/>
    <w:lvl w:ilvl="0">
      <w:start w:val="18"/>
      <w:numFmt w:val="decimal"/>
      <w:lvlText w:val="%1."/>
      <w:lvlJc w:val="left"/>
      <w:pPr>
        <w:tabs>
          <w:tab w:val="num" w:pos="900"/>
        </w:tabs>
        <w:ind w:left="900" w:hanging="54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E513801"/>
    <w:multiLevelType w:val="hybridMultilevel"/>
    <w:tmpl w:val="5E380A0A"/>
    <w:lvl w:ilvl="0">
      <w:start w:val="7"/>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E5770F2"/>
    <w:multiLevelType w:val="hybridMultilevel"/>
    <w:tmpl w:val="C7E88924"/>
    <w:lvl w:ilvl="0">
      <w:start w:val="7"/>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9C84F7F"/>
    <w:multiLevelType w:val="hybridMultilevel"/>
    <w:tmpl w:val="EDC433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14454222">
    <w:abstractNumId w:val="20"/>
  </w:num>
  <w:num w:numId="2" w16cid:durableId="972639489">
    <w:abstractNumId w:val="0"/>
  </w:num>
  <w:num w:numId="3" w16cid:durableId="1987539984">
    <w:abstractNumId w:val="1"/>
  </w:num>
  <w:num w:numId="4" w16cid:durableId="1437826392">
    <w:abstractNumId w:val="2"/>
  </w:num>
  <w:num w:numId="5" w16cid:durableId="410351121">
    <w:abstractNumId w:val="3"/>
  </w:num>
  <w:num w:numId="6" w16cid:durableId="783617498">
    <w:abstractNumId w:val="4"/>
  </w:num>
  <w:num w:numId="7" w16cid:durableId="797408549">
    <w:abstractNumId w:val="5"/>
  </w:num>
  <w:num w:numId="8" w16cid:durableId="1453137252">
    <w:abstractNumId w:val="6"/>
  </w:num>
  <w:num w:numId="9" w16cid:durableId="1237671969">
    <w:abstractNumId w:val="7"/>
  </w:num>
  <w:num w:numId="10" w16cid:durableId="288828220">
    <w:abstractNumId w:val="22"/>
  </w:num>
  <w:num w:numId="11" w16cid:durableId="668410551">
    <w:abstractNumId w:val="17"/>
  </w:num>
  <w:num w:numId="12" w16cid:durableId="1262880435">
    <w:abstractNumId w:val="19"/>
  </w:num>
  <w:num w:numId="13" w16cid:durableId="1584146002">
    <w:abstractNumId w:val="8"/>
  </w:num>
  <w:num w:numId="14" w16cid:durableId="45030862">
    <w:abstractNumId w:val="11"/>
  </w:num>
  <w:num w:numId="15" w16cid:durableId="2126263504">
    <w:abstractNumId w:val="15"/>
  </w:num>
  <w:num w:numId="16" w16cid:durableId="1619408884">
    <w:abstractNumId w:val="18"/>
  </w:num>
  <w:num w:numId="17" w16cid:durableId="945423870">
    <w:abstractNumId w:val="13"/>
  </w:num>
  <w:num w:numId="18" w16cid:durableId="1259824392">
    <w:abstractNumId w:val="23"/>
  </w:num>
  <w:num w:numId="19" w16cid:durableId="449129741">
    <w:abstractNumId w:val="16"/>
  </w:num>
  <w:num w:numId="20" w16cid:durableId="723404789">
    <w:abstractNumId w:val="10"/>
  </w:num>
  <w:num w:numId="21" w16cid:durableId="1434326860">
    <w:abstractNumId w:val="24"/>
  </w:num>
  <w:num w:numId="22" w16cid:durableId="1612280838">
    <w:abstractNumId w:val="14"/>
  </w:num>
  <w:num w:numId="23" w16cid:durableId="1870220685">
    <w:abstractNumId w:val="21"/>
  </w:num>
  <w:num w:numId="24" w16cid:durableId="1692224788">
    <w:abstractNumId w:val="9"/>
  </w:num>
  <w:num w:numId="25" w16cid:durableId="147089785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ck, Shakira (PHMSA)">
    <w15:presenceInfo w15:providerId="AD" w15:userId="S::shakira.mack@ad.dot.gov::c9aa61ca-676d-415b-bcf2-b253baea0bd0"/>
  </w15:person>
  <w15:person w15:author="Hufford, Matthew (PHMSA)">
    <w15:presenceInfo w15:providerId="AD" w15:userId="S::matthew.hufford@ad.dot.gov::1c367b8f-68ec-4bd6-a19a-552c506eecdb"/>
  </w15:person>
  <w15:person w15:author="Hill, Angela (PHMSA) [2]">
    <w15:presenceInfo w15:providerId="AD" w15:userId="S::angela.hill@ad.dot.gov::6efd6911-3a60-49a0-9dea-e3f65a545a1a"/>
  </w15:person>
  <w15:person w15:author="Cardenas, Louis (PHMSA)">
    <w15:presenceInfo w15:providerId="AD" w15:userId="S::louis.cardenas@ad.dot.gov::f83bfc73-e5e1-4897-acb9-f127895e77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363C"/>
    <w:rsid w:val="00016E42"/>
    <w:rsid w:val="00044C4B"/>
    <w:rsid w:val="00045F08"/>
    <w:rsid w:val="00046647"/>
    <w:rsid w:val="000525A0"/>
    <w:rsid w:val="00060A2F"/>
    <w:rsid w:val="000673B2"/>
    <w:rsid w:val="00067D6B"/>
    <w:rsid w:val="00070BC5"/>
    <w:rsid w:val="000736A7"/>
    <w:rsid w:val="000738F3"/>
    <w:rsid w:val="0007609B"/>
    <w:rsid w:val="00076762"/>
    <w:rsid w:val="000768CD"/>
    <w:rsid w:val="000773D0"/>
    <w:rsid w:val="00082B4A"/>
    <w:rsid w:val="0008536C"/>
    <w:rsid w:val="00086A03"/>
    <w:rsid w:val="000907D5"/>
    <w:rsid w:val="000919BF"/>
    <w:rsid w:val="0009490E"/>
    <w:rsid w:val="000974A5"/>
    <w:rsid w:val="000A6210"/>
    <w:rsid w:val="000A6237"/>
    <w:rsid w:val="000A6651"/>
    <w:rsid w:val="000B44D9"/>
    <w:rsid w:val="000C5B12"/>
    <w:rsid w:val="000D16E2"/>
    <w:rsid w:val="000D2714"/>
    <w:rsid w:val="000D3A31"/>
    <w:rsid w:val="000E129F"/>
    <w:rsid w:val="000F02F0"/>
    <w:rsid w:val="000F4173"/>
    <w:rsid w:val="0010553F"/>
    <w:rsid w:val="00105786"/>
    <w:rsid w:val="001106CD"/>
    <w:rsid w:val="00111C90"/>
    <w:rsid w:val="001174AD"/>
    <w:rsid w:val="00117B1D"/>
    <w:rsid w:val="0012012B"/>
    <w:rsid w:val="0012368B"/>
    <w:rsid w:val="00125C17"/>
    <w:rsid w:val="00143869"/>
    <w:rsid w:val="0014478D"/>
    <w:rsid w:val="00145724"/>
    <w:rsid w:val="00145EE7"/>
    <w:rsid w:val="001544EE"/>
    <w:rsid w:val="001561EA"/>
    <w:rsid w:val="001602BD"/>
    <w:rsid w:val="00162850"/>
    <w:rsid w:val="001760C2"/>
    <w:rsid w:val="00183806"/>
    <w:rsid w:val="00187BC3"/>
    <w:rsid w:val="00190253"/>
    <w:rsid w:val="001A2B8C"/>
    <w:rsid w:val="001B3028"/>
    <w:rsid w:val="001C56C9"/>
    <w:rsid w:val="001D1C24"/>
    <w:rsid w:val="001D224D"/>
    <w:rsid w:val="001F680E"/>
    <w:rsid w:val="0020294E"/>
    <w:rsid w:val="002036D4"/>
    <w:rsid w:val="00207ED7"/>
    <w:rsid w:val="00213B30"/>
    <w:rsid w:val="00214EA1"/>
    <w:rsid w:val="002152DD"/>
    <w:rsid w:val="00216BBD"/>
    <w:rsid w:val="00220896"/>
    <w:rsid w:val="00220FB0"/>
    <w:rsid w:val="002231EF"/>
    <w:rsid w:val="0022478F"/>
    <w:rsid w:val="002365DE"/>
    <w:rsid w:val="00243260"/>
    <w:rsid w:val="00246101"/>
    <w:rsid w:val="00250CAF"/>
    <w:rsid w:val="0025238D"/>
    <w:rsid w:val="00254AB4"/>
    <w:rsid w:val="00262265"/>
    <w:rsid w:val="002631C8"/>
    <w:rsid w:val="0026368B"/>
    <w:rsid w:val="0026419F"/>
    <w:rsid w:val="00271E38"/>
    <w:rsid w:val="00273783"/>
    <w:rsid w:val="0027640C"/>
    <w:rsid w:val="00277F39"/>
    <w:rsid w:val="00282AD5"/>
    <w:rsid w:val="00282E6B"/>
    <w:rsid w:val="002843AF"/>
    <w:rsid w:val="00285BC2"/>
    <w:rsid w:val="002874C2"/>
    <w:rsid w:val="00290CB3"/>
    <w:rsid w:val="00291331"/>
    <w:rsid w:val="002929B0"/>
    <w:rsid w:val="002958AA"/>
    <w:rsid w:val="002A1CB8"/>
    <w:rsid w:val="002A4BE3"/>
    <w:rsid w:val="002A4DFE"/>
    <w:rsid w:val="002A5A16"/>
    <w:rsid w:val="002A5A22"/>
    <w:rsid w:val="002B54A1"/>
    <w:rsid w:val="002B6221"/>
    <w:rsid w:val="002B6694"/>
    <w:rsid w:val="002B6B54"/>
    <w:rsid w:val="002B75E4"/>
    <w:rsid w:val="002C70D4"/>
    <w:rsid w:val="002D2A3F"/>
    <w:rsid w:val="002D5501"/>
    <w:rsid w:val="002E154D"/>
    <w:rsid w:val="002E3119"/>
    <w:rsid w:val="002E791F"/>
    <w:rsid w:val="002F283D"/>
    <w:rsid w:val="002F645A"/>
    <w:rsid w:val="0030347C"/>
    <w:rsid w:val="00304027"/>
    <w:rsid w:val="0030454E"/>
    <w:rsid w:val="0030713B"/>
    <w:rsid w:val="00311384"/>
    <w:rsid w:val="0031308A"/>
    <w:rsid w:val="00323342"/>
    <w:rsid w:val="00323A7B"/>
    <w:rsid w:val="00323F3E"/>
    <w:rsid w:val="00330017"/>
    <w:rsid w:val="003339BE"/>
    <w:rsid w:val="00342AD1"/>
    <w:rsid w:val="00342EB2"/>
    <w:rsid w:val="003520AC"/>
    <w:rsid w:val="003533E1"/>
    <w:rsid w:val="0035553B"/>
    <w:rsid w:val="003559E4"/>
    <w:rsid w:val="00356C9F"/>
    <w:rsid w:val="00364904"/>
    <w:rsid w:val="00366EDD"/>
    <w:rsid w:val="00373B2E"/>
    <w:rsid w:val="003825DD"/>
    <w:rsid w:val="00383C3D"/>
    <w:rsid w:val="003848F8"/>
    <w:rsid w:val="00385DEC"/>
    <w:rsid w:val="0039412D"/>
    <w:rsid w:val="0039436D"/>
    <w:rsid w:val="00397165"/>
    <w:rsid w:val="00397F24"/>
    <w:rsid w:val="003B16AD"/>
    <w:rsid w:val="003B2A50"/>
    <w:rsid w:val="003F21BC"/>
    <w:rsid w:val="003F21FA"/>
    <w:rsid w:val="003F7601"/>
    <w:rsid w:val="00400889"/>
    <w:rsid w:val="00412866"/>
    <w:rsid w:val="00414833"/>
    <w:rsid w:val="004163E8"/>
    <w:rsid w:val="00427866"/>
    <w:rsid w:val="00431B7C"/>
    <w:rsid w:val="00433080"/>
    <w:rsid w:val="004359E6"/>
    <w:rsid w:val="004373BE"/>
    <w:rsid w:val="00440FCE"/>
    <w:rsid w:val="004454BB"/>
    <w:rsid w:val="00447A44"/>
    <w:rsid w:val="0045006B"/>
    <w:rsid w:val="004512F6"/>
    <w:rsid w:val="004547EA"/>
    <w:rsid w:val="00463C8A"/>
    <w:rsid w:val="00466EC4"/>
    <w:rsid w:val="004722AC"/>
    <w:rsid w:val="00481526"/>
    <w:rsid w:val="0048262A"/>
    <w:rsid w:val="0048271C"/>
    <w:rsid w:val="004845F1"/>
    <w:rsid w:val="00490FF0"/>
    <w:rsid w:val="00492398"/>
    <w:rsid w:val="0049371B"/>
    <w:rsid w:val="00495B41"/>
    <w:rsid w:val="004A133B"/>
    <w:rsid w:val="004A13CD"/>
    <w:rsid w:val="004A2D90"/>
    <w:rsid w:val="004B0581"/>
    <w:rsid w:val="004B13BC"/>
    <w:rsid w:val="004B41D5"/>
    <w:rsid w:val="004C3296"/>
    <w:rsid w:val="004C5215"/>
    <w:rsid w:val="004D0098"/>
    <w:rsid w:val="004D1083"/>
    <w:rsid w:val="004D19C1"/>
    <w:rsid w:val="004D1AA9"/>
    <w:rsid w:val="004D67C5"/>
    <w:rsid w:val="004D7BD3"/>
    <w:rsid w:val="004E0A52"/>
    <w:rsid w:val="004E26A0"/>
    <w:rsid w:val="004F164A"/>
    <w:rsid w:val="004F248A"/>
    <w:rsid w:val="004F327F"/>
    <w:rsid w:val="004F3DA9"/>
    <w:rsid w:val="0050219A"/>
    <w:rsid w:val="0050270F"/>
    <w:rsid w:val="00503686"/>
    <w:rsid w:val="00507C0F"/>
    <w:rsid w:val="00510A26"/>
    <w:rsid w:val="005150DF"/>
    <w:rsid w:val="005170CB"/>
    <w:rsid w:val="00517784"/>
    <w:rsid w:val="00520F03"/>
    <w:rsid w:val="00521940"/>
    <w:rsid w:val="00522111"/>
    <w:rsid w:val="00525138"/>
    <w:rsid w:val="0052547C"/>
    <w:rsid w:val="0053099B"/>
    <w:rsid w:val="0053423B"/>
    <w:rsid w:val="00535F6A"/>
    <w:rsid w:val="00542B21"/>
    <w:rsid w:val="00542E46"/>
    <w:rsid w:val="005432AF"/>
    <w:rsid w:val="005453CF"/>
    <w:rsid w:val="0055023E"/>
    <w:rsid w:val="00561E7E"/>
    <w:rsid w:val="00571076"/>
    <w:rsid w:val="00576631"/>
    <w:rsid w:val="00581334"/>
    <w:rsid w:val="0058459E"/>
    <w:rsid w:val="00591081"/>
    <w:rsid w:val="00595674"/>
    <w:rsid w:val="005A0377"/>
    <w:rsid w:val="005A3EC7"/>
    <w:rsid w:val="005A47ED"/>
    <w:rsid w:val="005A5526"/>
    <w:rsid w:val="005A6F96"/>
    <w:rsid w:val="005B0506"/>
    <w:rsid w:val="005B64BA"/>
    <w:rsid w:val="005B6F4E"/>
    <w:rsid w:val="005C1E2C"/>
    <w:rsid w:val="005C5D65"/>
    <w:rsid w:val="005C65DF"/>
    <w:rsid w:val="005E0098"/>
    <w:rsid w:val="005E07C0"/>
    <w:rsid w:val="005E0EDE"/>
    <w:rsid w:val="005E32BD"/>
    <w:rsid w:val="005E3952"/>
    <w:rsid w:val="005F0AE8"/>
    <w:rsid w:val="00602613"/>
    <w:rsid w:val="006064D6"/>
    <w:rsid w:val="00607316"/>
    <w:rsid w:val="006152EE"/>
    <w:rsid w:val="00620F79"/>
    <w:rsid w:val="00624048"/>
    <w:rsid w:val="006306BD"/>
    <w:rsid w:val="00632F8F"/>
    <w:rsid w:val="006354C4"/>
    <w:rsid w:val="00636AA0"/>
    <w:rsid w:val="0064283E"/>
    <w:rsid w:val="0064782C"/>
    <w:rsid w:val="00647958"/>
    <w:rsid w:val="00651025"/>
    <w:rsid w:val="00653420"/>
    <w:rsid w:val="0065710F"/>
    <w:rsid w:val="00662FEA"/>
    <w:rsid w:val="00671D37"/>
    <w:rsid w:val="006740F3"/>
    <w:rsid w:val="00677658"/>
    <w:rsid w:val="00680B47"/>
    <w:rsid w:val="00681E37"/>
    <w:rsid w:val="0068484D"/>
    <w:rsid w:val="00687C73"/>
    <w:rsid w:val="00690E58"/>
    <w:rsid w:val="00691587"/>
    <w:rsid w:val="00691922"/>
    <w:rsid w:val="00693C31"/>
    <w:rsid w:val="006A0320"/>
    <w:rsid w:val="006A25F9"/>
    <w:rsid w:val="006B5210"/>
    <w:rsid w:val="006B749B"/>
    <w:rsid w:val="006C0638"/>
    <w:rsid w:val="006C17A7"/>
    <w:rsid w:val="006C1DBB"/>
    <w:rsid w:val="006D3EA0"/>
    <w:rsid w:val="006D48D1"/>
    <w:rsid w:val="006D527E"/>
    <w:rsid w:val="006F008F"/>
    <w:rsid w:val="006F3995"/>
    <w:rsid w:val="00701C69"/>
    <w:rsid w:val="00720D5B"/>
    <w:rsid w:val="0072371F"/>
    <w:rsid w:val="00724627"/>
    <w:rsid w:val="00731CCC"/>
    <w:rsid w:val="00731F93"/>
    <w:rsid w:val="00732820"/>
    <w:rsid w:val="00733E58"/>
    <w:rsid w:val="0074179B"/>
    <w:rsid w:val="00743112"/>
    <w:rsid w:val="00752227"/>
    <w:rsid w:val="00752A4E"/>
    <w:rsid w:val="00763417"/>
    <w:rsid w:val="007666F7"/>
    <w:rsid w:val="0076763B"/>
    <w:rsid w:val="0078271D"/>
    <w:rsid w:val="00785360"/>
    <w:rsid w:val="00786565"/>
    <w:rsid w:val="00787F4D"/>
    <w:rsid w:val="00791079"/>
    <w:rsid w:val="0079465C"/>
    <w:rsid w:val="007961DE"/>
    <w:rsid w:val="007975AF"/>
    <w:rsid w:val="007A11F2"/>
    <w:rsid w:val="007A2754"/>
    <w:rsid w:val="007A7A6B"/>
    <w:rsid w:val="007B1CCD"/>
    <w:rsid w:val="007B2AA7"/>
    <w:rsid w:val="007B3022"/>
    <w:rsid w:val="007B6267"/>
    <w:rsid w:val="007B68C6"/>
    <w:rsid w:val="007C2F1C"/>
    <w:rsid w:val="007D7EDD"/>
    <w:rsid w:val="007E0401"/>
    <w:rsid w:val="007E0B0C"/>
    <w:rsid w:val="007E2D7F"/>
    <w:rsid w:val="007E7F05"/>
    <w:rsid w:val="0080049A"/>
    <w:rsid w:val="00800FFA"/>
    <w:rsid w:val="00802D6E"/>
    <w:rsid w:val="0080354F"/>
    <w:rsid w:val="0080405D"/>
    <w:rsid w:val="00805EEB"/>
    <w:rsid w:val="00806A71"/>
    <w:rsid w:val="00811808"/>
    <w:rsid w:val="00824623"/>
    <w:rsid w:val="00827A2E"/>
    <w:rsid w:val="0083250F"/>
    <w:rsid w:val="00843930"/>
    <w:rsid w:val="00851BBD"/>
    <w:rsid w:val="00852D77"/>
    <w:rsid w:val="00865D5C"/>
    <w:rsid w:val="00870086"/>
    <w:rsid w:val="0088150A"/>
    <w:rsid w:val="00884CD2"/>
    <w:rsid w:val="008B1820"/>
    <w:rsid w:val="008B5371"/>
    <w:rsid w:val="008C1187"/>
    <w:rsid w:val="009038BD"/>
    <w:rsid w:val="00910FC7"/>
    <w:rsid w:val="00912BA0"/>
    <w:rsid w:val="0092387B"/>
    <w:rsid w:val="009242A6"/>
    <w:rsid w:val="0093512C"/>
    <w:rsid w:val="00936CC3"/>
    <w:rsid w:val="00936FE9"/>
    <w:rsid w:val="0094084B"/>
    <w:rsid w:val="00940F76"/>
    <w:rsid w:val="0094254E"/>
    <w:rsid w:val="00954038"/>
    <w:rsid w:val="009561D5"/>
    <w:rsid w:val="00964B32"/>
    <w:rsid w:val="00970D00"/>
    <w:rsid w:val="00977EE8"/>
    <w:rsid w:val="00981917"/>
    <w:rsid w:val="009857FB"/>
    <w:rsid w:val="00990FC4"/>
    <w:rsid w:val="00997784"/>
    <w:rsid w:val="00997834"/>
    <w:rsid w:val="009A3299"/>
    <w:rsid w:val="009B02BE"/>
    <w:rsid w:val="009B3673"/>
    <w:rsid w:val="009C368D"/>
    <w:rsid w:val="009D0915"/>
    <w:rsid w:val="009D5E83"/>
    <w:rsid w:val="009D7683"/>
    <w:rsid w:val="009E1D59"/>
    <w:rsid w:val="009E26B1"/>
    <w:rsid w:val="009E2B72"/>
    <w:rsid w:val="009E49DB"/>
    <w:rsid w:val="009E4A51"/>
    <w:rsid w:val="009E4A89"/>
    <w:rsid w:val="009F3D0A"/>
    <w:rsid w:val="00A077E7"/>
    <w:rsid w:val="00A1037E"/>
    <w:rsid w:val="00A2151E"/>
    <w:rsid w:val="00A32459"/>
    <w:rsid w:val="00A32E48"/>
    <w:rsid w:val="00A3435C"/>
    <w:rsid w:val="00A37A22"/>
    <w:rsid w:val="00A40753"/>
    <w:rsid w:val="00A45FCC"/>
    <w:rsid w:val="00A46ADB"/>
    <w:rsid w:val="00A55081"/>
    <w:rsid w:val="00A60E40"/>
    <w:rsid w:val="00A61053"/>
    <w:rsid w:val="00A71EC0"/>
    <w:rsid w:val="00A75487"/>
    <w:rsid w:val="00A81529"/>
    <w:rsid w:val="00A86046"/>
    <w:rsid w:val="00A86E73"/>
    <w:rsid w:val="00A942A5"/>
    <w:rsid w:val="00A95869"/>
    <w:rsid w:val="00AA1704"/>
    <w:rsid w:val="00AA2D42"/>
    <w:rsid w:val="00AB1F25"/>
    <w:rsid w:val="00AB5155"/>
    <w:rsid w:val="00AB70A0"/>
    <w:rsid w:val="00AB7AC4"/>
    <w:rsid w:val="00AC0C75"/>
    <w:rsid w:val="00AC512B"/>
    <w:rsid w:val="00AC523A"/>
    <w:rsid w:val="00AD05BD"/>
    <w:rsid w:val="00AD1504"/>
    <w:rsid w:val="00AD24E5"/>
    <w:rsid w:val="00AE0717"/>
    <w:rsid w:val="00AE19BD"/>
    <w:rsid w:val="00AF0344"/>
    <w:rsid w:val="00AF2582"/>
    <w:rsid w:val="00AF7D52"/>
    <w:rsid w:val="00B029B8"/>
    <w:rsid w:val="00B0326B"/>
    <w:rsid w:val="00B07BA5"/>
    <w:rsid w:val="00B114B5"/>
    <w:rsid w:val="00B11502"/>
    <w:rsid w:val="00B15EA9"/>
    <w:rsid w:val="00B16A3B"/>
    <w:rsid w:val="00B22350"/>
    <w:rsid w:val="00B2436D"/>
    <w:rsid w:val="00B24771"/>
    <w:rsid w:val="00B34D95"/>
    <w:rsid w:val="00B40E11"/>
    <w:rsid w:val="00B453EC"/>
    <w:rsid w:val="00B623C2"/>
    <w:rsid w:val="00B64FC4"/>
    <w:rsid w:val="00B67CA5"/>
    <w:rsid w:val="00B82CD2"/>
    <w:rsid w:val="00B87588"/>
    <w:rsid w:val="00B97699"/>
    <w:rsid w:val="00B97EA3"/>
    <w:rsid w:val="00BA17E7"/>
    <w:rsid w:val="00BB1A46"/>
    <w:rsid w:val="00BC71E3"/>
    <w:rsid w:val="00BD2388"/>
    <w:rsid w:val="00BD7C75"/>
    <w:rsid w:val="00BE2C8F"/>
    <w:rsid w:val="00BF16E9"/>
    <w:rsid w:val="00C0163B"/>
    <w:rsid w:val="00C03498"/>
    <w:rsid w:val="00C0590D"/>
    <w:rsid w:val="00C066F4"/>
    <w:rsid w:val="00C125E1"/>
    <w:rsid w:val="00C171A0"/>
    <w:rsid w:val="00C2648A"/>
    <w:rsid w:val="00C314A7"/>
    <w:rsid w:val="00C3484D"/>
    <w:rsid w:val="00C35CCA"/>
    <w:rsid w:val="00C433E6"/>
    <w:rsid w:val="00C50B19"/>
    <w:rsid w:val="00C50BFC"/>
    <w:rsid w:val="00C540BC"/>
    <w:rsid w:val="00C56F3F"/>
    <w:rsid w:val="00C63CFB"/>
    <w:rsid w:val="00C65AE6"/>
    <w:rsid w:val="00C67722"/>
    <w:rsid w:val="00C861B2"/>
    <w:rsid w:val="00C86ACE"/>
    <w:rsid w:val="00C92D14"/>
    <w:rsid w:val="00C95090"/>
    <w:rsid w:val="00CA2F8F"/>
    <w:rsid w:val="00CA5901"/>
    <w:rsid w:val="00CB1F75"/>
    <w:rsid w:val="00CB30D6"/>
    <w:rsid w:val="00CC1B07"/>
    <w:rsid w:val="00CC4C8E"/>
    <w:rsid w:val="00CE14A5"/>
    <w:rsid w:val="00CE48C3"/>
    <w:rsid w:val="00CE7782"/>
    <w:rsid w:val="00CF168D"/>
    <w:rsid w:val="00CF4CB1"/>
    <w:rsid w:val="00D05F3A"/>
    <w:rsid w:val="00D06745"/>
    <w:rsid w:val="00D14093"/>
    <w:rsid w:val="00D1476A"/>
    <w:rsid w:val="00D17341"/>
    <w:rsid w:val="00D214A4"/>
    <w:rsid w:val="00D25907"/>
    <w:rsid w:val="00D25987"/>
    <w:rsid w:val="00D37B6D"/>
    <w:rsid w:val="00D404C6"/>
    <w:rsid w:val="00D41409"/>
    <w:rsid w:val="00D50419"/>
    <w:rsid w:val="00D546F8"/>
    <w:rsid w:val="00D55503"/>
    <w:rsid w:val="00D7060E"/>
    <w:rsid w:val="00D759FC"/>
    <w:rsid w:val="00D8720B"/>
    <w:rsid w:val="00DA1B86"/>
    <w:rsid w:val="00DA2C6C"/>
    <w:rsid w:val="00DA2CEA"/>
    <w:rsid w:val="00DA2E75"/>
    <w:rsid w:val="00DB4683"/>
    <w:rsid w:val="00DB6E97"/>
    <w:rsid w:val="00DC04EE"/>
    <w:rsid w:val="00DC3605"/>
    <w:rsid w:val="00DE110A"/>
    <w:rsid w:val="00DE3409"/>
    <w:rsid w:val="00DE3587"/>
    <w:rsid w:val="00DE3BB2"/>
    <w:rsid w:val="00DF60D2"/>
    <w:rsid w:val="00E03924"/>
    <w:rsid w:val="00E07CCF"/>
    <w:rsid w:val="00E11316"/>
    <w:rsid w:val="00E128F3"/>
    <w:rsid w:val="00E15198"/>
    <w:rsid w:val="00E16B93"/>
    <w:rsid w:val="00E25C4A"/>
    <w:rsid w:val="00E27B6B"/>
    <w:rsid w:val="00E31627"/>
    <w:rsid w:val="00E35C6E"/>
    <w:rsid w:val="00E3745C"/>
    <w:rsid w:val="00E37575"/>
    <w:rsid w:val="00E459F0"/>
    <w:rsid w:val="00E479AC"/>
    <w:rsid w:val="00E50617"/>
    <w:rsid w:val="00E50DA4"/>
    <w:rsid w:val="00E61FF6"/>
    <w:rsid w:val="00E63542"/>
    <w:rsid w:val="00E66A09"/>
    <w:rsid w:val="00E67ED3"/>
    <w:rsid w:val="00E76DB5"/>
    <w:rsid w:val="00EA0394"/>
    <w:rsid w:val="00EA4541"/>
    <w:rsid w:val="00EA5222"/>
    <w:rsid w:val="00EA591D"/>
    <w:rsid w:val="00EA7689"/>
    <w:rsid w:val="00EB4240"/>
    <w:rsid w:val="00EC1CB0"/>
    <w:rsid w:val="00EC1E74"/>
    <w:rsid w:val="00EC23D6"/>
    <w:rsid w:val="00EC7D44"/>
    <w:rsid w:val="00ED24F2"/>
    <w:rsid w:val="00ED4F84"/>
    <w:rsid w:val="00EE1E06"/>
    <w:rsid w:val="00EE5390"/>
    <w:rsid w:val="00EE5E08"/>
    <w:rsid w:val="00EE6BBC"/>
    <w:rsid w:val="00EE75B2"/>
    <w:rsid w:val="00EF49B8"/>
    <w:rsid w:val="00EF4D6C"/>
    <w:rsid w:val="00EF4FFB"/>
    <w:rsid w:val="00F01C8E"/>
    <w:rsid w:val="00F03BBF"/>
    <w:rsid w:val="00F12098"/>
    <w:rsid w:val="00F138FF"/>
    <w:rsid w:val="00F24B15"/>
    <w:rsid w:val="00F31288"/>
    <w:rsid w:val="00F415DF"/>
    <w:rsid w:val="00F422CF"/>
    <w:rsid w:val="00F42E08"/>
    <w:rsid w:val="00F44A4A"/>
    <w:rsid w:val="00F44CA2"/>
    <w:rsid w:val="00F45141"/>
    <w:rsid w:val="00F45271"/>
    <w:rsid w:val="00F4544F"/>
    <w:rsid w:val="00F45A57"/>
    <w:rsid w:val="00F46034"/>
    <w:rsid w:val="00F47139"/>
    <w:rsid w:val="00F512C5"/>
    <w:rsid w:val="00F57B41"/>
    <w:rsid w:val="00F67FCC"/>
    <w:rsid w:val="00F702C1"/>
    <w:rsid w:val="00F7389D"/>
    <w:rsid w:val="00F75AD0"/>
    <w:rsid w:val="00F75DB2"/>
    <w:rsid w:val="00F8083A"/>
    <w:rsid w:val="00F83CF4"/>
    <w:rsid w:val="00F90453"/>
    <w:rsid w:val="00FA0DB2"/>
    <w:rsid w:val="00FA169D"/>
    <w:rsid w:val="00FA6919"/>
    <w:rsid w:val="00FC5765"/>
    <w:rsid w:val="00FD167E"/>
    <w:rsid w:val="00FE16F5"/>
    <w:rsid w:val="00FE1896"/>
    <w:rsid w:val="00FE1BFF"/>
    <w:rsid w:val="00FE2514"/>
    <w:rsid w:val="00FE477B"/>
    <w:rsid w:val="00FF5047"/>
    <w:rsid w:val="00FF758C"/>
    <w:rsid w:val="011719B0"/>
    <w:rsid w:val="016485D1"/>
    <w:rsid w:val="01B144DE"/>
    <w:rsid w:val="02756CFB"/>
    <w:rsid w:val="02B6992F"/>
    <w:rsid w:val="02B9FBDC"/>
    <w:rsid w:val="03346F7E"/>
    <w:rsid w:val="0336D7B0"/>
    <w:rsid w:val="033B547C"/>
    <w:rsid w:val="0381E2EC"/>
    <w:rsid w:val="03894BB1"/>
    <w:rsid w:val="050FB692"/>
    <w:rsid w:val="05CDAE85"/>
    <w:rsid w:val="069A4C1C"/>
    <w:rsid w:val="06AB86F3"/>
    <w:rsid w:val="06C17676"/>
    <w:rsid w:val="070FFF33"/>
    <w:rsid w:val="0749FA72"/>
    <w:rsid w:val="077A2B1F"/>
    <w:rsid w:val="07862189"/>
    <w:rsid w:val="07C82C41"/>
    <w:rsid w:val="07C9824B"/>
    <w:rsid w:val="0851DFF8"/>
    <w:rsid w:val="0878A2FD"/>
    <w:rsid w:val="090F038C"/>
    <w:rsid w:val="093738C6"/>
    <w:rsid w:val="095AEB20"/>
    <w:rsid w:val="096517D9"/>
    <w:rsid w:val="0995C6FC"/>
    <w:rsid w:val="09FF485F"/>
    <w:rsid w:val="0A6032D1"/>
    <w:rsid w:val="0B03D285"/>
    <w:rsid w:val="0C6D5BFD"/>
    <w:rsid w:val="0CA4A621"/>
    <w:rsid w:val="0CAA2222"/>
    <w:rsid w:val="0CB7E429"/>
    <w:rsid w:val="0CED7E57"/>
    <w:rsid w:val="0D082CDA"/>
    <w:rsid w:val="0D2BED7F"/>
    <w:rsid w:val="0D3D8F08"/>
    <w:rsid w:val="0D4A5850"/>
    <w:rsid w:val="0D9D294D"/>
    <w:rsid w:val="0DC8CB2D"/>
    <w:rsid w:val="0E1EC130"/>
    <w:rsid w:val="0E2029E3"/>
    <w:rsid w:val="0E28965D"/>
    <w:rsid w:val="0E3B87F2"/>
    <w:rsid w:val="0EC8CA51"/>
    <w:rsid w:val="0EC9068F"/>
    <w:rsid w:val="0FC31E86"/>
    <w:rsid w:val="0FCB0C0C"/>
    <w:rsid w:val="1001C0DE"/>
    <w:rsid w:val="10684325"/>
    <w:rsid w:val="10973F2A"/>
    <w:rsid w:val="109DB91C"/>
    <w:rsid w:val="10B870F3"/>
    <w:rsid w:val="10E74392"/>
    <w:rsid w:val="1113CA1F"/>
    <w:rsid w:val="11865023"/>
    <w:rsid w:val="121CEA80"/>
    <w:rsid w:val="124FC278"/>
    <w:rsid w:val="1252B1DA"/>
    <w:rsid w:val="12544154"/>
    <w:rsid w:val="12640C63"/>
    <w:rsid w:val="12FD45CF"/>
    <w:rsid w:val="13515D8B"/>
    <w:rsid w:val="13EA8E96"/>
    <w:rsid w:val="143C2382"/>
    <w:rsid w:val="143DBBD5"/>
    <w:rsid w:val="1464A491"/>
    <w:rsid w:val="14D725E2"/>
    <w:rsid w:val="14F1BC3E"/>
    <w:rsid w:val="151F1FB6"/>
    <w:rsid w:val="158A2A37"/>
    <w:rsid w:val="159B8D73"/>
    <w:rsid w:val="15CC270A"/>
    <w:rsid w:val="163A8066"/>
    <w:rsid w:val="166E958D"/>
    <w:rsid w:val="168E50C7"/>
    <w:rsid w:val="169C04EF"/>
    <w:rsid w:val="171AD1DB"/>
    <w:rsid w:val="1721FDEE"/>
    <w:rsid w:val="17D61DF1"/>
    <w:rsid w:val="180EC6A4"/>
    <w:rsid w:val="1964C91A"/>
    <w:rsid w:val="19F4D9C3"/>
    <w:rsid w:val="1B2C8A77"/>
    <w:rsid w:val="1B55C7F5"/>
    <w:rsid w:val="1B6175A8"/>
    <w:rsid w:val="1B90D2AC"/>
    <w:rsid w:val="1C224D85"/>
    <w:rsid w:val="1C2D4746"/>
    <w:rsid w:val="1C6FB676"/>
    <w:rsid w:val="1C858EB0"/>
    <w:rsid w:val="1CD1CFB3"/>
    <w:rsid w:val="1D1D6712"/>
    <w:rsid w:val="1D8F82F2"/>
    <w:rsid w:val="1D9C28D8"/>
    <w:rsid w:val="1E13745D"/>
    <w:rsid w:val="1E3DAAD0"/>
    <w:rsid w:val="1E455F75"/>
    <w:rsid w:val="1EB2326C"/>
    <w:rsid w:val="1F3134E2"/>
    <w:rsid w:val="1F3E9DE1"/>
    <w:rsid w:val="1F7588A6"/>
    <w:rsid w:val="1FC67C8F"/>
    <w:rsid w:val="1FD2ED4C"/>
    <w:rsid w:val="20224B2D"/>
    <w:rsid w:val="205559EE"/>
    <w:rsid w:val="20E77C92"/>
    <w:rsid w:val="20F7977D"/>
    <w:rsid w:val="20F9345F"/>
    <w:rsid w:val="217512B1"/>
    <w:rsid w:val="21B0B35D"/>
    <w:rsid w:val="22597737"/>
    <w:rsid w:val="22934652"/>
    <w:rsid w:val="22C3D112"/>
    <w:rsid w:val="2310E312"/>
    <w:rsid w:val="2336E497"/>
    <w:rsid w:val="234FF8C3"/>
    <w:rsid w:val="23ED0D22"/>
    <w:rsid w:val="24384CFE"/>
    <w:rsid w:val="24AC1404"/>
    <w:rsid w:val="24E985F3"/>
    <w:rsid w:val="252F1C0E"/>
    <w:rsid w:val="256F06C3"/>
    <w:rsid w:val="25780501"/>
    <w:rsid w:val="25816C7A"/>
    <w:rsid w:val="2590CB09"/>
    <w:rsid w:val="25E87991"/>
    <w:rsid w:val="268E60B3"/>
    <w:rsid w:val="26A517A1"/>
    <w:rsid w:val="2774EF7A"/>
    <w:rsid w:val="277CDD00"/>
    <w:rsid w:val="278F515F"/>
    <w:rsid w:val="27C2B1CB"/>
    <w:rsid w:val="27C352F3"/>
    <w:rsid w:val="27E15FD9"/>
    <w:rsid w:val="28E6F2A8"/>
    <w:rsid w:val="28F73E6A"/>
    <w:rsid w:val="29547F04"/>
    <w:rsid w:val="296DA0A2"/>
    <w:rsid w:val="299A18F6"/>
    <w:rsid w:val="29B00B0D"/>
    <w:rsid w:val="29BBE3A1"/>
    <w:rsid w:val="29F1B701"/>
    <w:rsid w:val="2A34526F"/>
    <w:rsid w:val="2B105690"/>
    <w:rsid w:val="2B39498F"/>
    <w:rsid w:val="2B8B0070"/>
    <w:rsid w:val="2CCDFF8E"/>
    <w:rsid w:val="2CF75D9F"/>
    <w:rsid w:val="2D3EEC92"/>
    <w:rsid w:val="2D4C1133"/>
    <w:rsid w:val="2DC606E7"/>
    <w:rsid w:val="2E01E134"/>
    <w:rsid w:val="2E299827"/>
    <w:rsid w:val="2E6BDBDB"/>
    <w:rsid w:val="2F0432BD"/>
    <w:rsid w:val="2F667FEE"/>
    <w:rsid w:val="2F87EEE5"/>
    <w:rsid w:val="2FAC402B"/>
    <w:rsid w:val="2FB9A9CD"/>
    <w:rsid w:val="2FDA854B"/>
    <w:rsid w:val="300A5A5F"/>
    <w:rsid w:val="300B9F7A"/>
    <w:rsid w:val="30A80824"/>
    <w:rsid w:val="30EBAEF1"/>
    <w:rsid w:val="31882D34"/>
    <w:rsid w:val="318B6DD9"/>
    <w:rsid w:val="31A40F2B"/>
    <w:rsid w:val="32287F79"/>
    <w:rsid w:val="3299780A"/>
    <w:rsid w:val="3324936F"/>
    <w:rsid w:val="33B239DB"/>
    <w:rsid w:val="340B1E72"/>
    <w:rsid w:val="343BF79A"/>
    <w:rsid w:val="3583D06B"/>
    <w:rsid w:val="35A09CF1"/>
    <w:rsid w:val="35E190B7"/>
    <w:rsid w:val="360172EA"/>
    <w:rsid w:val="3660DA63"/>
    <w:rsid w:val="37394234"/>
    <w:rsid w:val="37591388"/>
    <w:rsid w:val="375E4F0E"/>
    <w:rsid w:val="3769A789"/>
    <w:rsid w:val="38259EB5"/>
    <w:rsid w:val="38D51295"/>
    <w:rsid w:val="39D0C30E"/>
    <w:rsid w:val="3A7FDE9A"/>
    <w:rsid w:val="3B2C6F25"/>
    <w:rsid w:val="3B653A01"/>
    <w:rsid w:val="3B6C936F"/>
    <w:rsid w:val="3C16CEA2"/>
    <w:rsid w:val="3C4D4990"/>
    <w:rsid w:val="3C5AC9B1"/>
    <w:rsid w:val="3D8B29AC"/>
    <w:rsid w:val="3D97AE83"/>
    <w:rsid w:val="3DA883B8"/>
    <w:rsid w:val="3DD02FF8"/>
    <w:rsid w:val="3E02424E"/>
    <w:rsid w:val="3E5229A8"/>
    <w:rsid w:val="3E9641FE"/>
    <w:rsid w:val="3F331942"/>
    <w:rsid w:val="3FAF2146"/>
    <w:rsid w:val="3FC6BCB4"/>
    <w:rsid w:val="3FF3AF9E"/>
    <w:rsid w:val="3FF5CBF5"/>
    <w:rsid w:val="404F3E39"/>
    <w:rsid w:val="4057658C"/>
    <w:rsid w:val="40688B15"/>
    <w:rsid w:val="40A93A38"/>
    <w:rsid w:val="40B564FD"/>
    <w:rsid w:val="4120BAB3"/>
    <w:rsid w:val="413061CF"/>
    <w:rsid w:val="416082C0"/>
    <w:rsid w:val="416F94AD"/>
    <w:rsid w:val="41FB5549"/>
    <w:rsid w:val="4276928F"/>
    <w:rsid w:val="4301F23D"/>
    <w:rsid w:val="435E7CF7"/>
    <w:rsid w:val="438EDF10"/>
    <w:rsid w:val="441FB2C2"/>
    <w:rsid w:val="44C4925A"/>
    <w:rsid w:val="452709A4"/>
    <w:rsid w:val="452AAF71"/>
    <w:rsid w:val="45954C12"/>
    <w:rsid w:val="45ED0899"/>
    <w:rsid w:val="46167BA6"/>
    <w:rsid w:val="463992FF"/>
    <w:rsid w:val="465C97B6"/>
    <w:rsid w:val="46AF4616"/>
    <w:rsid w:val="47575384"/>
    <w:rsid w:val="478B93F1"/>
    <w:rsid w:val="47B1F7BC"/>
    <w:rsid w:val="4835FB06"/>
    <w:rsid w:val="486A96CD"/>
    <w:rsid w:val="48F64F03"/>
    <w:rsid w:val="49198574"/>
    <w:rsid w:val="491F5301"/>
    <w:rsid w:val="49560F19"/>
    <w:rsid w:val="499062DE"/>
    <w:rsid w:val="499BD363"/>
    <w:rsid w:val="499E1B9E"/>
    <w:rsid w:val="4A09F410"/>
    <w:rsid w:val="4A68D863"/>
    <w:rsid w:val="4B46EB58"/>
    <w:rsid w:val="4B7EB96A"/>
    <w:rsid w:val="4BB43C96"/>
    <w:rsid w:val="4BBB5FEC"/>
    <w:rsid w:val="4C34FA29"/>
    <w:rsid w:val="4C5966ED"/>
    <w:rsid w:val="4C636A94"/>
    <w:rsid w:val="4CBD871F"/>
    <w:rsid w:val="4D0A5D5D"/>
    <w:rsid w:val="4D296757"/>
    <w:rsid w:val="4DA26307"/>
    <w:rsid w:val="4DAB9F1B"/>
    <w:rsid w:val="4ED9D851"/>
    <w:rsid w:val="4FDE5A32"/>
    <w:rsid w:val="506D6218"/>
    <w:rsid w:val="507CCE27"/>
    <w:rsid w:val="51281795"/>
    <w:rsid w:val="5160ED44"/>
    <w:rsid w:val="51614320"/>
    <w:rsid w:val="51696BA5"/>
    <w:rsid w:val="517E0567"/>
    <w:rsid w:val="51CD7F3E"/>
    <w:rsid w:val="51D95E71"/>
    <w:rsid w:val="51DB62B7"/>
    <w:rsid w:val="52063875"/>
    <w:rsid w:val="52237E33"/>
    <w:rsid w:val="522AA170"/>
    <w:rsid w:val="5256E03C"/>
    <w:rsid w:val="52825BD4"/>
    <w:rsid w:val="52D84274"/>
    <w:rsid w:val="52DB0786"/>
    <w:rsid w:val="534FA288"/>
    <w:rsid w:val="5391C015"/>
    <w:rsid w:val="53C17017"/>
    <w:rsid w:val="53CDCAAF"/>
    <w:rsid w:val="53F2B09D"/>
    <w:rsid w:val="54002B1F"/>
    <w:rsid w:val="55627BCA"/>
    <w:rsid w:val="558AEC37"/>
    <w:rsid w:val="55EB715A"/>
    <w:rsid w:val="56043415"/>
    <w:rsid w:val="56160FBC"/>
    <w:rsid w:val="56202D5F"/>
    <w:rsid w:val="562ABC5A"/>
    <w:rsid w:val="56344AE3"/>
    <w:rsid w:val="564C0D2A"/>
    <w:rsid w:val="56A68F9E"/>
    <w:rsid w:val="57112902"/>
    <w:rsid w:val="572BD6E3"/>
    <w:rsid w:val="5787282A"/>
    <w:rsid w:val="579FAF42"/>
    <w:rsid w:val="57A6EA4A"/>
    <w:rsid w:val="57C97374"/>
    <w:rsid w:val="584FC3A7"/>
    <w:rsid w:val="5867EC93"/>
    <w:rsid w:val="5899E2F4"/>
    <w:rsid w:val="58EFD477"/>
    <w:rsid w:val="5923E9AE"/>
    <w:rsid w:val="5924B357"/>
    <w:rsid w:val="5945E602"/>
    <w:rsid w:val="5A6F29DB"/>
    <w:rsid w:val="5A83C76B"/>
    <w:rsid w:val="5AA0C398"/>
    <w:rsid w:val="5AA8025B"/>
    <w:rsid w:val="5B11DB42"/>
    <w:rsid w:val="5B127909"/>
    <w:rsid w:val="5B55C741"/>
    <w:rsid w:val="5B7A8B9C"/>
    <w:rsid w:val="5C37D9BF"/>
    <w:rsid w:val="5CD5998C"/>
    <w:rsid w:val="5D6169A6"/>
    <w:rsid w:val="5DA41314"/>
    <w:rsid w:val="5DAD6011"/>
    <w:rsid w:val="5DADC607"/>
    <w:rsid w:val="5F15D1EB"/>
    <w:rsid w:val="5F3FE375"/>
    <w:rsid w:val="5F5EC167"/>
    <w:rsid w:val="5F792B43"/>
    <w:rsid w:val="5F83FFD0"/>
    <w:rsid w:val="5FA2C10D"/>
    <w:rsid w:val="5FFAC887"/>
    <w:rsid w:val="618C62C5"/>
    <w:rsid w:val="61FED8D3"/>
    <w:rsid w:val="622F8A63"/>
    <w:rsid w:val="62B87482"/>
    <w:rsid w:val="62D07A62"/>
    <w:rsid w:val="62DCD58E"/>
    <w:rsid w:val="63A83481"/>
    <w:rsid w:val="63BA538A"/>
    <w:rsid w:val="6408D467"/>
    <w:rsid w:val="65035522"/>
    <w:rsid w:val="65623598"/>
    <w:rsid w:val="65672B25"/>
    <w:rsid w:val="65F5DE60"/>
    <w:rsid w:val="669712B7"/>
    <w:rsid w:val="66C5906B"/>
    <w:rsid w:val="66D160F1"/>
    <w:rsid w:val="66E77227"/>
    <w:rsid w:val="66FE05F9"/>
    <w:rsid w:val="6702FB86"/>
    <w:rsid w:val="674C25B1"/>
    <w:rsid w:val="679E8F5D"/>
    <w:rsid w:val="67B7258B"/>
    <w:rsid w:val="67E9CF39"/>
    <w:rsid w:val="681B4C0A"/>
    <w:rsid w:val="686160CC"/>
    <w:rsid w:val="6933FA3A"/>
    <w:rsid w:val="698AA154"/>
    <w:rsid w:val="6B7F4DA3"/>
    <w:rsid w:val="6C010C4B"/>
    <w:rsid w:val="6C4A1F16"/>
    <w:rsid w:val="6C720080"/>
    <w:rsid w:val="6D31A6D1"/>
    <w:rsid w:val="6D34EB0A"/>
    <w:rsid w:val="6D723D0A"/>
    <w:rsid w:val="6DA9B503"/>
    <w:rsid w:val="6EC34105"/>
    <w:rsid w:val="6F0FABC8"/>
    <w:rsid w:val="707B247A"/>
    <w:rsid w:val="715E106D"/>
    <w:rsid w:val="71C7172A"/>
    <w:rsid w:val="73E17E8E"/>
    <w:rsid w:val="7557ACFB"/>
    <w:rsid w:val="759FA7F7"/>
    <w:rsid w:val="76C1B517"/>
    <w:rsid w:val="7777291C"/>
    <w:rsid w:val="784DFEAA"/>
    <w:rsid w:val="786ECC73"/>
    <w:rsid w:val="788F4DBD"/>
    <w:rsid w:val="78A2C191"/>
    <w:rsid w:val="79315C1A"/>
    <w:rsid w:val="793EDA2D"/>
    <w:rsid w:val="79CD03EA"/>
    <w:rsid w:val="79E2E51C"/>
    <w:rsid w:val="7A3E91F2"/>
    <w:rsid w:val="7AA0A76C"/>
    <w:rsid w:val="7AEAC46F"/>
    <w:rsid w:val="7B23140E"/>
    <w:rsid w:val="7B3F9DAF"/>
    <w:rsid w:val="7B6B45E3"/>
    <w:rsid w:val="7BDA6253"/>
    <w:rsid w:val="7C0E437D"/>
    <w:rsid w:val="7C10C708"/>
    <w:rsid w:val="7C8694D0"/>
    <w:rsid w:val="7C8E8256"/>
    <w:rsid w:val="7CD394AD"/>
    <w:rsid w:val="7CD99515"/>
    <w:rsid w:val="7D402DBC"/>
    <w:rsid w:val="7DD23B16"/>
    <w:rsid w:val="7DEFE9BD"/>
    <w:rsid w:val="7E25904F"/>
    <w:rsid w:val="7EA0750D"/>
    <w:rsid w:val="7F759C73"/>
    <w:rsid w:val="7FE142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A1E7DB"/>
  <w15:chartTrackingRefBased/>
  <w15:docId w15:val="{26C0E3A3-A273-47FF-940B-2C06D869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rsid w:val="00A86E73"/>
    <w:rPr>
      <w:sz w:val="16"/>
      <w:szCs w:val="16"/>
    </w:rPr>
  </w:style>
  <w:style w:type="paragraph" w:styleId="CommentText">
    <w:name w:val="annotation text"/>
    <w:basedOn w:val="Normal"/>
    <w:link w:val="CommentTextChar"/>
    <w:rsid w:val="00A86E73"/>
    <w:rPr>
      <w:sz w:val="20"/>
    </w:rPr>
  </w:style>
  <w:style w:type="character" w:customStyle="1" w:styleId="CommentTextChar">
    <w:name w:val="Comment Text Char"/>
    <w:basedOn w:val="DefaultParagraphFont"/>
    <w:link w:val="CommentText"/>
    <w:rsid w:val="00A86E73"/>
  </w:style>
  <w:style w:type="paragraph" w:styleId="CommentSubject">
    <w:name w:val="annotation subject"/>
    <w:basedOn w:val="CommentText"/>
    <w:next w:val="CommentText"/>
    <w:link w:val="CommentSubjectChar"/>
    <w:rsid w:val="00A86E73"/>
    <w:rPr>
      <w:b/>
      <w:bCs/>
    </w:rPr>
  </w:style>
  <w:style w:type="character" w:customStyle="1" w:styleId="CommentSubjectChar">
    <w:name w:val="Comment Subject Char"/>
    <w:link w:val="CommentSubject"/>
    <w:rsid w:val="00A86E73"/>
    <w:rPr>
      <w:b/>
      <w:bCs/>
    </w:rPr>
  </w:style>
  <w:style w:type="paragraph" w:styleId="BodyText">
    <w:name w:val="Body Text"/>
    <w:basedOn w:val="Normal"/>
    <w:link w:val="BodyTextChar"/>
    <w:rsid w:val="009D5E83"/>
    <w:pPr>
      <w:keepLines/>
      <w:tabs>
        <w:tab w:val="left" w:pos="0"/>
      </w:tabs>
      <w:overflowPunct w:val="0"/>
      <w:autoSpaceDE w:val="0"/>
      <w:autoSpaceDN w:val="0"/>
      <w:adjustRightInd w:val="0"/>
      <w:spacing w:after="80"/>
      <w:textAlignment w:val="baseline"/>
    </w:pPr>
    <w:rPr>
      <w:color w:val="000000"/>
      <w:sz w:val="22"/>
    </w:rPr>
  </w:style>
  <w:style w:type="character" w:customStyle="1" w:styleId="BodyTextChar">
    <w:name w:val="Body Text Char"/>
    <w:link w:val="BodyText"/>
    <w:rsid w:val="009D5E83"/>
    <w:rPr>
      <w:color w:val="000000"/>
      <w:sz w:val="22"/>
    </w:rPr>
  </w:style>
  <w:style w:type="table" w:styleId="TableGrid">
    <w:name w:val="Table Grid"/>
    <w:basedOn w:val="TableNormal"/>
    <w:uiPriority w:val="39"/>
    <w:rsid w:val="00F808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6C720080"/>
    <w:rPr>
      <w:rFonts w:eastAsiaTheme="minorEastAsia"/>
      <w:color w:val="000000" w:themeColor="text1"/>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8C1187"/>
    <w:rPr>
      <w:sz w:val="24"/>
      <w:lang w:eastAsia="en-US"/>
    </w:rPr>
  </w:style>
  <w:style w:type="character" w:styleId="Hyperlink">
    <w:name w:val="Hyperlink"/>
    <w:basedOn w:val="DefaultParagraphFont"/>
    <w:rsid w:val="009561D5"/>
    <w:rPr>
      <w:color w:val="0563C1" w:themeColor="hyperlink"/>
      <w:u w:val="single"/>
    </w:rPr>
  </w:style>
  <w:style w:type="character" w:styleId="UnresolvedMention">
    <w:name w:val="Unresolved Mention"/>
    <w:basedOn w:val="DefaultParagraphFont"/>
    <w:uiPriority w:val="99"/>
    <w:semiHidden/>
    <w:unhideWhenUsed/>
    <w:rsid w:val="009561D5"/>
    <w:rPr>
      <w:color w:val="605E5C"/>
      <w:shd w:val="clear" w:color="auto" w:fill="E1DFDD"/>
    </w:rPr>
  </w:style>
  <w:style w:type="character" w:styleId="Mention">
    <w:name w:val="Mention"/>
    <w:basedOn w:val="DefaultParagraphFont"/>
    <w:uiPriority w:val="99"/>
    <w:unhideWhenUsed/>
    <w:rsid w:val="003F21FA"/>
    <w:rPr>
      <w:color w:val="2B579A"/>
      <w:shd w:val="clear" w:color="auto" w:fill="E1DFDD"/>
    </w:rPr>
  </w:style>
  <w:style w:type="paragraph" w:styleId="NoSpacing">
    <w:name w:val="No Spacing"/>
    <w:uiPriority w:val="1"/>
    <w:qFormat/>
    <w:rsid w:val="0094254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74649c-0923-4e49-9365-6fcb298dc6f8">
      <Terms xmlns="http://schemas.microsoft.com/office/infopath/2007/PartnerControls"/>
    </lcf76f155ced4ddcb4097134ff3c332f>
    <Comments xmlns="4d74649c-0923-4e49-9365-6fcb298dc6f8" xsi:nil="true"/>
    <Status xmlns="4d74649c-0923-4e49-9365-6fcb298dc6f8" xsi:nil="true"/>
    <TaxCatchAll xmlns="a7590d3f-064e-4611-8c4c-cf19b4a54d7f" xsi:nil="true"/>
    <PDFLink xmlns="4d74649c-0923-4e49-9365-6fcb298dc6f8">
      <Url xsi:nil="true"/>
      <Description xsi:nil="true"/>
    </PDF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809370DFA7FE43A249942B30AB6F93" ma:contentTypeVersion="19" ma:contentTypeDescription="Create a new document." ma:contentTypeScope="" ma:versionID="34e76d20bbd911b9a0a5a8b0896efaa7">
  <xsd:schema xmlns:xsd="http://www.w3.org/2001/XMLSchema" xmlns:xs="http://www.w3.org/2001/XMLSchema" xmlns:p="http://schemas.microsoft.com/office/2006/metadata/properties" xmlns:ns2="4d74649c-0923-4e49-9365-6fcb298dc6f8" xmlns:ns3="a7590d3f-064e-4611-8c4c-cf19b4a54d7f" targetNamespace="http://schemas.microsoft.com/office/2006/metadata/properties" ma:root="true" ma:fieldsID="24a76613e755799d644f54a708d05e07" ns2:_="" ns3:_="">
    <xsd:import namespace="4d74649c-0923-4e49-9365-6fcb298dc6f8"/>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2:Comme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Statu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PDF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649c-0923-4e49-9365-6fcb298dc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format="Dropdown" ma:internalName="Comment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Status" ma:index="17" nillable="true" ma:displayName="Status" ma:format="Dropdown" ma:internalName="Status">
      <xsd:simpleType>
        <xsd:restriction base="dms:Choice">
          <xsd:enumeration value="In progress"/>
          <xsd:enumeration value="Need assistance"/>
          <xsd:enumeration value="Complete"/>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PDFLink" ma:index="25" nillable="true" ma:displayName="PDF Link" ma:format="Image" ma:internalName="PDF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616d08-7f89-4041-8ad2-42a44d422489}" ma:internalName="TaxCatchAll" ma:showField="CatchAllData" ma:web="a7590d3f-064e-4611-8c4c-cf19b4a54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E801F-3A83-45FD-A615-AD8B4C03099F}">
  <ds:schemaRefs>
    <ds:schemaRef ds:uri="http://schemas.microsoft.com/sharepoint/v3/contenttype/forms"/>
  </ds:schemaRefs>
</ds:datastoreItem>
</file>

<file path=customXml/itemProps2.xml><?xml version="1.0" encoding="utf-8"?>
<ds:datastoreItem xmlns:ds="http://schemas.openxmlformats.org/officeDocument/2006/customXml" ds:itemID="{DE9CD746-7C6A-4DE4-BFAD-70877516D7B2}">
  <ds:schemaRefs>
    <ds:schemaRef ds:uri="http://schemas.microsoft.com/office/infopath/2007/PartnerControls"/>
    <ds:schemaRef ds:uri="4d74649c-0923-4e49-9365-6fcb298dc6f8"/>
    <ds:schemaRef ds:uri="http://purl.org/dc/terms/"/>
    <ds:schemaRef ds:uri="http://schemas.microsoft.com/office/2006/metadata/properties"/>
    <ds:schemaRef ds:uri="http://schemas.microsoft.com/office/2006/documentManagement/types"/>
    <ds:schemaRef ds:uri="http://purl.org/dc/elements/1.1/"/>
    <ds:schemaRef ds:uri="a7590d3f-064e-4611-8c4c-cf19b4a54d7f"/>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127E21B-92AF-4A85-9605-E929C85D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649c-0923-4e49-9365-6fcb298dc6f8"/>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1549</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4</cp:revision>
  <cp:lastPrinted>2009-07-23T21:59:00Z</cp:lastPrinted>
  <dcterms:created xsi:type="dcterms:W3CDTF">2025-07-02T14:45:00Z</dcterms:created>
  <dcterms:modified xsi:type="dcterms:W3CDTF">2025-12-04T15:02:00Z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0x01010061809370DFA7FE43A249942B30AB6F93</vt:lpwstr>
  </property>
  <property fmtid="{D5CDD505-2E9C-101B-9397-08002B2CF9AE}" pid="3" name="EmailCc">
    <vt:lpwstr/>
  </property>
  <property fmtid="{D5CDD505-2E9C-101B-9397-08002B2CF9AE}" pid="4" name="EmailFrom">
    <vt:lpwstr/>
  </property>
  <property fmtid="{D5CDD505-2E9C-101B-9397-08002B2CF9AE}" pid="5" name="EmailSender">
    <vt:lpwstr/>
  </property>
  <property fmtid="{D5CDD505-2E9C-101B-9397-08002B2CF9AE}" pid="6" name="EmailSubject">
    <vt:lpwstr/>
  </property>
  <property fmtid="{D5CDD505-2E9C-101B-9397-08002B2CF9AE}" pid="7" name="EmailTo">
    <vt:lpwstr/>
  </property>
  <property fmtid="{D5CDD505-2E9C-101B-9397-08002B2CF9AE}" pid="8" name="MediaServiceImageTags">
    <vt:lpwstr/>
  </property>
</Properties>
</file>