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DC5934" w:rsidP="11AB4B38" w14:paraId="45D37654" w14:textId="77777777">
      <w:pPr>
        <w:spacing w:after="0"/>
        <w:jc w:val="center"/>
        <w:rPr>
          <w:rFonts w:cstheme="minorHAnsi"/>
        </w:rPr>
      </w:pPr>
      <w:bookmarkStart w:id="0" w:name="_Toc49148152"/>
      <w:r w:rsidRPr="00DC5934">
        <w:rPr>
          <w:rFonts w:cstheme="minorHAnsi"/>
        </w:rPr>
        <w:t>U.S. Environmental Protection Agency</w:t>
      </w:r>
    </w:p>
    <w:p w:rsidR="00DE4E0C" w:rsidRPr="00DC5934" w:rsidP="11AB4B38" w14:paraId="5C6F43DD" w14:textId="77777777">
      <w:pPr>
        <w:jc w:val="center"/>
        <w:rPr>
          <w:rFonts w:cstheme="minorHAnsi"/>
        </w:rPr>
      </w:pPr>
      <w:r w:rsidRPr="00DC5934">
        <w:rPr>
          <w:rFonts w:cstheme="minorHAnsi"/>
        </w:rPr>
        <w:t>Information Collection Request</w:t>
      </w:r>
    </w:p>
    <w:p w:rsidR="00EA0D20" w:rsidRPr="00DC5934" w:rsidP="00BB432F" w14:paraId="338B5CD6" w14:textId="77777777">
      <w:pPr>
        <w:rPr>
          <w:rFonts w:cstheme="minorHAnsi"/>
          <w:b/>
          <w:bCs/>
        </w:rPr>
      </w:pPr>
    </w:p>
    <w:p w:rsidR="00BB432F" w:rsidRPr="00DC5934" w:rsidP="00FB1410" w14:paraId="047558A2" w14:textId="4BE8AD95">
      <w:pPr>
        <w:tabs>
          <w:tab w:val="center" w:pos="4680"/>
        </w:tabs>
        <w:rPr>
          <w:rFonts w:cstheme="minorHAnsi"/>
          <w:bCs/>
        </w:rPr>
      </w:pPr>
      <w:r w:rsidRPr="00DC5934">
        <w:rPr>
          <w:rFonts w:cstheme="minorHAnsi"/>
          <w:b/>
          <w:bCs/>
        </w:rPr>
        <w:t>Title:</w:t>
      </w:r>
      <w:r w:rsidRPr="00DC5934" w:rsidR="001F34A5">
        <w:rPr>
          <w:rFonts w:cstheme="minorHAnsi"/>
        </w:rPr>
        <w:t xml:space="preserve"> </w:t>
      </w:r>
      <w:r w:rsidRPr="00DC5934" w:rsidR="00381000">
        <w:rPr>
          <w:rFonts w:cstheme="minorHAnsi"/>
        </w:rPr>
        <w:t>Reporting and Recordkeeping Requirements for the Interim Final Safe Management of Recalled Airbags Rule</w:t>
      </w:r>
      <w:r w:rsidRPr="00DC5934" w:rsidR="00381000">
        <w:rPr>
          <w:rFonts w:cstheme="minorHAnsi"/>
          <w:color w:val="000000"/>
        </w:rPr>
        <w:t xml:space="preserve"> </w:t>
      </w:r>
      <w:r w:rsidRPr="00DC5934" w:rsidR="008B6275">
        <w:rPr>
          <w:rFonts w:cstheme="minorHAnsi"/>
          <w:color w:val="000000"/>
        </w:rPr>
        <w:t>(Renewal)</w:t>
      </w:r>
    </w:p>
    <w:p w:rsidR="00EE2403" w:rsidRPr="00DC5934" w:rsidP="00BB432F" w14:paraId="24D5FEFE" w14:textId="02D0688D">
      <w:pPr>
        <w:spacing w:line="240" w:lineRule="auto"/>
        <w:rPr>
          <w:rFonts w:cstheme="minorHAnsi"/>
        </w:rPr>
      </w:pPr>
      <w:r w:rsidRPr="00DC5934">
        <w:rPr>
          <w:rFonts w:cstheme="minorHAnsi"/>
          <w:b/>
          <w:bCs/>
        </w:rPr>
        <w:t>OMB Control Number:</w:t>
      </w:r>
      <w:r w:rsidRPr="00DC5934" w:rsidR="00BB432F">
        <w:rPr>
          <w:rFonts w:cstheme="minorHAnsi"/>
        </w:rPr>
        <w:t xml:space="preserve"> </w:t>
      </w:r>
      <w:r w:rsidRPr="00DC5934" w:rsidR="00FB1410">
        <w:rPr>
          <w:rFonts w:cstheme="minorHAnsi"/>
        </w:rPr>
        <w:t>2050-0</w:t>
      </w:r>
      <w:r w:rsidRPr="00DC5934" w:rsidR="005C1E62">
        <w:rPr>
          <w:rFonts w:cstheme="minorHAnsi"/>
        </w:rPr>
        <w:t>221</w:t>
      </w:r>
    </w:p>
    <w:p w:rsidR="00EE2403" w:rsidRPr="00DC5934" w:rsidP="00ED57A4" w14:paraId="40A41C55" w14:textId="42F7D4C5">
      <w:pPr>
        <w:spacing w:before="240" w:line="240" w:lineRule="auto"/>
        <w:rPr>
          <w:rFonts w:cstheme="minorHAnsi"/>
        </w:rPr>
      </w:pPr>
      <w:r w:rsidRPr="00DC5934">
        <w:rPr>
          <w:rFonts w:cstheme="minorHAnsi"/>
          <w:b/>
          <w:bCs/>
        </w:rPr>
        <w:t>EPA ICR Number:</w:t>
      </w:r>
      <w:r w:rsidRPr="00DC5934" w:rsidR="00BB432F">
        <w:rPr>
          <w:rFonts w:cstheme="minorHAnsi"/>
        </w:rPr>
        <w:t xml:space="preserve"> </w:t>
      </w:r>
      <w:r w:rsidRPr="00DC5934" w:rsidR="005C1E62">
        <w:rPr>
          <w:rFonts w:cstheme="minorHAnsi"/>
        </w:rPr>
        <w:t>2589.06</w:t>
      </w:r>
    </w:p>
    <w:p w:rsidR="000D0E52" w:rsidRPr="00DC5934" w:rsidP="005C1E62" w14:paraId="2FCB7DB0" w14:textId="0A7E2C24">
      <w:pPr>
        <w:spacing w:line="240" w:lineRule="auto"/>
        <w:rPr>
          <w:rFonts w:cstheme="minorHAnsi"/>
        </w:rPr>
      </w:pPr>
      <w:r w:rsidRPr="00DC5934">
        <w:rPr>
          <w:rFonts w:cstheme="minorHAnsi"/>
          <w:b/>
          <w:bCs/>
        </w:rPr>
        <w:t>Abstract:</w:t>
      </w:r>
      <w:r w:rsidRPr="00DC5934" w:rsidR="00BB432F">
        <w:rPr>
          <w:rFonts w:cstheme="minorHAnsi"/>
        </w:rPr>
        <w:t xml:space="preserve"> </w:t>
      </w:r>
      <w:r w:rsidRPr="00DC5934" w:rsidR="005C1E62">
        <w:rPr>
          <w:rFonts w:cstheme="minorHAnsi"/>
        </w:rPr>
        <w:t>The collection of information is necessary in order to ensure that the hazardous waste airbag modules and airbag inflators exempted under this rule are safely disposed of and that defective airbag modules and airbag inflators are not reinserted into vehicles where they would pose an unreasonable risk of death or serious injury. Information collection activities include maintaining at the airbag handler for no less than three years records of (1) all off-site shipments and (2) confirmations of receipt of airbag waste.</w:t>
      </w:r>
    </w:p>
    <w:p w:rsidR="00DE4E0C" w:rsidRPr="00DC5934" w:rsidP="000D0E52" w14:paraId="0C498983" w14:textId="2CA18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u w:val="single"/>
        </w:rPr>
      </w:pPr>
      <w:r w:rsidRPr="00DC5934">
        <w:rPr>
          <w:rFonts w:cstheme="minorHAnsi"/>
          <w:b/>
          <w:bCs/>
          <w:u w:val="single"/>
        </w:rPr>
        <w:t>Supporting Statement A</w:t>
      </w:r>
      <w:bookmarkEnd w:id="0"/>
    </w:p>
    <w:p w:rsidR="00D47CB3" w:rsidRPr="00DC5934" w:rsidP="00854AAE" w14:paraId="7C2D1EB5" w14:textId="77777777">
      <w:pPr>
        <w:pStyle w:val="ListParagraph"/>
        <w:numPr>
          <w:ilvl w:val="0"/>
          <w:numId w:val="25"/>
        </w:numPr>
        <w:pBdr>
          <w:bottom w:val="single" w:sz="4" w:space="1" w:color="auto"/>
        </w:pBdr>
        <w:spacing w:before="240" w:after="0"/>
        <w:rPr>
          <w:rFonts w:cstheme="minorHAnsi"/>
          <w:b/>
          <w:bCs/>
        </w:rPr>
      </w:pPr>
      <w:bookmarkStart w:id="1" w:name="_Toc156593368"/>
      <w:r w:rsidRPr="00DC5934">
        <w:rPr>
          <w:rFonts w:cstheme="minorHAnsi"/>
          <w:b/>
          <w:bCs/>
        </w:rPr>
        <w:t>NEED AND AUTHORITY FOR THE COLLECTION</w:t>
      </w:r>
      <w:bookmarkEnd w:id="1"/>
    </w:p>
    <w:p w:rsidR="00A27E5C" w:rsidRPr="00DC5934" w:rsidP="00854AAE" w14:paraId="6A0007D4" w14:textId="77777777">
      <w:pPr>
        <w:pBdr>
          <w:bottom w:val="single" w:sz="4" w:space="1" w:color="auto"/>
        </w:pBdr>
        <w:spacing w:before="60"/>
        <w:rPr>
          <w:rFonts w:cstheme="minorHAnsi"/>
          <w:i/>
          <w:iCs/>
          <w:color w:val="000000"/>
          <w:shd w:val="clear" w:color="auto" w:fill="FFFFFF"/>
        </w:rPr>
      </w:pPr>
      <w:r w:rsidRPr="00DC5934">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5C1E62" w:rsidRPr="00DC5934" w:rsidP="005C1E62" w14:paraId="00D3A1CD" w14:textId="77777777">
      <w:pPr>
        <w:ind w:firstLine="720"/>
        <w:rPr>
          <w:rFonts w:cstheme="minorHAnsi"/>
        </w:rPr>
      </w:pPr>
      <w:r w:rsidRPr="00DC5934">
        <w:rPr>
          <w:rFonts w:cstheme="minorHAnsi"/>
        </w:rPr>
        <w:t>The requirements covered in this ICR are necessary for EPA to oversee the handling and management of airbag waste. EPA is requiring the establishment of these information collection requirements under the authority of sections 2002, 3001, 3002, 3003, 3004, 3006, 3010, and 3017 of the Solid Waste Disposal Act of 1965, as amended by the Resource Conservation and Recovery Act of 1976 (RCRA), as amended by the Hazardous and Solid Waste Amendments of 1984 (HSWA).</w:t>
      </w:r>
    </w:p>
    <w:p w:rsidR="00D47CB3" w:rsidRPr="00DC5934" w:rsidP="00854AAE" w14:paraId="13EA7282" w14:textId="77777777">
      <w:pPr>
        <w:pStyle w:val="ListParagraph"/>
        <w:numPr>
          <w:ilvl w:val="0"/>
          <w:numId w:val="25"/>
        </w:numPr>
        <w:pBdr>
          <w:bottom w:val="single" w:sz="4" w:space="1" w:color="auto"/>
        </w:pBdr>
        <w:spacing w:before="240" w:after="0"/>
        <w:rPr>
          <w:rFonts w:cstheme="minorHAnsi"/>
          <w:b/>
          <w:bCs/>
        </w:rPr>
      </w:pPr>
      <w:bookmarkStart w:id="2" w:name="_Toc156593369"/>
      <w:r w:rsidRPr="00DC5934">
        <w:rPr>
          <w:rFonts w:cstheme="minorHAnsi"/>
          <w:b/>
          <w:bCs/>
        </w:rPr>
        <w:t>PRACTICAL UTILITY/USERS OF THE DATA</w:t>
      </w:r>
      <w:bookmarkEnd w:id="2"/>
    </w:p>
    <w:p w:rsidR="004252C1" w:rsidRPr="00DC5934" w:rsidP="00854AAE" w14:paraId="24379675" w14:textId="77777777">
      <w:pPr>
        <w:pBdr>
          <w:bottom w:val="single" w:sz="4" w:space="1" w:color="auto"/>
        </w:pBdr>
        <w:spacing w:before="60"/>
        <w:rPr>
          <w:rFonts w:cstheme="minorHAnsi"/>
          <w:i/>
          <w:iCs/>
          <w:color w:val="000000"/>
          <w:shd w:val="clear" w:color="auto" w:fill="FFFFFF"/>
        </w:rPr>
      </w:pPr>
      <w:r w:rsidRPr="00DC5934">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A94D77" w:rsidRPr="00DC5934" w:rsidP="00A94D77" w14:paraId="7C7C1F1D" w14:textId="1D46DA0F">
      <w:pPr>
        <w:ind w:firstLine="720"/>
        <w:rPr>
          <w:rFonts w:cstheme="minorHAnsi"/>
        </w:rPr>
      </w:pPr>
      <w:bookmarkStart w:id="3" w:name="_Toc156593370"/>
      <w:r w:rsidRPr="00DC5934">
        <w:rPr>
          <w:rFonts w:cstheme="minorHAnsi"/>
        </w:rPr>
        <w:t>EPA will use the collected information to ensure that airbag waste is managed in a cost-effective manner that minimizes risks to human health and the environment.</w:t>
      </w:r>
    </w:p>
    <w:p w:rsidR="00074917" w:rsidRPr="00DC5934" w:rsidP="00843263" w14:paraId="5743ED7B" w14:textId="76879990">
      <w:pPr>
        <w:pStyle w:val="ListParagraph"/>
        <w:keepNext/>
        <w:keepLines/>
        <w:numPr>
          <w:ilvl w:val="0"/>
          <w:numId w:val="25"/>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DC5934">
        <w:rPr>
          <w:rFonts w:cstheme="minorHAnsi"/>
          <w:b/>
          <w:bCs/>
        </w:rPr>
        <w:t>USE OF TECHNOLOGY</w:t>
      </w:r>
      <w:bookmarkEnd w:id="3"/>
    </w:p>
    <w:p w:rsidR="00D47CB3" w:rsidRPr="00DC5934" w:rsidP="00854AAE" w14:paraId="63FA7108" w14:textId="77777777">
      <w:pPr>
        <w:pBdr>
          <w:bottom w:val="single" w:sz="4" w:space="1" w:color="auto"/>
        </w:pBdr>
        <w:spacing w:before="60"/>
        <w:rPr>
          <w:rFonts w:cstheme="minorHAnsi"/>
          <w:i/>
          <w:iCs/>
        </w:rPr>
      </w:pPr>
      <w:r w:rsidRPr="00DC5934">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144F" w:rsidRPr="00DC5934" w:rsidP="00A55B12" w14:paraId="4358B72C" w14:textId="57EEF3A3">
      <w:pPr>
        <w:ind w:firstLine="360"/>
        <w:rPr>
          <w:rFonts w:cstheme="minorHAnsi"/>
          <w:b/>
        </w:rPr>
      </w:pPr>
      <w:bookmarkStart w:id="4" w:name="_Toc156593371"/>
      <w:r w:rsidRPr="00DC5934">
        <w:rPr>
          <w:rFonts w:cstheme="minorHAnsi"/>
        </w:rPr>
        <w:t>The information collected, as described above, can be kept in an electronic</w:t>
      </w:r>
      <w:r w:rsidR="00226DEE">
        <w:rPr>
          <w:rFonts w:cstheme="minorHAnsi"/>
        </w:rPr>
        <w:t xml:space="preserve"> format</w:t>
      </w:r>
      <w:r w:rsidRPr="00DC5934">
        <w:rPr>
          <w:rFonts w:cstheme="minorHAnsi"/>
        </w:rPr>
        <w:t>.</w:t>
      </w:r>
    </w:p>
    <w:p w:rsidR="005263EC" w:rsidRPr="00DC5934" w:rsidP="00854AAE" w14:paraId="3B54AC74" w14:textId="77777777">
      <w:pPr>
        <w:pStyle w:val="ListParagraph"/>
        <w:numPr>
          <w:ilvl w:val="0"/>
          <w:numId w:val="25"/>
        </w:numPr>
        <w:pBdr>
          <w:bottom w:val="single" w:sz="4" w:space="1" w:color="auto"/>
        </w:pBdr>
        <w:spacing w:before="240" w:after="0"/>
        <w:rPr>
          <w:rFonts w:cstheme="minorHAnsi"/>
          <w:b/>
          <w:bCs/>
        </w:rPr>
      </w:pPr>
      <w:r w:rsidRPr="00DC5934">
        <w:rPr>
          <w:rFonts w:cstheme="minorHAnsi"/>
          <w:b/>
          <w:bCs/>
        </w:rPr>
        <w:t>EFFORTS TO IDENTIFY DUPLICATION</w:t>
      </w:r>
      <w:bookmarkEnd w:id="4"/>
    </w:p>
    <w:p w:rsidR="00D47CB3" w:rsidRPr="00DC5934" w:rsidP="00854AAE" w14:paraId="3A68AD31" w14:textId="77777777">
      <w:pPr>
        <w:pBdr>
          <w:bottom w:val="single" w:sz="4" w:space="1" w:color="auto"/>
        </w:pBdr>
        <w:spacing w:before="60"/>
        <w:rPr>
          <w:rFonts w:cstheme="minorHAnsi"/>
          <w:i/>
          <w:iCs/>
          <w:color w:val="000000"/>
          <w:shd w:val="clear" w:color="auto" w:fill="FFFFFF"/>
        </w:rPr>
      </w:pPr>
      <w:r w:rsidRPr="00DC5934">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22DBA" w:rsidRPr="00DC5934" w:rsidP="00252FE5" w14:paraId="179F1863" w14:textId="0F6C9A2E">
      <w:pPr>
        <w:ind w:firstLine="720"/>
        <w:jc w:val="both"/>
        <w:rPr>
          <w:rFonts w:cstheme="minorHAnsi"/>
        </w:rPr>
      </w:pPr>
      <w:r w:rsidRPr="00DC5934">
        <w:rPr>
          <w:rFonts w:cstheme="minorHAnsi"/>
        </w:rPr>
        <w:t>None of the information required by this ICR will duplicate information required by existing RCRA regulations</w:t>
      </w:r>
      <w:r w:rsidRPr="00DC5934">
        <w:rPr>
          <w:rFonts w:cstheme="minorHAnsi"/>
          <w:color w:val="000000"/>
        </w:rPr>
        <w:t>.</w:t>
      </w:r>
    </w:p>
    <w:p w:rsidR="00251151" w:rsidRPr="00DC5934" w:rsidP="4BDBF0A0" w14:paraId="258ABFB2" w14:textId="77777777">
      <w:pPr>
        <w:pStyle w:val="ListParagraph"/>
        <w:numPr>
          <w:ilvl w:val="0"/>
          <w:numId w:val="25"/>
        </w:numPr>
        <w:pBdr>
          <w:bottom w:val="single" w:sz="4" w:space="1" w:color="auto"/>
        </w:pBdr>
        <w:spacing w:before="240" w:after="0"/>
        <w:rPr>
          <w:rFonts w:cstheme="minorHAnsi"/>
          <w:b/>
          <w:bCs/>
        </w:rPr>
      </w:pPr>
      <w:bookmarkStart w:id="5" w:name="_Toc156593372"/>
      <w:r w:rsidRPr="00DC5934">
        <w:rPr>
          <w:rFonts w:cstheme="minorHAnsi"/>
          <w:b/>
          <w:bCs/>
        </w:rPr>
        <w:t xml:space="preserve">MINIMIZING BURDEN ON SMALL </w:t>
      </w:r>
      <w:r w:rsidRPr="00DC5934" w:rsidR="0F43C128">
        <w:rPr>
          <w:rFonts w:cstheme="minorHAnsi"/>
          <w:b/>
          <w:bCs/>
        </w:rPr>
        <w:t xml:space="preserve">BUSINESSES AND SMALL </w:t>
      </w:r>
      <w:r w:rsidRPr="00DC5934">
        <w:rPr>
          <w:rFonts w:cstheme="minorHAnsi"/>
          <w:b/>
          <w:bCs/>
        </w:rPr>
        <w:t>ENTITIES</w:t>
      </w:r>
      <w:bookmarkEnd w:id="5"/>
    </w:p>
    <w:p w:rsidR="00D47CB3" w:rsidRPr="00DC5934" w:rsidP="00854AAE" w14:paraId="56E8CE4E" w14:textId="77777777">
      <w:pPr>
        <w:pBdr>
          <w:bottom w:val="single" w:sz="4" w:space="1" w:color="auto"/>
        </w:pBdr>
        <w:spacing w:before="60"/>
        <w:rPr>
          <w:rFonts w:cstheme="minorHAnsi"/>
          <w:i/>
          <w:iCs/>
        </w:rPr>
      </w:pPr>
      <w:r w:rsidRPr="00DC5934">
        <w:rPr>
          <w:rFonts w:cstheme="minorHAnsi"/>
          <w:i/>
          <w:iCs/>
          <w:color w:val="000000"/>
          <w:shd w:val="clear" w:color="auto" w:fill="FFFFFF"/>
        </w:rPr>
        <w:t>If the collection of information impacts small businesses or other small entities, describe any methods used to minimize burden.</w:t>
      </w:r>
    </w:p>
    <w:p w:rsidR="00BF144F" w:rsidRPr="00DC5934" w:rsidP="00F41108" w14:paraId="7294C997" w14:textId="57284C64">
      <w:pPr>
        <w:pStyle w:val="Default"/>
        <w:ind w:firstLine="720"/>
        <w:rPr>
          <w:rFonts w:asciiTheme="minorHAnsi" w:hAnsiTheme="minorHAnsi" w:cstheme="minorHAnsi"/>
          <w:sz w:val="22"/>
          <w:szCs w:val="22"/>
        </w:rPr>
      </w:pPr>
      <w:bookmarkStart w:id="6" w:name="_Toc156593373"/>
      <w:r w:rsidRPr="00DC5934">
        <w:rPr>
          <w:rFonts w:asciiTheme="minorHAnsi" w:hAnsiTheme="minorHAnsi" w:cstheme="minorHAnsi"/>
          <w:sz w:val="22"/>
          <w:szCs w:val="22"/>
        </w:rPr>
        <w:t>Some respondents will be small organizations. However, all the provisions in the ICR are intended to provide greater flexibility to facilities involved in handling airbag waste. In the absence of these requirements, some facilities that are currently RCRA very small quantity generators or small quantity generators could become large quantity generators and face increased regulatory costs</w:t>
      </w:r>
      <w:r w:rsidRPr="00DC5934" w:rsidR="00A409D2">
        <w:rPr>
          <w:rFonts w:asciiTheme="minorHAnsi" w:hAnsiTheme="minorHAnsi" w:cstheme="minorHAnsi"/>
          <w:sz w:val="22"/>
          <w:szCs w:val="22"/>
        </w:rPr>
        <w:t xml:space="preserve">.  </w:t>
      </w:r>
      <w:r w:rsidRPr="00DC5934" w:rsidR="00A409D2">
        <w:rPr>
          <w:rFonts w:asciiTheme="minorHAnsi" w:hAnsiTheme="minorHAnsi" w:cstheme="minorHAnsi"/>
          <w:sz w:val="22"/>
          <w:szCs w:val="22"/>
        </w:rPr>
        <w:tab/>
      </w:r>
    </w:p>
    <w:p w:rsidR="004252C1" w:rsidRPr="00DC5934" w:rsidP="4BDBF0A0" w14:paraId="657EF9D9" w14:textId="37C664BA">
      <w:pPr>
        <w:pStyle w:val="ListParagraph"/>
        <w:numPr>
          <w:ilvl w:val="0"/>
          <w:numId w:val="25"/>
        </w:numPr>
        <w:pBdr>
          <w:bottom w:val="single" w:sz="4" w:space="1" w:color="auto"/>
        </w:pBdr>
        <w:spacing w:before="240" w:after="0"/>
        <w:rPr>
          <w:rFonts w:cstheme="minorHAnsi"/>
          <w:b/>
          <w:bCs/>
        </w:rPr>
      </w:pPr>
      <w:r w:rsidRPr="00DC5934">
        <w:rPr>
          <w:rFonts w:cstheme="minorHAnsi"/>
          <w:b/>
          <w:bCs/>
        </w:rPr>
        <w:t>CONSEQUENCES</w:t>
      </w:r>
      <w:r w:rsidRPr="00DC5934" w:rsidR="00061A77">
        <w:rPr>
          <w:rFonts w:cstheme="minorHAnsi"/>
          <w:b/>
          <w:bCs/>
        </w:rPr>
        <w:t xml:space="preserve"> OF LESS FREQUENT COLLECTION</w:t>
      </w:r>
      <w:bookmarkEnd w:id="6"/>
    </w:p>
    <w:p w:rsidR="00D47CB3" w:rsidRPr="00DC5934" w:rsidP="00854AAE" w14:paraId="5343D984" w14:textId="77777777">
      <w:pPr>
        <w:pBdr>
          <w:bottom w:val="single" w:sz="4" w:space="1" w:color="auto"/>
        </w:pBdr>
        <w:tabs>
          <w:tab w:val="left" w:pos="921"/>
        </w:tabs>
        <w:spacing w:before="60"/>
        <w:rPr>
          <w:rFonts w:cstheme="minorHAnsi"/>
          <w:i/>
          <w:iCs/>
        </w:rPr>
      </w:pPr>
      <w:r w:rsidRPr="00DC5934">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A409D2" w:rsidRPr="00DC5934" w:rsidP="00C747EA" w14:paraId="42B316C7" w14:textId="3C15E972">
      <w:pPr>
        <w:ind w:firstLine="720"/>
        <w:rPr>
          <w:rFonts w:cstheme="minorHAnsi"/>
        </w:rPr>
      </w:pPr>
      <w:bookmarkStart w:id="7" w:name="_Toc156593374"/>
      <w:r w:rsidRPr="00DC5934">
        <w:rPr>
          <w:rFonts w:cstheme="minorHAnsi"/>
        </w:rPr>
        <w:t>EPA has carefully considered the burden imposed upon the regulated community. EPA is confident that those activities required of respondents are necessary, and to the extent possible, the Agency has attempted to minimize the burden imposed. EPA believes strongly that, if the minimum information collection requirements are not met, neither the industry nor EPA will be able to ensure that airbag waste is being managed in a manner protective of human health and the environment</w:t>
      </w:r>
      <w:r w:rsidRPr="00DC5934">
        <w:rPr>
          <w:rFonts w:cstheme="minorHAnsi"/>
          <w:color w:val="000000"/>
        </w:rPr>
        <w:t xml:space="preserve">. </w:t>
      </w:r>
    </w:p>
    <w:p w:rsidR="00A233E0" w:rsidRPr="00DC5934" w:rsidP="00854AAE" w14:paraId="2C23FE65" w14:textId="77777777">
      <w:pPr>
        <w:pStyle w:val="ListParagraph"/>
        <w:numPr>
          <w:ilvl w:val="0"/>
          <w:numId w:val="25"/>
        </w:numPr>
        <w:pBdr>
          <w:bottom w:val="single" w:sz="4" w:space="1" w:color="auto"/>
        </w:pBdr>
        <w:spacing w:before="240" w:after="0"/>
        <w:rPr>
          <w:rFonts w:cstheme="minorHAnsi"/>
          <w:b/>
          <w:bCs/>
        </w:rPr>
      </w:pPr>
      <w:r w:rsidRPr="00DC5934">
        <w:rPr>
          <w:rFonts w:cstheme="minorHAnsi"/>
          <w:b/>
          <w:bCs/>
        </w:rPr>
        <w:t>GENERAL GUIDELINES</w:t>
      </w:r>
      <w:bookmarkEnd w:id="7"/>
    </w:p>
    <w:p w:rsidR="00A233E0" w:rsidRPr="00DC5934" w:rsidP="00854AAE" w14:paraId="7BE32DD9" w14:textId="77777777">
      <w:pPr>
        <w:pBdr>
          <w:bottom w:val="single" w:sz="4" w:space="1" w:color="auto"/>
        </w:pBdr>
        <w:spacing w:before="60"/>
        <w:rPr>
          <w:rFonts w:cstheme="minorHAnsi"/>
        </w:rPr>
      </w:pPr>
      <w:r w:rsidRPr="00DC5934">
        <w:rPr>
          <w:rFonts w:cstheme="minorHAnsi"/>
          <w:i/>
          <w:iCs/>
        </w:rPr>
        <w:t>Explain any special circumstances that require the collection to be conducted in a manner inconsistent with OMB guidelines.</w:t>
      </w:r>
    </w:p>
    <w:p w:rsidR="001F78F0" w:rsidRPr="00DC5934" w:rsidP="00A55B12" w14:paraId="4B7FBC6B" w14:textId="6FD835F7">
      <w:pPr>
        <w:ind w:firstLine="360"/>
        <w:rPr>
          <w:rFonts w:cstheme="minorHAnsi"/>
          <w:b/>
          <w:bCs/>
        </w:rPr>
      </w:pPr>
      <w:bookmarkStart w:id="8" w:name="_Toc156593375"/>
      <w:r w:rsidRPr="00DC5934">
        <w:rPr>
          <w:rFonts w:cstheme="minorHAnsi"/>
          <w:color w:val="000000"/>
        </w:rPr>
        <w:t>The information collection is consistent with the guidelines set forth in 5 CFR 1320(d)(2) of the Paperwork Reduction Act.</w:t>
      </w:r>
    </w:p>
    <w:p w:rsidR="006036CD" w:rsidRPr="00DC5934" w:rsidP="00854AAE" w14:paraId="4AF007FB" w14:textId="77777777">
      <w:pPr>
        <w:pStyle w:val="ListParagraph"/>
        <w:numPr>
          <w:ilvl w:val="0"/>
          <w:numId w:val="25"/>
        </w:numPr>
        <w:pBdr>
          <w:bottom w:val="single" w:sz="4" w:space="1" w:color="auto"/>
        </w:pBdr>
        <w:spacing w:before="240" w:after="0"/>
        <w:rPr>
          <w:rFonts w:cstheme="minorHAnsi"/>
          <w:b/>
          <w:bCs/>
        </w:rPr>
      </w:pPr>
      <w:r w:rsidRPr="00DC5934">
        <w:rPr>
          <w:rFonts w:cstheme="minorHAnsi"/>
          <w:b/>
          <w:bCs/>
        </w:rPr>
        <w:t>PUBLIC COMMENT AND CONSULTATIONS</w:t>
      </w:r>
      <w:bookmarkStart w:id="9" w:name="_Toc156593376"/>
      <w:bookmarkEnd w:id="8"/>
    </w:p>
    <w:p w:rsidR="00DD2682" w:rsidRPr="00DC5934" w:rsidP="00854AAE" w14:paraId="756F1008" w14:textId="77777777">
      <w:pPr>
        <w:spacing w:before="120" w:after="0"/>
        <w:rPr>
          <w:rFonts w:cstheme="minorHAnsi"/>
          <w:b/>
          <w:bCs/>
        </w:rPr>
      </w:pPr>
      <w:r w:rsidRPr="00DC5934">
        <w:rPr>
          <w:rFonts w:cstheme="minorHAnsi"/>
          <w:b/>
          <w:bCs/>
        </w:rPr>
        <w:t xml:space="preserve">8a. </w:t>
      </w:r>
      <w:r w:rsidRPr="00DC5934" w:rsidR="00A82647">
        <w:rPr>
          <w:rFonts w:cstheme="minorHAnsi"/>
          <w:b/>
          <w:bCs/>
        </w:rPr>
        <w:t>Public Comment</w:t>
      </w:r>
      <w:bookmarkStart w:id="10" w:name="_Toc156593377"/>
      <w:bookmarkEnd w:id="9"/>
    </w:p>
    <w:p w:rsidR="00A233E0" w:rsidRPr="00DC5934" w:rsidP="00854AAE" w14:paraId="40C6F9AB" w14:textId="77777777">
      <w:pPr>
        <w:spacing w:line="240" w:lineRule="auto"/>
        <w:rPr>
          <w:rFonts w:cstheme="minorHAnsi"/>
          <w:i/>
          <w:iCs/>
        </w:rPr>
      </w:pPr>
      <w:r w:rsidRPr="00DC5934">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144F" w:rsidRPr="00DC5934" w:rsidP="00BF144F" w14:paraId="406A0F68" w14:textId="4C257109">
      <w:pPr>
        <w:ind w:firstLine="720"/>
        <w:rPr>
          <w:rFonts w:cstheme="minorHAnsi"/>
        </w:rPr>
      </w:pPr>
      <w:r w:rsidRPr="00DC5934">
        <w:rPr>
          <w:rFonts w:cstheme="minorHAnsi"/>
        </w:rPr>
        <w:t xml:space="preserve">In compliance with the Paperwork Reduction Act of 1995, EPA issued a public notice in the </w:t>
      </w:r>
      <w:r w:rsidRPr="00DC5934">
        <w:rPr>
          <w:rFonts w:cstheme="minorHAnsi"/>
          <w:i/>
          <w:iCs/>
        </w:rPr>
        <w:t>Federal Register</w:t>
      </w:r>
      <w:r w:rsidRPr="00DC5934">
        <w:rPr>
          <w:rFonts w:cstheme="minorHAnsi"/>
        </w:rPr>
        <w:t xml:space="preserve"> on </w:t>
      </w:r>
      <w:r w:rsidRPr="00DC5934" w:rsidR="00271C45">
        <w:rPr>
          <w:rFonts w:cstheme="minorHAnsi"/>
        </w:rPr>
        <w:t>May 6, 2025</w:t>
      </w:r>
      <w:r w:rsidRPr="00DC5934">
        <w:rPr>
          <w:rFonts w:cstheme="minorHAnsi"/>
        </w:rPr>
        <w:t xml:space="preserve"> (</w:t>
      </w:r>
      <w:r w:rsidRPr="00DC5934" w:rsidR="00271C45">
        <w:rPr>
          <w:rFonts w:cstheme="minorHAnsi"/>
        </w:rPr>
        <w:t>90</w:t>
      </w:r>
      <w:r w:rsidRPr="00DC5934">
        <w:rPr>
          <w:rFonts w:cstheme="minorHAnsi"/>
        </w:rPr>
        <w:t xml:space="preserve"> </w:t>
      </w:r>
      <w:r w:rsidRPr="00DC5934">
        <w:rPr>
          <w:rFonts w:cstheme="minorHAnsi"/>
          <w:i/>
        </w:rPr>
        <w:t>FR</w:t>
      </w:r>
      <w:r w:rsidRPr="00DC5934">
        <w:rPr>
          <w:rFonts w:cstheme="minorHAnsi"/>
        </w:rPr>
        <w:t xml:space="preserve"> </w:t>
      </w:r>
      <w:r w:rsidRPr="00DC5934" w:rsidR="00271C45">
        <w:rPr>
          <w:rFonts w:cstheme="minorHAnsi"/>
        </w:rPr>
        <w:t>19202</w:t>
      </w:r>
      <w:r w:rsidRPr="00DC5934">
        <w:rPr>
          <w:rFonts w:cstheme="minorHAnsi"/>
        </w:rPr>
        <w:t xml:space="preserve">).  The notice indicated that EPA was planning to submit an ICR, </w:t>
      </w:r>
      <w:r w:rsidRPr="00DC5934" w:rsidR="002875A6">
        <w:rPr>
          <w:rFonts w:cstheme="minorHAnsi"/>
        </w:rPr>
        <w:t>“</w:t>
      </w:r>
      <w:r w:rsidRPr="00DC5934" w:rsidR="002875A6">
        <w:rPr>
          <w:rFonts w:cstheme="minorHAnsi"/>
          <w:bCs/>
        </w:rPr>
        <w:t>Safe Management of Recalled Airbags Rule (Renewal)”</w:t>
      </w:r>
      <w:r w:rsidRPr="00DC5934" w:rsidR="002875A6">
        <w:rPr>
          <w:rFonts w:cstheme="minorHAnsi"/>
        </w:rPr>
        <w:t xml:space="preserve"> (EPA ICR No. 2589.06, OMB Control No. </w:t>
      </w:r>
      <w:r w:rsidRPr="00DC5934" w:rsidR="002875A6">
        <w:rPr>
          <w:rFonts w:cstheme="minorHAnsi"/>
        </w:rPr>
        <w:t>2050-0221)</w:t>
      </w:r>
      <w:r w:rsidRPr="00DC5934">
        <w:rPr>
          <w:rFonts w:cstheme="minorHAnsi"/>
        </w:rPr>
        <w:t xml:space="preserve">, to the Office of Management and Budget (OMB) for review and approval in accordance with the Paperwork Reduction Act.  The notice also requested comments on the information collection and burden estimates covered in the ICR.  The public comment period extended through </w:t>
      </w:r>
      <w:r w:rsidRPr="00DC5934" w:rsidR="002875A6">
        <w:rPr>
          <w:rFonts w:cstheme="minorHAnsi"/>
        </w:rPr>
        <w:t>July 7, 2025</w:t>
      </w:r>
      <w:r w:rsidRPr="00DC5934">
        <w:rPr>
          <w:rFonts w:cstheme="minorHAnsi"/>
        </w:rPr>
        <w:t xml:space="preserve">.  EPA received no comments on this ICR in response to the </w:t>
      </w:r>
      <w:r w:rsidRPr="00DC5934">
        <w:rPr>
          <w:rFonts w:cstheme="minorHAnsi"/>
          <w:i/>
        </w:rPr>
        <w:t>Federal Register</w:t>
      </w:r>
      <w:r w:rsidRPr="00DC5934">
        <w:rPr>
          <w:rFonts w:cstheme="minorHAnsi"/>
        </w:rPr>
        <w:t xml:space="preserve"> notice.    </w:t>
      </w:r>
    </w:p>
    <w:p w:rsidR="00DB7775" w:rsidRPr="00DC5934" w:rsidP="001F78F0" w14:paraId="36A06B82" w14:textId="6E283187">
      <w:pPr>
        <w:pBdr>
          <w:top w:val="single" w:sz="6" w:space="0" w:color="FFFFFF"/>
          <w:left w:val="single" w:sz="6" w:space="0" w:color="FFFFFF"/>
          <w:bottom w:val="single" w:sz="6" w:space="0" w:color="FFFFFF"/>
          <w:right w:val="single" w:sz="6" w:space="0" w:color="FFFFFF"/>
        </w:pBdr>
        <w:rPr>
          <w:rFonts w:cstheme="minorHAnsi"/>
          <w:b/>
          <w:bCs/>
        </w:rPr>
      </w:pPr>
      <w:r w:rsidRPr="00DC5934">
        <w:rPr>
          <w:rFonts w:cstheme="minorHAnsi"/>
          <w:b/>
          <w:bCs/>
        </w:rPr>
        <w:t xml:space="preserve">8b. </w:t>
      </w:r>
      <w:r w:rsidRPr="00DC5934" w:rsidR="0061689C">
        <w:rPr>
          <w:rFonts w:cstheme="minorHAnsi"/>
          <w:b/>
          <w:bCs/>
        </w:rPr>
        <w:t>C</w:t>
      </w:r>
      <w:bookmarkEnd w:id="10"/>
      <w:r w:rsidRPr="00DC5934" w:rsidR="005D140B">
        <w:rPr>
          <w:rFonts w:cstheme="minorHAnsi"/>
          <w:b/>
          <w:bCs/>
        </w:rPr>
        <w:t>onsultations</w:t>
      </w:r>
    </w:p>
    <w:p w:rsidR="00A233E0" w:rsidRPr="00DC5934" w:rsidP="00854AAE" w14:paraId="43491B7D" w14:textId="77777777">
      <w:pPr>
        <w:rPr>
          <w:rFonts w:cstheme="minorHAnsi"/>
          <w:i/>
          <w:iCs/>
        </w:rPr>
      </w:pPr>
      <w:r w:rsidRPr="00DC5934">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D6D3B" w:rsidRPr="00DC5934" w:rsidP="002B6DD4" w14:paraId="64E8D854" w14:textId="543413C7">
      <w:pPr>
        <w:ind w:firstLine="720"/>
        <w:rPr>
          <w:rFonts w:cstheme="minorHAnsi"/>
        </w:rPr>
      </w:pPr>
      <w:r w:rsidRPr="00DC5934">
        <w:rPr>
          <w:rFonts w:cstheme="minorHAnsi"/>
          <w:color w:val="000000"/>
        </w:rPr>
        <w:t>EPA consulted with</w:t>
      </w:r>
      <w:r w:rsidRPr="00DC5934" w:rsidR="002B6DD4">
        <w:rPr>
          <w:rFonts w:cstheme="minorHAnsi"/>
          <w:color w:val="000000"/>
        </w:rPr>
        <w:t xml:space="preserve"> Carmax, </w:t>
      </w:r>
      <w:r w:rsidRPr="002B6DD4" w:rsidR="002B6DD4">
        <w:rPr>
          <w:rFonts w:cstheme="minorHAnsi"/>
          <w:color w:val="000000"/>
        </w:rPr>
        <w:t>Resource One</w:t>
      </w:r>
      <w:r w:rsidRPr="00DC5934" w:rsidR="002B6DD4">
        <w:rPr>
          <w:rFonts w:cstheme="minorHAnsi"/>
          <w:color w:val="000000"/>
        </w:rPr>
        <w:t xml:space="preserve">, </w:t>
      </w:r>
      <w:r w:rsidRPr="002B6DD4" w:rsidR="002B6DD4">
        <w:rPr>
          <w:rFonts w:cstheme="minorHAnsi"/>
          <w:color w:val="000000"/>
        </w:rPr>
        <w:t>RAS</w:t>
      </w:r>
      <w:r w:rsidRPr="00DC5934" w:rsidR="002B6DD4">
        <w:rPr>
          <w:rFonts w:cstheme="minorHAnsi"/>
          <w:color w:val="000000"/>
        </w:rPr>
        <w:t xml:space="preserve">, </w:t>
      </w:r>
      <w:r w:rsidRPr="002B6DD4" w:rsidR="002B6DD4">
        <w:rPr>
          <w:rFonts w:cstheme="minorHAnsi"/>
          <w:color w:val="000000"/>
        </w:rPr>
        <w:t>Tesla</w:t>
      </w:r>
      <w:r w:rsidRPr="00DC5934" w:rsidR="002B6DD4">
        <w:rPr>
          <w:rFonts w:cstheme="minorHAnsi"/>
          <w:color w:val="000000"/>
        </w:rPr>
        <w:t>, Key Automotive of Florida LLC, Clean Water Environmental, Custom Truck One Source, Royal Truck Body, and Spring Grove Resource Recovery Inc</w:t>
      </w:r>
      <w:r w:rsidRPr="00DC5934" w:rsidR="00432F87">
        <w:rPr>
          <w:rFonts w:cstheme="minorHAnsi"/>
          <w:color w:val="000000"/>
        </w:rPr>
        <w:t xml:space="preserve">. </w:t>
      </w:r>
      <w:r w:rsidRPr="00DC5934" w:rsidR="00432F87">
        <w:rPr>
          <w:rFonts w:cstheme="minorHAnsi"/>
        </w:rPr>
        <w:t>As a result of these consultations, the burden calculation estimates were deemed to be acceptable.</w:t>
      </w:r>
    </w:p>
    <w:p w:rsidR="00A233E0" w:rsidRPr="00DC5934" w:rsidP="00854AAE" w14:paraId="19364F16" w14:textId="77777777">
      <w:pPr>
        <w:pStyle w:val="ListParagraph"/>
        <w:numPr>
          <w:ilvl w:val="0"/>
          <w:numId w:val="25"/>
        </w:numPr>
        <w:pBdr>
          <w:bottom w:val="single" w:sz="4" w:space="1" w:color="auto"/>
        </w:pBdr>
        <w:spacing w:before="240" w:after="0"/>
        <w:rPr>
          <w:rFonts w:cstheme="minorHAnsi"/>
          <w:b/>
          <w:bCs/>
        </w:rPr>
      </w:pPr>
      <w:bookmarkStart w:id="11" w:name="_Toc156593378"/>
      <w:r w:rsidRPr="00DC5934">
        <w:rPr>
          <w:rFonts w:cstheme="minorHAnsi"/>
          <w:b/>
          <w:bCs/>
        </w:rPr>
        <w:t>PAYMENTS OR GIFTS TO RESPONDENTS</w:t>
      </w:r>
      <w:bookmarkEnd w:id="11"/>
    </w:p>
    <w:p w:rsidR="00D47CB3" w:rsidRPr="00DC5934" w:rsidP="00854AAE" w14:paraId="5384C56D" w14:textId="77777777">
      <w:pPr>
        <w:pBdr>
          <w:bottom w:val="single" w:sz="4" w:space="1" w:color="auto"/>
        </w:pBdr>
        <w:spacing w:before="60"/>
        <w:rPr>
          <w:rFonts w:cstheme="minorHAnsi"/>
        </w:rPr>
      </w:pPr>
      <w:r w:rsidRPr="00DC5934">
        <w:rPr>
          <w:rFonts w:cstheme="minorHAnsi"/>
          <w:i/>
          <w:iCs/>
        </w:rPr>
        <w:t>Explain any decisions to provide payments or gifts to respondents, other than remuneration of contractors or grantees.</w:t>
      </w:r>
    </w:p>
    <w:p w:rsidR="00165275" w:rsidRPr="00DC5934" w:rsidP="001E4A87" w14:paraId="3F713AB6" w14:textId="77777777">
      <w:pPr>
        <w:ind w:firstLine="360"/>
        <w:rPr>
          <w:rFonts w:cstheme="minorHAnsi"/>
        </w:rPr>
      </w:pPr>
      <w:r w:rsidRPr="00DC5934">
        <w:rPr>
          <w:rFonts w:cstheme="minorHAnsi"/>
        </w:rPr>
        <w:t>There are no payments or gifts associated with this collection of information.</w:t>
      </w:r>
    </w:p>
    <w:p w:rsidR="4C04BBF2" w:rsidRPr="00DC5934" w:rsidP="4BDBF0A0" w14:paraId="5BE5EB6E" w14:textId="77777777">
      <w:pPr>
        <w:pStyle w:val="ListParagraph"/>
        <w:numPr>
          <w:ilvl w:val="0"/>
          <w:numId w:val="25"/>
        </w:numPr>
        <w:pBdr>
          <w:bottom w:val="single" w:sz="4" w:space="1" w:color="auto"/>
        </w:pBdr>
        <w:spacing w:before="240" w:after="0"/>
        <w:rPr>
          <w:rFonts w:cstheme="minorHAnsi"/>
          <w:b/>
          <w:bCs/>
        </w:rPr>
      </w:pPr>
      <w:r w:rsidRPr="00DC5934">
        <w:rPr>
          <w:rFonts w:cstheme="minorHAnsi"/>
          <w:b/>
          <w:bCs/>
        </w:rPr>
        <w:t>ASSURANCE OF CONFIDENTIALITY</w:t>
      </w:r>
    </w:p>
    <w:p w:rsidR="00A233E0" w:rsidRPr="00DC5934" w:rsidP="00854AAE" w14:paraId="1E85BB3F" w14:textId="77777777">
      <w:pPr>
        <w:pBdr>
          <w:bottom w:val="single" w:sz="4" w:space="1" w:color="auto"/>
        </w:pBdr>
        <w:spacing w:before="60"/>
        <w:rPr>
          <w:rFonts w:cstheme="minorHAnsi"/>
        </w:rPr>
      </w:pPr>
      <w:r w:rsidRPr="00DC5934">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64889" w:rsidRPr="00DC5934" w:rsidP="00432F87" w14:paraId="2C0284BD" w14:textId="77777777">
      <w:pPr>
        <w:ind w:firstLine="360"/>
        <w:rPr>
          <w:rFonts w:cstheme="minorHAnsi"/>
        </w:rPr>
      </w:pPr>
      <w:bookmarkStart w:id="12" w:name="_Toc156593380"/>
      <w:r w:rsidRPr="00DC5934">
        <w:rPr>
          <w:rFonts w:cstheme="minorHAnsi"/>
        </w:rPr>
        <w:t>EPA does not intend to collect any information related to trade secrets of the stakeholders.  Section 3007(b) of RCRA and 40 CFR Part 2, Subpart B define EPA’s general policy on the public disclosure of information and contain provisions for confidentiality of business information.  EPA protects from public disclosure all Confidential Business Information (CBI) obtained under RCRA and has provided businesses with procedures to claim confidentiality for such CBI.  EPA makes extra efforts to protect the confidentiality of this CBI.</w:t>
      </w:r>
    </w:p>
    <w:p w:rsidR="00A233E0" w:rsidRPr="00DC5934" w:rsidP="00854AAE" w14:paraId="74E56D6D" w14:textId="77777777">
      <w:pPr>
        <w:pStyle w:val="ListParagraph"/>
        <w:numPr>
          <w:ilvl w:val="0"/>
          <w:numId w:val="25"/>
        </w:numPr>
        <w:pBdr>
          <w:bottom w:val="single" w:sz="4" w:space="1" w:color="auto"/>
        </w:pBdr>
        <w:spacing w:before="240" w:after="0"/>
        <w:rPr>
          <w:rFonts w:cstheme="minorHAnsi"/>
          <w:b/>
          <w:bCs/>
        </w:rPr>
      </w:pPr>
      <w:r w:rsidRPr="00DC5934">
        <w:rPr>
          <w:rFonts w:cstheme="minorHAnsi"/>
          <w:b/>
          <w:bCs/>
        </w:rPr>
        <w:t>JUSTIFICATION FOR SENSITIVE QUESTIONS</w:t>
      </w:r>
      <w:bookmarkEnd w:id="12"/>
    </w:p>
    <w:p w:rsidR="00A233E0" w:rsidRPr="00DC5934" w:rsidP="00854AAE" w14:paraId="20A3DD0B" w14:textId="77777777">
      <w:pPr>
        <w:pBdr>
          <w:bottom w:val="single" w:sz="4" w:space="1" w:color="auto"/>
        </w:pBdr>
        <w:spacing w:before="60"/>
        <w:rPr>
          <w:rFonts w:cstheme="minorHAnsi"/>
        </w:rPr>
      </w:pPr>
      <w:r w:rsidRPr="00DC5934">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4BFA" w:rsidRPr="00DC5934" w:rsidP="001E4A87" w14:paraId="67825BD6" w14:textId="6EC701F3">
      <w:pPr>
        <w:pBdr>
          <w:top w:val="single" w:sz="6" w:space="0" w:color="FFFFFF"/>
          <w:left w:val="single" w:sz="6" w:space="0" w:color="FFFFFF"/>
          <w:bottom w:val="single" w:sz="6" w:space="0" w:color="FFFFFF"/>
          <w:right w:val="single" w:sz="6" w:space="0" w:color="FFFFFF"/>
        </w:pBdr>
        <w:ind w:firstLine="360"/>
        <w:rPr>
          <w:rFonts w:cstheme="minorHAnsi"/>
          <w:color w:val="000000"/>
        </w:rPr>
      </w:pPr>
      <w:bookmarkStart w:id="13" w:name="_Toc156593381"/>
      <w:bookmarkStart w:id="14" w:name="_Hlk162363270"/>
      <w:r w:rsidRPr="00DC5934">
        <w:rPr>
          <w:rFonts w:cstheme="minorHAnsi"/>
        </w:rPr>
        <w:t>The information collection activities covered by this ICR will not include questions about sensitive issues.</w:t>
      </w:r>
    </w:p>
    <w:p w:rsidR="001172FE" w:rsidRPr="00DC5934" w:rsidP="00854AAE" w14:paraId="12A11C7D" w14:textId="77777777">
      <w:pPr>
        <w:pStyle w:val="ListParagraph"/>
        <w:numPr>
          <w:ilvl w:val="0"/>
          <w:numId w:val="25"/>
        </w:numPr>
        <w:spacing w:before="240" w:after="0"/>
        <w:rPr>
          <w:rFonts w:cstheme="minorHAnsi"/>
          <w:b/>
          <w:bCs/>
        </w:rPr>
      </w:pPr>
      <w:r w:rsidRPr="00DC5934">
        <w:rPr>
          <w:rFonts w:cstheme="minorHAnsi"/>
          <w:b/>
          <w:bCs/>
        </w:rPr>
        <w:t>RESPONDENT BURDEN HOURS</w:t>
      </w:r>
      <w:r w:rsidRPr="00DC5934" w:rsidR="00DB799B">
        <w:rPr>
          <w:rFonts w:cstheme="minorHAnsi"/>
          <w:b/>
          <w:bCs/>
        </w:rPr>
        <w:t xml:space="preserve"> &amp; LABOR COSTS</w:t>
      </w:r>
      <w:bookmarkStart w:id="15" w:name="_Toc156593382"/>
      <w:bookmarkEnd w:id="13"/>
    </w:p>
    <w:p w:rsidR="00A233E0" w:rsidRPr="00DC5934" w:rsidP="00163C69" w14:paraId="49CEA154" w14:textId="77777777">
      <w:pPr>
        <w:pStyle w:val="ListParagraph"/>
        <w:ind w:left="0"/>
        <w:rPr>
          <w:rFonts w:cstheme="minorHAnsi"/>
          <w:i/>
          <w:iCs/>
        </w:rPr>
      </w:pPr>
      <w:r w:rsidRPr="00DC5934">
        <w:rPr>
          <w:rFonts w:cstheme="minorHAnsi"/>
          <w:i/>
          <w:iCs/>
        </w:rPr>
        <w:t>Provide estimates of the hour burden of the collection of information. The statement should:</w:t>
      </w:r>
    </w:p>
    <w:p w:rsidR="00A233E0" w:rsidRPr="00DC5934" w:rsidP="006E197A" w14:paraId="170FFD04" w14:textId="77777777">
      <w:pPr>
        <w:pStyle w:val="ListParagraph"/>
        <w:numPr>
          <w:ilvl w:val="0"/>
          <w:numId w:val="14"/>
        </w:numPr>
        <w:ind w:left="446"/>
        <w:rPr>
          <w:rFonts w:cstheme="minorHAnsi"/>
          <w:i/>
          <w:iCs/>
        </w:rPr>
      </w:pPr>
      <w:r w:rsidRPr="00DC5934">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DC5934" w:rsidP="001F0834" w14:paraId="5B6A52B3" w14:textId="77777777">
      <w:pPr>
        <w:pStyle w:val="ListParagraph"/>
        <w:numPr>
          <w:ilvl w:val="0"/>
          <w:numId w:val="14"/>
        </w:numPr>
        <w:ind w:left="450"/>
        <w:rPr>
          <w:rFonts w:cstheme="minorHAnsi"/>
          <w:i/>
          <w:iCs/>
        </w:rPr>
      </w:pPr>
      <w:r w:rsidRPr="00DC5934">
        <w:rPr>
          <w:rFonts w:cstheme="minorHAnsi"/>
          <w:i/>
          <w:iCs/>
        </w:rPr>
        <w:t>If this request for approval covers more than one form, provide separate hour burden estimates for each form and the aggregate the hour burdens.</w:t>
      </w:r>
    </w:p>
    <w:p w:rsidR="00A233E0" w:rsidRPr="00DC5934" w:rsidP="00854AAE" w14:paraId="18F38B79" w14:textId="77777777">
      <w:pPr>
        <w:pStyle w:val="ListParagraph"/>
        <w:numPr>
          <w:ilvl w:val="0"/>
          <w:numId w:val="14"/>
        </w:numPr>
        <w:pBdr>
          <w:bottom w:val="single" w:sz="4" w:space="1" w:color="auto"/>
        </w:pBdr>
        <w:ind w:left="446"/>
        <w:rPr>
          <w:rFonts w:cstheme="minorHAnsi"/>
          <w:i/>
          <w:iCs/>
        </w:rPr>
      </w:pPr>
      <w:r w:rsidRPr="00DC5934">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DC5934" w:rsidR="001F0834">
        <w:rPr>
          <w:rFonts w:cstheme="minorHAnsi"/>
          <w:i/>
          <w:iCs/>
        </w:rPr>
        <w:t>.</w:t>
      </w:r>
    </w:p>
    <w:bookmarkEnd w:id="14"/>
    <w:p w:rsidR="001172FE" w:rsidRPr="00DC5934" w:rsidP="00854AAE" w14:paraId="523A70C1" w14:textId="77777777">
      <w:pPr>
        <w:spacing w:before="120" w:after="0"/>
        <w:rPr>
          <w:rFonts w:cstheme="minorHAnsi"/>
          <w:b/>
          <w:bCs/>
        </w:rPr>
      </w:pPr>
      <w:r w:rsidRPr="00DC5934">
        <w:rPr>
          <w:rFonts w:cstheme="minorHAnsi"/>
          <w:b/>
          <w:bCs/>
        </w:rPr>
        <w:t xml:space="preserve">12a. </w:t>
      </w:r>
      <w:r w:rsidRPr="00DC5934" w:rsidR="00557E8F">
        <w:rPr>
          <w:rFonts w:cstheme="minorHAnsi"/>
          <w:b/>
          <w:bCs/>
        </w:rPr>
        <w:t>Respondents/NAICS Codes</w:t>
      </w:r>
      <w:bookmarkStart w:id="16" w:name="_Toc156593383"/>
      <w:bookmarkEnd w:id="15"/>
    </w:p>
    <w:p w:rsidR="00812EAA" w:rsidRPr="00DC5934" w:rsidP="00C418FD" w14:paraId="545DF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C418FD" w:rsidRPr="00DC5934" w:rsidP="00C418FD" w14:paraId="6B97EEDF" w14:textId="30F98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DC5934">
        <w:rPr>
          <w:rFonts w:cstheme="minorHAnsi"/>
        </w:rPr>
        <w:tab/>
      </w:r>
      <w:r w:rsidRPr="00DC5934" w:rsidR="00812EAA">
        <w:rPr>
          <w:rFonts w:cstheme="minorHAnsi"/>
        </w:rPr>
        <w:t>The primary entities impacted by this ICR are automobile dealerships that perform warranty repair/replacement work related to the recalled airbag inflators. These dealerships fall under NAICS code 441: Motor Vehicle and Parts Dealers. According to the National Automobile Dealers Association, there are about 16,</w:t>
      </w:r>
      <w:r w:rsidRPr="00DC5934" w:rsidR="000A2DA2">
        <w:rPr>
          <w:rFonts w:cstheme="minorHAnsi"/>
        </w:rPr>
        <w:t>957</w:t>
      </w:r>
      <w:r w:rsidRPr="00DC5934" w:rsidR="00812EAA">
        <w:rPr>
          <w:rFonts w:cstheme="minorHAnsi"/>
        </w:rPr>
        <w:t xml:space="preserve"> new-car, franchised dealerships in the United States</w:t>
      </w:r>
      <w:r>
        <w:rPr>
          <w:rStyle w:val="FootnoteReference"/>
          <w:rFonts w:cstheme="minorHAnsi"/>
        </w:rPr>
        <w:footnoteReference w:id="3"/>
      </w:r>
      <w:r w:rsidRPr="00DC5934" w:rsidR="00812EAA">
        <w:rPr>
          <w:rFonts w:cstheme="minorHAnsi"/>
        </w:rPr>
        <w:t>. Assuming that the percentage of relevant car sales is roughly proportional to the number of relevant dealerships results in an estimate of 15,</w:t>
      </w:r>
      <w:r w:rsidRPr="00DC5934" w:rsidR="000A2DA2">
        <w:rPr>
          <w:rFonts w:cstheme="minorHAnsi"/>
        </w:rPr>
        <w:t>431</w:t>
      </w:r>
      <w:r w:rsidRPr="00DC5934" w:rsidR="00812EAA">
        <w:rPr>
          <w:rFonts w:cstheme="minorHAnsi"/>
        </w:rPr>
        <w:t xml:space="preserve"> dealerships where work related to airbag inflators may occur (91 percent of 16,</w:t>
      </w:r>
      <w:r w:rsidRPr="00DC5934" w:rsidR="000A2DA2">
        <w:rPr>
          <w:rFonts w:cstheme="minorHAnsi"/>
        </w:rPr>
        <w:t>957</w:t>
      </w:r>
      <w:r w:rsidRPr="00DC5934" w:rsidR="00812EAA">
        <w:rPr>
          <w:rFonts w:cstheme="minorHAnsi"/>
        </w:rPr>
        <w:t>).</w:t>
      </w:r>
    </w:p>
    <w:p w:rsidR="00ED57A4" w:rsidRPr="00DC5934" w:rsidP="00854AAE" w14:paraId="73C025B2" w14:textId="77777777">
      <w:pPr>
        <w:spacing w:before="120" w:after="0"/>
        <w:rPr>
          <w:rFonts w:cstheme="minorHAnsi"/>
          <w:b/>
          <w:bCs/>
        </w:rPr>
      </w:pPr>
      <w:r w:rsidRPr="00DC5934">
        <w:rPr>
          <w:rFonts w:cstheme="minorHAnsi"/>
          <w:b/>
          <w:bCs/>
        </w:rPr>
        <w:t xml:space="preserve">12b. </w:t>
      </w:r>
      <w:r w:rsidRPr="00DC5934" w:rsidR="00BB7DA0">
        <w:rPr>
          <w:rFonts w:cstheme="minorHAnsi"/>
          <w:b/>
          <w:bCs/>
        </w:rPr>
        <w:t>Information Requested</w:t>
      </w:r>
      <w:bookmarkStart w:id="17" w:name="_Toc156593384"/>
      <w:bookmarkEnd w:id="16"/>
    </w:p>
    <w:p w:rsidR="00C13401" w:rsidRPr="00DC5934" w:rsidP="00C13401" w14:paraId="11D6F60F" w14:textId="77777777">
      <w:pPr>
        <w:pStyle w:val="Level1"/>
        <w:widowControl/>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ind w:left="420"/>
        <w:rPr>
          <w:rFonts w:asciiTheme="minorHAnsi" w:hAnsiTheme="minorHAnsi" w:cstheme="minorHAnsi"/>
          <w:sz w:val="22"/>
          <w:szCs w:val="22"/>
        </w:rPr>
      </w:pPr>
    </w:p>
    <w:p w:rsidR="00EE1236" w:rsidRPr="00DC5934" w:rsidP="00F07761" w14:paraId="5312F370" w14:textId="3642A525">
      <w:pPr>
        <w:ind w:firstLine="720"/>
        <w:rPr>
          <w:rFonts w:cstheme="minorHAnsi"/>
        </w:rPr>
      </w:pPr>
      <w:r w:rsidRPr="00DC5934">
        <w:rPr>
          <w:rFonts w:cstheme="minorHAnsi"/>
        </w:rPr>
        <w:t>All of the burden associated with this ICR is recordkeeping.</w:t>
      </w:r>
    </w:p>
    <w:p w:rsidR="001172FE" w:rsidRPr="00DC5934" w:rsidP="00165275" w14:paraId="30C9E7F3" w14:textId="14374C3A">
      <w:pPr>
        <w:pBdr>
          <w:top w:val="single" w:sz="6" w:space="0" w:color="FFFFFF"/>
          <w:left w:val="single" w:sz="6" w:space="0" w:color="FFFFFF"/>
          <w:bottom w:val="single" w:sz="6" w:space="0" w:color="FFFFFF"/>
          <w:right w:val="single" w:sz="6" w:space="0" w:color="FFFFFF"/>
        </w:pBdr>
        <w:spacing w:before="60"/>
        <w:rPr>
          <w:rFonts w:cstheme="minorHAnsi"/>
          <w:b/>
          <w:bCs/>
        </w:rPr>
      </w:pPr>
      <w:r w:rsidRPr="00DC5934">
        <w:rPr>
          <w:rFonts w:cstheme="minorHAnsi"/>
          <w:b/>
          <w:bCs/>
        </w:rPr>
        <w:t xml:space="preserve">12c. </w:t>
      </w:r>
      <w:r w:rsidRPr="00DC5934" w:rsidR="00DD718B">
        <w:rPr>
          <w:rFonts w:cstheme="minorHAnsi"/>
          <w:b/>
          <w:bCs/>
        </w:rPr>
        <w:t>Respondent Activities</w:t>
      </w:r>
      <w:bookmarkStart w:id="18" w:name="_Toc156593385"/>
      <w:bookmarkEnd w:id="17"/>
    </w:p>
    <w:p w:rsidR="00F07761" w:rsidRPr="00DC5934" w:rsidP="00F07761" w14:paraId="52B51ABC" w14:textId="77777777">
      <w:pPr>
        <w:pStyle w:val="Default"/>
        <w:ind w:firstLine="720"/>
        <w:rPr>
          <w:rFonts w:asciiTheme="minorHAnsi" w:hAnsiTheme="minorHAnsi" w:cstheme="minorHAnsi"/>
          <w:sz w:val="22"/>
          <w:szCs w:val="22"/>
        </w:rPr>
      </w:pPr>
      <w:r w:rsidRPr="00DC5934">
        <w:rPr>
          <w:rFonts w:asciiTheme="minorHAnsi" w:hAnsiTheme="minorHAnsi" w:cstheme="minorHAnsi"/>
          <w:sz w:val="22"/>
          <w:szCs w:val="22"/>
        </w:rPr>
        <w:t>The recordkeeping requirements for this ICR consist of maintaining at the airbag handler for no less than three years records of (1) all off-site shipments and (2) confirmations of receipt of airbag waste. The recordkeeping requirements may be fulfilled by ordinary business records, such as bills of lading, and are intended to allow the Agency to verify that the airbag waste reaches its intended destination and is not diverted back into vehicles. It is estimated that .05 hours of a clerical workers time will be required for each off-site shipment and confirmation of receipt (individually).</w:t>
      </w:r>
      <w:r>
        <w:rPr>
          <w:rStyle w:val="FootnoteReference"/>
          <w:rFonts w:asciiTheme="minorHAnsi" w:hAnsiTheme="minorHAnsi" w:cstheme="minorHAnsi"/>
          <w:sz w:val="22"/>
          <w:szCs w:val="22"/>
        </w:rPr>
        <w:footnoteReference w:id="4"/>
      </w:r>
    </w:p>
    <w:p w:rsidR="004626AB" w:rsidRPr="00DC5934" w:rsidP="000A2DA2" w14:paraId="7AC9CAF0" w14:textId="36F235BE">
      <w:pPr>
        <w:ind w:firstLine="720"/>
        <w:rPr>
          <w:rFonts w:cstheme="minorHAnsi"/>
        </w:rPr>
      </w:pPr>
    </w:p>
    <w:p w:rsidR="00D92ED6" w:rsidRPr="00DC5934" w:rsidP="003A78D2" w14:paraId="02FB0541" w14:textId="6A39B01D">
      <w:pPr>
        <w:spacing w:before="60"/>
        <w:rPr>
          <w:rFonts w:cstheme="minorHAnsi"/>
          <w:b/>
          <w:bCs/>
        </w:rPr>
      </w:pPr>
      <w:r w:rsidRPr="00DC5934">
        <w:rPr>
          <w:rFonts w:cstheme="minorHAnsi"/>
          <w:b/>
          <w:bCs/>
        </w:rPr>
        <w:t xml:space="preserve">12d. </w:t>
      </w:r>
      <w:r w:rsidRPr="00DC5934">
        <w:rPr>
          <w:rFonts w:cstheme="minorHAnsi"/>
          <w:b/>
          <w:bCs/>
        </w:rPr>
        <w:t xml:space="preserve">Respondent </w:t>
      </w:r>
      <w:r w:rsidRPr="00DC5934" w:rsidR="00BB2B15">
        <w:rPr>
          <w:rFonts w:cstheme="minorHAnsi"/>
          <w:b/>
          <w:bCs/>
        </w:rPr>
        <w:t xml:space="preserve">Burden </w:t>
      </w:r>
      <w:r w:rsidRPr="00DC5934" w:rsidR="00B666CD">
        <w:rPr>
          <w:rFonts w:cstheme="minorHAnsi"/>
          <w:b/>
          <w:bCs/>
        </w:rPr>
        <w:t>Hour</w:t>
      </w:r>
      <w:r w:rsidRPr="00DC5934" w:rsidR="00BB2B15">
        <w:rPr>
          <w:rFonts w:cstheme="minorHAnsi"/>
          <w:b/>
          <w:bCs/>
        </w:rPr>
        <w:t>s</w:t>
      </w:r>
      <w:r w:rsidRPr="00DC5934" w:rsidR="00B666CD">
        <w:rPr>
          <w:rFonts w:cstheme="minorHAnsi"/>
          <w:b/>
          <w:bCs/>
        </w:rPr>
        <w:t xml:space="preserve"> and Labor </w:t>
      </w:r>
      <w:bookmarkEnd w:id="18"/>
      <w:r w:rsidRPr="00DC5934" w:rsidR="00BB2B15">
        <w:rPr>
          <w:rFonts w:cstheme="minorHAnsi"/>
          <w:b/>
          <w:bCs/>
        </w:rPr>
        <w:t>Costs</w:t>
      </w:r>
    </w:p>
    <w:p w:rsidR="00F07761" w:rsidRPr="00DC5934" w:rsidP="00F07761" w14:paraId="1A24481D" w14:textId="68EF0EC4">
      <w:pPr>
        <w:ind w:firstLine="720"/>
        <w:rPr>
          <w:rFonts w:cstheme="minorHAnsi"/>
        </w:rPr>
      </w:pPr>
      <w:bookmarkStart w:id="19" w:name="_Toc156593386"/>
      <w:r w:rsidRPr="00DC5934">
        <w:rPr>
          <w:rFonts w:cstheme="minorHAnsi"/>
        </w:rPr>
        <w:t>Exhibit 1 summarizes the respondent burden associated this ICR. As shown in the exhibit, the hourly burden for handlers of airbag waste is a total of 4,32</w:t>
      </w:r>
      <w:r w:rsidRPr="00DC5934" w:rsidR="00D35C24">
        <w:rPr>
          <w:rFonts w:cstheme="minorHAnsi"/>
        </w:rPr>
        <w:t>0</w:t>
      </w:r>
      <w:r w:rsidRPr="00DC5934">
        <w:rPr>
          <w:rFonts w:cstheme="minorHAnsi"/>
        </w:rPr>
        <w:t xml:space="preserve"> hours annually (an average of 0.28 hours per facility). </w:t>
      </w:r>
    </w:p>
    <w:p w:rsidR="004C443E" w:rsidRPr="00DC5934" w:rsidP="004C443E" w14:paraId="485683E1" w14:textId="6D8D8C90">
      <w:pPr>
        <w:ind w:firstLine="720"/>
        <w:rPr>
          <w:rFonts w:cstheme="minorHAnsi"/>
        </w:rPr>
      </w:pPr>
      <w:r w:rsidRPr="00DC5934">
        <w:rPr>
          <w:rFonts w:cstheme="minorHAnsi"/>
        </w:rPr>
        <w:t>The respondent cost burden reflects costs from two required recordkeeping activities: 1) Maintaining at the airbag handler for no less than three years records of all off-site shipments of hazardous secondary materials; 2) Maintaining at the airbag handler for no less than three years confirmations of receipt.</w:t>
      </w:r>
      <w:r w:rsidRPr="00DC5934" w:rsidR="00164222">
        <w:rPr>
          <w:rFonts w:cstheme="minorHAnsi"/>
        </w:rPr>
        <w:t xml:space="preserve"> The labor costs associated with this ICR are $151,</w:t>
      </w:r>
      <w:r w:rsidRPr="00DC5934" w:rsidR="00D35C24">
        <w:rPr>
          <w:rFonts w:cstheme="minorHAnsi"/>
        </w:rPr>
        <w:t>290</w:t>
      </w:r>
      <w:r w:rsidRPr="00DC5934" w:rsidR="00164222">
        <w:rPr>
          <w:rFonts w:cstheme="minorHAnsi"/>
        </w:rPr>
        <w:t xml:space="preserve"> annually.</w:t>
      </w:r>
    </w:p>
    <w:tbl>
      <w:tblPr>
        <w:tblStyle w:val="TableGrid"/>
        <w:tblW w:w="0" w:type="auto"/>
        <w:tblLook w:val="04A0"/>
      </w:tblPr>
      <w:tblGrid>
        <w:gridCol w:w="1870"/>
        <w:gridCol w:w="1870"/>
        <w:gridCol w:w="1870"/>
        <w:gridCol w:w="1870"/>
        <w:gridCol w:w="1870"/>
      </w:tblGrid>
      <w:tr w14:paraId="35A8F48C" w14:textId="77777777" w:rsidTr="00E41165">
        <w:tblPrEx>
          <w:tblW w:w="0" w:type="auto"/>
          <w:tblLook w:val="04A0"/>
        </w:tblPrEx>
        <w:tc>
          <w:tcPr>
            <w:tcW w:w="1870" w:type="dxa"/>
            <w:vAlign w:val="bottom"/>
          </w:tcPr>
          <w:p w:rsidR="00A96BD3" w:rsidRPr="00DC5934" w:rsidP="00E41165" w14:paraId="51E93399" w14:textId="77777777">
            <w:pPr>
              <w:keepNext/>
              <w:keepLines/>
              <w:snapToGrid w:val="0"/>
              <w:jc w:val="center"/>
              <w:rPr>
                <w:rFonts w:cstheme="minorHAnsi"/>
                <w:color w:val="000000"/>
              </w:rPr>
            </w:pPr>
            <w:r w:rsidRPr="00DC5934">
              <w:rPr>
                <w:rFonts w:cstheme="minorHAnsi"/>
                <w:color w:val="000000"/>
              </w:rPr>
              <w:t>Labor Category</w:t>
            </w:r>
          </w:p>
        </w:tc>
        <w:tc>
          <w:tcPr>
            <w:tcW w:w="1870" w:type="dxa"/>
            <w:vAlign w:val="center"/>
          </w:tcPr>
          <w:p w:rsidR="00A96BD3" w:rsidRPr="00DC5934" w:rsidP="00E41165" w14:paraId="7A6D44E7" w14:textId="77777777">
            <w:pPr>
              <w:keepNext/>
              <w:keepLines/>
              <w:snapToGrid w:val="0"/>
              <w:ind w:left="15"/>
              <w:jc w:val="center"/>
              <w:rPr>
                <w:rFonts w:cstheme="minorHAnsi"/>
                <w:color w:val="000000"/>
              </w:rPr>
            </w:pPr>
            <w:r w:rsidRPr="00DC5934">
              <w:rPr>
                <w:rFonts w:cstheme="minorHAnsi"/>
                <w:color w:val="000000"/>
              </w:rPr>
              <w:t>Non-loaded</w:t>
            </w:r>
          </w:p>
          <w:p w:rsidR="00A96BD3" w:rsidRPr="00DC5934" w:rsidP="00E41165" w14:paraId="4CF94755" w14:textId="2376F00C">
            <w:pPr>
              <w:keepNext/>
              <w:keepLines/>
              <w:ind w:left="15"/>
              <w:jc w:val="center"/>
              <w:rPr>
                <w:rFonts w:cstheme="minorHAnsi"/>
                <w:color w:val="000000"/>
              </w:rPr>
            </w:pPr>
            <w:r w:rsidRPr="00DC5934">
              <w:rPr>
                <w:rFonts w:cstheme="minorHAnsi"/>
                <w:color w:val="000000"/>
              </w:rPr>
              <w:t>2025 hourly rate</w:t>
            </w:r>
            <w:r>
              <w:rPr>
                <w:rStyle w:val="FootnoteReference"/>
                <w:rFonts w:cstheme="minorHAnsi"/>
                <w:color w:val="000000"/>
              </w:rPr>
              <w:footnoteReference w:id="5"/>
            </w:r>
            <w:r w:rsidRPr="00DC5934">
              <w:rPr>
                <w:rFonts w:cstheme="minorHAnsi"/>
                <w:color w:val="000000"/>
              </w:rPr>
              <w:t xml:space="preserve"> </w:t>
            </w:r>
          </w:p>
        </w:tc>
        <w:tc>
          <w:tcPr>
            <w:tcW w:w="1870" w:type="dxa"/>
            <w:vAlign w:val="center"/>
          </w:tcPr>
          <w:p w:rsidR="00A96BD3" w:rsidRPr="00DC5934" w:rsidP="00E41165" w14:paraId="123253A2" w14:textId="77777777">
            <w:pPr>
              <w:keepNext/>
              <w:keepLines/>
              <w:snapToGrid w:val="0"/>
              <w:ind w:left="15"/>
              <w:jc w:val="center"/>
              <w:rPr>
                <w:rFonts w:cstheme="minorHAnsi"/>
                <w:color w:val="000000"/>
              </w:rPr>
            </w:pPr>
            <w:r w:rsidRPr="00DC5934">
              <w:rPr>
                <w:rFonts w:cstheme="minorHAnsi"/>
                <w:color w:val="000000"/>
              </w:rPr>
              <w:t>Fringe benefits loading multiplier</w:t>
            </w:r>
          </w:p>
        </w:tc>
        <w:tc>
          <w:tcPr>
            <w:tcW w:w="1870" w:type="dxa"/>
            <w:vAlign w:val="center"/>
          </w:tcPr>
          <w:p w:rsidR="00A96BD3" w:rsidRPr="00DC5934" w:rsidP="00E41165" w14:paraId="2FBF39D5" w14:textId="77777777">
            <w:pPr>
              <w:keepNext/>
              <w:keepLines/>
              <w:snapToGrid w:val="0"/>
              <w:ind w:left="15"/>
              <w:jc w:val="center"/>
              <w:rPr>
                <w:rFonts w:cstheme="minorHAnsi"/>
                <w:color w:val="000000"/>
              </w:rPr>
            </w:pPr>
            <w:r w:rsidRPr="00DC5934">
              <w:rPr>
                <w:rFonts w:cstheme="minorHAnsi"/>
                <w:color w:val="000000"/>
              </w:rPr>
              <w:t>Overhead loading multiplier</w:t>
            </w:r>
          </w:p>
        </w:tc>
        <w:tc>
          <w:tcPr>
            <w:tcW w:w="1870" w:type="dxa"/>
            <w:vAlign w:val="center"/>
          </w:tcPr>
          <w:p w:rsidR="00A96BD3" w:rsidRPr="00DC5934" w:rsidP="00E41165" w14:paraId="561A5AE6" w14:textId="77777777">
            <w:pPr>
              <w:keepNext/>
              <w:keepLines/>
              <w:snapToGrid w:val="0"/>
              <w:ind w:left="15"/>
              <w:jc w:val="center"/>
              <w:rPr>
                <w:rFonts w:cstheme="minorHAnsi"/>
                <w:color w:val="000000"/>
              </w:rPr>
            </w:pPr>
            <w:r w:rsidRPr="00DC5934">
              <w:rPr>
                <w:rFonts w:cstheme="minorHAnsi"/>
                <w:color w:val="000000"/>
              </w:rPr>
              <w:t>Loaded</w:t>
            </w:r>
          </w:p>
          <w:p w:rsidR="00A96BD3" w:rsidRPr="00DC5934" w:rsidP="00E41165" w14:paraId="4C1DFE13" w14:textId="77777777">
            <w:pPr>
              <w:keepNext/>
              <w:keepLines/>
              <w:ind w:left="15"/>
              <w:jc w:val="center"/>
              <w:rPr>
                <w:rFonts w:cstheme="minorHAnsi"/>
                <w:color w:val="000000"/>
              </w:rPr>
            </w:pPr>
            <w:r w:rsidRPr="00DC5934">
              <w:rPr>
                <w:rFonts w:cstheme="minorHAnsi"/>
                <w:color w:val="000000"/>
              </w:rPr>
              <w:t>Hourly rate</w:t>
            </w:r>
          </w:p>
        </w:tc>
      </w:tr>
      <w:tr w14:paraId="6999AA26" w14:textId="77777777" w:rsidTr="00E41165">
        <w:tblPrEx>
          <w:tblW w:w="0" w:type="auto"/>
          <w:tblLook w:val="04A0"/>
        </w:tblPrEx>
        <w:tc>
          <w:tcPr>
            <w:tcW w:w="1870" w:type="dxa"/>
          </w:tcPr>
          <w:p w:rsidR="00A96BD3" w:rsidRPr="00DC5934" w:rsidP="00E41165" w14:paraId="2DBA69F0" w14:textId="77777777">
            <w:pPr>
              <w:keepNext/>
              <w:keepLines/>
              <w:snapToGrid w:val="0"/>
              <w:ind w:left="15"/>
              <w:rPr>
                <w:rFonts w:cstheme="minorHAnsi"/>
                <w:color w:val="000000"/>
              </w:rPr>
            </w:pPr>
            <w:r w:rsidRPr="00DC5934">
              <w:rPr>
                <w:rFonts w:cstheme="minorHAnsi"/>
                <w:color w:val="000000"/>
              </w:rPr>
              <w:t>1. Legal</w:t>
            </w:r>
          </w:p>
        </w:tc>
        <w:tc>
          <w:tcPr>
            <w:tcW w:w="1870" w:type="dxa"/>
            <w:vAlign w:val="center"/>
          </w:tcPr>
          <w:p w:rsidR="00A96BD3" w:rsidRPr="00DC5934" w:rsidP="00E41165" w14:paraId="637EF62D" w14:textId="37392DEF">
            <w:pPr>
              <w:keepNext/>
              <w:keepLines/>
              <w:tabs>
                <w:tab w:val="left" w:pos="-720"/>
                <w:tab w:val="left" w:pos="0"/>
                <w:tab w:val="left" w:pos="720"/>
                <w:tab w:val="left" w:pos="1440"/>
                <w:tab w:val="left" w:pos="2160"/>
                <w:tab w:val="left" w:pos="2880"/>
                <w:tab w:val="left" w:pos="3600"/>
                <w:tab w:val="left" w:pos="4320"/>
              </w:tabs>
              <w:snapToGrid w:val="0"/>
              <w:ind w:left="15"/>
              <w:jc w:val="center"/>
              <w:rPr>
                <w:rFonts w:cstheme="minorHAnsi"/>
                <w:color w:val="000000"/>
                <w:highlight w:val="green"/>
              </w:rPr>
            </w:pPr>
            <w:r w:rsidRPr="00DC5934">
              <w:rPr>
                <w:rFonts w:cstheme="minorHAnsi"/>
                <w:color w:val="000000"/>
              </w:rPr>
              <w:t>$84.65</w:t>
            </w:r>
          </w:p>
        </w:tc>
        <w:tc>
          <w:tcPr>
            <w:tcW w:w="1870" w:type="dxa"/>
            <w:vAlign w:val="center"/>
          </w:tcPr>
          <w:p w:rsidR="00A96BD3" w:rsidRPr="00DC5934" w:rsidP="00E41165" w14:paraId="18B6FBF5" w14:textId="77777777">
            <w:pPr>
              <w:keepNext/>
              <w:keepLines/>
              <w:ind w:left="15"/>
              <w:jc w:val="center"/>
              <w:rPr>
                <w:rFonts w:cstheme="minorHAnsi"/>
                <w:color w:val="000000"/>
              </w:rPr>
            </w:pPr>
            <w:r w:rsidRPr="00DC5934">
              <w:rPr>
                <w:rFonts w:cstheme="minorHAnsi"/>
                <w:color w:val="000000"/>
              </w:rPr>
              <w:t>1.43</w:t>
            </w:r>
          </w:p>
        </w:tc>
        <w:tc>
          <w:tcPr>
            <w:tcW w:w="1870" w:type="dxa"/>
            <w:vAlign w:val="center"/>
          </w:tcPr>
          <w:p w:rsidR="00A96BD3" w:rsidRPr="00DC5934" w:rsidP="00E41165" w14:paraId="3EECB727" w14:textId="77777777">
            <w:pPr>
              <w:keepNext/>
              <w:keepLines/>
              <w:snapToGrid w:val="0"/>
              <w:ind w:left="15"/>
              <w:jc w:val="center"/>
              <w:rPr>
                <w:rFonts w:cstheme="minorHAnsi"/>
                <w:color w:val="000000"/>
              </w:rPr>
            </w:pPr>
            <w:r w:rsidRPr="00DC5934">
              <w:rPr>
                <w:rFonts w:cstheme="minorHAnsi"/>
                <w:color w:val="000000"/>
              </w:rPr>
              <w:t>1.336</w:t>
            </w:r>
          </w:p>
        </w:tc>
        <w:tc>
          <w:tcPr>
            <w:tcW w:w="1870" w:type="dxa"/>
            <w:vAlign w:val="center"/>
          </w:tcPr>
          <w:p w:rsidR="00A96BD3" w:rsidRPr="00DC5934" w:rsidP="00E41165" w14:paraId="1A3B2225" w14:textId="3E04A8DF">
            <w:pPr>
              <w:keepNext/>
              <w:keepLines/>
              <w:snapToGrid w:val="0"/>
              <w:ind w:left="15"/>
              <w:jc w:val="center"/>
              <w:rPr>
                <w:rFonts w:cstheme="minorHAnsi"/>
                <w:bCs/>
                <w:color w:val="000000"/>
                <w:highlight w:val="green"/>
              </w:rPr>
            </w:pPr>
            <w:r w:rsidRPr="00DC5934">
              <w:rPr>
                <w:rFonts w:cstheme="minorHAnsi"/>
                <w:bCs/>
                <w:color w:val="000000"/>
              </w:rPr>
              <w:t>$161.72</w:t>
            </w:r>
          </w:p>
        </w:tc>
      </w:tr>
      <w:tr w14:paraId="12CD8AB9" w14:textId="77777777" w:rsidTr="00E41165">
        <w:tblPrEx>
          <w:tblW w:w="0" w:type="auto"/>
          <w:tblLook w:val="04A0"/>
        </w:tblPrEx>
        <w:tc>
          <w:tcPr>
            <w:tcW w:w="1870" w:type="dxa"/>
          </w:tcPr>
          <w:p w:rsidR="00A96BD3" w:rsidRPr="00DC5934" w:rsidP="00E41165" w14:paraId="4721634C" w14:textId="77777777">
            <w:pPr>
              <w:keepNext/>
              <w:keepLines/>
              <w:snapToGrid w:val="0"/>
              <w:ind w:left="15"/>
              <w:rPr>
                <w:rFonts w:cstheme="minorHAnsi"/>
                <w:color w:val="000000"/>
              </w:rPr>
            </w:pPr>
            <w:r w:rsidRPr="00DC5934">
              <w:rPr>
                <w:rFonts w:cstheme="minorHAnsi"/>
                <w:color w:val="000000"/>
              </w:rPr>
              <w:t>2. Managerial</w:t>
            </w:r>
          </w:p>
        </w:tc>
        <w:tc>
          <w:tcPr>
            <w:tcW w:w="1870" w:type="dxa"/>
            <w:vAlign w:val="center"/>
          </w:tcPr>
          <w:p w:rsidR="00A96BD3" w:rsidRPr="00DC5934" w:rsidP="00E41165" w14:paraId="66EB3F3C" w14:textId="11C5ABC2">
            <w:pPr>
              <w:keepNext/>
              <w:keepLines/>
              <w:tabs>
                <w:tab w:val="left" w:pos="-720"/>
                <w:tab w:val="left" w:pos="0"/>
                <w:tab w:val="left" w:pos="720"/>
                <w:tab w:val="left" w:pos="1440"/>
                <w:tab w:val="left" w:pos="2160"/>
                <w:tab w:val="left" w:pos="2880"/>
                <w:tab w:val="left" w:pos="3600"/>
                <w:tab w:val="left" w:pos="4320"/>
              </w:tabs>
              <w:snapToGrid w:val="0"/>
              <w:ind w:left="15"/>
              <w:jc w:val="center"/>
              <w:rPr>
                <w:rFonts w:cstheme="minorHAnsi"/>
                <w:color w:val="000000"/>
                <w:highlight w:val="green"/>
              </w:rPr>
            </w:pPr>
            <w:r w:rsidRPr="00DC5934">
              <w:rPr>
                <w:rFonts w:cstheme="minorHAnsi"/>
                <w:color w:val="000000"/>
              </w:rPr>
              <w:t>$51.44</w:t>
            </w:r>
          </w:p>
        </w:tc>
        <w:tc>
          <w:tcPr>
            <w:tcW w:w="1870" w:type="dxa"/>
            <w:vAlign w:val="center"/>
          </w:tcPr>
          <w:p w:rsidR="00A96BD3" w:rsidRPr="00DC5934" w:rsidP="00E41165" w14:paraId="69E5DED3" w14:textId="77777777">
            <w:pPr>
              <w:keepNext/>
              <w:keepLines/>
              <w:ind w:left="15"/>
              <w:jc w:val="center"/>
              <w:rPr>
                <w:rFonts w:cstheme="minorHAnsi"/>
                <w:color w:val="000000"/>
              </w:rPr>
            </w:pPr>
            <w:r w:rsidRPr="00DC5934">
              <w:rPr>
                <w:rFonts w:cstheme="minorHAnsi"/>
                <w:color w:val="000000"/>
              </w:rPr>
              <w:t>1.43</w:t>
            </w:r>
          </w:p>
        </w:tc>
        <w:tc>
          <w:tcPr>
            <w:tcW w:w="1870" w:type="dxa"/>
            <w:vAlign w:val="center"/>
          </w:tcPr>
          <w:p w:rsidR="00A96BD3" w:rsidRPr="00DC5934" w:rsidP="00E41165" w14:paraId="32A2326C" w14:textId="77777777">
            <w:pPr>
              <w:keepNext/>
              <w:keepLines/>
              <w:snapToGrid w:val="0"/>
              <w:ind w:left="15"/>
              <w:jc w:val="center"/>
              <w:rPr>
                <w:rFonts w:cstheme="minorHAnsi"/>
                <w:color w:val="000000"/>
              </w:rPr>
            </w:pPr>
            <w:r w:rsidRPr="00DC5934">
              <w:rPr>
                <w:rFonts w:cstheme="minorHAnsi"/>
                <w:color w:val="000000"/>
              </w:rPr>
              <w:t>1.336</w:t>
            </w:r>
          </w:p>
        </w:tc>
        <w:tc>
          <w:tcPr>
            <w:tcW w:w="1870" w:type="dxa"/>
            <w:vAlign w:val="center"/>
          </w:tcPr>
          <w:p w:rsidR="00A96BD3" w:rsidRPr="00DC5934" w:rsidP="00E41165" w14:paraId="1375370C" w14:textId="5820DD93">
            <w:pPr>
              <w:keepNext/>
              <w:keepLines/>
              <w:snapToGrid w:val="0"/>
              <w:ind w:left="15"/>
              <w:jc w:val="center"/>
              <w:rPr>
                <w:rFonts w:cstheme="minorHAnsi"/>
                <w:bCs/>
                <w:color w:val="000000"/>
                <w:highlight w:val="green"/>
              </w:rPr>
            </w:pPr>
            <w:r w:rsidRPr="00DC5934">
              <w:rPr>
                <w:rFonts w:cstheme="minorHAnsi"/>
                <w:bCs/>
                <w:color w:val="000000"/>
              </w:rPr>
              <w:t>$98.28</w:t>
            </w:r>
          </w:p>
        </w:tc>
      </w:tr>
      <w:tr w14:paraId="2DA1C1FC" w14:textId="77777777" w:rsidTr="00E41165">
        <w:tblPrEx>
          <w:tblW w:w="0" w:type="auto"/>
          <w:tblLook w:val="04A0"/>
        </w:tblPrEx>
        <w:tc>
          <w:tcPr>
            <w:tcW w:w="1870" w:type="dxa"/>
          </w:tcPr>
          <w:p w:rsidR="00A96BD3" w:rsidRPr="00DC5934" w:rsidP="00E41165" w14:paraId="724F99FF" w14:textId="77777777">
            <w:pPr>
              <w:keepNext/>
              <w:keepLines/>
              <w:snapToGrid w:val="0"/>
              <w:ind w:left="15"/>
              <w:rPr>
                <w:rFonts w:cstheme="minorHAnsi"/>
                <w:color w:val="000000"/>
              </w:rPr>
            </w:pPr>
            <w:r w:rsidRPr="00DC5934">
              <w:rPr>
                <w:rFonts w:cstheme="minorHAnsi"/>
                <w:color w:val="000000"/>
              </w:rPr>
              <w:t>3. Technical</w:t>
            </w:r>
          </w:p>
        </w:tc>
        <w:tc>
          <w:tcPr>
            <w:tcW w:w="1870" w:type="dxa"/>
            <w:vAlign w:val="center"/>
          </w:tcPr>
          <w:p w:rsidR="00A96BD3" w:rsidRPr="00DC5934" w:rsidP="00E41165" w14:paraId="72D3ADB7" w14:textId="56181BB9">
            <w:pPr>
              <w:keepNext/>
              <w:keepLines/>
              <w:tabs>
                <w:tab w:val="left" w:pos="-720"/>
                <w:tab w:val="left" w:pos="0"/>
                <w:tab w:val="left" w:pos="720"/>
                <w:tab w:val="left" w:pos="1440"/>
                <w:tab w:val="left" w:pos="2160"/>
                <w:tab w:val="left" w:pos="2880"/>
                <w:tab w:val="left" w:pos="3600"/>
                <w:tab w:val="left" w:pos="4320"/>
              </w:tabs>
              <w:snapToGrid w:val="0"/>
              <w:ind w:left="15"/>
              <w:jc w:val="center"/>
              <w:rPr>
                <w:rFonts w:cstheme="minorHAnsi"/>
                <w:color w:val="000000"/>
                <w:highlight w:val="green"/>
              </w:rPr>
            </w:pPr>
            <w:r w:rsidRPr="00DC5934">
              <w:rPr>
                <w:rFonts w:cstheme="minorHAnsi"/>
                <w:color w:val="000000"/>
              </w:rPr>
              <w:t>$</w:t>
            </w:r>
            <w:r w:rsidRPr="00DC5934" w:rsidR="00C26535">
              <w:rPr>
                <w:rFonts w:cstheme="minorHAnsi"/>
                <w:color w:val="000000"/>
              </w:rPr>
              <w:t>44.78</w:t>
            </w:r>
          </w:p>
        </w:tc>
        <w:tc>
          <w:tcPr>
            <w:tcW w:w="1870" w:type="dxa"/>
            <w:vAlign w:val="center"/>
          </w:tcPr>
          <w:p w:rsidR="00A96BD3" w:rsidRPr="00DC5934" w:rsidP="00E41165" w14:paraId="3DBC3CD7" w14:textId="77777777">
            <w:pPr>
              <w:keepNext/>
              <w:keepLines/>
              <w:ind w:left="15"/>
              <w:jc w:val="center"/>
              <w:rPr>
                <w:rFonts w:cstheme="minorHAnsi"/>
                <w:color w:val="000000"/>
              </w:rPr>
            </w:pPr>
            <w:r w:rsidRPr="00DC5934">
              <w:rPr>
                <w:rFonts w:cstheme="minorHAnsi"/>
                <w:color w:val="000000"/>
              </w:rPr>
              <w:t>1.43</w:t>
            </w:r>
          </w:p>
        </w:tc>
        <w:tc>
          <w:tcPr>
            <w:tcW w:w="1870" w:type="dxa"/>
            <w:vAlign w:val="center"/>
          </w:tcPr>
          <w:p w:rsidR="00A96BD3" w:rsidRPr="00DC5934" w:rsidP="00E41165" w14:paraId="7976EB94" w14:textId="77777777">
            <w:pPr>
              <w:keepNext/>
              <w:keepLines/>
              <w:snapToGrid w:val="0"/>
              <w:ind w:left="15"/>
              <w:jc w:val="center"/>
              <w:rPr>
                <w:rFonts w:cstheme="minorHAnsi"/>
                <w:color w:val="000000"/>
              </w:rPr>
            </w:pPr>
            <w:r w:rsidRPr="00DC5934">
              <w:rPr>
                <w:rFonts w:cstheme="minorHAnsi"/>
                <w:color w:val="000000"/>
              </w:rPr>
              <w:t>1.336</w:t>
            </w:r>
          </w:p>
        </w:tc>
        <w:tc>
          <w:tcPr>
            <w:tcW w:w="1870" w:type="dxa"/>
            <w:vAlign w:val="center"/>
          </w:tcPr>
          <w:p w:rsidR="00A96BD3" w:rsidRPr="00DC5934" w:rsidP="00E41165" w14:paraId="6238870C" w14:textId="1D5F71EA">
            <w:pPr>
              <w:keepNext/>
              <w:keepLines/>
              <w:snapToGrid w:val="0"/>
              <w:ind w:left="15"/>
              <w:jc w:val="center"/>
              <w:rPr>
                <w:rFonts w:cstheme="minorHAnsi"/>
                <w:bCs/>
                <w:color w:val="000000"/>
                <w:highlight w:val="green"/>
              </w:rPr>
            </w:pPr>
            <w:r w:rsidRPr="00DC5934">
              <w:rPr>
                <w:rFonts w:cstheme="minorHAnsi"/>
                <w:bCs/>
                <w:color w:val="000000"/>
              </w:rPr>
              <w:t>$</w:t>
            </w:r>
            <w:r w:rsidRPr="00DC5934" w:rsidR="00C26535">
              <w:rPr>
                <w:rFonts w:cstheme="minorHAnsi"/>
                <w:bCs/>
                <w:color w:val="000000"/>
              </w:rPr>
              <w:t>85.55</w:t>
            </w:r>
          </w:p>
        </w:tc>
      </w:tr>
      <w:tr w14:paraId="663DE8D3" w14:textId="77777777" w:rsidTr="00E41165">
        <w:tblPrEx>
          <w:tblW w:w="0" w:type="auto"/>
          <w:tblLook w:val="04A0"/>
        </w:tblPrEx>
        <w:tc>
          <w:tcPr>
            <w:tcW w:w="1870" w:type="dxa"/>
          </w:tcPr>
          <w:p w:rsidR="00A96BD3" w:rsidRPr="00DC5934" w:rsidP="00E41165" w14:paraId="319BA63B" w14:textId="77777777">
            <w:pPr>
              <w:keepNext/>
              <w:keepLines/>
              <w:snapToGrid w:val="0"/>
              <w:ind w:left="15"/>
              <w:rPr>
                <w:rFonts w:cstheme="minorHAnsi"/>
                <w:color w:val="000000"/>
              </w:rPr>
            </w:pPr>
            <w:r w:rsidRPr="00DC5934">
              <w:rPr>
                <w:rFonts w:cstheme="minorHAnsi"/>
                <w:color w:val="000000"/>
              </w:rPr>
              <w:t>4. Clerical</w:t>
            </w:r>
          </w:p>
        </w:tc>
        <w:tc>
          <w:tcPr>
            <w:tcW w:w="1870" w:type="dxa"/>
            <w:vAlign w:val="center"/>
          </w:tcPr>
          <w:p w:rsidR="00A96BD3" w:rsidRPr="00DC5934" w:rsidP="00E41165" w14:paraId="3B44FC6D" w14:textId="5D5428DC">
            <w:pPr>
              <w:keepNext/>
              <w:keepLines/>
              <w:tabs>
                <w:tab w:val="left" w:pos="-720"/>
                <w:tab w:val="left" w:pos="0"/>
                <w:tab w:val="left" w:pos="720"/>
                <w:tab w:val="left" w:pos="1440"/>
                <w:tab w:val="left" w:pos="2160"/>
                <w:tab w:val="left" w:pos="2880"/>
                <w:tab w:val="left" w:pos="3600"/>
                <w:tab w:val="left" w:pos="4320"/>
              </w:tabs>
              <w:snapToGrid w:val="0"/>
              <w:ind w:left="15"/>
              <w:jc w:val="center"/>
              <w:rPr>
                <w:rFonts w:cstheme="minorHAnsi"/>
                <w:color w:val="000000"/>
                <w:highlight w:val="green"/>
              </w:rPr>
            </w:pPr>
            <w:r w:rsidRPr="00DC5934">
              <w:rPr>
                <w:rFonts w:cstheme="minorHAnsi"/>
                <w:color w:val="000000"/>
              </w:rPr>
              <w:t>$</w:t>
            </w:r>
            <w:r w:rsidRPr="00DC5934" w:rsidR="00C26535">
              <w:rPr>
                <w:rFonts w:cstheme="minorHAnsi"/>
                <w:color w:val="000000"/>
              </w:rPr>
              <w:t>18.33</w:t>
            </w:r>
          </w:p>
        </w:tc>
        <w:tc>
          <w:tcPr>
            <w:tcW w:w="1870" w:type="dxa"/>
            <w:vAlign w:val="center"/>
          </w:tcPr>
          <w:p w:rsidR="00A96BD3" w:rsidRPr="00DC5934" w:rsidP="00E41165" w14:paraId="6094B704" w14:textId="77777777">
            <w:pPr>
              <w:keepNext/>
              <w:keepLines/>
              <w:ind w:left="15"/>
              <w:jc w:val="center"/>
              <w:rPr>
                <w:rFonts w:cstheme="minorHAnsi"/>
                <w:color w:val="000000"/>
              </w:rPr>
            </w:pPr>
            <w:r w:rsidRPr="00DC5934">
              <w:rPr>
                <w:rFonts w:cstheme="minorHAnsi"/>
                <w:color w:val="000000"/>
              </w:rPr>
              <w:t>1.43</w:t>
            </w:r>
          </w:p>
        </w:tc>
        <w:tc>
          <w:tcPr>
            <w:tcW w:w="1870" w:type="dxa"/>
            <w:vAlign w:val="center"/>
          </w:tcPr>
          <w:p w:rsidR="00A96BD3" w:rsidRPr="00DC5934" w:rsidP="00E41165" w14:paraId="443DF0FD" w14:textId="77777777">
            <w:pPr>
              <w:keepNext/>
              <w:keepLines/>
              <w:snapToGrid w:val="0"/>
              <w:ind w:left="15"/>
              <w:jc w:val="center"/>
              <w:rPr>
                <w:rFonts w:cstheme="minorHAnsi"/>
                <w:color w:val="000000"/>
              </w:rPr>
            </w:pPr>
            <w:r w:rsidRPr="00DC5934">
              <w:rPr>
                <w:rFonts w:cstheme="minorHAnsi"/>
                <w:color w:val="000000"/>
              </w:rPr>
              <w:t>1.336</w:t>
            </w:r>
          </w:p>
        </w:tc>
        <w:tc>
          <w:tcPr>
            <w:tcW w:w="1870" w:type="dxa"/>
            <w:vAlign w:val="center"/>
          </w:tcPr>
          <w:p w:rsidR="00A96BD3" w:rsidRPr="00DC5934" w:rsidP="00E41165" w14:paraId="17530044" w14:textId="2CD5DD44">
            <w:pPr>
              <w:keepNext/>
              <w:keepLines/>
              <w:snapToGrid w:val="0"/>
              <w:ind w:left="15"/>
              <w:jc w:val="center"/>
              <w:rPr>
                <w:rFonts w:cstheme="minorHAnsi"/>
                <w:bCs/>
                <w:color w:val="000000"/>
                <w:highlight w:val="green"/>
              </w:rPr>
            </w:pPr>
            <w:r w:rsidRPr="00DC5934">
              <w:rPr>
                <w:rFonts w:cstheme="minorHAnsi"/>
                <w:bCs/>
                <w:color w:val="000000"/>
              </w:rPr>
              <w:t>$</w:t>
            </w:r>
            <w:r w:rsidRPr="00DC5934" w:rsidR="00C26535">
              <w:rPr>
                <w:rFonts w:cstheme="minorHAnsi"/>
                <w:bCs/>
                <w:color w:val="000000"/>
              </w:rPr>
              <w:t>35.02</w:t>
            </w:r>
          </w:p>
        </w:tc>
      </w:tr>
    </w:tbl>
    <w:p w:rsidR="00A96BD3" w:rsidRPr="00DC5934" w:rsidP="004C443E" w14:paraId="0AED6FDD" w14:textId="77777777">
      <w:pPr>
        <w:ind w:firstLine="720"/>
        <w:rPr>
          <w:rFonts w:cstheme="minorHAnsi"/>
        </w:rPr>
      </w:pPr>
    </w:p>
    <w:p w:rsidR="00BB2B15" w:rsidRPr="00DC5934" w:rsidP="00045397" w14:paraId="2DFB848E" w14:textId="142EFF3E">
      <w:pPr>
        <w:pStyle w:val="ListParagraph"/>
        <w:numPr>
          <w:ilvl w:val="0"/>
          <w:numId w:val="25"/>
        </w:numPr>
        <w:tabs>
          <w:tab w:val="left" w:pos="-1440"/>
        </w:tabs>
        <w:rPr>
          <w:rFonts w:cstheme="minorHAnsi"/>
          <w:i/>
          <w:iCs/>
        </w:rPr>
      </w:pPr>
      <w:r w:rsidRPr="00DC5934">
        <w:rPr>
          <w:rFonts w:cstheme="minorHAnsi"/>
          <w:b/>
          <w:bCs/>
          <w:caps/>
        </w:rPr>
        <w:t>Respondent</w:t>
      </w:r>
      <w:r w:rsidRPr="00DC5934" w:rsidR="009A09EC">
        <w:rPr>
          <w:rFonts w:cstheme="minorHAnsi"/>
          <w:b/>
          <w:bCs/>
          <w:caps/>
        </w:rPr>
        <w:t xml:space="preserve"> </w:t>
      </w:r>
      <w:r w:rsidRPr="00DC5934" w:rsidR="00D17BB9">
        <w:rPr>
          <w:rFonts w:cstheme="minorHAnsi"/>
          <w:b/>
          <w:bCs/>
          <w:caps/>
        </w:rPr>
        <w:t xml:space="preserve">CAPITAL AND O&amp;m </w:t>
      </w:r>
      <w:r w:rsidRPr="00DC5934" w:rsidR="004E3CB0">
        <w:rPr>
          <w:rFonts w:cstheme="minorHAnsi"/>
          <w:b/>
          <w:bCs/>
          <w:caps/>
        </w:rPr>
        <w:t>Cost</w:t>
      </w:r>
      <w:r w:rsidRPr="00DC5934" w:rsidR="00D17BB9">
        <w:rPr>
          <w:rFonts w:cstheme="minorHAnsi"/>
          <w:b/>
          <w:bCs/>
          <w:caps/>
        </w:rPr>
        <w:t>S</w:t>
      </w:r>
      <w:bookmarkEnd w:id="19"/>
      <w:r w:rsidRPr="00DC5934" w:rsidR="004E3CB0">
        <w:rPr>
          <w:rFonts w:cstheme="minorHAnsi"/>
          <w:i/>
          <w:iCs/>
        </w:rPr>
        <w:t xml:space="preserve"> </w:t>
      </w:r>
    </w:p>
    <w:p w:rsidR="00F92596" w:rsidRPr="00DC5934" w:rsidP="00F92596" w14:paraId="2518FF66" w14:textId="77777777">
      <w:pPr>
        <w:spacing w:after="0" w:line="240" w:lineRule="auto"/>
        <w:rPr>
          <w:rFonts w:cstheme="minorHAnsi"/>
          <w:i/>
          <w:iCs/>
        </w:rPr>
      </w:pPr>
      <w:r w:rsidRPr="00DC5934">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DC5934" w:rsidP="00163C69" w14:paraId="4B0AAE4A" w14:textId="77777777">
      <w:pPr>
        <w:spacing w:before="120" w:after="0" w:line="240" w:lineRule="auto"/>
        <w:rPr>
          <w:rFonts w:cstheme="minorHAnsi"/>
          <w:i/>
          <w:iCs/>
        </w:rPr>
      </w:pPr>
      <w:r w:rsidRPr="00DC5934">
        <w:rPr>
          <w:rFonts w:cstheme="minorHAnsi"/>
          <w:i/>
          <w:iCs/>
        </w:rPr>
        <w:t>The cost estimate should be split into two components: (a) a total capital and start-up cost</w:t>
      </w:r>
    </w:p>
    <w:p w:rsidR="00F92596" w:rsidRPr="00DC5934" w:rsidP="00F92596" w14:paraId="73CD3C99" w14:textId="77777777">
      <w:pPr>
        <w:spacing w:after="0" w:line="240" w:lineRule="auto"/>
        <w:rPr>
          <w:rFonts w:cstheme="minorHAnsi"/>
          <w:i/>
          <w:iCs/>
        </w:rPr>
      </w:pPr>
      <w:r w:rsidRPr="00DC5934">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DC5934" w:rsidP="00163C69" w14:paraId="239AB31E" w14:textId="77777777">
      <w:pPr>
        <w:spacing w:line="240" w:lineRule="auto"/>
        <w:rPr>
          <w:rFonts w:cstheme="minorHAnsi"/>
          <w:i/>
          <w:iCs/>
        </w:rPr>
      </w:pPr>
      <w:r w:rsidRPr="00DC5934">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DC5934" w:rsidP="00163C69" w14:paraId="00D6515B" w14:textId="77777777">
      <w:pPr>
        <w:pBdr>
          <w:bottom w:val="single" w:sz="4" w:space="1" w:color="auto"/>
        </w:pBdr>
        <w:spacing w:line="240" w:lineRule="auto"/>
        <w:rPr>
          <w:rFonts w:cstheme="minorHAnsi"/>
          <w:i/>
          <w:iCs/>
        </w:rPr>
      </w:pPr>
      <w:r w:rsidRPr="00DC5934">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4425" w:rsidRPr="00DC5934" w:rsidP="0052059C" w14:paraId="5F133D71" w14:textId="5D7E49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bookmarkStart w:id="20" w:name="_Toc156593387"/>
      <w:r w:rsidRPr="00DC5934">
        <w:rPr>
          <w:rStyle w:val="footnoteref0"/>
          <w:rFonts w:cstheme="minorHAnsi"/>
          <w:sz w:val="22"/>
          <w:vertAlign w:val="baseline"/>
        </w:rPr>
        <w:tab/>
      </w:r>
      <w:r w:rsidRPr="00DC5934" w:rsidR="00690B5B">
        <w:rPr>
          <w:rStyle w:val="footnoteref0"/>
          <w:rFonts w:cstheme="minorHAnsi"/>
          <w:sz w:val="22"/>
          <w:vertAlign w:val="baseline"/>
        </w:rPr>
        <w:t>There are no capital and O&amp;M costs associated with this ICR</w:t>
      </w:r>
      <w:r w:rsidRPr="00DC5934">
        <w:rPr>
          <w:rStyle w:val="footnoteref0"/>
          <w:rFonts w:cstheme="minorHAnsi"/>
          <w:sz w:val="22"/>
          <w:vertAlign w:val="baseline"/>
        </w:rPr>
        <w:t>.</w:t>
      </w:r>
    </w:p>
    <w:p w:rsidR="00023EFE" w:rsidRPr="00DC5934" w:rsidP="00045397" w14:paraId="2D07D644" w14:textId="6138471B">
      <w:pPr>
        <w:pStyle w:val="ListParagraph"/>
        <w:numPr>
          <w:ilvl w:val="0"/>
          <w:numId w:val="34"/>
        </w:numPr>
        <w:pBdr>
          <w:bottom w:val="single" w:sz="4" w:space="1" w:color="auto"/>
        </w:pBdr>
        <w:spacing w:before="240" w:after="0"/>
        <w:rPr>
          <w:rFonts w:cstheme="minorHAnsi"/>
          <w:b/>
          <w:bCs/>
        </w:rPr>
      </w:pPr>
      <w:r w:rsidRPr="00DC5934">
        <w:rPr>
          <w:rFonts w:cstheme="minorHAnsi"/>
          <w:b/>
          <w:bCs/>
        </w:rPr>
        <w:t xml:space="preserve">AGENCY </w:t>
      </w:r>
      <w:bookmarkStart w:id="21" w:name="_Toc156593388"/>
      <w:bookmarkEnd w:id="20"/>
      <w:r w:rsidRPr="00DC5934" w:rsidR="00BB2B15">
        <w:rPr>
          <w:rFonts w:cstheme="minorHAnsi"/>
          <w:b/>
          <w:bCs/>
        </w:rPr>
        <w:t>COSTS</w:t>
      </w:r>
    </w:p>
    <w:p w:rsidR="001F0834" w:rsidRPr="00DC5934" w:rsidP="00854AAE" w14:paraId="20B3A6D4" w14:textId="77777777">
      <w:pPr>
        <w:pBdr>
          <w:bottom w:val="single" w:sz="4" w:space="1" w:color="auto"/>
        </w:pBdr>
        <w:rPr>
          <w:rFonts w:cstheme="minorHAnsi"/>
          <w:bCs/>
          <w:i/>
          <w:iCs/>
        </w:rPr>
      </w:pPr>
      <w:r w:rsidRPr="00DC59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DC5934" w:rsidP="00854AAE" w14:paraId="2713C85E" w14:textId="77777777">
      <w:pPr>
        <w:spacing w:before="120" w:after="0"/>
        <w:rPr>
          <w:rFonts w:eastAsiaTheme="majorEastAsia" w:cstheme="minorHAnsi"/>
          <w:b/>
          <w:bCs/>
        </w:rPr>
      </w:pPr>
      <w:r w:rsidRPr="00DC5934">
        <w:rPr>
          <w:rFonts w:eastAsiaTheme="majorEastAsia" w:cstheme="minorHAnsi"/>
          <w:b/>
          <w:bCs/>
        </w:rPr>
        <w:t xml:space="preserve">14a. </w:t>
      </w:r>
      <w:r w:rsidRPr="00DC5934" w:rsidR="00BB2B15">
        <w:rPr>
          <w:rFonts w:eastAsiaTheme="majorEastAsia" w:cstheme="minorHAnsi"/>
          <w:b/>
          <w:bCs/>
        </w:rPr>
        <w:t>Agency Activities</w:t>
      </w:r>
    </w:p>
    <w:p w:rsidR="00164222" w:rsidRPr="00DC5934" w:rsidP="00854AAE" w14:paraId="255C4958" w14:textId="77777777">
      <w:pPr>
        <w:spacing w:before="120" w:after="0"/>
        <w:rPr>
          <w:rFonts w:cstheme="minorHAnsi"/>
          <w:b/>
          <w:bCs/>
        </w:rPr>
      </w:pPr>
    </w:p>
    <w:p w:rsidR="008B654D" w:rsidRPr="00DC5934" w:rsidP="00164222" w14:paraId="4B393F03" w14:textId="3848E8FD">
      <w:pPr>
        <w:keepLines/>
        <w:ind w:firstLine="720"/>
        <w:rPr>
          <w:rFonts w:cstheme="minorHAnsi"/>
          <w:color w:val="000000"/>
        </w:rPr>
      </w:pPr>
      <w:r w:rsidRPr="00DC5934">
        <w:rPr>
          <w:rFonts w:cstheme="minorHAnsi"/>
          <w:bCs/>
        </w:rPr>
        <w:t>Since EPA is not required to regularly collect or monitor shipment records, there is no expected burden for the Agency associated with this ICR</w:t>
      </w:r>
      <w:r w:rsidRPr="00DC5934">
        <w:rPr>
          <w:rFonts w:cstheme="minorHAnsi"/>
          <w:color w:val="000000"/>
        </w:rPr>
        <w:t xml:space="preserve">.  </w:t>
      </w:r>
    </w:p>
    <w:p w:rsidR="00023EFE" w:rsidP="008B654D" w14:paraId="70C8C311" w14:textId="77777777">
      <w:pPr>
        <w:spacing w:before="120" w:after="0"/>
        <w:rPr>
          <w:rFonts w:eastAsiaTheme="majorEastAsia" w:cstheme="minorHAnsi"/>
          <w:b/>
          <w:bCs/>
        </w:rPr>
      </w:pPr>
      <w:r w:rsidRPr="00DC5934">
        <w:rPr>
          <w:rFonts w:eastAsiaTheme="majorEastAsia" w:cstheme="minorHAnsi"/>
          <w:b/>
          <w:bCs/>
        </w:rPr>
        <w:t xml:space="preserve">14b. </w:t>
      </w:r>
      <w:r w:rsidRPr="00DC5934" w:rsidR="00BB2B15">
        <w:rPr>
          <w:rFonts w:eastAsiaTheme="majorEastAsia" w:cstheme="minorHAnsi"/>
          <w:b/>
          <w:bCs/>
        </w:rPr>
        <w:t>Agency Labor Cost</w:t>
      </w:r>
    </w:p>
    <w:p w:rsidR="00DC5934" w:rsidRPr="00DC5934" w:rsidP="008B654D" w14:paraId="4432F4A3" w14:textId="77777777">
      <w:pPr>
        <w:spacing w:before="120" w:after="0"/>
        <w:rPr>
          <w:rFonts w:cstheme="minorHAnsi"/>
          <w:b/>
          <w:bCs/>
        </w:rPr>
      </w:pPr>
    </w:p>
    <w:p w:rsidR="00C76F56" w:rsidRPr="00DC5934" w:rsidP="00C76F56" w14:paraId="6AF297A1" w14:textId="7811B46E">
      <w:pPr>
        <w:ind w:firstLine="720"/>
        <w:rPr>
          <w:rFonts w:cstheme="minorHAnsi"/>
        </w:rPr>
      </w:pPr>
      <w:r w:rsidRPr="00DC5934">
        <w:rPr>
          <w:rFonts w:cstheme="minorHAnsi"/>
        </w:rPr>
        <w:t>There are no Agency labor costs associated with this ICR</w:t>
      </w:r>
      <w:r w:rsidRPr="00DC5934" w:rsidR="00045397">
        <w:rPr>
          <w:rFonts w:cstheme="minorHAnsi"/>
        </w:rPr>
        <w:t>.</w:t>
      </w:r>
    </w:p>
    <w:p w:rsidR="00D17BB9" w:rsidRPr="00DC5934" w:rsidP="00854AAE" w14:paraId="00CB15DE" w14:textId="77777777">
      <w:pPr>
        <w:spacing w:before="120" w:after="0"/>
        <w:rPr>
          <w:rFonts w:cstheme="minorHAnsi"/>
          <w:b/>
          <w:bCs/>
        </w:rPr>
      </w:pPr>
      <w:r w:rsidRPr="00DC5934">
        <w:rPr>
          <w:rFonts w:eastAsiaTheme="majorEastAsia" w:cstheme="minorHAnsi"/>
          <w:b/>
          <w:bCs/>
        </w:rPr>
        <w:t xml:space="preserve">14c. </w:t>
      </w:r>
      <w:r w:rsidRPr="00DC5934">
        <w:rPr>
          <w:rFonts w:eastAsiaTheme="majorEastAsia" w:cstheme="minorHAnsi"/>
          <w:b/>
          <w:bCs/>
        </w:rPr>
        <w:t>Agency Non-Labor Costs</w:t>
      </w:r>
    </w:p>
    <w:p w:rsidR="00C955D6" w:rsidRPr="00DC5934" w:rsidP="0021437D" w14:paraId="035618FC" w14:textId="7F2E92C8">
      <w:pPr>
        <w:pStyle w:val="pf0"/>
        <w:ind w:firstLine="360"/>
        <w:rPr>
          <w:rFonts w:asciiTheme="minorHAnsi" w:hAnsiTheme="minorHAnsi" w:cstheme="minorHAnsi"/>
          <w:sz w:val="22"/>
          <w:szCs w:val="22"/>
        </w:rPr>
      </w:pPr>
      <w:r w:rsidRPr="00DC5934">
        <w:rPr>
          <w:rFonts w:asciiTheme="minorHAnsi" w:hAnsiTheme="minorHAnsi" w:cstheme="minorHAnsi"/>
          <w:sz w:val="22"/>
          <w:szCs w:val="22"/>
        </w:rPr>
        <w:t>There are no Agency non-labor costs associated with this ICR.</w:t>
      </w:r>
    </w:p>
    <w:p w:rsidR="004620CA" w:rsidRPr="00DC5934" w:rsidP="4BDBF0A0" w14:paraId="08CAF84F" w14:textId="77777777">
      <w:pPr>
        <w:pStyle w:val="ListParagraph"/>
        <w:numPr>
          <w:ilvl w:val="0"/>
          <w:numId w:val="27"/>
        </w:numPr>
        <w:spacing w:before="240" w:after="0"/>
        <w:rPr>
          <w:rFonts w:cstheme="minorHAnsi"/>
          <w:b/>
          <w:bCs/>
        </w:rPr>
      </w:pPr>
      <w:r w:rsidRPr="00DC5934">
        <w:rPr>
          <w:rFonts w:cstheme="minorHAnsi"/>
          <w:b/>
          <w:bCs/>
        </w:rPr>
        <w:t xml:space="preserve">REASONS FOR </w:t>
      </w:r>
      <w:r w:rsidRPr="00DC5934" w:rsidR="00AD46F7">
        <w:rPr>
          <w:rFonts w:cstheme="minorHAnsi"/>
          <w:b/>
          <w:bCs/>
        </w:rPr>
        <w:t>CHANGE IN BURDEN</w:t>
      </w:r>
      <w:bookmarkEnd w:id="21"/>
    </w:p>
    <w:p w:rsidR="001F0834" w:rsidRPr="00DC5934" w:rsidP="00854AAE" w14:paraId="6DA49685" w14:textId="77777777">
      <w:pPr>
        <w:pBdr>
          <w:bottom w:val="single" w:sz="12" w:space="1" w:color="auto"/>
        </w:pBdr>
        <w:spacing w:before="60"/>
        <w:rPr>
          <w:rFonts w:cstheme="minorHAnsi"/>
          <w:bCs/>
          <w:i/>
          <w:iCs/>
        </w:rPr>
      </w:pPr>
      <w:r w:rsidRPr="00DC5934">
        <w:rPr>
          <w:rFonts w:cstheme="minorHAnsi"/>
          <w:bCs/>
          <w:i/>
          <w:iCs/>
        </w:rPr>
        <w:t>Explain the reasons for any program changes or adjustments reported in the burden or capital/O&amp;M cost estimates.</w:t>
      </w:r>
    </w:p>
    <w:p w:rsidR="000A4005" w:rsidRPr="00DC5934" w:rsidP="00164222" w14:paraId="0B46630F" w14:textId="06FD4C99">
      <w:pPr>
        <w:ind w:firstLine="360"/>
        <w:rPr>
          <w:rFonts w:cstheme="minorHAnsi"/>
          <w:b/>
          <w:bCs/>
        </w:rPr>
      </w:pPr>
      <w:bookmarkStart w:id="22" w:name="_Hlk206766392"/>
      <w:bookmarkStart w:id="23" w:name="_Toc156593389"/>
      <w:r w:rsidRPr="00DC5934">
        <w:rPr>
          <w:rFonts w:cstheme="minorHAnsi"/>
        </w:rPr>
        <w:t>There is an increase of 71 hours in the burden estimates for this ICR due to an increase in the number of respondents</w:t>
      </w:r>
      <w:bookmarkEnd w:id="22"/>
      <w:r w:rsidRPr="00DC5934" w:rsidR="00B87CF1">
        <w:rPr>
          <w:rStyle w:val="cf01"/>
          <w:rFonts w:asciiTheme="minorHAnsi" w:hAnsiTheme="minorHAnsi" w:cstheme="minorHAnsi"/>
          <w:b w:val="0"/>
          <w:bCs w:val="0"/>
          <w:sz w:val="22"/>
          <w:szCs w:val="22"/>
        </w:rPr>
        <w:t>.</w:t>
      </w:r>
    </w:p>
    <w:p w:rsidR="005D140B" w:rsidRPr="00DC5934" w:rsidP="4BDBF0A0" w14:paraId="5CA0C952" w14:textId="77777777">
      <w:pPr>
        <w:pStyle w:val="ListParagraph"/>
        <w:numPr>
          <w:ilvl w:val="0"/>
          <w:numId w:val="27"/>
        </w:numPr>
        <w:spacing w:before="240" w:after="0"/>
        <w:rPr>
          <w:rFonts w:cstheme="minorHAnsi"/>
          <w:b/>
          <w:bCs/>
        </w:rPr>
      </w:pPr>
      <w:r w:rsidRPr="00DC5934">
        <w:rPr>
          <w:rFonts w:cstheme="minorHAnsi"/>
          <w:b/>
          <w:bCs/>
        </w:rPr>
        <w:t xml:space="preserve">PUBLICATION OF </w:t>
      </w:r>
      <w:bookmarkStart w:id="24" w:name="_Toc156593390"/>
      <w:bookmarkEnd w:id="23"/>
      <w:r w:rsidRPr="00DC5934" w:rsidR="00E73E81">
        <w:rPr>
          <w:rFonts w:cstheme="minorHAnsi"/>
          <w:b/>
          <w:bCs/>
        </w:rPr>
        <w:t>DATA</w:t>
      </w:r>
    </w:p>
    <w:p w:rsidR="001F0834" w:rsidRPr="00DC5934" w:rsidP="00854AAE" w14:paraId="1F5826C2" w14:textId="77777777">
      <w:pPr>
        <w:pBdr>
          <w:bottom w:val="single" w:sz="12" w:space="1" w:color="auto"/>
        </w:pBdr>
        <w:spacing w:before="60"/>
        <w:rPr>
          <w:rFonts w:cstheme="minorHAnsi"/>
          <w:bCs/>
          <w:i/>
          <w:iCs/>
        </w:rPr>
      </w:pPr>
      <w:r w:rsidRPr="00DC59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DC5934" w:rsidP="0021437D" w14:paraId="13D39D65" w14:textId="4454FC29">
      <w:pPr>
        <w:pBdr>
          <w:top w:val="single" w:sz="6" w:space="0" w:color="FFFFFF"/>
          <w:left w:val="single" w:sz="6" w:space="0" w:color="FFFFFF"/>
          <w:bottom w:val="single" w:sz="6" w:space="0" w:color="FFFFFF"/>
          <w:right w:val="single" w:sz="6" w:space="0" w:color="FFFFFF"/>
        </w:pBdr>
        <w:ind w:firstLine="360"/>
        <w:rPr>
          <w:rFonts w:cstheme="minorHAnsi"/>
        </w:rPr>
      </w:pPr>
      <w:r w:rsidRPr="00DC5934">
        <w:rPr>
          <w:rFonts w:cstheme="minorHAnsi"/>
        </w:rPr>
        <w:t>Results from this ICR are not published formally.</w:t>
      </w:r>
    </w:p>
    <w:p w:rsidR="00627768" w:rsidRPr="00DC5934" w:rsidP="4BDBF0A0" w14:paraId="3849F905" w14:textId="77777777">
      <w:pPr>
        <w:pStyle w:val="ListParagraph"/>
        <w:numPr>
          <w:ilvl w:val="0"/>
          <w:numId w:val="27"/>
        </w:numPr>
        <w:spacing w:before="240" w:after="0"/>
        <w:rPr>
          <w:rFonts w:cstheme="minorHAnsi"/>
          <w:b/>
          <w:bCs/>
        </w:rPr>
      </w:pPr>
      <w:r w:rsidRPr="00DC5934">
        <w:rPr>
          <w:rFonts w:cstheme="minorHAnsi"/>
          <w:b/>
          <w:bCs/>
        </w:rPr>
        <w:t xml:space="preserve">DISPLAY </w:t>
      </w:r>
      <w:r w:rsidRPr="00DC5934" w:rsidR="00644EBE">
        <w:rPr>
          <w:rFonts w:cstheme="minorHAnsi"/>
          <w:b/>
          <w:bCs/>
        </w:rPr>
        <w:t xml:space="preserve">OF </w:t>
      </w:r>
      <w:r w:rsidRPr="00DC5934" w:rsidR="000D5863">
        <w:rPr>
          <w:rFonts w:cstheme="minorHAnsi"/>
          <w:b/>
          <w:bCs/>
        </w:rPr>
        <w:t>EXPIRATION DATE</w:t>
      </w:r>
      <w:bookmarkEnd w:id="24"/>
      <w:r w:rsidRPr="00DC5934" w:rsidR="00644EBE">
        <w:rPr>
          <w:rFonts w:cstheme="minorHAnsi"/>
          <w:b/>
          <w:bCs/>
        </w:rPr>
        <w:t xml:space="preserve"> </w:t>
      </w:r>
    </w:p>
    <w:p w:rsidR="001F0834" w:rsidRPr="00DC5934" w:rsidP="00854AAE" w14:paraId="08E2F9AE" w14:textId="77777777">
      <w:pPr>
        <w:pBdr>
          <w:bottom w:val="single" w:sz="12" w:space="1" w:color="auto"/>
        </w:pBdr>
        <w:spacing w:before="60"/>
        <w:rPr>
          <w:rFonts w:cstheme="minorHAnsi"/>
          <w:i/>
          <w:iCs/>
        </w:rPr>
      </w:pPr>
      <w:r w:rsidRPr="00DC5934">
        <w:rPr>
          <w:rFonts w:cstheme="minorHAnsi"/>
          <w:i/>
          <w:iCs/>
        </w:rPr>
        <w:t>If seeking approval to not display the expiration date for OMB approval of the information collection, explain the reasons that display would be inappropriate.</w:t>
      </w:r>
    </w:p>
    <w:p w:rsidR="000A4005" w:rsidRPr="00DC5934" w:rsidP="0021437D" w14:paraId="32072173" w14:textId="041B39CB">
      <w:pPr>
        <w:pBdr>
          <w:top w:val="single" w:sz="6" w:space="0" w:color="FFFFFF"/>
          <w:left w:val="single" w:sz="6" w:space="0" w:color="FFFFFF"/>
          <w:bottom w:val="single" w:sz="6" w:space="0" w:color="FFFFFF"/>
          <w:right w:val="single" w:sz="6" w:space="0" w:color="FFFFFF"/>
        </w:pBdr>
        <w:ind w:firstLine="360"/>
        <w:rPr>
          <w:rFonts w:cstheme="minorHAnsi"/>
        </w:rPr>
      </w:pPr>
      <w:bookmarkStart w:id="25" w:name="_Toc156593391"/>
      <w:r w:rsidRPr="00DC5934">
        <w:rPr>
          <w:rFonts w:cstheme="minorHAnsi"/>
        </w:rPr>
        <w:t>The agency plans to display the expiration date for OMB approval of the information collection on all instruments.</w:t>
      </w:r>
    </w:p>
    <w:p w:rsidR="00691828" w:rsidRPr="00DC5934" w:rsidP="00854AAE" w14:paraId="0C414566" w14:textId="77777777">
      <w:pPr>
        <w:pStyle w:val="ListParagraph"/>
        <w:numPr>
          <w:ilvl w:val="0"/>
          <w:numId w:val="27"/>
        </w:numPr>
        <w:spacing w:before="240" w:after="0"/>
        <w:rPr>
          <w:rFonts w:cstheme="minorHAnsi"/>
          <w:b/>
          <w:bCs/>
        </w:rPr>
      </w:pPr>
      <w:r w:rsidRPr="00DC5934">
        <w:rPr>
          <w:rFonts w:cstheme="minorHAnsi"/>
          <w:b/>
          <w:bCs/>
        </w:rPr>
        <w:t>CERTIFICATION STATEMENT</w:t>
      </w:r>
      <w:bookmarkEnd w:id="25"/>
    </w:p>
    <w:p w:rsidR="001F0834" w:rsidRPr="00DC5934" w:rsidP="00854AAE" w14:paraId="3F100C1B" w14:textId="77777777">
      <w:pPr>
        <w:pBdr>
          <w:bottom w:val="single" w:sz="12" w:space="1" w:color="auto"/>
        </w:pBdr>
        <w:spacing w:before="60"/>
        <w:rPr>
          <w:rFonts w:cstheme="minorHAnsi"/>
          <w:i/>
          <w:iCs/>
        </w:rPr>
      </w:pPr>
      <w:r w:rsidRPr="00DC5934">
        <w:rPr>
          <w:rFonts w:cstheme="minorHAnsi"/>
          <w:i/>
          <w:iCs/>
        </w:rPr>
        <w:t>Explain each exception to the topics of the certification statement identified in “Certification for Paperwork Reduction Act Submissions.”</w:t>
      </w:r>
    </w:p>
    <w:p w:rsidR="000A4005" w:rsidRPr="00DC5934" w:rsidP="0021437D" w14:paraId="184D4944" w14:textId="0CF91F68">
      <w:pPr>
        <w:pBdr>
          <w:top w:val="single" w:sz="6" w:space="0" w:color="FFFFFF"/>
          <w:left w:val="single" w:sz="6" w:space="0" w:color="FFFFFF"/>
          <w:bottom w:val="single" w:sz="6" w:space="0" w:color="FFFFFF"/>
          <w:right w:val="single" w:sz="6" w:space="0" w:color="FFFFFF"/>
        </w:pBdr>
        <w:ind w:firstLine="720"/>
        <w:rPr>
          <w:rFonts w:cstheme="minorHAnsi"/>
        </w:rPr>
      </w:pPr>
      <w:r w:rsidRPr="00DC5934">
        <w:rPr>
          <w:rFonts w:cstheme="minorHAnsi"/>
        </w:rPr>
        <w:t>This information collection complies with all provisions of the Certification for Paperwork Reduction Act Submissions.</w:t>
      </w:r>
    </w:p>
    <w:p w:rsidR="001D4594" w14:paraId="65AD4E89" w14:textId="6FF66061">
      <w:r>
        <w:br w:type="page"/>
      </w:r>
    </w:p>
    <w:p w:rsidR="001D4594" w:rsidP="000A4005" w14:paraId="4A433D2E" w14:textId="77777777">
      <w:pPr>
        <w:pBdr>
          <w:top w:val="single" w:sz="6" w:space="0" w:color="FFFFFF"/>
          <w:left w:val="single" w:sz="6" w:space="0" w:color="FFFFFF"/>
          <w:bottom w:val="single" w:sz="6" w:space="0" w:color="FFFFFF"/>
          <w:right w:val="single" w:sz="6" w:space="0" w:color="FFFFFF"/>
        </w:pBdr>
        <w:sectPr w:rsidSect="00DE7D97">
          <w:footerReference w:type="default" r:id="rId10"/>
          <w:pgSz w:w="12240" w:h="15840"/>
          <w:pgMar w:top="1440" w:right="1440" w:bottom="1440" w:left="1440" w:header="720" w:footer="720" w:gutter="0"/>
          <w:cols w:space="720"/>
          <w:docGrid w:linePitch="360"/>
        </w:sectPr>
      </w:pPr>
    </w:p>
    <w:tbl>
      <w:tblPr>
        <w:tblW w:w="13680" w:type="dxa"/>
        <w:tblLook w:val="04A0"/>
      </w:tblPr>
      <w:tblGrid>
        <w:gridCol w:w="2787"/>
        <w:gridCol w:w="866"/>
        <w:gridCol w:w="866"/>
        <w:gridCol w:w="1050"/>
        <w:gridCol w:w="894"/>
        <w:gridCol w:w="987"/>
        <w:gridCol w:w="850"/>
        <w:gridCol w:w="727"/>
        <w:gridCol w:w="1306"/>
        <w:gridCol w:w="1261"/>
        <w:gridCol w:w="1017"/>
        <w:gridCol w:w="811"/>
        <w:gridCol w:w="884"/>
      </w:tblGrid>
      <w:tr w14:paraId="14B9DF37" w14:textId="77777777" w:rsidTr="00E41165">
        <w:tblPrEx>
          <w:tblW w:w="13680" w:type="dxa"/>
          <w:tblLook w:val="04A0"/>
        </w:tblPrEx>
        <w:trPr>
          <w:trHeight w:val="223"/>
        </w:trPr>
        <w:tc>
          <w:tcPr>
            <w:tcW w:w="13680" w:type="dxa"/>
            <w:gridSpan w:val="13"/>
            <w:tcBorders>
              <w:top w:val="nil"/>
              <w:left w:val="nil"/>
              <w:bottom w:val="single" w:sz="8" w:space="0" w:color="auto"/>
              <w:right w:val="nil"/>
            </w:tcBorders>
            <w:shd w:val="clear" w:color="auto" w:fill="auto"/>
            <w:noWrap/>
            <w:vAlign w:val="bottom"/>
            <w:hideMark/>
          </w:tcPr>
          <w:p w:rsidR="001D4594" w:rsidRPr="00081FAD" w:rsidP="00E41165" w14:paraId="108EEBE6" w14:textId="77777777">
            <w:pPr>
              <w:rPr>
                <w:rFonts w:ascii="Arial" w:hAnsi="Arial" w:cs="Arial"/>
                <w:b/>
                <w:bCs/>
                <w:color w:val="000000"/>
                <w:sz w:val="16"/>
                <w:szCs w:val="16"/>
              </w:rPr>
            </w:pPr>
          </w:p>
          <w:p w:rsidR="001D4594" w:rsidRPr="00081FAD" w:rsidP="00E41165" w14:paraId="55FC9665" w14:textId="77777777">
            <w:pPr>
              <w:rPr>
                <w:rFonts w:ascii="Arial" w:hAnsi="Arial" w:cs="Arial"/>
                <w:b/>
                <w:bCs/>
                <w:color w:val="000000"/>
                <w:sz w:val="16"/>
                <w:szCs w:val="16"/>
              </w:rPr>
            </w:pPr>
          </w:p>
          <w:p w:rsidR="001D4594" w:rsidRPr="00081FAD" w:rsidP="00E41165" w14:paraId="5622713D" w14:textId="77777777">
            <w:pPr>
              <w:rPr>
                <w:rFonts w:ascii="Arial" w:hAnsi="Arial" w:cs="Arial"/>
                <w:b/>
                <w:bCs/>
                <w:color w:val="000000"/>
                <w:sz w:val="16"/>
                <w:szCs w:val="16"/>
              </w:rPr>
            </w:pPr>
          </w:p>
          <w:p w:rsidR="001D4594" w:rsidRPr="00081FAD" w:rsidP="001D4594" w14:paraId="025F151E" w14:textId="77777777">
            <w:pPr>
              <w:jc w:val="center"/>
              <w:rPr>
                <w:rFonts w:ascii="Arial" w:hAnsi="Arial" w:cs="Arial"/>
                <w:b/>
                <w:bCs/>
                <w:color w:val="000000"/>
                <w:sz w:val="16"/>
                <w:szCs w:val="16"/>
              </w:rPr>
            </w:pPr>
            <w:r w:rsidRPr="00081FAD">
              <w:rPr>
                <w:rFonts w:ascii="Arial" w:hAnsi="Arial" w:cs="Arial"/>
                <w:b/>
                <w:bCs/>
                <w:color w:val="000000"/>
                <w:sz w:val="16"/>
                <w:szCs w:val="16"/>
              </w:rPr>
              <w:t>Exhibit 1:  Annual Respondent Burden &amp; Cost Estimates</w:t>
            </w:r>
          </w:p>
        </w:tc>
      </w:tr>
      <w:tr w14:paraId="41CB68E2" w14:textId="77777777" w:rsidTr="00E41165">
        <w:tblPrEx>
          <w:tblW w:w="13680" w:type="dxa"/>
          <w:tblLook w:val="04A0"/>
        </w:tblPrEx>
        <w:trPr>
          <w:trHeight w:val="213"/>
        </w:trPr>
        <w:tc>
          <w:tcPr>
            <w:tcW w:w="2787"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rsidR="001D4594" w:rsidRPr="00081FAD" w:rsidP="00E41165" w14:paraId="39B5071E" w14:textId="77777777">
            <w:pPr>
              <w:jc w:val="center"/>
              <w:rPr>
                <w:rFonts w:ascii="Arial" w:hAnsi="Arial" w:cs="Arial"/>
                <w:b/>
                <w:bCs/>
                <w:color w:val="000000"/>
                <w:sz w:val="16"/>
                <w:szCs w:val="16"/>
              </w:rPr>
            </w:pPr>
            <w:r w:rsidRPr="00081FAD">
              <w:rPr>
                <w:rFonts w:ascii="Arial" w:hAnsi="Arial" w:cs="Arial"/>
                <w:b/>
                <w:bCs/>
                <w:color w:val="000000"/>
                <w:sz w:val="16"/>
                <w:szCs w:val="16"/>
              </w:rPr>
              <w:t>Information Collection Activity</w:t>
            </w:r>
          </w:p>
        </w:tc>
        <w:tc>
          <w:tcPr>
            <w:tcW w:w="6240" w:type="dxa"/>
            <w:gridSpan w:val="7"/>
            <w:tcBorders>
              <w:top w:val="single" w:sz="8" w:space="0" w:color="auto"/>
              <w:left w:val="nil"/>
              <w:bottom w:val="single" w:sz="8" w:space="0" w:color="auto"/>
              <w:right w:val="nil"/>
            </w:tcBorders>
            <w:shd w:val="clear" w:color="000000" w:fill="D9D9D9"/>
            <w:noWrap/>
            <w:vAlign w:val="center"/>
            <w:hideMark/>
          </w:tcPr>
          <w:p w:rsidR="001D4594" w:rsidRPr="00081FAD" w:rsidP="00E41165" w14:paraId="70DED4F9" w14:textId="77777777">
            <w:pPr>
              <w:jc w:val="center"/>
              <w:rPr>
                <w:rFonts w:ascii="Arial" w:hAnsi="Arial" w:cs="Arial"/>
                <w:b/>
                <w:bCs/>
                <w:color w:val="000000"/>
                <w:sz w:val="16"/>
                <w:szCs w:val="16"/>
              </w:rPr>
            </w:pPr>
            <w:r w:rsidRPr="00081FAD">
              <w:rPr>
                <w:rFonts w:ascii="Arial" w:hAnsi="Arial" w:cs="Arial"/>
                <w:b/>
                <w:bCs/>
                <w:color w:val="000000"/>
                <w:sz w:val="16"/>
                <w:szCs w:val="16"/>
              </w:rPr>
              <w:t>Hours and Costs Per Response</w:t>
            </w:r>
          </w:p>
        </w:tc>
        <w:tc>
          <w:tcPr>
            <w:tcW w:w="4653" w:type="dxa"/>
            <w:gridSpan w:val="5"/>
            <w:tcBorders>
              <w:top w:val="single" w:sz="8" w:space="0" w:color="auto"/>
              <w:left w:val="nil"/>
              <w:bottom w:val="single" w:sz="8" w:space="0" w:color="auto"/>
              <w:right w:val="single" w:sz="8" w:space="0" w:color="000000"/>
            </w:tcBorders>
            <w:shd w:val="clear" w:color="000000" w:fill="D9D9D9"/>
            <w:noWrap/>
            <w:vAlign w:val="center"/>
            <w:hideMark/>
          </w:tcPr>
          <w:p w:rsidR="001D4594" w:rsidRPr="00081FAD" w:rsidP="00E41165" w14:paraId="2F9D54CF" w14:textId="77777777">
            <w:pPr>
              <w:jc w:val="center"/>
              <w:rPr>
                <w:rFonts w:ascii="Arial" w:hAnsi="Arial" w:cs="Arial"/>
                <w:b/>
                <w:bCs/>
                <w:color w:val="000000"/>
                <w:sz w:val="16"/>
                <w:szCs w:val="16"/>
              </w:rPr>
            </w:pPr>
            <w:r w:rsidRPr="00081FAD">
              <w:rPr>
                <w:rFonts w:ascii="Arial" w:hAnsi="Arial" w:cs="Arial"/>
                <w:b/>
                <w:bCs/>
                <w:color w:val="000000"/>
                <w:sz w:val="16"/>
                <w:szCs w:val="16"/>
              </w:rPr>
              <w:t>Total Hours and Costs</w:t>
            </w:r>
          </w:p>
        </w:tc>
      </w:tr>
      <w:tr w14:paraId="0A3A34A1" w14:textId="77777777" w:rsidTr="00E41165">
        <w:tblPrEx>
          <w:tblW w:w="13680" w:type="dxa"/>
          <w:tblLook w:val="04A0"/>
        </w:tblPrEx>
        <w:trPr>
          <w:trHeight w:val="304"/>
        </w:trPr>
        <w:tc>
          <w:tcPr>
            <w:tcW w:w="2787" w:type="dxa"/>
            <w:vMerge/>
            <w:tcBorders>
              <w:top w:val="nil"/>
              <w:left w:val="single" w:sz="8" w:space="0" w:color="auto"/>
              <w:bottom w:val="single" w:sz="8" w:space="0" w:color="000000"/>
              <w:right w:val="single" w:sz="8" w:space="0" w:color="auto"/>
            </w:tcBorders>
            <w:vAlign w:val="center"/>
            <w:hideMark/>
          </w:tcPr>
          <w:p w:rsidR="001D4594" w:rsidRPr="00081FAD" w:rsidP="00E41165" w14:paraId="33837E38" w14:textId="77777777">
            <w:pPr>
              <w:rPr>
                <w:rFonts w:ascii="Arial" w:hAnsi="Arial" w:cs="Arial"/>
                <w:b/>
                <w:bCs/>
                <w:color w:val="000000"/>
                <w:sz w:val="16"/>
                <w:szCs w:val="16"/>
              </w:rPr>
            </w:pPr>
          </w:p>
        </w:tc>
        <w:tc>
          <w:tcPr>
            <w:tcW w:w="3676" w:type="dxa"/>
            <w:gridSpan w:val="4"/>
            <w:tcBorders>
              <w:top w:val="single" w:sz="8" w:space="0" w:color="auto"/>
              <w:left w:val="nil"/>
              <w:bottom w:val="single" w:sz="8" w:space="0" w:color="auto"/>
              <w:right w:val="single" w:sz="8" w:space="0" w:color="000000"/>
            </w:tcBorders>
            <w:shd w:val="clear" w:color="000000" w:fill="D9D9D9"/>
            <w:vAlign w:val="center"/>
            <w:hideMark/>
          </w:tcPr>
          <w:p w:rsidR="001D4594" w:rsidRPr="00081FAD" w:rsidP="00E41165" w14:paraId="568DF532" w14:textId="77777777">
            <w:pPr>
              <w:jc w:val="center"/>
              <w:rPr>
                <w:rFonts w:ascii="Arial" w:hAnsi="Arial" w:cs="Arial"/>
                <w:b/>
                <w:bCs/>
                <w:color w:val="000000"/>
                <w:sz w:val="16"/>
                <w:szCs w:val="16"/>
              </w:rPr>
            </w:pPr>
            <w:r w:rsidRPr="00081FAD">
              <w:rPr>
                <w:rFonts w:ascii="Arial" w:hAnsi="Arial" w:cs="Arial"/>
                <w:b/>
                <w:bCs/>
                <w:color w:val="000000"/>
                <w:sz w:val="16"/>
                <w:szCs w:val="16"/>
              </w:rPr>
              <w:t>Loaded Hourly Wages</w:t>
            </w:r>
          </w:p>
        </w:tc>
        <w:tc>
          <w:tcPr>
            <w:tcW w:w="987" w:type="dxa"/>
            <w:vMerge w:val="restart"/>
            <w:tcBorders>
              <w:top w:val="nil"/>
              <w:left w:val="single" w:sz="8" w:space="0" w:color="auto"/>
              <w:bottom w:val="single" w:sz="8" w:space="0" w:color="000000"/>
              <w:right w:val="single" w:sz="8" w:space="0" w:color="auto"/>
            </w:tcBorders>
            <w:shd w:val="clear" w:color="000000" w:fill="D9D9D9"/>
            <w:vAlign w:val="center"/>
            <w:hideMark/>
          </w:tcPr>
          <w:p w:rsidR="001D4594" w:rsidRPr="00081FAD" w:rsidP="00E41165" w14:paraId="1F046A9D" w14:textId="77777777">
            <w:pPr>
              <w:jc w:val="center"/>
              <w:rPr>
                <w:rFonts w:ascii="Arial" w:hAnsi="Arial" w:cs="Arial"/>
                <w:b/>
                <w:bCs/>
                <w:color w:val="000000"/>
                <w:sz w:val="16"/>
                <w:szCs w:val="16"/>
              </w:rPr>
            </w:pPr>
            <w:r w:rsidRPr="00081FAD">
              <w:rPr>
                <w:rFonts w:ascii="Arial" w:hAnsi="Arial" w:cs="Arial"/>
                <w:b/>
                <w:bCs/>
                <w:color w:val="000000"/>
                <w:sz w:val="16"/>
                <w:szCs w:val="16"/>
              </w:rPr>
              <w:t>Labor Costs/ Activity</w:t>
            </w:r>
          </w:p>
        </w:tc>
        <w:tc>
          <w:tcPr>
            <w:tcW w:w="85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1D4594" w:rsidRPr="00081FAD" w:rsidP="00E41165" w14:paraId="077ACEA6" w14:textId="77777777">
            <w:pPr>
              <w:jc w:val="center"/>
              <w:rPr>
                <w:rFonts w:ascii="Arial" w:hAnsi="Arial" w:cs="Arial"/>
                <w:b/>
                <w:bCs/>
                <w:color w:val="000000"/>
                <w:sz w:val="16"/>
                <w:szCs w:val="16"/>
              </w:rPr>
            </w:pPr>
            <w:r w:rsidRPr="00081FAD">
              <w:rPr>
                <w:rFonts w:ascii="Arial" w:hAnsi="Arial" w:cs="Arial"/>
                <w:b/>
                <w:bCs/>
                <w:color w:val="000000"/>
                <w:sz w:val="16"/>
                <w:szCs w:val="16"/>
              </w:rPr>
              <w:t>Capital Costs</w:t>
            </w:r>
          </w:p>
        </w:tc>
        <w:tc>
          <w:tcPr>
            <w:tcW w:w="727" w:type="dxa"/>
            <w:vMerge w:val="restart"/>
            <w:tcBorders>
              <w:top w:val="nil"/>
              <w:left w:val="single" w:sz="8" w:space="0" w:color="auto"/>
              <w:bottom w:val="single" w:sz="8" w:space="0" w:color="000000"/>
              <w:right w:val="single" w:sz="8" w:space="0" w:color="auto"/>
            </w:tcBorders>
            <w:shd w:val="clear" w:color="000000" w:fill="D9D9D9"/>
            <w:vAlign w:val="center"/>
            <w:hideMark/>
          </w:tcPr>
          <w:p w:rsidR="001D4594" w:rsidRPr="00081FAD" w:rsidP="00E41165" w14:paraId="0D565FF8" w14:textId="77777777">
            <w:pPr>
              <w:jc w:val="center"/>
              <w:rPr>
                <w:rFonts w:ascii="Arial" w:hAnsi="Arial" w:cs="Arial"/>
                <w:b/>
                <w:bCs/>
                <w:color w:val="000000"/>
                <w:sz w:val="16"/>
                <w:szCs w:val="16"/>
              </w:rPr>
            </w:pPr>
            <w:r w:rsidRPr="00081FAD">
              <w:rPr>
                <w:rFonts w:ascii="Arial" w:hAnsi="Arial" w:cs="Arial"/>
                <w:b/>
                <w:bCs/>
                <w:color w:val="000000"/>
                <w:sz w:val="16"/>
                <w:szCs w:val="16"/>
              </w:rPr>
              <w:t xml:space="preserve"> O&amp;M Costs</w:t>
            </w:r>
          </w:p>
        </w:tc>
        <w:tc>
          <w:tcPr>
            <w:tcW w:w="130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1D4594" w:rsidRPr="00081FAD" w:rsidP="00E41165" w14:paraId="45AC6045" w14:textId="77777777">
            <w:pPr>
              <w:jc w:val="center"/>
              <w:rPr>
                <w:rFonts w:ascii="Arial" w:hAnsi="Arial" w:cs="Arial"/>
                <w:b/>
                <w:bCs/>
                <w:color w:val="000000"/>
                <w:sz w:val="16"/>
                <w:szCs w:val="16"/>
              </w:rPr>
            </w:pPr>
            <w:r w:rsidRPr="00081FAD">
              <w:rPr>
                <w:rFonts w:ascii="Arial" w:hAnsi="Arial" w:cs="Arial"/>
                <w:b/>
                <w:bCs/>
                <w:color w:val="000000"/>
                <w:sz w:val="16"/>
                <w:szCs w:val="16"/>
              </w:rPr>
              <w:t>No. of Respondents</w:t>
            </w:r>
          </w:p>
        </w:tc>
        <w:tc>
          <w:tcPr>
            <w:tcW w:w="1261" w:type="dxa"/>
            <w:vMerge w:val="restart"/>
            <w:tcBorders>
              <w:top w:val="nil"/>
              <w:left w:val="single" w:sz="8" w:space="0" w:color="auto"/>
              <w:bottom w:val="single" w:sz="8" w:space="0" w:color="000000"/>
              <w:right w:val="single" w:sz="8" w:space="0" w:color="auto"/>
            </w:tcBorders>
            <w:shd w:val="clear" w:color="000000" w:fill="D9D9D9"/>
            <w:vAlign w:val="center"/>
            <w:hideMark/>
          </w:tcPr>
          <w:p w:rsidR="001D4594" w:rsidRPr="00081FAD" w:rsidP="00E41165" w14:paraId="00F6133B" w14:textId="77777777">
            <w:pPr>
              <w:jc w:val="center"/>
              <w:rPr>
                <w:rFonts w:ascii="Arial" w:hAnsi="Arial" w:cs="Arial"/>
                <w:b/>
                <w:bCs/>
                <w:color w:val="000000"/>
                <w:sz w:val="16"/>
                <w:szCs w:val="16"/>
              </w:rPr>
            </w:pPr>
            <w:r w:rsidRPr="00081FAD">
              <w:rPr>
                <w:rFonts w:ascii="Arial" w:hAnsi="Arial" w:cs="Arial"/>
                <w:b/>
                <w:bCs/>
                <w:color w:val="000000"/>
                <w:sz w:val="16"/>
                <w:szCs w:val="16"/>
              </w:rPr>
              <w:t>No. of Responses per Respondent</w:t>
            </w:r>
          </w:p>
        </w:tc>
        <w:tc>
          <w:tcPr>
            <w:tcW w:w="1017" w:type="dxa"/>
            <w:vMerge w:val="restart"/>
            <w:tcBorders>
              <w:top w:val="nil"/>
              <w:left w:val="single" w:sz="8" w:space="0" w:color="auto"/>
              <w:bottom w:val="single" w:sz="8" w:space="0" w:color="000000"/>
              <w:right w:val="single" w:sz="8" w:space="0" w:color="auto"/>
            </w:tcBorders>
            <w:shd w:val="clear" w:color="000000" w:fill="D9D9D9"/>
            <w:vAlign w:val="center"/>
            <w:hideMark/>
          </w:tcPr>
          <w:p w:rsidR="001D4594" w:rsidRPr="00081FAD" w:rsidP="00E41165" w14:paraId="7B4C81F1" w14:textId="77777777">
            <w:pPr>
              <w:jc w:val="center"/>
              <w:rPr>
                <w:rFonts w:ascii="Arial" w:hAnsi="Arial" w:cs="Arial"/>
                <w:b/>
                <w:bCs/>
                <w:color w:val="000000"/>
                <w:sz w:val="16"/>
                <w:szCs w:val="16"/>
              </w:rPr>
            </w:pPr>
            <w:r w:rsidRPr="00081FAD">
              <w:rPr>
                <w:rFonts w:ascii="Arial" w:hAnsi="Arial" w:cs="Arial"/>
                <w:b/>
                <w:bCs/>
                <w:color w:val="000000"/>
                <w:sz w:val="16"/>
                <w:szCs w:val="16"/>
              </w:rPr>
              <w:t>Total Reponses</w:t>
            </w:r>
          </w:p>
        </w:tc>
        <w:tc>
          <w:tcPr>
            <w:tcW w:w="811" w:type="dxa"/>
            <w:vMerge w:val="restart"/>
            <w:tcBorders>
              <w:top w:val="nil"/>
              <w:left w:val="single" w:sz="8" w:space="0" w:color="auto"/>
              <w:bottom w:val="single" w:sz="8" w:space="0" w:color="000000"/>
              <w:right w:val="single" w:sz="8" w:space="0" w:color="auto"/>
            </w:tcBorders>
            <w:shd w:val="clear" w:color="000000" w:fill="D9D9D9"/>
            <w:vAlign w:val="center"/>
            <w:hideMark/>
          </w:tcPr>
          <w:p w:rsidR="001D4594" w:rsidRPr="00081FAD" w:rsidP="00E41165" w14:paraId="4121EDA4" w14:textId="77777777">
            <w:pPr>
              <w:jc w:val="center"/>
              <w:rPr>
                <w:rFonts w:ascii="Arial" w:hAnsi="Arial" w:cs="Arial"/>
                <w:b/>
                <w:bCs/>
                <w:color w:val="000000"/>
                <w:sz w:val="16"/>
                <w:szCs w:val="16"/>
              </w:rPr>
            </w:pPr>
            <w:r w:rsidRPr="00081FAD">
              <w:rPr>
                <w:rFonts w:ascii="Arial" w:hAnsi="Arial" w:cs="Arial"/>
                <w:b/>
                <w:bCs/>
                <w:color w:val="000000"/>
                <w:sz w:val="16"/>
                <w:szCs w:val="16"/>
              </w:rPr>
              <w:t>Total Hours</w:t>
            </w:r>
          </w:p>
        </w:tc>
        <w:tc>
          <w:tcPr>
            <w:tcW w:w="258" w:type="dxa"/>
            <w:vMerge w:val="restart"/>
            <w:tcBorders>
              <w:top w:val="nil"/>
              <w:left w:val="single" w:sz="8" w:space="0" w:color="auto"/>
              <w:bottom w:val="single" w:sz="8" w:space="0" w:color="000000"/>
              <w:right w:val="single" w:sz="8" w:space="0" w:color="auto"/>
            </w:tcBorders>
            <w:shd w:val="clear" w:color="000000" w:fill="D9D9D9"/>
            <w:vAlign w:val="center"/>
            <w:hideMark/>
          </w:tcPr>
          <w:p w:rsidR="001D4594" w:rsidRPr="00081FAD" w:rsidP="00E41165" w14:paraId="4DA691F5" w14:textId="77777777">
            <w:pPr>
              <w:jc w:val="center"/>
              <w:rPr>
                <w:rFonts w:ascii="Arial" w:hAnsi="Arial" w:cs="Arial"/>
                <w:b/>
                <w:bCs/>
                <w:color w:val="000000"/>
                <w:sz w:val="16"/>
                <w:szCs w:val="16"/>
              </w:rPr>
            </w:pPr>
            <w:r w:rsidRPr="00081FAD">
              <w:rPr>
                <w:rFonts w:ascii="Arial" w:hAnsi="Arial" w:cs="Arial"/>
                <w:b/>
                <w:bCs/>
                <w:color w:val="000000"/>
                <w:sz w:val="16"/>
                <w:szCs w:val="16"/>
              </w:rPr>
              <w:t>Total Cost</w:t>
            </w:r>
          </w:p>
        </w:tc>
      </w:tr>
      <w:tr w14:paraId="2E7832F0" w14:textId="77777777" w:rsidTr="00E41165">
        <w:tblPrEx>
          <w:tblW w:w="13680" w:type="dxa"/>
          <w:tblLook w:val="04A0"/>
        </w:tblPrEx>
        <w:trPr>
          <w:trHeight w:val="213"/>
        </w:trPr>
        <w:tc>
          <w:tcPr>
            <w:tcW w:w="2787" w:type="dxa"/>
            <w:vMerge/>
            <w:tcBorders>
              <w:top w:val="nil"/>
              <w:left w:val="single" w:sz="8" w:space="0" w:color="auto"/>
              <w:bottom w:val="single" w:sz="8" w:space="0" w:color="000000"/>
              <w:right w:val="single" w:sz="8" w:space="0" w:color="auto"/>
            </w:tcBorders>
            <w:vAlign w:val="center"/>
            <w:hideMark/>
          </w:tcPr>
          <w:p w:rsidR="001D4594" w:rsidRPr="00081FAD" w:rsidP="00E41165" w14:paraId="7601C90B" w14:textId="77777777">
            <w:pPr>
              <w:rPr>
                <w:rFonts w:ascii="Arial" w:hAnsi="Arial" w:cs="Arial"/>
                <w:b/>
                <w:bCs/>
                <w:color w:val="000000"/>
                <w:sz w:val="16"/>
                <w:szCs w:val="16"/>
              </w:rPr>
            </w:pPr>
          </w:p>
        </w:tc>
        <w:tc>
          <w:tcPr>
            <w:tcW w:w="866" w:type="dxa"/>
            <w:tcBorders>
              <w:top w:val="nil"/>
              <w:left w:val="nil"/>
              <w:bottom w:val="single" w:sz="8" w:space="0" w:color="auto"/>
              <w:right w:val="single" w:sz="8" w:space="0" w:color="auto"/>
            </w:tcBorders>
            <w:shd w:val="clear" w:color="000000" w:fill="D9D9D9"/>
            <w:vAlign w:val="center"/>
            <w:hideMark/>
          </w:tcPr>
          <w:p w:rsidR="001D4594" w:rsidRPr="00081FAD" w:rsidP="00E41165" w14:paraId="3D8AB2EB" w14:textId="77777777">
            <w:pPr>
              <w:jc w:val="center"/>
              <w:rPr>
                <w:rFonts w:ascii="Arial" w:hAnsi="Arial" w:cs="Arial"/>
                <w:b/>
                <w:bCs/>
                <w:color w:val="000000"/>
                <w:sz w:val="16"/>
                <w:szCs w:val="16"/>
              </w:rPr>
            </w:pPr>
            <w:r w:rsidRPr="00081FAD">
              <w:rPr>
                <w:rFonts w:ascii="Arial" w:hAnsi="Arial" w:cs="Arial"/>
                <w:b/>
                <w:bCs/>
                <w:color w:val="000000"/>
                <w:sz w:val="16"/>
                <w:szCs w:val="16"/>
              </w:rPr>
              <w:t>Legal</w:t>
            </w:r>
          </w:p>
        </w:tc>
        <w:tc>
          <w:tcPr>
            <w:tcW w:w="866" w:type="dxa"/>
            <w:tcBorders>
              <w:top w:val="nil"/>
              <w:left w:val="nil"/>
              <w:bottom w:val="single" w:sz="8" w:space="0" w:color="auto"/>
              <w:right w:val="single" w:sz="8" w:space="0" w:color="auto"/>
            </w:tcBorders>
            <w:shd w:val="clear" w:color="000000" w:fill="D9D9D9"/>
            <w:vAlign w:val="center"/>
            <w:hideMark/>
          </w:tcPr>
          <w:p w:rsidR="001D4594" w:rsidRPr="00081FAD" w:rsidP="00E41165" w14:paraId="0CFEA808" w14:textId="77777777">
            <w:pPr>
              <w:jc w:val="center"/>
              <w:rPr>
                <w:rFonts w:ascii="Arial" w:hAnsi="Arial" w:cs="Arial"/>
                <w:b/>
                <w:bCs/>
                <w:color w:val="000000"/>
                <w:sz w:val="16"/>
                <w:szCs w:val="16"/>
              </w:rPr>
            </w:pPr>
            <w:r w:rsidRPr="00081FAD">
              <w:rPr>
                <w:rFonts w:ascii="Arial" w:hAnsi="Arial" w:cs="Arial"/>
                <w:b/>
                <w:bCs/>
                <w:color w:val="000000"/>
                <w:sz w:val="16"/>
                <w:szCs w:val="16"/>
              </w:rPr>
              <w:t>Manag.</w:t>
            </w:r>
          </w:p>
        </w:tc>
        <w:tc>
          <w:tcPr>
            <w:tcW w:w="1050" w:type="dxa"/>
            <w:tcBorders>
              <w:top w:val="nil"/>
              <w:left w:val="nil"/>
              <w:bottom w:val="single" w:sz="8" w:space="0" w:color="auto"/>
              <w:right w:val="single" w:sz="8" w:space="0" w:color="auto"/>
            </w:tcBorders>
            <w:shd w:val="clear" w:color="000000" w:fill="D9D9D9"/>
            <w:vAlign w:val="center"/>
            <w:hideMark/>
          </w:tcPr>
          <w:p w:rsidR="001D4594" w:rsidRPr="00081FAD" w:rsidP="00E41165" w14:paraId="2080F966" w14:textId="77777777">
            <w:pPr>
              <w:jc w:val="center"/>
              <w:rPr>
                <w:rFonts w:ascii="Arial" w:hAnsi="Arial" w:cs="Arial"/>
                <w:b/>
                <w:bCs/>
                <w:color w:val="000000"/>
                <w:sz w:val="16"/>
                <w:szCs w:val="16"/>
              </w:rPr>
            </w:pPr>
            <w:r w:rsidRPr="00081FAD">
              <w:rPr>
                <w:rFonts w:ascii="Arial" w:hAnsi="Arial" w:cs="Arial"/>
                <w:b/>
                <w:bCs/>
                <w:color w:val="000000"/>
                <w:sz w:val="16"/>
                <w:szCs w:val="16"/>
              </w:rPr>
              <w:t>Technical</w:t>
            </w:r>
          </w:p>
        </w:tc>
        <w:tc>
          <w:tcPr>
            <w:tcW w:w="894" w:type="dxa"/>
            <w:tcBorders>
              <w:top w:val="nil"/>
              <w:left w:val="nil"/>
              <w:bottom w:val="single" w:sz="8" w:space="0" w:color="auto"/>
              <w:right w:val="single" w:sz="8" w:space="0" w:color="auto"/>
            </w:tcBorders>
            <w:shd w:val="clear" w:color="000000" w:fill="D9D9D9"/>
            <w:vAlign w:val="center"/>
            <w:hideMark/>
          </w:tcPr>
          <w:p w:rsidR="001D4594" w:rsidRPr="00081FAD" w:rsidP="00E41165" w14:paraId="0EEC8444" w14:textId="77777777">
            <w:pPr>
              <w:jc w:val="center"/>
              <w:rPr>
                <w:rFonts w:ascii="Arial" w:hAnsi="Arial" w:cs="Arial"/>
                <w:b/>
                <w:bCs/>
                <w:color w:val="000000"/>
                <w:sz w:val="16"/>
                <w:szCs w:val="16"/>
              </w:rPr>
            </w:pPr>
            <w:r w:rsidRPr="00081FAD">
              <w:rPr>
                <w:rFonts w:ascii="Arial" w:hAnsi="Arial" w:cs="Arial"/>
                <w:b/>
                <w:bCs/>
                <w:color w:val="000000"/>
                <w:sz w:val="16"/>
                <w:szCs w:val="16"/>
              </w:rPr>
              <w:t>Clerical</w:t>
            </w:r>
          </w:p>
        </w:tc>
        <w:tc>
          <w:tcPr>
            <w:tcW w:w="987" w:type="dxa"/>
            <w:vMerge/>
            <w:tcBorders>
              <w:top w:val="nil"/>
              <w:left w:val="single" w:sz="8" w:space="0" w:color="auto"/>
              <w:bottom w:val="single" w:sz="8" w:space="0" w:color="000000"/>
              <w:right w:val="single" w:sz="8" w:space="0" w:color="auto"/>
            </w:tcBorders>
            <w:vAlign w:val="center"/>
            <w:hideMark/>
          </w:tcPr>
          <w:p w:rsidR="001D4594" w:rsidRPr="00081FAD" w:rsidP="00E41165" w14:paraId="229ADFC0" w14:textId="77777777">
            <w:pPr>
              <w:rPr>
                <w:rFonts w:ascii="Arial" w:hAnsi="Arial" w:cs="Arial"/>
                <w:b/>
                <w:bCs/>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1D4594" w:rsidRPr="00081FAD" w:rsidP="00E41165" w14:paraId="2A868153" w14:textId="77777777">
            <w:pPr>
              <w:rPr>
                <w:rFonts w:ascii="Arial" w:hAnsi="Arial" w:cs="Arial"/>
                <w:b/>
                <w:bCs/>
                <w:color w:val="000000"/>
                <w:sz w:val="16"/>
                <w:szCs w:val="16"/>
              </w:rPr>
            </w:pPr>
          </w:p>
        </w:tc>
        <w:tc>
          <w:tcPr>
            <w:tcW w:w="727" w:type="dxa"/>
            <w:vMerge/>
            <w:tcBorders>
              <w:top w:val="nil"/>
              <w:left w:val="single" w:sz="8" w:space="0" w:color="auto"/>
              <w:bottom w:val="single" w:sz="8" w:space="0" w:color="000000"/>
              <w:right w:val="single" w:sz="8" w:space="0" w:color="auto"/>
            </w:tcBorders>
            <w:vAlign w:val="center"/>
            <w:hideMark/>
          </w:tcPr>
          <w:p w:rsidR="001D4594" w:rsidRPr="00081FAD" w:rsidP="00E41165" w14:paraId="051C05F4" w14:textId="77777777">
            <w:pPr>
              <w:rPr>
                <w:rFonts w:ascii="Arial" w:hAnsi="Arial" w:cs="Arial"/>
                <w:b/>
                <w:bCs/>
                <w:color w:val="000000"/>
                <w:sz w:val="16"/>
                <w:szCs w:val="16"/>
              </w:rPr>
            </w:pPr>
          </w:p>
        </w:tc>
        <w:tc>
          <w:tcPr>
            <w:tcW w:w="1306" w:type="dxa"/>
            <w:vMerge/>
            <w:tcBorders>
              <w:top w:val="nil"/>
              <w:left w:val="single" w:sz="8" w:space="0" w:color="auto"/>
              <w:bottom w:val="single" w:sz="8" w:space="0" w:color="000000"/>
              <w:right w:val="single" w:sz="8" w:space="0" w:color="auto"/>
            </w:tcBorders>
            <w:vAlign w:val="center"/>
            <w:hideMark/>
          </w:tcPr>
          <w:p w:rsidR="001D4594" w:rsidRPr="00081FAD" w:rsidP="00E41165" w14:paraId="1F1D08FB" w14:textId="77777777">
            <w:pPr>
              <w:rPr>
                <w:rFonts w:ascii="Arial" w:hAnsi="Arial" w:cs="Arial"/>
                <w:b/>
                <w:bCs/>
                <w:color w:val="000000"/>
                <w:sz w:val="16"/>
                <w:szCs w:val="16"/>
              </w:rPr>
            </w:pPr>
          </w:p>
        </w:tc>
        <w:tc>
          <w:tcPr>
            <w:tcW w:w="1261" w:type="dxa"/>
            <w:vMerge/>
            <w:tcBorders>
              <w:top w:val="nil"/>
              <w:left w:val="single" w:sz="8" w:space="0" w:color="auto"/>
              <w:bottom w:val="single" w:sz="8" w:space="0" w:color="000000"/>
              <w:right w:val="single" w:sz="8" w:space="0" w:color="auto"/>
            </w:tcBorders>
            <w:vAlign w:val="center"/>
            <w:hideMark/>
          </w:tcPr>
          <w:p w:rsidR="001D4594" w:rsidRPr="00081FAD" w:rsidP="00E41165" w14:paraId="37EE4686" w14:textId="77777777">
            <w:pPr>
              <w:rPr>
                <w:rFonts w:ascii="Arial" w:hAnsi="Arial" w:cs="Arial"/>
                <w:b/>
                <w:bCs/>
                <w:color w:val="000000"/>
                <w:sz w:val="16"/>
                <w:szCs w:val="16"/>
              </w:rPr>
            </w:pPr>
          </w:p>
        </w:tc>
        <w:tc>
          <w:tcPr>
            <w:tcW w:w="1017" w:type="dxa"/>
            <w:vMerge/>
            <w:tcBorders>
              <w:top w:val="nil"/>
              <w:left w:val="single" w:sz="8" w:space="0" w:color="auto"/>
              <w:bottom w:val="single" w:sz="8" w:space="0" w:color="000000"/>
              <w:right w:val="single" w:sz="8" w:space="0" w:color="auto"/>
            </w:tcBorders>
            <w:vAlign w:val="center"/>
            <w:hideMark/>
          </w:tcPr>
          <w:p w:rsidR="001D4594" w:rsidRPr="00081FAD" w:rsidP="00E41165" w14:paraId="4B144524" w14:textId="77777777">
            <w:pPr>
              <w:rPr>
                <w:rFonts w:ascii="Arial" w:hAnsi="Arial" w:cs="Arial"/>
                <w:b/>
                <w:bCs/>
                <w:color w:val="000000"/>
                <w:sz w:val="16"/>
                <w:szCs w:val="16"/>
              </w:rPr>
            </w:pPr>
          </w:p>
        </w:tc>
        <w:tc>
          <w:tcPr>
            <w:tcW w:w="811" w:type="dxa"/>
            <w:vMerge/>
            <w:tcBorders>
              <w:top w:val="nil"/>
              <w:left w:val="single" w:sz="8" w:space="0" w:color="auto"/>
              <w:bottom w:val="single" w:sz="8" w:space="0" w:color="000000"/>
              <w:right w:val="single" w:sz="8" w:space="0" w:color="auto"/>
            </w:tcBorders>
            <w:vAlign w:val="center"/>
            <w:hideMark/>
          </w:tcPr>
          <w:p w:rsidR="001D4594" w:rsidRPr="00081FAD" w:rsidP="00E41165" w14:paraId="63AD5456" w14:textId="77777777">
            <w:pPr>
              <w:rPr>
                <w:rFonts w:ascii="Arial" w:hAnsi="Arial" w:cs="Arial"/>
                <w:b/>
                <w:bCs/>
                <w:color w:val="000000"/>
                <w:sz w:val="16"/>
                <w:szCs w:val="16"/>
              </w:rPr>
            </w:pPr>
          </w:p>
        </w:tc>
        <w:tc>
          <w:tcPr>
            <w:tcW w:w="258" w:type="dxa"/>
            <w:vMerge/>
            <w:tcBorders>
              <w:top w:val="nil"/>
              <w:left w:val="single" w:sz="8" w:space="0" w:color="auto"/>
              <w:bottom w:val="single" w:sz="8" w:space="0" w:color="000000"/>
              <w:right w:val="single" w:sz="8" w:space="0" w:color="auto"/>
            </w:tcBorders>
            <w:vAlign w:val="center"/>
            <w:hideMark/>
          </w:tcPr>
          <w:p w:rsidR="001D4594" w:rsidRPr="00081FAD" w:rsidP="00E41165" w14:paraId="0B89546B" w14:textId="77777777">
            <w:pPr>
              <w:rPr>
                <w:rFonts w:ascii="Arial" w:hAnsi="Arial" w:cs="Arial"/>
                <w:b/>
                <w:bCs/>
                <w:color w:val="000000"/>
                <w:sz w:val="16"/>
                <w:szCs w:val="16"/>
              </w:rPr>
            </w:pPr>
          </w:p>
        </w:tc>
      </w:tr>
      <w:tr w14:paraId="790A93B3" w14:textId="77777777" w:rsidTr="00E41165">
        <w:tblPrEx>
          <w:tblW w:w="13680" w:type="dxa"/>
          <w:tblLook w:val="04A0"/>
        </w:tblPrEx>
        <w:trPr>
          <w:trHeight w:val="213"/>
        </w:trPr>
        <w:tc>
          <w:tcPr>
            <w:tcW w:w="2787" w:type="dxa"/>
            <w:vMerge/>
            <w:tcBorders>
              <w:top w:val="nil"/>
              <w:left w:val="single" w:sz="8" w:space="0" w:color="auto"/>
              <w:bottom w:val="single" w:sz="8" w:space="0" w:color="000000"/>
              <w:right w:val="single" w:sz="8" w:space="0" w:color="auto"/>
            </w:tcBorders>
            <w:vAlign w:val="center"/>
            <w:hideMark/>
          </w:tcPr>
          <w:p w:rsidR="001D4594" w:rsidRPr="00081FAD" w:rsidP="00E41165" w14:paraId="5446DF27" w14:textId="77777777">
            <w:pPr>
              <w:rPr>
                <w:rFonts w:ascii="Arial" w:hAnsi="Arial" w:cs="Arial"/>
                <w:b/>
                <w:bCs/>
                <w:color w:val="000000"/>
                <w:sz w:val="16"/>
                <w:szCs w:val="16"/>
              </w:rPr>
            </w:pPr>
          </w:p>
        </w:tc>
        <w:tc>
          <w:tcPr>
            <w:tcW w:w="866" w:type="dxa"/>
            <w:tcBorders>
              <w:top w:val="nil"/>
              <w:left w:val="nil"/>
              <w:bottom w:val="single" w:sz="8" w:space="0" w:color="auto"/>
              <w:right w:val="single" w:sz="8" w:space="0" w:color="auto"/>
            </w:tcBorders>
            <w:shd w:val="clear" w:color="000000" w:fill="D9D9D9"/>
            <w:noWrap/>
            <w:vAlign w:val="center"/>
            <w:hideMark/>
          </w:tcPr>
          <w:p w:rsidR="001D4594" w:rsidRPr="00081FAD" w:rsidP="00E41165" w14:paraId="3DEBBD53" w14:textId="63B464EA">
            <w:pPr>
              <w:jc w:val="center"/>
              <w:rPr>
                <w:rFonts w:ascii="Arial" w:hAnsi="Arial" w:cs="Arial"/>
                <w:color w:val="000000"/>
                <w:sz w:val="16"/>
                <w:szCs w:val="16"/>
              </w:rPr>
            </w:pPr>
            <w:r w:rsidRPr="00081FAD">
              <w:rPr>
                <w:rFonts w:ascii="Arial" w:hAnsi="Arial" w:cs="Arial"/>
                <w:color w:val="000000"/>
                <w:sz w:val="16"/>
                <w:szCs w:val="16"/>
              </w:rPr>
              <w:t>$</w:t>
            </w:r>
            <w:r w:rsidR="00E31698">
              <w:rPr>
                <w:rFonts w:ascii="Arial" w:hAnsi="Arial" w:cs="Arial"/>
                <w:color w:val="000000"/>
                <w:sz w:val="16"/>
                <w:szCs w:val="16"/>
              </w:rPr>
              <w:t>161.72</w:t>
            </w:r>
            <w:r w:rsidRPr="00081FAD">
              <w:rPr>
                <w:rFonts w:ascii="Arial" w:hAnsi="Arial" w:cs="Arial"/>
                <w:color w:val="000000"/>
                <w:sz w:val="16"/>
                <w:szCs w:val="16"/>
              </w:rPr>
              <w:t xml:space="preserve"> </w:t>
            </w:r>
          </w:p>
        </w:tc>
        <w:tc>
          <w:tcPr>
            <w:tcW w:w="866" w:type="dxa"/>
            <w:tcBorders>
              <w:top w:val="nil"/>
              <w:left w:val="nil"/>
              <w:bottom w:val="single" w:sz="8" w:space="0" w:color="auto"/>
              <w:right w:val="single" w:sz="8" w:space="0" w:color="auto"/>
            </w:tcBorders>
            <w:shd w:val="clear" w:color="000000" w:fill="D9D9D9"/>
            <w:noWrap/>
            <w:vAlign w:val="center"/>
            <w:hideMark/>
          </w:tcPr>
          <w:p w:rsidR="001D4594" w:rsidRPr="00081FAD" w:rsidP="00E41165" w14:paraId="17CAF10C" w14:textId="41324B7F">
            <w:pPr>
              <w:jc w:val="center"/>
              <w:rPr>
                <w:rFonts w:ascii="Arial" w:hAnsi="Arial" w:cs="Arial"/>
                <w:color w:val="000000"/>
                <w:sz w:val="16"/>
                <w:szCs w:val="16"/>
              </w:rPr>
            </w:pPr>
            <w:r w:rsidRPr="00081FAD">
              <w:rPr>
                <w:rFonts w:ascii="Arial" w:hAnsi="Arial" w:cs="Arial"/>
                <w:color w:val="000000"/>
                <w:sz w:val="16"/>
                <w:szCs w:val="16"/>
              </w:rPr>
              <w:t>$</w:t>
            </w:r>
            <w:r w:rsidR="00E31698">
              <w:rPr>
                <w:rFonts w:ascii="Arial" w:hAnsi="Arial" w:cs="Arial"/>
                <w:color w:val="000000"/>
                <w:sz w:val="16"/>
                <w:szCs w:val="16"/>
              </w:rPr>
              <w:t>98.28</w:t>
            </w:r>
            <w:r w:rsidRPr="00081FAD">
              <w:rPr>
                <w:rFonts w:ascii="Arial" w:hAnsi="Arial" w:cs="Arial"/>
                <w:color w:val="000000"/>
                <w:sz w:val="16"/>
                <w:szCs w:val="16"/>
              </w:rPr>
              <w:t xml:space="preserve"> </w:t>
            </w:r>
          </w:p>
        </w:tc>
        <w:tc>
          <w:tcPr>
            <w:tcW w:w="1050" w:type="dxa"/>
            <w:tcBorders>
              <w:top w:val="nil"/>
              <w:left w:val="nil"/>
              <w:bottom w:val="single" w:sz="8" w:space="0" w:color="auto"/>
              <w:right w:val="single" w:sz="8" w:space="0" w:color="auto"/>
            </w:tcBorders>
            <w:shd w:val="clear" w:color="000000" w:fill="D9D9D9"/>
            <w:noWrap/>
            <w:vAlign w:val="center"/>
            <w:hideMark/>
          </w:tcPr>
          <w:p w:rsidR="001D4594" w:rsidRPr="00081FAD" w:rsidP="00E41165" w14:paraId="5F8E0F4E" w14:textId="70AF6F0F">
            <w:pPr>
              <w:jc w:val="center"/>
              <w:rPr>
                <w:rFonts w:ascii="Arial" w:hAnsi="Arial" w:cs="Arial"/>
                <w:color w:val="000000"/>
                <w:sz w:val="16"/>
                <w:szCs w:val="16"/>
              </w:rPr>
            </w:pPr>
            <w:r w:rsidRPr="00081FAD">
              <w:rPr>
                <w:rFonts w:ascii="Arial" w:hAnsi="Arial" w:cs="Arial"/>
                <w:color w:val="000000"/>
                <w:sz w:val="16"/>
                <w:szCs w:val="16"/>
              </w:rPr>
              <w:t>$</w:t>
            </w:r>
            <w:r w:rsidR="00E31698">
              <w:rPr>
                <w:rFonts w:ascii="Arial" w:hAnsi="Arial" w:cs="Arial"/>
                <w:color w:val="000000"/>
                <w:sz w:val="16"/>
                <w:szCs w:val="16"/>
              </w:rPr>
              <w:t>85.55</w:t>
            </w:r>
            <w:r w:rsidRPr="00081FAD">
              <w:rPr>
                <w:rFonts w:ascii="Arial" w:hAnsi="Arial" w:cs="Arial"/>
                <w:color w:val="000000"/>
                <w:sz w:val="16"/>
                <w:szCs w:val="16"/>
              </w:rPr>
              <w:t xml:space="preserve"> </w:t>
            </w:r>
          </w:p>
        </w:tc>
        <w:tc>
          <w:tcPr>
            <w:tcW w:w="894" w:type="dxa"/>
            <w:tcBorders>
              <w:top w:val="nil"/>
              <w:left w:val="nil"/>
              <w:bottom w:val="single" w:sz="8" w:space="0" w:color="auto"/>
              <w:right w:val="single" w:sz="8" w:space="0" w:color="auto"/>
            </w:tcBorders>
            <w:shd w:val="clear" w:color="000000" w:fill="D9D9D9"/>
            <w:noWrap/>
            <w:vAlign w:val="center"/>
            <w:hideMark/>
          </w:tcPr>
          <w:p w:rsidR="001D4594" w:rsidRPr="00081FAD" w:rsidP="00E41165" w14:paraId="67EE1B25" w14:textId="61F0A2A2">
            <w:pPr>
              <w:jc w:val="center"/>
              <w:rPr>
                <w:rFonts w:ascii="Arial" w:hAnsi="Arial" w:cs="Arial"/>
                <w:color w:val="000000"/>
                <w:sz w:val="16"/>
                <w:szCs w:val="16"/>
              </w:rPr>
            </w:pPr>
            <w:r w:rsidRPr="00081FAD">
              <w:rPr>
                <w:rFonts w:ascii="Arial" w:hAnsi="Arial" w:cs="Arial"/>
                <w:color w:val="000000"/>
                <w:sz w:val="16"/>
                <w:szCs w:val="16"/>
              </w:rPr>
              <w:t>$</w:t>
            </w:r>
            <w:r w:rsidR="00E31698">
              <w:rPr>
                <w:rFonts w:ascii="Arial" w:hAnsi="Arial" w:cs="Arial"/>
                <w:color w:val="000000"/>
                <w:sz w:val="16"/>
                <w:szCs w:val="16"/>
              </w:rPr>
              <w:t>35.02</w:t>
            </w:r>
            <w:r w:rsidRPr="00081FAD">
              <w:rPr>
                <w:rFonts w:ascii="Arial" w:hAnsi="Arial" w:cs="Arial"/>
                <w:color w:val="000000"/>
                <w:sz w:val="16"/>
                <w:szCs w:val="16"/>
              </w:rPr>
              <w:t xml:space="preserve"> </w:t>
            </w:r>
          </w:p>
        </w:tc>
        <w:tc>
          <w:tcPr>
            <w:tcW w:w="987" w:type="dxa"/>
            <w:vMerge/>
            <w:tcBorders>
              <w:top w:val="nil"/>
              <w:left w:val="single" w:sz="8" w:space="0" w:color="auto"/>
              <w:bottom w:val="single" w:sz="8" w:space="0" w:color="000000"/>
              <w:right w:val="single" w:sz="8" w:space="0" w:color="auto"/>
            </w:tcBorders>
            <w:vAlign w:val="center"/>
            <w:hideMark/>
          </w:tcPr>
          <w:p w:rsidR="001D4594" w:rsidRPr="00081FAD" w:rsidP="00E41165" w14:paraId="3494454A" w14:textId="77777777">
            <w:pPr>
              <w:rPr>
                <w:rFonts w:ascii="Arial" w:hAnsi="Arial" w:cs="Arial"/>
                <w:b/>
                <w:bCs/>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1D4594" w:rsidRPr="00081FAD" w:rsidP="00E41165" w14:paraId="37330279" w14:textId="77777777">
            <w:pPr>
              <w:rPr>
                <w:rFonts w:ascii="Arial" w:hAnsi="Arial" w:cs="Arial"/>
                <w:b/>
                <w:bCs/>
                <w:color w:val="000000"/>
                <w:sz w:val="16"/>
                <w:szCs w:val="16"/>
              </w:rPr>
            </w:pPr>
          </w:p>
        </w:tc>
        <w:tc>
          <w:tcPr>
            <w:tcW w:w="727" w:type="dxa"/>
            <w:vMerge/>
            <w:tcBorders>
              <w:top w:val="nil"/>
              <w:left w:val="single" w:sz="8" w:space="0" w:color="auto"/>
              <w:bottom w:val="single" w:sz="8" w:space="0" w:color="000000"/>
              <w:right w:val="single" w:sz="8" w:space="0" w:color="auto"/>
            </w:tcBorders>
            <w:vAlign w:val="center"/>
            <w:hideMark/>
          </w:tcPr>
          <w:p w:rsidR="001D4594" w:rsidRPr="00081FAD" w:rsidP="00E41165" w14:paraId="3AF2A696" w14:textId="77777777">
            <w:pPr>
              <w:rPr>
                <w:rFonts w:ascii="Arial" w:hAnsi="Arial" w:cs="Arial"/>
                <w:b/>
                <w:bCs/>
                <w:color w:val="000000"/>
                <w:sz w:val="16"/>
                <w:szCs w:val="16"/>
              </w:rPr>
            </w:pPr>
          </w:p>
        </w:tc>
        <w:tc>
          <w:tcPr>
            <w:tcW w:w="1306" w:type="dxa"/>
            <w:vMerge/>
            <w:tcBorders>
              <w:top w:val="nil"/>
              <w:left w:val="single" w:sz="8" w:space="0" w:color="auto"/>
              <w:bottom w:val="single" w:sz="8" w:space="0" w:color="000000"/>
              <w:right w:val="single" w:sz="8" w:space="0" w:color="auto"/>
            </w:tcBorders>
            <w:vAlign w:val="center"/>
            <w:hideMark/>
          </w:tcPr>
          <w:p w:rsidR="001D4594" w:rsidRPr="00081FAD" w:rsidP="00E41165" w14:paraId="09ED9F0A" w14:textId="77777777">
            <w:pPr>
              <w:rPr>
                <w:rFonts w:ascii="Arial" w:hAnsi="Arial" w:cs="Arial"/>
                <w:b/>
                <w:bCs/>
                <w:color w:val="000000"/>
                <w:sz w:val="16"/>
                <w:szCs w:val="16"/>
              </w:rPr>
            </w:pPr>
          </w:p>
        </w:tc>
        <w:tc>
          <w:tcPr>
            <w:tcW w:w="1261" w:type="dxa"/>
            <w:vMerge/>
            <w:tcBorders>
              <w:top w:val="nil"/>
              <w:left w:val="single" w:sz="8" w:space="0" w:color="auto"/>
              <w:bottom w:val="single" w:sz="8" w:space="0" w:color="000000"/>
              <w:right w:val="single" w:sz="8" w:space="0" w:color="auto"/>
            </w:tcBorders>
            <w:vAlign w:val="center"/>
            <w:hideMark/>
          </w:tcPr>
          <w:p w:rsidR="001D4594" w:rsidRPr="00081FAD" w:rsidP="00E41165" w14:paraId="7BFAEE3D" w14:textId="77777777">
            <w:pPr>
              <w:rPr>
                <w:rFonts w:ascii="Arial" w:hAnsi="Arial" w:cs="Arial"/>
                <w:b/>
                <w:bCs/>
                <w:color w:val="000000"/>
                <w:sz w:val="16"/>
                <w:szCs w:val="16"/>
              </w:rPr>
            </w:pPr>
          </w:p>
        </w:tc>
        <w:tc>
          <w:tcPr>
            <w:tcW w:w="1017" w:type="dxa"/>
            <w:vMerge/>
            <w:tcBorders>
              <w:top w:val="nil"/>
              <w:left w:val="single" w:sz="8" w:space="0" w:color="auto"/>
              <w:bottom w:val="single" w:sz="8" w:space="0" w:color="000000"/>
              <w:right w:val="single" w:sz="8" w:space="0" w:color="auto"/>
            </w:tcBorders>
            <w:vAlign w:val="center"/>
            <w:hideMark/>
          </w:tcPr>
          <w:p w:rsidR="001D4594" w:rsidRPr="00081FAD" w:rsidP="00E41165" w14:paraId="64928F6C" w14:textId="77777777">
            <w:pPr>
              <w:rPr>
                <w:rFonts w:ascii="Arial" w:hAnsi="Arial" w:cs="Arial"/>
                <w:b/>
                <w:bCs/>
                <w:color w:val="000000"/>
                <w:sz w:val="16"/>
                <w:szCs w:val="16"/>
              </w:rPr>
            </w:pPr>
          </w:p>
        </w:tc>
        <w:tc>
          <w:tcPr>
            <w:tcW w:w="811" w:type="dxa"/>
            <w:vMerge/>
            <w:tcBorders>
              <w:top w:val="nil"/>
              <w:left w:val="single" w:sz="8" w:space="0" w:color="auto"/>
              <w:bottom w:val="single" w:sz="8" w:space="0" w:color="000000"/>
              <w:right w:val="single" w:sz="8" w:space="0" w:color="auto"/>
            </w:tcBorders>
            <w:vAlign w:val="center"/>
            <w:hideMark/>
          </w:tcPr>
          <w:p w:rsidR="001D4594" w:rsidRPr="00081FAD" w:rsidP="00E41165" w14:paraId="65950669" w14:textId="77777777">
            <w:pPr>
              <w:rPr>
                <w:rFonts w:ascii="Arial" w:hAnsi="Arial" w:cs="Arial"/>
                <w:b/>
                <w:bCs/>
                <w:color w:val="000000"/>
                <w:sz w:val="16"/>
                <w:szCs w:val="16"/>
              </w:rPr>
            </w:pPr>
          </w:p>
        </w:tc>
        <w:tc>
          <w:tcPr>
            <w:tcW w:w="258" w:type="dxa"/>
            <w:vMerge/>
            <w:tcBorders>
              <w:top w:val="nil"/>
              <w:left w:val="single" w:sz="8" w:space="0" w:color="auto"/>
              <w:bottom w:val="single" w:sz="8" w:space="0" w:color="000000"/>
              <w:right w:val="single" w:sz="8" w:space="0" w:color="auto"/>
            </w:tcBorders>
            <w:vAlign w:val="center"/>
            <w:hideMark/>
          </w:tcPr>
          <w:p w:rsidR="001D4594" w:rsidRPr="00081FAD" w:rsidP="00E41165" w14:paraId="2123E4BB" w14:textId="77777777">
            <w:pPr>
              <w:rPr>
                <w:rFonts w:ascii="Arial" w:hAnsi="Arial" w:cs="Arial"/>
                <w:b/>
                <w:bCs/>
                <w:color w:val="000000"/>
                <w:sz w:val="16"/>
                <w:szCs w:val="16"/>
              </w:rPr>
            </w:pPr>
          </w:p>
        </w:tc>
      </w:tr>
      <w:tr w14:paraId="0E6A78B9" w14:textId="77777777" w:rsidTr="00E41165">
        <w:tblPrEx>
          <w:tblW w:w="13680" w:type="dxa"/>
          <w:tblLook w:val="04A0"/>
        </w:tblPrEx>
        <w:trPr>
          <w:trHeight w:val="70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1D4594" w:rsidRPr="00081FAD" w:rsidP="00E41165" w14:paraId="25D13BF4" w14:textId="77777777">
            <w:pPr>
              <w:rPr>
                <w:rFonts w:ascii="Arial" w:hAnsi="Arial" w:cs="Arial"/>
                <w:color w:val="000000"/>
                <w:sz w:val="16"/>
                <w:szCs w:val="16"/>
              </w:rPr>
            </w:pPr>
            <w:r w:rsidRPr="00081FAD">
              <w:rPr>
                <w:rFonts w:ascii="Arial" w:hAnsi="Arial" w:cs="Arial"/>
                <w:color w:val="000000"/>
                <w:sz w:val="16"/>
                <w:szCs w:val="16"/>
              </w:rPr>
              <w:t>Maintain at the airbag handler for no less than three (3) years records of all off-site shipments of hazardous secondary materials</w:t>
            </w:r>
          </w:p>
        </w:tc>
        <w:tc>
          <w:tcPr>
            <w:tcW w:w="866"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66F5D847" w14:textId="77777777">
            <w:pPr>
              <w:jc w:val="center"/>
              <w:rPr>
                <w:rFonts w:ascii="Arial" w:hAnsi="Arial" w:cs="Arial"/>
                <w:color w:val="000000"/>
                <w:sz w:val="16"/>
                <w:szCs w:val="16"/>
              </w:rPr>
            </w:pPr>
            <w:r w:rsidRPr="00081FAD">
              <w:rPr>
                <w:rFonts w:ascii="Arial" w:hAnsi="Arial" w:cs="Arial"/>
                <w:color w:val="000000"/>
                <w:sz w:val="16"/>
                <w:szCs w:val="16"/>
              </w:rPr>
              <w:t xml:space="preserve">0.00 </w:t>
            </w:r>
          </w:p>
        </w:tc>
        <w:tc>
          <w:tcPr>
            <w:tcW w:w="866"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0077176E" w14:textId="77777777">
            <w:pPr>
              <w:jc w:val="center"/>
              <w:rPr>
                <w:rFonts w:ascii="Arial" w:hAnsi="Arial" w:cs="Arial"/>
                <w:color w:val="000000"/>
                <w:sz w:val="16"/>
                <w:szCs w:val="16"/>
              </w:rPr>
            </w:pPr>
            <w:r w:rsidRPr="00081FAD">
              <w:rPr>
                <w:rFonts w:ascii="Arial" w:hAnsi="Arial" w:cs="Arial"/>
                <w:color w:val="000000"/>
                <w:sz w:val="16"/>
                <w:szCs w:val="16"/>
              </w:rPr>
              <w:t xml:space="preserve">0.00 </w:t>
            </w:r>
          </w:p>
        </w:tc>
        <w:tc>
          <w:tcPr>
            <w:tcW w:w="1050"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73CA7F32" w14:textId="77777777">
            <w:pPr>
              <w:jc w:val="center"/>
              <w:rPr>
                <w:rFonts w:ascii="Arial" w:hAnsi="Arial" w:cs="Arial"/>
                <w:color w:val="000000"/>
                <w:sz w:val="16"/>
                <w:szCs w:val="16"/>
              </w:rPr>
            </w:pPr>
            <w:r w:rsidRPr="00081FAD">
              <w:rPr>
                <w:rFonts w:ascii="Arial" w:hAnsi="Arial" w:cs="Arial"/>
                <w:color w:val="000000"/>
                <w:sz w:val="16"/>
                <w:szCs w:val="16"/>
              </w:rPr>
              <w:t xml:space="preserve">0.00 </w:t>
            </w:r>
          </w:p>
        </w:tc>
        <w:tc>
          <w:tcPr>
            <w:tcW w:w="894"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3A7E8FC3" w14:textId="77777777">
            <w:pPr>
              <w:jc w:val="center"/>
              <w:rPr>
                <w:rFonts w:ascii="Arial" w:hAnsi="Arial" w:cs="Arial"/>
                <w:color w:val="000000"/>
                <w:sz w:val="16"/>
                <w:szCs w:val="16"/>
              </w:rPr>
            </w:pPr>
            <w:r w:rsidRPr="00081FAD">
              <w:rPr>
                <w:rFonts w:ascii="Arial" w:hAnsi="Arial" w:cs="Arial"/>
                <w:color w:val="000000"/>
                <w:sz w:val="16"/>
                <w:szCs w:val="16"/>
              </w:rPr>
              <w:t xml:space="preserve">0.05 </w:t>
            </w:r>
          </w:p>
        </w:tc>
        <w:tc>
          <w:tcPr>
            <w:tcW w:w="987"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245DEEC1" w14:textId="3A6ABE2B">
            <w:pPr>
              <w:jc w:val="center"/>
              <w:rPr>
                <w:rFonts w:ascii="Arial" w:hAnsi="Arial" w:cs="Arial"/>
                <w:color w:val="000000"/>
                <w:sz w:val="16"/>
                <w:szCs w:val="16"/>
              </w:rPr>
            </w:pPr>
            <w:r w:rsidRPr="00081FAD">
              <w:rPr>
                <w:rFonts w:ascii="Arial" w:hAnsi="Arial" w:cs="Arial"/>
                <w:color w:val="000000"/>
                <w:sz w:val="16"/>
                <w:szCs w:val="16"/>
              </w:rPr>
              <w:t>$</w:t>
            </w:r>
            <w:r w:rsidR="00E31698">
              <w:rPr>
                <w:rFonts w:ascii="Arial" w:hAnsi="Arial" w:cs="Arial"/>
                <w:color w:val="000000"/>
                <w:sz w:val="16"/>
                <w:szCs w:val="16"/>
              </w:rPr>
              <w:t>1.75</w:t>
            </w:r>
          </w:p>
        </w:tc>
        <w:tc>
          <w:tcPr>
            <w:tcW w:w="850"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429D1D75" w14:textId="77777777">
            <w:pPr>
              <w:jc w:val="center"/>
              <w:rPr>
                <w:rFonts w:ascii="Arial" w:hAnsi="Arial" w:cs="Arial"/>
                <w:color w:val="000000"/>
                <w:sz w:val="16"/>
                <w:szCs w:val="16"/>
              </w:rPr>
            </w:pPr>
            <w:r w:rsidRPr="00081FAD">
              <w:rPr>
                <w:rFonts w:ascii="Arial" w:hAnsi="Arial" w:cs="Arial"/>
                <w:color w:val="000000"/>
                <w:sz w:val="16"/>
                <w:szCs w:val="16"/>
              </w:rPr>
              <w:t xml:space="preserve">0 </w:t>
            </w:r>
          </w:p>
        </w:tc>
        <w:tc>
          <w:tcPr>
            <w:tcW w:w="727"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207FE5F3" w14:textId="77777777">
            <w:pPr>
              <w:jc w:val="center"/>
              <w:rPr>
                <w:rFonts w:ascii="Arial" w:hAnsi="Arial" w:cs="Arial"/>
                <w:color w:val="000000"/>
                <w:sz w:val="16"/>
                <w:szCs w:val="16"/>
              </w:rPr>
            </w:pPr>
            <w:r w:rsidRPr="00081FAD">
              <w:rPr>
                <w:rFonts w:ascii="Arial" w:hAnsi="Arial" w:cs="Arial"/>
                <w:color w:val="000000"/>
                <w:sz w:val="16"/>
                <w:szCs w:val="16"/>
              </w:rPr>
              <w:t xml:space="preserve">0 </w:t>
            </w:r>
          </w:p>
        </w:tc>
        <w:tc>
          <w:tcPr>
            <w:tcW w:w="1306"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65A569F3" w14:textId="08D9F4D9">
            <w:pPr>
              <w:jc w:val="center"/>
              <w:rPr>
                <w:rFonts w:ascii="Arial" w:hAnsi="Arial" w:cs="Arial"/>
                <w:color w:val="000000"/>
                <w:sz w:val="16"/>
                <w:szCs w:val="16"/>
              </w:rPr>
            </w:pPr>
            <w:r w:rsidRPr="00081FAD">
              <w:rPr>
                <w:rFonts w:ascii="Arial" w:hAnsi="Arial" w:cs="Arial"/>
                <w:color w:val="000000"/>
                <w:sz w:val="16"/>
                <w:szCs w:val="16"/>
              </w:rPr>
              <w:t>15,</w:t>
            </w:r>
            <w:r w:rsidR="00E31698">
              <w:rPr>
                <w:rFonts w:ascii="Arial" w:hAnsi="Arial" w:cs="Arial"/>
                <w:color w:val="000000"/>
                <w:sz w:val="16"/>
                <w:szCs w:val="16"/>
              </w:rPr>
              <w:t>431</w:t>
            </w:r>
            <w:r w:rsidRPr="00081FAD">
              <w:rPr>
                <w:rFonts w:ascii="Arial" w:hAnsi="Arial" w:cs="Arial"/>
                <w:color w:val="000000"/>
                <w:sz w:val="16"/>
                <w:szCs w:val="16"/>
              </w:rPr>
              <w:t xml:space="preserve"> </w:t>
            </w:r>
          </w:p>
        </w:tc>
        <w:tc>
          <w:tcPr>
            <w:tcW w:w="1261"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15DE84D8" w14:textId="77777777">
            <w:pPr>
              <w:jc w:val="center"/>
              <w:rPr>
                <w:rFonts w:ascii="Arial" w:hAnsi="Arial" w:cs="Arial"/>
                <w:color w:val="000000"/>
                <w:sz w:val="16"/>
                <w:szCs w:val="16"/>
              </w:rPr>
            </w:pPr>
            <w:r>
              <w:rPr>
                <w:rFonts w:ascii="Arial" w:hAnsi="Arial" w:cs="Arial"/>
                <w:color w:val="000000"/>
                <w:sz w:val="16"/>
                <w:szCs w:val="16"/>
              </w:rPr>
              <w:t>2.8</w:t>
            </w:r>
            <w:r w:rsidRPr="00081FAD">
              <w:rPr>
                <w:rFonts w:ascii="Arial" w:hAnsi="Arial" w:cs="Arial"/>
                <w:color w:val="000000"/>
                <w:sz w:val="16"/>
                <w:szCs w:val="16"/>
              </w:rPr>
              <w:t xml:space="preserve"> </w:t>
            </w:r>
          </w:p>
        </w:tc>
        <w:tc>
          <w:tcPr>
            <w:tcW w:w="1017"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149B05B9" w14:textId="7936ADDD">
            <w:pPr>
              <w:jc w:val="center"/>
              <w:rPr>
                <w:rFonts w:ascii="Arial" w:hAnsi="Arial" w:cs="Arial"/>
                <w:color w:val="000000"/>
                <w:sz w:val="16"/>
                <w:szCs w:val="16"/>
              </w:rPr>
            </w:pPr>
            <w:r>
              <w:rPr>
                <w:rFonts w:ascii="Arial" w:hAnsi="Arial" w:cs="Arial"/>
                <w:color w:val="000000"/>
                <w:sz w:val="16"/>
                <w:szCs w:val="16"/>
              </w:rPr>
              <w:t>4</w:t>
            </w:r>
            <w:r w:rsidR="00E31698">
              <w:rPr>
                <w:rFonts w:ascii="Arial" w:hAnsi="Arial" w:cs="Arial"/>
                <w:color w:val="000000"/>
                <w:sz w:val="16"/>
                <w:szCs w:val="16"/>
              </w:rPr>
              <w:t>3,207</w:t>
            </w:r>
            <w:r w:rsidRPr="00081FAD">
              <w:rPr>
                <w:rFonts w:ascii="Arial" w:hAnsi="Arial" w:cs="Arial"/>
                <w:color w:val="000000"/>
                <w:sz w:val="16"/>
                <w:szCs w:val="16"/>
              </w:rPr>
              <w:t xml:space="preserve"> </w:t>
            </w:r>
          </w:p>
        </w:tc>
        <w:tc>
          <w:tcPr>
            <w:tcW w:w="811"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1A3746FA" w14:textId="10536225">
            <w:pPr>
              <w:jc w:val="center"/>
              <w:rPr>
                <w:rFonts w:ascii="Arial" w:hAnsi="Arial" w:cs="Arial"/>
                <w:color w:val="000000"/>
                <w:sz w:val="16"/>
                <w:szCs w:val="16"/>
              </w:rPr>
            </w:pPr>
            <w:r w:rsidRPr="00081FAD">
              <w:rPr>
                <w:rFonts w:ascii="Arial" w:hAnsi="Arial" w:cs="Arial"/>
                <w:color w:val="000000"/>
                <w:sz w:val="16"/>
                <w:szCs w:val="16"/>
              </w:rPr>
              <w:t>2,1</w:t>
            </w:r>
            <w:r w:rsidR="00E31698">
              <w:rPr>
                <w:rFonts w:ascii="Arial" w:hAnsi="Arial" w:cs="Arial"/>
                <w:color w:val="000000"/>
                <w:sz w:val="16"/>
                <w:szCs w:val="16"/>
              </w:rPr>
              <w:t>60</w:t>
            </w:r>
            <w:r w:rsidRPr="00081FAD">
              <w:rPr>
                <w:rFonts w:ascii="Arial" w:hAnsi="Arial" w:cs="Arial"/>
                <w:color w:val="000000"/>
                <w:sz w:val="16"/>
                <w:szCs w:val="16"/>
              </w:rPr>
              <w:t xml:space="preserve"> </w:t>
            </w:r>
          </w:p>
        </w:tc>
        <w:tc>
          <w:tcPr>
            <w:tcW w:w="258"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55AAA435" w14:textId="5F749E98">
            <w:pPr>
              <w:jc w:val="center"/>
              <w:rPr>
                <w:rFonts w:ascii="Arial" w:hAnsi="Arial" w:cs="Arial"/>
                <w:color w:val="000000"/>
                <w:sz w:val="16"/>
                <w:szCs w:val="16"/>
              </w:rPr>
            </w:pPr>
            <w:r>
              <w:rPr>
                <w:rFonts w:ascii="Arial" w:hAnsi="Arial" w:cs="Arial"/>
                <w:color w:val="000000"/>
                <w:sz w:val="16"/>
                <w:szCs w:val="16"/>
              </w:rPr>
              <w:t>$</w:t>
            </w:r>
            <w:r w:rsidR="00E31698">
              <w:rPr>
                <w:rFonts w:ascii="Arial" w:hAnsi="Arial" w:cs="Arial"/>
                <w:color w:val="000000"/>
                <w:sz w:val="16"/>
                <w:szCs w:val="16"/>
              </w:rPr>
              <w:t>75,645</w:t>
            </w:r>
            <w:r w:rsidRPr="00081FAD">
              <w:rPr>
                <w:rFonts w:ascii="Arial" w:hAnsi="Arial" w:cs="Arial"/>
                <w:color w:val="000000"/>
                <w:sz w:val="16"/>
                <w:szCs w:val="16"/>
              </w:rPr>
              <w:t xml:space="preserve"> </w:t>
            </w:r>
          </w:p>
        </w:tc>
      </w:tr>
      <w:tr w14:paraId="0F228F1C" w14:textId="77777777" w:rsidTr="00E41165">
        <w:tblPrEx>
          <w:tblW w:w="13680" w:type="dxa"/>
          <w:tblLook w:val="04A0"/>
        </w:tblPrEx>
        <w:trPr>
          <w:trHeight w:val="527"/>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1D4594" w:rsidRPr="00081FAD" w:rsidP="00E41165" w14:paraId="25A6012A" w14:textId="77777777">
            <w:pPr>
              <w:rPr>
                <w:rFonts w:ascii="Arial" w:hAnsi="Arial" w:cs="Arial"/>
                <w:color w:val="000000"/>
                <w:sz w:val="16"/>
                <w:szCs w:val="16"/>
              </w:rPr>
            </w:pPr>
            <w:r w:rsidRPr="00081FAD">
              <w:rPr>
                <w:rFonts w:ascii="Arial" w:hAnsi="Arial" w:cs="Arial"/>
                <w:color w:val="000000"/>
                <w:sz w:val="16"/>
                <w:szCs w:val="16"/>
              </w:rPr>
              <w:t>Maintain at the airbag handler for no less than three (3) years confirmations of receipt</w:t>
            </w:r>
          </w:p>
        </w:tc>
        <w:tc>
          <w:tcPr>
            <w:tcW w:w="866"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6C876552" w14:textId="77777777">
            <w:pPr>
              <w:jc w:val="center"/>
              <w:rPr>
                <w:rFonts w:ascii="Arial" w:hAnsi="Arial" w:cs="Arial"/>
                <w:color w:val="000000"/>
                <w:sz w:val="16"/>
                <w:szCs w:val="16"/>
              </w:rPr>
            </w:pPr>
            <w:r w:rsidRPr="00081FAD">
              <w:rPr>
                <w:rFonts w:ascii="Arial" w:hAnsi="Arial" w:cs="Arial"/>
                <w:color w:val="000000"/>
                <w:sz w:val="16"/>
                <w:szCs w:val="16"/>
              </w:rPr>
              <w:t xml:space="preserve">0.00 </w:t>
            </w:r>
          </w:p>
        </w:tc>
        <w:tc>
          <w:tcPr>
            <w:tcW w:w="866"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2146FC6B" w14:textId="77777777">
            <w:pPr>
              <w:jc w:val="center"/>
              <w:rPr>
                <w:rFonts w:ascii="Arial" w:hAnsi="Arial" w:cs="Arial"/>
                <w:color w:val="000000"/>
                <w:sz w:val="16"/>
                <w:szCs w:val="16"/>
              </w:rPr>
            </w:pPr>
            <w:r w:rsidRPr="00081FAD">
              <w:rPr>
                <w:rFonts w:ascii="Arial" w:hAnsi="Arial" w:cs="Arial"/>
                <w:color w:val="000000"/>
                <w:sz w:val="16"/>
                <w:szCs w:val="16"/>
              </w:rPr>
              <w:t xml:space="preserve">0.00 </w:t>
            </w:r>
          </w:p>
        </w:tc>
        <w:tc>
          <w:tcPr>
            <w:tcW w:w="1050"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3B4E51A3" w14:textId="77777777">
            <w:pPr>
              <w:jc w:val="center"/>
              <w:rPr>
                <w:rFonts w:ascii="Arial" w:hAnsi="Arial" w:cs="Arial"/>
                <w:color w:val="000000"/>
                <w:sz w:val="16"/>
                <w:szCs w:val="16"/>
              </w:rPr>
            </w:pPr>
            <w:r w:rsidRPr="00081FAD">
              <w:rPr>
                <w:rFonts w:ascii="Arial" w:hAnsi="Arial" w:cs="Arial"/>
                <w:color w:val="000000"/>
                <w:sz w:val="16"/>
                <w:szCs w:val="16"/>
              </w:rPr>
              <w:t xml:space="preserve">0.00 </w:t>
            </w:r>
          </w:p>
        </w:tc>
        <w:tc>
          <w:tcPr>
            <w:tcW w:w="894"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469EBFF8" w14:textId="77777777">
            <w:pPr>
              <w:jc w:val="center"/>
              <w:rPr>
                <w:rFonts w:ascii="Arial" w:hAnsi="Arial" w:cs="Arial"/>
                <w:color w:val="000000"/>
                <w:sz w:val="16"/>
                <w:szCs w:val="16"/>
              </w:rPr>
            </w:pPr>
            <w:r w:rsidRPr="00081FAD">
              <w:rPr>
                <w:rFonts w:ascii="Arial" w:hAnsi="Arial" w:cs="Arial"/>
                <w:color w:val="000000"/>
                <w:sz w:val="16"/>
                <w:szCs w:val="16"/>
              </w:rPr>
              <w:t xml:space="preserve">0.05 </w:t>
            </w:r>
          </w:p>
        </w:tc>
        <w:tc>
          <w:tcPr>
            <w:tcW w:w="987"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53375A32" w14:textId="2AF15966">
            <w:pPr>
              <w:jc w:val="center"/>
              <w:rPr>
                <w:rFonts w:ascii="Arial" w:hAnsi="Arial" w:cs="Arial"/>
                <w:color w:val="000000"/>
                <w:sz w:val="16"/>
                <w:szCs w:val="16"/>
              </w:rPr>
            </w:pPr>
            <w:r w:rsidRPr="00081FAD">
              <w:rPr>
                <w:rFonts w:ascii="Arial" w:hAnsi="Arial" w:cs="Arial"/>
                <w:color w:val="000000"/>
                <w:sz w:val="16"/>
                <w:szCs w:val="16"/>
              </w:rPr>
              <w:t>$</w:t>
            </w:r>
            <w:r w:rsidR="00E31698">
              <w:rPr>
                <w:rFonts w:ascii="Arial" w:hAnsi="Arial" w:cs="Arial"/>
                <w:color w:val="000000"/>
                <w:sz w:val="16"/>
                <w:szCs w:val="16"/>
              </w:rPr>
              <w:t>1.75</w:t>
            </w:r>
          </w:p>
        </w:tc>
        <w:tc>
          <w:tcPr>
            <w:tcW w:w="850"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0D8C067C" w14:textId="77777777">
            <w:pPr>
              <w:jc w:val="center"/>
              <w:rPr>
                <w:rFonts w:ascii="Arial" w:hAnsi="Arial" w:cs="Arial"/>
                <w:color w:val="000000"/>
                <w:sz w:val="16"/>
                <w:szCs w:val="16"/>
              </w:rPr>
            </w:pPr>
            <w:r w:rsidRPr="00081FAD">
              <w:rPr>
                <w:rFonts w:ascii="Arial" w:hAnsi="Arial" w:cs="Arial"/>
                <w:color w:val="000000"/>
                <w:sz w:val="16"/>
                <w:szCs w:val="16"/>
              </w:rPr>
              <w:t xml:space="preserve">0 </w:t>
            </w:r>
          </w:p>
        </w:tc>
        <w:tc>
          <w:tcPr>
            <w:tcW w:w="727"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4FE1801D" w14:textId="77777777">
            <w:pPr>
              <w:jc w:val="center"/>
              <w:rPr>
                <w:rFonts w:ascii="Arial" w:hAnsi="Arial" w:cs="Arial"/>
                <w:color w:val="000000"/>
                <w:sz w:val="16"/>
                <w:szCs w:val="16"/>
              </w:rPr>
            </w:pPr>
            <w:r w:rsidRPr="00081FAD">
              <w:rPr>
                <w:rFonts w:ascii="Arial" w:hAnsi="Arial" w:cs="Arial"/>
                <w:color w:val="000000"/>
                <w:sz w:val="16"/>
                <w:szCs w:val="16"/>
              </w:rPr>
              <w:t xml:space="preserve">0 </w:t>
            </w:r>
          </w:p>
        </w:tc>
        <w:tc>
          <w:tcPr>
            <w:tcW w:w="1306"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18FCB3CD" w14:textId="63BEADD9">
            <w:pPr>
              <w:jc w:val="center"/>
              <w:rPr>
                <w:rFonts w:ascii="Arial" w:hAnsi="Arial" w:cs="Arial"/>
                <w:color w:val="000000"/>
                <w:sz w:val="16"/>
                <w:szCs w:val="16"/>
              </w:rPr>
            </w:pPr>
            <w:r w:rsidRPr="00081FAD">
              <w:rPr>
                <w:rFonts w:ascii="Arial" w:hAnsi="Arial" w:cs="Arial"/>
                <w:color w:val="000000"/>
                <w:sz w:val="16"/>
                <w:szCs w:val="16"/>
              </w:rPr>
              <w:t>15,</w:t>
            </w:r>
            <w:r w:rsidR="00E31698">
              <w:rPr>
                <w:rFonts w:ascii="Arial" w:hAnsi="Arial" w:cs="Arial"/>
                <w:color w:val="000000"/>
                <w:sz w:val="16"/>
                <w:szCs w:val="16"/>
              </w:rPr>
              <w:t>431</w:t>
            </w:r>
            <w:r w:rsidRPr="00081FAD">
              <w:rPr>
                <w:rFonts w:ascii="Arial" w:hAnsi="Arial" w:cs="Arial"/>
                <w:color w:val="000000"/>
                <w:sz w:val="16"/>
                <w:szCs w:val="16"/>
              </w:rPr>
              <w:t xml:space="preserve"> </w:t>
            </w:r>
          </w:p>
        </w:tc>
        <w:tc>
          <w:tcPr>
            <w:tcW w:w="1261"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318A7C17" w14:textId="77777777">
            <w:pPr>
              <w:jc w:val="center"/>
              <w:rPr>
                <w:rFonts w:ascii="Arial" w:hAnsi="Arial" w:cs="Arial"/>
                <w:color w:val="000000"/>
                <w:sz w:val="16"/>
                <w:szCs w:val="16"/>
              </w:rPr>
            </w:pPr>
            <w:r>
              <w:rPr>
                <w:rFonts w:ascii="Arial" w:hAnsi="Arial" w:cs="Arial"/>
                <w:color w:val="000000"/>
                <w:sz w:val="16"/>
                <w:szCs w:val="16"/>
              </w:rPr>
              <w:t>2.8</w:t>
            </w:r>
          </w:p>
        </w:tc>
        <w:tc>
          <w:tcPr>
            <w:tcW w:w="1017"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28C7562C" w14:textId="175C3C41">
            <w:pPr>
              <w:jc w:val="center"/>
              <w:rPr>
                <w:rFonts w:ascii="Arial" w:hAnsi="Arial" w:cs="Arial"/>
                <w:color w:val="000000"/>
                <w:sz w:val="16"/>
                <w:szCs w:val="16"/>
              </w:rPr>
            </w:pPr>
            <w:r>
              <w:rPr>
                <w:rFonts w:ascii="Arial" w:hAnsi="Arial" w:cs="Arial"/>
                <w:color w:val="000000"/>
                <w:sz w:val="16"/>
                <w:szCs w:val="16"/>
              </w:rPr>
              <w:t>4</w:t>
            </w:r>
            <w:r w:rsidR="00E31698">
              <w:rPr>
                <w:rFonts w:ascii="Arial" w:hAnsi="Arial" w:cs="Arial"/>
                <w:color w:val="000000"/>
                <w:sz w:val="16"/>
                <w:szCs w:val="16"/>
              </w:rPr>
              <w:t>3,207</w:t>
            </w:r>
            <w:r w:rsidRPr="00081FAD">
              <w:rPr>
                <w:rFonts w:ascii="Arial" w:hAnsi="Arial" w:cs="Arial"/>
                <w:color w:val="000000"/>
                <w:sz w:val="16"/>
                <w:szCs w:val="16"/>
              </w:rPr>
              <w:t xml:space="preserve"> </w:t>
            </w:r>
          </w:p>
        </w:tc>
        <w:tc>
          <w:tcPr>
            <w:tcW w:w="811"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0241AB55" w14:textId="06D83061">
            <w:pPr>
              <w:jc w:val="center"/>
              <w:rPr>
                <w:rFonts w:ascii="Arial" w:hAnsi="Arial" w:cs="Arial"/>
                <w:color w:val="000000"/>
                <w:sz w:val="16"/>
                <w:szCs w:val="16"/>
              </w:rPr>
            </w:pPr>
            <w:r w:rsidRPr="00081FAD">
              <w:rPr>
                <w:rFonts w:ascii="Arial" w:hAnsi="Arial" w:cs="Arial"/>
                <w:color w:val="000000"/>
                <w:sz w:val="16"/>
                <w:szCs w:val="16"/>
              </w:rPr>
              <w:t>2,1</w:t>
            </w:r>
            <w:r w:rsidR="00E31698">
              <w:rPr>
                <w:rFonts w:ascii="Arial" w:hAnsi="Arial" w:cs="Arial"/>
                <w:color w:val="000000"/>
                <w:sz w:val="16"/>
                <w:szCs w:val="16"/>
              </w:rPr>
              <w:t>60</w:t>
            </w:r>
          </w:p>
        </w:tc>
        <w:tc>
          <w:tcPr>
            <w:tcW w:w="258" w:type="dxa"/>
            <w:tcBorders>
              <w:top w:val="nil"/>
              <w:left w:val="nil"/>
              <w:bottom w:val="single" w:sz="8" w:space="0" w:color="auto"/>
              <w:right w:val="single" w:sz="8" w:space="0" w:color="auto"/>
            </w:tcBorders>
            <w:shd w:val="clear" w:color="auto" w:fill="auto"/>
            <w:noWrap/>
            <w:vAlign w:val="center"/>
            <w:hideMark/>
          </w:tcPr>
          <w:p w:rsidR="001D4594" w:rsidRPr="00081FAD" w:rsidP="00E41165" w14:paraId="2C568B16" w14:textId="1A5AB34E">
            <w:pPr>
              <w:jc w:val="center"/>
              <w:rPr>
                <w:rFonts w:ascii="Arial" w:hAnsi="Arial" w:cs="Arial"/>
                <w:color w:val="000000"/>
                <w:sz w:val="16"/>
                <w:szCs w:val="16"/>
              </w:rPr>
            </w:pPr>
            <w:r>
              <w:rPr>
                <w:rFonts w:ascii="Arial" w:hAnsi="Arial" w:cs="Arial"/>
                <w:color w:val="000000"/>
                <w:sz w:val="16"/>
                <w:szCs w:val="16"/>
              </w:rPr>
              <w:t>$</w:t>
            </w:r>
            <w:r w:rsidR="00E31698">
              <w:rPr>
                <w:rFonts w:ascii="Arial" w:hAnsi="Arial" w:cs="Arial"/>
                <w:color w:val="000000"/>
                <w:sz w:val="16"/>
                <w:szCs w:val="16"/>
              </w:rPr>
              <w:t>75,645</w:t>
            </w:r>
          </w:p>
        </w:tc>
      </w:tr>
      <w:tr w14:paraId="455D5E44" w14:textId="77777777" w:rsidTr="00E41165">
        <w:tblPrEx>
          <w:tblW w:w="13680" w:type="dxa"/>
          <w:tblLook w:val="04A0"/>
        </w:tblPrEx>
        <w:trPr>
          <w:trHeight w:val="548"/>
        </w:trPr>
        <w:tc>
          <w:tcPr>
            <w:tcW w:w="2787" w:type="dxa"/>
            <w:tcBorders>
              <w:top w:val="nil"/>
              <w:left w:val="single" w:sz="8" w:space="0" w:color="auto"/>
              <w:bottom w:val="single" w:sz="8" w:space="0" w:color="auto"/>
              <w:right w:val="single" w:sz="8" w:space="0" w:color="auto"/>
            </w:tcBorders>
            <w:shd w:val="clear" w:color="000000" w:fill="FFFFFF"/>
            <w:noWrap/>
            <w:vAlign w:val="bottom"/>
            <w:hideMark/>
          </w:tcPr>
          <w:p w:rsidR="001D4594" w:rsidRPr="00081FAD" w:rsidP="00E41165" w14:paraId="3BD8CD8F" w14:textId="77777777">
            <w:pPr>
              <w:jc w:val="center"/>
              <w:rPr>
                <w:rFonts w:ascii="Arial" w:hAnsi="Arial" w:cs="Arial"/>
                <w:b/>
                <w:bCs/>
                <w:color w:val="000000"/>
                <w:sz w:val="16"/>
                <w:szCs w:val="16"/>
              </w:rPr>
            </w:pPr>
            <w:r w:rsidRPr="00081FAD">
              <w:rPr>
                <w:rFonts w:ascii="Arial" w:hAnsi="Arial" w:cs="Arial"/>
                <w:b/>
                <w:bCs/>
                <w:color w:val="000000"/>
                <w:sz w:val="16"/>
                <w:szCs w:val="16"/>
              </w:rPr>
              <w:t>TOTAL</w:t>
            </w:r>
          </w:p>
        </w:tc>
        <w:tc>
          <w:tcPr>
            <w:tcW w:w="866"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0752BD1F" w14:textId="77777777">
            <w:pPr>
              <w:jc w:val="center"/>
              <w:rPr>
                <w:rFonts w:ascii="Arial" w:hAnsi="Arial" w:cs="Arial"/>
                <w:b/>
                <w:bCs/>
                <w:color w:val="000000"/>
                <w:sz w:val="16"/>
                <w:szCs w:val="16"/>
              </w:rPr>
            </w:pPr>
            <w:r w:rsidRPr="00081FAD">
              <w:rPr>
                <w:rFonts w:ascii="Arial" w:hAnsi="Arial" w:cs="Arial"/>
                <w:b/>
                <w:bCs/>
                <w:color w:val="000000"/>
                <w:sz w:val="16"/>
                <w:szCs w:val="16"/>
              </w:rPr>
              <w:t xml:space="preserve">0.00 </w:t>
            </w:r>
          </w:p>
        </w:tc>
        <w:tc>
          <w:tcPr>
            <w:tcW w:w="866"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0C2DFD65" w14:textId="77777777">
            <w:pPr>
              <w:jc w:val="center"/>
              <w:rPr>
                <w:rFonts w:ascii="Arial" w:hAnsi="Arial" w:cs="Arial"/>
                <w:b/>
                <w:bCs/>
                <w:color w:val="000000"/>
                <w:sz w:val="16"/>
                <w:szCs w:val="16"/>
              </w:rPr>
            </w:pPr>
            <w:r w:rsidRPr="00081FAD">
              <w:rPr>
                <w:rFonts w:ascii="Arial" w:hAnsi="Arial" w:cs="Arial"/>
                <w:b/>
                <w:bCs/>
                <w:color w:val="000000"/>
                <w:sz w:val="16"/>
                <w:szCs w:val="16"/>
              </w:rPr>
              <w:t xml:space="preserve">0.00 </w:t>
            </w:r>
          </w:p>
        </w:tc>
        <w:tc>
          <w:tcPr>
            <w:tcW w:w="1050"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5B5EC8D5" w14:textId="77777777">
            <w:pPr>
              <w:jc w:val="center"/>
              <w:rPr>
                <w:rFonts w:ascii="Arial" w:hAnsi="Arial" w:cs="Arial"/>
                <w:b/>
                <w:bCs/>
                <w:color w:val="000000"/>
                <w:sz w:val="16"/>
                <w:szCs w:val="16"/>
              </w:rPr>
            </w:pPr>
            <w:r w:rsidRPr="00081FAD">
              <w:rPr>
                <w:rFonts w:ascii="Arial" w:hAnsi="Arial" w:cs="Arial"/>
                <w:b/>
                <w:bCs/>
                <w:color w:val="000000"/>
                <w:sz w:val="16"/>
                <w:szCs w:val="16"/>
              </w:rPr>
              <w:t xml:space="preserve">0.00 </w:t>
            </w:r>
          </w:p>
        </w:tc>
        <w:tc>
          <w:tcPr>
            <w:tcW w:w="894"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5E4B759C" w14:textId="77777777">
            <w:pPr>
              <w:jc w:val="center"/>
              <w:rPr>
                <w:rFonts w:ascii="Arial" w:hAnsi="Arial" w:cs="Arial"/>
                <w:b/>
                <w:bCs/>
                <w:color w:val="000000"/>
                <w:sz w:val="16"/>
                <w:szCs w:val="16"/>
              </w:rPr>
            </w:pPr>
            <w:r w:rsidRPr="00081FAD">
              <w:rPr>
                <w:rFonts w:ascii="Arial" w:hAnsi="Arial" w:cs="Arial"/>
                <w:b/>
                <w:bCs/>
                <w:color w:val="000000"/>
                <w:sz w:val="16"/>
                <w:szCs w:val="16"/>
              </w:rPr>
              <w:t xml:space="preserve">0.10 </w:t>
            </w:r>
          </w:p>
        </w:tc>
        <w:tc>
          <w:tcPr>
            <w:tcW w:w="987"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0FEBC089" w14:textId="4C9FC65F">
            <w:pPr>
              <w:jc w:val="center"/>
              <w:rPr>
                <w:rFonts w:ascii="Arial" w:hAnsi="Arial" w:cs="Arial"/>
                <w:b/>
                <w:bCs/>
                <w:color w:val="000000"/>
                <w:sz w:val="16"/>
                <w:szCs w:val="16"/>
              </w:rPr>
            </w:pPr>
            <w:r w:rsidRPr="00081FAD">
              <w:rPr>
                <w:rFonts w:ascii="Arial" w:hAnsi="Arial" w:cs="Arial"/>
                <w:b/>
                <w:bCs/>
                <w:color w:val="000000"/>
                <w:sz w:val="16"/>
                <w:szCs w:val="16"/>
              </w:rPr>
              <w:t>$3.</w:t>
            </w:r>
            <w:r w:rsidR="00E31698">
              <w:rPr>
                <w:rFonts w:ascii="Arial" w:hAnsi="Arial" w:cs="Arial"/>
                <w:b/>
                <w:bCs/>
                <w:color w:val="000000"/>
                <w:sz w:val="16"/>
                <w:szCs w:val="16"/>
              </w:rPr>
              <w:t>50</w:t>
            </w:r>
            <w:r w:rsidRPr="00081FAD">
              <w:rPr>
                <w:rFonts w:ascii="Arial" w:hAnsi="Arial" w:cs="Arial"/>
                <w:b/>
                <w:bCs/>
                <w:color w:val="000000"/>
                <w:sz w:val="16"/>
                <w:szCs w:val="16"/>
              </w:rPr>
              <w:t xml:space="preserve"> </w:t>
            </w:r>
          </w:p>
        </w:tc>
        <w:tc>
          <w:tcPr>
            <w:tcW w:w="850"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6245F998" w14:textId="77777777">
            <w:pPr>
              <w:jc w:val="center"/>
              <w:rPr>
                <w:rFonts w:ascii="Arial" w:hAnsi="Arial" w:cs="Arial"/>
                <w:b/>
                <w:bCs/>
                <w:color w:val="000000"/>
                <w:sz w:val="16"/>
                <w:szCs w:val="16"/>
              </w:rPr>
            </w:pPr>
            <w:r w:rsidRPr="00081FAD">
              <w:rPr>
                <w:rFonts w:ascii="Arial" w:hAnsi="Arial" w:cs="Arial"/>
                <w:b/>
                <w:bCs/>
                <w:color w:val="000000"/>
                <w:sz w:val="16"/>
                <w:szCs w:val="16"/>
              </w:rPr>
              <w:t xml:space="preserve">$0.00 </w:t>
            </w:r>
          </w:p>
        </w:tc>
        <w:tc>
          <w:tcPr>
            <w:tcW w:w="727"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31853468" w14:textId="77777777">
            <w:pPr>
              <w:jc w:val="center"/>
              <w:rPr>
                <w:rFonts w:ascii="Arial" w:hAnsi="Arial" w:cs="Arial"/>
                <w:b/>
                <w:bCs/>
                <w:color w:val="000000"/>
                <w:sz w:val="16"/>
                <w:szCs w:val="16"/>
              </w:rPr>
            </w:pPr>
            <w:r w:rsidRPr="00081FAD">
              <w:rPr>
                <w:rFonts w:ascii="Arial" w:hAnsi="Arial" w:cs="Arial"/>
                <w:b/>
                <w:bCs/>
                <w:color w:val="000000"/>
                <w:sz w:val="16"/>
                <w:szCs w:val="16"/>
              </w:rPr>
              <w:t xml:space="preserve">$0.00 </w:t>
            </w:r>
          </w:p>
        </w:tc>
        <w:tc>
          <w:tcPr>
            <w:tcW w:w="1306"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5E383ABE" w14:textId="396C1422">
            <w:pPr>
              <w:jc w:val="center"/>
              <w:rPr>
                <w:rFonts w:ascii="Arial" w:hAnsi="Arial" w:cs="Arial"/>
                <w:b/>
                <w:bCs/>
                <w:color w:val="000000"/>
                <w:sz w:val="16"/>
                <w:szCs w:val="16"/>
              </w:rPr>
            </w:pPr>
            <w:r w:rsidRPr="00081FAD">
              <w:rPr>
                <w:rFonts w:ascii="Arial" w:hAnsi="Arial" w:cs="Arial"/>
                <w:b/>
                <w:bCs/>
                <w:color w:val="000000"/>
                <w:sz w:val="16"/>
                <w:szCs w:val="16"/>
              </w:rPr>
              <w:t>15,</w:t>
            </w:r>
            <w:r w:rsidR="00E31698">
              <w:rPr>
                <w:rFonts w:ascii="Arial" w:hAnsi="Arial" w:cs="Arial"/>
                <w:b/>
                <w:bCs/>
                <w:color w:val="000000"/>
                <w:sz w:val="16"/>
                <w:szCs w:val="16"/>
              </w:rPr>
              <w:t>431</w:t>
            </w:r>
            <w:r w:rsidRPr="00081FAD">
              <w:rPr>
                <w:rFonts w:ascii="Arial" w:hAnsi="Arial" w:cs="Arial"/>
                <w:b/>
                <w:bCs/>
                <w:color w:val="000000"/>
                <w:sz w:val="16"/>
                <w:szCs w:val="16"/>
              </w:rPr>
              <w:t xml:space="preserve"> </w:t>
            </w:r>
          </w:p>
        </w:tc>
        <w:tc>
          <w:tcPr>
            <w:tcW w:w="1261"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2E32775F" w14:textId="79AAE3E4">
            <w:pPr>
              <w:jc w:val="center"/>
              <w:rPr>
                <w:rFonts w:ascii="Arial" w:hAnsi="Arial" w:cs="Arial"/>
                <w:b/>
                <w:bCs/>
                <w:color w:val="000000"/>
                <w:sz w:val="16"/>
                <w:szCs w:val="16"/>
              </w:rPr>
            </w:pPr>
            <w:r>
              <w:rPr>
                <w:rFonts w:ascii="Arial" w:hAnsi="Arial" w:cs="Arial"/>
                <w:b/>
                <w:bCs/>
                <w:color w:val="000000"/>
                <w:sz w:val="16"/>
                <w:szCs w:val="16"/>
              </w:rPr>
              <w:t>5.6</w:t>
            </w:r>
          </w:p>
        </w:tc>
        <w:tc>
          <w:tcPr>
            <w:tcW w:w="1017"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611A4403" w14:textId="3C9975BB">
            <w:pPr>
              <w:jc w:val="center"/>
              <w:rPr>
                <w:rFonts w:ascii="Arial" w:hAnsi="Arial" w:cs="Arial"/>
                <w:b/>
                <w:bCs/>
                <w:color w:val="000000"/>
                <w:sz w:val="16"/>
                <w:szCs w:val="16"/>
              </w:rPr>
            </w:pPr>
            <w:r>
              <w:rPr>
                <w:rFonts w:ascii="Arial" w:hAnsi="Arial" w:cs="Arial"/>
                <w:b/>
                <w:bCs/>
                <w:color w:val="000000"/>
                <w:sz w:val="16"/>
                <w:szCs w:val="16"/>
              </w:rPr>
              <w:t>8</w:t>
            </w:r>
            <w:r w:rsidR="00E31698">
              <w:rPr>
                <w:rFonts w:ascii="Arial" w:hAnsi="Arial" w:cs="Arial"/>
                <w:b/>
                <w:bCs/>
                <w:color w:val="000000"/>
                <w:sz w:val="16"/>
                <w:szCs w:val="16"/>
              </w:rPr>
              <w:t>6,414</w:t>
            </w:r>
            <w:r w:rsidRPr="00081FAD">
              <w:rPr>
                <w:rFonts w:ascii="Arial" w:hAnsi="Arial" w:cs="Arial"/>
                <w:b/>
                <w:bCs/>
                <w:color w:val="000000"/>
                <w:sz w:val="16"/>
                <w:szCs w:val="16"/>
              </w:rPr>
              <w:t xml:space="preserve"> </w:t>
            </w:r>
          </w:p>
        </w:tc>
        <w:tc>
          <w:tcPr>
            <w:tcW w:w="811"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47B01263" w14:textId="058332D9">
            <w:pPr>
              <w:jc w:val="center"/>
              <w:rPr>
                <w:rFonts w:ascii="Arial" w:hAnsi="Arial" w:cs="Arial"/>
                <w:b/>
                <w:bCs/>
                <w:color w:val="000000"/>
                <w:sz w:val="16"/>
                <w:szCs w:val="16"/>
              </w:rPr>
            </w:pPr>
            <w:r w:rsidRPr="00081FAD">
              <w:rPr>
                <w:rFonts w:ascii="Arial" w:hAnsi="Arial" w:cs="Arial"/>
                <w:b/>
                <w:bCs/>
                <w:color w:val="000000"/>
                <w:sz w:val="16"/>
                <w:szCs w:val="16"/>
              </w:rPr>
              <w:t>4,</w:t>
            </w:r>
            <w:r w:rsidR="00E31698">
              <w:rPr>
                <w:rFonts w:ascii="Arial" w:hAnsi="Arial" w:cs="Arial"/>
                <w:b/>
                <w:bCs/>
                <w:color w:val="000000"/>
                <w:sz w:val="16"/>
                <w:szCs w:val="16"/>
              </w:rPr>
              <w:t>320</w:t>
            </w:r>
          </w:p>
        </w:tc>
        <w:tc>
          <w:tcPr>
            <w:tcW w:w="258" w:type="dxa"/>
            <w:tcBorders>
              <w:top w:val="nil"/>
              <w:left w:val="nil"/>
              <w:bottom w:val="single" w:sz="8" w:space="0" w:color="auto"/>
              <w:right w:val="single" w:sz="8" w:space="0" w:color="auto"/>
            </w:tcBorders>
            <w:shd w:val="clear" w:color="000000" w:fill="FFFFFF"/>
            <w:noWrap/>
            <w:vAlign w:val="bottom"/>
            <w:hideMark/>
          </w:tcPr>
          <w:p w:rsidR="001D4594" w:rsidRPr="00081FAD" w:rsidP="00E41165" w14:paraId="48BE3E00" w14:textId="7B7F096C">
            <w:pPr>
              <w:jc w:val="center"/>
              <w:rPr>
                <w:rFonts w:ascii="Arial" w:hAnsi="Arial" w:cs="Arial"/>
                <w:b/>
                <w:bCs/>
                <w:color w:val="000000"/>
                <w:sz w:val="16"/>
                <w:szCs w:val="16"/>
              </w:rPr>
            </w:pPr>
            <w:r w:rsidRPr="00081FAD">
              <w:rPr>
                <w:rFonts w:ascii="Arial" w:hAnsi="Arial" w:cs="Arial"/>
                <w:b/>
                <w:bCs/>
                <w:color w:val="000000"/>
                <w:sz w:val="16"/>
                <w:szCs w:val="16"/>
              </w:rPr>
              <w:t>$</w:t>
            </w:r>
            <w:r w:rsidR="00E31698">
              <w:rPr>
                <w:rFonts w:ascii="Arial" w:hAnsi="Arial" w:cs="Arial"/>
                <w:b/>
                <w:bCs/>
                <w:color w:val="000000"/>
                <w:sz w:val="16"/>
                <w:szCs w:val="16"/>
              </w:rPr>
              <w:t>151,290</w:t>
            </w:r>
            <w:r w:rsidRPr="00081FAD">
              <w:rPr>
                <w:rFonts w:ascii="Arial" w:hAnsi="Arial" w:cs="Arial"/>
                <w:b/>
                <w:bCs/>
                <w:color w:val="000000"/>
                <w:sz w:val="16"/>
                <w:szCs w:val="16"/>
              </w:rPr>
              <w:t xml:space="preserve"> </w:t>
            </w:r>
          </w:p>
        </w:tc>
      </w:tr>
    </w:tbl>
    <w:p w:rsidR="001D4594" w:rsidP="001D4594" w14:paraId="29F62F7F" w14:textId="77777777">
      <w:pPr>
        <w:rPr>
          <w:b/>
          <w:bCs/>
        </w:rPr>
      </w:pPr>
    </w:p>
    <w:p w:rsidR="001D4594" w:rsidP="001D4594" w14:paraId="6488D7FA" w14:textId="77777777">
      <w:pPr>
        <w:rPr>
          <w:b/>
          <w:bCs/>
        </w:rPr>
      </w:pPr>
      <w:r>
        <w:rPr>
          <w:b/>
          <w:bCs/>
        </w:rPr>
        <w:br w:type="page"/>
      </w:r>
    </w:p>
    <w:p w:rsidR="00BB3410" w:rsidRPr="00DE7D97" w:rsidP="000A4005" w14:paraId="59DC6BB0" w14:textId="77777777">
      <w:pPr>
        <w:pBdr>
          <w:top w:val="single" w:sz="6" w:space="0" w:color="FFFFFF"/>
          <w:left w:val="single" w:sz="6" w:space="0" w:color="FFFFFF"/>
          <w:bottom w:val="single" w:sz="6" w:space="0" w:color="FFFFFF"/>
          <w:right w:val="single" w:sz="6" w:space="0" w:color="FFFFFF"/>
        </w:pBdr>
      </w:pPr>
    </w:p>
    <w:sectPr w:rsidSect="001D459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3BDD50E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476683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129" w:rsidP="002335AB" w14:paraId="44AAB8BC" w14:textId="77777777">
      <w:pPr>
        <w:spacing w:after="0" w:line="240" w:lineRule="auto"/>
      </w:pPr>
      <w:r>
        <w:separator/>
      </w:r>
    </w:p>
  </w:footnote>
  <w:footnote w:type="continuationSeparator" w:id="1">
    <w:p w:rsidR="00DD7129" w:rsidP="002335AB" w14:paraId="48F116B8" w14:textId="77777777">
      <w:pPr>
        <w:spacing w:after="0" w:line="240" w:lineRule="auto"/>
      </w:pPr>
      <w:r>
        <w:continuationSeparator/>
      </w:r>
    </w:p>
  </w:footnote>
  <w:footnote w:type="continuationNotice" w:id="2">
    <w:p w:rsidR="00DD7129" w14:paraId="24809798" w14:textId="77777777">
      <w:pPr>
        <w:spacing w:after="0" w:line="240" w:lineRule="auto"/>
      </w:pPr>
    </w:p>
  </w:footnote>
  <w:footnote w:id="3">
    <w:p w:rsidR="00812EAA" w:rsidP="00812EAA" w14:paraId="01B775BB" w14:textId="77777777">
      <w:pPr>
        <w:pStyle w:val="FootnoteText"/>
      </w:pPr>
      <w:r>
        <w:rPr>
          <w:rStyle w:val="FootnoteReference"/>
        </w:rPr>
        <w:footnoteRef/>
      </w:r>
      <w:r>
        <w:t xml:space="preserve"> </w:t>
      </w:r>
      <w:r w:rsidRPr="0062370E">
        <w:rPr>
          <w:i/>
          <w:iCs/>
        </w:rPr>
        <w:t>https://www.nada.org/nada/nada-data</w:t>
      </w:r>
    </w:p>
  </w:footnote>
  <w:footnote w:id="4">
    <w:p w:rsidR="00F07761" w:rsidRPr="00586EF1" w:rsidP="00F07761" w14:paraId="08CF7119" w14:textId="77777777">
      <w:pPr>
        <w:pStyle w:val="FootnoteText"/>
        <w:rPr>
          <w:i/>
        </w:rPr>
      </w:pPr>
      <w:r>
        <w:rPr>
          <w:rStyle w:val="FootnoteReference"/>
        </w:rPr>
        <w:footnoteRef/>
      </w:r>
      <w:r>
        <w:t xml:space="preserve"> </w:t>
      </w:r>
      <w:r w:rsidRPr="00586EF1">
        <w:rPr>
          <w:i/>
          <w:sz w:val="18"/>
          <w:szCs w:val="18"/>
        </w:rPr>
        <w:t>Information Collection Request Supporting Statement for Revisions to the RCRA Definition of Solid Waste (Proposed Rule)</w:t>
      </w:r>
      <w:r>
        <w:rPr>
          <w:i/>
          <w:sz w:val="18"/>
          <w:szCs w:val="18"/>
        </w:rPr>
        <w:t>.</w:t>
      </w:r>
    </w:p>
  </w:footnote>
  <w:footnote w:id="5">
    <w:p w:rsidR="00A96BD3" w:rsidRPr="00980F51" w:rsidP="00A96BD3" w14:paraId="7019C25D" w14:textId="77777777">
      <w:pPr>
        <w:autoSpaceDE w:val="0"/>
        <w:autoSpaceDN w:val="0"/>
        <w:adjustRightInd w:val="0"/>
        <w:rPr>
          <w:rFonts w:eastAsiaTheme="minorHAnsi"/>
        </w:rPr>
      </w:pPr>
      <w:r>
        <w:rPr>
          <w:rStyle w:val="FootnoteReference"/>
        </w:rPr>
        <w:footnoteRef/>
      </w:r>
      <w:r>
        <w:t xml:space="preserve"> </w:t>
      </w:r>
      <w:r w:rsidRPr="00980F51">
        <w:rPr>
          <w:rFonts w:eastAsiaTheme="minorHAnsi"/>
          <w:i/>
          <w:iCs/>
          <w:sz w:val="20"/>
          <w:szCs w:val="20"/>
        </w:rPr>
        <w:t>Bureau of Labor Statistics, National Occupational Employment and Wage Estimate, released May, 2021 for NAICS 4411</w:t>
      </w:r>
      <w:r w:rsidRPr="00980F51">
        <w:rPr>
          <w:rFonts w:eastAsiaTheme="minorHAnsi"/>
        </w:rPr>
        <w:t>.</w:t>
      </w:r>
    </w:p>
    <w:p w:rsidR="00A96BD3" w:rsidP="00A96BD3" w14:paraId="2742503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792FEB2"/>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3976F7A"/>
    <w:multiLevelType w:val="hybridMultilevel"/>
    <w:tmpl w:val="AF98D47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hybridMultilevel"/>
    <w:tmpl w:val="E32CA312"/>
    <w:lvl w:ilvl="0">
      <w:start w:val="1"/>
      <w:numFmt w:val="decimal"/>
      <w:lvlText w:val="%1."/>
      <w:lvlJc w:val="left"/>
      <w:pPr>
        <w:ind w:left="360" w:hanging="360"/>
      </w:pPr>
      <w:rPr>
        <w:b/>
        <w:bCs/>
        <w:i w:val="0"/>
        <w:iCs w:val="0"/>
      </w:r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D6C5AA5"/>
    <w:multiLevelType w:val="hybridMultilevel"/>
    <w:tmpl w:val="76E83C28"/>
    <w:lvl w:ilvl="0">
      <w:start w:val="1"/>
      <w:numFmt w:val="bullet"/>
      <w:lvlText w:val=""/>
      <w:lvlJc w:val="left"/>
      <w:pPr>
        <w:tabs>
          <w:tab w:val="num" w:pos="780"/>
        </w:tabs>
        <w:ind w:left="420" w:firstLine="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A91AE0"/>
    <w:multiLevelType w:val="hybridMultilevel"/>
    <w:tmpl w:val="6598F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6C48A9"/>
    <w:multiLevelType w:val="hybridMultilevel"/>
    <w:tmpl w:val="6FAED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7"/>
  </w:num>
  <w:num w:numId="3" w16cid:durableId="1158494831">
    <w:abstractNumId w:val="5"/>
  </w:num>
  <w:num w:numId="4" w16cid:durableId="493573829">
    <w:abstractNumId w:val="31"/>
  </w:num>
  <w:num w:numId="5" w16cid:durableId="2055687918">
    <w:abstractNumId w:val="20"/>
  </w:num>
  <w:num w:numId="6" w16cid:durableId="1603025219">
    <w:abstractNumId w:val="29"/>
  </w:num>
  <w:num w:numId="7" w16cid:durableId="423957196">
    <w:abstractNumId w:val="17"/>
  </w:num>
  <w:num w:numId="8" w16cid:durableId="2031829208">
    <w:abstractNumId w:val="25"/>
  </w:num>
  <w:num w:numId="9" w16cid:durableId="218439549">
    <w:abstractNumId w:val="10"/>
  </w:num>
  <w:num w:numId="10" w16cid:durableId="1285231924">
    <w:abstractNumId w:val="6"/>
  </w:num>
  <w:num w:numId="11" w16cid:durableId="327370686">
    <w:abstractNumId w:val="9"/>
  </w:num>
  <w:num w:numId="12" w16cid:durableId="1802993385">
    <w:abstractNumId w:val="12"/>
  </w:num>
  <w:num w:numId="13" w16cid:durableId="1792938267">
    <w:abstractNumId w:val="32"/>
  </w:num>
  <w:num w:numId="14" w16cid:durableId="239490726">
    <w:abstractNumId w:val="8"/>
  </w:num>
  <w:num w:numId="15" w16cid:durableId="1395350314">
    <w:abstractNumId w:val="11"/>
  </w:num>
  <w:num w:numId="16" w16cid:durableId="441535906">
    <w:abstractNumId w:val="15"/>
  </w:num>
  <w:num w:numId="17" w16cid:durableId="2008243381">
    <w:abstractNumId w:val="26"/>
  </w:num>
  <w:num w:numId="18" w16cid:durableId="840463183">
    <w:abstractNumId w:val="24"/>
  </w:num>
  <w:num w:numId="19" w16cid:durableId="469980091">
    <w:abstractNumId w:val="28"/>
  </w:num>
  <w:num w:numId="20" w16cid:durableId="2126730031">
    <w:abstractNumId w:val="13"/>
  </w:num>
  <w:num w:numId="21" w16cid:durableId="106124704">
    <w:abstractNumId w:val="4"/>
  </w:num>
  <w:num w:numId="22" w16cid:durableId="1552418013">
    <w:abstractNumId w:val="16"/>
  </w:num>
  <w:num w:numId="23" w16cid:durableId="1598828334">
    <w:abstractNumId w:val="30"/>
  </w:num>
  <w:num w:numId="24" w16cid:durableId="2051031068">
    <w:abstractNumId w:val="2"/>
  </w:num>
  <w:num w:numId="25" w16cid:durableId="258569098">
    <w:abstractNumId w:val="18"/>
  </w:num>
  <w:num w:numId="26" w16cid:durableId="331181582">
    <w:abstractNumId w:val="21"/>
  </w:num>
  <w:num w:numId="27" w16cid:durableId="1015961391">
    <w:abstractNumId w:val="27"/>
  </w:num>
  <w:num w:numId="28" w16cid:durableId="1819683402">
    <w:abstractNumId w:val="19"/>
  </w:num>
  <w:num w:numId="29" w16cid:durableId="253981485">
    <w:abstractNumId w:val="23"/>
  </w:num>
  <w:num w:numId="30" w16cid:durableId="1658532385">
    <w:abstractNumId w:val="1"/>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16cid:durableId="2108773628">
    <w:abstractNumId w:val="1"/>
    <w:lvlOverride w:ilvl="0">
      <w:startOverride w:val="1"/>
      <w:lvl w:ilvl="0">
        <w:start w:val="1"/>
        <w:numFmt w:val="decimal"/>
        <w:lvlText w:val="·"/>
        <w:lvlJc w:val="left"/>
      </w:lvl>
    </w:lvlOverride>
    <w:lvlOverride w:ilvl="1">
      <w:startOverride w:val="4"/>
      <w:lvl w:ilvl="1">
        <w:start w:val="4"/>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634821439">
    <w:abstractNumId w:val="22"/>
  </w:num>
  <w:num w:numId="33" w16cid:durableId="1551303022">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34" w16cid:durableId="163880311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2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397"/>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1FAD"/>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2DA2"/>
    <w:rsid w:val="000A397C"/>
    <w:rsid w:val="000A4005"/>
    <w:rsid w:val="000A4527"/>
    <w:rsid w:val="000B132F"/>
    <w:rsid w:val="000B3576"/>
    <w:rsid w:val="000B461B"/>
    <w:rsid w:val="000B7BBA"/>
    <w:rsid w:val="000C41A7"/>
    <w:rsid w:val="000C43C8"/>
    <w:rsid w:val="000C608D"/>
    <w:rsid w:val="000D0E52"/>
    <w:rsid w:val="000D224E"/>
    <w:rsid w:val="000D251E"/>
    <w:rsid w:val="000D2D5D"/>
    <w:rsid w:val="000D3C22"/>
    <w:rsid w:val="000D45B2"/>
    <w:rsid w:val="000D516A"/>
    <w:rsid w:val="000D5863"/>
    <w:rsid w:val="000D6D3B"/>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4222"/>
    <w:rsid w:val="00164696"/>
    <w:rsid w:val="00165275"/>
    <w:rsid w:val="00166B27"/>
    <w:rsid w:val="00170329"/>
    <w:rsid w:val="00170689"/>
    <w:rsid w:val="00170EB8"/>
    <w:rsid w:val="0017193B"/>
    <w:rsid w:val="00171DC0"/>
    <w:rsid w:val="00173422"/>
    <w:rsid w:val="00173E50"/>
    <w:rsid w:val="00176B22"/>
    <w:rsid w:val="00176BA8"/>
    <w:rsid w:val="001775F3"/>
    <w:rsid w:val="00180511"/>
    <w:rsid w:val="00182B0B"/>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3CB0"/>
    <w:rsid w:val="001D4594"/>
    <w:rsid w:val="001D47F8"/>
    <w:rsid w:val="001D4CDC"/>
    <w:rsid w:val="001D4D40"/>
    <w:rsid w:val="001D4F2F"/>
    <w:rsid w:val="001D51D8"/>
    <w:rsid w:val="001D5205"/>
    <w:rsid w:val="001D5CED"/>
    <w:rsid w:val="001E0924"/>
    <w:rsid w:val="001E211E"/>
    <w:rsid w:val="001E3A31"/>
    <w:rsid w:val="001E3DB6"/>
    <w:rsid w:val="001E43D7"/>
    <w:rsid w:val="001E4A8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8F0"/>
    <w:rsid w:val="001F7B1A"/>
    <w:rsid w:val="001F7DF2"/>
    <w:rsid w:val="0020142E"/>
    <w:rsid w:val="00201886"/>
    <w:rsid w:val="002018A2"/>
    <w:rsid w:val="002064A4"/>
    <w:rsid w:val="00210F2E"/>
    <w:rsid w:val="00211627"/>
    <w:rsid w:val="002116BC"/>
    <w:rsid w:val="0021345A"/>
    <w:rsid w:val="00213AE6"/>
    <w:rsid w:val="0021437D"/>
    <w:rsid w:val="00216C6A"/>
    <w:rsid w:val="00220258"/>
    <w:rsid w:val="00222530"/>
    <w:rsid w:val="0022259D"/>
    <w:rsid w:val="0022416D"/>
    <w:rsid w:val="00224BB3"/>
    <w:rsid w:val="00224D61"/>
    <w:rsid w:val="00224F14"/>
    <w:rsid w:val="00226D49"/>
    <w:rsid w:val="00226DEE"/>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2FE5"/>
    <w:rsid w:val="0025319A"/>
    <w:rsid w:val="0025617C"/>
    <w:rsid w:val="0026050F"/>
    <w:rsid w:val="00260FB7"/>
    <w:rsid w:val="002648CF"/>
    <w:rsid w:val="00265FE7"/>
    <w:rsid w:val="00270940"/>
    <w:rsid w:val="00271801"/>
    <w:rsid w:val="00271C45"/>
    <w:rsid w:val="00277A03"/>
    <w:rsid w:val="0028340E"/>
    <w:rsid w:val="00283764"/>
    <w:rsid w:val="00283AE9"/>
    <w:rsid w:val="00283C66"/>
    <w:rsid w:val="002847BB"/>
    <w:rsid w:val="00285782"/>
    <w:rsid w:val="00285A68"/>
    <w:rsid w:val="00286FA0"/>
    <w:rsid w:val="002875A6"/>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6DD4"/>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16B1"/>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02E"/>
    <w:rsid w:val="003467C8"/>
    <w:rsid w:val="00347C3C"/>
    <w:rsid w:val="0035079F"/>
    <w:rsid w:val="003527C1"/>
    <w:rsid w:val="00352C25"/>
    <w:rsid w:val="00354F02"/>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0BD5"/>
    <w:rsid w:val="00381000"/>
    <w:rsid w:val="0038330C"/>
    <w:rsid w:val="003856DC"/>
    <w:rsid w:val="003901B8"/>
    <w:rsid w:val="003A1D0D"/>
    <w:rsid w:val="003A38FB"/>
    <w:rsid w:val="003A41A0"/>
    <w:rsid w:val="003A6BEF"/>
    <w:rsid w:val="003A78D2"/>
    <w:rsid w:val="003B04B9"/>
    <w:rsid w:val="003B0A8F"/>
    <w:rsid w:val="003B153D"/>
    <w:rsid w:val="003B4425"/>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2F87"/>
    <w:rsid w:val="0043515D"/>
    <w:rsid w:val="00436FD0"/>
    <w:rsid w:val="00441783"/>
    <w:rsid w:val="004420DA"/>
    <w:rsid w:val="00444707"/>
    <w:rsid w:val="004455F6"/>
    <w:rsid w:val="00445751"/>
    <w:rsid w:val="004468C2"/>
    <w:rsid w:val="00446B8D"/>
    <w:rsid w:val="00450C44"/>
    <w:rsid w:val="00456E33"/>
    <w:rsid w:val="004600ED"/>
    <w:rsid w:val="004620CA"/>
    <w:rsid w:val="004626AB"/>
    <w:rsid w:val="00463285"/>
    <w:rsid w:val="00464649"/>
    <w:rsid w:val="00465846"/>
    <w:rsid w:val="00466349"/>
    <w:rsid w:val="00466B43"/>
    <w:rsid w:val="00470E22"/>
    <w:rsid w:val="00472D33"/>
    <w:rsid w:val="00474278"/>
    <w:rsid w:val="00475BA6"/>
    <w:rsid w:val="00477D70"/>
    <w:rsid w:val="00481095"/>
    <w:rsid w:val="004831CC"/>
    <w:rsid w:val="00485567"/>
    <w:rsid w:val="004855BE"/>
    <w:rsid w:val="00486860"/>
    <w:rsid w:val="00490A5F"/>
    <w:rsid w:val="00491CC3"/>
    <w:rsid w:val="00491ED9"/>
    <w:rsid w:val="00495623"/>
    <w:rsid w:val="00496F19"/>
    <w:rsid w:val="0049718B"/>
    <w:rsid w:val="004A0C7A"/>
    <w:rsid w:val="004A2646"/>
    <w:rsid w:val="004A284B"/>
    <w:rsid w:val="004A2961"/>
    <w:rsid w:val="004A2CDE"/>
    <w:rsid w:val="004A3ABF"/>
    <w:rsid w:val="004A48EE"/>
    <w:rsid w:val="004A4B8D"/>
    <w:rsid w:val="004A5B46"/>
    <w:rsid w:val="004A6B13"/>
    <w:rsid w:val="004B0167"/>
    <w:rsid w:val="004B710E"/>
    <w:rsid w:val="004C17A6"/>
    <w:rsid w:val="004C43EA"/>
    <w:rsid w:val="004C443E"/>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59C"/>
    <w:rsid w:val="0052076B"/>
    <w:rsid w:val="00524059"/>
    <w:rsid w:val="00524E2E"/>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317B"/>
    <w:rsid w:val="00543E13"/>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946"/>
    <w:rsid w:val="00571C92"/>
    <w:rsid w:val="00571D24"/>
    <w:rsid w:val="005723B9"/>
    <w:rsid w:val="005726BA"/>
    <w:rsid w:val="0057299B"/>
    <w:rsid w:val="00574C83"/>
    <w:rsid w:val="005810DF"/>
    <w:rsid w:val="00583101"/>
    <w:rsid w:val="005836B3"/>
    <w:rsid w:val="00584D72"/>
    <w:rsid w:val="0058662D"/>
    <w:rsid w:val="00586EF1"/>
    <w:rsid w:val="005900C3"/>
    <w:rsid w:val="00590A21"/>
    <w:rsid w:val="005932EC"/>
    <w:rsid w:val="005966D8"/>
    <w:rsid w:val="0059769C"/>
    <w:rsid w:val="005A0F75"/>
    <w:rsid w:val="005A129A"/>
    <w:rsid w:val="005A35B4"/>
    <w:rsid w:val="005A422E"/>
    <w:rsid w:val="005A7235"/>
    <w:rsid w:val="005A7BA6"/>
    <w:rsid w:val="005B057E"/>
    <w:rsid w:val="005B499E"/>
    <w:rsid w:val="005B6A8D"/>
    <w:rsid w:val="005C0E76"/>
    <w:rsid w:val="005C195D"/>
    <w:rsid w:val="005C1E62"/>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01A5"/>
    <w:rsid w:val="00611426"/>
    <w:rsid w:val="00613362"/>
    <w:rsid w:val="006150A3"/>
    <w:rsid w:val="006161DD"/>
    <w:rsid w:val="006164C1"/>
    <w:rsid w:val="0061689C"/>
    <w:rsid w:val="006210DF"/>
    <w:rsid w:val="0062163B"/>
    <w:rsid w:val="00622434"/>
    <w:rsid w:val="00622500"/>
    <w:rsid w:val="00622738"/>
    <w:rsid w:val="00622DBA"/>
    <w:rsid w:val="0062370E"/>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096"/>
    <w:rsid w:val="00652B35"/>
    <w:rsid w:val="00652EE5"/>
    <w:rsid w:val="0065454C"/>
    <w:rsid w:val="00660027"/>
    <w:rsid w:val="00660B98"/>
    <w:rsid w:val="00663074"/>
    <w:rsid w:val="00665EAF"/>
    <w:rsid w:val="00666566"/>
    <w:rsid w:val="00666D5A"/>
    <w:rsid w:val="00670897"/>
    <w:rsid w:val="00672A20"/>
    <w:rsid w:val="006737EC"/>
    <w:rsid w:val="006739CE"/>
    <w:rsid w:val="0068304A"/>
    <w:rsid w:val="00683207"/>
    <w:rsid w:val="00686D59"/>
    <w:rsid w:val="00687254"/>
    <w:rsid w:val="00687583"/>
    <w:rsid w:val="00690B5B"/>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226"/>
    <w:rsid w:val="006F1F1D"/>
    <w:rsid w:val="006F4946"/>
    <w:rsid w:val="00700983"/>
    <w:rsid w:val="007020F8"/>
    <w:rsid w:val="007029CB"/>
    <w:rsid w:val="00702E91"/>
    <w:rsid w:val="00702F36"/>
    <w:rsid w:val="00703FEF"/>
    <w:rsid w:val="00704459"/>
    <w:rsid w:val="007045C4"/>
    <w:rsid w:val="007046A6"/>
    <w:rsid w:val="00704CBA"/>
    <w:rsid w:val="00706B15"/>
    <w:rsid w:val="00706F41"/>
    <w:rsid w:val="00707CC4"/>
    <w:rsid w:val="00710A21"/>
    <w:rsid w:val="00712749"/>
    <w:rsid w:val="007128E1"/>
    <w:rsid w:val="007139DB"/>
    <w:rsid w:val="00714D14"/>
    <w:rsid w:val="00714E66"/>
    <w:rsid w:val="007167A3"/>
    <w:rsid w:val="00716971"/>
    <w:rsid w:val="00716CE1"/>
    <w:rsid w:val="00716D1D"/>
    <w:rsid w:val="007212AC"/>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74F"/>
    <w:rsid w:val="00746F8F"/>
    <w:rsid w:val="00747678"/>
    <w:rsid w:val="00747DF4"/>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A6D8B"/>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1F0"/>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2EAA"/>
    <w:rsid w:val="00813155"/>
    <w:rsid w:val="008144DD"/>
    <w:rsid w:val="0081485B"/>
    <w:rsid w:val="00815A4C"/>
    <w:rsid w:val="00816010"/>
    <w:rsid w:val="008201BE"/>
    <w:rsid w:val="008202C9"/>
    <w:rsid w:val="008208CD"/>
    <w:rsid w:val="008219AA"/>
    <w:rsid w:val="008240E3"/>
    <w:rsid w:val="00824481"/>
    <w:rsid w:val="00824837"/>
    <w:rsid w:val="00827596"/>
    <w:rsid w:val="0082798D"/>
    <w:rsid w:val="00830F44"/>
    <w:rsid w:val="008310D5"/>
    <w:rsid w:val="008316D7"/>
    <w:rsid w:val="00831944"/>
    <w:rsid w:val="00831B47"/>
    <w:rsid w:val="008343F1"/>
    <w:rsid w:val="008366EC"/>
    <w:rsid w:val="00840AE4"/>
    <w:rsid w:val="008416DF"/>
    <w:rsid w:val="00843263"/>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4951"/>
    <w:rsid w:val="008B5109"/>
    <w:rsid w:val="008B57B0"/>
    <w:rsid w:val="008B6275"/>
    <w:rsid w:val="008B654D"/>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32E"/>
    <w:rsid w:val="00902767"/>
    <w:rsid w:val="00902BB7"/>
    <w:rsid w:val="009048BF"/>
    <w:rsid w:val="00911677"/>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2D85"/>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0F51"/>
    <w:rsid w:val="0098132F"/>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379"/>
    <w:rsid w:val="009A09EC"/>
    <w:rsid w:val="009A0E02"/>
    <w:rsid w:val="009A151F"/>
    <w:rsid w:val="009A24BC"/>
    <w:rsid w:val="009A442C"/>
    <w:rsid w:val="009A55FD"/>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09D2"/>
    <w:rsid w:val="00A41B23"/>
    <w:rsid w:val="00A45770"/>
    <w:rsid w:val="00A45865"/>
    <w:rsid w:val="00A5226D"/>
    <w:rsid w:val="00A53BD4"/>
    <w:rsid w:val="00A53C9A"/>
    <w:rsid w:val="00A55764"/>
    <w:rsid w:val="00A55B12"/>
    <w:rsid w:val="00A56C84"/>
    <w:rsid w:val="00A60384"/>
    <w:rsid w:val="00A6282F"/>
    <w:rsid w:val="00A62AFA"/>
    <w:rsid w:val="00A64B54"/>
    <w:rsid w:val="00A67FC6"/>
    <w:rsid w:val="00A68791"/>
    <w:rsid w:val="00A71397"/>
    <w:rsid w:val="00A71F84"/>
    <w:rsid w:val="00A72623"/>
    <w:rsid w:val="00A75BFC"/>
    <w:rsid w:val="00A768D2"/>
    <w:rsid w:val="00A80A27"/>
    <w:rsid w:val="00A816BC"/>
    <w:rsid w:val="00A82647"/>
    <w:rsid w:val="00A83EB5"/>
    <w:rsid w:val="00A8542E"/>
    <w:rsid w:val="00A8593A"/>
    <w:rsid w:val="00A9188B"/>
    <w:rsid w:val="00A91EFC"/>
    <w:rsid w:val="00A94D77"/>
    <w:rsid w:val="00A955EC"/>
    <w:rsid w:val="00A96BD3"/>
    <w:rsid w:val="00A9734E"/>
    <w:rsid w:val="00A975AC"/>
    <w:rsid w:val="00A97EE9"/>
    <w:rsid w:val="00AA26C8"/>
    <w:rsid w:val="00AA2AE3"/>
    <w:rsid w:val="00AA3857"/>
    <w:rsid w:val="00AA4A5E"/>
    <w:rsid w:val="00AA4F24"/>
    <w:rsid w:val="00AA4F6D"/>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9C5"/>
    <w:rsid w:val="00AE7BE7"/>
    <w:rsid w:val="00AE7FC5"/>
    <w:rsid w:val="00AF0447"/>
    <w:rsid w:val="00AF2486"/>
    <w:rsid w:val="00AF28F1"/>
    <w:rsid w:val="00AF3D20"/>
    <w:rsid w:val="00AF4218"/>
    <w:rsid w:val="00AF59B6"/>
    <w:rsid w:val="00AF6F5C"/>
    <w:rsid w:val="00B021B7"/>
    <w:rsid w:val="00B027C5"/>
    <w:rsid w:val="00B02874"/>
    <w:rsid w:val="00B04655"/>
    <w:rsid w:val="00B06750"/>
    <w:rsid w:val="00B07337"/>
    <w:rsid w:val="00B11B2A"/>
    <w:rsid w:val="00B13545"/>
    <w:rsid w:val="00B13DEC"/>
    <w:rsid w:val="00B15AEE"/>
    <w:rsid w:val="00B15B9E"/>
    <w:rsid w:val="00B1614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1BF6"/>
    <w:rsid w:val="00B62988"/>
    <w:rsid w:val="00B63B97"/>
    <w:rsid w:val="00B65237"/>
    <w:rsid w:val="00B665FB"/>
    <w:rsid w:val="00B666CD"/>
    <w:rsid w:val="00B67894"/>
    <w:rsid w:val="00B72371"/>
    <w:rsid w:val="00B737EF"/>
    <w:rsid w:val="00B74D25"/>
    <w:rsid w:val="00B7519D"/>
    <w:rsid w:val="00B77C81"/>
    <w:rsid w:val="00B80F76"/>
    <w:rsid w:val="00B818B8"/>
    <w:rsid w:val="00B81A2E"/>
    <w:rsid w:val="00B83587"/>
    <w:rsid w:val="00B8407F"/>
    <w:rsid w:val="00B8491D"/>
    <w:rsid w:val="00B858C8"/>
    <w:rsid w:val="00B85B34"/>
    <w:rsid w:val="00B8742C"/>
    <w:rsid w:val="00B87CF1"/>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33C"/>
    <w:rsid w:val="00BC1522"/>
    <w:rsid w:val="00BC1BF0"/>
    <w:rsid w:val="00BC3541"/>
    <w:rsid w:val="00BC3DD2"/>
    <w:rsid w:val="00BD12E4"/>
    <w:rsid w:val="00BD6B16"/>
    <w:rsid w:val="00BE12E1"/>
    <w:rsid w:val="00BE1B26"/>
    <w:rsid w:val="00BE1F44"/>
    <w:rsid w:val="00BE3D6F"/>
    <w:rsid w:val="00BE43EC"/>
    <w:rsid w:val="00BE4548"/>
    <w:rsid w:val="00BE53BF"/>
    <w:rsid w:val="00BE63D7"/>
    <w:rsid w:val="00BF0CAD"/>
    <w:rsid w:val="00BF144F"/>
    <w:rsid w:val="00BF2700"/>
    <w:rsid w:val="00BF2A34"/>
    <w:rsid w:val="00BF2DF6"/>
    <w:rsid w:val="00BF5699"/>
    <w:rsid w:val="00BF6721"/>
    <w:rsid w:val="00C028B9"/>
    <w:rsid w:val="00C02D9A"/>
    <w:rsid w:val="00C033E9"/>
    <w:rsid w:val="00C0389F"/>
    <w:rsid w:val="00C03FE4"/>
    <w:rsid w:val="00C04326"/>
    <w:rsid w:val="00C046AD"/>
    <w:rsid w:val="00C054E3"/>
    <w:rsid w:val="00C066B7"/>
    <w:rsid w:val="00C07AAE"/>
    <w:rsid w:val="00C07D74"/>
    <w:rsid w:val="00C110C3"/>
    <w:rsid w:val="00C11ED5"/>
    <w:rsid w:val="00C13401"/>
    <w:rsid w:val="00C13B84"/>
    <w:rsid w:val="00C14B7B"/>
    <w:rsid w:val="00C14D9D"/>
    <w:rsid w:val="00C1628D"/>
    <w:rsid w:val="00C20372"/>
    <w:rsid w:val="00C2356F"/>
    <w:rsid w:val="00C24C6C"/>
    <w:rsid w:val="00C25A7A"/>
    <w:rsid w:val="00C26535"/>
    <w:rsid w:val="00C27150"/>
    <w:rsid w:val="00C30469"/>
    <w:rsid w:val="00C3183C"/>
    <w:rsid w:val="00C32359"/>
    <w:rsid w:val="00C32D5B"/>
    <w:rsid w:val="00C33E98"/>
    <w:rsid w:val="00C347F1"/>
    <w:rsid w:val="00C34842"/>
    <w:rsid w:val="00C36AEE"/>
    <w:rsid w:val="00C36E61"/>
    <w:rsid w:val="00C375CA"/>
    <w:rsid w:val="00C418FD"/>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47EA"/>
    <w:rsid w:val="00C754FD"/>
    <w:rsid w:val="00C76F56"/>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5D6"/>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122"/>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BFA"/>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5C24"/>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4889"/>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5934"/>
    <w:rsid w:val="00DC6593"/>
    <w:rsid w:val="00DD0095"/>
    <w:rsid w:val="00DD2682"/>
    <w:rsid w:val="00DD35B0"/>
    <w:rsid w:val="00DD4E7A"/>
    <w:rsid w:val="00DD6533"/>
    <w:rsid w:val="00DD7129"/>
    <w:rsid w:val="00DD718B"/>
    <w:rsid w:val="00DE15D8"/>
    <w:rsid w:val="00DE26D9"/>
    <w:rsid w:val="00DE3B54"/>
    <w:rsid w:val="00DE3DF8"/>
    <w:rsid w:val="00DE4E0C"/>
    <w:rsid w:val="00DE50FF"/>
    <w:rsid w:val="00DE60DC"/>
    <w:rsid w:val="00DE68CB"/>
    <w:rsid w:val="00DE7C00"/>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1698"/>
    <w:rsid w:val="00E33FC1"/>
    <w:rsid w:val="00E3518D"/>
    <w:rsid w:val="00E35BF8"/>
    <w:rsid w:val="00E37A2B"/>
    <w:rsid w:val="00E40D81"/>
    <w:rsid w:val="00E41165"/>
    <w:rsid w:val="00E42EA6"/>
    <w:rsid w:val="00E439D8"/>
    <w:rsid w:val="00E45FFE"/>
    <w:rsid w:val="00E463E4"/>
    <w:rsid w:val="00E467C2"/>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6BE"/>
    <w:rsid w:val="00EB4C2F"/>
    <w:rsid w:val="00EB6D36"/>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1236"/>
    <w:rsid w:val="00EE2072"/>
    <w:rsid w:val="00EE2403"/>
    <w:rsid w:val="00EE2B2F"/>
    <w:rsid w:val="00EE5AC9"/>
    <w:rsid w:val="00EE68B7"/>
    <w:rsid w:val="00EE7609"/>
    <w:rsid w:val="00EE782C"/>
    <w:rsid w:val="00EF2E9D"/>
    <w:rsid w:val="00EF3B34"/>
    <w:rsid w:val="00EF519E"/>
    <w:rsid w:val="00EF71E8"/>
    <w:rsid w:val="00EF7A31"/>
    <w:rsid w:val="00EF7B2E"/>
    <w:rsid w:val="00F0015C"/>
    <w:rsid w:val="00F02003"/>
    <w:rsid w:val="00F0705E"/>
    <w:rsid w:val="00F071BE"/>
    <w:rsid w:val="00F07761"/>
    <w:rsid w:val="00F10CEB"/>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16"/>
    <w:rsid w:val="00F34BCA"/>
    <w:rsid w:val="00F36723"/>
    <w:rsid w:val="00F37D13"/>
    <w:rsid w:val="00F405E9"/>
    <w:rsid w:val="00F41108"/>
    <w:rsid w:val="00F43533"/>
    <w:rsid w:val="00F440BC"/>
    <w:rsid w:val="00F462DB"/>
    <w:rsid w:val="00F47EAC"/>
    <w:rsid w:val="00F5019F"/>
    <w:rsid w:val="00F50C29"/>
    <w:rsid w:val="00F51F05"/>
    <w:rsid w:val="00F56114"/>
    <w:rsid w:val="00F573CC"/>
    <w:rsid w:val="00F57A22"/>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87DEA"/>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1410"/>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97FAF97"/>
  <w15:docId w15:val="{F2AF1477-78C7-45E4-8F2F-172536B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2,Char3,Char4,Footnote Text - Preamble,Footnote Text - Preamble1,Footnote Text Char Char,Footnote Text Char Char Char Char,Footnote Text Char Char1,Footnote Text Char1,Footnote Text Char1 Char Char,f,fn"/>
    <w:basedOn w:val="Normal"/>
    <w:link w:val="FootnoteTextChar"/>
    <w:unhideWhenUsed/>
    <w:rsid w:val="005723B9"/>
    <w:pPr>
      <w:spacing w:after="0" w:line="240" w:lineRule="auto"/>
    </w:pPr>
    <w:rPr>
      <w:sz w:val="20"/>
      <w:szCs w:val="20"/>
    </w:rPr>
  </w:style>
  <w:style w:type="character" w:customStyle="1" w:styleId="FootnoteTextChar">
    <w:name w:val="Footnote Text Char"/>
    <w:aliases w:val=" Char Char, Char4 Char,ALTS FOOTNOTE Char,Char Char,Char2 Char,Char3 Char,Char4 Char,Footnote Text - Preamble Char,Footnote Text - Preamble1 Char,Footnote Text Char Char Char,Footnote Text Char Char Char Char Char,f Char,fn Char"/>
    <w:basedOn w:val="DefaultParagraphFont"/>
    <w:link w:val="FootnoteText"/>
    <w:uiPriority w:val="99"/>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f0">
    <w:name w:val="pf0"/>
    <w:basedOn w:val="Normal"/>
    <w:rsid w:val="00DD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129"/>
    <w:rPr>
      <w:rFonts w:ascii="Segoe UI" w:hAnsi="Segoe UI" w:cs="Segoe UI" w:hint="default"/>
      <w:b/>
      <w:bCs/>
      <w:sz w:val="18"/>
      <w:szCs w:val="18"/>
    </w:rPr>
  </w:style>
  <w:style w:type="paragraph" w:customStyle="1" w:styleId="Level1">
    <w:name w:val="Level 1"/>
    <w:basedOn w:val="Normal"/>
    <w:rsid w:val="00C13401"/>
    <w:pPr>
      <w:widowControl w:val="0"/>
      <w:spacing w:after="0" w:line="240" w:lineRule="auto"/>
    </w:pPr>
    <w:rPr>
      <w:rFonts w:ascii="Times New Roman" w:eastAsia="Times New Roman" w:hAnsi="Times New Roman" w:cs="Times New Roman"/>
      <w:sz w:val="20"/>
      <w:szCs w:val="20"/>
    </w:rPr>
  </w:style>
  <w:style w:type="character" w:customStyle="1" w:styleId="footnoteref0">
    <w:name w:val="footnote ref"/>
    <w:rsid w:val="00C13401"/>
    <w:rPr>
      <w:sz w:val="24"/>
      <w:vertAlign w:val="superscript"/>
    </w:rPr>
  </w:style>
  <w:style w:type="paragraph" w:customStyle="1" w:styleId="Level2">
    <w:name w:val="Level 2"/>
    <w:basedOn w:val="Normal"/>
    <w:rsid w:val="008B654D"/>
    <w:pPr>
      <w:widowControl w:val="0"/>
      <w:numPr>
        <w:ilvl w:val="1"/>
        <w:numId w:val="30"/>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Default">
    <w:name w:val="Default"/>
    <w:rsid w:val="00F41108"/>
    <w:pPr>
      <w:widowControl w:val="0"/>
      <w:autoSpaceDE w:val="0"/>
      <w:autoSpaceDN w:val="0"/>
      <w:adjustRightInd w:val="0"/>
      <w:spacing w:after="0" w:line="240" w:lineRule="auto"/>
    </w:pPr>
    <w:rPr>
      <w:rFonts w:ascii="Times" w:eastAsia="Times New Roman"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Pages>
  <Words>2393</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Vyas, Peggy</cp:lastModifiedBy>
  <cp:revision>21</cp:revision>
  <dcterms:created xsi:type="dcterms:W3CDTF">2025-08-21T14:12:00Z</dcterms:created>
  <dcterms:modified xsi:type="dcterms:W3CDTF">2025-08-27T18:30:00Z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