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A73AE" w:rsidRPr="000A73AE" w:rsidP="00E55BFA" w14:paraId="0BB2AF68" w14:textId="3C600930">
      <w:pPr>
        <w:rPr>
          <w:b/>
          <w:bCs/>
        </w:rPr>
      </w:pPr>
      <w:r w:rsidRPr="000A73AE">
        <w:rPr>
          <w:b/>
          <w:bCs/>
        </w:rPr>
        <w:t>Agency Information Collection Activities; Submission to the Office of Management and Budget for Review and Approval; Comment Request; National Assessment of Educational Progress (NAEP) 202</w:t>
      </w:r>
      <w:r w:rsidR="00FF3EA9">
        <w:rPr>
          <w:b/>
          <w:bCs/>
        </w:rPr>
        <w:t>7</w:t>
      </w:r>
      <w:r>
        <w:rPr>
          <w:b/>
          <w:bCs/>
        </w:rPr>
        <w:t xml:space="preserve"> </w:t>
      </w:r>
      <w:r w:rsidR="00BE7394">
        <w:rPr>
          <w:b/>
          <w:bCs/>
        </w:rPr>
        <w:t xml:space="preserve">Science Pilot </w:t>
      </w:r>
      <w:r w:rsidR="00D40E03">
        <w:rPr>
          <w:b/>
        </w:rPr>
        <w:t>3</w:t>
      </w:r>
      <w:r w:rsidRPr="007601BA" w:rsidR="00BE7C9D">
        <w:rPr>
          <w:b/>
        </w:rPr>
        <w:t>0</w:t>
      </w:r>
      <w:r w:rsidRPr="009C1712" w:rsidR="00EC5F1C">
        <w:rPr>
          <w:b/>
          <w:bCs/>
        </w:rPr>
        <w:t>-day</w:t>
      </w:r>
      <w:r w:rsidRPr="007601BA" w:rsidR="00BE7C9D">
        <w:rPr>
          <w:b/>
        </w:rPr>
        <w:t xml:space="preserve"> </w:t>
      </w:r>
      <w:r w:rsidR="00BE7394">
        <w:rPr>
          <w:b/>
          <w:bCs/>
        </w:rPr>
        <w:t>Clearance Package</w:t>
      </w:r>
    </w:p>
    <w:p w:rsidR="00784FFA" w:rsidP="00E55BFA" w14:paraId="22508B22" w14:textId="074C0D9B">
      <w:r w:rsidRPr="00784FFA">
        <w:t xml:space="preserve">Department is especially interested in public comment addressing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respondents, including through the use of information technology. Please note that written comments received in response to this notice will be considered public records. </w:t>
      </w:r>
    </w:p>
    <w:p w:rsidR="00E55BFA" w:rsidRPr="00E55BFA" w:rsidP="00E55BFA" w14:paraId="386A2F41" w14:textId="5E108F8D">
      <w:r w:rsidRPr="00E55BFA">
        <w:rPr>
          <w:i/>
          <w:iCs/>
        </w:rPr>
        <w:t xml:space="preserve">Title of Collection: </w:t>
      </w:r>
      <w:r w:rsidRPr="00E55BFA">
        <w:t>National Assessment of Educational Progress</w:t>
      </w:r>
      <w:r>
        <w:t xml:space="preserve"> </w:t>
      </w:r>
      <w:r w:rsidRPr="00E55BFA">
        <w:t xml:space="preserve">(NAEP) </w:t>
      </w:r>
      <w:r w:rsidR="00855A93">
        <w:t xml:space="preserve">2027 Science Pilot </w:t>
      </w:r>
      <w:r w:rsidR="00D40E03">
        <w:t>3</w:t>
      </w:r>
      <w:r w:rsidRPr="007601BA" w:rsidR="00BE7C9D">
        <w:t>0</w:t>
      </w:r>
      <w:r w:rsidRPr="009C1712" w:rsidR="00EC5F1C">
        <w:t>-day</w:t>
      </w:r>
      <w:r w:rsidRPr="00BE7CCF" w:rsidR="00BE7C9D">
        <w:rPr>
          <w:i/>
        </w:rPr>
        <w:t xml:space="preserve"> </w:t>
      </w:r>
      <w:r w:rsidR="00855A93">
        <w:t>Clearance Package</w:t>
      </w:r>
      <w:r w:rsidRPr="00E55BFA">
        <w:t> </w:t>
      </w:r>
    </w:p>
    <w:p w:rsidR="00E55BFA" w:rsidRPr="00E55BFA" w:rsidP="00E55BFA" w14:paraId="5CA3B098" w14:textId="77777777">
      <w:r w:rsidRPr="00E55BFA">
        <w:rPr>
          <w:i/>
          <w:iCs/>
        </w:rPr>
        <w:t xml:space="preserve">OMB Control Number: </w:t>
      </w:r>
      <w:r w:rsidRPr="00E55BFA">
        <w:t>1850–0928. </w:t>
      </w:r>
    </w:p>
    <w:p w:rsidR="00E55BFA" w:rsidRPr="00E55BFA" w:rsidP="00E55BFA" w14:paraId="0EBAAB36" w14:textId="77777777">
      <w:r w:rsidRPr="00E55BFA">
        <w:rPr>
          <w:i/>
          <w:iCs/>
        </w:rPr>
        <w:t xml:space="preserve">Type of Review: </w:t>
      </w:r>
      <w:r w:rsidRPr="00E55BFA">
        <w:t>Revision of a currently approved ICR. </w:t>
      </w:r>
    </w:p>
    <w:p w:rsidR="00B81CC5" w:rsidP="00E55BFA" w14:paraId="6D0F30FC" w14:textId="77777777">
      <w:r w:rsidRPr="00E55BFA">
        <w:rPr>
          <w:i/>
          <w:iCs/>
        </w:rPr>
        <w:t xml:space="preserve">Respondents/Affected Public: </w:t>
      </w:r>
      <w:r w:rsidRPr="00E55BFA">
        <w:t xml:space="preserve">Individuals and Households; State, Local, and Tribal Governments </w:t>
      </w:r>
    </w:p>
    <w:p w:rsidR="00E55BFA" w:rsidRPr="00E55BFA" w:rsidP="00E55BFA" w14:paraId="2A46F0FD" w14:textId="7459967E">
      <w:r w:rsidRPr="00E55BFA">
        <w:rPr>
          <w:i/>
          <w:iCs/>
        </w:rPr>
        <w:t xml:space="preserve">Total Estimated Number of Annual Responses: </w:t>
      </w:r>
      <w:r w:rsidR="00120CDE">
        <w:t>17,</w:t>
      </w:r>
      <w:r w:rsidR="00026F28">
        <w:t>960</w:t>
      </w:r>
      <w:r w:rsidRPr="00E55BFA">
        <w:t>. </w:t>
      </w:r>
    </w:p>
    <w:p w:rsidR="00E55BFA" w:rsidRPr="00E55BFA" w:rsidP="00E55BFA" w14:paraId="238C1FA9" w14:textId="307241DF">
      <w:r w:rsidRPr="00E55BFA">
        <w:rPr>
          <w:i/>
          <w:iCs/>
        </w:rPr>
        <w:t>Total Estimated Number of Annual</w:t>
      </w:r>
      <w:r w:rsidRPr="00E55BFA">
        <w:t> </w:t>
      </w:r>
      <w:r w:rsidRPr="00E55BFA">
        <w:rPr>
          <w:i/>
          <w:iCs/>
        </w:rPr>
        <w:t xml:space="preserve">Burden Hours: </w:t>
      </w:r>
      <w:r w:rsidR="00120CDE">
        <w:t>10,</w:t>
      </w:r>
      <w:r w:rsidR="00026F28">
        <w:t>790</w:t>
      </w:r>
      <w:r w:rsidRPr="00E55BFA">
        <w:t>. </w:t>
      </w:r>
    </w:p>
    <w:p w:rsidR="00E84016" w:rsidRPr="00843764" w:rsidP="009C1712" w14:paraId="2959A98E" w14:textId="5872B024">
      <w:pPr>
        <w:widowControl w:val="0"/>
      </w:pPr>
      <w:r w:rsidRPr="00E84016">
        <w:rPr>
          <w:i/>
          <w:iCs/>
        </w:rPr>
        <w:t xml:space="preserve">Abstract: The National Assessment of Educational Progress (NAEP), conducted by the National Center for Education Statistics (NCES), is a federally authorized survey of student achievement at grades 4, 8, and 12 in various subject areas, such as mathematics, reading, writing, science, U.S. history, and civics. The National Assessment of Educational Progress Authorization Act (Pub. L. 107–279, title III, section 303) requires the assessment to collect data on specified student groups and characteristics, including information organized by race/ethnicity, sex,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NAEP consists of two assessment programs: the NAEP long-term trend (LTT) assessment and the main NAEP assessment. The LTT assessments are given at the national level only and are administered to students at ages 9, 13, and 17 in a manner that is very different from that used for the main NAEP assessments. LTT reports mathematics and reading results that present trend data since the 1970s. </w:t>
      </w:r>
      <w:r w:rsidRPr="00843764" w:rsidR="005D7E49">
        <w:rPr>
          <w:i/>
        </w:rPr>
        <w:t>LTT does not provide scores for individual students or schools.</w:t>
      </w:r>
      <w:r w:rsidRPr="00843764" w:rsidR="00B075DB">
        <w:rPr>
          <w:i/>
        </w:rPr>
        <w:t xml:space="preserve"> </w:t>
      </w:r>
      <w:r w:rsidRPr="00E84016">
        <w:rPr>
          <w:i/>
          <w:iCs/>
        </w:rPr>
        <w:t>In addition to the operational assessments, NAEP</w:t>
      </w:r>
      <w:r w:rsidR="00D32865">
        <w:rPr>
          <w:i/>
          <w:iCs/>
        </w:rPr>
        <w:t xml:space="preserve"> also</w:t>
      </w:r>
      <w:r w:rsidRPr="00E84016">
        <w:rPr>
          <w:i/>
          <w:iCs/>
        </w:rPr>
        <w:t xml:space="preserve"> uses pilot assessments</w:t>
      </w:r>
      <w:r w:rsidR="003525E0">
        <w:rPr>
          <w:i/>
          <w:iCs/>
        </w:rPr>
        <w:t>, which</w:t>
      </w:r>
      <w:r w:rsidRPr="00E84016">
        <w:rPr>
          <w:i/>
          <w:iCs/>
        </w:rPr>
        <w:t xml:space="preserve"> test items and procedures for future administrations of NAEP</w:t>
      </w:r>
      <w:r w:rsidR="003525E0">
        <w:rPr>
          <w:i/>
          <w:iCs/>
        </w:rPr>
        <w:t>.</w:t>
      </w:r>
    </w:p>
    <w:p w:rsidR="00E84016" w:rsidP="00544443" w14:paraId="700868D2" w14:textId="17E6F2C5">
      <w:pPr>
        <w:pStyle w:val="OMBtext"/>
        <w:widowControl w:val="0"/>
        <w:spacing w:after="0" w:line="23" w:lineRule="atLeast"/>
        <w:rPr>
          <w:rFonts w:eastAsiaTheme="minorHAnsi"/>
          <w:i/>
        </w:rPr>
      </w:pPr>
      <w:r w:rsidRPr="00544443">
        <w:rPr>
          <w:rFonts w:asciiTheme="minorHAnsi" w:eastAsiaTheme="minorHAnsi" w:hAnsiTheme="minorHAnsi" w:cstheme="minorBidi"/>
          <w:i/>
          <w:color w:val="auto"/>
          <w:kern w:val="2"/>
          <w:sz w:val="22"/>
          <w:szCs w:val="22"/>
          <w14:ligatures w14:val="standardContextual"/>
        </w:rPr>
        <w:t>Th</w:t>
      </w:r>
      <w:r w:rsidRPr="00544443" w:rsidR="00544443">
        <w:rPr>
          <w:rFonts w:asciiTheme="minorHAnsi" w:eastAsiaTheme="minorHAnsi" w:hAnsiTheme="minorHAnsi" w:cstheme="minorBidi"/>
          <w:i/>
          <w:color w:val="auto"/>
          <w:kern w:val="2"/>
          <w:sz w:val="22"/>
          <w:szCs w:val="22"/>
          <w14:ligatures w14:val="standardContextual"/>
        </w:rPr>
        <w:t xml:space="preserve">e purpose of this </w:t>
      </w:r>
      <w:bookmarkStart w:id="0" w:name="_Hlk215576741"/>
      <w:r w:rsidR="00514A36">
        <w:rPr>
          <w:rFonts w:asciiTheme="minorHAnsi" w:eastAsiaTheme="minorHAnsi" w:hAnsiTheme="minorHAnsi" w:cstheme="minorBidi"/>
          <w:i/>
          <w:color w:val="auto"/>
          <w:kern w:val="2"/>
          <w:sz w:val="22"/>
          <w:szCs w:val="22"/>
          <w14:ligatures w14:val="standardContextual"/>
        </w:rPr>
        <w:t>30</w:t>
      </w:r>
      <w:r w:rsidRPr="00544443" w:rsidR="00D436E9">
        <w:rPr>
          <w:rFonts w:asciiTheme="minorHAnsi" w:eastAsiaTheme="minorHAnsi" w:hAnsiTheme="minorHAnsi" w:cstheme="minorBidi"/>
          <w:i/>
          <w:color w:val="auto"/>
          <w:kern w:val="2"/>
          <w:sz w:val="22"/>
          <w:szCs w:val="22"/>
          <w14:ligatures w14:val="standardContextual"/>
        </w:rPr>
        <w:t xml:space="preserve">-day </w:t>
      </w:r>
      <w:bookmarkEnd w:id="0"/>
      <w:r w:rsidRPr="00544443" w:rsidR="00D436E9">
        <w:rPr>
          <w:rFonts w:asciiTheme="minorHAnsi" w:eastAsiaTheme="minorHAnsi" w:hAnsiTheme="minorHAnsi" w:cstheme="minorBidi"/>
          <w:i/>
          <w:color w:val="auto"/>
          <w:kern w:val="2"/>
          <w:sz w:val="22"/>
          <w:szCs w:val="22"/>
          <w14:ligatures w14:val="standardContextual"/>
        </w:rPr>
        <w:t xml:space="preserve">Clearance Package </w:t>
      </w:r>
      <w:r w:rsidRPr="009C1712">
        <w:rPr>
          <w:rFonts w:asciiTheme="minorHAnsi" w:eastAsiaTheme="minorHAnsi" w:hAnsiTheme="minorHAnsi" w:cstheme="minorBidi"/>
          <w:i/>
          <w:iCs/>
          <w:color w:val="auto"/>
          <w:kern w:val="2"/>
          <w:sz w:val="22"/>
          <w:szCs w:val="22"/>
          <w14:ligatures w14:val="standardContextual"/>
        </w:rPr>
        <w:t xml:space="preserve">request </w:t>
      </w:r>
      <w:r w:rsidR="00544443">
        <w:rPr>
          <w:rFonts w:asciiTheme="minorHAnsi" w:eastAsiaTheme="minorHAnsi" w:hAnsiTheme="minorHAnsi" w:cstheme="minorBidi"/>
          <w:i/>
          <w:iCs/>
          <w:color w:val="auto"/>
          <w:kern w:val="2"/>
          <w:sz w:val="22"/>
          <w:szCs w:val="22"/>
          <w14:ligatures w14:val="standardContextual"/>
        </w:rPr>
        <w:t>(OMB# 1850-0928 v.3</w:t>
      </w:r>
      <w:r w:rsidR="00FF6F84">
        <w:rPr>
          <w:rFonts w:asciiTheme="minorHAnsi" w:eastAsiaTheme="minorHAnsi" w:hAnsiTheme="minorHAnsi" w:cstheme="minorBidi"/>
          <w:i/>
          <w:iCs/>
          <w:color w:val="auto"/>
          <w:kern w:val="2"/>
          <w:sz w:val="22"/>
          <w:szCs w:val="22"/>
          <w14:ligatures w14:val="standardContextual"/>
        </w:rPr>
        <w:t>9</w:t>
      </w:r>
      <w:r w:rsidR="00544443">
        <w:rPr>
          <w:rFonts w:asciiTheme="minorHAnsi" w:eastAsiaTheme="minorHAnsi" w:hAnsiTheme="minorHAnsi" w:cstheme="minorBidi"/>
          <w:i/>
          <w:iCs/>
          <w:color w:val="auto"/>
          <w:kern w:val="2"/>
          <w:sz w:val="22"/>
          <w:szCs w:val="22"/>
          <w14:ligatures w14:val="standardContextual"/>
        </w:rPr>
        <w:t>)</w:t>
      </w:r>
      <w:r w:rsidR="00FF6F84">
        <w:rPr>
          <w:rFonts w:asciiTheme="minorHAnsi" w:eastAsiaTheme="minorHAnsi" w:hAnsiTheme="minorHAnsi" w:cstheme="minorBidi"/>
          <w:i/>
          <w:iCs/>
          <w:color w:val="auto"/>
          <w:kern w:val="2"/>
          <w:sz w:val="22"/>
          <w:szCs w:val="22"/>
          <w14:ligatures w14:val="standardContextual"/>
        </w:rPr>
        <w:t xml:space="preserve"> </w:t>
      </w:r>
      <w:r w:rsidRPr="009C1712">
        <w:rPr>
          <w:rFonts w:asciiTheme="minorHAnsi" w:eastAsiaTheme="minorHAnsi" w:hAnsiTheme="minorHAnsi" w:cstheme="minorBidi"/>
          <w:i/>
          <w:iCs/>
          <w:color w:val="auto"/>
          <w:kern w:val="2"/>
          <w:sz w:val="22"/>
          <w:szCs w:val="22"/>
          <w14:ligatures w14:val="standardContextual"/>
        </w:rPr>
        <w:t xml:space="preserve">is </w:t>
      </w:r>
      <w:r w:rsidRPr="009C1712" w:rsidR="00C27619">
        <w:rPr>
          <w:rFonts w:asciiTheme="minorHAnsi" w:eastAsiaTheme="minorHAnsi" w:hAnsiTheme="minorHAnsi" w:cstheme="minorBidi"/>
          <w:i/>
          <w:iCs/>
          <w:color w:val="auto"/>
          <w:kern w:val="2"/>
          <w:sz w:val="22"/>
          <w:szCs w:val="22"/>
          <w14:ligatures w14:val="standardContextual"/>
        </w:rPr>
        <w:t xml:space="preserve">to conduct </w:t>
      </w:r>
      <w:r w:rsidR="000965E8">
        <w:rPr>
          <w:rFonts w:asciiTheme="minorHAnsi" w:eastAsiaTheme="minorHAnsi" w:hAnsiTheme="minorHAnsi" w:cstheme="minorBidi"/>
          <w:i/>
          <w:iCs/>
          <w:color w:val="auto"/>
          <w:kern w:val="2"/>
          <w:sz w:val="22"/>
          <w:szCs w:val="22"/>
          <w14:ligatures w14:val="standardContextual"/>
        </w:rPr>
        <w:t xml:space="preserve">the </w:t>
      </w:r>
      <w:r w:rsidRPr="009C1712" w:rsidR="00C27619">
        <w:rPr>
          <w:rFonts w:asciiTheme="minorHAnsi" w:eastAsiaTheme="minorHAnsi" w:hAnsiTheme="minorHAnsi" w:cstheme="minorBidi"/>
          <w:i/>
          <w:iCs/>
          <w:color w:val="auto"/>
          <w:kern w:val="2"/>
          <w:sz w:val="22"/>
          <w:szCs w:val="22"/>
          <w14:ligatures w14:val="standardContextual"/>
        </w:rPr>
        <w:t>NAEP</w:t>
      </w:r>
      <w:r w:rsidR="000965E8">
        <w:rPr>
          <w:rFonts w:asciiTheme="minorHAnsi" w:eastAsiaTheme="minorHAnsi" w:hAnsiTheme="minorHAnsi" w:cstheme="minorBidi"/>
          <w:i/>
          <w:iCs/>
          <w:color w:val="auto"/>
          <w:kern w:val="2"/>
          <w:sz w:val="22"/>
          <w:szCs w:val="22"/>
          <w14:ligatures w14:val="standardContextual"/>
        </w:rPr>
        <w:t xml:space="preserve"> Grade 8 Science Pilot</w:t>
      </w:r>
      <w:r w:rsidRPr="009C1712" w:rsidR="00C27619">
        <w:rPr>
          <w:rFonts w:asciiTheme="minorHAnsi" w:eastAsiaTheme="minorHAnsi" w:hAnsiTheme="minorHAnsi" w:cstheme="minorBidi"/>
          <w:i/>
          <w:iCs/>
          <w:color w:val="auto"/>
          <w:kern w:val="2"/>
          <w:sz w:val="22"/>
          <w:szCs w:val="22"/>
          <w14:ligatures w14:val="standardContextual"/>
        </w:rPr>
        <w:t xml:space="preserve"> in 2027</w:t>
      </w:r>
      <w:r w:rsidR="00FF6F84">
        <w:rPr>
          <w:rFonts w:asciiTheme="minorHAnsi" w:eastAsiaTheme="minorHAnsi" w:hAnsiTheme="minorHAnsi" w:cstheme="minorBidi"/>
          <w:i/>
          <w:iCs/>
          <w:color w:val="auto"/>
          <w:kern w:val="2"/>
          <w:sz w:val="22"/>
          <w:szCs w:val="22"/>
          <w14:ligatures w14:val="standardContextual"/>
        </w:rPr>
        <w:t>.</w:t>
      </w:r>
      <w:r w:rsidR="004C6493">
        <w:rPr>
          <w:rFonts w:asciiTheme="minorHAnsi" w:eastAsiaTheme="minorHAnsi" w:hAnsiTheme="minorHAnsi" w:cstheme="minorBidi"/>
          <w:i/>
          <w:iCs/>
          <w:color w:val="auto"/>
          <w:kern w:val="2"/>
          <w:sz w:val="22"/>
          <w:szCs w:val="22"/>
          <w14:ligatures w14:val="standardContextual"/>
        </w:rPr>
        <w:t xml:space="preserve"> Following completion of the </w:t>
      </w:r>
      <w:r w:rsidR="00514A36">
        <w:rPr>
          <w:rFonts w:asciiTheme="minorHAnsi" w:eastAsiaTheme="minorHAnsi" w:hAnsiTheme="minorHAnsi" w:cstheme="minorBidi"/>
          <w:i/>
          <w:iCs/>
          <w:color w:val="auto"/>
          <w:kern w:val="2"/>
          <w:sz w:val="22"/>
          <w:szCs w:val="22"/>
          <w14:ligatures w14:val="standardContextual"/>
        </w:rPr>
        <w:t>3</w:t>
      </w:r>
      <w:r w:rsidR="004C6493">
        <w:rPr>
          <w:rFonts w:asciiTheme="minorHAnsi" w:eastAsiaTheme="minorHAnsi" w:hAnsiTheme="minorHAnsi" w:cstheme="minorBidi"/>
          <w:i/>
          <w:iCs/>
          <w:color w:val="auto"/>
          <w:kern w:val="2"/>
          <w:sz w:val="22"/>
          <w:szCs w:val="22"/>
          <w14:ligatures w14:val="standardContextual"/>
        </w:rPr>
        <w:t xml:space="preserve">0-day </w:t>
      </w:r>
      <w:r w:rsidR="0084091C">
        <w:rPr>
          <w:rFonts w:asciiTheme="minorHAnsi" w:eastAsiaTheme="minorHAnsi" w:hAnsiTheme="minorHAnsi" w:cstheme="minorBidi"/>
          <w:i/>
          <w:iCs/>
          <w:color w:val="auto"/>
          <w:kern w:val="2"/>
          <w:sz w:val="22"/>
          <w:szCs w:val="22"/>
          <w14:ligatures w14:val="standardContextual"/>
        </w:rPr>
        <w:t>Federal Register posting of the 2027 Clearance</w:t>
      </w:r>
      <w:r w:rsidR="002B45C1">
        <w:rPr>
          <w:rFonts w:asciiTheme="minorHAnsi" w:eastAsiaTheme="minorHAnsi" w:hAnsiTheme="minorHAnsi" w:cstheme="minorBidi"/>
          <w:i/>
          <w:iCs/>
          <w:color w:val="auto"/>
          <w:kern w:val="2"/>
          <w:sz w:val="22"/>
          <w:szCs w:val="22"/>
          <w14:ligatures w14:val="standardContextual"/>
        </w:rPr>
        <w:t xml:space="preserve"> Package,</w:t>
      </w:r>
      <w:r w:rsidR="00955221">
        <w:rPr>
          <w:rFonts w:asciiTheme="minorHAnsi" w:eastAsiaTheme="minorHAnsi" w:hAnsiTheme="minorHAnsi" w:cstheme="minorBidi"/>
          <w:i/>
          <w:iCs/>
          <w:color w:val="auto"/>
          <w:kern w:val="2"/>
          <w:sz w:val="22"/>
          <w:szCs w:val="22"/>
          <w14:ligatures w14:val="standardContextual"/>
        </w:rPr>
        <w:t xml:space="preserve"> </w:t>
      </w:r>
      <w:r w:rsidR="00702C08">
        <w:rPr>
          <w:rFonts w:asciiTheme="minorHAnsi" w:eastAsiaTheme="minorHAnsi" w:hAnsiTheme="minorHAnsi" w:cstheme="minorBidi"/>
          <w:i/>
          <w:iCs/>
          <w:color w:val="auto"/>
          <w:kern w:val="2"/>
          <w:sz w:val="22"/>
          <w:szCs w:val="22"/>
          <w14:ligatures w14:val="standardContextual"/>
        </w:rPr>
        <w:t xml:space="preserve">one Amendment </w:t>
      </w:r>
      <w:r w:rsidR="00955221">
        <w:rPr>
          <w:rFonts w:asciiTheme="minorHAnsi" w:eastAsiaTheme="minorHAnsi" w:hAnsiTheme="minorHAnsi" w:cstheme="minorBidi"/>
          <w:i/>
          <w:iCs/>
          <w:color w:val="auto"/>
          <w:kern w:val="2"/>
          <w:sz w:val="22"/>
          <w:szCs w:val="22"/>
          <w14:ligatures w14:val="standardContextual"/>
        </w:rPr>
        <w:t>will follow</w:t>
      </w:r>
      <w:r w:rsidR="00702C08">
        <w:rPr>
          <w:rFonts w:asciiTheme="minorHAnsi" w:eastAsiaTheme="minorHAnsi" w:hAnsiTheme="minorHAnsi" w:cstheme="minorBidi"/>
          <w:i/>
          <w:iCs/>
          <w:color w:val="auto"/>
          <w:kern w:val="2"/>
          <w:sz w:val="22"/>
          <w:szCs w:val="22"/>
          <w14:ligatures w14:val="standardContextual"/>
        </w:rPr>
        <w:t>, expected in summer 2026.</w:t>
      </w:r>
      <w:r w:rsidR="00D1117C">
        <w:rPr>
          <w:rFonts w:asciiTheme="minorHAnsi" w:eastAsiaTheme="minorHAnsi" w:hAnsiTheme="minorHAnsi" w:cstheme="minorBidi"/>
          <w:i/>
          <w:iCs/>
          <w:color w:val="auto"/>
          <w:kern w:val="2"/>
          <w:sz w:val="22"/>
          <w:szCs w:val="22"/>
          <w14:ligatures w14:val="standardContextual"/>
        </w:rPr>
        <w:t xml:space="preserve"> </w:t>
      </w:r>
    </w:p>
    <w:p w:rsidR="00FF6F84" w:rsidRPr="00544443" w:rsidP="009C1712" w14:paraId="5E4D4D2F" w14:textId="77777777">
      <w:pPr>
        <w:pStyle w:val="OMBtext"/>
        <w:widowControl w:val="0"/>
        <w:spacing w:after="0" w:line="23" w:lineRule="atLeast"/>
        <w:rPr>
          <w:rFonts w:eastAsiaTheme="minorHAnsi"/>
          <w:i/>
        </w:rPr>
      </w:pPr>
    </w:p>
    <w:p w:rsidR="0012647B" w:rsidRPr="009C1712" w:rsidP="009C1712" w14:paraId="3668F7C8" w14:textId="3F8B4CDD">
      <w:pPr>
        <w:rPr>
          <w:i/>
          <w:iCs/>
        </w:rPr>
      </w:pPr>
      <w:r>
        <w:rPr>
          <w:i/>
          <w:iCs/>
        </w:rPr>
        <w:t xml:space="preserve">This package contains a combination of </w:t>
      </w:r>
      <w:r w:rsidR="00036185">
        <w:rPr>
          <w:i/>
          <w:iCs/>
        </w:rPr>
        <w:t xml:space="preserve">final and </w:t>
      </w:r>
      <w:r w:rsidR="00843764">
        <w:rPr>
          <w:i/>
          <w:iCs/>
        </w:rPr>
        <w:t xml:space="preserve">draft </w:t>
      </w:r>
      <w:r w:rsidRPr="00E84016" w:rsidR="000A7D77">
        <w:rPr>
          <w:i/>
          <w:iCs/>
        </w:rPr>
        <w:t>materials</w:t>
      </w:r>
      <w:r w:rsidR="007B6B4F">
        <w:rPr>
          <w:i/>
          <w:iCs/>
        </w:rPr>
        <w:t xml:space="preserve"> to be used </w:t>
      </w:r>
      <w:r w:rsidR="00D55ECD">
        <w:rPr>
          <w:i/>
          <w:iCs/>
        </w:rPr>
        <w:t>in</w:t>
      </w:r>
      <w:r w:rsidRPr="00E84016" w:rsidR="000A7D77">
        <w:rPr>
          <w:i/>
          <w:iCs/>
        </w:rPr>
        <w:t xml:space="preserve"> the </w:t>
      </w:r>
      <w:r w:rsidR="00975848">
        <w:rPr>
          <w:i/>
          <w:iCs/>
        </w:rPr>
        <w:t xml:space="preserve">2027 </w:t>
      </w:r>
      <w:r w:rsidRPr="00E84016" w:rsidR="000A7D77">
        <w:rPr>
          <w:i/>
          <w:iCs/>
        </w:rPr>
        <w:t>data collection.</w:t>
      </w:r>
      <w:r w:rsidR="00FB4155">
        <w:rPr>
          <w:i/>
          <w:iCs/>
        </w:rPr>
        <w:t xml:space="preserve"> </w:t>
      </w:r>
      <w:r w:rsidRPr="00FB4155" w:rsidR="00FB4155">
        <w:rPr>
          <w:i/>
          <w:iCs/>
        </w:rPr>
        <w:t xml:space="preserve">Specifically, </w:t>
      </w:r>
      <w:r w:rsidR="00FB4155">
        <w:rPr>
          <w:i/>
          <w:iCs/>
        </w:rPr>
        <w:t>this</w:t>
      </w:r>
      <w:r w:rsidR="00950FAF">
        <w:rPr>
          <w:i/>
          <w:iCs/>
        </w:rPr>
        <w:t xml:space="preserve"> </w:t>
      </w:r>
      <w:r w:rsidR="00514A36">
        <w:rPr>
          <w:i/>
          <w:iCs/>
        </w:rPr>
        <w:t>30-Day Clearance</w:t>
      </w:r>
      <w:r w:rsidR="00950FAF">
        <w:rPr>
          <w:i/>
          <w:iCs/>
        </w:rPr>
        <w:t xml:space="preserve"> Package </w:t>
      </w:r>
      <w:r w:rsidRPr="00FB4155" w:rsidR="00FB4155">
        <w:rPr>
          <w:i/>
          <w:iCs/>
        </w:rPr>
        <w:t>include</w:t>
      </w:r>
      <w:r w:rsidR="003B594B">
        <w:rPr>
          <w:i/>
          <w:iCs/>
        </w:rPr>
        <w:t>s</w:t>
      </w:r>
      <w:r w:rsidR="00516582">
        <w:rPr>
          <w:i/>
          <w:iCs/>
        </w:rPr>
        <w:t xml:space="preserve"> the following</w:t>
      </w:r>
      <w:r w:rsidR="002621E5">
        <w:rPr>
          <w:i/>
          <w:iCs/>
        </w:rPr>
        <w:t>:</w:t>
      </w:r>
    </w:p>
    <w:p w:rsidR="00511203" w:rsidP="002621E5" w14:paraId="67CD91FD" w14:textId="33A01B44">
      <w:pPr>
        <w:pStyle w:val="ListParagraph"/>
        <w:numPr>
          <w:ilvl w:val="0"/>
          <w:numId w:val="1"/>
        </w:numPr>
        <w:rPr>
          <w:i/>
          <w:iCs/>
        </w:rPr>
      </w:pPr>
      <w:r>
        <w:rPr>
          <w:i/>
          <w:iCs/>
        </w:rPr>
        <w:t>Part A</w:t>
      </w:r>
      <w:r w:rsidR="000965E8">
        <w:rPr>
          <w:i/>
          <w:iCs/>
        </w:rPr>
        <w:t xml:space="preserve">: </w:t>
      </w:r>
      <w:r w:rsidR="000C606C">
        <w:rPr>
          <w:i/>
          <w:iCs/>
        </w:rPr>
        <w:t xml:space="preserve">the supporting statement outlining the purpose and scope, participants, </w:t>
      </w:r>
      <w:r w:rsidR="00B311AC">
        <w:rPr>
          <w:i/>
          <w:iCs/>
        </w:rPr>
        <w:t xml:space="preserve">updates to </w:t>
      </w:r>
      <w:r w:rsidR="000C606C">
        <w:rPr>
          <w:i/>
          <w:iCs/>
        </w:rPr>
        <w:t>burden hours, and costs to the Federal Government,</w:t>
      </w:r>
    </w:p>
    <w:p w:rsidR="00511203" w:rsidP="002621E5" w14:paraId="0FDBD468" w14:textId="5F036E8F">
      <w:pPr>
        <w:pStyle w:val="ListParagraph"/>
        <w:numPr>
          <w:ilvl w:val="0"/>
          <w:numId w:val="1"/>
        </w:numPr>
        <w:rPr>
          <w:i/>
          <w:iCs/>
        </w:rPr>
      </w:pPr>
      <w:r>
        <w:rPr>
          <w:i/>
          <w:iCs/>
        </w:rPr>
        <w:t>Part B</w:t>
      </w:r>
      <w:r w:rsidR="000C606C">
        <w:rPr>
          <w:i/>
          <w:iCs/>
        </w:rPr>
        <w:t xml:space="preserve">: </w:t>
      </w:r>
      <w:r w:rsidR="003F10E3">
        <w:rPr>
          <w:i/>
          <w:iCs/>
        </w:rPr>
        <w:t xml:space="preserve">additional supporting information </w:t>
      </w:r>
      <w:r w:rsidR="00CF0E0D">
        <w:rPr>
          <w:i/>
          <w:iCs/>
        </w:rPr>
        <w:t>a</w:t>
      </w:r>
      <w:r w:rsidR="003F10E3">
        <w:rPr>
          <w:i/>
          <w:iCs/>
        </w:rPr>
        <w:t xml:space="preserve">bout </w:t>
      </w:r>
      <w:r w:rsidR="00CF0E0D">
        <w:rPr>
          <w:i/>
          <w:iCs/>
        </w:rPr>
        <w:t xml:space="preserve">the data </w:t>
      </w:r>
      <w:r w:rsidR="003F10E3">
        <w:rPr>
          <w:i/>
          <w:iCs/>
        </w:rPr>
        <w:t>collection</w:t>
      </w:r>
      <w:r w:rsidR="00CF0E0D">
        <w:rPr>
          <w:i/>
          <w:iCs/>
        </w:rPr>
        <w:t xml:space="preserve"> including</w:t>
      </w:r>
      <w:r w:rsidR="000824F6">
        <w:rPr>
          <w:i/>
          <w:iCs/>
        </w:rPr>
        <w:t xml:space="preserve"> potential</w:t>
      </w:r>
      <w:r w:rsidR="00CF0E0D">
        <w:rPr>
          <w:i/>
          <w:iCs/>
        </w:rPr>
        <w:t xml:space="preserve"> respondent</w:t>
      </w:r>
      <w:r w:rsidR="00C543C1">
        <w:rPr>
          <w:i/>
          <w:iCs/>
        </w:rPr>
        <w:t xml:space="preserve"> </w:t>
      </w:r>
      <w:r w:rsidR="000824F6">
        <w:rPr>
          <w:i/>
          <w:iCs/>
        </w:rPr>
        <w:t>universe</w:t>
      </w:r>
      <w:r w:rsidR="00CF0E0D">
        <w:rPr>
          <w:i/>
          <w:iCs/>
        </w:rPr>
        <w:t>, sample design, sampling</w:t>
      </w:r>
      <w:r w:rsidR="00A81621">
        <w:rPr>
          <w:i/>
          <w:iCs/>
        </w:rPr>
        <w:t xml:space="preserve"> and </w:t>
      </w:r>
      <w:r w:rsidR="00CF0E0D">
        <w:rPr>
          <w:i/>
          <w:iCs/>
        </w:rPr>
        <w:t>weighting procedures, etc.,</w:t>
      </w:r>
      <w:r w:rsidR="003F10E3">
        <w:rPr>
          <w:i/>
          <w:iCs/>
        </w:rPr>
        <w:t xml:space="preserve"> </w:t>
      </w:r>
    </w:p>
    <w:p w:rsidR="0012647B" w:rsidP="002621E5" w14:paraId="4233BCA0" w14:textId="4D22A4D1">
      <w:pPr>
        <w:pStyle w:val="ListParagraph"/>
        <w:numPr>
          <w:ilvl w:val="0"/>
          <w:numId w:val="1"/>
        </w:numPr>
        <w:rPr>
          <w:i/>
          <w:iCs/>
        </w:rPr>
      </w:pPr>
      <w:r>
        <w:rPr>
          <w:i/>
          <w:iCs/>
        </w:rPr>
        <w:t>Appendix A: standing committees and their members</w:t>
      </w:r>
      <w:r w:rsidR="0077606A">
        <w:rPr>
          <w:i/>
          <w:iCs/>
        </w:rPr>
        <w:t>,</w:t>
      </w:r>
    </w:p>
    <w:p w:rsidR="0012647B" w:rsidP="002621E5" w14:paraId="51BEC24D" w14:textId="489B1E73">
      <w:pPr>
        <w:pStyle w:val="ListParagraph"/>
        <w:numPr>
          <w:ilvl w:val="0"/>
          <w:numId w:val="1"/>
        </w:numPr>
        <w:rPr>
          <w:i/>
          <w:iCs/>
        </w:rPr>
      </w:pPr>
      <w:r>
        <w:rPr>
          <w:i/>
          <w:iCs/>
        </w:rPr>
        <w:t xml:space="preserve">Appendix B: </w:t>
      </w:r>
      <w:r w:rsidR="003F646A">
        <w:rPr>
          <w:i/>
          <w:iCs/>
        </w:rPr>
        <w:t>2022 weighting procedures,</w:t>
      </w:r>
    </w:p>
    <w:p w:rsidR="008303A9" w:rsidP="002621E5" w14:paraId="18C2AB86" w14:textId="26CA088E">
      <w:pPr>
        <w:pStyle w:val="ListParagraph"/>
        <w:numPr>
          <w:ilvl w:val="0"/>
          <w:numId w:val="1"/>
        </w:numPr>
        <w:rPr>
          <w:i/>
          <w:iCs/>
        </w:rPr>
      </w:pPr>
      <w:r>
        <w:rPr>
          <w:i/>
          <w:iCs/>
        </w:rPr>
        <w:t xml:space="preserve">Appendix C: </w:t>
      </w:r>
      <w:r w:rsidR="0065231D">
        <w:rPr>
          <w:i/>
          <w:iCs/>
        </w:rPr>
        <w:t>2026 sampling memo</w:t>
      </w:r>
      <w:r w:rsidR="00E34BD5">
        <w:rPr>
          <w:i/>
          <w:iCs/>
        </w:rPr>
        <w:t>,</w:t>
      </w:r>
    </w:p>
    <w:p w:rsidR="00A941E5" w:rsidP="002621E5" w14:paraId="0F2FB945" w14:textId="7A616DFC">
      <w:pPr>
        <w:pStyle w:val="ListParagraph"/>
        <w:numPr>
          <w:ilvl w:val="0"/>
          <w:numId w:val="1"/>
        </w:numPr>
        <w:rPr>
          <w:i/>
          <w:iCs/>
        </w:rPr>
      </w:pPr>
      <w:r>
        <w:rPr>
          <w:i/>
          <w:iCs/>
        </w:rPr>
        <w:t xml:space="preserve">Appendix D: </w:t>
      </w:r>
      <w:r w:rsidR="003F646A">
        <w:rPr>
          <w:i/>
          <w:iCs/>
        </w:rPr>
        <w:t xml:space="preserve">draft </w:t>
      </w:r>
      <w:r w:rsidR="00D132AA">
        <w:rPr>
          <w:i/>
          <w:iCs/>
        </w:rPr>
        <w:t xml:space="preserve">and final 2027 </w:t>
      </w:r>
      <w:r w:rsidR="003F646A">
        <w:rPr>
          <w:i/>
          <w:iCs/>
        </w:rPr>
        <w:t>communication and recruitment materials</w:t>
      </w:r>
      <w:r>
        <w:rPr>
          <w:i/>
          <w:iCs/>
        </w:rPr>
        <w:t>,</w:t>
      </w:r>
    </w:p>
    <w:p w:rsidR="008303A9" w:rsidP="002621E5" w14:paraId="72E51B34" w14:textId="2C884B1C">
      <w:pPr>
        <w:pStyle w:val="ListParagraph"/>
        <w:numPr>
          <w:ilvl w:val="0"/>
          <w:numId w:val="1"/>
        </w:numPr>
        <w:rPr>
          <w:i/>
          <w:iCs/>
        </w:rPr>
      </w:pPr>
      <w:r>
        <w:rPr>
          <w:i/>
          <w:iCs/>
        </w:rPr>
        <w:t xml:space="preserve">Appendix E: draft 2027 </w:t>
      </w:r>
      <w:r w:rsidR="00E266D4">
        <w:rPr>
          <w:i/>
          <w:iCs/>
        </w:rPr>
        <w:t xml:space="preserve">preassessment and assessment day </w:t>
      </w:r>
      <w:r>
        <w:rPr>
          <w:i/>
          <w:iCs/>
        </w:rPr>
        <w:t>feedback forms</w:t>
      </w:r>
      <w:r w:rsidR="00EB2ED8">
        <w:rPr>
          <w:i/>
          <w:iCs/>
        </w:rPr>
        <w:t xml:space="preserve"> for school coordinators</w:t>
      </w:r>
      <w:r w:rsidR="003F646A">
        <w:rPr>
          <w:i/>
          <w:iCs/>
        </w:rPr>
        <w:t>,</w:t>
      </w:r>
    </w:p>
    <w:p w:rsidR="008303A9" w:rsidP="002621E5" w14:paraId="03CF5989" w14:textId="0126BDC3">
      <w:pPr>
        <w:pStyle w:val="ListParagraph"/>
        <w:numPr>
          <w:ilvl w:val="0"/>
          <w:numId w:val="1"/>
        </w:numPr>
        <w:rPr>
          <w:i/>
          <w:iCs/>
        </w:rPr>
      </w:pPr>
      <w:r>
        <w:rPr>
          <w:i/>
          <w:iCs/>
        </w:rPr>
        <w:t>Appendix G:</w:t>
      </w:r>
      <w:r w:rsidR="00A77857">
        <w:rPr>
          <w:i/>
          <w:iCs/>
        </w:rPr>
        <w:t xml:space="preserve"> 2022 NAEP </w:t>
      </w:r>
      <w:r w:rsidR="00B864B1">
        <w:rPr>
          <w:i/>
          <w:iCs/>
        </w:rPr>
        <w:t>s</w:t>
      </w:r>
      <w:r w:rsidR="00A77857">
        <w:rPr>
          <w:i/>
          <w:iCs/>
        </w:rPr>
        <w:t xml:space="preserve">ample </w:t>
      </w:r>
      <w:r w:rsidR="00B864B1">
        <w:rPr>
          <w:i/>
          <w:iCs/>
        </w:rPr>
        <w:t>d</w:t>
      </w:r>
      <w:r w:rsidR="00A77857">
        <w:rPr>
          <w:i/>
          <w:iCs/>
        </w:rPr>
        <w:t>esign,</w:t>
      </w:r>
    </w:p>
    <w:p w:rsidR="008303A9" w:rsidP="002621E5" w14:paraId="4BC69EE1" w14:textId="69DEF2C5">
      <w:pPr>
        <w:pStyle w:val="ListParagraph"/>
        <w:numPr>
          <w:ilvl w:val="0"/>
          <w:numId w:val="1"/>
        </w:numPr>
        <w:rPr>
          <w:i/>
          <w:iCs/>
        </w:rPr>
      </w:pPr>
      <w:r>
        <w:rPr>
          <w:i/>
          <w:iCs/>
        </w:rPr>
        <w:t xml:space="preserve">Appendix I: </w:t>
      </w:r>
      <w:r w:rsidR="006A3ACF">
        <w:rPr>
          <w:i/>
          <w:iCs/>
        </w:rPr>
        <w:t>draft</w:t>
      </w:r>
      <w:r w:rsidR="00270E9C">
        <w:rPr>
          <w:i/>
          <w:iCs/>
        </w:rPr>
        <w:t xml:space="preserve"> and final</w:t>
      </w:r>
      <w:r w:rsidR="006A3ACF">
        <w:rPr>
          <w:i/>
          <w:iCs/>
        </w:rPr>
        <w:t xml:space="preserve"> 2027 Assessment Management System (AMS) screens</w:t>
      </w:r>
      <w:r w:rsidR="007D7209">
        <w:rPr>
          <w:i/>
          <w:iCs/>
        </w:rPr>
        <w:t>,</w:t>
      </w:r>
    </w:p>
    <w:p w:rsidR="0065231D" w:rsidRPr="00EF50AC" w:rsidP="00A77857" w14:paraId="04C4AEBF" w14:textId="1441CB71">
      <w:pPr>
        <w:pStyle w:val="ListParagraph"/>
        <w:numPr>
          <w:ilvl w:val="0"/>
          <w:numId w:val="1"/>
        </w:numPr>
      </w:pPr>
      <w:r w:rsidRPr="007D20B2">
        <w:rPr>
          <w:i/>
          <w:iCs/>
        </w:rPr>
        <w:t>Appendices J1, J2, J3</w:t>
      </w:r>
      <w:r>
        <w:rPr>
          <w:i/>
          <w:iCs/>
        </w:rPr>
        <w:t xml:space="preserve">: </w:t>
      </w:r>
      <w:r>
        <w:rPr>
          <w:i/>
          <w:iCs/>
        </w:rPr>
        <w:t xml:space="preserve">previously approved </w:t>
      </w:r>
      <w:r w:rsidR="006A3ACF">
        <w:rPr>
          <w:i/>
          <w:iCs/>
        </w:rPr>
        <w:t xml:space="preserve">core, science, and debrief </w:t>
      </w:r>
      <w:r w:rsidR="00A77857">
        <w:rPr>
          <w:i/>
          <w:iCs/>
        </w:rPr>
        <w:t xml:space="preserve">survey questionnaire </w:t>
      </w:r>
      <w:r w:rsidR="006A3ACF">
        <w:rPr>
          <w:i/>
          <w:iCs/>
        </w:rPr>
        <w:t>items</w:t>
      </w:r>
      <w:r w:rsidR="00A77857">
        <w:rPr>
          <w:i/>
          <w:iCs/>
        </w:rPr>
        <w:t xml:space="preserve"> for students, teachers, and school administrators</w:t>
      </w:r>
      <w:r w:rsidR="006A3ACF">
        <w:rPr>
          <w:i/>
          <w:iCs/>
        </w:rPr>
        <w:t>.</w:t>
      </w:r>
    </w:p>
    <w:p w:rsidR="00ED5F81" w:rsidRPr="00E84016" w:rsidP="00E84016" w14:paraId="4996303C" w14:textId="49F9CF68">
      <w:pPr>
        <w:rPr>
          <w:i/>
          <w:iCs/>
        </w:rPr>
      </w:pPr>
      <w:r w:rsidRPr="00ED5F81">
        <w:rPr>
          <w:i/>
          <w:iCs/>
        </w:rPr>
        <w:t>As of April 2025, NCES’s assurances of confidentiality protections for NAEP 202</w:t>
      </w:r>
      <w:r w:rsidR="00A77857">
        <w:rPr>
          <w:i/>
          <w:iCs/>
        </w:rPr>
        <w:t>7</w:t>
      </w:r>
      <w:r w:rsidRPr="00ED5F81">
        <w:rPr>
          <w:i/>
          <w:iCs/>
        </w:rPr>
        <w:t xml:space="preserve"> have changed due to staffing changes at the Department of Education. NCES has removed the Foundations of Evidence-Based Policymaking Act of 2018, Title III, Part B, Confidential Information </w:t>
      </w:r>
      <w:r w:rsidRPr="00ED5F81">
        <w:rPr>
          <w:i/>
          <w:iCs/>
        </w:rPr>
        <w:t>Protectio</w:t>
      </w:r>
      <w:r w:rsidR="0057598B">
        <w:rPr>
          <w:i/>
          <w:iCs/>
        </w:rPr>
        <w:t>n</w:t>
      </w:r>
      <w:r w:rsidRPr="00ED5F81">
        <w:rPr>
          <w:i/>
          <w:iCs/>
        </w:rPr>
        <w:t xml:space="preserve"> (‘‘CIPSEA’’</w:t>
      </w:r>
      <w:r w:rsidRPr="00ED5F81">
        <w:rPr>
          <w:i/>
          <w:iCs/>
        </w:rPr>
        <w:t>) as a confidentiality assurance. However, confidentiality assurances under the Education Sciences Reform Act of 2002 (ESRA) remain in effect.</w:t>
      </w:r>
    </w:p>
    <w:p w:rsidR="002B4A9B" w14:paraId="5ACAE56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D2288B"/>
    <w:multiLevelType w:val="hybridMultilevel"/>
    <w:tmpl w:val="132CCDC0"/>
    <w:lvl w:ilvl="0">
      <w:start w:val="1"/>
      <w:numFmt w:val="decimal"/>
      <w:lvlText w:val="%1."/>
      <w:lvlJc w:val="left"/>
      <w:pPr>
        <w:ind w:left="762" w:hanging="360"/>
      </w:pPr>
    </w:lvl>
    <w:lvl w:ilvl="1" w:tentative="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num w:numId="1" w16cid:durableId="155720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FA"/>
    <w:rsid w:val="00013DC1"/>
    <w:rsid w:val="000157FC"/>
    <w:rsid w:val="00023006"/>
    <w:rsid w:val="00026F28"/>
    <w:rsid w:val="0002746E"/>
    <w:rsid w:val="00036185"/>
    <w:rsid w:val="00065BCE"/>
    <w:rsid w:val="000824F6"/>
    <w:rsid w:val="00082EFC"/>
    <w:rsid w:val="00086245"/>
    <w:rsid w:val="0009102E"/>
    <w:rsid w:val="000965E8"/>
    <w:rsid w:val="000A07F5"/>
    <w:rsid w:val="000A3386"/>
    <w:rsid w:val="000A73AE"/>
    <w:rsid w:val="000A7D77"/>
    <w:rsid w:val="000C4591"/>
    <w:rsid w:val="000C606C"/>
    <w:rsid w:val="000D532E"/>
    <w:rsid w:val="000E1D3F"/>
    <w:rsid w:val="000E7DB9"/>
    <w:rsid w:val="00114071"/>
    <w:rsid w:val="00116AC9"/>
    <w:rsid w:val="001177C9"/>
    <w:rsid w:val="001206B0"/>
    <w:rsid w:val="00120CDE"/>
    <w:rsid w:val="0012392E"/>
    <w:rsid w:val="0012647B"/>
    <w:rsid w:val="001355A0"/>
    <w:rsid w:val="0014228D"/>
    <w:rsid w:val="0015206B"/>
    <w:rsid w:val="001A59F7"/>
    <w:rsid w:val="001A6EB5"/>
    <w:rsid w:val="001E2C9F"/>
    <w:rsid w:val="001E5250"/>
    <w:rsid w:val="00221B22"/>
    <w:rsid w:val="00246941"/>
    <w:rsid w:val="0025561B"/>
    <w:rsid w:val="00261576"/>
    <w:rsid w:val="002621E5"/>
    <w:rsid w:val="00270E9C"/>
    <w:rsid w:val="00292A6E"/>
    <w:rsid w:val="002B45C1"/>
    <w:rsid w:val="002B4A9B"/>
    <w:rsid w:val="002E0801"/>
    <w:rsid w:val="002E38C2"/>
    <w:rsid w:val="002F4651"/>
    <w:rsid w:val="002F4C8A"/>
    <w:rsid w:val="00341B84"/>
    <w:rsid w:val="003525E0"/>
    <w:rsid w:val="00362E3C"/>
    <w:rsid w:val="00377034"/>
    <w:rsid w:val="0038112D"/>
    <w:rsid w:val="00383897"/>
    <w:rsid w:val="003B594B"/>
    <w:rsid w:val="003C6491"/>
    <w:rsid w:val="003D0E06"/>
    <w:rsid w:val="003D54DD"/>
    <w:rsid w:val="003E256D"/>
    <w:rsid w:val="003E6BAD"/>
    <w:rsid w:val="003F038F"/>
    <w:rsid w:val="003F10E3"/>
    <w:rsid w:val="003F646A"/>
    <w:rsid w:val="00441B94"/>
    <w:rsid w:val="00471BD3"/>
    <w:rsid w:val="00473105"/>
    <w:rsid w:val="00480884"/>
    <w:rsid w:val="004A0688"/>
    <w:rsid w:val="004C06FC"/>
    <w:rsid w:val="004C121C"/>
    <w:rsid w:val="004C6493"/>
    <w:rsid w:val="004C7095"/>
    <w:rsid w:val="005017D4"/>
    <w:rsid w:val="00506ABA"/>
    <w:rsid w:val="00511203"/>
    <w:rsid w:val="00514A36"/>
    <w:rsid w:val="00516582"/>
    <w:rsid w:val="00544443"/>
    <w:rsid w:val="00552567"/>
    <w:rsid w:val="00564B1C"/>
    <w:rsid w:val="0057598B"/>
    <w:rsid w:val="00577CF9"/>
    <w:rsid w:val="00581163"/>
    <w:rsid w:val="005C3057"/>
    <w:rsid w:val="005D7E49"/>
    <w:rsid w:val="005F47C1"/>
    <w:rsid w:val="005F49B0"/>
    <w:rsid w:val="005F7570"/>
    <w:rsid w:val="0060488E"/>
    <w:rsid w:val="00612AAA"/>
    <w:rsid w:val="00645304"/>
    <w:rsid w:val="0065231D"/>
    <w:rsid w:val="006523FE"/>
    <w:rsid w:val="00656674"/>
    <w:rsid w:val="00660457"/>
    <w:rsid w:val="0066471A"/>
    <w:rsid w:val="006A2F0B"/>
    <w:rsid w:val="006A3ACF"/>
    <w:rsid w:val="006C1735"/>
    <w:rsid w:val="006E3E3A"/>
    <w:rsid w:val="00702C08"/>
    <w:rsid w:val="0071022F"/>
    <w:rsid w:val="00714DA0"/>
    <w:rsid w:val="00736E00"/>
    <w:rsid w:val="00740FD0"/>
    <w:rsid w:val="00745D97"/>
    <w:rsid w:val="007601BA"/>
    <w:rsid w:val="00760C38"/>
    <w:rsid w:val="0077141C"/>
    <w:rsid w:val="00772C40"/>
    <w:rsid w:val="0077606A"/>
    <w:rsid w:val="00784FFA"/>
    <w:rsid w:val="00787C36"/>
    <w:rsid w:val="007916B8"/>
    <w:rsid w:val="007957EC"/>
    <w:rsid w:val="007A7D51"/>
    <w:rsid w:val="007B6B4F"/>
    <w:rsid w:val="007C7ECD"/>
    <w:rsid w:val="007D20B2"/>
    <w:rsid w:val="007D7209"/>
    <w:rsid w:val="007F19C6"/>
    <w:rsid w:val="00811D0A"/>
    <w:rsid w:val="008303A9"/>
    <w:rsid w:val="0084091C"/>
    <w:rsid w:val="00843764"/>
    <w:rsid w:val="00843D53"/>
    <w:rsid w:val="008469A0"/>
    <w:rsid w:val="00855A93"/>
    <w:rsid w:val="00863F01"/>
    <w:rsid w:val="00872D75"/>
    <w:rsid w:val="008A389A"/>
    <w:rsid w:val="008D0D57"/>
    <w:rsid w:val="008E153B"/>
    <w:rsid w:val="0091534E"/>
    <w:rsid w:val="0091735C"/>
    <w:rsid w:val="00930DC3"/>
    <w:rsid w:val="0093292A"/>
    <w:rsid w:val="00936B24"/>
    <w:rsid w:val="00950FAF"/>
    <w:rsid w:val="00955221"/>
    <w:rsid w:val="009619F9"/>
    <w:rsid w:val="00975848"/>
    <w:rsid w:val="009A7B80"/>
    <w:rsid w:val="009C1712"/>
    <w:rsid w:val="009C68E7"/>
    <w:rsid w:val="009D7E54"/>
    <w:rsid w:val="00A26E19"/>
    <w:rsid w:val="00A375A2"/>
    <w:rsid w:val="00A737D3"/>
    <w:rsid w:val="00A77857"/>
    <w:rsid w:val="00A80708"/>
    <w:rsid w:val="00A81621"/>
    <w:rsid w:val="00A941E5"/>
    <w:rsid w:val="00A95309"/>
    <w:rsid w:val="00AF1D55"/>
    <w:rsid w:val="00AF774C"/>
    <w:rsid w:val="00B075DB"/>
    <w:rsid w:val="00B077BA"/>
    <w:rsid w:val="00B11EF9"/>
    <w:rsid w:val="00B24286"/>
    <w:rsid w:val="00B311AC"/>
    <w:rsid w:val="00B37B2A"/>
    <w:rsid w:val="00B451B9"/>
    <w:rsid w:val="00B53112"/>
    <w:rsid w:val="00B557F1"/>
    <w:rsid w:val="00B76DFB"/>
    <w:rsid w:val="00B81CC5"/>
    <w:rsid w:val="00B864B1"/>
    <w:rsid w:val="00B95A90"/>
    <w:rsid w:val="00BA3F95"/>
    <w:rsid w:val="00BB64AE"/>
    <w:rsid w:val="00BC309F"/>
    <w:rsid w:val="00BC5994"/>
    <w:rsid w:val="00BE7394"/>
    <w:rsid w:val="00BE7C9D"/>
    <w:rsid w:val="00BE7CCF"/>
    <w:rsid w:val="00BF6CF4"/>
    <w:rsid w:val="00C0098E"/>
    <w:rsid w:val="00C06EE4"/>
    <w:rsid w:val="00C13F9E"/>
    <w:rsid w:val="00C27619"/>
    <w:rsid w:val="00C36740"/>
    <w:rsid w:val="00C4776B"/>
    <w:rsid w:val="00C543C1"/>
    <w:rsid w:val="00C63E14"/>
    <w:rsid w:val="00C816D2"/>
    <w:rsid w:val="00C95C79"/>
    <w:rsid w:val="00CA33D5"/>
    <w:rsid w:val="00CB246D"/>
    <w:rsid w:val="00CD377C"/>
    <w:rsid w:val="00CE16B6"/>
    <w:rsid w:val="00CF0E0D"/>
    <w:rsid w:val="00D00AA0"/>
    <w:rsid w:val="00D1117C"/>
    <w:rsid w:val="00D132AA"/>
    <w:rsid w:val="00D245EB"/>
    <w:rsid w:val="00D26277"/>
    <w:rsid w:val="00D32865"/>
    <w:rsid w:val="00D40E03"/>
    <w:rsid w:val="00D429D7"/>
    <w:rsid w:val="00D43531"/>
    <w:rsid w:val="00D436E9"/>
    <w:rsid w:val="00D54A1B"/>
    <w:rsid w:val="00D55ECD"/>
    <w:rsid w:val="00D5752B"/>
    <w:rsid w:val="00D81367"/>
    <w:rsid w:val="00DD1376"/>
    <w:rsid w:val="00DD20E3"/>
    <w:rsid w:val="00DD58C6"/>
    <w:rsid w:val="00E01401"/>
    <w:rsid w:val="00E266D4"/>
    <w:rsid w:val="00E34BD5"/>
    <w:rsid w:val="00E40CA4"/>
    <w:rsid w:val="00E55BFA"/>
    <w:rsid w:val="00E60FC3"/>
    <w:rsid w:val="00E66405"/>
    <w:rsid w:val="00E84016"/>
    <w:rsid w:val="00E91804"/>
    <w:rsid w:val="00EA2E3E"/>
    <w:rsid w:val="00EA77D3"/>
    <w:rsid w:val="00EB2ED8"/>
    <w:rsid w:val="00EB5373"/>
    <w:rsid w:val="00EC366D"/>
    <w:rsid w:val="00EC53F6"/>
    <w:rsid w:val="00EC5F1C"/>
    <w:rsid w:val="00ED5F81"/>
    <w:rsid w:val="00EE4C68"/>
    <w:rsid w:val="00EF1DD9"/>
    <w:rsid w:val="00EF50AC"/>
    <w:rsid w:val="00F04ABC"/>
    <w:rsid w:val="00F41B4D"/>
    <w:rsid w:val="00F42DF0"/>
    <w:rsid w:val="00F60C58"/>
    <w:rsid w:val="00FB4155"/>
    <w:rsid w:val="00FD08CE"/>
    <w:rsid w:val="00FF3EA9"/>
    <w:rsid w:val="00FF6C77"/>
    <w:rsid w:val="00FF6F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33884"/>
  <w15:chartTrackingRefBased/>
  <w15:docId w15:val="{4B79EFF6-0357-4CF9-8FF0-65CE8EB5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BFA"/>
    <w:rPr>
      <w:rFonts w:eastAsiaTheme="majorEastAsia" w:cstheme="majorBidi"/>
      <w:color w:val="272727" w:themeColor="text1" w:themeTint="D8"/>
    </w:rPr>
  </w:style>
  <w:style w:type="paragraph" w:styleId="Title">
    <w:name w:val="Title"/>
    <w:basedOn w:val="Normal"/>
    <w:next w:val="Normal"/>
    <w:link w:val="TitleChar"/>
    <w:uiPriority w:val="10"/>
    <w:qFormat/>
    <w:rsid w:val="00E5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BFA"/>
    <w:pPr>
      <w:spacing w:before="160"/>
      <w:jc w:val="center"/>
    </w:pPr>
    <w:rPr>
      <w:i/>
      <w:iCs/>
      <w:color w:val="404040" w:themeColor="text1" w:themeTint="BF"/>
    </w:rPr>
  </w:style>
  <w:style w:type="character" w:customStyle="1" w:styleId="QuoteChar">
    <w:name w:val="Quote Char"/>
    <w:basedOn w:val="DefaultParagraphFont"/>
    <w:link w:val="Quote"/>
    <w:uiPriority w:val="29"/>
    <w:rsid w:val="00E55BFA"/>
    <w:rPr>
      <w:i/>
      <w:iCs/>
      <w:color w:val="404040" w:themeColor="text1" w:themeTint="BF"/>
    </w:rPr>
  </w:style>
  <w:style w:type="paragraph" w:styleId="ListParagraph">
    <w:name w:val="List Paragraph"/>
    <w:basedOn w:val="Normal"/>
    <w:uiPriority w:val="34"/>
    <w:qFormat/>
    <w:rsid w:val="00E55BFA"/>
    <w:pPr>
      <w:ind w:left="720"/>
      <w:contextualSpacing/>
    </w:pPr>
  </w:style>
  <w:style w:type="character" w:styleId="IntenseEmphasis">
    <w:name w:val="Intense Emphasis"/>
    <w:basedOn w:val="DefaultParagraphFont"/>
    <w:uiPriority w:val="21"/>
    <w:qFormat/>
    <w:rsid w:val="00E55BFA"/>
    <w:rPr>
      <w:i/>
      <w:iCs/>
      <w:color w:val="0F4761" w:themeColor="accent1" w:themeShade="BF"/>
    </w:rPr>
  </w:style>
  <w:style w:type="paragraph" w:styleId="IntenseQuote">
    <w:name w:val="Intense Quote"/>
    <w:basedOn w:val="Normal"/>
    <w:next w:val="Normal"/>
    <w:link w:val="IntenseQuoteChar"/>
    <w:uiPriority w:val="30"/>
    <w:qFormat/>
    <w:rsid w:val="00E5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BFA"/>
    <w:rPr>
      <w:i/>
      <w:iCs/>
      <w:color w:val="0F4761" w:themeColor="accent1" w:themeShade="BF"/>
    </w:rPr>
  </w:style>
  <w:style w:type="character" w:styleId="IntenseReference">
    <w:name w:val="Intense Reference"/>
    <w:basedOn w:val="DefaultParagraphFont"/>
    <w:uiPriority w:val="32"/>
    <w:qFormat/>
    <w:rsid w:val="00E55BFA"/>
    <w:rPr>
      <w:b/>
      <w:bCs/>
      <w:smallCaps/>
      <w:color w:val="0F4761" w:themeColor="accent1" w:themeShade="BF"/>
      <w:spacing w:val="5"/>
    </w:rPr>
  </w:style>
  <w:style w:type="paragraph" w:styleId="Revision">
    <w:name w:val="Revision"/>
    <w:hidden/>
    <w:uiPriority w:val="99"/>
    <w:semiHidden/>
    <w:rsid w:val="005F47C1"/>
    <w:pPr>
      <w:spacing w:after="0" w:line="240" w:lineRule="auto"/>
    </w:pPr>
  </w:style>
  <w:style w:type="paragraph" w:customStyle="1" w:styleId="OMBtext">
    <w:name w:val="OMB_text"/>
    <w:qFormat/>
    <w:rsid w:val="00C27619"/>
    <w:pPr>
      <w:spacing w:after="360" w:line="36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91EC3-6CCC-4020-8E86-80386CCFC690}">
  <ds:schemaRefs/>
</ds:datastoreItem>
</file>

<file path=customXml/itemProps2.xml><?xml version="1.0" encoding="utf-8"?>
<ds:datastoreItem xmlns:ds="http://schemas.openxmlformats.org/officeDocument/2006/customXml" ds:itemID="{3F98C6AF-3260-447F-BBE4-20FB8368D017}">
  <ds:schemaRefs>
    <ds:schemaRef ds:uri="http://schemas.microsoft.com/sharepoint/v3/contenttype/forms"/>
  </ds:schemaRefs>
</ds:datastoreItem>
</file>

<file path=customXml/itemProps3.xml><?xml version="1.0" encoding="utf-8"?>
<ds:datastoreItem xmlns:ds="http://schemas.openxmlformats.org/officeDocument/2006/customXml" ds:itemID="{7576A194-F21B-4A25-AFB7-2752E5A4C684}">
  <ds:schemaRefs>
    <ds:schemaRef ds:uri="http://schemas.openxmlformats.org/officeDocument/2006/bibliography"/>
  </ds:schemaRefs>
</ds:datastoreItem>
</file>

<file path=customXml/itemProps4.xml><?xml version="1.0" encoding="utf-8"?>
<ds:datastoreItem xmlns:ds="http://schemas.openxmlformats.org/officeDocument/2006/customXml" ds:itemID="{77C7D5EC-7D9A-4F89-AFAA-E0BC600941DD}">
  <ds:schemaRefs>
    <ds:schemaRef ds:uri="http://schemas.microsoft.com/office/2006/metadata/properties"/>
    <ds:schemaRef ds:uri="http://schemas.microsoft.com/office/infopath/2007/PartnerControls"/>
    <ds:schemaRef ds:uri="http://schemas.microsoft.com/sharepoint/v3"/>
    <ds:schemaRef ds:uri="d4b718a4-0e8e-43b9-957c-e89adf136a3a"/>
    <ds:schemaRef ds:uri="fc4a1aeb-ec7e-41bb-8587-cbd65bd9ac16"/>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2</Pages>
  <Words>713</Words>
  <Characters>3938</Characters>
  <Application>Microsoft Office Word</Application>
  <DocSecurity>0</DocSecurity>
  <Lines>140</Lines>
  <Paragraphs>62</Paragraphs>
  <ScaleCrop>false</ScaleCrop>
  <HeadingPairs>
    <vt:vector size="2" baseType="variant">
      <vt:variant>
        <vt:lpstr>Title</vt:lpstr>
      </vt:variant>
      <vt:variant>
        <vt:i4>1</vt:i4>
      </vt:variant>
    </vt:vector>
  </HeadingPairs>
  <TitlesOfParts>
    <vt:vector size="1" baseType="lpstr">
      <vt:lpstr/>
    </vt:vector>
  </TitlesOfParts>
  <Company>Educational Testing Services</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 Dresher</dc:creator>
  <cp:lastModifiedBy>Sibley, Courtney L</cp:lastModifiedBy>
  <cp:revision>157</cp:revision>
  <dcterms:created xsi:type="dcterms:W3CDTF">2025-03-18T23:00:00Z</dcterms:created>
  <dcterms:modified xsi:type="dcterms:W3CDTF">2026-02-23T22:36:00Z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docLang">
    <vt:lpwstr>en</vt:lpwstr>
  </property>
  <property fmtid="{D5CDD505-2E9C-101B-9397-08002B2CF9AE}" pid="5" name="MediaServiceImageTags">
    <vt:lpwstr/>
  </property>
  <property fmtid="{D5CDD505-2E9C-101B-9397-08002B2CF9AE}" pid="6" name="Order">
    <vt:r8>817800</vt:r8>
  </property>
  <property fmtid="{D5CDD505-2E9C-101B-9397-08002B2CF9AE}" pid="7" name="TriggerFlowInfo">
    <vt:lpwstr/>
  </property>
  <property fmtid="{D5CDD505-2E9C-101B-9397-08002B2CF9AE}" pid="8" name="_ExtendedDescription">
    <vt:lpwstr/>
  </property>
  <property fmtid="{D5CDD505-2E9C-101B-9397-08002B2CF9AE}" pid="9" name="_SharedFileIndex">
    <vt:lpwstr/>
  </property>
  <property fmtid="{D5CDD505-2E9C-101B-9397-08002B2CF9AE}" pid="10" name="_SourceUrl">
    <vt:lpwstr/>
  </property>
</Properties>
</file>