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4D78" w:rsidP="00474D78" w14:paraId="44EEC21E" w14:textId="77777777">
      <w:pPr>
        <w:widowControl/>
        <w:tabs>
          <w:tab w:val="center" w:pos="4680"/>
        </w:tabs>
        <w:jc w:val="center"/>
        <w:rPr>
          <w:rFonts w:asciiTheme="minorHAnsi" w:hAnsiTheme="minorHAnsi" w:cstheme="minorHAnsi"/>
          <w:sz w:val="22"/>
          <w:szCs w:val="22"/>
        </w:rPr>
      </w:pPr>
      <w:r w:rsidRPr="00A1737F">
        <w:rPr>
          <w:rFonts w:asciiTheme="minorHAnsi" w:hAnsiTheme="minorHAnsi" w:cstheme="minorHAnsi"/>
          <w:sz w:val="22"/>
          <w:szCs w:val="22"/>
        </w:rPr>
        <w:t>Supporting Statement</w:t>
      </w:r>
    </w:p>
    <w:p w:rsidR="00B0676C" w:rsidRPr="00A1737F" w:rsidP="00474D78" w14:paraId="439B0F58" w14:textId="26F3AE80">
      <w:pPr>
        <w:widowControl/>
        <w:tabs>
          <w:tab w:val="center" w:pos="4680"/>
        </w:tabs>
        <w:jc w:val="center"/>
        <w:rPr>
          <w:rFonts w:asciiTheme="minorHAnsi" w:hAnsiTheme="minorHAnsi" w:cstheme="minorHAnsi"/>
          <w:sz w:val="22"/>
          <w:szCs w:val="22"/>
        </w:rPr>
      </w:pPr>
      <w:r w:rsidRPr="00B0676C">
        <w:rPr>
          <w:rFonts w:asciiTheme="minorHAnsi" w:hAnsiTheme="minorHAnsi" w:cstheme="minorHAnsi"/>
          <w:sz w:val="22"/>
          <w:szCs w:val="22"/>
        </w:rPr>
        <w:t>Internal Revenue Service</w:t>
      </w:r>
    </w:p>
    <w:p w:rsidR="00F543BD" w:rsidRPr="00A1737F" w:rsidP="00474D78" w14:paraId="49F218BB" w14:textId="17F7674F">
      <w:pPr>
        <w:widowControl/>
        <w:tabs>
          <w:tab w:val="center" w:pos="4680"/>
        </w:tabs>
        <w:jc w:val="center"/>
        <w:rPr>
          <w:rFonts w:asciiTheme="minorHAnsi" w:hAnsiTheme="minorHAnsi" w:cstheme="minorHAnsi"/>
          <w:sz w:val="22"/>
          <w:szCs w:val="22"/>
        </w:rPr>
      </w:pPr>
      <w:r w:rsidRPr="00B0676C">
        <w:t xml:space="preserve"> </w:t>
      </w:r>
      <w:r w:rsidRPr="00B0676C">
        <w:rPr>
          <w:rFonts w:asciiTheme="minorHAnsi" w:hAnsiTheme="minorHAnsi" w:cstheme="minorHAnsi"/>
          <w:sz w:val="22"/>
          <w:szCs w:val="22"/>
        </w:rPr>
        <w:t>Income of Foreign Governments and of International Organizations</w:t>
      </w:r>
    </w:p>
    <w:p w:rsidR="00FB01A0" w:rsidRPr="00A1737F" w:rsidP="00474D78" w14:paraId="571C9852" w14:textId="0583D4A1">
      <w:pPr>
        <w:widowControl/>
        <w:tabs>
          <w:tab w:val="center" w:pos="4680"/>
        </w:tabs>
        <w:jc w:val="center"/>
        <w:rPr>
          <w:rFonts w:asciiTheme="minorHAnsi" w:hAnsiTheme="minorHAnsi" w:cstheme="minorHAnsi"/>
          <w:sz w:val="22"/>
          <w:szCs w:val="22"/>
        </w:rPr>
      </w:pPr>
      <w:r>
        <w:rPr>
          <w:rFonts w:asciiTheme="minorHAnsi" w:hAnsiTheme="minorHAnsi" w:cstheme="minorHAnsi"/>
          <w:sz w:val="22"/>
          <w:szCs w:val="22"/>
        </w:rPr>
        <w:t xml:space="preserve">OMB Control Number </w:t>
      </w:r>
      <w:r w:rsidRPr="00A1737F">
        <w:rPr>
          <w:rFonts w:asciiTheme="minorHAnsi" w:hAnsiTheme="minorHAnsi" w:cstheme="minorHAnsi"/>
          <w:sz w:val="22"/>
          <w:szCs w:val="22"/>
        </w:rPr>
        <w:t>1545-2239</w:t>
      </w:r>
    </w:p>
    <w:p w:rsidR="00474D78" w:rsidRPr="00A1737F" w:rsidP="00474D78" w14:paraId="23ACCB90" w14:textId="77777777">
      <w:pPr>
        <w:widowControl/>
        <w:rPr>
          <w:rFonts w:asciiTheme="minorHAnsi" w:hAnsiTheme="minorHAnsi" w:cstheme="minorHAnsi"/>
          <w:sz w:val="22"/>
          <w:szCs w:val="22"/>
        </w:rPr>
      </w:pPr>
    </w:p>
    <w:p w:rsidR="00B0676C" w:rsidRPr="00453AD3" w:rsidP="00B0676C" w14:paraId="6F2A2FE8" w14:textId="77777777">
      <w:pPr>
        <w:pStyle w:val="Level1"/>
        <w:numPr>
          <w:ilvl w:val="0"/>
          <w:numId w:val="1"/>
        </w:numPr>
        <w:tabs>
          <w:tab w:val="left" w:pos="-1440"/>
          <w:tab w:val="num" w:pos="720"/>
        </w:tabs>
        <w:rPr>
          <w:rFonts w:asciiTheme="minorHAnsi" w:hAnsiTheme="minorHAnsi"/>
          <w:sz w:val="22"/>
          <w:szCs w:val="22"/>
        </w:rPr>
      </w:pPr>
      <w:bookmarkStart w:id="0" w:name="_Hlk133493248"/>
      <w:r w:rsidRPr="00453AD3">
        <w:rPr>
          <w:rFonts w:asciiTheme="minorHAnsi" w:hAnsiTheme="minorHAnsi"/>
          <w:sz w:val="22"/>
          <w:szCs w:val="22"/>
          <w:u w:val="single"/>
        </w:rPr>
        <w:t>CIRCUMSTANCES NECESSITATING COLLECTION OF INFORMATION</w:t>
      </w:r>
    </w:p>
    <w:bookmarkEnd w:id="0"/>
    <w:p w:rsidR="00BB099F" w:rsidP="00474D78" w14:paraId="6267C936" w14:textId="77777777">
      <w:pPr>
        <w:widowControl/>
        <w:tabs>
          <w:tab w:val="left" w:pos="-1440"/>
        </w:tabs>
        <w:rPr>
          <w:rFonts w:asciiTheme="minorHAnsi" w:hAnsiTheme="minorHAnsi" w:cstheme="minorHAnsi"/>
          <w:sz w:val="22"/>
          <w:szCs w:val="22"/>
        </w:rPr>
      </w:pPr>
    </w:p>
    <w:p w:rsidR="00474D78" w:rsidRPr="00A1737F" w:rsidP="00474D78" w14:paraId="0BD5449C" w14:textId="6B9CA3D0">
      <w:pPr>
        <w:ind w:left="720"/>
        <w:rPr>
          <w:rFonts w:asciiTheme="minorHAnsi" w:hAnsiTheme="minorHAnsi" w:cstheme="minorHAnsi"/>
          <w:sz w:val="22"/>
          <w:szCs w:val="22"/>
        </w:rPr>
      </w:pPr>
      <w:r w:rsidRPr="00A1737F">
        <w:rPr>
          <w:rFonts w:asciiTheme="minorHAnsi" w:hAnsiTheme="minorHAnsi" w:cstheme="minorHAnsi"/>
          <w:sz w:val="22"/>
          <w:szCs w:val="22"/>
        </w:rPr>
        <w:t xml:space="preserve">This document contains </w:t>
      </w:r>
      <w:r w:rsidRPr="00A1737F" w:rsidR="008120B2">
        <w:rPr>
          <w:rFonts w:asciiTheme="minorHAnsi" w:hAnsiTheme="minorHAnsi" w:cstheme="minorHAnsi"/>
          <w:sz w:val="22"/>
          <w:szCs w:val="22"/>
        </w:rPr>
        <w:t>Treasury</w:t>
      </w:r>
      <w:r w:rsidRPr="00A1737F">
        <w:rPr>
          <w:rFonts w:asciiTheme="minorHAnsi" w:hAnsiTheme="minorHAnsi" w:cstheme="minorHAnsi"/>
          <w:sz w:val="22"/>
          <w:szCs w:val="22"/>
        </w:rPr>
        <w:t xml:space="preserve"> </w:t>
      </w:r>
      <w:r w:rsidRPr="00A1737F" w:rsidR="008120B2">
        <w:rPr>
          <w:rFonts w:asciiTheme="minorHAnsi" w:hAnsiTheme="minorHAnsi" w:cstheme="minorHAnsi"/>
          <w:sz w:val="22"/>
          <w:szCs w:val="22"/>
        </w:rPr>
        <w:t>r</w:t>
      </w:r>
      <w:r w:rsidRPr="00A1737F">
        <w:rPr>
          <w:rFonts w:asciiTheme="minorHAnsi" w:hAnsiTheme="minorHAnsi" w:cstheme="minorHAnsi"/>
          <w:sz w:val="22"/>
          <w:szCs w:val="22"/>
        </w:rPr>
        <w:t xml:space="preserve">egulations that provide guidance relating to U.S. Federal taxation of income of foreign governments from investments in the United States under </w:t>
      </w:r>
      <w:r w:rsidR="00DD1469">
        <w:rPr>
          <w:rFonts w:asciiTheme="minorHAnsi" w:hAnsiTheme="minorHAnsi" w:cstheme="minorHAnsi"/>
          <w:sz w:val="22"/>
          <w:szCs w:val="22"/>
        </w:rPr>
        <w:t xml:space="preserve">Internal Revenue Code </w:t>
      </w:r>
      <w:r w:rsidRPr="00A1737F">
        <w:rPr>
          <w:rFonts w:asciiTheme="minorHAnsi" w:hAnsiTheme="minorHAnsi" w:cstheme="minorHAnsi"/>
          <w:sz w:val="22"/>
          <w:szCs w:val="22"/>
        </w:rPr>
        <w:t>section 892. The regulations will affect foreign governments that derive income from sources within the United States.</w:t>
      </w:r>
    </w:p>
    <w:p w:rsidR="00474D78" w:rsidRPr="00A1737F" w:rsidP="00474D78" w14:paraId="0FB5C920" w14:textId="77777777">
      <w:pPr>
        <w:ind w:left="720"/>
        <w:rPr>
          <w:rFonts w:asciiTheme="minorHAnsi" w:hAnsiTheme="minorHAnsi" w:cstheme="minorHAnsi"/>
          <w:sz w:val="22"/>
          <w:szCs w:val="22"/>
        </w:rPr>
      </w:pPr>
    </w:p>
    <w:p w:rsidR="008120B2" w:rsidRPr="00A1737F" w:rsidP="00474D78" w14:paraId="3E2476B1" w14:textId="4BC37C66">
      <w:pPr>
        <w:ind w:left="720"/>
        <w:rPr>
          <w:rFonts w:asciiTheme="minorHAnsi" w:hAnsiTheme="minorHAnsi" w:cstheme="minorHAnsi"/>
          <w:sz w:val="22"/>
          <w:szCs w:val="22"/>
        </w:rPr>
      </w:pPr>
      <w:r>
        <w:rPr>
          <w:rFonts w:asciiTheme="minorHAnsi" w:hAnsiTheme="minorHAnsi" w:cstheme="minorHAnsi"/>
          <w:sz w:val="22"/>
          <w:szCs w:val="22"/>
        </w:rPr>
        <w:t>IRC s</w:t>
      </w:r>
      <w:r w:rsidRPr="00A1737F">
        <w:rPr>
          <w:rFonts w:asciiTheme="minorHAnsi" w:hAnsiTheme="minorHAnsi" w:cstheme="minorHAnsi"/>
          <w:sz w:val="22"/>
          <w:szCs w:val="22"/>
        </w:rPr>
        <w:t>ection 892</w:t>
      </w:r>
      <w:r w:rsidR="006F6EAD">
        <w:rPr>
          <w:rFonts w:asciiTheme="minorHAnsi" w:hAnsiTheme="minorHAnsi" w:cstheme="minorHAnsi"/>
          <w:sz w:val="22"/>
          <w:szCs w:val="22"/>
        </w:rPr>
        <w:t>(a)(1)(A)</w:t>
      </w:r>
      <w:r w:rsidRPr="00A1737F" w:rsidR="00FC0001">
        <w:rPr>
          <w:rFonts w:asciiTheme="minorHAnsi" w:hAnsiTheme="minorHAnsi" w:cstheme="minorHAnsi"/>
          <w:sz w:val="22"/>
          <w:szCs w:val="22"/>
        </w:rPr>
        <w:t xml:space="preserve"> </w:t>
      </w:r>
      <w:r w:rsidRPr="00A1737F">
        <w:rPr>
          <w:rFonts w:asciiTheme="minorHAnsi" w:hAnsiTheme="minorHAnsi" w:cstheme="minorHAnsi"/>
          <w:sz w:val="22"/>
          <w:szCs w:val="22"/>
        </w:rPr>
        <w:t xml:space="preserve">exempts a foreign government from U.S. income taxation under subtitle A on certain qualified income received from investments in the United States in stocks, bonds, or other domestic securities, or financial instruments held in the execution of governmental financial or monetary policy. </w:t>
      </w:r>
      <w:r w:rsidR="00C93D32">
        <w:rPr>
          <w:rFonts w:asciiTheme="minorHAnsi" w:hAnsiTheme="minorHAnsi" w:cstheme="minorHAnsi"/>
          <w:sz w:val="22"/>
          <w:szCs w:val="22"/>
        </w:rPr>
        <w:t>Pursuant to IRC section 892(a)(2)(A),</w:t>
      </w:r>
      <w:r w:rsidRPr="00A1737F">
        <w:rPr>
          <w:rFonts w:asciiTheme="minorHAnsi" w:hAnsiTheme="minorHAnsi" w:cstheme="minorHAnsi"/>
          <w:sz w:val="22"/>
          <w:szCs w:val="22"/>
        </w:rPr>
        <w:t xml:space="preserve"> </w:t>
      </w:r>
      <w:r w:rsidR="00C93D32">
        <w:rPr>
          <w:rFonts w:asciiTheme="minorHAnsi" w:hAnsiTheme="minorHAnsi" w:cstheme="minorHAnsi"/>
          <w:sz w:val="22"/>
          <w:szCs w:val="22"/>
        </w:rPr>
        <w:t>t</w:t>
      </w:r>
      <w:r w:rsidRPr="00A1737F">
        <w:rPr>
          <w:rFonts w:asciiTheme="minorHAnsi" w:hAnsiTheme="minorHAnsi" w:cstheme="minorHAnsi"/>
          <w:sz w:val="22"/>
          <w:szCs w:val="22"/>
        </w:rPr>
        <w:t>his exemption does not apply to income that is (1) derived from the conduct of any commercial activity (whether within or outside the United States), (2) received by a controlled commercial entity (“CCE”) or received (directly or indirectly) from a CCE, or (3) derived from the disposition of any interest in a CCE.</w:t>
      </w:r>
    </w:p>
    <w:p w:rsidR="008120B2" w:rsidRPr="00A1737F" w:rsidP="00474D78" w14:paraId="56BAD974" w14:textId="77777777">
      <w:pPr>
        <w:ind w:left="720"/>
        <w:rPr>
          <w:rFonts w:asciiTheme="minorHAnsi" w:hAnsiTheme="minorHAnsi" w:cstheme="minorHAnsi"/>
          <w:sz w:val="22"/>
          <w:szCs w:val="22"/>
        </w:rPr>
      </w:pPr>
    </w:p>
    <w:p w:rsidR="008120B2" w:rsidRPr="00A1737F" w:rsidP="00474D78" w14:paraId="668660DB" w14:textId="07EAE81D">
      <w:pPr>
        <w:ind w:left="720"/>
        <w:rPr>
          <w:rFonts w:asciiTheme="minorHAnsi" w:hAnsiTheme="minorHAnsi" w:cstheme="minorHAnsi"/>
          <w:sz w:val="22"/>
          <w:szCs w:val="22"/>
        </w:rPr>
      </w:pPr>
      <w:r>
        <w:rPr>
          <w:rFonts w:asciiTheme="minorHAnsi" w:hAnsiTheme="minorHAnsi" w:cstheme="minorHAnsi"/>
          <w:sz w:val="22"/>
          <w:szCs w:val="22"/>
        </w:rPr>
        <w:t>Treasury Decision (</w:t>
      </w:r>
      <w:r w:rsidRPr="00A1737F" w:rsidR="00474D78">
        <w:rPr>
          <w:rFonts w:asciiTheme="minorHAnsi" w:hAnsiTheme="minorHAnsi" w:cstheme="minorHAnsi"/>
          <w:sz w:val="22"/>
          <w:szCs w:val="22"/>
        </w:rPr>
        <w:t>TD</w:t>
      </w:r>
      <w:r>
        <w:rPr>
          <w:rFonts w:asciiTheme="minorHAnsi" w:hAnsiTheme="minorHAnsi" w:cstheme="minorHAnsi"/>
          <w:sz w:val="22"/>
          <w:szCs w:val="22"/>
        </w:rPr>
        <w:t>)</w:t>
      </w:r>
      <w:r w:rsidRPr="00A1737F" w:rsidR="00474D78">
        <w:rPr>
          <w:rFonts w:asciiTheme="minorHAnsi" w:hAnsiTheme="minorHAnsi" w:cstheme="minorHAnsi"/>
          <w:sz w:val="22"/>
          <w:szCs w:val="22"/>
        </w:rPr>
        <w:t xml:space="preserve"> 8211 </w:t>
      </w:r>
      <w:r w:rsidRPr="00A1737F" w:rsidR="00172CA8">
        <w:rPr>
          <w:rFonts w:asciiTheme="minorHAnsi" w:hAnsiTheme="minorHAnsi" w:cstheme="minorHAnsi"/>
          <w:sz w:val="22"/>
          <w:szCs w:val="22"/>
        </w:rPr>
        <w:t xml:space="preserve">contained </w:t>
      </w:r>
      <w:r w:rsidRPr="00A1737F" w:rsidR="00474D78">
        <w:rPr>
          <w:rFonts w:asciiTheme="minorHAnsi" w:hAnsiTheme="minorHAnsi" w:cstheme="minorHAnsi"/>
          <w:sz w:val="22"/>
          <w:szCs w:val="22"/>
        </w:rPr>
        <w:t xml:space="preserve">temporary regulations </w:t>
      </w:r>
      <w:r w:rsidRPr="00A1737F" w:rsidR="00D90CE1">
        <w:rPr>
          <w:rFonts w:asciiTheme="minorHAnsi" w:hAnsiTheme="minorHAnsi" w:cstheme="minorHAnsi"/>
          <w:sz w:val="22"/>
          <w:szCs w:val="22"/>
        </w:rPr>
        <w:t>to provide guidance concerning the taxation of income of foreign governments and international organizations from investments in the United States</w:t>
      </w:r>
      <w:r w:rsidRPr="00A1737F">
        <w:rPr>
          <w:rFonts w:asciiTheme="minorHAnsi" w:hAnsiTheme="minorHAnsi" w:cstheme="minorHAnsi"/>
          <w:sz w:val="22"/>
          <w:szCs w:val="22"/>
        </w:rPr>
        <w:t xml:space="preserve"> under section 892</w:t>
      </w:r>
      <w:r w:rsidRPr="00A1737F" w:rsidR="00D90CE1">
        <w:rPr>
          <w:rFonts w:asciiTheme="minorHAnsi" w:hAnsiTheme="minorHAnsi" w:cstheme="minorHAnsi"/>
          <w:sz w:val="22"/>
          <w:szCs w:val="22"/>
        </w:rPr>
        <w:t>.</w:t>
      </w:r>
    </w:p>
    <w:p w:rsidR="008120B2" w:rsidRPr="00A1737F" w:rsidP="00474D78" w14:paraId="7FA43D8F" w14:textId="77777777">
      <w:pPr>
        <w:ind w:left="720"/>
        <w:rPr>
          <w:rFonts w:asciiTheme="minorHAnsi" w:hAnsiTheme="minorHAnsi" w:cstheme="minorHAnsi"/>
          <w:sz w:val="22"/>
          <w:szCs w:val="22"/>
        </w:rPr>
      </w:pPr>
    </w:p>
    <w:p w:rsidR="004F759E" w:rsidRPr="00A1737F" w:rsidP="00330125" w14:paraId="6C09ECEB" w14:textId="45C8C456">
      <w:pPr>
        <w:ind w:left="720"/>
        <w:rPr>
          <w:rFonts w:asciiTheme="minorHAnsi" w:hAnsiTheme="minorHAnsi" w:cstheme="minorHAnsi"/>
          <w:sz w:val="22"/>
          <w:szCs w:val="22"/>
        </w:rPr>
      </w:pPr>
      <w:r w:rsidRPr="00A1737F">
        <w:rPr>
          <w:rFonts w:asciiTheme="minorHAnsi" w:hAnsiTheme="minorHAnsi" w:cstheme="minorHAnsi"/>
          <w:sz w:val="22"/>
          <w:szCs w:val="22"/>
        </w:rPr>
        <w:t xml:space="preserve">TD </w:t>
      </w:r>
      <w:r w:rsidR="005F2447">
        <w:rPr>
          <w:rFonts w:asciiTheme="minorHAnsi" w:hAnsiTheme="minorHAnsi" w:cstheme="minorHAnsi"/>
          <w:sz w:val="22"/>
          <w:szCs w:val="22"/>
        </w:rPr>
        <w:t>10042</w:t>
      </w:r>
      <w:r w:rsidRPr="00A1737F">
        <w:rPr>
          <w:rFonts w:asciiTheme="minorHAnsi" w:hAnsiTheme="minorHAnsi" w:cstheme="minorHAnsi"/>
          <w:sz w:val="22"/>
          <w:szCs w:val="22"/>
        </w:rPr>
        <w:t xml:space="preserve"> </w:t>
      </w:r>
      <w:r w:rsidRPr="00A1737F" w:rsidR="008120B2">
        <w:rPr>
          <w:rFonts w:asciiTheme="minorHAnsi" w:hAnsiTheme="minorHAnsi" w:cstheme="minorHAnsi"/>
          <w:sz w:val="22"/>
          <w:szCs w:val="22"/>
        </w:rPr>
        <w:t>changes to the temporary regulations</w:t>
      </w:r>
      <w:r w:rsidRPr="00A1737F" w:rsidR="00172CA8">
        <w:rPr>
          <w:rFonts w:asciiTheme="minorHAnsi" w:hAnsiTheme="minorHAnsi" w:cstheme="minorHAnsi"/>
          <w:sz w:val="22"/>
          <w:szCs w:val="22"/>
        </w:rPr>
        <w:t xml:space="preserve"> (TD 8211)</w:t>
      </w:r>
      <w:r w:rsidRPr="00A1737F" w:rsidR="008120B2">
        <w:rPr>
          <w:rFonts w:asciiTheme="minorHAnsi" w:hAnsiTheme="minorHAnsi" w:cstheme="minorHAnsi"/>
          <w:sz w:val="22"/>
          <w:szCs w:val="22"/>
        </w:rPr>
        <w:t xml:space="preserve"> to</w:t>
      </w:r>
      <w:r w:rsidRPr="00A1737F" w:rsidR="00D90CE1">
        <w:rPr>
          <w:rFonts w:asciiTheme="minorHAnsi" w:hAnsiTheme="minorHAnsi" w:cstheme="minorHAnsi"/>
          <w:sz w:val="22"/>
          <w:szCs w:val="22"/>
        </w:rPr>
        <w:t xml:space="preserve"> </w:t>
      </w:r>
      <w:r w:rsidRPr="00A1737F" w:rsidR="00474D78">
        <w:rPr>
          <w:rFonts w:asciiTheme="minorHAnsi" w:hAnsiTheme="minorHAnsi" w:cstheme="minorHAnsi"/>
          <w:sz w:val="22"/>
          <w:szCs w:val="22"/>
        </w:rPr>
        <w:t xml:space="preserve">provide an exception that allows a controlled entity of a foreign </w:t>
      </w:r>
      <w:r w:rsidRPr="00A1737F" w:rsidR="00D644C9">
        <w:rPr>
          <w:rFonts w:asciiTheme="minorHAnsi" w:hAnsiTheme="minorHAnsi" w:cstheme="minorHAnsi"/>
          <w:sz w:val="22"/>
          <w:szCs w:val="22"/>
        </w:rPr>
        <w:t xml:space="preserve">government </w:t>
      </w:r>
      <w:r w:rsidRPr="00A1737F" w:rsidR="00474D78">
        <w:rPr>
          <w:rFonts w:asciiTheme="minorHAnsi" w:hAnsiTheme="minorHAnsi" w:cstheme="minorHAnsi"/>
          <w:sz w:val="22"/>
          <w:szCs w:val="22"/>
        </w:rPr>
        <w:t xml:space="preserve">that inadvertently engages in commercial activity to avoid </w:t>
      </w:r>
      <w:r w:rsidRPr="00A1737F" w:rsidR="00474D78">
        <w:rPr>
          <w:rFonts w:asciiTheme="minorHAnsi" w:hAnsiTheme="minorHAnsi" w:cstheme="minorHAnsi"/>
          <w:sz w:val="22"/>
          <w:szCs w:val="22"/>
        </w:rPr>
        <w:t>being treated</w:t>
      </w:r>
      <w:r w:rsidRPr="00A1737F" w:rsidR="00474D78">
        <w:rPr>
          <w:rFonts w:asciiTheme="minorHAnsi" w:hAnsiTheme="minorHAnsi" w:cstheme="minorHAnsi"/>
          <w:sz w:val="22"/>
          <w:szCs w:val="22"/>
        </w:rPr>
        <w:t xml:space="preserve"> as a </w:t>
      </w:r>
      <w:r w:rsidRPr="00A1737F" w:rsidR="008120B2">
        <w:rPr>
          <w:rFonts w:asciiTheme="minorHAnsi" w:hAnsiTheme="minorHAnsi" w:cstheme="minorHAnsi"/>
          <w:sz w:val="22"/>
          <w:szCs w:val="22"/>
        </w:rPr>
        <w:t xml:space="preserve">CCE </w:t>
      </w:r>
      <w:r w:rsidRPr="00A1737F" w:rsidR="00D644C9">
        <w:rPr>
          <w:rFonts w:asciiTheme="minorHAnsi" w:hAnsiTheme="minorHAnsi" w:cstheme="minorHAnsi"/>
          <w:sz w:val="22"/>
          <w:szCs w:val="22"/>
        </w:rPr>
        <w:t xml:space="preserve">under </w:t>
      </w:r>
      <w:r w:rsidRPr="00A1737F" w:rsidR="001D3513">
        <w:rPr>
          <w:rFonts w:asciiTheme="minorHAnsi" w:hAnsiTheme="minorHAnsi" w:cstheme="minorHAnsi"/>
          <w:sz w:val="22"/>
          <w:szCs w:val="22"/>
        </w:rPr>
        <w:t xml:space="preserve">IRC </w:t>
      </w:r>
      <w:r w:rsidRPr="00A1737F" w:rsidR="008120B2">
        <w:rPr>
          <w:rFonts w:asciiTheme="minorHAnsi" w:hAnsiTheme="minorHAnsi" w:cstheme="minorHAnsi"/>
          <w:sz w:val="22"/>
          <w:szCs w:val="22"/>
        </w:rPr>
        <w:t xml:space="preserve">section </w:t>
      </w:r>
      <w:r w:rsidRPr="00A1737F" w:rsidR="00D644C9">
        <w:rPr>
          <w:rFonts w:asciiTheme="minorHAnsi" w:hAnsiTheme="minorHAnsi" w:cstheme="minorHAnsi"/>
          <w:sz w:val="22"/>
          <w:szCs w:val="22"/>
        </w:rPr>
        <w:t xml:space="preserve">892(a)(2)(B) </w:t>
      </w:r>
      <w:r w:rsidRPr="00A1737F" w:rsidR="00474D78">
        <w:rPr>
          <w:rFonts w:asciiTheme="minorHAnsi" w:hAnsiTheme="minorHAnsi" w:cstheme="minorHAnsi"/>
          <w:sz w:val="22"/>
          <w:szCs w:val="22"/>
        </w:rPr>
        <w:t xml:space="preserve">and accordingly remain eligible for the tax exemption provided under </w:t>
      </w:r>
      <w:r w:rsidRPr="00A1737F" w:rsidR="001D3513">
        <w:rPr>
          <w:rFonts w:asciiTheme="minorHAnsi" w:hAnsiTheme="minorHAnsi" w:cstheme="minorHAnsi"/>
          <w:sz w:val="22"/>
          <w:szCs w:val="22"/>
        </w:rPr>
        <w:t xml:space="preserve">IRC </w:t>
      </w:r>
      <w:r w:rsidRPr="00A1737F" w:rsidR="008120B2">
        <w:rPr>
          <w:rFonts w:asciiTheme="minorHAnsi" w:hAnsiTheme="minorHAnsi" w:cstheme="minorHAnsi"/>
          <w:sz w:val="22"/>
          <w:szCs w:val="22"/>
        </w:rPr>
        <w:t xml:space="preserve">section </w:t>
      </w:r>
      <w:r w:rsidRPr="00A1737F" w:rsidR="00474D78">
        <w:rPr>
          <w:rFonts w:asciiTheme="minorHAnsi" w:hAnsiTheme="minorHAnsi" w:cstheme="minorHAnsi"/>
          <w:sz w:val="22"/>
          <w:szCs w:val="22"/>
        </w:rPr>
        <w:t>892. To qualify for the exception, certain conditions must be satisfied by the controlled entity including maintaining adequate records regarding each discovered commercial activity and the remedial action taken to cure each such activity.</w:t>
      </w:r>
      <w:r w:rsidRPr="00A1737F" w:rsidR="00330125">
        <w:rPr>
          <w:rFonts w:asciiTheme="minorHAnsi" w:hAnsiTheme="minorHAnsi" w:cstheme="minorHAnsi"/>
          <w:sz w:val="22"/>
          <w:szCs w:val="22"/>
        </w:rPr>
        <w:t xml:space="preserve"> </w:t>
      </w:r>
      <w:r w:rsidR="007A2833">
        <w:rPr>
          <w:rFonts w:asciiTheme="minorHAnsi" w:hAnsiTheme="minorHAnsi" w:cstheme="minorHAnsi"/>
          <w:sz w:val="22"/>
          <w:szCs w:val="22"/>
        </w:rPr>
        <w:t>Treasury Regulations section</w:t>
      </w:r>
      <w:r w:rsidRPr="00A1737F" w:rsidR="00330125">
        <w:rPr>
          <w:rFonts w:asciiTheme="minorHAnsi" w:hAnsiTheme="minorHAnsi" w:cstheme="minorHAnsi"/>
          <w:sz w:val="22"/>
          <w:szCs w:val="22"/>
        </w:rPr>
        <w:t xml:space="preserve"> 1.892-5(a)(2)(ii)(B) requires entities to keep records of written policies and operational procedures to avoid commercial activity failures. </w:t>
      </w:r>
      <w:r w:rsidR="007A2833">
        <w:rPr>
          <w:rFonts w:asciiTheme="minorHAnsi" w:hAnsiTheme="minorHAnsi" w:cstheme="minorHAnsi"/>
          <w:sz w:val="22"/>
          <w:szCs w:val="22"/>
        </w:rPr>
        <w:t>Treasury Regulations</w:t>
      </w:r>
      <w:r w:rsidRPr="00A1737F" w:rsidR="00330125">
        <w:rPr>
          <w:rFonts w:asciiTheme="minorHAnsi" w:hAnsiTheme="minorHAnsi" w:cstheme="minorHAnsi"/>
          <w:sz w:val="22"/>
          <w:szCs w:val="22"/>
        </w:rPr>
        <w:t xml:space="preserve"> </w:t>
      </w:r>
      <w:r w:rsidR="007A2833">
        <w:rPr>
          <w:rFonts w:asciiTheme="minorHAnsi" w:hAnsiTheme="minorHAnsi" w:cstheme="minorHAnsi"/>
          <w:sz w:val="22"/>
          <w:szCs w:val="22"/>
        </w:rPr>
        <w:t xml:space="preserve">section </w:t>
      </w:r>
      <w:r w:rsidRPr="00A1737F" w:rsidR="00330125">
        <w:rPr>
          <w:rFonts w:asciiTheme="minorHAnsi" w:hAnsiTheme="minorHAnsi" w:cstheme="minorHAnsi"/>
          <w:sz w:val="22"/>
          <w:szCs w:val="22"/>
        </w:rPr>
        <w:t xml:space="preserve">1.892-5(a)(2)(iv) requires entities to keep records of commercial failure activities and remedial actions to correct failures. </w:t>
      </w:r>
      <w:r w:rsidRPr="00A1737F" w:rsidR="00D644C9">
        <w:rPr>
          <w:rFonts w:asciiTheme="minorHAnsi" w:hAnsiTheme="minorHAnsi" w:cstheme="minorHAnsi"/>
          <w:sz w:val="22"/>
          <w:szCs w:val="22"/>
        </w:rPr>
        <w:t xml:space="preserve">The recordkeeping requirement in </w:t>
      </w:r>
      <w:r w:rsidRPr="00A1737F" w:rsidR="00592721">
        <w:rPr>
          <w:rFonts w:asciiTheme="minorHAnsi" w:hAnsiTheme="minorHAnsi" w:cstheme="minorHAnsi"/>
          <w:sz w:val="22"/>
          <w:szCs w:val="22"/>
        </w:rPr>
        <w:t xml:space="preserve">§ 1.892-5(a)(2)(ii)(B) and </w:t>
      </w:r>
      <w:r w:rsidRPr="00A1737F" w:rsidR="00D644C9">
        <w:rPr>
          <w:rFonts w:asciiTheme="minorHAnsi" w:hAnsiTheme="minorHAnsi" w:cstheme="minorHAnsi"/>
          <w:sz w:val="22"/>
          <w:szCs w:val="22"/>
        </w:rPr>
        <w:t xml:space="preserve">§ 1.892-5(a)(2)(iv) </w:t>
      </w:r>
      <w:r w:rsidRPr="00A1737F" w:rsidR="00D644C9">
        <w:rPr>
          <w:rFonts w:asciiTheme="minorHAnsi" w:hAnsiTheme="minorHAnsi" w:cstheme="minorHAnsi"/>
          <w:sz w:val="22"/>
          <w:szCs w:val="22"/>
        </w:rPr>
        <w:t>are required</w:t>
      </w:r>
      <w:r w:rsidRPr="00A1737F" w:rsidR="00D644C9">
        <w:rPr>
          <w:rFonts w:asciiTheme="minorHAnsi" w:hAnsiTheme="minorHAnsi" w:cstheme="minorHAnsi"/>
          <w:sz w:val="22"/>
          <w:szCs w:val="22"/>
        </w:rPr>
        <w:t xml:space="preserve"> for IRS to validate if taxpayers have met the regulatory requirements and </w:t>
      </w:r>
      <w:r w:rsidRPr="00A1737F" w:rsidR="00E85C68">
        <w:rPr>
          <w:rFonts w:asciiTheme="minorHAnsi" w:hAnsiTheme="minorHAnsi" w:cstheme="minorHAnsi"/>
          <w:sz w:val="22"/>
          <w:szCs w:val="22"/>
        </w:rPr>
        <w:t xml:space="preserve">are </w:t>
      </w:r>
      <w:r w:rsidRPr="00A1737F" w:rsidR="00592721">
        <w:rPr>
          <w:rFonts w:asciiTheme="minorHAnsi" w:hAnsiTheme="minorHAnsi" w:cstheme="minorHAnsi"/>
          <w:sz w:val="22"/>
          <w:szCs w:val="22"/>
        </w:rPr>
        <w:t>entitle</w:t>
      </w:r>
      <w:r w:rsidRPr="00A1737F" w:rsidR="00E85C68">
        <w:rPr>
          <w:rFonts w:asciiTheme="minorHAnsi" w:hAnsiTheme="minorHAnsi" w:cstheme="minorHAnsi"/>
          <w:sz w:val="22"/>
          <w:szCs w:val="22"/>
        </w:rPr>
        <w:t>d</w:t>
      </w:r>
      <w:r w:rsidRPr="00A1737F" w:rsidR="00592721">
        <w:rPr>
          <w:rFonts w:asciiTheme="minorHAnsi" w:hAnsiTheme="minorHAnsi" w:cstheme="minorHAnsi"/>
          <w:sz w:val="22"/>
          <w:szCs w:val="22"/>
        </w:rPr>
        <w:t xml:space="preserve"> </w:t>
      </w:r>
      <w:r w:rsidRPr="00A1737F" w:rsidR="00E85C68">
        <w:rPr>
          <w:rFonts w:asciiTheme="minorHAnsi" w:hAnsiTheme="minorHAnsi" w:cstheme="minorHAnsi"/>
          <w:sz w:val="22"/>
          <w:szCs w:val="22"/>
        </w:rPr>
        <w:t>to</w:t>
      </w:r>
      <w:r w:rsidRPr="00A1737F" w:rsidR="00592721">
        <w:rPr>
          <w:rFonts w:asciiTheme="minorHAnsi" w:hAnsiTheme="minorHAnsi" w:cstheme="minorHAnsi"/>
          <w:sz w:val="22"/>
          <w:szCs w:val="22"/>
        </w:rPr>
        <w:t xml:space="preserve"> the inadvertent commercial activity exception</w:t>
      </w:r>
      <w:r w:rsidRPr="00A1737F" w:rsidR="00D644C9">
        <w:rPr>
          <w:rFonts w:asciiTheme="minorHAnsi" w:hAnsiTheme="minorHAnsi" w:cstheme="minorHAnsi"/>
          <w:sz w:val="22"/>
          <w:szCs w:val="22"/>
        </w:rPr>
        <w:t xml:space="preserve"> under </w:t>
      </w:r>
      <w:r w:rsidRPr="00A1737F" w:rsidR="008120B2">
        <w:rPr>
          <w:rFonts w:asciiTheme="minorHAnsi" w:hAnsiTheme="minorHAnsi" w:cstheme="minorHAnsi"/>
          <w:sz w:val="22"/>
          <w:szCs w:val="22"/>
        </w:rPr>
        <w:t xml:space="preserve">section </w:t>
      </w:r>
      <w:r w:rsidRPr="00A1737F" w:rsidR="00D644C9">
        <w:rPr>
          <w:rFonts w:asciiTheme="minorHAnsi" w:hAnsiTheme="minorHAnsi" w:cstheme="minorHAnsi"/>
          <w:sz w:val="22"/>
          <w:szCs w:val="22"/>
        </w:rPr>
        <w:t>892.</w:t>
      </w:r>
    </w:p>
    <w:p w:rsidR="00474D78" w:rsidRPr="00A1737F" w:rsidP="00474D78" w14:paraId="0C40214B" w14:textId="77777777">
      <w:pPr>
        <w:rPr>
          <w:rFonts w:asciiTheme="minorHAnsi" w:hAnsiTheme="minorHAnsi" w:cstheme="minorHAnsi"/>
          <w:sz w:val="22"/>
          <w:szCs w:val="22"/>
        </w:rPr>
      </w:pPr>
    </w:p>
    <w:p w:rsidR="00474D78" w:rsidRPr="00A1737F" w:rsidP="00A1737F" w14:paraId="1349E6FB" w14:textId="01B1FAE0">
      <w:pPr>
        <w:pStyle w:val="Level1"/>
        <w:numPr>
          <w:ilvl w:val="0"/>
          <w:numId w:val="1"/>
        </w:numPr>
        <w:tabs>
          <w:tab w:val="left" w:pos="-1440"/>
          <w:tab w:val="num" w:pos="720"/>
        </w:tabs>
        <w:rPr>
          <w:rFonts w:asciiTheme="minorHAnsi" w:hAnsiTheme="minorHAnsi"/>
          <w:sz w:val="22"/>
          <w:szCs w:val="22"/>
          <w:u w:val="single"/>
        </w:rPr>
      </w:pPr>
      <w:r w:rsidRPr="00A1737F">
        <w:rPr>
          <w:rFonts w:asciiTheme="minorHAnsi" w:hAnsiTheme="minorHAnsi"/>
          <w:sz w:val="22"/>
          <w:szCs w:val="22"/>
          <w:u w:val="single"/>
        </w:rPr>
        <w:t>USE OF DATA</w:t>
      </w:r>
    </w:p>
    <w:p w:rsidR="00474D78" w:rsidRPr="00A1737F" w:rsidP="00474D78" w14:paraId="152EEF85" w14:textId="77777777">
      <w:pPr>
        <w:widowControl/>
        <w:rPr>
          <w:rFonts w:asciiTheme="minorHAnsi" w:hAnsiTheme="minorHAnsi" w:cstheme="minorHAnsi"/>
          <w:sz w:val="22"/>
          <w:szCs w:val="22"/>
          <w:u w:val="single"/>
        </w:rPr>
      </w:pPr>
    </w:p>
    <w:p w:rsidR="00474D78" w:rsidRPr="00A1737F" w:rsidP="00474D78" w14:paraId="44A78DF8" w14:textId="6321A79B">
      <w:pPr>
        <w:widowControl/>
        <w:ind w:left="720"/>
        <w:rPr>
          <w:rFonts w:asciiTheme="minorHAnsi" w:hAnsiTheme="minorHAnsi" w:cstheme="minorHAnsi"/>
          <w:sz w:val="22"/>
          <w:szCs w:val="22"/>
        </w:rPr>
      </w:pPr>
      <w:r w:rsidRPr="00A1737F">
        <w:rPr>
          <w:rFonts w:asciiTheme="minorHAnsi" w:hAnsiTheme="minorHAnsi" w:cstheme="minorHAnsi"/>
          <w:color w:val="000000"/>
          <w:sz w:val="22"/>
          <w:szCs w:val="22"/>
        </w:rPr>
        <w:t>The collection</w:t>
      </w:r>
      <w:r w:rsidRPr="00A1737F" w:rsidR="00E85C68">
        <w:rPr>
          <w:rFonts w:asciiTheme="minorHAnsi" w:hAnsiTheme="minorHAnsi" w:cstheme="minorHAnsi"/>
          <w:color w:val="000000"/>
          <w:sz w:val="22"/>
          <w:szCs w:val="22"/>
        </w:rPr>
        <w:t>s</w:t>
      </w:r>
      <w:r w:rsidRPr="00A1737F">
        <w:rPr>
          <w:rFonts w:asciiTheme="minorHAnsi" w:hAnsiTheme="minorHAnsi" w:cstheme="minorHAnsi"/>
          <w:color w:val="000000"/>
          <w:sz w:val="22"/>
          <w:szCs w:val="22"/>
        </w:rPr>
        <w:t xml:space="preserve"> of information will be used by the IRS</w:t>
      </w:r>
      <w:r w:rsidRPr="00A1737F">
        <w:rPr>
          <w:rFonts w:asciiTheme="minorHAnsi" w:hAnsiTheme="minorHAnsi" w:cstheme="minorHAnsi"/>
          <w:color w:val="000000"/>
          <w:sz w:val="22"/>
          <w:szCs w:val="22"/>
        </w:rPr>
        <w:t xml:space="preserve"> for tax compliance purposes. The data will </w:t>
      </w:r>
      <w:r w:rsidRPr="00A1737F">
        <w:rPr>
          <w:rFonts w:asciiTheme="minorHAnsi" w:hAnsiTheme="minorHAnsi" w:cstheme="minorHAnsi"/>
          <w:color w:val="000000"/>
          <w:sz w:val="22"/>
          <w:szCs w:val="22"/>
        </w:rPr>
        <w:t>be used</w:t>
      </w:r>
      <w:r w:rsidRPr="00A1737F">
        <w:rPr>
          <w:rFonts w:asciiTheme="minorHAnsi" w:hAnsiTheme="minorHAnsi" w:cstheme="minorHAnsi"/>
          <w:color w:val="000000"/>
          <w:sz w:val="22"/>
          <w:szCs w:val="22"/>
        </w:rPr>
        <w:t xml:space="preserve"> to permit verification by the Commissioner of the IRS </w:t>
      </w:r>
      <w:r w:rsidRPr="00A1737F">
        <w:rPr>
          <w:rFonts w:asciiTheme="minorHAnsi" w:hAnsiTheme="minorHAnsi" w:cstheme="minorHAnsi"/>
          <w:color w:val="000000"/>
          <w:sz w:val="22"/>
          <w:szCs w:val="22"/>
        </w:rPr>
        <w:t>to determine if taxpayers qualify for exemption from tax under section 892.</w:t>
      </w:r>
    </w:p>
    <w:p w:rsidR="00474D78" w:rsidRPr="00A1737F" w:rsidP="00474D78" w14:paraId="6AFE35F6" w14:textId="77777777">
      <w:pPr>
        <w:widowControl/>
        <w:rPr>
          <w:rFonts w:asciiTheme="minorHAnsi" w:hAnsiTheme="minorHAnsi" w:cstheme="minorHAnsi"/>
          <w:sz w:val="22"/>
          <w:szCs w:val="22"/>
        </w:rPr>
      </w:pPr>
    </w:p>
    <w:p w:rsidR="00474D78" w:rsidRPr="00A1737F" w:rsidP="00A1737F" w14:paraId="35691A86" w14:textId="1D27C3F2">
      <w:pPr>
        <w:pStyle w:val="Level1"/>
        <w:numPr>
          <w:ilvl w:val="0"/>
          <w:numId w:val="1"/>
        </w:numPr>
        <w:tabs>
          <w:tab w:val="left" w:pos="-1440"/>
          <w:tab w:val="num" w:pos="720"/>
        </w:tabs>
        <w:rPr>
          <w:rFonts w:asciiTheme="minorHAnsi" w:hAnsiTheme="minorHAnsi"/>
          <w:sz w:val="22"/>
          <w:szCs w:val="22"/>
          <w:u w:val="single"/>
        </w:rPr>
      </w:pPr>
      <w:r w:rsidRPr="00A1737F">
        <w:rPr>
          <w:rFonts w:asciiTheme="minorHAnsi" w:hAnsiTheme="minorHAnsi"/>
          <w:sz w:val="22"/>
          <w:szCs w:val="22"/>
          <w:u w:val="single"/>
        </w:rPr>
        <w:t>USE OF IMPROVED INFORMATION TECHNOLOGY TO REDUCE BURDEN</w:t>
      </w:r>
    </w:p>
    <w:p w:rsidR="00474D78" w:rsidRPr="00A1737F" w:rsidP="00474D78" w14:paraId="1C2B5FC6" w14:textId="77777777">
      <w:pPr>
        <w:keepNext/>
        <w:keepLines/>
        <w:widowControl/>
        <w:rPr>
          <w:rFonts w:asciiTheme="minorHAnsi" w:hAnsiTheme="minorHAnsi" w:cstheme="minorHAnsi"/>
          <w:sz w:val="22"/>
          <w:szCs w:val="22"/>
          <w:u w:val="single"/>
        </w:rPr>
      </w:pPr>
    </w:p>
    <w:p w:rsidR="00474D78" w:rsidRPr="00A1737F" w:rsidP="00474D78" w14:paraId="4705E148" w14:textId="1994DE34">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The IRS has no plans to offer electronic filing for the recordkeeping requirements under </w:t>
      </w:r>
      <w:r w:rsidRPr="00A1737F" w:rsidR="00E85C68">
        <w:rPr>
          <w:rFonts w:asciiTheme="minorHAnsi" w:hAnsiTheme="minorHAnsi" w:cstheme="minorHAnsi"/>
          <w:sz w:val="22"/>
          <w:szCs w:val="22"/>
        </w:rPr>
        <w:t>§ 1.892-5(a)(2)(ii)(B) and § 1.892-5(a)(2)(iv)</w:t>
      </w:r>
      <w:r w:rsidRPr="00A1737F">
        <w:rPr>
          <w:rFonts w:asciiTheme="minorHAnsi" w:hAnsiTheme="minorHAnsi" w:cstheme="minorHAnsi"/>
          <w:sz w:val="22"/>
          <w:szCs w:val="22"/>
        </w:rPr>
        <w:t>.</w:t>
      </w:r>
      <w:r w:rsidR="007C4B5F">
        <w:rPr>
          <w:rFonts w:asciiTheme="minorHAnsi" w:hAnsiTheme="minorHAnsi" w:cstheme="minorHAnsi"/>
          <w:sz w:val="22"/>
          <w:szCs w:val="22"/>
        </w:rPr>
        <w:t xml:space="preserve"> </w:t>
      </w:r>
      <w:r w:rsidR="00A05B08">
        <w:rPr>
          <w:rFonts w:asciiTheme="minorHAnsi" w:hAnsiTheme="minorHAnsi" w:cstheme="minorHAnsi"/>
          <w:sz w:val="22"/>
          <w:szCs w:val="22"/>
        </w:rPr>
        <w:t xml:space="preserve">Respondents may utilize improved information technology to keep the </w:t>
      </w:r>
      <w:r w:rsidR="0083149F">
        <w:rPr>
          <w:rFonts w:asciiTheme="minorHAnsi" w:hAnsiTheme="minorHAnsi" w:cstheme="minorHAnsi"/>
          <w:sz w:val="22"/>
          <w:szCs w:val="22"/>
        </w:rPr>
        <w:t>required records.</w:t>
      </w:r>
    </w:p>
    <w:p w:rsidR="00474D78" w:rsidRPr="00A1737F" w:rsidP="00474D78" w14:paraId="47A06365" w14:textId="77777777">
      <w:pPr>
        <w:keepLines/>
        <w:widowControl/>
        <w:rPr>
          <w:rFonts w:asciiTheme="minorHAnsi" w:hAnsiTheme="minorHAnsi" w:cstheme="minorHAnsi"/>
          <w:sz w:val="22"/>
          <w:szCs w:val="22"/>
        </w:rPr>
      </w:pPr>
    </w:p>
    <w:p w:rsidR="00474D78" w:rsidRPr="00A1737F" w:rsidP="00A1737F" w14:paraId="6F11E42B" w14:textId="7F1D28B5">
      <w:pPr>
        <w:pStyle w:val="Level1"/>
        <w:numPr>
          <w:ilvl w:val="0"/>
          <w:numId w:val="1"/>
        </w:numPr>
        <w:tabs>
          <w:tab w:val="left" w:pos="-1440"/>
          <w:tab w:val="num" w:pos="720"/>
        </w:tabs>
        <w:rPr>
          <w:rFonts w:asciiTheme="minorHAnsi" w:hAnsiTheme="minorHAnsi"/>
          <w:sz w:val="22"/>
          <w:szCs w:val="22"/>
          <w:u w:val="single"/>
        </w:rPr>
      </w:pPr>
      <w:r w:rsidRPr="00A1737F">
        <w:rPr>
          <w:rFonts w:asciiTheme="minorHAnsi" w:hAnsiTheme="minorHAnsi"/>
          <w:sz w:val="22"/>
          <w:szCs w:val="22"/>
          <w:u w:val="single"/>
        </w:rPr>
        <w:t>EFFORTS TO IDENTIFY DUPLICATION</w:t>
      </w:r>
    </w:p>
    <w:p w:rsidR="00474D78" w:rsidRPr="00A1737F" w:rsidP="00474D78" w14:paraId="1C6B3498" w14:textId="77777777">
      <w:pPr>
        <w:widowControl/>
        <w:rPr>
          <w:rFonts w:asciiTheme="minorHAnsi" w:hAnsiTheme="minorHAnsi" w:cstheme="minorHAnsi"/>
          <w:sz w:val="22"/>
          <w:szCs w:val="22"/>
          <w:u w:val="single"/>
        </w:rPr>
      </w:pPr>
    </w:p>
    <w:p w:rsidR="00474D78" w:rsidRPr="00A1737F" w:rsidP="00474D78" w14:paraId="57CD5F25" w14:textId="1BA57E57">
      <w:pPr>
        <w:widowControl/>
        <w:ind w:left="720"/>
        <w:rPr>
          <w:rFonts w:asciiTheme="minorHAnsi" w:hAnsiTheme="minorHAnsi" w:cstheme="minorHAnsi"/>
          <w:sz w:val="22"/>
          <w:szCs w:val="22"/>
        </w:rPr>
      </w:pPr>
      <w:r w:rsidRPr="00A1737F">
        <w:rPr>
          <w:rFonts w:asciiTheme="minorHAnsi" w:hAnsiTheme="minorHAnsi" w:cstheme="minorHAnsi"/>
          <w:sz w:val="22"/>
          <w:szCs w:val="22"/>
        </w:rPr>
        <w:t>The information obtained through this collection is unique and is not already available for use or adaption from another source</w:t>
      </w:r>
      <w:r w:rsidRPr="00A1737F">
        <w:rPr>
          <w:rFonts w:asciiTheme="minorHAnsi" w:hAnsiTheme="minorHAnsi" w:cstheme="minorHAnsi"/>
          <w:sz w:val="22"/>
          <w:szCs w:val="22"/>
        </w:rPr>
        <w:t>.</w:t>
      </w:r>
    </w:p>
    <w:p w:rsidR="00474D78" w:rsidRPr="00A1737F" w:rsidP="00474D78" w14:paraId="7CC7E38E" w14:textId="77777777">
      <w:pPr>
        <w:widowControl/>
        <w:rPr>
          <w:rFonts w:asciiTheme="minorHAnsi" w:hAnsiTheme="minorHAnsi" w:cstheme="minorHAnsi"/>
          <w:sz w:val="22"/>
          <w:szCs w:val="22"/>
        </w:rPr>
      </w:pPr>
    </w:p>
    <w:p w:rsidR="00474D78" w:rsidRPr="00A1737F" w:rsidP="00A1737F" w14:paraId="1B71CBFA" w14:textId="36EC8D33">
      <w:pPr>
        <w:pStyle w:val="Level1"/>
        <w:numPr>
          <w:ilvl w:val="0"/>
          <w:numId w:val="1"/>
        </w:numPr>
        <w:tabs>
          <w:tab w:val="left" w:pos="-1440"/>
          <w:tab w:val="num" w:pos="720"/>
        </w:tabs>
        <w:rPr>
          <w:rFonts w:asciiTheme="minorHAnsi" w:hAnsiTheme="minorHAnsi"/>
          <w:sz w:val="22"/>
          <w:szCs w:val="22"/>
          <w:u w:val="single"/>
        </w:rPr>
      </w:pPr>
      <w:r w:rsidRPr="00A1737F">
        <w:rPr>
          <w:rFonts w:asciiTheme="minorHAnsi" w:hAnsiTheme="minorHAnsi"/>
          <w:sz w:val="22"/>
          <w:szCs w:val="22"/>
          <w:u w:val="single"/>
        </w:rPr>
        <w:t>METHODS TO MINIMIZE BURDEN ON SMALL BUSINESSES OR OTHER SMALL ENTITIES</w:t>
      </w:r>
    </w:p>
    <w:p w:rsidR="00474D78" w:rsidRPr="00A1737F" w:rsidP="00474D78" w14:paraId="77AB065D" w14:textId="77777777">
      <w:pPr>
        <w:widowControl/>
        <w:rPr>
          <w:rFonts w:asciiTheme="minorHAnsi" w:hAnsiTheme="minorHAnsi" w:cstheme="minorHAnsi"/>
          <w:sz w:val="22"/>
          <w:szCs w:val="22"/>
          <w:u w:val="single"/>
        </w:rPr>
      </w:pPr>
    </w:p>
    <w:p w:rsidR="00474D78" w:rsidRPr="00A1737F" w:rsidP="00474D78" w14:paraId="7720281A" w14:textId="72C17E62">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This information collection will not have a significant economic impact on small businesses or other small entities. Generally, the regulations affect </w:t>
      </w:r>
      <w:r w:rsidRPr="00A1737F" w:rsidR="00182D4B">
        <w:rPr>
          <w:rFonts w:asciiTheme="minorHAnsi" w:hAnsiTheme="minorHAnsi" w:cstheme="minorHAnsi"/>
          <w:sz w:val="22"/>
          <w:szCs w:val="22"/>
        </w:rPr>
        <w:t>foreign governments, including their controlled entities</w:t>
      </w:r>
      <w:r w:rsidRPr="00A1737F" w:rsidR="00E85C68">
        <w:rPr>
          <w:rFonts w:asciiTheme="minorHAnsi" w:hAnsiTheme="minorHAnsi" w:cstheme="minorHAnsi"/>
          <w:sz w:val="22"/>
          <w:szCs w:val="22"/>
        </w:rPr>
        <w:t xml:space="preserve">, </w:t>
      </w:r>
      <w:r w:rsidRPr="00A1737F" w:rsidR="00182D4B">
        <w:rPr>
          <w:rFonts w:asciiTheme="minorHAnsi" w:hAnsiTheme="minorHAnsi" w:cstheme="minorHAnsi"/>
          <w:sz w:val="22"/>
          <w:szCs w:val="22"/>
        </w:rPr>
        <w:t>which operate primarily outside of the United States</w:t>
      </w:r>
      <w:r w:rsidRPr="00A1737F">
        <w:rPr>
          <w:rFonts w:asciiTheme="minorHAnsi" w:hAnsiTheme="minorHAnsi" w:cstheme="minorHAnsi"/>
          <w:sz w:val="22"/>
          <w:szCs w:val="22"/>
        </w:rPr>
        <w:t xml:space="preserve">. It is unlikely for </w:t>
      </w:r>
      <w:r w:rsidRPr="00A1737F" w:rsidR="00182D4B">
        <w:rPr>
          <w:rFonts w:asciiTheme="minorHAnsi" w:hAnsiTheme="minorHAnsi" w:cstheme="minorHAnsi"/>
          <w:sz w:val="22"/>
          <w:szCs w:val="22"/>
        </w:rPr>
        <w:t xml:space="preserve">the regulations to affect </w:t>
      </w:r>
      <w:r w:rsidRPr="00A1737F">
        <w:rPr>
          <w:rFonts w:asciiTheme="minorHAnsi" w:hAnsiTheme="minorHAnsi" w:cstheme="minorHAnsi"/>
          <w:sz w:val="22"/>
          <w:szCs w:val="22"/>
        </w:rPr>
        <w:t xml:space="preserve">small businesses or other small entities. </w:t>
      </w:r>
    </w:p>
    <w:p w:rsidR="00474D78" w:rsidRPr="00A1737F" w:rsidP="00474D78" w14:paraId="27AF5346" w14:textId="77777777">
      <w:pPr>
        <w:widowControl/>
        <w:rPr>
          <w:rFonts w:asciiTheme="minorHAnsi" w:hAnsiTheme="minorHAnsi" w:cstheme="minorHAnsi"/>
          <w:sz w:val="22"/>
          <w:szCs w:val="22"/>
        </w:rPr>
      </w:pPr>
    </w:p>
    <w:p w:rsidR="00474D78" w:rsidRPr="00A1737F" w:rsidP="00A1737F" w14:paraId="0C1A7894" w14:textId="041A58BC">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CONSEQUENCES OF LESS FREQUENT COLLECTION ON FEDERAL PROGRAMS OR POLICY ACTIVITIES</w:t>
      </w:r>
    </w:p>
    <w:p w:rsidR="00474D78" w:rsidRPr="00A1737F" w:rsidP="00474D78" w14:paraId="6E907891" w14:textId="77777777">
      <w:pPr>
        <w:widowControl/>
        <w:rPr>
          <w:rFonts w:asciiTheme="minorHAnsi" w:hAnsiTheme="minorHAnsi" w:cstheme="minorHAnsi"/>
          <w:sz w:val="22"/>
          <w:szCs w:val="22"/>
          <w:u w:val="single"/>
        </w:rPr>
      </w:pPr>
    </w:p>
    <w:p w:rsidR="00474D78" w:rsidRPr="00A1737F" w:rsidP="00474D78" w14:paraId="376E325C" w14:textId="01CAE3C4">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A less frequent collection will not allow the IRS to verify whether </w:t>
      </w:r>
      <w:r w:rsidRPr="00A1737F" w:rsidR="005E7EC6">
        <w:rPr>
          <w:rFonts w:asciiTheme="minorHAnsi" w:hAnsiTheme="minorHAnsi" w:cstheme="minorHAnsi"/>
          <w:sz w:val="22"/>
          <w:szCs w:val="22"/>
        </w:rPr>
        <w:t xml:space="preserve">taxpayers qualify for exemption from tax under section 892 </w:t>
      </w:r>
      <w:r w:rsidRPr="00A1737F">
        <w:rPr>
          <w:rFonts w:asciiTheme="minorHAnsi" w:hAnsiTheme="minorHAnsi" w:cstheme="minorHAnsi"/>
          <w:sz w:val="22"/>
          <w:szCs w:val="22"/>
        </w:rPr>
        <w:t>and will hinder the IRS from meeting its mission</w:t>
      </w:r>
      <w:r w:rsidRPr="00A1737F">
        <w:rPr>
          <w:rFonts w:asciiTheme="minorHAnsi" w:hAnsiTheme="minorHAnsi" w:cstheme="minorHAnsi"/>
          <w:sz w:val="22"/>
          <w:szCs w:val="22"/>
        </w:rPr>
        <w:t>.</w:t>
      </w:r>
    </w:p>
    <w:p w:rsidR="00474D78" w:rsidRPr="00A1737F" w:rsidP="00474D78" w14:paraId="198ECB9D" w14:textId="77777777">
      <w:pPr>
        <w:widowControl/>
        <w:rPr>
          <w:rFonts w:asciiTheme="minorHAnsi" w:hAnsiTheme="minorHAnsi" w:cstheme="minorHAnsi"/>
          <w:sz w:val="22"/>
          <w:szCs w:val="22"/>
        </w:rPr>
      </w:pPr>
    </w:p>
    <w:p w:rsidR="00474D78" w:rsidRPr="00A1737F" w:rsidP="00A1737F" w14:paraId="162617DC" w14:textId="5F9083E8">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SPECIAL CIRCUMSTANCES REQUIRING DATA COLLECTION TO BE INCONSISTENT WITH GUIDELINES IN 5 CFR 1320.5(d)(2)</w:t>
      </w:r>
    </w:p>
    <w:p w:rsidR="00474D78" w:rsidRPr="00A1737F" w:rsidP="00474D78" w14:paraId="4E6E13E2" w14:textId="77777777">
      <w:pPr>
        <w:widowControl/>
        <w:rPr>
          <w:rFonts w:asciiTheme="minorHAnsi" w:hAnsiTheme="minorHAnsi" w:cstheme="minorHAnsi"/>
          <w:sz w:val="22"/>
          <w:szCs w:val="22"/>
          <w:u w:val="single"/>
        </w:rPr>
      </w:pPr>
    </w:p>
    <w:p w:rsidR="00474D78" w:rsidRPr="00A1737F" w:rsidP="00474D78" w14:paraId="6FFDB172" w14:textId="4D190C44">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There are no special circumstances requiring data collection to be inconsistent with </w:t>
      </w:r>
      <w:r w:rsidR="00F35054">
        <w:rPr>
          <w:rFonts w:asciiTheme="minorHAnsi" w:hAnsiTheme="minorHAnsi" w:cstheme="minorHAnsi"/>
          <w:sz w:val="22"/>
          <w:szCs w:val="22"/>
        </w:rPr>
        <w:t>g</w:t>
      </w:r>
      <w:r w:rsidRPr="00A1737F">
        <w:rPr>
          <w:rFonts w:asciiTheme="minorHAnsi" w:hAnsiTheme="minorHAnsi" w:cstheme="minorHAnsi"/>
          <w:sz w:val="22"/>
          <w:szCs w:val="22"/>
        </w:rPr>
        <w:t>uidelines in 5 C.F.R. §1320.5(d)(2)</w:t>
      </w:r>
      <w:r w:rsidRPr="00A1737F">
        <w:rPr>
          <w:rFonts w:asciiTheme="minorHAnsi" w:hAnsiTheme="minorHAnsi" w:cstheme="minorHAnsi"/>
          <w:sz w:val="22"/>
          <w:szCs w:val="22"/>
        </w:rPr>
        <w:t>.</w:t>
      </w:r>
    </w:p>
    <w:p w:rsidR="00474D78" w:rsidRPr="00A1737F" w:rsidP="00474D78" w14:paraId="728D5547" w14:textId="77777777">
      <w:pPr>
        <w:widowControl/>
        <w:rPr>
          <w:rFonts w:asciiTheme="minorHAnsi" w:hAnsiTheme="minorHAnsi" w:cstheme="minorHAnsi"/>
          <w:sz w:val="22"/>
          <w:szCs w:val="22"/>
        </w:rPr>
      </w:pPr>
    </w:p>
    <w:p w:rsidR="00474D78" w:rsidRPr="00A1737F" w:rsidP="00A1737F" w14:paraId="330D702B" w14:textId="477834AF">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CONSULTATION WITH INDIVIDUALS OUTSIDE OF THE AGENCY ON AVAILABILITY OF DATA, FREQUENCY OF COLLECTION, CLARITY OF INSTRUCTIONS AND FORMS, AND DATA ELEMENTS</w:t>
      </w:r>
    </w:p>
    <w:p w:rsidR="00474D78" w:rsidRPr="00A1737F" w:rsidP="00474D78" w14:paraId="2594E057" w14:textId="77777777">
      <w:pPr>
        <w:widowControl/>
        <w:rPr>
          <w:rFonts w:asciiTheme="minorHAnsi" w:hAnsiTheme="minorHAnsi" w:cstheme="minorHAnsi"/>
          <w:sz w:val="22"/>
          <w:szCs w:val="22"/>
          <w:u w:val="single"/>
        </w:rPr>
      </w:pPr>
    </w:p>
    <w:p w:rsidR="00474D78" w:rsidRPr="00A1737F" w:rsidP="00457662" w14:paraId="1A718876" w14:textId="2077A889">
      <w:pPr>
        <w:ind w:left="720"/>
        <w:rPr>
          <w:rFonts w:asciiTheme="minorHAnsi" w:hAnsiTheme="minorHAnsi" w:cstheme="minorHAnsi"/>
          <w:sz w:val="22"/>
          <w:szCs w:val="22"/>
        </w:rPr>
      </w:pPr>
      <w:r w:rsidRPr="00A1737F">
        <w:rPr>
          <w:rFonts w:asciiTheme="minorHAnsi" w:hAnsiTheme="minorHAnsi" w:cstheme="minorHAnsi"/>
          <w:sz w:val="22"/>
          <w:szCs w:val="22"/>
        </w:rPr>
        <w:t>A notice of proposed rulemaking (</w:t>
      </w:r>
      <w:r w:rsidRPr="00A1737F" w:rsidR="004F5339">
        <w:rPr>
          <w:rFonts w:asciiTheme="minorHAnsi" w:hAnsiTheme="minorHAnsi" w:cstheme="minorHAnsi"/>
          <w:sz w:val="22"/>
          <w:szCs w:val="22"/>
        </w:rPr>
        <w:t>REG -</w:t>
      </w:r>
      <w:r w:rsidRPr="00A1737F">
        <w:rPr>
          <w:rFonts w:asciiTheme="minorHAnsi" w:hAnsiTheme="minorHAnsi" w:cstheme="minorHAnsi"/>
          <w:sz w:val="22"/>
          <w:szCs w:val="22"/>
        </w:rPr>
        <w:t>146537-06</w:t>
      </w:r>
      <w:r w:rsidRPr="00A1737F">
        <w:rPr>
          <w:rFonts w:asciiTheme="minorHAnsi" w:hAnsiTheme="minorHAnsi" w:cstheme="minorHAnsi"/>
          <w:sz w:val="22"/>
          <w:szCs w:val="22"/>
        </w:rPr>
        <w:t>)</w:t>
      </w:r>
      <w:r w:rsidRPr="00A1737F">
        <w:rPr>
          <w:rFonts w:asciiTheme="minorHAnsi" w:hAnsiTheme="minorHAnsi" w:cstheme="minorHAnsi"/>
          <w:sz w:val="22"/>
          <w:szCs w:val="22"/>
        </w:rPr>
        <w:t xml:space="preserve"> </w:t>
      </w:r>
      <w:r w:rsidRPr="00A1737F" w:rsidR="004F5339">
        <w:rPr>
          <w:rFonts w:asciiTheme="minorHAnsi" w:hAnsiTheme="minorHAnsi" w:cstheme="minorHAnsi"/>
          <w:sz w:val="22"/>
          <w:szCs w:val="22"/>
        </w:rPr>
        <w:t>was</w:t>
      </w:r>
      <w:r w:rsidRPr="00A1737F">
        <w:rPr>
          <w:rFonts w:asciiTheme="minorHAnsi" w:hAnsiTheme="minorHAnsi" w:cstheme="minorHAnsi"/>
          <w:sz w:val="22"/>
          <w:szCs w:val="22"/>
        </w:rPr>
        <w:t xml:space="preserve"> published</w:t>
      </w:r>
      <w:r w:rsidRPr="00A1737F">
        <w:rPr>
          <w:rFonts w:asciiTheme="minorHAnsi" w:hAnsiTheme="minorHAnsi" w:cstheme="minorHAnsi"/>
          <w:sz w:val="22"/>
          <w:szCs w:val="22"/>
        </w:rPr>
        <w:t xml:space="preserve"> in the </w:t>
      </w:r>
      <w:r w:rsidRPr="00A1737F">
        <w:rPr>
          <w:rFonts w:asciiTheme="minorHAnsi" w:hAnsiTheme="minorHAnsi" w:cstheme="minorHAnsi"/>
          <w:iCs/>
          <w:sz w:val="22"/>
          <w:szCs w:val="22"/>
        </w:rPr>
        <w:t>Federal Register</w:t>
      </w:r>
      <w:r w:rsidRPr="00A1737F">
        <w:rPr>
          <w:rFonts w:asciiTheme="minorHAnsi" w:hAnsiTheme="minorHAnsi" w:cstheme="minorHAnsi"/>
          <w:sz w:val="22"/>
          <w:szCs w:val="22"/>
        </w:rPr>
        <w:t xml:space="preserve"> </w:t>
      </w:r>
      <w:r w:rsidRPr="00A1737F" w:rsidR="004F5339">
        <w:rPr>
          <w:rFonts w:asciiTheme="minorHAnsi" w:hAnsiTheme="minorHAnsi" w:cstheme="minorHAnsi"/>
          <w:sz w:val="22"/>
          <w:szCs w:val="22"/>
        </w:rPr>
        <w:t>on November 3, 2011, at 76 FR 68119</w:t>
      </w:r>
      <w:r w:rsidRPr="00A1737F" w:rsidR="00255867">
        <w:rPr>
          <w:rFonts w:asciiTheme="minorHAnsi" w:hAnsiTheme="minorHAnsi" w:cstheme="minorHAnsi"/>
          <w:sz w:val="22"/>
          <w:szCs w:val="22"/>
        </w:rPr>
        <w:t>,</w:t>
      </w:r>
      <w:r w:rsidRPr="00A1737F" w:rsidR="004F5339">
        <w:rPr>
          <w:rFonts w:asciiTheme="minorHAnsi" w:hAnsiTheme="minorHAnsi" w:cstheme="minorHAnsi"/>
          <w:sz w:val="22"/>
          <w:szCs w:val="22"/>
        </w:rPr>
        <w:t xml:space="preserve"> and provided a </w:t>
      </w:r>
      <w:r w:rsidRPr="00A1737F">
        <w:rPr>
          <w:rFonts w:asciiTheme="minorHAnsi" w:hAnsiTheme="minorHAnsi" w:cstheme="minorHAnsi"/>
          <w:sz w:val="22"/>
          <w:szCs w:val="22"/>
        </w:rPr>
        <w:t>90</w:t>
      </w:r>
      <w:r w:rsidRPr="00A1737F">
        <w:rPr>
          <w:rFonts w:asciiTheme="minorHAnsi" w:hAnsiTheme="minorHAnsi" w:cstheme="minorHAnsi"/>
          <w:sz w:val="22"/>
          <w:szCs w:val="22"/>
        </w:rPr>
        <w:t>-day period to review and provide public comments relating to any aspect of the proposed regulation</w:t>
      </w:r>
      <w:r w:rsidRPr="00A1737F" w:rsidR="00E85C68">
        <w:rPr>
          <w:rFonts w:asciiTheme="minorHAnsi" w:hAnsiTheme="minorHAnsi" w:cstheme="minorHAnsi"/>
          <w:sz w:val="22"/>
          <w:szCs w:val="22"/>
        </w:rPr>
        <w:t>s including the recordkeeping requirements under § 1.892-5(a)(2)(ii)(B) and § 1.892-5(a)(2)(iv)</w:t>
      </w:r>
      <w:r w:rsidRPr="00A1737F">
        <w:rPr>
          <w:rFonts w:asciiTheme="minorHAnsi" w:hAnsiTheme="minorHAnsi" w:cstheme="minorHAnsi"/>
          <w:sz w:val="22"/>
          <w:szCs w:val="22"/>
        </w:rPr>
        <w:t>.</w:t>
      </w:r>
      <w:r w:rsidRPr="00A1737F" w:rsidR="00E85C68">
        <w:rPr>
          <w:rFonts w:asciiTheme="minorHAnsi" w:hAnsiTheme="minorHAnsi" w:cstheme="minorHAnsi"/>
          <w:sz w:val="22"/>
          <w:szCs w:val="22"/>
        </w:rPr>
        <w:t xml:space="preserve"> </w:t>
      </w:r>
      <w:r w:rsidR="001B75C4">
        <w:rPr>
          <w:rFonts w:asciiTheme="minorHAnsi" w:hAnsiTheme="minorHAnsi" w:cstheme="minorHAnsi"/>
          <w:sz w:val="22"/>
          <w:szCs w:val="22"/>
        </w:rPr>
        <w:t xml:space="preserve">The IRS reopened the public commenting period </w:t>
      </w:r>
      <w:r w:rsidR="004A26B5">
        <w:rPr>
          <w:rFonts w:asciiTheme="minorHAnsi" w:hAnsiTheme="minorHAnsi" w:cstheme="minorHAnsi"/>
          <w:sz w:val="22"/>
          <w:szCs w:val="22"/>
        </w:rPr>
        <w:t xml:space="preserve">for </w:t>
      </w:r>
      <w:r w:rsidR="00B26605">
        <w:rPr>
          <w:rFonts w:asciiTheme="minorHAnsi" w:hAnsiTheme="minorHAnsi" w:cstheme="minorHAnsi"/>
          <w:sz w:val="22"/>
          <w:szCs w:val="22"/>
        </w:rPr>
        <w:t xml:space="preserve">an additional 60 days </w:t>
      </w:r>
      <w:r w:rsidR="001B75C4">
        <w:rPr>
          <w:rFonts w:asciiTheme="minorHAnsi" w:hAnsiTheme="minorHAnsi" w:cstheme="minorHAnsi"/>
          <w:sz w:val="22"/>
          <w:szCs w:val="22"/>
        </w:rPr>
        <w:t xml:space="preserve">on the </w:t>
      </w:r>
      <w:r w:rsidR="008C18A9">
        <w:rPr>
          <w:rFonts w:asciiTheme="minorHAnsi" w:hAnsiTheme="minorHAnsi" w:cstheme="minorHAnsi"/>
          <w:sz w:val="22"/>
          <w:szCs w:val="22"/>
        </w:rPr>
        <w:t xml:space="preserve">proposed rulemaking on December 22, 2022 (87 FR 80108). </w:t>
      </w:r>
      <w:r w:rsidRPr="00A1737F" w:rsidR="00E85C68">
        <w:rPr>
          <w:rFonts w:asciiTheme="minorHAnsi" w:hAnsiTheme="minorHAnsi" w:cstheme="minorHAnsi"/>
          <w:sz w:val="22"/>
          <w:szCs w:val="22"/>
        </w:rPr>
        <w:t xml:space="preserve">No public comments </w:t>
      </w:r>
      <w:r w:rsidR="003C046F">
        <w:rPr>
          <w:rFonts w:asciiTheme="minorHAnsi" w:hAnsiTheme="minorHAnsi" w:cstheme="minorHAnsi"/>
          <w:sz w:val="22"/>
          <w:szCs w:val="22"/>
        </w:rPr>
        <w:t xml:space="preserve">were </w:t>
      </w:r>
      <w:r w:rsidRPr="00A1737F" w:rsidR="00E85C68">
        <w:rPr>
          <w:rFonts w:asciiTheme="minorHAnsi" w:hAnsiTheme="minorHAnsi" w:cstheme="minorHAnsi"/>
          <w:sz w:val="22"/>
          <w:szCs w:val="22"/>
        </w:rPr>
        <w:t>received</w:t>
      </w:r>
      <w:r w:rsidRPr="00A1737F" w:rsidR="00E85C68">
        <w:rPr>
          <w:rFonts w:asciiTheme="minorHAnsi" w:hAnsiTheme="minorHAnsi" w:cstheme="minorHAnsi"/>
          <w:sz w:val="22"/>
          <w:szCs w:val="22"/>
        </w:rPr>
        <w:t xml:space="preserve"> by the IRS </w:t>
      </w:r>
      <w:r w:rsidR="003C046F">
        <w:rPr>
          <w:rFonts w:asciiTheme="minorHAnsi" w:hAnsiTheme="minorHAnsi" w:cstheme="minorHAnsi"/>
          <w:sz w:val="22"/>
          <w:szCs w:val="22"/>
        </w:rPr>
        <w:t>regarding</w:t>
      </w:r>
      <w:r w:rsidRPr="00A1737F" w:rsidR="00E85C68">
        <w:rPr>
          <w:rFonts w:asciiTheme="minorHAnsi" w:hAnsiTheme="minorHAnsi" w:cstheme="minorHAnsi"/>
          <w:sz w:val="22"/>
          <w:szCs w:val="22"/>
        </w:rPr>
        <w:t xml:space="preserve"> the recordkeeping requirements.</w:t>
      </w:r>
      <w:r w:rsidRPr="00A1737F" w:rsidR="005E7EC6">
        <w:rPr>
          <w:rFonts w:asciiTheme="minorHAnsi" w:hAnsiTheme="minorHAnsi" w:cstheme="minorHAnsi"/>
          <w:sz w:val="22"/>
          <w:szCs w:val="22"/>
        </w:rPr>
        <w:t xml:space="preserve"> </w:t>
      </w:r>
    </w:p>
    <w:p w:rsidR="00457662" w:rsidRPr="00A1737F" w:rsidP="00A1737F" w14:paraId="39E8ACB1" w14:textId="77777777">
      <w:pPr>
        <w:ind w:left="720"/>
        <w:rPr>
          <w:rFonts w:asciiTheme="minorHAnsi" w:hAnsiTheme="minorHAnsi" w:cstheme="minorHAnsi"/>
          <w:sz w:val="22"/>
          <w:szCs w:val="22"/>
        </w:rPr>
      </w:pPr>
    </w:p>
    <w:p w:rsidR="00474D78" w:rsidRPr="00A1737F" w:rsidP="00A1737F" w14:paraId="108CCD1E" w14:textId="29895A06">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EXPLANATION OF DECISION TO PROVIDE ANY PAYMENT OR GIFT TO RESPONDENTS</w:t>
      </w:r>
    </w:p>
    <w:p w:rsidR="00474D78" w:rsidRPr="00A1737F" w:rsidP="00474D78" w14:paraId="04A5BEDC" w14:textId="77777777">
      <w:pPr>
        <w:widowControl/>
        <w:rPr>
          <w:rFonts w:asciiTheme="minorHAnsi" w:hAnsiTheme="minorHAnsi" w:cstheme="minorHAnsi"/>
          <w:sz w:val="22"/>
          <w:szCs w:val="22"/>
          <w:u w:val="single"/>
        </w:rPr>
      </w:pPr>
    </w:p>
    <w:p w:rsidR="00474D78" w:rsidRPr="00A1737F" w:rsidP="00474D78" w14:paraId="6597B1EC" w14:textId="154F723F">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No payment or gift has </w:t>
      </w:r>
      <w:r w:rsidRPr="00A1737F">
        <w:rPr>
          <w:rFonts w:asciiTheme="minorHAnsi" w:hAnsiTheme="minorHAnsi" w:cstheme="minorHAnsi"/>
          <w:sz w:val="22"/>
          <w:szCs w:val="22"/>
        </w:rPr>
        <w:t>been provided</w:t>
      </w:r>
      <w:r w:rsidRPr="00A1737F">
        <w:rPr>
          <w:rFonts w:asciiTheme="minorHAnsi" w:hAnsiTheme="minorHAnsi" w:cstheme="minorHAnsi"/>
          <w:sz w:val="22"/>
          <w:szCs w:val="22"/>
        </w:rPr>
        <w:t xml:space="preserve"> to any respondents</w:t>
      </w:r>
      <w:r w:rsidRPr="00A1737F">
        <w:rPr>
          <w:rFonts w:asciiTheme="minorHAnsi" w:hAnsiTheme="minorHAnsi" w:cstheme="minorHAnsi"/>
          <w:sz w:val="22"/>
          <w:szCs w:val="22"/>
        </w:rPr>
        <w:t>.</w:t>
      </w:r>
    </w:p>
    <w:p w:rsidR="00474D78" w:rsidRPr="00A1737F" w:rsidP="00474D78" w14:paraId="079186D3" w14:textId="77777777">
      <w:pPr>
        <w:widowControl/>
        <w:rPr>
          <w:rFonts w:asciiTheme="minorHAnsi" w:hAnsiTheme="minorHAnsi" w:cstheme="minorHAnsi"/>
          <w:sz w:val="22"/>
          <w:szCs w:val="22"/>
        </w:rPr>
      </w:pPr>
    </w:p>
    <w:p w:rsidR="00474D78" w:rsidRPr="00A1737F" w:rsidP="00A1737F" w14:paraId="74EE0931" w14:textId="23DE9B1A">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ASSURANCE OF CONFIDENTIALITY OF RESPONSES</w:t>
      </w:r>
    </w:p>
    <w:p w:rsidR="00474D78" w:rsidRPr="00A1737F" w:rsidP="00474D78" w14:paraId="6AE39402" w14:textId="77777777">
      <w:pPr>
        <w:keepNext/>
        <w:keepLines/>
        <w:widowControl/>
        <w:rPr>
          <w:rFonts w:asciiTheme="minorHAnsi" w:hAnsiTheme="minorHAnsi" w:cstheme="minorHAnsi"/>
          <w:sz w:val="22"/>
          <w:szCs w:val="22"/>
          <w:u w:val="single"/>
        </w:rPr>
      </w:pPr>
    </w:p>
    <w:p w:rsidR="00474D78" w:rsidRPr="00A1737F" w:rsidP="00474D78" w14:paraId="37B210A1" w14:textId="77777777">
      <w:pPr>
        <w:keepNext/>
        <w:keepLines/>
        <w:widowControl/>
        <w:ind w:left="720"/>
        <w:rPr>
          <w:rFonts w:asciiTheme="minorHAnsi" w:hAnsiTheme="minorHAnsi" w:cstheme="minorHAnsi"/>
          <w:sz w:val="22"/>
          <w:szCs w:val="22"/>
        </w:rPr>
      </w:pPr>
      <w:r w:rsidRPr="00A1737F">
        <w:rPr>
          <w:rFonts w:asciiTheme="minorHAnsi" w:hAnsiTheme="minorHAnsi" w:cstheme="minorHAnsi"/>
          <w:sz w:val="22"/>
          <w:szCs w:val="22"/>
        </w:rPr>
        <w:t>Generally, tax returns and tax return information are confidential as required by 26 U.S.C. 6103.</w:t>
      </w:r>
    </w:p>
    <w:p w:rsidR="00474D78" w:rsidRPr="00A1737F" w:rsidP="00474D78" w14:paraId="4534CCBA" w14:textId="77777777">
      <w:pPr>
        <w:keepLines/>
        <w:widowControl/>
        <w:rPr>
          <w:rFonts w:asciiTheme="minorHAnsi" w:hAnsiTheme="minorHAnsi" w:cstheme="minorHAnsi"/>
          <w:sz w:val="22"/>
          <w:szCs w:val="22"/>
        </w:rPr>
      </w:pPr>
    </w:p>
    <w:p w:rsidR="00474D78" w:rsidRPr="00A1737F" w:rsidP="00A1737F" w14:paraId="159EC60D" w14:textId="2DF10179">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JUSTIFICATION OF SENSITIVE QUESTIONS</w:t>
      </w:r>
    </w:p>
    <w:p w:rsidR="00474D78" w:rsidRPr="00A1737F" w:rsidP="00474D78" w14:paraId="0720A955" w14:textId="77777777">
      <w:pPr>
        <w:widowControl/>
        <w:rPr>
          <w:rFonts w:asciiTheme="minorHAnsi" w:hAnsiTheme="minorHAnsi" w:cstheme="minorHAnsi"/>
          <w:sz w:val="22"/>
          <w:szCs w:val="22"/>
          <w:u w:val="single"/>
        </w:rPr>
      </w:pPr>
    </w:p>
    <w:p w:rsidR="00474D78" w:rsidRPr="00A1737F" w:rsidP="00474D78" w14:paraId="0B0CD5BC" w14:textId="0D3CF85B">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There is no Personally Identifiable Information (PII) collected. </w:t>
      </w:r>
      <w:r w:rsidRPr="005D537E" w:rsidR="005D537E">
        <w:rPr>
          <w:rFonts w:asciiTheme="minorHAnsi" w:hAnsiTheme="minorHAnsi" w:cstheme="minorHAnsi"/>
          <w:sz w:val="22"/>
          <w:szCs w:val="22"/>
        </w:rPr>
        <w:t xml:space="preserve">Information </w:t>
      </w:r>
      <w:r w:rsidR="00A706A8">
        <w:rPr>
          <w:rFonts w:asciiTheme="minorHAnsi" w:hAnsiTheme="minorHAnsi" w:cstheme="minorHAnsi"/>
          <w:sz w:val="22"/>
          <w:szCs w:val="22"/>
        </w:rPr>
        <w:t xml:space="preserve">collection </w:t>
      </w:r>
      <w:r w:rsidRPr="005D537E" w:rsidR="005D537E">
        <w:rPr>
          <w:rFonts w:asciiTheme="minorHAnsi" w:hAnsiTheme="minorHAnsi" w:cstheme="minorHAnsi"/>
          <w:sz w:val="22"/>
          <w:szCs w:val="22"/>
        </w:rPr>
        <w:t xml:space="preserve">is </w:t>
      </w:r>
      <w:r w:rsidR="00A706A8">
        <w:rPr>
          <w:rFonts w:asciiTheme="minorHAnsi" w:hAnsiTheme="minorHAnsi" w:cstheme="minorHAnsi"/>
          <w:sz w:val="22"/>
          <w:szCs w:val="22"/>
        </w:rPr>
        <w:t>recordkeeping requirement</w:t>
      </w:r>
      <w:r w:rsidRPr="005D537E" w:rsidR="005D537E">
        <w:rPr>
          <w:rFonts w:asciiTheme="minorHAnsi" w:hAnsiTheme="minorHAnsi" w:cstheme="minorHAnsi"/>
          <w:sz w:val="22"/>
          <w:szCs w:val="22"/>
        </w:rPr>
        <w:t xml:space="preserve"> and only provided to the IRS during an inquiry or audit.</w:t>
      </w:r>
    </w:p>
    <w:p w:rsidR="00474D78" w:rsidRPr="00A1737F" w:rsidP="00474D78" w14:paraId="06703516" w14:textId="77777777">
      <w:pPr>
        <w:widowControl/>
        <w:rPr>
          <w:rFonts w:asciiTheme="minorHAnsi" w:hAnsiTheme="minorHAnsi" w:cstheme="minorHAnsi"/>
          <w:sz w:val="22"/>
          <w:szCs w:val="22"/>
        </w:rPr>
      </w:pPr>
    </w:p>
    <w:p w:rsidR="00474D78" w:rsidRPr="00A1737F" w:rsidP="00A1737F" w14:paraId="19B151C7" w14:textId="77107B32">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ESTIMATED BURDEN OF INFORMATION COLLECTION</w:t>
      </w:r>
    </w:p>
    <w:p w:rsidR="00474D78" w:rsidRPr="00A1737F" w:rsidP="00474D78" w14:paraId="429B0F64" w14:textId="77777777">
      <w:pPr>
        <w:keepNext/>
        <w:keepLines/>
        <w:widowControl/>
        <w:rPr>
          <w:rFonts w:asciiTheme="minorHAnsi" w:hAnsiTheme="minorHAnsi" w:cstheme="minorHAnsi"/>
          <w:sz w:val="22"/>
          <w:szCs w:val="22"/>
          <w:u w:val="single"/>
        </w:rPr>
      </w:pPr>
    </w:p>
    <w:p w:rsidR="00255867" w:rsidRPr="00A1737F" w:rsidP="00474D78" w14:paraId="6FA3237C" w14:textId="3C12599A">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The </w:t>
      </w:r>
      <w:r w:rsidRPr="00A1737F" w:rsidR="00E85C68">
        <w:rPr>
          <w:rFonts w:asciiTheme="minorHAnsi" w:hAnsiTheme="minorHAnsi" w:cstheme="minorHAnsi"/>
          <w:sz w:val="22"/>
          <w:szCs w:val="22"/>
        </w:rPr>
        <w:t>recordkeeping requirements</w:t>
      </w:r>
      <w:r w:rsidRPr="00A1737F" w:rsidR="00E26DF4">
        <w:rPr>
          <w:rFonts w:asciiTheme="minorHAnsi" w:hAnsiTheme="minorHAnsi" w:cstheme="minorHAnsi"/>
          <w:sz w:val="22"/>
          <w:szCs w:val="22"/>
        </w:rPr>
        <w:t xml:space="preserve"> </w:t>
      </w:r>
      <w:r w:rsidRPr="00A1737F" w:rsidR="00E85C68">
        <w:rPr>
          <w:rFonts w:asciiTheme="minorHAnsi" w:hAnsiTheme="minorHAnsi" w:cstheme="minorHAnsi"/>
          <w:sz w:val="22"/>
          <w:szCs w:val="22"/>
        </w:rPr>
        <w:t xml:space="preserve">are </w:t>
      </w:r>
      <w:r w:rsidRPr="00A1737F">
        <w:rPr>
          <w:rFonts w:asciiTheme="minorHAnsi" w:hAnsiTheme="minorHAnsi" w:cstheme="minorHAnsi"/>
          <w:sz w:val="22"/>
          <w:szCs w:val="22"/>
        </w:rPr>
        <w:t xml:space="preserve">in </w:t>
      </w:r>
      <w:r w:rsidR="009D5A35">
        <w:rPr>
          <w:rFonts w:asciiTheme="minorHAnsi" w:hAnsiTheme="minorHAnsi" w:cstheme="minorHAnsi"/>
          <w:sz w:val="22"/>
          <w:szCs w:val="22"/>
        </w:rPr>
        <w:t>Treasury Regulations sections</w:t>
      </w:r>
      <w:r w:rsidRPr="00A1737F" w:rsidR="006C4865">
        <w:rPr>
          <w:rFonts w:asciiTheme="minorHAnsi" w:hAnsiTheme="minorHAnsi" w:cstheme="minorHAnsi"/>
          <w:sz w:val="22"/>
          <w:szCs w:val="22"/>
        </w:rPr>
        <w:t xml:space="preserve"> 1.892-5(a)(2)(ii)(B) and 1.892-5(a)(2)(iv)</w:t>
      </w:r>
      <w:r w:rsidRPr="00A1737F">
        <w:rPr>
          <w:rFonts w:asciiTheme="minorHAnsi" w:hAnsiTheme="minorHAnsi" w:cstheme="minorHAnsi"/>
          <w:sz w:val="22"/>
          <w:szCs w:val="22"/>
        </w:rPr>
        <w:t xml:space="preserve">. </w:t>
      </w:r>
      <w:r w:rsidRPr="00A1737F" w:rsidR="006C4865">
        <w:rPr>
          <w:rFonts w:asciiTheme="minorHAnsi" w:hAnsiTheme="minorHAnsi" w:cstheme="minorHAnsi"/>
          <w:sz w:val="22"/>
          <w:szCs w:val="22"/>
        </w:rPr>
        <w:t xml:space="preserve">The recordkeeping requirements are necessary for the IRS to validate if foreign government investors and their controlled entities have met the regulatory requirements and </w:t>
      </w:r>
      <w:r w:rsidRPr="00A1737F" w:rsidR="006C4865">
        <w:rPr>
          <w:rFonts w:asciiTheme="minorHAnsi" w:hAnsiTheme="minorHAnsi" w:cstheme="minorHAnsi"/>
          <w:sz w:val="22"/>
          <w:szCs w:val="22"/>
        </w:rPr>
        <w:t>are entitled</w:t>
      </w:r>
      <w:r w:rsidRPr="00A1737F" w:rsidR="006C4865">
        <w:rPr>
          <w:rFonts w:asciiTheme="minorHAnsi" w:hAnsiTheme="minorHAnsi" w:cstheme="minorHAnsi"/>
          <w:sz w:val="22"/>
          <w:szCs w:val="22"/>
        </w:rPr>
        <w:t xml:space="preserve"> to the inadvertent commercial activity exception under section 892</w:t>
      </w:r>
      <w:r w:rsidRPr="00A1737F">
        <w:rPr>
          <w:rFonts w:asciiTheme="minorHAnsi" w:hAnsiTheme="minorHAnsi" w:cstheme="minorHAnsi"/>
          <w:sz w:val="22"/>
          <w:szCs w:val="22"/>
        </w:rPr>
        <w:t xml:space="preserve">. </w:t>
      </w:r>
      <w:r w:rsidRPr="00A1737F" w:rsidR="006C4865">
        <w:rPr>
          <w:rFonts w:asciiTheme="minorHAnsi" w:hAnsiTheme="minorHAnsi" w:cstheme="minorHAnsi"/>
          <w:sz w:val="22"/>
          <w:szCs w:val="22"/>
        </w:rPr>
        <w:t>The estimated burden is as follows:</w:t>
      </w:r>
    </w:p>
    <w:p w:rsidR="0093054F" w:rsidRPr="00A1737F" w:rsidP="0093054F" w14:paraId="3B9D57AB" w14:textId="77777777">
      <w:pPr>
        <w:ind w:left="720" w:hanging="720"/>
        <w:rPr>
          <w:rFonts w:asciiTheme="minorHAnsi" w:hAnsiTheme="minorHAnsi" w:cstheme="minorHAnsi"/>
          <w:sz w:val="22"/>
          <w:szCs w:val="22"/>
        </w:rPr>
      </w:pPr>
    </w:p>
    <w:tbl>
      <w:tblPr>
        <w:tblW w:w="857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2"/>
        <w:gridCol w:w="1805"/>
        <w:gridCol w:w="1255"/>
        <w:gridCol w:w="1164"/>
        <w:gridCol w:w="1091"/>
        <w:gridCol w:w="1139"/>
        <w:gridCol w:w="1108"/>
      </w:tblGrid>
      <w:tr w14:paraId="7C6CA3B4" w14:textId="77777777" w:rsidTr="0093054F">
        <w:tblPrEx>
          <w:tblW w:w="857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0" w:type="dxa"/>
            <w:tcBorders>
              <w:top w:val="single" w:sz="4" w:space="0" w:color="auto"/>
              <w:left w:val="single" w:sz="4" w:space="0" w:color="auto"/>
              <w:bottom w:val="single" w:sz="4" w:space="0" w:color="auto"/>
              <w:right w:val="single" w:sz="4" w:space="0" w:color="auto"/>
            </w:tcBorders>
            <w:vAlign w:val="bottom"/>
            <w:hideMark/>
          </w:tcPr>
          <w:p w:rsidR="0093054F" w:rsidRPr="00A1737F" w14:paraId="1E38FC50" w14:textId="77777777">
            <w:pPr>
              <w:keepNext/>
              <w:keepLines/>
              <w:numPr>
                <w:ilvl w:val="12"/>
                <w:numId w:val="0"/>
              </w:numPr>
              <w:jc w:val="center"/>
              <w:rPr>
                <w:rFonts w:ascii="Arial Narrow" w:hAnsi="Arial Narrow" w:cstheme="minorHAnsi"/>
                <w:b/>
                <w:sz w:val="20"/>
                <w:szCs w:val="20"/>
              </w:rPr>
            </w:pPr>
            <w:bookmarkStart w:id="1" w:name="_Hlk495931810"/>
            <w:r w:rsidRPr="00A1737F">
              <w:rPr>
                <w:rFonts w:ascii="Arial Narrow" w:hAnsi="Arial Narrow" w:cstheme="minorHAnsi"/>
                <w:b/>
                <w:sz w:val="20"/>
                <w:szCs w:val="20"/>
              </w:rPr>
              <w:t>Authority</w:t>
            </w:r>
          </w:p>
        </w:tc>
        <w:tc>
          <w:tcPr>
            <w:tcW w:w="1854" w:type="dxa"/>
            <w:tcBorders>
              <w:top w:val="single" w:sz="4" w:space="0" w:color="auto"/>
              <w:left w:val="single" w:sz="4" w:space="0" w:color="auto"/>
              <w:bottom w:val="single" w:sz="4" w:space="0" w:color="auto"/>
              <w:right w:val="single" w:sz="4" w:space="0" w:color="auto"/>
            </w:tcBorders>
            <w:vAlign w:val="bottom"/>
            <w:hideMark/>
          </w:tcPr>
          <w:p w:rsidR="0093054F" w:rsidRPr="00A1737F" w14:paraId="0B345498" w14:textId="77777777">
            <w:pPr>
              <w:keepNext/>
              <w:keepLines/>
              <w:numPr>
                <w:ilvl w:val="12"/>
                <w:numId w:val="0"/>
              </w:numPr>
              <w:jc w:val="center"/>
              <w:rPr>
                <w:rFonts w:ascii="Arial Narrow" w:hAnsi="Arial Narrow" w:cstheme="minorHAnsi"/>
                <w:b/>
                <w:sz w:val="20"/>
                <w:szCs w:val="20"/>
              </w:rPr>
            </w:pPr>
            <w:r w:rsidRPr="00A1737F">
              <w:rPr>
                <w:rFonts w:ascii="Arial Narrow" w:hAnsi="Arial Narrow" w:cstheme="minorHAnsi"/>
                <w:b/>
                <w:sz w:val="20"/>
                <w:szCs w:val="20"/>
              </w:rPr>
              <w:t>Description</w:t>
            </w:r>
          </w:p>
        </w:tc>
        <w:tc>
          <w:tcPr>
            <w:tcW w:w="1169" w:type="dxa"/>
            <w:tcBorders>
              <w:top w:val="single" w:sz="4" w:space="0" w:color="auto"/>
              <w:left w:val="single" w:sz="4" w:space="0" w:color="auto"/>
              <w:bottom w:val="single" w:sz="4" w:space="0" w:color="auto"/>
              <w:right w:val="single" w:sz="4" w:space="0" w:color="auto"/>
            </w:tcBorders>
            <w:vAlign w:val="bottom"/>
            <w:hideMark/>
          </w:tcPr>
          <w:p w:rsidR="0093054F" w:rsidRPr="00A1737F" w14:paraId="719E024A" w14:textId="77777777">
            <w:pPr>
              <w:keepNext/>
              <w:keepLines/>
              <w:numPr>
                <w:ilvl w:val="12"/>
                <w:numId w:val="0"/>
              </w:numPr>
              <w:jc w:val="center"/>
              <w:rPr>
                <w:rFonts w:ascii="Arial Narrow" w:hAnsi="Arial Narrow" w:cstheme="minorHAnsi"/>
                <w:b/>
                <w:sz w:val="20"/>
                <w:szCs w:val="20"/>
              </w:rPr>
            </w:pPr>
            <w:r w:rsidRPr="00A1737F">
              <w:rPr>
                <w:rFonts w:ascii="Arial Narrow" w:hAnsi="Arial Narrow" w:cstheme="minorHAnsi"/>
                <w:b/>
                <w:sz w:val="20"/>
                <w:szCs w:val="20"/>
              </w:rPr>
              <w:t># of Respondents</w:t>
            </w:r>
          </w:p>
        </w:tc>
        <w:tc>
          <w:tcPr>
            <w:tcW w:w="1163" w:type="dxa"/>
            <w:tcBorders>
              <w:top w:val="single" w:sz="4" w:space="0" w:color="auto"/>
              <w:left w:val="single" w:sz="4" w:space="0" w:color="auto"/>
              <w:bottom w:val="single" w:sz="4" w:space="0" w:color="auto"/>
              <w:right w:val="single" w:sz="4" w:space="0" w:color="auto"/>
            </w:tcBorders>
            <w:vAlign w:val="bottom"/>
            <w:hideMark/>
          </w:tcPr>
          <w:p w:rsidR="0093054F" w:rsidRPr="00A1737F" w14:paraId="55CABE21" w14:textId="77777777">
            <w:pPr>
              <w:keepNext/>
              <w:keepLines/>
              <w:numPr>
                <w:ilvl w:val="12"/>
                <w:numId w:val="0"/>
              </w:numPr>
              <w:jc w:val="center"/>
              <w:rPr>
                <w:rFonts w:ascii="Arial Narrow" w:hAnsi="Arial Narrow" w:cstheme="minorHAnsi"/>
                <w:b/>
                <w:sz w:val="20"/>
                <w:szCs w:val="20"/>
              </w:rPr>
            </w:pPr>
            <w:r w:rsidRPr="00A1737F">
              <w:rPr>
                <w:rFonts w:ascii="Arial Narrow" w:hAnsi="Arial Narrow" w:cstheme="minorHAnsi"/>
                <w:b/>
                <w:sz w:val="20"/>
                <w:szCs w:val="20"/>
              </w:rPr>
              <w:t># Responses per Respondent</w:t>
            </w:r>
          </w:p>
        </w:tc>
        <w:tc>
          <w:tcPr>
            <w:tcW w:w="1075" w:type="dxa"/>
            <w:tcBorders>
              <w:top w:val="single" w:sz="4" w:space="0" w:color="auto"/>
              <w:left w:val="single" w:sz="4" w:space="0" w:color="auto"/>
              <w:bottom w:val="single" w:sz="4" w:space="0" w:color="auto"/>
              <w:right w:val="single" w:sz="4" w:space="0" w:color="auto"/>
            </w:tcBorders>
            <w:vAlign w:val="bottom"/>
            <w:hideMark/>
          </w:tcPr>
          <w:p w:rsidR="0093054F" w:rsidRPr="00A1737F" w14:paraId="5DECCB88" w14:textId="77777777">
            <w:pPr>
              <w:keepNext/>
              <w:keepLines/>
              <w:numPr>
                <w:ilvl w:val="12"/>
                <w:numId w:val="0"/>
              </w:numPr>
              <w:jc w:val="center"/>
              <w:rPr>
                <w:rFonts w:ascii="Arial Narrow" w:hAnsi="Arial Narrow" w:cstheme="minorHAnsi"/>
                <w:b/>
                <w:sz w:val="20"/>
                <w:szCs w:val="20"/>
              </w:rPr>
            </w:pPr>
            <w:r w:rsidRPr="00A1737F">
              <w:rPr>
                <w:rFonts w:ascii="Arial Narrow" w:hAnsi="Arial Narrow" w:cstheme="minorHAnsi"/>
                <w:b/>
                <w:sz w:val="20"/>
                <w:szCs w:val="20"/>
              </w:rPr>
              <w:t>Annual Responses</w:t>
            </w:r>
          </w:p>
        </w:tc>
        <w:tc>
          <w:tcPr>
            <w:tcW w:w="1153" w:type="dxa"/>
            <w:tcBorders>
              <w:top w:val="single" w:sz="4" w:space="0" w:color="auto"/>
              <w:left w:val="single" w:sz="4" w:space="0" w:color="auto"/>
              <w:bottom w:val="single" w:sz="4" w:space="0" w:color="auto"/>
              <w:right w:val="single" w:sz="4" w:space="0" w:color="auto"/>
            </w:tcBorders>
            <w:vAlign w:val="bottom"/>
            <w:hideMark/>
          </w:tcPr>
          <w:p w:rsidR="0093054F" w:rsidRPr="00A1737F" w14:paraId="60490E8D" w14:textId="77777777">
            <w:pPr>
              <w:keepNext/>
              <w:keepLines/>
              <w:numPr>
                <w:ilvl w:val="12"/>
                <w:numId w:val="0"/>
              </w:numPr>
              <w:jc w:val="center"/>
              <w:rPr>
                <w:rFonts w:ascii="Arial Narrow" w:hAnsi="Arial Narrow" w:cstheme="minorHAnsi"/>
                <w:b/>
                <w:sz w:val="20"/>
                <w:szCs w:val="20"/>
              </w:rPr>
            </w:pPr>
            <w:r w:rsidRPr="00A1737F">
              <w:rPr>
                <w:rFonts w:ascii="Arial Narrow" w:hAnsi="Arial Narrow" w:cstheme="minorHAnsi"/>
                <w:b/>
                <w:sz w:val="20"/>
                <w:szCs w:val="20"/>
              </w:rPr>
              <w:t>Hours per Response</w:t>
            </w:r>
          </w:p>
        </w:tc>
        <w:tc>
          <w:tcPr>
            <w:tcW w:w="1140" w:type="dxa"/>
            <w:tcBorders>
              <w:top w:val="single" w:sz="4" w:space="0" w:color="auto"/>
              <w:left w:val="single" w:sz="4" w:space="0" w:color="auto"/>
              <w:bottom w:val="single" w:sz="4" w:space="0" w:color="auto"/>
              <w:right w:val="single" w:sz="4" w:space="0" w:color="auto"/>
            </w:tcBorders>
            <w:vAlign w:val="bottom"/>
            <w:hideMark/>
          </w:tcPr>
          <w:p w:rsidR="0093054F" w:rsidRPr="00A1737F" w14:paraId="6DC01182" w14:textId="77777777">
            <w:pPr>
              <w:keepNext/>
              <w:keepLines/>
              <w:numPr>
                <w:ilvl w:val="12"/>
                <w:numId w:val="0"/>
              </w:numPr>
              <w:jc w:val="center"/>
              <w:rPr>
                <w:rFonts w:ascii="Arial Narrow" w:hAnsi="Arial Narrow" w:cstheme="minorHAnsi"/>
                <w:b/>
                <w:sz w:val="20"/>
                <w:szCs w:val="20"/>
              </w:rPr>
            </w:pPr>
            <w:r w:rsidRPr="00A1737F">
              <w:rPr>
                <w:rFonts w:ascii="Arial Narrow" w:hAnsi="Arial Narrow" w:cstheme="minorHAnsi"/>
                <w:b/>
                <w:sz w:val="20"/>
                <w:szCs w:val="20"/>
              </w:rPr>
              <w:t>Total Burden</w:t>
            </w:r>
          </w:p>
        </w:tc>
      </w:tr>
      <w:tr w14:paraId="07FACEC6" w14:textId="77777777" w:rsidTr="00A1737F">
        <w:tblPrEx>
          <w:tblW w:w="8574" w:type="dxa"/>
          <w:tblInd w:w="828" w:type="dxa"/>
          <w:tblLook w:val="04A0"/>
        </w:tblPrEx>
        <w:tc>
          <w:tcPr>
            <w:tcW w:w="1020" w:type="dxa"/>
            <w:tcBorders>
              <w:top w:val="single" w:sz="4" w:space="0" w:color="auto"/>
              <w:left w:val="single" w:sz="4" w:space="0" w:color="auto"/>
              <w:right w:val="single" w:sz="4" w:space="0" w:color="auto"/>
            </w:tcBorders>
            <w:vAlign w:val="bottom"/>
            <w:hideMark/>
          </w:tcPr>
          <w:p w:rsidR="0093054F" w:rsidRPr="00A1737F" w:rsidP="004355DD" w14:paraId="6ED13DC7" w14:textId="66B69170">
            <w:pPr>
              <w:keepNext/>
              <w:keepLines/>
              <w:numPr>
                <w:ilvl w:val="12"/>
                <w:numId w:val="0"/>
              </w:numPr>
              <w:jc w:val="center"/>
              <w:rPr>
                <w:rFonts w:ascii="Arial Narrow" w:hAnsi="Arial Narrow" w:cstheme="minorHAnsi"/>
                <w:sz w:val="20"/>
                <w:szCs w:val="20"/>
              </w:rPr>
            </w:pPr>
            <w:r>
              <w:rPr>
                <w:rFonts w:ascii="Arial Narrow" w:hAnsi="Arial Narrow" w:cstheme="minorHAnsi"/>
                <w:sz w:val="20"/>
                <w:szCs w:val="20"/>
              </w:rPr>
              <w:t xml:space="preserve">IRC </w:t>
            </w:r>
            <w:r w:rsidR="0005165D">
              <w:rPr>
                <w:rFonts w:ascii="Arial Narrow" w:hAnsi="Arial Narrow" w:cstheme="minorHAnsi"/>
                <w:sz w:val="20"/>
                <w:szCs w:val="20"/>
              </w:rPr>
              <w:t>§ 892</w:t>
            </w:r>
          </w:p>
        </w:tc>
        <w:tc>
          <w:tcPr>
            <w:tcW w:w="1854" w:type="dxa"/>
            <w:tcBorders>
              <w:top w:val="single" w:sz="4" w:space="0" w:color="auto"/>
              <w:left w:val="single" w:sz="4" w:space="0" w:color="auto"/>
              <w:bottom w:val="single" w:sz="4" w:space="0" w:color="auto"/>
              <w:right w:val="single" w:sz="4" w:space="0" w:color="auto"/>
            </w:tcBorders>
            <w:vAlign w:val="bottom"/>
          </w:tcPr>
          <w:p w:rsidR="0093054F" w:rsidRPr="00A1737F" w14:paraId="6C3BF234" w14:textId="4FB28752">
            <w:pPr>
              <w:keepNext/>
              <w:keepLines/>
              <w:numPr>
                <w:ilvl w:val="12"/>
                <w:numId w:val="0"/>
              </w:numPr>
              <w:jc w:val="center"/>
              <w:rPr>
                <w:rFonts w:ascii="Arial Narrow" w:hAnsi="Arial Narrow" w:cstheme="minorHAnsi"/>
                <w:sz w:val="20"/>
                <w:szCs w:val="20"/>
              </w:rPr>
            </w:pPr>
            <w:r w:rsidRPr="00A1737F">
              <w:rPr>
                <w:rFonts w:ascii="Arial Narrow" w:hAnsi="Arial Narrow" w:cstheme="minorHAnsi"/>
                <w:sz w:val="20"/>
                <w:szCs w:val="20"/>
              </w:rPr>
              <w:t>Recordkeeping</w:t>
            </w:r>
          </w:p>
        </w:tc>
        <w:tc>
          <w:tcPr>
            <w:tcW w:w="1169" w:type="dxa"/>
            <w:tcBorders>
              <w:top w:val="single" w:sz="4" w:space="0" w:color="auto"/>
              <w:left w:val="single" w:sz="4" w:space="0" w:color="auto"/>
              <w:bottom w:val="single" w:sz="4" w:space="0" w:color="auto"/>
              <w:right w:val="single" w:sz="4" w:space="0" w:color="auto"/>
            </w:tcBorders>
            <w:vAlign w:val="bottom"/>
          </w:tcPr>
          <w:p w:rsidR="0093054F" w:rsidRPr="00A1737F" w14:paraId="52C798EB" w14:textId="6C0E1324">
            <w:pPr>
              <w:keepNext/>
              <w:keepLines/>
              <w:numPr>
                <w:ilvl w:val="12"/>
                <w:numId w:val="0"/>
              </w:numPr>
              <w:jc w:val="center"/>
              <w:rPr>
                <w:rFonts w:ascii="Arial Narrow" w:hAnsi="Arial Narrow" w:cstheme="minorHAnsi"/>
                <w:sz w:val="20"/>
                <w:szCs w:val="20"/>
              </w:rPr>
            </w:pPr>
            <w:r w:rsidRPr="00A1737F">
              <w:rPr>
                <w:rFonts w:ascii="Arial Narrow" w:hAnsi="Arial Narrow" w:cstheme="minorHAnsi"/>
                <w:sz w:val="20"/>
                <w:szCs w:val="20"/>
              </w:rPr>
              <w:t>195</w:t>
            </w:r>
          </w:p>
        </w:tc>
        <w:tc>
          <w:tcPr>
            <w:tcW w:w="1163" w:type="dxa"/>
            <w:tcBorders>
              <w:top w:val="single" w:sz="4" w:space="0" w:color="auto"/>
              <w:left w:val="single" w:sz="4" w:space="0" w:color="auto"/>
              <w:bottom w:val="single" w:sz="4" w:space="0" w:color="auto"/>
              <w:right w:val="single" w:sz="4" w:space="0" w:color="auto"/>
            </w:tcBorders>
            <w:vAlign w:val="bottom"/>
          </w:tcPr>
          <w:p w:rsidR="0093054F" w:rsidRPr="00A1737F" w14:paraId="4E425C17" w14:textId="213F1D7A">
            <w:pPr>
              <w:keepNext/>
              <w:keepLines/>
              <w:numPr>
                <w:ilvl w:val="12"/>
                <w:numId w:val="0"/>
              </w:numPr>
              <w:jc w:val="center"/>
              <w:rPr>
                <w:rFonts w:ascii="Arial Narrow" w:hAnsi="Arial Narrow" w:cstheme="minorHAnsi"/>
                <w:sz w:val="20"/>
                <w:szCs w:val="20"/>
              </w:rPr>
            </w:pPr>
            <w:r w:rsidRPr="00A1737F">
              <w:rPr>
                <w:rFonts w:ascii="Arial Narrow" w:hAnsi="Arial Narrow" w:cstheme="minorHAnsi"/>
                <w:sz w:val="20"/>
                <w:szCs w:val="20"/>
              </w:rPr>
              <w:t>1</w:t>
            </w:r>
          </w:p>
        </w:tc>
        <w:tc>
          <w:tcPr>
            <w:tcW w:w="1075" w:type="dxa"/>
            <w:tcBorders>
              <w:top w:val="single" w:sz="4" w:space="0" w:color="auto"/>
              <w:left w:val="single" w:sz="4" w:space="0" w:color="auto"/>
              <w:bottom w:val="single" w:sz="4" w:space="0" w:color="auto"/>
              <w:right w:val="single" w:sz="4" w:space="0" w:color="auto"/>
            </w:tcBorders>
            <w:vAlign w:val="bottom"/>
          </w:tcPr>
          <w:p w:rsidR="0093054F" w:rsidRPr="00A1737F" w14:paraId="62D3CDB2" w14:textId="24048D77">
            <w:pPr>
              <w:keepNext/>
              <w:keepLines/>
              <w:numPr>
                <w:ilvl w:val="12"/>
                <w:numId w:val="0"/>
              </w:numPr>
              <w:jc w:val="center"/>
              <w:rPr>
                <w:rFonts w:ascii="Arial Narrow" w:hAnsi="Arial Narrow" w:cstheme="minorHAnsi"/>
                <w:sz w:val="20"/>
                <w:szCs w:val="20"/>
              </w:rPr>
            </w:pPr>
            <w:r w:rsidRPr="00A1737F">
              <w:rPr>
                <w:rFonts w:ascii="Arial Narrow" w:hAnsi="Arial Narrow" w:cstheme="minorHAnsi"/>
                <w:sz w:val="20"/>
                <w:szCs w:val="20"/>
              </w:rPr>
              <w:t>195</w:t>
            </w:r>
          </w:p>
        </w:tc>
        <w:tc>
          <w:tcPr>
            <w:tcW w:w="1153" w:type="dxa"/>
            <w:tcBorders>
              <w:top w:val="single" w:sz="4" w:space="0" w:color="auto"/>
              <w:left w:val="single" w:sz="4" w:space="0" w:color="auto"/>
              <w:bottom w:val="single" w:sz="4" w:space="0" w:color="auto"/>
              <w:right w:val="single" w:sz="4" w:space="0" w:color="auto"/>
            </w:tcBorders>
            <w:vAlign w:val="bottom"/>
          </w:tcPr>
          <w:p w:rsidR="0093054F" w:rsidRPr="00A1737F" w14:paraId="728722B7" w14:textId="01F2BBE0">
            <w:pPr>
              <w:keepNext/>
              <w:keepLines/>
              <w:numPr>
                <w:ilvl w:val="12"/>
                <w:numId w:val="0"/>
              </w:numPr>
              <w:jc w:val="center"/>
              <w:rPr>
                <w:rFonts w:ascii="Arial Narrow" w:hAnsi="Arial Narrow" w:cstheme="minorHAnsi"/>
                <w:sz w:val="20"/>
                <w:szCs w:val="20"/>
              </w:rPr>
            </w:pPr>
            <w:r w:rsidRPr="00A1737F">
              <w:rPr>
                <w:rFonts w:ascii="Arial Narrow" w:hAnsi="Arial Narrow" w:cstheme="minorHAnsi"/>
                <w:sz w:val="20"/>
                <w:szCs w:val="20"/>
              </w:rPr>
              <w:t>5</w:t>
            </w:r>
          </w:p>
        </w:tc>
        <w:tc>
          <w:tcPr>
            <w:tcW w:w="1140" w:type="dxa"/>
            <w:tcBorders>
              <w:top w:val="single" w:sz="4" w:space="0" w:color="auto"/>
              <w:left w:val="single" w:sz="4" w:space="0" w:color="auto"/>
              <w:bottom w:val="single" w:sz="4" w:space="0" w:color="auto"/>
              <w:right w:val="single" w:sz="4" w:space="0" w:color="auto"/>
            </w:tcBorders>
            <w:vAlign w:val="bottom"/>
          </w:tcPr>
          <w:p w:rsidR="0093054F" w:rsidRPr="00A1737F" w14:paraId="454BCCC1" w14:textId="387D22DE">
            <w:pPr>
              <w:keepNext/>
              <w:keepLines/>
              <w:numPr>
                <w:ilvl w:val="12"/>
                <w:numId w:val="0"/>
              </w:numPr>
              <w:jc w:val="center"/>
              <w:rPr>
                <w:rFonts w:ascii="Arial Narrow" w:hAnsi="Arial Narrow" w:cstheme="minorHAnsi"/>
                <w:sz w:val="20"/>
                <w:szCs w:val="20"/>
              </w:rPr>
            </w:pPr>
            <w:r w:rsidRPr="00A1737F">
              <w:rPr>
                <w:rFonts w:ascii="Arial Narrow" w:hAnsi="Arial Narrow" w:cstheme="minorHAnsi"/>
                <w:sz w:val="20"/>
                <w:szCs w:val="20"/>
              </w:rPr>
              <w:t>975</w:t>
            </w:r>
          </w:p>
        </w:tc>
      </w:tr>
      <w:tr w14:paraId="2F2D3463" w14:textId="77777777" w:rsidTr="00A1737F">
        <w:tblPrEx>
          <w:tblW w:w="8574" w:type="dxa"/>
          <w:tblInd w:w="828" w:type="dxa"/>
          <w:tblLook w:val="04A0"/>
        </w:tblPrEx>
        <w:tc>
          <w:tcPr>
            <w:tcW w:w="1020" w:type="dxa"/>
            <w:tcBorders>
              <w:top w:val="single" w:sz="4" w:space="0" w:color="auto"/>
              <w:left w:val="single" w:sz="4" w:space="0" w:color="auto"/>
              <w:bottom w:val="single" w:sz="4" w:space="0" w:color="auto"/>
              <w:right w:val="single" w:sz="4" w:space="0" w:color="auto"/>
            </w:tcBorders>
            <w:vAlign w:val="bottom"/>
            <w:hideMark/>
          </w:tcPr>
          <w:p w:rsidR="0093054F" w:rsidRPr="00A1737F" w14:paraId="2E770F30" w14:textId="77777777">
            <w:pPr>
              <w:keepNext/>
              <w:keepLines/>
              <w:numPr>
                <w:ilvl w:val="12"/>
                <w:numId w:val="0"/>
              </w:numPr>
              <w:jc w:val="center"/>
              <w:rPr>
                <w:rFonts w:ascii="Arial Narrow" w:hAnsi="Arial Narrow" w:cstheme="minorHAnsi"/>
                <w:b/>
                <w:bCs/>
                <w:sz w:val="20"/>
                <w:szCs w:val="20"/>
              </w:rPr>
            </w:pPr>
            <w:r w:rsidRPr="00A1737F">
              <w:rPr>
                <w:rFonts w:ascii="Arial Narrow" w:hAnsi="Arial Narrow" w:cstheme="minorHAnsi"/>
                <w:b/>
                <w:bCs/>
                <w:sz w:val="20"/>
                <w:szCs w:val="20"/>
              </w:rPr>
              <w:t>Totals</w:t>
            </w:r>
          </w:p>
        </w:tc>
        <w:tc>
          <w:tcPr>
            <w:tcW w:w="1854" w:type="dxa"/>
            <w:tcBorders>
              <w:top w:val="single" w:sz="4" w:space="0" w:color="auto"/>
              <w:left w:val="single" w:sz="4" w:space="0" w:color="auto"/>
              <w:bottom w:val="single" w:sz="4" w:space="0" w:color="auto"/>
              <w:right w:val="single" w:sz="4" w:space="0" w:color="auto"/>
            </w:tcBorders>
            <w:vAlign w:val="bottom"/>
          </w:tcPr>
          <w:p w:rsidR="0093054F" w:rsidRPr="00A1737F" w14:paraId="288E7237" w14:textId="77777777">
            <w:pPr>
              <w:keepNext/>
              <w:keepLines/>
              <w:numPr>
                <w:ilvl w:val="12"/>
                <w:numId w:val="0"/>
              </w:numPr>
              <w:jc w:val="center"/>
              <w:rPr>
                <w:rFonts w:ascii="Arial Narrow" w:hAnsi="Arial Narrow" w:cstheme="minorHAnsi"/>
                <w:b/>
                <w:bCs/>
                <w:sz w:val="20"/>
                <w:szCs w:val="20"/>
              </w:rPr>
            </w:pPr>
          </w:p>
        </w:tc>
        <w:tc>
          <w:tcPr>
            <w:tcW w:w="1169" w:type="dxa"/>
            <w:tcBorders>
              <w:top w:val="single" w:sz="4" w:space="0" w:color="auto"/>
              <w:left w:val="single" w:sz="4" w:space="0" w:color="auto"/>
              <w:bottom w:val="single" w:sz="4" w:space="0" w:color="auto"/>
              <w:right w:val="single" w:sz="4" w:space="0" w:color="auto"/>
            </w:tcBorders>
            <w:vAlign w:val="bottom"/>
          </w:tcPr>
          <w:p w:rsidR="0093054F" w:rsidRPr="00A1737F" w14:paraId="7BC07048" w14:textId="391545F5">
            <w:pPr>
              <w:keepNext/>
              <w:keepLines/>
              <w:numPr>
                <w:ilvl w:val="12"/>
                <w:numId w:val="0"/>
              </w:numPr>
              <w:jc w:val="center"/>
              <w:rPr>
                <w:rFonts w:ascii="Arial Narrow" w:hAnsi="Arial Narrow" w:cstheme="minorHAnsi"/>
                <w:b/>
                <w:bCs/>
                <w:sz w:val="20"/>
                <w:szCs w:val="20"/>
              </w:rPr>
            </w:pPr>
            <w:r w:rsidRPr="00A1737F">
              <w:rPr>
                <w:rFonts w:ascii="Arial Narrow" w:hAnsi="Arial Narrow" w:cstheme="minorHAnsi"/>
                <w:b/>
                <w:bCs/>
                <w:sz w:val="20"/>
                <w:szCs w:val="20"/>
              </w:rPr>
              <w:t>195</w:t>
            </w:r>
          </w:p>
        </w:tc>
        <w:tc>
          <w:tcPr>
            <w:tcW w:w="1163" w:type="dxa"/>
            <w:tcBorders>
              <w:top w:val="single" w:sz="4" w:space="0" w:color="auto"/>
              <w:left w:val="single" w:sz="4" w:space="0" w:color="auto"/>
              <w:bottom w:val="single" w:sz="4" w:space="0" w:color="auto"/>
              <w:right w:val="single" w:sz="4" w:space="0" w:color="auto"/>
            </w:tcBorders>
            <w:vAlign w:val="bottom"/>
          </w:tcPr>
          <w:p w:rsidR="0093054F" w:rsidRPr="00A1737F" w14:paraId="20A0853A" w14:textId="77777777">
            <w:pPr>
              <w:keepNext/>
              <w:keepLines/>
              <w:numPr>
                <w:ilvl w:val="12"/>
                <w:numId w:val="0"/>
              </w:numPr>
              <w:jc w:val="center"/>
              <w:rPr>
                <w:rFonts w:ascii="Arial Narrow" w:hAnsi="Arial Narrow" w:cstheme="minorHAnsi"/>
                <w:b/>
                <w:bCs/>
                <w:sz w:val="20"/>
                <w:szCs w:val="20"/>
              </w:rPr>
            </w:pPr>
          </w:p>
        </w:tc>
        <w:tc>
          <w:tcPr>
            <w:tcW w:w="1075" w:type="dxa"/>
            <w:tcBorders>
              <w:top w:val="single" w:sz="4" w:space="0" w:color="auto"/>
              <w:left w:val="single" w:sz="4" w:space="0" w:color="auto"/>
              <w:bottom w:val="single" w:sz="4" w:space="0" w:color="auto"/>
              <w:right w:val="single" w:sz="4" w:space="0" w:color="auto"/>
            </w:tcBorders>
            <w:vAlign w:val="bottom"/>
          </w:tcPr>
          <w:p w:rsidR="0093054F" w:rsidRPr="00A1737F" w14:paraId="4923BA57" w14:textId="44ED14E2">
            <w:pPr>
              <w:keepNext/>
              <w:keepLines/>
              <w:numPr>
                <w:ilvl w:val="12"/>
                <w:numId w:val="0"/>
              </w:numPr>
              <w:jc w:val="center"/>
              <w:rPr>
                <w:rFonts w:ascii="Arial Narrow" w:hAnsi="Arial Narrow" w:cstheme="minorHAnsi"/>
                <w:b/>
                <w:bCs/>
                <w:sz w:val="20"/>
                <w:szCs w:val="20"/>
              </w:rPr>
            </w:pPr>
            <w:r w:rsidRPr="00A1737F">
              <w:rPr>
                <w:rFonts w:ascii="Arial Narrow" w:hAnsi="Arial Narrow" w:cstheme="minorHAnsi"/>
                <w:b/>
                <w:bCs/>
                <w:sz w:val="20"/>
                <w:szCs w:val="20"/>
              </w:rPr>
              <w:t>195</w:t>
            </w:r>
          </w:p>
        </w:tc>
        <w:tc>
          <w:tcPr>
            <w:tcW w:w="1153" w:type="dxa"/>
            <w:tcBorders>
              <w:top w:val="single" w:sz="4" w:space="0" w:color="auto"/>
              <w:left w:val="single" w:sz="4" w:space="0" w:color="auto"/>
              <w:bottom w:val="single" w:sz="4" w:space="0" w:color="auto"/>
              <w:right w:val="single" w:sz="4" w:space="0" w:color="auto"/>
            </w:tcBorders>
            <w:vAlign w:val="bottom"/>
          </w:tcPr>
          <w:p w:rsidR="0093054F" w:rsidRPr="00A1737F" w14:paraId="7AB08540" w14:textId="77777777">
            <w:pPr>
              <w:keepNext/>
              <w:keepLines/>
              <w:numPr>
                <w:ilvl w:val="12"/>
                <w:numId w:val="0"/>
              </w:numPr>
              <w:jc w:val="center"/>
              <w:rPr>
                <w:rFonts w:ascii="Arial Narrow" w:hAnsi="Arial Narrow" w:cstheme="minorHAnsi"/>
                <w:b/>
                <w:bCs/>
                <w:sz w:val="20"/>
                <w:szCs w:val="20"/>
              </w:rPr>
            </w:pPr>
          </w:p>
        </w:tc>
        <w:tc>
          <w:tcPr>
            <w:tcW w:w="1140" w:type="dxa"/>
            <w:tcBorders>
              <w:top w:val="single" w:sz="4" w:space="0" w:color="auto"/>
              <w:left w:val="single" w:sz="4" w:space="0" w:color="auto"/>
              <w:bottom w:val="single" w:sz="4" w:space="0" w:color="auto"/>
              <w:right w:val="single" w:sz="4" w:space="0" w:color="auto"/>
            </w:tcBorders>
            <w:vAlign w:val="bottom"/>
          </w:tcPr>
          <w:p w:rsidR="0093054F" w:rsidRPr="00A1737F" w14:paraId="60F4ECCC" w14:textId="66623090">
            <w:pPr>
              <w:keepNext/>
              <w:keepLines/>
              <w:numPr>
                <w:ilvl w:val="12"/>
                <w:numId w:val="0"/>
              </w:numPr>
              <w:jc w:val="center"/>
              <w:rPr>
                <w:rFonts w:ascii="Arial Narrow" w:hAnsi="Arial Narrow" w:cstheme="minorHAnsi"/>
                <w:b/>
                <w:bCs/>
                <w:sz w:val="20"/>
                <w:szCs w:val="20"/>
              </w:rPr>
            </w:pPr>
            <w:r w:rsidRPr="00A1737F">
              <w:rPr>
                <w:rFonts w:ascii="Arial Narrow" w:hAnsi="Arial Narrow" w:cstheme="minorHAnsi"/>
                <w:b/>
                <w:bCs/>
                <w:sz w:val="20"/>
                <w:szCs w:val="20"/>
              </w:rPr>
              <w:t>975</w:t>
            </w:r>
          </w:p>
        </w:tc>
      </w:tr>
      <w:bookmarkEnd w:id="1"/>
    </w:tbl>
    <w:p w:rsidR="00474D78" w:rsidRPr="00A1737F" w:rsidP="00474D78" w14:paraId="083FD2C4" w14:textId="77777777">
      <w:pPr>
        <w:widowControl/>
        <w:ind w:left="720"/>
        <w:rPr>
          <w:rFonts w:asciiTheme="minorHAnsi" w:hAnsiTheme="minorHAnsi" w:cstheme="minorHAnsi"/>
          <w:sz w:val="22"/>
          <w:szCs w:val="22"/>
        </w:rPr>
      </w:pPr>
    </w:p>
    <w:p w:rsidR="00474D78" w:rsidRPr="00A1737F" w:rsidP="00A1737F" w14:paraId="13854F3B" w14:textId="328C9DF5">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ESTIMATED TOTAL ANNUAL COST BURDEN TO RESPONDENTS</w:t>
      </w:r>
    </w:p>
    <w:p w:rsidR="00474D78" w:rsidRPr="00A1737F" w:rsidP="00474D78" w14:paraId="7C3D5818" w14:textId="77777777">
      <w:pPr>
        <w:widowControl/>
        <w:rPr>
          <w:rFonts w:asciiTheme="minorHAnsi" w:hAnsiTheme="minorHAnsi" w:cstheme="minorHAnsi"/>
          <w:sz w:val="22"/>
          <w:szCs w:val="22"/>
          <w:u w:val="single"/>
        </w:rPr>
      </w:pPr>
    </w:p>
    <w:p w:rsidR="00E26DF4" w:rsidRPr="00A1737F" w:rsidP="00A1737F" w14:paraId="34BD3D21" w14:textId="5F4396FC">
      <w:pPr>
        <w:tabs>
          <w:tab w:val="left" w:pos="810"/>
        </w:tabs>
        <w:ind w:left="720"/>
        <w:rPr>
          <w:rFonts w:asciiTheme="minorHAnsi" w:hAnsiTheme="minorHAnsi" w:cstheme="minorHAnsi"/>
          <w:sz w:val="22"/>
          <w:szCs w:val="22"/>
        </w:rPr>
      </w:pPr>
      <w:r w:rsidRPr="00CC51CD">
        <w:rPr>
          <w:rFonts w:asciiTheme="minorHAnsi" w:hAnsiTheme="minorHAnsi" w:cstheme="minorHAnsi"/>
          <w:sz w:val="22"/>
          <w:szCs w:val="22"/>
        </w:rPr>
        <w:t>There are no annualized costs to the respondents beyond keeping records as part of customary and usual business or private practices.</w:t>
      </w:r>
    </w:p>
    <w:p w:rsidR="00474D78" w:rsidRPr="00A1737F" w:rsidP="00A1737F" w14:paraId="6397BEA3" w14:textId="77777777">
      <w:pPr>
        <w:widowControl/>
        <w:tabs>
          <w:tab w:val="left" w:pos="810"/>
        </w:tabs>
        <w:ind w:left="720"/>
        <w:rPr>
          <w:rFonts w:asciiTheme="minorHAnsi" w:hAnsiTheme="minorHAnsi" w:cstheme="minorHAnsi"/>
          <w:sz w:val="22"/>
          <w:szCs w:val="22"/>
        </w:rPr>
      </w:pPr>
    </w:p>
    <w:p w:rsidR="00474D78" w:rsidRPr="00A1737F" w:rsidP="00A1737F" w14:paraId="4F7967F4" w14:textId="7DE05470">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ESTIMATED ANNUALIZED COST TO THE FEDERAL GOVERNMENT</w:t>
      </w:r>
    </w:p>
    <w:p w:rsidR="00474D78" w:rsidRPr="00A1737F" w:rsidP="00474D78" w14:paraId="7F95D554" w14:textId="77777777">
      <w:pPr>
        <w:widowControl/>
        <w:rPr>
          <w:rFonts w:asciiTheme="minorHAnsi" w:hAnsiTheme="minorHAnsi" w:cstheme="minorHAnsi"/>
          <w:sz w:val="22"/>
          <w:szCs w:val="22"/>
          <w:u w:val="single"/>
        </w:rPr>
      </w:pPr>
    </w:p>
    <w:p w:rsidR="00474D78" w:rsidRPr="00A1737F" w:rsidP="00474D78" w14:paraId="3225E19E" w14:textId="00244C17">
      <w:pPr>
        <w:widowControl/>
        <w:ind w:left="720"/>
        <w:rPr>
          <w:rFonts w:asciiTheme="minorHAnsi" w:hAnsiTheme="minorHAnsi" w:cstheme="minorHAnsi"/>
          <w:sz w:val="22"/>
          <w:szCs w:val="22"/>
        </w:rPr>
      </w:pPr>
      <w:r w:rsidRPr="00A1737F">
        <w:rPr>
          <w:rFonts w:asciiTheme="minorHAnsi" w:hAnsiTheme="minorHAnsi" w:cstheme="minorHAnsi"/>
          <w:sz w:val="22"/>
          <w:szCs w:val="22"/>
        </w:rPr>
        <w:t xml:space="preserve">There are no estimated annualized costs to the federal government as </w:t>
      </w:r>
      <w:r w:rsidRPr="00A1737F" w:rsidR="00467F69">
        <w:rPr>
          <w:rFonts w:asciiTheme="minorHAnsi" w:hAnsiTheme="minorHAnsi" w:cstheme="minorHAnsi"/>
          <w:sz w:val="22"/>
          <w:szCs w:val="22"/>
        </w:rPr>
        <w:t xml:space="preserve">these are recordkeeping requirements. </w:t>
      </w:r>
    </w:p>
    <w:p w:rsidR="00474D78" w:rsidRPr="00A1737F" w:rsidP="00474D78" w14:paraId="724D25AA" w14:textId="77777777">
      <w:pPr>
        <w:widowControl/>
        <w:rPr>
          <w:rFonts w:asciiTheme="minorHAnsi" w:hAnsiTheme="minorHAnsi" w:cstheme="minorHAnsi"/>
          <w:sz w:val="22"/>
          <w:szCs w:val="22"/>
        </w:rPr>
      </w:pPr>
    </w:p>
    <w:p w:rsidR="00474D78" w:rsidRPr="00A1737F" w:rsidP="00A1737F" w14:paraId="14AADE9A" w14:textId="0B87C31C">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REASONS FOR CHANGE IN BURDEN</w:t>
      </w:r>
    </w:p>
    <w:p w:rsidR="0067624D" w:rsidRPr="00A1737F" w:rsidP="00A1737F" w14:paraId="6D3D85B3" w14:textId="77777777">
      <w:pPr>
        <w:widowControl/>
        <w:rPr>
          <w:rFonts w:asciiTheme="minorHAnsi" w:hAnsiTheme="minorHAnsi" w:cstheme="minorHAnsi"/>
          <w:sz w:val="22"/>
          <w:szCs w:val="22"/>
        </w:rPr>
      </w:pPr>
    </w:p>
    <w:p w:rsidR="0067624D" w:rsidRPr="00A1737F" w:rsidP="0067624D" w14:paraId="7EA325FC" w14:textId="463E3516">
      <w:pPr>
        <w:widowControl/>
        <w:ind w:left="720"/>
        <w:rPr>
          <w:rFonts w:asciiTheme="minorHAnsi" w:hAnsiTheme="minorHAnsi" w:cstheme="minorHAnsi"/>
          <w:sz w:val="22"/>
          <w:szCs w:val="22"/>
        </w:rPr>
      </w:pPr>
      <w:r w:rsidRPr="00A1737F">
        <w:rPr>
          <w:rFonts w:asciiTheme="minorHAnsi" w:hAnsiTheme="minorHAnsi" w:cstheme="minorHAnsi"/>
          <w:sz w:val="22"/>
          <w:szCs w:val="22"/>
        </w:rPr>
        <w:t>This is a new recordkeeping requirement.</w:t>
      </w:r>
    </w:p>
    <w:p w:rsidR="001633AE" w:rsidRPr="00A1737F" w:rsidP="00A1737F" w14:paraId="56A0E9A4" w14:textId="77777777">
      <w:pPr>
        <w:widowControl/>
        <w:rPr>
          <w:rFonts w:asciiTheme="minorHAnsi" w:hAnsiTheme="minorHAnsi" w:cstheme="minorHAnsi"/>
          <w:sz w:val="22"/>
          <w:szCs w:val="22"/>
        </w:rPr>
      </w:pPr>
    </w:p>
    <w:p w:rsidR="00474D78" w:rsidRPr="00A1737F" w:rsidP="00A1737F" w14:paraId="76302227" w14:textId="06276156">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 xml:space="preserve">PLANS FOR TABULATION, STATISTICAL ANALYSIS AND PUBLICATION </w:t>
      </w:r>
    </w:p>
    <w:p w:rsidR="00474D78" w:rsidRPr="00A1737F" w:rsidP="00474D78" w14:paraId="2F9B2064" w14:textId="77777777">
      <w:pPr>
        <w:widowControl/>
        <w:rPr>
          <w:rFonts w:asciiTheme="minorHAnsi" w:hAnsiTheme="minorHAnsi" w:cstheme="minorHAnsi"/>
          <w:sz w:val="22"/>
          <w:szCs w:val="22"/>
          <w:u w:val="single"/>
        </w:rPr>
      </w:pPr>
    </w:p>
    <w:p w:rsidR="00474D78" w:rsidRPr="00A1737F" w:rsidP="00474D78" w14:paraId="6D36574B" w14:textId="2FCDD42B">
      <w:pPr>
        <w:widowControl/>
        <w:ind w:left="720"/>
        <w:rPr>
          <w:rFonts w:asciiTheme="minorHAnsi" w:hAnsiTheme="minorHAnsi" w:cstheme="minorHAnsi"/>
          <w:sz w:val="22"/>
          <w:szCs w:val="22"/>
        </w:rPr>
      </w:pPr>
      <w:r w:rsidRPr="00A1737F">
        <w:rPr>
          <w:rFonts w:asciiTheme="minorHAnsi" w:hAnsiTheme="minorHAnsi" w:cstheme="minorHAnsi"/>
          <w:sz w:val="22"/>
          <w:szCs w:val="22"/>
        </w:rPr>
        <w:t>There are no plans for tabulation, statistical analysis, and publication</w:t>
      </w:r>
      <w:r w:rsidRPr="00A1737F">
        <w:rPr>
          <w:rFonts w:asciiTheme="minorHAnsi" w:hAnsiTheme="minorHAnsi" w:cstheme="minorHAnsi"/>
          <w:sz w:val="22"/>
          <w:szCs w:val="22"/>
        </w:rPr>
        <w:t>.</w:t>
      </w:r>
    </w:p>
    <w:p w:rsidR="00474D78" w:rsidRPr="00A1737F" w:rsidP="00474D78" w14:paraId="58BFD693" w14:textId="77777777">
      <w:pPr>
        <w:widowControl/>
        <w:rPr>
          <w:rFonts w:asciiTheme="minorHAnsi" w:hAnsiTheme="minorHAnsi" w:cstheme="minorHAnsi"/>
          <w:sz w:val="22"/>
          <w:szCs w:val="22"/>
        </w:rPr>
      </w:pPr>
    </w:p>
    <w:p w:rsidR="00474D78" w:rsidRPr="00A1737F" w:rsidP="00A1737F" w14:paraId="5297A8D5" w14:textId="06514ABE">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REASONS WHY DISPLAYING THE OMB EXPIRATION DATE IS INAPPROPRIATE</w:t>
      </w:r>
    </w:p>
    <w:p w:rsidR="00474D78" w:rsidRPr="00A1737F" w:rsidP="00474D78" w14:paraId="1F34CEA5" w14:textId="77777777">
      <w:pPr>
        <w:widowControl/>
        <w:rPr>
          <w:rFonts w:asciiTheme="minorHAnsi" w:hAnsiTheme="minorHAnsi" w:cstheme="minorHAnsi"/>
          <w:sz w:val="22"/>
          <w:szCs w:val="22"/>
          <w:u w:val="single"/>
        </w:rPr>
      </w:pPr>
    </w:p>
    <w:p w:rsidR="00474D78" w:rsidRPr="00A1737F" w:rsidP="00474D78" w14:paraId="47E84C8F" w14:textId="32523C48">
      <w:pPr>
        <w:widowControl/>
        <w:ind w:left="720"/>
        <w:rPr>
          <w:rFonts w:asciiTheme="minorHAnsi" w:hAnsiTheme="minorHAnsi" w:cstheme="minorHAnsi"/>
          <w:sz w:val="22"/>
          <w:szCs w:val="22"/>
        </w:rPr>
      </w:pPr>
      <w:r>
        <w:rPr>
          <w:rFonts w:asciiTheme="minorHAnsi" w:hAnsiTheme="minorHAnsi" w:cstheme="minorHAnsi"/>
          <w:sz w:val="22"/>
          <w:szCs w:val="22"/>
        </w:rPr>
        <w:t xml:space="preserve">The </w:t>
      </w:r>
      <w:r w:rsidRPr="00A1737F" w:rsidR="00123349">
        <w:rPr>
          <w:rFonts w:asciiTheme="minorHAnsi" w:hAnsiTheme="minorHAnsi" w:cstheme="minorHAnsi"/>
          <w:sz w:val="22"/>
          <w:szCs w:val="22"/>
        </w:rPr>
        <w:t xml:space="preserve">IRS </w:t>
      </w:r>
      <w:r w:rsidRPr="00A1737F">
        <w:rPr>
          <w:rFonts w:asciiTheme="minorHAnsi" w:hAnsiTheme="minorHAnsi" w:cstheme="minorHAnsi"/>
          <w:sz w:val="22"/>
          <w:szCs w:val="22"/>
        </w:rPr>
        <w:t>believe that displaying the OMB expiration date is inappropriate because it could cause confusion by leading taxpayers to believe that the regulation</w:t>
      </w:r>
      <w:r>
        <w:rPr>
          <w:rFonts w:asciiTheme="minorHAnsi" w:hAnsiTheme="minorHAnsi" w:cstheme="minorHAnsi"/>
          <w:sz w:val="22"/>
          <w:szCs w:val="22"/>
        </w:rPr>
        <w:t>s</w:t>
      </w:r>
      <w:r w:rsidRPr="00A1737F">
        <w:rPr>
          <w:rFonts w:asciiTheme="minorHAnsi" w:hAnsiTheme="minorHAnsi" w:cstheme="minorHAnsi"/>
          <w:sz w:val="22"/>
          <w:szCs w:val="22"/>
        </w:rPr>
        <w:t xml:space="preserve"> </w:t>
      </w:r>
      <w:r>
        <w:rPr>
          <w:rFonts w:asciiTheme="minorHAnsi" w:hAnsiTheme="minorHAnsi" w:cstheme="minorHAnsi"/>
          <w:sz w:val="22"/>
          <w:szCs w:val="22"/>
        </w:rPr>
        <w:t>expire</w:t>
      </w:r>
      <w:r w:rsidRPr="00A1737F">
        <w:rPr>
          <w:rFonts w:asciiTheme="minorHAnsi" w:hAnsiTheme="minorHAnsi" w:cstheme="minorHAnsi"/>
          <w:sz w:val="22"/>
          <w:szCs w:val="22"/>
        </w:rPr>
        <w:t xml:space="preserve"> as of the expiration date</w:t>
      </w:r>
      <w:r w:rsidRPr="00A1737F">
        <w:rPr>
          <w:rFonts w:asciiTheme="minorHAnsi" w:hAnsiTheme="minorHAnsi" w:cstheme="minorHAnsi"/>
          <w:sz w:val="22"/>
          <w:szCs w:val="22"/>
        </w:rPr>
        <w:t xml:space="preserve">.  </w:t>
      </w:r>
      <w:r w:rsidRPr="00A1737F">
        <w:rPr>
          <w:rFonts w:asciiTheme="minorHAnsi" w:hAnsiTheme="minorHAnsi" w:cstheme="minorHAnsi"/>
          <w:sz w:val="22"/>
          <w:szCs w:val="22"/>
        </w:rPr>
        <w:t xml:space="preserve">Taxpayers are not likely to be aware that the </w:t>
      </w:r>
      <w:r w:rsidRPr="00A1737F" w:rsidR="0093054F">
        <w:rPr>
          <w:rFonts w:asciiTheme="minorHAnsi" w:hAnsiTheme="minorHAnsi" w:cstheme="minorHAnsi"/>
          <w:sz w:val="22"/>
          <w:szCs w:val="22"/>
        </w:rPr>
        <w:t xml:space="preserve">IRS </w:t>
      </w:r>
      <w:r w:rsidRPr="00A1737F">
        <w:rPr>
          <w:rFonts w:asciiTheme="minorHAnsi" w:hAnsiTheme="minorHAnsi" w:cstheme="minorHAnsi"/>
          <w:sz w:val="22"/>
          <w:szCs w:val="22"/>
        </w:rPr>
        <w:t>intends to request renewal of OMB approval and obtain a new expiration date before the old one expires.</w:t>
      </w:r>
    </w:p>
    <w:p w:rsidR="00474D78" w:rsidRPr="00A1737F" w:rsidP="00474D78" w14:paraId="35CDE1C4" w14:textId="77777777">
      <w:pPr>
        <w:widowControl/>
        <w:rPr>
          <w:rFonts w:asciiTheme="minorHAnsi" w:hAnsiTheme="minorHAnsi" w:cstheme="minorHAnsi"/>
          <w:sz w:val="22"/>
          <w:szCs w:val="22"/>
        </w:rPr>
      </w:pPr>
    </w:p>
    <w:p w:rsidR="00474D78" w:rsidRPr="00A1737F" w:rsidP="00A1737F" w14:paraId="365AF18C" w14:textId="709389EB">
      <w:pPr>
        <w:pStyle w:val="Level1"/>
        <w:numPr>
          <w:ilvl w:val="0"/>
          <w:numId w:val="1"/>
        </w:numPr>
        <w:tabs>
          <w:tab w:val="left" w:pos="-1440"/>
          <w:tab w:val="num" w:pos="720"/>
        </w:tabs>
        <w:ind w:left="720" w:hanging="720"/>
        <w:rPr>
          <w:rFonts w:asciiTheme="minorHAnsi" w:hAnsiTheme="minorHAnsi"/>
          <w:sz w:val="22"/>
          <w:szCs w:val="22"/>
          <w:u w:val="single"/>
        </w:rPr>
      </w:pPr>
      <w:r w:rsidRPr="00A1737F">
        <w:rPr>
          <w:rFonts w:asciiTheme="minorHAnsi" w:hAnsiTheme="minorHAnsi"/>
          <w:sz w:val="22"/>
          <w:szCs w:val="22"/>
          <w:u w:val="single"/>
        </w:rPr>
        <w:t>EXCEPTIONS TO THE CERTIFICATION STATEMENT</w:t>
      </w:r>
    </w:p>
    <w:p w:rsidR="00474D78" w:rsidRPr="00A1737F" w:rsidP="00474D78" w14:paraId="59F15D6D" w14:textId="77777777">
      <w:pPr>
        <w:widowControl/>
        <w:rPr>
          <w:rFonts w:asciiTheme="minorHAnsi" w:hAnsiTheme="minorHAnsi" w:cstheme="minorHAnsi"/>
          <w:sz w:val="22"/>
          <w:szCs w:val="22"/>
          <w:u w:val="single"/>
        </w:rPr>
      </w:pPr>
    </w:p>
    <w:p w:rsidR="00E378C3" w:rsidRPr="00A1737F" w:rsidP="00A1737F" w14:paraId="09323DAE" w14:textId="07F8DF4E">
      <w:pPr>
        <w:widowControl/>
        <w:ind w:left="720"/>
        <w:rPr>
          <w:rFonts w:asciiTheme="minorHAnsi" w:hAnsiTheme="minorHAnsi" w:cstheme="minorHAnsi"/>
          <w:sz w:val="22"/>
          <w:szCs w:val="22"/>
        </w:rPr>
      </w:pPr>
      <w:r w:rsidRPr="00A1737F">
        <w:rPr>
          <w:rFonts w:asciiTheme="minorHAnsi" w:hAnsiTheme="minorHAnsi" w:cstheme="minorHAnsi"/>
          <w:sz w:val="22"/>
          <w:szCs w:val="22"/>
        </w:rPr>
        <w:t>There are no exceptions to the certification statement</w:t>
      </w:r>
      <w:r w:rsidR="00FB6207">
        <w:rPr>
          <w:rFonts w:asciiTheme="minorHAnsi" w:hAnsiTheme="minorHAnsi" w:cstheme="minorHAnsi"/>
          <w:sz w:val="22"/>
          <w:szCs w:val="22"/>
          <w:u w:val="single"/>
        </w:rPr>
        <w:t>.</w:t>
      </w:r>
    </w:p>
    <w:sectPr w:rsidSect="00D90CE1">
      <w:footerReference w:type="default" r:id="rId4"/>
      <w:type w:val="continuous"/>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6270010"/>
      <w:docPartObj>
        <w:docPartGallery w:val="Page Numbers (Bottom of Page)"/>
        <w:docPartUnique/>
      </w:docPartObj>
    </w:sdtPr>
    <w:sdtEndPr>
      <w:rPr>
        <w:noProof/>
      </w:rPr>
    </w:sdtEndPr>
    <w:sdtContent>
      <w:p w:rsidR="001633AE" w14:paraId="3A245EAC" w14:textId="77777777">
        <w:pPr>
          <w:pStyle w:val="Footer"/>
          <w:jc w:val="right"/>
        </w:pPr>
        <w:r w:rsidRPr="00255867">
          <w:rPr>
            <w:sz w:val="22"/>
            <w:szCs w:val="22"/>
          </w:rPr>
          <w:fldChar w:fldCharType="begin"/>
        </w:r>
        <w:r w:rsidRPr="00255867">
          <w:rPr>
            <w:sz w:val="22"/>
            <w:szCs w:val="22"/>
          </w:rPr>
          <w:instrText xml:space="preserve"> PAGE   \* MERGEFORMAT </w:instrText>
        </w:r>
        <w:r w:rsidRPr="00255867">
          <w:rPr>
            <w:sz w:val="22"/>
            <w:szCs w:val="22"/>
          </w:rPr>
          <w:fldChar w:fldCharType="separate"/>
        </w:r>
        <w:r w:rsidR="00F53D73">
          <w:rPr>
            <w:noProof/>
            <w:sz w:val="22"/>
            <w:szCs w:val="22"/>
          </w:rPr>
          <w:t>1</w:t>
        </w:r>
        <w:r w:rsidRPr="00255867">
          <w:rPr>
            <w:noProof/>
            <w:sz w:val="22"/>
            <w:szCs w:val="22"/>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80782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7114457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7640801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43328110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286963048">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9029852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61633166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2056077448">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11910416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536622997">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85815849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94608287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57301272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97486982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40217254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37107326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204308820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2877825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626080838">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78"/>
    <w:rsid w:val="00027087"/>
    <w:rsid w:val="0005165D"/>
    <w:rsid w:val="00062091"/>
    <w:rsid w:val="000E06F9"/>
    <w:rsid w:val="00116224"/>
    <w:rsid w:val="00123349"/>
    <w:rsid w:val="001633AE"/>
    <w:rsid w:val="00172CA8"/>
    <w:rsid w:val="00182D4B"/>
    <w:rsid w:val="001B75C4"/>
    <w:rsid w:val="001D3513"/>
    <w:rsid w:val="00255867"/>
    <w:rsid w:val="0026221A"/>
    <w:rsid w:val="00267DF0"/>
    <w:rsid w:val="00280220"/>
    <w:rsid w:val="00304479"/>
    <w:rsid w:val="00330125"/>
    <w:rsid w:val="003B63F0"/>
    <w:rsid w:val="003C046F"/>
    <w:rsid w:val="003C612E"/>
    <w:rsid w:val="00424899"/>
    <w:rsid w:val="004355DD"/>
    <w:rsid w:val="00453AD3"/>
    <w:rsid w:val="00457662"/>
    <w:rsid w:val="00467F69"/>
    <w:rsid w:val="00474B84"/>
    <w:rsid w:val="00474D78"/>
    <w:rsid w:val="00476215"/>
    <w:rsid w:val="004A26B5"/>
    <w:rsid w:val="004F5339"/>
    <w:rsid w:val="004F759E"/>
    <w:rsid w:val="0050487A"/>
    <w:rsid w:val="005416D8"/>
    <w:rsid w:val="00553EE1"/>
    <w:rsid w:val="00575270"/>
    <w:rsid w:val="00585BFA"/>
    <w:rsid w:val="00587722"/>
    <w:rsid w:val="00592721"/>
    <w:rsid w:val="005D537E"/>
    <w:rsid w:val="005E7EC6"/>
    <w:rsid w:val="005F2447"/>
    <w:rsid w:val="0067624D"/>
    <w:rsid w:val="006C07B7"/>
    <w:rsid w:val="006C4865"/>
    <w:rsid w:val="006F6EAD"/>
    <w:rsid w:val="0073148C"/>
    <w:rsid w:val="00740024"/>
    <w:rsid w:val="007A160C"/>
    <w:rsid w:val="007A2833"/>
    <w:rsid w:val="007C4B5F"/>
    <w:rsid w:val="007E0D7D"/>
    <w:rsid w:val="00804BE5"/>
    <w:rsid w:val="008120B2"/>
    <w:rsid w:val="0083149F"/>
    <w:rsid w:val="0086329D"/>
    <w:rsid w:val="008C18A9"/>
    <w:rsid w:val="008C3F0A"/>
    <w:rsid w:val="008C7380"/>
    <w:rsid w:val="008D49DB"/>
    <w:rsid w:val="00927515"/>
    <w:rsid w:val="0093054F"/>
    <w:rsid w:val="00952241"/>
    <w:rsid w:val="00967E02"/>
    <w:rsid w:val="009934BE"/>
    <w:rsid w:val="009D5A35"/>
    <w:rsid w:val="00A01412"/>
    <w:rsid w:val="00A05B08"/>
    <w:rsid w:val="00A1737F"/>
    <w:rsid w:val="00A61C4F"/>
    <w:rsid w:val="00A706A8"/>
    <w:rsid w:val="00AD5D12"/>
    <w:rsid w:val="00B0676C"/>
    <w:rsid w:val="00B26605"/>
    <w:rsid w:val="00B2783F"/>
    <w:rsid w:val="00B41743"/>
    <w:rsid w:val="00BB099F"/>
    <w:rsid w:val="00BF0A6D"/>
    <w:rsid w:val="00BF5465"/>
    <w:rsid w:val="00C81047"/>
    <w:rsid w:val="00C817DE"/>
    <w:rsid w:val="00C93D32"/>
    <w:rsid w:val="00CB7B1F"/>
    <w:rsid w:val="00CC51CD"/>
    <w:rsid w:val="00D50C2D"/>
    <w:rsid w:val="00D644C9"/>
    <w:rsid w:val="00D90CE1"/>
    <w:rsid w:val="00DA3D5E"/>
    <w:rsid w:val="00DA4CDD"/>
    <w:rsid w:val="00DB33F4"/>
    <w:rsid w:val="00DD1469"/>
    <w:rsid w:val="00E26DF4"/>
    <w:rsid w:val="00E378C3"/>
    <w:rsid w:val="00E85C68"/>
    <w:rsid w:val="00F26F3A"/>
    <w:rsid w:val="00F35054"/>
    <w:rsid w:val="00F53D73"/>
    <w:rsid w:val="00F543BD"/>
    <w:rsid w:val="00F63DE0"/>
    <w:rsid w:val="00FB01A0"/>
    <w:rsid w:val="00FB6207"/>
    <w:rsid w:val="00FC0001"/>
    <w:rsid w:val="00FD2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0DE1A"/>
  <w15:docId w15:val="{37CFB53F-2500-4E78-9B70-AFD3EDE2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4D78"/>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4D78"/>
    <w:pPr>
      <w:tabs>
        <w:tab w:val="center" w:pos="4320"/>
        <w:tab w:val="right" w:pos="8640"/>
      </w:tabs>
    </w:pPr>
  </w:style>
  <w:style w:type="character" w:customStyle="1" w:styleId="HeaderChar">
    <w:name w:val="Header Char"/>
    <w:basedOn w:val="DefaultParagraphFont"/>
    <w:link w:val="Header"/>
    <w:rsid w:val="00474D78"/>
    <w:rPr>
      <w:rFonts w:ascii="Arial" w:eastAsia="Times New Roman" w:hAnsi="Arial" w:cs="Times New Roman"/>
      <w:szCs w:val="24"/>
    </w:rPr>
  </w:style>
  <w:style w:type="character" w:styleId="PageNumber">
    <w:name w:val="page number"/>
    <w:basedOn w:val="DefaultParagraphFont"/>
    <w:rsid w:val="00474D78"/>
  </w:style>
  <w:style w:type="paragraph" w:styleId="Footer">
    <w:name w:val="footer"/>
    <w:basedOn w:val="Normal"/>
    <w:link w:val="FooterChar"/>
    <w:uiPriority w:val="99"/>
    <w:unhideWhenUsed/>
    <w:rsid w:val="00474D78"/>
    <w:pPr>
      <w:tabs>
        <w:tab w:val="center" w:pos="4680"/>
        <w:tab w:val="right" w:pos="9360"/>
      </w:tabs>
    </w:pPr>
  </w:style>
  <w:style w:type="character" w:customStyle="1" w:styleId="FooterChar">
    <w:name w:val="Footer Char"/>
    <w:basedOn w:val="DefaultParagraphFont"/>
    <w:link w:val="Footer"/>
    <w:uiPriority w:val="99"/>
    <w:rsid w:val="00474D78"/>
    <w:rPr>
      <w:rFonts w:ascii="Arial" w:eastAsia="Times New Roman" w:hAnsi="Arial" w:cs="Times New Roman"/>
      <w:szCs w:val="24"/>
    </w:rPr>
  </w:style>
  <w:style w:type="table" w:styleId="TableGrid">
    <w:name w:val="Table Grid"/>
    <w:basedOn w:val="TableNormal"/>
    <w:uiPriority w:val="59"/>
    <w:rsid w:val="003B6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33AE"/>
    <w:rPr>
      <w:rFonts w:ascii="Tahoma" w:hAnsi="Tahoma" w:cs="Tahoma"/>
      <w:sz w:val="16"/>
      <w:szCs w:val="16"/>
    </w:rPr>
  </w:style>
  <w:style w:type="character" w:customStyle="1" w:styleId="BalloonTextChar">
    <w:name w:val="Balloon Text Char"/>
    <w:basedOn w:val="DefaultParagraphFont"/>
    <w:link w:val="BalloonText"/>
    <w:uiPriority w:val="99"/>
    <w:semiHidden/>
    <w:rsid w:val="001633AE"/>
    <w:rPr>
      <w:rFonts w:ascii="Tahoma" w:eastAsia="Times New Roman" w:hAnsi="Tahoma" w:cs="Tahoma"/>
      <w:sz w:val="16"/>
      <w:szCs w:val="16"/>
    </w:rPr>
  </w:style>
  <w:style w:type="paragraph" w:styleId="Revision">
    <w:name w:val="Revision"/>
    <w:hidden/>
    <w:uiPriority w:val="99"/>
    <w:semiHidden/>
    <w:rsid w:val="00F26F3A"/>
    <w:rPr>
      <w:rFonts w:ascii="Arial" w:eastAsia="Times New Roman" w:hAnsi="Arial" w:cs="Times New Roman"/>
      <w:szCs w:val="24"/>
    </w:rPr>
  </w:style>
  <w:style w:type="character" w:styleId="CommentReference">
    <w:name w:val="annotation reference"/>
    <w:basedOn w:val="DefaultParagraphFont"/>
    <w:semiHidden/>
    <w:unhideWhenUsed/>
    <w:rsid w:val="00E26DF4"/>
    <w:rPr>
      <w:sz w:val="16"/>
      <w:szCs w:val="16"/>
    </w:rPr>
  </w:style>
  <w:style w:type="paragraph" w:styleId="CommentText">
    <w:name w:val="annotation text"/>
    <w:basedOn w:val="Normal"/>
    <w:link w:val="CommentTextChar"/>
    <w:unhideWhenUsed/>
    <w:rsid w:val="00E26DF4"/>
    <w:rPr>
      <w:sz w:val="20"/>
      <w:szCs w:val="20"/>
    </w:rPr>
  </w:style>
  <w:style w:type="character" w:customStyle="1" w:styleId="CommentTextChar">
    <w:name w:val="Comment Text Char"/>
    <w:basedOn w:val="DefaultParagraphFont"/>
    <w:link w:val="CommentText"/>
    <w:rsid w:val="00E26DF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26DF4"/>
    <w:rPr>
      <w:b/>
      <w:bCs/>
    </w:rPr>
  </w:style>
  <w:style w:type="character" w:customStyle="1" w:styleId="CommentSubjectChar">
    <w:name w:val="Comment Subject Char"/>
    <w:basedOn w:val="CommentTextChar"/>
    <w:link w:val="CommentSubject"/>
    <w:uiPriority w:val="99"/>
    <w:semiHidden/>
    <w:rsid w:val="00E26DF4"/>
    <w:rPr>
      <w:rFonts w:ascii="Arial" w:eastAsia="Times New Roman" w:hAnsi="Arial" w:cs="Times New Roman"/>
      <w:b/>
      <w:bCs/>
      <w:sz w:val="20"/>
      <w:szCs w:val="20"/>
    </w:rPr>
  </w:style>
  <w:style w:type="paragraph" w:styleId="FootnoteText">
    <w:name w:val="footnote text"/>
    <w:basedOn w:val="Normal"/>
    <w:link w:val="FootnoteTextChar"/>
    <w:unhideWhenUsed/>
    <w:rsid w:val="00E26DF4"/>
    <w:pPr>
      <w:widowControl/>
      <w:autoSpaceDE/>
      <w:autoSpaceDN/>
      <w:adjustRightInd/>
      <w:ind w:left="10" w:hanging="10"/>
    </w:pPr>
    <w:rPr>
      <w:rFonts w:eastAsia="Arial" w:cs="Arial"/>
      <w:color w:val="000000"/>
      <w:sz w:val="20"/>
      <w:szCs w:val="20"/>
    </w:rPr>
  </w:style>
  <w:style w:type="character" w:customStyle="1" w:styleId="FootnoteTextChar">
    <w:name w:val="Footnote Text Char"/>
    <w:basedOn w:val="DefaultParagraphFont"/>
    <w:link w:val="FootnoteText"/>
    <w:rsid w:val="00E26DF4"/>
    <w:rPr>
      <w:rFonts w:ascii="Arial" w:eastAsia="Arial" w:hAnsi="Arial" w:cs="Arial"/>
      <w:color w:val="000000"/>
      <w:sz w:val="20"/>
      <w:szCs w:val="20"/>
    </w:rPr>
  </w:style>
  <w:style w:type="character" w:styleId="FootnoteReference">
    <w:name w:val="footnote reference"/>
    <w:basedOn w:val="DefaultParagraphFont"/>
    <w:unhideWhenUsed/>
    <w:rsid w:val="00E26DF4"/>
    <w:rPr>
      <w:vertAlign w:val="superscript"/>
    </w:rPr>
  </w:style>
  <w:style w:type="character" w:styleId="Hyperlink">
    <w:name w:val="Hyperlink"/>
    <w:semiHidden/>
    <w:unhideWhenUsed/>
    <w:rsid w:val="00E26DF4"/>
    <w:rPr>
      <w:color w:val="0000FF"/>
      <w:u w:val="single"/>
    </w:rPr>
  </w:style>
  <w:style w:type="paragraph" w:customStyle="1" w:styleId="Level1">
    <w:name w:val="Level 1"/>
    <w:basedOn w:val="Normal"/>
    <w:rsid w:val="00B0676C"/>
    <w:pPr>
      <w:numPr>
        <w:numId w:val="2"/>
      </w:numPr>
      <w:outlineLvl w:val="0"/>
    </w:pPr>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1054</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6</cp:revision>
  <cp:lastPrinted>2012-10-03T17:56:00Z</cp:lastPrinted>
  <dcterms:created xsi:type="dcterms:W3CDTF">2025-12-16T14:05:00Z</dcterms:created>
  <dcterms:modified xsi:type="dcterms:W3CDTF">2025-12-16T14:19:00Z</dcterms:modified>
</cp:coreProperties>
</file>