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076D" w:rsidRPr="003127E4" w:rsidP="000B1556" w14:paraId="5495C742" w14:textId="405E70E1">
      <w:pPr>
        <w:tabs>
          <w:tab w:val="center" w:pos="4680"/>
        </w:tabs>
        <w:jc w:val="center"/>
        <w:rPr>
          <w:rFonts w:ascii="Calibri" w:hAnsi="Calibri" w:cs="Berylium"/>
          <w:b/>
          <w:bCs/>
          <w:sz w:val="22"/>
          <w:szCs w:val="22"/>
        </w:rPr>
      </w:pPr>
      <w:r w:rsidRPr="003127E4">
        <w:rPr>
          <w:rFonts w:ascii="Calibri" w:hAnsi="Calibri" w:cs="Berylium"/>
          <w:b/>
          <w:bCs/>
          <w:sz w:val="22"/>
          <w:szCs w:val="22"/>
        </w:rPr>
        <w:t>SUPPORTING STATEMENT</w:t>
      </w:r>
    </w:p>
    <w:p w:rsidR="00E9076D" w:rsidP="000B1556" w14:paraId="110A0F43"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B63ACA" w:rsidRPr="00B63ACA" w:rsidP="000B1556" w14:paraId="49F8407A" w14:textId="77777777">
      <w:pPr>
        <w:tabs>
          <w:tab w:val="center" w:pos="4680"/>
        </w:tabs>
        <w:jc w:val="center"/>
        <w:rPr>
          <w:rFonts w:ascii="Calibri" w:hAnsi="Calibri" w:cs="Berylium"/>
          <w:b/>
          <w:bCs/>
          <w:sz w:val="22"/>
          <w:szCs w:val="22"/>
        </w:rPr>
      </w:pPr>
      <w:r w:rsidRPr="00B63ACA">
        <w:rPr>
          <w:rFonts w:ascii="Calibri" w:hAnsi="Calibri" w:cs="Berylium"/>
          <w:b/>
          <w:bCs/>
          <w:sz w:val="22"/>
          <w:szCs w:val="22"/>
        </w:rPr>
        <w:t>Form 8831</w:t>
      </w:r>
    </w:p>
    <w:p w:rsidR="00DA38BF" w:rsidP="000B1556" w14:paraId="53CE5891" w14:textId="3EB84813">
      <w:pPr>
        <w:tabs>
          <w:tab w:val="center" w:pos="4680"/>
        </w:tabs>
        <w:jc w:val="center"/>
        <w:rPr>
          <w:rFonts w:ascii="Calibri" w:hAnsi="Calibri" w:cs="Berylium"/>
          <w:b/>
          <w:bCs/>
          <w:sz w:val="22"/>
          <w:szCs w:val="22"/>
        </w:rPr>
      </w:pPr>
      <w:r w:rsidRPr="00B63ACA">
        <w:rPr>
          <w:rFonts w:ascii="Calibri" w:hAnsi="Calibri" w:cs="Berylium"/>
          <w:b/>
          <w:bCs/>
          <w:sz w:val="22"/>
          <w:szCs w:val="22"/>
        </w:rPr>
        <w:t>Excise Taxes on Excess Inclusions of REMIC Residual Interests</w:t>
      </w:r>
    </w:p>
    <w:p w:rsidR="00E9076D" w:rsidRPr="003127E4" w:rsidP="000B1556" w14:paraId="2E28A11F"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OMB Number 1545-</w:t>
      </w:r>
      <w:r w:rsidR="005972EB">
        <w:rPr>
          <w:rFonts w:ascii="Calibri" w:hAnsi="Calibri" w:cs="Berylium"/>
          <w:b/>
          <w:bCs/>
          <w:sz w:val="22"/>
          <w:szCs w:val="22"/>
        </w:rPr>
        <w:t>1379</w:t>
      </w:r>
    </w:p>
    <w:p w:rsidR="007E2EEB" w:rsidRPr="003127E4" w14:paraId="67B9F20F" w14:textId="77777777">
      <w:pPr>
        <w:rPr>
          <w:rFonts w:ascii="Calibri" w:hAnsi="Calibri" w:cs="Berylium"/>
          <w:b/>
          <w:bCs/>
          <w:sz w:val="22"/>
          <w:szCs w:val="22"/>
        </w:rPr>
      </w:pPr>
    </w:p>
    <w:p w:rsidR="007E2EEB" w:rsidRPr="004F12D2" w14:paraId="63881472"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w:t>
      </w:r>
      <w:r w:rsidRPr="006D672C">
        <w:rPr>
          <w:rFonts w:ascii="Calibri" w:hAnsi="Calibri"/>
          <w:b/>
          <w:sz w:val="22"/>
          <w:szCs w:val="22"/>
          <w:u w:val="single"/>
        </w:rPr>
        <w:t>IRCUM</w:t>
      </w:r>
      <w:r w:rsidRPr="003127E4">
        <w:rPr>
          <w:rFonts w:ascii="Calibri" w:hAnsi="Calibri"/>
          <w:b/>
          <w:sz w:val="22"/>
          <w:szCs w:val="22"/>
          <w:u w:val="single"/>
        </w:rPr>
        <w:t>STANCES NECESSITATING COLLECTION OF INFORMATION</w:t>
      </w:r>
      <w:r w:rsidR="009501AC">
        <w:rPr>
          <w:rFonts w:ascii="Calibri" w:hAnsi="Calibri"/>
          <w:b/>
          <w:sz w:val="22"/>
          <w:szCs w:val="22"/>
          <w:u w:val="single"/>
        </w:rPr>
        <w:t xml:space="preserve"> </w:t>
      </w:r>
    </w:p>
    <w:p w:rsidR="004F12D2" w:rsidRPr="009501AC" w:rsidP="004F12D2" w14:paraId="768541F0" w14:textId="77777777">
      <w:pPr>
        <w:pStyle w:val="Level1"/>
        <w:numPr>
          <w:ilvl w:val="0"/>
          <w:numId w:val="0"/>
        </w:numPr>
        <w:tabs>
          <w:tab w:val="left" w:pos="-1440"/>
        </w:tabs>
        <w:ind w:left="720" w:hanging="720"/>
        <w:rPr>
          <w:rFonts w:ascii="Calibri" w:hAnsi="Calibri"/>
          <w:b/>
          <w:sz w:val="22"/>
          <w:szCs w:val="22"/>
        </w:rPr>
      </w:pPr>
    </w:p>
    <w:p w:rsidR="001D1FFB" w:rsidP="0047289C" w14:paraId="713F7CEF" w14:textId="2711F864">
      <w:pPr>
        <w:pStyle w:val="Default"/>
        <w:ind w:left="720"/>
        <w:rPr>
          <w:rFonts w:ascii="Calibri" w:hAnsi="Calibri" w:cs="Courier New"/>
          <w:sz w:val="22"/>
          <w:szCs w:val="22"/>
        </w:rPr>
      </w:pPr>
      <w:bookmarkStart w:id="0" w:name="_Hlk17986999"/>
      <w:bookmarkStart w:id="1" w:name="_Hlk503267997"/>
      <w:r w:rsidRPr="005972EB">
        <w:rPr>
          <w:rFonts w:ascii="Calibri" w:hAnsi="Calibri" w:cs="Courier New"/>
          <w:sz w:val="22"/>
          <w:szCs w:val="22"/>
        </w:rPr>
        <w:t>I</w:t>
      </w:r>
      <w:r w:rsidR="00EF6702">
        <w:rPr>
          <w:rFonts w:ascii="Calibri" w:hAnsi="Calibri" w:cs="Courier New"/>
          <w:sz w:val="22"/>
          <w:szCs w:val="22"/>
        </w:rPr>
        <w:t xml:space="preserve">nternal </w:t>
      </w:r>
      <w:r w:rsidRPr="005972EB">
        <w:rPr>
          <w:rFonts w:ascii="Calibri" w:hAnsi="Calibri" w:cs="Courier New"/>
          <w:sz w:val="22"/>
          <w:szCs w:val="22"/>
        </w:rPr>
        <w:t>R</w:t>
      </w:r>
      <w:r w:rsidR="00EF6702">
        <w:rPr>
          <w:rFonts w:ascii="Calibri" w:hAnsi="Calibri" w:cs="Courier New"/>
          <w:sz w:val="22"/>
          <w:szCs w:val="22"/>
        </w:rPr>
        <w:t xml:space="preserve">evenue </w:t>
      </w:r>
      <w:r w:rsidRPr="005972EB">
        <w:rPr>
          <w:rFonts w:ascii="Calibri" w:hAnsi="Calibri" w:cs="Courier New"/>
          <w:sz w:val="22"/>
          <w:szCs w:val="22"/>
        </w:rPr>
        <w:t>C</w:t>
      </w:r>
      <w:r w:rsidR="00EF6702">
        <w:rPr>
          <w:rFonts w:ascii="Calibri" w:hAnsi="Calibri" w:cs="Courier New"/>
          <w:sz w:val="22"/>
          <w:szCs w:val="22"/>
        </w:rPr>
        <w:t>ode (IRC)</w:t>
      </w:r>
      <w:r w:rsidRPr="005972EB">
        <w:rPr>
          <w:rFonts w:ascii="Calibri" w:hAnsi="Calibri" w:cs="Courier New"/>
          <w:sz w:val="22"/>
          <w:szCs w:val="22"/>
        </w:rPr>
        <w:t xml:space="preserve"> section 860E(e)(1) provides rules for the taxation of an entity on any transfer of a residual interest in a real estate mortgage investment conduit (REMIC) to a disqualified organization.  IRC section 860E(e)(6)</w:t>
      </w:r>
      <w:r>
        <w:rPr>
          <w:rFonts w:ascii="Calibri" w:hAnsi="Calibri" w:cs="Courier New"/>
          <w:sz w:val="22"/>
          <w:szCs w:val="22"/>
        </w:rPr>
        <w:t xml:space="preserve"> </w:t>
      </w:r>
      <w:r w:rsidRPr="005972EB">
        <w:rPr>
          <w:rFonts w:ascii="Calibri" w:hAnsi="Calibri" w:cs="Courier New"/>
          <w:sz w:val="22"/>
          <w:szCs w:val="22"/>
        </w:rPr>
        <w:t>provides rules for the taxation of a pass-through entity with interests held by disqualified organizations.  Regulations section 1.860E-2(a)</w:t>
      </w:r>
      <w:r w:rsidR="006D672C">
        <w:rPr>
          <w:rFonts w:ascii="Calibri" w:hAnsi="Calibri" w:cs="Courier New"/>
          <w:sz w:val="22"/>
          <w:szCs w:val="22"/>
        </w:rPr>
        <w:t>(</w:t>
      </w:r>
      <w:r w:rsidRPr="005972EB">
        <w:rPr>
          <w:rFonts w:ascii="Calibri" w:hAnsi="Calibri" w:cs="Courier New"/>
          <w:sz w:val="22"/>
          <w:szCs w:val="22"/>
        </w:rPr>
        <w:t>7)(ii) provides rules for the taxation of an entity which waives the tax under section 860E(e)(1).</w:t>
      </w:r>
    </w:p>
    <w:p w:rsidR="001D1FFB" w:rsidP="0047289C" w14:paraId="2BA8DAA1" w14:textId="77777777">
      <w:pPr>
        <w:pStyle w:val="Default"/>
        <w:ind w:left="720"/>
        <w:rPr>
          <w:rFonts w:ascii="Calibri" w:hAnsi="Calibri" w:cs="Courier New"/>
          <w:sz w:val="22"/>
          <w:szCs w:val="22"/>
        </w:rPr>
      </w:pPr>
    </w:p>
    <w:p w:rsidR="001D1FFB" w:rsidP="0047289C" w14:paraId="31AFF6CF" w14:textId="0ED8B63A">
      <w:pPr>
        <w:pStyle w:val="Default"/>
        <w:ind w:left="720"/>
        <w:rPr>
          <w:rFonts w:ascii="Calibri" w:hAnsi="Calibri" w:cs="Courier New"/>
          <w:sz w:val="22"/>
          <w:szCs w:val="22"/>
        </w:rPr>
      </w:pPr>
      <w:r w:rsidRPr="001D1FFB">
        <w:rPr>
          <w:rFonts w:ascii="Calibri" w:hAnsi="Calibri" w:cs="Courier New"/>
          <w:sz w:val="22"/>
          <w:szCs w:val="22"/>
        </w:rPr>
        <w:t>Form 8831</w:t>
      </w:r>
      <w:r w:rsidR="006D672C">
        <w:rPr>
          <w:rFonts w:ascii="Calibri" w:hAnsi="Calibri" w:cs="Courier New"/>
          <w:sz w:val="22"/>
          <w:szCs w:val="22"/>
        </w:rPr>
        <w:t xml:space="preserve"> </w:t>
      </w:r>
      <w:r>
        <w:rPr>
          <w:rFonts w:ascii="Calibri" w:hAnsi="Calibri" w:cs="Courier New"/>
          <w:sz w:val="22"/>
          <w:szCs w:val="22"/>
        </w:rPr>
        <w:t>is used</w:t>
      </w:r>
      <w:r w:rsidRPr="001D1FFB">
        <w:rPr>
          <w:rFonts w:ascii="Calibri" w:hAnsi="Calibri" w:cs="Courier New"/>
          <w:sz w:val="22"/>
          <w:szCs w:val="22"/>
        </w:rPr>
        <w:t xml:space="preserve"> to report and pay</w:t>
      </w:r>
      <w:r w:rsidR="00306B48">
        <w:rPr>
          <w:rFonts w:ascii="Calibri" w:hAnsi="Calibri" w:cs="Courier New"/>
          <w:sz w:val="22"/>
          <w:szCs w:val="22"/>
        </w:rPr>
        <w:t xml:space="preserve"> </w:t>
      </w:r>
      <w:r w:rsidR="00BD191C">
        <w:rPr>
          <w:rFonts w:ascii="Calibri" w:hAnsi="Calibri" w:cs="Courier New"/>
          <w:sz w:val="22"/>
          <w:szCs w:val="22"/>
        </w:rPr>
        <w:t>t</w:t>
      </w:r>
      <w:r w:rsidRPr="001D1FFB">
        <w:rPr>
          <w:rFonts w:ascii="Calibri" w:hAnsi="Calibri" w:cs="Courier New"/>
          <w:sz w:val="22"/>
          <w:szCs w:val="22"/>
        </w:rPr>
        <w:t xml:space="preserve">he excise tax due under section 860E(e)(1) on any transfer of a residual interest in a REMIC to a disqualified organization, </w:t>
      </w:r>
      <w:r w:rsidR="00BD191C">
        <w:rPr>
          <w:rFonts w:ascii="Calibri" w:hAnsi="Calibri" w:cs="Courier New"/>
          <w:sz w:val="22"/>
          <w:szCs w:val="22"/>
        </w:rPr>
        <w:t>t</w:t>
      </w:r>
      <w:r w:rsidRPr="001D1FFB">
        <w:rPr>
          <w:rFonts w:ascii="Calibri" w:hAnsi="Calibri" w:cs="Courier New"/>
          <w:sz w:val="22"/>
          <w:szCs w:val="22"/>
        </w:rPr>
        <w:t>he amount due under Regulations section 1.860E-2(a)(7)(ii) if the tax under section 860E(e)(1) is to be waived</w:t>
      </w:r>
      <w:r w:rsidR="00BD191C">
        <w:rPr>
          <w:rFonts w:ascii="Calibri" w:hAnsi="Calibri" w:cs="Courier New"/>
          <w:sz w:val="22"/>
          <w:szCs w:val="22"/>
        </w:rPr>
        <w:t>.</w:t>
      </w:r>
      <w:r w:rsidR="00FD0950">
        <w:rPr>
          <w:rFonts w:ascii="Calibri" w:hAnsi="Calibri" w:cs="Courier New"/>
          <w:sz w:val="22"/>
          <w:szCs w:val="22"/>
        </w:rPr>
        <w:t xml:space="preserve"> </w:t>
      </w:r>
      <w:r w:rsidR="00BD191C">
        <w:rPr>
          <w:rFonts w:ascii="Calibri" w:hAnsi="Calibri" w:cs="Courier New"/>
          <w:sz w:val="22"/>
          <w:szCs w:val="22"/>
        </w:rPr>
        <w:t>T</w:t>
      </w:r>
      <w:r w:rsidRPr="001D1FFB">
        <w:rPr>
          <w:rFonts w:ascii="Calibri" w:hAnsi="Calibri" w:cs="Courier New"/>
          <w:sz w:val="22"/>
          <w:szCs w:val="22"/>
        </w:rPr>
        <w:t xml:space="preserve">he excise tax due under section 860E(e)(6) on pass-through entities with interests held by disqualified organizations. </w:t>
      </w:r>
    </w:p>
    <w:bookmarkEnd w:id="0"/>
    <w:p w:rsidR="00010B0A" w:rsidRPr="00764B48" w:rsidP="004F12D2" w14:paraId="71578BE4" w14:textId="77777777">
      <w:pPr>
        <w:pStyle w:val="Default"/>
        <w:rPr>
          <w:rFonts w:ascii="Calibri" w:hAnsi="Calibri"/>
          <w:sz w:val="22"/>
          <w:szCs w:val="22"/>
        </w:rPr>
      </w:pPr>
    </w:p>
    <w:bookmarkEnd w:id="1"/>
    <w:p w:rsidR="007E2EEB" w:rsidRPr="003127E4" w14:paraId="469E9A98" w14:textId="7C234B95">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Pr="003127E4" w14:paraId="4D9DA14B" w14:textId="77777777">
      <w:pPr>
        <w:rPr>
          <w:rFonts w:ascii="Calibri" w:hAnsi="Calibri"/>
          <w:sz w:val="22"/>
          <w:szCs w:val="22"/>
        </w:rPr>
      </w:pPr>
    </w:p>
    <w:p w:rsidR="00010B0A" w:rsidRPr="00010B0A" w:rsidP="000B1556" w14:paraId="33419F8D" w14:textId="4FF52D4F">
      <w:pPr>
        <w:pStyle w:val="Default"/>
        <w:ind w:left="720"/>
        <w:rPr>
          <w:rFonts w:ascii="Calibri" w:hAnsi="Calibri"/>
          <w:sz w:val="22"/>
          <w:szCs w:val="22"/>
        </w:rPr>
      </w:pPr>
      <w:bookmarkStart w:id="2" w:name="_Hlk20342685"/>
      <w:r w:rsidRPr="005972EB">
        <w:rPr>
          <w:rFonts w:ascii="Calibri" w:hAnsi="Calibri"/>
          <w:sz w:val="22"/>
          <w:szCs w:val="22"/>
        </w:rPr>
        <w:t>Form 8831 gives IRS the information it needs to determine whether the transferor of the residual interest or the pass-through entity with interests held by a disqualified organization figured its tax liabilities correctly</w:t>
      </w:r>
      <w:r w:rsidR="000B1556">
        <w:rPr>
          <w:rFonts w:ascii="Calibri" w:hAnsi="Calibri"/>
          <w:sz w:val="22"/>
          <w:szCs w:val="22"/>
        </w:rPr>
        <w:t>.</w:t>
      </w:r>
      <w:r w:rsidRPr="00DA38BF" w:rsidR="00DA38BF">
        <w:rPr>
          <w:rFonts w:ascii="Calibri" w:hAnsi="Calibri"/>
          <w:sz w:val="22"/>
          <w:szCs w:val="22"/>
        </w:rPr>
        <w:t xml:space="preserve"> </w:t>
      </w:r>
      <w:bookmarkEnd w:id="2"/>
    </w:p>
    <w:p w:rsidR="007E2EEB" w:rsidRPr="003127E4" w14:paraId="7792ADE0" w14:textId="711794E7">
      <w:pPr>
        <w:rPr>
          <w:rFonts w:ascii="Calibri" w:hAnsi="Calibri"/>
          <w:sz w:val="22"/>
          <w:szCs w:val="22"/>
        </w:rPr>
      </w:pPr>
    </w:p>
    <w:p w:rsidR="007E2EEB" w:rsidRPr="003127E4" w14:paraId="5125596B"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007E2EEB" w:rsidRPr="003127E4" w14:paraId="20E43F35" w14:textId="77777777">
      <w:pPr>
        <w:rPr>
          <w:rFonts w:ascii="Calibri" w:hAnsi="Calibri"/>
          <w:sz w:val="22"/>
          <w:szCs w:val="22"/>
        </w:rPr>
      </w:pPr>
    </w:p>
    <w:p w:rsidR="007E2EEB" w:rsidRPr="003127E4" w14:paraId="6F5985DB" w14:textId="415019E8">
      <w:pPr>
        <w:ind w:left="720"/>
        <w:rPr>
          <w:rFonts w:ascii="Calibri" w:hAnsi="Calibri"/>
          <w:sz w:val="22"/>
          <w:szCs w:val="22"/>
        </w:rPr>
      </w:pPr>
      <w:r>
        <w:rPr>
          <w:rFonts w:ascii="Calibri" w:hAnsi="Calibri"/>
          <w:sz w:val="22"/>
          <w:szCs w:val="22"/>
        </w:rPr>
        <w:t>The IRS has</w:t>
      </w:r>
      <w:r w:rsidRPr="005972EB">
        <w:rPr>
          <w:rFonts w:ascii="Calibri" w:hAnsi="Calibri"/>
          <w:sz w:val="22"/>
          <w:szCs w:val="22"/>
        </w:rPr>
        <w:t xml:space="preserve"> no plans to offer electronic filing because of low filing volume</w:t>
      </w:r>
      <w:r w:rsidR="00EF6702">
        <w:rPr>
          <w:rFonts w:ascii="Calibri" w:hAnsi="Calibri"/>
          <w:sz w:val="22"/>
          <w:szCs w:val="22"/>
        </w:rPr>
        <w:t>.</w:t>
      </w:r>
      <w:r w:rsidRPr="005972EB">
        <w:rPr>
          <w:rFonts w:ascii="Calibri" w:hAnsi="Calibri"/>
          <w:sz w:val="22"/>
          <w:szCs w:val="22"/>
        </w:rPr>
        <w:t xml:space="preserve">   </w:t>
      </w:r>
    </w:p>
    <w:p w:rsidR="007E2EEB" w:rsidRPr="003127E4" w14:paraId="587105D6" w14:textId="77777777">
      <w:pPr>
        <w:rPr>
          <w:rFonts w:ascii="Calibri" w:hAnsi="Calibri"/>
          <w:sz w:val="22"/>
          <w:szCs w:val="22"/>
        </w:rPr>
      </w:pPr>
    </w:p>
    <w:p w:rsidR="007E2EEB" w:rsidRPr="003127E4" w14:paraId="02F9D68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45A7050E" w14:textId="77777777">
      <w:pPr>
        <w:rPr>
          <w:rFonts w:ascii="Calibri" w:hAnsi="Calibri"/>
          <w:sz w:val="22"/>
          <w:szCs w:val="22"/>
        </w:rPr>
      </w:pPr>
    </w:p>
    <w:p w:rsidR="0047289C" w:rsidP="002D4886" w14:paraId="3379BD09" w14:textId="77777777">
      <w:pPr>
        <w:ind w:left="720"/>
        <w:rPr>
          <w:rFonts w:ascii="Calibri" w:hAnsi="Calibri"/>
          <w:sz w:val="22"/>
          <w:szCs w:val="22"/>
        </w:rPr>
      </w:pPr>
      <w:r w:rsidRPr="00715FFF">
        <w:rPr>
          <w:rFonts w:ascii="Calibri" w:hAnsi="Calibri"/>
          <w:sz w:val="22"/>
          <w:szCs w:val="22"/>
        </w:rPr>
        <w:t xml:space="preserve">The </w:t>
      </w:r>
      <w:r w:rsidRPr="00715FFF">
        <w:rPr>
          <w:rFonts w:ascii="Calibri" w:hAnsi="Calibri"/>
          <w:sz w:val="22"/>
          <w:szCs w:val="22"/>
        </w:rPr>
        <w:t>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47289C" w:rsidRPr="003127E4" w14:paraId="6055CFAB" w14:textId="77777777">
      <w:pPr>
        <w:rPr>
          <w:rFonts w:ascii="Calibri" w:hAnsi="Calibri"/>
          <w:sz w:val="22"/>
          <w:szCs w:val="22"/>
        </w:rPr>
      </w:pPr>
    </w:p>
    <w:p w:rsidR="007E2EEB" w:rsidRPr="003127E4" w14:paraId="570CC550" w14:textId="77777777">
      <w:pPr>
        <w:pStyle w:val="Level1"/>
        <w:numPr>
          <w:ilvl w:val="0"/>
          <w:numId w:val="1"/>
        </w:numPr>
        <w:tabs>
          <w:tab w:val="left" w:pos="-1440"/>
          <w:tab w:val="num" w:pos="720"/>
        </w:tabs>
        <w:rPr>
          <w:rFonts w:ascii="Calibri" w:hAnsi="Calibri"/>
          <w:b/>
          <w:sz w:val="22"/>
          <w:szCs w:val="22"/>
        </w:rPr>
      </w:pPr>
      <w:r w:rsidRPr="00224418">
        <w:rPr>
          <w:rFonts w:ascii="Calibri" w:hAnsi="Calibri"/>
          <w:b/>
          <w:sz w:val="22"/>
          <w:szCs w:val="22"/>
          <w:u w:val="single"/>
        </w:rPr>
        <w:t>METHODS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1FFA6103" w14:textId="77777777">
      <w:pPr>
        <w:rPr>
          <w:rFonts w:ascii="Calibri" w:hAnsi="Calibri"/>
          <w:sz w:val="22"/>
          <w:szCs w:val="22"/>
        </w:rPr>
      </w:pPr>
    </w:p>
    <w:p w:rsidR="002B177C" w:rsidP="003C461F" w14:paraId="6368667C" w14:textId="77777777">
      <w:pPr>
        <w:ind w:left="720"/>
        <w:rPr>
          <w:rFonts w:ascii="Calibri" w:hAnsi="Calibri" w:cs="Courier New"/>
          <w:color w:val="000000"/>
          <w:sz w:val="22"/>
          <w:szCs w:val="22"/>
        </w:rPr>
      </w:pPr>
      <w:r w:rsidRPr="00224418">
        <w:rPr>
          <w:rFonts w:ascii="Calibri" w:hAnsi="Calibri" w:cs="Courier New"/>
          <w:color w:val="000000"/>
          <w:sz w:val="22"/>
          <w:szCs w:val="22"/>
        </w:rPr>
        <w:t xml:space="preserve">We have attempted to minimize burden on small businesses or other small entities by closely following previous revisions of this form.  </w:t>
      </w:r>
    </w:p>
    <w:p w:rsidR="00F669A8" w:rsidRPr="003127E4" w14:paraId="37309E4E" w14:textId="77777777">
      <w:pPr>
        <w:ind w:left="720"/>
        <w:rPr>
          <w:rFonts w:ascii="Calibri" w:hAnsi="Calibri"/>
          <w:sz w:val="22"/>
          <w:szCs w:val="22"/>
        </w:rPr>
      </w:pPr>
    </w:p>
    <w:p w:rsidR="007E2EEB" w:rsidRPr="003127E4" w14:paraId="5F35E875"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3223AD57" w14:textId="77777777">
      <w:pPr>
        <w:rPr>
          <w:rFonts w:ascii="Calibri" w:hAnsi="Calibri"/>
          <w:sz w:val="22"/>
          <w:szCs w:val="22"/>
        </w:rPr>
      </w:pPr>
    </w:p>
    <w:p w:rsidR="003C461F" w:rsidRPr="003127E4" w14:paraId="1DBDBE78" w14:textId="77777777">
      <w:pPr>
        <w:ind w:left="720"/>
        <w:rPr>
          <w:rFonts w:ascii="Calibri" w:hAnsi="Calibri"/>
          <w:sz w:val="22"/>
          <w:szCs w:val="22"/>
        </w:rPr>
      </w:pPr>
      <w:r w:rsidRPr="003C461F">
        <w:rPr>
          <w:rFonts w:ascii="Calibri" w:hAnsi="Calibri"/>
          <w:sz w:val="22"/>
          <w:szCs w:val="22"/>
        </w:rPr>
        <w:t xml:space="preserve">Consequences of less frequent collection on federal programs or policy activities could result in an increase of transferor of the residual interest or the pass-through entity with interests held by a disqualified organization not figuring its tax liabilities correctly.  A less frequent collection of taxes and tax information could adversely affect the government’s effectiveness and would </w:t>
      </w:r>
      <w:r w:rsidRPr="003C461F">
        <w:rPr>
          <w:rFonts w:ascii="Calibri" w:hAnsi="Calibri"/>
          <w:sz w:val="22"/>
          <w:szCs w:val="22"/>
        </w:rPr>
        <w:t xml:space="preserve">reduce the oversight of the public in ensuring compliance with Internal Revenue Code and hinder the IRS from meeting its mission.    </w:t>
      </w:r>
    </w:p>
    <w:p w:rsidR="007E2EEB" w:rsidRPr="003127E4" w14:paraId="1340CF99" w14:textId="77777777">
      <w:pPr>
        <w:rPr>
          <w:rFonts w:ascii="Calibri" w:hAnsi="Calibri"/>
          <w:sz w:val="22"/>
          <w:szCs w:val="22"/>
        </w:rPr>
      </w:pPr>
    </w:p>
    <w:p w:rsidR="007E2EEB" w:rsidRPr="003127E4" w14:paraId="3868D76E"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291D6F4E" w14:textId="77777777">
      <w:pPr>
        <w:rPr>
          <w:rFonts w:ascii="Calibri" w:hAnsi="Calibri"/>
          <w:sz w:val="22"/>
          <w:szCs w:val="22"/>
        </w:rPr>
      </w:pPr>
    </w:p>
    <w:p w:rsidR="007E2EEB" w:rsidP="003C461F" w14:paraId="6943BCBB"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00B5635A" w:rsidRPr="003127E4" w14:paraId="66AC3104" w14:textId="77777777">
      <w:pPr>
        <w:rPr>
          <w:rFonts w:ascii="Calibri" w:hAnsi="Calibri"/>
          <w:sz w:val="22"/>
          <w:szCs w:val="22"/>
        </w:rPr>
      </w:pPr>
    </w:p>
    <w:p w:rsidR="007E2EEB" w:rsidRPr="003127E4" w:rsidP="00AF1AEA" w14:paraId="76E1538C"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1D1FFB">
        <w:rPr>
          <w:rFonts w:ascii="Calibri" w:hAnsi="Calibri"/>
          <w:b/>
          <w:sz w:val="22"/>
          <w:szCs w:val="22"/>
          <w:u w:val="single"/>
        </w:rPr>
        <w:t>CONSULTA</w:t>
      </w:r>
      <w:r w:rsidRPr="00F26675">
        <w:rPr>
          <w:rFonts w:ascii="Calibri" w:hAnsi="Calibri"/>
          <w:b/>
          <w:sz w:val="22"/>
          <w:szCs w:val="22"/>
          <w:u w:val="single"/>
        </w:rPr>
        <w:t xml:space="preserve">TION WITH INDIVIDUALS </w:t>
      </w:r>
      <w:r w:rsidRPr="00F26675">
        <w:rPr>
          <w:rFonts w:ascii="Calibri" w:hAnsi="Calibri"/>
          <w:b/>
          <w:sz w:val="22"/>
          <w:szCs w:val="22"/>
          <w:u w:val="single"/>
        </w:rPr>
        <w:t>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007E2EEB" w:rsidRPr="003127E4" w14:paraId="3D4F0DAF" w14:textId="77777777">
      <w:pPr>
        <w:rPr>
          <w:rFonts w:ascii="Calibri" w:hAnsi="Calibri"/>
          <w:sz w:val="22"/>
          <w:szCs w:val="22"/>
        </w:rPr>
      </w:pPr>
    </w:p>
    <w:p w:rsidR="007E2EEB" w:rsidRPr="003127E4" w14:paraId="1CCCB4BD" w14:textId="0862594E">
      <w:pPr>
        <w:ind w:left="720"/>
        <w:rPr>
          <w:rFonts w:ascii="Calibri" w:hAnsi="Calibri"/>
          <w:sz w:val="22"/>
          <w:szCs w:val="22"/>
        </w:rPr>
      </w:pPr>
      <w:r w:rsidRPr="00044F37">
        <w:rPr>
          <w:rFonts w:ascii="Calibri" w:hAnsi="Calibri"/>
          <w:sz w:val="22"/>
          <w:szCs w:val="22"/>
        </w:rPr>
        <w:t xml:space="preserve">In response to the </w:t>
      </w:r>
      <w:r w:rsidRPr="00443D7D">
        <w:rPr>
          <w:rFonts w:ascii="Calibri" w:hAnsi="Calibri"/>
          <w:i/>
          <w:iCs/>
          <w:sz w:val="22"/>
          <w:szCs w:val="22"/>
        </w:rPr>
        <w:t>Federal Register</w:t>
      </w:r>
      <w:r w:rsidRPr="00044F37">
        <w:rPr>
          <w:rFonts w:ascii="Calibri" w:hAnsi="Calibri"/>
          <w:sz w:val="22"/>
          <w:szCs w:val="22"/>
        </w:rPr>
        <w:t xml:space="preserve"> notice </w:t>
      </w:r>
      <w:r w:rsidRPr="00120003">
        <w:rPr>
          <w:rFonts w:ascii="Calibri" w:hAnsi="Calibri"/>
          <w:sz w:val="22"/>
          <w:szCs w:val="22"/>
        </w:rPr>
        <w:t>dated</w:t>
      </w:r>
      <w:r w:rsidRPr="00120003" w:rsidR="00DE00E7">
        <w:rPr>
          <w:rFonts w:ascii="Calibri" w:hAnsi="Calibri"/>
          <w:sz w:val="22"/>
          <w:szCs w:val="22"/>
        </w:rPr>
        <w:t xml:space="preserve"> </w:t>
      </w:r>
      <w:r w:rsidR="00FD0950">
        <w:rPr>
          <w:rFonts w:ascii="Calibri" w:hAnsi="Calibri"/>
          <w:sz w:val="22"/>
          <w:szCs w:val="22"/>
        </w:rPr>
        <w:t>December 12, 2025</w:t>
      </w:r>
      <w:r w:rsidRPr="00120003" w:rsidR="00FD0950">
        <w:rPr>
          <w:rFonts w:ascii="Calibri" w:hAnsi="Calibri"/>
          <w:sz w:val="22"/>
          <w:szCs w:val="22"/>
        </w:rPr>
        <w:t xml:space="preserve"> </w:t>
      </w:r>
      <w:r w:rsidRPr="00120003">
        <w:rPr>
          <w:rFonts w:ascii="Calibri" w:hAnsi="Calibri"/>
          <w:sz w:val="22"/>
          <w:szCs w:val="22"/>
        </w:rPr>
        <w:t>(</w:t>
      </w:r>
      <w:r w:rsidR="00FD0950">
        <w:rPr>
          <w:rFonts w:ascii="Calibri" w:hAnsi="Calibri"/>
          <w:sz w:val="22"/>
          <w:szCs w:val="22"/>
        </w:rPr>
        <w:t>90</w:t>
      </w:r>
      <w:r w:rsidRPr="00120003" w:rsidR="00FD0950">
        <w:rPr>
          <w:rFonts w:ascii="Calibri" w:hAnsi="Calibri"/>
          <w:sz w:val="22"/>
          <w:szCs w:val="22"/>
        </w:rPr>
        <w:t xml:space="preserve"> </w:t>
      </w:r>
      <w:r w:rsidRPr="00120003">
        <w:rPr>
          <w:rFonts w:ascii="Calibri" w:hAnsi="Calibri"/>
          <w:sz w:val="22"/>
          <w:szCs w:val="22"/>
        </w:rPr>
        <w:t>FR</w:t>
      </w:r>
      <w:r w:rsidR="001D1FFB">
        <w:rPr>
          <w:rFonts w:ascii="Calibri" w:hAnsi="Calibri"/>
          <w:sz w:val="22"/>
          <w:szCs w:val="22"/>
        </w:rPr>
        <w:t xml:space="preserve"> </w:t>
      </w:r>
      <w:r w:rsidR="00FD0950">
        <w:rPr>
          <w:rFonts w:ascii="Calibri" w:hAnsi="Calibri"/>
          <w:sz w:val="22"/>
          <w:szCs w:val="22"/>
        </w:rPr>
        <w:t>57816</w:t>
      </w:r>
      <w:r w:rsidRPr="00120003">
        <w:rPr>
          <w:rFonts w:ascii="Calibri" w:hAnsi="Calibri"/>
          <w:sz w:val="22"/>
          <w:szCs w:val="22"/>
        </w:rPr>
        <w:t>),</w:t>
      </w:r>
      <w:r w:rsidRPr="00044F37">
        <w:rPr>
          <w:rFonts w:ascii="Calibri" w:hAnsi="Calibri"/>
          <w:sz w:val="22"/>
          <w:szCs w:val="22"/>
        </w:rPr>
        <w:t xml:space="preserve"> we received no comments during the comment period regarding </w:t>
      </w:r>
      <w:r w:rsidR="00443D7D">
        <w:rPr>
          <w:rFonts w:ascii="Calibri" w:hAnsi="Calibri"/>
          <w:sz w:val="22"/>
          <w:szCs w:val="22"/>
        </w:rPr>
        <w:t>Form 8831</w:t>
      </w:r>
      <w:r w:rsidRPr="00044F37">
        <w:rPr>
          <w:rFonts w:ascii="Calibri" w:hAnsi="Calibri"/>
          <w:sz w:val="22"/>
          <w:szCs w:val="22"/>
        </w:rPr>
        <w:t xml:space="preserve">. </w:t>
      </w:r>
      <w:r w:rsidRPr="003127E4">
        <w:rPr>
          <w:rFonts w:ascii="Calibri" w:hAnsi="Calibri"/>
          <w:sz w:val="22"/>
          <w:szCs w:val="22"/>
        </w:rPr>
        <w:t xml:space="preserve"> </w:t>
      </w:r>
    </w:p>
    <w:p w:rsidR="007E2EEB" w:rsidRPr="003127E4" w14:paraId="743E790B" w14:textId="77777777">
      <w:pPr>
        <w:tabs>
          <w:tab w:val="center" w:pos="4680"/>
        </w:tabs>
        <w:rPr>
          <w:rFonts w:ascii="Calibri" w:hAnsi="Calibri"/>
          <w:sz w:val="22"/>
          <w:szCs w:val="22"/>
        </w:rPr>
      </w:pPr>
    </w:p>
    <w:p w:rsidR="007E2EEB" w:rsidRPr="003127E4" w:rsidP="00AF1AEA" w14:paraId="1BB698A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470B09AC" w14:textId="77777777">
      <w:pPr>
        <w:rPr>
          <w:rFonts w:ascii="Calibri" w:hAnsi="Calibri"/>
          <w:sz w:val="22"/>
          <w:szCs w:val="22"/>
        </w:rPr>
      </w:pPr>
    </w:p>
    <w:p w:rsidR="006E6E53" w:rsidRPr="002A31A5" w:rsidP="006E6E53" w14:paraId="0D7EDE82"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572ADE97" w14:textId="77777777">
      <w:pPr>
        <w:rPr>
          <w:rFonts w:ascii="Calibri" w:hAnsi="Calibri" w:cs="Calibri"/>
          <w:sz w:val="22"/>
          <w:szCs w:val="22"/>
        </w:rPr>
      </w:pPr>
    </w:p>
    <w:p w:rsidR="007E2EEB" w:rsidRPr="003127E4" w:rsidP="00AF1AEA" w14:paraId="22AA3DF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78190BC4" w14:textId="77777777">
      <w:pPr>
        <w:rPr>
          <w:rFonts w:ascii="Calibri" w:hAnsi="Calibri"/>
          <w:sz w:val="22"/>
          <w:szCs w:val="22"/>
        </w:rPr>
      </w:pPr>
    </w:p>
    <w:p w:rsidR="007E2EEB" w:rsidRPr="003127E4" w14:paraId="73E55DE1"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414F6E5C" w14:textId="77777777">
      <w:pPr>
        <w:rPr>
          <w:rFonts w:ascii="Calibri" w:hAnsi="Calibri"/>
          <w:sz w:val="22"/>
          <w:szCs w:val="22"/>
        </w:rPr>
      </w:pPr>
    </w:p>
    <w:p w:rsidR="007E2EEB" w:rsidRPr="003127E4" w:rsidP="00AF1AEA" w14:paraId="1F498F5F" w14:textId="77777777">
      <w:pPr>
        <w:pStyle w:val="Level1"/>
        <w:numPr>
          <w:ilvl w:val="0"/>
          <w:numId w:val="4"/>
        </w:numPr>
        <w:tabs>
          <w:tab w:val="left" w:pos="-1440"/>
        </w:tabs>
        <w:rPr>
          <w:rFonts w:ascii="Calibri" w:hAnsi="Calibri"/>
          <w:b/>
          <w:sz w:val="22"/>
          <w:szCs w:val="22"/>
          <w:u w:val="single"/>
        </w:rPr>
      </w:pPr>
      <w:r w:rsidRPr="00B5635A">
        <w:rPr>
          <w:rFonts w:ascii="Calibri" w:hAnsi="Calibri"/>
          <w:b/>
          <w:sz w:val="22"/>
          <w:szCs w:val="22"/>
          <w:u w:val="single"/>
        </w:rPr>
        <w:t>JUSTIFICATION OF</w:t>
      </w:r>
      <w:r w:rsidRPr="003127E4">
        <w:rPr>
          <w:rFonts w:ascii="Calibri" w:hAnsi="Calibri"/>
          <w:b/>
          <w:sz w:val="22"/>
          <w:szCs w:val="22"/>
          <w:u w:val="single"/>
        </w:rPr>
        <w:t xml:space="preserve"> SENSITIVE QUESTIONS</w:t>
      </w:r>
    </w:p>
    <w:p w:rsidR="007E2EEB" w:rsidRPr="003127E4" w14:paraId="640E0215" w14:textId="77777777">
      <w:pPr>
        <w:rPr>
          <w:rFonts w:ascii="Calibri" w:hAnsi="Calibri"/>
          <w:sz w:val="22"/>
          <w:szCs w:val="22"/>
          <w:u w:val="single"/>
        </w:rPr>
      </w:pPr>
    </w:p>
    <w:p w:rsidR="00044F37" w:rsidRPr="00044F37" w:rsidP="00F63BDE" w14:paraId="0872BFEA" w14:textId="77777777">
      <w:pPr>
        <w:ind w:left="720"/>
        <w:rPr>
          <w:rFonts w:ascii="Calibri" w:hAnsi="Calibri"/>
          <w:sz w:val="22"/>
          <w:szCs w:val="22"/>
        </w:rPr>
      </w:pPr>
      <w:r w:rsidRPr="00044F37">
        <w:rPr>
          <w:rFonts w:ascii="Calibri" w:hAnsi="Calibri"/>
          <w:sz w:val="22"/>
          <w:szCs w:val="22"/>
        </w:rPr>
        <w:t>A privacy impact assessment (PIA) has been conducted for information collected under this request as part of the “</w:t>
      </w:r>
      <w:r w:rsidR="00F669A8">
        <w:rPr>
          <w:rFonts w:ascii="Calibri" w:hAnsi="Calibri"/>
          <w:sz w:val="22"/>
          <w:szCs w:val="22"/>
        </w:rPr>
        <w:t>Business</w:t>
      </w:r>
      <w:r w:rsidR="00F63BDE">
        <w:rPr>
          <w:rFonts w:ascii="Calibri" w:hAnsi="Calibri"/>
          <w:sz w:val="22"/>
          <w:szCs w:val="22"/>
        </w:rPr>
        <w:t xml:space="preserve"> Master File (</w:t>
      </w:r>
      <w:r w:rsidR="00F669A8">
        <w:rPr>
          <w:rFonts w:ascii="Calibri" w:hAnsi="Calibri"/>
          <w:sz w:val="22"/>
          <w:szCs w:val="22"/>
        </w:rPr>
        <w:t>B</w:t>
      </w:r>
      <w:r w:rsidR="00F63BDE">
        <w:rPr>
          <w:rFonts w:ascii="Calibri" w:hAnsi="Calibri"/>
          <w:sz w:val="22"/>
          <w:szCs w:val="22"/>
        </w:rPr>
        <w:t>MF)”</w:t>
      </w:r>
      <w:r w:rsidR="00B5635A">
        <w:rPr>
          <w:rFonts w:ascii="Calibri" w:hAnsi="Calibri"/>
          <w:sz w:val="22"/>
          <w:szCs w:val="22"/>
        </w:rPr>
        <w:t xml:space="preserve"> and “Individual Master File” (IMF),</w:t>
      </w:r>
      <w:r w:rsidR="00F63BDE">
        <w:rPr>
          <w:rFonts w:ascii="Calibri" w:hAnsi="Calibri"/>
          <w:sz w:val="22"/>
          <w:szCs w:val="22"/>
        </w:rPr>
        <w:t xml:space="preserve"> </w:t>
      </w:r>
      <w:r w:rsidRPr="00044F37">
        <w:rPr>
          <w:rFonts w:ascii="Calibri" w:hAnsi="Calibri"/>
          <w:sz w:val="22"/>
          <w:szCs w:val="22"/>
        </w:rPr>
        <w:t>and a Privacy Act System of Records notice (SORN) has been issued for these systems under</w:t>
      </w:r>
      <w:r w:rsidR="00066407">
        <w:rPr>
          <w:rFonts w:ascii="Calibri" w:hAnsi="Calibri"/>
          <w:sz w:val="22"/>
          <w:szCs w:val="22"/>
        </w:rPr>
        <w:t xml:space="preserve"> </w:t>
      </w:r>
      <w:r w:rsidRPr="00066407" w:rsidR="00066407">
        <w:rPr>
          <w:rFonts w:ascii="Calibri" w:hAnsi="Calibri"/>
          <w:sz w:val="22"/>
          <w:szCs w:val="22"/>
        </w:rPr>
        <w:t>IRS 22.062 – Electronic Filing Records; IRS 24.030 – Customer Account Data Engine (CADE) Individual Master File; IRS 24.046 - CADE Business Master File (BMF); IRS 34.037 - IRS Audit Trail and Security Records</w:t>
      </w:r>
      <w:r w:rsidR="00F63BDE">
        <w:rPr>
          <w:rFonts w:ascii="Calibri" w:hAnsi="Calibri"/>
          <w:sz w:val="22"/>
          <w:szCs w:val="22"/>
        </w:rPr>
        <w:t>.</w:t>
      </w:r>
      <w:r w:rsidR="00066407">
        <w:rPr>
          <w:rFonts w:ascii="Calibri" w:hAnsi="Calibri"/>
          <w:sz w:val="22"/>
          <w:szCs w:val="22"/>
        </w:rPr>
        <w:t xml:space="preserve"> </w:t>
      </w:r>
      <w:r w:rsidRPr="00044F37">
        <w:rPr>
          <w:rFonts w:ascii="Calibri" w:hAnsi="Calibri"/>
          <w:sz w:val="22"/>
          <w:szCs w:val="22"/>
        </w:rPr>
        <w:t xml:space="preserve">The </w:t>
      </w:r>
      <w:r>
        <w:rPr>
          <w:rFonts w:ascii="Calibri" w:hAnsi="Calibri"/>
          <w:sz w:val="22"/>
          <w:szCs w:val="22"/>
        </w:rPr>
        <w:t>Internal Revenue Service</w:t>
      </w:r>
      <w:r w:rsidRPr="00044F37">
        <w:rPr>
          <w:rFonts w:ascii="Calibri" w:hAnsi="Calibri"/>
          <w:sz w:val="22"/>
          <w:szCs w:val="22"/>
        </w:rPr>
        <w:t xml:space="preserve"> PIAs can be found at </w:t>
      </w:r>
    </w:p>
    <w:p w:rsidR="00044F37" w:rsidP="00044F37" w14:paraId="35393725" w14:textId="77777777">
      <w:pPr>
        <w:ind w:left="720"/>
        <w:rPr>
          <w:rFonts w:ascii="Calibri" w:hAnsi="Calibri"/>
          <w:sz w:val="22"/>
          <w:szCs w:val="22"/>
        </w:rPr>
      </w:pPr>
      <w:hyperlink r:id="rId4" w:history="1">
        <w:r w:rsidRPr="00380925">
          <w:rPr>
            <w:rStyle w:val="Hyperlink"/>
            <w:rFonts w:ascii="Calibri" w:hAnsi="Calibri"/>
            <w:sz w:val="22"/>
            <w:szCs w:val="22"/>
          </w:rPr>
          <w:t>https://www.irs.gov/uac/Privacy-Impact-Assessments-PIA</w:t>
        </w:r>
      </w:hyperlink>
    </w:p>
    <w:p w:rsidR="0047289C" w:rsidRPr="00044F37" w:rsidP="00044F37" w14:paraId="6F0556B0" w14:textId="77777777">
      <w:pPr>
        <w:ind w:left="720"/>
        <w:rPr>
          <w:rFonts w:ascii="Calibri" w:hAnsi="Calibri"/>
          <w:sz w:val="22"/>
          <w:szCs w:val="22"/>
        </w:rPr>
      </w:pPr>
    </w:p>
    <w:p w:rsidR="002B177C" w:rsidP="00044F37" w14:paraId="3ADB8C62" w14:textId="77777777">
      <w:pPr>
        <w:ind w:left="720"/>
        <w:rPr>
          <w:rFonts w:ascii="Calibri" w:hAnsi="Calibri"/>
          <w:sz w:val="22"/>
          <w:szCs w:val="22"/>
        </w:rPr>
      </w:pPr>
      <w:r w:rsidRPr="00044F37">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A5A1A" w:rsidP="00A174D3" w14:paraId="4267ABE4" w14:textId="77777777">
      <w:pPr>
        <w:rPr>
          <w:rFonts w:ascii="Calibri" w:hAnsi="Calibri"/>
          <w:sz w:val="22"/>
          <w:szCs w:val="22"/>
        </w:rPr>
      </w:pPr>
    </w:p>
    <w:p w:rsidR="007E2EEB" w:rsidP="00AF1AEA" w14:paraId="1E3A34D4" w14:textId="77777777">
      <w:pPr>
        <w:pStyle w:val="Level1"/>
        <w:numPr>
          <w:ilvl w:val="0"/>
          <w:numId w:val="4"/>
        </w:numPr>
        <w:tabs>
          <w:tab w:val="left" w:pos="-1440"/>
        </w:tabs>
        <w:rPr>
          <w:rFonts w:ascii="Calibri" w:hAnsi="Calibri"/>
          <w:b/>
          <w:sz w:val="22"/>
          <w:szCs w:val="22"/>
          <w:u w:val="single"/>
        </w:rPr>
      </w:pPr>
      <w:r w:rsidRPr="006D672C">
        <w:rPr>
          <w:rFonts w:ascii="Calibri" w:hAnsi="Calibri"/>
          <w:b/>
          <w:sz w:val="22"/>
          <w:szCs w:val="22"/>
          <w:u w:val="single"/>
        </w:rPr>
        <w:t>ESTIMATE</w:t>
      </w:r>
      <w:r w:rsidRPr="003127E4">
        <w:rPr>
          <w:rFonts w:ascii="Calibri" w:hAnsi="Calibri"/>
          <w:b/>
          <w:sz w:val="22"/>
          <w:szCs w:val="22"/>
          <w:u w:val="single"/>
        </w:rPr>
        <w:t>D BURDEN OF INFORMATION COLLECTION</w:t>
      </w:r>
    </w:p>
    <w:p w:rsidR="00DE00E7" w:rsidRPr="006D672C" w:rsidP="00DE00E7" w14:paraId="3A096B2E" w14:textId="77777777">
      <w:pPr>
        <w:pStyle w:val="Level1"/>
        <w:numPr>
          <w:ilvl w:val="0"/>
          <w:numId w:val="0"/>
        </w:numPr>
        <w:tabs>
          <w:tab w:val="left" w:pos="-1440"/>
        </w:tabs>
        <w:ind w:left="720" w:hanging="720"/>
        <w:rPr>
          <w:rFonts w:ascii="Calibri" w:hAnsi="Calibri"/>
          <w:sz w:val="22"/>
          <w:szCs w:val="22"/>
        </w:rPr>
      </w:pPr>
    </w:p>
    <w:p w:rsidR="006D672C" w:rsidP="00CB0D14" w14:paraId="1661861A" w14:textId="3DAA35F1">
      <w:pPr>
        <w:pStyle w:val="Level1"/>
        <w:numPr>
          <w:ilvl w:val="0"/>
          <w:numId w:val="0"/>
        </w:numPr>
        <w:tabs>
          <w:tab w:val="left" w:pos="-1440"/>
        </w:tabs>
        <w:ind w:left="720" w:hanging="720"/>
        <w:rPr>
          <w:rFonts w:ascii="Calibri" w:hAnsi="Calibri"/>
          <w:sz w:val="22"/>
          <w:szCs w:val="22"/>
        </w:rPr>
      </w:pPr>
      <w:r>
        <w:rPr>
          <w:rFonts w:ascii="Calibri" w:hAnsi="Calibri"/>
          <w:sz w:val="22"/>
          <w:szCs w:val="22"/>
        </w:rPr>
        <w:tab/>
      </w:r>
      <w:r w:rsidRPr="006D672C">
        <w:rPr>
          <w:rFonts w:ascii="Calibri" w:hAnsi="Calibri"/>
          <w:sz w:val="22"/>
          <w:szCs w:val="22"/>
        </w:rPr>
        <w:t xml:space="preserve">Form 8831 gives IRS the information it needs to determine whether the transferor of the residual interest or the pass-through entity with interests held by a disqualified organization figured its tax liabilities correctly. </w:t>
      </w:r>
      <w:r>
        <w:rPr>
          <w:rFonts w:ascii="Calibri" w:hAnsi="Calibri"/>
          <w:sz w:val="22"/>
          <w:szCs w:val="22"/>
        </w:rPr>
        <w:t>The agency estimates that 31 taxpayers will complete Form 8831 and that it takes an estimated 7.65 hours to complete, for a total estimated annual burden of 237.</w:t>
      </w:r>
    </w:p>
    <w:p w:rsidR="00CB0D14" w:rsidRPr="006D672C" w:rsidP="00CB0D14" w14:paraId="36624460" w14:textId="45E431CC">
      <w:pPr>
        <w:pStyle w:val="Level1"/>
        <w:numPr>
          <w:ilvl w:val="0"/>
          <w:numId w:val="0"/>
        </w:numPr>
        <w:tabs>
          <w:tab w:val="left" w:pos="-1440"/>
        </w:tabs>
        <w:ind w:left="720" w:hanging="720"/>
        <w:rPr>
          <w:rFonts w:ascii="Calibri" w:hAnsi="Calibri"/>
          <w:sz w:val="22"/>
          <w:szCs w:val="22"/>
        </w:rPr>
      </w:pPr>
    </w:p>
    <w:tbl>
      <w:tblPr>
        <w:tblW w:w="9658" w:type="dxa"/>
        <w:tblInd w:w="620" w:type="dxa"/>
        <w:tblLayout w:type="fixed"/>
        <w:tblLook w:val="04A0"/>
      </w:tblPr>
      <w:tblGrid>
        <w:gridCol w:w="1108"/>
        <w:gridCol w:w="3060"/>
        <w:gridCol w:w="990"/>
        <w:gridCol w:w="1170"/>
        <w:gridCol w:w="1080"/>
        <w:gridCol w:w="990"/>
        <w:gridCol w:w="1260"/>
      </w:tblGrid>
      <w:tr w14:paraId="5C6D13FE" w14:textId="77777777" w:rsidTr="00BE3E2B">
        <w:tblPrEx>
          <w:tblW w:w="9658" w:type="dxa"/>
          <w:tblInd w:w="620" w:type="dxa"/>
          <w:tblLayout w:type="fixed"/>
          <w:tblLook w:val="04A0"/>
        </w:tblPrEx>
        <w:trPr>
          <w:trHeight w:val="675"/>
        </w:trPr>
        <w:tc>
          <w:tcPr>
            <w:tcW w:w="1108" w:type="dxa"/>
            <w:tcBorders>
              <w:top w:val="single" w:sz="8" w:space="0" w:color="auto"/>
              <w:left w:val="single" w:sz="8" w:space="0" w:color="auto"/>
              <w:bottom w:val="single" w:sz="8" w:space="0" w:color="auto"/>
              <w:right w:val="single" w:sz="8" w:space="0" w:color="auto"/>
            </w:tcBorders>
            <w:noWrap/>
            <w:vAlign w:val="center"/>
            <w:hideMark/>
          </w:tcPr>
          <w:p w:rsidR="00CB0D14" w14:paraId="72E5E1C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CB0D14" w14:paraId="781467E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CB0D14" w14:paraId="41E25764"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CB0D14" w14:paraId="233F6EC6"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CB0D14" w14:paraId="5389546E"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B0D14" w14:paraId="5678EA2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CB0D14" w14:paraId="77BB02F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1473AF2F" w14:textId="77777777" w:rsidTr="00BE3E2B">
        <w:tblPrEx>
          <w:tblW w:w="9658" w:type="dxa"/>
          <w:tblInd w:w="620" w:type="dxa"/>
          <w:tblLayout w:type="fixed"/>
          <w:tblLook w:val="04A0"/>
        </w:tblPrEx>
        <w:trPr>
          <w:trHeight w:val="345"/>
        </w:trPr>
        <w:tc>
          <w:tcPr>
            <w:tcW w:w="1108"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F669A8" w:rsidP="00FB13EB" w14:paraId="5FA4F0E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8831</w:t>
            </w:r>
          </w:p>
        </w:tc>
        <w:tc>
          <w:tcPr>
            <w:tcW w:w="3060" w:type="dxa"/>
            <w:tcBorders>
              <w:top w:val="single" w:sz="8" w:space="0" w:color="auto"/>
              <w:left w:val="single" w:sz="8" w:space="0" w:color="auto"/>
              <w:bottom w:val="single" w:sz="8" w:space="0" w:color="000000"/>
              <w:right w:val="single" w:sz="8" w:space="0" w:color="auto"/>
            </w:tcBorders>
            <w:shd w:val="clear" w:color="auto" w:fill="auto"/>
            <w:vAlign w:val="center"/>
          </w:tcPr>
          <w:p w:rsidR="00F669A8" w:rsidRPr="00900424" w:rsidP="00AF1AEA" w14:paraId="55B9E05F" w14:textId="77777777">
            <w:pPr>
              <w:keepNext/>
              <w:keepLines/>
              <w:autoSpaceDE/>
              <w:autoSpaceDN/>
              <w:adjustRightInd/>
              <w:rPr>
                <w:rFonts w:ascii="Arial Narrow" w:hAnsi="Arial Narrow" w:cs="Calibri"/>
                <w:color w:val="000000"/>
                <w:sz w:val="20"/>
                <w:szCs w:val="20"/>
              </w:rPr>
            </w:pPr>
            <w:r w:rsidRPr="00900424">
              <w:rPr>
                <w:rFonts w:ascii="Arial Narrow" w:hAnsi="Arial Narrow" w:cs="Calibri"/>
                <w:color w:val="000000"/>
                <w:sz w:val="20"/>
                <w:szCs w:val="20"/>
              </w:rPr>
              <w:t>Excise Taxes on Excess Inclusions of REMIC Residual Interests</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56E1874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31</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250FCF2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6A8A66D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31</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5A97A92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7.6</w:t>
            </w:r>
            <w:r w:rsidR="00900424">
              <w:rPr>
                <w:rFonts w:ascii="Arial Narrow" w:hAnsi="Arial Narrow" w:cs="Calibri"/>
                <w:color w:val="000000"/>
                <w:sz w:val="20"/>
                <w:szCs w:val="20"/>
              </w:rPr>
              <w:t>5</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0742459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r w:rsidR="00900424">
              <w:rPr>
                <w:rFonts w:ascii="Arial Narrow" w:hAnsi="Arial Narrow" w:cs="Calibri"/>
                <w:color w:val="000000"/>
                <w:sz w:val="20"/>
                <w:szCs w:val="20"/>
              </w:rPr>
              <w:t>37</w:t>
            </w:r>
          </w:p>
        </w:tc>
      </w:tr>
      <w:tr w14:paraId="2C21085D" w14:textId="77777777" w:rsidTr="00BE3E2B">
        <w:tblPrEx>
          <w:tblW w:w="9658" w:type="dxa"/>
          <w:tblInd w:w="620" w:type="dxa"/>
          <w:tblLayout w:type="fixed"/>
          <w:tblLook w:val="04A0"/>
        </w:tblPrEx>
        <w:trPr>
          <w:trHeight w:val="345"/>
        </w:trPr>
        <w:tc>
          <w:tcPr>
            <w:tcW w:w="1108" w:type="dxa"/>
            <w:tcBorders>
              <w:top w:val="nil"/>
              <w:left w:val="nil"/>
              <w:bottom w:val="nil"/>
              <w:right w:val="nil"/>
            </w:tcBorders>
            <w:shd w:val="clear" w:color="auto" w:fill="auto"/>
            <w:noWrap/>
            <w:vAlign w:val="center"/>
            <w:hideMark/>
          </w:tcPr>
          <w:p w:rsidR="00D46069" w:rsidRPr="00C723A3" w:rsidP="00AF1AEA" w14:paraId="351459F1"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00D46069" w:rsidRPr="00C723A3" w:rsidP="00AF1AEA" w14:paraId="68CB5168"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sz="8" w:space="0" w:color="auto"/>
              <w:bottom w:val="single" w:sz="8" w:space="0" w:color="auto"/>
              <w:right w:val="single" w:sz="8" w:space="0" w:color="auto"/>
            </w:tcBorders>
            <w:shd w:val="clear" w:color="auto" w:fill="auto"/>
            <w:noWrap/>
            <w:vAlign w:val="center"/>
          </w:tcPr>
          <w:p w:rsidR="00D46069" w:rsidRPr="00C723A3" w:rsidP="00FB13EB" w14:paraId="5AFF015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31</w:t>
            </w:r>
          </w:p>
        </w:tc>
        <w:tc>
          <w:tcPr>
            <w:tcW w:w="1170" w:type="dxa"/>
            <w:tcBorders>
              <w:top w:val="nil"/>
              <w:left w:val="nil"/>
              <w:bottom w:val="single" w:sz="8" w:space="0" w:color="auto"/>
              <w:right w:val="single" w:sz="8" w:space="0" w:color="auto"/>
            </w:tcBorders>
            <w:shd w:val="clear" w:color="auto" w:fill="auto"/>
            <w:noWrap/>
            <w:vAlign w:val="center"/>
          </w:tcPr>
          <w:p w:rsidR="00D46069" w:rsidRPr="00C723A3" w:rsidP="00AF1AEA" w14:paraId="03E3121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D46069" w:rsidRPr="00C723A3" w:rsidP="00FB13EB" w14:paraId="3938D72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31</w:t>
            </w:r>
          </w:p>
        </w:tc>
        <w:tc>
          <w:tcPr>
            <w:tcW w:w="990" w:type="dxa"/>
            <w:tcBorders>
              <w:top w:val="nil"/>
              <w:left w:val="nil"/>
              <w:bottom w:val="single" w:sz="8" w:space="0" w:color="auto"/>
              <w:right w:val="single" w:sz="8" w:space="0" w:color="auto"/>
            </w:tcBorders>
            <w:shd w:val="clear" w:color="auto" w:fill="auto"/>
            <w:noWrap/>
            <w:vAlign w:val="center"/>
          </w:tcPr>
          <w:p w:rsidR="00D46069" w:rsidRPr="00C723A3" w:rsidP="00AF1AEA" w14:paraId="54A2460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7.65</w:t>
            </w:r>
          </w:p>
        </w:tc>
        <w:tc>
          <w:tcPr>
            <w:tcW w:w="1260" w:type="dxa"/>
            <w:tcBorders>
              <w:top w:val="nil"/>
              <w:left w:val="nil"/>
              <w:bottom w:val="single" w:sz="8" w:space="0" w:color="auto"/>
              <w:right w:val="single" w:sz="8" w:space="0" w:color="auto"/>
            </w:tcBorders>
            <w:shd w:val="clear" w:color="auto" w:fill="auto"/>
            <w:noWrap/>
            <w:vAlign w:val="center"/>
          </w:tcPr>
          <w:p w:rsidR="00D46069" w:rsidRPr="00C723A3" w:rsidP="00FB13EB" w14:paraId="7066A05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237</w:t>
            </w:r>
          </w:p>
        </w:tc>
      </w:tr>
    </w:tbl>
    <w:p w:rsidR="007E2EEB" w:rsidRPr="003127E4" w14:paraId="689CFA4F" w14:textId="77777777">
      <w:pPr>
        <w:rPr>
          <w:rFonts w:ascii="Calibri" w:hAnsi="Calibri"/>
          <w:sz w:val="22"/>
          <w:szCs w:val="22"/>
        </w:rPr>
      </w:pPr>
      <w:r w:rsidRPr="003127E4">
        <w:rPr>
          <w:rFonts w:ascii="Calibri" w:hAnsi="Calibri"/>
          <w:sz w:val="22"/>
          <w:szCs w:val="22"/>
        </w:rPr>
        <w:t xml:space="preserve">                                                                    </w:t>
      </w:r>
    </w:p>
    <w:p w:rsidR="007E2EEB" w:rsidRPr="003127E4" w:rsidP="00AF1AEA" w14:paraId="693B847C"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2B567672" w14:textId="77777777">
      <w:pPr>
        <w:rPr>
          <w:rFonts w:ascii="Calibri" w:hAnsi="Calibri"/>
          <w:b/>
          <w:sz w:val="22"/>
          <w:szCs w:val="22"/>
        </w:rPr>
      </w:pPr>
    </w:p>
    <w:p w:rsidR="00F26675" w:rsidP="000D78B7" w14:paraId="2F0AAE62" w14:textId="42BB70D3">
      <w:pPr>
        <w:ind w:left="720"/>
        <w:rPr>
          <w:rFonts w:ascii="Calibri" w:hAnsi="Calibri"/>
          <w:sz w:val="22"/>
          <w:szCs w:val="22"/>
        </w:rPr>
      </w:pPr>
      <w:r w:rsidRPr="000D78B7">
        <w:rPr>
          <w:rFonts w:ascii="Calibri" w:hAnsi="Calibri"/>
          <w:sz w:val="22"/>
          <w:szCs w:val="22"/>
        </w:rPr>
        <w:t>This information collection will be included in the consolidated OMB submission for</w:t>
      </w:r>
      <w:r>
        <w:rPr>
          <w:rFonts w:ascii="Calibri" w:hAnsi="Calibri"/>
          <w:sz w:val="22"/>
          <w:szCs w:val="22"/>
        </w:rPr>
        <w:t xml:space="preserve"> excise</w:t>
      </w:r>
      <w:r w:rsidRPr="000D78B7">
        <w:rPr>
          <w:rFonts w:ascii="Calibri" w:hAnsi="Calibri"/>
          <w:sz w:val="22"/>
          <w:szCs w:val="22"/>
        </w:rPr>
        <w:t xml:space="preserve"> </w:t>
      </w:r>
      <w:r>
        <w:rPr>
          <w:rFonts w:ascii="Calibri" w:hAnsi="Calibri"/>
          <w:sz w:val="22"/>
          <w:szCs w:val="22"/>
        </w:rPr>
        <w:t xml:space="preserve">tax </w:t>
      </w:r>
      <w:r w:rsidRPr="000D78B7">
        <w:rPr>
          <w:rFonts w:ascii="Calibri" w:hAnsi="Calibri"/>
          <w:sz w:val="22"/>
          <w:szCs w:val="22"/>
        </w:rPr>
        <w:t>returns currently being developed. IRS is working on the methodology for</w:t>
      </w:r>
      <w:r>
        <w:rPr>
          <w:rFonts w:ascii="Calibri" w:hAnsi="Calibri"/>
          <w:sz w:val="22"/>
          <w:szCs w:val="22"/>
        </w:rPr>
        <w:t xml:space="preserve"> </w:t>
      </w:r>
      <w:r w:rsidRPr="000D78B7">
        <w:rPr>
          <w:rFonts w:ascii="Calibri" w:hAnsi="Calibri"/>
          <w:sz w:val="22"/>
          <w:szCs w:val="22"/>
        </w:rPr>
        <w:t xml:space="preserve">evaluating </w:t>
      </w:r>
      <w:r w:rsidR="00FD0950">
        <w:rPr>
          <w:rFonts w:ascii="Calibri" w:hAnsi="Calibri"/>
          <w:sz w:val="22"/>
          <w:szCs w:val="22"/>
        </w:rPr>
        <w:t>excise tax return</w:t>
      </w:r>
      <w:r w:rsidRPr="000D78B7">
        <w:rPr>
          <w:rFonts w:ascii="Calibri" w:hAnsi="Calibri"/>
          <w:sz w:val="22"/>
          <w:szCs w:val="22"/>
        </w:rPr>
        <w:t xml:space="preserve"> burden and cost; and will update the cost and burden</w:t>
      </w:r>
      <w:r>
        <w:rPr>
          <w:rFonts w:ascii="Calibri" w:hAnsi="Calibri"/>
          <w:sz w:val="22"/>
          <w:szCs w:val="22"/>
        </w:rPr>
        <w:t xml:space="preserve"> </w:t>
      </w:r>
      <w:r w:rsidRPr="000D78B7">
        <w:rPr>
          <w:rFonts w:ascii="Calibri" w:hAnsi="Calibri"/>
          <w:sz w:val="22"/>
          <w:szCs w:val="22"/>
        </w:rPr>
        <w:t>estimates as part of the consolidation</w:t>
      </w:r>
      <w:r w:rsidRPr="00F26675">
        <w:rPr>
          <w:rFonts w:ascii="Calibri" w:hAnsi="Calibri"/>
          <w:sz w:val="22"/>
          <w:szCs w:val="22"/>
        </w:rPr>
        <w:t>.</w:t>
      </w:r>
    </w:p>
    <w:p w:rsidR="00D46069" w:rsidRPr="003127E4" w:rsidP="00F26675" w14:paraId="47D0BD91" w14:textId="77777777">
      <w:pPr>
        <w:ind w:left="720"/>
        <w:rPr>
          <w:rFonts w:ascii="Calibri" w:hAnsi="Calibri"/>
          <w:sz w:val="22"/>
          <w:szCs w:val="22"/>
        </w:rPr>
      </w:pPr>
    </w:p>
    <w:p w:rsidR="007E2EEB" w:rsidRPr="003127E4" w14:paraId="2E0546F5"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B5635A">
        <w:rPr>
          <w:rFonts w:ascii="Calibri" w:hAnsi="Calibri"/>
          <w:b/>
          <w:sz w:val="22"/>
          <w:szCs w:val="22"/>
          <w:u w:val="single"/>
        </w:rPr>
        <w:t>E</w:t>
      </w:r>
      <w:r w:rsidRPr="001D1FFB">
        <w:rPr>
          <w:rFonts w:ascii="Calibri" w:hAnsi="Calibri"/>
          <w:b/>
          <w:sz w:val="22"/>
          <w:szCs w:val="22"/>
          <w:u w:val="single"/>
        </w:rPr>
        <w:t>STIMATED</w:t>
      </w:r>
      <w:r w:rsidRPr="00B5635A">
        <w:rPr>
          <w:rFonts w:ascii="Calibri" w:hAnsi="Calibri"/>
          <w:b/>
          <w:sz w:val="22"/>
          <w:szCs w:val="22"/>
          <w:u w:val="single"/>
        </w:rPr>
        <w:t xml:space="preserve"> ANNUALIZED</w:t>
      </w:r>
      <w:r w:rsidRPr="003127E4">
        <w:rPr>
          <w:rFonts w:ascii="Calibri" w:hAnsi="Calibri"/>
          <w:b/>
          <w:sz w:val="22"/>
          <w:szCs w:val="22"/>
          <w:u w:val="single"/>
        </w:rPr>
        <w:t xml:space="preserve"> COST TO THE FEDERAL GOVERNMENT</w:t>
      </w:r>
    </w:p>
    <w:p w:rsidR="007E2EEB" w:rsidRPr="003127E4" w14:paraId="1B7FF255" w14:textId="77777777">
      <w:pPr>
        <w:rPr>
          <w:rFonts w:ascii="Calibri" w:hAnsi="Calibri"/>
          <w:sz w:val="22"/>
          <w:szCs w:val="22"/>
        </w:rPr>
      </w:pPr>
    </w:p>
    <w:p w:rsidR="007E36EA" w:rsidRPr="007E36EA" w:rsidP="00DE00E7" w14:paraId="16806BBE" w14:textId="77777777">
      <w:pPr>
        <w:ind w:left="720"/>
        <w:rPr>
          <w:rFonts w:ascii="Calibri" w:hAnsi="Calibri"/>
          <w:sz w:val="22"/>
          <w:szCs w:val="22"/>
        </w:rPr>
      </w:pPr>
      <w:bookmarkStart w:id="3" w:name="_Hlk523834409"/>
      <w:r w:rsidRPr="007E36EA">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7E36EA" w:rsidRPr="007E36EA" w:rsidP="00DE00E7" w14:paraId="57B208BA" w14:textId="77777777">
      <w:pPr>
        <w:ind w:left="720"/>
        <w:rPr>
          <w:rFonts w:ascii="Calibri" w:hAnsi="Calibri"/>
          <w:sz w:val="22"/>
          <w:szCs w:val="22"/>
        </w:rPr>
      </w:pPr>
    </w:p>
    <w:p w:rsidR="007E36EA" w:rsidRPr="007E36EA" w:rsidP="00DE00E7" w14:paraId="6405A3F4" w14:textId="77777777">
      <w:pPr>
        <w:ind w:left="720"/>
        <w:rPr>
          <w:rFonts w:ascii="Calibri" w:hAnsi="Calibri"/>
          <w:sz w:val="22"/>
          <w:szCs w:val="22"/>
        </w:rPr>
      </w:pPr>
      <w:r w:rsidRPr="007E36EA">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w:t>
      </w:r>
      <w:r w:rsidRPr="007E36EA">
        <w:rPr>
          <w:rFonts w:ascii="Calibri" w:hAnsi="Calibri"/>
          <w:sz w:val="22"/>
          <w:szCs w:val="22"/>
        </w:rPr>
        <w: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E36EA" w:rsidRPr="007E36EA" w:rsidP="00DE00E7" w14:paraId="476FC66B" w14:textId="77777777">
      <w:pPr>
        <w:ind w:left="720"/>
        <w:rPr>
          <w:rFonts w:ascii="Calibri" w:hAnsi="Calibri"/>
          <w:sz w:val="22"/>
          <w:szCs w:val="22"/>
        </w:rPr>
      </w:pPr>
    </w:p>
    <w:p w:rsidR="007E36EA" w:rsidRPr="007E36EA" w:rsidP="00DE00E7" w14:paraId="261BDD9A" w14:textId="77777777">
      <w:pPr>
        <w:ind w:left="720"/>
        <w:rPr>
          <w:rFonts w:ascii="Calibri" w:hAnsi="Calibri"/>
          <w:sz w:val="22"/>
          <w:szCs w:val="22"/>
        </w:rPr>
      </w:pPr>
      <w:r w:rsidRPr="007E36EA">
        <w:rPr>
          <w:rFonts w:ascii="Calibri" w:hAnsi="Calibri"/>
          <w:sz w:val="22"/>
          <w:szCs w:val="22"/>
        </w:rPr>
        <w:t>The government cost estimate for this collection is summarized in the table below.</w:t>
      </w:r>
    </w:p>
    <w:p w:rsidR="007E36EA" w:rsidRPr="007E36EA" w:rsidP="007E36EA" w14:paraId="1611118C" w14:textId="77777777">
      <w:pPr>
        <w:ind w:left="360"/>
        <w:rPr>
          <w:rFonts w:ascii="Calibri" w:hAnsi="Calibri"/>
          <w:sz w:val="22"/>
          <w:szCs w:val="22"/>
        </w:rPr>
      </w:pPr>
    </w:p>
    <w:tbl>
      <w:tblPr>
        <w:tblW w:w="923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8"/>
        <w:gridCol w:w="2214"/>
        <w:gridCol w:w="338"/>
        <w:gridCol w:w="1951"/>
        <w:gridCol w:w="432"/>
        <w:gridCol w:w="1775"/>
      </w:tblGrid>
      <w:tr w14:paraId="5552FC1C" w14:textId="77777777" w:rsidTr="00005A61">
        <w:tblPrEx>
          <w:tblW w:w="923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7"/>
        </w:trPr>
        <w:tc>
          <w:tcPr>
            <w:tcW w:w="2528" w:type="dxa"/>
            <w:shd w:val="clear" w:color="auto" w:fill="auto"/>
            <w:vAlign w:val="bottom"/>
          </w:tcPr>
          <w:p w:rsidR="007E36EA" w:rsidRPr="00E20033" w:rsidP="00651559" w14:paraId="27DAEEF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2214" w:type="dxa"/>
            <w:shd w:val="clear" w:color="auto" w:fill="auto"/>
            <w:vAlign w:val="bottom"/>
          </w:tcPr>
          <w:p w:rsidR="007E36EA" w:rsidRPr="00E20033" w:rsidP="00651559" w14:paraId="150E620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38" w:type="dxa"/>
            <w:shd w:val="clear" w:color="auto" w:fill="auto"/>
          </w:tcPr>
          <w:p w:rsidR="007E36EA" w:rsidRPr="00E20033" w:rsidP="00651559" w14:paraId="63D3A0C0" w14:textId="77777777">
            <w:pPr>
              <w:keepNext/>
              <w:keepLines/>
              <w:jc w:val="center"/>
              <w:rPr>
                <w:rFonts w:ascii="Arial Narrow" w:hAnsi="Arial Narrow"/>
                <w:b/>
                <w:sz w:val="18"/>
                <w:szCs w:val="18"/>
                <w:u w:val="single"/>
              </w:rPr>
            </w:pPr>
          </w:p>
        </w:tc>
        <w:tc>
          <w:tcPr>
            <w:tcW w:w="1951" w:type="dxa"/>
            <w:shd w:val="clear" w:color="auto" w:fill="auto"/>
            <w:vAlign w:val="bottom"/>
          </w:tcPr>
          <w:p w:rsidR="007E36EA" w:rsidRPr="00E20033" w:rsidP="00651559" w14:paraId="48CAC96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432" w:type="dxa"/>
            <w:shd w:val="clear" w:color="auto" w:fill="auto"/>
          </w:tcPr>
          <w:p w:rsidR="007E36EA" w:rsidRPr="00E20033" w:rsidP="00651559" w14:paraId="269D6496" w14:textId="77777777">
            <w:pPr>
              <w:keepNext/>
              <w:keepLines/>
              <w:jc w:val="center"/>
              <w:rPr>
                <w:rFonts w:ascii="Arial Narrow" w:hAnsi="Arial Narrow"/>
                <w:b/>
                <w:sz w:val="18"/>
                <w:szCs w:val="18"/>
                <w:u w:val="single"/>
              </w:rPr>
            </w:pPr>
          </w:p>
        </w:tc>
        <w:tc>
          <w:tcPr>
            <w:tcW w:w="1775" w:type="dxa"/>
            <w:shd w:val="clear" w:color="auto" w:fill="auto"/>
            <w:vAlign w:val="bottom"/>
          </w:tcPr>
          <w:p w:rsidR="007E36EA" w:rsidRPr="00E20033" w:rsidP="00651559" w14:paraId="7F28A51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5ED2F77" w14:textId="77777777" w:rsidTr="00005A61">
        <w:tblPrEx>
          <w:tblW w:w="9238" w:type="dxa"/>
          <w:tblInd w:w="715" w:type="dxa"/>
          <w:tblLook w:val="04A0"/>
        </w:tblPrEx>
        <w:trPr>
          <w:trHeight w:val="229"/>
        </w:trPr>
        <w:tc>
          <w:tcPr>
            <w:tcW w:w="2528" w:type="dxa"/>
            <w:shd w:val="clear" w:color="auto" w:fill="auto"/>
            <w:vAlign w:val="bottom"/>
          </w:tcPr>
          <w:p w:rsidR="007E36EA" w:rsidRPr="00E20033" w:rsidP="007E36EA" w14:paraId="6B9EAF63"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D1FFB">
              <w:rPr>
                <w:rFonts w:ascii="Arial Narrow" w:hAnsi="Arial Narrow"/>
                <w:sz w:val="18"/>
                <w:szCs w:val="18"/>
              </w:rPr>
              <w:t>8831</w:t>
            </w:r>
          </w:p>
        </w:tc>
        <w:tc>
          <w:tcPr>
            <w:tcW w:w="2214" w:type="dxa"/>
            <w:shd w:val="clear" w:color="auto" w:fill="auto"/>
            <w:vAlign w:val="bottom"/>
          </w:tcPr>
          <w:p w:rsidR="007E36EA" w:rsidRPr="00E20033" w:rsidP="007E36EA" w14:paraId="41BB546A" w14:textId="1DEADA7A">
            <w:pPr>
              <w:keepNext/>
              <w:keepLines/>
              <w:jc w:val="center"/>
              <w:rPr>
                <w:rFonts w:ascii="Arial Narrow" w:hAnsi="Arial Narrow"/>
                <w:sz w:val="18"/>
                <w:szCs w:val="18"/>
              </w:rPr>
            </w:pPr>
            <w:r w:rsidRPr="00800AAD">
              <w:rPr>
                <w:rFonts w:ascii="Arial Narrow" w:hAnsi="Arial Narrow"/>
                <w:sz w:val="18"/>
                <w:szCs w:val="18"/>
              </w:rPr>
              <w:t>$</w:t>
            </w:r>
            <w:r w:rsidR="00D140E5">
              <w:rPr>
                <w:rFonts w:ascii="Arial Narrow" w:hAnsi="Arial Narrow"/>
                <w:sz w:val="18"/>
                <w:szCs w:val="18"/>
              </w:rPr>
              <w:t>30,</w:t>
            </w:r>
            <w:r w:rsidR="00AD5F7A">
              <w:rPr>
                <w:rFonts w:ascii="Arial Narrow" w:hAnsi="Arial Narrow"/>
                <w:sz w:val="18"/>
                <w:szCs w:val="18"/>
              </w:rPr>
              <w:t>353</w:t>
            </w:r>
            <w:r w:rsidRPr="00800AAD" w:rsidR="00AD5F7A">
              <w:rPr>
                <w:rFonts w:ascii="Arial Narrow" w:hAnsi="Arial Narrow"/>
                <w:sz w:val="18"/>
                <w:szCs w:val="18"/>
              </w:rPr>
              <w:t xml:space="preserve"> </w:t>
            </w:r>
          </w:p>
        </w:tc>
        <w:tc>
          <w:tcPr>
            <w:tcW w:w="338" w:type="dxa"/>
            <w:shd w:val="clear" w:color="auto" w:fill="auto"/>
          </w:tcPr>
          <w:p w:rsidR="007E36EA" w:rsidRPr="00E20033" w:rsidP="007E36EA" w14:paraId="4AA22C44" w14:textId="77777777">
            <w:pPr>
              <w:keepNext/>
              <w:keepLines/>
              <w:jc w:val="center"/>
              <w:rPr>
                <w:rFonts w:ascii="Arial Narrow" w:hAnsi="Arial Narrow"/>
                <w:sz w:val="18"/>
                <w:szCs w:val="18"/>
              </w:rPr>
            </w:pPr>
          </w:p>
        </w:tc>
        <w:tc>
          <w:tcPr>
            <w:tcW w:w="1951" w:type="dxa"/>
            <w:shd w:val="clear" w:color="auto" w:fill="auto"/>
          </w:tcPr>
          <w:p w:rsidR="007E36EA" w:rsidRPr="00E20033" w:rsidP="007E36EA" w14:paraId="4A890AAA" w14:textId="67CF28A6">
            <w:pPr>
              <w:keepNext/>
              <w:keepLines/>
              <w:jc w:val="center"/>
              <w:rPr>
                <w:rFonts w:ascii="Arial Narrow" w:hAnsi="Arial Narrow"/>
                <w:sz w:val="18"/>
                <w:szCs w:val="18"/>
              </w:rPr>
            </w:pPr>
            <w:r>
              <w:rPr>
                <w:rFonts w:ascii="Arial Narrow" w:hAnsi="Arial Narrow"/>
                <w:sz w:val="18"/>
                <w:szCs w:val="18"/>
              </w:rPr>
              <w:t>$0</w:t>
            </w:r>
          </w:p>
        </w:tc>
        <w:tc>
          <w:tcPr>
            <w:tcW w:w="432" w:type="dxa"/>
            <w:shd w:val="clear" w:color="auto" w:fill="auto"/>
          </w:tcPr>
          <w:p w:rsidR="007E36EA" w:rsidRPr="00E20033" w:rsidP="007E36EA" w14:paraId="066AED0F" w14:textId="77777777">
            <w:pPr>
              <w:keepNext/>
              <w:keepLines/>
              <w:jc w:val="center"/>
              <w:rPr>
                <w:rFonts w:ascii="Arial Narrow" w:hAnsi="Arial Narrow"/>
                <w:sz w:val="18"/>
                <w:szCs w:val="18"/>
              </w:rPr>
            </w:pPr>
          </w:p>
        </w:tc>
        <w:tc>
          <w:tcPr>
            <w:tcW w:w="1775" w:type="dxa"/>
            <w:shd w:val="clear" w:color="auto" w:fill="auto"/>
            <w:vAlign w:val="bottom"/>
          </w:tcPr>
          <w:p w:rsidR="007E36EA" w:rsidRPr="00E20033" w:rsidP="007E36EA" w14:paraId="4F150EFF" w14:textId="67D38169">
            <w:pPr>
              <w:keepNext/>
              <w:keepLines/>
              <w:jc w:val="center"/>
              <w:rPr>
                <w:rFonts w:ascii="Arial Narrow" w:hAnsi="Arial Narrow"/>
                <w:sz w:val="18"/>
                <w:szCs w:val="18"/>
              </w:rPr>
            </w:pPr>
            <w:r w:rsidRPr="00B52725">
              <w:rPr>
                <w:rFonts w:ascii="Arial Narrow" w:hAnsi="Arial Narrow"/>
                <w:sz w:val="18"/>
                <w:szCs w:val="18"/>
              </w:rPr>
              <w:t>$</w:t>
            </w:r>
            <w:r w:rsidR="00D140E5">
              <w:rPr>
                <w:rFonts w:ascii="Arial Narrow" w:hAnsi="Arial Narrow"/>
                <w:sz w:val="18"/>
                <w:szCs w:val="18"/>
              </w:rPr>
              <w:t>30,</w:t>
            </w:r>
            <w:r w:rsidR="00AD5F7A">
              <w:rPr>
                <w:rFonts w:ascii="Arial Narrow" w:hAnsi="Arial Narrow"/>
                <w:sz w:val="18"/>
                <w:szCs w:val="18"/>
              </w:rPr>
              <w:t>353</w:t>
            </w:r>
            <w:r w:rsidRPr="00B52725" w:rsidR="00AD5F7A">
              <w:rPr>
                <w:rFonts w:ascii="Arial Narrow" w:hAnsi="Arial Narrow"/>
                <w:sz w:val="18"/>
                <w:szCs w:val="18"/>
              </w:rPr>
              <w:t xml:space="preserve"> </w:t>
            </w:r>
          </w:p>
        </w:tc>
      </w:tr>
      <w:tr w14:paraId="3C699000" w14:textId="77777777" w:rsidTr="00005A61">
        <w:tblPrEx>
          <w:tblW w:w="9238" w:type="dxa"/>
          <w:tblInd w:w="715" w:type="dxa"/>
          <w:tblLook w:val="04A0"/>
        </w:tblPrEx>
        <w:trPr>
          <w:trHeight w:val="241"/>
        </w:trPr>
        <w:tc>
          <w:tcPr>
            <w:tcW w:w="2528" w:type="dxa"/>
            <w:shd w:val="clear" w:color="auto" w:fill="auto"/>
          </w:tcPr>
          <w:p w:rsidR="007E36EA" w:rsidRPr="00E20033" w:rsidP="007E36EA" w14:paraId="2742D87A" w14:textId="77777777">
            <w:pPr>
              <w:keepNext/>
              <w:keepLines/>
              <w:rPr>
                <w:rFonts w:ascii="Arial Narrow" w:hAnsi="Arial Narrow"/>
                <w:b/>
                <w:sz w:val="18"/>
                <w:szCs w:val="18"/>
              </w:rPr>
            </w:pPr>
            <w:r w:rsidRPr="00E20033">
              <w:rPr>
                <w:rFonts w:ascii="Arial Narrow" w:hAnsi="Arial Narrow"/>
                <w:b/>
                <w:sz w:val="18"/>
                <w:szCs w:val="18"/>
              </w:rPr>
              <w:t>Grand Total</w:t>
            </w:r>
          </w:p>
        </w:tc>
        <w:tc>
          <w:tcPr>
            <w:tcW w:w="2214" w:type="dxa"/>
            <w:shd w:val="clear" w:color="auto" w:fill="auto"/>
          </w:tcPr>
          <w:p w:rsidR="007E36EA" w:rsidRPr="00E20033" w:rsidP="007E36EA" w14:paraId="4A7777B1" w14:textId="22D3DC1A">
            <w:pPr>
              <w:keepNext/>
              <w:keepLines/>
              <w:jc w:val="center"/>
              <w:rPr>
                <w:rFonts w:ascii="Arial Narrow" w:hAnsi="Arial Narrow"/>
                <w:b/>
                <w:sz w:val="18"/>
                <w:szCs w:val="18"/>
              </w:rPr>
            </w:pPr>
            <w:r>
              <w:rPr>
                <w:rFonts w:ascii="Arial Narrow" w:hAnsi="Arial Narrow"/>
                <w:b/>
                <w:sz w:val="18"/>
                <w:szCs w:val="18"/>
              </w:rPr>
              <w:t>$</w:t>
            </w:r>
            <w:r w:rsidR="00D140E5">
              <w:rPr>
                <w:rFonts w:ascii="Arial Narrow" w:hAnsi="Arial Narrow"/>
                <w:b/>
                <w:sz w:val="18"/>
                <w:szCs w:val="18"/>
              </w:rPr>
              <w:t>30,</w:t>
            </w:r>
            <w:r w:rsidR="00AD5F7A">
              <w:rPr>
                <w:rFonts w:ascii="Arial Narrow" w:hAnsi="Arial Narrow"/>
                <w:b/>
                <w:sz w:val="18"/>
                <w:szCs w:val="18"/>
              </w:rPr>
              <w:t>353</w:t>
            </w:r>
          </w:p>
        </w:tc>
        <w:tc>
          <w:tcPr>
            <w:tcW w:w="338" w:type="dxa"/>
            <w:shd w:val="clear" w:color="auto" w:fill="auto"/>
          </w:tcPr>
          <w:p w:rsidR="007E36EA" w:rsidRPr="00E20033" w:rsidP="007E36EA" w14:paraId="6437A40E" w14:textId="77777777">
            <w:pPr>
              <w:keepNext/>
              <w:keepLines/>
              <w:jc w:val="center"/>
              <w:rPr>
                <w:rFonts w:ascii="Arial Narrow" w:hAnsi="Arial Narrow"/>
                <w:b/>
                <w:sz w:val="18"/>
                <w:szCs w:val="18"/>
              </w:rPr>
            </w:pPr>
          </w:p>
        </w:tc>
        <w:tc>
          <w:tcPr>
            <w:tcW w:w="1951" w:type="dxa"/>
            <w:shd w:val="clear" w:color="auto" w:fill="auto"/>
          </w:tcPr>
          <w:p w:rsidR="007E36EA" w:rsidRPr="00E20033" w:rsidP="007E36EA" w14:paraId="459D965C" w14:textId="2CA6D8D8">
            <w:pPr>
              <w:keepNext/>
              <w:keepLines/>
              <w:jc w:val="center"/>
              <w:rPr>
                <w:rFonts w:ascii="Arial Narrow" w:hAnsi="Arial Narrow"/>
                <w:b/>
                <w:sz w:val="18"/>
                <w:szCs w:val="18"/>
              </w:rPr>
            </w:pPr>
            <w:r>
              <w:rPr>
                <w:rFonts w:ascii="Arial Narrow" w:hAnsi="Arial Narrow"/>
                <w:b/>
                <w:sz w:val="18"/>
                <w:szCs w:val="18"/>
              </w:rPr>
              <w:t>$0</w:t>
            </w:r>
          </w:p>
        </w:tc>
        <w:tc>
          <w:tcPr>
            <w:tcW w:w="432" w:type="dxa"/>
            <w:shd w:val="clear" w:color="auto" w:fill="auto"/>
          </w:tcPr>
          <w:p w:rsidR="007E36EA" w:rsidRPr="00E20033" w:rsidP="007E36EA" w14:paraId="499E2921" w14:textId="77777777">
            <w:pPr>
              <w:keepNext/>
              <w:keepLines/>
              <w:jc w:val="center"/>
              <w:rPr>
                <w:rFonts w:ascii="Arial Narrow" w:hAnsi="Arial Narrow"/>
                <w:b/>
                <w:sz w:val="18"/>
                <w:szCs w:val="18"/>
              </w:rPr>
            </w:pPr>
          </w:p>
        </w:tc>
        <w:tc>
          <w:tcPr>
            <w:tcW w:w="1775" w:type="dxa"/>
            <w:shd w:val="clear" w:color="auto" w:fill="auto"/>
          </w:tcPr>
          <w:p w:rsidR="007E36EA" w:rsidRPr="00E20033" w:rsidP="00005A61" w14:paraId="539CAB6E" w14:textId="34AF8DFD">
            <w:pPr>
              <w:keepNext/>
              <w:keepLines/>
              <w:tabs>
                <w:tab w:val="center" w:pos="683"/>
              </w:tab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sidR="00D140E5">
              <w:rPr>
                <w:rFonts w:ascii="Arial Narrow" w:hAnsi="Arial Narrow"/>
                <w:b/>
                <w:sz w:val="18"/>
                <w:szCs w:val="18"/>
              </w:rPr>
              <w:t>30,</w:t>
            </w:r>
            <w:r w:rsidR="00AD5F7A">
              <w:rPr>
                <w:rFonts w:ascii="Arial Narrow" w:hAnsi="Arial Narrow"/>
                <w:b/>
                <w:sz w:val="18"/>
                <w:szCs w:val="18"/>
              </w:rPr>
              <w:t>353</w:t>
            </w:r>
          </w:p>
        </w:tc>
      </w:tr>
      <w:tr w14:paraId="23A7C125" w14:textId="77777777" w:rsidTr="00005A61">
        <w:tblPrEx>
          <w:tblW w:w="9238" w:type="dxa"/>
          <w:tblInd w:w="715" w:type="dxa"/>
          <w:tblLook w:val="04A0"/>
        </w:tblPrEx>
        <w:trPr>
          <w:trHeight w:val="241"/>
        </w:trPr>
        <w:tc>
          <w:tcPr>
            <w:tcW w:w="9238" w:type="dxa"/>
            <w:gridSpan w:val="6"/>
            <w:shd w:val="clear" w:color="auto" w:fill="auto"/>
          </w:tcPr>
          <w:p w:rsidR="007E36EA" w:rsidRPr="00E20033" w:rsidP="00651559" w14:paraId="38C61F33" w14:textId="2B091CBF">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AD5F7A">
              <w:rPr>
                <w:rFonts w:ascii="Arial Narrow" w:hAnsi="Arial Narrow"/>
                <w:sz w:val="18"/>
                <w:szCs w:val="18"/>
              </w:rPr>
              <w:t>20</w:t>
            </w:r>
            <w:r w:rsidR="00AD5F7A">
              <w:rPr>
                <w:rFonts w:ascii="Arial Narrow" w:hAnsi="Arial Narrow"/>
                <w:sz w:val="18"/>
                <w:szCs w:val="18"/>
              </w:rPr>
              <w:t>24</w:t>
            </w:r>
            <w:r w:rsidRPr="00E20033" w:rsidR="00AD5F7A">
              <w:rPr>
                <w:rFonts w:ascii="Arial Narrow" w:hAnsi="Arial Narrow"/>
                <w:sz w:val="18"/>
                <w:szCs w:val="18"/>
              </w:rPr>
              <w:t xml:space="preserve"> </w:t>
            </w:r>
            <w:r w:rsidRPr="00E20033">
              <w:rPr>
                <w:rFonts w:ascii="Arial Narrow" w:hAnsi="Arial Narrow"/>
                <w:sz w:val="18"/>
                <w:szCs w:val="18"/>
              </w:rPr>
              <w:t xml:space="preserve">actuals obtained from IRS Chief Financial Office and Media and </w:t>
            </w:r>
            <w:r w:rsidRPr="00E20033">
              <w:rPr>
                <w:rFonts w:ascii="Arial Narrow" w:hAnsi="Arial Narrow"/>
                <w:sz w:val="18"/>
                <w:szCs w:val="18"/>
              </w:rPr>
              <w:t>Publications</w:t>
            </w:r>
          </w:p>
        </w:tc>
      </w:tr>
      <w:bookmarkEnd w:id="3"/>
    </w:tbl>
    <w:p w:rsidR="00DE00E7" w:rsidRPr="003127E4" w14:paraId="561A81FA" w14:textId="77777777">
      <w:pPr>
        <w:rPr>
          <w:rFonts w:ascii="Calibri" w:hAnsi="Calibri"/>
          <w:sz w:val="22"/>
          <w:szCs w:val="22"/>
        </w:rPr>
      </w:pPr>
    </w:p>
    <w:p w:rsidR="007E2EEB" w:rsidRPr="003127E4" w14:paraId="51F93826"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14:paraId="60EBEBF6" w14:textId="77777777">
      <w:pPr>
        <w:rPr>
          <w:rFonts w:ascii="Calibri" w:hAnsi="Calibri"/>
          <w:sz w:val="22"/>
          <w:szCs w:val="22"/>
        </w:rPr>
      </w:pPr>
    </w:p>
    <w:p w:rsidR="006971E1" w:rsidRPr="003127E4" w:rsidP="006971E1" w14:paraId="55C81442" w14:textId="77777777">
      <w:pPr>
        <w:ind w:left="720"/>
        <w:rPr>
          <w:rFonts w:ascii="Calibri" w:hAnsi="Calibri"/>
          <w:sz w:val="22"/>
          <w:szCs w:val="22"/>
        </w:rPr>
      </w:pPr>
      <w:r w:rsidRPr="000F3A8B">
        <w:rPr>
          <w:rFonts w:ascii="Calibri" w:hAnsi="Calibri"/>
          <w:sz w:val="22"/>
          <w:szCs w:val="22"/>
        </w:rPr>
        <w:t>There are no changes being made to the form</w:t>
      </w:r>
      <w:r w:rsidR="00900424">
        <w:rPr>
          <w:rFonts w:ascii="Calibri" w:hAnsi="Calibri"/>
          <w:sz w:val="22"/>
          <w:szCs w:val="22"/>
        </w:rPr>
        <w:t xml:space="preserve"> or burden estimates </w:t>
      </w:r>
      <w:r w:rsidRPr="000F3A8B">
        <w:rPr>
          <w:rFonts w:ascii="Calibri" w:hAnsi="Calibri"/>
          <w:sz w:val="22"/>
          <w:szCs w:val="22"/>
        </w:rPr>
        <w:t xml:space="preserve">at this time. </w:t>
      </w:r>
    </w:p>
    <w:p w:rsidR="00CB0D14" w:rsidP="00CB0D14" w14:paraId="77BE0449" w14:textId="77777777">
      <w:pPr>
        <w:ind w:left="720"/>
        <w:rPr>
          <w:rFonts w:ascii="Calibri" w:hAnsi="Calibri"/>
          <w:sz w:val="22"/>
          <w:szCs w:val="22"/>
        </w:rPr>
      </w:pPr>
    </w:p>
    <w:tbl>
      <w:tblPr>
        <w:tblW w:w="4896" w:type="pct"/>
        <w:tblInd w:w="802" w:type="dxa"/>
        <w:tblBorders>
          <w:top w:val="single" w:sz="6" w:space="0" w:color="C5DBEC"/>
          <w:left w:val="single" w:sz="6" w:space="0" w:color="C5DBEC"/>
          <w:bottom w:val="single" w:sz="6" w:space="0" w:color="C5DBEC"/>
          <w:right w:val="single" w:sz="6" w:space="0" w:color="C5DBEC"/>
        </w:tblBorders>
        <w:tblLook w:val="04A0"/>
      </w:tblPr>
      <w:tblGrid>
        <w:gridCol w:w="1350"/>
        <w:gridCol w:w="1259"/>
        <w:gridCol w:w="1402"/>
        <w:gridCol w:w="1402"/>
        <w:gridCol w:w="1402"/>
        <w:gridCol w:w="1105"/>
        <w:gridCol w:w="1230"/>
      </w:tblGrid>
      <w:tr w14:paraId="1DC9A05A" w14:textId="77777777" w:rsidTr="00A174D3">
        <w:tblPrEx>
          <w:tblW w:w="4896" w:type="pct"/>
          <w:tblInd w:w="802" w:type="dxa"/>
          <w:tblBorders>
            <w:top w:val="single" w:sz="6" w:space="0" w:color="C5DBEC"/>
            <w:left w:val="single" w:sz="6" w:space="0" w:color="C5DBEC"/>
            <w:bottom w:val="single" w:sz="6" w:space="0" w:color="C5DBEC"/>
            <w:right w:val="single" w:sz="6" w:space="0" w:color="C5DBEC"/>
          </w:tblBorders>
          <w:tblLook w:val="04A0"/>
        </w:tblPrEx>
        <w:tc>
          <w:tcPr>
            <w:tcW w:w="7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14:paraId="4FB75C54"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 </w:t>
            </w:r>
          </w:p>
        </w:tc>
        <w:tc>
          <w:tcPr>
            <w:tcW w:w="6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485DED70"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Requested</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566AC33E"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Program Change Due to New Statute</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58D10E65"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Program Change Due to Agency Discretion</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67220F9B"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 xml:space="preserve">Change Due to Adjustment in Agency </w:t>
            </w:r>
            <w:r w:rsidRPr="00764B48">
              <w:rPr>
                <w:rFonts w:ascii="Calibri" w:hAnsi="Calibri" w:cs="Arial"/>
                <w:b/>
                <w:bCs/>
                <w:color w:val="000000"/>
                <w:sz w:val="22"/>
                <w:szCs w:val="22"/>
              </w:rPr>
              <w:t>Estimate</w:t>
            </w:r>
          </w:p>
        </w:tc>
        <w:tc>
          <w:tcPr>
            <w:tcW w:w="6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20BDA220"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Change Due to Potential Violation of the PRA</w:t>
            </w:r>
          </w:p>
        </w:tc>
        <w:tc>
          <w:tcPr>
            <w:tcW w:w="6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rsidP="00A174D3" w14:paraId="26015FEC"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Previously Approved</w:t>
            </w:r>
          </w:p>
        </w:tc>
      </w:tr>
      <w:tr w14:paraId="243C7828" w14:textId="77777777" w:rsidTr="00A174D3">
        <w:tblPrEx>
          <w:tblW w:w="4896" w:type="pct"/>
          <w:tblInd w:w="802" w:type="dxa"/>
          <w:tblLook w:val="04A0"/>
        </w:tblPrEx>
        <w:tc>
          <w:tcPr>
            <w:tcW w:w="7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B0D14" w:rsidRPr="00764B48" w14:paraId="5B195856" w14:textId="77777777">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Number of Responses for this IC</w:t>
            </w:r>
          </w:p>
        </w:tc>
        <w:tc>
          <w:tcPr>
            <w:tcW w:w="6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765ECB8F"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31</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2DB41181"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701052B5"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3D41E995"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6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24AACE79"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6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47BFCD86"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31</w:t>
            </w:r>
          </w:p>
        </w:tc>
      </w:tr>
      <w:tr w14:paraId="682C5E2F" w14:textId="77777777" w:rsidTr="00A174D3">
        <w:tblPrEx>
          <w:tblW w:w="4896" w:type="pct"/>
          <w:tblInd w:w="802" w:type="dxa"/>
          <w:tblLook w:val="04A0"/>
        </w:tblPrEx>
        <w:tc>
          <w:tcPr>
            <w:tcW w:w="7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B0D14" w:rsidRPr="00764B48" w14:paraId="3EDA4E47" w14:textId="77777777">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IC Time Burden (Hours)</w:t>
            </w:r>
          </w:p>
        </w:tc>
        <w:tc>
          <w:tcPr>
            <w:tcW w:w="6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57F9D907"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237</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2707B637"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6DE61932"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2F617C5D"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6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49ECD686"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0</w:t>
            </w:r>
          </w:p>
        </w:tc>
        <w:tc>
          <w:tcPr>
            <w:tcW w:w="6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764B48" w:rsidP="00A174D3" w14:paraId="1DEEAB3F" w14:textId="77777777">
            <w:pPr>
              <w:keepNext/>
              <w:keepLines/>
              <w:autoSpaceDE/>
              <w:adjustRightInd/>
              <w:jc w:val="center"/>
              <w:rPr>
                <w:rFonts w:ascii="Calibri" w:hAnsi="Calibri" w:cs="Arial"/>
                <w:color w:val="000000"/>
                <w:sz w:val="22"/>
                <w:szCs w:val="22"/>
              </w:rPr>
            </w:pPr>
            <w:r>
              <w:rPr>
                <w:rFonts w:ascii="Calibri" w:hAnsi="Calibri" w:cs="Arial"/>
                <w:color w:val="000000"/>
                <w:sz w:val="22"/>
                <w:szCs w:val="22"/>
              </w:rPr>
              <w:t>237</w:t>
            </w:r>
          </w:p>
        </w:tc>
      </w:tr>
    </w:tbl>
    <w:p w:rsidR="00C94ED3" w:rsidP="006971E1" w14:paraId="09262A29" w14:textId="77777777">
      <w:pPr>
        <w:rPr>
          <w:rFonts w:ascii="Calibri" w:hAnsi="Calibri"/>
          <w:sz w:val="22"/>
          <w:szCs w:val="22"/>
        </w:rPr>
      </w:pPr>
    </w:p>
    <w:p w:rsidR="007E2EEB" w:rsidRPr="003127E4" w:rsidP="006971E1" w14:paraId="182C2EC1" w14:textId="136CF441">
      <w:pPr>
        <w:rPr>
          <w:rFonts w:ascii="Calibri" w:hAnsi="Calibri"/>
          <w:b/>
          <w:sz w:val="22"/>
          <w:szCs w:val="22"/>
        </w:rPr>
      </w:pPr>
      <w:r w:rsidRPr="006971E1">
        <w:rPr>
          <w:rFonts w:ascii="Calibri" w:hAnsi="Calibri"/>
          <w:b/>
          <w:sz w:val="22"/>
          <w:szCs w:val="22"/>
        </w:rPr>
        <w:t>16</w:t>
      </w:r>
      <w:r>
        <w:rPr>
          <w:rFonts w:ascii="Calibri" w:hAnsi="Calibri"/>
          <w:sz w:val="22"/>
          <w:szCs w:val="22"/>
        </w:rPr>
        <w:t>.</w:t>
      </w:r>
      <w:r w:rsidR="00BE3E2B">
        <w:rPr>
          <w:rFonts w:ascii="Calibri" w:hAnsi="Calibri"/>
          <w:sz w:val="22"/>
          <w:szCs w:val="22"/>
        </w:rPr>
        <w:tab/>
      </w:r>
      <w:r w:rsidRPr="003127E4">
        <w:rPr>
          <w:rFonts w:ascii="Calibri" w:hAnsi="Calibri"/>
          <w:b/>
          <w:sz w:val="22"/>
          <w:szCs w:val="22"/>
          <w:u w:val="single"/>
        </w:rPr>
        <w:t>PLANS FOR TABULATION, STATISTICAL ANALYSIS AND PUBLICATION</w:t>
      </w:r>
    </w:p>
    <w:p w:rsidR="007E2EEB" w:rsidRPr="003127E4" w14:paraId="720A5D01" w14:textId="77777777">
      <w:pPr>
        <w:rPr>
          <w:rFonts w:ascii="Calibri" w:hAnsi="Calibri"/>
          <w:sz w:val="22"/>
          <w:szCs w:val="22"/>
        </w:rPr>
      </w:pPr>
    </w:p>
    <w:p w:rsidR="00D46069" w:rsidP="00BE3E2B" w14:paraId="129EE6BA" w14:textId="11E59AAE">
      <w:pPr>
        <w:ind w:left="720"/>
        <w:rPr>
          <w:rFonts w:ascii="Calibri" w:hAnsi="Calibri" w:cs="Calibri"/>
          <w:sz w:val="22"/>
          <w:szCs w:val="22"/>
        </w:rPr>
      </w:pPr>
      <w:r w:rsidRPr="002A31A5">
        <w:rPr>
          <w:rFonts w:ascii="Calibri" w:hAnsi="Calibri" w:cs="Calibri"/>
          <w:sz w:val="22"/>
          <w:szCs w:val="22"/>
        </w:rPr>
        <w:t xml:space="preserve">There are no </w:t>
      </w:r>
      <w:r w:rsidRPr="002A31A5">
        <w:rPr>
          <w:rFonts w:ascii="Calibri" w:hAnsi="Calibri" w:cs="Calibri"/>
          <w:sz w:val="22"/>
          <w:szCs w:val="22"/>
        </w:rPr>
        <w:t>plans for tabulation, statistical analysis, and publication.</w:t>
      </w:r>
    </w:p>
    <w:p w:rsidR="006971E1" w:rsidP="006971E1" w14:paraId="75062EAE" w14:textId="77777777">
      <w:pPr>
        <w:rPr>
          <w:rFonts w:ascii="Calibri" w:hAnsi="Calibri" w:cs="Calibri"/>
          <w:sz w:val="22"/>
          <w:szCs w:val="22"/>
        </w:rPr>
      </w:pPr>
    </w:p>
    <w:p w:rsidR="006971E1" w:rsidRPr="003127E4" w:rsidP="00D60DD4" w14:paraId="0939C37F" w14:textId="05FA2A85">
      <w:pPr>
        <w:rPr>
          <w:rFonts w:ascii="Calibri" w:hAnsi="Calibri"/>
          <w:b/>
          <w:sz w:val="22"/>
          <w:szCs w:val="22"/>
        </w:rPr>
      </w:pPr>
      <w:r w:rsidRPr="00D60DD4">
        <w:rPr>
          <w:rFonts w:ascii="Calibri" w:hAnsi="Calibri" w:cs="Calibri"/>
          <w:b/>
          <w:sz w:val="22"/>
          <w:szCs w:val="22"/>
        </w:rPr>
        <w:t>17.</w:t>
      </w:r>
      <w:r w:rsidR="00BE3E2B">
        <w:rPr>
          <w:rFonts w:ascii="Calibri" w:hAnsi="Calibri" w:cs="Calibri"/>
          <w:sz w:val="22"/>
          <w:szCs w:val="22"/>
        </w:rPr>
        <w:tab/>
      </w:r>
      <w:r w:rsidRPr="003127E4">
        <w:rPr>
          <w:rFonts w:ascii="Calibri" w:hAnsi="Calibri"/>
          <w:b/>
          <w:sz w:val="22"/>
          <w:szCs w:val="22"/>
          <w:u w:val="single"/>
        </w:rPr>
        <w:t>REASONS WHY DISPLAYING THE OMB EXPIRATION DATE IS INAPPROPRIATE</w:t>
      </w:r>
      <w:r>
        <w:rPr>
          <w:rFonts w:ascii="Calibri" w:hAnsi="Calibri"/>
          <w:b/>
          <w:sz w:val="22"/>
          <w:szCs w:val="22"/>
          <w:u w:val="single"/>
        </w:rPr>
        <w:t xml:space="preserve">  </w:t>
      </w:r>
    </w:p>
    <w:p w:rsidR="006971E1" w:rsidRPr="003127E4" w:rsidP="006971E1" w14:paraId="080DA366" w14:textId="77777777">
      <w:pPr>
        <w:rPr>
          <w:rFonts w:ascii="Calibri" w:hAnsi="Calibri"/>
          <w:sz w:val="22"/>
          <w:szCs w:val="22"/>
        </w:rPr>
      </w:pPr>
    </w:p>
    <w:p w:rsidR="00D60DD4" w:rsidP="00BE3E2B" w14:paraId="0E4245BE" w14:textId="306BBA56">
      <w:pPr>
        <w:ind w:left="720"/>
        <w:rPr>
          <w:rFonts w:ascii="Calibri" w:hAnsi="Calibri"/>
          <w:sz w:val="22"/>
          <w:szCs w:val="22"/>
        </w:rPr>
      </w:pPr>
      <w:r>
        <w:rPr>
          <w:rFonts w:ascii="Calibri" w:hAnsi="Calibri"/>
          <w:sz w:val="22"/>
          <w:szCs w:val="22"/>
        </w:rPr>
        <w:t>The IRS</w:t>
      </w:r>
      <w:r w:rsidRPr="003127E4">
        <w:rPr>
          <w:rFonts w:ascii="Calibri" w:hAnsi="Calibri"/>
          <w:sz w:val="22"/>
          <w:szCs w:val="22"/>
        </w:rPr>
        <w:t xml:space="preserve"> believe</w:t>
      </w:r>
      <w:r>
        <w:rPr>
          <w:rFonts w:ascii="Calibri" w:hAnsi="Calibri"/>
          <w:sz w:val="22"/>
          <w:szCs w:val="22"/>
        </w:rPr>
        <w:t>s</w:t>
      </w:r>
      <w:r w:rsidRPr="003127E4">
        <w:rPr>
          <w:rFonts w:ascii="Calibri" w:hAnsi="Calibri"/>
          <w:sz w:val="22"/>
          <w:szCs w:val="22"/>
        </w:rPr>
        <w:t xml:space="preserve"> that displaying the OMB expiration date is inappropriate because it could cause </w:t>
      </w:r>
    </w:p>
    <w:p w:rsidR="00D60DD4" w:rsidP="00A40F18" w14:paraId="2F28EE16" w14:textId="043C5CB9">
      <w:pPr>
        <w:ind w:left="720"/>
        <w:rPr>
          <w:rFonts w:ascii="Calibri" w:hAnsi="Calibri"/>
          <w:sz w:val="22"/>
          <w:szCs w:val="22"/>
        </w:rPr>
      </w:pPr>
      <w:r w:rsidRPr="003127E4">
        <w:rPr>
          <w:rFonts w:ascii="Calibri" w:hAnsi="Calibri"/>
          <w:sz w:val="22"/>
          <w:szCs w:val="22"/>
        </w:rPr>
        <w:t xml:space="preserve">confusion by leading taxpayers to believe that the </w:t>
      </w:r>
      <w:r w:rsidR="00A40F18">
        <w:rPr>
          <w:rFonts w:ascii="Calibri" w:hAnsi="Calibri"/>
          <w:sz w:val="22"/>
          <w:szCs w:val="22"/>
        </w:rPr>
        <w:t xml:space="preserve">collection </w:t>
      </w:r>
      <w:r w:rsidRPr="003127E4">
        <w:rPr>
          <w:rFonts w:ascii="Calibri" w:hAnsi="Calibri"/>
          <w:sz w:val="22"/>
          <w:szCs w:val="22"/>
        </w:rPr>
        <w:t xml:space="preserve">sunsets as of the expiration date.  Taxpayers are not likely to be aware that the </w:t>
      </w:r>
      <w:r w:rsidR="00D140E5">
        <w:rPr>
          <w:rFonts w:ascii="Calibri" w:hAnsi="Calibri"/>
          <w:sz w:val="22"/>
          <w:szCs w:val="22"/>
        </w:rPr>
        <w:t>IRS</w:t>
      </w:r>
      <w:r w:rsidRPr="003127E4" w:rsidR="00D140E5">
        <w:rPr>
          <w:rFonts w:ascii="Calibri" w:hAnsi="Calibri"/>
          <w:sz w:val="22"/>
          <w:szCs w:val="22"/>
        </w:rPr>
        <w:t xml:space="preserve"> </w:t>
      </w:r>
      <w:r w:rsidRPr="003127E4">
        <w:rPr>
          <w:rFonts w:ascii="Calibri" w:hAnsi="Calibri"/>
          <w:sz w:val="22"/>
          <w:szCs w:val="22"/>
        </w:rPr>
        <w:t xml:space="preserve">intends to request renewal of the OMB </w:t>
      </w:r>
      <w:r w:rsidR="009448A7">
        <w:rPr>
          <w:rFonts w:ascii="Calibri" w:hAnsi="Calibri"/>
          <w:sz w:val="22"/>
          <w:szCs w:val="22"/>
        </w:rPr>
        <w:t xml:space="preserve"> </w:t>
      </w:r>
    </w:p>
    <w:p w:rsidR="006971E1" w:rsidP="00BE3E2B" w14:paraId="50429E87" w14:textId="32303B80">
      <w:pPr>
        <w:ind w:left="720"/>
        <w:rPr>
          <w:rFonts w:ascii="Calibri" w:hAnsi="Calibri"/>
          <w:sz w:val="22"/>
          <w:szCs w:val="22"/>
        </w:rPr>
      </w:pPr>
      <w:r w:rsidRPr="003127E4">
        <w:rPr>
          <w:rFonts w:ascii="Calibri" w:hAnsi="Calibri"/>
          <w:sz w:val="22"/>
          <w:szCs w:val="22"/>
        </w:rPr>
        <w:t>approval and obtain a new expiration date before the old one expires.</w:t>
      </w:r>
    </w:p>
    <w:p w:rsidR="00D60DD4" w:rsidRPr="003127E4" w:rsidP="006971E1" w14:paraId="26C88766" w14:textId="77777777">
      <w:pPr>
        <w:ind w:left="720"/>
        <w:rPr>
          <w:rFonts w:ascii="Calibri" w:hAnsi="Calibri"/>
          <w:sz w:val="22"/>
          <w:szCs w:val="22"/>
        </w:rPr>
      </w:pPr>
    </w:p>
    <w:p w:rsidR="007E2EEB" w:rsidRPr="003127E4" w:rsidP="00D60DD4" w14:paraId="75FF0C2C" w14:textId="0627D69F">
      <w:pPr>
        <w:rPr>
          <w:rFonts w:ascii="Calibri" w:hAnsi="Calibri"/>
          <w:b/>
          <w:sz w:val="22"/>
          <w:szCs w:val="22"/>
        </w:rPr>
      </w:pPr>
      <w:r>
        <w:rPr>
          <w:rFonts w:ascii="Calibri" w:hAnsi="Calibri" w:cs="Calibri"/>
          <w:sz w:val="22"/>
          <w:szCs w:val="22"/>
        </w:rPr>
        <w:t>18.</w:t>
      </w:r>
      <w:r w:rsidR="00BE3E2B">
        <w:rPr>
          <w:rFonts w:ascii="Calibri" w:hAnsi="Calibri" w:cs="Calibri"/>
          <w:sz w:val="22"/>
          <w:szCs w:val="22"/>
        </w:rPr>
        <w:tab/>
      </w:r>
      <w:r w:rsidRPr="003127E4">
        <w:rPr>
          <w:rFonts w:ascii="Calibri" w:hAnsi="Calibri"/>
          <w:b/>
          <w:sz w:val="22"/>
          <w:szCs w:val="22"/>
          <w:u w:val="single"/>
        </w:rPr>
        <w:t>EXCEPTIONS TO THE CERTIFICATION STATEMENT</w:t>
      </w:r>
    </w:p>
    <w:p w:rsidR="007E2EEB" w:rsidRPr="003127E4" w14:paraId="5482F60F" w14:textId="77777777">
      <w:pPr>
        <w:rPr>
          <w:rFonts w:ascii="Calibri" w:hAnsi="Calibri"/>
          <w:b/>
          <w:sz w:val="22"/>
          <w:szCs w:val="22"/>
        </w:rPr>
      </w:pPr>
    </w:p>
    <w:p w:rsidR="007E2EEB" w:rsidP="00BE3E2B" w14:paraId="3F2683E0" w14:textId="7F676880">
      <w:pPr>
        <w:ind w:left="720"/>
        <w:rPr>
          <w:rFonts w:ascii="Calibri" w:hAnsi="Calibri"/>
          <w:sz w:val="22"/>
          <w:szCs w:val="22"/>
        </w:rPr>
      </w:pPr>
      <w:r w:rsidRPr="00801A34">
        <w:rPr>
          <w:rFonts w:ascii="Calibri" w:hAnsi="Calibri"/>
          <w:sz w:val="22"/>
          <w:szCs w:val="22"/>
        </w:rPr>
        <w:t>There are no exceptions to the certification statement.</w:t>
      </w:r>
    </w:p>
    <w:p w:rsidR="005C66C6" w14:paraId="439E0DD4" w14:textId="77777777">
      <w:pPr>
        <w:rPr>
          <w:rFonts w:ascii="Calibri" w:hAnsi="Calibri"/>
          <w:sz w:val="22"/>
          <w:szCs w:val="22"/>
        </w:rPr>
      </w:pPr>
    </w:p>
    <w:p w:rsidR="007E2EEB" w:rsidRPr="003127E4" w:rsidP="00BE3E2B" w14:paraId="74FAA4CB" w14:textId="71906FB2">
      <w:pPr>
        <w:ind w:left="720"/>
        <w:rPr>
          <w:rFonts w:ascii="Calibri" w:hAnsi="Calibri"/>
          <w:sz w:val="22"/>
          <w:szCs w:val="22"/>
        </w:rPr>
      </w:pPr>
    </w:p>
    <w:sectPr w:rsidSect="005C66C6">
      <w:headerReference w:type="default" r:id="rId5"/>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283D5A8E"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F4963">
      <w:rPr>
        <w:rFonts w:cs="Courier"/>
        <w:b/>
        <w:bCs/>
        <w:noProof/>
      </w:rPr>
      <w:t>1</w:t>
    </w:r>
    <w:r>
      <w:rPr>
        <w:rFonts w:cs="Courier"/>
        <w:b/>
        <w:bCs/>
      </w:rPr>
      <w:fldChar w:fldCharType="end"/>
    </w:r>
  </w:p>
  <w:p w:rsidR="000A2EEC" w:rsidP="000A2EEC" w14:paraId="010D9BE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805327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67889087">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0961616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2242294">
    <w:abstractNumId w:val="9"/>
  </w:num>
  <w:num w:numId="5" w16cid:durableId="591856510">
    <w:abstractNumId w:val="0"/>
  </w:num>
  <w:num w:numId="6" w16cid:durableId="1162307779">
    <w:abstractNumId w:val="13"/>
  </w:num>
  <w:num w:numId="7" w16cid:durableId="1024132612">
    <w:abstractNumId w:val="7"/>
  </w:num>
  <w:num w:numId="8" w16cid:durableId="181365238">
    <w:abstractNumId w:val="11"/>
  </w:num>
  <w:num w:numId="9" w16cid:durableId="1209105775">
    <w:abstractNumId w:val="5"/>
  </w:num>
  <w:num w:numId="10" w16cid:durableId="322121908">
    <w:abstractNumId w:val="12"/>
  </w:num>
  <w:num w:numId="11" w16cid:durableId="929237160">
    <w:abstractNumId w:val="8"/>
  </w:num>
  <w:num w:numId="12" w16cid:durableId="1375039527">
    <w:abstractNumId w:val="10"/>
  </w:num>
  <w:num w:numId="13" w16cid:durableId="1243030825">
    <w:abstractNumId w:val="4"/>
  </w:num>
  <w:num w:numId="14" w16cid:durableId="1141656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5A61"/>
    <w:rsid w:val="00006A19"/>
    <w:rsid w:val="00010B0A"/>
    <w:rsid w:val="000220F9"/>
    <w:rsid w:val="00044F37"/>
    <w:rsid w:val="00046518"/>
    <w:rsid w:val="00066407"/>
    <w:rsid w:val="000A05E9"/>
    <w:rsid w:val="000A2EEC"/>
    <w:rsid w:val="000A4339"/>
    <w:rsid w:val="000A7FC1"/>
    <w:rsid w:val="000B1556"/>
    <w:rsid w:val="000D78B7"/>
    <w:rsid w:val="000F3A8B"/>
    <w:rsid w:val="00102DBB"/>
    <w:rsid w:val="00106E92"/>
    <w:rsid w:val="001135E3"/>
    <w:rsid w:val="00120003"/>
    <w:rsid w:val="0012358F"/>
    <w:rsid w:val="001337C1"/>
    <w:rsid w:val="00161268"/>
    <w:rsid w:val="00166349"/>
    <w:rsid w:val="00193ADD"/>
    <w:rsid w:val="001A6F7B"/>
    <w:rsid w:val="001B24BC"/>
    <w:rsid w:val="001C3D05"/>
    <w:rsid w:val="001D1FFB"/>
    <w:rsid w:val="001F4963"/>
    <w:rsid w:val="001F6A97"/>
    <w:rsid w:val="00224418"/>
    <w:rsid w:val="0023566C"/>
    <w:rsid w:val="00246391"/>
    <w:rsid w:val="00250482"/>
    <w:rsid w:val="00251ED2"/>
    <w:rsid w:val="002546C9"/>
    <w:rsid w:val="00282B0F"/>
    <w:rsid w:val="00293354"/>
    <w:rsid w:val="002A243C"/>
    <w:rsid w:val="002A31A5"/>
    <w:rsid w:val="002B177C"/>
    <w:rsid w:val="002B499E"/>
    <w:rsid w:val="002D4886"/>
    <w:rsid w:val="002E56B9"/>
    <w:rsid w:val="002F1933"/>
    <w:rsid w:val="002F79AA"/>
    <w:rsid w:val="00305112"/>
    <w:rsid w:val="00305478"/>
    <w:rsid w:val="00306B48"/>
    <w:rsid w:val="003127E4"/>
    <w:rsid w:val="00353997"/>
    <w:rsid w:val="00380925"/>
    <w:rsid w:val="003A5A1A"/>
    <w:rsid w:val="003C461F"/>
    <w:rsid w:val="003E0CAA"/>
    <w:rsid w:val="003E0F02"/>
    <w:rsid w:val="0040164F"/>
    <w:rsid w:val="00406C96"/>
    <w:rsid w:val="00427C16"/>
    <w:rsid w:val="00435CFA"/>
    <w:rsid w:val="00443D7D"/>
    <w:rsid w:val="004629D0"/>
    <w:rsid w:val="004631BE"/>
    <w:rsid w:val="004632BF"/>
    <w:rsid w:val="0047289C"/>
    <w:rsid w:val="00473D0D"/>
    <w:rsid w:val="004B6E0C"/>
    <w:rsid w:val="004D3707"/>
    <w:rsid w:val="004E1547"/>
    <w:rsid w:val="004E2ABF"/>
    <w:rsid w:val="004E668F"/>
    <w:rsid w:val="004F12D2"/>
    <w:rsid w:val="005011E6"/>
    <w:rsid w:val="0051280C"/>
    <w:rsid w:val="00517DF7"/>
    <w:rsid w:val="00520AF6"/>
    <w:rsid w:val="005235D0"/>
    <w:rsid w:val="005243BC"/>
    <w:rsid w:val="00525980"/>
    <w:rsid w:val="005515A8"/>
    <w:rsid w:val="005649AE"/>
    <w:rsid w:val="005972EB"/>
    <w:rsid w:val="005B3EEF"/>
    <w:rsid w:val="005B4AC4"/>
    <w:rsid w:val="005C409C"/>
    <w:rsid w:val="005C66C6"/>
    <w:rsid w:val="005D3DAB"/>
    <w:rsid w:val="005D6094"/>
    <w:rsid w:val="005D7415"/>
    <w:rsid w:val="00625C82"/>
    <w:rsid w:val="00630912"/>
    <w:rsid w:val="006368E6"/>
    <w:rsid w:val="00644338"/>
    <w:rsid w:val="00651559"/>
    <w:rsid w:val="00663CF4"/>
    <w:rsid w:val="006726A1"/>
    <w:rsid w:val="00680557"/>
    <w:rsid w:val="00681206"/>
    <w:rsid w:val="00681569"/>
    <w:rsid w:val="006971E1"/>
    <w:rsid w:val="006A21C2"/>
    <w:rsid w:val="006C2B4A"/>
    <w:rsid w:val="006D672C"/>
    <w:rsid w:val="006E30E3"/>
    <w:rsid w:val="006E6E53"/>
    <w:rsid w:val="006E71BC"/>
    <w:rsid w:val="007033DE"/>
    <w:rsid w:val="00710044"/>
    <w:rsid w:val="00715FFF"/>
    <w:rsid w:val="00720A3B"/>
    <w:rsid w:val="007369BD"/>
    <w:rsid w:val="00763B45"/>
    <w:rsid w:val="00764B48"/>
    <w:rsid w:val="007B041B"/>
    <w:rsid w:val="007B1B8F"/>
    <w:rsid w:val="007B1C01"/>
    <w:rsid w:val="007D42EF"/>
    <w:rsid w:val="007D6D78"/>
    <w:rsid w:val="007E0010"/>
    <w:rsid w:val="007E2EEB"/>
    <w:rsid w:val="007E36EA"/>
    <w:rsid w:val="007F12A5"/>
    <w:rsid w:val="007F676D"/>
    <w:rsid w:val="007F6AC3"/>
    <w:rsid w:val="00800AAD"/>
    <w:rsid w:val="008018A9"/>
    <w:rsid w:val="00801A34"/>
    <w:rsid w:val="00802986"/>
    <w:rsid w:val="00821550"/>
    <w:rsid w:val="00833904"/>
    <w:rsid w:val="00853C81"/>
    <w:rsid w:val="008723DC"/>
    <w:rsid w:val="008753DE"/>
    <w:rsid w:val="00876C56"/>
    <w:rsid w:val="00894004"/>
    <w:rsid w:val="008A1CD6"/>
    <w:rsid w:val="008A38A4"/>
    <w:rsid w:val="008A5F74"/>
    <w:rsid w:val="008B0A5D"/>
    <w:rsid w:val="008D1E10"/>
    <w:rsid w:val="008E228F"/>
    <w:rsid w:val="00900424"/>
    <w:rsid w:val="00902FB3"/>
    <w:rsid w:val="00933CA2"/>
    <w:rsid w:val="009448A7"/>
    <w:rsid w:val="009501AC"/>
    <w:rsid w:val="009545DF"/>
    <w:rsid w:val="00972A93"/>
    <w:rsid w:val="00974429"/>
    <w:rsid w:val="009846A4"/>
    <w:rsid w:val="00995AF4"/>
    <w:rsid w:val="00995E2E"/>
    <w:rsid w:val="00997416"/>
    <w:rsid w:val="009978F9"/>
    <w:rsid w:val="009B365A"/>
    <w:rsid w:val="009B6400"/>
    <w:rsid w:val="009E0FD6"/>
    <w:rsid w:val="009E5544"/>
    <w:rsid w:val="009E7427"/>
    <w:rsid w:val="009F31F3"/>
    <w:rsid w:val="00A0207E"/>
    <w:rsid w:val="00A14E91"/>
    <w:rsid w:val="00A174D3"/>
    <w:rsid w:val="00A24082"/>
    <w:rsid w:val="00A40F18"/>
    <w:rsid w:val="00A64D3A"/>
    <w:rsid w:val="00A66296"/>
    <w:rsid w:val="00A70809"/>
    <w:rsid w:val="00A70A0A"/>
    <w:rsid w:val="00A7743D"/>
    <w:rsid w:val="00AD5F7A"/>
    <w:rsid w:val="00AF1AEA"/>
    <w:rsid w:val="00AF5681"/>
    <w:rsid w:val="00B07E63"/>
    <w:rsid w:val="00B124C3"/>
    <w:rsid w:val="00B318A4"/>
    <w:rsid w:val="00B34FA0"/>
    <w:rsid w:val="00B50ECF"/>
    <w:rsid w:val="00B52725"/>
    <w:rsid w:val="00B5635A"/>
    <w:rsid w:val="00B63ACA"/>
    <w:rsid w:val="00B65514"/>
    <w:rsid w:val="00B91A50"/>
    <w:rsid w:val="00BA436D"/>
    <w:rsid w:val="00BC0691"/>
    <w:rsid w:val="00BC6A33"/>
    <w:rsid w:val="00BC73AA"/>
    <w:rsid w:val="00BD191C"/>
    <w:rsid w:val="00BE3E2B"/>
    <w:rsid w:val="00C24DD0"/>
    <w:rsid w:val="00C40223"/>
    <w:rsid w:val="00C47A0C"/>
    <w:rsid w:val="00C608BC"/>
    <w:rsid w:val="00C70C9E"/>
    <w:rsid w:val="00C723A3"/>
    <w:rsid w:val="00C94ED3"/>
    <w:rsid w:val="00CA1998"/>
    <w:rsid w:val="00CA19B0"/>
    <w:rsid w:val="00CA721C"/>
    <w:rsid w:val="00CB0D14"/>
    <w:rsid w:val="00CB4537"/>
    <w:rsid w:val="00CD283E"/>
    <w:rsid w:val="00CD6429"/>
    <w:rsid w:val="00CE6F02"/>
    <w:rsid w:val="00D01F44"/>
    <w:rsid w:val="00D140E5"/>
    <w:rsid w:val="00D1793A"/>
    <w:rsid w:val="00D35256"/>
    <w:rsid w:val="00D357EB"/>
    <w:rsid w:val="00D46069"/>
    <w:rsid w:val="00D5592C"/>
    <w:rsid w:val="00D60DD4"/>
    <w:rsid w:val="00D64B87"/>
    <w:rsid w:val="00D71370"/>
    <w:rsid w:val="00DA38BF"/>
    <w:rsid w:val="00DC0C44"/>
    <w:rsid w:val="00DE00E7"/>
    <w:rsid w:val="00E11D2D"/>
    <w:rsid w:val="00E20033"/>
    <w:rsid w:val="00E33793"/>
    <w:rsid w:val="00E6142C"/>
    <w:rsid w:val="00E67DB8"/>
    <w:rsid w:val="00E9076D"/>
    <w:rsid w:val="00E94AD8"/>
    <w:rsid w:val="00EB4C09"/>
    <w:rsid w:val="00EC045C"/>
    <w:rsid w:val="00EC668E"/>
    <w:rsid w:val="00ED51E5"/>
    <w:rsid w:val="00EF6702"/>
    <w:rsid w:val="00F00DD1"/>
    <w:rsid w:val="00F10C03"/>
    <w:rsid w:val="00F16493"/>
    <w:rsid w:val="00F2284A"/>
    <w:rsid w:val="00F23C20"/>
    <w:rsid w:val="00F26675"/>
    <w:rsid w:val="00F4647C"/>
    <w:rsid w:val="00F63BDE"/>
    <w:rsid w:val="00F669A8"/>
    <w:rsid w:val="00F820B4"/>
    <w:rsid w:val="00FA1F7C"/>
    <w:rsid w:val="00FB13EB"/>
    <w:rsid w:val="00FD0950"/>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7337CD"/>
  <w15:chartTrackingRefBased/>
  <w15:docId w15:val="{F11DB413-E0D6-4967-BC47-AA924CCB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CommentReference">
    <w:name w:val="annotation reference"/>
    <w:basedOn w:val="DefaultParagraphFont"/>
    <w:rsid w:val="00EF6702"/>
    <w:rPr>
      <w:sz w:val="16"/>
      <w:szCs w:val="16"/>
    </w:rPr>
  </w:style>
  <w:style w:type="paragraph" w:styleId="CommentText">
    <w:name w:val="annotation text"/>
    <w:basedOn w:val="Normal"/>
    <w:link w:val="CommentTextChar"/>
    <w:rsid w:val="00EF6702"/>
    <w:rPr>
      <w:sz w:val="20"/>
      <w:szCs w:val="20"/>
    </w:rPr>
  </w:style>
  <w:style w:type="character" w:customStyle="1" w:styleId="CommentTextChar">
    <w:name w:val="Comment Text Char"/>
    <w:basedOn w:val="DefaultParagraphFont"/>
    <w:link w:val="CommentText"/>
    <w:rsid w:val="00EF6702"/>
    <w:rPr>
      <w:rFonts w:ascii="Courier" w:hAnsi="Courier"/>
    </w:rPr>
  </w:style>
  <w:style w:type="paragraph" w:styleId="CommentSubject">
    <w:name w:val="annotation subject"/>
    <w:basedOn w:val="CommentText"/>
    <w:next w:val="CommentText"/>
    <w:link w:val="CommentSubjectChar"/>
    <w:rsid w:val="00EF6702"/>
    <w:rPr>
      <w:b/>
      <w:bCs/>
    </w:rPr>
  </w:style>
  <w:style w:type="character" w:customStyle="1" w:styleId="CommentSubjectChar">
    <w:name w:val="Comment Subject Char"/>
    <w:basedOn w:val="CommentTextChar"/>
    <w:link w:val="CommentSubject"/>
    <w:rsid w:val="00EF6702"/>
    <w:rPr>
      <w:rFonts w:ascii="Courier" w:hAnsi="Courier"/>
      <w:b/>
      <w:bCs/>
    </w:rPr>
  </w:style>
  <w:style w:type="character" w:styleId="FollowedHyperlink">
    <w:name w:val="FollowedHyperlink"/>
    <w:basedOn w:val="DefaultParagraphFont"/>
    <w:rsid w:val="00D01F44"/>
    <w:rPr>
      <w:color w:val="954F72" w:themeColor="followedHyperlink"/>
      <w:u w:val="single"/>
    </w:rPr>
  </w:style>
  <w:style w:type="paragraph" w:styleId="Revision">
    <w:name w:val="Revision"/>
    <w:hidden/>
    <w:uiPriority w:val="99"/>
    <w:semiHidden/>
    <w:rsid w:val="009B365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J</dc:creator>
  <cp:lastModifiedBy>McCrary Marcus W</cp:lastModifiedBy>
  <cp:revision>2</cp:revision>
  <dcterms:created xsi:type="dcterms:W3CDTF">2026-03-02T14:12:00Z</dcterms:created>
  <dcterms:modified xsi:type="dcterms:W3CDTF">2026-03-02T14:12:00Z</dcterms:modified>
</cp:coreProperties>
</file>