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BF7092" w:rsidRPr="00BB351D" w:rsidP="00BF7092" w14:paraId="621FBB61" w14:textId="12557364">
      <w:pPr>
        <w:jc w:val="center"/>
        <w:rPr>
          <w:rFonts w:asciiTheme="minorHAnsi" w:hAnsiTheme="minorHAnsi" w:cstheme="minorHAnsi"/>
          <w:b/>
          <w:sz w:val="22"/>
          <w:szCs w:val="22"/>
        </w:rPr>
      </w:pPr>
      <w:bookmarkStart w:id="0" w:name="_Hlk215471321"/>
      <w:r>
        <w:rPr>
          <w:rFonts w:asciiTheme="minorHAnsi" w:hAnsiTheme="minorHAnsi" w:cstheme="minorHAnsi"/>
          <w:b/>
          <w:sz w:val="22"/>
          <w:szCs w:val="22"/>
        </w:rPr>
        <w:t>Joseph E. Madden, CPA</w:t>
      </w:r>
      <w:r w:rsidR="006162B6">
        <w:rPr>
          <w:rFonts w:asciiTheme="minorHAnsi" w:hAnsiTheme="minorHAnsi" w:cstheme="minorHAnsi"/>
          <w:b/>
          <w:sz w:val="22"/>
          <w:szCs w:val="22"/>
        </w:rPr>
        <w:t xml:space="preserve"> </w:t>
      </w:r>
      <w:r w:rsidRPr="00BB351D">
        <w:rPr>
          <w:rFonts w:asciiTheme="minorHAnsi" w:hAnsiTheme="minorHAnsi" w:cstheme="minorHAnsi"/>
          <w:b/>
          <w:sz w:val="22"/>
          <w:szCs w:val="22"/>
        </w:rPr>
        <w:t xml:space="preserve">Comments dated </w:t>
      </w:r>
      <w:r>
        <w:rPr>
          <w:rFonts w:asciiTheme="minorHAnsi" w:hAnsiTheme="minorHAnsi" w:cstheme="minorHAnsi"/>
          <w:b/>
          <w:sz w:val="22"/>
          <w:szCs w:val="22"/>
        </w:rPr>
        <w:t>November 26</w:t>
      </w:r>
      <w:r w:rsidR="00EF6394">
        <w:rPr>
          <w:rFonts w:asciiTheme="minorHAnsi" w:hAnsiTheme="minorHAnsi" w:cstheme="minorHAnsi"/>
          <w:b/>
          <w:sz w:val="22"/>
          <w:szCs w:val="22"/>
        </w:rPr>
        <w:t xml:space="preserve">, </w:t>
      </w:r>
      <w:r w:rsidR="00A239E2">
        <w:rPr>
          <w:rFonts w:asciiTheme="minorHAnsi" w:hAnsiTheme="minorHAnsi" w:cstheme="minorHAnsi"/>
          <w:b/>
          <w:sz w:val="22"/>
          <w:szCs w:val="22"/>
        </w:rPr>
        <w:t>2025,</w:t>
      </w:r>
      <w:r w:rsidRPr="00BB351D">
        <w:rPr>
          <w:rFonts w:asciiTheme="minorHAnsi" w:hAnsiTheme="minorHAnsi" w:cstheme="minorHAnsi"/>
          <w:b/>
          <w:sz w:val="22"/>
          <w:szCs w:val="22"/>
        </w:rPr>
        <w:t xml:space="preserve"> </w:t>
      </w:r>
      <w:r w:rsidRPr="00BB351D">
        <w:rPr>
          <w:rFonts w:asciiTheme="minorHAnsi" w:hAnsiTheme="minorHAnsi" w:cstheme="minorHAnsi"/>
          <w:b/>
          <w:sz w:val="22"/>
          <w:szCs w:val="22"/>
        </w:rPr>
        <w:br/>
      </w:r>
      <w:r w:rsidR="00816A1D">
        <w:rPr>
          <w:rFonts w:asciiTheme="minorHAnsi" w:hAnsiTheme="minorHAnsi" w:cstheme="minorHAnsi"/>
          <w:b/>
          <w:sz w:val="22"/>
          <w:szCs w:val="22"/>
        </w:rPr>
        <w:t>Reporting Form</w:t>
      </w:r>
      <w:r>
        <w:rPr>
          <w:rFonts w:asciiTheme="minorHAnsi" w:hAnsiTheme="minorHAnsi" w:cstheme="minorHAnsi"/>
          <w:b/>
          <w:sz w:val="22"/>
          <w:szCs w:val="22"/>
        </w:rPr>
        <w:t xml:space="preserve"> 1098-VLI</w:t>
      </w:r>
      <w:r w:rsidR="00816A1D">
        <w:rPr>
          <w:rFonts w:asciiTheme="minorHAnsi" w:hAnsiTheme="minorHAnsi" w:cstheme="minorHAnsi"/>
          <w:b/>
          <w:sz w:val="22"/>
          <w:szCs w:val="22"/>
        </w:rPr>
        <w:t xml:space="preserve"> </w:t>
      </w:r>
    </w:p>
    <w:p w:rsidR="00BF7092" w:rsidRPr="00BB351D" w:rsidP="00BF7092" w14:paraId="76646E53" w14:textId="70C88ECE">
      <w:pPr>
        <w:rPr>
          <w:rFonts w:asciiTheme="minorHAnsi" w:hAnsiTheme="minorHAnsi" w:cstheme="minorHAnsi"/>
          <w:bCs/>
          <w:sz w:val="22"/>
          <w:szCs w:val="22"/>
        </w:rPr>
      </w:pPr>
      <w:r w:rsidRPr="00BB351D">
        <w:rPr>
          <w:rFonts w:asciiTheme="minorHAnsi" w:hAnsiTheme="minorHAnsi" w:cstheme="minorHAnsi"/>
          <w:bCs/>
          <w:sz w:val="22"/>
          <w:szCs w:val="22"/>
        </w:rPr>
        <w:t xml:space="preserve">Note: Page numbers are based on the PDF document consisting of </w:t>
      </w:r>
      <w:r w:rsidR="005A7FBB">
        <w:rPr>
          <w:rFonts w:asciiTheme="minorHAnsi" w:hAnsiTheme="minorHAnsi" w:cstheme="minorHAnsi"/>
          <w:bCs/>
          <w:sz w:val="22"/>
          <w:szCs w:val="22"/>
        </w:rPr>
        <w:t>1</w:t>
      </w:r>
      <w:r w:rsidRPr="00BB351D">
        <w:rPr>
          <w:rFonts w:asciiTheme="minorHAnsi" w:hAnsiTheme="minorHAnsi" w:cstheme="minorHAnsi"/>
          <w:bCs/>
          <w:sz w:val="22"/>
          <w:szCs w:val="22"/>
        </w:rPr>
        <w:t xml:space="preserve"> page (internal page numbering within that document differs).</w:t>
      </w:r>
    </w:p>
    <w:tbl>
      <w:tblPr>
        <w:tblStyle w:val="TableGrid"/>
        <w:tblW w:w="10345" w:type="dxa"/>
        <w:tblLayout w:type="fixed"/>
        <w:tblLook w:val="04A0"/>
      </w:tblPr>
      <w:tblGrid>
        <w:gridCol w:w="715"/>
        <w:gridCol w:w="4680"/>
        <w:gridCol w:w="4950"/>
      </w:tblGrid>
      <w:tr w14:paraId="1AE5FDAC" w14:textId="77777777" w:rsidTr="003363EE">
        <w:tblPrEx>
          <w:tblW w:w="10345" w:type="dxa"/>
          <w:tblLayout w:type="fixed"/>
          <w:tblLook w:val="04A0"/>
        </w:tblPrEx>
        <w:tc>
          <w:tcPr>
            <w:tcW w:w="715" w:type="dxa"/>
          </w:tcPr>
          <w:p w:rsidR="00BF7092" w:rsidRPr="00BB351D" w:rsidP="00D37F74" w14:paraId="05E94A2F" w14:textId="77777777">
            <w:pPr>
              <w:rPr>
                <w:rFonts w:asciiTheme="minorHAnsi" w:hAnsiTheme="minorHAnsi" w:cstheme="minorHAnsi"/>
                <w:b/>
                <w:sz w:val="22"/>
                <w:szCs w:val="22"/>
              </w:rPr>
            </w:pPr>
            <w:r w:rsidRPr="00BB351D">
              <w:rPr>
                <w:rFonts w:asciiTheme="minorHAnsi" w:hAnsiTheme="minorHAnsi" w:cstheme="minorHAnsi"/>
                <w:b/>
                <w:sz w:val="22"/>
                <w:szCs w:val="22"/>
              </w:rPr>
              <w:t>Page no.</w:t>
            </w:r>
          </w:p>
        </w:tc>
        <w:tc>
          <w:tcPr>
            <w:tcW w:w="4680" w:type="dxa"/>
          </w:tcPr>
          <w:p w:rsidR="00BF7092" w:rsidRPr="00BB351D" w:rsidP="001531BD" w14:paraId="61CFB36E" w14:textId="77777777">
            <w:pPr>
              <w:jc w:val="center"/>
              <w:rPr>
                <w:rFonts w:asciiTheme="minorHAnsi" w:hAnsiTheme="minorHAnsi" w:cstheme="minorHAnsi"/>
                <w:b/>
                <w:sz w:val="22"/>
                <w:szCs w:val="22"/>
              </w:rPr>
            </w:pPr>
          </w:p>
          <w:p w:rsidR="00BF7092" w:rsidRPr="00BB351D" w:rsidP="001531BD" w14:paraId="7823724D" w14:textId="4DD2B7EC">
            <w:pPr>
              <w:jc w:val="center"/>
              <w:rPr>
                <w:rFonts w:asciiTheme="minorHAnsi" w:hAnsiTheme="minorHAnsi" w:cstheme="minorHAnsi"/>
                <w:b/>
                <w:sz w:val="22"/>
                <w:szCs w:val="22"/>
              </w:rPr>
            </w:pPr>
            <w:r w:rsidRPr="00BB351D">
              <w:rPr>
                <w:rFonts w:asciiTheme="minorHAnsi" w:hAnsiTheme="minorHAnsi" w:cstheme="minorHAnsi"/>
                <w:b/>
                <w:sz w:val="22"/>
                <w:szCs w:val="22"/>
              </w:rPr>
              <w:t xml:space="preserve">Summary of </w:t>
            </w:r>
            <w:r w:rsidR="00EE3D74">
              <w:rPr>
                <w:rFonts w:asciiTheme="minorHAnsi" w:hAnsiTheme="minorHAnsi" w:cstheme="minorHAnsi"/>
                <w:b/>
                <w:sz w:val="22"/>
                <w:szCs w:val="22"/>
              </w:rPr>
              <w:t xml:space="preserve">the </w:t>
            </w:r>
            <w:r w:rsidR="003363EE">
              <w:rPr>
                <w:rFonts w:asciiTheme="minorHAnsi" w:hAnsiTheme="minorHAnsi" w:cstheme="minorHAnsi"/>
                <w:b/>
                <w:sz w:val="22"/>
                <w:szCs w:val="22"/>
              </w:rPr>
              <w:t xml:space="preserve">Joseph E. Madden </w:t>
            </w:r>
            <w:r w:rsidRPr="00BB351D">
              <w:rPr>
                <w:rFonts w:asciiTheme="minorHAnsi" w:hAnsiTheme="minorHAnsi" w:cstheme="minorHAnsi"/>
                <w:b/>
                <w:sz w:val="22"/>
                <w:szCs w:val="22"/>
              </w:rPr>
              <w:t>comment</w:t>
            </w:r>
            <w:r w:rsidR="003E1107">
              <w:rPr>
                <w:rFonts w:asciiTheme="minorHAnsi" w:hAnsiTheme="minorHAnsi" w:cstheme="minorHAnsi"/>
                <w:b/>
                <w:sz w:val="22"/>
                <w:szCs w:val="22"/>
              </w:rPr>
              <w:t>s</w:t>
            </w:r>
          </w:p>
        </w:tc>
        <w:tc>
          <w:tcPr>
            <w:tcW w:w="4950" w:type="dxa"/>
          </w:tcPr>
          <w:p w:rsidR="00BF7092" w:rsidRPr="00BB351D" w:rsidP="001531BD" w14:paraId="02E4F108" w14:textId="77777777">
            <w:pPr>
              <w:jc w:val="center"/>
              <w:rPr>
                <w:rFonts w:asciiTheme="minorHAnsi" w:hAnsiTheme="minorHAnsi" w:cstheme="minorHAnsi"/>
                <w:b/>
                <w:sz w:val="22"/>
                <w:szCs w:val="22"/>
              </w:rPr>
            </w:pPr>
          </w:p>
          <w:p w:rsidR="00BF7092" w:rsidRPr="00BB351D" w:rsidP="001531BD" w14:paraId="23FF7987" w14:textId="77777777">
            <w:pPr>
              <w:jc w:val="center"/>
              <w:rPr>
                <w:rFonts w:asciiTheme="minorHAnsi" w:hAnsiTheme="minorHAnsi" w:cstheme="minorHAnsi"/>
                <w:b/>
                <w:sz w:val="22"/>
                <w:szCs w:val="22"/>
              </w:rPr>
            </w:pPr>
            <w:r w:rsidRPr="00BB351D">
              <w:rPr>
                <w:rFonts w:asciiTheme="minorHAnsi" w:hAnsiTheme="minorHAnsi" w:cstheme="minorHAnsi"/>
                <w:b/>
                <w:sz w:val="22"/>
                <w:szCs w:val="22"/>
              </w:rPr>
              <w:t>Response to OMB</w:t>
            </w:r>
          </w:p>
        </w:tc>
      </w:tr>
      <w:tr w14:paraId="3D775B4F" w14:textId="77777777" w:rsidTr="003363EE">
        <w:tblPrEx>
          <w:tblW w:w="10345" w:type="dxa"/>
          <w:tblLayout w:type="fixed"/>
          <w:tblLook w:val="04A0"/>
        </w:tblPrEx>
        <w:tc>
          <w:tcPr>
            <w:tcW w:w="715" w:type="dxa"/>
          </w:tcPr>
          <w:p w:rsidR="00BF7092" w:rsidRPr="00BB351D" w:rsidP="00D37F74" w14:paraId="044180DC" w14:textId="639A66DD">
            <w:pPr>
              <w:rPr>
                <w:rFonts w:asciiTheme="minorHAnsi" w:hAnsiTheme="minorHAnsi" w:cstheme="minorHAnsi"/>
                <w:bCs/>
                <w:sz w:val="22"/>
                <w:szCs w:val="22"/>
              </w:rPr>
            </w:pPr>
            <w:r>
              <w:rPr>
                <w:rFonts w:asciiTheme="minorHAnsi" w:hAnsiTheme="minorHAnsi" w:cstheme="minorHAnsi"/>
                <w:bCs/>
                <w:sz w:val="22"/>
                <w:szCs w:val="22"/>
              </w:rPr>
              <w:t>1</w:t>
            </w:r>
          </w:p>
        </w:tc>
        <w:tc>
          <w:tcPr>
            <w:tcW w:w="4680" w:type="dxa"/>
          </w:tcPr>
          <w:p w:rsidR="002F3DC8" w:rsidRPr="00BB351D" w:rsidP="00D37F74" w14:paraId="5FF93570" w14:textId="6BA38717">
            <w:pPr>
              <w:rPr>
                <w:rFonts w:asciiTheme="minorHAnsi" w:hAnsiTheme="minorHAnsi" w:cstheme="minorHAnsi"/>
                <w:bCs/>
                <w:sz w:val="22"/>
                <w:szCs w:val="22"/>
              </w:rPr>
            </w:pPr>
            <w:r>
              <w:rPr>
                <w:rFonts w:asciiTheme="minorHAnsi" w:hAnsiTheme="minorHAnsi" w:cstheme="minorHAnsi"/>
                <w:bCs/>
                <w:sz w:val="22"/>
                <w:szCs w:val="22"/>
              </w:rPr>
              <w:t>Increase the size of Box 2d to the size of Box 1, so the 17 digits can clearly be read.</w:t>
            </w:r>
          </w:p>
        </w:tc>
        <w:tc>
          <w:tcPr>
            <w:tcW w:w="4950" w:type="dxa"/>
          </w:tcPr>
          <w:p w:rsidR="00BF7092" w:rsidRPr="00BB351D" w:rsidP="00D37F74" w14:paraId="7683E865" w14:textId="4A50D910">
            <w:pPr>
              <w:rPr>
                <w:rFonts w:asciiTheme="minorHAnsi" w:hAnsiTheme="minorHAnsi" w:cstheme="minorHAnsi"/>
                <w:bCs/>
                <w:sz w:val="22"/>
                <w:szCs w:val="22"/>
              </w:rPr>
            </w:pPr>
            <w:r>
              <w:rPr>
                <w:rFonts w:asciiTheme="minorHAnsi" w:hAnsiTheme="minorHAnsi" w:cstheme="minorHAnsi"/>
                <w:bCs/>
                <w:sz w:val="22"/>
                <w:szCs w:val="22"/>
              </w:rPr>
              <w:t>IRS has</w:t>
            </w:r>
            <w:r w:rsidR="00CB6454">
              <w:rPr>
                <w:rFonts w:asciiTheme="minorHAnsi" w:hAnsiTheme="minorHAnsi" w:cstheme="minorHAnsi"/>
                <w:bCs/>
                <w:sz w:val="22"/>
                <w:szCs w:val="22"/>
              </w:rPr>
              <w:t xml:space="preserve"> no plans </w:t>
            </w:r>
            <w:r w:rsidR="00CB6454">
              <w:rPr>
                <w:rFonts w:asciiTheme="minorHAnsi" w:hAnsiTheme="minorHAnsi" w:cstheme="minorHAnsi"/>
                <w:bCs/>
                <w:sz w:val="22"/>
                <w:szCs w:val="22"/>
              </w:rPr>
              <w:t>at this time</w:t>
            </w:r>
            <w:r w:rsidR="00CB6454">
              <w:rPr>
                <w:rFonts w:asciiTheme="minorHAnsi" w:hAnsiTheme="minorHAnsi" w:cstheme="minorHAnsi"/>
                <w:bCs/>
                <w:sz w:val="22"/>
                <w:szCs w:val="22"/>
              </w:rPr>
              <w:t xml:space="preserve"> to increase the size of box 2d.</w:t>
            </w:r>
          </w:p>
        </w:tc>
      </w:tr>
      <w:bookmarkEnd w:id="0"/>
    </w:tbl>
    <w:p w:rsidR="00BF7092" w:rsidRPr="00BB351D" w:rsidP="00BF7092" w14:paraId="4AAB133D" w14:textId="77777777">
      <w:pPr>
        <w:rPr>
          <w:rFonts w:asciiTheme="minorHAnsi" w:hAnsiTheme="minorHAnsi" w:cstheme="minorHAnsi"/>
          <w:bCs/>
          <w:sz w:val="22"/>
          <w:szCs w:val="22"/>
        </w:rPr>
      </w:pPr>
    </w:p>
    <w:p w:rsidR="00572176" w14:paraId="7F746F6E" w14:textId="77777777">
      <w:pPr>
        <w:widowControl/>
        <w:autoSpaceDE/>
        <w:autoSpaceDN/>
        <w:adjustRightInd/>
        <w:rPr>
          <w:rFonts w:ascii="Courier New" w:hAnsi="Courier New" w:cs="Courier New"/>
        </w:rPr>
      </w:pPr>
    </w:p>
    <w:p w:rsidR="00572176" w:rsidRPr="00BB351D" w:rsidP="00572176" w14:paraId="0C37BFC0" w14:textId="1631E894">
      <w:pPr>
        <w:jc w:val="center"/>
        <w:rPr>
          <w:rFonts w:asciiTheme="minorHAnsi" w:hAnsiTheme="minorHAnsi" w:cstheme="minorHAnsi"/>
          <w:b/>
          <w:sz w:val="22"/>
          <w:szCs w:val="22"/>
        </w:rPr>
      </w:pPr>
      <w:r>
        <w:rPr>
          <w:rFonts w:ascii="Courier New" w:hAnsi="Courier New" w:cs="Courier New"/>
        </w:rPr>
        <w:tab/>
      </w:r>
      <w:r>
        <w:rPr>
          <w:rFonts w:asciiTheme="minorHAnsi" w:hAnsiTheme="minorHAnsi" w:cstheme="minorHAnsi"/>
          <w:b/>
          <w:sz w:val="22"/>
          <w:szCs w:val="22"/>
        </w:rPr>
        <w:t xml:space="preserve">The Tax Shack </w:t>
      </w:r>
      <w:r w:rsidRPr="00BB351D">
        <w:rPr>
          <w:rFonts w:asciiTheme="minorHAnsi" w:hAnsiTheme="minorHAnsi" w:cstheme="minorHAnsi"/>
          <w:b/>
          <w:sz w:val="22"/>
          <w:szCs w:val="22"/>
        </w:rPr>
        <w:t xml:space="preserve">Comments dated </w:t>
      </w:r>
      <w:r>
        <w:rPr>
          <w:rFonts w:asciiTheme="minorHAnsi" w:hAnsiTheme="minorHAnsi" w:cstheme="minorHAnsi"/>
          <w:b/>
          <w:sz w:val="22"/>
          <w:szCs w:val="22"/>
        </w:rPr>
        <w:t>November 26, 2025,</w:t>
      </w:r>
      <w:r w:rsidRPr="00BB351D">
        <w:rPr>
          <w:rFonts w:asciiTheme="minorHAnsi" w:hAnsiTheme="minorHAnsi" w:cstheme="minorHAnsi"/>
          <w:b/>
          <w:sz w:val="22"/>
          <w:szCs w:val="22"/>
        </w:rPr>
        <w:t xml:space="preserve"> </w:t>
      </w:r>
      <w:r w:rsidRPr="00BB351D">
        <w:rPr>
          <w:rFonts w:asciiTheme="minorHAnsi" w:hAnsiTheme="minorHAnsi" w:cstheme="minorHAnsi"/>
          <w:b/>
          <w:sz w:val="22"/>
          <w:szCs w:val="22"/>
        </w:rPr>
        <w:br/>
      </w:r>
      <w:r>
        <w:rPr>
          <w:rFonts w:asciiTheme="minorHAnsi" w:hAnsiTheme="minorHAnsi" w:cstheme="minorHAnsi"/>
          <w:b/>
          <w:sz w:val="22"/>
          <w:szCs w:val="22"/>
        </w:rPr>
        <w:t xml:space="preserve">Reporting Form 1098-VLI </w:t>
      </w:r>
    </w:p>
    <w:p w:rsidR="00572176" w:rsidRPr="00BB351D" w:rsidP="00572176" w14:paraId="51C3D389" w14:textId="77777777">
      <w:pPr>
        <w:rPr>
          <w:rFonts w:asciiTheme="minorHAnsi" w:hAnsiTheme="minorHAnsi" w:cstheme="minorHAnsi"/>
          <w:bCs/>
          <w:sz w:val="22"/>
          <w:szCs w:val="22"/>
        </w:rPr>
      </w:pPr>
      <w:r w:rsidRPr="00BB351D">
        <w:rPr>
          <w:rFonts w:asciiTheme="minorHAnsi" w:hAnsiTheme="minorHAnsi" w:cstheme="minorHAnsi"/>
          <w:bCs/>
          <w:sz w:val="22"/>
          <w:szCs w:val="22"/>
        </w:rPr>
        <w:t xml:space="preserve">Note: Page numbers are based on the PDF document consisting of </w:t>
      </w:r>
      <w:r>
        <w:rPr>
          <w:rFonts w:asciiTheme="minorHAnsi" w:hAnsiTheme="minorHAnsi" w:cstheme="minorHAnsi"/>
          <w:bCs/>
          <w:sz w:val="22"/>
          <w:szCs w:val="22"/>
        </w:rPr>
        <w:t>1</w:t>
      </w:r>
      <w:r w:rsidRPr="00BB351D">
        <w:rPr>
          <w:rFonts w:asciiTheme="minorHAnsi" w:hAnsiTheme="minorHAnsi" w:cstheme="minorHAnsi"/>
          <w:bCs/>
          <w:sz w:val="22"/>
          <w:szCs w:val="22"/>
        </w:rPr>
        <w:t xml:space="preserve"> page (internal page numbering within that document differs).</w:t>
      </w:r>
    </w:p>
    <w:tbl>
      <w:tblPr>
        <w:tblStyle w:val="TableGrid"/>
        <w:tblW w:w="10345" w:type="dxa"/>
        <w:tblLayout w:type="fixed"/>
        <w:tblLook w:val="04A0"/>
      </w:tblPr>
      <w:tblGrid>
        <w:gridCol w:w="715"/>
        <w:gridCol w:w="4680"/>
        <w:gridCol w:w="4950"/>
      </w:tblGrid>
      <w:tr w14:paraId="279D97FF" w14:textId="77777777" w:rsidTr="00D03679">
        <w:tblPrEx>
          <w:tblW w:w="10345" w:type="dxa"/>
          <w:tblLayout w:type="fixed"/>
          <w:tblLook w:val="04A0"/>
        </w:tblPrEx>
        <w:tc>
          <w:tcPr>
            <w:tcW w:w="715" w:type="dxa"/>
          </w:tcPr>
          <w:p w:rsidR="00572176" w:rsidRPr="00BB351D" w:rsidP="00D03679" w14:paraId="6096FDBE" w14:textId="77777777">
            <w:pPr>
              <w:rPr>
                <w:rFonts w:asciiTheme="minorHAnsi" w:hAnsiTheme="minorHAnsi" w:cstheme="minorHAnsi"/>
                <w:b/>
                <w:sz w:val="22"/>
                <w:szCs w:val="22"/>
              </w:rPr>
            </w:pPr>
            <w:r w:rsidRPr="00BB351D">
              <w:rPr>
                <w:rFonts w:asciiTheme="minorHAnsi" w:hAnsiTheme="minorHAnsi" w:cstheme="minorHAnsi"/>
                <w:b/>
                <w:sz w:val="22"/>
                <w:szCs w:val="22"/>
              </w:rPr>
              <w:t>Page no.</w:t>
            </w:r>
          </w:p>
        </w:tc>
        <w:tc>
          <w:tcPr>
            <w:tcW w:w="4680" w:type="dxa"/>
          </w:tcPr>
          <w:p w:rsidR="00572176" w:rsidRPr="00BB351D" w:rsidP="001531BD" w14:paraId="1B914D19" w14:textId="77777777">
            <w:pPr>
              <w:jc w:val="center"/>
              <w:rPr>
                <w:rFonts w:asciiTheme="minorHAnsi" w:hAnsiTheme="minorHAnsi" w:cstheme="minorHAnsi"/>
                <w:b/>
                <w:sz w:val="22"/>
                <w:szCs w:val="22"/>
              </w:rPr>
            </w:pPr>
          </w:p>
          <w:p w:rsidR="00572176" w:rsidRPr="00BB351D" w:rsidP="001531BD" w14:paraId="30478137" w14:textId="39F1AE8E">
            <w:pPr>
              <w:jc w:val="center"/>
              <w:rPr>
                <w:rFonts w:asciiTheme="minorHAnsi" w:hAnsiTheme="minorHAnsi" w:cstheme="minorHAnsi"/>
                <w:b/>
                <w:sz w:val="22"/>
                <w:szCs w:val="22"/>
              </w:rPr>
            </w:pPr>
            <w:r w:rsidRPr="00BB351D">
              <w:rPr>
                <w:rFonts w:asciiTheme="minorHAnsi" w:hAnsiTheme="minorHAnsi" w:cstheme="minorHAnsi"/>
                <w:b/>
                <w:sz w:val="22"/>
                <w:szCs w:val="22"/>
              </w:rPr>
              <w:t xml:space="preserve">Summary of </w:t>
            </w:r>
            <w:r>
              <w:rPr>
                <w:rFonts w:asciiTheme="minorHAnsi" w:hAnsiTheme="minorHAnsi" w:cstheme="minorHAnsi"/>
                <w:b/>
                <w:sz w:val="22"/>
                <w:szCs w:val="22"/>
              </w:rPr>
              <w:t xml:space="preserve">the </w:t>
            </w:r>
            <w:r w:rsidR="00FF53A9">
              <w:rPr>
                <w:rFonts w:asciiTheme="minorHAnsi" w:hAnsiTheme="minorHAnsi" w:cstheme="minorHAnsi"/>
                <w:b/>
                <w:sz w:val="22"/>
                <w:szCs w:val="22"/>
              </w:rPr>
              <w:t>Tax Shack</w:t>
            </w:r>
            <w:r>
              <w:rPr>
                <w:rFonts w:asciiTheme="minorHAnsi" w:hAnsiTheme="minorHAnsi" w:cstheme="minorHAnsi"/>
                <w:b/>
                <w:sz w:val="22"/>
                <w:szCs w:val="22"/>
              </w:rPr>
              <w:t xml:space="preserve"> </w:t>
            </w:r>
            <w:r w:rsidRPr="00BB351D">
              <w:rPr>
                <w:rFonts w:asciiTheme="minorHAnsi" w:hAnsiTheme="minorHAnsi" w:cstheme="minorHAnsi"/>
                <w:b/>
                <w:sz w:val="22"/>
                <w:szCs w:val="22"/>
              </w:rPr>
              <w:t>comment</w:t>
            </w:r>
            <w:r>
              <w:rPr>
                <w:rFonts w:asciiTheme="minorHAnsi" w:hAnsiTheme="minorHAnsi" w:cstheme="minorHAnsi"/>
                <w:b/>
                <w:sz w:val="22"/>
                <w:szCs w:val="22"/>
              </w:rPr>
              <w:t>s</w:t>
            </w:r>
          </w:p>
        </w:tc>
        <w:tc>
          <w:tcPr>
            <w:tcW w:w="4950" w:type="dxa"/>
          </w:tcPr>
          <w:p w:rsidR="00572176" w:rsidRPr="00BB351D" w:rsidP="001531BD" w14:paraId="4234D93F" w14:textId="77777777">
            <w:pPr>
              <w:jc w:val="center"/>
              <w:rPr>
                <w:rFonts w:asciiTheme="minorHAnsi" w:hAnsiTheme="minorHAnsi" w:cstheme="minorHAnsi"/>
                <w:b/>
                <w:sz w:val="22"/>
                <w:szCs w:val="22"/>
              </w:rPr>
            </w:pPr>
          </w:p>
          <w:p w:rsidR="00572176" w:rsidRPr="00BB351D" w:rsidP="001531BD" w14:paraId="007F1D8F" w14:textId="77777777">
            <w:pPr>
              <w:jc w:val="center"/>
              <w:rPr>
                <w:rFonts w:asciiTheme="minorHAnsi" w:hAnsiTheme="minorHAnsi" w:cstheme="minorHAnsi"/>
                <w:b/>
                <w:sz w:val="22"/>
                <w:szCs w:val="22"/>
              </w:rPr>
            </w:pPr>
            <w:r w:rsidRPr="00BB351D">
              <w:rPr>
                <w:rFonts w:asciiTheme="minorHAnsi" w:hAnsiTheme="minorHAnsi" w:cstheme="minorHAnsi"/>
                <w:b/>
                <w:sz w:val="22"/>
                <w:szCs w:val="22"/>
              </w:rPr>
              <w:t>Response to OMB</w:t>
            </w:r>
          </w:p>
        </w:tc>
      </w:tr>
      <w:tr w14:paraId="35B1C900" w14:textId="77777777" w:rsidTr="00D03679">
        <w:tblPrEx>
          <w:tblW w:w="10345" w:type="dxa"/>
          <w:tblLayout w:type="fixed"/>
          <w:tblLook w:val="04A0"/>
        </w:tblPrEx>
        <w:tc>
          <w:tcPr>
            <w:tcW w:w="715" w:type="dxa"/>
          </w:tcPr>
          <w:p w:rsidR="00572176" w:rsidRPr="00BB351D" w:rsidP="00D03679" w14:paraId="63DCC915" w14:textId="77777777">
            <w:pPr>
              <w:rPr>
                <w:rFonts w:asciiTheme="minorHAnsi" w:hAnsiTheme="minorHAnsi" w:cstheme="minorHAnsi"/>
                <w:bCs/>
                <w:sz w:val="22"/>
                <w:szCs w:val="22"/>
              </w:rPr>
            </w:pPr>
            <w:r>
              <w:rPr>
                <w:rFonts w:asciiTheme="minorHAnsi" w:hAnsiTheme="minorHAnsi" w:cstheme="minorHAnsi"/>
                <w:bCs/>
                <w:sz w:val="22"/>
                <w:szCs w:val="22"/>
              </w:rPr>
              <w:t>1</w:t>
            </w:r>
          </w:p>
        </w:tc>
        <w:tc>
          <w:tcPr>
            <w:tcW w:w="4680" w:type="dxa"/>
          </w:tcPr>
          <w:p w:rsidR="00572176" w:rsidP="00D03679" w14:paraId="281B1FDB" w14:textId="77777777">
            <w:pPr>
              <w:rPr>
                <w:rFonts w:asciiTheme="minorHAnsi" w:hAnsiTheme="minorHAnsi" w:cstheme="minorHAnsi"/>
                <w:bCs/>
                <w:sz w:val="22"/>
                <w:szCs w:val="22"/>
              </w:rPr>
            </w:pPr>
            <w:r>
              <w:rPr>
                <w:rFonts w:asciiTheme="minorHAnsi" w:hAnsiTheme="minorHAnsi" w:cstheme="minorHAnsi"/>
                <w:bCs/>
                <w:sz w:val="22"/>
                <w:szCs w:val="22"/>
              </w:rPr>
              <w:t xml:space="preserve">Will the instructions for Form 1098-VLI be available and required to be sent to the owner of the qualifying vehicle(s)? </w:t>
            </w:r>
          </w:p>
          <w:p w:rsidR="00572176" w:rsidRPr="00BB351D" w:rsidP="00D03679" w14:paraId="33A1E209" w14:textId="0CDC15A0">
            <w:pPr>
              <w:rPr>
                <w:rFonts w:asciiTheme="minorHAnsi" w:hAnsiTheme="minorHAnsi" w:cstheme="minorHAnsi"/>
                <w:bCs/>
                <w:sz w:val="22"/>
                <w:szCs w:val="22"/>
              </w:rPr>
            </w:pPr>
          </w:p>
        </w:tc>
        <w:tc>
          <w:tcPr>
            <w:tcW w:w="4950" w:type="dxa"/>
          </w:tcPr>
          <w:p w:rsidR="00572176" w:rsidRPr="00BB351D" w:rsidP="00D03679" w14:paraId="64694610" w14:textId="3DBC6AF4">
            <w:pPr>
              <w:rPr>
                <w:rFonts w:asciiTheme="minorHAnsi" w:hAnsiTheme="minorHAnsi" w:cstheme="minorHAnsi"/>
                <w:bCs/>
                <w:sz w:val="22"/>
                <w:szCs w:val="22"/>
              </w:rPr>
            </w:pPr>
            <w:r>
              <w:rPr>
                <w:rFonts w:asciiTheme="minorHAnsi" w:hAnsiTheme="minorHAnsi" w:cstheme="minorHAnsi"/>
                <w:bCs/>
                <w:sz w:val="22"/>
                <w:szCs w:val="22"/>
              </w:rPr>
              <w:t xml:space="preserve"> </w:t>
            </w:r>
            <w:r w:rsidRPr="000F0B5C">
              <w:rPr>
                <w:rFonts w:asciiTheme="minorHAnsi" w:hAnsiTheme="minorHAnsi" w:cstheme="minorHAnsi"/>
                <w:bCs/>
                <w:sz w:val="22"/>
                <w:szCs w:val="22"/>
              </w:rPr>
              <w:t xml:space="preserve">The form itself has “Instructions for Payer of Record”. </w:t>
            </w:r>
            <w:r w:rsidRPr="000F0B5C">
              <w:rPr>
                <w:rFonts w:asciiTheme="minorHAnsi" w:hAnsiTheme="minorHAnsi" w:cstheme="minorHAnsi"/>
                <w:bCs/>
                <w:sz w:val="22"/>
                <w:szCs w:val="22"/>
              </w:rPr>
              <w:t>So</w:t>
            </w:r>
            <w:r w:rsidRPr="000F0B5C">
              <w:rPr>
                <w:rFonts w:asciiTheme="minorHAnsi" w:hAnsiTheme="minorHAnsi" w:cstheme="minorHAnsi"/>
                <w:bCs/>
                <w:sz w:val="22"/>
                <w:szCs w:val="22"/>
              </w:rPr>
              <w:t xml:space="preserve"> if the questioner considered the “owner” to be synonymous with the “Payer of Record”, the answer is “Yes”.</w:t>
            </w:r>
            <w:r>
              <w:rPr>
                <w:rFonts w:asciiTheme="minorHAnsi" w:hAnsiTheme="minorHAnsi" w:cstheme="minorHAnsi"/>
                <w:bCs/>
                <w:sz w:val="22"/>
                <w:szCs w:val="22"/>
              </w:rPr>
              <w:t xml:space="preserve"> </w:t>
            </w:r>
            <w:r w:rsidRPr="00CB6454" w:rsidR="00CB6454">
              <w:rPr>
                <w:rFonts w:asciiTheme="minorHAnsi" w:hAnsiTheme="minorHAnsi" w:cstheme="minorHAnsi"/>
                <w:bCs/>
                <w:sz w:val="22"/>
                <w:szCs w:val="22"/>
              </w:rPr>
              <w:t>The instructions are always “available” (they would be on IRS.gov) but the “send” requirement depends on the definition of “owner”. The instructions for the filer would not be sent to payer of record or owner, nor would they need to be sent.</w:t>
            </w:r>
            <w:r w:rsidR="00CB6454">
              <w:rPr>
                <w:rFonts w:asciiTheme="minorHAnsi" w:hAnsiTheme="minorHAnsi" w:cstheme="minorHAnsi"/>
                <w:bCs/>
                <w:sz w:val="22"/>
                <w:szCs w:val="22"/>
              </w:rPr>
              <w:t xml:space="preserve"> </w:t>
            </w:r>
          </w:p>
        </w:tc>
      </w:tr>
      <w:tr w14:paraId="2B287C53" w14:textId="77777777" w:rsidTr="00D03679">
        <w:tblPrEx>
          <w:tblW w:w="10345" w:type="dxa"/>
          <w:tblLayout w:type="fixed"/>
          <w:tblLook w:val="04A0"/>
        </w:tblPrEx>
        <w:tc>
          <w:tcPr>
            <w:tcW w:w="715" w:type="dxa"/>
          </w:tcPr>
          <w:p w:rsidR="002F3DC8" w:rsidP="00D03679" w14:paraId="581F606D" w14:textId="7D7D684F">
            <w:pPr>
              <w:rPr>
                <w:rFonts w:asciiTheme="minorHAnsi" w:hAnsiTheme="minorHAnsi" w:cstheme="minorHAnsi"/>
                <w:bCs/>
                <w:sz w:val="22"/>
                <w:szCs w:val="22"/>
              </w:rPr>
            </w:pPr>
            <w:r>
              <w:rPr>
                <w:rFonts w:asciiTheme="minorHAnsi" w:hAnsiTheme="minorHAnsi" w:cstheme="minorHAnsi"/>
                <w:bCs/>
                <w:sz w:val="22"/>
                <w:szCs w:val="22"/>
              </w:rPr>
              <w:t>1</w:t>
            </w:r>
          </w:p>
        </w:tc>
        <w:tc>
          <w:tcPr>
            <w:tcW w:w="4680" w:type="dxa"/>
          </w:tcPr>
          <w:p w:rsidR="002F3DC8" w:rsidP="00D03679" w14:paraId="46C32504" w14:textId="4C15A3D1">
            <w:pPr>
              <w:rPr>
                <w:rFonts w:asciiTheme="minorHAnsi" w:hAnsiTheme="minorHAnsi" w:cstheme="minorHAnsi"/>
                <w:bCs/>
                <w:sz w:val="22"/>
                <w:szCs w:val="22"/>
              </w:rPr>
            </w:pPr>
            <w:r>
              <w:rPr>
                <w:rFonts w:asciiTheme="minorHAnsi" w:hAnsiTheme="minorHAnsi" w:cstheme="minorHAnsi"/>
                <w:bCs/>
                <w:sz w:val="22"/>
                <w:szCs w:val="22"/>
              </w:rPr>
              <w:t>Suggestion to add a section to determine if the vehicle was assembled in the US or not.</w:t>
            </w:r>
          </w:p>
        </w:tc>
        <w:tc>
          <w:tcPr>
            <w:tcW w:w="4950" w:type="dxa"/>
          </w:tcPr>
          <w:p w:rsidR="002F3DC8" w:rsidP="002F3DC8" w14:paraId="476FE81D" w14:textId="0A986AD0">
            <w:pPr>
              <w:rPr>
                <w:rFonts w:asciiTheme="minorHAnsi" w:hAnsiTheme="minorHAnsi" w:cstheme="minorHAnsi"/>
                <w:bCs/>
                <w:sz w:val="22"/>
                <w:szCs w:val="22"/>
              </w:rPr>
            </w:pPr>
            <w:r>
              <w:rPr>
                <w:rFonts w:asciiTheme="minorHAnsi" w:hAnsiTheme="minorHAnsi" w:cstheme="minorHAnsi"/>
                <w:bCs/>
                <w:sz w:val="22"/>
                <w:szCs w:val="22"/>
              </w:rPr>
              <w:t xml:space="preserve">IRS accepts the recommendation for the Instructions </w:t>
            </w:r>
            <w:r w:rsidR="000812E1">
              <w:rPr>
                <w:rFonts w:asciiTheme="minorHAnsi" w:hAnsiTheme="minorHAnsi" w:cstheme="minorHAnsi"/>
                <w:bCs/>
                <w:sz w:val="22"/>
                <w:szCs w:val="22"/>
              </w:rPr>
              <w:t xml:space="preserve">for Form 1098-VLI. </w:t>
            </w:r>
            <w:r w:rsidR="006B5B04">
              <w:rPr>
                <w:rFonts w:asciiTheme="minorHAnsi" w:hAnsiTheme="minorHAnsi" w:cstheme="minorHAnsi"/>
                <w:bCs/>
                <w:sz w:val="22"/>
                <w:szCs w:val="22"/>
              </w:rPr>
              <w:t xml:space="preserve">However, IRS declines to add this information to the </w:t>
            </w:r>
            <w:r w:rsidR="000A15BD">
              <w:rPr>
                <w:rFonts w:asciiTheme="minorHAnsi" w:hAnsiTheme="minorHAnsi" w:cstheme="minorHAnsi"/>
                <w:bCs/>
                <w:sz w:val="22"/>
                <w:szCs w:val="22"/>
              </w:rPr>
              <w:t xml:space="preserve">“Payor of Record” </w:t>
            </w:r>
            <w:r w:rsidR="006B5B04">
              <w:rPr>
                <w:rFonts w:asciiTheme="minorHAnsi" w:hAnsiTheme="minorHAnsi" w:cstheme="minorHAnsi"/>
                <w:bCs/>
                <w:sz w:val="22"/>
                <w:szCs w:val="22"/>
              </w:rPr>
              <w:t xml:space="preserve">instructions as </w:t>
            </w:r>
            <w:r w:rsidR="00A31606">
              <w:rPr>
                <w:rFonts w:asciiTheme="minorHAnsi" w:hAnsiTheme="minorHAnsi" w:cstheme="minorHAnsi"/>
                <w:bCs/>
                <w:sz w:val="22"/>
                <w:szCs w:val="22"/>
              </w:rPr>
              <w:t>t</w:t>
            </w:r>
            <w:r w:rsidRPr="00CB6454">
              <w:rPr>
                <w:rFonts w:asciiTheme="minorHAnsi" w:hAnsiTheme="minorHAnsi" w:cstheme="minorHAnsi"/>
                <w:bCs/>
                <w:sz w:val="22"/>
                <w:szCs w:val="22"/>
              </w:rPr>
              <w:t xml:space="preserve">he information on how to determine whether the final assembly of a vehicle was done in the United States is found in the instructions for Schedule 1-A, which are part of the TY25 Instructions for Form 1040 and 1040-SR. </w:t>
            </w:r>
          </w:p>
        </w:tc>
      </w:tr>
      <w:tr w14:paraId="37C933AE" w14:textId="77777777" w:rsidTr="00D03679">
        <w:tblPrEx>
          <w:tblW w:w="10345" w:type="dxa"/>
          <w:tblLayout w:type="fixed"/>
          <w:tblLook w:val="04A0"/>
        </w:tblPrEx>
        <w:tc>
          <w:tcPr>
            <w:tcW w:w="715" w:type="dxa"/>
          </w:tcPr>
          <w:p w:rsidR="002F3DC8" w:rsidP="00D03679" w14:paraId="43A2E978" w14:textId="66847126">
            <w:pPr>
              <w:rPr>
                <w:rFonts w:asciiTheme="minorHAnsi" w:hAnsiTheme="minorHAnsi" w:cstheme="minorHAnsi"/>
                <w:bCs/>
                <w:sz w:val="22"/>
                <w:szCs w:val="22"/>
              </w:rPr>
            </w:pPr>
            <w:r>
              <w:rPr>
                <w:rFonts w:asciiTheme="minorHAnsi" w:hAnsiTheme="minorHAnsi" w:cstheme="minorHAnsi"/>
                <w:bCs/>
                <w:sz w:val="22"/>
                <w:szCs w:val="22"/>
              </w:rPr>
              <w:t>1</w:t>
            </w:r>
          </w:p>
        </w:tc>
        <w:tc>
          <w:tcPr>
            <w:tcW w:w="4680" w:type="dxa"/>
          </w:tcPr>
          <w:p w:rsidR="002F3DC8" w:rsidP="00D03679" w14:paraId="5BE37064" w14:textId="3EB8E950">
            <w:pPr>
              <w:rPr>
                <w:rFonts w:asciiTheme="minorHAnsi" w:hAnsiTheme="minorHAnsi" w:cstheme="minorHAnsi"/>
                <w:bCs/>
                <w:sz w:val="22"/>
                <w:szCs w:val="22"/>
              </w:rPr>
            </w:pPr>
            <w:r>
              <w:rPr>
                <w:rFonts w:asciiTheme="minorHAnsi" w:hAnsiTheme="minorHAnsi" w:cstheme="minorHAnsi"/>
                <w:bCs/>
                <w:sz w:val="22"/>
                <w:szCs w:val="22"/>
              </w:rPr>
              <w:t>Increase the size of Box 2d to the size of Box 1, so the 17 digits can clearly be read.</w:t>
            </w:r>
          </w:p>
        </w:tc>
        <w:tc>
          <w:tcPr>
            <w:tcW w:w="4950" w:type="dxa"/>
          </w:tcPr>
          <w:p w:rsidR="002F3DC8" w:rsidP="00D03679" w14:paraId="3F5B9753" w14:textId="2138E266">
            <w:pPr>
              <w:rPr>
                <w:rFonts w:asciiTheme="minorHAnsi" w:hAnsiTheme="minorHAnsi" w:cstheme="minorHAnsi"/>
                <w:bCs/>
                <w:sz w:val="22"/>
                <w:szCs w:val="22"/>
              </w:rPr>
            </w:pPr>
            <w:r>
              <w:rPr>
                <w:rFonts w:asciiTheme="minorHAnsi" w:hAnsiTheme="minorHAnsi" w:cstheme="minorHAnsi"/>
                <w:bCs/>
                <w:sz w:val="22"/>
                <w:szCs w:val="22"/>
              </w:rPr>
              <w:t xml:space="preserve">IRS has no plans </w:t>
            </w:r>
            <w:r>
              <w:rPr>
                <w:rFonts w:asciiTheme="minorHAnsi" w:hAnsiTheme="minorHAnsi" w:cstheme="minorHAnsi"/>
                <w:bCs/>
                <w:sz w:val="22"/>
                <w:szCs w:val="22"/>
              </w:rPr>
              <w:t>at this time</w:t>
            </w:r>
            <w:r>
              <w:rPr>
                <w:rFonts w:asciiTheme="minorHAnsi" w:hAnsiTheme="minorHAnsi" w:cstheme="minorHAnsi"/>
                <w:bCs/>
                <w:sz w:val="22"/>
                <w:szCs w:val="22"/>
              </w:rPr>
              <w:t xml:space="preserve"> to increase the size of box 2d.</w:t>
            </w:r>
          </w:p>
        </w:tc>
      </w:tr>
    </w:tbl>
    <w:p w:rsidR="00572176" w:rsidP="00572176" w14:paraId="2DAF1A18" w14:textId="0078E224">
      <w:pPr>
        <w:widowControl/>
        <w:tabs>
          <w:tab w:val="left" w:pos="7239"/>
        </w:tabs>
        <w:autoSpaceDE/>
        <w:autoSpaceDN/>
        <w:adjustRightInd/>
        <w:rPr>
          <w:rFonts w:ascii="Courier New" w:hAnsi="Courier New" w:cs="Courier New"/>
        </w:rPr>
      </w:pPr>
    </w:p>
    <w:p w:rsidR="00FF53A9" w14:paraId="06B0C940" w14:textId="77777777">
      <w:pPr>
        <w:widowControl/>
        <w:autoSpaceDE/>
        <w:autoSpaceDN/>
        <w:adjustRightInd/>
        <w:rPr>
          <w:rFonts w:ascii="Courier New" w:hAnsi="Courier New" w:cs="Courier New"/>
        </w:rPr>
      </w:pPr>
    </w:p>
    <w:p w:rsidR="00FF53A9" w:rsidRPr="00BB351D" w:rsidP="00FF53A9" w14:paraId="3B6A5135" w14:textId="1660AF4D">
      <w:pPr>
        <w:jc w:val="center"/>
        <w:rPr>
          <w:rFonts w:asciiTheme="minorHAnsi" w:hAnsiTheme="minorHAnsi" w:cstheme="minorHAnsi"/>
          <w:b/>
          <w:sz w:val="22"/>
          <w:szCs w:val="22"/>
        </w:rPr>
      </w:pPr>
      <w:bookmarkStart w:id="1" w:name="_Hlk215472127"/>
      <w:r>
        <w:rPr>
          <w:rFonts w:asciiTheme="minorHAnsi" w:hAnsiTheme="minorHAnsi" w:cstheme="minorHAnsi"/>
          <w:b/>
          <w:sz w:val="22"/>
          <w:szCs w:val="22"/>
        </w:rPr>
        <w:t xml:space="preserve">A Plus </w:t>
      </w:r>
      <w:r w:rsidRPr="00BB351D">
        <w:rPr>
          <w:rFonts w:asciiTheme="minorHAnsi" w:hAnsiTheme="minorHAnsi" w:cstheme="minorHAnsi"/>
          <w:b/>
          <w:sz w:val="22"/>
          <w:szCs w:val="22"/>
        </w:rPr>
        <w:t xml:space="preserve">Comments dated </w:t>
      </w:r>
      <w:r>
        <w:rPr>
          <w:rFonts w:asciiTheme="minorHAnsi" w:hAnsiTheme="minorHAnsi" w:cstheme="minorHAnsi"/>
          <w:b/>
          <w:sz w:val="22"/>
          <w:szCs w:val="22"/>
        </w:rPr>
        <w:t>November 26, 2025,</w:t>
      </w:r>
      <w:r w:rsidRPr="00BB351D">
        <w:rPr>
          <w:rFonts w:asciiTheme="minorHAnsi" w:hAnsiTheme="minorHAnsi" w:cstheme="minorHAnsi"/>
          <w:b/>
          <w:sz w:val="22"/>
          <w:szCs w:val="22"/>
        </w:rPr>
        <w:t xml:space="preserve"> </w:t>
      </w:r>
      <w:r w:rsidRPr="00BB351D">
        <w:rPr>
          <w:rFonts w:asciiTheme="minorHAnsi" w:hAnsiTheme="minorHAnsi" w:cstheme="minorHAnsi"/>
          <w:b/>
          <w:sz w:val="22"/>
          <w:szCs w:val="22"/>
        </w:rPr>
        <w:br/>
      </w:r>
      <w:r>
        <w:rPr>
          <w:rFonts w:asciiTheme="minorHAnsi" w:hAnsiTheme="minorHAnsi" w:cstheme="minorHAnsi"/>
          <w:b/>
          <w:sz w:val="22"/>
          <w:szCs w:val="22"/>
        </w:rPr>
        <w:t xml:space="preserve">Reporting Form 1098-VLI </w:t>
      </w:r>
    </w:p>
    <w:p w:rsidR="00FF53A9" w:rsidRPr="00BB351D" w:rsidP="00FF53A9" w14:paraId="78BA21FD" w14:textId="77777777">
      <w:pPr>
        <w:rPr>
          <w:rFonts w:asciiTheme="minorHAnsi" w:hAnsiTheme="minorHAnsi" w:cstheme="minorHAnsi"/>
          <w:bCs/>
          <w:sz w:val="22"/>
          <w:szCs w:val="22"/>
        </w:rPr>
      </w:pPr>
      <w:r w:rsidRPr="00BB351D">
        <w:rPr>
          <w:rFonts w:asciiTheme="minorHAnsi" w:hAnsiTheme="minorHAnsi" w:cstheme="minorHAnsi"/>
          <w:bCs/>
          <w:sz w:val="22"/>
          <w:szCs w:val="22"/>
        </w:rPr>
        <w:t xml:space="preserve">Note: Page numbers are based on the PDF document consisting of </w:t>
      </w:r>
      <w:r>
        <w:rPr>
          <w:rFonts w:asciiTheme="minorHAnsi" w:hAnsiTheme="minorHAnsi" w:cstheme="minorHAnsi"/>
          <w:bCs/>
          <w:sz w:val="22"/>
          <w:szCs w:val="22"/>
        </w:rPr>
        <w:t>1</w:t>
      </w:r>
      <w:r w:rsidRPr="00BB351D">
        <w:rPr>
          <w:rFonts w:asciiTheme="minorHAnsi" w:hAnsiTheme="minorHAnsi" w:cstheme="minorHAnsi"/>
          <w:bCs/>
          <w:sz w:val="22"/>
          <w:szCs w:val="22"/>
        </w:rPr>
        <w:t xml:space="preserve"> page (internal page numbering within that document differs).</w:t>
      </w:r>
    </w:p>
    <w:tbl>
      <w:tblPr>
        <w:tblStyle w:val="TableGrid"/>
        <w:tblW w:w="10345" w:type="dxa"/>
        <w:tblLayout w:type="fixed"/>
        <w:tblLook w:val="04A0"/>
      </w:tblPr>
      <w:tblGrid>
        <w:gridCol w:w="715"/>
        <w:gridCol w:w="4680"/>
        <w:gridCol w:w="4950"/>
      </w:tblGrid>
      <w:tr w14:paraId="784291B5" w14:textId="77777777" w:rsidTr="00D03679">
        <w:tblPrEx>
          <w:tblW w:w="10345" w:type="dxa"/>
          <w:tblLayout w:type="fixed"/>
          <w:tblLook w:val="04A0"/>
        </w:tblPrEx>
        <w:tc>
          <w:tcPr>
            <w:tcW w:w="715" w:type="dxa"/>
          </w:tcPr>
          <w:p w:rsidR="00FF53A9" w:rsidRPr="00BB351D" w:rsidP="00D03679" w14:paraId="17B6D402" w14:textId="77777777">
            <w:pPr>
              <w:rPr>
                <w:rFonts w:asciiTheme="minorHAnsi" w:hAnsiTheme="minorHAnsi" w:cstheme="minorHAnsi"/>
                <w:b/>
                <w:sz w:val="22"/>
                <w:szCs w:val="22"/>
              </w:rPr>
            </w:pPr>
            <w:r w:rsidRPr="00BB351D">
              <w:rPr>
                <w:rFonts w:asciiTheme="minorHAnsi" w:hAnsiTheme="minorHAnsi" w:cstheme="minorHAnsi"/>
                <w:b/>
                <w:sz w:val="22"/>
                <w:szCs w:val="22"/>
              </w:rPr>
              <w:t>Page no.</w:t>
            </w:r>
          </w:p>
        </w:tc>
        <w:tc>
          <w:tcPr>
            <w:tcW w:w="4680" w:type="dxa"/>
          </w:tcPr>
          <w:p w:rsidR="00FF53A9" w:rsidRPr="00BB351D" w:rsidP="001531BD" w14:paraId="5BF0162F" w14:textId="77777777">
            <w:pPr>
              <w:jc w:val="center"/>
              <w:rPr>
                <w:rFonts w:asciiTheme="minorHAnsi" w:hAnsiTheme="minorHAnsi" w:cstheme="minorHAnsi"/>
                <w:b/>
                <w:sz w:val="22"/>
                <w:szCs w:val="22"/>
              </w:rPr>
            </w:pPr>
          </w:p>
          <w:p w:rsidR="00FF53A9" w:rsidRPr="00BB351D" w:rsidP="001531BD" w14:paraId="248FF187" w14:textId="494D87BE">
            <w:pPr>
              <w:jc w:val="center"/>
              <w:rPr>
                <w:rFonts w:asciiTheme="minorHAnsi" w:hAnsiTheme="minorHAnsi" w:cstheme="minorHAnsi"/>
                <w:b/>
                <w:sz w:val="22"/>
                <w:szCs w:val="22"/>
              </w:rPr>
            </w:pPr>
            <w:r w:rsidRPr="00BB351D">
              <w:rPr>
                <w:rFonts w:asciiTheme="minorHAnsi" w:hAnsiTheme="minorHAnsi" w:cstheme="minorHAnsi"/>
                <w:b/>
                <w:sz w:val="22"/>
                <w:szCs w:val="22"/>
              </w:rPr>
              <w:t>Summary of comment</w:t>
            </w:r>
            <w:r>
              <w:rPr>
                <w:rFonts w:asciiTheme="minorHAnsi" w:hAnsiTheme="minorHAnsi" w:cstheme="minorHAnsi"/>
                <w:b/>
                <w:sz w:val="22"/>
                <w:szCs w:val="22"/>
              </w:rPr>
              <w:t>s</w:t>
            </w:r>
          </w:p>
        </w:tc>
        <w:tc>
          <w:tcPr>
            <w:tcW w:w="4950" w:type="dxa"/>
          </w:tcPr>
          <w:p w:rsidR="00FF53A9" w:rsidRPr="00BB351D" w:rsidP="001531BD" w14:paraId="41318376" w14:textId="77777777">
            <w:pPr>
              <w:jc w:val="center"/>
              <w:rPr>
                <w:rFonts w:asciiTheme="minorHAnsi" w:hAnsiTheme="minorHAnsi" w:cstheme="minorHAnsi"/>
                <w:b/>
                <w:sz w:val="22"/>
                <w:szCs w:val="22"/>
              </w:rPr>
            </w:pPr>
          </w:p>
          <w:p w:rsidR="00FF53A9" w:rsidRPr="00BB351D" w:rsidP="001531BD" w14:paraId="238D2148" w14:textId="77777777">
            <w:pPr>
              <w:jc w:val="center"/>
              <w:rPr>
                <w:rFonts w:asciiTheme="minorHAnsi" w:hAnsiTheme="minorHAnsi" w:cstheme="minorHAnsi"/>
                <w:b/>
                <w:sz w:val="22"/>
                <w:szCs w:val="22"/>
              </w:rPr>
            </w:pPr>
            <w:r w:rsidRPr="00BB351D">
              <w:rPr>
                <w:rFonts w:asciiTheme="minorHAnsi" w:hAnsiTheme="minorHAnsi" w:cstheme="minorHAnsi"/>
                <w:b/>
                <w:sz w:val="22"/>
                <w:szCs w:val="22"/>
              </w:rPr>
              <w:t>Response to OMB</w:t>
            </w:r>
          </w:p>
        </w:tc>
      </w:tr>
      <w:tr w14:paraId="22B39493" w14:textId="77777777" w:rsidTr="00D03679">
        <w:tblPrEx>
          <w:tblW w:w="10345" w:type="dxa"/>
          <w:tblLayout w:type="fixed"/>
          <w:tblLook w:val="04A0"/>
        </w:tblPrEx>
        <w:tc>
          <w:tcPr>
            <w:tcW w:w="715" w:type="dxa"/>
          </w:tcPr>
          <w:p w:rsidR="00FF53A9" w:rsidRPr="00BB351D" w:rsidP="00D03679" w14:paraId="2CDCC2B1" w14:textId="77777777">
            <w:pPr>
              <w:rPr>
                <w:rFonts w:asciiTheme="minorHAnsi" w:hAnsiTheme="minorHAnsi" w:cstheme="minorHAnsi"/>
                <w:bCs/>
                <w:sz w:val="22"/>
                <w:szCs w:val="22"/>
              </w:rPr>
            </w:pPr>
            <w:r>
              <w:rPr>
                <w:rFonts w:asciiTheme="minorHAnsi" w:hAnsiTheme="minorHAnsi" w:cstheme="minorHAnsi"/>
                <w:bCs/>
                <w:sz w:val="22"/>
                <w:szCs w:val="22"/>
              </w:rPr>
              <w:t>1</w:t>
            </w:r>
          </w:p>
        </w:tc>
        <w:tc>
          <w:tcPr>
            <w:tcW w:w="4680" w:type="dxa"/>
          </w:tcPr>
          <w:p w:rsidR="00FF53A9" w:rsidRPr="00BB351D" w:rsidP="00D03679" w14:paraId="42A46EF5" w14:textId="77777777">
            <w:pPr>
              <w:rPr>
                <w:rFonts w:asciiTheme="minorHAnsi" w:hAnsiTheme="minorHAnsi" w:cstheme="minorHAnsi"/>
                <w:bCs/>
                <w:sz w:val="22"/>
                <w:szCs w:val="22"/>
              </w:rPr>
            </w:pPr>
            <w:r>
              <w:rPr>
                <w:rFonts w:asciiTheme="minorHAnsi" w:hAnsiTheme="minorHAnsi" w:cstheme="minorHAnsi"/>
                <w:bCs/>
                <w:sz w:val="22"/>
                <w:szCs w:val="22"/>
              </w:rPr>
              <w:t xml:space="preserve">Increase the size of Box 2d to the size of Box 1, so </w:t>
            </w:r>
            <w:r>
              <w:rPr>
                <w:rFonts w:asciiTheme="minorHAnsi" w:hAnsiTheme="minorHAnsi" w:cstheme="minorHAnsi"/>
                <w:bCs/>
                <w:sz w:val="22"/>
                <w:szCs w:val="22"/>
              </w:rPr>
              <w:t>the 17 digits can clearly be read.</w:t>
            </w:r>
          </w:p>
        </w:tc>
        <w:tc>
          <w:tcPr>
            <w:tcW w:w="4950" w:type="dxa"/>
          </w:tcPr>
          <w:p w:rsidR="00FF53A9" w:rsidRPr="00BB351D" w:rsidP="00D03679" w14:paraId="39418C63" w14:textId="005FFACC">
            <w:pPr>
              <w:rPr>
                <w:rFonts w:asciiTheme="minorHAnsi" w:hAnsiTheme="minorHAnsi" w:cstheme="minorHAnsi"/>
                <w:bCs/>
                <w:sz w:val="22"/>
                <w:szCs w:val="22"/>
              </w:rPr>
            </w:pPr>
            <w:r>
              <w:rPr>
                <w:rFonts w:asciiTheme="minorHAnsi" w:hAnsiTheme="minorHAnsi" w:cstheme="minorHAnsi"/>
                <w:bCs/>
                <w:sz w:val="22"/>
                <w:szCs w:val="22"/>
              </w:rPr>
              <w:t xml:space="preserve">IRS has no plans </w:t>
            </w:r>
            <w:r>
              <w:rPr>
                <w:rFonts w:asciiTheme="minorHAnsi" w:hAnsiTheme="minorHAnsi" w:cstheme="minorHAnsi"/>
                <w:bCs/>
                <w:sz w:val="22"/>
                <w:szCs w:val="22"/>
              </w:rPr>
              <w:t>at this time</w:t>
            </w:r>
            <w:r>
              <w:rPr>
                <w:rFonts w:asciiTheme="minorHAnsi" w:hAnsiTheme="minorHAnsi" w:cstheme="minorHAnsi"/>
                <w:bCs/>
                <w:sz w:val="22"/>
                <w:szCs w:val="22"/>
              </w:rPr>
              <w:t xml:space="preserve"> to increase the size of </w:t>
            </w:r>
            <w:r>
              <w:rPr>
                <w:rFonts w:asciiTheme="minorHAnsi" w:hAnsiTheme="minorHAnsi" w:cstheme="minorHAnsi"/>
                <w:bCs/>
                <w:sz w:val="22"/>
                <w:szCs w:val="22"/>
              </w:rPr>
              <w:t>box 2d.</w:t>
            </w:r>
          </w:p>
        </w:tc>
      </w:tr>
      <w:bookmarkEnd w:id="1"/>
    </w:tbl>
    <w:p w:rsidR="00FF53A9" w14:paraId="7B8D79F7" w14:textId="77777777">
      <w:pPr>
        <w:widowControl/>
        <w:autoSpaceDE/>
        <w:autoSpaceDN/>
        <w:adjustRightInd/>
        <w:rPr>
          <w:rFonts w:ascii="Courier New" w:hAnsi="Courier New" w:cs="Courier New"/>
        </w:rPr>
      </w:pPr>
    </w:p>
    <w:p w:rsidR="003D69BE" w14:paraId="355EB2DB" w14:textId="77777777">
      <w:pPr>
        <w:widowControl/>
        <w:autoSpaceDE/>
        <w:autoSpaceDN/>
        <w:adjustRightInd/>
        <w:rPr>
          <w:rFonts w:ascii="Courier New" w:hAnsi="Courier New" w:cs="Courier New"/>
        </w:rPr>
      </w:pPr>
    </w:p>
    <w:p w:rsidR="003D69BE" w:rsidRPr="00BB351D" w:rsidP="003D69BE" w14:paraId="6A70FF4E" w14:textId="5FD94EE7">
      <w:pPr>
        <w:jc w:val="center"/>
        <w:rPr>
          <w:rFonts w:asciiTheme="minorHAnsi" w:hAnsiTheme="minorHAnsi" w:cstheme="minorHAnsi"/>
          <w:b/>
          <w:sz w:val="22"/>
          <w:szCs w:val="22"/>
        </w:rPr>
      </w:pPr>
      <w:r>
        <w:rPr>
          <w:rFonts w:asciiTheme="minorHAnsi" w:hAnsiTheme="minorHAnsi" w:cstheme="minorHAnsi"/>
          <w:b/>
          <w:sz w:val="22"/>
          <w:szCs w:val="22"/>
        </w:rPr>
        <w:t>America’s Credit Unions</w:t>
      </w:r>
      <w:r w:rsidRPr="00BB351D">
        <w:rPr>
          <w:rFonts w:asciiTheme="minorHAnsi" w:hAnsiTheme="minorHAnsi" w:cstheme="minorHAnsi"/>
          <w:b/>
          <w:sz w:val="22"/>
          <w:szCs w:val="22"/>
        </w:rPr>
        <w:t xml:space="preserve"> dated </w:t>
      </w:r>
      <w:r>
        <w:rPr>
          <w:rFonts w:asciiTheme="minorHAnsi" w:hAnsiTheme="minorHAnsi" w:cstheme="minorHAnsi"/>
          <w:b/>
          <w:sz w:val="22"/>
          <w:szCs w:val="22"/>
        </w:rPr>
        <w:t>January 26, 2026,</w:t>
      </w:r>
      <w:r w:rsidRPr="00BB351D">
        <w:rPr>
          <w:rFonts w:asciiTheme="minorHAnsi" w:hAnsiTheme="minorHAnsi" w:cstheme="minorHAnsi"/>
          <w:b/>
          <w:sz w:val="22"/>
          <w:szCs w:val="22"/>
        </w:rPr>
        <w:t xml:space="preserve"> </w:t>
      </w:r>
      <w:r w:rsidRPr="00BB351D">
        <w:rPr>
          <w:rFonts w:asciiTheme="minorHAnsi" w:hAnsiTheme="minorHAnsi" w:cstheme="minorHAnsi"/>
          <w:b/>
          <w:sz w:val="22"/>
          <w:szCs w:val="22"/>
        </w:rPr>
        <w:br/>
      </w:r>
      <w:r>
        <w:rPr>
          <w:rFonts w:asciiTheme="minorHAnsi" w:hAnsiTheme="minorHAnsi" w:cstheme="minorHAnsi"/>
          <w:b/>
          <w:sz w:val="22"/>
          <w:szCs w:val="22"/>
        </w:rPr>
        <w:t xml:space="preserve">Reporting Form 1098-VLI </w:t>
      </w:r>
    </w:p>
    <w:p w:rsidR="003D69BE" w:rsidRPr="00BB351D" w:rsidP="003D69BE" w14:paraId="0BFF4A7A" w14:textId="77777777">
      <w:pPr>
        <w:rPr>
          <w:rFonts w:asciiTheme="minorHAnsi" w:hAnsiTheme="minorHAnsi" w:cstheme="minorHAnsi"/>
          <w:bCs/>
          <w:sz w:val="22"/>
          <w:szCs w:val="22"/>
        </w:rPr>
      </w:pPr>
      <w:r w:rsidRPr="00BB351D">
        <w:rPr>
          <w:rFonts w:asciiTheme="minorHAnsi" w:hAnsiTheme="minorHAnsi" w:cstheme="minorHAnsi"/>
          <w:bCs/>
          <w:sz w:val="22"/>
          <w:szCs w:val="22"/>
        </w:rPr>
        <w:t xml:space="preserve">Note: Page numbers are based on the PDF document consisting of </w:t>
      </w:r>
      <w:r>
        <w:rPr>
          <w:rFonts w:asciiTheme="minorHAnsi" w:hAnsiTheme="minorHAnsi" w:cstheme="minorHAnsi"/>
          <w:bCs/>
          <w:sz w:val="22"/>
          <w:szCs w:val="22"/>
        </w:rPr>
        <w:t>1</w:t>
      </w:r>
      <w:r w:rsidRPr="00BB351D">
        <w:rPr>
          <w:rFonts w:asciiTheme="minorHAnsi" w:hAnsiTheme="minorHAnsi" w:cstheme="minorHAnsi"/>
          <w:bCs/>
          <w:sz w:val="22"/>
          <w:szCs w:val="22"/>
        </w:rPr>
        <w:t xml:space="preserve"> page (internal page numbering within that document differs).</w:t>
      </w:r>
    </w:p>
    <w:tbl>
      <w:tblPr>
        <w:tblStyle w:val="TableGrid"/>
        <w:tblW w:w="10345" w:type="dxa"/>
        <w:tblLayout w:type="fixed"/>
        <w:tblLook w:val="04A0"/>
      </w:tblPr>
      <w:tblGrid>
        <w:gridCol w:w="715"/>
        <w:gridCol w:w="4770"/>
        <w:gridCol w:w="4860"/>
      </w:tblGrid>
      <w:tr w14:paraId="7D857E08" w14:textId="77777777" w:rsidTr="00A33D74">
        <w:tblPrEx>
          <w:tblW w:w="10345" w:type="dxa"/>
          <w:tblLayout w:type="fixed"/>
          <w:tblLook w:val="04A0"/>
        </w:tblPrEx>
        <w:tc>
          <w:tcPr>
            <w:tcW w:w="715" w:type="dxa"/>
          </w:tcPr>
          <w:p w:rsidR="003D69BE" w:rsidRPr="00BB351D" w:rsidP="00FC15AB" w14:paraId="5BD8D674" w14:textId="77777777">
            <w:pPr>
              <w:rPr>
                <w:rFonts w:asciiTheme="minorHAnsi" w:hAnsiTheme="minorHAnsi" w:cstheme="minorHAnsi"/>
                <w:b/>
                <w:sz w:val="22"/>
                <w:szCs w:val="22"/>
              </w:rPr>
            </w:pPr>
            <w:r w:rsidRPr="00BB351D">
              <w:rPr>
                <w:rFonts w:asciiTheme="minorHAnsi" w:hAnsiTheme="minorHAnsi" w:cstheme="minorHAnsi"/>
                <w:b/>
                <w:sz w:val="22"/>
                <w:szCs w:val="22"/>
              </w:rPr>
              <w:t>Page no.</w:t>
            </w:r>
          </w:p>
        </w:tc>
        <w:tc>
          <w:tcPr>
            <w:tcW w:w="4770" w:type="dxa"/>
          </w:tcPr>
          <w:p w:rsidR="003D69BE" w:rsidRPr="00BB351D" w:rsidP="001531BD" w14:paraId="28A7F975" w14:textId="77777777">
            <w:pPr>
              <w:jc w:val="center"/>
              <w:rPr>
                <w:rFonts w:asciiTheme="minorHAnsi" w:hAnsiTheme="minorHAnsi" w:cstheme="minorHAnsi"/>
                <w:b/>
                <w:sz w:val="22"/>
                <w:szCs w:val="22"/>
              </w:rPr>
            </w:pPr>
          </w:p>
          <w:p w:rsidR="003D69BE" w:rsidRPr="00BB351D" w:rsidP="001531BD" w14:paraId="4F19C4C3" w14:textId="21A13988">
            <w:pPr>
              <w:jc w:val="center"/>
              <w:rPr>
                <w:rFonts w:asciiTheme="minorHAnsi" w:hAnsiTheme="minorHAnsi" w:cstheme="minorHAnsi"/>
                <w:b/>
                <w:sz w:val="22"/>
                <w:szCs w:val="22"/>
              </w:rPr>
            </w:pPr>
            <w:r w:rsidRPr="00BB351D">
              <w:rPr>
                <w:rFonts w:asciiTheme="minorHAnsi" w:hAnsiTheme="minorHAnsi" w:cstheme="minorHAnsi"/>
                <w:b/>
                <w:sz w:val="22"/>
                <w:szCs w:val="22"/>
              </w:rPr>
              <w:t>Summary</w:t>
            </w:r>
            <w:r>
              <w:rPr>
                <w:rFonts w:asciiTheme="minorHAnsi" w:hAnsiTheme="minorHAnsi" w:cstheme="minorHAnsi"/>
                <w:b/>
                <w:sz w:val="22"/>
                <w:szCs w:val="22"/>
              </w:rPr>
              <w:t xml:space="preserve"> </w:t>
            </w:r>
            <w:r w:rsidR="00A33D74">
              <w:rPr>
                <w:rFonts w:asciiTheme="minorHAnsi" w:hAnsiTheme="minorHAnsi" w:cstheme="minorHAnsi"/>
                <w:b/>
                <w:sz w:val="22"/>
                <w:szCs w:val="22"/>
              </w:rPr>
              <w:t>of c</w:t>
            </w:r>
            <w:r w:rsidRPr="00BB351D">
              <w:rPr>
                <w:rFonts w:asciiTheme="minorHAnsi" w:hAnsiTheme="minorHAnsi" w:cstheme="minorHAnsi"/>
                <w:b/>
                <w:sz w:val="22"/>
                <w:szCs w:val="22"/>
              </w:rPr>
              <w:t>omment</w:t>
            </w:r>
            <w:r>
              <w:rPr>
                <w:rFonts w:asciiTheme="minorHAnsi" w:hAnsiTheme="minorHAnsi" w:cstheme="minorHAnsi"/>
                <w:b/>
                <w:sz w:val="22"/>
                <w:szCs w:val="22"/>
              </w:rPr>
              <w:t>s</w:t>
            </w:r>
          </w:p>
        </w:tc>
        <w:tc>
          <w:tcPr>
            <w:tcW w:w="4860" w:type="dxa"/>
          </w:tcPr>
          <w:p w:rsidR="003D69BE" w:rsidRPr="00BB351D" w:rsidP="001531BD" w14:paraId="2A9E3CB7" w14:textId="77777777">
            <w:pPr>
              <w:jc w:val="center"/>
              <w:rPr>
                <w:rFonts w:asciiTheme="minorHAnsi" w:hAnsiTheme="minorHAnsi" w:cstheme="minorHAnsi"/>
                <w:b/>
                <w:sz w:val="22"/>
                <w:szCs w:val="22"/>
              </w:rPr>
            </w:pPr>
          </w:p>
          <w:p w:rsidR="003D69BE" w:rsidRPr="00BB351D" w:rsidP="001531BD" w14:paraId="138C0416" w14:textId="77777777">
            <w:pPr>
              <w:jc w:val="center"/>
              <w:rPr>
                <w:rFonts w:asciiTheme="minorHAnsi" w:hAnsiTheme="minorHAnsi" w:cstheme="minorHAnsi"/>
                <w:b/>
                <w:sz w:val="22"/>
                <w:szCs w:val="22"/>
              </w:rPr>
            </w:pPr>
            <w:r w:rsidRPr="00BB351D">
              <w:rPr>
                <w:rFonts w:asciiTheme="minorHAnsi" w:hAnsiTheme="minorHAnsi" w:cstheme="minorHAnsi"/>
                <w:b/>
                <w:sz w:val="22"/>
                <w:szCs w:val="22"/>
              </w:rPr>
              <w:t>Response to OMB</w:t>
            </w:r>
          </w:p>
        </w:tc>
      </w:tr>
      <w:tr w14:paraId="4B99E496" w14:textId="77777777" w:rsidTr="00A33D74">
        <w:tblPrEx>
          <w:tblW w:w="10345" w:type="dxa"/>
          <w:tblLayout w:type="fixed"/>
          <w:tblLook w:val="04A0"/>
        </w:tblPrEx>
        <w:tc>
          <w:tcPr>
            <w:tcW w:w="715" w:type="dxa"/>
          </w:tcPr>
          <w:p w:rsidR="003D69BE" w:rsidRPr="00BB351D" w:rsidP="00FC15AB" w14:paraId="0540E209" w14:textId="55B96972">
            <w:pPr>
              <w:rPr>
                <w:rFonts w:asciiTheme="minorHAnsi" w:hAnsiTheme="minorHAnsi" w:cstheme="minorHAnsi"/>
                <w:bCs/>
                <w:sz w:val="22"/>
                <w:szCs w:val="22"/>
              </w:rPr>
            </w:pPr>
            <w:r>
              <w:rPr>
                <w:rFonts w:asciiTheme="minorHAnsi" w:hAnsiTheme="minorHAnsi" w:cstheme="minorHAnsi"/>
                <w:bCs/>
                <w:sz w:val="22"/>
                <w:szCs w:val="22"/>
              </w:rPr>
              <w:t>1-2</w:t>
            </w:r>
          </w:p>
        </w:tc>
        <w:tc>
          <w:tcPr>
            <w:tcW w:w="4770" w:type="dxa"/>
          </w:tcPr>
          <w:p w:rsidR="00A33D74" w:rsidRPr="00A33D74" w:rsidP="00A33D74" w14:paraId="252C20C1" w14:textId="67EBB017">
            <w:pPr>
              <w:rPr>
                <w:rFonts w:asciiTheme="minorHAnsi" w:hAnsiTheme="minorHAnsi" w:cstheme="minorHAnsi"/>
                <w:bCs/>
                <w:color w:val="FF0000"/>
                <w:sz w:val="22"/>
                <w:szCs w:val="22"/>
              </w:rPr>
            </w:pPr>
            <w:r w:rsidRPr="00EA6996">
              <w:rPr>
                <w:rFonts w:asciiTheme="minorHAnsi" w:hAnsiTheme="minorHAnsi" w:cstheme="minorHAnsi"/>
                <w:bCs/>
                <w:sz w:val="22"/>
                <w:szCs w:val="22"/>
              </w:rPr>
              <w:t>They</w:t>
            </w:r>
            <w:r w:rsidRPr="00EA6996" w:rsidR="003D69BE">
              <w:rPr>
                <w:rFonts w:asciiTheme="minorHAnsi" w:hAnsiTheme="minorHAnsi" w:cstheme="minorHAnsi"/>
                <w:bCs/>
                <w:sz w:val="22"/>
                <w:szCs w:val="22"/>
              </w:rPr>
              <w:t xml:space="preserve"> do not have access to all relevant information to determine if a vehicle qualifies. </w:t>
            </w:r>
            <w:r w:rsidRPr="00A33D74">
              <w:rPr>
                <w:rFonts w:asciiTheme="minorHAnsi" w:hAnsiTheme="minorHAnsi" w:cstheme="minorHAnsi"/>
                <w:color w:val="000000"/>
                <w:sz w:val="22"/>
                <w:szCs w:val="22"/>
              </w:rPr>
              <w:t>They encourage the IRS to allow lenders to report interest for all vehicle loans above the reporting threshold, even when eligibility is uncertain.</w:t>
            </w:r>
          </w:p>
        </w:tc>
        <w:tc>
          <w:tcPr>
            <w:tcW w:w="4860" w:type="dxa"/>
          </w:tcPr>
          <w:p w:rsidR="003B45B6" w:rsidP="00FC15AB" w14:paraId="37975408" w14:textId="41599C69">
            <w:pPr>
              <w:rPr>
                <w:rFonts w:asciiTheme="minorHAnsi" w:hAnsiTheme="minorHAnsi" w:cstheme="minorHAnsi"/>
                <w:bCs/>
                <w:sz w:val="22"/>
                <w:szCs w:val="22"/>
              </w:rPr>
            </w:pPr>
            <w:r>
              <w:rPr>
                <w:rFonts w:asciiTheme="minorHAnsi" w:hAnsiTheme="minorHAnsi" w:cstheme="minorHAnsi"/>
                <w:bCs/>
                <w:sz w:val="22"/>
                <w:szCs w:val="22"/>
              </w:rPr>
              <w:t xml:space="preserve">Requiring interest recipients to report interest on all vehicle loans </w:t>
            </w:r>
            <w:r w:rsidR="007747D6">
              <w:rPr>
                <w:rFonts w:asciiTheme="minorHAnsi" w:hAnsiTheme="minorHAnsi" w:cstheme="minorHAnsi"/>
                <w:bCs/>
                <w:sz w:val="22"/>
                <w:szCs w:val="22"/>
              </w:rPr>
              <w:t xml:space="preserve">above the reporting threshold </w:t>
            </w:r>
            <w:r>
              <w:rPr>
                <w:rFonts w:asciiTheme="minorHAnsi" w:hAnsiTheme="minorHAnsi" w:cstheme="minorHAnsi"/>
                <w:bCs/>
                <w:sz w:val="22"/>
                <w:szCs w:val="22"/>
              </w:rPr>
              <w:t xml:space="preserve">would exceed IRS’s statutory authority. </w:t>
            </w:r>
            <w:r w:rsidR="0073541E">
              <w:rPr>
                <w:rFonts w:asciiTheme="minorHAnsi" w:hAnsiTheme="minorHAnsi" w:cstheme="minorHAnsi"/>
                <w:bCs/>
                <w:sz w:val="22"/>
                <w:szCs w:val="22"/>
              </w:rPr>
              <w:t>There is a statutory requirement that interest recipients must report on</w:t>
            </w:r>
            <w:r w:rsidR="00013E05">
              <w:rPr>
                <w:rFonts w:asciiTheme="minorHAnsi" w:hAnsiTheme="minorHAnsi" w:cstheme="minorHAnsi"/>
                <w:bCs/>
                <w:sz w:val="22"/>
                <w:szCs w:val="22"/>
              </w:rPr>
              <w:t xml:space="preserve"> interest received on a “specified passenger vehicle loan.” </w:t>
            </w:r>
            <w:r w:rsidR="00E94881">
              <w:rPr>
                <w:rFonts w:asciiTheme="minorHAnsi" w:hAnsiTheme="minorHAnsi" w:cstheme="minorHAnsi"/>
                <w:bCs/>
                <w:sz w:val="22"/>
                <w:szCs w:val="22"/>
              </w:rPr>
              <w:t>Section 6050AA</w:t>
            </w:r>
            <w:r w:rsidR="00D3040E">
              <w:rPr>
                <w:rFonts w:asciiTheme="minorHAnsi" w:hAnsiTheme="minorHAnsi" w:cstheme="minorHAnsi"/>
                <w:bCs/>
                <w:sz w:val="22"/>
                <w:szCs w:val="22"/>
              </w:rPr>
              <w:t>(d)(2)</w:t>
            </w:r>
            <w:r w:rsidR="00E94881">
              <w:rPr>
                <w:rFonts w:asciiTheme="minorHAnsi" w:hAnsiTheme="minorHAnsi" w:cstheme="minorHAnsi"/>
                <w:bCs/>
                <w:sz w:val="22"/>
                <w:szCs w:val="22"/>
              </w:rPr>
              <w:t xml:space="preserve"> </w:t>
            </w:r>
            <w:r w:rsidR="00D3040E">
              <w:rPr>
                <w:rFonts w:asciiTheme="minorHAnsi" w:hAnsiTheme="minorHAnsi" w:cstheme="minorHAnsi"/>
                <w:bCs/>
                <w:sz w:val="22"/>
                <w:szCs w:val="22"/>
              </w:rPr>
              <w:t>defines a “specified passenger vehicle loan” as indebte</w:t>
            </w:r>
            <w:r w:rsidR="001E5085">
              <w:rPr>
                <w:rFonts w:asciiTheme="minorHAnsi" w:hAnsiTheme="minorHAnsi" w:cstheme="minorHAnsi"/>
                <w:bCs/>
                <w:sz w:val="22"/>
                <w:szCs w:val="22"/>
              </w:rPr>
              <w:t xml:space="preserve">dness described in §163(h)(4)(B) with respect to any “applicable passenger vehicle.” </w:t>
            </w:r>
          </w:p>
          <w:p w:rsidR="003B45B6" w:rsidP="00FC15AB" w14:paraId="2D72ED06" w14:textId="77777777">
            <w:pPr>
              <w:rPr>
                <w:rFonts w:asciiTheme="minorHAnsi" w:hAnsiTheme="minorHAnsi" w:cstheme="minorHAnsi"/>
                <w:bCs/>
                <w:sz w:val="22"/>
                <w:szCs w:val="22"/>
              </w:rPr>
            </w:pPr>
          </w:p>
          <w:p w:rsidR="003D69BE" w:rsidRPr="00BB351D" w:rsidP="00FC15AB" w14:paraId="28F14968" w14:textId="4DA52995">
            <w:pPr>
              <w:rPr>
                <w:rFonts w:asciiTheme="minorHAnsi" w:hAnsiTheme="minorHAnsi" w:cstheme="minorHAnsi"/>
                <w:bCs/>
                <w:sz w:val="22"/>
                <w:szCs w:val="22"/>
              </w:rPr>
            </w:pPr>
            <w:r>
              <w:rPr>
                <w:rFonts w:asciiTheme="minorHAnsi" w:hAnsiTheme="minorHAnsi" w:cstheme="minorHAnsi"/>
                <w:bCs/>
                <w:sz w:val="22"/>
                <w:szCs w:val="22"/>
              </w:rPr>
              <w:t xml:space="preserve">Section 6050AA(d)(1) provides </w:t>
            </w:r>
            <w:r w:rsidR="007747D6">
              <w:rPr>
                <w:rFonts w:asciiTheme="minorHAnsi" w:hAnsiTheme="minorHAnsi" w:cstheme="minorHAnsi"/>
                <w:bCs/>
                <w:sz w:val="22"/>
                <w:szCs w:val="22"/>
              </w:rPr>
              <w:t xml:space="preserve">that </w:t>
            </w:r>
            <w:r>
              <w:rPr>
                <w:rFonts w:asciiTheme="minorHAnsi" w:hAnsiTheme="minorHAnsi" w:cstheme="minorHAnsi"/>
                <w:bCs/>
                <w:sz w:val="22"/>
                <w:szCs w:val="22"/>
              </w:rPr>
              <w:t xml:space="preserve">terms used in §6050AA which are also used in §163(h)(4) shall have the same meaning. </w:t>
            </w:r>
            <w:r w:rsidR="000F1AB8">
              <w:rPr>
                <w:rFonts w:asciiTheme="minorHAnsi" w:hAnsiTheme="minorHAnsi" w:cstheme="minorHAnsi"/>
                <w:bCs/>
                <w:sz w:val="22"/>
                <w:szCs w:val="22"/>
              </w:rPr>
              <w:t>The term “applicable passenger vehicle” is defined in §163(H)(4)(D).</w:t>
            </w:r>
            <w:r w:rsidR="0073541E">
              <w:rPr>
                <w:rFonts w:asciiTheme="minorHAnsi" w:hAnsiTheme="minorHAnsi" w:cstheme="minorHAnsi"/>
                <w:bCs/>
                <w:sz w:val="22"/>
                <w:szCs w:val="22"/>
              </w:rPr>
              <w:t xml:space="preserve"> </w:t>
            </w:r>
          </w:p>
        </w:tc>
      </w:tr>
      <w:tr w14:paraId="1211F167" w14:textId="77777777" w:rsidTr="00A33D74">
        <w:tblPrEx>
          <w:tblW w:w="10345" w:type="dxa"/>
          <w:tblLayout w:type="fixed"/>
          <w:tblLook w:val="04A0"/>
        </w:tblPrEx>
        <w:tc>
          <w:tcPr>
            <w:tcW w:w="715" w:type="dxa"/>
          </w:tcPr>
          <w:p w:rsidR="00113940" w:rsidP="00FC15AB" w14:paraId="50EF1790" w14:textId="0DA314F5">
            <w:pPr>
              <w:rPr>
                <w:rFonts w:asciiTheme="minorHAnsi" w:hAnsiTheme="minorHAnsi" w:cstheme="minorHAnsi"/>
                <w:bCs/>
                <w:sz w:val="22"/>
                <w:szCs w:val="22"/>
              </w:rPr>
            </w:pPr>
            <w:r>
              <w:rPr>
                <w:rFonts w:asciiTheme="minorHAnsi" w:hAnsiTheme="minorHAnsi" w:cstheme="minorHAnsi"/>
                <w:bCs/>
                <w:sz w:val="22"/>
                <w:szCs w:val="22"/>
              </w:rPr>
              <w:t>2</w:t>
            </w:r>
            <w:r w:rsidR="00EA6996">
              <w:rPr>
                <w:rFonts w:asciiTheme="minorHAnsi" w:hAnsiTheme="minorHAnsi" w:cstheme="minorHAnsi"/>
                <w:bCs/>
                <w:sz w:val="22"/>
                <w:szCs w:val="22"/>
              </w:rPr>
              <w:t>-3</w:t>
            </w:r>
          </w:p>
        </w:tc>
        <w:tc>
          <w:tcPr>
            <w:tcW w:w="4770" w:type="dxa"/>
          </w:tcPr>
          <w:p w:rsidR="00A33D74" w:rsidRPr="001531BD" w:rsidP="00EA6996" w14:paraId="7F67C51A" w14:textId="6454DD9A">
            <w:pPr>
              <w:rPr>
                <w:rFonts w:asciiTheme="minorHAnsi" w:hAnsiTheme="minorHAnsi" w:cstheme="minorHAnsi"/>
                <w:bCs/>
                <w:sz w:val="22"/>
                <w:szCs w:val="22"/>
              </w:rPr>
            </w:pPr>
            <w:r w:rsidRPr="001531BD">
              <w:rPr>
                <w:rFonts w:asciiTheme="minorHAnsi" w:hAnsiTheme="minorHAnsi" w:cstheme="minorHAnsi"/>
                <w:bCs/>
                <w:sz w:val="22"/>
                <w:szCs w:val="22"/>
              </w:rPr>
              <w:t xml:space="preserve">They encourage the IRS to revise its </w:t>
            </w:r>
            <w:r w:rsidRPr="001531BD">
              <w:rPr>
                <w:rFonts w:asciiTheme="minorHAnsi" w:hAnsiTheme="minorHAnsi" w:cstheme="minorHAnsi"/>
                <w:bCs/>
                <w:sz w:val="22"/>
                <w:szCs w:val="22"/>
              </w:rPr>
              <w:t>burden estimates</w:t>
            </w:r>
            <w:r w:rsidRPr="001531BD">
              <w:rPr>
                <w:rFonts w:asciiTheme="minorHAnsi" w:hAnsiTheme="minorHAnsi" w:cstheme="minorHAnsi"/>
                <w:bCs/>
                <w:sz w:val="22"/>
                <w:szCs w:val="22"/>
              </w:rPr>
              <w:t>, so they better reflect the full cost of system changes and operational implementation</w:t>
            </w:r>
            <w:r w:rsidRPr="001531BD" w:rsidR="00EA6996">
              <w:rPr>
                <w:rFonts w:asciiTheme="minorHAnsi" w:hAnsiTheme="minorHAnsi" w:cstheme="minorHAnsi"/>
                <w:bCs/>
                <w:sz w:val="22"/>
                <w:szCs w:val="22"/>
              </w:rPr>
              <w:t>, including start-up and ongoing costs.</w:t>
            </w:r>
          </w:p>
        </w:tc>
        <w:tc>
          <w:tcPr>
            <w:tcW w:w="4860" w:type="dxa"/>
          </w:tcPr>
          <w:p w:rsidR="00834EEC" w:rsidRPr="00BB351D" w:rsidP="00FC15AB" w14:paraId="4B0175D3" w14:textId="7E0B914A">
            <w:pPr>
              <w:rPr>
                <w:rFonts w:asciiTheme="minorHAnsi" w:hAnsiTheme="minorHAnsi" w:cstheme="minorHAnsi"/>
                <w:bCs/>
                <w:sz w:val="22"/>
                <w:szCs w:val="22"/>
              </w:rPr>
            </w:pPr>
            <w:r>
              <w:rPr>
                <w:rFonts w:asciiTheme="minorHAnsi" w:hAnsiTheme="minorHAnsi" w:cstheme="minorHAnsi"/>
                <w:bCs/>
                <w:sz w:val="22"/>
                <w:szCs w:val="22"/>
              </w:rPr>
              <w:t>IRS</w:t>
            </w:r>
            <w:r w:rsidR="000207C5">
              <w:rPr>
                <w:rFonts w:asciiTheme="minorHAnsi" w:hAnsiTheme="minorHAnsi" w:cstheme="minorHAnsi"/>
                <w:bCs/>
                <w:sz w:val="22"/>
                <w:szCs w:val="22"/>
              </w:rPr>
              <w:t xml:space="preserve"> </w:t>
            </w:r>
            <w:r w:rsidR="00CA11CD">
              <w:rPr>
                <w:rFonts w:asciiTheme="minorHAnsi" w:hAnsiTheme="minorHAnsi" w:cstheme="minorHAnsi"/>
                <w:bCs/>
                <w:sz w:val="22"/>
                <w:szCs w:val="22"/>
              </w:rPr>
              <w:t xml:space="preserve">is </w:t>
            </w:r>
            <w:r w:rsidR="00017695">
              <w:rPr>
                <w:rFonts w:asciiTheme="minorHAnsi" w:hAnsiTheme="minorHAnsi" w:cstheme="minorHAnsi"/>
                <w:bCs/>
                <w:sz w:val="22"/>
                <w:szCs w:val="22"/>
              </w:rPr>
              <w:t>transiti</w:t>
            </w:r>
            <w:r w:rsidR="00E16C36">
              <w:rPr>
                <w:rFonts w:asciiTheme="minorHAnsi" w:hAnsiTheme="minorHAnsi" w:cstheme="minorHAnsi"/>
                <w:bCs/>
                <w:sz w:val="22"/>
                <w:szCs w:val="22"/>
              </w:rPr>
              <w:t>onin</w:t>
            </w:r>
            <w:r w:rsidR="00017695">
              <w:rPr>
                <w:rFonts w:asciiTheme="minorHAnsi" w:hAnsiTheme="minorHAnsi" w:cstheme="minorHAnsi"/>
                <w:bCs/>
                <w:sz w:val="22"/>
                <w:szCs w:val="22"/>
              </w:rPr>
              <w:t>g Information Return segment from</w:t>
            </w:r>
            <w:r>
              <w:rPr>
                <w:rFonts w:asciiTheme="minorHAnsi" w:hAnsiTheme="minorHAnsi" w:cstheme="minorHAnsi"/>
                <w:bCs/>
                <w:sz w:val="22"/>
                <w:szCs w:val="22"/>
              </w:rPr>
              <w:t xml:space="preserve"> a legacy ADL model to the IRS Taxpayer Burden Model. </w:t>
            </w:r>
            <w:r w:rsidRPr="00834EEC">
              <w:rPr>
                <w:rFonts w:asciiTheme="minorHAnsi" w:hAnsiTheme="minorHAnsi" w:cstheme="minorHAnsi"/>
                <w:bCs/>
                <w:sz w:val="22"/>
                <w:szCs w:val="22"/>
              </w:rPr>
              <w:t>The</w:t>
            </w:r>
            <w:r>
              <w:rPr>
                <w:rFonts w:asciiTheme="minorHAnsi" w:hAnsiTheme="minorHAnsi" w:cstheme="minorHAnsi"/>
                <w:bCs/>
                <w:sz w:val="22"/>
                <w:szCs w:val="22"/>
              </w:rPr>
              <w:t xml:space="preserve"> IRS Taxpayer Burden Model</w:t>
            </w:r>
            <w:r w:rsidRPr="00834EEC">
              <w:rPr>
                <w:rFonts w:asciiTheme="minorHAnsi" w:hAnsiTheme="minorHAnsi" w:cstheme="minorHAnsi"/>
                <w:bCs/>
                <w:sz w:val="22"/>
                <w:szCs w:val="22"/>
              </w:rPr>
              <w:t xml:space="preserve"> methodology controls the substitution of time and money by monetizing time and reporting total compliance costs in dollars. This methodology better reflects taxpayer compliance burden, because in a world of electronic tax preparation, time and out-of-pocket costs are governed by the information required rather than the form on which it is ultimately reported.</w:t>
            </w:r>
          </w:p>
        </w:tc>
      </w:tr>
      <w:tr w14:paraId="41013EE3" w14:textId="77777777" w:rsidTr="00A33D74">
        <w:tblPrEx>
          <w:tblW w:w="10345" w:type="dxa"/>
          <w:tblLayout w:type="fixed"/>
          <w:tblLook w:val="04A0"/>
        </w:tblPrEx>
        <w:tc>
          <w:tcPr>
            <w:tcW w:w="715" w:type="dxa"/>
          </w:tcPr>
          <w:p w:rsidR="003B12FB" w:rsidP="00FC15AB" w14:paraId="7E027620" w14:textId="054EB689">
            <w:pPr>
              <w:rPr>
                <w:rFonts w:asciiTheme="minorHAnsi" w:hAnsiTheme="minorHAnsi" w:cstheme="minorHAnsi"/>
                <w:bCs/>
                <w:sz w:val="22"/>
                <w:szCs w:val="22"/>
              </w:rPr>
            </w:pPr>
            <w:r>
              <w:rPr>
                <w:rFonts w:asciiTheme="minorHAnsi" w:hAnsiTheme="minorHAnsi" w:cstheme="minorHAnsi"/>
                <w:bCs/>
                <w:sz w:val="22"/>
                <w:szCs w:val="22"/>
              </w:rPr>
              <w:t>2</w:t>
            </w:r>
          </w:p>
        </w:tc>
        <w:tc>
          <w:tcPr>
            <w:tcW w:w="4770" w:type="dxa"/>
          </w:tcPr>
          <w:p w:rsidR="003B12FB" w:rsidRPr="001531BD" w:rsidP="00EA6996" w14:paraId="3F7AAABA" w14:textId="00C2F582">
            <w:pPr>
              <w:rPr>
                <w:rFonts w:asciiTheme="minorHAnsi" w:hAnsiTheme="minorHAnsi" w:cstheme="minorHAnsi"/>
                <w:bCs/>
                <w:sz w:val="22"/>
                <w:szCs w:val="22"/>
              </w:rPr>
            </w:pPr>
            <w:r w:rsidRPr="00FE7A08">
              <w:rPr>
                <w:rFonts w:asciiTheme="minorHAnsi" w:hAnsiTheme="minorHAnsi" w:cstheme="minorHAnsi"/>
                <w:bCs/>
                <w:sz w:val="22"/>
                <w:szCs w:val="22"/>
              </w:rPr>
              <w:t>To improve reporting accuracy and reduce compliance risk, the IRS should provide additional guidance and instructions addressing specific data elements included on the form.</w:t>
            </w:r>
            <w:r w:rsidRPr="00FE7A08" w:rsidR="00EA6996">
              <w:rPr>
                <w:rFonts w:asciiTheme="minorHAnsi" w:hAnsiTheme="minorHAnsi" w:cstheme="minorHAnsi"/>
                <w:bCs/>
                <w:sz w:val="22"/>
                <w:szCs w:val="22"/>
              </w:rPr>
              <w:t xml:space="preserve">  For example, how credit unions can provide information, i.e. VINs, model year, make and model, which are not always retained by existing systems.  How loan balances should be reported.</w:t>
            </w:r>
          </w:p>
        </w:tc>
        <w:tc>
          <w:tcPr>
            <w:tcW w:w="4860" w:type="dxa"/>
          </w:tcPr>
          <w:p w:rsidR="00D227A1" w:rsidP="00FC15AB" w14:paraId="513A1936" w14:textId="77777777">
            <w:pPr>
              <w:rPr>
                <w:rFonts w:asciiTheme="minorHAnsi" w:hAnsiTheme="minorHAnsi" w:cstheme="minorHAnsi"/>
                <w:bCs/>
                <w:sz w:val="22"/>
                <w:szCs w:val="22"/>
              </w:rPr>
            </w:pPr>
            <w:r>
              <w:rPr>
                <w:rFonts w:asciiTheme="minorHAnsi" w:hAnsiTheme="minorHAnsi" w:cstheme="minorHAnsi"/>
                <w:bCs/>
                <w:sz w:val="22"/>
                <w:szCs w:val="22"/>
              </w:rPr>
              <w:t xml:space="preserve">Reporting this information is required by statute. </w:t>
            </w:r>
            <w:r w:rsidR="00C65783">
              <w:rPr>
                <w:rFonts w:asciiTheme="minorHAnsi" w:hAnsiTheme="minorHAnsi" w:cstheme="minorHAnsi"/>
                <w:bCs/>
                <w:sz w:val="22"/>
                <w:szCs w:val="22"/>
              </w:rPr>
              <w:t xml:space="preserve">Section 6050AA(b)(1)(2)(E) provides the statutory authority for Form 1098-VLI to include the year, make, model and VIN of the applicable passenger vehicle. Section 6050AA(b)(1)(2)(C) </w:t>
            </w:r>
            <w:r w:rsidR="00BC4B16">
              <w:rPr>
                <w:rFonts w:asciiTheme="minorHAnsi" w:hAnsiTheme="minorHAnsi" w:cstheme="minorHAnsi"/>
                <w:bCs/>
                <w:sz w:val="22"/>
                <w:szCs w:val="22"/>
              </w:rPr>
              <w:t xml:space="preserve">provides the information return must contain the amount of outstanding principal on the specified passenger </w:t>
            </w:r>
            <w:r w:rsidR="008F7ED2">
              <w:rPr>
                <w:rFonts w:asciiTheme="minorHAnsi" w:hAnsiTheme="minorHAnsi" w:cstheme="minorHAnsi"/>
                <w:bCs/>
                <w:sz w:val="22"/>
                <w:szCs w:val="22"/>
              </w:rPr>
              <w:t>vehicle</w:t>
            </w:r>
            <w:r w:rsidR="00BC4B16">
              <w:rPr>
                <w:rFonts w:asciiTheme="minorHAnsi" w:hAnsiTheme="minorHAnsi" w:cstheme="minorHAnsi"/>
                <w:bCs/>
                <w:sz w:val="22"/>
                <w:szCs w:val="22"/>
              </w:rPr>
              <w:t xml:space="preserve"> loan as of the beginning of the calendar year. </w:t>
            </w:r>
          </w:p>
          <w:p w:rsidR="00D227A1" w:rsidP="00FC15AB" w14:paraId="7B2591EF" w14:textId="77777777">
            <w:pPr>
              <w:rPr>
                <w:rFonts w:asciiTheme="minorHAnsi" w:hAnsiTheme="minorHAnsi" w:cstheme="minorHAnsi"/>
                <w:bCs/>
                <w:sz w:val="22"/>
                <w:szCs w:val="22"/>
              </w:rPr>
            </w:pPr>
          </w:p>
          <w:p w:rsidR="003B12FB" w:rsidRPr="00BB351D" w:rsidP="00FC15AB" w14:paraId="5FF47A35" w14:textId="61C5C50E">
            <w:pPr>
              <w:rPr>
                <w:rFonts w:asciiTheme="minorHAnsi" w:hAnsiTheme="minorHAnsi" w:cstheme="minorHAnsi"/>
                <w:bCs/>
                <w:sz w:val="22"/>
                <w:szCs w:val="22"/>
              </w:rPr>
            </w:pPr>
            <w:r>
              <w:rPr>
                <w:rFonts w:asciiTheme="minorHAnsi" w:hAnsiTheme="minorHAnsi" w:cstheme="minorHAnsi"/>
                <w:bCs/>
                <w:sz w:val="22"/>
                <w:szCs w:val="22"/>
              </w:rPr>
              <w:t xml:space="preserve">The filing instructions provide additional guidance </w:t>
            </w:r>
            <w:r>
              <w:rPr>
                <w:rFonts w:asciiTheme="minorHAnsi" w:hAnsiTheme="minorHAnsi" w:cstheme="minorHAnsi"/>
                <w:bCs/>
                <w:sz w:val="22"/>
                <w:szCs w:val="22"/>
              </w:rPr>
              <w:t xml:space="preserve">and instructions regarding the reporting of “outstanding principal” amounts when a loan is refinanced. </w:t>
            </w:r>
          </w:p>
        </w:tc>
      </w:tr>
      <w:tr w14:paraId="527BA8A3" w14:textId="77777777" w:rsidTr="00A33D74">
        <w:tblPrEx>
          <w:tblW w:w="10345" w:type="dxa"/>
          <w:tblLayout w:type="fixed"/>
          <w:tblLook w:val="04A0"/>
        </w:tblPrEx>
        <w:tc>
          <w:tcPr>
            <w:tcW w:w="715" w:type="dxa"/>
          </w:tcPr>
          <w:p w:rsidR="00EA6996" w:rsidP="00FC15AB" w14:paraId="0A4661F2" w14:textId="0E014678">
            <w:pPr>
              <w:rPr>
                <w:rFonts w:asciiTheme="minorHAnsi" w:hAnsiTheme="minorHAnsi" w:cstheme="minorHAnsi"/>
                <w:bCs/>
                <w:sz w:val="22"/>
                <w:szCs w:val="22"/>
              </w:rPr>
            </w:pPr>
            <w:r>
              <w:rPr>
                <w:rFonts w:asciiTheme="minorHAnsi" w:hAnsiTheme="minorHAnsi" w:cstheme="minorHAnsi"/>
                <w:bCs/>
                <w:sz w:val="22"/>
                <w:szCs w:val="22"/>
              </w:rPr>
              <w:t>2</w:t>
            </w:r>
          </w:p>
        </w:tc>
        <w:tc>
          <w:tcPr>
            <w:tcW w:w="4770" w:type="dxa"/>
          </w:tcPr>
          <w:p w:rsidR="00EA6996" w:rsidRPr="00A33D74" w:rsidP="00A33D74" w14:paraId="492830CB" w14:textId="5D1D23B5">
            <w:pPr>
              <w:rPr>
                <w:rFonts w:asciiTheme="minorHAnsi" w:hAnsiTheme="minorHAnsi" w:cstheme="minorHAnsi"/>
                <w:sz w:val="22"/>
                <w:szCs w:val="22"/>
              </w:rPr>
            </w:pPr>
            <w:r>
              <w:rPr>
                <w:rFonts w:asciiTheme="minorHAnsi" w:hAnsiTheme="minorHAnsi" w:cstheme="minorHAnsi"/>
                <w:sz w:val="22"/>
                <w:szCs w:val="22"/>
              </w:rPr>
              <w:t xml:space="preserve">They </w:t>
            </w:r>
            <w:r w:rsidRPr="00EA6996">
              <w:rPr>
                <w:rFonts w:asciiTheme="minorHAnsi" w:hAnsiTheme="minorHAnsi" w:cstheme="minorHAnsi"/>
                <w:sz w:val="22"/>
                <w:szCs w:val="22"/>
              </w:rPr>
              <w:t>strongly encourage</w:t>
            </w:r>
            <w:r>
              <w:rPr>
                <w:rFonts w:asciiTheme="minorHAnsi" w:hAnsiTheme="minorHAnsi" w:cstheme="minorHAnsi"/>
                <w:sz w:val="22"/>
                <w:szCs w:val="22"/>
              </w:rPr>
              <w:t>d</w:t>
            </w:r>
            <w:r w:rsidRPr="00EA6996">
              <w:rPr>
                <w:rFonts w:asciiTheme="minorHAnsi" w:hAnsiTheme="minorHAnsi" w:cstheme="minorHAnsi"/>
                <w:sz w:val="22"/>
                <w:szCs w:val="22"/>
              </w:rPr>
              <w:t xml:space="preserve"> the IRS to prioritize standardized electronic reporting formats that integrate with existing loan servicing and tax reporting systems.</w:t>
            </w:r>
          </w:p>
        </w:tc>
        <w:tc>
          <w:tcPr>
            <w:tcW w:w="4860" w:type="dxa"/>
          </w:tcPr>
          <w:p w:rsidR="00EA6996" w:rsidRPr="00BB351D" w:rsidP="00FC15AB" w14:paraId="25E4B836" w14:textId="04747CCE">
            <w:pPr>
              <w:rPr>
                <w:rFonts w:asciiTheme="minorHAnsi" w:hAnsiTheme="minorHAnsi" w:cstheme="minorHAnsi"/>
                <w:bCs/>
                <w:sz w:val="22"/>
                <w:szCs w:val="22"/>
              </w:rPr>
            </w:pPr>
            <w:r w:rsidRPr="003214D2">
              <w:rPr>
                <w:rFonts w:asciiTheme="minorHAnsi" w:hAnsiTheme="minorHAnsi" w:cstheme="minorHAnsi"/>
                <w:bCs/>
                <w:sz w:val="22"/>
                <w:szCs w:val="22"/>
              </w:rPr>
              <w:t xml:space="preserve">The option to provide electronic delivery of recipient statements is described in Section 4.6 of Publication 1179 </w:t>
            </w:r>
            <w:r>
              <w:rPr>
                <w:rFonts w:asciiTheme="minorHAnsi" w:hAnsiTheme="minorHAnsi" w:cstheme="minorHAnsi"/>
                <w:bCs/>
                <w:sz w:val="22"/>
                <w:szCs w:val="22"/>
              </w:rPr>
              <w:t xml:space="preserve">which will be updated for TY26/FY27 to include Form 1098-VLI. </w:t>
            </w:r>
          </w:p>
        </w:tc>
      </w:tr>
      <w:tr w14:paraId="6291CA0D" w14:textId="77777777" w:rsidTr="00A33D74">
        <w:tblPrEx>
          <w:tblW w:w="10345" w:type="dxa"/>
          <w:tblLayout w:type="fixed"/>
          <w:tblLook w:val="04A0"/>
        </w:tblPrEx>
        <w:tc>
          <w:tcPr>
            <w:tcW w:w="715" w:type="dxa"/>
          </w:tcPr>
          <w:p w:rsidR="00EA6996" w:rsidP="00FC15AB" w14:paraId="4F643E78" w14:textId="69FCB5E3">
            <w:pPr>
              <w:rPr>
                <w:rFonts w:asciiTheme="minorHAnsi" w:hAnsiTheme="minorHAnsi" w:cstheme="minorHAnsi"/>
                <w:bCs/>
                <w:sz w:val="22"/>
                <w:szCs w:val="22"/>
              </w:rPr>
            </w:pPr>
            <w:r>
              <w:rPr>
                <w:rFonts w:asciiTheme="minorHAnsi" w:hAnsiTheme="minorHAnsi" w:cstheme="minorHAnsi"/>
                <w:bCs/>
                <w:sz w:val="22"/>
                <w:szCs w:val="22"/>
              </w:rPr>
              <w:t>3</w:t>
            </w:r>
          </w:p>
        </w:tc>
        <w:tc>
          <w:tcPr>
            <w:tcW w:w="4770" w:type="dxa"/>
          </w:tcPr>
          <w:p w:rsidR="00EA6996" w:rsidRPr="00A33D74" w:rsidP="00A33D74" w14:paraId="53BD5331" w14:textId="0923314B">
            <w:pPr>
              <w:rPr>
                <w:rFonts w:asciiTheme="minorHAnsi" w:hAnsiTheme="minorHAnsi" w:cstheme="minorHAnsi"/>
                <w:sz w:val="22"/>
                <w:szCs w:val="22"/>
              </w:rPr>
            </w:pPr>
            <w:r>
              <w:rPr>
                <w:rFonts w:asciiTheme="minorHAnsi" w:hAnsiTheme="minorHAnsi" w:cstheme="minorHAnsi"/>
                <w:sz w:val="22"/>
                <w:szCs w:val="22"/>
              </w:rPr>
              <w:t>They encourage IRS to consider transition relief, phased implementation and/or safe harbor protections for lenders.</w:t>
            </w:r>
          </w:p>
        </w:tc>
        <w:tc>
          <w:tcPr>
            <w:tcW w:w="4860" w:type="dxa"/>
          </w:tcPr>
          <w:p w:rsidR="00EA6996" w:rsidP="002F3DC8" w14:paraId="79360A00" w14:textId="77777777">
            <w:pPr>
              <w:rPr>
                <w:rFonts w:asciiTheme="minorHAnsi" w:hAnsiTheme="minorHAnsi" w:cstheme="minorHAnsi"/>
                <w:bCs/>
                <w:sz w:val="22"/>
                <w:szCs w:val="22"/>
              </w:rPr>
            </w:pPr>
            <w:r>
              <w:rPr>
                <w:rFonts w:asciiTheme="minorHAnsi" w:hAnsiTheme="minorHAnsi" w:cstheme="minorHAnsi"/>
                <w:bCs/>
                <w:sz w:val="22"/>
                <w:szCs w:val="22"/>
              </w:rPr>
              <w:t xml:space="preserve">IRS </w:t>
            </w:r>
            <w:r w:rsidRPr="002F3DC8">
              <w:rPr>
                <w:rFonts w:asciiTheme="minorHAnsi" w:hAnsiTheme="minorHAnsi" w:cstheme="minorHAnsi"/>
                <w:bCs/>
                <w:sz w:val="22"/>
                <w:szCs w:val="22"/>
              </w:rPr>
              <w:t>Notice 2025-57 provides</w:t>
            </w:r>
            <w:r>
              <w:rPr>
                <w:rFonts w:asciiTheme="minorHAnsi" w:hAnsiTheme="minorHAnsi" w:cstheme="minorHAnsi"/>
                <w:bCs/>
                <w:sz w:val="22"/>
                <w:szCs w:val="22"/>
              </w:rPr>
              <w:t xml:space="preserve"> </w:t>
            </w:r>
            <w:r w:rsidRPr="002F3DC8">
              <w:rPr>
                <w:rFonts w:asciiTheme="minorHAnsi" w:hAnsiTheme="minorHAnsi" w:cstheme="minorHAnsi"/>
                <w:bCs/>
                <w:sz w:val="22"/>
                <w:szCs w:val="22"/>
              </w:rPr>
              <w:t>transitional relief for the 2025 calendar year for lenders</w:t>
            </w:r>
            <w:r>
              <w:rPr>
                <w:rFonts w:asciiTheme="minorHAnsi" w:hAnsiTheme="minorHAnsi" w:cstheme="minorHAnsi"/>
                <w:bCs/>
                <w:sz w:val="22"/>
                <w:szCs w:val="22"/>
              </w:rPr>
              <w:t xml:space="preserve"> </w:t>
            </w:r>
            <w:r w:rsidRPr="002F3DC8">
              <w:rPr>
                <w:rFonts w:asciiTheme="minorHAnsi" w:hAnsiTheme="minorHAnsi" w:cstheme="minorHAnsi"/>
                <w:bCs/>
                <w:sz w:val="22"/>
                <w:szCs w:val="22"/>
              </w:rPr>
              <w:t>and other interest recipients who are required to file</w:t>
            </w:r>
            <w:r>
              <w:rPr>
                <w:rFonts w:asciiTheme="minorHAnsi" w:hAnsiTheme="minorHAnsi" w:cstheme="minorHAnsi"/>
                <w:bCs/>
                <w:sz w:val="22"/>
                <w:szCs w:val="22"/>
              </w:rPr>
              <w:t xml:space="preserve"> </w:t>
            </w:r>
            <w:r w:rsidRPr="002F3DC8">
              <w:rPr>
                <w:rFonts w:asciiTheme="minorHAnsi" w:hAnsiTheme="minorHAnsi" w:cstheme="minorHAnsi"/>
                <w:bCs/>
                <w:sz w:val="22"/>
                <w:szCs w:val="22"/>
              </w:rPr>
              <w:t>information returns with the IRS and provide statements to</w:t>
            </w:r>
            <w:r>
              <w:rPr>
                <w:rFonts w:asciiTheme="minorHAnsi" w:hAnsiTheme="minorHAnsi" w:cstheme="minorHAnsi"/>
                <w:bCs/>
                <w:sz w:val="22"/>
                <w:szCs w:val="22"/>
              </w:rPr>
              <w:t xml:space="preserve"> </w:t>
            </w:r>
            <w:r w:rsidRPr="002F3DC8">
              <w:rPr>
                <w:rFonts w:asciiTheme="minorHAnsi" w:hAnsiTheme="minorHAnsi" w:cstheme="minorHAnsi"/>
                <w:bCs/>
                <w:sz w:val="22"/>
                <w:szCs w:val="22"/>
              </w:rPr>
              <w:t>borrowers showing the total amount of interest received</w:t>
            </w:r>
            <w:r>
              <w:rPr>
                <w:rFonts w:asciiTheme="minorHAnsi" w:hAnsiTheme="minorHAnsi" w:cstheme="minorHAnsi"/>
                <w:bCs/>
                <w:sz w:val="22"/>
                <w:szCs w:val="22"/>
              </w:rPr>
              <w:t xml:space="preserve"> </w:t>
            </w:r>
            <w:r w:rsidRPr="002F3DC8">
              <w:rPr>
                <w:rFonts w:asciiTheme="minorHAnsi" w:hAnsiTheme="minorHAnsi" w:cstheme="minorHAnsi"/>
                <w:bCs/>
                <w:sz w:val="22"/>
                <w:szCs w:val="22"/>
              </w:rPr>
              <w:t>on a specified passenger vehicle loan (SPVL) and other</w:t>
            </w:r>
            <w:r>
              <w:rPr>
                <w:rFonts w:asciiTheme="minorHAnsi" w:hAnsiTheme="minorHAnsi" w:cstheme="minorHAnsi"/>
                <w:bCs/>
                <w:sz w:val="22"/>
                <w:szCs w:val="22"/>
              </w:rPr>
              <w:t xml:space="preserve"> </w:t>
            </w:r>
            <w:r w:rsidRPr="002F3DC8">
              <w:rPr>
                <w:rFonts w:asciiTheme="minorHAnsi" w:hAnsiTheme="minorHAnsi" w:cstheme="minorHAnsi"/>
                <w:bCs/>
                <w:sz w:val="22"/>
                <w:szCs w:val="22"/>
              </w:rPr>
              <w:t>information related to the loan.</w:t>
            </w:r>
          </w:p>
          <w:p w:rsidR="0096587F" w:rsidRPr="0096587F" w:rsidP="0096587F" w14:paraId="70C5230B" w14:textId="77777777">
            <w:pPr>
              <w:rPr>
                <w:rFonts w:asciiTheme="minorHAnsi" w:hAnsiTheme="minorHAnsi" w:cstheme="minorHAnsi"/>
                <w:bCs/>
                <w:sz w:val="22"/>
                <w:szCs w:val="22"/>
              </w:rPr>
            </w:pPr>
          </w:p>
          <w:p w:rsidR="0096587F" w:rsidRPr="00BB351D" w:rsidP="0096587F" w14:paraId="212D5139" w14:textId="20428898">
            <w:pPr>
              <w:rPr>
                <w:rFonts w:asciiTheme="minorHAnsi" w:hAnsiTheme="minorHAnsi" w:cstheme="minorHAnsi"/>
                <w:bCs/>
                <w:sz w:val="22"/>
                <w:szCs w:val="22"/>
              </w:rPr>
            </w:pPr>
            <w:r w:rsidRPr="0096587F">
              <w:rPr>
                <w:rFonts w:asciiTheme="minorHAnsi" w:hAnsiTheme="minorHAnsi" w:cstheme="minorHAnsi"/>
                <w:bCs/>
                <w:sz w:val="22"/>
                <w:szCs w:val="22"/>
              </w:rPr>
              <w:t xml:space="preserve">In addition, for the 2025 calendar year, the IRS will not impose penalties on lenders for </w:t>
            </w:r>
            <w:r w:rsidRPr="0096587F" w:rsidR="005E2256">
              <w:rPr>
                <w:rFonts w:asciiTheme="minorHAnsi" w:hAnsiTheme="minorHAnsi" w:cstheme="minorHAnsi"/>
                <w:bCs/>
                <w:sz w:val="22"/>
                <w:szCs w:val="22"/>
              </w:rPr>
              <w:t>failure</w:t>
            </w:r>
            <w:r w:rsidRPr="0096587F">
              <w:rPr>
                <w:rFonts w:asciiTheme="minorHAnsi" w:hAnsiTheme="minorHAnsi" w:cstheme="minorHAnsi"/>
                <w:bCs/>
                <w:sz w:val="22"/>
                <w:szCs w:val="22"/>
              </w:rPr>
              <w:t xml:space="preserve"> to file information returns and provide payee statements if they satisfy their reporting obligations as described in the Notice.</w:t>
            </w:r>
          </w:p>
        </w:tc>
      </w:tr>
    </w:tbl>
    <w:p w:rsidR="003D69BE" w:rsidP="003D69BE" w14:paraId="69E3251B" w14:textId="77777777">
      <w:pPr>
        <w:widowControl/>
        <w:autoSpaceDE/>
        <w:autoSpaceDN/>
        <w:adjustRightInd/>
        <w:rPr>
          <w:rFonts w:ascii="Courier New" w:hAnsi="Courier New" w:cs="Courier New"/>
        </w:rPr>
      </w:pPr>
    </w:p>
    <w:sectPr w:rsidSect="00173479">
      <w:headerReference w:type="default" r:id="rId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Elephant">
    <w:panose1 w:val="020209040905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630C9" w14:paraId="59E747A8"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0C15CE">
      <w:rPr>
        <w:rFonts w:cs="Courier"/>
        <w:b/>
        <w:bCs/>
        <w:noProof/>
      </w:rPr>
      <w:t>1</w:t>
    </w:r>
    <w:r>
      <w:rPr>
        <w:rFonts w:cs="Courier"/>
        <w:b/>
        <w:bCs/>
      </w:rPr>
      <w:fldChar w:fldCharType="end"/>
    </w:r>
  </w:p>
  <w:p w:rsidR="00A630C9" w14:paraId="18B4D4DF" w14:textId="77777777"/>
  <w:p w:rsidR="00A630C9" w14:paraId="6C572482"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000001"/>
    <w:multiLevelType w:val="singleLevel"/>
    <w:tmpl w:val="00000000"/>
    <w:lvl w:ilvl="0">
      <w:start w:val="1"/>
      <w:numFmt w:val="decimal"/>
      <w:pStyle w:val="Quick1"/>
      <w:lvlText w:val="%1."/>
      <w:lvlJc w:val="left"/>
      <w:pPr>
        <w:tabs>
          <w:tab w:val="num" w:pos="720"/>
        </w:tabs>
      </w:pPr>
      <w:rPr>
        <w:rFonts w:ascii="Elephant" w:hAnsi="Elephant" w:cs="Elephant"/>
        <w:b/>
        <w:bCs/>
        <w:sz w:val="24"/>
        <w:szCs w:val="24"/>
      </w:rPr>
    </w:lvl>
  </w:abstractNum>
  <w:abstractNum w:abstractNumId="1">
    <w:nsid w:val="00000002"/>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num w:numId="1" w16cid:durableId="712080114">
    <w:abstractNumId w:val="0"/>
    <w:lvlOverride w:ilvl="0">
      <w:startOverride w:val="1"/>
      <w:lvl w:ilvl="0">
        <w:start w:val="1"/>
        <w:numFmt w:val="decimal"/>
        <w:pStyle w:val="Quick1"/>
        <w:lvlText w:val="%1."/>
        <w:lvlJc w:val="left"/>
      </w:lvl>
    </w:lvlOverride>
  </w:num>
  <w:num w:numId="2" w16cid:durableId="1200430285">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30613642">
    <w:abstractNumId w:val="0"/>
    <w:lvlOverride w:ilvl="0">
      <w:startOverride w:val="4"/>
      <w:lvl w:ilvl="0">
        <w:start w:val="4"/>
        <w:numFmt w:val="decimal"/>
        <w:pStyle w:val="Quick1"/>
        <w:lvlText w:val="%1."/>
        <w:lvlJc w:val="left"/>
      </w:lvl>
    </w:lvlOverride>
  </w:num>
  <w:num w:numId="4" w16cid:durableId="1698964161">
    <w:abstractNumId w:val="0"/>
    <w:lvlOverride w:ilvl="0">
      <w:startOverride w:val="6"/>
      <w:lvl w:ilvl="0">
        <w:start w:val="6"/>
        <w:numFmt w:val="decimal"/>
        <w:pStyle w:val="Quick1"/>
        <w:lvlText w:val="%1."/>
        <w:lvlJc w:val="left"/>
      </w:lvl>
    </w:lvlOverride>
  </w:num>
  <w:num w:numId="5" w16cid:durableId="753747749">
    <w:abstractNumId w:val="0"/>
    <w:lvlOverride w:ilvl="0">
      <w:startOverride w:val="8"/>
      <w:lvl w:ilvl="0">
        <w:start w:val="8"/>
        <w:numFmt w:val="decimal"/>
        <w:pStyle w:val="Quick1"/>
        <w:lvlText w:val="%1."/>
        <w:lvlJc w:val="left"/>
      </w:lvl>
    </w:lvlOverride>
  </w:num>
  <w:num w:numId="6" w16cid:durableId="1883247359">
    <w:abstractNumId w:val="0"/>
    <w:lvlOverride w:ilvl="0">
      <w:startOverride w:val="10"/>
      <w:lvl w:ilvl="0">
        <w:start w:val="10"/>
        <w:numFmt w:val="decimal"/>
        <w:pStyle w:val="Quick1"/>
        <w:lvlText w:val="%1."/>
        <w:lvlJc w:val="left"/>
      </w:lvl>
    </w:lvlOverride>
  </w:num>
  <w:num w:numId="7" w16cid:durableId="456870671">
    <w:abstractNumId w:val="0"/>
    <w:lvlOverride w:ilvl="0">
      <w:startOverride w:val="15"/>
      <w:lvl w:ilvl="0">
        <w:start w:val="15"/>
        <w:numFmt w:val="decimal"/>
        <w:pStyle w:val="Quick1"/>
        <w:lvlText w:val="%1."/>
        <w:lvlJc w:val="left"/>
      </w:lvl>
    </w:lvlOverride>
  </w:num>
  <w:num w:numId="8" w16cid:durableId="906063864">
    <w:abstractNumId w:val="0"/>
    <w:lvlOverride w:ilvl="0">
      <w:startOverride w:val="18"/>
      <w:lvl w:ilvl="0">
        <w:start w:val="18"/>
        <w:numFmt w:val="decimal"/>
        <w:pStyle w:val="Quick1"/>
        <w:lvlText w:val="%1."/>
        <w:lvlJc w:val="left"/>
      </w:lvl>
    </w:lvlOverride>
  </w:num>
  <w:num w:numId="9" w16cid:durableId="1212812487">
    <w:abstractNumId w:val="0"/>
    <w:lvlOverride w:ilvl="0">
      <w:startOverride w:val="17"/>
      <w:lvl w:ilvl="0">
        <w:start w:val="17"/>
        <w:numFmt w:val="decimal"/>
        <w:pStyle w:val="Quick1"/>
        <w:lvlText w:val="%1."/>
        <w:lvlJc w:val="left"/>
      </w:lvl>
    </w:lvlOverride>
  </w:num>
  <w:num w:numId="10" w16cid:durableId="379061622">
    <w:abstractNumId w:val="0"/>
    <w:lvlOverride w:ilvl="0">
      <w:startOverride w:val="15"/>
      <w:lvl w:ilvl="0">
        <w:start w:val="15"/>
        <w:numFmt w:val="decimal"/>
        <w:pStyle w:val="Quick1"/>
        <w:lvlText w:val="%1."/>
        <w:lvlJc w:val="left"/>
      </w:lvl>
    </w:lvlOverride>
  </w:num>
  <w:num w:numId="11" w16cid:durableId="1741052906">
    <w:abstractNumId w:val="0"/>
    <w:lvlOverride w:ilvl="0">
      <w:startOverride w:val="17"/>
      <w:lvl w:ilvl="0">
        <w:start w:val="17"/>
        <w:numFmt w:val="decimal"/>
        <w:pStyle w:val="Quick1"/>
        <w:lvlText w:val="%1."/>
        <w:lvlJc w:val="left"/>
      </w:lvl>
    </w:lvlOverride>
  </w:num>
  <w:num w:numId="12" w16cid:durableId="277337">
    <w:abstractNumId w:val="0"/>
    <w:lvlOverride w:ilvl="0">
      <w:startOverride w:val="17"/>
      <w:lvl w:ilvl="0">
        <w:start w:val="17"/>
        <w:numFmt w:val="decimal"/>
        <w:pStyle w:val="Quick1"/>
        <w:lvlText w:val="%1."/>
        <w:lvlJc w:val="left"/>
      </w:lvl>
    </w:lvlOverride>
  </w:num>
  <w:num w:numId="13" w16cid:durableId="205214948">
    <w:abstractNumId w:val="0"/>
    <w:lvlOverride w:ilvl="0">
      <w:startOverride w:val="17"/>
      <w:lvl w:ilvl="0">
        <w:start w:val="17"/>
        <w:numFmt w:val="decimal"/>
        <w:pStyle w:val="Quick1"/>
        <w:lvlText w:val="%1."/>
        <w:lvlJc w:val="left"/>
      </w:lvl>
    </w:lvlOverride>
  </w:num>
  <w:num w:numId="14" w16cid:durableId="822547411">
    <w:abstractNumId w:val="0"/>
    <w:lvlOverride w:ilvl="0">
      <w:startOverride w:val="17"/>
      <w:lvl w:ilvl="0">
        <w:start w:val="17"/>
        <w:numFmt w:val="decimal"/>
        <w:pStyle w:val="Quick1"/>
        <w:lvlText w:val="%1."/>
        <w:lvlJc w:val="left"/>
      </w:lvl>
    </w:lvlOverride>
  </w:num>
  <w:num w:numId="15" w16cid:durableId="205411209">
    <w:abstractNumId w:val="0"/>
    <w:lvlOverride w:ilvl="0">
      <w:startOverride w:val="17"/>
      <w:lvl w:ilvl="0">
        <w:start w:val="17"/>
        <w:numFmt w:val="decimal"/>
        <w:pStyle w:val="Quick1"/>
        <w:lvlText w:val="%1."/>
        <w:lvlJc w:val="left"/>
      </w:lvl>
    </w:lvlOverride>
  </w:num>
  <w:num w:numId="16" w16cid:durableId="2096248039">
    <w:abstractNumId w:val="0"/>
    <w:lvlOverride w:ilvl="0">
      <w:startOverride w:val="17"/>
      <w:lvl w:ilvl="0">
        <w:start w:val="17"/>
        <w:numFmt w:val="decimal"/>
        <w:pStyle w:val="Quick1"/>
        <w:lvlText w:val="%1."/>
        <w:lvlJc w:val="left"/>
      </w:lvl>
    </w:lvlOverride>
  </w:num>
  <w:num w:numId="17" w16cid:durableId="1085030712">
    <w:abstractNumId w:val="0"/>
    <w:lvlOverride w:ilvl="0">
      <w:startOverride w:val="17"/>
      <w:lvl w:ilvl="0">
        <w:start w:val="17"/>
        <w:numFmt w:val="decimal"/>
        <w:pStyle w:val="Quick1"/>
        <w:lvlText w:val="%1."/>
        <w:lvlJc w:val="left"/>
      </w:lvl>
    </w:lvlOverride>
  </w:num>
  <w:num w:numId="18" w16cid:durableId="131409600">
    <w:abstractNumId w:val="0"/>
    <w:lvlOverride w:ilvl="0">
      <w:startOverride w:val="18"/>
      <w:lvl w:ilvl="0">
        <w:start w:val="18"/>
        <w:numFmt w:val="decimal"/>
        <w:pStyle w:val="Quick1"/>
        <w:lvlText w:val="%1."/>
        <w:lvlJc w:val="left"/>
      </w:lvl>
    </w:lvlOverride>
  </w:num>
  <w:num w:numId="19" w16cid:durableId="534118469">
    <w:abstractNumId w:val="0"/>
    <w:lvlOverride w:ilvl="0">
      <w:startOverride w:val="18"/>
      <w:lvl w:ilvl="0">
        <w:start w:val="18"/>
        <w:numFmt w:val="decimal"/>
        <w:pStyle w:val="Quick1"/>
        <w:lvlText w:val="%1."/>
        <w:lvlJc w:val="left"/>
      </w:lvl>
    </w:lvlOverride>
  </w:num>
  <w:num w:numId="20" w16cid:durableId="1559626809">
    <w:abstractNumId w:val="0"/>
    <w:lvlOverride w:ilvl="0">
      <w:startOverride w:val="18"/>
      <w:lvl w:ilvl="0">
        <w:start w:val="18"/>
        <w:numFmt w:val="decimal"/>
        <w:pStyle w:val="Quick1"/>
        <w:lvlText w:val="%1."/>
        <w:lvlJc w:val="lef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arcia Andres">
    <w15:presenceInfo w15:providerId="AD" w15:userId="S::34HLB@ds.irsnet.gov::0aefa4f2-87d4-4f40-8fb3-0ed84da305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479"/>
    <w:rsid w:val="00013E05"/>
    <w:rsid w:val="00017695"/>
    <w:rsid w:val="000207C5"/>
    <w:rsid w:val="00030A2F"/>
    <w:rsid w:val="00031FEB"/>
    <w:rsid w:val="00033903"/>
    <w:rsid w:val="00036006"/>
    <w:rsid w:val="00065FD1"/>
    <w:rsid w:val="00071775"/>
    <w:rsid w:val="00076B9C"/>
    <w:rsid w:val="000812E1"/>
    <w:rsid w:val="00092D7B"/>
    <w:rsid w:val="000A15BD"/>
    <w:rsid w:val="000A1B16"/>
    <w:rsid w:val="000A5828"/>
    <w:rsid w:val="000B438E"/>
    <w:rsid w:val="000C15CE"/>
    <w:rsid w:val="000D2FA9"/>
    <w:rsid w:val="000D419D"/>
    <w:rsid w:val="000F0B5C"/>
    <w:rsid w:val="000F1AB8"/>
    <w:rsid w:val="001016D4"/>
    <w:rsid w:val="001055D6"/>
    <w:rsid w:val="00110ED2"/>
    <w:rsid w:val="00113940"/>
    <w:rsid w:val="001237FF"/>
    <w:rsid w:val="0012386D"/>
    <w:rsid w:val="001474E7"/>
    <w:rsid w:val="00152CF6"/>
    <w:rsid w:val="001531BD"/>
    <w:rsid w:val="0015330B"/>
    <w:rsid w:val="001606C5"/>
    <w:rsid w:val="00164738"/>
    <w:rsid w:val="001707DE"/>
    <w:rsid w:val="00173479"/>
    <w:rsid w:val="001865E5"/>
    <w:rsid w:val="00190C2E"/>
    <w:rsid w:val="001B7274"/>
    <w:rsid w:val="001C4ECA"/>
    <w:rsid w:val="001D527F"/>
    <w:rsid w:val="001E5085"/>
    <w:rsid w:val="00200E96"/>
    <w:rsid w:val="00206C84"/>
    <w:rsid w:val="0020731D"/>
    <w:rsid w:val="00213B68"/>
    <w:rsid w:val="002358B8"/>
    <w:rsid w:val="00237BA5"/>
    <w:rsid w:val="00260095"/>
    <w:rsid w:val="002656F5"/>
    <w:rsid w:val="002779E0"/>
    <w:rsid w:val="002847B2"/>
    <w:rsid w:val="0029055F"/>
    <w:rsid w:val="00292D73"/>
    <w:rsid w:val="002A0B56"/>
    <w:rsid w:val="002B1A40"/>
    <w:rsid w:val="002B1D23"/>
    <w:rsid w:val="002B2145"/>
    <w:rsid w:val="002B6B88"/>
    <w:rsid w:val="002D22BB"/>
    <w:rsid w:val="002D2D2C"/>
    <w:rsid w:val="002E6D32"/>
    <w:rsid w:val="002F3DC8"/>
    <w:rsid w:val="00312AF5"/>
    <w:rsid w:val="003214D2"/>
    <w:rsid w:val="00321FCE"/>
    <w:rsid w:val="00333BAC"/>
    <w:rsid w:val="003363EE"/>
    <w:rsid w:val="00352873"/>
    <w:rsid w:val="00354DCD"/>
    <w:rsid w:val="00361777"/>
    <w:rsid w:val="0038593E"/>
    <w:rsid w:val="003936A1"/>
    <w:rsid w:val="003A2DCB"/>
    <w:rsid w:val="003B0C37"/>
    <w:rsid w:val="003B12FB"/>
    <w:rsid w:val="003B1CE3"/>
    <w:rsid w:val="003B45B6"/>
    <w:rsid w:val="003D69BE"/>
    <w:rsid w:val="003E1107"/>
    <w:rsid w:val="003F306D"/>
    <w:rsid w:val="003F5F42"/>
    <w:rsid w:val="004175FF"/>
    <w:rsid w:val="00435907"/>
    <w:rsid w:val="004368FC"/>
    <w:rsid w:val="00437CE2"/>
    <w:rsid w:val="00451111"/>
    <w:rsid w:val="00465D59"/>
    <w:rsid w:val="00467C49"/>
    <w:rsid w:val="00475638"/>
    <w:rsid w:val="004768E0"/>
    <w:rsid w:val="004800DB"/>
    <w:rsid w:val="004A2465"/>
    <w:rsid w:val="004A7D00"/>
    <w:rsid w:val="004B18E9"/>
    <w:rsid w:val="004B2B6D"/>
    <w:rsid w:val="00501B03"/>
    <w:rsid w:val="00506EDF"/>
    <w:rsid w:val="0055300F"/>
    <w:rsid w:val="0055653B"/>
    <w:rsid w:val="00566008"/>
    <w:rsid w:val="00572176"/>
    <w:rsid w:val="00581C10"/>
    <w:rsid w:val="005863BD"/>
    <w:rsid w:val="00591AD2"/>
    <w:rsid w:val="005A5E76"/>
    <w:rsid w:val="005A6113"/>
    <w:rsid w:val="005A7FBB"/>
    <w:rsid w:val="005D2C9E"/>
    <w:rsid w:val="005D74CB"/>
    <w:rsid w:val="005E11CD"/>
    <w:rsid w:val="005E1E93"/>
    <w:rsid w:val="005E2256"/>
    <w:rsid w:val="006000B4"/>
    <w:rsid w:val="00603FD5"/>
    <w:rsid w:val="006162B6"/>
    <w:rsid w:val="00623D6C"/>
    <w:rsid w:val="00624BEC"/>
    <w:rsid w:val="00630A7D"/>
    <w:rsid w:val="00634B8D"/>
    <w:rsid w:val="00647B9E"/>
    <w:rsid w:val="00651959"/>
    <w:rsid w:val="0066585B"/>
    <w:rsid w:val="00666B25"/>
    <w:rsid w:val="00674624"/>
    <w:rsid w:val="006816F7"/>
    <w:rsid w:val="00682253"/>
    <w:rsid w:val="00692B58"/>
    <w:rsid w:val="006B5B04"/>
    <w:rsid w:val="006B7709"/>
    <w:rsid w:val="006C6236"/>
    <w:rsid w:val="006D0206"/>
    <w:rsid w:val="007007D8"/>
    <w:rsid w:val="0073541E"/>
    <w:rsid w:val="007369C1"/>
    <w:rsid w:val="0074007D"/>
    <w:rsid w:val="00753AC1"/>
    <w:rsid w:val="007651B8"/>
    <w:rsid w:val="00771923"/>
    <w:rsid w:val="007747D6"/>
    <w:rsid w:val="00775A59"/>
    <w:rsid w:val="007775B1"/>
    <w:rsid w:val="007B4596"/>
    <w:rsid w:val="007C287F"/>
    <w:rsid w:val="007C4C49"/>
    <w:rsid w:val="007C7FAB"/>
    <w:rsid w:val="007C7FE1"/>
    <w:rsid w:val="007D33A5"/>
    <w:rsid w:val="008003FC"/>
    <w:rsid w:val="00812263"/>
    <w:rsid w:val="0081302F"/>
    <w:rsid w:val="00816A1D"/>
    <w:rsid w:val="00822AAC"/>
    <w:rsid w:val="00834EEC"/>
    <w:rsid w:val="0084003A"/>
    <w:rsid w:val="00841589"/>
    <w:rsid w:val="00857687"/>
    <w:rsid w:val="00860006"/>
    <w:rsid w:val="00863CEC"/>
    <w:rsid w:val="008716A4"/>
    <w:rsid w:val="0089486E"/>
    <w:rsid w:val="008A47D9"/>
    <w:rsid w:val="008C5F92"/>
    <w:rsid w:val="008C75CD"/>
    <w:rsid w:val="008C77D2"/>
    <w:rsid w:val="008C7E77"/>
    <w:rsid w:val="008F0198"/>
    <w:rsid w:val="008F7ED2"/>
    <w:rsid w:val="009065B0"/>
    <w:rsid w:val="00906765"/>
    <w:rsid w:val="00906B57"/>
    <w:rsid w:val="00914CD4"/>
    <w:rsid w:val="009517E1"/>
    <w:rsid w:val="00960704"/>
    <w:rsid w:val="0096587F"/>
    <w:rsid w:val="009674FE"/>
    <w:rsid w:val="00976159"/>
    <w:rsid w:val="00994C90"/>
    <w:rsid w:val="009B7642"/>
    <w:rsid w:val="009D53AC"/>
    <w:rsid w:val="00A02ACF"/>
    <w:rsid w:val="00A0354D"/>
    <w:rsid w:val="00A043E2"/>
    <w:rsid w:val="00A07888"/>
    <w:rsid w:val="00A209F0"/>
    <w:rsid w:val="00A239E2"/>
    <w:rsid w:val="00A31606"/>
    <w:rsid w:val="00A31A6E"/>
    <w:rsid w:val="00A33D74"/>
    <w:rsid w:val="00A35F22"/>
    <w:rsid w:val="00A40D9A"/>
    <w:rsid w:val="00A51834"/>
    <w:rsid w:val="00A55F64"/>
    <w:rsid w:val="00A630C9"/>
    <w:rsid w:val="00A6797B"/>
    <w:rsid w:val="00A7609F"/>
    <w:rsid w:val="00A81EF6"/>
    <w:rsid w:val="00A9036B"/>
    <w:rsid w:val="00A90E71"/>
    <w:rsid w:val="00AA02ED"/>
    <w:rsid w:val="00AC57B1"/>
    <w:rsid w:val="00AC7AE0"/>
    <w:rsid w:val="00AE4F02"/>
    <w:rsid w:val="00AF35F8"/>
    <w:rsid w:val="00AF36C7"/>
    <w:rsid w:val="00B04E1B"/>
    <w:rsid w:val="00B24E6E"/>
    <w:rsid w:val="00B318CF"/>
    <w:rsid w:val="00B4212F"/>
    <w:rsid w:val="00B4674F"/>
    <w:rsid w:val="00B52BE8"/>
    <w:rsid w:val="00B52BF8"/>
    <w:rsid w:val="00B60123"/>
    <w:rsid w:val="00B97FF3"/>
    <w:rsid w:val="00BB174B"/>
    <w:rsid w:val="00BB351D"/>
    <w:rsid w:val="00BC4B16"/>
    <w:rsid w:val="00BD032D"/>
    <w:rsid w:val="00BD41C5"/>
    <w:rsid w:val="00BE5FB0"/>
    <w:rsid w:val="00BF7092"/>
    <w:rsid w:val="00C33A8A"/>
    <w:rsid w:val="00C37208"/>
    <w:rsid w:val="00C44C05"/>
    <w:rsid w:val="00C44CC9"/>
    <w:rsid w:val="00C4613B"/>
    <w:rsid w:val="00C6101E"/>
    <w:rsid w:val="00C65783"/>
    <w:rsid w:val="00C705AA"/>
    <w:rsid w:val="00C71C10"/>
    <w:rsid w:val="00C76224"/>
    <w:rsid w:val="00C767D4"/>
    <w:rsid w:val="00C9594F"/>
    <w:rsid w:val="00CA11CD"/>
    <w:rsid w:val="00CB1886"/>
    <w:rsid w:val="00CB284C"/>
    <w:rsid w:val="00CB6454"/>
    <w:rsid w:val="00CB6EBE"/>
    <w:rsid w:val="00CC1081"/>
    <w:rsid w:val="00CC5071"/>
    <w:rsid w:val="00D00364"/>
    <w:rsid w:val="00D03679"/>
    <w:rsid w:val="00D227A1"/>
    <w:rsid w:val="00D3040E"/>
    <w:rsid w:val="00D37F74"/>
    <w:rsid w:val="00D4667A"/>
    <w:rsid w:val="00D72155"/>
    <w:rsid w:val="00D8711D"/>
    <w:rsid w:val="00D90BF5"/>
    <w:rsid w:val="00D966AF"/>
    <w:rsid w:val="00DA01BF"/>
    <w:rsid w:val="00DA16AF"/>
    <w:rsid w:val="00DA6322"/>
    <w:rsid w:val="00DC0BF4"/>
    <w:rsid w:val="00DD3F01"/>
    <w:rsid w:val="00DE038A"/>
    <w:rsid w:val="00DE23BC"/>
    <w:rsid w:val="00DF65EF"/>
    <w:rsid w:val="00E00671"/>
    <w:rsid w:val="00E04305"/>
    <w:rsid w:val="00E15A13"/>
    <w:rsid w:val="00E16C36"/>
    <w:rsid w:val="00E20541"/>
    <w:rsid w:val="00E2684E"/>
    <w:rsid w:val="00E2717A"/>
    <w:rsid w:val="00E60B2A"/>
    <w:rsid w:val="00E931A3"/>
    <w:rsid w:val="00E94881"/>
    <w:rsid w:val="00EA141E"/>
    <w:rsid w:val="00EA435E"/>
    <w:rsid w:val="00EA5676"/>
    <w:rsid w:val="00EA6996"/>
    <w:rsid w:val="00EB65E4"/>
    <w:rsid w:val="00ED584F"/>
    <w:rsid w:val="00EE0CFB"/>
    <w:rsid w:val="00EE3D74"/>
    <w:rsid w:val="00EF6394"/>
    <w:rsid w:val="00EF6C5E"/>
    <w:rsid w:val="00EF7C72"/>
    <w:rsid w:val="00F11D28"/>
    <w:rsid w:val="00F50D99"/>
    <w:rsid w:val="00F53D96"/>
    <w:rsid w:val="00F63F73"/>
    <w:rsid w:val="00F65640"/>
    <w:rsid w:val="00F769F2"/>
    <w:rsid w:val="00FB7331"/>
    <w:rsid w:val="00FC15AB"/>
    <w:rsid w:val="00FC1CA3"/>
    <w:rsid w:val="00FC4A20"/>
    <w:rsid w:val="00FE7A08"/>
    <w:rsid w:val="00FF29CE"/>
    <w:rsid w:val="00FF53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B4E29B"/>
  <w15:chartTrackingRefBased/>
  <w15:docId w15:val="{0AA3CCEE-A5C0-46FD-8B15-537F5482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72176"/>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0D419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Quick1">
    <w:name w:val="Quick 1."/>
    <w:basedOn w:val="Normal"/>
    <w:pPr>
      <w:numPr>
        <w:numId w:val="7"/>
      </w:numPr>
      <w:ind w:left="720" w:hanging="720"/>
    </w:pPr>
  </w:style>
  <w:style w:type="paragraph" w:customStyle="1" w:styleId="Level1">
    <w:name w:val="Level 1"/>
    <w:basedOn w:val="Normal"/>
    <w:pPr>
      <w:numPr>
        <w:numId w:val="2"/>
      </w:numPr>
      <w:ind w:left="720" w:hanging="720"/>
      <w:outlineLvl w:val="0"/>
    </w:pPr>
  </w:style>
  <w:style w:type="character" w:styleId="Hyperlink">
    <w:name w:val="Hyperlink"/>
    <w:unhideWhenUsed/>
    <w:rsid w:val="0015330B"/>
    <w:rPr>
      <w:color w:val="0000FF"/>
      <w:u w:val="single"/>
    </w:rPr>
  </w:style>
  <w:style w:type="paragraph" w:styleId="PlainText">
    <w:name w:val="Plain Text"/>
    <w:basedOn w:val="Normal"/>
    <w:link w:val="PlainTextChar"/>
    <w:unhideWhenUsed/>
    <w:rsid w:val="00ED584F"/>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ED584F"/>
    <w:rPr>
      <w:rFonts w:ascii="Courier New" w:hAnsi="Courier New" w:cs="Courier New"/>
    </w:rPr>
  </w:style>
  <w:style w:type="character" w:customStyle="1" w:styleId="documentbody1">
    <w:name w:val="documentbody1"/>
    <w:rsid w:val="00ED584F"/>
    <w:rPr>
      <w:rFonts w:ascii="Verdana" w:hAnsi="Verdana" w:hint="default"/>
      <w:sz w:val="19"/>
      <w:szCs w:val="19"/>
    </w:rPr>
  </w:style>
  <w:style w:type="paragraph" w:styleId="NormalWeb">
    <w:name w:val="Normal (Web)"/>
    <w:basedOn w:val="Normal"/>
    <w:uiPriority w:val="99"/>
    <w:unhideWhenUsed/>
    <w:rsid w:val="00ED584F"/>
    <w:pPr>
      <w:widowControl/>
      <w:autoSpaceDE/>
      <w:autoSpaceDN/>
      <w:adjustRightInd/>
      <w:spacing w:before="150" w:after="150"/>
    </w:pPr>
    <w:rPr>
      <w:rFonts w:ascii="Times New Roman" w:hAnsi="Times New Roman"/>
    </w:rPr>
  </w:style>
  <w:style w:type="paragraph" w:styleId="BalloonText">
    <w:name w:val="Balloon Text"/>
    <w:basedOn w:val="Normal"/>
    <w:link w:val="BalloonTextChar"/>
    <w:rsid w:val="00C705AA"/>
    <w:rPr>
      <w:rFonts w:ascii="Segoe UI" w:hAnsi="Segoe UI" w:cs="Segoe UI"/>
      <w:sz w:val="18"/>
      <w:szCs w:val="18"/>
    </w:rPr>
  </w:style>
  <w:style w:type="character" w:customStyle="1" w:styleId="BalloonTextChar">
    <w:name w:val="Balloon Text Char"/>
    <w:link w:val="BalloonText"/>
    <w:rsid w:val="00C705AA"/>
    <w:rPr>
      <w:rFonts w:ascii="Segoe UI" w:hAnsi="Segoe UI" w:cs="Segoe UI"/>
      <w:sz w:val="18"/>
      <w:szCs w:val="18"/>
    </w:rPr>
  </w:style>
  <w:style w:type="character" w:styleId="CommentReference">
    <w:name w:val="annotation reference"/>
    <w:basedOn w:val="DefaultParagraphFont"/>
    <w:rsid w:val="002358B8"/>
    <w:rPr>
      <w:sz w:val="16"/>
      <w:szCs w:val="16"/>
    </w:rPr>
  </w:style>
  <w:style w:type="paragraph" w:styleId="CommentText">
    <w:name w:val="annotation text"/>
    <w:basedOn w:val="Normal"/>
    <w:link w:val="CommentTextChar"/>
    <w:rsid w:val="002358B8"/>
    <w:rPr>
      <w:sz w:val="20"/>
      <w:szCs w:val="20"/>
    </w:rPr>
  </w:style>
  <w:style w:type="character" w:customStyle="1" w:styleId="CommentTextChar">
    <w:name w:val="Comment Text Char"/>
    <w:basedOn w:val="DefaultParagraphFont"/>
    <w:link w:val="CommentText"/>
    <w:rsid w:val="002358B8"/>
    <w:rPr>
      <w:rFonts w:ascii="Courier" w:hAnsi="Courier"/>
    </w:rPr>
  </w:style>
  <w:style w:type="paragraph" w:styleId="CommentSubject">
    <w:name w:val="annotation subject"/>
    <w:basedOn w:val="CommentText"/>
    <w:next w:val="CommentText"/>
    <w:link w:val="CommentSubjectChar"/>
    <w:rsid w:val="002358B8"/>
    <w:rPr>
      <w:b/>
      <w:bCs/>
    </w:rPr>
  </w:style>
  <w:style w:type="character" w:customStyle="1" w:styleId="CommentSubjectChar">
    <w:name w:val="Comment Subject Char"/>
    <w:basedOn w:val="CommentTextChar"/>
    <w:link w:val="CommentSubject"/>
    <w:rsid w:val="002358B8"/>
    <w:rPr>
      <w:rFonts w:ascii="Courier" w:hAnsi="Courier"/>
      <w:b/>
      <w:bCs/>
    </w:rPr>
  </w:style>
  <w:style w:type="character" w:styleId="FollowedHyperlink">
    <w:name w:val="FollowedHyperlink"/>
    <w:basedOn w:val="DefaultParagraphFont"/>
    <w:rsid w:val="00A6797B"/>
    <w:rPr>
      <w:color w:val="954F72" w:themeColor="followedHyperlink"/>
      <w:u w:val="single"/>
    </w:rPr>
  </w:style>
  <w:style w:type="paragraph" w:customStyle="1" w:styleId="Default">
    <w:name w:val="Default"/>
    <w:rsid w:val="002B1A40"/>
    <w:pPr>
      <w:autoSpaceDE w:val="0"/>
      <w:autoSpaceDN w:val="0"/>
      <w:adjustRightInd w:val="0"/>
    </w:pPr>
    <w:rPr>
      <w:color w:val="000000"/>
      <w:sz w:val="24"/>
      <w:szCs w:val="24"/>
    </w:rPr>
  </w:style>
  <w:style w:type="table" w:styleId="TableGrid">
    <w:name w:val="Table Grid"/>
    <w:basedOn w:val="TableNormal"/>
    <w:uiPriority w:val="59"/>
    <w:rsid w:val="00E04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B56"/>
    <w:pPr>
      <w:widowControl/>
      <w:autoSpaceDE/>
      <w:autoSpaceDN/>
      <w:adjustRightInd/>
      <w:ind w:left="720"/>
      <w:contextualSpacing/>
    </w:pPr>
    <w:rPr>
      <w:rFonts w:ascii="Times New Roman" w:hAnsi="Times New Roman" w:eastAsiaTheme="minorHAnsi" w:cstheme="minorBidi"/>
      <w:szCs w:val="22"/>
    </w:rPr>
  </w:style>
  <w:style w:type="character" w:customStyle="1" w:styleId="Heading1Char">
    <w:name w:val="Heading 1 Char"/>
    <w:basedOn w:val="DefaultParagraphFont"/>
    <w:link w:val="Heading1"/>
    <w:rsid w:val="000D419D"/>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F3DC8"/>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951</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TQ1FB</dc:creator>
  <cp:lastModifiedBy>McCrary Marcus W</cp:lastModifiedBy>
  <cp:revision>2</cp:revision>
  <cp:lastPrinted>2019-05-28T18:38:00Z</cp:lastPrinted>
  <dcterms:created xsi:type="dcterms:W3CDTF">2026-02-25T18:43:00Z</dcterms:created>
  <dcterms:modified xsi:type="dcterms:W3CDTF">2026-02-25T18:43:00Z</dcterms:modified>
</cp:coreProperties>
</file>