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F7212" w14:paraId="3DB5CDA3" w14:textId="2CCB54B9">
      <w:pPr>
        <w:tabs>
          <w:tab w:val="left" w:pos="360"/>
          <w:tab w:val="left" w:pos="720"/>
          <w:tab w:val="left" w:pos="144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F7212" w14:paraId="029EC441" w14:textId="77777777">
      <w:pPr>
        <w:tabs>
          <w:tab w:val="left" w:pos="360"/>
          <w:tab w:val="left" w:pos="720"/>
          <w:tab w:val="left" w:pos="144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F7212" w14:paraId="1FDBA385" w14:textId="77777777">
      <w:pPr>
        <w:tabs>
          <w:tab w:val="left" w:pos="360"/>
          <w:tab w:val="left" w:pos="720"/>
          <w:tab w:val="left" w:pos="1440"/>
        </w:tabs>
        <w:jc w:val="center"/>
        <w:rPr>
          <w:rFonts w:ascii="Arial" w:hAnsi="Arial" w:cs="Arial"/>
          <w:b/>
          <w:bCs/>
          <w:sz w:val="26"/>
          <w:szCs w:val="26"/>
          <w:highlight w:val="lightGray"/>
        </w:rPr>
      </w:pPr>
    </w:p>
    <w:p w:rsidR="009B359F" w:rsidRPr="003A0466" w:rsidP="005F7212" w14:paraId="481CD7BF" w14:textId="716F44F6">
      <w:pPr>
        <w:tabs>
          <w:tab w:val="left" w:pos="360"/>
          <w:tab w:val="left" w:pos="720"/>
          <w:tab w:val="left" w:pos="1440"/>
        </w:tabs>
        <w:jc w:val="center"/>
        <w:rPr>
          <w:rFonts w:ascii="Arial" w:hAnsi="Arial" w:cs="Arial"/>
          <w:b/>
          <w:bCs/>
          <w:caps/>
          <w:sz w:val="26"/>
          <w:szCs w:val="26"/>
        </w:rPr>
      </w:pPr>
      <w:r w:rsidRPr="00E16AF5">
        <w:rPr>
          <w:rFonts w:ascii="Arial" w:hAnsi="Arial" w:cs="Arial"/>
          <w:b/>
          <w:bCs/>
          <w:caps/>
          <w:sz w:val="26"/>
          <w:szCs w:val="26"/>
        </w:rPr>
        <w:t>U.S. Fish and Wildlife</w:t>
      </w:r>
      <w:r>
        <w:rPr>
          <w:rFonts w:ascii="Arial" w:hAnsi="Arial" w:cs="Arial"/>
          <w:b/>
          <w:bCs/>
          <w:caps/>
          <w:sz w:val="26"/>
          <w:szCs w:val="26"/>
        </w:rPr>
        <w:t xml:space="preserve"> </w:t>
      </w:r>
      <w:r w:rsidRPr="00E16AF5">
        <w:rPr>
          <w:rFonts w:ascii="Arial" w:hAnsi="Arial" w:cs="Arial"/>
          <w:b/>
          <w:bCs/>
          <w:caps/>
          <w:sz w:val="26"/>
          <w:szCs w:val="26"/>
        </w:rPr>
        <w:t>Service ArcGIS Online (AGOL)</w:t>
      </w:r>
      <w:r>
        <w:rPr>
          <w:rFonts w:ascii="Arial" w:hAnsi="Arial" w:cs="Arial"/>
          <w:b/>
          <w:bCs/>
          <w:caps/>
          <w:sz w:val="26"/>
          <w:szCs w:val="26"/>
        </w:rPr>
        <w:t xml:space="preserve"> </w:t>
      </w:r>
      <w:r w:rsidRPr="00E16AF5">
        <w:rPr>
          <w:rFonts w:ascii="Arial" w:hAnsi="Arial" w:cs="Arial"/>
          <w:b/>
          <w:bCs/>
          <w:caps/>
          <w:sz w:val="26"/>
          <w:szCs w:val="26"/>
        </w:rPr>
        <w:t>Platform</w:t>
      </w:r>
    </w:p>
    <w:p w:rsidR="00295103" w:rsidRPr="00B50214" w:rsidP="005F7212" w14:paraId="158D8E3C" w14:textId="6E10FB50">
      <w:pPr>
        <w:tabs>
          <w:tab w:val="left" w:pos="360"/>
          <w:tab w:val="left" w:pos="720"/>
          <w:tab w:val="left" w:pos="144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CD1AB3">
        <w:rPr>
          <w:rFonts w:ascii="Arial" w:hAnsi="Arial" w:cs="Arial"/>
          <w:b/>
          <w:bCs/>
          <w:sz w:val="26"/>
          <w:szCs w:val="26"/>
        </w:rPr>
        <w:t>0188</w:t>
      </w:r>
    </w:p>
    <w:p w:rsidR="009B359F" w:rsidP="005F7212" w14:paraId="72965116" w14:textId="77777777">
      <w:pPr>
        <w:tabs>
          <w:tab w:val="left" w:pos="360"/>
          <w:tab w:val="left" w:pos="720"/>
          <w:tab w:val="left" w:pos="1440"/>
        </w:tabs>
        <w:rPr>
          <w:rFonts w:ascii="Arial" w:hAnsi="Arial" w:cs="Arial"/>
          <w:sz w:val="22"/>
          <w:szCs w:val="22"/>
        </w:rPr>
      </w:pPr>
    </w:p>
    <w:p w:rsidR="00332424" w:rsidRPr="00B50214" w:rsidP="005F7212" w14:paraId="52F57AF1" w14:textId="77777777">
      <w:pPr>
        <w:tabs>
          <w:tab w:val="left" w:pos="360"/>
          <w:tab w:val="left" w:pos="720"/>
          <w:tab w:val="left" w:pos="1440"/>
        </w:tabs>
        <w:rPr>
          <w:rFonts w:ascii="Arial" w:hAnsi="Arial" w:cs="Arial"/>
          <w:sz w:val="22"/>
          <w:szCs w:val="22"/>
        </w:rPr>
      </w:pPr>
    </w:p>
    <w:p w:rsidR="009B359F" w:rsidRPr="00B34176" w:rsidP="005F7212" w14:paraId="0BB1A92A" w14:textId="5F2C1E2C">
      <w:pPr>
        <w:tabs>
          <w:tab w:val="left" w:pos="360"/>
          <w:tab w:val="left" w:pos="720"/>
          <w:tab w:val="left" w:pos="1440"/>
        </w:tabs>
        <w:rPr>
          <w:rFonts w:ascii="Arial" w:hAnsi="Arial" w:cs="Arial"/>
          <w:sz w:val="22"/>
          <w:szCs w:val="22"/>
        </w:rPr>
      </w:pPr>
      <w:r w:rsidRPr="00B34176">
        <w:rPr>
          <w:rFonts w:ascii="Arial" w:hAnsi="Arial" w:cs="Arial"/>
          <w:b/>
          <w:sz w:val="22"/>
          <w:szCs w:val="22"/>
        </w:rPr>
        <w:t>Terms of Clearance:</w:t>
      </w:r>
      <w:r w:rsidRPr="00B34176">
        <w:rPr>
          <w:rFonts w:ascii="Arial" w:hAnsi="Arial" w:cs="Arial"/>
          <w:sz w:val="22"/>
          <w:szCs w:val="22"/>
        </w:rPr>
        <w:t xml:space="preserve"> </w:t>
      </w:r>
      <w:r w:rsidRPr="00B34176" w:rsidR="00B50214">
        <w:rPr>
          <w:rFonts w:ascii="Arial" w:hAnsi="Arial" w:cs="Arial"/>
          <w:sz w:val="22"/>
          <w:szCs w:val="22"/>
        </w:rPr>
        <w:t xml:space="preserve"> </w:t>
      </w:r>
      <w:r w:rsidRPr="00B34176" w:rsidR="00D04711">
        <w:rPr>
          <w:rFonts w:ascii="Arial" w:hAnsi="Arial" w:cs="Arial"/>
          <w:sz w:val="22"/>
          <w:szCs w:val="22"/>
        </w:rPr>
        <w:t>None</w:t>
      </w:r>
      <w:r w:rsidRPr="00B34176" w:rsidR="009F436E">
        <w:rPr>
          <w:rFonts w:ascii="Arial" w:hAnsi="Arial" w:cs="Arial"/>
          <w:sz w:val="22"/>
          <w:szCs w:val="22"/>
        </w:rPr>
        <w:t>.</w:t>
      </w:r>
    </w:p>
    <w:p w:rsidR="009B359F" w:rsidRPr="00B34176" w:rsidP="00D04711" w14:paraId="39B36096" w14:textId="77777777">
      <w:pPr>
        <w:tabs>
          <w:tab w:val="left" w:pos="360"/>
          <w:tab w:val="left" w:pos="720"/>
          <w:tab w:val="left" w:pos="1440"/>
        </w:tabs>
        <w:rPr>
          <w:rFonts w:ascii="Arial" w:hAnsi="Arial" w:cs="Arial"/>
          <w:sz w:val="22"/>
          <w:szCs w:val="22"/>
        </w:rPr>
      </w:pPr>
    </w:p>
    <w:p w:rsidR="00295103" w:rsidRPr="00B34176" w:rsidP="005F7212" w14:paraId="318D3A67" w14:textId="5BAACC5F">
      <w:pPr>
        <w:tabs>
          <w:tab w:val="left" w:pos="360"/>
          <w:tab w:val="left" w:pos="720"/>
          <w:tab w:val="left" w:pos="1440"/>
        </w:tabs>
        <w:rPr>
          <w:rFonts w:ascii="Arial" w:hAnsi="Arial" w:cs="Arial"/>
          <w:sz w:val="22"/>
          <w:szCs w:val="22"/>
        </w:rPr>
      </w:pPr>
      <w:r w:rsidRPr="00B34176">
        <w:rPr>
          <w:rFonts w:ascii="Arial" w:hAnsi="Arial" w:cs="Arial"/>
          <w:b/>
          <w:bCs/>
          <w:sz w:val="22"/>
          <w:szCs w:val="22"/>
        </w:rPr>
        <w:t>Justification</w:t>
      </w:r>
      <w:r w:rsidRPr="00B34176" w:rsidR="00C04E17">
        <w:rPr>
          <w:rFonts w:ascii="Arial" w:hAnsi="Arial" w:cs="Arial"/>
          <w:bCs/>
          <w:sz w:val="22"/>
          <w:szCs w:val="22"/>
        </w:rPr>
        <w:t xml:space="preserve">  </w:t>
      </w:r>
    </w:p>
    <w:p w:rsidR="00295103" w:rsidRPr="00B34176" w:rsidP="005F7212" w14:paraId="12064814" w14:textId="77777777">
      <w:pPr>
        <w:tabs>
          <w:tab w:val="left" w:pos="360"/>
          <w:tab w:val="left" w:pos="720"/>
          <w:tab w:val="left" w:pos="1440"/>
        </w:tabs>
        <w:rPr>
          <w:rFonts w:ascii="Arial" w:hAnsi="Arial" w:cs="Arial"/>
          <w:sz w:val="22"/>
          <w:szCs w:val="22"/>
        </w:rPr>
      </w:pPr>
    </w:p>
    <w:p w:rsidR="00A46836" w:rsidRPr="00B34176" w:rsidP="00A46836" w14:paraId="1AEBA052" w14:textId="77777777">
      <w:pPr>
        <w:pStyle w:val="Heading1"/>
      </w:pPr>
      <w:r w:rsidRPr="00B34176">
        <w:t>1.</w:t>
      </w:r>
      <w:r w:rsidRPr="00B34176">
        <w:tab/>
        <w:t>Explain the circumstances that make the collection of information necessary.  Identify any legal or administrative requirements that necessitate the collection.</w:t>
      </w:r>
    </w:p>
    <w:p w:rsidR="00295103" w:rsidRPr="00B34176" w:rsidP="005F7212" w14:paraId="480609AF" w14:textId="77777777">
      <w:pPr>
        <w:tabs>
          <w:tab w:val="left" w:pos="360"/>
          <w:tab w:val="left" w:pos="720"/>
          <w:tab w:val="left" w:pos="1440"/>
        </w:tabs>
        <w:rPr>
          <w:rFonts w:ascii="Arial" w:hAnsi="Arial" w:cs="Arial"/>
          <w:sz w:val="22"/>
          <w:szCs w:val="22"/>
        </w:rPr>
      </w:pPr>
    </w:p>
    <w:p w:rsidR="0092400A" w:rsidRPr="00B34176" w:rsidP="005F7212" w14:paraId="6A0C7940" w14:textId="5E8C6D46">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The </w:t>
      </w:r>
      <w:r w:rsidRPr="00B34176" w:rsidR="00F06734">
        <w:rPr>
          <w:rFonts w:ascii="Arial" w:hAnsi="Arial" w:cs="Arial"/>
          <w:bCs/>
          <w:sz w:val="22"/>
          <w:szCs w:val="22"/>
        </w:rPr>
        <w:t>U.S. Fish and Wildlife Service (</w:t>
      </w:r>
      <w:r w:rsidRPr="00B34176">
        <w:rPr>
          <w:rFonts w:ascii="Arial" w:hAnsi="Arial" w:cs="Arial"/>
          <w:bCs/>
          <w:sz w:val="22"/>
          <w:szCs w:val="22"/>
        </w:rPr>
        <w:t>Service</w:t>
      </w:r>
      <w:r w:rsidRPr="00B34176" w:rsidR="00F06734">
        <w:rPr>
          <w:rFonts w:ascii="Arial" w:hAnsi="Arial" w:cs="Arial"/>
          <w:bCs/>
          <w:sz w:val="22"/>
          <w:szCs w:val="22"/>
        </w:rPr>
        <w:t>)</w:t>
      </w:r>
      <w:r w:rsidRPr="00B34176">
        <w:rPr>
          <w:rFonts w:ascii="Arial" w:hAnsi="Arial" w:cs="Arial"/>
          <w:bCs/>
          <w:sz w:val="22"/>
          <w:szCs w:val="22"/>
        </w:rPr>
        <w:t xml:space="preserve"> collects and maintains necessary geospatial data to meet our mission in accordance </w:t>
      </w:r>
      <w:bookmarkStart w:id="0" w:name="_Hlk93924941"/>
      <w:r w:rsidRPr="00B34176">
        <w:rPr>
          <w:rFonts w:ascii="Arial" w:hAnsi="Arial" w:cs="Arial"/>
          <w:bCs/>
          <w:sz w:val="22"/>
          <w:szCs w:val="22"/>
        </w:rPr>
        <w:t xml:space="preserve">with the </w:t>
      </w:r>
      <w:r w:rsidRPr="00B34176">
        <w:rPr>
          <w:rFonts w:ascii="Arial" w:hAnsi="Arial" w:cs="Arial"/>
          <w:bCs/>
          <w:sz w:val="22"/>
          <w:szCs w:val="22"/>
        </w:rPr>
        <w:t>following authorities:</w:t>
      </w:r>
    </w:p>
    <w:p w:rsidR="0092400A" w:rsidRPr="00B34176" w:rsidP="005F7212" w14:paraId="4C49058C"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92400A" w:rsidRPr="00B34176" w:rsidP="005F7212" w14:paraId="1BC07A4C" w14:textId="77777777">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Federal Funding Accountability and Transparency Act of 2006, as amended (31 U.S.C. 6101);</w:t>
      </w:r>
    </w:p>
    <w:p w:rsidR="0092400A" w:rsidRPr="00B34176" w:rsidP="005F7212" w14:paraId="712CD9FF" w14:textId="77777777">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Geospatial Data Act of 2018 (43 U.S.C. chapter 46, 2801–2811); </w:t>
      </w:r>
    </w:p>
    <w:p w:rsidR="0092400A" w:rsidRPr="00B34176" w:rsidP="005F7212" w14:paraId="7503769D" w14:textId="52590887">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National Technology Transfer and Advancement Act of 1995 (</w:t>
      </w:r>
      <w:r w:rsidRPr="00B34176">
        <w:rPr>
          <w:rFonts w:ascii="Arial" w:hAnsi="Arial" w:cs="Arial"/>
          <w:bCs/>
          <w:sz w:val="22"/>
          <w:szCs w:val="22"/>
        </w:rPr>
        <w:t>Pub</w:t>
      </w:r>
      <w:r w:rsidRPr="00B34176" w:rsidR="0028221A">
        <w:rPr>
          <w:rFonts w:ascii="Arial" w:hAnsi="Arial" w:cs="Arial"/>
          <w:bCs/>
          <w:sz w:val="22"/>
          <w:szCs w:val="22"/>
        </w:rPr>
        <w:t>.</w:t>
      </w:r>
      <w:r w:rsidRPr="00B34176">
        <w:rPr>
          <w:rFonts w:ascii="Arial" w:hAnsi="Arial" w:cs="Arial"/>
          <w:bCs/>
          <w:sz w:val="22"/>
          <w:szCs w:val="22"/>
        </w:rPr>
        <w:t>L</w:t>
      </w:r>
      <w:r w:rsidRPr="00B34176" w:rsidR="0028221A">
        <w:rPr>
          <w:rFonts w:ascii="Arial" w:hAnsi="Arial" w:cs="Arial"/>
          <w:bCs/>
          <w:sz w:val="22"/>
          <w:szCs w:val="22"/>
        </w:rPr>
        <w:t>.</w:t>
      </w:r>
      <w:r w:rsidRPr="00B34176">
        <w:rPr>
          <w:rFonts w:ascii="Arial" w:hAnsi="Arial" w:cs="Arial"/>
          <w:bCs/>
          <w:sz w:val="22"/>
          <w:szCs w:val="22"/>
        </w:rPr>
        <w:t xml:space="preserve"> 104–113); </w:t>
      </w:r>
    </w:p>
    <w:p w:rsidR="0092400A" w:rsidRPr="00B34176" w:rsidP="005F7212" w14:paraId="5840E941" w14:textId="28312157">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Open, Public, Electronic, and Necessary (OPEN) Government Data Act</w:t>
      </w:r>
      <w:r w:rsidRPr="00B34176" w:rsidR="0028221A">
        <w:rPr>
          <w:rFonts w:ascii="Arial" w:hAnsi="Arial" w:cs="Arial"/>
          <w:bCs/>
          <w:sz w:val="22"/>
          <w:szCs w:val="22"/>
        </w:rPr>
        <w:t xml:space="preserve"> (44 U.S.C. 3506(b)(6))</w:t>
      </w:r>
      <w:r w:rsidRPr="00B34176">
        <w:rPr>
          <w:rFonts w:ascii="Arial" w:hAnsi="Arial" w:cs="Arial"/>
          <w:bCs/>
          <w:sz w:val="22"/>
          <w:szCs w:val="22"/>
        </w:rPr>
        <w:t xml:space="preserve">; </w:t>
      </w:r>
    </w:p>
    <w:p w:rsidR="0092400A" w:rsidRPr="00B34176" w:rsidP="005F7212" w14:paraId="76A6301E" w14:textId="72C766E4">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Title II of the Foundations for Evidence-Based Policymaking Act of 2018 (</w:t>
      </w:r>
      <w:r w:rsidRPr="00B34176" w:rsidR="009827CA">
        <w:rPr>
          <w:rFonts w:ascii="Arial" w:hAnsi="Arial" w:cs="Arial"/>
          <w:bCs/>
          <w:sz w:val="22"/>
          <w:szCs w:val="22"/>
        </w:rPr>
        <w:t>Pub.L</w:t>
      </w:r>
      <w:r w:rsidRPr="00B34176" w:rsidR="009827CA">
        <w:rPr>
          <w:rFonts w:ascii="Arial" w:hAnsi="Arial" w:cs="Arial"/>
          <w:bCs/>
          <w:sz w:val="22"/>
          <w:szCs w:val="22"/>
        </w:rPr>
        <w:t xml:space="preserve">. </w:t>
      </w:r>
      <w:r w:rsidRPr="00B34176">
        <w:rPr>
          <w:rFonts w:ascii="Arial" w:hAnsi="Arial" w:cs="Arial"/>
          <w:bCs/>
          <w:sz w:val="22"/>
          <w:szCs w:val="22"/>
        </w:rPr>
        <w:t>115–435);</w:t>
      </w:r>
    </w:p>
    <w:p w:rsidR="0092400A" w:rsidRPr="00B34176" w:rsidP="005F7212" w14:paraId="31FB1829" w14:textId="77777777">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OMB Circular A-16, “Coordination of Geographic Information and Related Spatial Data Activities”; </w:t>
      </w:r>
    </w:p>
    <w:p w:rsidR="0092400A" w:rsidRPr="00B34176" w:rsidP="005F7212" w14:paraId="4850CB1A" w14:textId="77777777">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OMB Circular A-119, “Federal Participation in the Development and Use of Voluntary Consensus Standards and in Conformity Assessment Activities”; and </w:t>
      </w:r>
    </w:p>
    <w:p w:rsidR="0005653E" w:rsidRPr="00B34176" w:rsidP="005F7212" w14:paraId="437C7F84" w14:textId="08DAADF8">
      <w:pPr>
        <w:pStyle w:val="HTMLPreformatted"/>
        <w:numPr>
          <w:ilvl w:val="0"/>
          <w:numId w:val="24"/>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OMB Circular A-130, “Managing Information as a Strategic Resource.”</w:t>
      </w:r>
      <w:bookmarkEnd w:id="0"/>
    </w:p>
    <w:p w:rsidR="0005653E" w:rsidRPr="00B34176" w:rsidP="005F7212" w14:paraId="7D345A61"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05653E" w:rsidRPr="00B34176" w:rsidP="005F7212" w14:paraId="1A34BEF3" w14:textId="54F56FB0">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Geospatial data identifies and depicts geographic locations, boundaries, and characteristics of features on the surface of the earth.  Geospatial data includes geographic coordinates (e.g., latitude and longitude) to identify the location of earth’s features, and data associated to geographic locations (e.g., land survey data and land cover type data).  The Service’s organizational ArcGIS online program (AGOL), accessed at </w:t>
      </w:r>
      <w:hyperlink r:id="rId4" w:history="1">
        <w:r w:rsidRPr="00B34176" w:rsidR="009C7E32">
          <w:rPr>
            <w:rStyle w:val="Hyperlink"/>
            <w:rFonts w:ascii="Arial" w:hAnsi="Arial" w:cs="Arial"/>
            <w:bCs/>
            <w:sz w:val="22"/>
            <w:szCs w:val="22"/>
          </w:rPr>
          <w:t>http://fws.maps.arcgis.com</w:t>
        </w:r>
      </w:hyperlink>
      <w:r w:rsidRPr="00B34176">
        <w:rPr>
          <w:rFonts w:ascii="Arial" w:hAnsi="Arial" w:cs="Arial"/>
          <w:bCs/>
          <w:sz w:val="22"/>
          <w:szCs w:val="22"/>
        </w:rPr>
        <w:t>, is an easy place to share data with the public and partners, as well as internally among Service staff.  It can also be used to build and deploy mobile-enabled online maps, applications, and services for geographic information systems (GIS) users and non-GIS users alike.  Sensitive data is restricted from public access via an internal-facing intranet version of AGOL.  Moreover, because the system contains only controlled unclassified information (CUI) that would be designated as low impact under the Federal Information Security Act (FISMA; 2002), no personally identifiable information (PII) is allowed within the system.</w:t>
      </w:r>
    </w:p>
    <w:p w:rsidR="0005653E" w:rsidRPr="00B34176" w:rsidP="005F7212" w14:paraId="7EB4F6D1" w14:textId="77777777">
      <w:pPr>
        <w:tabs>
          <w:tab w:val="left" w:pos="360"/>
          <w:tab w:val="left" w:pos="720"/>
          <w:tab w:val="left" w:pos="1440"/>
        </w:tabs>
        <w:rPr>
          <w:rFonts w:ascii="Arial" w:hAnsi="Arial" w:cs="Arial"/>
          <w:bCs/>
          <w:sz w:val="22"/>
          <w:szCs w:val="22"/>
        </w:rPr>
      </w:pPr>
    </w:p>
    <w:p w:rsidR="001B32C4" w:rsidRPr="00B34176" w:rsidP="005F7212" w14:paraId="5652EADF" w14:textId="23D35D74">
      <w:pPr>
        <w:tabs>
          <w:tab w:val="left" w:pos="360"/>
          <w:tab w:val="left" w:pos="720"/>
          <w:tab w:val="left" w:pos="1440"/>
        </w:tabs>
        <w:rPr>
          <w:rFonts w:ascii="Arial" w:hAnsi="Arial" w:cs="Arial"/>
          <w:sz w:val="22"/>
          <w:szCs w:val="22"/>
          <w:shd w:val="clear" w:color="auto" w:fill="FFFFFF"/>
        </w:rPr>
      </w:pPr>
      <w:r w:rsidRPr="00B34176">
        <w:rPr>
          <w:rFonts w:ascii="Arial" w:hAnsi="Arial" w:cs="Arial"/>
          <w:bCs/>
          <w:sz w:val="22"/>
          <w:szCs w:val="22"/>
        </w:rPr>
        <w:t>The AGOL platform enables the Service to effectively manage geospatial data resources and technology to successfully deliver geospatial services in support of the Service’s mission.  Data collected through AGOL enables improved visualization, analysis, interoperability, modeling, sharing, and decision support.  The benefits include increased accuracy, increased productivity, and more efficient information management and application support.</w:t>
      </w:r>
    </w:p>
    <w:p w:rsidR="00231B67" w:rsidRPr="00B34176" w:rsidP="005F7212" w14:paraId="60A8A844" w14:textId="77777777">
      <w:pPr>
        <w:tabs>
          <w:tab w:val="left" w:pos="360"/>
          <w:tab w:val="left" w:pos="720"/>
          <w:tab w:val="left" w:pos="1440"/>
        </w:tabs>
        <w:rPr>
          <w:rFonts w:ascii="Arial" w:hAnsi="Arial" w:cs="Arial"/>
          <w:sz w:val="22"/>
          <w:szCs w:val="22"/>
          <w:shd w:val="clear" w:color="auto" w:fill="FFFFFF"/>
        </w:rPr>
      </w:pPr>
    </w:p>
    <w:p w:rsidR="00264899" w:rsidRPr="00B34176" w:rsidP="00264899" w14:paraId="0442E6EB" w14:textId="77777777">
      <w:pPr>
        <w:pStyle w:val="Heading1"/>
      </w:pPr>
      <w:r w:rsidRPr="00B34176">
        <w:t>2.</w:t>
      </w:r>
      <w:r w:rsidRPr="00B34176">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Pr="00B34176" w:rsidP="005F7212" w14:paraId="58A2E078" w14:textId="77777777">
      <w:pPr>
        <w:tabs>
          <w:tab w:val="left" w:pos="360"/>
          <w:tab w:val="left" w:pos="720"/>
          <w:tab w:val="left" w:pos="1440"/>
        </w:tabs>
        <w:rPr>
          <w:rFonts w:ascii="Arial" w:hAnsi="Arial" w:cs="Arial"/>
          <w:sz w:val="22"/>
          <w:szCs w:val="22"/>
        </w:rPr>
      </w:pPr>
    </w:p>
    <w:p w:rsidR="00476A06" w:rsidRPr="00B34176" w:rsidP="005F7212" w14:paraId="0ADB12F4" w14:textId="0F3B2BB1">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In addition to collecting name and contact information</w:t>
      </w:r>
      <w:r w:rsidRPr="00B34176" w:rsidR="00331B69">
        <w:rPr>
          <w:rFonts w:ascii="Arial" w:hAnsi="Arial" w:cs="Arial"/>
          <w:bCs/>
          <w:sz w:val="22"/>
          <w:szCs w:val="22"/>
        </w:rPr>
        <w:t xml:space="preserve"> (to create an account)</w:t>
      </w:r>
      <w:r w:rsidRPr="00B34176">
        <w:rPr>
          <w:rFonts w:ascii="Arial" w:hAnsi="Arial" w:cs="Arial"/>
          <w:bCs/>
          <w:sz w:val="22"/>
          <w:szCs w:val="22"/>
        </w:rPr>
        <w:t xml:space="preserve">, </w:t>
      </w:r>
      <w:r w:rsidRPr="00B34176" w:rsidR="00331B69">
        <w:rPr>
          <w:rFonts w:ascii="Arial" w:hAnsi="Arial" w:cs="Arial"/>
          <w:bCs/>
          <w:sz w:val="22"/>
          <w:szCs w:val="22"/>
        </w:rPr>
        <w:t xml:space="preserve">and the </w:t>
      </w:r>
      <w:r w:rsidRPr="00B34176">
        <w:rPr>
          <w:rFonts w:ascii="Arial" w:hAnsi="Arial" w:cs="Arial"/>
          <w:bCs/>
          <w:sz w:val="22"/>
          <w:szCs w:val="22"/>
        </w:rPr>
        <w:t>additional comments about the submission and photographs (optional), we collect the following types of data from our partners through AGOL to improve our online maps, web-mapping applications, and story maps (</w:t>
      </w:r>
      <w:r w:rsidRPr="00B34176">
        <w:rPr>
          <w:rFonts w:ascii="Arial" w:hAnsi="Arial" w:cs="Arial"/>
          <w:bCs/>
          <w:i/>
          <w:iCs/>
          <w:sz w:val="22"/>
          <w:szCs w:val="22"/>
          <w:u w:val="single"/>
        </w:rPr>
        <w:t>data collected is specific to a particular project; we will not collect all data types below with each submission</w:t>
      </w:r>
      <w:r w:rsidRPr="00B34176">
        <w:rPr>
          <w:rFonts w:ascii="Arial" w:hAnsi="Arial" w:cs="Arial"/>
          <w:bCs/>
          <w:sz w:val="22"/>
          <w:szCs w:val="22"/>
        </w:rPr>
        <w:t>):</w:t>
      </w:r>
    </w:p>
    <w:p w:rsidR="00476A06" w:rsidRPr="00B34176" w:rsidP="005F7212" w14:paraId="43ADA3B4"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2C0001" w14:paraId="1172C979" w14:textId="77777777">
      <w:pPr>
        <w:pStyle w:val="HTMLPreformatted"/>
        <w:numPr>
          <w:ilvl w:val="0"/>
          <w:numId w:val="20"/>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Road crossing data, to include data such as location data, global positioning system (GPS) coordinates, stream name and stream flow, road name, structure type and quantity, road surface type and condition, issues present at crossing, and name and contact.</w:t>
      </w:r>
    </w:p>
    <w:p w:rsidR="00476A06" w:rsidRPr="00B34176" w:rsidP="002C0001" w14:paraId="7BA7EE96" w14:textId="77777777">
      <w:pPr>
        <w:pStyle w:val="HTMLPreformatted"/>
        <w:numPr>
          <w:ilvl w:val="0"/>
          <w:numId w:val="20"/>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Stream crossing data, to include data such as location/description, GPS coordinates, crossing type, structures/barriers, inlet/outlet information, and stream flow type and condition.</w:t>
      </w:r>
    </w:p>
    <w:p w:rsidR="00476A06" w:rsidRPr="00B34176" w:rsidP="002C0001" w14:paraId="7478E334" w14:textId="77777777">
      <w:pPr>
        <w:pStyle w:val="HTMLPreformatted"/>
        <w:numPr>
          <w:ilvl w:val="0"/>
          <w:numId w:val="20"/>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Conservation project data, to include data such as project title and description, partner names and contact information, start and end dates for project, whether project is new or updated, cost of project, relevant website information, geographical location of project, project species data, project strategy (e.g., protect habitat, reduce human conflicts, climate change, etc.), and links to project reports.</w:t>
      </w:r>
    </w:p>
    <w:p w:rsidR="00476A06" w:rsidRPr="00B34176" w:rsidP="002C0001" w14:paraId="5CB145B0" w14:textId="77777777">
      <w:pPr>
        <w:pStyle w:val="HTMLPreformatted"/>
        <w:numPr>
          <w:ilvl w:val="0"/>
          <w:numId w:val="20"/>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Reporting locations and/or status of Service assets (such as trails, roads, gates, etc.), invasive species, dead animals, trash on public lands, and possible hazards.</w:t>
      </w:r>
    </w:p>
    <w:p w:rsidR="00476A06" w:rsidRPr="00B34176" w:rsidP="002C0001" w14:paraId="17CB5E43" w14:textId="77777777">
      <w:pPr>
        <w:pStyle w:val="HTMLPreformatted"/>
        <w:numPr>
          <w:ilvl w:val="0"/>
          <w:numId w:val="20"/>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Observations of wildlife occurrences, including location, species, observer, counts, and other physical characteristics of interest.</w:t>
      </w:r>
    </w:p>
    <w:p w:rsidR="00476A06" w:rsidRPr="00B34176" w:rsidP="002C0001" w14:paraId="6FEBE456" w14:textId="77777777">
      <w:pPr>
        <w:pStyle w:val="HTMLPreformatted"/>
        <w:numPr>
          <w:ilvl w:val="0"/>
          <w:numId w:val="20"/>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Vegetation monitoring data, which would include the condition of the resource, abundance, lifeform, and more.</w:t>
      </w:r>
    </w:p>
    <w:p w:rsidR="00476A06" w:rsidRPr="00B34176" w:rsidP="005F7212" w14:paraId="31FD2DB7"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5F7212" w14:paraId="47A3B9B1" w14:textId="58CF9773">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We use the information collected from our partners to support critical geospatial services for Service programs/functions, such as:</w:t>
      </w:r>
    </w:p>
    <w:p w:rsidR="00476A06" w:rsidRPr="00B34176" w:rsidP="005F7212" w14:paraId="2EF20C0B"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5F7212" w14:paraId="6F179E47" w14:textId="16C4BFBD">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i/>
          <w:iCs/>
          <w:sz w:val="22"/>
          <w:szCs w:val="22"/>
        </w:rPr>
        <w:t>Endangered Species and Fisheries &amp; Habitat Conservation</w:t>
      </w:r>
    </w:p>
    <w:p w:rsidR="00476A06" w:rsidRPr="00B34176" w:rsidP="005F7212" w14:paraId="14FC82EA"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2C0001" w14:paraId="782007F8"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Monitoring the extent and status of wetlands for management, research, policy development, education, and planning through the National Wetland Inventory.</w:t>
      </w:r>
    </w:p>
    <w:p w:rsidR="00476A06" w:rsidRPr="00B34176" w:rsidP="002C0001" w14:paraId="7FDEB0CC"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Performing Natural Resources Damage Assessments, including evaluating exposure of trust species to toxic spills. </w:t>
      </w:r>
    </w:p>
    <w:p w:rsidR="00476A06" w:rsidRPr="00B34176" w:rsidP="002C0001" w14:paraId="1D317E1E"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Proposing, designating, and informing the public about critical habitat for threatened &amp; endangered (T&amp;E) species and delivering official species lists and Section 7 consultations.</w:t>
      </w:r>
    </w:p>
    <w:p w:rsidR="00476A06" w:rsidRPr="00B34176" w:rsidP="002C0001" w14:paraId="0EC0100E"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Providing information about sensitive resources (T&amp;E species, Refuges, critical habitat) within the vicinity of a proposed project.</w:t>
      </w:r>
    </w:p>
    <w:p w:rsidR="00476A06" w:rsidRPr="00B34176" w:rsidP="002C0001" w14:paraId="7934A3AD"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Conducting large-scale, multidisciplinary, multi-species analysis for habitat conservation and landscape conservation planning and restoration.</w:t>
      </w:r>
    </w:p>
    <w:p w:rsidR="00476A06" w:rsidRPr="00B34176" w:rsidP="002C0001" w14:paraId="737825B2"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Improving fish passage and modeling the effects of barrier removal.</w:t>
      </w:r>
    </w:p>
    <w:p w:rsidR="00476A06" w:rsidRPr="00B34176" w:rsidP="005F7212" w14:paraId="785D3ABD"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5F7212" w14:paraId="634B159F" w14:textId="2BA36709">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i/>
          <w:iCs/>
          <w:sz w:val="22"/>
          <w:szCs w:val="22"/>
        </w:rPr>
        <w:t>Migratory Bird Conservation</w:t>
      </w:r>
    </w:p>
    <w:p w:rsidR="00476A06" w:rsidRPr="00B34176" w:rsidP="005F7212" w14:paraId="36B4A035"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2C0001" w14:paraId="52896D9F"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Conducting bird surveys:  Survey design, navigation GPS files for pilots, and spatially referenced survey data.</w:t>
      </w:r>
    </w:p>
    <w:p w:rsidR="00476A06" w:rsidRPr="00B34176" w:rsidP="002C0001" w14:paraId="7D3F4613"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Assessing habitat conditions and monitoring habitat improvement projects in joint ventures. </w:t>
      </w:r>
    </w:p>
    <w:p w:rsidR="00476A06" w:rsidRPr="00B34176" w:rsidP="002C0001" w14:paraId="7F703485" w14:textId="77777777">
      <w:pPr>
        <w:pStyle w:val="HTMLPreformatted"/>
        <w:numPr>
          <w:ilvl w:val="0"/>
          <w:numId w:val="21"/>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Conducting research on relationships between bird abundance/ productivity and habitat quantity and quality, and migration movement patterns. </w:t>
      </w:r>
    </w:p>
    <w:p w:rsidR="00476A06" w:rsidRPr="00B34176" w:rsidP="005F7212" w14:paraId="34F6F1CC"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5F7212" w14:paraId="0E9BC8A2" w14:textId="00A6F7D4">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i/>
          <w:iCs/>
          <w:sz w:val="22"/>
          <w:szCs w:val="22"/>
        </w:rPr>
        <w:t>National Wildlife Refuge System</w:t>
      </w:r>
    </w:p>
    <w:p w:rsidR="00476A06" w:rsidRPr="00B34176" w:rsidP="005F7212" w14:paraId="207E35E4"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2C0001" w14:paraId="096C9B23"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Developing alternatives for comprehensive conservation plans and supporting National Wildlife Refuge System (System) operational activities, including asset management, law enforcement, water resources, and fire management.</w:t>
      </w:r>
    </w:p>
    <w:p w:rsidR="00476A06" w:rsidRPr="00B34176" w:rsidP="002C0001" w14:paraId="26884E9B"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Mapping realty transactions and land status of Service properties and proposed expansions.</w:t>
      </w:r>
    </w:p>
    <w:p w:rsidR="00476A06" w:rsidRPr="00B34176" w:rsidP="002C0001" w14:paraId="563C4F52"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Analyzing strategic growth and land acquisition planning opportunities for the System.</w:t>
      </w:r>
    </w:p>
    <w:p w:rsidR="00476A06" w:rsidRPr="00B34176" w:rsidP="002C0001" w14:paraId="62BBF3C6"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Conducting biological surveys and managing data, including inventory and monitoring, invasive species control, and habitat management plans.</w:t>
      </w:r>
    </w:p>
    <w:p w:rsidR="00476A06" w:rsidRPr="00B34176" w:rsidP="002C0001" w14:paraId="5F83DDDA"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Managing Service infrastructure and assets.</w:t>
      </w:r>
    </w:p>
    <w:p w:rsidR="00476A06" w:rsidRPr="00B34176" w:rsidP="002C0001" w14:paraId="60E2D5C0"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 xml:space="preserve">Planning, responding, and mitigating impacts from natural disasters such as wildfire, hurricanes, disease outbreaks, and more. </w:t>
      </w:r>
    </w:p>
    <w:p w:rsidR="00476A06" w:rsidRPr="00B34176" w:rsidP="002C0001" w14:paraId="792F139E" w14:textId="77777777">
      <w:pPr>
        <w:pStyle w:val="HTMLPreformatted"/>
        <w:numPr>
          <w:ilvl w:val="0"/>
          <w:numId w:val="22"/>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Producing visitor service materials (maps, brochures) for public use and engagement of System lands.</w:t>
      </w:r>
    </w:p>
    <w:p w:rsidR="00476A06" w:rsidRPr="00B34176" w:rsidP="005F7212" w14:paraId="2EBE48CF"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5F7212" w14:paraId="1E1091AE" w14:textId="54FBEFB2">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i/>
          <w:iCs/>
          <w:sz w:val="22"/>
          <w:szCs w:val="22"/>
        </w:rPr>
        <w:t>Landscape Conservation Cooperatives</w:t>
      </w:r>
    </w:p>
    <w:p w:rsidR="00476A06" w:rsidRPr="00B34176" w:rsidP="005F7212" w14:paraId="60277497" w14:textId="77777777">
      <w:pPr>
        <w:pStyle w:val="HTMLPreformatted"/>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476A06" w:rsidRPr="00B34176" w:rsidP="002C0001" w14:paraId="7CB18EA8" w14:textId="77777777">
      <w:pPr>
        <w:pStyle w:val="HTMLPreformatted"/>
        <w:numPr>
          <w:ilvl w:val="0"/>
          <w:numId w:val="23"/>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Evaluating, planning, and implementing strategic habitat conservation and adaptive management at the landscape level.</w:t>
      </w:r>
    </w:p>
    <w:p w:rsidR="00476A06" w:rsidRPr="00B34176" w:rsidP="002C0001" w14:paraId="42BACA0D" w14:textId="77777777">
      <w:pPr>
        <w:pStyle w:val="HTMLPreformatted"/>
        <w:numPr>
          <w:ilvl w:val="0"/>
          <w:numId w:val="23"/>
        </w:numPr>
        <w:tabs>
          <w:tab w:val="left" w:pos="360"/>
          <w:tab w:val="left" w:pos="720"/>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B34176">
        <w:rPr>
          <w:rFonts w:ascii="Arial" w:hAnsi="Arial" w:cs="Arial"/>
          <w:bCs/>
          <w:sz w:val="22"/>
          <w:szCs w:val="22"/>
        </w:rPr>
        <w:t>Performing biological planning, conservation design and delivery, monitoring, and research for climate change and other stressors at the landscape level.</w:t>
      </w:r>
    </w:p>
    <w:p w:rsidR="00231B67" w:rsidRPr="00B34176" w:rsidP="005F7212" w14:paraId="6F5718A8" w14:textId="41F90FAC">
      <w:pPr>
        <w:tabs>
          <w:tab w:val="left" w:pos="360"/>
          <w:tab w:val="left" w:pos="720"/>
          <w:tab w:val="left" w:pos="1440"/>
        </w:tabs>
        <w:rPr>
          <w:rFonts w:ascii="Arial" w:hAnsi="Arial" w:cs="Arial"/>
          <w:sz w:val="22"/>
          <w:szCs w:val="22"/>
        </w:rPr>
      </w:pPr>
    </w:p>
    <w:p w:rsidR="00585CF6" w:rsidRPr="00B34176" w:rsidP="00585CF6" w14:paraId="1E7D636C" w14:textId="77777777">
      <w:pPr>
        <w:pStyle w:val="Heading1"/>
      </w:pPr>
      <w:r w:rsidRPr="00B34176">
        <w:t>3.</w:t>
      </w:r>
      <w:r w:rsidRPr="00B34176">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34176" w:rsidP="005F7212" w14:paraId="0A514DB1" w14:textId="77777777">
      <w:pPr>
        <w:tabs>
          <w:tab w:val="left" w:pos="360"/>
          <w:tab w:val="left" w:pos="720"/>
          <w:tab w:val="left" w:pos="1440"/>
        </w:tabs>
        <w:rPr>
          <w:rFonts w:ascii="Arial" w:hAnsi="Arial" w:cs="Arial"/>
          <w:sz w:val="22"/>
          <w:szCs w:val="22"/>
        </w:rPr>
      </w:pPr>
    </w:p>
    <w:p w:rsidR="00251281" w:rsidRPr="00B34176" w:rsidP="005F7212" w14:paraId="6C1E33C0" w14:textId="42A3E7E0">
      <w:pPr>
        <w:tabs>
          <w:tab w:val="left" w:pos="360"/>
          <w:tab w:val="left" w:pos="720"/>
          <w:tab w:val="left" w:pos="1440"/>
        </w:tabs>
        <w:rPr>
          <w:rFonts w:ascii="Arial" w:hAnsi="Arial" w:cs="Arial"/>
          <w:sz w:val="22"/>
          <w:szCs w:val="22"/>
        </w:rPr>
      </w:pPr>
      <w:r w:rsidRPr="00B34176">
        <w:rPr>
          <w:rFonts w:ascii="Arial" w:hAnsi="Arial" w:cs="Arial"/>
          <w:sz w:val="22"/>
          <w:szCs w:val="22"/>
        </w:rPr>
        <w:t xml:space="preserve">All submissions will be </w:t>
      </w:r>
      <w:r w:rsidRPr="00B34176" w:rsidR="00231B67">
        <w:rPr>
          <w:rFonts w:ascii="Arial" w:hAnsi="Arial" w:cs="Arial"/>
          <w:sz w:val="22"/>
          <w:szCs w:val="22"/>
        </w:rPr>
        <w:t>electronic</w:t>
      </w:r>
      <w:r w:rsidRPr="00B34176">
        <w:rPr>
          <w:rFonts w:ascii="Arial" w:hAnsi="Arial" w:cs="Arial"/>
          <w:sz w:val="22"/>
          <w:szCs w:val="22"/>
        </w:rPr>
        <w:t xml:space="preserve"> via the </w:t>
      </w:r>
      <w:hyperlink r:id="rId5" w:history="1">
        <w:r w:rsidRPr="00B34176" w:rsidR="000100C0">
          <w:rPr>
            <w:rStyle w:val="Hyperlink"/>
            <w:rFonts w:ascii="Arial" w:hAnsi="Arial" w:cs="Arial"/>
            <w:sz w:val="22"/>
            <w:szCs w:val="22"/>
          </w:rPr>
          <w:t>AGOL</w:t>
        </w:r>
        <w:r w:rsidRPr="00B34176">
          <w:rPr>
            <w:rStyle w:val="Hyperlink"/>
            <w:rFonts w:ascii="Arial" w:hAnsi="Arial" w:cs="Arial"/>
            <w:sz w:val="22"/>
            <w:szCs w:val="22"/>
          </w:rPr>
          <w:t xml:space="preserve"> platform</w:t>
        </w:r>
      </w:hyperlink>
      <w:r w:rsidRPr="00B34176" w:rsidR="00231B67">
        <w:rPr>
          <w:rFonts w:ascii="Arial" w:hAnsi="Arial" w:cs="Arial"/>
          <w:sz w:val="22"/>
          <w:szCs w:val="22"/>
        </w:rPr>
        <w:t>.</w:t>
      </w:r>
      <w:r w:rsidRPr="00B34176" w:rsidR="00C91FAB">
        <w:rPr>
          <w:rFonts w:ascii="Arial" w:hAnsi="Arial" w:cs="Arial"/>
          <w:sz w:val="22"/>
          <w:szCs w:val="22"/>
        </w:rPr>
        <w:t xml:space="preserve">  </w:t>
      </w:r>
    </w:p>
    <w:p w:rsidR="00B6092A" w:rsidRPr="00B34176" w:rsidP="005F7212" w14:paraId="5CDE9C5E" w14:textId="4C053140">
      <w:pPr>
        <w:tabs>
          <w:tab w:val="left" w:pos="360"/>
          <w:tab w:val="left" w:pos="720"/>
          <w:tab w:val="left" w:pos="1440"/>
        </w:tabs>
        <w:rPr>
          <w:rFonts w:ascii="Arial" w:hAnsi="Arial" w:cs="Arial"/>
          <w:sz w:val="22"/>
          <w:szCs w:val="22"/>
        </w:rPr>
      </w:pPr>
    </w:p>
    <w:p w:rsidR="00714705" w:rsidRPr="00B34176" w:rsidP="00714705" w14:paraId="2AEE9AC0" w14:textId="77777777">
      <w:pPr>
        <w:pStyle w:val="Heading1"/>
      </w:pPr>
      <w:r w:rsidRPr="00B34176">
        <w:t>4.</w:t>
      </w:r>
      <w:r w:rsidRPr="00B34176">
        <w:tab/>
        <w:t>Describe efforts to identify duplication.  Show specifically why any similar information already available cannot be used or modified for use for the purposes described in Item 2 above.</w:t>
      </w:r>
    </w:p>
    <w:p w:rsidR="00295103" w:rsidRPr="00B34176" w:rsidP="005F7212" w14:paraId="14019F1D" w14:textId="77777777">
      <w:pPr>
        <w:tabs>
          <w:tab w:val="left" w:pos="360"/>
          <w:tab w:val="left" w:pos="720"/>
          <w:tab w:val="left" w:pos="1440"/>
        </w:tabs>
        <w:rPr>
          <w:rFonts w:ascii="Arial" w:hAnsi="Arial" w:cs="Arial"/>
          <w:sz w:val="22"/>
          <w:szCs w:val="22"/>
        </w:rPr>
      </w:pPr>
    </w:p>
    <w:p w:rsidR="00251281" w:rsidRPr="00B34176" w:rsidP="005F7212" w14:paraId="1D41D442" w14:textId="55412012">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 xml:space="preserve">There is no duplication.  The information collected is specific to </w:t>
      </w:r>
      <w:r w:rsidRPr="00B34176" w:rsidR="003E6BCC">
        <w:rPr>
          <w:rFonts w:ascii="Arial" w:hAnsi="Arial" w:cs="Arial"/>
          <w:color w:val="000000" w:themeColor="text1"/>
          <w:sz w:val="22"/>
          <w:szCs w:val="22"/>
        </w:rPr>
        <w:t xml:space="preserve">the </w:t>
      </w:r>
      <w:r w:rsidRPr="00B34176" w:rsidR="00B82C44">
        <w:rPr>
          <w:rFonts w:ascii="Arial" w:hAnsi="Arial" w:cs="Arial"/>
          <w:color w:val="000000" w:themeColor="text1"/>
          <w:sz w:val="22"/>
          <w:szCs w:val="22"/>
        </w:rPr>
        <w:t>geospatial data resources and technology gathered in support of the Service’s mission</w:t>
      </w:r>
      <w:r w:rsidRPr="00B34176">
        <w:rPr>
          <w:rFonts w:ascii="Arial" w:hAnsi="Arial" w:cs="Arial"/>
          <w:color w:val="000000" w:themeColor="text1"/>
          <w:sz w:val="22"/>
          <w:szCs w:val="22"/>
        </w:rPr>
        <w:t xml:space="preserve">.  Due to the unique nature of </w:t>
      </w:r>
      <w:r w:rsidRPr="00B34176" w:rsidR="003E6BCC">
        <w:rPr>
          <w:rFonts w:ascii="Arial" w:hAnsi="Arial" w:cs="Arial"/>
          <w:color w:val="000000" w:themeColor="text1"/>
          <w:sz w:val="22"/>
          <w:szCs w:val="22"/>
        </w:rPr>
        <w:t xml:space="preserve">this </w:t>
      </w:r>
      <w:r w:rsidRPr="00B34176">
        <w:rPr>
          <w:rFonts w:ascii="Arial" w:hAnsi="Arial" w:cs="Arial"/>
          <w:color w:val="000000" w:themeColor="text1"/>
          <w:sz w:val="22"/>
          <w:szCs w:val="22"/>
        </w:rPr>
        <w:t>program, no other Federal agency collects this information from the public.</w:t>
      </w:r>
    </w:p>
    <w:p w:rsidR="00251281" w:rsidRPr="00B34176" w:rsidP="005F7212" w14:paraId="0178AEB7" w14:textId="77777777">
      <w:pPr>
        <w:tabs>
          <w:tab w:val="left" w:pos="360"/>
          <w:tab w:val="left" w:pos="720"/>
          <w:tab w:val="left" w:pos="1440"/>
        </w:tabs>
        <w:rPr>
          <w:rFonts w:ascii="Arial" w:hAnsi="Arial" w:cs="Arial"/>
          <w:sz w:val="22"/>
          <w:szCs w:val="22"/>
        </w:rPr>
      </w:pPr>
    </w:p>
    <w:p w:rsidR="00BA7B0B" w:rsidRPr="00B34176" w:rsidP="00BA7B0B" w14:paraId="0BBC8CE6" w14:textId="77777777">
      <w:pPr>
        <w:pStyle w:val="Heading1"/>
      </w:pPr>
      <w:r w:rsidRPr="00B34176">
        <w:t>5.</w:t>
      </w:r>
      <w:r w:rsidRPr="00B34176">
        <w:tab/>
        <w:t>If the collection of information impacts small businesses or other small entities, describe any methods used to minimize burden.</w:t>
      </w:r>
    </w:p>
    <w:p w:rsidR="00295103" w:rsidRPr="00B34176" w:rsidP="005F7212" w14:paraId="7C878CDA" w14:textId="77777777">
      <w:pPr>
        <w:tabs>
          <w:tab w:val="left" w:pos="360"/>
          <w:tab w:val="left" w:pos="720"/>
          <w:tab w:val="left" w:pos="1440"/>
        </w:tabs>
        <w:rPr>
          <w:rFonts w:ascii="Arial" w:hAnsi="Arial" w:cs="Arial"/>
          <w:sz w:val="22"/>
          <w:szCs w:val="22"/>
        </w:rPr>
      </w:pPr>
    </w:p>
    <w:p w:rsidR="00251281" w:rsidRPr="00B34176" w:rsidP="005F7212" w14:paraId="7733747A" w14:textId="39996DD0">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 xml:space="preserve">We collect only the minimum information necessary </w:t>
      </w:r>
      <w:r w:rsidRPr="00B34176" w:rsidR="00B82C44">
        <w:rPr>
          <w:rFonts w:ascii="Arial" w:hAnsi="Arial" w:cs="Arial"/>
          <w:color w:val="000000" w:themeColor="text1"/>
          <w:sz w:val="22"/>
          <w:szCs w:val="22"/>
        </w:rPr>
        <w:t xml:space="preserve">to improve the Service’s visualization, </w:t>
      </w:r>
      <w:r w:rsidRPr="00B34176" w:rsidR="00B82C44">
        <w:rPr>
          <w:rFonts w:ascii="Arial" w:hAnsi="Arial" w:cs="Arial"/>
          <w:color w:val="000000" w:themeColor="text1"/>
          <w:sz w:val="22"/>
          <w:szCs w:val="22"/>
        </w:rPr>
        <w:t>analysis, interoperability, modeling, sharing, and decision support</w:t>
      </w:r>
      <w:r w:rsidRPr="00B34176" w:rsidR="00BD634B">
        <w:rPr>
          <w:rFonts w:ascii="Arial" w:hAnsi="Arial" w:cs="Arial"/>
          <w:color w:val="000000" w:themeColor="text1"/>
          <w:sz w:val="22"/>
          <w:szCs w:val="22"/>
        </w:rPr>
        <w:t xml:space="preserve">. </w:t>
      </w:r>
      <w:r w:rsidRPr="00B34176">
        <w:rPr>
          <w:rFonts w:ascii="Arial" w:hAnsi="Arial" w:cs="Arial"/>
          <w:color w:val="000000"/>
          <w:sz w:val="22"/>
          <w:szCs w:val="22"/>
        </w:rPr>
        <w:t xml:space="preserve"> </w:t>
      </w:r>
      <w:r w:rsidRPr="00B34176">
        <w:rPr>
          <w:rFonts w:ascii="Arial" w:hAnsi="Arial" w:cs="Arial"/>
          <w:color w:val="000000" w:themeColor="text1"/>
          <w:sz w:val="22"/>
          <w:szCs w:val="22"/>
        </w:rPr>
        <w:t>This information collection will not significantly impact small businesses or other small entities</w:t>
      </w:r>
      <w:r w:rsidRPr="00B34176" w:rsidR="00B02A02">
        <w:rPr>
          <w:rFonts w:ascii="Arial" w:hAnsi="Arial" w:cs="Arial"/>
          <w:color w:val="000000" w:themeColor="text1"/>
          <w:sz w:val="22"/>
          <w:szCs w:val="22"/>
        </w:rPr>
        <w:t>.</w:t>
      </w:r>
    </w:p>
    <w:p w:rsidR="00251281" w:rsidRPr="00B34176" w:rsidP="005F7212" w14:paraId="0C08567F" w14:textId="77777777">
      <w:pPr>
        <w:tabs>
          <w:tab w:val="left" w:pos="360"/>
          <w:tab w:val="left" w:pos="720"/>
          <w:tab w:val="left" w:pos="1440"/>
        </w:tabs>
        <w:rPr>
          <w:rFonts w:ascii="Arial" w:hAnsi="Arial" w:cs="Arial"/>
          <w:sz w:val="22"/>
          <w:szCs w:val="22"/>
        </w:rPr>
      </w:pPr>
    </w:p>
    <w:p w:rsidR="008A0E41" w:rsidRPr="00B34176" w:rsidP="008A0E41" w14:paraId="3508227F" w14:textId="77777777">
      <w:pPr>
        <w:pStyle w:val="Heading1"/>
      </w:pPr>
      <w:r w:rsidRPr="00B34176">
        <w:t>6.</w:t>
      </w:r>
      <w:r w:rsidRPr="00B34176">
        <w:tab/>
        <w:t>Describe the consequence to Federal program or policy activities if the collection is not conducted or is conducted less frequently, as well as any technical or legal obstacles to reducing burden.</w:t>
      </w:r>
    </w:p>
    <w:p w:rsidR="00295103" w:rsidRPr="00B34176" w:rsidP="005F7212" w14:paraId="71AFF419" w14:textId="77777777">
      <w:pPr>
        <w:tabs>
          <w:tab w:val="left" w:pos="360"/>
          <w:tab w:val="left" w:pos="720"/>
          <w:tab w:val="left" w:pos="1440"/>
        </w:tabs>
        <w:rPr>
          <w:rFonts w:ascii="Arial" w:hAnsi="Arial" w:cs="Arial"/>
          <w:sz w:val="22"/>
          <w:szCs w:val="22"/>
        </w:rPr>
      </w:pPr>
    </w:p>
    <w:p w:rsidR="00251281" w:rsidRPr="00B34176" w:rsidP="005F7212" w14:paraId="06345880" w14:textId="3552A558">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 xml:space="preserve">If </w:t>
      </w:r>
      <w:r w:rsidRPr="00B34176" w:rsidR="00AE26D8">
        <w:rPr>
          <w:rFonts w:ascii="Arial" w:hAnsi="Arial" w:cs="Arial"/>
          <w:color w:val="000000" w:themeColor="text1"/>
          <w:sz w:val="22"/>
          <w:szCs w:val="22"/>
        </w:rPr>
        <w:t xml:space="preserve">we did not collect </w:t>
      </w:r>
      <w:r w:rsidRPr="00B34176">
        <w:rPr>
          <w:rFonts w:ascii="Arial" w:hAnsi="Arial" w:cs="Arial"/>
          <w:color w:val="000000" w:themeColor="text1"/>
          <w:sz w:val="22"/>
          <w:szCs w:val="22"/>
        </w:rPr>
        <w:t xml:space="preserve">the information, </w:t>
      </w:r>
      <w:r w:rsidRPr="00B34176" w:rsidR="00AE26D8">
        <w:rPr>
          <w:rFonts w:ascii="Arial" w:hAnsi="Arial" w:cs="Arial"/>
          <w:color w:val="000000" w:themeColor="text1"/>
          <w:sz w:val="22"/>
          <w:szCs w:val="22"/>
        </w:rPr>
        <w:t>the Service</w:t>
      </w:r>
      <w:r w:rsidRPr="00B34176">
        <w:rPr>
          <w:rFonts w:ascii="Arial" w:hAnsi="Arial" w:cs="Arial"/>
          <w:color w:val="000000" w:themeColor="text1"/>
          <w:sz w:val="22"/>
          <w:szCs w:val="22"/>
        </w:rPr>
        <w:t xml:space="preserve"> would be unable to</w:t>
      </w:r>
      <w:r w:rsidRPr="00B34176" w:rsidR="00F7016F">
        <w:rPr>
          <w:rFonts w:ascii="Arial" w:hAnsi="Arial" w:cs="Arial"/>
          <w:color w:val="000000" w:themeColor="text1"/>
          <w:sz w:val="22"/>
          <w:szCs w:val="22"/>
        </w:rPr>
        <w:t xml:space="preserve"> </w:t>
      </w:r>
      <w:r w:rsidRPr="00B34176" w:rsidR="0044669C">
        <w:rPr>
          <w:rFonts w:ascii="Arial" w:hAnsi="Arial" w:cs="Arial"/>
          <w:color w:val="000000" w:themeColor="text1"/>
          <w:sz w:val="22"/>
          <w:szCs w:val="22"/>
        </w:rPr>
        <w:t>eff</w:t>
      </w:r>
      <w:r w:rsidRPr="00B34176" w:rsidR="00BB6952">
        <w:rPr>
          <w:rFonts w:ascii="Arial" w:hAnsi="Arial" w:cs="Arial"/>
          <w:color w:val="000000" w:themeColor="text1"/>
          <w:sz w:val="22"/>
          <w:szCs w:val="22"/>
        </w:rPr>
        <w:t>ectively work with our partners and public for the conservation of threatened and endangered species, manage</w:t>
      </w:r>
      <w:r w:rsidRPr="00B34176" w:rsidR="009318DE">
        <w:rPr>
          <w:rFonts w:ascii="Arial" w:hAnsi="Arial" w:cs="Arial"/>
          <w:color w:val="000000" w:themeColor="text1"/>
          <w:sz w:val="22"/>
          <w:szCs w:val="22"/>
        </w:rPr>
        <w:t>ment of refuge lands, and</w:t>
      </w:r>
      <w:r w:rsidRPr="00B34176" w:rsidR="009C7E32">
        <w:rPr>
          <w:rFonts w:ascii="Arial" w:hAnsi="Arial" w:cs="Arial"/>
          <w:color w:val="000000" w:themeColor="text1"/>
          <w:sz w:val="22"/>
          <w:szCs w:val="22"/>
        </w:rPr>
        <w:t>/or</w:t>
      </w:r>
      <w:r w:rsidRPr="00B34176" w:rsidR="009318DE">
        <w:rPr>
          <w:rFonts w:ascii="Arial" w:hAnsi="Arial" w:cs="Arial"/>
          <w:color w:val="000000" w:themeColor="text1"/>
          <w:sz w:val="22"/>
          <w:szCs w:val="22"/>
        </w:rPr>
        <w:t xml:space="preserve"> </w:t>
      </w:r>
      <w:r w:rsidRPr="00B34176" w:rsidR="00750606">
        <w:rPr>
          <w:rFonts w:ascii="Arial" w:hAnsi="Arial" w:cs="Arial"/>
          <w:color w:val="000000" w:themeColor="text1"/>
          <w:sz w:val="22"/>
          <w:szCs w:val="22"/>
        </w:rPr>
        <w:t>respond to and plan for natural disasters.</w:t>
      </w:r>
    </w:p>
    <w:p w:rsidR="00251281" w:rsidRPr="00B34176" w:rsidP="005F7212" w14:paraId="2133CBE4" w14:textId="77777777">
      <w:pPr>
        <w:tabs>
          <w:tab w:val="left" w:pos="360"/>
          <w:tab w:val="left" w:pos="720"/>
          <w:tab w:val="left" w:pos="1440"/>
        </w:tabs>
        <w:rPr>
          <w:rFonts w:ascii="Arial" w:hAnsi="Arial" w:cs="Arial"/>
          <w:sz w:val="22"/>
          <w:szCs w:val="22"/>
        </w:rPr>
      </w:pPr>
    </w:p>
    <w:p w:rsidR="008E1297" w:rsidRPr="00B34176" w:rsidP="008E1297" w14:paraId="006EEC8C" w14:textId="77777777">
      <w:pPr>
        <w:pStyle w:val="Heading1"/>
      </w:pPr>
      <w:r w:rsidRPr="00B34176">
        <w:t>7.</w:t>
      </w:r>
      <w:r w:rsidRPr="00B34176">
        <w:tab/>
        <w:t>Explain any special circumstances that would cause an information collection to be conducted in a manner:</w:t>
      </w:r>
    </w:p>
    <w:p w:rsidR="008E1297" w:rsidRPr="00B34176" w:rsidP="008E1297" w14:paraId="3A7572E1" w14:textId="77777777">
      <w:pPr>
        <w:pStyle w:val="Heading1"/>
        <w:ind w:left="360" w:hanging="360"/>
      </w:pPr>
      <w:r w:rsidRPr="00B34176">
        <w:tab/>
        <w:t>*</w:t>
      </w:r>
      <w:r w:rsidRPr="00B34176">
        <w:tab/>
        <w:t>requiring respondents to report information to the agency more often than quarterly;</w:t>
      </w:r>
    </w:p>
    <w:p w:rsidR="008E1297" w:rsidRPr="00B34176" w:rsidP="008E1297" w14:paraId="46C4E82C" w14:textId="77777777">
      <w:pPr>
        <w:pStyle w:val="Heading1"/>
        <w:ind w:left="360" w:hanging="360"/>
      </w:pPr>
      <w:r w:rsidRPr="00B34176">
        <w:tab/>
        <w:t>*</w:t>
      </w:r>
      <w:r w:rsidRPr="00B34176">
        <w:tab/>
        <w:t>requiring respondents to prepare a written response to a collection of information in fewer than 30 days after receipt of it;</w:t>
      </w:r>
    </w:p>
    <w:p w:rsidR="008E1297" w:rsidRPr="00B34176" w:rsidP="008E1297" w14:paraId="0B0BBB67" w14:textId="77777777">
      <w:pPr>
        <w:pStyle w:val="Heading1"/>
        <w:ind w:left="360" w:hanging="360"/>
      </w:pPr>
      <w:r w:rsidRPr="00B34176">
        <w:tab/>
        <w:t>*</w:t>
      </w:r>
      <w:r w:rsidRPr="00B34176">
        <w:tab/>
        <w:t>requiring respondents to submit more than an original and two copies of any document;</w:t>
      </w:r>
    </w:p>
    <w:p w:rsidR="008E1297" w:rsidRPr="00B34176" w:rsidP="008E1297" w14:paraId="5C21029B" w14:textId="77777777">
      <w:pPr>
        <w:pStyle w:val="Heading1"/>
        <w:ind w:left="360" w:hanging="360"/>
      </w:pPr>
      <w:r w:rsidRPr="00B34176">
        <w:tab/>
        <w:t>*</w:t>
      </w:r>
      <w:r w:rsidRPr="00B34176">
        <w:tab/>
        <w:t>requiring respondents to retain records, other than health, medical, government contract, grant-in-aid, or tax records, for more than three years;</w:t>
      </w:r>
    </w:p>
    <w:p w:rsidR="008E1297" w:rsidRPr="00B34176" w:rsidP="008E1297" w14:paraId="796DEA3E" w14:textId="77777777">
      <w:pPr>
        <w:pStyle w:val="Heading1"/>
        <w:ind w:left="360" w:hanging="360"/>
      </w:pPr>
      <w:r w:rsidRPr="00B34176">
        <w:tab/>
        <w:t>*</w:t>
      </w:r>
      <w:r w:rsidRPr="00B34176">
        <w:tab/>
        <w:t>in connection with a statistical survey that is not designed to produce valid and reliable results that can be generalized to the universe of study;</w:t>
      </w:r>
    </w:p>
    <w:p w:rsidR="008E1297" w:rsidRPr="00B34176" w:rsidP="008E1297" w14:paraId="08C048FC" w14:textId="77777777">
      <w:pPr>
        <w:pStyle w:val="Heading1"/>
        <w:ind w:left="360" w:hanging="360"/>
      </w:pPr>
      <w:r w:rsidRPr="00B34176">
        <w:tab/>
        <w:t>*</w:t>
      </w:r>
      <w:r w:rsidRPr="00B34176">
        <w:tab/>
        <w:t>requiring the use of a statistical data classification that has not been reviewed and approved by OMB;</w:t>
      </w:r>
    </w:p>
    <w:p w:rsidR="008E1297" w:rsidRPr="00B34176" w:rsidP="008E1297" w14:paraId="53BC93C8" w14:textId="77777777">
      <w:pPr>
        <w:pStyle w:val="Heading1"/>
        <w:ind w:left="360" w:hanging="360"/>
      </w:pPr>
      <w:r w:rsidRPr="00B34176">
        <w:tab/>
        <w:t>*</w:t>
      </w:r>
      <w:r w:rsidRPr="00B34176">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E1297" w:rsidRPr="00B34176" w:rsidP="008E1297" w14:paraId="047E4E41" w14:textId="77777777">
      <w:pPr>
        <w:pStyle w:val="Heading1"/>
        <w:ind w:left="360" w:hanging="360"/>
      </w:pPr>
      <w:r w:rsidRPr="00B34176">
        <w:tab/>
        <w:t>*</w:t>
      </w:r>
      <w:r w:rsidRPr="00B34176">
        <w:tab/>
        <w:t>requiring respondents to submit proprietary trade secrets, or other confidential information, unless the agency can demonstrate that it has instituted procedures to protect the information's confidentiality to the extent permitted by law.</w:t>
      </w:r>
    </w:p>
    <w:p w:rsidR="00295103" w:rsidRPr="00B34176" w:rsidP="005F7212" w14:paraId="53F0E620" w14:textId="77777777">
      <w:pPr>
        <w:tabs>
          <w:tab w:val="left" w:pos="360"/>
          <w:tab w:val="left" w:pos="720"/>
          <w:tab w:val="left" w:pos="1440"/>
        </w:tabs>
        <w:rPr>
          <w:rFonts w:ascii="Arial" w:hAnsi="Arial" w:cs="Arial"/>
          <w:sz w:val="22"/>
          <w:szCs w:val="22"/>
        </w:rPr>
      </w:pPr>
    </w:p>
    <w:p w:rsidR="00251281" w:rsidRPr="00B34176" w:rsidP="005F7212" w14:paraId="5BB94AFD" w14:textId="79BD1257">
      <w:pPr>
        <w:tabs>
          <w:tab w:val="left" w:pos="360"/>
          <w:tab w:val="left" w:pos="720"/>
          <w:tab w:val="left" w:pos="1440"/>
        </w:tabs>
        <w:rPr>
          <w:rFonts w:ascii="Arial" w:hAnsi="Arial" w:cs="Arial"/>
          <w:sz w:val="22"/>
          <w:szCs w:val="22"/>
        </w:rPr>
      </w:pPr>
      <w:r w:rsidRPr="00B34176">
        <w:rPr>
          <w:rFonts w:ascii="Arial" w:hAnsi="Arial" w:cs="Arial"/>
          <w:sz w:val="22"/>
          <w:szCs w:val="22"/>
        </w:rPr>
        <w:t xml:space="preserve">There are no special circumstances </w:t>
      </w:r>
      <w:r w:rsidRPr="00B34176" w:rsidR="00B323DE">
        <w:rPr>
          <w:rFonts w:ascii="Arial" w:hAnsi="Arial" w:cs="Arial"/>
          <w:sz w:val="22"/>
          <w:szCs w:val="22"/>
        </w:rPr>
        <w:t>requiring</w:t>
      </w:r>
      <w:r w:rsidRPr="00B34176">
        <w:rPr>
          <w:rFonts w:ascii="Arial" w:hAnsi="Arial" w:cs="Arial"/>
          <w:sz w:val="22"/>
          <w:szCs w:val="22"/>
        </w:rPr>
        <w:t xml:space="preserve"> collect</w:t>
      </w:r>
      <w:r w:rsidRPr="00B34176" w:rsidR="00B323DE">
        <w:rPr>
          <w:rFonts w:ascii="Arial" w:hAnsi="Arial" w:cs="Arial"/>
          <w:sz w:val="22"/>
          <w:szCs w:val="22"/>
        </w:rPr>
        <w:t>ion of</w:t>
      </w:r>
      <w:r w:rsidRPr="00B34176">
        <w:rPr>
          <w:rFonts w:ascii="Arial" w:hAnsi="Arial" w:cs="Arial"/>
          <w:sz w:val="22"/>
          <w:szCs w:val="22"/>
        </w:rPr>
        <w:t xml:space="preserve"> the information in a manner inconsistent with OMB guidelines.</w:t>
      </w:r>
    </w:p>
    <w:p w:rsidR="008E1297" w:rsidRPr="00B34176" w:rsidP="005F7212" w14:paraId="57E33CAF" w14:textId="77777777">
      <w:pPr>
        <w:tabs>
          <w:tab w:val="left" w:pos="360"/>
          <w:tab w:val="left" w:pos="720"/>
          <w:tab w:val="left" w:pos="1440"/>
        </w:tabs>
        <w:rPr>
          <w:rFonts w:ascii="Arial" w:hAnsi="Arial" w:cs="Arial"/>
          <w:sz w:val="22"/>
          <w:szCs w:val="22"/>
        </w:rPr>
      </w:pPr>
    </w:p>
    <w:p w:rsidR="00CB7EA1" w:rsidRPr="00B34176" w:rsidP="00CB7EA1" w14:paraId="6DCBFBEF" w14:textId="77777777">
      <w:pPr>
        <w:pStyle w:val="Heading1"/>
      </w:pPr>
      <w:r w:rsidRPr="00B34176">
        <w:t>8.</w:t>
      </w:r>
      <w:r w:rsidRPr="00B34176">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B7EA1" w:rsidRPr="00B34176" w:rsidP="00CB7EA1" w14:paraId="458CEC2C" w14:textId="77777777">
      <w:pPr>
        <w:pStyle w:val="Heading1"/>
      </w:pPr>
    </w:p>
    <w:p w:rsidR="00CB7EA1" w:rsidRPr="00B34176" w:rsidP="00CB7EA1" w14:paraId="4A4D20A3" w14:textId="77777777">
      <w:pPr>
        <w:pStyle w:val="Heading1"/>
      </w:pPr>
      <w:r w:rsidRPr="00B34176">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7EA1" w:rsidRPr="00B34176" w:rsidP="00CB7EA1" w14:paraId="0BE9E017" w14:textId="77777777">
      <w:pPr>
        <w:pStyle w:val="Heading1"/>
      </w:pPr>
    </w:p>
    <w:p w:rsidR="00CB7EA1" w:rsidRPr="00B34176" w:rsidP="00CB7EA1" w14:paraId="264681C9" w14:textId="77777777">
      <w:pPr>
        <w:pStyle w:val="Heading1"/>
      </w:pPr>
      <w:r w:rsidRPr="00B34176">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B34176">
        <w:t>circumstances that may preclude consultation in a specific situation.  These circumstances should be explained.</w:t>
      </w:r>
    </w:p>
    <w:p w:rsidR="00251281" w:rsidRPr="00B34176" w:rsidP="005F7212" w14:paraId="6E7EC54B" w14:textId="77777777">
      <w:pPr>
        <w:tabs>
          <w:tab w:val="left" w:pos="360"/>
          <w:tab w:val="left" w:pos="720"/>
          <w:tab w:val="left" w:pos="1440"/>
        </w:tabs>
        <w:rPr>
          <w:rFonts w:ascii="Arial" w:hAnsi="Arial" w:cs="Arial"/>
          <w:sz w:val="22"/>
          <w:szCs w:val="22"/>
        </w:rPr>
      </w:pPr>
    </w:p>
    <w:p w:rsidR="00D51941" w:rsidRPr="00B34176" w:rsidP="00D51941" w14:paraId="28D52B21" w14:textId="4F80D69C">
      <w:pPr>
        <w:tabs>
          <w:tab w:val="left" w:pos="360"/>
          <w:tab w:val="left" w:pos="720"/>
          <w:tab w:val="left" w:pos="1440"/>
        </w:tabs>
        <w:adjustRightInd/>
        <w:ind w:right="186"/>
        <w:rPr>
          <w:rFonts w:ascii="Arial" w:eastAsia="Arial" w:hAnsi="Arial" w:cs="Arial"/>
          <w:sz w:val="22"/>
          <w:szCs w:val="22"/>
        </w:rPr>
      </w:pPr>
      <w:bookmarkStart w:id="1" w:name="_Hlk166756064"/>
      <w:bookmarkStart w:id="2" w:name="_Hlk135917566"/>
      <w:r w:rsidRPr="00B34176">
        <w:rPr>
          <w:rFonts w:ascii="Arial" w:eastAsia="Arial" w:hAnsi="Arial" w:cs="Arial"/>
          <w:sz w:val="22"/>
          <w:szCs w:val="22"/>
        </w:rPr>
        <w:t xml:space="preserve">On </w:t>
      </w:r>
      <w:r w:rsidRPr="00B34176" w:rsidR="00534B80">
        <w:rPr>
          <w:rFonts w:ascii="Arial" w:eastAsia="Arial" w:hAnsi="Arial" w:cs="Arial"/>
          <w:sz w:val="22"/>
          <w:szCs w:val="22"/>
        </w:rPr>
        <w:t>March 21, 2025</w:t>
      </w:r>
      <w:r w:rsidRPr="00B34176">
        <w:rPr>
          <w:rFonts w:ascii="Arial" w:eastAsia="Arial" w:hAnsi="Arial" w:cs="Arial"/>
          <w:sz w:val="22"/>
          <w:szCs w:val="22"/>
        </w:rPr>
        <w:t xml:space="preserve">, we published in the </w:t>
      </w:r>
      <w:r w:rsidRPr="00B34176">
        <w:rPr>
          <w:rFonts w:ascii="Arial" w:eastAsia="Arial" w:hAnsi="Arial" w:cs="Arial"/>
          <w:i/>
          <w:sz w:val="22"/>
          <w:szCs w:val="22"/>
        </w:rPr>
        <w:t>Federal Register</w:t>
      </w:r>
      <w:r w:rsidRPr="00B34176">
        <w:rPr>
          <w:rFonts w:ascii="Arial" w:eastAsia="Arial" w:hAnsi="Arial" w:cs="Arial"/>
          <w:sz w:val="22"/>
          <w:szCs w:val="22"/>
        </w:rPr>
        <w:t xml:space="preserve"> (</w:t>
      </w:r>
      <w:hyperlink r:id="rId6" w:history="1">
        <w:r w:rsidRPr="00B34176" w:rsidR="00FA0FAE">
          <w:rPr>
            <w:rStyle w:val="Hyperlink"/>
            <w:rFonts w:ascii="Arial" w:eastAsia="Arial" w:hAnsi="Arial" w:cs="Arial"/>
            <w:sz w:val="22"/>
            <w:szCs w:val="22"/>
          </w:rPr>
          <w:t>90</w:t>
        </w:r>
        <w:r w:rsidRPr="00B34176" w:rsidR="00534B80">
          <w:rPr>
            <w:rStyle w:val="Hyperlink"/>
            <w:rFonts w:ascii="Arial" w:eastAsia="Arial" w:hAnsi="Arial" w:cs="Arial"/>
            <w:sz w:val="22"/>
            <w:szCs w:val="22"/>
          </w:rPr>
          <w:t xml:space="preserve"> </w:t>
        </w:r>
        <w:r w:rsidRPr="00B34176">
          <w:rPr>
            <w:rStyle w:val="Hyperlink"/>
            <w:rFonts w:ascii="Arial" w:eastAsia="Arial" w:hAnsi="Arial" w:cs="Arial"/>
            <w:sz w:val="22"/>
            <w:szCs w:val="22"/>
          </w:rPr>
          <w:t xml:space="preserve">FR </w:t>
        </w:r>
        <w:r w:rsidRPr="00B34176" w:rsidR="007D4E3F">
          <w:rPr>
            <w:rStyle w:val="Hyperlink"/>
            <w:rFonts w:ascii="Arial" w:eastAsia="Arial" w:hAnsi="Arial" w:cs="Arial"/>
            <w:sz w:val="22"/>
            <w:szCs w:val="22"/>
          </w:rPr>
          <w:t>13385</w:t>
        </w:r>
      </w:hyperlink>
      <w:r w:rsidRPr="00B34176">
        <w:rPr>
          <w:rFonts w:ascii="Arial" w:eastAsia="Arial" w:hAnsi="Arial" w:cs="Arial"/>
          <w:sz w:val="22"/>
          <w:szCs w:val="22"/>
        </w:rPr>
        <w:t xml:space="preserve">) a notice of our intent to request that OMB approve this information collection.  In that notice, we solicited comments for 60 days, ending on </w:t>
      </w:r>
      <w:r w:rsidRPr="00B34176" w:rsidR="007D4E3F">
        <w:rPr>
          <w:rFonts w:ascii="Arial" w:eastAsia="Arial" w:hAnsi="Arial" w:cs="Arial"/>
          <w:sz w:val="22"/>
          <w:szCs w:val="22"/>
        </w:rPr>
        <w:t>May 20, 2025</w:t>
      </w:r>
      <w:r w:rsidRPr="00B34176">
        <w:rPr>
          <w:rFonts w:ascii="Arial" w:eastAsia="Arial" w:hAnsi="Arial" w:cs="Arial"/>
          <w:sz w:val="22"/>
          <w:szCs w:val="22"/>
        </w:rPr>
        <w:t xml:space="preserve">.  </w:t>
      </w:r>
      <w:r w:rsidRPr="00B34176">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B34176">
        <w:rPr>
          <w:rFonts w:ascii="Arial" w:hAnsi="Arial" w:cs="Arial"/>
          <w:i/>
          <w:iCs/>
          <w:sz w:val="22"/>
          <w:szCs w:val="22"/>
        </w:rPr>
        <w:t>Federal Register</w:t>
      </w:r>
      <w:r w:rsidRPr="00B34176">
        <w:rPr>
          <w:rFonts w:ascii="Arial" w:hAnsi="Arial" w:cs="Arial"/>
          <w:sz w:val="22"/>
          <w:szCs w:val="22"/>
        </w:rPr>
        <w:t xml:space="preserve"> notice on Regulations.gov (Docket No. </w:t>
      </w:r>
      <w:hyperlink r:id="rId7" w:history="1">
        <w:r w:rsidRPr="00B34176" w:rsidR="002C3035">
          <w:rPr>
            <w:rStyle w:val="Hyperlink"/>
            <w:rFonts w:ascii="Arial" w:hAnsi="Arial" w:cs="Arial"/>
            <w:sz w:val="22"/>
            <w:szCs w:val="22"/>
          </w:rPr>
          <w:t>FWS-HQ-IRTM-2025-0010</w:t>
        </w:r>
      </w:hyperlink>
      <w:r w:rsidRPr="00B34176">
        <w:rPr>
          <w:rFonts w:ascii="Arial" w:hAnsi="Arial" w:cs="Arial"/>
          <w:sz w:val="22"/>
          <w:szCs w:val="22"/>
        </w:rPr>
        <w:t xml:space="preserve">) to provide the public with an additional method to submit comments (in addition to the typical U.S. mail submission method).  </w:t>
      </w:r>
      <w:r w:rsidRPr="00B34176">
        <w:rPr>
          <w:rFonts w:ascii="Arial" w:eastAsia="Arial" w:hAnsi="Arial" w:cs="Arial"/>
          <w:sz w:val="22"/>
          <w:szCs w:val="22"/>
        </w:rPr>
        <w:t>We received the following comments in response to that notice:</w:t>
      </w:r>
      <w:r w:rsidRPr="00B34176" w:rsidR="001E4BA2">
        <w:rPr>
          <w:rFonts w:ascii="Arial" w:eastAsia="Arial" w:hAnsi="Arial" w:cs="Arial"/>
          <w:sz w:val="22"/>
          <w:szCs w:val="22"/>
        </w:rPr>
        <w:t xml:space="preserve"> </w:t>
      </w:r>
    </w:p>
    <w:p w:rsidR="00D51941" w:rsidRPr="00B34176" w:rsidP="00D51941" w14:paraId="14E4662F" w14:textId="77777777">
      <w:pPr>
        <w:tabs>
          <w:tab w:val="left" w:pos="360"/>
          <w:tab w:val="left" w:pos="720"/>
          <w:tab w:val="left" w:pos="1440"/>
        </w:tabs>
        <w:adjustRightInd/>
        <w:ind w:right="186"/>
        <w:rPr>
          <w:rFonts w:ascii="Arial" w:eastAsia="Arial" w:hAnsi="Arial" w:cs="Arial"/>
          <w:sz w:val="22"/>
          <w:szCs w:val="22"/>
        </w:rPr>
      </w:pPr>
    </w:p>
    <w:bookmarkEnd w:id="1"/>
    <w:p w:rsidR="00A53B9C" w:rsidRPr="00B34176" w:rsidP="00A53B9C" w14:paraId="1D13AF00" w14:textId="0DD9B7A4">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
          <w:iCs/>
          <w:sz w:val="22"/>
          <w:szCs w:val="22"/>
        </w:rPr>
        <w:t>Comment 1:</w:t>
      </w:r>
      <w:r w:rsidRPr="00B34176">
        <w:rPr>
          <w:rFonts w:ascii="Arial" w:eastAsia="Arial" w:hAnsi="Arial" w:cs="Arial"/>
          <w:bCs/>
          <w:iCs/>
          <w:sz w:val="22"/>
          <w:szCs w:val="22"/>
        </w:rPr>
        <w:t xml:space="preserve">  Electronic comment (</w:t>
      </w:r>
      <w:r>
        <w:fldChar w:fldCharType="begin"/>
      </w:r>
      <w:r w:rsidRPr="009939A4">
        <w:rPr>
          <w:rStyle w:val="Hyperlink"/>
          <w:rFonts w:ascii="Arial" w:eastAsia="Arial" w:hAnsi="Arial" w:cs="Arial"/>
          <w:bCs/>
          <w:iCs/>
          <w:sz w:val="22"/>
          <w:szCs w:val="22"/>
        </w:rPr>
        <w:instrText xml:space="preserve"> HYPERLINK "https://www.regulations.gov/comment/FWS-HQ-IRTM-2025-0010-0002" </w:instrText>
      </w:r>
      <w:r>
        <w:fldChar w:fldCharType="separate"/>
      </w:r>
      <w:r w:rsidRPr="009939A4">
        <w:rPr>
          <w:rStyle w:val="Hyperlink"/>
          <w:rFonts w:ascii="Arial" w:eastAsia="Arial" w:hAnsi="Arial" w:cs="Arial"/>
          <w:bCs/>
          <w:iCs/>
          <w:sz w:val="22"/>
          <w:szCs w:val="22"/>
        </w:rPr>
        <w:t>FWS-HQ-IRTM-2025-0010-0002</w:t>
      </w:r>
      <w:r>
        <w:fldChar w:fldCharType="end"/>
      </w:r>
      <w:r w:rsidRPr="00B34176">
        <w:rPr>
          <w:rFonts w:ascii="Arial" w:eastAsia="Arial" w:hAnsi="Arial" w:cs="Arial"/>
          <w:bCs/>
          <w:iCs/>
          <w:sz w:val="22"/>
          <w:szCs w:val="22"/>
        </w:rPr>
        <w:t>) received via Regulations.gov on 03/28/2025 from Laura Honda.  The commenter did not directly address the information collection requirements.</w:t>
      </w:r>
    </w:p>
    <w:p w:rsidR="00A53B9C" w:rsidRPr="00B34176" w:rsidP="00A53B9C" w14:paraId="172D467B" w14:textId="77777777">
      <w:pPr>
        <w:tabs>
          <w:tab w:val="left" w:pos="360"/>
          <w:tab w:val="left" w:pos="720"/>
          <w:tab w:val="left" w:pos="1440"/>
        </w:tabs>
        <w:adjustRightInd/>
        <w:ind w:right="186"/>
        <w:rPr>
          <w:rFonts w:ascii="Arial" w:eastAsia="Arial" w:hAnsi="Arial" w:cs="Arial"/>
          <w:bCs/>
          <w:iCs/>
          <w:sz w:val="22"/>
          <w:szCs w:val="22"/>
        </w:rPr>
      </w:pPr>
    </w:p>
    <w:p w:rsidR="00A53B9C" w:rsidRPr="00B34176" w:rsidP="00A53B9C" w14:paraId="3EF587FE" w14:textId="48509466">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Cs/>
          <w:iCs/>
          <w:sz w:val="22"/>
          <w:szCs w:val="22"/>
        </w:rPr>
        <w:tab/>
      </w:r>
      <w:r w:rsidRPr="00B34176">
        <w:rPr>
          <w:rFonts w:ascii="Arial" w:eastAsia="Arial" w:hAnsi="Arial" w:cs="Arial"/>
          <w:b/>
          <w:iCs/>
          <w:sz w:val="22"/>
          <w:szCs w:val="22"/>
        </w:rPr>
        <w:t>Agency Response to Comment 1</w:t>
      </w:r>
      <w:r w:rsidRPr="00B34176">
        <w:rPr>
          <w:rFonts w:ascii="Arial" w:eastAsia="Arial" w:hAnsi="Arial" w:cs="Arial"/>
          <w:bCs/>
          <w:iCs/>
          <w:sz w:val="22"/>
          <w:szCs w:val="22"/>
        </w:rPr>
        <w:t>:  No response required as commenter did not address the information collection requirements.</w:t>
      </w:r>
    </w:p>
    <w:p w:rsidR="00A53B9C" w:rsidRPr="00B34176" w:rsidP="00A53B9C" w14:paraId="6C6EF4A9" w14:textId="77777777">
      <w:pPr>
        <w:tabs>
          <w:tab w:val="left" w:pos="360"/>
          <w:tab w:val="left" w:pos="720"/>
          <w:tab w:val="left" w:pos="1440"/>
        </w:tabs>
        <w:adjustRightInd/>
        <w:ind w:right="186"/>
        <w:rPr>
          <w:rFonts w:ascii="Arial" w:eastAsia="Arial" w:hAnsi="Arial" w:cs="Arial"/>
          <w:bCs/>
          <w:iCs/>
          <w:sz w:val="22"/>
          <w:szCs w:val="22"/>
        </w:rPr>
      </w:pPr>
    </w:p>
    <w:p w:rsidR="00A53B9C" w:rsidRPr="00B34176" w:rsidP="00A53B9C" w14:paraId="77ACEBFB" w14:textId="3198DD92">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
          <w:iCs/>
          <w:sz w:val="22"/>
          <w:szCs w:val="22"/>
        </w:rPr>
        <w:t>Comment 2</w:t>
      </w:r>
      <w:r w:rsidRPr="00B34176">
        <w:rPr>
          <w:rFonts w:ascii="Arial" w:eastAsia="Arial" w:hAnsi="Arial" w:cs="Arial"/>
          <w:bCs/>
          <w:iCs/>
          <w:sz w:val="22"/>
          <w:szCs w:val="22"/>
        </w:rPr>
        <w:t>:  Anonymous electronic comment (</w:t>
      </w:r>
      <w:hyperlink r:id="rId8" w:history="1">
        <w:r w:rsidRPr="009939A4">
          <w:rPr>
            <w:rStyle w:val="Hyperlink"/>
            <w:rFonts w:ascii="Arial" w:eastAsia="Arial" w:hAnsi="Arial" w:cs="Arial"/>
            <w:bCs/>
            <w:iCs/>
            <w:sz w:val="22"/>
            <w:szCs w:val="22"/>
          </w:rPr>
          <w:t>FWS-HQ-IRTM-2025-0010-0003</w:t>
        </w:r>
      </w:hyperlink>
      <w:r w:rsidRPr="00B34176">
        <w:rPr>
          <w:rFonts w:ascii="Arial" w:eastAsia="Arial" w:hAnsi="Arial" w:cs="Arial"/>
          <w:bCs/>
          <w:iCs/>
          <w:sz w:val="22"/>
          <w:szCs w:val="22"/>
        </w:rPr>
        <w:t xml:space="preserve">) received via Regulations.gov on 05/12/2025.  The commenter did not directly address the information collection requirements.  </w:t>
      </w:r>
    </w:p>
    <w:p w:rsidR="00A53B9C" w:rsidRPr="00B34176" w:rsidP="00A53B9C" w14:paraId="3FE5EE4D" w14:textId="77777777">
      <w:pPr>
        <w:tabs>
          <w:tab w:val="left" w:pos="360"/>
          <w:tab w:val="left" w:pos="720"/>
          <w:tab w:val="left" w:pos="1440"/>
        </w:tabs>
        <w:adjustRightInd/>
        <w:ind w:right="186"/>
        <w:rPr>
          <w:rFonts w:ascii="Arial" w:eastAsia="Arial" w:hAnsi="Arial" w:cs="Arial"/>
          <w:bCs/>
          <w:iCs/>
          <w:sz w:val="22"/>
          <w:szCs w:val="22"/>
        </w:rPr>
      </w:pPr>
    </w:p>
    <w:p w:rsidR="00A53B9C" w:rsidRPr="00B34176" w:rsidP="00A53B9C" w14:paraId="72F3CC06" w14:textId="5659FB59">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Cs/>
          <w:iCs/>
          <w:sz w:val="22"/>
          <w:szCs w:val="22"/>
        </w:rPr>
        <w:tab/>
      </w:r>
      <w:r w:rsidRPr="00B34176">
        <w:rPr>
          <w:rFonts w:ascii="Arial" w:eastAsia="Arial" w:hAnsi="Arial" w:cs="Arial"/>
          <w:b/>
          <w:iCs/>
          <w:sz w:val="22"/>
          <w:szCs w:val="22"/>
        </w:rPr>
        <w:t>Agency Response to Comment 2</w:t>
      </w:r>
      <w:r w:rsidRPr="00B34176">
        <w:rPr>
          <w:rFonts w:ascii="Arial" w:eastAsia="Arial" w:hAnsi="Arial" w:cs="Arial"/>
          <w:bCs/>
          <w:iCs/>
          <w:sz w:val="22"/>
          <w:szCs w:val="22"/>
        </w:rPr>
        <w:t>:  No response required as commenter did not address the information collection requirements.</w:t>
      </w:r>
    </w:p>
    <w:p w:rsidR="00A53B9C" w:rsidRPr="00B34176" w:rsidP="00A53B9C" w14:paraId="0DE6EA09" w14:textId="77777777">
      <w:pPr>
        <w:tabs>
          <w:tab w:val="left" w:pos="360"/>
          <w:tab w:val="left" w:pos="720"/>
          <w:tab w:val="left" w:pos="1440"/>
        </w:tabs>
        <w:adjustRightInd/>
        <w:ind w:right="186"/>
        <w:rPr>
          <w:rFonts w:ascii="Arial" w:eastAsia="Arial" w:hAnsi="Arial" w:cs="Arial"/>
          <w:bCs/>
          <w:iCs/>
          <w:sz w:val="22"/>
          <w:szCs w:val="22"/>
        </w:rPr>
      </w:pPr>
    </w:p>
    <w:p w:rsidR="00A53B9C" w:rsidRPr="00B34176" w:rsidP="00A53B9C" w14:paraId="6EAD0574" w14:textId="776E1FDD">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
          <w:iCs/>
          <w:sz w:val="22"/>
          <w:szCs w:val="22"/>
        </w:rPr>
        <w:t>Comment 3</w:t>
      </w:r>
      <w:r w:rsidRPr="00B34176">
        <w:rPr>
          <w:rFonts w:ascii="Arial" w:eastAsia="Arial" w:hAnsi="Arial" w:cs="Arial"/>
          <w:bCs/>
          <w:iCs/>
          <w:sz w:val="22"/>
          <w:szCs w:val="22"/>
        </w:rPr>
        <w:t>:  Electronic comment (</w:t>
      </w:r>
      <w:hyperlink r:id="rId9" w:history="1">
        <w:r w:rsidRPr="00547E00">
          <w:rPr>
            <w:rStyle w:val="Hyperlink"/>
            <w:rFonts w:ascii="Arial" w:eastAsia="Arial" w:hAnsi="Arial" w:cs="Arial"/>
            <w:bCs/>
            <w:iCs/>
            <w:sz w:val="22"/>
            <w:szCs w:val="22"/>
          </w:rPr>
          <w:t>FWS-HQ-IRTM-2025-0010-0004</w:t>
        </w:r>
      </w:hyperlink>
      <w:r w:rsidRPr="00B34176">
        <w:rPr>
          <w:rFonts w:ascii="Arial" w:eastAsia="Arial" w:hAnsi="Arial" w:cs="Arial"/>
          <w:bCs/>
          <w:iCs/>
          <w:sz w:val="22"/>
          <w:szCs w:val="22"/>
        </w:rPr>
        <w:t xml:space="preserve">) received via Regulations.gov on 05/19/2025 from Victoria Lopez.  The commenter did not directly address the information collection requirements.  </w:t>
      </w:r>
    </w:p>
    <w:p w:rsidR="00A53B9C" w:rsidRPr="00B34176" w:rsidP="00A53B9C" w14:paraId="7EB71717" w14:textId="77777777">
      <w:pPr>
        <w:tabs>
          <w:tab w:val="left" w:pos="360"/>
          <w:tab w:val="left" w:pos="720"/>
          <w:tab w:val="left" w:pos="1440"/>
        </w:tabs>
        <w:adjustRightInd/>
        <w:ind w:right="186"/>
        <w:rPr>
          <w:rFonts w:ascii="Arial" w:eastAsia="Arial" w:hAnsi="Arial" w:cs="Arial"/>
          <w:bCs/>
          <w:iCs/>
          <w:sz w:val="22"/>
          <w:szCs w:val="22"/>
        </w:rPr>
      </w:pPr>
    </w:p>
    <w:p w:rsidR="00A53B9C" w:rsidRPr="00B34176" w:rsidP="00A53B9C" w14:paraId="50FDD98C" w14:textId="550C6D8E">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Cs/>
          <w:iCs/>
          <w:sz w:val="22"/>
          <w:szCs w:val="22"/>
        </w:rPr>
        <w:tab/>
      </w:r>
      <w:r w:rsidRPr="00B34176">
        <w:rPr>
          <w:rFonts w:ascii="Arial" w:eastAsia="Arial" w:hAnsi="Arial" w:cs="Arial"/>
          <w:b/>
          <w:iCs/>
          <w:sz w:val="22"/>
          <w:szCs w:val="22"/>
        </w:rPr>
        <w:t>Agency Response to Comment 3:</w:t>
      </w:r>
      <w:r w:rsidRPr="00B34176">
        <w:rPr>
          <w:rFonts w:ascii="Arial" w:eastAsia="Arial" w:hAnsi="Arial" w:cs="Arial"/>
          <w:bCs/>
          <w:iCs/>
          <w:sz w:val="22"/>
          <w:szCs w:val="22"/>
        </w:rPr>
        <w:t xml:space="preserve"> No response required as commenter did not address the information collection requirements.</w:t>
      </w:r>
    </w:p>
    <w:p w:rsidR="00A53B9C" w:rsidRPr="00B34176" w:rsidP="00A53B9C" w14:paraId="358FA401" w14:textId="77777777">
      <w:pPr>
        <w:tabs>
          <w:tab w:val="left" w:pos="360"/>
          <w:tab w:val="left" w:pos="720"/>
          <w:tab w:val="left" w:pos="1440"/>
        </w:tabs>
        <w:adjustRightInd/>
        <w:ind w:right="186"/>
        <w:rPr>
          <w:rFonts w:ascii="Arial" w:eastAsia="Arial" w:hAnsi="Arial" w:cs="Arial"/>
          <w:bCs/>
          <w:iCs/>
          <w:sz w:val="22"/>
          <w:szCs w:val="22"/>
        </w:rPr>
      </w:pPr>
    </w:p>
    <w:p w:rsidR="00A53B9C" w:rsidRPr="00B34176" w:rsidP="00A53B9C" w14:paraId="62939387" w14:textId="632BF059">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
          <w:iCs/>
          <w:sz w:val="22"/>
          <w:szCs w:val="22"/>
        </w:rPr>
        <w:t>Comment 4</w:t>
      </w:r>
      <w:r w:rsidRPr="00B34176">
        <w:rPr>
          <w:rFonts w:ascii="Arial" w:eastAsia="Arial" w:hAnsi="Arial" w:cs="Arial"/>
          <w:bCs/>
          <w:iCs/>
          <w:sz w:val="22"/>
          <w:szCs w:val="22"/>
        </w:rPr>
        <w:t>:  Electronic comment (</w:t>
      </w:r>
      <w:hyperlink r:id="rId10" w:history="1">
        <w:r w:rsidRPr="00547E00">
          <w:rPr>
            <w:rStyle w:val="Hyperlink"/>
            <w:rFonts w:ascii="Arial" w:eastAsia="Arial" w:hAnsi="Arial" w:cs="Arial"/>
            <w:bCs/>
            <w:iCs/>
            <w:sz w:val="22"/>
            <w:szCs w:val="22"/>
          </w:rPr>
          <w:t>FWS-HQ-IRTM-2025-0010-0005</w:t>
        </w:r>
      </w:hyperlink>
      <w:r w:rsidRPr="00B34176">
        <w:rPr>
          <w:rFonts w:ascii="Arial" w:eastAsia="Arial" w:hAnsi="Arial" w:cs="Arial"/>
          <w:bCs/>
          <w:iCs/>
          <w:sz w:val="22"/>
          <w:szCs w:val="22"/>
        </w:rPr>
        <w:t>) received via Regulations.gov on 05/20/2025 from Ryan Jones.  The commenter did not directly address the information collection requirements.</w:t>
      </w:r>
    </w:p>
    <w:p w:rsidR="00A53B9C" w:rsidRPr="00B34176" w:rsidP="00A53B9C" w14:paraId="528F81BA" w14:textId="77777777">
      <w:pPr>
        <w:tabs>
          <w:tab w:val="left" w:pos="360"/>
          <w:tab w:val="left" w:pos="720"/>
          <w:tab w:val="left" w:pos="1440"/>
        </w:tabs>
        <w:adjustRightInd/>
        <w:ind w:right="186"/>
        <w:rPr>
          <w:rFonts w:ascii="Arial" w:eastAsia="Arial" w:hAnsi="Arial" w:cs="Arial"/>
          <w:bCs/>
          <w:iCs/>
          <w:sz w:val="22"/>
          <w:szCs w:val="22"/>
        </w:rPr>
      </w:pPr>
    </w:p>
    <w:p w:rsidR="00D51941" w:rsidRPr="00B34176" w:rsidP="00A53B9C" w14:paraId="298D5A9D" w14:textId="70DFE915">
      <w:pPr>
        <w:tabs>
          <w:tab w:val="left" w:pos="360"/>
          <w:tab w:val="left" w:pos="720"/>
          <w:tab w:val="left" w:pos="1440"/>
        </w:tabs>
        <w:adjustRightInd/>
        <w:ind w:right="186"/>
        <w:rPr>
          <w:rFonts w:ascii="Arial" w:eastAsia="Arial" w:hAnsi="Arial" w:cs="Arial"/>
          <w:bCs/>
          <w:iCs/>
          <w:sz w:val="22"/>
          <w:szCs w:val="22"/>
        </w:rPr>
      </w:pPr>
      <w:r w:rsidRPr="00B34176">
        <w:rPr>
          <w:rFonts w:ascii="Arial" w:eastAsia="Arial" w:hAnsi="Arial" w:cs="Arial"/>
          <w:bCs/>
          <w:iCs/>
          <w:sz w:val="22"/>
          <w:szCs w:val="22"/>
        </w:rPr>
        <w:tab/>
      </w:r>
      <w:r w:rsidRPr="00B34176" w:rsidR="00A53B9C">
        <w:rPr>
          <w:rFonts w:ascii="Arial" w:eastAsia="Arial" w:hAnsi="Arial" w:cs="Arial"/>
          <w:b/>
          <w:iCs/>
          <w:sz w:val="22"/>
          <w:szCs w:val="22"/>
        </w:rPr>
        <w:t>Agency Response to Comment 4</w:t>
      </w:r>
      <w:r w:rsidRPr="00B34176" w:rsidR="00A53B9C">
        <w:rPr>
          <w:rFonts w:ascii="Arial" w:eastAsia="Arial" w:hAnsi="Arial" w:cs="Arial"/>
          <w:bCs/>
          <w:iCs/>
          <w:sz w:val="22"/>
          <w:szCs w:val="22"/>
        </w:rPr>
        <w:t xml:space="preserve">: </w:t>
      </w:r>
      <w:r w:rsidRPr="00B34176">
        <w:rPr>
          <w:rFonts w:ascii="Arial" w:eastAsia="Arial" w:hAnsi="Arial" w:cs="Arial"/>
          <w:bCs/>
          <w:iCs/>
          <w:sz w:val="22"/>
          <w:szCs w:val="22"/>
        </w:rPr>
        <w:t xml:space="preserve">Though the commenter didn’t address the information collection </w:t>
      </w:r>
      <w:r w:rsidRPr="00B34176" w:rsidR="009C429C">
        <w:rPr>
          <w:rFonts w:ascii="Arial" w:eastAsia="Arial" w:hAnsi="Arial" w:cs="Arial"/>
          <w:bCs/>
          <w:iCs/>
          <w:sz w:val="22"/>
          <w:szCs w:val="22"/>
        </w:rPr>
        <w:t xml:space="preserve">requirements specifically, the comments were passed on to our Records Officer and the Acting Assistant Director for Ecological Services for awareness. </w:t>
      </w:r>
    </w:p>
    <w:p w:rsidR="00A53B9C" w:rsidRPr="00B34176" w:rsidP="00A53B9C" w14:paraId="0D7A5551" w14:textId="77777777">
      <w:pPr>
        <w:tabs>
          <w:tab w:val="left" w:pos="360"/>
          <w:tab w:val="left" w:pos="720"/>
          <w:tab w:val="left" w:pos="1440"/>
        </w:tabs>
        <w:adjustRightInd/>
        <w:ind w:right="186"/>
        <w:rPr>
          <w:rFonts w:ascii="Arial" w:eastAsia="Arial" w:hAnsi="Arial" w:cs="Arial"/>
          <w:bCs/>
          <w:iCs/>
          <w:sz w:val="22"/>
          <w:szCs w:val="22"/>
        </w:rPr>
      </w:pPr>
    </w:p>
    <w:p w:rsidR="00D51941" w:rsidRPr="00B34176" w:rsidP="00D51941" w14:paraId="2ED9FEF2" w14:textId="77777777">
      <w:pPr>
        <w:tabs>
          <w:tab w:val="left" w:pos="360"/>
          <w:tab w:val="left" w:pos="720"/>
          <w:tab w:val="left" w:pos="1440"/>
        </w:tabs>
        <w:rPr>
          <w:rFonts w:ascii="Arial" w:hAnsi="Arial" w:cs="Arial"/>
          <w:sz w:val="22"/>
          <w:szCs w:val="22"/>
        </w:rPr>
      </w:pPr>
      <w:r w:rsidRPr="00B34176">
        <w:rPr>
          <w:rFonts w:ascii="Arial" w:hAnsi="Arial" w:cs="Arial"/>
          <w:sz w:val="22"/>
          <w:szCs w:val="22"/>
        </w:rPr>
        <w:t xml:space="preserve">In addition to the </w:t>
      </w:r>
      <w:r w:rsidRPr="00B34176">
        <w:rPr>
          <w:rFonts w:ascii="Arial" w:hAnsi="Arial" w:cs="Arial"/>
          <w:i/>
          <w:iCs/>
          <w:sz w:val="22"/>
          <w:szCs w:val="22"/>
        </w:rPr>
        <w:t>Federal Register</w:t>
      </w:r>
      <w:r w:rsidRPr="00B34176">
        <w:rPr>
          <w:rFonts w:ascii="Arial" w:hAnsi="Arial" w:cs="Arial"/>
          <w:sz w:val="22"/>
          <w:szCs w:val="22"/>
        </w:rPr>
        <w:t xml:space="preserve"> notice, we consulted with the nine (9) individuals identified below who familiar with this collection of information in order to validate our time burden estimate and asked for comments on the questions below:  </w:t>
      </w:r>
    </w:p>
    <w:p w:rsidR="00D51941" w:rsidRPr="00B34176" w:rsidP="00D51941" w14:paraId="7C164F72" w14:textId="77777777">
      <w:pPr>
        <w:tabs>
          <w:tab w:val="left" w:pos="360"/>
          <w:tab w:val="left" w:pos="720"/>
          <w:tab w:val="left" w:pos="1440"/>
        </w:tabs>
        <w:rPr>
          <w:rFonts w:ascii="Arial" w:hAnsi="Arial" w:cs="Arial"/>
          <w:sz w:val="22"/>
          <w:szCs w:val="22"/>
        </w:rPr>
      </w:pPr>
    </w:p>
    <w:p w:rsidR="00D51941" w:rsidRPr="00B34176" w:rsidP="00D51941" w14:paraId="7EF2B7D4" w14:textId="05F2CBB1">
      <w:pPr>
        <w:tabs>
          <w:tab w:val="left" w:pos="5400"/>
        </w:tabs>
        <w:ind w:left="360"/>
        <w:rPr>
          <w:rFonts w:ascii="Arial" w:hAnsi="Arial" w:cs="Arial"/>
          <w:sz w:val="22"/>
          <w:szCs w:val="22"/>
        </w:rPr>
      </w:pPr>
      <w:r w:rsidRPr="00B34176">
        <w:rPr>
          <w:rFonts w:ascii="Arial" w:hAnsi="Arial" w:cs="Arial"/>
          <w:b/>
          <w:bCs/>
          <w:sz w:val="22"/>
          <w:szCs w:val="22"/>
        </w:rPr>
        <w:t>Organization</w:t>
      </w:r>
      <w:r w:rsidRPr="00B34176" w:rsidR="00596705">
        <w:rPr>
          <w:rFonts w:ascii="Arial" w:hAnsi="Arial" w:cs="Arial"/>
          <w:b/>
          <w:bCs/>
          <w:sz w:val="22"/>
          <w:szCs w:val="22"/>
        </w:rPr>
        <w:tab/>
      </w:r>
      <w:r w:rsidRPr="00B34176">
        <w:rPr>
          <w:rFonts w:ascii="Arial" w:hAnsi="Arial" w:cs="Arial"/>
          <w:b/>
          <w:bCs/>
          <w:sz w:val="22"/>
          <w:szCs w:val="22"/>
        </w:rPr>
        <w:t>Title</w:t>
      </w:r>
    </w:p>
    <w:p w:rsidR="00857387" w:rsidRPr="00B34176" w:rsidP="00986AC9" w14:paraId="33D4A420" w14:textId="4E7D06B6">
      <w:pPr>
        <w:tabs>
          <w:tab w:val="left" w:pos="5400"/>
        </w:tabs>
        <w:ind w:left="360"/>
        <w:rPr>
          <w:rFonts w:ascii="Arial" w:hAnsi="Arial" w:cs="Arial"/>
          <w:sz w:val="22"/>
          <w:szCs w:val="22"/>
        </w:rPr>
      </w:pPr>
      <w:r w:rsidRPr="00B34176">
        <w:rPr>
          <w:rFonts w:ascii="Arial" w:hAnsi="Arial" w:cs="Arial"/>
          <w:sz w:val="22"/>
          <w:szCs w:val="22"/>
        </w:rPr>
        <w:t>Mālama</w:t>
      </w:r>
      <w:r w:rsidRPr="00B34176">
        <w:rPr>
          <w:rFonts w:ascii="Arial" w:hAnsi="Arial" w:cs="Arial"/>
          <w:sz w:val="22"/>
          <w:szCs w:val="22"/>
        </w:rPr>
        <w:t xml:space="preserve"> I </w:t>
      </w:r>
      <w:r w:rsidRPr="00B34176">
        <w:rPr>
          <w:rFonts w:ascii="Arial" w:hAnsi="Arial" w:cs="Arial"/>
          <w:sz w:val="22"/>
          <w:szCs w:val="22"/>
        </w:rPr>
        <w:t>nā</w:t>
      </w:r>
      <w:r w:rsidRPr="00B34176">
        <w:rPr>
          <w:rFonts w:ascii="Arial" w:hAnsi="Arial" w:cs="Arial"/>
          <w:sz w:val="22"/>
          <w:szCs w:val="22"/>
        </w:rPr>
        <w:t xml:space="preserve"> </w:t>
      </w:r>
      <w:r w:rsidRPr="00B34176">
        <w:rPr>
          <w:rFonts w:ascii="Arial" w:hAnsi="Arial" w:cs="Arial"/>
          <w:sz w:val="22"/>
          <w:szCs w:val="22"/>
        </w:rPr>
        <w:t>honu</w:t>
      </w:r>
      <w:r w:rsidRPr="00B34176" w:rsidR="00596705">
        <w:rPr>
          <w:rFonts w:ascii="Arial" w:hAnsi="Arial" w:cs="Arial"/>
          <w:sz w:val="22"/>
          <w:szCs w:val="22"/>
        </w:rPr>
        <w:tab/>
      </w:r>
      <w:r w:rsidRPr="00B34176">
        <w:rPr>
          <w:rFonts w:ascii="Arial" w:hAnsi="Arial" w:cs="Arial"/>
          <w:sz w:val="22"/>
          <w:szCs w:val="22"/>
        </w:rPr>
        <w:t>Volunteer Education Coordinator </w:t>
      </w:r>
    </w:p>
    <w:p w:rsidR="00D51941" w:rsidRPr="00B34176" w:rsidP="00D51941" w14:paraId="06D8EF5F" w14:textId="5F87FAEF">
      <w:pPr>
        <w:tabs>
          <w:tab w:val="left" w:pos="5400"/>
        </w:tabs>
        <w:ind w:left="360"/>
        <w:rPr>
          <w:rFonts w:ascii="Arial" w:hAnsi="Arial" w:cs="Arial"/>
          <w:sz w:val="22"/>
          <w:szCs w:val="22"/>
        </w:rPr>
      </w:pPr>
      <w:r w:rsidRPr="00B34176">
        <w:rPr>
          <w:rFonts w:ascii="Arial" w:hAnsi="Arial" w:cs="Arial"/>
          <w:sz w:val="22"/>
          <w:szCs w:val="22"/>
        </w:rPr>
        <w:t>California Department of Fish and Wildlife</w:t>
      </w:r>
      <w:r w:rsidRPr="00B34176">
        <w:rPr>
          <w:rFonts w:ascii="Arial" w:hAnsi="Arial" w:cs="Arial"/>
          <w:sz w:val="22"/>
          <w:szCs w:val="22"/>
        </w:rPr>
        <w:tab/>
      </w:r>
      <w:r w:rsidRPr="00B34176">
        <w:rPr>
          <w:rFonts w:ascii="Arial" w:hAnsi="Arial" w:cs="Arial"/>
          <w:sz w:val="22"/>
          <w:szCs w:val="22"/>
        </w:rPr>
        <w:t>Environmental Scientist</w:t>
      </w:r>
    </w:p>
    <w:p w:rsidR="00D51941" w:rsidRPr="00B34176" w:rsidP="00D51941" w14:paraId="4B63B307" w14:textId="4B11D96D">
      <w:pPr>
        <w:tabs>
          <w:tab w:val="left" w:pos="5400"/>
        </w:tabs>
        <w:ind w:left="360"/>
        <w:rPr>
          <w:rFonts w:ascii="Arial" w:hAnsi="Arial" w:cs="Arial"/>
          <w:sz w:val="22"/>
          <w:szCs w:val="22"/>
        </w:rPr>
      </w:pPr>
      <w:r w:rsidRPr="00B34176">
        <w:rPr>
          <w:rFonts w:ascii="Arial" w:hAnsi="Arial" w:cs="Arial"/>
          <w:sz w:val="22"/>
          <w:szCs w:val="22"/>
        </w:rPr>
        <w:t>Maine Coast Heritage Trust</w:t>
      </w:r>
      <w:r w:rsidRPr="00B34176">
        <w:rPr>
          <w:rFonts w:ascii="Arial" w:hAnsi="Arial" w:cs="Arial"/>
          <w:sz w:val="22"/>
          <w:szCs w:val="22"/>
        </w:rPr>
        <w:tab/>
      </w:r>
      <w:r w:rsidRPr="00B34176">
        <w:rPr>
          <w:rFonts w:ascii="Arial" w:hAnsi="Arial" w:cs="Arial"/>
          <w:sz w:val="22"/>
          <w:szCs w:val="22"/>
        </w:rPr>
        <w:t>Marsh Restoration Program Manager</w:t>
      </w:r>
    </w:p>
    <w:p w:rsidR="00D51941" w:rsidRPr="00B34176" w:rsidP="00D51941" w14:paraId="4AD7F121" w14:textId="3ED20EA0">
      <w:pPr>
        <w:tabs>
          <w:tab w:val="left" w:pos="5400"/>
        </w:tabs>
        <w:ind w:left="360"/>
        <w:rPr>
          <w:rFonts w:ascii="Arial" w:hAnsi="Arial" w:cs="Arial"/>
          <w:sz w:val="22"/>
          <w:szCs w:val="22"/>
        </w:rPr>
      </w:pPr>
      <w:r w:rsidRPr="00B34176">
        <w:rPr>
          <w:rFonts w:ascii="Arial" w:hAnsi="Arial" w:cs="Arial"/>
          <w:sz w:val="22"/>
          <w:szCs w:val="22"/>
        </w:rPr>
        <w:t>Virginia Council of Trout Unlimited</w:t>
      </w:r>
      <w:r w:rsidRPr="00B34176">
        <w:rPr>
          <w:rFonts w:ascii="Arial" w:hAnsi="Arial" w:cs="Arial"/>
          <w:sz w:val="22"/>
          <w:szCs w:val="22"/>
        </w:rPr>
        <w:tab/>
      </w:r>
      <w:r w:rsidRPr="00B34176">
        <w:rPr>
          <w:rFonts w:ascii="Arial" w:hAnsi="Arial" w:cs="Arial"/>
          <w:sz w:val="22"/>
          <w:szCs w:val="22"/>
        </w:rPr>
        <w:t>NLC Representative</w:t>
      </w:r>
    </w:p>
    <w:p w:rsidR="00D51941" w:rsidRPr="00B34176" w:rsidP="00D51941" w14:paraId="594A53CE" w14:textId="1E652263">
      <w:pPr>
        <w:tabs>
          <w:tab w:val="left" w:pos="5400"/>
        </w:tabs>
        <w:ind w:left="360"/>
        <w:rPr>
          <w:rFonts w:ascii="Arial" w:hAnsi="Arial" w:cs="Arial"/>
          <w:sz w:val="22"/>
          <w:szCs w:val="22"/>
        </w:rPr>
      </w:pPr>
      <w:r w:rsidRPr="00B34176">
        <w:rPr>
          <w:rFonts w:ascii="Arial" w:hAnsi="Arial" w:cs="Arial"/>
          <w:sz w:val="22"/>
          <w:szCs w:val="22"/>
        </w:rPr>
        <w:t>Idaho Fish and Game</w:t>
      </w:r>
      <w:r w:rsidRPr="00B34176">
        <w:rPr>
          <w:rFonts w:ascii="Arial" w:hAnsi="Arial" w:cs="Arial"/>
          <w:sz w:val="22"/>
          <w:szCs w:val="22"/>
        </w:rPr>
        <w:tab/>
      </w:r>
      <w:r w:rsidRPr="00B34176" w:rsidR="007A0A0B">
        <w:rPr>
          <w:rFonts w:ascii="Arial" w:hAnsi="Arial" w:cs="Arial"/>
          <w:sz w:val="22"/>
          <w:szCs w:val="22"/>
        </w:rPr>
        <w:t>Fish Habitat Project Manager</w:t>
      </w:r>
    </w:p>
    <w:p w:rsidR="00D51941" w:rsidRPr="00B34176" w:rsidP="00D51941" w14:paraId="137DF75B" w14:textId="4E309D65">
      <w:pPr>
        <w:tabs>
          <w:tab w:val="left" w:pos="5400"/>
        </w:tabs>
        <w:ind w:left="360"/>
        <w:rPr>
          <w:rFonts w:ascii="Arial" w:hAnsi="Arial" w:cs="Arial"/>
          <w:sz w:val="22"/>
          <w:szCs w:val="22"/>
        </w:rPr>
      </w:pPr>
      <w:r w:rsidRPr="00B34176">
        <w:rPr>
          <w:rFonts w:ascii="Arial" w:hAnsi="Arial" w:cs="Arial"/>
          <w:sz w:val="22"/>
          <w:szCs w:val="22"/>
        </w:rPr>
        <w:t>State of Arkansas</w:t>
      </w:r>
      <w:r w:rsidRPr="00B34176" w:rsidR="00822AB3">
        <w:rPr>
          <w:rFonts w:ascii="Arial" w:hAnsi="Arial" w:cs="Arial"/>
          <w:sz w:val="22"/>
          <w:szCs w:val="22"/>
        </w:rPr>
        <w:tab/>
      </w:r>
      <w:r w:rsidRPr="00B34176" w:rsidR="00917CA5">
        <w:rPr>
          <w:rFonts w:ascii="Arial" w:hAnsi="Arial" w:cs="Arial"/>
          <w:sz w:val="22"/>
          <w:szCs w:val="22"/>
        </w:rPr>
        <w:t>Stream habitat supervisor</w:t>
      </w:r>
    </w:p>
    <w:p w:rsidR="00D51941" w:rsidRPr="00B34176" w:rsidP="00D51941" w14:paraId="628718A7" w14:textId="27BDAE69">
      <w:pPr>
        <w:tabs>
          <w:tab w:val="left" w:pos="5400"/>
        </w:tabs>
        <w:ind w:left="360"/>
        <w:rPr>
          <w:rFonts w:ascii="Arial" w:hAnsi="Arial" w:cs="Arial"/>
          <w:sz w:val="22"/>
          <w:szCs w:val="22"/>
        </w:rPr>
      </w:pPr>
      <w:r w:rsidRPr="00B34176">
        <w:rPr>
          <w:rFonts w:ascii="Arial" w:hAnsi="Arial" w:cs="Arial"/>
          <w:sz w:val="22"/>
          <w:szCs w:val="22"/>
        </w:rPr>
        <w:t>Virginia Commonwealth University</w:t>
      </w:r>
      <w:r w:rsidRPr="00B34176">
        <w:rPr>
          <w:rFonts w:ascii="Arial" w:hAnsi="Arial" w:cs="Arial"/>
          <w:sz w:val="22"/>
          <w:szCs w:val="22"/>
        </w:rPr>
        <w:tab/>
      </w:r>
      <w:r w:rsidRPr="00B34176">
        <w:rPr>
          <w:rFonts w:ascii="Arial" w:hAnsi="Arial" w:cs="Arial"/>
          <w:sz w:val="22"/>
          <w:szCs w:val="22"/>
        </w:rPr>
        <w:t>Associate Professor</w:t>
      </w:r>
    </w:p>
    <w:p w:rsidR="00D51941" w:rsidRPr="00B34176" w:rsidP="00D51941" w14:paraId="73C99A27" w14:textId="4FF07420">
      <w:pPr>
        <w:tabs>
          <w:tab w:val="left" w:pos="5400"/>
        </w:tabs>
        <w:ind w:left="360"/>
        <w:rPr>
          <w:rFonts w:ascii="Arial" w:hAnsi="Arial" w:cs="Arial"/>
          <w:sz w:val="22"/>
          <w:szCs w:val="22"/>
        </w:rPr>
      </w:pPr>
      <w:r w:rsidRPr="00B34176">
        <w:rPr>
          <w:rFonts w:ascii="Arial" w:hAnsi="Arial" w:cs="Arial"/>
          <w:sz w:val="22"/>
          <w:szCs w:val="22"/>
        </w:rPr>
        <w:t>Scripts Institute</w:t>
      </w:r>
      <w:r w:rsidRPr="00B34176">
        <w:rPr>
          <w:rFonts w:ascii="Arial" w:hAnsi="Arial" w:cs="Arial"/>
          <w:sz w:val="22"/>
          <w:szCs w:val="22"/>
        </w:rPr>
        <w:tab/>
      </w:r>
      <w:r w:rsidRPr="00B34176">
        <w:rPr>
          <w:rFonts w:ascii="Arial" w:hAnsi="Arial" w:cs="Arial"/>
          <w:sz w:val="22"/>
          <w:szCs w:val="22"/>
        </w:rPr>
        <w:t>Volunteer Coordinator</w:t>
      </w:r>
    </w:p>
    <w:p w:rsidR="00D51941" w:rsidRPr="00B34176" w:rsidP="00D51941" w14:paraId="182BC20E" w14:textId="3E00C930">
      <w:pPr>
        <w:tabs>
          <w:tab w:val="left" w:pos="5400"/>
        </w:tabs>
        <w:ind w:left="360"/>
        <w:rPr>
          <w:rFonts w:ascii="Arial" w:hAnsi="Arial" w:cs="Arial"/>
          <w:sz w:val="22"/>
          <w:szCs w:val="22"/>
        </w:rPr>
      </w:pPr>
      <w:r w:rsidRPr="00B34176">
        <w:rPr>
          <w:rFonts w:ascii="Arial" w:hAnsi="Arial" w:cs="Arial"/>
          <w:sz w:val="22"/>
          <w:szCs w:val="22"/>
        </w:rPr>
        <w:t>California Department of Fish &amp; Wildlife</w:t>
      </w:r>
      <w:r w:rsidRPr="00B34176">
        <w:rPr>
          <w:rFonts w:ascii="Arial" w:hAnsi="Arial" w:cs="Arial"/>
          <w:sz w:val="22"/>
          <w:szCs w:val="22"/>
        </w:rPr>
        <w:tab/>
      </w:r>
      <w:r w:rsidRPr="00B34176">
        <w:rPr>
          <w:rFonts w:ascii="Arial" w:hAnsi="Arial" w:cs="Arial"/>
          <w:sz w:val="22"/>
          <w:szCs w:val="22"/>
        </w:rPr>
        <w:t>Senior Environmental Scientist</w:t>
      </w:r>
    </w:p>
    <w:p w:rsidR="00D51941" w:rsidRPr="00B34176" w:rsidP="00D51941" w14:paraId="61C05E89" w14:textId="77777777">
      <w:pPr>
        <w:tabs>
          <w:tab w:val="left" w:pos="360"/>
          <w:tab w:val="left" w:pos="720"/>
          <w:tab w:val="left" w:pos="1440"/>
        </w:tabs>
        <w:rPr>
          <w:rFonts w:ascii="Arial" w:hAnsi="Arial" w:cs="Arial"/>
          <w:sz w:val="22"/>
          <w:szCs w:val="22"/>
        </w:rPr>
      </w:pPr>
    </w:p>
    <w:p w:rsidR="00D51941" w:rsidRPr="00B34176" w:rsidP="00D51941" w14:paraId="2BF7AA9A" w14:textId="77777777">
      <w:pPr>
        <w:tabs>
          <w:tab w:val="left" w:pos="360"/>
          <w:tab w:val="left" w:pos="720"/>
          <w:tab w:val="left" w:pos="1440"/>
        </w:tabs>
        <w:rPr>
          <w:rFonts w:ascii="Arial" w:hAnsi="Arial" w:cs="Arial"/>
          <w:b/>
          <w:i/>
          <w:sz w:val="22"/>
          <w:szCs w:val="22"/>
        </w:rPr>
      </w:pPr>
      <w:r w:rsidRPr="00B34176">
        <w:rPr>
          <w:rFonts w:ascii="Arial" w:hAnsi="Arial" w:cs="Arial"/>
          <w:sz w:val="22"/>
          <w:szCs w:val="22"/>
        </w:rPr>
        <w:t>“</w:t>
      </w:r>
      <w:r w:rsidRPr="00B34176">
        <w:rPr>
          <w:rFonts w:ascii="Arial" w:hAnsi="Arial" w:cs="Arial"/>
          <w:b/>
          <w:i/>
          <w:sz w:val="22"/>
          <w:szCs w:val="22"/>
        </w:rPr>
        <w:t>W</w:t>
      </w:r>
      <w:r w:rsidRPr="00B34176">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D51941" w:rsidRPr="00B34176" w:rsidP="00D51941" w14:paraId="5758A0F3" w14:textId="77777777">
      <w:pPr>
        <w:tabs>
          <w:tab w:val="left" w:pos="360"/>
          <w:tab w:val="left" w:pos="720"/>
          <w:tab w:val="left" w:pos="1440"/>
        </w:tabs>
        <w:rPr>
          <w:rFonts w:ascii="Arial" w:hAnsi="Arial" w:cs="Arial"/>
          <w:sz w:val="22"/>
          <w:szCs w:val="22"/>
        </w:rPr>
      </w:pPr>
      <w:r w:rsidRPr="00B34176">
        <w:rPr>
          <w:rFonts w:ascii="Arial" w:hAnsi="Arial" w:cs="Arial"/>
          <w:sz w:val="22"/>
          <w:szCs w:val="22"/>
        </w:rPr>
        <w:tab/>
      </w:r>
    </w:p>
    <w:p w:rsidR="00D51941" w:rsidRPr="00B34176" w:rsidP="00D51941" w14:paraId="7E235D4B" w14:textId="444633B7">
      <w:pPr>
        <w:tabs>
          <w:tab w:val="left" w:pos="360"/>
          <w:tab w:val="left" w:pos="720"/>
          <w:tab w:val="left" w:pos="1710"/>
        </w:tabs>
        <w:ind w:left="36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Comments</w:t>
      </w:r>
      <w:r w:rsidRPr="00B34176">
        <w:rPr>
          <w:rFonts w:ascii="Arial" w:hAnsi="Arial" w:cs="Arial"/>
          <w:i/>
          <w:sz w:val="22"/>
          <w:szCs w:val="22"/>
        </w:rPr>
        <w:t>:</w:t>
      </w:r>
      <w:r w:rsidRPr="00B34176">
        <w:rPr>
          <w:rFonts w:ascii="Arial" w:hAnsi="Arial" w:cs="Arial"/>
          <w:sz w:val="22"/>
          <w:szCs w:val="22"/>
        </w:rPr>
        <w:tab/>
      </w:r>
      <w:r w:rsidRPr="00B34176" w:rsidR="00E06636">
        <w:rPr>
          <w:rFonts w:ascii="Arial" w:hAnsi="Arial" w:cs="Arial"/>
          <w:sz w:val="22"/>
          <w:szCs w:val="22"/>
        </w:rPr>
        <w:t xml:space="preserve">All respondents </w:t>
      </w:r>
      <w:r w:rsidRPr="00B34176" w:rsidR="00307656">
        <w:rPr>
          <w:rFonts w:ascii="Arial" w:hAnsi="Arial" w:cs="Arial"/>
          <w:sz w:val="22"/>
          <w:szCs w:val="22"/>
        </w:rPr>
        <w:t>indicated that the information collection was valuable and needed to support partner</w:t>
      </w:r>
      <w:r w:rsidRPr="00B34176" w:rsidR="00BB6BA3">
        <w:rPr>
          <w:rFonts w:ascii="Arial" w:hAnsi="Arial" w:cs="Arial"/>
          <w:sz w:val="22"/>
          <w:szCs w:val="22"/>
        </w:rPr>
        <w:t>-driven conservation activities in the communities served. Nearly all information collection activities done using ArcGIS Online</w:t>
      </w:r>
      <w:r w:rsidRPr="00B34176" w:rsidR="00641EF0">
        <w:rPr>
          <w:rFonts w:ascii="Arial" w:hAnsi="Arial" w:cs="Arial"/>
          <w:sz w:val="22"/>
          <w:szCs w:val="22"/>
        </w:rPr>
        <w:t xml:space="preserve">, including all </w:t>
      </w:r>
      <w:r w:rsidRPr="00B34176" w:rsidR="002B1A60">
        <w:rPr>
          <w:rFonts w:ascii="Arial" w:hAnsi="Arial" w:cs="Arial"/>
          <w:sz w:val="22"/>
          <w:szCs w:val="22"/>
        </w:rPr>
        <w:t>respondents</w:t>
      </w:r>
      <w:r w:rsidRPr="00B34176" w:rsidR="00641EF0">
        <w:rPr>
          <w:rFonts w:ascii="Arial" w:hAnsi="Arial" w:cs="Arial"/>
          <w:sz w:val="22"/>
          <w:szCs w:val="22"/>
        </w:rPr>
        <w:t xml:space="preserve"> </w:t>
      </w:r>
      <w:r w:rsidRPr="00B34176" w:rsidR="002B1A60">
        <w:rPr>
          <w:rFonts w:ascii="Arial" w:hAnsi="Arial" w:cs="Arial"/>
          <w:sz w:val="22"/>
          <w:szCs w:val="22"/>
        </w:rPr>
        <w:t xml:space="preserve">here, </w:t>
      </w:r>
      <w:r w:rsidRPr="00B34176" w:rsidR="00BB6BA3">
        <w:rPr>
          <w:rFonts w:ascii="Arial" w:hAnsi="Arial" w:cs="Arial"/>
          <w:sz w:val="22"/>
          <w:szCs w:val="22"/>
        </w:rPr>
        <w:t xml:space="preserve">are </w:t>
      </w:r>
      <w:r w:rsidRPr="00B34176" w:rsidR="006C5F1C">
        <w:rPr>
          <w:rFonts w:ascii="Arial" w:hAnsi="Arial" w:cs="Arial"/>
          <w:sz w:val="22"/>
          <w:szCs w:val="22"/>
        </w:rPr>
        <w:t xml:space="preserve">citizen and partnership driven conservation science </w:t>
      </w:r>
      <w:r w:rsidRPr="00B34176" w:rsidR="002B1A60">
        <w:rPr>
          <w:rFonts w:ascii="Arial" w:hAnsi="Arial" w:cs="Arial"/>
          <w:sz w:val="22"/>
          <w:szCs w:val="22"/>
        </w:rPr>
        <w:t xml:space="preserve">projects. </w:t>
      </w:r>
      <w:r w:rsidRPr="00B34176" w:rsidR="00FE004E">
        <w:rPr>
          <w:rFonts w:ascii="Arial" w:hAnsi="Arial" w:cs="Arial"/>
          <w:sz w:val="22"/>
          <w:szCs w:val="22"/>
        </w:rPr>
        <w:t>All</w:t>
      </w:r>
      <w:r w:rsidRPr="00B34176" w:rsidR="002B1A60">
        <w:rPr>
          <w:rFonts w:ascii="Arial" w:hAnsi="Arial" w:cs="Arial"/>
          <w:sz w:val="22"/>
          <w:szCs w:val="22"/>
        </w:rPr>
        <w:t xml:space="preserve"> FWS staff responsible for the information collection activities </w:t>
      </w:r>
      <w:r w:rsidRPr="00B34176" w:rsidR="009E4D59">
        <w:rPr>
          <w:rFonts w:ascii="Arial" w:hAnsi="Arial" w:cs="Arial"/>
          <w:sz w:val="22"/>
          <w:szCs w:val="22"/>
        </w:rPr>
        <w:t xml:space="preserve">engaged with their volunteers and partners to ensure the forms used to collect the conservation data </w:t>
      </w:r>
      <w:r w:rsidRPr="00B34176" w:rsidR="00E0654C">
        <w:rPr>
          <w:rFonts w:ascii="Arial" w:hAnsi="Arial" w:cs="Arial"/>
          <w:sz w:val="22"/>
          <w:szCs w:val="22"/>
        </w:rPr>
        <w:t>are relevant, necessary, and</w:t>
      </w:r>
      <w:r w:rsidRPr="00B34176" w:rsidR="004C7643">
        <w:rPr>
          <w:rFonts w:ascii="Arial" w:hAnsi="Arial" w:cs="Arial"/>
          <w:sz w:val="22"/>
          <w:szCs w:val="22"/>
        </w:rPr>
        <w:t xml:space="preserve"> reflective of partner needs.</w:t>
      </w:r>
    </w:p>
    <w:p w:rsidR="00D51941" w:rsidRPr="00B34176" w:rsidP="00D51941" w14:paraId="2DBF1057" w14:textId="77777777">
      <w:pPr>
        <w:tabs>
          <w:tab w:val="left" w:pos="360"/>
          <w:tab w:val="left" w:pos="720"/>
          <w:tab w:val="left" w:pos="1440"/>
        </w:tabs>
        <w:ind w:left="1800" w:hanging="1800"/>
        <w:rPr>
          <w:rFonts w:ascii="Arial" w:hAnsi="Arial" w:cs="Arial"/>
          <w:sz w:val="22"/>
          <w:szCs w:val="22"/>
        </w:rPr>
      </w:pPr>
    </w:p>
    <w:p w:rsidR="00D51941" w:rsidRPr="00B34176" w:rsidP="000D213C" w14:paraId="15E2AA75" w14:textId="260D46EF">
      <w:pPr>
        <w:tabs>
          <w:tab w:val="left" w:pos="720"/>
          <w:tab w:val="left" w:pos="1440"/>
        </w:tabs>
        <w:ind w:left="72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Agency Response/Action Taken</w:t>
      </w:r>
      <w:r w:rsidRPr="00B34176">
        <w:rPr>
          <w:rFonts w:ascii="Arial" w:hAnsi="Arial" w:cs="Arial"/>
          <w:i/>
          <w:sz w:val="22"/>
          <w:szCs w:val="22"/>
        </w:rPr>
        <w:t>:</w:t>
      </w:r>
      <w:r w:rsidRPr="00B34176">
        <w:rPr>
          <w:rFonts w:ascii="Arial" w:hAnsi="Arial" w:cs="Arial"/>
          <w:sz w:val="22"/>
          <w:szCs w:val="22"/>
        </w:rPr>
        <w:t xml:space="preserve">  </w:t>
      </w:r>
      <w:r w:rsidRPr="00B34176" w:rsidR="00A951CE">
        <w:rPr>
          <w:rFonts w:ascii="Arial" w:hAnsi="Arial" w:cs="Arial"/>
          <w:sz w:val="22"/>
          <w:szCs w:val="22"/>
        </w:rPr>
        <w:t>No action needed.</w:t>
      </w:r>
    </w:p>
    <w:p w:rsidR="00D51941" w:rsidRPr="00B34176" w:rsidP="00D51941" w14:paraId="33B1FD9B" w14:textId="77777777">
      <w:pPr>
        <w:tabs>
          <w:tab w:val="left" w:pos="360"/>
          <w:tab w:val="left" w:pos="720"/>
          <w:tab w:val="left" w:pos="1440"/>
        </w:tabs>
        <w:ind w:left="1530" w:hanging="1530"/>
        <w:rPr>
          <w:rFonts w:ascii="Arial" w:hAnsi="Arial" w:cs="Arial"/>
          <w:sz w:val="22"/>
          <w:szCs w:val="22"/>
        </w:rPr>
      </w:pPr>
    </w:p>
    <w:p w:rsidR="00D51941" w:rsidRPr="00B34176" w:rsidP="00D51941" w14:paraId="4E5AF880" w14:textId="77777777">
      <w:pPr>
        <w:tabs>
          <w:tab w:val="left" w:pos="360"/>
          <w:tab w:val="left" w:pos="720"/>
          <w:tab w:val="left" w:pos="1440"/>
        </w:tabs>
        <w:rPr>
          <w:rFonts w:ascii="Arial" w:hAnsi="Arial" w:cs="Arial"/>
          <w:b/>
          <w:i/>
          <w:color w:val="000000"/>
          <w:sz w:val="22"/>
          <w:szCs w:val="22"/>
        </w:rPr>
      </w:pPr>
      <w:r w:rsidRPr="00B34176">
        <w:rPr>
          <w:rFonts w:ascii="Arial" w:hAnsi="Arial" w:cs="Arial"/>
          <w:b/>
          <w:i/>
          <w:color w:val="000000"/>
          <w:sz w:val="22"/>
          <w:szCs w:val="22"/>
        </w:rPr>
        <w:t>“The accuracy of our estimate of the burden for this collection of information”</w:t>
      </w:r>
    </w:p>
    <w:p w:rsidR="00D51941" w:rsidRPr="00B34176" w:rsidP="00D51941" w14:paraId="12FC347F" w14:textId="77777777">
      <w:pPr>
        <w:tabs>
          <w:tab w:val="left" w:pos="360"/>
          <w:tab w:val="left" w:pos="720"/>
          <w:tab w:val="left" w:pos="1440"/>
        </w:tabs>
        <w:ind w:left="1530" w:hanging="1530"/>
        <w:rPr>
          <w:rFonts w:ascii="Arial" w:hAnsi="Arial" w:cs="Arial"/>
          <w:sz w:val="22"/>
          <w:szCs w:val="22"/>
        </w:rPr>
      </w:pPr>
      <w:r w:rsidRPr="00B34176">
        <w:rPr>
          <w:rFonts w:ascii="Arial" w:hAnsi="Arial" w:cs="Arial"/>
          <w:sz w:val="22"/>
          <w:szCs w:val="22"/>
        </w:rPr>
        <w:tab/>
      </w:r>
    </w:p>
    <w:p w:rsidR="00D51941" w:rsidRPr="00B34176" w:rsidP="00D51941" w14:paraId="7076B87C" w14:textId="79FD59B2">
      <w:pPr>
        <w:tabs>
          <w:tab w:val="left" w:pos="360"/>
          <w:tab w:val="left" w:pos="720"/>
          <w:tab w:val="left" w:pos="1710"/>
        </w:tabs>
        <w:ind w:left="36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Comments</w:t>
      </w:r>
      <w:r w:rsidRPr="00B34176">
        <w:rPr>
          <w:rFonts w:ascii="Arial" w:hAnsi="Arial" w:cs="Arial"/>
          <w:i/>
          <w:sz w:val="22"/>
          <w:szCs w:val="22"/>
        </w:rPr>
        <w:t>:</w:t>
      </w:r>
      <w:r w:rsidRPr="00B34176">
        <w:rPr>
          <w:rFonts w:ascii="Arial" w:hAnsi="Arial" w:cs="Arial"/>
          <w:sz w:val="22"/>
          <w:szCs w:val="22"/>
        </w:rPr>
        <w:tab/>
      </w:r>
      <w:r w:rsidRPr="00B34176" w:rsidR="002379D5">
        <w:rPr>
          <w:rFonts w:ascii="Arial" w:hAnsi="Arial" w:cs="Arial"/>
          <w:sz w:val="22"/>
          <w:szCs w:val="22"/>
        </w:rPr>
        <w:t>Seven</w:t>
      </w:r>
      <w:r w:rsidRPr="00B34176" w:rsidR="001F4D71">
        <w:rPr>
          <w:rFonts w:ascii="Arial" w:hAnsi="Arial" w:cs="Arial"/>
          <w:sz w:val="22"/>
          <w:szCs w:val="22"/>
        </w:rPr>
        <w:t xml:space="preserve"> responses</w:t>
      </w:r>
      <w:r w:rsidRPr="00B34176" w:rsidR="00D6714F">
        <w:rPr>
          <w:rFonts w:ascii="Arial" w:hAnsi="Arial" w:cs="Arial"/>
          <w:sz w:val="22"/>
          <w:szCs w:val="22"/>
        </w:rPr>
        <w:t xml:space="preserve"> </w:t>
      </w:r>
      <w:r w:rsidRPr="00B34176" w:rsidR="001F4D71">
        <w:rPr>
          <w:rFonts w:ascii="Arial" w:hAnsi="Arial" w:cs="Arial"/>
          <w:sz w:val="22"/>
          <w:szCs w:val="22"/>
        </w:rPr>
        <w:t>that the survey</w:t>
      </w:r>
      <w:r w:rsidRPr="00B34176" w:rsidR="004B0AE4">
        <w:rPr>
          <w:rFonts w:ascii="Arial" w:hAnsi="Arial" w:cs="Arial"/>
          <w:sz w:val="22"/>
          <w:szCs w:val="22"/>
        </w:rPr>
        <w:t>s</w:t>
      </w:r>
      <w:r w:rsidRPr="00B34176" w:rsidR="001F4D71">
        <w:rPr>
          <w:rFonts w:ascii="Arial" w:hAnsi="Arial" w:cs="Arial"/>
          <w:sz w:val="22"/>
          <w:szCs w:val="22"/>
        </w:rPr>
        <w:t xml:space="preserve"> used to collect the citizen science data </w:t>
      </w:r>
      <w:r w:rsidRPr="00B34176" w:rsidR="004B0AE4">
        <w:rPr>
          <w:rFonts w:ascii="Arial" w:hAnsi="Arial" w:cs="Arial"/>
          <w:sz w:val="22"/>
          <w:szCs w:val="22"/>
        </w:rPr>
        <w:t>could be filled out within 5-1</w:t>
      </w:r>
      <w:r w:rsidRPr="00B34176" w:rsidR="009A5C31">
        <w:rPr>
          <w:rFonts w:ascii="Arial" w:hAnsi="Arial" w:cs="Arial"/>
          <w:sz w:val="22"/>
          <w:szCs w:val="22"/>
        </w:rPr>
        <w:t>5</w:t>
      </w:r>
      <w:r w:rsidRPr="00B34176" w:rsidR="004B0AE4">
        <w:rPr>
          <w:rFonts w:ascii="Arial" w:hAnsi="Arial" w:cs="Arial"/>
          <w:sz w:val="22"/>
          <w:szCs w:val="22"/>
        </w:rPr>
        <w:t xml:space="preserve"> minutes and are reasonable for the </w:t>
      </w:r>
      <w:r w:rsidRPr="00B34176" w:rsidR="00103001">
        <w:rPr>
          <w:rFonts w:ascii="Arial" w:hAnsi="Arial" w:cs="Arial"/>
          <w:sz w:val="22"/>
          <w:szCs w:val="22"/>
        </w:rPr>
        <w:t>information being collected.</w:t>
      </w:r>
      <w:r w:rsidRPr="00B34176" w:rsidR="001F4D71">
        <w:rPr>
          <w:rFonts w:ascii="Arial" w:hAnsi="Arial" w:cs="Arial"/>
          <w:sz w:val="22"/>
          <w:szCs w:val="22"/>
        </w:rPr>
        <w:t xml:space="preserve"> </w:t>
      </w:r>
      <w:r w:rsidRPr="00B34176" w:rsidR="00103001">
        <w:rPr>
          <w:rFonts w:ascii="Arial" w:hAnsi="Arial" w:cs="Arial"/>
          <w:sz w:val="22"/>
          <w:szCs w:val="22"/>
        </w:rPr>
        <w:t xml:space="preserve">The </w:t>
      </w:r>
      <w:r w:rsidRPr="00B34176" w:rsidR="00AA74D6">
        <w:rPr>
          <w:rFonts w:ascii="Arial" w:hAnsi="Arial" w:cs="Arial"/>
          <w:sz w:val="22"/>
          <w:szCs w:val="22"/>
        </w:rPr>
        <w:t>two</w:t>
      </w:r>
      <w:r w:rsidRPr="00B34176" w:rsidR="00103001">
        <w:rPr>
          <w:rFonts w:ascii="Arial" w:hAnsi="Arial" w:cs="Arial"/>
          <w:sz w:val="22"/>
          <w:szCs w:val="22"/>
        </w:rPr>
        <w:t xml:space="preserve"> respondent</w:t>
      </w:r>
      <w:r w:rsidRPr="00B34176" w:rsidR="00AA74D6">
        <w:rPr>
          <w:rFonts w:ascii="Arial" w:hAnsi="Arial" w:cs="Arial"/>
          <w:sz w:val="22"/>
          <w:szCs w:val="22"/>
        </w:rPr>
        <w:t>s</w:t>
      </w:r>
      <w:r w:rsidRPr="00B34176" w:rsidR="00103001">
        <w:rPr>
          <w:rFonts w:ascii="Arial" w:hAnsi="Arial" w:cs="Arial"/>
          <w:sz w:val="22"/>
          <w:szCs w:val="22"/>
        </w:rPr>
        <w:t xml:space="preserve"> said that the survey took </w:t>
      </w:r>
      <w:r w:rsidRPr="00B34176" w:rsidR="00590DB7">
        <w:rPr>
          <w:rFonts w:ascii="Arial" w:hAnsi="Arial" w:cs="Arial"/>
          <w:sz w:val="22"/>
          <w:szCs w:val="22"/>
        </w:rPr>
        <w:t>45 minutes and multiple hours respectively</w:t>
      </w:r>
      <w:r w:rsidRPr="00B34176" w:rsidR="00103001">
        <w:rPr>
          <w:rFonts w:ascii="Arial" w:hAnsi="Arial" w:cs="Arial"/>
          <w:sz w:val="22"/>
          <w:szCs w:val="22"/>
        </w:rPr>
        <w:t xml:space="preserve"> but that individual</w:t>
      </w:r>
      <w:r w:rsidRPr="00B34176" w:rsidR="00590DB7">
        <w:rPr>
          <w:rFonts w:ascii="Arial" w:hAnsi="Arial" w:cs="Arial"/>
          <w:sz w:val="22"/>
          <w:szCs w:val="22"/>
        </w:rPr>
        <w:t>s</w:t>
      </w:r>
      <w:r w:rsidRPr="00B34176" w:rsidR="00103001">
        <w:rPr>
          <w:rFonts w:ascii="Arial" w:hAnsi="Arial" w:cs="Arial"/>
          <w:sz w:val="22"/>
          <w:szCs w:val="22"/>
        </w:rPr>
        <w:t xml:space="preserve"> included time to </w:t>
      </w:r>
      <w:r w:rsidRPr="00B34176" w:rsidR="00F76477">
        <w:rPr>
          <w:rFonts w:ascii="Arial" w:hAnsi="Arial" w:cs="Arial"/>
          <w:sz w:val="22"/>
          <w:szCs w:val="22"/>
        </w:rPr>
        <w:t>get to the survey/sa</w:t>
      </w:r>
      <w:r w:rsidRPr="00B34176" w:rsidR="00D6714F">
        <w:rPr>
          <w:rFonts w:ascii="Arial" w:hAnsi="Arial" w:cs="Arial"/>
          <w:sz w:val="22"/>
          <w:szCs w:val="22"/>
        </w:rPr>
        <w:t>m</w:t>
      </w:r>
      <w:r w:rsidRPr="00B34176" w:rsidR="00F76477">
        <w:rPr>
          <w:rFonts w:ascii="Arial" w:hAnsi="Arial" w:cs="Arial"/>
          <w:sz w:val="22"/>
          <w:szCs w:val="22"/>
        </w:rPr>
        <w:t>pling locations. The time to fill out the form</w:t>
      </w:r>
      <w:r w:rsidRPr="00B34176" w:rsidR="00AA74D6">
        <w:rPr>
          <w:rFonts w:ascii="Arial" w:hAnsi="Arial" w:cs="Arial"/>
          <w:sz w:val="22"/>
          <w:szCs w:val="22"/>
        </w:rPr>
        <w:t>s</w:t>
      </w:r>
      <w:r w:rsidRPr="00B34176" w:rsidR="00F76477">
        <w:rPr>
          <w:rFonts w:ascii="Arial" w:hAnsi="Arial" w:cs="Arial"/>
          <w:sz w:val="22"/>
          <w:szCs w:val="22"/>
        </w:rPr>
        <w:t xml:space="preserve"> </w:t>
      </w:r>
      <w:r w:rsidRPr="00B34176" w:rsidR="00AA74D6">
        <w:rPr>
          <w:rFonts w:ascii="Arial" w:hAnsi="Arial" w:cs="Arial"/>
          <w:sz w:val="22"/>
          <w:szCs w:val="22"/>
        </w:rPr>
        <w:t>themselves</w:t>
      </w:r>
      <w:r w:rsidRPr="00B34176" w:rsidR="00F76477">
        <w:rPr>
          <w:rFonts w:ascii="Arial" w:hAnsi="Arial" w:cs="Arial"/>
          <w:sz w:val="22"/>
          <w:szCs w:val="22"/>
        </w:rPr>
        <w:t xml:space="preserve"> was reasonabl</w:t>
      </w:r>
      <w:r w:rsidRPr="00B34176" w:rsidR="00590DB7">
        <w:rPr>
          <w:rFonts w:ascii="Arial" w:hAnsi="Arial" w:cs="Arial"/>
          <w:sz w:val="22"/>
          <w:szCs w:val="22"/>
        </w:rPr>
        <w:t>e and not a burden.</w:t>
      </w:r>
    </w:p>
    <w:p w:rsidR="00D51941" w:rsidRPr="00B34176" w:rsidP="00D51941" w14:paraId="159070C6" w14:textId="77777777">
      <w:pPr>
        <w:tabs>
          <w:tab w:val="left" w:pos="360"/>
          <w:tab w:val="left" w:pos="720"/>
          <w:tab w:val="left" w:pos="1440"/>
        </w:tabs>
        <w:ind w:left="1800" w:hanging="1800"/>
        <w:rPr>
          <w:rFonts w:ascii="Arial" w:hAnsi="Arial" w:cs="Arial"/>
          <w:sz w:val="22"/>
          <w:szCs w:val="22"/>
        </w:rPr>
      </w:pPr>
    </w:p>
    <w:p w:rsidR="00D51941" w:rsidRPr="00B34176" w:rsidP="000D213C" w14:paraId="61431BFE" w14:textId="53B8176C">
      <w:pPr>
        <w:tabs>
          <w:tab w:val="left" w:pos="720"/>
          <w:tab w:val="left" w:pos="1440"/>
        </w:tabs>
        <w:ind w:left="72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Agency Response/Action Taken</w:t>
      </w:r>
      <w:r w:rsidRPr="00B34176">
        <w:rPr>
          <w:rFonts w:ascii="Arial" w:hAnsi="Arial" w:cs="Arial"/>
          <w:i/>
          <w:sz w:val="22"/>
          <w:szCs w:val="22"/>
        </w:rPr>
        <w:t>:</w:t>
      </w:r>
      <w:r w:rsidRPr="00B34176">
        <w:rPr>
          <w:rFonts w:ascii="Arial" w:hAnsi="Arial" w:cs="Arial"/>
          <w:sz w:val="22"/>
          <w:szCs w:val="22"/>
        </w:rPr>
        <w:t xml:space="preserve">  </w:t>
      </w:r>
      <w:r w:rsidRPr="00B34176" w:rsidR="00F76477">
        <w:rPr>
          <w:rFonts w:ascii="Arial" w:hAnsi="Arial" w:cs="Arial"/>
          <w:sz w:val="22"/>
          <w:szCs w:val="22"/>
        </w:rPr>
        <w:t>No action taken</w:t>
      </w:r>
    </w:p>
    <w:p w:rsidR="00D51941" w:rsidRPr="00B34176" w:rsidP="00D51941" w14:paraId="6695C4B9" w14:textId="77777777">
      <w:pPr>
        <w:tabs>
          <w:tab w:val="left" w:pos="360"/>
          <w:tab w:val="left" w:pos="720"/>
          <w:tab w:val="left" w:pos="1440"/>
        </w:tabs>
        <w:ind w:left="1530" w:hanging="1530"/>
        <w:rPr>
          <w:rFonts w:ascii="Arial" w:hAnsi="Arial" w:cs="Arial"/>
          <w:sz w:val="22"/>
          <w:szCs w:val="22"/>
        </w:rPr>
      </w:pPr>
    </w:p>
    <w:p w:rsidR="00D51941" w:rsidRPr="00B34176" w:rsidP="00D51941" w14:paraId="1AA8EB2A" w14:textId="77777777">
      <w:pPr>
        <w:tabs>
          <w:tab w:val="left" w:pos="360"/>
          <w:tab w:val="left" w:pos="720"/>
          <w:tab w:val="left" w:pos="1440"/>
        </w:tabs>
        <w:rPr>
          <w:rFonts w:ascii="Arial" w:hAnsi="Arial" w:cs="Arial"/>
          <w:b/>
          <w:i/>
          <w:sz w:val="22"/>
          <w:szCs w:val="22"/>
        </w:rPr>
      </w:pPr>
      <w:r w:rsidRPr="00B34176">
        <w:rPr>
          <w:rFonts w:ascii="Arial" w:hAnsi="Arial" w:cs="Arial"/>
          <w:b/>
          <w:i/>
          <w:color w:val="000000"/>
          <w:sz w:val="22"/>
          <w:szCs w:val="22"/>
        </w:rPr>
        <w:t>“Ways to enhance the quality, utility, and clarity of the information to be collected”</w:t>
      </w:r>
    </w:p>
    <w:p w:rsidR="00D51941" w:rsidRPr="00B34176" w:rsidP="00D51941" w14:paraId="5D526AB2" w14:textId="77777777">
      <w:pPr>
        <w:tabs>
          <w:tab w:val="left" w:pos="360"/>
          <w:tab w:val="left" w:pos="720"/>
          <w:tab w:val="left" w:pos="1440"/>
        </w:tabs>
        <w:ind w:left="1530" w:hanging="1530"/>
        <w:rPr>
          <w:rFonts w:ascii="Arial" w:hAnsi="Arial" w:cs="Arial"/>
          <w:sz w:val="22"/>
          <w:szCs w:val="22"/>
        </w:rPr>
      </w:pPr>
    </w:p>
    <w:p w:rsidR="00D51941" w:rsidRPr="00B34176" w:rsidP="00D51941" w14:paraId="3DD41099" w14:textId="4AC532C5">
      <w:pPr>
        <w:tabs>
          <w:tab w:val="left" w:pos="360"/>
          <w:tab w:val="left" w:pos="720"/>
          <w:tab w:val="left" w:pos="1710"/>
        </w:tabs>
        <w:ind w:left="36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Comments</w:t>
      </w:r>
      <w:r w:rsidRPr="00B34176">
        <w:rPr>
          <w:rFonts w:ascii="Arial" w:hAnsi="Arial" w:cs="Arial"/>
          <w:i/>
          <w:sz w:val="22"/>
          <w:szCs w:val="22"/>
        </w:rPr>
        <w:t>:</w:t>
      </w:r>
      <w:r w:rsidRPr="00B34176">
        <w:rPr>
          <w:rFonts w:ascii="Arial" w:hAnsi="Arial" w:cs="Arial"/>
          <w:sz w:val="22"/>
          <w:szCs w:val="22"/>
        </w:rPr>
        <w:tab/>
      </w:r>
      <w:r w:rsidRPr="00B34176" w:rsidR="00072222">
        <w:rPr>
          <w:rFonts w:ascii="Arial" w:hAnsi="Arial" w:cs="Arial"/>
          <w:sz w:val="22"/>
          <w:szCs w:val="22"/>
        </w:rPr>
        <w:t xml:space="preserve">For </w:t>
      </w:r>
      <w:r w:rsidRPr="00B34176" w:rsidR="0053286E">
        <w:rPr>
          <w:rFonts w:ascii="Arial" w:hAnsi="Arial" w:cs="Arial"/>
          <w:sz w:val="22"/>
          <w:szCs w:val="22"/>
        </w:rPr>
        <w:t xml:space="preserve">a fish passage survey, one respondent suggested that </w:t>
      </w:r>
      <w:r w:rsidRPr="00B34176" w:rsidR="00E64DB4">
        <w:rPr>
          <w:rFonts w:ascii="Arial" w:hAnsi="Arial" w:cs="Arial"/>
          <w:sz w:val="22"/>
          <w:szCs w:val="22"/>
        </w:rPr>
        <w:t xml:space="preserve">the collection form </w:t>
      </w:r>
      <w:r w:rsidRPr="00B34176" w:rsidR="00DE54E4">
        <w:rPr>
          <w:rFonts w:ascii="Arial" w:hAnsi="Arial" w:cs="Arial"/>
          <w:sz w:val="22"/>
          <w:szCs w:val="22"/>
        </w:rPr>
        <w:t>allows them</w:t>
      </w:r>
      <w:r w:rsidRPr="00B34176" w:rsidR="00E64DB4">
        <w:rPr>
          <w:rFonts w:ascii="Arial" w:hAnsi="Arial" w:cs="Arial"/>
          <w:sz w:val="22"/>
          <w:szCs w:val="22"/>
        </w:rPr>
        <w:t xml:space="preserve"> to enter multiple barriers within a given location. </w:t>
      </w:r>
      <w:r w:rsidRPr="00B34176" w:rsidR="00724CF1">
        <w:rPr>
          <w:rFonts w:ascii="Arial" w:hAnsi="Arial" w:cs="Arial"/>
          <w:sz w:val="22"/>
          <w:szCs w:val="22"/>
        </w:rPr>
        <w:t xml:space="preserve">Several respondents said the </w:t>
      </w:r>
      <w:r w:rsidRPr="00B34176" w:rsidR="00900EC7">
        <w:rPr>
          <w:rFonts w:ascii="Arial" w:hAnsi="Arial" w:cs="Arial"/>
          <w:sz w:val="22"/>
          <w:szCs w:val="22"/>
        </w:rPr>
        <w:t xml:space="preserve">new digital collection </w:t>
      </w:r>
      <w:r w:rsidRPr="00B34176" w:rsidR="00DA3D3D">
        <w:rPr>
          <w:rFonts w:ascii="Arial" w:hAnsi="Arial" w:cs="Arial"/>
          <w:sz w:val="22"/>
          <w:szCs w:val="22"/>
        </w:rPr>
        <w:t>enables</w:t>
      </w:r>
      <w:r w:rsidRPr="00B34176" w:rsidR="00900EC7">
        <w:rPr>
          <w:rFonts w:ascii="Arial" w:hAnsi="Arial" w:cs="Arial"/>
          <w:sz w:val="22"/>
          <w:szCs w:val="22"/>
        </w:rPr>
        <w:t xml:space="preserve"> mu</w:t>
      </w:r>
      <w:r w:rsidRPr="00B34176" w:rsidR="00DE54E4">
        <w:rPr>
          <w:rFonts w:ascii="Arial" w:hAnsi="Arial" w:cs="Arial"/>
          <w:sz w:val="22"/>
          <w:szCs w:val="22"/>
        </w:rPr>
        <w:t>lt</w:t>
      </w:r>
      <w:r w:rsidRPr="00B34176" w:rsidR="00900EC7">
        <w:rPr>
          <w:rFonts w:ascii="Arial" w:hAnsi="Arial" w:cs="Arial"/>
          <w:sz w:val="22"/>
          <w:szCs w:val="22"/>
        </w:rPr>
        <w:t xml:space="preserve">iple orders of magnitude improvement in filling out forms over paper </w:t>
      </w:r>
      <w:r w:rsidRPr="00B34176" w:rsidR="003103D3">
        <w:rPr>
          <w:rFonts w:ascii="Arial" w:hAnsi="Arial" w:cs="Arial"/>
          <w:sz w:val="22"/>
          <w:szCs w:val="22"/>
        </w:rPr>
        <w:t xml:space="preserve">versions. The digital collection </w:t>
      </w:r>
      <w:r w:rsidRPr="00B34176" w:rsidR="00DE54E4">
        <w:rPr>
          <w:rFonts w:ascii="Arial" w:hAnsi="Arial" w:cs="Arial"/>
          <w:sz w:val="22"/>
          <w:szCs w:val="22"/>
        </w:rPr>
        <w:t>through</w:t>
      </w:r>
      <w:r w:rsidRPr="00B34176" w:rsidR="003103D3">
        <w:rPr>
          <w:rFonts w:ascii="Arial" w:hAnsi="Arial" w:cs="Arial"/>
          <w:sz w:val="22"/>
          <w:szCs w:val="22"/>
        </w:rPr>
        <w:t xml:space="preserve"> ArcGIS Online also avoids mailing paper forms which means better real-time data are available to all participants. </w:t>
      </w:r>
    </w:p>
    <w:p w:rsidR="00D51941" w:rsidRPr="00B34176" w:rsidP="00D51941" w14:paraId="0B8D8092" w14:textId="77777777">
      <w:pPr>
        <w:tabs>
          <w:tab w:val="left" w:pos="360"/>
          <w:tab w:val="left" w:pos="720"/>
          <w:tab w:val="left" w:pos="1440"/>
        </w:tabs>
        <w:ind w:left="1800" w:hanging="1800"/>
        <w:rPr>
          <w:rFonts w:ascii="Arial" w:hAnsi="Arial" w:cs="Arial"/>
          <w:sz w:val="22"/>
          <w:szCs w:val="22"/>
        </w:rPr>
      </w:pPr>
    </w:p>
    <w:p w:rsidR="00D51941" w:rsidRPr="00B34176" w:rsidP="000D213C" w14:paraId="247B0405" w14:textId="2840A717">
      <w:pPr>
        <w:tabs>
          <w:tab w:val="left" w:pos="720"/>
          <w:tab w:val="left" w:pos="1440"/>
        </w:tabs>
        <w:ind w:left="72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Agency Response/Action Taken</w:t>
      </w:r>
      <w:r w:rsidRPr="00B34176">
        <w:rPr>
          <w:rFonts w:ascii="Arial" w:hAnsi="Arial" w:cs="Arial"/>
          <w:i/>
          <w:sz w:val="22"/>
          <w:szCs w:val="22"/>
        </w:rPr>
        <w:t>:</w:t>
      </w:r>
      <w:r w:rsidRPr="00B34176">
        <w:rPr>
          <w:rFonts w:ascii="Arial" w:hAnsi="Arial" w:cs="Arial"/>
          <w:sz w:val="22"/>
          <w:szCs w:val="22"/>
        </w:rPr>
        <w:t xml:space="preserve">  </w:t>
      </w:r>
      <w:r w:rsidRPr="00B34176" w:rsidR="002623E2">
        <w:rPr>
          <w:rFonts w:ascii="Arial" w:hAnsi="Arial" w:cs="Arial"/>
          <w:sz w:val="22"/>
          <w:szCs w:val="22"/>
        </w:rPr>
        <w:t xml:space="preserve">FWS staff responsible for the information collection are proactively working with their volunteers and survey respondents to improve upon the </w:t>
      </w:r>
      <w:r w:rsidRPr="00B34176" w:rsidR="000B1A7A">
        <w:rPr>
          <w:rFonts w:ascii="Arial" w:hAnsi="Arial" w:cs="Arial"/>
          <w:sz w:val="22"/>
          <w:szCs w:val="22"/>
        </w:rPr>
        <w:t xml:space="preserve">survey forms and have been receptive to feedback. All </w:t>
      </w:r>
      <w:r w:rsidRPr="00B34176" w:rsidR="00E87B42">
        <w:rPr>
          <w:rFonts w:ascii="Arial" w:hAnsi="Arial" w:cs="Arial"/>
          <w:sz w:val="22"/>
          <w:szCs w:val="22"/>
        </w:rPr>
        <w:t>respondents</w:t>
      </w:r>
      <w:r w:rsidRPr="00B34176" w:rsidR="000B1A7A">
        <w:rPr>
          <w:rFonts w:ascii="Arial" w:hAnsi="Arial" w:cs="Arial"/>
          <w:sz w:val="22"/>
          <w:szCs w:val="22"/>
        </w:rPr>
        <w:t xml:space="preserve"> have been involved </w:t>
      </w:r>
      <w:r w:rsidRPr="00B34176" w:rsidR="00E87B42">
        <w:rPr>
          <w:rFonts w:ascii="Arial" w:hAnsi="Arial" w:cs="Arial"/>
          <w:sz w:val="22"/>
          <w:szCs w:val="22"/>
        </w:rPr>
        <w:t>early on in the process to help guide what data are collected</w:t>
      </w:r>
      <w:r w:rsidRPr="00B34176" w:rsidR="002623E2">
        <w:rPr>
          <w:rFonts w:ascii="Arial" w:hAnsi="Arial" w:cs="Arial"/>
          <w:sz w:val="22"/>
          <w:szCs w:val="22"/>
        </w:rPr>
        <w:t>.</w:t>
      </w:r>
      <w:r w:rsidRPr="00B34176" w:rsidR="00E87B42">
        <w:rPr>
          <w:rFonts w:ascii="Arial" w:hAnsi="Arial" w:cs="Arial"/>
          <w:sz w:val="22"/>
          <w:szCs w:val="22"/>
        </w:rPr>
        <w:t xml:space="preserve"> Several respondents specifically mentioned that </w:t>
      </w:r>
      <w:r w:rsidRPr="00B34176" w:rsidR="00786505">
        <w:rPr>
          <w:rFonts w:ascii="Arial" w:hAnsi="Arial" w:cs="Arial"/>
          <w:sz w:val="22"/>
          <w:szCs w:val="22"/>
        </w:rPr>
        <w:t>their</w:t>
      </w:r>
      <w:r w:rsidRPr="00B34176" w:rsidR="00E87B42">
        <w:rPr>
          <w:rFonts w:ascii="Arial" w:hAnsi="Arial" w:cs="Arial"/>
          <w:sz w:val="22"/>
          <w:szCs w:val="22"/>
        </w:rPr>
        <w:t xml:space="preserve"> recommendations had been acted upon. </w:t>
      </w:r>
    </w:p>
    <w:p w:rsidR="00E87B42" w:rsidRPr="00B34176" w:rsidP="002623E2" w14:paraId="6757694E" w14:textId="77777777">
      <w:pPr>
        <w:tabs>
          <w:tab w:val="left" w:pos="360"/>
          <w:tab w:val="left" w:pos="720"/>
          <w:tab w:val="left" w:pos="1440"/>
        </w:tabs>
        <w:ind w:left="360" w:hanging="360"/>
        <w:rPr>
          <w:rFonts w:ascii="Arial" w:hAnsi="Arial" w:cs="Arial"/>
          <w:sz w:val="22"/>
          <w:szCs w:val="22"/>
        </w:rPr>
      </w:pPr>
    </w:p>
    <w:p w:rsidR="00D51941" w:rsidRPr="00B34176" w:rsidP="00D51941" w14:paraId="1E5602DE" w14:textId="77777777">
      <w:pPr>
        <w:tabs>
          <w:tab w:val="left" w:pos="360"/>
          <w:tab w:val="left" w:pos="720"/>
          <w:tab w:val="left" w:pos="1440"/>
        </w:tabs>
        <w:ind w:left="1530" w:hanging="1530"/>
        <w:rPr>
          <w:rFonts w:ascii="Arial" w:hAnsi="Arial" w:cs="Arial"/>
          <w:sz w:val="22"/>
          <w:szCs w:val="22"/>
        </w:rPr>
      </w:pPr>
      <w:r w:rsidRPr="00B34176">
        <w:rPr>
          <w:rFonts w:ascii="Arial" w:hAnsi="Arial" w:cs="Arial"/>
          <w:sz w:val="22"/>
          <w:szCs w:val="22"/>
        </w:rPr>
        <w:tab/>
        <w:t>And</w:t>
      </w:r>
    </w:p>
    <w:p w:rsidR="00D51941" w:rsidRPr="00B34176" w:rsidP="00D51941" w14:paraId="64B8CA53" w14:textId="77777777">
      <w:pPr>
        <w:tabs>
          <w:tab w:val="left" w:pos="360"/>
          <w:tab w:val="left" w:pos="720"/>
          <w:tab w:val="left" w:pos="1440"/>
        </w:tabs>
        <w:ind w:left="1530" w:hanging="1530"/>
        <w:rPr>
          <w:rFonts w:ascii="Arial" w:hAnsi="Arial" w:cs="Arial"/>
          <w:sz w:val="22"/>
          <w:szCs w:val="22"/>
        </w:rPr>
      </w:pPr>
    </w:p>
    <w:p w:rsidR="00D51941" w:rsidRPr="00B34176" w:rsidP="00D51941" w14:paraId="2036BD87" w14:textId="77777777">
      <w:pPr>
        <w:tabs>
          <w:tab w:val="left" w:pos="360"/>
          <w:tab w:val="left" w:pos="720"/>
          <w:tab w:val="left" w:pos="1440"/>
        </w:tabs>
        <w:ind w:left="1530" w:hanging="1530"/>
        <w:rPr>
          <w:rFonts w:ascii="Arial" w:hAnsi="Arial" w:cs="Arial"/>
          <w:b/>
          <w:i/>
          <w:sz w:val="22"/>
          <w:szCs w:val="22"/>
        </w:rPr>
      </w:pPr>
      <w:r w:rsidRPr="00B34176">
        <w:rPr>
          <w:rFonts w:ascii="Arial" w:hAnsi="Arial" w:cs="Arial"/>
          <w:b/>
          <w:i/>
          <w:color w:val="000000"/>
          <w:sz w:val="22"/>
          <w:szCs w:val="22"/>
        </w:rPr>
        <w:t>“Ways to minimize the burden of the collection of information on respondents”</w:t>
      </w:r>
    </w:p>
    <w:p w:rsidR="00D51941" w:rsidRPr="00B34176" w:rsidP="00D51941" w14:paraId="6F11A2AE" w14:textId="77777777">
      <w:pPr>
        <w:tabs>
          <w:tab w:val="left" w:pos="360"/>
          <w:tab w:val="left" w:pos="720"/>
          <w:tab w:val="left" w:pos="1440"/>
        </w:tabs>
        <w:ind w:left="1530" w:hanging="1530"/>
        <w:rPr>
          <w:rFonts w:ascii="Arial" w:hAnsi="Arial" w:cs="Arial"/>
          <w:sz w:val="22"/>
          <w:szCs w:val="22"/>
        </w:rPr>
      </w:pPr>
    </w:p>
    <w:p w:rsidR="00D51941" w:rsidRPr="00B34176" w:rsidP="00D51941" w14:paraId="129AE7B9" w14:textId="6A695F65">
      <w:pPr>
        <w:tabs>
          <w:tab w:val="left" w:pos="360"/>
          <w:tab w:val="left" w:pos="720"/>
          <w:tab w:val="left" w:pos="1710"/>
        </w:tabs>
        <w:ind w:left="36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Comments</w:t>
      </w:r>
      <w:r w:rsidRPr="00B34176">
        <w:rPr>
          <w:rFonts w:ascii="Arial" w:hAnsi="Arial" w:cs="Arial"/>
          <w:i/>
          <w:sz w:val="22"/>
          <w:szCs w:val="22"/>
        </w:rPr>
        <w:t>:</w:t>
      </w:r>
      <w:r w:rsidRPr="00B34176">
        <w:rPr>
          <w:rFonts w:ascii="Arial" w:hAnsi="Arial" w:cs="Arial"/>
          <w:sz w:val="22"/>
          <w:szCs w:val="22"/>
        </w:rPr>
        <w:tab/>
      </w:r>
      <w:r w:rsidRPr="00B34176" w:rsidR="00EC6541">
        <w:rPr>
          <w:rFonts w:ascii="Arial" w:hAnsi="Arial" w:cs="Arial"/>
          <w:sz w:val="22"/>
          <w:szCs w:val="22"/>
        </w:rPr>
        <w:t xml:space="preserve">All </w:t>
      </w:r>
      <w:r w:rsidRPr="00B34176" w:rsidR="007E5A05">
        <w:rPr>
          <w:rFonts w:ascii="Arial" w:hAnsi="Arial" w:cs="Arial"/>
          <w:sz w:val="22"/>
          <w:szCs w:val="22"/>
        </w:rPr>
        <w:t>respondents</w:t>
      </w:r>
      <w:r w:rsidRPr="00B34176" w:rsidR="00EC6541">
        <w:rPr>
          <w:rFonts w:ascii="Arial" w:hAnsi="Arial" w:cs="Arial"/>
          <w:sz w:val="22"/>
          <w:szCs w:val="22"/>
        </w:rPr>
        <w:t xml:space="preserve"> said that FWS staff were responsive to feedback and open to ways to make </w:t>
      </w:r>
      <w:r w:rsidRPr="00B34176" w:rsidR="001808AF">
        <w:rPr>
          <w:rFonts w:ascii="Arial" w:hAnsi="Arial" w:cs="Arial"/>
          <w:sz w:val="22"/>
          <w:szCs w:val="22"/>
        </w:rPr>
        <w:t>improvements</w:t>
      </w:r>
      <w:r w:rsidRPr="00B34176" w:rsidR="00EC6541">
        <w:rPr>
          <w:rFonts w:ascii="Arial" w:hAnsi="Arial" w:cs="Arial"/>
          <w:sz w:val="22"/>
          <w:szCs w:val="22"/>
        </w:rPr>
        <w:t xml:space="preserve"> to minimize burden. </w:t>
      </w:r>
      <w:r w:rsidRPr="00B34176" w:rsidR="00623F07">
        <w:rPr>
          <w:rFonts w:ascii="Arial" w:hAnsi="Arial" w:cs="Arial"/>
          <w:sz w:val="22"/>
          <w:szCs w:val="22"/>
        </w:rPr>
        <w:t xml:space="preserve">Another respondent suggested </w:t>
      </w:r>
      <w:r w:rsidRPr="00B34176" w:rsidR="001808AF">
        <w:rPr>
          <w:rFonts w:ascii="Arial" w:hAnsi="Arial" w:cs="Arial"/>
          <w:sz w:val="22"/>
          <w:szCs w:val="22"/>
        </w:rPr>
        <w:t>creating templates for specific use cases to allow pre-population of the form.</w:t>
      </w:r>
      <w:r w:rsidRPr="00B34176" w:rsidR="00623F07">
        <w:rPr>
          <w:rFonts w:ascii="Arial" w:hAnsi="Arial" w:cs="Arial"/>
          <w:sz w:val="22"/>
          <w:szCs w:val="22"/>
        </w:rPr>
        <w:t xml:space="preserve"> </w:t>
      </w:r>
      <w:r w:rsidRPr="00B34176" w:rsidR="00EC6541">
        <w:rPr>
          <w:rFonts w:ascii="Arial" w:hAnsi="Arial" w:cs="Arial"/>
          <w:sz w:val="22"/>
          <w:szCs w:val="22"/>
        </w:rPr>
        <w:t>Most respondents were active from the beginning of developing the survey form whic</w:t>
      </w:r>
      <w:r w:rsidRPr="00B34176" w:rsidR="007E5A05">
        <w:rPr>
          <w:rFonts w:ascii="Arial" w:hAnsi="Arial" w:cs="Arial"/>
          <w:sz w:val="22"/>
          <w:szCs w:val="22"/>
        </w:rPr>
        <w:t xml:space="preserve">h meant their input was considered from the start. </w:t>
      </w:r>
      <w:r w:rsidRPr="00B34176" w:rsidR="009656B8">
        <w:rPr>
          <w:rFonts w:ascii="Arial" w:hAnsi="Arial" w:cs="Arial"/>
          <w:sz w:val="22"/>
          <w:szCs w:val="22"/>
        </w:rPr>
        <w:t xml:space="preserve">One respondent was </w:t>
      </w:r>
      <w:r w:rsidRPr="00B34176" w:rsidR="00A92DE5">
        <w:rPr>
          <w:rFonts w:ascii="Arial" w:hAnsi="Arial" w:cs="Arial"/>
          <w:sz w:val="22"/>
          <w:szCs w:val="22"/>
        </w:rPr>
        <w:t xml:space="preserve">grateful to report that FWS listened to their feedback and several survey questions were switched to optional for one form </w:t>
      </w:r>
      <w:r w:rsidRPr="00B34176" w:rsidR="00116E6D">
        <w:rPr>
          <w:rFonts w:ascii="Arial" w:hAnsi="Arial" w:cs="Arial"/>
          <w:sz w:val="22"/>
          <w:szCs w:val="22"/>
        </w:rPr>
        <w:t xml:space="preserve">which </w:t>
      </w:r>
      <w:r w:rsidRPr="00B34176" w:rsidR="00116E6D">
        <w:rPr>
          <w:rFonts w:ascii="Arial" w:hAnsi="Arial" w:cs="Arial"/>
          <w:sz w:val="22"/>
          <w:szCs w:val="22"/>
        </w:rPr>
        <w:t xml:space="preserve">enabled greater flexibility with the collection and reduced burden. </w:t>
      </w:r>
    </w:p>
    <w:p w:rsidR="00D51941" w:rsidRPr="00B34176" w:rsidP="00D51941" w14:paraId="5BB85715" w14:textId="77777777">
      <w:pPr>
        <w:tabs>
          <w:tab w:val="left" w:pos="360"/>
          <w:tab w:val="left" w:pos="720"/>
          <w:tab w:val="left" w:pos="1440"/>
        </w:tabs>
        <w:ind w:left="1800" w:hanging="1800"/>
        <w:rPr>
          <w:rFonts w:ascii="Arial" w:hAnsi="Arial" w:cs="Arial"/>
          <w:sz w:val="22"/>
          <w:szCs w:val="22"/>
        </w:rPr>
      </w:pPr>
    </w:p>
    <w:p w:rsidR="00D51941" w:rsidRPr="00B34176" w:rsidP="000D213C" w14:paraId="49F1A748" w14:textId="33A415A3">
      <w:pPr>
        <w:tabs>
          <w:tab w:val="left" w:pos="720"/>
          <w:tab w:val="left" w:pos="1440"/>
        </w:tabs>
        <w:ind w:left="720" w:hanging="360"/>
        <w:rPr>
          <w:rFonts w:ascii="Arial" w:hAnsi="Arial" w:cs="Arial"/>
          <w:sz w:val="22"/>
          <w:szCs w:val="22"/>
        </w:rPr>
      </w:pPr>
      <w:r w:rsidRPr="00B34176">
        <w:rPr>
          <w:rFonts w:ascii="Arial" w:hAnsi="Arial" w:cs="Arial"/>
          <w:sz w:val="22"/>
          <w:szCs w:val="22"/>
        </w:rPr>
        <w:tab/>
      </w:r>
      <w:r w:rsidRPr="00B34176">
        <w:rPr>
          <w:rFonts w:ascii="Arial" w:hAnsi="Arial" w:cs="Arial"/>
          <w:i/>
          <w:sz w:val="22"/>
          <w:szCs w:val="22"/>
          <w:u w:val="single"/>
        </w:rPr>
        <w:t>Agency Response/Action Taken</w:t>
      </w:r>
      <w:r w:rsidRPr="00B34176">
        <w:rPr>
          <w:rFonts w:ascii="Arial" w:hAnsi="Arial" w:cs="Arial"/>
          <w:i/>
          <w:sz w:val="22"/>
          <w:szCs w:val="22"/>
        </w:rPr>
        <w:t>:</w:t>
      </w:r>
      <w:r w:rsidRPr="00B34176">
        <w:rPr>
          <w:rFonts w:ascii="Arial" w:hAnsi="Arial" w:cs="Arial"/>
          <w:sz w:val="22"/>
          <w:szCs w:val="22"/>
        </w:rPr>
        <w:t xml:space="preserve"> </w:t>
      </w:r>
      <w:r w:rsidRPr="00B34176" w:rsidR="003202C4">
        <w:rPr>
          <w:rFonts w:ascii="Arial" w:hAnsi="Arial" w:cs="Arial"/>
          <w:sz w:val="22"/>
          <w:szCs w:val="22"/>
        </w:rPr>
        <w:t xml:space="preserve">FWS staff responsible for the information collection </w:t>
      </w:r>
      <w:r w:rsidRPr="00B34176" w:rsidR="000B1345">
        <w:rPr>
          <w:rFonts w:ascii="Arial" w:hAnsi="Arial" w:cs="Arial"/>
          <w:sz w:val="22"/>
          <w:szCs w:val="22"/>
        </w:rPr>
        <w:t>are proactively working with their volunteers and survey respondents to</w:t>
      </w:r>
      <w:r w:rsidRPr="00B34176" w:rsidR="004C7643">
        <w:rPr>
          <w:rFonts w:ascii="Arial" w:hAnsi="Arial" w:cs="Arial"/>
          <w:sz w:val="22"/>
          <w:szCs w:val="22"/>
        </w:rPr>
        <w:t xml:space="preserve"> ensure </w:t>
      </w:r>
      <w:r w:rsidRPr="00B34176" w:rsidR="002623E2">
        <w:rPr>
          <w:rFonts w:ascii="Arial" w:hAnsi="Arial" w:cs="Arial"/>
          <w:sz w:val="22"/>
          <w:szCs w:val="22"/>
        </w:rPr>
        <w:t xml:space="preserve">that the burden of collection is minimized. </w:t>
      </w:r>
      <w:r w:rsidRPr="00B34176" w:rsidR="00C9619B">
        <w:rPr>
          <w:rFonts w:ascii="Arial" w:hAnsi="Arial" w:cs="Arial"/>
          <w:sz w:val="22"/>
          <w:szCs w:val="22"/>
        </w:rPr>
        <w:t xml:space="preserve">Some of the feedback also gets relayed to the vendor that develops ArcGIS Online to make improvements. </w:t>
      </w:r>
    </w:p>
    <w:p w:rsidR="00D51941" w:rsidRPr="00B34176" w:rsidP="00D51941" w14:paraId="56AB4926" w14:textId="77777777">
      <w:pPr>
        <w:tabs>
          <w:tab w:val="left" w:pos="360"/>
          <w:tab w:val="left" w:pos="720"/>
          <w:tab w:val="left" w:pos="1440"/>
        </w:tabs>
        <w:rPr>
          <w:rFonts w:ascii="Arial" w:hAnsi="Arial" w:cs="Arial"/>
          <w:sz w:val="22"/>
          <w:szCs w:val="22"/>
        </w:rPr>
      </w:pPr>
    </w:p>
    <w:bookmarkEnd w:id="2"/>
    <w:p w:rsidR="00D51941" w:rsidRPr="00B34176" w:rsidP="00D51941" w14:paraId="3B88D97A" w14:textId="77777777">
      <w:pPr>
        <w:pStyle w:val="Heading1"/>
      </w:pPr>
      <w:r w:rsidRPr="00B34176">
        <w:t>9.</w:t>
      </w:r>
      <w:r w:rsidRPr="00B34176">
        <w:tab/>
        <w:t>Explain any decision to provide any payment or gift to respondents, other than remuneration of contractors or grantees.</w:t>
      </w:r>
    </w:p>
    <w:p w:rsidR="00F23F29" w:rsidRPr="00B34176" w:rsidP="005F7212" w14:paraId="7E361F0B" w14:textId="77777777">
      <w:pPr>
        <w:tabs>
          <w:tab w:val="left" w:pos="360"/>
          <w:tab w:val="left" w:pos="720"/>
          <w:tab w:val="left" w:pos="1440"/>
        </w:tabs>
        <w:rPr>
          <w:rFonts w:ascii="Arial" w:hAnsi="Arial" w:cs="Arial"/>
          <w:sz w:val="22"/>
          <w:szCs w:val="22"/>
        </w:rPr>
      </w:pPr>
    </w:p>
    <w:p w:rsidR="00251281" w:rsidRPr="00B34176" w:rsidP="005F7212" w14:paraId="202A5759" w14:textId="6D657221">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We will not provide any payment or gifts to respondents</w:t>
      </w:r>
      <w:r w:rsidRPr="00B34176" w:rsidR="005F4B99">
        <w:rPr>
          <w:rFonts w:ascii="Arial" w:hAnsi="Arial" w:cs="Arial"/>
          <w:color w:val="000000" w:themeColor="text1"/>
          <w:sz w:val="22"/>
          <w:szCs w:val="22"/>
        </w:rPr>
        <w:t xml:space="preserve">.  </w:t>
      </w:r>
    </w:p>
    <w:p w:rsidR="00251281" w:rsidRPr="00B34176" w:rsidP="005F7212" w14:paraId="1365AA5B" w14:textId="77777777">
      <w:pPr>
        <w:tabs>
          <w:tab w:val="left" w:pos="360"/>
          <w:tab w:val="left" w:pos="720"/>
          <w:tab w:val="left" w:pos="1440"/>
        </w:tabs>
        <w:rPr>
          <w:rFonts w:ascii="Arial" w:hAnsi="Arial" w:cs="Arial"/>
          <w:sz w:val="22"/>
          <w:szCs w:val="22"/>
        </w:rPr>
      </w:pPr>
    </w:p>
    <w:p w:rsidR="0042607F" w:rsidRPr="00B34176" w:rsidP="0042607F" w14:paraId="7B26A962" w14:textId="77777777">
      <w:pPr>
        <w:pStyle w:val="Heading1"/>
        <w:tabs>
          <w:tab w:val="clear" w:pos="360"/>
          <w:tab w:val="left" w:pos="450"/>
        </w:tabs>
      </w:pPr>
      <w:r w:rsidRPr="00B34176">
        <w:t>10.</w:t>
      </w:r>
      <w:r w:rsidRPr="00B34176">
        <w:tab/>
        <w:t>Describe any assurance of confidentiality provided to respondents and the basis for the assurance in statute, regulation, or agency policy.</w:t>
      </w:r>
    </w:p>
    <w:p w:rsidR="00251281" w:rsidRPr="00B34176" w:rsidP="005F7212" w14:paraId="1E975AA6" w14:textId="4A4562AE">
      <w:pPr>
        <w:tabs>
          <w:tab w:val="left" w:pos="360"/>
          <w:tab w:val="left" w:pos="720"/>
          <w:tab w:val="left" w:pos="1440"/>
        </w:tabs>
        <w:rPr>
          <w:rFonts w:ascii="Arial" w:hAnsi="Arial" w:cs="Arial"/>
          <w:color w:val="000000" w:themeColor="text1"/>
          <w:sz w:val="22"/>
          <w:szCs w:val="22"/>
        </w:rPr>
      </w:pPr>
    </w:p>
    <w:p w:rsidR="2E666CCE" w:rsidRPr="00B34176" w:rsidP="005F7212" w14:paraId="464779E7" w14:textId="4769C44D">
      <w:pPr>
        <w:tabs>
          <w:tab w:val="left" w:pos="360"/>
          <w:tab w:val="left" w:pos="720"/>
          <w:tab w:val="left" w:pos="1440"/>
        </w:tabs>
        <w:rPr>
          <w:rFonts w:ascii="Arial" w:hAnsi="Arial" w:cs="Arial"/>
          <w:color w:val="000000" w:themeColor="text1"/>
          <w:sz w:val="22"/>
          <w:szCs w:val="22"/>
        </w:rPr>
      </w:pPr>
      <w:r w:rsidRPr="00B34176">
        <w:rPr>
          <w:rFonts w:ascii="Arial" w:hAnsi="Arial" w:cs="Arial"/>
          <w:color w:val="000000" w:themeColor="text1"/>
          <w:sz w:val="22"/>
          <w:szCs w:val="22"/>
        </w:rPr>
        <w:t xml:space="preserve">We do not provide </w:t>
      </w:r>
      <w:r w:rsidRPr="00B34176" w:rsidR="44F5DFD4">
        <w:rPr>
          <w:rFonts w:ascii="Arial" w:hAnsi="Arial" w:cs="Arial"/>
          <w:color w:val="000000" w:themeColor="text1"/>
          <w:sz w:val="22"/>
          <w:szCs w:val="22"/>
        </w:rPr>
        <w:t xml:space="preserve">any </w:t>
      </w:r>
      <w:r w:rsidRPr="00B34176">
        <w:rPr>
          <w:rFonts w:ascii="Arial" w:hAnsi="Arial" w:cs="Arial"/>
          <w:color w:val="000000" w:themeColor="text1"/>
          <w:sz w:val="22"/>
          <w:szCs w:val="22"/>
        </w:rPr>
        <w:t>assurance of confidentiality</w:t>
      </w:r>
      <w:r w:rsidRPr="00B34176" w:rsidR="1AFC5B4E">
        <w:rPr>
          <w:rFonts w:ascii="Arial" w:hAnsi="Arial" w:cs="Arial"/>
          <w:color w:val="000000" w:themeColor="text1"/>
          <w:sz w:val="22"/>
          <w:szCs w:val="22"/>
        </w:rPr>
        <w:t xml:space="preserve"> to respondents</w:t>
      </w:r>
      <w:r w:rsidRPr="00B34176">
        <w:rPr>
          <w:rFonts w:ascii="Arial" w:hAnsi="Arial" w:cs="Arial"/>
          <w:color w:val="000000" w:themeColor="text1"/>
          <w:sz w:val="22"/>
          <w:szCs w:val="22"/>
        </w:rPr>
        <w:t xml:space="preserve">. Information may be disclosed </w:t>
      </w:r>
      <w:r w:rsidRPr="00B34176" w:rsidR="1AEC3EF7">
        <w:rPr>
          <w:rFonts w:ascii="Arial" w:hAnsi="Arial" w:cs="Arial"/>
          <w:color w:val="000000" w:themeColor="text1"/>
          <w:sz w:val="22"/>
          <w:szCs w:val="22"/>
        </w:rPr>
        <w:t>to the extent permissible with applicable law.</w:t>
      </w:r>
      <w:r w:rsidRPr="00B34176" w:rsidR="1AEC3EF7">
        <w:rPr>
          <w:rFonts w:ascii="Arial" w:eastAsia="Arial" w:hAnsi="Arial" w:cs="Arial"/>
          <w:color w:val="000000" w:themeColor="text1"/>
          <w:sz w:val="22"/>
          <w:szCs w:val="22"/>
        </w:rPr>
        <w:t xml:space="preserve"> </w:t>
      </w:r>
      <w:r w:rsidRPr="00B34176" w:rsidR="00331B69">
        <w:rPr>
          <w:rFonts w:ascii="Arial" w:eastAsia="Arial" w:hAnsi="Arial" w:cs="Arial"/>
          <w:color w:val="000000" w:themeColor="text1"/>
          <w:sz w:val="22"/>
          <w:szCs w:val="22"/>
        </w:rPr>
        <w:t xml:space="preserve"> </w:t>
      </w:r>
      <w:r w:rsidRPr="00B34176" w:rsidR="00DD431F">
        <w:rPr>
          <w:rFonts w:ascii="Arial" w:eastAsia="Arial" w:hAnsi="Arial" w:cs="Arial"/>
          <w:color w:val="000000" w:themeColor="text1"/>
          <w:sz w:val="22"/>
          <w:szCs w:val="22"/>
        </w:rPr>
        <w:t>The Service</w:t>
      </w:r>
      <w:r w:rsidRPr="00B34176" w:rsidR="3EBB4647">
        <w:rPr>
          <w:rFonts w:ascii="Arial" w:eastAsia="Arial" w:hAnsi="Arial" w:cs="Arial"/>
          <w:color w:val="000000" w:themeColor="text1"/>
          <w:sz w:val="22"/>
          <w:szCs w:val="22"/>
        </w:rPr>
        <w:t xml:space="preserve"> will protect </w:t>
      </w:r>
      <w:r w:rsidRPr="00B34176" w:rsidR="3EBB4647">
        <w:rPr>
          <w:rFonts w:ascii="Arial" w:eastAsia="Arial" w:hAnsi="Arial" w:cs="Arial"/>
          <w:sz w:val="22"/>
          <w:szCs w:val="22"/>
        </w:rPr>
        <w:t xml:space="preserve">confidential commercial or proprietary information according to the Freedom of Information Act (5 U.S.C. 552) and DOI’s implementing regulations (43 CFR 2). </w:t>
      </w:r>
      <w:r w:rsidRPr="00B34176" w:rsidR="3EBB4647">
        <w:rPr>
          <w:rFonts w:ascii="Arial" w:eastAsia="Arial" w:hAnsi="Arial" w:cs="Arial"/>
          <w:color w:val="000000" w:themeColor="text1"/>
          <w:sz w:val="22"/>
          <w:szCs w:val="22"/>
        </w:rPr>
        <w:t xml:space="preserve"> </w:t>
      </w:r>
      <w:r w:rsidRPr="00B34176" w:rsidR="3EBB4647">
        <w:rPr>
          <w:rFonts w:ascii="Arial" w:hAnsi="Arial" w:cs="Arial"/>
          <w:color w:val="000000" w:themeColor="text1"/>
          <w:sz w:val="22"/>
          <w:szCs w:val="22"/>
        </w:rPr>
        <w:t xml:space="preserve"> </w:t>
      </w:r>
      <w:r w:rsidRPr="00B34176" w:rsidR="1AEC3EF7">
        <w:rPr>
          <w:rFonts w:ascii="Arial" w:hAnsi="Arial" w:cs="Arial"/>
          <w:color w:val="000000" w:themeColor="text1"/>
          <w:sz w:val="22"/>
          <w:szCs w:val="22"/>
        </w:rPr>
        <w:t xml:space="preserve"> </w:t>
      </w:r>
    </w:p>
    <w:p w:rsidR="00AE15FC" w:rsidRPr="00B34176" w:rsidP="005F7212" w14:paraId="7AF7B1CE" w14:textId="77777777">
      <w:pPr>
        <w:tabs>
          <w:tab w:val="left" w:pos="360"/>
          <w:tab w:val="left" w:pos="720"/>
          <w:tab w:val="left" w:pos="1440"/>
        </w:tabs>
        <w:rPr>
          <w:rFonts w:ascii="Arial" w:hAnsi="Arial" w:cs="Arial"/>
          <w:color w:val="000000" w:themeColor="text1"/>
          <w:sz w:val="22"/>
          <w:szCs w:val="22"/>
        </w:rPr>
      </w:pPr>
    </w:p>
    <w:p w:rsidR="00CE4332" w:rsidRPr="00B34176" w:rsidP="005F7212" w14:paraId="5092E7BA" w14:textId="77777777">
      <w:pPr>
        <w:widowControl/>
        <w:tabs>
          <w:tab w:val="left" w:pos="360"/>
          <w:tab w:val="left" w:pos="720"/>
          <w:tab w:val="left" w:pos="1440"/>
        </w:tabs>
        <w:autoSpaceDE/>
        <w:autoSpaceDN/>
        <w:adjustRightInd/>
        <w:rPr>
          <w:rFonts w:ascii="Arial" w:hAnsi="Arial" w:cs="Arial"/>
          <w:sz w:val="22"/>
          <w:szCs w:val="22"/>
          <w:shd w:val="clear" w:color="auto" w:fill="FFFFFF"/>
        </w:rPr>
      </w:pPr>
      <w:r w:rsidRPr="00B34176">
        <w:rPr>
          <w:rFonts w:ascii="Arial" w:hAnsi="Arial" w:cs="Arial"/>
          <w:color w:val="000000" w:themeColor="text1"/>
          <w:sz w:val="22"/>
          <w:szCs w:val="22"/>
        </w:rPr>
        <w:t>ArcGIS Online does not maintain or display personally identifiable information (PII) beyond the limited data necessary for the creation and management of user accounts, to allow registered users to access the analysis tools and user created content, and to monitor online content and ensure security and compliance with legal and policy requirements for us</w:t>
      </w:r>
      <w:r w:rsidRPr="00B34176">
        <w:rPr>
          <w:rFonts w:ascii="Arial" w:hAnsi="Arial" w:cs="Arial"/>
          <w:sz w:val="22"/>
          <w:szCs w:val="22"/>
        </w:rPr>
        <w:t>e of the tool.</w:t>
      </w:r>
      <w:r w:rsidRPr="00B34176" w:rsidR="00046F76">
        <w:rPr>
          <w:rFonts w:ascii="Arial" w:hAnsi="Arial" w:cs="Arial"/>
          <w:sz w:val="22"/>
          <w:szCs w:val="22"/>
        </w:rPr>
        <w:t xml:space="preserve">  </w:t>
      </w:r>
      <w:r w:rsidRPr="00B34176" w:rsidR="00046F76">
        <w:rPr>
          <w:rFonts w:ascii="Arial" w:hAnsi="Arial" w:cs="Arial"/>
          <w:sz w:val="22"/>
          <w:szCs w:val="22"/>
          <w:shd w:val="clear" w:color="auto" w:fill="FFFFFF"/>
        </w:rPr>
        <w:t xml:space="preserve">The Department’s </w:t>
      </w:r>
      <w:hyperlink r:id="rId11" w:history="1">
        <w:r w:rsidRPr="00B34176" w:rsidR="00046F76">
          <w:rPr>
            <w:rStyle w:val="Hyperlink"/>
            <w:rFonts w:ascii="Arial" w:hAnsi="Arial" w:cs="Arial"/>
            <w:sz w:val="22"/>
            <w:szCs w:val="22"/>
            <w:shd w:val="clear" w:color="auto" w:fill="FFFFFF"/>
          </w:rPr>
          <w:t>AGOL Privacy Impact Assessment</w:t>
        </w:r>
      </w:hyperlink>
      <w:r w:rsidRPr="00B34176" w:rsidR="0040112D">
        <w:rPr>
          <w:rFonts w:ascii="Arial" w:hAnsi="Arial" w:cs="Arial"/>
          <w:sz w:val="22"/>
          <w:szCs w:val="22"/>
          <w:shd w:val="clear" w:color="auto" w:fill="FFFFFF"/>
        </w:rPr>
        <w:t xml:space="preserve"> (PIA),</w:t>
      </w:r>
      <w:r w:rsidRPr="00B34176" w:rsidR="00046F76">
        <w:rPr>
          <w:rFonts w:ascii="Arial" w:hAnsi="Arial" w:cs="Arial"/>
          <w:sz w:val="22"/>
          <w:szCs w:val="22"/>
          <w:shd w:val="clear" w:color="auto" w:fill="FFFFFF"/>
        </w:rPr>
        <w:t xml:space="preserve"> which covers all bureaus, indicates that AGOL does not need SORN coverage as the records are not about individuals.  </w:t>
      </w:r>
    </w:p>
    <w:p w:rsidR="00CE4332" w:rsidRPr="00B34176" w:rsidP="005F7212" w14:paraId="14FE04CB" w14:textId="77777777">
      <w:pPr>
        <w:widowControl/>
        <w:tabs>
          <w:tab w:val="left" w:pos="360"/>
          <w:tab w:val="left" w:pos="720"/>
          <w:tab w:val="left" w:pos="1440"/>
        </w:tabs>
        <w:autoSpaceDE/>
        <w:autoSpaceDN/>
        <w:adjustRightInd/>
        <w:rPr>
          <w:rFonts w:ascii="Arial" w:hAnsi="Arial" w:cs="Arial"/>
          <w:sz w:val="22"/>
          <w:szCs w:val="22"/>
          <w:shd w:val="clear" w:color="auto" w:fill="FFFFFF"/>
        </w:rPr>
      </w:pPr>
    </w:p>
    <w:p w:rsidR="00AE15FC" w:rsidRPr="00B34176" w:rsidP="005F7212" w14:paraId="4EA43BCC" w14:textId="2ED0A2B0">
      <w:pPr>
        <w:widowControl/>
        <w:tabs>
          <w:tab w:val="left" w:pos="360"/>
          <w:tab w:val="left" w:pos="720"/>
          <w:tab w:val="left" w:pos="1440"/>
        </w:tabs>
        <w:autoSpaceDE/>
        <w:autoSpaceDN/>
        <w:adjustRightInd/>
        <w:rPr>
          <w:rFonts w:ascii="Arial" w:hAnsi="Arial" w:cs="Arial"/>
          <w:color w:val="000000" w:themeColor="text1"/>
          <w:sz w:val="22"/>
          <w:szCs w:val="22"/>
        </w:rPr>
      </w:pPr>
      <w:r w:rsidRPr="00B34176">
        <w:rPr>
          <w:rFonts w:ascii="Arial" w:hAnsi="Arial" w:cs="Arial"/>
          <w:sz w:val="22"/>
          <w:szCs w:val="22"/>
          <w:shd w:val="clear" w:color="auto" w:fill="FFFFFF"/>
        </w:rPr>
        <w:t>For all IT access account records, Interior relies on</w:t>
      </w:r>
      <w:r w:rsidRPr="00B34176" w:rsidR="0040112D">
        <w:rPr>
          <w:rFonts w:ascii="Arial" w:hAnsi="Arial" w:cs="Arial"/>
          <w:sz w:val="22"/>
          <w:szCs w:val="22"/>
          <w:shd w:val="clear" w:color="auto" w:fill="FFFFFF"/>
        </w:rPr>
        <w:t xml:space="preserve"> Systems of Records Notice</w:t>
      </w:r>
      <w:r w:rsidRPr="00B34176">
        <w:rPr>
          <w:rFonts w:ascii="Arial" w:hAnsi="Arial" w:cs="Arial"/>
          <w:sz w:val="22"/>
          <w:szCs w:val="22"/>
          <w:shd w:val="clear" w:color="auto" w:fill="FFFFFF"/>
        </w:rPr>
        <w:t xml:space="preserve"> </w:t>
      </w:r>
      <w:r w:rsidRPr="00B34176" w:rsidR="0040112D">
        <w:rPr>
          <w:rFonts w:ascii="Arial" w:hAnsi="Arial" w:cs="Arial"/>
          <w:sz w:val="22"/>
          <w:szCs w:val="22"/>
          <w:shd w:val="clear" w:color="auto" w:fill="FFFFFF"/>
        </w:rPr>
        <w:t>(</w:t>
      </w:r>
      <w:r w:rsidRPr="00B34176">
        <w:rPr>
          <w:rFonts w:ascii="Arial" w:hAnsi="Arial" w:cs="Arial"/>
          <w:sz w:val="22"/>
          <w:szCs w:val="22"/>
          <w:shd w:val="clear" w:color="auto" w:fill="FFFFFF"/>
        </w:rPr>
        <w:t>SORN</w:t>
      </w:r>
      <w:r w:rsidRPr="00B34176" w:rsidR="0040112D">
        <w:rPr>
          <w:rFonts w:ascii="Arial" w:hAnsi="Arial" w:cs="Arial"/>
          <w:sz w:val="22"/>
          <w:szCs w:val="22"/>
          <w:shd w:val="clear" w:color="auto" w:fill="FFFFFF"/>
        </w:rPr>
        <w:t>)</w:t>
      </w:r>
      <w:r w:rsidRPr="00B34176">
        <w:rPr>
          <w:rFonts w:ascii="Arial" w:hAnsi="Arial" w:cs="Arial"/>
          <w:sz w:val="22"/>
          <w:szCs w:val="22"/>
          <w:shd w:val="clear" w:color="auto" w:fill="FFFFFF"/>
        </w:rPr>
        <w:t> </w:t>
      </w:r>
      <w:r w:rsidRPr="00B34176">
        <w:rPr>
          <w:rFonts w:ascii="Arial" w:hAnsi="Arial" w:cs="Arial"/>
          <w:sz w:val="22"/>
          <w:szCs w:val="22"/>
          <w:bdr w:val="none" w:sz="0" w:space="0" w:color="auto" w:frame="1"/>
          <w:shd w:val="clear" w:color="auto" w:fill="FFFFFF"/>
        </w:rPr>
        <w:t>INTERIOR/DOI-45, HSPD-12: Identity Management System and Personnel Security Files</w:t>
      </w:r>
      <w:r w:rsidRPr="00B34176">
        <w:rPr>
          <w:rFonts w:ascii="Arial" w:hAnsi="Arial" w:cs="Arial"/>
          <w:sz w:val="22"/>
          <w:szCs w:val="22"/>
          <w:shd w:val="clear" w:color="auto" w:fill="FFFFFF"/>
        </w:rPr>
        <w:t xml:space="preserve"> (</w:t>
      </w:r>
      <w:hyperlink r:id="rId12" w:history="1">
        <w:r w:rsidRPr="00B34176" w:rsidR="00B868CC">
          <w:rPr>
            <w:rStyle w:val="Hyperlink"/>
            <w:rFonts w:ascii="Arial" w:hAnsi="Arial" w:cs="Arial"/>
            <w:sz w:val="22"/>
            <w:szCs w:val="22"/>
            <w:shd w:val="clear" w:color="auto" w:fill="FFFFFF"/>
          </w:rPr>
          <w:t>87 FR 54242</w:t>
        </w:r>
      </w:hyperlink>
      <w:r w:rsidRPr="00B34176" w:rsidR="000F5C6C">
        <w:rPr>
          <w:rFonts w:ascii="Arial" w:hAnsi="Arial" w:cs="Arial"/>
          <w:sz w:val="22"/>
          <w:szCs w:val="22"/>
          <w:shd w:val="clear" w:color="auto" w:fill="FFFFFF"/>
        </w:rPr>
        <w:t xml:space="preserve">, 09/02/2022; </w:t>
      </w:r>
      <w:r w:rsidRPr="00B34176" w:rsidR="00D7613B">
        <w:rPr>
          <w:rFonts w:ascii="Arial" w:hAnsi="Arial" w:cs="Arial"/>
          <w:sz w:val="22"/>
          <w:szCs w:val="22"/>
          <w:shd w:val="clear" w:color="auto" w:fill="FFFFFF"/>
        </w:rPr>
        <w:t>Exemption for the Personnel Security Program Files System</w:t>
      </w:r>
      <w:r w:rsidRPr="00B34176" w:rsidR="0008567E">
        <w:rPr>
          <w:rFonts w:ascii="Arial" w:hAnsi="Arial" w:cs="Arial"/>
          <w:sz w:val="22"/>
          <w:szCs w:val="22"/>
          <w:shd w:val="clear" w:color="auto" w:fill="FFFFFF"/>
        </w:rPr>
        <w:t xml:space="preserve"> – </w:t>
      </w:r>
      <w:hyperlink r:id="rId13" w:history="1">
        <w:r w:rsidRPr="00B34176" w:rsidR="0008567E">
          <w:rPr>
            <w:rStyle w:val="Hyperlink"/>
            <w:rFonts w:ascii="Arial" w:hAnsi="Arial" w:cs="Arial"/>
            <w:sz w:val="22"/>
            <w:szCs w:val="22"/>
            <w:shd w:val="clear" w:color="auto" w:fill="FFFFFF"/>
          </w:rPr>
          <w:t>88 FR 10479</w:t>
        </w:r>
      </w:hyperlink>
      <w:r w:rsidRPr="00B34176" w:rsidR="0008567E">
        <w:rPr>
          <w:rFonts w:ascii="Arial" w:hAnsi="Arial" w:cs="Arial"/>
          <w:sz w:val="22"/>
          <w:szCs w:val="22"/>
          <w:shd w:val="clear" w:color="auto" w:fill="FFFFFF"/>
        </w:rPr>
        <w:t>, 02/21/2023</w:t>
      </w:r>
      <w:r w:rsidRPr="00B34176">
        <w:rPr>
          <w:rFonts w:ascii="Arial" w:hAnsi="Arial" w:cs="Arial"/>
          <w:sz w:val="22"/>
          <w:szCs w:val="22"/>
          <w:shd w:val="clear" w:color="auto" w:fill="FFFFFF"/>
        </w:rPr>
        <w:t>).</w:t>
      </w:r>
      <w:r w:rsidRPr="00B34176" w:rsidR="003B62AD">
        <w:rPr>
          <w:rFonts w:ascii="Arial" w:hAnsi="Arial" w:cs="Arial"/>
          <w:sz w:val="22"/>
          <w:szCs w:val="22"/>
          <w:shd w:val="clear" w:color="auto" w:fill="FFFFFF"/>
        </w:rPr>
        <w:t xml:space="preserve">  We provided copies of the PIA and SORN as supplemental documents in ROCIS.</w:t>
      </w:r>
    </w:p>
    <w:p w:rsidR="00251281" w:rsidRPr="00B34176" w:rsidP="005F7212" w14:paraId="2F7D6627" w14:textId="77777777">
      <w:pPr>
        <w:tabs>
          <w:tab w:val="left" w:pos="360"/>
          <w:tab w:val="left" w:pos="720"/>
          <w:tab w:val="left" w:pos="1440"/>
        </w:tabs>
        <w:rPr>
          <w:rFonts w:ascii="Arial" w:hAnsi="Arial" w:cs="Arial"/>
          <w:sz w:val="22"/>
          <w:szCs w:val="22"/>
        </w:rPr>
      </w:pPr>
    </w:p>
    <w:p w:rsidR="00015C12" w:rsidRPr="00B34176" w:rsidP="00015C12" w14:paraId="10B1FAB4" w14:textId="77777777">
      <w:pPr>
        <w:pStyle w:val="Heading1"/>
        <w:tabs>
          <w:tab w:val="clear" w:pos="360"/>
          <w:tab w:val="left" w:pos="450"/>
        </w:tabs>
      </w:pPr>
      <w:r w:rsidRPr="00B34176">
        <w:t>11.</w:t>
      </w:r>
      <w:r w:rsidRPr="00B34176">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34176" w:rsidP="005F7212" w14:paraId="2ABFAFAC" w14:textId="77777777">
      <w:pPr>
        <w:tabs>
          <w:tab w:val="left" w:pos="360"/>
          <w:tab w:val="left" w:pos="720"/>
          <w:tab w:val="left" w:pos="1440"/>
        </w:tabs>
        <w:rPr>
          <w:rFonts w:ascii="Arial" w:hAnsi="Arial" w:cs="Arial"/>
          <w:sz w:val="22"/>
          <w:szCs w:val="22"/>
        </w:rPr>
      </w:pPr>
    </w:p>
    <w:p w:rsidR="00251281" w:rsidRPr="00B34176" w:rsidP="005F7212" w14:paraId="16C3302E" w14:textId="77777777">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We will not ask any questions of a sensitive nature.</w:t>
      </w:r>
    </w:p>
    <w:p w:rsidR="00251281" w:rsidRPr="00B34176" w:rsidP="005F7212" w14:paraId="591C0E41" w14:textId="77777777">
      <w:pPr>
        <w:tabs>
          <w:tab w:val="left" w:pos="360"/>
          <w:tab w:val="left" w:pos="720"/>
          <w:tab w:val="left" w:pos="1440"/>
        </w:tabs>
        <w:rPr>
          <w:rFonts w:ascii="Arial" w:hAnsi="Arial" w:cs="Arial"/>
          <w:sz w:val="22"/>
          <w:szCs w:val="22"/>
        </w:rPr>
      </w:pPr>
    </w:p>
    <w:p w:rsidR="00B16D50" w:rsidRPr="00B34176" w:rsidP="00B16D50" w14:paraId="2CDD08AC" w14:textId="77777777">
      <w:pPr>
        <w:pStyle w:val="Heading1"/>
        <w:tabs>
          <w:tab w:val="clear" w:pos="360"/>
          <w:tab w:val="left" w:pos="450"/>
        </w:tabs>
      </w:pPr>
      <w:r w:rsidRPr="00B34176">
        <w:t>12.</w:t>
      </w:r>
      <w:r w:rsidRPr="00B34176">
        <w:tab/>
        <w:t>Provide estimates of the hour burden of the collection of information.  The statement should:</w:t>
      </w:r>
    </w:p>
    <w:p w:rsidR="00B16D50" w:rsidRPr="00B34176" w:rsidP="00B16D50" w14:paraId="36A276CB" w14:textId="77777777">
      <w:pPr>
        <w:tabs>
          <w:tab w:val="left" w:pos="360"/>
          <w:tab w:val="left" w:pos="720"/>
        </w:tabs>
        <w:ind w:left="720" w:hanging="720"/>
        <w:rPr>
          <w:rFonts w:ascii="Arial" w:hAnsi="Arial" w:cs="Arial"/>
          <w:b/>
          <w:sz w:val="22"/>
          <w:szCs w:val="22"/>
        </w:rPr>
      </w:pPr>
      <w:r w:rsidRPr="00B34176">
        <w:rPr>
          <w:rFonts w:ascii="Arial" w:hAnsi="Arial" w:cs="Arial"/>
          <w:b/>
          <w:sz w:val="22"/>
          <w:szCs w:val="22"/>
        </w:rPr>
        <w:tab/>
        <w:t>*</w:t>
      </w:r>
      <w:r w:rsidRPr="00B34176">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B34176">
        <w:rPr>
          <w:rFonts w:ascii="Arial" w:hAnsi="Arial" w:cs="Arial"/>
          <w:b/>
          <w:sz w:val="22"/>
          <w:szCs w:val="22"/>
        </w:rPr>
        <w:t>business practices.</w:t>
      </w:r>
    </w:p>
    <w:p w:rsidR="00B16D50" w:rsidRPr="00B34176" w:rsidP="00B16D50" w14:paraId="11B40817" w14:textId="77777777">
      <w:pPr>
        <w:tabs>
          <w:tab w:val="left" w:pos="360"/>
          <w:tab w:val="left" w:pos="720"/>
        </w:tabs>
        <w:ind w:left="720" w:hanging="720"/>
        <w:rPr>
          <w:rFonts w:ascii="Arial" w:hAnsi="Arial" w:cs="Arial"/>
          <w:b/>
          <w:sz w:val="22"/>
          <w:szCs w:val="22"/>
        </w:rPr>
      </w:pPr>
      <w:r w:rsidRPr="00B34176">
        <w:rPr>
          <w:rFonts w:ascii="Arial" w:hAnsi="Arial" w:cs="Arial"/>
          <w:b/>
          <w:sz w:val="22"/>
          <w:szCs w:val="22"/>
        </w:rPr>
        <w:tab/>
        <w:t>*</w:t>
      </w:r>
      <w:r w:rsidRPr="00B34176">
        <w:rPr>
          <w:rFonts w:ascii="Arial" w:hAnsi="Arial" w:cs="Arial"/>
          <w:b/>
          <w:sz w:val="22"/>
          <w:szCs w:val="22"/>
        </w:rPr>
        <w:tab/>
        <w:t>If this request for approval covers more than one form, provide separate hour burden estimates for each form and aggregate the hour burdens.</w:t>
      </w:r>
    </w:p>
    <w:p w:rsidR="00B16D50" w:rsidRPr="00B34176" w:rsidP="00B16D50" w14:paraId="42A712A0" w14:textId="77777777">
      <w:pPr>
        <w:tabs>
          <w:tab w:val="left" w:pos="360"/>
          <w:tab w:val="left" w:pos="720"/>
        </w:tabs>
        <w:ind w:left="720" w:hanging="720"/>
        <w:rPr>
          <w:rFonts w:ascii="Arial" w:hAnsi="Arial" w:cs="Arial"/>
          <w:sz w:val="22"/>
          <w:szCs w:val="22"/>
        </w:rPr>
      </w:pPr>
      <w:r w:rsidRPr="00B34176">
        <w:rPr>
          <w:rFonts w:ascii="Arial" w:hAnsi="Arial" w:cs="Arial"/>
          <w:b/>
          <w:sz w:val="22"/>
          <w:szCs w:val="22"/>
        </w:rPr>
        <w:tab/>
        <w:t>*</w:t>
      </w:r>
      <w:r w:rsidRPr="00B3417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50214" w:rsidRPr="00B34176" w:rsidP="005F7212" w14:paraId="1B50D4BD" w14:textId="77777777">
      <w:pPr>
        <w:tabs>
          <w:tab w:val="left" w:pos="360"/>
          <w:tab w:val="left" w:pos="720"/>
          <w:tab w:val="left" w:pos="1440"/>
        </w:tabs>
        <w:rPr>
          <w:rFonts w:ascii="Arial" w:hAnsi="Arial" w:cs="Arial"/>
          <w:sz w:val="22"/>
          <w:szCs w:val="22"/>
        </w:rPr>
      </w:pPr>
    </w:p>
    <w:p w:rsidR="00B162EB" w:rsidRPr="00B34176" w:rsidP="005F7212" w14:paraId="5801455E" w14:textId="4140D742">
      <w:pPr>
        <w:tabs>
          <w:tab w:val="left" w:pos="360"/>
          <w:tab w:val="left" w:pos="720"/>
          <w:tab w:val="left" w:pos="1440"/>
        </w:tabs>
        <w:rPr>
          <w:rFonts w:ascii="Arial" w:hAnsi="Arial" w:cs="Arial"/>
          <w:b/>
          <w:sz w:val="22"/>
          <w:szCs w:val="22"/>
        </w:rPr>
      </w:pPr>
      <w:r w:rsidRPr="00E60AEE">
        <w:rPr>
          <w:rFonts w:ascii="Arial" w:hAnsi="Arial" w:cs="Arial"/>
          <w:sz w:val="22"/>
          <w:szCs w:val="22"/>
        </w:rPr>
        <w:t>We estimate that we will receive</w:t>
      </w:r>
      <w:r w:rsidRPr="00E60AEE" w:rsidR="0061201A">
        <w:rPr>
          <w:rFonts w:ascii="Arial" w:hAnsi="Arial" w:cs="Arial"/>
          <w:sz w:val="22"/>
          <w:szCs w:val="22"/>
        </w:rPr>
        <w:t xml:space="preserve"> </w:t>
      </w:r>
      <w:r w:rsidRPr="00E60AEE" w:rsidR="00E74F46">
        <w:rPr>
          <w:rFonts w:ascii="Arial" w:hAnsi="Arial" w:cs="Arial"/>
          <w:b/>
          <w:bCs/>
          <w:sz w:val="22"/>
          <w:szCs w:val="22"/>
        </w:rPr>
        <w:t>1,500</w:t>
      </w:r>
      <w:r w:rsidRPr="00E60AEE" w:rsidR="00DC06CF">
        <w:rPr>
          <w:rFonts w:ascii="Arial" w:hAnsi="Arial" w:cs="Arial"/>
          <w:b/>
          <w:bCs/>
          <w:sz w:val="22"/>
          <w:szCs w:val="22"/>
        </w:rPr>
        <w:t xml:space="preserve"> </w:t>
      </w:r>
      <w:r w:rsidRPr="00E60AEE">
        <w:rPr>
          <w:rFonts w:ascii="Arial" w:hAnsi="Arial" w:cs="Arial"/>
          <w:b/>
          <w:bCs/>
          <w:sz w:val="22"/>
          <w:szCs w:val="22"/>
        </w:rPr>
        <w:t>responses</w:t>
      </w:r>
      <w:r w:rsidRPr="00E60AEE">
        <w:rPr>
          <w:rFonts w:ascii="Arial" w:hAnsi="Arial" w:cs="Arial"/>
          <w:sz w:val="22"/>
          <w:szCs w:val="22"/>
        </w:rPr>
        <w:t xml:space="preserve"> totaling </w:t>
      </w:r>
      <w:r w:rsidRPr="00E60AEE" w:rsidR="00F60705">
        <w:rPr>
          <w:rFonts w:ascii="Arial" w:hAnsi="Arial" w:cs="Arial"/>
          <w:b/>
          <w:bCs/>
          <w:sz w:val="22"/>
          <w:szCs w:val="22"/>
        </w:rPr>
        <w:t>1</w:t>
      </w:r>
      <w:r w:rsidRPr="00E60AEE" w:rsidR="00E74F46">
        <w:rPr>
          <w:rFonts w:ascii="Arial" w:hAnsi="Arial" w:cs="Arial"/>
          <w:b/>
          <w:bCs/>
          <w:sz w:val="22"/>
          <w:szCs w:val="22"/>
        </w:rPr>
        <w:t>2</w:t>
      </w:r>
      <w:r w:rsidRPr="00E60AEE" w:rsidR="00331B69">
        <w:rPr>
          <w:rFonts w:ascii="Arial" w:hAnsi="Arial" w:cs="Arial"/>
          <w:b/>
          <w:bCs/>
          <w:sz w:val="22"/>
          <w:szCs w:val="22"/>
        </w:rPr>
        <w:t>6</w:t>
      </w:r>
      <w:r w:rsidRPr="00E60AEE">
        <w:rPr>
          <w:rFonts w:ascii="Arial" w:hAnsi="Arial" w:cs="Arial"/>
          <w:b/>
          <w:bCs/>
          <w:sz w:val="22"/>
          <w:szCs w:val="22"/>
        </w:rPr>
        <w:t xml:space="preserve"> annual burden</w:t>
      </w:r>
      <w:r w:rsidRPr="00B34176">
        <w:rPr>
          <w:rFonts w:ascii="Arial" w:hAnsi="Arial" w:cs="Arial"/>
          <w:sz w:val="22"/>
          <w:szCs w:val="22"/>
        </w:rPr>
        <w:t xml:space="preserve"> hours for this information collection.  The total dollar value of the annual burden hours is approximately </w:t>
      </w:r>
      <w:r w:rsidRPr="00B34176">
        <w:rPr>
          <w:rFonts w:ascii="Arial" w:hAnsi="Arial" w:cs="Arial"/>
          <w:b/>
          <w:sz w:val="22"/>
          <w:szCs w:val="22"/>
        </w:rPr>
        <w:t>$</w:t>
      </w:r>
      <w:r w:rsidR="00E60AEE">
        <w:rPr>
          <w:rFonts w:ascii="Arial" w:hAnsi="Arial" w:cs="Arial"/>
          <w:b/>
          <w:sz w:val="22"/>
          <w:szCs w:val="22"/>
        </w:rPr>
        <w:t>6,904</w:t>
      </w:r>
      <w:r w:rsidRPr="00B34176">
        <w:rPr>
          <w:rFonts w:ascii="Arial" w:hAnsi="Arial" w:cs="Arial"/>
          <w:sz w:val="22"/>
          <w:szCs w:val="22"/>
        </w:rPr>
        <w:t xml:space="preserve"> (rounded).</w:t>
      </w:r>
    </w:p>
    <w:p w:rsidR="00B162EB" w:rsidRPr="00B34176" w:rsidP="005F7212" w14:paraId="782652EA" w14:textId="77777777">
      <w:pPr>
        <w:tabs>
          <w:tab w:val="left" w:pos="360"/>
          <w:tab w:val="left" w:pos="720"/>
          <w:tab w:val="left" w:pos="1440"/>
        </w:tabs>
        <w:rPr>
          <w:rFonts w:ascii="Arial" w:hAnsi="Arial" w:cs="Arial"/>
          <w:b/>
          <w:sz w:val="22"/>
          <w:szCs w:val="22"/>
        </w:rPr>
      </w:pPr>
    </w:p>
    <w:p w:rsidR="00AB1402" w:rsidRPr="00B34176" w:rsidP="005F7212" w14:paraId="5455C8FA" w14:textId="21C573D7">
      <w:pPr>
        <w:tabs>
          <w:tab w:val="left" w:pos="360"/>
          <w:tab w:val="left" w:pos="720"/>
          <w:tab w:val="left" w:pos="1440"/>
        </w:tabs>
        <w:rPr>
          <w:rFonts w:ascii="Arial" w:hAnsi="Arial" w:cs="Arial"/>
          <w:sz w:val="22"/>
          <w:szCs w:val="22"/>
        </w:rPr>
      </w:pPr>
      <w:r w:rsidRPr="00B34176">
        <w:rPr>
          <w:rFonts w:ascii="Arial" w:hAnsi="Arial" w:cs="Arial"/>
          <w:sz w:val="22"/>
          <w:szCs w:val="22"/>
        </w:rPr>
        <w:t>We used t</w:t>
      </w:r>
      <w:r w:rsidRPr="00B34176" w:rsidR="007D66CA">
        <w:rPr>
          <w:rFonts w:ascii="Arial" w:hAnsi="Arial" w:cs="Arial"/>
          <w:sz w:val="22"/>
          <w:szCs w:val="22"/>
        </w:rPr>
        <w:t xml:space="preserve">able 1 from </w:t>
      </w:r>
      <w:r w:rsidRPr="00B34176" w:rsidR="00676ABD">
        <w:rPr>
          <w:rFonts w:ascii="Arial" w:hAnsi="Arial" w:cs="Arial"/>
          <w:sz w:val="22"/>
          <w:szCs w:val="22"/>
        </w:rPr>
        <w:t xml:space="preserve">the of Bureau of Labor Statistics (BLS) </w:t>
      </w:r>
      <w:hyperlink r:id="rId14" w:history="1">
        <w:r w:rsidRPr="00B34176" w:rsidR="00B14146">
          <w:rPr>
            <w:rStyle w:val="Hyperlink"/>
            <w:rFonts w:ascii="Arial" w:hAnsi="Arial" w:cs="Arial"/>
            <w:sz w:val="22"/>
            <w:szCs w:val="22"/>
          </w:rPr>
          <w:t>News Release</w:t>
        </w:r>
      </w:hyperlink>
      <w:r w:rsidRPr="00B34176" w:rsidR="00B14146">
        <w:rPr>
          <w:rFonts w:ascii="Arial" w:hAnsi="Arial" w:cs="Arial"/>
          <w:sz w:val="22"/>
          <w:szCs w:val="22"/>
        </w:rPr>
        <w:t xml:space="preserve"> </w:t>
      </w:r>
      <w:r w:rsidRPr="003D03BC" w:rsidR="005A6093">
        <w:rPr>
          <w:rFonts w:ascii="Arial" w:hAnsi="Arial" w:cs="Arial"/>
          <w:sz w:val="22"/>
          <w:szCs w:val="22"/>
        </w:rPr>
        <w:t>USDL-</w:t>
      </w:r>
      <w:r w:rsidRPr="00B10759" w:rsidR="005A6093">
        <w:t xml:space="preserve"> </w:t>
      </w:r>
      <w:r w:rsidRPr="00B10759" w:rsidR="005A6093">
        <w:rPr>
          <w:rFonts w:ascii="Arial" w:hAnsi="Arial" w:cs="Arial"/>
          <w:sz w:val="22"/>
          <w:szCs w:val="22"/>
        </w:rPr>
        <w:t>25-1358</w:t>
      </w:r>
      <w:r w:rsidR="005A6093">
        <w:rPr>
          <w:rFonts w:ascii="Arial" w:hAnsi="Arial" w:cs="Arial"/>
          <w:sz w:val="22"/>
          <w:szCs w:val="22"/>
        </w:rPr>
        <w:t>, September 12, 2025</w:t>
      </w:r>
      <w:r w:rsidRPr="00CD4B4D" w:rsidR="005A6093">
        <w:rPr>
          <w:rFonts w:ascii="Arial" w:hAnsi="Arial" w:cs="Arial"/>
          <w:sz w:val="22"/>
          <w:szCs w:val="22"/>
        </w:rPr>
        <w:t>, Employer Costs for Employee Compensation—</w:t>
      </w:r>
      <w:r w:rsidR="005A6093">
        <w:rPr>
          <w:rFonts w:ascii="Arial" w:hAnsi="Arial" w:cs="Arial"/>
          <w:sz w:val="22"/>
          <w:szCs w:val="22"/>
        </w:rPr>
        <w:t>June</w:t>
      </w:r>
      <w:r w:rsidRPr="00CD4B4D" w:rsidR="005A6093">
        <w:rPr>
          <w:rFonts w:ascii="Arial" w:hAnsi="Arial" w:cs="Arial"/>
          <w:sz w:val="22"/>
          <w:szCs w:val="22"/>
        </w:rPr>
        <w:t xml:space="preserve"> 202</w:t>
      </w:r>
      <w:r w:rsidR="005A6093">
        <w:rPr>
          <w:rFonts w:ascii="Arial" w:hAnsi="Arial" w:cs="Arial"/>
          <w:sz w:val="22"/>
          <w:szCs w:val="22"/>
        </w:rPr>
        <w:t>5</w:t>
      </w:r>
      <w:r w:rsidRPr="00B34176" w:rsidR="00676ABD">
        <w:rPr>
          <w:rFonts w:ascii="Arial" w:hAnsi="Arial" w:cs="Arial"/>
          <w:sz w:val="22"/>
          <w:szCs w:val="22"/>
        </w:rPr>
        <w:t xml:space="preserve">, </w:t>
      </w:r>
      <w:r w:rsidRPr="00B34176">
        <w:rPr>
          <w:rFonts w:ascii="Arial" w:hAnsi="Arial" w:cs="Arial"/>
          <w:sz w:val="22"/>
          <w:szCs w:val="22"/>
        </w:rPr>
        <w:t>to calculate the total annual burden.</w:t>
      </w:r>
    </w:p>
    <w:p w:rsidR="00AB1402" w:rsidRPr="00B34176" w:rsidP="005F7212" w14:paraId="7A0C03E5" w14:textId="77777777">
      <w:pPr>
        <w:tabs>
          <w:tab w:val="left" w:pos="360"/>
          <w:tab w:val="left" w:pos="720"/>
          <w:tab w:val="left" w:pos="1440"/>
        </w:tabs>
        <w:rPr>
          <w:rFonts w:ascii="Arial" w:hAnsi="Arial" w:cs="Arial"/>
          <w:sz w:val="22"/>
          <w:szCs w:val="22"/>
        </w:rPr>
      </w:pPr>
    </w:p>
    <w:p w:rsidR="00E568B9" w:rsidRPr="00CD4B4D" w:rsidP="00E568B9" w14:paraId="009D28D1" w14:textId="77777777">
      <w:pPr>
        <w:numPr>
          <w:ilvl w:val="0"/>
          <w:numId w:val="1"/>
        </w:numPr>
        <w:contextualSpacing/>
        <w:rPr>
          <w:rFonts w:ascii="Arial" w:hAnsi="Arial" w:cs="Arial"/>
          <w:sz w:val="22"/>
          <w:szCs w:val="22"/>
        </w:rPr>
      </w:pPr>
      <w:r w:rsidRPr="00CD4B4D">
        <w:rPr>
          <w:rFonts w:ascii="Arial" w:hAnsi="Arial" w:cs="Arial"/>
          <w:sz w:val="22"/>
          <w:szCs w:val="22"/>
        </w:rPr>
        <w:t>Private Sector - lists the hourly rate for all workers as $</w:t>
      </w:r>
      <w:r>
        <w:rPr>
          <w:rFonts w:ascii="Arial" w:hAnsi="Arial" w:cs="Arial"/>
          <w:sz w:val="22"/>
          <w:szCs w:val="22"/>
        </w:rPr>
        <w:t>45.65</w:t>
      </w:r>
      <w:r w:rsidRPr="00CD4B4D">
        <w:rPr>
          <w:rFonts w:ascii="Arial" w:hAnsi="Arial" w:cs="Arial"/>
          <w:sz w:val="22"/>
          <w:szCs w:val="22"/>
        </w:rPr>
        <w:t>, including benefits.</w:t>
      </w:r>
    </w:p>
    <w:p w:rsidR="00E568B9" w:rsidRPr="00CD4B4D" w:rsidP="00E568B9" w14:paraId="28338E87" w14:textId="77777777">
      <w:pPr>
        <w:numPr>
          <w:ilvl w:val="0"/>
          <w:numId w:val="1"/>
        </w:numPr>
        <w:contextualSpacing/>
        <w:rPr>
          <w:rFonts w:ascii="Arial" w:hAnsi="Arial" w:cs="Arial"/>
          <w:sz w:val="22"/>
          <w:szCs w:val="22"/>
        </w:rPr>
      </w:pPr>
      <w:r w:rsidRPr="00CD4B4D">
        <w:rPr>
          <w:rFonts w:ascii="Arial" w:hAnsi="Arial" w:cs="Arial"/>
          <w:sz w:val="22"/>
          <w:szCs w:val="22"/>
        </w:rPr>
        <w:t>Government - lists the hourly rate for all workers as $</w:t>
      </w:r>
      <w:r>
        <w:rPr>
          <w:rFonts w:ascii="Arial" w:hAnsi="Arial" w:cs="Arial"/>
          <w:sz w:val="22"/>
          <w:szCs w:val="22"/>
        </w:rPr>
        <w:t>63.94</w:t>
      </w:r>
      <w:r w:rsidRPr="00CD4B4D">
        <w:rPr>
          <w:rFonts w:ascii="Arial" w:hAnsi="Arial" w:cs="Arial"/>
          <w:sz w:val="22"/>
          <w:szCs w:val="22"/>
        </w:rPr>
        <w:t xml:space="preserve">, including benefits.  </w:t>
      </w:r>
    </w:p>
    <w:p w:rsidR="00AB1402" w:rsidRPr="00B34176" w:rsidP="005F7212" w14:paraId="3904812C" w14:textId="77777777">
      <w:pPr>
        <w:pStyle w:val="BodyText"/>
        <w:tabs>
          <w:tab w:val="left" w:pos="360"/>
          <w:tab w:val="left" w:pos="720"/>
          <w:tab w:val="left" w:pos="1440"/>
        </w:tabs>
      </w:pPr>
    </w:p>
    <w:p w:rsidR="009F4177" w:rsidRPr="00B34176" w:rsidP="005F7212" w14:paraId="0F92A11F" w14:textId="3A584225">
      <w:pPr>
        <w:tabs>
          <w:tab w:val="left" w:pos="360"/>
          <w:tab w:val="left" w:pos="720"/>
          <w:tab w:val="left" w:pos="1440"/>
        </w:tabs>
        <w:rPr>
          <w:rFonts w:ascii="Arial" w:hAnsi="Arial" w:cs="Arial"/>
          <w:b/>
          <w:sz w:val="22"/>
          <w:szCs w:val="22"/>
        </w:rPr>
      </w:pPr>
      <w:r w:rsidRPr="00B34176">
        <w:rPr>
          <w:rFonts w:ascii="Arial" w:hAnsi="Arial" w:cs="Arial"/>
          <w:b/>
          <w:sz w:val="22"/>
          <w:szCs w:val="22"/>
        </w:rPr>
        <w:t>Table 12.1</w:t>
      </w:r>
    </w:p>
    <w:tbl>
      <w:tblPr>
        <w:tblStyle w:val="TableGrid"/>
        <w:tblW w:w="9445" w:type="dxa"/>
        <w:tblInd w:w="0" w:type="dxa"/>
        <w:tblLayout w:type="fixed"/>
        <w:tblLook w:val="01E0"/>
      </w:tblPr>
      <w:tblGrid>
        <w:gridCol w:w="2335"/>
        <w:gridCol w:w="1170"/>
        <w:gridCol w:w="990"/>
        <w:gridCol w:w="990"/>
        <w:gridCol w:w="990"/>
        <w:gridCol w:w="900"/>
        <w:gridCol w:w="900"/>
        <w:gridCol w:w="1170"/>
      </w:tblGrid>
      <w:tr w14:paraId="08A0DB53" w14:textId="77777777" w:rsidTr="00E568B9">
        <w:tblPrEx>
          <w:tblW w:w="9445" w:type="dxa"/>
          <w:tblInd w:w="0" w:type="dxa"/>
          <w:tblLayout w:type="fixed"/>
          <w:tblLook w:val="01E0"/>
        </w:tblPrEx>
        <w:tc>
          <w:tcPr>
            <w:tcW w:w="2335" w:type="dxa"/>
            <w:vAlign w:val="bottom"/>
          </w:tcPr>
          <w:p w:rsidR="00427D49" w:rsidRPr="0089790A" w:rsidP="005F7212" w14:paraId="3B8CED62"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Requirement</w:t>
            </w:r>
          </w:p>
        </w:tc>
        <w:tc>
          <w:tcPr>
            <w:tcW w:w="1170" w:type="dxa"/>
            <w:vAlign w:val="bottom"/>
          </w:tcPr>
          <w:p w:rsidR="00427D49" w:rsidRPr="0089790A" w:rsidP="005F7212" w14:paraId="287B8B5D"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w:t>
            </w:r>
          </w:p>
          <w:p w:rsidR="00427D49" w:rsidRPr="0089790A" w:rsidP="005F7212" w14:paraId="269E428F"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Number of Annual Respondents</w:t>
            </w:r>
          </w:p>
        </w:tc>
        <w:tc>
          <w:tcPr>
            <w:tcW w:w="990" w:type="dxa"/>
            <w:vAlign w:val="bottom"/>
          </w:tcPr>
          <w:p w:rsidR="00427D49" w:rsidRPr="0089790A" w:rsidP="005F7212" w14:paraId="206C1E46"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w:t>
            </w:r>
          </w:p>
          <w:p w:rsidR="00427D49" w:rsidRPr="0089790A" w:rsidP="005F7212" w14:paraId="6ED2315A"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Number of Responses Each</w:t>
            </w:r>
          </w:p>
        </w:tc>
        <w:tc>
          <w:tcPr>
            <w:tcW w:w="990" w:type="dxa"/>
            <w:vAlign w:val="bottom"/>
          </w:tcPr>
          <w:p w:rsidR="00427D49" w:rsidRPr="0089790A" w:rsidP="005F7212" w14:paraId="10BC464E"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w:t>
            </w:r>
          </w:p>
          <w:p w:rsidR="00427D49" w:rsidRPr="0089790A" w:rsidP="005F7212" w14:paraId="21E1D483"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Number of Annual Responses</w:t>
            </w:r>
          </w:p>
        </w:tc>
        <w:tc>
          <w:tcPr>
            <w:tcW w:w="990" w:type="dxa"/>
            <w:vAlign w:val="bottom"/>
          </w:tcPr>
          <w:p w:rsidR="00427D49" w:rsidRPr="0089790A" w:rsidP="005F7212" w14:paraId="6FA26593"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Average Completion Time per Response</w:t>
            </w:r>
          </w:p>
        </w:tc>
        <w:tc>
          <w:tcPr>
            <w:tcW w:w="900" w:type="dxa"/>
            <w:vAlign w:val="bottom"/>
          </w:tcPr>
          <w:p w:rsidR="00427D49" w:rsidRPr="0089790A" w:rsidP="005F7212" w14:paraId="441FBD40"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Estimated</w:t>
            </w:r>
          </w:p>
          <w:p w:rsidR="00427D49" w:rsidRPr="0089790A" w:rsidP="005F7212" w14:paraId="10AC1C0A" w14:textId="6AE87616">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Annual Burden Hours</w:t>
            </w:r>
            <w:r w:rsidRPr="0089790A" w:rsidR="0051040B">
              <w:rPr>
                <w:rFonts w:ascii="Arial" w:hAnsi="Arial" w:cs="Arial"/>
                <w:b/>
                <w:bCs/>
                <w:sz w:val="14"/>
                <w:szCs w:val="14"/>
              </w:rPr>
              <w:t>*</w:t>
            </w:r>
          </w:p>
        </w:tc>
        <w:tc>
          <w:tcPr>
            <w:tcW w:w="900" w:type="dxa"/>
            <w:shd w:val="clear" w:color="auto" w:fill="auto"/>
            <w:vAlign w:val="bottom"/>
          </w:tcPr>
          <w:p w:rsidR="00427D49" w:rsidRPr="0089790A" w:rsidP="005F7212" w14:paraId="35BC72AA"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Hourly Rate</w:t>
            </w:r>
          </w:p>
        </w:tc>
        <w:tc>
          <w:tcPr>
            <w:tcW w:w="1170" w:type="dxa"/>
            <w:shd w:val="clear" w:color="auto" w:fill="auto"/>
            <w:vAlign w:val="bottom"/>
          </w:tcPr>
          <w:p w:rsidR="00427D49" w:rsidRPr="0089790A" w:rsidP="005F7212" w14:paraId="1987C518" w14:textId="77777777">
            <w:pPr>
              <w:tabs>
                <w:tab w:val="left" w:pos="360"/>
                <w:tab w:val="left" w:pos="720"/>
                <w:tab w:val="left" w:pos="1440"/>
              </w:tabs>
              <w:jc w:val="center"/>
              <w:rPr>
                <w:rFonts w:ascii="Arial" w:hAnsi="Arial" w:cs="Arial"/>
                <w:b/>
                <w:bCs/>
                <w:sz w:val="14"/>
                <w:szCs w:val="14"/>
              </w:rPr>
            </w:pPr>
            <w:r w:rsidRPr="0089790A">
              <w:rPr>
                <w:rFonts w:ascii="Arial" w:hAnsi="Arial" w:cs="Arial"/>
                <w:b/>
                <w:bCs/>
                <w:sz w:val="14"/>
                <w:szCs w:val="14"/>
              </w:rPr>
              <w:t>$ Value of Annual Burden Hours</w:t>
            </w:r>
          </w:p>
        </w:tc>
      </w:tr>
      <w:tr w14:paraId="6533A4C5" w14:textId="77777777" w:rsidTr="00210978">
        <w:tblPrEx>
          <w:tblW w:w="9445" w:type="dxa"/>
          <w:tblInd w:w="0" w:type="dxa"/>
          <w:tblLayout w:type="fixed"/>
          <w:tblLook w:val="01E0"/>
        </w:tblPrEx>
        <w:tc>
          <w:tcPr>
            <w:tcW w:w="9445" w:type="dxa"/>
            <w:gridSpan w:val="8"/>
            <w:shd w:val="clear" w:color="auto" w:fill="D9D9D9" w:themeFill="background1" w:themeFillShade="D9"/>
          </w:tcPr>
          <w:p w:rsidR="006C784B" w:rsidRPr="00F75BD6" w:rsidP="005F7212" w14:paraId="3CBE2238" w14:textId="7B773848">
            <w:pPr>
              <w:tabs>
                <w:tab w:val="left" w:pos="360"/>
                <w:tab w:val="left" w:pos="720"/>
                <w:tab w:val="left" w:pos="1440"/>
              </w:tabs>
              <w:rPr>
                <w:rFonts w:ascii="Arial" w:hAnsi="Arial" w:cs="Arial"/>
                <w:b/>
                <w:i/>
                <w:sz w:val="18"/>
                <w:szCs w:val="18"/>
              </w:rPr>
            </w:pPr>
            <w:r>
              <w:rPr>
                <w:rFonts w:ascii="Arial" w:hAnsi="Arial" w:cs="Arial"/>
                <w:b/>
                <w:i/>
                <w:sz w:val="18"/>
                <w:szCs w:val="18"/>
              </w:rPr>
              <w:t>AGOL Online Submissions</w:t>
            </w:r>
          </w:p>
        </w:tc>
      </w:tr>
      <w:tr w14:paraId="28DA89D8" w14:textId="77777777" w:rsidTr="00E568B9">
        <w:tblPrEx>
          <w:tblW w:w="9445" w:type="dxa"/>
          <w:tblInd w:w="0" w:type="dxa"/>
          <w:tblLayout w:type="fixed"/>
          <w:tblLook w:val="01E0"/>
        </w:tblPrEx>
        <w:tc>
          <w:tcPr>
            <w:tcW w:w="2335" w:type="dxa"/>
            <w:vAlign w:val="center"/>
          </w:tcPr>
          <w:p w:rsidR="0089790A" w:rsidRPr="00F75BD6" w:rsidP="005F7212" w14:paraId="10DFB164" w14:textId="03EF8917">
            <w:pPr>
              <w:tabs>
                <w:tab w:val="left" w:pos="360"/>
                <w:tab w:val="left" w:pos="720"/>
                <w:tab w:val="left" w:pos="1440"/>
              </w:tabs>
              <w:rPr>
                <w:rFonts w:ascii="Arial" w:hAnsi="Arial" w:cs="Arial"/>
                <w:sz w:val="18"/>
                <w:szCs w:val="18"/>
              </w:rPr>
            </w:pPr>
            <w:r>
              <w:rPr>
                <w:rFonts w:ascii="Arial" w:hAnsi="Arial" w:cs="Arial"/>
                <w:sz w:val="18"/>
                <w:szCs w:val="18"/>
              </w:rPr>
              <w:t xml:space="preserve">  Private Sector</w:t>
            </w:r>
          </w:p>
        </w:tc>
        <w:tc>
          <w:tcPr>
            <w:tcW w:w="1170" w:type="dxa"/>
            <w:vAlign w:val="center"/>
          </w:tcPr>
          <w:p w:rsidR="0089790A" w:rsidP="005F7212" w14:paraId="70A4FD40" w14:textId="315867C7">
            <w:pPr>
              <w:tabs>
                <w:tab w:val="left" w:pos="360"/>
                <w:tab w:val="left" w:pos="720"/>
                <w:tab w:val="left" w:pos="1440"/>
              </w:tabs>
              <w:jc w:val="center"/>
              <w:rPr>
                <w:rFonts w:ascii="Arial" w:hAnsi="Arial" w:cs="Arial"/>
                <w:sz w:val="18"/>
                <w:szCs w:val="18"/>
              </w:rPr>
            </w:pPr>
            <w:r>
              <w:rPr>
                <w:rFonts w:ascii="Arial" w:hAnsi="Arial" w:cs="Arial"/>
                <w:sz w:val="18"/>
                <w:szCs w:val="18"/>
              </w:rPr>
              <w:t>150</w:t>
            </w:r>
          </w:p>
        </w:tc>
        <w:tc>
          <w:tcPr>
            <w:tcW w:w="990" w:type="dxa"/>
            <w:vAlign w:val="center"/>
          </w:tcPr>
          <w:p w:rsidR="0089790A" w:rsidRPr="00F75BD6" w:rsidP="005F7212" w14:paraId="04947BBC" w14:textId="7C407417">
            <w:pPr>
              <w:tabs>
                <w:tab w:val="left" w:pos="360"/>
                <w:tab w:val="left" w:pos="720"/>
                <w:tab w:val="left" w:pos="1440"/>
              </w:tabs>
              <w:jc w:val="center"/>
              <w:rPr>
                <w:rFonts w:ascii="Arial" w:hAnsi="Arial" w:cs="Arial"/>
                <w:sz w:val="18"/>
                <w:szCs w:val="18"/>
              </w:rPr>
            </w:pPr>
            <w:r>
              <w:rPr>
                <w:rFonts w:ascii="Arial" w:hAnsi="Arial" w:cs="Arial"/>
                <w:sz w:val="18"/>
                <w:szCs w:val="18"/>
              </w:rPr>
              <w:t>5</w:t>
            </w:r>
          </w:p>
        </w:tc>
        <w:tc>
          <w:tcPr>
            <w:tcW w:w="990" w:type="dxa"/>
            <w:vAlign w:val="center"/>
          </w:tcPr>
          <w:p w:rsidR="0089790A" w:rsidP="005F7212" w14:paraId="4F5B9BF6" w14:textId="14ABA71E">
            <w:pPr>
              <w:tabs>
                <w:tab w:val="left" w:pos="360"/>
                <w:tab w:val="left" w:pos="720"/>
                <w:tab w:val="left" w:pos="1440"/>
              </w:tabs>
              <w:jc w:val="center"/>
              <w:rPr>
                <w:rFonts w:ascii="Arial" w:hAnsi="Arial" w:cs="Arial"/>
                <w:sz w:val="18"/>
                <w:szCs w:val="18"/>
              </w:rPr>
            </w:pPr>
            <w:r>
              <w:rPr>
                <w:rFonts w:ascii="Arial" w:hAnsi="Arial" w:cs="Arial"/>
                <w:sz w:val="18"/>
                <w:szCs w:val="18"/>
              </w:rPr>
              <w:t>75</w:t>
            </w:r>
            <w:r>
              <w:rPr>
                <w:rFonts w:ascii="Arial" w:hAnsi="Arial" w:cs="Arial"/>
                <w:sz w:val="18"/>
                <w:szCs w:val="18"/>
              </w:rPr>
              <w:t>0</w:t>
            </w:r>
          </w:p>
        </w:tc>
        <w:tc>
          <w:tcPr>
            <w:tcW w:w="990" w:type="dxa"/>
            <w:vAlign w:val="center"/>
          </w:tcPr>
          <w:p w:rsidR="0089790A" w:rsidP="005F7212" w14:paraId="087AFCD8" w14:textId="2527A061">
            <w:pPr>
              <w:tabs>
                <w:tab w:val="left" w:pos="360"/>
                <w:tab w:val="left" w:pos="720"/>
                <w:tab w:val="left" w:pos="1440"/>
              </w:tabs>
              <w:jc w:val="center"/>
              <w:rPr>
                <w:rFonts w:ascii="Arial" w:hAnsi="Arial" w:cs="Arial"/>
                <w:sz w:val="18"/>
                <w:szCs w:val="18"/>
              </w:rPr>
            </w:pPr>
            <w:r>
              <w:rPr>
                <w:rFonts w:ascii="Arial" w:hAnsi="Arial" w:cs="Arial"/>
                <w:sz w:val="18"/>
                <w:szCs w:val="18"/>
              </w:rPr>
              <w:t>5</w:t>
            </w:r>
            <w:r w:rsidRPr="00F75BD6">
              <w:rPr>
                <w:rFonts w:ascii="Arial" w:hAnsi="Arial" w:cs="Arial"/>
                <w:sz w:val="18"/>
                <w:szCs w:val="18"/>
              </w:rPr>
              <w:t xml:space="preserve"> min</w:t>
            </w:r>
          </w:p>
        </w:tc>
        <w:tc>
          <w:tcPr>
            <w:tcW w:w="900" w:type="dxa"/>
            <w:vAlign w:val="center"/>
          </w:tcPr>
          <w:p w:rsidR="0089790A" w:rsidP="005F7212" w14:paraId="7142A117" w14:textId="0CBD7334">
            <w:pPr>
              <w:tabs>
                <w:tab w:val="left" w:pos="360"/>
                <w:tab w:val="left" w:pos="720"/>
                <w:tab w:val="left" w:pos="1440"/>
              </w:tabs>
              <w:jc w:val="center"/>
              <w:rPr>
                <w:rFonts w:ascii="Arial" w:hAnsi="Arial" w:cs="Arial"/>
                <w:sz w:val="18"/>
                <w:szCs w:val="18"/>
              </w:rPr>
            </w:pPr>
            <w:r>
              <w:rPr>
                <w:rFonts w:ascii="Arial" w:hAnsi="Arial" w:cs="Arial"/>
                <w:sz w:val="18"/>
                <w:szCs w:val="18"/>
              </w:rPr>
              <w:t>6</w:t>
            </w:r>
            <w:r w:rsidR="002703CA">
              <w:rPr>
                <w:rFonts w:ascii="Arial" w:hAnsi="Arial" w:cs="Arial"/>
                <w:sz w:val="18"/>
                <w:szCs w:val="18"/>
              </w:rPr>
              <w:t>3</w:t>
            </w:r>
          </w:p>
        </w:tc>
        <w:tc>
          <w:tcPr>
            <w:tcW w:w="900" w:type="dxa"/>
            <w:shd w:val="clear" w:color="auto" w:fill="auto"/>
          </w:tcPr>
          <w:p w:rsidR="0089790A" w:rsidP="005F7212" w14:paraId="242AD928" w14:textId="12393C7F">
            <w:pPr>
              <w:tabs>
                <w:tab w:val="left" w:pos="360"/>
                <w:tab w:val="left" w:pos="720"/>
                <w:tab w:val="left" w:pos="1440"/>
              </w:tabs>
              <w:jc w:val="right"/>
              <w:rPr>
                <w:rFonts w:ascii="Arial" w:hAnsi="Arial" w:cs="Arial"/>
                <w:sz w:val="18"/>
                <w:szCs w:val="18"/>
              </w:rPr>
            </w:pPr>
            <w:r>
              <w:rPr>
                <w:rFonts w:ascii="Arial" w:hAnsi="Arial" w:cs="Arial"/>
                <w:sz w:val="18"/>
                <w:szCs w:val="18"/>
              </w:rPr>
              <w:t xml:space="preserve">$ </w:t>
            </w:r>
            <w:r w:rsidR="004B5554">
              <w:rPr>
                <w:rFonts w:ascii="Arial" w:hAnsi="Arial" w:cs="Arial"/>
                <w:sz w:val="18"/>
                <w:szCs w:val="18"/>
              </w:rPr>
              <w:t>45.65</w:t>
            </w:r>
          </w:p>
        </w:tc>
        <w:tc>
          <w:tcPr>
            <w:tcW w:w="1170" w:type="dxa"/>
            <w:shd w:val="clear" w:color="auto" w:fill="auto"/>
          </w:tcPr>
          <w:p w:rsidR="0089790A" w:rsidP="005F7212" w14:paraId="1AD9994B" w14:textId="5DD83CB2">
            <w:pPr>
              <w:tabs>
                <w:tab w:val="left" w:pos="360"/>
                <w:tab w:val="left" w:pos="720"/>
                <w:tab w:val="left" w:pos="1440"/>
              </w:tabs>
              <w:jc w:val="right"/>
              <w:rPr>
                <w:rFonts w:ascii="Arial" w:hAnsi="Arial" w:cs="Arial"/>
                <w:sz w:val="18"/>
                <w:szCs w:val="18"/>
              </w:rPr>
            </w:pPr>
            <w:r>
              <w:rPr>
                <w:rFonts w:ascii="Arial" w:hAnsi="Arial" w:cs="Arial"/>
                <w:sz w:val="18"/>
                <w:szCs w:val="18"/>
              </w:rPr>
              <w:t xml:space="preserve">$ </w:t>
            </w:r>
            <w:r w:rsidR="004B5554">
              <w:rPr>
                <w:rFonts w:ascii="Arial" w:hAnsi="Arial" w:cs="Arial"/>
                <w:sz w:val="18"/>
                <w:szCs w:val="18"/>
              </w:rPr>
              <w:t>2,875.95</w:t>
            </w:r>
          </w:p>
        </w:tc>
      </w:tr>
      <w:tr w14:paraId="6DCF92DC" w14:textId="77777777" w:rsidTr="00E568B9">
        <w:tblPrEx>
          <w:tblW w:w="9445" w:type="dxa"/>
          <w:tblInd w:w="0" w:type="dxa"/>
          <w:tblLayout w:type="fixed"/>
          <w:tblLook w:val="01E0"/>
        </w:tblPrEx>
        <w:tc>
          <w:tcPr>
            <w:tcW w:w="2335" w:type="dxa"/>
            <w:vAlign w:val="center"/>
          </w:tcPr>
          <w:p w:rsidR="006C784B" w:rsidRPr="00F75BD6" w:rsidP="005F7212" w14:paraId="0944FF06" w14:textId="13E80699">
            <w:pPr>
              <w:tabs>
                <w:tab w:val="left" w:pos="360"/>
                <w:tab w:val="left" w:pos="720"/>
                <w:tab w:val="left" w:pos="1440"/>
              </w:tabs>
              <w:rPr>
                <w:rFonts w:ascii="Arial" w:hAnsi="Arial" w:cs="Arial"/>
                <w:sz w:val="18"/>
                <w:szCs w:val="18"/>
              </w:rPr>
            </w:pPr>
            <w:r w:rsidRPr="00F75BD6">
              <w:rPr>
                <w:rFonts w:ascii="Arial" w:hAnsi="Arial" w:cs="Arial"/>
                <w:sz w:val="18"/>
                <w:szCs w:val="18"/>
              </w:rPr>
              <w:t xml:space="preserve">  </w:t>
            </w:r>
            <w:r w:rsidR="0089790A">
              <w:rPr>
                <w:rFonts w:ascii="Arial" w:hAnsi="Arial" w:cs="Arial"/>
                <w:sz w:val="18"/>
                <w:szCs w:val="18"/>
              </w:rPr>
              <w:t>State/Local/Tribal Govt</w:t>
            </w:r>
          </w:p>
        </w:tc>
        <w:tc>
          <w:tcPr>
            <w:tcW w:w="1170" w:type="dxa"/>
            <w:vAlign w:val="center"/>
          </w:tcPr>
          <w:p w:rsidR="006C784B" w:rsidRPr="00F75BD6" w:rsidP="005F7212" w14:paraId="36F83A69" w14:textId="307A944C">
            <w:pPr>
              <w:tabs>
                <w:tab w:val="left" w:pos="360"/>
                <w:tab w:val="left" w:pos="720"/>
                <w:tab w:val="left" w:pos="1440"/>
              </w:tabs>
              <w:jc w:val="center"/>
              <w:rPr>
                <w:rFonts w:ascii="Arial" w:hAnsi="Arial" w:cs="Arial"/>
                <w:sz w:val="18"/>
                <w:szCs w:val="18"/>
              </w:rPr>
            </w:pPr>
            <w:r>
              <w:rPr>
                <w:rFonts w:ascii="Arial" w:hAnsi="Arial" w:cs="Arial"/>
                <w:sz w:val="18"/>
                <w:szCs w:val="18"/>
              </w:rPr>
              <w:t>150</w:t>
            </w:r>
          </w:p>
        </w:tc>
        <w:tc>
          <w:tcPr>
            <w:tcW w:w="990" w:type="dxa"/>
            <w:vAlign w:val="center"/>
          </w:tcPr>
          <w:p w:rsidR="006C784B" w:rsidRPr="00F75BD6" w:rsidP="005F7212" w14:paraId="6BE58E95" w14:textId="4FB281CD">
            <w:pPr>
              <w:tabs>
                <w:tab w:val="left" w:pos="360"/>
                <w:tab w:val="left" w:pos="720"/>
                <w:tab w:val="left" w:pos="1440"/>
              </w:tabs>
              <w:jc w:val="center"/>
              <w:rPr>
                <w:rFonts w:ascii="Arial" w:hAnsi="Arial" w:cs="Arial"/>
                <w:sz w:val="18"/>
                <w:szCs w:val="18"/>
              </w:rPr>
            </w:pPr>
            <w:r>
              <w:rPr>
                <w:rFonts w:ascii="Arial" w:hAnsi="Arial" w:cs="Arial"/>
                <w:sz w:val="18"/>
                <w:szCs w:val="18"/>
              </w:rPr>
              <w:t>5</w:t>
            </w:r>
          </w:p>
        </w:tc>
        <w:tc>
          <w:tcPr>
            <w:tcW w:w="990" w:type="dxa"/>
            <w:vAlign w:val="center"/>
          </w:tcPr>
          <w:p w:rsidR="006C784B" w:rsidRPr="00F75BD6" w:rsidP="005F7212" w14:paraId="609BCC0F" w14:textId="38F533A8">
            <w:pPr>
              <w:tabs>
                <w:tab w:val="left" w:pos="360"/>
                <w:tab w:val="left" w:pos="720"/>
                <w:tab w:val="left" w:pos="1440"/>
              </w:tabs>
              <w:jc w:val="center"/>
              <w:rPr>
                <w:rFonts w:ascii="Arial" w:hAnsi="Arial" w:cs="Arial"/>
                <w:sz w:val="18"/>
                <w:szCs w:val="18"/>
              </w:rPr>
            </w:pPr>
            <w:r>
              <w:rPr>
                <w:rFonts w:ascii="Arial" w:hAnsi="Arial" w:cs="Arial"/>
                <w:sz w:val="18"/>
                <w:szCs w:val="18"/>
              </w:rPr>
              <w:t>75</w:t>
            </w:r>
            <w:r w:rsidR="0089790A">
              <w:rPr>
                <w:rFonts w:ascii="Arial" w:hAnsi="Arial" w:cs="Arial"/>
                <w:sz w:val="18"/>
                <w:szCs w:val="18"/>
              </w:rPr>
              <w:t>0</w:t>
            </w:r>
          </w:p>
        </w:tc>
        <w:tc>
          <w:tcPr>
            <w:tcW w:w="990" w:type="dxa"/>
            <w:vAlign w:val="center"/>
          </w:tcPr>
          <w:p w:rsidR="006C784B" w:rsidRPr="00F75BD6" w:rsidP="005F7212" w14:paraId="53F044DF" w14:textId="107FD1DF">
            <w:pPr>
              <w:tabs>
                <w:tab w:val="left" w:pos="360"/>
                <w:tab w:val="left" w:pos="720"/>
                <w:tab w:val="left" w:pos="1440"/>
              </w:tabs>
              <w:jc w:val="center"/>
              <w:rPr>
                <w:rFonts w:ascii="Arial" w:hAnsi="Arial" w:cs="Arial"/>
                <w:sz w:val="18"/>
                <w:szCs w:val="18"/>
              </w:rPr>
            </w:pPr>
            <w:r>
              <w:rPr>
                <w:rFonts w:ascii="Arial" w:hAnsi="Arial" w:cs="Arial"/>
                <w:sz w:val="18"/>
                <w:szCs w:val="18"/>
              </w:rPr>
              <w:t>5</w:t>
            </w:r>
            <w:r w:rsidRPr="00F75BD6">
              <w:rPr>
                <w:rFonts w:ascii="Arial" w:hAnsi="Arial" w:cs="Arial"/>
                <w:sz w:val="18"/>
                <w:szCs w:val="18"/>
              </w:rPr>
              <w:t xml:space="preserve"> min</w:t>
            </w:r>
          </w:p>
        </w:tc>
        <w:tc>
          <w:tcPr>
            <w:tcW w:w="900" w:type="dxa"/>
            <w:vAlign w:val="center"/>
          </w:tcPr>
          <w:p w:rsidR="006C784B" w:rsidRPr="00F75BD6" w:rsidP="005F7212" w14:paraId="438F0EA8" w14:textId="630AE699">
            <w:pPr>
              <w:tabs>
                <w:tab w:val="left" w:pos="360"/>
                <w:tab w:val="left" w:pos="720"/>
                <w:tab w:val="left" w:pos="1440"/>
              </w:tabs>
              <w:jc w:val="center"/>
              <w:rPr>
                <w:rFonts w:ascii="Arial" w:hAnsi="Arial" w:cs="Arial"/>
                <w:sz w:val="18"/>
                <w:szCs w:val="18"/>
              </w:rPr>
            </w:pPr>
            <w:r>
              <w:rPr>
                <w:rFonts w:ascii="Arial" w:hAnsi="Arial" w:cs="Arial"/>
                <w:sz w:val="18"/>
                <w:szCs w:val="18"/>
              </w:rPr>
              <w:t>63</w:t>
            </w:r>
          </w:p>
        </w:tc>
        <w:tc>
          <w:tcPr>
            <w:tcW w:w="900" w:type="dxa"/>
            <w:shd w:val="clear" w:color="auto" w:fill="auto"/>
          </w:tcPr>
          <w:p w:rsidR="006C784B" w:rsidRPr="00F75BD6" w:rsidP="005F7212" w14:paraId="62320F3B" w14:textId="23AB0DBF">
            <w:pPr>
              <w:tabs>
                <w:tab w:val="left" w:pos="360"/>
                <w:tab w:val="left" w:pos="720"/>
                <w:tab w:val="left" w:pos="1440"/>
              </w:tabs>
              <w:jc w:val="right"/>
              <w:rPr>
                <w:rFonts w:ascii="Arial" w:hAnsi="Arial" w:cs="Arial"/>
                <w:sz w:val="18"/>
                <w:szCs w:val="18"/>
              </w:rPr>
            </w:pPr>
            <w:r>
              <w:rPr>
                <w:rFonts w:ascii="Arial" w:hAnsi="Arial" w:cs="Arial"/>
                <w:sz w:val="18"/>
                <w:szCs w:val="18"/>
              </w:rPr>
              <w:t>63.94</w:t>
            </w:r>
          </w:p>
        </w:tc>
        <w:tc>
          <w:tcPr>
            <w:tcW w:w="1170" w:type="dxa"/>
            <w:shd w:val="clear" w:color="auto" w:fill="auto"/>
          </w:tcPr>
          <w:p w:rsidR="006C784B" w:rsidRPr="00F75BD6" w:rsidP="005F7212" w14:paraId="357F4039" w14:textId="3940C42A">
            <w:pPr>
              <w:tabs>
                <w:tab w:val="left" w:pos="360"/>
                <w:tab w:val="left" w:pos="720"/>
                <w:tab w:val="left" w:pos="1440"/>
              </w:tabs>
              <w:jc w:val="right"/>
              <w:rPr>
                <w:rFonts w:ascii="Arial" w:hAnsi="Arial" w:cs="Arial"/>
                <w:sz w:val="18"/>
                <w:szCs w:val="18"/>
              </w:rPr>
            </w:pPr>
            <w:r>
              <w:rPr>
                <w:rFonts w:ascii="Arial" w:hAnsi="Arial" w:cs="Arial"/>
                <w:sz w:val="18"/>
                <w:szCs w:val="18"/>
              </w:rPr>
              <w:t>4,028.22</w:t>
            </w:r>
          </w:p>
        </w:tc>
      </w:tr>
      <w:tr w14:paraId="0C258DF7" w14:textId="77777777" w:rsidTr="00B14146">
        <w:tblPrEx>
          <w:tblW w:w="9445" w:type="dxa"/>
          <w:tblInd w:w="0" w:type="dxa"/>
          <w:tblLayout w:type="fixed"/>
          <w:tblLook w:val="01E0"/>
        </w:tblPrEx>
        <w:trPr>
          <w:trHeight w:val="116"/>
        </w:trPr>
        <w:tc>
          <w:tcPr>
            <w:tcW w:w="2335" w:type="dxa"/>
            <w:shd w:val="clear" w:color="auto" w:fill="B8CCE4" w:themeFill="accent1" w:themeFillTint="66"/>
            <w:vAlign w:val="center"/>
          </w:tcPr>
          <w:p w:rsidR="00B162EB" w:rsidRPr="007B3D7B" w:rsidP="005F7212" w14:paraId="7EAF46D5" w14:textId="77777777">
            <w:pPr>
              <w:tabs>
                <w:tab w:val="left" w:pos="360"/>
                <w:tab w:val="left" w:pos="720"/>
                <w:tab w:val="left" w:pos="1440"/>
              </w:tabs>
              <w:jc w:val="right"/>
              <w:rPr>
                <w:rFonts w:ascii="Arial" w:hAnsi="Arial" w:cs="Arial"/>
                <w:b/>
                <w:i/>
                <w:sz w:val="18"/>
                <w:szCs w:val="18"/>
              </w:rPr>
            </w:pPr>
            <w:r w:rsidRPr="007B3D7B">
              <w:rPr>
                <w:rFonts w:ascii="Arial" w:hAnsi="Arial" w:cs="Arial"/>
                <w:b/>
                <w:i/>
                <w:sz w:val="18"/>
                <w:szCs w:val="18"/>
              </w:rPr>
              <w:t>Totals:</w:t>
            </w:r>
          </w:p>
        </w:tc>
        <w:tc>
          <w:tcPr>
            <w:tcW w:w="1170" w:type="dxa"/>
            <w:shd w:val="clear" w:color="auto" w:fill="B8CCE4" w:themeFill="accent1" w:themeFillTint="66"/>
            <w:vAlign w:val="center"/>
          </w:tcPr>
          <w:p w:rsidR="00B162EB" w:rsidRPr="007B3D7B" w:rsidP="005F7212" w14:paraId="253D5D2E" w14:textId="3F720128">
            <w:pPr>
              <w:tabs>
                <w:tab w:val="left" w:pos="360"/>
                <w:tab w:val="left" w:pos="720"/>
                <w:tab w:val="left" w:pos="1440"/>
              </w:tabs>
              <w:jc w:val="center"/>
              <w:rPr>
                <w:rFonts w:ascii="Arial" w:hAnsi="Arial" w:cs="Arial"/>
                <w:b/>
                <w:i/>
                <w:sz w:val="18"/>
                <w:szCs w:val="18"/>
              </w:rPr>
            </w:pPr>
            <w:r>
              <w:rPr>
                <w:rFonts w:ascii="Arial" w:hAnsi="Arial" w:cs="Arial"/>
                <w:b/>
                <w:i/>
                <w:sz w:val="18"/>
                <w:szCs w:val="18"/>
              </w:rPr>
              <w:t>300</w:t>
            </w:r>
          </w:p>
        </w:tc>
        <w:tc>
          <w:tcPr>
            <w:tcW w:w="990" w:type="dxa"/>
            <w:shd w:val="clear" w:color="auto" w:fill="B8CCE4" w:themeFill="accent1" w:themeFillTint="66"/>
            <w:vAlign w:val="center"/>
          </w:tcPr>
          <w:p w:rsidR="00B162EB" w:rsidRPr="007B3D7B" w:rsidP="005F7212" w14:paraId="3E2C74AB" w14:textId="77777777">
            <w:pPr>
              <w:tabs>
                <w:tab w:val="left" w:pos="360"/>
                <w:tab w:val="left" w:pos="720"/>
                <w:tab w:val="left" w:pos="1440"/>
              </w:tabs>
              <w:jc w:val="center"/>
              <w:rPr>
                <w:rFonts w:ascii="Arial" w:hAnsi="Arial" w:cs="Arial"/>
                <w:b/>
                <w:i/>
                <w:sz w:val="18"/>
                <w:szCs w:val="18"/>
              </w:rPr>
            </w:pPr>
          </w:p>
        </w:tc>
        <w:tc>
          <w:tcPr>
            <w:tcW w:w="990" w:type="dxa"/>
            <w:shd w:val="clear" w:color="auto" w:fill="B8CCE4" w:themeFill="accent1" w:themeFillTint="66"/>
            <w:vAlign w:val="center"/>
          </w:tcPr>
          <w:p w:rsidR="00B162EB" w:rsidRPr="007B3D7B" w:rsidP="005F7212" w14:paraId="4A849E7C" w14:textId="6BF5DC50">
            <w:pPr>
              <w:tabs>
                <w:tab w:val="left" w:pos="360"/>
                <w:tab w:val="left" w:pos="720"/>
                <w:tab w:val="left" w:pos="1440"/>
              </w:tabs>
              <w:jc w:val="center"/>
              <w:rPr>
                <w:rFonts w:ascii="Arial" w:hAnsi="Arial" w:cs="Arial"/>
                <w:b/>
                <w:i/>
                <w:sz w:val="18"/>
                <w:szCs w:val="18"/>
              </w:rPr>
            </w:pPr>
            <w:r>
              <w:rPr>
                <w:rFonts w:ascii="Arial" w:hAnsi="Arial" w:cs="Arial"/>
                <w:b/>
                <w:i/>
                <w:sz w:val="18"/>
                <w:szCs w:val="18"/>
              </w:rPr>
              <w:t>1,500</w:t>
            </w:r>
          </w:p>
        </w:tc>
        <w:tc>
          <w:tcPr>
            <w:tcW w:w="990" w:type="dxa"/>
            <w:shd w:val="clear" w:color="auto" w:fill="B8CCE4" w:themeFill="accent1" w:themeFillTint="66"/>
            <w:vAlign w:val="center"/>
          </w:tcPr>
          <w:p w:rsidR="00B162EB" w:rsidRPr="007B3D7B" w:rsidP="005F7212" w14:paraId="5CC0D722" w14:textId="23620E2F">
            <w:pPr>
              <w:tabs>
                <w:tab w:val="left" w:pos="360"/>
                <w:tab w:val="left" w:pos="720"/>
                <w:tab w:val="left" w:pos="1440"/>
              </w:tabs>
              <w:jc w:val="center"/>
              <w:rPr>
                <w:rFonts w:ascii="Arial" w:hAnsi="Arial" w:cs="Arial"/>
                <w:b/>
                <w:i/>
                <w:sz w:val="18"/>
                <w:szCs w:val="18"/>
              </w:rPr>
            </w:pPr>
          </w:p>
        </w:tc>
        <w:tc>
          <w:tcPr>
            <w:tcW w:w="900" w:type="dxa"/>
            <w:shd w:val="clear" w:color="auto" w:fill="B8CCE4" w:themeFill="accent1" w:themeFillTint="66"/>
            <w:vAlign w:val="center"/>
          </w:tcPr>
          <w:p w:rsidR="00B162EB" w:rsidRPr="007B3D7B" w:rsidP="005F7212" w14:paraId="6D0A1641" w14:textId="3555649B">
            <w:pPr>
              <w:tabs>
                <w:tab w:val="left" w:pos="360"/>
                <w:tab w:val="left" w:pos="720"/>
                <w:tab w:val="left" w:pos="1440"/>
              </w:tabs>
              <w:jc w:val="center"/>
              <w:rPr>
                <w:rFonts w:ascii="Arial" w:hAnsi="Arial" w:cs="Arial"/>
                <w:b/>
                <w:i/>
                <w:sz w:val="18"/>
                <w:szCs w:val="18"/>
              </w:rPr>
            </w:pPr>
            <w:r>
              <w:rPr>
                <w:rFonts w:ascii="Arial" w:hAnsi="Arial" w:cs="Arial"/>
                <w:b/>
                <w:i/>
                <w:sz w:val="18"/>
                <w:szCs w:val="18"/>
              </w:rPr>
              <w:t>1</w:t>
            </w:r>
            <w:r w:rsidR="0089790A">
              <w:rPr>
                <w:rFonts w:ascii="Arial" w:hAnsi="Arial" w:cs="Arial"/>
                <w:b/>
                <w:i/>
                <w:sz w:val="18"/>
                <w:szCs w:val="18"/>
              </w:rPr>
              <w:t>2</w:t>
            </w:r>
            <w:r w:rsidR="007D3F74">
              <w:rPr>
                <w:rFonts w:ascii="Arial" w:hAnsi="Arial" w:cs="Arial"/>
                <w:b/>
                <w:i/>
                <w:sz w:val="18"/>
                <w:szCs w:val="18"/>
              </w:rPr>
              <w:t>6</w:t>
            </w:r>
          </w:p>
        </w:tc>
        <w:tc>
          <w:tcPr>
            <w:tcW w:w="900" w:type="dxa"/>
            <w:shd w:val="clear" w:color="auto" w:fill="B8CCE4" w:themeFill="accent1" w:themeFillTint="66"/>
          </w:tcPr>
          <w:p w:rsidR="00B162EB" w:rsidRPr="007B3D7B" w:rsidP="005F7212" w14:paraId="3704B2D3" w14:textId="77777777">
            <w:pPr>
              <w:tabs>
                <w:tab w:val="left" w:pos="360"/>
                <w:tab w:val="left" w:pos="720"/>
                <w:tab w:val="left" w:pos="1440"/>
              </w:tabs>
              <w:jc w:val="right"/>
              <w:rPr>
                <w:rFonts w:ascii="Arial" w:hAnsi="Arial" w:cs="Arial"/>
                <w:b/>
                <w:i/>
                <w:sz w:val="18"/>
                <w:szCs w:val="18"/>
              </w:rPr>
            </w:pPr>
          </w:p>
        </w:tc>
        <w:tc>
          <w:tcPr>
            <w:tcW w:w="1170" w:type="dxa"/>
            <w:shd w:val="clear" w:color="auto" w:fill="B8CCE4" w:themeFill="accent1" w:themeFillTint="66"/>
            <w:vAlign w:val="center"/>
          </w:tcPr>
          <w:p w:rsidR="00B162EB" w:rsidRPr="007B3D7B" w:rsidP="005F7212" w14:paraId="4A4D2231" w14:textId="4E7B950F">
            <w:pPr>
              <w:tabs>
                <w:tab w:val="left" w:pos="360"/>
                <w:tab w:val="left" w:pos="720"/>
                <w:tab w:val="left" w:pos="1440"/>
              </w:tabs>
              <w:jc w:val="right"/>
              <w:rPr>
                <w:rFonts w:ascii="Arial" w:hAnsi="Arial" w:cs="Arial"/>
                <w:b/>
                <w:i/>
                <w:sz w:val="18"/>
                <w:szCs w:val="18"/>
              </w:rPr>
            </w:pPr>
            <w:r>
              <w:rPr>
                <w:rFonts w:ascii="Arial" w:hAnsi="Arial" w:cs="Arial"/>
                <w:b/>
                <w:i/>
                <w:sz w:val="18"/>
                <w:szCs w:val="18"/>
              </w:rPr>
              <w:t xml:space="preserve">$ </w:t>
            </w:r>
            <w:r w:rsidR="00C606A9">
              <w:rPr>
                <w:rFonts w:ascii="Arial" w:hAnsi="Arial" w:cs="Arial"/>
                <w:b/>
                <w:i/>
                <w:sz w:val="18"/>
                <w:szCs w:val="18"/>
              </w:rPr>
              <w:t>6,904.17</w:t>
            </w:r>
          </w:p>
        </w:tc>
      </w:tr>
    </w:tbl>
    <w:p w:rsidR="00676ABD" w:rsidRPr="0051040B" w:rsidP="005F7212" w14:paraId="2C22DE69" w14:textId="2F465DB6">
      <w:pPr>
        <w:tabs>
          <w:tab w:val="left" w:pos="360"/>
          <w:tab w:val="left" w:pos="720"/>
          <w:tab w:val="left" w:pos="144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0051040B" w:rsidRPr="00B34176" w:rsidP="005F7212" w14:paraId="21D1C024" w14:textId="77777777">
      <w:pPr>
        <w:tabs>
          <w:tab w:val="left" w:pos="360"/>
          <w:tab w:val="left" w:pos="720"/>
          <w:tab w:val="left" w:pos="1440"/>
        </w:tabs>
        <w:rPr>
          <w:rFonts w:ascii="Arial" w:hAnsi="Arial" w:cs="Arial"/>
          <w:bCs/>
          <w:sz w:val="22"/>
          <w:szCs w:val="22"/>
        </w:rPr>
      </w:pPr>
    </w:p>
    <w:p w:rsidR="004F4C96" w:rsidRPr="00B34176" w:rsidP="004F4C96" w14:paraId="702D30FE" w14:textId="77777777">
      <w:pPr>
        <w:pStyle w:val="Heading1"/>
        <w:tabs>
          <w:tab w:val="clear" w:pos="360"/>
          <w:tab w:val="left" w:pos="450"/>
        </w:tabs>
      </w:pPr>
      <w:r w:rsidRPr="00B34176">
        <w:t>13.</w:t>
      </w:r>
      <w:r w:rsidRPr="00B34176">
        <w:tab/>
        <w:t>Provide an estimate of the total annual non-hour cost burden to respondents or recordkeepers resulting from the collection of information.  (Do not include the cost of any hour burden already reflected in item 12.)</w:t>
      </w:r>
    </w:p>
    <w:p w:rsidR="004F4C96" w:rsidRPr="00B34176" w:rsidP="004F4C96" w14:paraId="10BD7863" w14:textId="77777777">
      <w:pPr>
        <w:tabs>
          <w:tab w:val="left" w:pos="360"/>
          <w:tab w:val="left" w:pos="720"/>
        </w:tabs>
        <w:ind w:left="720" w:hanging="720"/>
        <w:rPr>
          <w:rFonts w:ascii="Arial" w:hAnsi="Arial" w:cs="Arial"/>
          <w:b/>
          <w:sz w:val="22"/>
          <w:szCs w:val="22"/>
        </w:rPr>
      </w:pPr>
      <w:r w:rsidRPr="00B34176">
        <w:rPr>
          <w:rFonts w:ascii="Arial" w:hAnsi="Arial" w:cs="Arial"/>
          <w:b/>
          <w:sz w:val="22"/>
          <w:szCs w:val="22"/>
        </w:rPr>
        <w:tab/>
        <w:t>*</w:t>
      </w:r>
      <w:r w:rsidRPr="00B34176">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34176">
        <w:rPr>
          <w:rFonts w:ascii="Arial" w:hAnsi="Arial" w:cs="Arial"/>
          <w:b/>
          <w:sz w:val="22"/>
          <w:szCs w:val="22"/>
        </w:rPr>
        <w:t>take into account</w:t>
      </w:r>
      <w:r w:rsidRPr="00B34176">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F4C96" w:rsidRPr="00B34176" w:rsidP="004F4C96" w14:paraId="4FC02809" w14:textId="77777777">
      <w:pPr>
        <w:tabs>
          <w:tab w:val="left" w:pos="360"/>
          <w:tab w:val="left" w:pos="720"/>
        </w:tabs>
        <w:ind w:left="720" w:hanging="720"/>
        <w:rPr>
          <w:rFonts w:ascii="Arial" w:hAnsi="Arial" w:cs="Arial"/>
          <w:b/>
          <w:sz w:val="22"/>
          <w:szCs w:val="22"/>
        </w:rPr>
      </w:pPr>
      <w:r w:rsidRPr="00B34176">
        <w:rPr>
          <w:rFonts w:ascii="Arial" w:hAnsi="Arial" w:cs="Arial"/>
          <w:b/>
          <w:sz w:val="22"/>
          <w:szCs w:val="22"/>
        </w:rPr>
        <w:tab/>
        <w:t>*</w:t>
      </w:r>
      <w:r w:rsidRPr="00B3417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F4C96" w:rsidRPr="00B34176" w:rsidP="004F4C96" w14:paraId="19CCB258" w14:textId="77777777">
      <w:pPr>
        <w:tabs>
          <w:tab w:val="left" w:pos="360"/>
          <w:tab w:val="left" w:pos="720"/>
        </w:tabs>
        <w:ind w:left="720" w:hanging="720"/>
        <w:rPr>
          <w:rFonts w:ascii="Arial" w:hAnsi="Arial" w:cs="Arial"/>
          <w:sz w:val="22"/>
          <w:szCs w:val="22"/>
        </w:rPr>
      </w:pPr>
      <w:r w:rsidRPr="00B34176">
        <w:rPr>
          <w:rFonts w:ascii="Arial" w:hAnsi="Arial" w:cs="Arial"/>
          <w:b/>
          <w:sz w:val="22"/>
          <w:szCs w:val="22"/>
        </w:rPr>
        <w:tab/>
        <w:t>*</w:t>
      </w:r>
      <w:r w:rsidRPr="00B34176">
        <w:rPr>
          <w:rFonts w:ascii="Arial" w:hAnsi="Arial" w:cs="Arial"/>
          <w:b/>
          <w:sz w:val="22"/>
          <w:szCs w:val="22"/>
        </w:rPr>
        <w:tab/>
        <w:t xml:space="preserve">Generally, estimates should not include purchases of equipment or services, or </w:t>
      </w:r>
      <w:r w:rsidRPr="00B34176">
        <w:rPr>
          <w:rFonts w:ascii="Arial" w:hAnsi="Arial" w:cs="Arial"/>
          <w:b/>
          <w:sz w:val="22"/>
          <w:szCs w:val="22"/>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34176" w:rsidP="005F7212" w14:paraId="45798E46" w14:textId="77777777">
      <w:pPr>
        <w:tabs>
          <w:tab w:val="left" w:pos="360"/>
          <w:tab w:val="left" w:pos="720"/>
          <w:tab w:val="left" w:pos="1440"/>
        </w:tabs>
        <w:rPr>
          <w:rFonts w:ascii="Arial" w:hAnsi="Arial" w:cs="Arial"/>
          <w:sz w:val="22"/>
          <w:szCs w:val="22"/>
        </w:rPr>
      </w:pPr>
    </w:p>
    <w:p w:rsidR="0036162B" w:rsidRPr="00B34176" w:rsidP="005F7212" w14:paraId="1B051F4C" w14:textId="54267A83">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There is no annual non-hour cost burden associated with this collection.</w:t>
      </w:r>
    </w:p>
    <w:p w:rsidR="00FE344B" w:rsidRPr="00B34176" w:rsidP="005F7212" w14:paraId="49D6BA61" w14:textId="4DB909AF">
      <w:pPr>
        <w:tabs>
          <w:tab w:val="left" w:pos="360"/>
          <w:tab w:val="left" w:pos="720"/>
          <w:tab w:val="left" w:pos="1440"/>
        </w:tabs>
        <w:rPr>
          <w:rFonts w:ascii="Arial" w:hAnsi="Arial" w:cs="Arial"/>
          <w:sz w:val="22"/>
          <w:szCs w:val="22"/>
        </w:rPr>
      </w:pPr>
    </w:p>
    <w:p w:rsidR="00BF2656" w:rsidRPr="00B34176" w:rsidP="00BF2656" w14:paraId="589A2F6C" w14:textId="77777777">
      <w:pPr>
        <w:pStyle w:val="Heading1"/>
        <w:tabs>
          <w:tab w:val="clear" w:pos="360"/>
          <w:tab w:val="left" w:pos="450"/>
        </w:tabs>
      </w:pPr>
      <w:r w:rsidRPr="00B34176">
        <w:t>14.</w:t>
      </w:r>
      <w:r w:rsidRPr="00B34176">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B34176" w:rsidP="005F7212" w14:paraId="3AF8BEB4" w14:textId="77777777">
      <w:pPr>
        <w:tabs>
          <w:tab w:val="left" w:pos="360"/>
          <w:tab w:val="left" w:pos="720"/>
          <w:tab w:val="left" w:pos="1440"/>
        </w:tabs>
        <w:rPr>
          <w:rFonts w:ascii="Arial" w:hAnsi="Arial" w:cs="Arial"/>
          <w:sz w:val="22"/>
          <w:szCs w:val="22"/>
        </w:rPr>
      </w:pPr>
    </w:p>
    <w:p w:rsidR="00B251AE" w:rsidRPr="00B34176" w:rsidP="005F7212" w14:paraId="595E79F4" w14:textId="67A0A7FE">
      <w:pPr>
        <w:tabs>
          <w:tab w:val="left" w:pos="360"/>
          <w:tab w:val="left" w:pos="720"/>
          <w:tab w:val="left" w:pos="1440"/>
        </w:tabs>
        <w:rPr>
          <w:rFonts w:ascii="Arial" w:hAnsi="Arial" w:cs="Arial"/>
          <w:color w:val="000000" w:themeColor="text1"/>
          <w:sz w:val="22"/>
          <w:szCs w:val="22"/>
        </w:rPr>
      </w:pPr>
      <w:r w:rsidRPr="00B34176">
        <w:rPr>
          <w:rFonts w:ascii="Arial" w:hAnsi="Arial" w:cs="Arial"/>
          <w:color w:val="000000" w:themeColor="text1"/>
          <w:sz w:val="22"/>
          <w:szCs w:val="22"/>
        </w:rPr>
        <w:t xml:space="preserve">The estimated annual cost to the Federal Government associated with this collection of information is </w:t>
      </w:r>
      <w:r w:rsidRPr="00B34176" w:rsidR="00081B4A">
        <w:rPr>
          <w:rFonts w:ascii="Arial" w:hAnsi="Arial" w:cs="Arial"/>
          <w:b/>
          <w:color w:val="000000" w:themeColor="text1"/>
          <w:sz w:val="22"/>
          <w:szCs w:val="22"/>
        </w:rPr>
        <w:t>$</w:t>
      </w:r>
      <w:r w:rsidRPr="00B34176" w:rsidR="00C65746">
        <w:rPr>
          <w:rFonts w:ascii="Arial" w:hAnsi="Arial" w:cs="Arial"/>
          <w:b/>
          <w:color w:val="000000" w:themeColor="text1"/>
          <w:sz w:val="22"/>
          <w:szCs w:val="22"/>
        </w:rPr>
        <w:t>26,666</w:t>
      </w:r>
      <w:r w:rsidRPr="00B34176" w:rsidR="00081B4A">
        <w:rPr>
          <w:rFonts w:ascii="Arial" w:hAnsi="Arial" w:cs="Arial"/>
          <w:color w:val="000000" w:themeColor="text1"/>
          <w:sz w:val="22"/>
          <w:szCs w:val="22"/>
        </w:rPr>
        <w:t xml:space="preserve"> (rounded)</w:t>
      </w:r>
      <w:r w:rsidRPr="00B34176" w:rsidR="001256A7">
        <w:rPr>
          <w:rFonts w:ascii="Arial" w:hAnsi="Arial" w:cs="Arial"/>
          <w:color w:val="000000" w:themeColor="text1"/>
          <w:sz w:val="22"/>
          <w:szCs w:val="22"/>
        </w:rPr>
        <w:t xml:space="preserve">.  </w:t>
      </w:r>
      <w:r w:rsidRPr="00B34176">
        <w:rPr>
          <w:rFonts w:ascii="Arial" w:hAnsi="Arial" w:cs="Arial"/>
          <w:color w:val="000000" w:themeColor="text1"/>
          <w:sz w:val="22"/>
          <w:szCs w:val="22"/>
        </w:rPr>
        <w:t>This cost includes</w:t>
      </w:r>
      <w:r w:rsidRPr="00B34176" w:rsidR="006C1427">
        <w:rPr>
          <w:rFonts w:ascii="Arial" w:hAnsi="Arial" w:cs="Arial"/>
          <w:color w:val="000000" w:themeColor="text1"/>
          <w:sz w:val="22"/>
          <w:szCs w:val="22"/>
        </w:rPr>
        <w:t xml:space="preserve"> </w:t>
      </w:r>
      <w:r w:rsidRPr="00B34176" w:rsidR="008E39D8">
        <w:rPr>
          <w:rFonts w:ascii="Arial" w:hAnsi="Arial" w:cs="Arial"/>
          <w:color w:val="000000" w:themeColor="text1"/>
          <w:sz w:val="22"/>
          <w:szCs w:val="22"/>
        </w:rPr>
        <w:t xml:space="preserve">time spent </w:t>
      </w:r>
      <w:r w:rsidRPr="00B34176" w:rsidR="005B49B9">
        <w:rPr>
          <w:rFonts w:ascii="Arial" w:hAnsi="Arial" w:cs="Arial"/>
          <w:color w:val="000000" w:themeColor="text1"/>
          <w:sz w:val="22"/>
          <w:szCs w:val="22"/>
        </w:rPr>
        <w:t xml:space="preserve">by a GS-11/05 GIS analyst </w:t>
      </w:r>
      <w:r w:rsidRPr="00E60AEE" w:rsidR="007D62BD">
        <w:rPr>
          <w:rFonts w:ascii="Arial" w:hAnsi="Arial" w:cs="Arial"/>
          <w:color w:val="000000" w:themeColor="text1"/>
          <w:sz w:val="22"/>
          <w:szCs w:val="22"/>
        </w:rPr>
        <w:t xml:space="preserve">spending an average of 10 hours </w:t>
      </w:r>
      <w:r w:rsidRPr="00E60AEE" w:rsidR="005B49B9">
        <w:rPr>
          <w:rFonts w:ascii="Arial" w:hAnsi="Arial" w:cs="Arial"/>
          <w:color w:val="000000" w:themeColor="text1"/>
          <w:sz w:val="22"/>
          <w:szCs w:val="22"/>
        </w:rPr>
        <w:t xml:space="preserve">preparing and finalizing </w:t>
      </w:r>
      <w:r w:rsidRPr="00E60AEE" w:rsidR="005A5D53">
        <w:rPr>
          <w:rFonts w:ascii="Arial" w:hAnsi="Arial" w:cs="Arial"/>
          <w:color w:val="000000" w:themeColor="text1"/>
          <w:sz w:val="22"/>
          <w:szCs w:val="22"/>
        </w:rPr>
        <w:t>an average of</w:t>
      </w:r>
      <w:r w:rsidRPr="00E60AEE" w:rsidR="005B49B9">
        <w:rPr>
          <w:rFonts w:ascii="Arial" w:hAnsi="Arial" w:cs="Arial"/>
          <w:color w:val="000000" w:themeColor="text1"/>
          <w:sz w:val="22"/>
          <w:szCs w:val="22"/>
        </w:rPr>
        <w:t xml:space="preserve"> </w:t>
      </w:r>
      <w:r w:rsidRPr="00E60AEE" w:rsidR="007D62BD">
        <w:rPr>
          <w:rFonts w:ascii="Arial" w:hAnsi="Arial" w:cs="Arial"/>
          <w:color w:val="000000" w:themeColor="text1"/>
          <w:sz w:val="22"/>
          <w:szCs w:val="22"/>
        </w:rPr>
        <w:t>41</w:t>
      </w:r>
      <w:r w:rsidRPr="00E60AEE" w:rsidR="005B49B9">
        <w:rPr>
          <w:rFonts w:ascii="Arial" w:hAnsi="Arial" w:cs="Arial"/>
          <w:color w:val="000000" w:themeColor="text1"/>
          <w:sz w:val="22"/>
          <w:szCs w:val="22"/>
        </w:rPr>
        <w:t xml:space="preserve"> surveys each year</w:t>
      </w:r>
      <w:r w:rsidRPr="00E60AEE" w:rsidR="007D62BD">
        <w:rPr>
          <w:rFonts w:ascii="Arial" w:hAnsi="Arial" w:cs="Arial"/>
          <w:color w:val="000000" w:themeColor="text1"/>
          <w:sz w:val="22"/>
          <w:szCs w:val="22"/>
        </w:rPr>
        <w:t xml:space="preserve"> ($</w:t>
      </w:r>
      <w:r w:rsidRPr="00E60AEE" w:rsidR="00E84A09">
        <w:rPr>
          <w:rFonts w:ascii="Arial" w:hAnsi="Arial" w:cs="Arial"/>
          <w:color w:val="000000" w:themeColor="text1"/>
          <w:sz w:val="22"/>
          <w:szCs w:val="22"/>
        </w:rPr>
        <w:t>65.04</w:t>
      </w:r>
      <w:r w:rsidRPr="00E60AEE" w:rsidR="007D62BD">
        <w:rPr>
          <w:rFonts w:ascii="Arial" w:hAnsi="Arial" w:cs="Arial"/>
          <w:color w:val="000000" w:themeColor="text1"/>
          <w:sz w:val="22"/>
          <w:szCs w:val="22"/>
        </w:rPr>
        <w:t xml:space="preserve"> x 10 hours x 41 surveys)</w:t>
      </w:r>
      <w:r w:rsidRPr="00E60AEE" w:rsidR="005B49B9">
        <w:rPr>
          <w:rFonts w:ascii="Arial" w:hAnsi="Arial" w:cs="Arial"/>
          <w:color w:val="000000" w:themeColor="text1"/>
          <w:sz w:val="22"/>
          <w:szCs w:val="22"/>
        </w:rPr>
        <w:t>.</w:t>
      </w:r>
      <w:r w:rsidRPr="00B34176" w:rsidR="005B49B9">
        <w:rPr>
          <w:rFonts w:ascii="Arial" w:hAnsi="Arial" w:cs="Arial"/>
          <w:color w:val="000000" w:themeColor="text1"/>
          <w:sz w:val="22"/>
          <w:szCs w:val="22"/>
        </w:rPr>
        <w:t xml:space="preserve">  </w:t>
      </w:r>
    </w:p>
    <w:p w:rsidR="00B251AE" w:rsidRPr="00B34176" w:rsidP="005F7212" w14:paraId="05E5E59D" w14:textId="77777777">
      <w:pPr>
        <w:tabs>
          <w:tab w:val="left" w:pos="360"/>
          <w:tab w:val="left" w:pos="720"/>
          <w:tab w:val="left" w:pos="1440"/>
        </w:tabs>
        <w:rPr>
          <w:rFonts w:ascii="Arial" w:hAnsi="Arial" w:cs="Arial"/>
          <w:color w:val="000000" w:themeColor="text1"/>
          <w:sz w:val="22"/>
          <w:szCs w:val="22"/>
        </w:rPr>
      </w:pPr>
    </w:p>
    <w:p w:rsidR="00081B4A" w:rsidRPr="00B34176" w:rsidP="005F7212" w14:paraId="3688A88E" w14:textId="74A97CA5">
      <w:pPr>
        <w:tabs>
          <w:tab w:val="left" w:pos="360"/>
          <w:tab w:val="left" w:pos="720"/>
          <w:tab w:val="left" w:pos="1440"/>
        </w:tabs>
        <w:rPr>
          <w:rFonts w:ascii="Arial" w:hAnsi="Arial" w:cs="Arial"/>
          <w:bCs/>
          <w:sz w:val="22"/>
          <w:szCs w:val="22"/>
        </w:rPr>
      </w:pPr>
      <w:r w:rsidRPr="00B34176">
        <w:rPr>
          <w:rFonts w:ascii="Arial" w:hAnsi="Arial" w:cs="Arial"/>
          <w:bCs/>
          <w:sz w:val="22"/>
          <w:szCs w:val="22"/>
        </w:rPr>
        <w:t xml:space="preserve">To determine average annual salary costs, we used the </w:t>
      </w:r>
      <w:r w:rsidRPr="00B34176">
        <w:rPr>
          <w:rFonts w:ascii="Arial" w:hAnsi="Arial" w:cs="Arial"/>
          <w:sz w:val="22"/>
          <w:szCs w:val="22"/>
        </w:rPr>
        <w:t xml:space="preserve">Office of Personnel Management Salary Table </w:t>
      </w:r>
      <w:hyperlink r:id="rId15" w:history="1">
        <w:r w:rsidRPr="00B34176" w:rsidR="00872963">
          <w:rPr>
            <w:rStyle w:val="Hyperlink"/>
            <w:rFonts w:ascii="Arial" w:hAnsi="Arial" w:cs="Arial"/>
            <w:sz w:val="22"/>
            <w:szCs w:val="22"/>
          </w:rPr>
          <w:t>2025-RUS</w:t>
        </w:r>
      </w:hyperlink>
      <w:r w:rsidRPr="00B34176">
        <w:rPr>
          <w:rFonts w:ascii="Arial" w:hAnsi="Arial" w:cs="Arial"/>
          <w:sz w:val="22"/>
          <w:szCs w:val="22"/>
        </w:rPr>
        <w:t xml:space="preserve"> as an average nationwide rate</w:t>
      </w:r>
      <w:r w:rsidRPr="00B34176" w:rsidR="008E39D8">
        <w:rPr>
          <w:rFonts w:ascii="Arial" w:hAnsi="Arial" w:cs="Arial"/>
          <w:sz w:val="22"/>
          <w:szCs w:val="22"/>
        </w:rPr>
        <w:t xml:space="preserve"> for a GS-11/05 GIS analyst</w:t>
      </w:r>
      <w:r w:rsidRPr="00B34176">
        <w:rPr>
          <w:rFonts w:ascii="Arial" w:hAnsi="Arial" w:cs="Arial"/>
          <w:bCs/>
          <w:sz w:val="22"/>
          <w:szCs w:val="22"/>
        </w:rPr>
        <w:t xml:space="preserve">.  In accordance with </w:t>
      </w:r>
      <w:r w:rsidRPr="00B34176">
        <w:rPr>
          <w:rFonts w:ascii="Arial" w:hAnsi="Arial" w:cs="Arial"/>
          <w:sz w:val="22"/>
          <w:szCs w:val="22"/>
        </w:rPr>
        <w:t xml:space="preserve">BLS </w:t>
      </w:r>
      <w:hyperlink r:id="rId14" w:history="1">
        <w:r w:rsidRPr="00B34176" w:rsidR="008A2CEC">
          <w:rPr>
            <w:rStyle w:val="Hyperlink"/>
            <w:rFonts w:ascii="Arial" w:hAnsi="Arial" w:cs="Arial"/>
            <w:sz w:val="22"/>
            <w:szCs w:val="22"/>
          </w:rPr>
          <w:t>News Release</w:t>
        </w:r>
      </w:hyperlink>
      <w:r w:rsidRPr="00B34176" w:rsidR="008A2CEC">
        <w:rPr>
          <w:rFonts w:ascii="Arial" w:hAnsi="Arial" w:cs="Arial"/>
          <w:sz w:val="22"/>
          <w:szCs w:val="22"/>
        </w:rPr>
        <w:t xml:space="preserve"> </w:t>
      </w:r>
      <w:r w:rsidRPr="003D03BC" w:rsidR="001B2E00">
        <w:rPr>
          <w:rFonts w:ascii="Arial" w:hAnsi="Arial" w:cs="Arial"/>
          <w:sz w:val="22"/>
          <w:szCs w:val="22"/>
        </w:rPr>
        <w:t>USDL-</w:t>
      </w:r>
      <w:r w:rsidRPr="00B10759" w:rsidR="001B2E00">
        <w:t xml:space="preserve"> </w:t>
      </w:r>
      <w:r w:rsidRPr="00B10759" w:rsidR="001B2E00">
        <w:rPr>
          <w:rFonts w:ascii="Arial" w:hAnsi="Arial" w:cs="Arial"/>
          <w:sz w:val="22"/>
          <w:szCs w:val="22"/>
        </w:rPr>
        <w:t>25-1358</w:t>
      </w:r>
      <w:r w:rsidRPr="00B34176">
        <w:rPr>
          <w:rFonts w:ascii="Arial" w:hAnsi="Arial" w:cs="Arial"/>
          <w:sz w:val="22"/>
          <w:szCs w:val="22"/>
        </w:rPr>
        <w:t xml:space="preserve">, we multiplied </w:t>
      </w:r>
      <w:r w:rsidRPr="00B34176">
        <w:rPr>
          <w:rFonts w:ascii="Arial" w:hAnsi="Arial" w:cs="Arial"/>
          <w:bCs/>
          <w:sz w:val="22"/>
          <w:szCs w:val="22"/>
        </w:rPr>
        <w:t xml:space="preserve">the </w:t>
      </w:r>
      <w:r w:rsidRPr="00B34176" w:rsidR="007D62BD">
        <w:rPr>
          <w:rFonts w:ascii="Arial" w:hAnsi="Arial" w:cs="Arial"/>
          <w:bCs/>
          <w:sz w:val="22"/>
          <w:szCs w:val="22"/>
        </w:rPr>
        <w:t>hourly</w:t>
      </w:r>
      <w:r w:rsidRPr="00B34176">
        <w:rPr>
          <w:rFonts w:ascii="Arial" w:hAnsi="Arial" w:cs="Arial"/>
          <w:bCs/>
          <w:sz w:val="22"/>
          <w:szCs w:val="22"/>
        </w:rPr>
        <w:t xml:space="preserve"> </w:t>
      </w:r>
      <w:r w:rsidRPr="00B34176" w:rsidR="007D62BD">
        <w:rPr>
          <w:rFonts w:ascii="Arial" w:hAnsi="Arial" w:cs="Arial"/>
          <w:bCs/>
          <w:sz w:val="22"/>
          <w:szCs w:val="22"/>
        </w:rPr>
        <w:t>rate of $</w:t>
      </w:r>
      <w:r w:rsidRPr="00B34176" w:rsidR="00B92359">
        <w:rPr>
          <w:rFonts w:ascii="Arial" w:hAnsi="Arial" w:cs="Arial"/>
          <w:bCs/>
          <w:sz w:val="22"/>
          <w:szCs w:val="22"/>
        </w:rPr>
        <w:t>40.15</w:t>
      </w:r>
      <w:r w:rsidRPr="00B34176" w:rsidR="007D62BD">
        <w:rPr>
          <w:rFonts w:ascii="Arial" w:hAnsi="Arial" w:cs="Arial"/>
          <w:bCs/>
          <w:sz w:val="22"/>
          <w:szCs w:val="22"/>
        </w:rPr>
        <w:t xml:space="preserve"> </w:t>
      </w:r>
      <w:r w:rsidRPr="00B34176">
        <w:rPr>
          <w:rFonts w:ascii="Arial" w:hAnsi="Arial" w:cs="Arial"/>
          <w:bCs/>
          <w:sz w:val="22"/>
          <w:szCs w:val="22"/>
        </w:rPr>
        <w:t>by 1.</w:t>
      </w:r>
      <w:r w:rsidRPr="00B34176" w:rsidR="008A2CEC">
        <w:rPr>
          <w:rFonts w:ascii="Arial" w:hAnsi="Arial" w:cs="Arial"/>
          <w:bCs/>
          <w:sz w:val="22"/>
          <w:szCs w:val="22"/>
        </w:rPr>
        <w:t>62</w:t>
      </w:r>
      <w:r w:rsidRPr="00B34176">
        <w:rPr>
          <w:rFonts w:ascii="Arial" w:hAnsi="Arial" w:cs="Arial"/>
          <w:bCs/>
          <w:sz w:val="22"/>
          <w:szCs w:val="22"/>
        </w:rPr>
        <w:t xml:space="preserve"> to account for benefits</w:t>
      </w:r>
      <w:r w:rsidRPr="00B34176" w:rsidR="008E39D8">
        <w:rPr>
          <w:rFonts w:ascii="Arial" w:hAnsi="Arial" w:cs="Arial"/>
          <w:bCs/>
          <w:sz w:val="22"/>
          <w:szCs w:val="22"/>
        </w:rPr>
        <w:t xml:space="preserve"> to obtain an hourly rate of </w:t>
      </w:r>
      <w:r w:rsidRPr="00B34176" w:rsidR="005B49B9">
        <w:rPr>
          <w:rFonts w:ascii="Arial" w:hAnsi="Arial" w:cs="Arial"/>
          <w:bCs/>
          <w:sz w:val="22"/>
          <w:szCs w:val="22"/>
        </w:rPr>
        <w:t>$</w:t>
      </w:r>
      <w:r w:rsidRPr="00B34176" w:rsidR="00E84A09">
        <w:rPr>
          <w:rFonts w:ascii="Arial" w:hAnsi="Arial" w:cs="Arial"/>
          <w:bCs/>
          <w:sz w:val="22"/>
          <w:szCs w:val="22"/>
        </w:rPr>
        <w:t>65.04</w:t>
      </w:r>
      <w:r w:rsidRPr="00B34176" w:rsidR="005B49B9">
        <w:rPr>
          <w:rFonts w:ascii="Arial" w:hAnsi="Arial" w:cs="Arial"/>
          <w:bCs/>
          <w:sz w:val="22"/>
          <w:szCs w:val="22"/>
        </w:rPr>
        <w:t xml:space="preserve">.  </w:t>
      </w:r>
    </w:p>
    <w:p w:rsidR="00422CFD" w:rsidRPr="00B34176" w:rsidP="005F7212" w14:paraId="09182571" w14:textId="009CD9CA">
      <w:pPr>
        <w:tabs>
          <w:tab w:val="left" w:pos="360"/>
          <w:tab w:val="left" w:pos="720"/>
          <w:tab w:val="left" w:pos="1440"/>
        </w:tabs>
        <w:rPr>
          <w:rFonts w:ascii="Arial" w:hAnsi="Arial" w:cs="Arial"/>
          <w:bCs/>
          <w:sz w:val="22"/>
          <w:szCs w:val="22"/>
        </w:rPr>
      </w:pPr>
    </w:p>
    <w:p w:rsidR="00EC7712" w:rsidRPr="00B34176" w:rsidP="00EC7712" w14:paraId="7F91EB39" w14:textId="77777777">
      <w:pPr>
        <w:pStyle w:val="Heading1"/>
        <w:tabs>
          <w:tab w:val="clear" w:pos="360"/>
          <w:tab w:val="left" w:pos="450"/>
        </w:tabs>
      </w:pPr>
      <w:r w:rsidRPr="00B34176">
        <w:t>15.</w:t>
      </w:r>
      <w:r w:rsidRPr="00B34176">
        <w:tab/>
        <w:t>Explain the reasons for any program changes or adjustments in hour or cost burden.</w:t>
      </w:r>
    </w:p>
    <w:p w:rsidR="00295103" w:rsidRPr="00B34176" w:rsidP="005F7212" w14:paraId="04DC947C" w14:textId="77777777">
      <w:pPr>
        <w:tabs>
          <w:tab w:val="left" w:pos="360"/>
          <w:tab w:val="left" w:pos="720"/>
          <w:tab w:val="left" w:pos="1440"/>
        </w:tabs>
        <w:rPr>
          <w:rFonts w:ascii="Arial" w:hAnsi="Arial" w:cs="Arial"/>
          <w:sz w:val="22"/>
          <w:szCs w:val="22"/>
        </w:rPr>
      </w:pPr>
    </w:p>
    <w:p w:rsidR="00B3188B" w:rsidRPr="00B34176" w:rsidP="005F7212" w14:paraId="3A7D3766" w14:textId="2970D623">
      <w:pPr>
        <w:tabs>
          <w:tab w:val="left" w:pos="360"/>
          <w:tab w:val="left" w:pos="720"/>
          <w:tab w:val="left" w:pos="1440"/>
        </w:tabs>
        <w:rPr>
          <w:rFonts w:ascii="Arial" w:hAnsi="Arial" w:cs="Arial"/>
          <w:sz w:val="22"/>
          <w:szCs w:val="22"/>
        </w:rPr>
      </w:pPr>
      <w:r>
        <w:rPr>
          <w:rFonts w:ascii="Arial" w:hAnsi="Arial" w:cs="Arial"/>
          <w:sz w:val="22"/>
          <w:szCs w:val="22"/>
        </w:rPr>
        <w:t>This is a renewal without change.  We are no</w:t>
      </w:r>
      <w:r w:rsidR="00C2028B">
        <w:rPr>
          <w:rFonts w:ascii="Arial" w:hAnsi="Arial" w:cs="Arial"/>
          <w:sz w:val="22"/>
          <w:szCs w:val="22"/>
        </w:rPr>
        <w:t>t</w:t>
      </w:r>
      <w:r>
        <w:rPr>
          <w:rFonts w:ascii="Arial" w:hAnsi="Arial" w:cs="Arial"/>
          <w:sz w:val="22"/>
          <w:szCs w:val="22"/>
        </w:rPr>
        <w:t xml:space="preserve"> reporting any program changes or adjustments.</w:t>
      </w:r>
    </w:p>
    <w:p w:rsidR="00251281" w:rsidRPr="00B34176" w:rsidP="005F7212" w14:paraId="3096C2DF" w14:textId="77777777">
      <w:pPr>
        <w:tabs>
          <w:tab w:val="left" w:pos="360"/>
          <w:tab w:val="left" w:pos="720"/>
          <w:tab w:val="left" w:pos="1440"/>
        </w:tabs>
        <w:rPr>
          <w:rFonts w:ascii="Arial" w:hAnsi="Arial" w:cs="Arial"/>
          <w:sz w:val="22"/>
          <w:szCs w:val="22"/>
        </w:rPr>
      </w:pPr>
    </w:p>
    <w:p w:rsidR="0069300F" w:rsidRPr="00B34176" w:rsidP="0069300F" w14:paraId="0A2B258A" w14:textId="77777777">
      <w:pPr>
        <w:pStyle w:val="Heading1"/>
        <w:tabs>
          <w:tab w:val="clear" w:pos="360"/>
          <w:tab w:val="left" w:pos="450"/>
        </w:tabs>
      </w:pPr>
      <w:r w:rsidRPr="00B34176">
        <w:t>16.</w:t>
      </w:r>
      <w:r w:rsidRPr="00B34176">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34176" w:rsidP="005F7212" w14:paraId="0753E969" w14:textId="77777777">
      <w:pPr>
        <w:tabs>
          <w:tab w:val="left" w:pos="360"/>
          <w:tab w:val="left" w:pos="720"/>
          <w:tab w:val="left" w:pos="1440"/>
        </w:tabs>
        <w:rPr>
          <w:rFonts w:ascii="Arial" w:hAnsi="Arial" w:cs="Arial"/>
          <w:sz w:val="22"/>
          <w:szCs w:val="22"/>
        </w:rPr>
      </w:pPr>
    </w:p>
    <w:p w:rsidR="00251281" w:rsidRPr="00B34176" w:rsidP="005F7212" w14:paraId="37D9E96F" w14:textId="6322CBFB">
      <w:pPr>
        <w:tabs>
          <w:tab w:val="left" w:pos="360"/>
          <w:tab w:val="left" w:pos="720"/>
          <w:tab w:val="left" w:pos="1440"/>
        </w:tabs>
        <w:rPr>
          <w:rFonts w:ascii="Arial" w:hAnsi="Arial" w:cs="Arial"/>
          <w:sz w:val="22"/>
          <w:szCs w:val="22"/>
        </w:rPr>
      </w:pPr>
      <w:r w:rsidRPr="00B34176">
        <w:rPr>
          <w:rFonts w:ascii="Arial" w:hAnsi="Arial" w:cs="Arial"/>
          <w:sz w:val="22"/>
          <w:szCs w:val="22"/>
        </w:rPr>
        <w:t xml:space="preserve">Information collected via the AGOL platform is </w:t>
      </w:r>
      <w:r w:rsidRPr="00B34176" w:rsidR="005C192A">
        <w:rPr>
          <w:rFonts w:ascii="Arial" w:hAnsi="Arial" w:cs="Arial"/>
          <w:sz w:val="22"/>
          <w:szCs w:val="22"/>
        </w:rPr>
        <w:t xml:space="preserve">partially </w:t>
      </w:r>
      <w:r w:rsidRPr="00B34176">
        <w:rPr>
          <w:rFonts w:ascii="Arial" w:hAnsi="Arial" w:cs="Arial"/>
          <w:sz w:val="22"/>
          <w:szCs w:val="22"/>
        </w:rPr>
        <w:t>available</w:t>
      </w:r>
      <w:r w:rsidRPr="00B34176" w:rsidR="005C192A">
        <w:rPr>
          <w:rFonts w:ascii="Arial" w:hAnsi="Arial" w:cs="Arial"/>
          <w:sz w:val="22"/>
          <w:szCs w:val="22"/>
        </w:rPr>
        <w:t xml:space="preserve"> to the public.  The vast majority of the content</w:t>
      </w:r>
      <w:r w:rsidRPr="00B34176" w:rsidR="003E0B32">
        <w:rPr>
          <w:rFonts w:ascii="Arial" w:hAnsi="Arial" w:cs="Arial"/>
          <w:sz w:val="22"/>
          <w:szCs w:val="22"/>
        </w:rPr>
        <w:t xml:space="preserve"> and information collected in the platform is internal to </w:t>
      </w:r>
      <w:r w:rsidRPr="00B34176" w:rsidR="00D04711">
        <w:rPr>
          <w:rFonts w:ascii="Arial" w:hAnsi="Arial" w:cs="Arial"/>
          <w:sz w:val="22"/>
          <w:szCs w:val="22"/>
        </w:rPr>
        <w:t>the Service</w:t>
      </w:r>
      <w:r w:rsidRPr="00B34176">
        <w:rPr>
          <w:rFonts w:ascii="Arial" w:hAnsi="Arial" w:cs="Arial"/>
          <w:sz w:val="22"/>
          <w:szCs w:val="22"/>
        </w:rPr>
        <w:t xml:space="preserve">.  </w:t>
      </w:r>
      <w:r w:rsidRPr="00B34176" w:rsidR="003E0B32">
        <w:rPr>
          <w:rFonts w:ascii="Arial" w:hAnsi="Arial" w:cs="Arial"/>
          <w:sz w:val="22"/>
          <w:szCs w:val="22"/>
        </w:rPr>
        <w:t xml:space="preserve">Of the 60,000+ content </w:t>
      </w:r>
      <w:r w:rsidRPr="00B34176" w:rsidR="009F5F04">
        <w:rPr>
          <w:rFonts w:ascii="Arial" w:hAnsi="Arial" w:cs="Arial"/>
          <w:sz w:val="22"/>
          <w:szCs w:val="22"/>
        </w:rPr>
        <w:t xml:space="preserve">items in AGOL, only ~3500 are publicly shared.  </w:t>
      </w:r>
      <w:r w:rsidRPr="00B34176" w:rsidR="00FD5C01">
        <w:rPr>
          <w:rFonts w:ascii="Arial" w:hAnsi="Arial" w:cs="Arial"/>
          <w:sz w:val="22"/>
          <w:szCs w:val="22"/>
        </w:rPr>
        <w:t xml:space="preserve">The system contains only CUI that would be designated as low impact under the Federal Information Security Act (FISMA; 2002).  </w:t>
      </w:r>
      <w:r w:rsidRPr="00B34176">
        <w:rPr>
          <w:rFonts w:ascii="Arial" w:hAnsi="Arial" w:cs="Arial"/>
          <w:sz w:val="22"/>
          <w:szCs w:val="22"/>
        </w:rPr>
        <w:t xml:space="preserve">Sensitive </w:t>
      </w:r>
      <w:r w:rsidRPr="00B34176" w:rsidR="00A674B3">
        <w:rPr>
          <w:rFonts w:ascii="Arial" w:hAnsi="Arial" w:cs="Arial"/>
          <w:sz w:val="22"/>
          <w:szCs w:val="22"/>
        </w:rPr>
        <w:t xml:space="preserve">and PII </w:t>
      </w:r>
      <w:r w:rsidRPr="00B34176">
        <w:rPr>
          <w:rFonts w:ascii="Arial" w:hAnsi="Arial" w:cs="Arial"/>
          <w:sz w:val="22"/>
          <w:szCs w:val="22"/>
        </w:rPr>
        <w:t>data is restricted from public access via an internal-facing intranet version of AGOL</w:t>
      </w:r>
      <w:r w:rsidRPr="00B34176" w:rsidR="00061838">
        <w:rPr>
          <w:rFonts w:ascii="Arial" w:hAnsi="Arial" w:cs="Arial"/>
          <w:sz w:val="22"/>
          <w:szCs w:val="22"/>
        </w:rPr>
        <w:t xml:space="preserve"> called ArcGIS Enterprise</w:t>
      </w:r>
      <w:r w:rsidRPr="00B34176">
        <w:rPr>
          <w:rFonts w:ascii="Arial" w:hAnsi="Arial" w:cs="Arial"/>
          <w:sz w:val="22"/>
          <w:szCs w:val="22"/>
        </w:rPr>
        <w:t xml:space="preserve">. </w:t>
      </w:r>
    </w:p>
    <w:p w:rsidR="00B613E4" w:rsidRPr="00B34176" w:rsidP="005F7212" w14:paraId="3B79E3CF" w14:textId="77777777">
      <w:pPr>
        <w:tabs>
          <w:tab w:val="left" w:pos="360"/>
          <w:tab w:val="left" w:pos="720"/>
          <w:tab w:val="left" w:pos="1440"/>
        </w:tabs>
        <w:rPr>
          <w:rFonts w:ascii="Arial" w:hAnsi="Arial" w:cs="Arial"/>
          <w:sz w:val="22"/>
          <w:szCs w:val="22"/>
        </w:rPr>
      </w:pPr>
    </w:p>
    <w:p w:rsidR="00D14166" w:rsidRPr="00B34176" w:rsidP="00D14166" w14:paraId="445A6E07" w14:textId="77777777">
      <w:pPr>
        <w:pStyle w:val="Heading1"/>
        <w:tabs>
          <w:tab w:val="clear" w:pos="360"/>
          <w:tab w:val="left" w:pos="450"/>
        </w:tabs>
      </w:pPr>
      <w:r w:rsidRPr="00B34176">
        <w:t>17.</w:t>
      </w:r>
      <w:r w:rsidRPr="00B34176">
        <w:tab/>
        <w:t>If seeking approval to not display the expiration date for OMB approval of the information collection, explain the reasons that display would be inappropriate.</w:t>
      </w:r>
    </w:p>
    <w:p w:rsidR="00295103" w:rsidRPr="00B34176" w:rsidP="005F7212" w14:paraId="673CDAB4" w14:textId="77777777">
      <w:pPr>
        <w:tabs>
          <w:tab w:val="left" w:pos="360"/>
          <w:tab w:val="left" w:pos="720"/>
          <w:tab w:val="left" w:pos="1440"/>
        </w:tabs>
        <w:rPr>
          <w:rFonts w:ascii="Arial" w:hAnsi="Arial" w:cs="Arial"/>
          <w:sz w:val="22"/>
          <w:szCs w:val="22"/>
        </w:rPr>
      </w:pPr>
    </w:p>
    <w:p w:rsidR="00251281" w:rsidRPr="00B34176" w:rsidP="005F7212" w14:paraId="249F1D82" w14:textId="64E240BA">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 xml:space="preserve">We will display the expiration date on the </w:t>
      </w:r>
      <w:r w:rsidRPr="00B34176" w:rsidR="000100C0">
        <w:rPr>
          <w:rFonts w:ascii="Arial" w:hAnsi="Arial" w:cs="Arial"/>
          <w:color w:val="000000" w:themeColor="text1"/>
          <w:sz w:val="22"/>
          <w:szCs w:val="22"/>
        </w:rPr>
        <w:t>AGOL</w:t>
      </w:r>
      <w:r w:rsidRPr="00B34176">
        <w:rPr>
          <w:rFonts w:ascii="Arial" w:hAnsi="Arial" w:cs="Arial"/>
          <w:color w:val="000000" w:themeColor="text1"/>
          <w:sz w:val="22"/>
          <w:szCs w:val="22"/>
        </w:rPr>
        <w:t xml:space="preserve"> platform</w:t>
      </w:r>
      <w:r w:rsidRPr="00B34176" w:rsidR="00B97E90">
        <w:rPr>
          <w:rFonts w:ascii="Arial" w:hAnsi="Arial" w:cs="Arial"/>
          <w:color w:val="000000" w:themeColor="text1"/>
          <w:sz w:val="22"/>
          <w:szCs w:val="22"/>
        </w:rPr>
        <w:t>.</w:t>
      </w:r>
    </w:p>
    <w:p w:rsidR="00251281" w:rsidRPr="00B34176" w:rsidP="005F7212" w14:paraId="073BD035" w14:textId="77777777">
      <w:pPr>
        <w:tabs>
          <w:tab w:val="left" w:pos="360"/>
          <w:tab w:val="left" w:pos="720"/>
          <w:tab w:val="left" w:pos="1440"/>
        </w:tabs>
        <w:rPr>
          <w:rFonts w:ascii="Arial" w:hAnsi="Arial" w:cs="Arial"/>
          <w:sz w:val="22"/>
          <w:szCs w:val="22"/>
        </w:rPr>
      </w:pPr>
    </w:p>
    <w:p w:rsidR="004F7B4D" w:rsidRPr="00B34176" w:rsidP="004F7B4D" w14:paraId="52CAF607" w14:textId="77777777">
      <w:pPr>
        <w:pStyle w:val="Heading1"/>
        <w:tabs>
          <w:tab w:val="clear" w:pos="360"/>
          <w:tab w:val="left" w:pos="450"/>
        </w:tabs>
      </w:pPr>
      <w:r w:rsidRPr="00B34176">
        <w:t>18.</w:t>
      </w:r>
      <w:r w:rsidRPr="00B34176">
        <w:tab/>
        <w:t>Explain each exception to the topics of the certification statement identified in "Certification for Paperwork Reduction Act Submissions."</w:t>
      </w:r>
    </w:p>
    <w:p w:rsidR="00295103" w:rsidRPr="00B34176" w:rsidP="005F7212" w14:paraId="0994EF74" w14:textId="77777777">
      <w:pPr>
        <w:tabs>
          <w:tab w:val="left" w:pos="360"/>
          <w:tab w:val="left" w:pos="720"/>
          <w:tab w:val="left" w:pos="1440"/>
        </w:tabs>
        <w:rPr>
          <w:rFonts w:ascii="Arial" w:hAnsi="Arial" w:cs="Arial"/>
          <w:sz w:val="22"/>
          <w:szCs w:val="22"/>
        </w:rPr>
      </w:pPr>
    </w:p>
    <w:p w:rsidR="00251281" w:rsidRPr="00B34176" w:rsidP="005F7212" w14:paraId="31B2E46C" w14:textId="320D17A4">
      <w:pPr>
        <w:tabs>
          <w:tab w:val="left" w:pos="360"/>
          <w:tab w:val="left" w:pos="720"/>
          <w:tab w:val="left" w:pos="1440"/>
        </w:tabs>
        <w:rPr>
          <w:rFonts w:ascii="Arial" w:hAnsi="Arial" w:cs="Arial"/>
          <w:sz w:val="22"/>
          <w:szCs w:val="22"/>
        </w:rPr>
      </w:pPr>
      <w:r w:rsidRPr="00B34176">
        <w:rPr>
          <w:rFonts w:ascii="Arial" w:hAnsi="Arial" w:cs="Arial"/>
          <w:color w:val="000000" w:themeColor="text1"/>
          <w:sz w:val="22"/>
          <w:szCs w:val="22"/>
        </w:rPr>
        <w:t xml:space="preserve">There are no exceptions to the certification statement. </w:t>
      </w:r>
    </w:p>
    <w:sectPr w:rsidSect="00CC46BB">
      <w:footerReference w:type="default" r:id="rId16"/>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6DF7E649">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1F1"/>
    <w:multiLevelType w:val="hybridMultilevel"/>
    <w:tmpl w:val="01F46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831C61"/>
    <w:multiLevelType w:val="hybridMultilevel"/>
    <w:tmpl w:val="C0A87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D16EF9"/>
    <w:multiLevelType w:val="hybridMultilevel"/>
    <w:tmpl w:val="4AF61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9D0572"/>
    <w:multiLevelType w:val="hybridMultilevel"/>
    <w:tmpl w:val="35984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33414A"/>
    <w:multiLevelType w:val="hybridMultilevel"/>
    <w:tmpl w:val="1062D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981995"/>
    <w:multiLevelType w:val="hybridMultilevel"/>
    <w:tmpl w:val="214A5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61229A"/>
    <w:multiLevelType w:val="hybridMultilevel"/>
    <w:tmpl w:val="3FD2E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A69B1"/>
    <w:multiLevelType w:val="hybridMultilevel"/>
    <w:tmpl w:val="F1D4D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C667ED"/>
    <w:multiLevelType w:val="hybridMultilevel"/>
    <w:tmpl w:val="8B56C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8B0BA7"/>
    <w:multiLevelType w:val="hybridMultilevel"/>
    <w:tmpl w:val="656A1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7D675C"/>
    <w:multiLevelType w:val="hybridMultilevel"/>
    <w:tmpl w:val="EAEAC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D81031"/>
    <w:multiLevelType w:val="hybridMultilevel"/>
    <w:tmpl w:val="D1822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9A2A5B"/>
    <w:multiLevelType w:val="hybridMultilevel"/>
    <w:tmpl w:val="33CA3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0637A5"/>
    <w:multiLevelType w:val="hybridMultilevel"/>
    <w:tmpl w:val="1C22BA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DE7B75"/>
    <w:multiLevelType w:val="hybridMultilevel"/>
    <w:tmpl w:val="0CC2A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FC32185"/>
    <w:multiLevelType w:val="hybridMultilevel"/>
    <w:tmpl w:val="45E26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3346252">
    <w:abstractNumId w:val="12"/>
  </w:num>
  <w:num w:numId="2" w16cid:durableId="372268152">
    <w:abstractNumId w:val="13"/>
  </w:num>
  <w:num w:numId="3" w16cid:durableId="843983121">
    <w:abstractNumId w:val="10"/>
  </w:num>
  <w:num w:numId="4" w16cid:durableId="1099443612">
    <w:abstractNumId w:val="19"/>
  </w:num>
  <w:num w:numId="5" w16cid:durableId="458648035">
    <w:abstractNumId w:val="15"/>
  </w:num>
  <w:num w:numId="6" w16cid:durableId="302470547">
    <w:abstractNumId w:val="14"/>
  </w:num>
  <w:num w:numId="7" w16cid:durableId="877013622">
    <w:abstractNumId w:val="3"/>
  </w:num>
  <w:num w:numId="8" w16cid:durableId="71316230">
    <w:abstractNumId w:val="21"/>
  </w:num>
  <w:num w:numId="9" w16cid:durableId="881401954">
    <w:abstractNumId w:val="8"/>
  </w:num>
  <w:num w:numId="10" w16cid:durableId="738673130">
    <w:abstractNumId w:val="17"/>
  </w:num>
  <w:num w:numId="11" w16cid:durableId="1444765118">
    <w:abstractNumId w:val="7"/>
  </w:num>
  <w:num w:numId="12" w16cid:durableId="1805537659">
    <w:abstractNumId w:val="16"/>
  </w:num>
  <w:num w:numId="13" w16cid:durableId="371535332">
    <w:abstractNumId w:val="18"/>
  </w:num>
  <w:num w:numId="14" w16cid:durableId="1753552391">
    <w:abstractNumId w:val="2"/>
  </w:num>
  <w:num w:numId="15" w16cid:durableId="132411713">
    <w:abstractNumId w:val="20"/>
  </w:num>
  <w:num w:numId="16" w16cid:durableId="235364315">
    <w:abstractNumId w:val="4"/>
  </w:num>
  <w:num w:numId="17" w16cid:durableId="182137483">
    <w:abstractNumId w:val="11"/>
  </w:num>
  <w:num w:numId="18" w16cid:durableId="255870035">
    <w:abstractNumId w:val="6"/>
  </w:num>
  <w:num w:numId="19" w16cid:durableId="303707539">
    <w:abstractNumId w:val="9"/>
  </w:num>
  <w:num w:numId="20" w16cid:durableId="75983474">
    <w:abstractNumId w:val="22"/>
  </w:num>
  <w:num w:numId="21" w16cid:durableId="1337154002">
    <w:abstractNumId w:val="5"/>
  </w:num>
  <w:num w:numId="22" w16cid:durableId="1316835122">
    <w:abstractNumId w:val="1"/>
  </w:num>
  <w:num w:numId="23" w16cid:durableId="1050108140">
    <w:abstractNumId w:val="0"/>
  </w:num>
  <w:num w:numId="24" w16cid:durableId="11953392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D36"/>
    <w:rsid w:val="00003F69"/>
    <w:rsid w:val="000068A3"/>
    <w:rsid w:val="00010005"/>
    <w:rsid w:val="000100C0"/>
    <w:rsid w:val="00015C12"/>
    <w:rsid w:val="000251FF"/>
    <w:rsid w:val="000257C8"/>
    <w:rsid w:val="00026233"/>
    <w:rsid w:val="00044EB8"/>
    <w:rsid w:val="00046F76"/>
    <w:rsid w:val="0005653E"/>
    <w:rsid w:val="00061838"/>
    <w:rsid w:val="00063A0C"/>
    <w:rsid w:val="00065A0B"/>
    <w:rsid w:val="00072222"/>
    <w:rsid w:val="00081B4A"/>
    <w:rsid w:val="0008567E"/>
    <w:rsid w:val="000934B1"/>
    <w:rsid w:val="000954F6"/>
    <w:rsid w:val="000A1152"/>
    <w:rsid w:val="000A5D37"/>
    <w:rsid w:val="000A6F90"/>
    <w:rsid w:val="000A741A"/>
    <w:rsid w:val="000B0D8D"/>
    <w:rsid w:val="000B1345"/>
    <w:rsid w:val="000B1A7A"/>
    <w:rsid w:val="000B23F5"/>
    <w:rsid w:val="000B7B31"/>
    <w:rsid w:val="000C478E"/>
    <w:rsid w:val="000C4C1B"/>
    <w:rsid w:val="000C6473"/>
    <w:rsid w:val="000C6BF1"/>
    <w:rsid w:val="000D213C"/>
    <w:rsid w:val="000D23A0"/>
    <w:rsid w:val="000D3B13"/>
    <w:rsid w:val="000D3FA0"/>
    <w:rsid w:val="000E0A71"/>
    <w:rsid w:val="000F1C17"/>
    <w:rsid w:val="000F3AF1"/>
    <w:rsid w:val="000F5C6C"/>
    <w:rsid w:val="00103001"/>
    <w:rsid w:val="00115081"/>
    <w:rsid w:val="00116E6D"/>
    <w:rsid w:val="001256A7"/>
    <w:rsid w:val="00130C99"/>
    <w:rsid w:val="001322FF"/>
    <w:rsid w:val="0015130F"/>
    <w:rsid w:val="00162B02"/>
    <w:rsid w:val="001653B3"/>
    <w:rsid w:val="001808AF"/>
    <w:rsid w:val="001818B9"/>
    <w:rsid w:val="001868A6"/>
    <w:rsid w:val="00195604"/>
    <w:rsid w:val="0019599C"/>
    <w:rsid w:val="001A035D"/>
    <w:rsid w:val="001A36C2"/>
    <w:rsid w:val="001B089F"/>
    <w:rsid w:val="001B2E00"/>
    <w:rsid w:val="001B32C4"/>
    <w:rsid w:val="001C0867"/>
    <w:rsid w:val="001C0EEC"/>
    <w:rsid w:val="001D1513"/>
    <w:rsid w:val="001D20E7"/>
    <w:rsid w:val="001DE70B"/>
    <w:rsid w:val="001E4BA2"/>
    <w:rsid w:val="001F4D71"/>
    <w:rsid w:val="001F5584"/>
    <w:rsid w:val="00210A50"/>
    <w:rsid w:val="0021649E"/>
    <w:rsid w:val="002217A1"/>
    <w:rsid w:val="002257B7"/>
    <w:rsid w:val="00231B67"/>
    <w:rsid w:val="002326EA"/>
    <w:rsid w:val="002379D5"/>
    <w:rsid w:val="002443EF"/>
    <w:rsid w:val="00244498"/>
    <w:rsid w:val="00246A07"/>
    <w:rsid w:val="00251281"/>
    <w:rsid w:val="002560E6"/>
    <w:rsid w:val="00262373"/>
    <w:rsid w:val="002623E2"/>
    <w:rsid w:val="00264899"/>
    <w:rsid w:val="002703CA"/>
    <w:rsid w:val="0028221A"/>
    <w:rsid w:val="002835B7"/>
    <w:rsid w:val="00293003"/>
    <w:rsid w:val="00295103"/>
    <w:rsid w:val="002A2B39"/>
    <w:rsid w:val="002A4A81"/>
    <w:rsid w:val="002B0374"/>
    <w:rsid w:val="002B1A60"/>
    <w:rsid w:val="002C0001"/>
    <w:rsid w:val="002C1154"/>
    <w:rsid w:val="002C1BE3"/>
    <w:rsid w:val="002C3035"/>
    <w:rsid w:val="002C325E"/>
    <w:rsid w:val="002D167F"/>
    <w:rsid w:val="002D540D"/>
    <w:rsid w:val="002D74A9"/>
    <w:rsid w:val="002E29A5"/>
    <w:rsid w:val="002E2C92"/>
    <w:rsid w:val="00301B79"/>
    <w:rsid w:val="00302AB3"/>
    <w:rsid w:val="00306687"/>
    <w:rsid w:val="00307656"/>
    <w:rsid w:val="003103D3"/>
    <w:rsid w:val="0031449D"/>
    <w:rsid w:val="003202C4"/>
    <w:rsid w:val="00331B69"/>
    <w:rsid w:val="00332424"/>
    <w:rsid w:val="003356AF"/>
    <w:rsid w:val="003358FC"/>
    <w:rsid w:val="00345C4D"/>
    <w:rsid w:val="003513D4"/>
    <w:rsid w:val="00352210"/>
    <w:rsid w:val="00352FD5"/>
    <w:rsid w:val="0036162B"/>
    <w:rsid w:val="0036626F"/>
    <w:rsid w:val="003731A7"/>
    <w:rsid w:val="0038150E"/>
    <w:rsid w:val="00382357"/>
    <w:rsid w:val="00384257"/>
    <w:rsid w:val="003912EE"/>
    <w:rsid w:val="00394E21"/>
    <w:rsid w:val="00397B60"/>
    <w:rsid w:val="003A0466"/>
    <w:rsid w:val="003A6A44"/>
    <w:rsid w:val="003B2F2A"/>
    <w:rsid w:val="003B62AD"/>
    <w:rsid w:val="003B7629"/>
    <w:rsid w:val="003C3292"/>
    <w:rsid w:val="003C554C"/>
    <w:rsid w:val="003D03BC"/>
    <w:rsid w:val="003D119F"/>
    <w:rsid w:val="003D4FE2"/>
    <w:rsid w:val="003D6193"/>
    <w:rsid w:val="003D7FE3"/>
    <w:rsid w:val="003E0B32"/>
    <w:rsid w:val="003E1F5A"/>
    <w:rsid w:val="003E6BCC"/>
    <w:rsid w:val="003F31A8"/>
    <w:rsid w:val="003F3410"/>
    <w:rsid w:val="003F63DE"/>
    <w:rsid w:val="003F6D2F"/>
    <w:rsid w:val="003F7B2F"/>
    <w:rsid w:val="0040112D"/>
    <w:rsid w:val="004048DA"/>
    <w:rsid w:val="00405080"/>
    <w:rsid w:val="00406DCB"/>
    <w:rsid w:val="00422CFD"/>
    <w:rsid w:val="0042607F"/>
    <w:rsid w:val="00427BC0"/>
    <w:rsid w:val="00427D49"/>
    <w:rsid w:val="0043227E"/>
    <w:rsid w:val="00437FB2"/>
    <w:rsid w:val="00440B37"/>
    <w:rsid w:val="004436DE"/>
    <w:rsid w:val="0044669C"/>
    <w:rsid w:val="004727D4"/>
    <w:rsid w:val="00476A06"/>
    <w:rsid w:val="00487127"/>
    <w:rsid w:val="004929ED"/>
    <w:rsid w:val="0049587D"/>
    <w:rsid w:val="0049664B"/>
    <w:rsid w:val="004976CB"/>
    <w:rsid w:val="004A2FA0"/>
    <w:rsid w:val="004A6DFA"/>
    <w:rsid w:val="004A6F28"/>
    <w:rsid w:val="004B0AE4"/>
    <w:rsid w:val="004B5554"/>
    <w:rsid w:val="004B7B50"/>
    <w:rsid w:val="004C19B2"/>
    <w:rsid w:val="004C5335"/>
    <w:rsid w:val="004C7643"/>
    <w:rsid w:val="004D580E"/>
    <w:rsid w:val="004D5C4B"/>
    <w:rsid w:val="004D6339"/>
    <w:rsid w:val="004E6107"/>
    <w:rsid w:val="004F2486"/>
    <w:rsid w:val="004F4C96"/>
    <w:rsid w:val="004F7B4D"/>
    <w:rsid w:val="0050759D"/>
    <w:rsid w:val="00507EF1"/>
    <w:rsid w:val="0051040B"/>
    <w:rsid w:val="005133E7"/>
    <w:rsid w:val="00522A28"/>
    <w:rsid w:val="00525467"/>
    <w:rsid w:val="005265CD"/>
    <w:rsid w:val="0053286E"/>
    <w:rsid w:val="00534A51"/>
    <w:rsid w:val="00534B80"/>
    <w:rsid w:val="005362F4"/>
    <w:rsid w:val="005366B9"/>
    <w:rsid w:val="00542BD9"/>
    <w:rsid w:val="00547E00"/>
    <w:rsid w:val="0055264C"/>
    <w:rsid w:val="005629CD"/>
    <w:rsid w:val="00564C20"/>
    <w:rsid w:val="00567DD9"/>
    <w:rsid w:val="00585C4B"/>
    <w:rsid w:val="00585CF6"/>
    <w:rsid w:val="005908E2"/>
    <w:rsid w:val="00590DB7"/>
    <w:rsid w:val="005912A2"/>
    <w:rsid w:val="005929DC"/>
    <w:rsid w:val="005948D7"/>
    <w:rsid w:val="00594BDB"/>
    <w:rsid w:val="00596705"/>
    <w:rsid w:val="005A5D53"/>
    <w:rsid w:val="005A6093"/>
    <w:rsid w:val="005B0888"/>
    <w:rsid w:val="005B49B9"/>
    <w:rsid w:val="005B5F4C"/>
    <w:rsid w:val="005B7AA1"/>
    <w:rsid w:val="005B7F0A"/>
    <w:rsid w:val="005C192A"/>
    <w:rsid w:val="005C434A"/>
    <w:rsid w:val="005D39A7"/>
    <w:rsid w:val="005D5476"/>
    <w:rsid w:val="005E0031"/>
    <w:rsid w:val="005E00FA"/>
    <w:rsid w:val="005E0999"/>
    <w:rsid w:val="005E17C8"/>
    <w:rsid w:val="005E1F4C"/>
    <w:rsid w:val="005E4C91"/>
    <w:rsid w:val="005F4B99"/>
    <w:rsid w:val="005F7212"/>
    <w:rsid w:val="005F75AA"/>
    <w:rsid w:val="00603359"/>
    <w:rsid w:val="0060758B"/>
    <w:rsid w:val="00607F46"/>
    <w:rsid w:val="0061201A"/>
    <w:rsid w:val="00617903"/>
    <w:rsid w:val="006223FA"/>
    <w:rsid w:val="00623F07"/>
    <w:rsid w:val="00627B89"/>
    <w:rsid w:val="00641204"/>
    <w:rsid w:val="00641EF0"/>
    <w:rsid w:val="0064275A"/>
    <w:rsid w:val="00643B8C"/>
    <w:rsid w:val="00664B36"/>
    <w:rsid w:val="0066502C"/>
    <w:rsid w:val="00670930"/>
    <w:rsid w:val="00675C52"/>
    <w:rsid w:val="00676921"/>
    <w:rsid w:val="00676ABD"/>
    <w:rsid w:val="0068562A"/>
    <w:rsid w:val="006915CD"/>
    <w:rsid w:val="0069300F"/>
    <w:rsid w:val="006A25D7"/>
    <w:rsid w:val="006A2EEE"/>
    <w:rsid w:val="006A342D"/>
    <w:rsid w:val="006A5D87"/>
    <w:rsid w:val="006A688A"/>
    <w:rsid w:val="006B6EDA"/>
    <w:rsid w:val="006C1427"/>
    <w:rsid w:val="006C1D9C"/>
    <w:rsid w:val="006C3F51"/>
    <w:rsid w:val="006C5F1C"/>
    <w:rsid w:val="006C784B"/>
    <w:rsid w:val="006C7A84"/>
    <w:rsid w:val="006D202D"/>
    <w:rsid w:val="006E339F"/>
    <w:rsid w:val="006F0204"/>
    <w:rsid w:val="00701C0C"/>
    <w:rsid w:val="00712A11"/>
    <w:rsid w:val="00714705"/>
    <w:rsid w:val="00715E7F"/>
    <w:rsid w:val="00717AFA"/>
    <w:rsid w:val="00722023"/>
    <w:rsid w:val="00724CF1"/>
    <w:rsid w:val="00730A72"/>
    <w:rsid w:val="00733854"/>
    <w:rsid w:val="007361CD"/>
    <w:rsid w:val="007371C6"/>
    <w:rsid w:val="00742EE4"/>
    <w:rsid w:val="00744264"/>
    <w:rsid w:val="00750606"/>
    <w:rsid w:val="00753126"/>
    <w:rsid w:val="00757135"/>
    <w:rsid w:val="00762B36"/>
    <w:rsid w:val="00771EA2"/>
    <w:rsid w:val="007851E9"/>
    <w:rsid w:val="00786505"/>
    <w:rsid w:val="00786D4F"/>
    <w:rsid w:val="00791E59"/>
    <w:rsid w:val="00793A78"/>
    <w:rsid w:val="007955D6"/>
    <w:rsid w:val="007A0A0B"/>
    <w:rsid w:val="007B3D7B"/>
    <w:rsid w:val="007D0BB6"/>
    <w:rsid w:val="007D20CB"/>
    <w:rsid w:val="007D3F74"/>
    <w:rsid w:val="007D4E3F"/>
    <w:rsid w:val="007D62BD"/>
    <w:rsid w:val="007D66CA"/>
    <w:rsid w:val="007E21B5"/>
    <w:rsid w:val="007E2462"/>
    <w:rsid w:val="007E56C5"/>
    <w:rsid w:val="007E5A05"/>
    <w:rsid w:val="007E6743"/>
    <w:rsid w:val="007E7CED"/>
    <w:rsid w:val="007F26C8"/>
    <w:rsid w:val="007F5F61"/>
    <w:rsid w:val="0081259F"/>
    <w:rsid w:val="00821E60"/>
    <w:rsid w:val="00822AB3"/>
    <w:rsid w:val="00825840"/>
    <w:rsid w:val="00832035"/>
    <w:rsid w:val="008369F5"/>
    <w:rsid w:val="00837C73"/>
    <w:rsid w:val="00857387"/>
    <w:rsid w:val="00861AFA"/>
    <w:rsid w:val="00862A2C"/>
    <w:rsid w:val="00867FAD"/>
    <w:rsid w:val="00871418"/>
    <w:rsid w:val="00872963"/>
    <w:rsid w:val="0088477D"/>
    <w:rsid w:val="008909BB"/>
    <w:rsid w:val="00892733"/>
    <w:rsid w:val="00894272"/>
    <w:rsid w:val="00894A15"/>
    <w:rsid w:val="00896CC0"/>
    <w:rsid w:val="0089790A"/>
    <w:rsid w:val="008A0A7E"/>
    <w:rsid w:val="008A0E41"/>
    <w:rsid w:val="008A2CEC"/>
    <w:rsid w:val="008B098E"/>
    <w:rsid w:val="008E1297"/>
    <w:rsid w:val="008E2C93"/>
    <w:rsid w:val="008E39D8"/>
    <w:rsid w:val="008F507E"/>
    <w:rsid w:val="00900EC7"/>
    <w:rsid w:val="00911233"/>
    <w:rsid w:val="00916480"/>
    <w:rsid w:val="00916BCC"/>
    <w:rsid w:val="00917CA5"/>
    <w:rsid w:val="0092400A"/>
    <w:rsid w:val="009305AE"/>
    <w:rsid w:val="009318DE"/>
    <w:rsid w:val="00932DBA"/>
    <w:rsid w:val="00937CB9"/>
    <w:rsid w:val="009428C7"/>
    <w:rsid w:val="00944C21"/>
    <w:rsid w:val="009462E4"/>
    <w:rsid w:val="00956B1E"/>
    <w:rsid w:val="00963100"/>
    <w:rsid w:val="009655F2"/>
    <w:rsid w:val="009656B8"/>
    <w:rsid w:val="00965E02"/>
    <w:rsid w:val="00972E46"/>
    <w:rsid w:val="009827CA"/>
    <w:rsid w:val="00986AC9"/>
    <w:rsid w:val="009871FD"/>
    <w:rsid w:val="009872C4"/>
    <w:rsid w:val="009939A4"/>
    <w:rsid w:val="009A1543"/>
    <w:rsid w:val="009A370C"/>
    <w:rsid w:val="009A5C31"/>
    <w:rsid w:val="009B1723"/>
    <w:rsid w:val="009B359F"/>
    <w:rsid w:val="009B3C54"/>
    <w:rsid w:val="009C2D43"/>
    <w:rsid w:val="009C3B3F"/>
    <w:rsid w:val="009C429C"/>
    <w:rsid w:val="009C7E32"/>
    <w:rsid w:val="009E371F"/>
    <w:rsid w:val="009E3D2D"/>
    <w:rsid w:val="009E455C"/>
    <w:rsid w:val="009E4D59"/>
    <w:rsid w:val="009F249C"/>
    <w:rsid w:val="009F2BCB"/>
    <w:rsid w:val="009F4177"/>
    <w:rsid w:val="009F41A7"/>
    <w:rsid w:val="009F436E"/>
    <w:rsid w:val="009F4F48"/>
    <w:rsid w:val="009F5F04"/>
    <w:rsid w:val="00A021C9"/>
    <w:rsid w:val="00A02595"/>
    <w:rsid w:val="00A15ECE"/>
    <w:rsid w:val="00A1613F"/>
    <w:rsid w:val="00A17C56"/>
    <w:rsid w:val="00A2388C"/>
    <w:rsid w:val="00A32FA8"/>
    <w:rsid w:val="00A46836"/>
    <w:rsid w:val="00A52E2A"/>
    <w:rsid w:val="00A53B9C"/>
    <w:rsid w:val="00A55046"/>
    <w:rsid w:val="00A60F52"/>
    <w:rsid w:val="00A61A00"/>
    <w:rsid w:val="00A62FA3"/>
    <w:rsid w:val="00A6395E"/>
    <w:rsid w:val="00A63BA4"/>
    <w:rsid w:val="00A6409D"/>
    <w:rsid w:val="00A66971"/>
    <w:rsid w:val="00A674B3"/>
    <w:rsid w:val="00A703F7"/>
    <w:rsid w:val="00A748D7"/>
    <w:rsid w:val="00A7597C"/>
    <w:rsid w:val="00A8305B"/>
    <w:rsid w:val="00A84E4C"/>
    <w:rsid w:val="00A90DE0"/>
    <w:rsid w:val="00A92DE5"/>
    <w:rsid w:val="00A951CE"/>
    <w:rsid w:val="00AA0E02"/>
    <w:rsid w:val="00AA737C"/>
    <w:rsid w:val="00AA74D6"/>
    <w:rsid w:val="00AB1402"/>
    <w:rsid w:val="00AB3087"/>
    <w:rsid w:val="00AB6F37"/>
    <w:rsid w:val="00AC36EC"/>
    <w:rsid w:val="00AC791E"/>
    <w:rsid w:val="00AD494D"/>
    <w:rsid w:val="00AE04BC"/>
    <w:rsid w:val="00AE15FC"/>
    <w:rsid w:val="00AE26D8"/>
    <w:rsid w:val="00AE347D"/>
    <w:rsid w:val="00AE3D50"/>
    <w:rsid w:val="00AE7750"/>
    <w:rsid w:val="00B017DA"/>
    <w:rsid w:val="00B02A02"/>
    <w:rsid w:val="00B05765"/>
    <w:rsid w:val="00B10759"/>
    <w:rsid w:val="00B14146"/>
    <w:rsid w:val="00B162EB"/>
    <w:rsid w:val="00B16D50"/>
    <w:rsid w:val="00B17B36"/>
    <w:rsid w:val="00B21C5C"/>
    <w:rsid w:val="00B21F1B"/>
    <w:rsid w:val="00B251AE"/>
    <w:rsid w:val="00B3188B"/>
    <w:rsid w:val="00B323DE"/>
    <w:rsid w:val="00B3377B"/>
    <w:rsid w:val="00B33F69"/>
    <w:rsid w:val="00B34176"/>
    <w:rsid w:val="00B50214"/>
    <w:rsid w:val="00B6092A"/>
    <w:rsid w:val="00B60B00"/>
    <w:rsid w:val="00B613E4"/>
    <w:rsid w:val="00B646B4"/>
    <w:rsid w:val="00B71B6E"/>
    <w:rsid w:val="00B72863"/>
    <w:rsid w:val="00B82C44"/>
    <w:rsid w:val="00B868CC"/>
    <w:rsid w:val="00B92359"/>
    <w:rsid w:val="00B94A44"/>
    <w:rsid w:val="00B94CFB"/>
    <w:rsid w:val="00B97E90"/>
    <w:rsid w:val="00BA05A7"/>
    <w:rsid w:val="00BA4C85"/>
    <w:rsid w:val="00BA6D34"/>
    <w:rsid w:val="00BA7B0B"/>
    <w:rsid w:val="00BB3588"/>
    <w:rsid w:val="00BB6952"/>
    <w:rsid w:val="00BB6BA3"/>
    <w:rsid w:val="00BC70DF"/>
    <w:rsid w:val="00BD0CAC"/>
    <w:rsid w:val="00BD634B"/>
    <w:rsid w:val="00BE2CAA"/>
    <w:rsid w:val="00BE7171"/>
    <w:rsid w:val="00BF2656"/>
    <w:rsid w:val="00BF26B6"/>
    <w:rsid w:val="00BF38CA"/>
    <w:rsid w:val="00BF43A7"/>
    <w:rsid w:val="00C0125A"/>
    <w:rsid w:val="00C01E8C"/>
    <w:rsid w:val="00C026F9"/>
    <w:rsid w:val="00C04E17"/>
    <w:rsid w:val="00C04F5F"/>
    <w:rsid w:val="00C2028B"/>
    <w:rsid w:val="00C21204"/>
    <w:rsid w:val="00C36387"/>
    <w:rsid w:val="00C36BCE"/>
    <w:rsid w:val="00C378EE"/>
    <w:rsid w:val="00C412D2"/>
    <w:rsid w:val="00C43B13"/>
    <w:rsid w:val="00C45EC4"/>
    <w:rsid w:val="00C52650"/>
    <w:rsid w:val="00C54BB5"/>
    <w:rsid w:val="00C606A9"/>
    <w:rsid w:val="00C65746"/>
    <w:rsid w:val="00C72AFF"/>
    <w:rsid w:val="00C91FAB"/>
    <w:rsid w:val="00C9209C"/>
    <w:rsid w:val="00C938D9"/>
    <w:rsid w:val="00C9619B"/>
    <w:rsid w:val="00C96D9B"/>
    <w:rsid w:val="00C97C91"/>
    <w:rsid w:val="00CA253D"/>
    <w:rsid w:val="00CB1E7F"/>
    <w:rsid w:val="00CB4716"/>
    <w:rsid w:val="00CB7EA1"/>
    <w:rsid w:val="00CC00BE"/>
    <w:rsid w:val="00CC3EC3"/>
    <w:rsid w:val="00CC46BB"/>
    <w:rsid w:val="00CD1AB3"/>
    <w:rsid w:val="00CD4B4D"/>
    <w:rsid w:val="00CD4E16"/>
    <w:rsid w:val="00CE4332"/>
    <w:rsid w:val="00CF743A"/>
    <w:rsid w:val="00D042C6"/>
    <w:rsid w:val="00D04711"/>
    <w:rsid w:val="00D071A8"/>
    <w:rsid w:val="00D12B9C"/>
    <w:rsid w:val="00D1368D"/>
    <w:rsid w:val="00D14166"/>
    <w:rsid w:val="00D1780F"/>
    <w:rsid w:val="00D21D8C"/>
    <w:rsid w:val="00D3130A"/>
    <w:rsid w:val="00D31DB7"/>
    <w:rsid w:val="00D34E18"/>
    <w:rsid w:val="00D41783"/>
    <w:rsid w:val="00D43151"/>
    <w:rsid w:val="00D5021F"/>
    <w:rsid w:val="00D51941"/>
    <w:rsid w:val="00D51C78"/>
    <w:rsid w:val="00D54FD6"/>
    <w:rsid w:val="00D6714F"/>
    <w:rsid w:val="00D746E4"/>
    <w:rsid w:val="00D7613B"/>
    <w:rsid w:val="00D77EFA"/>
    <w:rsid w:val="00D80143"/>
    <w:rsid w:val="00D93CAC"/>
    <w:rsid w:val="00D95327"/>
    <w:rsid w:val="00D96E53"/>
    <w:rsid w:val="00DA0663"/>
    <w:rsid w:val="00DA0DAB"/>
    <w:rsid w:val="00DA3D3D"/>
    <w:rsid w:val="00DB445A"/>
    <w:rsid w:val="00DB7870"/>
    <w:rsid w:val="00DC06CF"/>
    <w:rsid w:val="00DC4B40"/>
    <w:rsid w:val="00DD139C"/>
    <w:rsid w:val="00DD2C99"/>
    <w:rsid w:val="00DD431F"/>
    <w:rsid w:val="00DD7343"/>
    <w:rsid w:val="00DE1FFE"/>
    <w:rsid w:val="00DE54E4"/>
    <w:rsid w:val="00DE7630"/>
    <w:rsid w:val="00DF3E0C"/>
    <w:rsid w:val="00DF50BD"/>
    <w:rsid w:val="00DF5745"/>
    <w:rsid w:val="00E02444"/>
    <w:rsid w:val="00E06509"/>
    <w:rsid w:val="00E0654C"/>
    <w:rsid w:val="00E06636"/>
    <w:rsid w:val="00E1125D"/>
    <w:rsid w:val="00E1136B"/>
    <w:rsid w:val="00E1298A"/>
    <w:rsid w:val="00E16624"/>
    <w:rsid w:val="00E16AF5"/>
    <w:rsid w:val="00E372F1"/>
    <w:rsid w:val="00E45BD3"/>
    <w:rsid w:val="00E47D3E"/>
    <w:rsid w:val="00E568B9"/>
    <w:rsid w:val="00E6013B"/>
    <w:rsid w:val="00E60AEE"/>
    <w:rsid w:val="00E626CA"/>
    <w:rsid w:val="00E62CB3"/>
    <w:rsid w:val="00E64DB4"/>
    <w:rsid w:val="00E67F62"/>
    <w:rsid w:val="00E70D38"/>
    <w:rsid w:val="00E71923"/>
    <w:rsid w:val="00E73D3E"/>
    <w:rsid w:val="00E74583"/>
    <w:rsid w:val="00E74F46"/>
    <w:rsid w:val="00E828D4"/>
    <w:rsid w:val="00E82AA6"/>
    <w:rsid w:val="00E84A09"/>
    <w:rsid w:val="00E87B42"/>
    <w:rsid w:val="00E90E99"/>
    <w:rsid w:val="00E90F65"/>
    <w:rsid w:val="00E9300A"/>
    <w:rsid w:val="00E95E72"/>
    <w:rsid w:val="00EA0BE5"/>
    <w:rsid w:val="00EA19C4"/>
    <w:rsid w:val="00EA2446"/>
    <w:rsid w:val="00EA4BAE"/>
    <w:rsid w:val="00EB2058"/>
    <w:rsid w:val="00EB2C25"/>
    <w:rsid w:val="00EB3C08"/>
    <w:rsid w:val="00EB70FA"/>
    <w:rsid w:val="00EB7FB3"/>
    <w:rsid w:val="00EC13FE"/>
    <w:rsid w:val="00EC6541"/>
    <w:rsid w:val="00EC7712"/>
    <w:rsid w:val="00ED6EEB"/>
    <w:rsid w:val="00EE3638"/>
    <w:rsid w:val="00EE68D6"/>
    <w:rsid w:val="00EF322A"/>
    <w:rsid w:val="00EF578E"/>
    <w:rsid w:val="00F056F9"/>
    <w:rsid w:val="00F06734"/>
    <w:rsid w:val="00F23F29"/>
    <w:rsid w:val="00F27CD3"/>
    <w:rsid w:val="00F34A79"/>
    <w:rsid w:val="00F373CA"/>
    <w:rsid w:val="00F56780"/>
    <w:rsid w:val="00F60705"/>
    <w:rsid w:val="00F7016F"/>
    <w:rsid w:val="00F73931"/>
    <w:rsid w:val="00F73F13"/>
    <w:rsid w:val="00F74D6C"/>
    <w:rsid w:val="00F75BD6"/>
    <w:rsid w:val="00F76477"/>
    <w:rsid w:val="00F7725A"/>
    <w:rsid w:val="00F80FBD"/>
    <w:rsid w:val="00F8298B"/>
    <w:rsid w:val="00F82EE3"/>
    <w:rsid w:val="00F871B6"/>
    <w:rsid w:val="00F91412"/>
    <w:rsid w:val="00F92B06"/>
    <w:rsid w:val="00F93091"/>
    <w:rsid w:val="00F93D38"/>
    <w:rsid w:val="00FA0FAE"/>
    <w:rsid w:val="00FA35D3"/>
    <w:rsid w:val="00FB1D49"/>
    <w:rsid w:val="00FB7EA8"/>
    <w:rsid w:val="00FD1690"/>
    <w:rsid w:val="00FD5C01"/>
    <w:rsid w:val="00FE004E"/>
    <w:rsid w:val="00FE1705"/>
    <w:rsid w:val="00FE27BE"/>
    <w:rsid w:val="00FE344B"/>
    <w:rsid w:val="00FE3E32"/>
    <w:rsid w:val="00FE4788"/>
    <w:rsid w:val="00FE7414"/>
    <w:rsid w:val="00FF04F6"/>
    <w:rsid w:val="00FF1B24"/>
    <w:rsid w:val="00FF20A0"/>
    <w:rsid w:val="00FF37DA"/>
    <w:rsid w:val="023CB4DE"/>
    <w:rsid w:val="026EA159"/>
    <w:rsid w:val="068F21C8"/>
    <w:rsid w:val="07F40EE3"/>
    <w:rsid w:val="12771F56"/>
    <w:rsid w:val="1AEC3EF7"/>
    <w:rsid w:val="1AFC5B4E"/>
    <w:rsid w:val="1D125C07"/>
    <w:rsid w:val="219D27A3"/>
    <w:rsid w:val="222FE5E3"/>
    <w:rsid w:val="2380A16C"/>
    <w:rsid w:val="25D3C1D4"/>
    <w:rsid w:val="2E666CCE"/>
    <w:rsid w:val="30A383EB"/>
    <w:rsid w:val="33959646"/>
    <w:rsid w:val="3B9888CF"/>
    <w:rsid w:val="3EBB4647"/>
    <w:rsid w:val="3F04177F"/>
    <w:rsid w:val="43D000BE"/>
    <w:rsid w:val="44F5DFD4"/>
    <w:rsid w:val="48E0E0EC"/>
    <w:rsid w:val="49875AC3"/>
    <w:rsid w:val="5128CA64"/>
    <w:rsid w:val="515D4FCA"/>
    <w:rsid w:val="54678E63"/>
    <w:rsid w:val="54F5DBFC"/>
    <w:rsid w:val="56E7AC4D"/>
    <w:rsid w:val="611E3DED"/>
    <w:rsid w:val="62562D86"/>
    <w:rsid w:val="63B68815"/>
    <w:rsid w:val="645D01EC"/>
    <w:rsid w:val="64A1F8DB"/>
    <w:rsid w:val="6BCE4BE2"/>
    <w:rsid w:val="6C77EDE2"/>
    <w:rsid w:val="6E09A5AE"/>
    <w:rsid w:val="72171BA9"/>
    <w:rsid w:val="7847F203"/>
    <w:rsid w:val="7A66BFD6"/>
    <w:rsid w:val="7BF3E516"/>
    <w:rsid w:val="7F12F4F3"/>
    <w:rsid w:val="7FA46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D51941"/>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unhideWhenUsed/>
    <w:rsid w:val="00C36387"/>
    <w:rPr>
      <w:color w:val="605E5C"/>
      <w:shd w:val="clear" w:color="auto" w:fill="E1DFDD"/>
    </w:rPr>
  </w:style>
  <w:style w:type="paragraph" w:styleId="HTMLPreformatted">
    <w:name w:val="HTML Preformatted"/>
    <w:basedOn w:val="Normal"/>
    <w:link w:val="HTMLPreformattedChar"/>
    <w:semiHidden/>
    <w:unhideWhenUsed/>
    <w:rsid w:val="00056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rsid w:val="0005653E"/>
    <w:rPr>
      <w:rFonts w:ascii="Courier New" w:hAnsi="Courier New" w:cs="Courier New"/>
    </w:rPr>
  </w:style>
  <w:style w:type="paragraph" w:styleId="BodyText">
    <w:name w:val="Body Text"/>
    <w:basedOn w:val="Normal"/>
    <w:link w:val="BodyTextChar"/>
    <w:uiPriority w:val="1"/>
    <w:qFormat/>
    <w:rsid w:val="00AB1402"/>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AB1402"/>
    <w:rPr>
      <w:rFonts w:ascii="Arial" w:eastAsia="Arial" w:hAnsi="Arial" w:cs="Arial"/>
      <w:sz w:val="22"/>
      <w:szCs w:val="22"/>
    </w:rPr>
  </w:style>
  <w:style w:type="character" w:styleId="Mention">
    <w:name w:val="Mention"/>
    <w:basedOn w:val="DefaultParagraphFont"/>
    <w:uiPriority w:val="99"/>
    <w:unhideWhenUsed/>
    <w:rsid w:val="005C192A"/>
    <w:rPr>
      <w:color w:val="2B579A"/>
      <w:shd w:val="clear" w:color="auto" w:fill="E1DFDD"/>
    </w:rPr>
  </w:style>
  <w:style w:type="character" w:customStyle="1" w:styleId="Heading1Char">
    <w:name w:val="Heading 1 Char"/>
    <w:basedOn w:val="DefaultParagraphFont"/>
    <w:link w:val="Heading1"/>
    <w:uiPriority w:val="9"/>
    <w:rsid w:val="00D51941"/>
    <w:rPr>
      <w:rFonts w:ascii="Arial" w:hAnsi="Arial" w:cs="Arial"/>
      <w:b/>
      <w:sz w:val="22"/>
      <w:szCs w:val="22"/>
    </w:rPr>
  </w:style>
  <w:style w:type="paragraph" w:styleId="Revision">
    <w:name w:val="Revision"/>
    <w:hidden/>
    <w:uiPriority w:val="99"/>
    <w:semiHidden/>
    <w:rsid w:val="001D151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FWS-HQ-IRTM-2025-0010-0005" TargetMode="External" /><Relationship Id="rId11" Type="http://schemas.openxmlformats.org/officeDocument/2006/relationships/hyperlink" Target="https://www.doi.gov/sites/doi.gov/files/uploads/arcgis-online-pia-final-04072020.pdf" TargetMode="External" /><Relationship Id="rId12" Type="http://schemas.openxmlformats.org/officeDocument/2006/relationships/hyperlink" Target="https://www.govinfo.gov/content/pkg/FR-2022-09-02/pdf/2022-19077.pdf" TargetMode="External" /><Relationship Id="rId13" Type="http://schemas.openxmlformats.org/officeDocument/2006/relationships/hyperlink" Target="https://www.govinfo.gov/content/pkg/FR-2023-02-21/html/2023-03294.htm"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opm.gov/policy-data-oversight/pay-leave/salaries-wages/salary-tables/25Tables/pdf/RUS_h.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fws.maps.arcgis.com" TargetMode="External" /><Relationship Id="rId5" Type="http://schemas.openxmlformats.org/officeDocument/2006/relationships/hyperlink" Target="https://fws.maps.arcgis.com/home/index.html" TargetMode="External" /><Relationship Id="rId6" Type="http://schemas.openxmlformats.org/officeDocument/2006/relationships/hyperlink" Target="https://gcc02.safelinks.protection.outlook.com/?url=https%3A%2F%2Fwww.govinfo.gov%2Fcontent%2Fpkg%2FFR-2025-03-21%2Fpdf%2F2025-04885.pdf%3Futm_campaign%3Dsubscription%2Bmailing%2Blist%26utm_medium%3Demail%26utm_source%3Dfederalregister.gov&amp;data=05%7C02%7Cmadonna_baucum%40fws.gov%7Cb47c16323f8842c4397708dd6850877a%7C0693b5ba4b184d7b9341f32f400a5494%7C0%7C0%7C638781417262948356%7CUnknown%7CTWFpbGZsb3d8eyJFbXB0eU1hcGkiOnRydWUsIlYiOiIwLjAuMDAwMCIsIlAiOiJXaW4zMiIsIkFOIjoiTWFpbCIsIldUIjoyfQ%3D%3D%7C0%7C%7C%7C&amp;sdata=uxaa1lKZKZQHI54RNg9E4xhbaLOWYr9YmJE2W0F0osY%3D&amp;reserved=0" TargetMode="External" /><Relationship Id="rId7" Type="http://schemas.openxmlformats.org/officeDocument/2006/relationships/hyperlink" Target="https://gcc02.safelinks.protection.outlook.com/?url=https%3A%2F%2Fwww.regulations.gov%2Fdocket%2FFWS-HQ-IRTM-2025-0010&amp;data=05%7C02%7Cmadonna_baucum%40fws.gov%7C670696c2c4b0445b8c2508dd6875eb63%7C0693b5ba4b184d7b9341f32f400a5494%7C0%7C0%7C638781577843063291%7CUnknown%7CTWFpbGZsb3d8eyJFbXB0eU1hcGkiOnRydWUsIlYiOiIwLjAuMDAwMCIsIlAiOiJXaW4zMiIsIkFOIjoiTWFpbCIsIldUIjoyfQ%3D%3D%7C0%7C%7C%7C&amp;sdata=OtHzbrPLgRjkCtNTIPRrhVASbDHYyCJ1Z2GRuI224BQ%3D&amp;reserved=0" TargetMode="External" /><Relationship Id="rId8" Type="http://schemas.openxmlformats.org/officeDocument/2006/relationships/hyperlink" Target="https://www.regulations.gov/comment/FWS-HQ-IRTM-2025-0010-0003" TargetMode="External" /><Relationship Id="rId9" Type="http://schemas.openxmlformats.org/officeDocument/2006/relationships/hyperlink" Target="https://www.regulations.gov/comment/FWS-HQ-IRTM-2025-0010-0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3869</Words>
  <Characters>25026</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2025-12-09T21:51:00Z</dcterms:created>
  <dcterms:modified xsi:type="dcterms:W3CDTF">2025-12-10T13:28:00Z</dcterms:modified>
</cp:coreProperties>
</file>