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15EA" w:rsidRPr="00442C2C" w:rsidP="00057E16" w14:paraId="0A19E50C" w14:textId="77777777">
      <w:pPr>
        <w:jc w:val="center"/>
        <w:rPr>
          <w:rFonts w:ascii="Arial" w:hAnsi="Arial" w:cs="Arial"/>
          <w:b/>
          <w:bCs/>
          <w:sz w:val="24"/>
          <w:szCs w:val="24"/>
        </w:rPr>
      </w:pPr>
      <w:r w:rsidRPr="00442C2C">
        <w:rPr>
          <w:rFonts w:ascii="Arial" w:hAnsi="Arial" w:cs="Arial"/>
          <w:b/>
          <w:bCs/>
          <w:sz w:val="24"/>
          <w:szCs w:val="24"/>
        </w:rPr>
        <w:t>Supporting Statement – Part A</w:t>
      </w:r>
    </w:p>
    <w:p w:rsidR="004B15EA" w:rsidRPr="00442C2C" w:rsidP="00057E16" w14:paraId="1E74C046" w14:textId="0773585C">
      <w:pPr>
        <w:jc w:val="center"/>
        <w:rPr>
          <w:rFonts w:ascii="Arial" w:hAnsi="Arial" w:cs="Arial"/>
          <w:b/>
          <w:bCs/>
          <w:sz w:val="24"/>
          <w:szCs w:val="24"/>
        </w:rPr>
      </w:pPr>
      <w:r w:rsidRPr="00442C2C">
        <w:rPr>
          <w:rFonts w:ascii="Arial" w:hAnsi="Arial" w:cs="Arial"/>
          <w:b/>
          <w:bCs/>
          <w:sz w:val="24"/>
          <w:szCs w:val="24"/>
        </w:rPr>
        <w:t>Requirement for Electronic Prescribing for Controlled Substances (EPCS)</w:t>
      </w:r>
    </w:p>
    <w:p w:rsidR="004B15EA" w:rsidRPr="00442C2C" w:rsidP="00057E16" w14:paraId="0000F8C7" w14:textId="6F11842E">
      <w:pPr>
        <w:jc w:val="center"/>
        <w:rPr>
          <w:rFonts w:ascii="Arial" w:hAnsi="Arial" w:cs="Arial"/>
          <w:b/>
          <w:bCs/>
          <w:sz w:val="24"/>
          <w:szCs w:val="24"/>
        </w:rPr>
      </w:pPr>
      <w:r w:rsidRPr="00442C2C">
        <w:rPr>
          <w:rFonts w:ascii="Arial" w:hAnsi="Arial" w:cs="Arial"/>
          <w:b/>
          <w:bCs/>
          <w:sz w:val="24"/>
          <w:szCs w:val="24"/>
        </w:rPr>
        <w:t>for a Covered Part D Drug Under a Prescription Drug Plan or an MA–PD Plan</w:t>
      </w:r>
    </w:p>
    <w:p w:rsidR="004B15EA" w:rsidRPr="00442C2C" w:rsidP="00057E16" w14:paraId="398DCFF5" w14:textId="26FB0214">
      <w:pPr>
        <w:jc w:val="center"/>
        <w:rPr>
          <w:rFonts w:ascii="Arial" w:hAnsi="Arial" w:cs="Arial"/>
          <w:sz w:val="24"/>
          <w:szCs w:val="24"/>
        </w:rPr>
      </w:pPr>
      <w:r w:rsidRPr="00442C2C">
        <w:rPr>
          <w:rFonts w:ascii="Arial" w:hAnsi="Arial" w:cs="Arial"/>
          <w:b/>
          <w:bCs/>
          <w:sz w:val="24"/>
          <w:szCs w:val="24"/>
        </w:rPr>
        <w:t>CMS-10834, OMB Control Number 0938-</w:t>
      </w:r>
      <w:r w:rsidRPr="00442C2C" w:rsidR="3254434B">
        <w:rPr>
          <w:rFonts w:ascii="Arial" w:hAnsi="Arial" w:cs="Arial"/>
          <w:b/>
          <w:bCs/>
          <w:sz w:val="24"/>
          <w:szCs w:val="24"/>
        </w:rPr>
        <w:t>1455</w:t>
      </w:r>
    </w:p>
    <w:p w:rsidR="004B15EA" w:rsidRPr="00442C2C" w:rsidP="004B15EA" w14:paraId="2C5CB443" w14:textId="77777777">
      <w:pPr>
        <w:rPr>
          <w:rFonts w:ascii="Arial" w:hAnsi="Arial" w:cs="Arial"/>
          <w:sz w:val="24"/>
          <w:szCs w:val="24"/>
        </w:rPr>
      </w:pPr>
    </w:p>
    <w:p w:rsidR="004B15EA" w:rsidRPr="00442C2C" w:rsidP="004B15EA" w14:paraId="4FF39C0D" w14:textId="106FCEC9">
      <w:pPr>
        <w:rPr>
          <w:rFonts w:ascii="Arial" w:hAnsi="Arial" w:cs="Arial"/>
          <w:sz w:val="24"/>
          <w:szCs w:val="24"/>
        </w:rPr>
      </w:pPr>
      <w:r w:rsidRPr="00442C2C">
        <w:rPr>
          <w:rFonts w:ascii="Arial" w:hAnsi="Arial" w:cs="Arial"/>
          <w:sz w:val="24"/>
          <w:szCs w:val="24"/>
        </w:rPr>
        <w:t>A Background</w:t>
      </w:r>
    </w:p>
    <w:p w:rsidR="003515E2" w:rsidRPr="00442C2C" w:rsidP="00057E16" w14:paraId="4609D0B7" w14:textId="1BC5BE5E">
      <w:pPr>
        <w:spacing w:before="120" w:after="120" w:line="240" w:lineRule="auto"/>
        <w:rPr>
          <w:rFonts w:ascii="Arial" w:hAnsi="Arial" w:cs="Arial"/>
          <w:sz w:val="24"/>
          <w:szCs w:val="24"/>
        </w:rPr>
      </w:pPr>
      <w:r w:rsidRPr="00442C2C">
        <w:rPr>
          <w:rFonts w:ascii="Arial" w:hAnsi="Arial" w:cs="Arial"/>
          <w:sz w:val="24"/>
          <w:szCs w:val="24"/>
        </w:rPr>
        <w:t xml:space="preserve">This is a </w:t>
      </w:r>
      <w:r w:rsidR="002019FB">
        <w:rPr>
          <w:rFonts w:ascii="Arial" w:hAnsi="Arial" w:cs="Arial"/>
          <w:sz w:val="24"/>
          <w:szCs w:val="24"/>
        </w:rPr>
        <w:t>reinstatement</w:t>
      </w:r>
      <w:r w:rsidRPr="00442C2C" w:rsidR="002019FB">
        <w:rPr>
          <w:rFonts w:ascii="Arial" w:hAnsi="Arial" w:cs="Arial"/>
          <w:sz w:val="24"/>
          <w:szCs w:val="24"/>
        </w:rPr>
        <w:t xml:space="preserve"> </w:t>
      </w:r>
      <w:r w:rsidR="002019FB">
        <w:rPr>
          <w:rFonts w:ascii="Arial" w:hAnsi="Arial" w:cs="Arial"/>
          <w:sz w:val="24"/>
          <w:szCs w:val="24"/>
        </w:rPr>
        <w:t xml:space="preserve">with change </w:t>
      </w:r>
      <w:r w:rsidRPr="00442C2C">
        <w:rPr>
          <w:rFonts w:ascii="Arial" w:hAnsi="Arial" w:cs="Arial"/>
          <w:sz w:val="24"/>
          <w:szCs w:val="24"/>
        </w:rPr>
        <w:t xml:space="preserve">package. </w:t>
      </w:r>
      <w:r w:rsidRPr="00442C2C" w:rsidR="004B15EA">
        <w:rPr>
          <w:rFonts w:ascii="Arial" w:hAnsi="Arial" w:cs="Arial"/>
          <w:sz w:val="24"/>
          <w:szCs w:val="24"/>
        </w:rPr>
        <w:t>Section 2003 of the SUPPORT for Patients and Communities Act of 2018 requires that</w:t>
      </w:r>
      <w:r w:rsidRPr="00442C2C" w:rsidR="002A40F0">
        <w:rPr>
          <w:rFonts w:ascii="Arial" w:hAnsi="Arial" w:cs="Arial"/>
          <w:sz w:val="24"/>
          <w:szCs w:val="24"/>
        </w:rPr>
        <w:t xml:space="preserve"> </w:t>
      </w:r>
      <w:r w:rsidRPr="00442C2C" w:rsidR="004C5920">
        <w:rPr>
          <w:rFonts w:ascii="Arial" w:hAnsi="Arial" w:cs="Arial"/>
          <w:sz w:val="24"/>
          <w:szCs w:val="24"/>
        </w:rPr>
        <w:t>prescribing of a Schedule II, III,</w:t>
      </w:r>
      <w:r w:rsidRPr="00442C2C" w:rsidR="003A70DB">
        <w:rPr>
          <w:rFonts w:ascii="Arial" w:hAnsi="Arial" w:cs="Arial"/>
          <w:sz w:val="24"/>
          <w:szCs w:val="24"/>
        </w:rPr>
        <w:t xml:space="preserve"> IV, and V controlled substance</w:t>
      </w:r>
      <w:r w:rsidR="003A70DB">
        <w:rPr>
          <w:rFonts w:ascii="Arial" w:hAnsi="Arial" w:cs="Arial"/>
          <w:sz w:val="24"/>
          <w:szCs w:val="24"/>
        </w:rPr>
        <w:t xml:space="preserve"> </w:t>
      </w:r>
      <w:r w:rsidR="00ED722B">
        <w:rPr>
          <w:rFonts w:ascii="Arial" w:hAnsi="Arial" w:cs="Arial"/>
          <w:sz w:val="24"/>
          <w:szCs w:val="24"/>
        </w:rPr>
        <w:t xml:space="preserve">under Medicare Part D be done electronically in accordance with an electronic prescription drug program beginning January 1, 2021, subject </w:t>
      </w:r>
      <w:r w:rsidR="008742B7">
        <w:rPr>
          <w:rFonts w:ascii="Arial" w:hAnsi="Arial" w:cs="Arial"/>
          <w:sz w:val="24"/>
          <w:szCs w:val="24"/>
        </w:rPr>
        <w:t xml:space="preserve">to any exceptions, which HHS may specify. </w:t>
      </w:r>
      <w:r w:rsidRPr="00442C2C" w:rsidR="004B15EA">
        <w:rPr>
          <w:rFonts w:ascii="Arial" w:hAnsi="Arial" w:cs="Arial"/>
          <w:sz w:val="24"/>
          <w:szCs w:val="24"/>
        </w:rPr>
        <w:t xml:space="preserve">In the calendar year (CY) 2021 and </w:t>
      </w:r>
      <w:r w:rsidR="00E04E29">
        <w:rPr>
          <w:rFonts w:ascii="Arial" w:hAnsi="Arial" w:cs="Arial"/>
          <w:sz w:val="24"/>
          <w:szCs w:val="24"/>
        </w:rPr>
        <w:t xml:space="preserve">2022 Physician Fee Schedule (PFS) final rules (85 FR 84803) </w:t>
      </w:r>
      <w:r w:rsidR="00A31E75">
        <w:rPr>
          <w:rFonts w:ascii="Arial" w:hAnsi="Arial" w:cs="Arial"/>
          <w:sz w:val="24"/>
          <w:szCs w:val="24"/>
        </w:rPr>
        <w:t>and, (86 FR 65361), CMS finalized the electronic prescribing</w:t>
      </w:r>
      <w:r w:rsidR="000F5CA2">
        <w:rPr>
          <w:rFonts w:ascii="Arial" w:hAnsi="Arial" w:cs="Arial"/>
          <w:sz w:val="24"/>
          <w:szCs w:val="24"/>
        </w:rPr>
        <w:t xml:space="preserve"> for controlled substances (EPCS) requirements and exceptions at 42 CFR </w:t>
      </w:r>
      <w:r w:rsidR="00404445">
        <w:rPr>
          <w:rFonts w:ascii="Arial" w:hAnsi="Arial" w:cs="Arial"/>
          <w:sz w:val="24"/>
          <w:szCs w:val="24"/>
        </w:rPr>
        <w:t xml:space="preserve">423.160(a)(5). Prescribers need to electronically prescribe at least 70 percent of the applicable prescriptions to be compliant with the requirements. </w:t>
      </w:r>
      <w:r w:rsidRPr="00442C2C" w:rsidR="004B15EA">
        <w:rPr>
          <w:rFonts w:ascii="Arial" w:hAnsi="Arial" w:cs="Arial"/>
          <w:sz w:val="24"/>
          <w:szCs w:val="24"/>
        </w:rPr>
        <w:t xml:space="preserve">Certain </w:t>
      </w:r>
      <w:r w:rsidR="003C4E83">
        <w:rPr>
          <w:rFonts w:ascii="Arial" w:hAnsi="Arial" w:cs="Arial"/>
          <w:sz w:val="24"/>
          <w:szCs w:val="24"/>
        </w:rPr>
        <w:t xml:space="preserve">prescribers and prescriptions are </w:t>
      </w:r>
      <w:r w:rsidR="00BE0148">
        <w:rPr>
          <w:rFonts w:ascii="Arial" w:hAnsi="Arial" w:cs="Arial"/>
          <w:sz w:val="24"/>
          <w:szCs w:val="24"/>
        </w:rPr>
        <w:t>exempted</w:t>
      </w:r>
      <w:r w:rsidR="007F0CCD">
        <w:rPr>
          <w:rFonts w:ascii="Arial" w:hAnsi="Arial" w:cs="Arial"/>
          <w:sz w:val="24"/>
          <w:szCs w:val="24"/>
        </w:rPr>
        <w:t xml:space="preserve"> from this requirement, such as</w:t>
      </w:r>
      <w:r w:rsidR="000B247A">
        <w:rPr>
          <w:rFonts w:ascii="Arial" w:hAnsi="Arial" w:cs="Arial"/>
          <w:sz w:val="24"/>
          <w:szCs w:val="24"/>
        </w:rPr>
        <w:t xml:space="preserve">, prescribers who do not </w:t>
      </w:r>
      <w:r w:rsidR="003236EC">
        <w:rPr>
          <w:rFonts w:ascii="Arial" w:hAnsi="Arial" w:cs="Arial"/>
          <w:sz w:val="24"/>
          <w:szCs w:val="24"/>
        </w:rPr>
        <w:t>prescribe many Medicare Part D controlled substances</w:t>
      </w:r>
      <w:r w:rsidR="00243482">
        <w:rPr>
          <w:rFonts w:ascii="Arial" w:hAnsi="Arial" w:cs="Arial"/>
          <w:sz w:val="24"/>
          <w:szCs w:val="24"/>
        </w:rPr>
        <w:t>, prescribers who are in an area with an emergency</w:t>
      </w:r>
      <w:r w:rsidR="00DA34CF">
        <w:rPr>
          <w:rFonts w:ascii="Arial" w:hAnsi="Arial" w:cs="Arial"/>
          <w:sz w:val="24"/>
          <w:szCs w:val="24"/>
        </w:rPr>
        <w:t xml:space="preserve">, and </w:t>
      </w:r>
      <w:r w:rsidRPr="00442C2C" w:rsidR="004B15EA">
        <w:rPr>
          <w:rFonts w:ascii="Arial" w:hAnsi="Arial" w:cs="Arial"/>
          <w:sz w:val="24"/>
          <w:szCs w:val="24"/>
        </w:rPr>
        <w:t xml:space="preserve">prescribers who apply for a waiver for circumstances beyond their control. Compliance for </w:t>
      </w:r>
      <w:r w:rsidR="003A4D90">
        <w:rPr>
          <w:rFonts w:ascii="Arial" w:hAnsi="Arial" w:cs="Arial"/>
          <w:sz w:val="24"/>
          <w:szCs w:val="24"/>
        </w:rPr>
        <w:t xml:space="preserve">prescribers not in long-term care </w:t>
      </w:r>
      <w:r w:rsidR="000B56BD">
        <w:rPr>
          <w:rFonts w:ascii="Arial" w:hAnsi="Arial" w:cs="Arial"/>
          <w:sz w:val="24"/>
          <w:szCs w:val="24"/>
        </w:rPr>
        <w:t xml:space="preserve">facilities begins in CY 2023. Compliance for prescribers in long-term care </w:t>
      </w:r>
      <w:r w:rsidR="00BE11FA">
        <w:rPr>
          <w:rFonts w:ascii="Arial" w:hAnsi="Arial" w:cs="Arial"/>
          <w:sz w:val="24"/>
          <w:szCs w:val="24"/>
        </w:rPr>
        <w:t>settings begins in CY 2028.</w:t>
      </w:r>
    </w:p>
    <w:p w:rsidR="004B15EA" w:rsidRPr="00442C2C" w:rsidP="00A17A3E" w14:paraId="757D5AB8" w14:textId="1B2E0516">
      <w:pPr>
        <w:spacing w:before="120" w:after="120" w:line="240" w:lineRule="auto"/>
        <w:rPr>
          <w:rFonts w:ascii="Arial" w:hAnsi="Arial" w:cs="Arial"/>
          <w:sz w:val="24"/>
          <w:szCs w:val="24"/>
        </w:rPr>
      </w:pPr>
      <w:r w:rsidRPr="00442C2C">
        <w:rPr>
          <w:rFonts w:ascii="Arial" w:hAnsi="Arial" w:cs="Arial"/>
          <w:sz w:val="24"/>
          <w:szCs w:val="24"/>
        </w:rPr>
        <w:t xml:space="preserve">EPCS requirements do not require prescribers or pharmacies to submit additional data to </w:t>
      </w:r>
      <w:r w:rsidRPr="00442C2C" w:rsidR="003D609C">
        <w:rPr>
          <w:rFonts w:ascii="Arial" w:hAnsi="Arial" w:cs="Arial"/>
          <w:sz w:val="24"/>
          <w:szCs w:val="24"/>
        </w:rPr>
        <w:t>CMS.</w:t>
      </w:r>
      <w:r w:rsidRPr="00442C2C">
        <w:rPr>
          <w:rFonts w:ascii="Arial" w:hAnsi="Arial" w:cs="Arial"/>
          <w:sz w:val="24"/>
          <w:szCs w:val="24"/>
        </w:rPr>
        <w:t xml:space="preserve"> </w:t>
      </w:r>
      <w:r w:rsidRPr="0317FFB2" w:rsidR="00B04786">
        <w:rPr>
          <w:rFonts w:ascii="Arial" w:hAnsi="Arial" w:cs="Arial"/>
          <w:sz w:val="24"/>
          <w:szCs w:val="24"/>
        </w:rPr>
        <w:t>However, CMS</w:t>
      </w:r>
      <w:r w:rsidRPr="0317FFB2" w:rsidR="00AD7601">
        <w:rPr>
          <w:rFonts w:ascii="Arial" w:hAnsi="Arial" w:cs="Arial"/>
          <w:sz w:val="24"/>
          <w:szCs w:val="24"/>
        </w:rPr>
        <w:t xml:space="preserve"> did finalize one exception that requires data collection. The EPCS</w:t>
      </w:r>
      <w:r w:rsidRPr="0317FFB2" w:rsidR="003956D8">
        <w:rPr>
          <w:rFonts w:ascii="Arial" w:hAnsi="Arial" w:cs="Arial"/>
          <w:sz w:val="24"/>
          <w:szCs w:val="24"/>
        </w:rPr>
        <w:t xml:space="preserve"> exception, at § 423.160(a)(5)(iv), requires a prescriber to apply for a waiver if the prescriber is unable to conduct EPCS due to circumstances beyond the prescriber's control.</w:t>
      </w:r>
      <w:r w:rsidRPr="0317FFB2" w:rsidR="00A17A3E">
        <w:rPr>
          <w:rFonts w:ascii="Arial" w:hAnsi="Arial" w:cs="Arial"/>
          <w:sz w:val="24"/>
          <w:szCs w:val="24"/>
        </w:rPr>
        <w:t xml:space="preserve"> </w:t>
      </w:r>
      <w:r w:rsidRPr="00442C2C" w:rsidR="0068033C">
        <w:rPr>
          <w:rFonts w:ascii="Arial" w:hAnsi="Arial" w:cs="Arial"/>
          <w:sz w:val="24"/>
          <w:szCs w:val="24"/>
        </w:rPr>
        <w:t>This information collection request is being revised</w:t>
      </w:r>
      <w:r w:rsidRPr="00442C2C" w:rsidR="00D55D51">
        <w:rPr>
          <w:rFonts w:ascii="Arial" w:hAnsi="Arial" w:cs="Arial"/>
          <w:sz w:val="24"/>
          <w:szCs w:val="24"/>
        </w:rPr>
        <w:t xml:space="preserve"> based on OMB recommendation </w:t>
      </w:r>
      <w:r w:rsidRPr="00442C2C" w:rsidR="00B05124">
        <w:rPr>
          <w:rFonts w:ascii="Arial" w:hAnsi="Arial" w:cs="Arial"/>
          <w:sz w:val="24"/>
          <w:szCs w:val="24"/>
        </w:rPr>
        <w:t xml:space="preserve">OMB previously recommended CMS to monitor the number and types of waiver applications, </w:t>
      </w:r>
      <w:r w:rsidRPr="00442C2C" w:rsidR="003D4FF3">
        <w:rPr>
          <w:rFonts w:ascii="Arial" w:hAnsi="Arial" w:cs="Arial"/>
          <w:sz w:val="24"/>
          <w:szCs w:val="24"/>
        </w:rPr>
        <w:t>then</w:t>
      </w:r>
      <w:r w:rsidRPr="00442C2C" w:rsidR="00B05124">
        <w:rPr>
          <w:rFonts w:ascii="Arial" w:hAnsi="Arial" w:cs="Arial"/>
          <w:sz w:val="24"/>
          <w:szCs w:val="24"/>
        </w:rPr>
        <w:t xml:space="preserve"> based on the volume and merits of the waiver application, revise the instruction, criteria for application, and/or information collect in the waiver application, which CMS revised all </w:t>
      </w:r>
      <w:r w:rsidR="00192ADC">
        <w:rPr>
          <w:rFonts w:ascii="Arial" w:hAnsi="Arial" w:cs="Arial"/>
          <w:sz w:val="24"/>
          <w:szCs w:val="24"/>
        </w:rPr>
        <w:t>of these documents</w:t>
      </w:r>
      <w:r w:rsidRPr="00442C2C" w:rsidR="00B05124">
        <w:rPr>
          <w:rFonts w:ascii="Arial" w:hAnsi="Arial" w:cs="Arial"/>
          <w:sz w:val="24"/>
          <w:szCs w:val="24"/>
        </w:rPr>
        <w:t>.</w:t>
      </w:r>
    </w:p>
    <w:p w:rsidR="007C33A0" w:rsidRPr="00442C2C" w:rsidP="004B15EA" w14:paraId="4F23E27B" w14:textId="77777777">
      <w:pPr>
        <w:rPr>
          <w:rFonts w:ascii="Arial" w:hAnsi="Arial" w:cs="Arial"/>
          <w:sz w:val="24"/>
          <w:szCs w:val="24"/>
        </w:rPr>
      </w:pPr>
    </w:p>
    <w:p w:rsidR="004B15EA" w:rsidRPr="00442C2C" w:rsidP="004B15EA" w14:paraId="30472FF6" w14:textId="3C9764F2">
      <w:pPr>
        <w:rPr>
          <w:rFonts w:ascii="Arial" w:hAnsi="Arial" w:cs="Arial"/>
          <w:b/>
          <w:bCs/>
          <w:sz w:val="24"/>
          <w:szCs w:val="24"/>
        </w:rPr>
      </w:pPr>
      <w:r w:rsidRPr="00442C2C">
        <w:rPr>
          <w:rFonts w:ascii="Arial" w:hAnsi="Arial" w:cs="Arial"/>
          <w:b/>
          <w:bCs/>
          <w:sz w:val="24"/>
          <w:szCs w:val="24"/>
        </w:rPr>
        <w:t>B Justification</w:t>
      </w:r>
    </w:p>
    <w:p w:rsidR="004B15EA" w:rsidRPr="00442C2C" w:rsidP="000D2D62" w14:paraId="3607B753" w14:textId="1FBF20F7">
      <w:pPr>
        <w:pStyle w:val="ListParagraph"/>
        <w:numPr>
          <w:ilvl w:val="0"/>
          <w:numId w:val="1"/>
        </w:numPr>
        <w:rPr>
          <w:rFonts w:ascii="Arial" w:hAnsi="Arial" w:cs="Arial"/>
          <w:sz w:val="24"/>
          <w:szCs w:val="24"/>
          <w:u w:val="single"/>
        </w:rPr>
      </w:pPr>
      <w:r w:rsidRPr="00442C2C">
        <w:rPr>
          <w:rFonts w:ascii="Arial" w:hAnsi="Arial" w:cs="Arial"/>
          <w:sz w:val="24"/>
          <w:szCs w:val="24"/>
          <w:u w:val="single"/>
        </w:rPr>
        <w:t>Need and Legal Basis</w:t>
      </w:r>
    </w:p>
    <w:p w:rsidR="004B6103" w:rsidRPr="00442C2C" w:rsidP="000D2D62" w14:paraId="403CCBCA" w14:textId="092DA4E3">
      <w:pPr>
        <w:spacing w:before="120" w:after="120" w:line="240" w:lineRule="auto"/>
        <w:rPr>
          <w:rFonts w:ascii="Arial" w:hAnsi="Arial" w:cs="Arial"/>
          <w:sz w:val="24"/>
          <w:szCs w:val="24"/>
        </w:rPr>
      </w:pPr>
      <w:r w:rsidRPr="00442C2C">
        <w:rPr>
          <w:rFonts w:ascii="Arial" w:hAnsi="Arial" w:cs="Arial"/>
          <w:sz w:val="24"/>
          <w:szCs w:val="24"/>
        </w:rPr>
        <w:t>Authority for collection of this information is from section 1860D-4(7) of the Social Security Act</w:t>
      </w:r>
      <w:r w:rsidR="00A12FB6">
        <w:rPr>
          <w:rFonts w:ascii="Arial" w:hAnsi="Arial" w:cs="Arial"/>
          <w:sz w:val="24"/>
          <w:szCs w:val="24"/>
        </w:rPr>
        <w:t xml:space="preserve"> (the Act)), as</w:t>
      </w:r>
      <w:r w:rsidR="00CE29BA">
        <w:rPr>
          <w:rFonts w:ascii="Arial" w:hAnsi="Arial" w:cs="Arial"/>
          <w:sz w:val="24"/>
          <w:szCs w:val="24"/>
        </w:rPr>
        <w:t xml:space="preserve"> added by section 2003 of the SUPPORT for Patients and Communities Act</w:t>
      </w:r>
      <w:r w:rsidR="004371CE">
        <w:rPr>
          <w:rFonts w:ascii="Arial" w:hAnsi="Arial" w:cs="Arial"/>
          <w:sz w:val="24"/>
          <w:szCs w:val="24"/>
        </w:rPr>
        <w:t xml:space="preserve"> of 2018, requires prescribing Schedule II, III, IV, and V controlled substa</w:t>
      </w:r>
      <w:r w:rsidR="0080755F">
        <w:rPr>
          <w:rFonts w:ascii="Arial" w:hAnsi="Arial" w:cs="Arial"/>
          <w:sz w:val="24"/>
          <w:szCs w:val="24"/>
        </w:rPr>
        <w:t>nces under Medicare Part D be done electronically in accordance with an electronic prescription drug program</w:t>
      </w:r>
      <w:r w:rsidR="0090086B">
        <w:rPr>
          <w:rFonts w:ascii="Arial" w:hAnsi="Arial" w:cs="Arial"/>
          <w:sz w:val="24"/>
          <w:szCs w:val="24"/>
        </w:rPr>
        <w:t xml:space="preserve"> beginning January a, 2021, subject to any exceptions, which HHS may specify</w:t>
      </w:r>
      <w:r w:rsidR="006367F5">
        <w:rPr>
          <w:rFonts w:ascii="Arial" w:hAnsi="Arial" w:cs="Arial"/>
          <w:sz w:val="24"/>
          <w:szCs w:val="24"/>
        </w:rPr>
        <w:t>.</w:t>
      </w:r>
    </w:p>
    <w:p w:rsidR="004B15EA" w:rsidRPr="00442C2C" w:rsidP="000D2D62" w14:paraId="67FCB07F" w14:textId="264642D4">
      <w:pPr>
        <w:spacing w:before="120" w:after="120" w:line="240" w:lineRule="auto"/>
        <w:rPr>
          <w:rFonts w:ascii="Arial" w:hAnsi="Arial" w:cs="Arial"/>
          <w:sz w:val="24"/>
          <w:szCs w:val="24"/>
        </w:rPr>
      </w:pPr>
      <w:r w:rsidRPr="00442C2C">
        <w:rPr>
          <w:rFonts w:ascii="Arial" w:hAnsi="Arial" w:cs="Arial"/>
          <w:sz w:val="24"/>
          <w:szCs w:val="24"/>
        </w:rPr>
        <w:t xml:space="preserve">This collection is required because some prescribers need to apply for a waiver to qualify for the </w:t>
      </w:r>
      <w:r w:rsidR="00272363">
        <w:rPr>
          <w:rFonts w:ascii="Arial" w:hAnsi="Arial" w:cs="Arial"/>
          <w:sz w:val="24"/>
          <w:szCs w:val="24"/>
        </w:rPr>
        <w:t>exception if the prescriber is unable to conduct EPCS due to circumstances beyond the prescriber’s control. The waiver is needed starting</w:t>
      </w:r>
      <w:r w:rsidR="00CF7AAC">
        <w:rPr>
          <w:rFonts w:ascii="Arial" w:hAnsi="Arial" w:cs="Arial"/>
          <w:sz w:val="24"/>
          <w:szCs w:val="24"/>
        </w:rPr>
        <w:t xml:space="preserve"> with the 2023 EPCS compliance period. </w:t>
      </w:r>
    </w:p>
    <w:p w:rsidR="007C33A0" w:rsidRPr="00442C2C" w14:paraId="42EB0715" w14:textId="77777777">
      <w:pPr>
        <w:rPr>
          <w:rFonts w:ascii="Arial" w:hAnsi="Arial" w:cs="Arial"/>
          <w:sz w:val="24"/>
          <w:szCs w:val="24"/>
        </w:rPr>
      </w:pPr>
    </w:p>
    <w:p w:rsidR="004B15EA" w:rsidRPr="00442C2C" w:rsidP="000D2D62" w14:paraId="08A540C1" w14:textId="5CDEABE4">
      <w:pPr>
        <w:pStyle w:val="ListParagraph"/>
        <w:numPr>
          <w:ilvl w:val="0"/>
          <w:numId w:val="1"/>
        </w:numPr>
        <w:rPr>
          <w:rFonts w:ascii="Arial" w:hAnsi="Arial" w:cs="Arial"/>
          <w:sz w:val="24"/>
          <w:szCs w:val="24"/>
        </w:rPr>
      </w:pPr>
      <w:r w:rsidRPr="00442C2C">
        <w:rPr>
          <w:rFonts w:ascii="Arial" w:hAnsi="Arial" w:cs="Arial"/>
          <w:sz w:val="24"/>
          <w:szCs w:val="24"/>
          <w:u w:val="single"/>
        </w:rPr>
        <w:t>Information Users</w:t>
      </w:r>
    </w:p>
    <w:p w:rsidR="00D55D51" w:rsidRPr="00442C2C" w:rsidP="00074359" w14:paraId="0B38D2DB" w14:textId="0E94C079">
      <w:pPr>
        <w:spacing w:before="120" w:line="240" w:lineRule="auto"/>
        <w:rPr>
          <w:rFonts w:ascii="Arial" w:hAnsi="Arial" w:cs="Arial"/>
          <w:sz w:val="24"/>
          <w:szCs w:val="24"/>
        </w:rPr>
      </w:pPr>
      <w:r w:rsidRPr="00442C2C">
        <w:rPr>
          <w:rFonts w:ascii="Arial" w:hAnsi="Arial" w:cs="Arial"/>
          <w:sz w:val="24"/>
          <w:szCs w:val="24"/>
        </w:rPr>
        <w:t>Information users include CMS and EPCS prescribers</w:t>
      </w:r>
      <w:r w:rsidRPr="00442C2C" w:rsidR="0054176C">
        <w:rPr>
          <w:rFonts w:ascii="Arial" w:hAnsi="Arial" w:cs="Arial"/>
          <w:sz w:val="24"/>
          <w:szCs w:val="24"/>
        </w:rPr>
        <w:t>/authorized staff</w:t>
      </w:r>
      <w:r w:rsidRPr="00442C2C">
        <w:rPr>
          <w:rFonts w:ascii="Arial" w:hAnsi="Arial" w:cs="Arial"/>
          <w:sz w:val="24"/>
          <w:szCs w:val="24"/>
        </w:rPr>
        <w:t>.</w:t>
      </w:r>
    </w:p>
    <w:p w:rsidR="00D55D51" w:rsidRPr="00442C2C" w:rsidP="00074359" w14:paraId="109A5D35" w14:textId="17B33886">
      <w:pPr>
        <w:spacing w:before="120" w:line="240" w:lineRule="auto"/>
        <w:rPr>
          <w:rFonts w:ascii="Arial" w:hAnsi="Arial" w:cs="Arial"/>
          <w:sz w:val="24"/>
          <w:szCs w:val="24"/>
        </w:rPr>
      </w:pPr>
      <w:r w:rsidRPr="00442C2C">
        <w:rPr>
          <w:rFonts w:ascii="Arial" w:hAnsi="Arial" w:cs="Arial"/>
          <w:sz w:val="24"/>
          <w:szCs w:val="24"/>
        </w:rPr>
        <w:t xml:space="preserve">EPCS prescribers and their </w:t>
      </w:r>
      <w:r w:rsidRPr="00442C2C" w:rsidR="004E098F">
        <w:rPr>
          <w:rFonts w:ascii="Arial" w:hAnsi="Arial" w:cs="Arial"/>
          <w:sz w:val="24"/>
          <w:szCs w:val="24"/>
        </w:rPr>
        <w:t xml:space="preserve">authorized </w:t>
      </w:r>
      <w:r w:rsidRPr="00442C2C">
        <w:rPr>
          <w:rFonts w:ascii="Arial" w:hAnsi="Arial" w:cs="Arial"/>
          <w:sz w:val="24"/>
          <w:szCs w:val="24"/>
        </w:rPr>
        <w:t>staff fill out the waiver</w:t>
      </w:r>
      <w:r w:rsidRPr="00442C2C" w:rsidR="0054176C">
        <w:rPr>
          <w:rFonts w:ascii="Arial" w:hAnsi="Arial" w:cs="Arial"/>
          <w:sz w:val="24"/>
          <w:szCs w:val="24"/>
        </w:rPr>
        <w:t xml:space="preserve"> applications</w:t>
      </w:r>
      <w:r w:rsidRPr="00442C2C">
        <w:rPr>
          <w:rFonts w:ascii="Arial" w:hAnsi="Arial" w:cs="Arial"/>
          <w:sz w:val="24"/>
          <w:szCs w:val="24"/>
        </w:rPr>
        <w:t xml:space="preserve"> for circumstance beyond control that prevented the</w:t>
      </w:r>
      <w:r w:rsidRPr="00442C2C" w:rsidR="004E098F">
        <w:rPr>
          <w:rFonts w:ascii="Arial" w:hAnsi="Arial" w:cs="Arial"/>
          <w:sz w:val="24"/>
          <w:szCs w:val="24"/>
        </w:rPr>
        <w:t xml:space="preserve"> prescribers</w:t>
      </w:r>
      <w:r w:rsidRPr="00442C2C">
        <w:rPr>
          <w:rFonts w:ascii="Arial" w:hAnsi="Arial" w:cs="Arial"/>
          <w:sz w:val="24"/>
          <w:szCs w:val="24"/>
        </w:rPr>
        <w:t xml:space="preserve"> from meeting the EPCS compliance</w:t>
      </w:r>
      <w:r w:rsidRPr="00442C2C" w:rsidR="004E098F">
        <w:rPr>
          <w:rFonts w:ascii="Arial" w:hAnsi="Arial" w:cs="Arial"/>
          <w:sz w:val="24"/>
          <w:szCs w:val="24"/>
        </w:rPr>
        <w:t xml:space="preserve"> requirement</w:t>
      </w:r>
      <w:r w:rsidRPr="00442C2C">
        <w:rPr>
          <w:rFonts w:ascii="Arial" w:hAnsi="Arial" w:cs="Arial"/>
          <w:sz w:val="24"/>
          <w:szCs w:val="24"/>
        </w:rPr>
        <w:t xml:space="preserve">. Prior to submitting waiver, the EPCS Portal </w:t>
      </w:r>
      <w:r w:rsidRPr="00442C2C" w:rsidR="004E098F">
        <w:rPr>
          <w:rFonts w:ascii="Arial" w:hAnsi="Arial" w:cs="Arial"/>
          <w:sz w:val="24"/>
          <w:szCs w:val="24"/>
        </w:rPr>
        <w:t xml:space="preserve">that hosts the waiver application </w:t>
      </w:r>
      <w:r w:rsidRPr="00442C2C">
        <w:rPr>
          <w:rFonts w:ascii="Arial" w:hAnsi="Arial" w:cs="Arial"/>
          <w:sz w:val="24"/>
          <w:szCs w:val="24"/>
        </w:rPr>
        <w:t xml:space="preserve">gives instruction for prescribers and their </w:t>
      </w:r>
      <w:r w:rsidRPr="00442C2C" w:rsidR="0054176C">
        <w:rPr>
          <w:rFonts w:ascii="Arial" w:hAnsi="Arial" w:cs="Arial"/>
          <w:sz w:val="24"/>
          <w:szCs w:val="24"/>
        </w:rPr>
        <w:t xml:space="preserve">authorized </w:t>
      </w:r>
      <w:r w:rsidRPr="00442C2C">
        <w:rPr>
          <w:rFonts w:ascii="Arial" w:hAnsi="Arial" w:cs="Arial"/>
          <w:sz w:val="24"/>
          <w:szCs w:val="24"/>
        </w:rPr>
        <w:t xml:space="preserve">staff </w:t>
      </w:r>
      <w:r w:rsidRPr="00442C2C" w:rsidR="004E098F">
        <w:rPr>
          <w:rFonts w:ascii="Arial" w:hAnsi="Arial" w:cs="Arial"/>
          <w:sz w:val="24"/>
          <w:szCs w:val="24"/>
        </w:rPr>
        <w:t>for</w:t>
      </w:r>
      <w:r w:rsidRPr="00442C2C">
        <w:rPr>
          <w:rFonts w:ascii="Arial" w:hAnsi="Arial" w:cs="Arial"/>
          <w:sz w:val="24"/>
          <w:szCs w:val="24"/>
        </w:rPr>
        <w:t xml:space="preserve"> check</w:t>
      </w:r>
      <w:r w:rsidRPr="00442C2C" w:rsidR="004E098F">
        <w:rPr>
          <w:rFonts w:ascii="Arial" w:hAnsi="Arial" w:cs="Arial"/>
          <w:sz w:val="24"/>
          <w:szCs w:val="24"/>
        </w:rPr>
        <w:t xml:space="preserve">ing prescriber </w:t>
      </w:r>
      <w:r w:rsidRPr="00442C2C">
        <w:rPr>
          <w:rFonts w:ascii="Arial" w:hAnsi="Arial" w:cs="Arial"/>
          <w:sz w:val="24"/>
          <w:szCs w:val="24"/>
        </w:rPr>
        <w:t>compliance status</w:t>
      </w:r>
      <w:r w:rsidRPr="00442C2C" w:rsidR="005E1A41">
        <w:rPr>
          <w:rFonts w:ascii="Arial" w:hAnsi="Arial" w:cs="Arial"/>
          <w:sz w:val="24"/>
          <w:szCs w:val="24"/>
        </w:rPr>
        <w:t xml:space="preserve">. The instructions </w:t>
      </w:r>
      <w:r w:rsidRPr="00442C2C" w:rsidR="004E098F">
        <w:rPr>
          <w:rFonts w:ascii="Arial" w:hAnsi="Arial" w:cs="Arial"/>
          <w:sz w:val="24"/>
          <w:szCs w:val="24"/>
        </w:rPr>
        <w:t xml:space="preserve">also </w:t>
      </w:r>
      <w:r w:rsidRPr="00442C2C" w:rsidR="005E1A41">
        <w:rPr>
          <w:rFonts w:ascii="Arial" w:hAnsi="Arial" w:cs="Arial"/>
          <w:sz w:val="24"/>
          <w:szCs w:val="24"/>
        </w:rPr>
        <w:t xml:space="preserve">shows that only those who are not yet compliant </w:t>
      </w:r>
      <w:r w:rsidRPr="00442C2C" w:rsidR="004E098F">
        <w:rPr>
          <w:rFonts w:ascii="Arial" w:hAnsi="Arial" w:cs="Arial"/>
          <w:sz w:val="24"/>
          <w:szCs w:val="24"/>
        </w:rPr>
        <w:t>can apply for the</w:t>
      </w:r>
      <w:r w:rsidRPr="00442C2C" w:rsidR="005E1A41">
        <w:rPr>
          <w:rFonts w:ascii="Arial" w:hAnsi="Arial" w:cs="Arial"/>
          <w:sz w:val="24"/>
          <w:szCs w:val="24"/>
        </w:rPr>
        <w:t xml:space="preserve"> waiver for circumstance beyond control. The EPCS prescribers and their</w:t>
      </w:r>
      <w:r w:rsidRPr="00442C2C" w:rsidR="004E098F">
        <w:rPr>
          <w:rFonts w:ascii="Arial" w:hAnsi="Arial" w:cs="Arial"/>
          <w:sz w:val="24"/>
          <w:szCs w:val="24"/>
        </w:rPr>
        <w:t xml:space="preserve"> authorized</w:t>
      </w:r>
      <w:r w:rsidRPr="00442C2C" w:rsidR="005E1A41">
        <w:rPr>
          <w:rFonts w:ascii="Arial" w:hAnsi="Arial" w:cs="Arial"/>
          <w:sz w:val="24"/>
          <w:szCs w:val="24"/>
        </w:rPr>
        <w:t xml:space="preserve"> staff can check the</w:t>
      </w:r>
      <w:r w:rsidRPr="00442C2C" w:rsidR="004E098F">
        <w:rPr>
          <w:rFonts w:ascii="Arial" w:hAnsi="Arial" w:cs="Arial"/>
          <w:sz w:val="24"/>
          <w:szCs w:val="24"/>
        </w:rPr>
        <w:t xml:space="preserve">ir </w:t>
      </w:r>
      <w:r w:rsidRPr="00442C2C" w:rsidR="005E1A41">
        <w:rPr>
          <w:rFonts w:ascii="Arial" w:hAnsi="Arial" w:cs="Arial"/>
          <w:sz w:val="24"/>
          <w:szCs w:val="24"/>
        </w:rPr>
        <w:t>waiver approval/denial status</w:t>
      </w:r>
      <w:r w:rsidRPr="00442C2C" w:rsidR="004E098F">
        <w:rPr>
          <w:rFonts w:ascii="Arial" w:hAnsi="Arial" w:cs="Arial"/>
          <w:sz w:val="24"/>
          <w:szCs w:val="24"/>
        </w:rPr>
        <w:t xml:space="preserve"> in the EPCS Portal</w:t>
      </w:r>
      <w:r w:rsidRPr="00442C2C" w:rsidR="0054176C">
        <w:rPr>
          <w:rFonts w:ascii="Arial" w:hAnsi="Arial" w:cs="Arial"/>
          <w:sz w:val="24"/>
          <w:szCs w:val="24"/>
        </w:rPr>
        <w:t xml:space="preserve"> and supply additional information if asked</w:t>
      </w:r>
      <w:r w:rsidRPr="00442C2C" w:rsidR="005E1A41">
        <w:rPr>
          <w:rFonts w:ascii="Arial" w:hAnsi="Arial" w:cs="Arial"/>
          <w:sz w:val="24"/>
          <w:szCs w:val="24"/>
        </w:rPr>
        <w:t>.</w:t>
      </w:r>
    </w:p>
    <w:p w:rsidR="00D55D51" w:rsidRPr="00442C2C" w:rsidP="00074359" w14:paraId="379BC64C" w14:textId="68328E03">
      <w:pPr>
        <w:spacing w:before="120" w:line="240" w:lineRule="auto"/>
        <w:rPr>
          <w:rFonts w:ascii="Arial" w:hAnsi="Arial" w:cs="Arial"/>
          <w:sz w:val="24"/>
          <w:szCs w:val="24"/>
        </w:rPr>
      </w:pPr>
      <w:r w:rsidRPr="00442C2C">
        <w:rPr>
          <w:rFonts w:ascii="Arial" w:hAnsi="Arial" w:cs="Arial"/>
          <w:sz w:val="24"/>
          <w:szCs w:val="24"/>
        </w:rPr>
        <w:t>CMS</w:t>
      </w:r>
      <w:r w:rsidRPr="00442C2C" w:rsidR="005E1A41">
        <w:rPr>
          <w:rFonts w:ascii="Arial" w:hAnsi="Arial" w:cs="Arial"/>
          <w:sz w:val="24"/>
          <w:szCs w:val="24"/>
        </w:rPr>
        <w:t xml:space="preserve"> use</w:t>
      </w:r>
      <w:r w:rsidRPr="00442C2C" w:rsidR="004E098F">
        <w:rPr>
          <w:rFonts w:ascii="Arial" w:hAnsi="Arial" w:cs="Arial"/>
          <w:sz w:val="24"/>
          <w:szCs w:val="24"/>
        </w:rPr>
        <w:t>s</w:t>
      </w:r>
      <w:r w:rsidRPr="00442C2C" w:rsidR="005E1A41">
        <w:rPr>
          <w:rFonts w:ascii="Arial" w:hAnsi="Arial" w:cs="Arial"/>
          <w:sz w:val="24"/>
          <w:szCs w:val="24"/>
        </w:rPr>
        <w:t xml:space="preserve"> the waiver Portal to receive waiver applications, then </w:t>
      </w:r>
      <w:r w:rsidRPr="00442C2C" w:rsidR="004E098F">
        <w:rPr>
          <w:rFonts w:ascii="Arial" w:hAnsi="Arial" w:cs="Arial"/>
          <w:sz w:val="24"/>
          <w:szCs w:val="24"/>
        </w:rPr>
        <w:t xml:space="preserve">CMS </w:t>
      </w:r>
      <w:r w:rsidRPr="00442C2C" w:rsidR="005E1A41">
        <w:rPr>
          <w:rFonts w:ascii="Arial" w:hAnsi="Arial" w:cs="Arial"/>
          <w:sz w:val="24"/>
          <w:szCs w:val="24"/>
        </w:rPr>
        <w:t>review these applications to approve, ask further information, or deny</w:t>
      </w:r>
      <w:r w:rsidRPr="00442C2C" w:rsidR="004E098F">
        <w:rPr>
          <w:rFonts w:ascii="Arial" w:hAnsi="Arial" w:cs="Arial"/>
          <w:sz w:val="24"/>
          <w:szCs w:val="24"/>
        </w:rPr>
        <w:t xml:space="preserve"> the</w:t>
      </w:r>
      <w:r w:rsidRPr="00442C2C" w:rsidR="005E1A41">
        <w:rPr>
          <w:rFonts w:ascii="Arial" w:hAnsi="Arial" w:cs="Arial"/>
          <w:sz w:val="24"/>
          <w:szCs w:val="24"/>
        </w:rPr>
        <w:t xml:space="preserve"> waiver for circumstance beyond control. </w:t>
      </w:r>
      <w:r w:rsidRPr="00442C2C" w:rsidR="004E098F">
        <w:rPr>
          <w:rFonts w:ascii="Arial" w:hAnsi="Arial" w:cs="Arial"/>
          <w:sz w:val="24"/>
          <w:szCs w:val="24"/>
        </w:rPr>
        <w:t>CMS also uses the waiver information to u</w:t>
      </w:r>
      <w:r w:rsidRPr="00442C2C" w:rsidR="00E019ED">
        <w:rPr>
          <w:rFonts w:ascii="Arial" w:hAnsi="Arial" w:cs="Arial"/>
          <w:sz w:val="24"/>
          <w:szCs w:val="24"/>
        </w:rPr>
        <w:t>nderstand prescriber compliance pain points and improve education</w:t>
      </w:r>
      <w:r w:rsidRPr="00442C2C" w:rsidR="00112E09">
        <w:rPr>
          <w:rFonts w:ascii="Arial" w:hAnsi="Arial" w:cs="Arial"/>
          <w:sz w:val="24"/>
          <w:szCs w:val="24"/>
        </w:rPr>
        <w:t xml:space="preserve">, </w:t>
      </w:r>
      <w:r w:rsidRPr="00442C2C" w:rsidR="00E019ED">
        <w:rPr>
          <w:rFonts w:ascii="Arial" w:hAnsi="Arial" w:cs="Arial"/>
          <w:sz w:val="24"/>
          <w:szCs w:val="24"/>
        </w:rPr>
        <w:t>outreach</w:t>
      </w:r>
      <w:r w:rsidRPr="00442C2C" w:rsidR="00112E09">
        <w:rPr>
          <w:rFonts w:ascii="Arial" w:hAnsi="Arial" w:cs="Arial"/>
          <w:sz w:val="24"/>
          <w:szCs w:val="24"/>
        </w:rPr>
        <w:t>, and operations</w:t>
      </w:r>
      <w:r w:rsidRPr="00442C2C" w:rsidR="004E098F">
        <w:rPr>
          <w:rFonts w:ascii="Arial" w:hAnsi="Arial" w:cs="Arial"/>
          <w:sz w:val="24"/>
          <w:szCs w:val="24"/>
        </w:rPr>
        <w:t xml:space="preserve"> </w:t>
      </w:r>
      <w:r w:rsidRPr="00442C2C" w:rsidR="00E019ED">
        <w:rPr>
          <w:rFonts w:ascii="Arial" w:hAnsi="Arial" w:cs="Arial"/>
          <w:sz w:val="24"/>
          <w:szCs w:val="24"/>
        </w:rPr>
        <w:t>as appropriate.</w:t>
      </w:r>
      <w:r w:rsidRPr="00442C2C" w:rsidR="00DA05C5">
        <w:rPr>
          <w:rFonts w:ascii="Arial" w:hAnsi="Arial" w:cs="Arial"/>
          <w:sz w:val="24"/>
          <w:szCs w:val="24"/>
        </w:rPr>
        <w:t xml:space="preserve"> Should a waiver request be denied, a prescriber’s final non-compliance may be subjected to CMS processes for investigating fraud, waste, and abuse.</w:t>
      </w:r>
    </w:p>
    <w:p w:rsidR="007C33A0" w:rsidRPr="00442C2C" w14:paraId="30A94B68" w14:textId="77777777">
      <w:pPr>
        <w:rPr>
          <w:rFonts w:ascii="Arial" w:hAnsi="Arial" w:cs="Arial"/>
          <w:sz w:val="24"/>
          <w:szCs w:val="24"/>
        </w:rPr>
      </w:pPr>
    </w:p>
    <w:p w:rsidR="004B15EA" w:rsidRPr="00442C2C" w:rsidP="000D2D62" w14:paraId="4ADE47AE" w14:textId="722ACE51">
      <w:pPr>
        <w:pStyle w:val="ListParagraph"/>
        <w:numPr>
          <w:ilvl w:val="0"/>
          <w:numId w:val="1"/>
        </w:numPr>
        <w:rPr>
          <w:rFonts w:ascii="Arial" w:hAnsi="Arial" w:cs="Arial"/>
          <w:sz w:val="24"/>
          <w:szCs w:val="24"/>
          <w:u w:val="single"/>
        </w:rPr>
      </w:pPr>
      <w:r w:rsidRPr="00442C2C">
        <w:rPr>
          <w:rFonts w:ascii="Arial" w:hAnsi="Arial" w:cs="Arial"/>
          <w:sz w:val="24"/>
          <w:szCs w:val="24"/>
          <w:u w:val="single"/>
        </w:rPr>
        <w:t>Use of Information Technology</w:t>
      </w:r>
    </w:p>
    <w:p w:rsidR="004B15EA" w:rsidRPr="00442C2C" w:rsidP="00074359" w14:paraId="1ABC231F" w14:textId="2AC947F0">
      <w:pPr>
        <w:spacing w:before="120" w:after="120" w:line="240" w:lineRule="auto"/>
        <w:rPr>
          <w:rFonts w:ascii="Arial" w:hAnsi="Arial" w:cs="Arial"/>
          <w:sz w:val="24"/>
          <w:szCs w:val="24"/>
        </w:rPr>
      </w:pPr>
      <w:r w:rsidRPr="00442C2C">
        <w:rPr>
          <w:rFonts w:ascii="Arial" w:hAnsi="Arial" w:cs="Arial"/>
          <w:sz w:val="24"/>
          <w:szCs w:val="24"/>
        </w:rPr>
        <w:t xml:space="preserve">Prescribers who are requesting a waiver would </w:t>
      </w:r>
      <w:r w:rsidRPr="00442C2C" w:rsidR="003D609C">
        <w:rPr>
          <w:rFonts w:ascii="Arial" w:hAnsi="Arial" w:cs="Arial"/>
          <w:sz w:val="24"/>
          <w:szCs w:val="24"/>
        </w:rPr>
        <w:t>apply</w:t>
      </w:r>
      <w:r w:rsidRPr="00442C2C">
        <w:rPr>
          <w:rFonts w:ascii="Arial" w:hAnsi="Arial" w:cs="Arial"/>
          <w:sz w:val="24"/>
          <w:szCs w:val="24"/>
        </w:rPr>
        <w:t xml:space="preserve"> through an online portal. Prescribers also have the option of contacting the support desk if they do not have access to the </w:t>
      </w:r>
      <w:r w:rsidR="00620632">
        <w:rPr>
          <w:rFonts w:ascii="Arial" w:hAnsi="Arial" w:cs="Arial"/>
          <w:sz w:val="24"/>
          <w:szCs w:val="24"/>
        </w:rPr>
        <w:t>portal.</w:t>
      </w:r>
    </w:p>
    <w:p w:rsidR="00ED2A70" w:rsidRPr="00442C2C" w14:paraId="3CF86A6E" w14:textId="77777777">
      <w:pPr>
        <w:rPr>
          <w:rFonts w:ascii="Arial" w:hAnsi="Arial" w:cs="Arial"/>
          <w:sz w:val="24"/>
          <w:szCs w:val="24"/>
        </w:rPr>
      </w:pPr>
    </w:p>
    <w:p w:rsidR="004B15EA" w:rsidRPr="00442C2C" w:rsidP="000D2D62" w14:paraId="0761B150" w14:textId="5398924B">
      <w:pPr>
        <w:pStyle w:val="ListParagraph"/>
        <w:numPr>
          <w:ilvl w:val="0"/>
          <w:numId w:val="1"/>
        </w:numPr>
        <w:rPr>
          <w:rFonts w:ascii="Arial" w:hAnsi="Arial" w:cs="Arial"/>
          <w:sz w:val="24"/>
          <w:szCs w:val="24"/>
          <w:u w:val="single"/>
        </w:rPr>
      </w:pPr>
      <w:r w:rsidRPr="00442C2C">
        <w:rPr>
          <w:rFonts w:ascii="Arial" w:hAnsi="Arial" w:cs="Arial"/>
          <w:sz w:val="24"/>
          <w:szCs w:val="24"/>
          <w:u w:val="single"/>
        </w:rPr>
        <w:t>Duplication of Efforts</w:t>
      </w:r>
    </w:p>
    <w:p w:rsidR="004B15EA" w:rsidRPr="00442C2C" w:rsidP="00074359" w14:paraId="49DC0D20" w14:textId="3BAC1A96">
      <w:pPr>
        <w:spacing w:before="120" w:after="120" w:line="240" w:lineRule="auto"/>
        <w:rPr>
          <w:rFonts w:ascii="Arial" w:hAnsi="Arial" w:cs="Arial"/>
          <w:sz w:val="24"/>
          <w:szCs w:val="24"/>
        </w:rPr>
      </w:pPr>
      <w:r w:rsidRPr="00442C2C">
        <w:rPr>
          <w:rFonts w:ascii="Arial" w:hAnsi="Arial" w:cs="Arial"/>
          <w:sz w:val="24"/>
          <w:szCs w:val="24"/>
        </w:rPr>
        <w:t xml:space="preserve">This information collection does not duplicate any other </w:t>
      </w:r>
      <w:r w:rsidRPr="00442C2C">
        <w:rPr>
          <w:rFonts w:ascii="Arial" w:hAnsi="Arial" w:cs="Arial"/>
          <w:sz w:val="24"/>
          <w:szCs w:val="24"/>
        </w:rPr>
        <w:t>effort</w:t>
      </w:r>
      <w:r w:rsidRPr="00442C2C">
        <w:rPr>
          <w:rFonts w:ascii="Arial" w:hAnsi="Arial" w:cs="Arial"/>
          <w:sz w:val="24"/>
          <w:szCs w:val="24"/>
        </w:rPr>
        <w:t xml:space="preserve"> and the information cannot be </w:t>
      </w:r>
      <w:r w:rsidR="00FB1439">
        <w:rPr>
          <w:rFonts w:ascii="Arial" w:hAnsi="Arial" w:cs="Arial"/>
          <w:sz w:val="24"/>
          <w:szCs w:val="24"/>
        </w:rPr>
        <w:t>obtained from any other source.</w:t>
      </w:r>
    </w:p>
    <w:p w:rsidR="00ED2A70" w:rsidRPr="00442C2C" w:rsidP="004B15EA" w14:paraId="58415317" w14:textId="77777777">
      <w:pPr>
        <w:rPr>
          <w:rFonts w:ascii="Arial" w:hAnsi="Arial" w:cs="Arial"/>
          <w:sz w:val="24"/>
          <w:szCs w:val="24"/>
        </w:rPr>
      </w:pPr>
    </w:p>
    <w:p w:rsidR="004F6AB4" w:rsidRPr="00442C2C" w:rsidP="00442C2C" w14:paraId="4115A7AE" w14:textId="10AC69E8">
      <w:pPr>
        <w:pStyle w:val="ListParagraph"/>
        <w:numPr>
          <w:ilvl w:val="0"/>
          <w:numId w:val="1"/>
        </w:numPr>
        <w:spacing w:line="240" w:lineRule="auto"/>
        <w:rPr>
          <w:rFonts w:ascii="Arial" w:hAnsi="Arial" w:cs="Arial"/>
          <w:sz w:val="24"/>
          <w:szCs w:val="24"/>
          <w:u w:val="single"/>
        </w:rPr>
      </w:pPr>
      <w:r w:rsidRPr="00442C2C">
        <w:rPr>
          <w:rFonts w:ascii="Arial" w:hAnsi="Arial" w:cs="Arial"/>
          <w:sz w:val="24"/>
          <w:szCs w:val="24"/>
          <w:u w:val="single"/>
        </w:rPr>
        <w:t>Small Businesses</w:t>
      </w:r>
    </w:p>
    <w:p w:rsidR="004B15EA" w:rsidRPr="00442C2C" w:rsidP="00442C2C" w14:paraId="69BB439F" w14:textId="7BFBB642">
      <w:pPr>
        <w:pStyle w:val="NoSpacing"/>
        <w:rPr>
          <w:rFonts w:ascii="Arial" w:hAnsi="Arial" w:cs="Arial"/>
          <w:sz w:val="24"/>
          <w:szCs w:val="24"/>
        </w:rPr>
      </w:pPr>
      <w:r w:rsidRPr="00DA33A9">
        <w:rPr>
          <w:rFonts w:ascii="Arial" w:hAnsi="Arial" w:cs="Arial"/>
          <w:sz w:val="24"/>
          <w:szCs w:val="24"/>
        </w:rPr>
        <w:t xml:space="preserve">We expect that many prescribers that </w:t>
      </w:r>
      <w:r w:rsidRPr="00DA33A9">
        <w:rPr>
          <w:rFonts w:ascii="Arial" w:hAnsi="Arial" w:cs="Arial"/>
          <w:sz w:val="24"/>
          <w:szCs w:val="24"/>
        </w:rPr>
        <w:t>submit an application</w:t>
      </w:r>
      <w:r w:rsidRPr="00DA33A9">
        <w:rPr>
          <w:rFonts w:ascii="Arial" w:hAnsi="Arial" w:cs="Arial"/>
          <w:sz w:val="24"/>
          <w:szCs w:val="24"/>
        </w:rPr>
        <w:t xml:space="preserve"> for the EPCS waiver will qualify for small business status under the Small Business Administration (SBA) standards. To Minimize burden to small practices, the EPCS requirements has a separate automatic exclusion for prescribers that have 1</w:t>
      </w:r>
      <w:r w:rsidR="006129A2">
        <w:rPr>
          <w:rFonts w:ascii="Arial" w:hAnsi="Arial" w:cs="Arial"/>
          <w:sz w:val="24"/>
          <w:szCs w:val="24"/>
        </w:rPr>
        <w:t>00</w:t>
      </w:r>
      <w:r w:rsidRPr="00DA33A9">
        <w:rPr>
          <w:rFonts w:ascii="Arial" w:hAnsi="Arial" w:cs="Arial"/>
          <w:sz w:val="24"/>
          <w:szCs w:val="24"/>
        </w:rPr>
        <w:t xml:space="preserve"> or fewer Medicare Part D prescriptions for controlled substances. These prescribers would not need to apply for a waiver. </w:t>
      </w:r>
    </w:p>
    <w:p w:rsidR="00074359" w:rsidRPr="00442C2C" w:rsidP="00074359" w14:paraId="411EDE73" w14:textId="77777777">
      <w:pPr>
        <w:spacing w:before="120" w:after="120" w:line="240" w:lineRule="auto"/>
        <w:rPr>
          <w:rFonts w:ascii="Arial" w:hAnsi="Arial" w:cs="Arial"/>
          <w:sz w:val="24"/>
          <w:szCs w:val="24"/>
        </w:rPr>
      </w:pPr>
    </w:p>
    <w:p w:rsidR="004B15EA" w:rsidRPr="00442C2C" w:rsidP="00074359" w14:paraId="501E23FF" w14:textId="3103F0C6">
      <w:pPr>
        <w:pStyle w:val="ListParagraph"/>
        <w:numPr>
          <w:ilvl w:val="0"/>
          <w:numId w:val="1"/>
        </w:numPr>
        <w:rPr>
          <w:rFonts w:ascii="Arial" w:hAnsi="Arial" w:cs="Arial"/>
          <w:sz w:val="24"/>
          <w:szCs w:val="24"/>
          <w:u w:val="single"/>
        </w:rPr>
      </w:pPr>
      <w:r w:rsidRPr="00442C2C">
        <w:rPr>
          <w:rFonts w:ascii="Arial" w:hAnsi="Arial" w:cs="Arial"/>
          <w:sz w:val="24"/>
          <w:szCs w:val="24"/>
          <w:u w:val="single"/>
        </w:rPr>
        <w:t>Less Frequent Collection</w:t>
      </w:r>
    </w:p>
    <w:p w:rsidR="00AD7489" w:rsidRPr="000F3FFB" w:rsidP="00AD7489" w14:paraId="6D77A417" w14:textId="005B6590">
      <w:pPr>
        <w:spacing w:before="120" w:after="120" w:line="240" w:lineRule="auto"/>
        <w:rPr>
          <w:rFonts w:ascii="Arial" w:hAnsi="Arial" w:cs="Arial"/>
          <w:sz w:val="24"/>
          <w:szCs w:val="24"/>
        </w:rPr>
      </w:pPr>
      <w:r w:rsidRPr="00442C2C">
        <w:rPr>
          <w:rFonts w:ascii="Arial" w:hAnsi="Arial" w:cs="Arial"/>
          <w:sz w:val="24"/>
          <w:szCs w:val="24"/>
        </w:rPr>
        <w:t xml:space="preserve">If the waiver for EPCS is collected on a less than annual basis, then CMS would not be able to </w:t>
      </w:r>
      <w:r w:rsidRPr="000F3FFB">
        <w:rPr>
          <w:rFonts w:ascii="Arial" w:hAnsi="Arial" w:cs="Arial"/>
          <w:sz w:val="24"/>
          <w:szCs w:val="24"/>
        </w:rPr>
        <w:t>identify prescribers who are exempt from EPCS requirements due to circumstances beyond the prescriber's control for a calendar year. This may lead to CMS incorrectly identifying a prescriber as non-compliant.</w:t>
      </w:r>
    </w:p>
    <w:p w:rsidR="004B15EA" w:rsidRPr="00442C2C" w:rsidP="00074359" w14:paraId="46308609" w14:textId="3A46DF0C">
      <w:pPr>
        <w:spacing w:before="120" w:after="120" w:line="240" w:lineRule="auto"/>
        <w:rPr>
          <w:rFonts w:ascii="Arial" w:hAnsi="Arial" w:cs="Arial"/>
          <w:sz w:val="24"/>
          <w:szCs w:val="24"/>
        </w:rPr>
      </w:pPr>
    </w:p>
    <w:p w:rsidR="004B15EA" w:rsidRPr="00442C2C" w:rsidP="00074359" w14:paraId="4E92D160" w14:textId="50FBAD6E">
      <w:pPr>
        <w:pStyle w:val="ListParagraph"/>
        <w:numPr>
          <w:ilvl w:val="0"/>
          <w:numId w:val="1"/>
        </w:numPr>
        <w:rPr>
          <w:rFonts w:ascii="Arial" w:hAnsi="Arial" w:cs="Arial"/>
          <w:sz w:val="24"/>
          <w:szCs w:val="24"/>
          <w:u w:val="single"/>
        </w:rPr>
      </w:pPr>
      <w:r w:rsidRPr="00442C2C">
        <w:rPr>
          <w:rFonts w:ascii="Arial" w:hAnsi="Arial" w:cs="Arial"/>
          <w:sz w:val="24"/>
          <w:szCs w:val="24"/>
          <w:u w:val="single"/>
        </w:rPr>
        <w:t>Special Circumstances</w:t>
      </w:r>
    </w:p>
    <w:p w:rsidR="004B15EA" w:rsidRPr="00442C2C" w:rsidP="004B15EA" w14:paraId="71771C00" w14:textId="77777777">
      <w:pPr>
        <w:rPr>
          <w:rFonts w:ascii="Arial" w:hAnsi="Arial" w:cs="Arial"/>
          <w:sz w:val="24"/>
          <w:szCs w:val="24"/>
        </w:rPr>
      </w:pPr>
      <w:r w:rsidRPr="00442C2C">
        <w:rPr>
          <w:rFonts w:ascii="Arial" w:hAnsi="Arial" w:cs="Arial"/>
          <w:sz w:val="24"/>
          <w:szCs w:val="24"/>
        </w:rPr>
        <w:t>There are no special circumstances.</w:t>
      </w:r>
    </w:p>
    <w:p w:rsidR="0084499A" w:rsidRPr="00442C2C" w:rsidP="004B15EA" w14:paraId="1C3CC115" w14:textId="77777777">
      <w:pPr>
        <w:rPr>
          <w:rFonts w:ascii="Arial" w:hAnsi="Arial" w:cs="Arial"/>
          <w:sz w:val="24"/>
          <w:szCs w:val="24"/>
        </w:rPr>
      </w:pPr>
    </w:p>
    <w:p w:rsidR="004B15EA" w:rsidRPr="00442C2C" w:rsidP="00074359" w14:paraId="017A1AD3" w14:textId="177AEB77">
      <w:pPr>
        <w:pStyle w:val="ListParagraph"/>
        <w:numPr>
          <w:ilvl w:val="0"/>
          <w:numId w:val="1"/>
        </w:numPr>
        <w:rPr>
          <w:rFonts w:ascii="Arial" w:hAnsi="Arial" w:cs="Arial"/>
          <w:sz w:val="24"/>
          <w:szCs w:val="24"/>
          <w:u w:val="single"/>
        </w:rPr>
      </w:pPr>
      <w:r w:rsidRPr="00442C2C">
        <w:rPr>
          <w:rFonts w:ascii="Arial" w:hAnsi="Arial" w:cs="Arial"/>
          <w:sz w:val="24"/>
          <w:szCs w:val="24"/>
        </w:rPr>
        <w:t xml:space="preserve"> </w:t>
      </w:r>
      <w:r w:rsidRPr="00442C2C">
        <w:rPr>
          <w:rFonts w:ascii="Arial" w:hAnsi="Arial" w:cs="Arial"/>
          <w:sz w:val="24"/>
          <w:szCs w:val="24"/>
          <w:u w:val="single"/>
        </w:rPr>
        <w:t>Federal Register/Outside Consultation</w:t>
      </w:r>
    </w:p>
    <w:p w:rsidR="004B15EA" w:rsidP="00C670BA" w14:paraId="5E05C9AA" w14:textId="5365968C">
      <w:pPr>
        <w:pStyle w:val="NoSpacing"/>
        <w:rPr>
          <w:rFonts w:ascii="Arial" w:hAnsi="Arial" w:cs="Arial"/>
          <w:sz w:val="24"/>
          <w:szCs w:val="24"/>
        </w:rPr>
      </w:pPr>
      <w:r w:rsidRPr="00C670BA">
        <w:rPr>
          <w:rFonts w:ascii="Arial" w:hAnsi="Arial" w:cs="Arial"/>
          <w:sz w:val="24"/>
          <w:szCs w:val="24"/>
        </w:rPr>
        <w:t>The 60-day Federal Register notice</w:t>
      </w:r>
      <w:r w:rsidR="00FC11DB">
        <w:rPr>
          <w:rFonts w:ascii="Arial" w:hAnsi="Arial" w:cs="Arial"/>
          <w:sz w:val="24"/>
          <w:szCs w:val="24"/>
        </w:rPr>
        <w:t xml:space="preserve"> </w:t>
      </w:r>
      <w:r w:rsidRPr="00C670BA">
        <w:rPr>
          <w:rFonts w:ascii="Arial" w:hAnsi="Arial" w:cs="Arial"/>
          <w:sz w:val="24"/>
          <w:szCs w:val="24"/>
        </w:rPr>
        <w:t xml:space="preserve">published on </w:t>
      </w:r>
      <w:r w:rsidR="002734FE">
        <w:rPr>
          <w:rFonts w:ascii="Arial" w:hAnsi="Arial" w:cs="Arial"/>
          <w:sz w:val="24"/>
          <w:szCs w:val="24"/>
        </w:rPr>
        <w:t>September 19, 2025</w:t>
      </w:r>
      <w:r w:rsidR="002019FB">
        <w:rPr>
          <w:rFonts w:ascii="Arial" w:hAnsi="Arial" w:cs="Arial"/>
          <w:sz w:val="24"/>
          <w:szCs w:val="24"/>
        </w:rPr>
        <w:t xml:space="preserve"> (90 FR 45214)</w:t>
      </w:r>
      <w:r w:rsidRPr="00C670BA" w:rsidR="00463334">
        <w:rPr>
          <w:rFonts w:ascii="Arial" w:hAnsi="Arial" w:cs="Arial"/>
          <w:sz w:val="24"/>
          <w:szCs w:val="24"/>
        </w:rPr>
        <w:t>.</w:t>
      </w:r>
    </w:p>
    <w:p w:rsidR="00174532" w:rsidRPr="000052BE" w:rsidP="00174532" w14:paraId="425255DE" w14:textId="77777777">
      <w:pPr>
        <w:pStyle w:val="NormalWeb"/>
        <w:rPr>
          <w:rFonts w:ascii="Arial" w:hAnsi="Arial" w:cs="Arial"/>
        </w:rPr>
      </w:pPr>
      <w:r w:rsidRPr="000052BE">
        <w:rPr>
          <w:rFonts w:ascii="Arial" w:hAnsi="Arial" w:cs="Arial"/>
        </w:rPr>
        <w:t>CMS received two public comments in response to the 60-day Federal Register notice. The first commenter expressed concern that the burden estimates overstated the time required for an individual to complete a waiver application and questioned whether the estimated 306 waivers represented a per-practitioner burden. CMS clarified that the burden figures reflect aggregate national estimates rather than per-individual values and that each waiver application is expected to take approximately 0.17 hours (about 10 minutes).</w:t>
      </w:r>
    </w:p>
    <w:p w:rsidR="00174532" w:rsidRPr="000052BE" w:rsidP="00174532" w14:paraId="6BB4EABB" w14:textId="77777777">
      <w:pPr>
        <w:pStyle w:val="NormalWeb"/>
        <w:rPr>
          <w:rFonts w:ascii="Arial" w:hAnsi="Arial" w:cs="Arial"/>
        </w:rPr>
      </w:pPr>
      <w:r w:rsidRPr="000052BE">
        <w:rPr>
          <w:rFonts w:ascii="Arial" w:hAnsi="Arial" w:cs="Arial"/>
        </w:rPr>
        <w:t>The second commenter supported the EPCS requirements but noted that smaller or resource-limited practices may face challenges adopting electronic prescribing technology. CMS acknowledged these considerations and highlighted that prior rulemaking established a small prescriber exemption to accommodate providers who write a low volume of Medicare Part D prescriptions. CMS also noted that the phased compliance schedule allows additional time for technology upgrades and workflow adjustments.</w:t>
      </w:r>
    </w:p>
    <w:p w:rsidR="00174532" w:rsidRPr="000052BE" w:rsidP="00174532" w14:paraId="169DF3E8" w14:textId="2C97ECB3">
      <w:pPr>
        <w:pStyle w:val="NormalWeb"/>
        <w:rPr>
          <w:rFonts w:ascii="Arial" w:hAnsi="Arial" w:cs="Arial"/>
        </w:rPr>
      </w:pPr>
      <w:r w:rsidRPr="000052BE">
        <w:rPr>
          <w:rFonts w:ascii="Arial" w:hAnsi="Arial" w:cs="Arial"/>
        </w:rPr>
        <w:t xml:space="preserve">CMS addressed both comments in </w:t>
      </w:r>
      <w:r w:rsidRPr="000052BE">
        <w:rPr>
          <w:rFonts w:ascii="Arial" w:hAnsi="Arial" w:cs="Arial"/>
        </w:rPr>
        <w:t xml:space="preserve">a </w:t>
      </w:r>
      <w:r w:rsidR="000052BE">
        <w:rPr>
          <w:rFonts w:ascii="Arial" w:hAnsi="Arial" w:cs="Arial"/>
        </w:rPr>
        <w:t>response</w:t>
      </w:r>
      <w:r w:rsidR="000052BE">
        <w:rPr>
          <w:rFonts w:ascii="Arial" w:hAnsi="Arial" w:cs="Arial"/>
        </w:rPr>
        <w:t xml:space="preserve"> to comments</w:t>
      </w:r>
      <w:r w:rsidRPr="000052BE">
        <w:rPr>
          <w:rFonts w:ascii="Arial" w:hAnsi="Arial" w:cs="Arial"/>
        </w:rPr>
        <w:t xml:space="preserve"> document included as Attachment A.</w:t>
      </w:r>
    </w:p>
    <w:p w:rsidR="00794CA6" w:rsidP="00C670BA" w14:paraId="70941DD7" w14:textId="777F98F1">
      <w:pPr>
        <w:pStyle w:val="NoSpacing"/>
        <w:rPr>
          <w:rFonts w:ascii="Arial" w:hAnsi="Arial" w:cs="Arial"/>
          <w:sz w:val="24"/>
          <w:szCs w:val="24"/>
        </w:rPr>
      </w:pPr>
      <w:r w:rsidRPr="00C670BA">
        <w:rPr>
          <w:rFonts w:ascii="Arial" w:hAnsi="Arial" w:cs="Arial"/>
          <w:sz w:val="24"/>
          <w:szCs w:val="24"/>
        </w:rPr>
        <w:t xml:space="preserve">The 30-day Federal Register notice published on </w:t>
      </w:r>
      <w:r w:rsidR="000052BE">
        <w:rPr>
          <w:rFonts w:ascii="Arial" w:hAnsi="Arial" w:cs="Arial"/>
          <w:sz w:val="24"/>
          <w:szCs w:val="24"/>
        </w:rPr>
        <w:t>December 17, 2025</w:t>
      </w:r>
      <w:r w:rsidR="002019FB">
        <w:rPr>
          <w:rFonts w:ascii="Arial" w:hAnsi="Arial" w:cs="Arial"/>
          <w:sz w:val="24"/>
          <w:szCs w:val="24"/>
        </w:rPr>
        <w:t xml:space="preserve"> (90 FR </w:t>
      </w:r>
      <w:r w:rsidR="00E24428">
        <w:rPr>
          <w:rFonts w:ascii="Arial" w:hAnsi="Arial" w:cs="Arial"/>
          <w:sz w:val="24"/>
          <w:szCs w:val="24"/>
        </w:rPr>
        <w:t>58566</w:t>
      </w:r>
      <w:r w:rsidR="002019FB">
        <w:rPr>
          <w:rFonts w:ascii="Arial" w:hAnsi="Arial" w:cs="Arial"/>
          <w:sz w:val="24"/>
          <w:szCs w:val="24"/>
        </w:rPr>
        <w:t>)</w:t>
      </w:r>
      <w:r w:rsidRPr="00C670BA" w:rsidR="00463334">
        <w:rPr>
          <w:rFonts w:ascii="Arial" w:hAnsi="Arial" w:cs="Arial"/>
          <w:sz w:val="24"/>
          <w:szCs w:val="24"/>
        </w:rPr>
        <w:t>.</w:t>
      </w:r>
    </w:p>
    <w:p w:rsidR="000052BE" w:rsidRPr="00C670BA" w:rsidP="00C670BA" w14:paraId="3EDAAB25" w14:textId="77777777">
      <w:pPr>
        <w:pStyle w:val="NoSpacing"/>
        <w:rPr>
          <w:rFonts w:ascii="Arial" w:hAnsi="Arial" w:cs="Arial"/>
          <w:sz w:val="24"/>
          <w:szCs w:val="24"/>
        </w:rPr>
      </w:pPr>
    </w:p>
    <w:p w:rsidR="004B15EA" w:rsidRPr="00442C2C" w:rsidP="00074359" w14:paraId="604BA330" w14:textId="0D4E53AD">
      <w:pPr>
        <w:pStyle w:val="ListParagraph"/>
        <w:numPr>
          <w:ilvl w:val="0"/>
          <w:numId w:val="1"/>
        </w:numPr>
        <w:rPr>
          <w:rFonts w:ascii="Arial" w:hAnsi="Arial" w:cs="Arial"/>
          <w:sz w:val="24"/>
          <w:szCs w:val="24"/>
          <w:u w:val="single"/>
        </w:rPr>
      </w:pPr>
      <w:r w:rsidRPr="00442C2C">
        <w:rPr>
          <w:rFonts w:ascii="Arial" w:hAnsi="Arial" w:cs="Arial"/>
          <w:sz w:val="24"/>
          <w:szCs w:val="24"/>
          <w:u w:val="single"/>
        </w:rPr>
        <w:t>Payments/Gifts to Respondents</w:t>
      </w:r>
    </w:p>
    <w:p w:rsidR="004B15EA" w:rsidRPr="00442C2C" w:rsidP="004B15EA" w14:paraId="50C054C8" w14:textId="77777777">
      <w:pPr>
        <w:rPr>
          <w:rFonts w:ascii="Arial" w:hAnsi="Arial" w:cs="Arial"/>
          <w:sz w:val="24"/>
          <w:szCs w:val="24"/>
        </w:rPr>
      </w:pPr>
      <w:r w:rsidRPr="00442C2C">
        <w:rPr>
          <w:rFonts w:ascii="Arial" w:hAnsi="Arial" w:cs="Arial"/>
          <w:sz w:val="24"/>
          <w:szCs w:val="24"/>
        </w:rPr>
        <w:t xml:space="preserve">Respondents will not receive a payment or gift. </w:t>
      </w:r>
    </w:p>
    <w:p w:rsidR="00ED2A70" w:rsidRPr="00442C2C" w:rsidP="004B15EA" w14:paraId="4FFCDCDF" w14:textId="77777777">
      <w:pPr>
        <w:rPr>
          <w:rFonts w:ascii="Arial" w:hAnsi="Arial" w:cs="Arial"/>
          <w:sz w:val="24"/>
          <w:szCs w:val="24"/>
        </w:rPr>
      </w:pPr>
    </w:p>
    <w:p w:rsidR="004B15EA" w:rsidRPr="00442C2C" w:rsidP="00074359" w14:paraId="7D816F85" w14:textId="76993F15">
      <w:pPr>
        <w:pStyle w:val="ListParagraph"/>
        <w:numPr>
          <w:ilvl w:val="0"/>
          <w:numId w:val="1"/>
        </w:numPr>
        <w:rPr>
          <w:rFonts w:ascii="Arial" w:hAnsi="Arial" w:cs="Arial"/>
          <w:sz w:val="24"/>
          <w:szCs w:val="24"/>
          <w:u w:val="single"/>
        </w:rPr>
      </w:pPr>
      <w:r w:rsidRPr="00442C2C">
        <w:rPr>
          <w:rFonts w:ascii="Arial" w:hAnsi="Arial" w:cs="Arial"/>
          <w:sz w:val="24"/>
          <w:szCs w:val="24"/>
          <w:u w:val="single"/>
        </w:rPr>
        <w:t>Confidentiality</w:t>
      </w:r>
    </w:p>
    <w:p w:rsidR="004B15EA" w:rsidRPr="00442C2C" w:rsidP="00074359" w14:paraId="69A02C9D" w14:textId="77777777">
      <w:pPr>
        <w:spacing w:before="120" w:after="120" w:line="240" w:lineRule="auto"/>
        <w:rPr>
          <w:rFonts w:ascii="Arial" w:hAnsi="Arial" w:cs="Arial"/>
          <w:sz w:val="24"/>
          <w:szCs w:val="24"/>
        </w:rPr>
      </w:pPr>
      <w:r w:rsidRPr="00442C2C">
        <w:rPr>
          <w:rFonts w:ascii="Arial" w:hAnsi="Arial" w:cs="Arial"/>
          <w:sz w:val="24"/>
          <w:szCs w:val="24"/>
        </w:rPr>
        <w:t xml:space="preserve">The following is the privacy statement provided to respondents. </w:t>
      </w:r>
    </w:p>
    <w:p w:rsidR="00FD03C1" w:rsidRPr="000F3FFB" w:rsidP="00FD03C1" w14:paraId="637B6BE1" w14:textId="1053380D">
      <w:pPr>
        <w:spacing w:before="120" w:after="120" w:line="240" w:lineRule="auto"/>
        <w:rPr>
          <w:rFonts w:ascii="Arial" w:hAnsi="Arial" w:cs="Arial"/>
          <w:sz w:val="24"/>
          <w:szCs w:val="24"/>
        </w:rPr>
      </w:pPr>
      <w:r w:rsidRPr="00442C2C">
        <w:rPr>
          <w:rFonts w:ascii="Arial" w:hAnsi="Arial" w:cs="Arial"/>
          <w:sz w:val="24"/>
          <w:szCs w:val="24"/>
        </w:rPr>
        <w:t xml:space="preserve">The Centers for Medicare &amp; Medicaid Services (CMS) collects information from Medicare </w:t>
      </w:r>
      <w:r w:rsidRPr="000F3FFB">
        <w:rPr>
          <w:rFonts w:ascii="Arial" w:hAnsi="Arial" w:cs="Arial"/>
          <w:sz w:val="24"/>
          <w:szCs w:val="24"/>
        </w:rPr>
        <w:t xml:space="preserve">prescribers to approve hardship waivers from participation in electronic prescribing for controlled substances (EPCS) due to circumstances beyond the prescriber's control. Authority for collection of this information is from section 1860D-4(7) of the Social Security Act (the Act), as added by Section 2003 of the SUPPORT for Patients and Communities Act of 2018, which requires prescribers to electronically prescribe Schedule II, III, IV, and V controlled substances under Medicare Part D in accordance with an electronic prescription drug program. CMS may use and disclose prescriber’s responses as specified in the System of Records Notice (SORN) </w:t>
      </w:r>
    </w:p>
    <w:p w:rsidR="003A7CEE" w:rsidRPr="000F3FFB" w:rsidP="003A7CEE" w14:paraId="344A02B1" w14:textId="6F63C986">
      <w:pPr>
        <w:spacing w:before="120" w:after="120" w:line="240" w:lineRule="auto"/>
        <w:rPr>
          <w:rFonts w:ascii="Arial" w:hAnsi="Arial" w:cs="Arial"/>
          <w:sz w:val="24"/>
          <w:szCs w:val="24"/>
        </w:rPr>
      </w:pPr>
      <w:r w:rsidRPr="000F3FFB">
        <w:rPr>
          <w:rFonts w:ascii="Arial" w:hAnsi="Arial" w:cs="Arial"/>
          <w:sz w:val="24"/>
          <w:szCs w:val="24"/>
        </w:rPr>
        <w:t xml:space="preserve">“Quality Payment Program (QPP)”, System No. 09-70-0539, 83 Federal Register 6587, February 14, </w:t>
      </w:r>
      <w:r w:rsidRPr="000F3FFB">
        <w:rPr>
          <w:rFonts w:ascii="Arial" w:hAnsi="Arial" w:cs="Arial"/>
          <w:sz w:val="24"/>
          <w:szCs w:val="24"/>
        </w:rPr>
        <w:t>2018</w:t>
      </w:r>
      <w:r w:rsidRPr="000F3FFB">
        <w:rPr>
          <w:rFonts w:ascii="Arial" w:hAnsi="Arial" w:cs="Arial"/>
          <w:sz w:val="24"/>
          <w:szCs w:val="24"/>
        </w:rPr>
        <w:t xml:space="preserve"> and as permitted by the Privacy Act of 1974. Your response is voluntary. However, failure to respond may affect CMS’ efforts to review your hardship waiver and limit your requirements under the EPCS requirements. </w:t>
      </w:r>
    </w:p>
    <w:p w:rsidR="004B15EA" w:rsidRPr="00442C2C" w:rsidP="00074359" w14:paraId="40DC6112" w14:textId="10E691D9">
      <w:pPr>
        <w:spacing w:before="120" w:after="120" w:line="240" w:lineRule="auto"/>
        <w:rPr>
          <w:rFonts w:ascii="Arial" w:hAnsi="Arial" w:cs="Arial"/>
          <w:sz w:val="24"/>
          <w:szCs w:val="24"/>
        </w:rPr>
      </w:pPr>
    </w:p>
    <w:p w:rsidR="004B15EA" w:rsidRPr="00442C2C" w:rsidP="00E34DFE" w14:paraId="334D25B5" w14:textId="4E785C41">
      <w:pPr>
        <w:pStyle w:val="ListParagraph"/>
        <w:numPr>
          <w:ilvl w:val="0"/>
          <w:numId w:val="1"/>
        </w:numPr>
        <w:rPr>
          <w:rFonts w:ascii="Arial" w:hAnsi="Arial" w:cs="Arial"/>
          <w:sz w:val="24"/>
          <w:szCs w:val="24"/>
          <w:u w:val="single"/>
        </w:rPr>
      </w:pPr>
      <w:r w:rsidRPr="00442C2C">
        <w:rPr>
          <w:rFonts w:ascii="Arial" w:hAnsi="Arial" w:cs="Arial"/>
          <w:sz w:val="24"/>
          <w:szCs w:val="24"/>
          <w:u w:val="single"/>
        </w:rPr>
        <w:t>Sensitive Questions</w:t>
      </w:r>
    </w:p>
    <w:p w:rsidR="004B15EA" w:rsidRPr="00442C2C" w:rsidP="008E7B9A" w14:paraId="77DDC028" w14:textId="3F4E31B5">
      <w:pPr>
        <w:rPr>
          <w:rFonts w:ascii="Arial" w:hAnsi="Arial" w:cs="Arial"/>
          <w:sz w:val="24"/>
          <w:szCs w:val="24"/>
        </w:rPr>
      </w:pPr>
      <w:r w:rsidRPr="00442C2C">
        <w:rPr>
          <w:rFonts w:ascii="Arial" w:hAnsi="Arial" w:cs="Arial"/>
          <w:sz w:val="24"/>
          <w:szCs w:val="24"/>
        </w:rPr>
        <w:t>There are no sensitive questions associated with this collection.</w:t>
      </w:r>
    </w:p>
    <w:p w:rsidR="008E7B9A" w:rsidRPr="00442C2C" w:rsidP="00E34DFE" w14:paraId="4802C63C" w14:textId="0BD63E86">
      <w:pPr>
        <w:pStyle w:val="ListParagraph"/>
        <w:numPr>
          <w:ilvl w:val="0"/>
          <w:numId w:val="1"/>
        </w:numPr>
        <w:rPr>
          <w:rFonts w:ascii="Arial" w:hAnsi="Arial" w:cs="Arial"/>
          <w:sz w:val="24"/>
          <w:szCs w:val="24"/>
          <w:u w:val="single"/>
        </w:rPr>
      </w:pPr>
      <w:r w:rsidRPr="00442C2C">
        <w:rPr>
          <w:rFonts w:ascii="Arial" w:hAnsi="Arial" w:cs="Arial"/>
          <w:sz w:val="24"/>
          <w:szCs w:val="24"/>
          <w:u w:val="single"/>
        </w:rPr>
        <w:t>Burden Estimates (Hours &amp; Wages)</w:t>
      </w:r>
    </w:p>
    <w:p w:rsidR="008E7B9A" w:rsidRPr="00442C2C" w:rsidP="008E7B9A" w14:paraId="2D7BC4BD" w14:textId="77777777">
      <w:pPr>
        <w:rPr>
          <w:rFonts w:ascii="Arial" w:hAnsi="Arial" w:cs="Arial"/>
          <w:i/>
          <w:iCs/>
          <w:sz w:val="24"/>
          <w:szCs w:val="24"/>
        </w:rPr>
      </w:pPr>
      <w:r w:rsidRPr="00442C2C">
        <w:rPr>
          <w:rFonts w:ascii="Arial" w:hAnsi="Arial" w:cs="Arial"/>
          <w:i/>
          <w:iCs/>
          <w:sz w:val="24"/>
          <w:szCs w:val="24"/>
        </w:rPr>
        <w:t>Wage Estimates</w:t>
      </w:r>
    </w:p>
    <w:p w:rsidR="00C12CCB" w:rsidRPr="00442C2C" w:rsidP="00C12CCB" w14:paraId="48770EC2" w14:textId="23B68852">
      <w:pPr>
        <w:spacing w:before="120" w:after="120" w:line="240" w:lineRule="auto"/>
        <w:rPr>
          <w:rFonts w:ascii="Arial" w:hAnsi="Arial" w:cs="Arial"/>
          <w:sz w:val="24"/>
          <w:szCs w:val="24"/>
        </w:rPr>
      </w:pPr>
      <w:r w:rsidRPr="00442C2C">
        <w:rPr>
          <w:rFonts w:ascii="Arial" w:hAnsi="Arial" w:cs="Arial"/>
          <w:sz w:val="24"/>
          <w:szCs w:val="24"/>
        </w:rPr>
        <w:t xml:space="preserve">To derive average costs, we used data from the U.S. Bureau of Labor Statistics’ May </w:t>
      </w:r>
      <w:r w:rsidRPr="00442C2C" w:rsidR="62AA2339">
        <w:rPr>
          <w:rFonts w:ascii="Arial" w:hAnsi="Arial" w:cs="Arial"/>
          <w:sz w:val="24"/>
          <w:szCs w:val="24"/>
        </w:rPr>
        <w:t xml:space="preserve"> </w:t>
      </w:r>
      <w:r w:rsidRPr="00442C2C">
        <w:rPr>
          <w:rFonts w:ascii="Arial" w:hAnsi="Arial" w:cs="Arial"/>
          <w:sz w:val="24"/>
          <w:szCs w:val="24"/>
        </w:rPr>
        <w:t>2023</w:t>
      </w:r>
      <w:r>
        <w:rPr>
          <w:rFonts w:ascii="Arial" w:hAnsi="Arial" w:cs="Arial"/>
          <w:sz w:val="24"/>
          <w:szCs w:val="24"/>
        </w:rPr>
        <w:t xml:space="preserve"> </w:t>
      </w:r>
      <w:r w:rsidRPr="000F3FFB">
        <w:rPr>
          <w:rFonts w:ascii="Arial" w:hAnsi="Arial" w:cs="Arial"/>
          <w:sz w:val="24"/>
          <w:szCs w:val="24"/>
        </w:rPr>
        <w:t xml:space="preserve">National Occupational Employment and Wage Estimates for all salary estimates (http://www.bls.gov/oes/current/oes_nat.htm). In this regard, Table 1 presents the mean hourly wage, the cost of fringe benefits and overhead (calculated at 100 percent of salary), and the adjusted hourly wage. The adjusted hourly wage is used to calculate the labor costs associated with our final </w:t>
      </w:r>
      <w:r w:rsidRPr="000F3FFB" w:rsidR="00831529">
        <w:rPr>
          <w:rFonts w:ascii="Arial" w:hAnsi="Arial" w:cs="Arial"/>
          <w:sz w:val="24"/>
          <w:szCs w:val="24"/>
        </w:rPr>
        <w:t>requirements. As</w:t>
      </w:r>
      <w:r w:rsidRPr="000F3FFB">
        <w:rPr>
          <w:rFonts w:ascii="Arial" w:hAnsi="Arial" w:cs="Arial"/>
          <w:sz w:val="24"/>
          <w:szCs w:val="24"/>
        </w:rPr>
        <w:t xml:space="preserve"> indicated, we continue to adjust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rsidR="008E7B9A" w:rsidRPr="00442C2C" w:rsidP="00372D0D" w14:paraId="00375171" w14:textId="1A7DFCA0">
      <w:pPr>
        <w:spacing w:before="120" w:after="120" w:line="240" w:lineRule="auto"/>
        <w:rPr>
          <w:rFonts w:ascii="Arial" w:hAnsi="Arial" w:cs="Arial"/>
          <w:sz w:val="24"/>
          <w:szCs w:val="24"/>
        </w:rPr>
      </w:pPr>
    </w:p>
    <w:p w:rsidR="3B105679" w:rsidRPr="00442C2C" w:rsidP="0009148A" w14:paraId="586D0074" w14:textId="5808E832">
      <w:pPr>
        <w:spacing w:after="0" w:line="240" w:lineRule="auto"/>
        <w:contextualSpacing/>
        <w:rPr>
          <w:rFonts w:ascii="Arial" w:hAnsi="Arial" w:cs="Arial"/>
          <w:b/>
          <w:bCs/>
        </w:rPr>
      </w:pPr>
      <w:r w:rsidRPr="00442C2C">
        <w:rPr>
          <w:rFonts w:ascii="Arial" w:hAnsi="Arial" w:cs="Arial"/>
          <w:b/>
          <w:bCs/>
        </w:rPr>
        <w:t>TABLE 1: National Occupational Employment and Wage Estimates for Physicians</w:t>
      </w:r>
    </w:p>
    <w:tbl>
      <w:tblPr>
        <w:tblStyle w:val="TableGrid"/>
        <w:tblW w:w="0" w:type="auto"/>
        <w:tblLook w:val="04A0"/>
      </w:tblPr>
      <w:tblGrid>
        <w:gridCol w:w="2261"/>
        <w:gridCol w:w="1818"/>
        <w:gridCol w:w="1757"/>
        <w:gridCol w:w="1757"/>
        <w:gridCol w:w="1757"/>
      </w:tblGrid>
      <w:tr w14:paraId="0F88B8EE" w14:textId="77777777" w:rsidTr="00817A88">
        <w:tblPrEx>
          <w:tblW w:w="0" w:type="auto"/>
          <w:tblLook w:val="04A0"/>
        </w:tblPrEx>
        <w:tc>
          <w:tcPr>
            <w:tcW w:w="2261" w:type="dxa"/>
            <w:vAlign w:val="center"/>
          </w:tcPr>
          <w:p w:rsidR="00226900" w:rsidRPr="00442C2C" w:rsidP="00E14DD5" w14:paraId="25863A3E" w14:textId="77777777">
            <w:pPr>
              <w:pStyle w:val="PlainText"/>
              <w:keepNext/>
              <w:keepLines/>
              <w:jc w:val="center"/>
              <w:rPr>
                <w:rFonts w:ascii="Arial" w:hAnsi="Arial" w:cs="Arial"/>
                <w:b/>
                <w:color w:val="000000" w:themeColor="text1"/>
                <w:sz w:val="20"/>
                <w:szCs w:val="20"/>
              </w:rPr>
            </w:pPr>
            <w:r w:rsidRPr="00442C2C">
              <w:rPr>
                <w:rFonts w:ascii="Arial" w:hAnsi="Arial" w:cs="Arial"/>
                <w:b/>
                <w:color w:val="000000" w:themeColor="text1"/>
                <w:sz w:val="20"/>
                <w:szCs w:val="20"/>
              </w:rPr>
              <w:t>Occupation title</w:t>
            </w:r>
          </w:p>
        </w:tc>
        <w:tc>
          <w:tcPr>
            <w:tcW w:w="1818" w:type="dxa"/>
            <w:vAlign w:val="center"/>
          </w:tcPr>
          <w:p w:rsidR="00226900" w:rsidRPr="00442C2C" w:rsidP="00E14DD5" w14:paraId="29751FE3" w14:textId="77777777">
            <w:pPr>
              <w:pStyle w:val="PlainText"/>
              <w:keepNext/>
              <w:keepLines/>
              <w:jc w:val="center"/>
              <w:rPr>
                <w:rFonts w:ascii="Arial" w:hAnsi="Arial" w:cs="Arial"/>
                <w:b/>
                <w:color w:val="000000" w:themeColor="text1"/>
                <w:sz w:val="20"/>
                <w:szCs w:val="20"/>
              </w:rPr>
            </w:pPr>
            <w:r w:rsidRPr="00442C2C">
              <w:rPr>
                <w:rFonts w:ascii="Arial" w:hAnsi="Arial" w:cs="Arial"/>
                <w:b/>
                <w:color w:val="000000" w:themeColor="text1"/>
                <w:sz w:val="20"/>
                <w:szCs w:val="20"/>
              </w:rPr>
              <w:t>Occupation code</w:t>
            </w:r>
          </w:p>
        </w:tc>
        <w:tc>
          <w:tcPr>
            <w:tcW w:w="1757" w:type="dxa"/>
            <w:vAlign w:val="center"/>
          </w:tcPr>
          <w:p w:rsidR="00226900" w:rsidRPr="00442C2C" w:rsidP="00E14DD5" w14:paraId="0D550642" w14:textId="77777777">
            <w:pPr>
              <w:pStyle w:val="PlainText"/>
              <w:keepNext/>
              <w:keepLines/>
              <w:jc w:val="center"/>
              <w:rPr>
                <w:rFonts w:ascii="Arial" w:hAnsi="Arial" w:cs="Arial"/>
                <w:b/>
                <w:color w:val="000000" w:themeColor="text1"/>
                <w:sz w:val="20"/>
                <w:szCs w:val="20"/>
              </w:rPr>
            </w:pPr>
            <w:r w:rsidRPr="00442C2C">
              <w:rPr>
                <w:rFonts w:ascii="Arial" w:hAnsi="Arial" w:cs="Arial"/>
                <w:b/>
                <w:color w:val="000000" w:themeColor="text1"/>
                <w:sz w:val="20"/>
                <w:szCs w:val="20"/>
              </w:rPr>
              <w:t>Mean hourly wage ($/</w:t>
            </w:r>
            <w:r w:rsidRPr="00442C2C">
              <w:rPr>
                <w:rFonts w:ascii="Arial" w:hAnsi="Arial" w:cs="Arial"/>
                <w:b/>
                <w:color w:val="000000" w:themeColor="text1"/>
                <w:sz w:val="20"/>
                <w:szCs w:val="20"/>
              </w:rPr>
              <w:t>hr</w:t>
            </w:r>
            <w:r w:rsidRPr="00442C2C">
              <w:rPr>
                <w:rFonts w:ascii="Arial" w:hAnsi="Arial" w:cs="Arial"/>
                <w:b/>
                <w:color w:val="000000" w:themeColor="text1"/>
                <w:sz w:val="20"/>
                <w:szCs w:val="20"/>
              </w:rPr>
              <w:t>)</w:t>
            </w:r>
          </w:p>
        </w:tc>
        <w:tc>
          <w:tcPr>
            <w:tcW w:w="1757" w:type="dxa"/>
            <w:vAlign w:val="center"/>
          </w:tcPr>
          <w:p w:rsidR="00226900" w:rsidRPr="00442C2C" w:rsidP="00E14DD5" w14:paraId="11DDCDB3" w14:textId="77777777">
            <w:pPr>
              <w:pStyle w:val="PlainText"/>
              <w:keepNext/>
              <w:keepLines/>
              <w:jc w:val="center"/>
              <w:rPr>
                <w:rFonts w:ascii="Arial" w:hAnsi="Arial" w:cs="Arial"/>
                <w:b/>
                <w:color w:val="000000" w:themeColor="text1"/>
                <w:sz w:val="20"/>
                <w:szCs w:val="20"/>
              </w:rPr>
            </w:pPr>
            <w:r w:rsidRPr="00442C2C">
              <w:rPr>
                <w:rFonts w:ascii="Arial" w:hAnsi="Arial" w:cs="Arial"/>
                <w:b/>
                <w:color w:val="000000" w:themeColor="text1"/>
                <w:sz w:val="20"/>
                <w:szCs w:val="20"/>
              </w:rPr>
              <w:t>Fringe benefits and overhead ($/</w:t>
            </w:r>
            <w:r w:rsidRPr="00442C2C">
              <w:rPr>
                <w:rFonts w:ascii="Arial" w:hAnsi="Arial" w:cs="Arial"/>
                <w:b/>
                <w:color w:val="000000" w:themeColor="text1"/>
                <w:sz w:val="20"/>
                <w:szCs w:val="20"/>
              </w:rPr>
              <w:t>hr</w:t>
            </w:r>
            <w:r w:rsidRPr="00442C2C">
              <w:rPr>
                <w:rFonts w:ascii="Arial" w:hAnsi="Arial" w:cs="Arial"/>
                <w:b/>
                <w:color w:val="000000" w:themeColor="text1"/>
                <w:sz w:val="20"/>
                <w:szCs w:val="20"/>
              </w:rPr>
              <w:t>)</w:t>
            </w:r>
          </w:p>
        </w:tc>
        <w:tc>
          <w:tcPr>
            <w:tcW w:w="1757" w:type="dxa"/>
            <w:vAlign w:val="center"/>
          </w:tcPr>
          <w:p w:rsidR="00226900" w:rsidRPr="00442C2C" w:rsidP="00E14DD5" w14:paraId="0528F697" w14:textId="77777777">
            <w:pPr>
              <w:pStyle w:val="PlainText"/>
              <w:keepNext/>
              <w:keepLines/>
              <w:jc w:val="center"/>
              <w:rPr>
                <w:rFonts w:ascii="Arial" w:hAnsi="Arial" w:cs="Arial"/>
                <w:b/>
                <w:color w:val="000000" w:themeColor="text1"/>
                <w:sz w:val="20"/>
                <w:szCs w:val="20"/>
              </w:rPr>
            </w:pPr>
            <w:r w:rsidRPr="00442C2C">
              <w:rPr>
                <w:rFonts w:ascii="Arial" w:hAnsi="Arial" w:cs="Arial"/>
                <w:b/>
                <w:color w:val="000000" w:themeColor="text1"/>
                <w:sz w:val="20"/>
                <w:szCs w:val="20"/>
              </w:rPr>
              <w:t>Adjusted hourly wage ($/</w:t>
            </w:r>
            <w:r w:rsidRPr="00442C2C">
              <w:rPr>
                <w:rFonts w:ascii="Arial" w:hAnsi="Arial" w:cs="Arial"/>
                <w:b/>
                <w:color w:val="000000" w:themeColor="text1"/>
                <w:sz w:val="20"/>
                <w:szCs w:val="20"/>
              </w:rPr>
              <w:t>hr</w:t>
            </w:r>
            <w:r w:rsidRPr="00442C2C">
              <w:rPr>
                <w:rFonts w:ascii="Arial" w:hAnsi="Arial" w:cs="Arial"/>
                <w:b/>
                <w:color w:val="000000" w:themeColor="text1"/>
                <w:sz w:val="20"/>
                <w:szCs w:val="20"/>
              </w:rPr>
              <w:t>)</w:t>
            </w:r>
          </w:p>
        </w:tc>
      </w:tr>
      <w:tr w14:paraId="725C9023" w14:textId="77777777" w:rsidTr="00817A88">
        <w:tblPrEx>
          <w:tblW w:w="0" w:type="auto"/>
          <w:tblLook w:val="04A0"/>
        </w:tblPrEx>
        <w:tc>
          <w:tcPr>
            <w:tcW w:w="2261" w:type="dxa"/>
          </w:tcPr>
          <w:p w:rsidR="00226900" w:rsidRPr="00442C2C" w:rsidP="00E14DD5" w14:paraId="0B2B2D2C"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Anesthesiologists</w:t>
            </w:r>
          </w:p>
        </w:tc>
        <w:tc>
          <w:tcPr>
            <w:tcW w:w="1818" w:type="dxa"/>
          </w:tcPr>
          <w:p w:rsidR="00226900" w:rsidRPr="00442C2C" w:rsidP="00E14DD5" w14:paraId="1270B8FE"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29-1211</w:t>
            </w:r>
          </w:p>
        </w:tc>
        <w:tc>
          <w:tcPr>
            <w:tcW w:w="1757" w:type="dxa"/>
          </w:tcPr>
          <w:p w:rsidR="00226900" w:rsidRPr="00442C2C" w:rsidP="00E14DD5" w14:paraId="0975B11B" w14:textId="7A180A92">
            <w:pPr>
              <w:pStyle w:val="PlainText"/>
              <w:keepNext/>
              <w:keepLines/>
              <w:jc w:val="center"/>
              <w:rPr>
                <w:rFonts w:ascii="Arial" w:hAnsi="Arial" w:cs="Arial"/>
                <w:color w:val="000000" w:themeColor="text1"/>
                <w:sz w:val="20"/>
                <w:szCs w:val="20"/>
              </w:rPr>
            </w:pPr>
            <w:r w:rsidRPr="00442C2C">
              <w:rPr>
                <w:rFonts w:ascii="Arial" w:eastAsia="Calibri" w:hAnsi="Arial" w:cs="Arial"/>
                <w:bCs/>
                <w:color w:val="000000" w:themeColor="text1"/>
                <w:sz w:val="20"/>
                <w:szCs w:val="20"/>
                <w:lang w:bidi="en-US"/>
              </w:rPr>
              <w:t>163.21</w:t>
            </w:r>
          </w:p>
        </w:tc>
        <w:tc>
          <w:tcPr>
            <w:tcW w:w="1757" w:type="dxa"/>
          </w:tcPr>
          <w:p w:rsidR="00226900" w:rsidRPr="00442C2C" w:rsidP="00E14DD5" w14:paraId="03182191" w14:textId="075A7755">
            <w:pPr>
              <w:pStyle w:val="PlainText"/>
              <w:keepNext/>
              <w:keepLines/>
              <w:jc w:val="center"/>
              <w:rPr>
                <w:rFonts w:ascii="Arial" w:hAnsi="Arial" w:cs="Arial"/>
                <w:color w:val="000000" w:themeColor="text1"/>
                <w:sz w:val="20"/>
                <w:szCs w:val="20"/>
              </w:rPr>
            </w:pPr>
            <w:r w:rsidRPr="00442C2C">
              <w:rPr>
                <w:rFonts w:ascii="Arial" w:eastAsia="Calibri" w:hAnsi="Arial" w:cs="Arial"/>
                <w:bCs/>
                <w:color w:val="000000" w:themeColor="text1"/>
                <w:sz w:val="20"/>
                <w:szCs w:val="20"/>
                <w:lang w:bidi="en-US"/>
              </w:rPr>
              <w:t>163.21</w:t>
            </w:r>
          </w:p>
        </w:tc>
        <w:tc>
          <w:tcPr>
            <w:tcW w:w="1757" w:type="dxa"/>
          </w:tcPr>
          <w:p w:rsidR="00226900" w:rsidRPr="00442C2C" w:rsidP="00E14DD5" w14:paraId="4FCC7976" w14:textId="34A0A7C2">
            <w:pPr>
              <w:pStyle w:val="PlainText"/>
              <w:keepNext/>
              <w:keepLines/>
              <w:jc w:val="center"/>
              <w:rPr>
                <w:rFonts w:ascii="Arial" w:hAnsi="Arial" w:cs="Arial"/>
                <w:color w:val="000000" w:themeColor="text1"/>
                <w:sz w:val="20"/>
                <w:szCs w:val="20"/>
              </w:rPr>
            </w:pPr>
            <w:r w:rsidRPr="00442C2C">
              <w:rPr>
                <w:rFonts w:ascii="Arial" w:eastAsia="Calibri" w:hAnsi="Arial" w:cs="Arial"/>
                <w:bCs/>
                <w:color w:val="000000" w:themeColor="text1"/>
                <w:sz w:val="20"/>
                <w:szCs w:val="20"/>
                <w:lang w:bidi="en-US"/>
              </w:rPr>
              <w:t>326.42</w:t>
            </w:r>
          </w:p>
        </w:tc>
      </w:tr>
      <w:tr w14:paraId="273B1891" w14:textId="77777777" w:rsidTr="00817A88">
        <w:tblPrEx>
          <w:tblW w:w="0" w:type="auto"/>
          <w:tblLook w:val="04A0"/>
        </w:tblPrEx>
        <w:tc>
          <w:tcPr>
            <w:tcW w:w="2261" w:type="dxa"/>
          </w:tcPr>
          <w:p w:rsidR="00226900" w:rsidRPr="00442C2C" w:rsidP="00E14DD5" w14:paraId="6412919D"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Family Medicine Physicians</w:t>
            </w:r>
          </w:p>
        </w:tc>
        <w:tc>
          <w:tcPr>
            <w:tcW w:w="1818" w:type="dxa"/>
          </w:tcPr>
          <w:p w:rsidR="00226900" w:rsidRPr="00442C2C" w:rsidP="00E14DD5" w14:paraId="37691A77"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29-1215</w:t>
            </w:r>
          </w:p>
        </w:tc>
        <w:tc>
          <w:tcPr>
            <w:tcW w:w="1757" w:type="dxa"/>
          </w:tcPr>
          <w:p w:rsidR="00226900" w:rsidRPr="00442C2C" w:rsidP="00E14DD5" w14:paraId="56290652" w14:textId="125099F1">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115.</w:t>
            </w:r>
            <w:r w:rsidRPr="00442C2C" w:rsidR="00E11A75">
              <w:rPr>
                <w:rFonts w:ascii="Arial" w:eastAsia="Calibri" w:hAnsi="Arial" w:cs="Arial"/>
                <w:color w:val="000000" w:themeColor="text1"/>
                <w:sz w:val="20"/>
                <w:szCs w:val="20"/>
                <w:lang w:bidi="en-US"/>
              </w:rPr>
              <w:t>77</w:t>
            </w:r>
          </w:p>
        </w:tc>
        <w:tc>
          <w:tcPr>
            <w:tcW w:w="1757" w:type="dxa"/>
          </w:tcPr>
          <w:p w:rsidR="00226900" w:rsidRPr="00442C2C" w:rsidP="00E14DD5" w14:paraId="7EE44F60" w14:textId="392E6B92">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115.77</w:t>
            </w:r>
          </w:p>
        </w:tc>
        <w:tc>
          <w:tcPr>
            <w:tcW w:w="1757" w:type="dxa"/>
          </w:tcPr>
          <w:p w:rsidR="00226900" w:rsidRPr="00442C2C" w:rsidP="00E14DD5" w14:paraId="17C6230B" w14:textId="44E1A2A5">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231.54</w:t>
            </w:r>
          </w:p>
        </w:tc>
      </w:tr>
      <w:tr w14:paraId="659804BE" w14:textId="77777777" w:rsidTr="00817A88">
        <w:tblPrEx>
          <w:tblW w:w="0" w:type="auto"/>
          <w:tblLook w:val="04A0"/>
        </w:tblPrEx>
        <w:tc>
          <w:tcPr>
            <w:tcW w:w="2261" w:type="dxa"/>
          </w:tcPr>
          <w:p w:rsidR="00226900" w:rsidRPr="00442C2C" w:rsidP="00E14DD5" w14:paraId="212A35AA"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General Internal Medicine Physicians</w:t>
            </w:r>
          </w:p>
        </w:tc>
        <w:tc>
          <w:tcPr>
            <w:tcW w:w="1818" w:type="dxa"/>
          </w:tcPr>
          <w:p w:rsidR="00226900" w:rsidRPr="00442C2C" w:rsidP="00E14DD5" w14:paraId="6B597D11"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29-1216</w:t>
            </w:r>
          </w:p>
        </w:tc>
        <w:tc>
          <w:tcPr>
            <w:tcW w:w="1757" w:type="dxa"/>
          </w:tcPr>
          <w:p w:rsidR="00226900" w:rsidRPr="00442C2C" w:rsidP="00E14DD5" w14:paraId="631FEBDC" w14:textId="1F296F48">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118.01</w:t>
            </w:r>
          </w:p>
        </w:tc>
        <w:tc>
          <w:tcPr>
            <w:tcW w:w="1757" w:type="dxa"/>
          </w:tcPr>
          <w:p w:rsidR="00226900" w:rsidRPr="00442C2C" w:rsidP="00E14DD5" w14:paraId="5AA84C55" w14:textId="139EE0BF">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118.01</w:t>
            </w:r>
          </w:p>
        </w:tc>
        <w:tc>
          <w:tcPr>
            <w:tcW w:w="1757" w:type="dxa"/>
          </w:tcPr>
          <w:p w:rsidR="00226900" w:rsidRPr="00442C2C" w:rsidP="00E14DD5" w14:paraId="05854AEC" w14:textId="5120ACB8">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236.02</w:t>
            </w:r>
          </w:p>
        </w:tc>
      </w:tr>
      <w:tr w14:paraId="714B4CA9" w14:textId="77777777" w:rsidTr="00817A88">
        <w:tblPrEx>
          <w:tblW w:w="0" w:type="auto"/>
          <w:tblLook w:val="04A0"/>
        </w:tblPrEx>
        <w:tc>
          <w:tcPr>
            <w:tcW w:w="2261" w:type="dxa"/>
          </w:tcPr>
          <w:p w:rsidR="00226900" w:rsidRPr="00442C2C" w:rsidP="00E14DD5" w14:paraId="13FAD208"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Obstetricians and Gynecologists</w:t>
            </w:r>
          </w:p>
        </w:tc>
        <w:tc>
          <w:tcPr>
            <w:tcW w:w="1818" w:type="dxa"/>
          </w:tcPr>
          <w:p w:rsidR="00226900" w:rsidRPr="00442C2C" w:rsidP="00E14DD5" w14:paraId="18582AB1"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29-1218</w:t>
            </w:r>
          </w:p>
        </w:tc>
        <w:tc>
          <w:tcPr>
            <w:tcW w:w="1757" w:type="dxa"/>
          </w:tcPr>
          <w:p w:rsidR="00226900" w:rsidRPr="00442C2C" w:rsidP="00E14DD5" w14:paraId="096A7B1B" w14:textId="6D8EE48F">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133.97</w:t>
            </w:r>
          </w:p>
        </w:tc>
        <w:tc>
          <w:tcPr>
            <w:tcW w:w="1757" w:type="dxa"/>
          </w:tcPr>
          <w:p w:rsidR="00226900" w:rsidRPr="00442C2C" w:rsidP="00E14DD5" w14:paraId="55017421" w14:textId="1DE33A5D">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133.97</w:t>
            </w:r>
          </w:p>
        </w:tc>
        <w:tc>
          <w:tcPr>
            <w:tcW w:w="1757" w:type="dxa"/>
          </w:tcPr>
          <w:p w:rsidR="00226900" w:rsidRPr="00442C2C" w:rsidP="00E14DD5" w14:paraId="33D0EE1B" w14:textId="3142B15E">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267.94</w:t>
            </w:r>
          </w:p>
        </w:tc>
      </w:tr>
      <w:tr w14:paraId="443BBB95" w14:textId="77777777" w:rsidTr="00817A88">
        <w:tblPrEx>
          <w:tblW w:w="0" w:type="auto"/>
          <w:tblLook w:val="04A0"/>
        </w:tblPrEx>
        <w:tc>
          <w:tcPr>
            <w:tcW w:w="2261" w:type="dxa"/>
          </w:tcPr>
          <w:p w:rsidR="00226900" w:rsidRPr="00442C2C" w:rsidP="00E14DD5" w14:paraId="70C8DAD7"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Pediatricians, General</w:t>
            </w:r>
          </w:p>
        </w:tc>
        <w:tc>
          <w:tcPr>
            <w:tcW w:w="1818" w:type="dxa"/>
          </w:tcPr>
          <w:p w:rsidR="00226900" w:rsidRPr="00442C2C" w:rsidP="00E14DD5" w14:paraId="6480563A"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29-1221</w:t>
            </w:r>
          </w:p>
        </w:tc>
        <w:tc>
          <w:tcPr>
            <w:tcW w:w="1757" w:type="dxa"/>
          </w:tcPr>
          <w:p w:rsidR="00226900" w:rsidRPr="00442C2C" w:rsidP="00E14DD5" w14:paraId="2A78CD1B" w14:textId="669B23BC">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shd w:val="clear" w:color="auto" w:fill="FFFFFF"/>
              </w:rPr>
              <w:t>98.97</w:t>
            </w:r>
          </w:p>
        </w:tc>
        <w:tc>
          <w:tcPr>
            <w:tcW w:w="1757" w:type="dxa"/>
          </w:tcPr>
          <w:p w:rsidR="00226900" w:rsidRPr="00442C2C" w:rsidP="00E14DD5" w14:paraId="77615D12" w14:textId="68B6D32A">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shd w:val="clear" w:color="auto" w:fill="FFFFFF"/>
              </w:rPr>
              <w:t>98.97</w:t>
            </w:r>
          </w:p>
        </w:tc>
        <w:tc>
          <w:tcPr>
            <w:tcW w:w="1757" w:type="dxa"/>
          </w:tcPr>
          <w:p w:rsidR="00226900" w:rsidRPr="00442C2C" w:rsidP="00E14DD5" w14:paraId="6D3C7AB1" w14:textId="48CFD35D">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197.94</w:t>
            </w:r>
          </w:p>
        </w:tc>
      </w:tr>
      <w:tr w14:paraId="6FB58420" w14:textId="77777777" w:rsidTr="00817A88">
        <w:tblPrEx>
          <w:tblW w:w="0" w:type="auto"/>
          <w:tblLook w:val="04A0"/>
        </w:tblPrEx>
        <w:tc>
          <w:tcPr>
            <w:tcW w:w="2261" w:type="dxa"/>
          </w:tcPr>
          <w:p w:rsidR="00226900" w:rsidRPr="00442C2C" w:rsidP="00E14DD5" w14:paraId="42981088"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Physicians, All Other</w:t>
            </w:r>
          </w:p>
        </w:tc>
        <w:tc>
          <w:tcPr>
            <w:tcW w:w="1818" w:type="dxa"/>
          </w:tcPr>
          <w:p w:rsidR="00226900" w:rsidRPr="00442C2C" w:rsidP="00E14DD5" w14:paraId="5EBEFD3B"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w:t>
            </w:r>
            <w:r w:rsidRPr="00442C2C">
              <w:rPr>
                <w:rFonts w:ascii="Arial" w:eastAsia="Calibri" w:hAnsi="Arial" w:cs="Arial"/>
                <w:color w:val="000000" w:themeColor="text1"/>
                <w:sz w:val="20"/>
                <w:szCs w:val="20"/>
              </w:rPr>
              <w:t>1229</w:t>
            </w:r>
          </w:p>
        </w:tc>
        <w:tc>
          <w:tcPr>
            <w:tcW w:w="1757" w:type="dxa"/>
          </w:tcPr>
          <w:p w:rsidR="00226900" w:rsidRPr="00442C2C" w:rsidP="00E14DD5" w14:paraId="6005B9BE" w14:textId="67EC8035">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shd w:val="clear" w:color="auto" w:fill="FFFFFF"/>
              </w:rPr>
              <w:t>119</w:t>
            </w:r>
            <w:r w:rsidRPr="00442C2C" w:rsidR="00C22998">
              <w:rPr>
                <w:rFonts w:ascii="Arial" w:eastAsia="Calibri" w:hAnsi="Arial" w:cs="Arial"/>
                <w:color w:val="000000" w:themeColor="text1"/>
                <w:sz w:val="20"/>
                <w:szCs w:val="20"/>
                <w:shd w:val="clear" w:color="auto" w:fill="FFFFFF"/>
              </w:rPr>
              <w:t>.54</w:t>
            </w:r>
          </w:p>
        </w:tc>
        <w:tc>
          <w:tcPr>
            <w:tcW w:w="1757" w:type="dxa"/>
          </w:tcPr>
          <w:p w:rsidR="00226900" w:rsidRPr="00442C2C" w:rsidP="00E14DD5" w14:paraId="56B38AC9" w14:textId="76FF60E5">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shd w:val="clear" w:color="auto" w:fill="FFFFFF"/>
              </w:rPr>
              <w:t>119.54</w:t>
            </w:r>
          </w:p>
        </w:tc>
        <w:tc>
          <w:tcPr>
            <w:tcW w:w="1757" w:type="dxa"/>
          </w:tcPr>
          <w:p w:rsidR="00226900" w:rsidRPr="00442C2C" w:rsidP="00E14DD5" w14:paraId="40E015EA" w14:textId="3E3523C2">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239.08</w:t>
            </w:r>
          </w:p>
        </w:tc>
      </w:tr>
      <w:tr w14:paraId="2B3567C5" w14:textId="77777777" w:rsidTr="00817A88">
        <w:tblPrEx>
          <w:tblW w:w="0" w:type="auto"/>
          <w:tblLook w:val="04A0"/>
        </w:tblPrEx>
        <w:tc>
          <w:tcPr>
            <w:tcW w:w="2261" w:type="dxa"/>
          </w:tcPr>
          <w:p w:rsidR="00226900" w:rsidRPr="00442C2C" w:rsidP="00E14DD5" w14:paraId="219AC2D4" w14:textId="77777777">
            <w:pPr>
              <w:pStyle w:val="PlainText"/>
              <w:keepNext/>
              <w:keepLines/>
              <w:rPr>
                <w:rFonts w:ascii="Arial" w:hAnsi="Arial" w:cs="Arial"/>
                <w:color w:val="000000" w:themeColor="text1"/>
                <w:sz w:val="20"/>
                <w:szCs w:val="20"/>
              </w:rPr>
            </w:pPr>
            <w:r w:rsidRPr="00442C2C">
              <w:rPr>
                <w:rFonts w:ascii="Arial" w:hAnsi="Arial" w:cs="Arial"/>
                <w:color w:val="000000" w:themeColor="text1"/>
                <w:sz w:val="20"/>
                <w:szCs w:val="20"/>
              </w:rPr>
              <w:t>Psychiatrists</w:t>
            </w:r>
          </w:p>
        </w:tc>
        <w:tc>
          <w:tcPr>
            <w:tcW w:w="1818" w:type="dxa"/>
          </w:tcPr>
          <w:p w:rsidR="00226900" w:rsidRPr="00442C2C" w:rsidP="00E14DD5" w14:paraId="4930F497"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29-1223</w:t>
            </w:r>
          </w:p>
        </w:tc>
        <w:tc>
          <w:tcPr>
            <w:tcW w:w="1757" w:type="dxa"/>
          </w:tcPr>
          <w:p w:rsidR="00226900" w:rsidRPr="00442C2C" w:rsidP="00E14DD5" w14:paraId="762419D2" w14:textId="17A998FA">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123.53</w:t>
            </w:r>
          </w:p>
        </w:tc>
        <w:tc>
          <w:tcPr>
            <w:tcW w:w="1757" w:type="dxa"/>
          </w:tcPr>
          <w:p w:rsidR="00226900" w:rsidRPr="00442C2C" w:rsidP="00E14DD5" w14:paraId="61FF8CBE" w14:textId="605E7DF1">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123.53</w:t>
            </w:r>
          </w:p>
        </w:tc>
        <w:tc>
          <w:tcPr>
            <w:tcW w:w="1757" w:type="dxa"/>
          </w:tcPr>
          <w:p w:rsidR="00226900" w:rsidRPr="00442C2C" w:rsidP="00E14DD5" w14:paraId="23C72DD1" w14:textId="24127F90">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247.06</w:t>
            </w:r>
          </w:p>
        </w:tc>
      </w:tr>
      <w:tr w14:paraId="67A82D80" w14:textId="77777777" w:rsidTr="00817A88">
        <w:tblPrEx>
          <w:tblW w:w="0" w:type="auto"/>
          <w:tblLook w:val="04A0"/>
        </w:tblPrEx>
        <w:tc>
          <w:tcPr>
            <w:tcW w:w="2261" w:type="dxa"/>
          </w:tcPr>
          <w:p w:rsidR="00226900" w:rsidRPr="00442C2C" w:rsidP="00E14DD5" w14:paraId="3ADAB6ED" w14:textId="77777777">
            <w:pPr>
              <w:pStyle w:val="PlainText"/>
              <w:keepNext/>
              <w:keepLines/>
              <w:rPr>
                <w:rFonts w:ascii="Arial" w:hAnsi="Arial" w:cs="Arial"/>
                <w:color w:val="000000" w:themeColor="text1"/>
                <w:sz w:val="20"/>
                <w:szCs w:val="20"/>
              </w:rPr>
            </w:pPr>
            <w:r w:rsidRPr="00442C2C">
              <w:rPr>
                <w:rFonts w:ascii="Arial" w:eastAsia="Calibri" w:hAnsi="Arial" w:cs="Arial"/>
                <w:bCs/>
                <w:color w:val="000000" w:themeColor="text1"/>
                <w:sz w:val="20"/>
                <w:szCs w:val="20"/>
                <w:lang w:bidi="en-US"/>
              </w:rPr>
              <w:t xml:space="preserve">Orthopedic </w:t>
            </w:r>
            <w:r w:rsidRPr="00442C2C">
              <w:rPr>
                <w:rFonts w:ascii="Arial" w:hAnsi="Arial" w:cs="Arial"/>
                <w:color w:val="000000" w:themeColor="text1"/>
                <w:sz w:val="20"/>
                <w:szCs w:val="20"/>
              </w:rPr>
              <w:t xml:space="preserve">Surgeons, Except </w:t>
            </w:r>
            <w:r w:rsidRPr="00442C2C">
              <w:rPr>
                <w:rFonts w:ascii="Arial" w:eastAsia="Calibri" w:hAnsi="Arial" w:cs="Arial"/>
                <w:bCs/>
                <w:color w:val="000000" w:themeColor="text1"/>
                <w:sz w:val="20"/>
                <w:szCs w:val="20"/>
                <w:lang w:bidi="en-US"/>
              </w:rPr>
              <w:t>Pediatric</w:t>
            </w:r>
          </w:p>
        </w:tc>
        <w:tc>
          <w:tcPr>
            <w:tcW w:w="1818" w:type="dxa"/>
          </w:tcPr>
          <w:p w:rsidR="00226900" w:rsidRPr="00442C2C" w:rsidP="00E14DD5" w14:paraId="73A86B13" w14:textId="77777777">
            <w:pPr>
              <w:pStyle w:val="PlainText"/>
              <w:keepNext/>
              <w:keepLines/>
              <w:jc w:val="center"/>
              <w:rPr>
                <w:rFonts w:ascii="Arial" w:hAnsi="Arial" w:cs="Arial"/>
                <w:color w:val="000000" w:themeColor="text1"/>
                <w:sz w:val="20"/>
                <w:szCs w:val="20"/>
              </w:rPr>
            </w:pPr>
            <w:r w:rsidRPr="00442C2C">
              <w:rPr>
                <w:rFonts w:ascii="Arial" w:hAnsi="Arial" w:cs="Arial"/>
                <w:color w:val="000000" w:themeColor="text1"/>
                <w:sz w:val="20"/>
                <w:szCs w:val="20"/>
              </w:rPr>
              <w:t>29-</w:t>
            </w:r>
            <w:r w:rsidRPr="00442C2C">
              <w:rPr>
                <w:rFonts w:ascii="Arial" w:eastAsia="Calibri" w:hAnsi="Arial" w:cs="Arial"/>
                <w:color w:val="000000" w:themeColor="text1"/>
                <w:sz w:val="20"/>
                <w:szCs w:val="20"/>
              </w:rPr>
              <w:t>1242</w:t>
            </w:r>
          </w:p>
        </w:tc>
        <w:tc>
          <w:tcPr>
            <w:tcW w:w="1757" w:type="dxa"/>
          </w:tcPr>
          <w:p w:rsidR="00226900" w:rsidRPr="00442C2C" w:rsidP="00E14DD5" w14:paraId="1F20B4F6" w14:textId="74B47833">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181.85</w:t>
            </w:r>
          </w:p>
        </w:tc>
        <w:tc>
          <w:tcPr>
            <w:tcW w:w="1757" w:type="dxa"/>
          </w:tcPr>
          <w:p w:rsidR="00226900" w:rsidRPr="00442C2C" w:rsidP="00E14DD5" w14:paraId="44CAFAFD" w14:textId="4A7421E8">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181.85</w:t>
            </w:r>
          </w:p>
        </w:tc>
        <w:tc>
          <w:tcPr>
            <w:tcW w:w="1757" w:type="dxa"/>
          </w:tcPr>
          <w:p w:rsidR="00226900" w:rsidRPr="00442C2C" w:rsidP="00E14DD5" w14:paraId="3A0B8989" w14:textId="644591FA">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363.70</w:t>
            </w:r>
          </w:p>
        </w:tc>
      </w:tr>
      <w:tr w14:paraId="051E9BB2" w14:textId="77777777" w:rsidTr="00817A88">
        <w:tblPrEx>
          <w:tblW w:w="0" w:type="auto"/>
          <w:tblLook w:val="04A0"/>
        </w:tblPrEx>
        <w:tc>
          <w:tcPr>
            <w:tcW w:w="2261" w:type="dxa"/>
          </w:tcPr>
          <w:p w:rsidR="00226900" w:rsidRPr="00442C2C" w:rsidP="00E14DD5" w14:paraId="39E67472" w14:textId="77777777">
            <w:pPr>
              <w:pStyle w:val="PlainText"/>
              <w:keepNext/>
              <w:keepLines/>
              <w:rPr>
                <w:rFonts w:ascii="Arial" w:eastAsia="Calibri" w:hAnsi="Arial" w:cs="Arial"/>
                <w:bCs/>
                <w:color w:val="000000" w:themeColor="text1"/>
                <w:sz w:val="20"/>
                <w:szCs w:val="20"/>
                <w:lang w:bidi="en-US"/>
              </w:rPr>
            </w:pPr>
            <w:r w:rsidRPr="00442C2C">
              <w:rPr>
                <w:rFonts w:ascii="Arial" w:eastAsia="Calibri" w:hAnsi="Arial" w:cs="Arial"/>
                <w:bCs/>
                <w:color w:val="000000" w:themeColor="text1"/>
                <w:sz w:val="20"/>
                <w:szCs w:val="20"/>
                <w:lang w:bidi="en-US"/>
              </w:rPr>
              <w:t>Pediatric Surgeons</w:t>
            </w:r>
          </w:p>
        </w:tc>
        <w:tc>
          <w:tcPr>
            <w:tcW w:w="1818" w:type="dxa"/>
            <w:vAlign w:val="center"/>
          </w:tcPr>
          <w:p w:rsidR="00226900" w:rsidRPr="00442C2C" w:rsidP="00E14DD5" w14:paraId="590E174C" w14:textId="77777777">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rPr>
              <w:t>29-1243</w:t>
            </w:r>
          </w:p>
        </w:tc>
        <w:tc>
          <w:tcPr>
            <w:tcW w:w="1757" w:type="dxa"/>
            <w:vAlign w:val="center"/>
          </w:tcPr>
          <w:p w:rsidR="00226900" w:rsidRPr="00442C2C" w:rsidP="00E14DD5" w14:paraId="0CA0AF4E" w14:textId="5BFE15B6">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216.02</w:t>
            </w:r>
          </w:p>
        </w:tc>
        <w:tc>
          <w:tcPr>
            <w:tcW w:w="1757" w:type="dxa"/>
            <w:vAlign w:val="center"/>
          </w:tcPr>
          <w:p w:rsidR="00226900" w:rsidRPr="00442C2C" w:rsidP="00E14DD5" w14:paraId="0B71FE02" w14:textId="3D93C48E">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216.02</w:t>
            </w:r>
          </w:p>
        </w:tc>
        <w:tc>
          <w:tcPr>
            <w:tcW w:w="1757" w:type="dxa"/>
            <w:vAlign w:val="center"/>
          </w:tcPr>
          <w:p w:rsidR="00226900" w:rsidRPr="00442C2C" w:rsidP="00E14DD5" w14:paraId="2F2A4ED2" w14:textId="68E84277">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432.04</w:t>
            </w:r>
          </w:p>
        </w:tc>
      </w:tr>
      <w:tr w14:paraId="288DA644" w14:textId="77777777" w:rsidTr="00817A88">
        <w:tblPrEx>
          <w:tblW w:w="0" w:type="auto"/>
          <w:tblLook w:val="04A0"/>
        </w:tblPrEx>
        <w:tc>
          <w:tcPr>
            <w:tcW w:w="2261" w:type="dxa"/>
          </w:tcPr>
          <w:p w:rsidR="00226900" w:rsidRPr="00442C2C" w:rsidP="00E14DD5" w14:paraId="0247A122" w14:textId="77777777">
            <w:pPr>
              <w:pStyle w:val="PlainText"/>
              <w:keepNext/>
              <w:keepLines/>
              <w:rPr>
                <w:rFonts w:ascii="Arial" w:eastAsia="Calibri" w:hAnsi="Arial" w:cs="Arial"/>
                <w:bCs/>
                <w:color w:val="000000" w:themeColor="text1"/>
                <w:sz w:val="20"/>
                <w:szCs w:val="20"/>
                <w:lang w:bidi="en-US"/>
              </w:rPr>
            </w:pPr>
            <w:r w:rsidRPr="00442C2C">
              <w:rPr>
                <w:rFonts w:ascii="Arial" w:eastAsia="Calibri" w:hAnsi="Arial" w:cs="Arial"/>
                <w:bCs/>
                <w:color w:val="000000" w:themeColor="text1"/>
                <w:sz w:val="20"/>
                <w:szCs w:val="20"/>
                <w:lang w:bidi="en-US"/>
              </w:rPr>
              <w:t>Surgeons, All Other</w:t>
            </w:r>
          </w:p>
        </w:tc>
        <w:tc>
          <w:tcPr>
            <w:tcW w:w="1818" w:type="dxa"/>
            <w:vAlign w:val="center"/>
          </w:tcPr>
          <w:p w:rsidR="00226900" w:rsidRPr="00442C2C" w:rsidP="00E14DD5" w14:paraId="10FD41F0" w14:textId="77777777">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rPr>
              <w:t>29-1249</w:t>
            </w:r>
          </w:p>
        </w:tc>
        <w:tc>
          <w:tcPr>
            <w:tcW w:w="1757" w:type="dxa"/>
            <w:vAlign w:val="center"/>
          </w:tcPr>
          <w:p w:rsidR="00226900" w:rsidRPr="00442C2C" w:rsidP="00E14DD5" w14:paraId="5ED74A96" w14:textId="314AC8FD">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165.38</w:t>
            </w:r>
          </w:p>
        </w:tc>
        <w:tc>
          <w:tcPr>
            <w:tcW w:w="1757" w:type="dxa"/>
            <w:vAlign w:val="center"/>
          </w:tcPr>
          <w:p w:rsidR="00226900" w:rsidRPr="00442C2C" w:rsidP="00E14DD5" w14:paraId="04554865" w14:textId="1D0D721F">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165.38</w:t>
            </w:r>
          </w:p>
        </w:tc>
        <w:tc>
          <w:tcPr>
            <w:tcW w:w="1757" w:type="dxa"/>
            <w:vAlign w:val="center"/>
          </w:tcPr>
          <w:p w:rsidR="00226900" w:rsidRPr="00442C2C" w:rsidP="00E14DD5" w14:paraId="56C6ED62" w14:textId="27DFCB6E">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330.76</w:t>
            </w:r>
          </w:p>
        </w:tc>
      </w:tr>
      <w:tr w14:paraId="2B7AFD29" w14:textId="77777777" w:rsidTr="00817A88">
        <w:tblPrEx>
          <w:tblW w:w="0" w:type="auto"/>
          <w:tblLook w:val="04A0"/>
        </w:tblPrEx>
        <w:tc>
          <w:tcPr>
            <w:tcW w:w="2261" w:type="dxa"/>
          </w:tcPr>
          <w:p w:rsidR="00226900" w:rsidRPr="00442C2C" w:rsidP="00E14DD5" w14:paraId="5D303420" w14:textId="77777777">
            <w:pPr>
              <w:pStyle w:val="PlainText"/>
              <w:keepNext/>
              <w:keepLines/>
              <w:rPr>
                <w:rFonts w:ascii="Arial" w:eastAsia="Calibri" w:hAnsi="Arial" w:cs="Arial"/>
                <w:bCs/>
                <w:color w:val="000000" w:themeColor="text1"/>
                <w:sz w:val="20"/>
                <w:szCs w:val="20"/>
                <w:lang w:bidi="en-US"/>
              </w:rPr>
            </w:pPr>
            <w:r w:rsidRPr="00442C2C">
              <w:rPr>
                <w:rFonts w:ascii="Arial" w:eastAsia="Calibri" w:hAnsi="Arial" w:cs="Arial"/>
                <w:bCs/>
                <w:color w:val="000000" w:themeColor="text1"/>
                <w:sz w:val="20"/>
                <w:szCs w:val="20"/>
                <w:lang w:bidi="en-US"/>
              </w:rPr>
              <w:t>Surgeons</w:t>
            </w:r>
          </w:p>
        </w:tc>
        <w:tc>
          <w:tcPr>
            <w:tcW w:w="1818" w:type="dxa"/>
            <w:vAlign w:val="center"/>
          </w:tcPr>
          <w:p w:rsidR="00226900" w:rsidRPr="00442C2C" w:rsidP="00E14DD5" w14:paraId="1D4C9D06" w14:textId="77777777">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rPr>
              <w:t>29-1240</w:t>
            </w:r>
          </w:p>
        </w:tc>
        <w:tc>
          <w:tcPr>
            <w:tcW w:w="1757" w:type="dxa"/>
            <w:vAlign w:val="center"/>
          </w:tcPr>
          <w:p w:rsidR="00226900" w:rsidRPr="00442C2C" w:rsidP="00E14DD5" w14:paraId="1F30AA27" w14:textId="4F8C0F54">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167.74</w:t>
            </w:r>
          </w:p>
        </w:tc>
        <w:tc>
          <w:tcPr>
            <w:tcW w:w="1757" w:type="dxa"/>
            <w:vAlign w:val="center"/>
          </w:tcPr>
          <w:p w:rsidR="00226900" w:rsidRPr="00442C2C" w:rsidP="00E14DD5" w14:paraId="28FC4BC6" w14:textId="4B34F796">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167.74</w:t>
            </w:r>
          </w:p>
        </w:tc>
        <w:tc>
          <w:tcPr>
            <w:tcW w:w="1757" w:type="dxa"/>
            <w:vAlign w:val="center"/>
          </w:tcPr>
          <w:p w:rsidR="00226900" w:rsidRPr="00442C2C" w:rsidP="00E14DD5" w14:paraId="71F3A7D8" w14:textId="4A0B08D0">
            <w:pPr>
              <w:pStyle w:val="PlainText"/>
              <w:keepNext/>
              <w:keepLines/>
              <w:jc w:val="center"/>
              <w:rPr>
                <w:rFonts w:ascii="Arial" w:eastAsia="Calibri" w:hAnsi="Arial" w:cs="Arial"/>
                <w:color w:val="000000" w:themeColor="text1"/>
                <w:sz w:val="20"/>
                <w:szCs w:val="20"/>
                <w:lang w:bidi="en-US"/>
              </w:rPr>
            </w:pPr>
            <w:r w:rsidRPr="00442C2C">
              <w:rPr>
                <w:rFonts w:ascii="Arial" w:eastAsia="Calibri" w:hAnsi="Arial" w:cs="Arial"/>
                <w:color w:val="000000" w:themeColor="text1"/>
                <w:sz w:val="20"/>
                <w:szCs w:val="20"/>
                <w:lang w:bidi="en-US"/>
              </w:rPr>
              <w:t>335.48</w:t>
            </w:r>
          </w:p>
        </w:tc>
      </w:tr>
      <w:tr w14:paraId="1CCBCA24" w14:textId="77777777" w:rsidTr="00817A88">
        <w:tblPrEx>
          <w:tblW w:w="0" w:type="auto"/>
          <w:tblLook w:val="04A0"/>
        </w:tblPrEx>
        <w:tc>
          <w:tcPr>
            <w:tcW w:w="2261" w:type="dxa"/>
          </w:tcPr>
          <w:p w:rsidR="00226900" w:rsidRPr="00442C2C" w:rsidP="00E14DD5" w14:paraId="284ED2C1" w14:textId="77777777">
            <w:pPr>
              <w:pStyle w:val="PlainText"/>
              <w:keepNext/>
              <w:keepLines/>
              <w:rPr>
                <w:rFonts w:ascii="Arial" w:eastAsia="Calibri" w:hAnsi="Arial" w:cs="Arial"/>
                <w:bCs/>
                <w:color w:val="000000" w:themeColor="text1"/>
                <w:sz w:val="20"/>
                <w:szCs w:val="20"/>
                <w:lang w:bidi="en-US"/>
              </w:rPr>
            </w:pPr>
            <w:r w:rsidRPr="00442C2C">
              <w:rPr>
                <w:rFonts w:ascii="Arial" w:hAnsi="Arial" w:cs="Arial"/>
                <w:color w:val="000000" w:themeColor="text1"/>
                <w:sz w:val="20"/>
                <w:szCs w:val="20"/>
              </w:rPr>
              <w:t>Total</w:t>
            </w:r>
          </w:p>
        </w:tc>
        <w:tc>
          <w:tcPr>
            <w:tcW w:w="1818" w:type="dxa"/>
          </w:tcPr>
          <w:p w:rsidR="00226900" w:rsidRPr="00442C2C" w:rsidP="00E14DD5" w14:paraId="72F80D2D" w14:textId="42525B20">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2,960.92</w:t>
            </w:r>
          </w:p>
        </w:tc>
        <w:tc>
          <w:tcPr>
            <w:tcW w:w="1757" w:type="dxa"/>
          </w:tcPr>
          <w:p w:rsidR="00226900" w:rsidRPr="00442C2C" w:rsidP="00E14DD5" w14:paraId="311E7A19" w14:textId="77777777">
            <w:pPr>
              <w:pStyle w:val="PlainText"/>
              <w:keepNext/>
              <w:keepLines/>
              <w:jc w:val="center"/>
              <w:rPr>
                <w:rFonts w:ascii="Arial" w:eastAsia="Calibri" w:hAnsi="Arial" w:cs="Arial"/>
                <w:color w:val="000000" w:themeColor="text1"/>
                <w:sz w:val="20"/>
                <w:szCs w:val="20"/>
                <w:lang w:bidi="en-US"/>
              </w:rPr>
            </w:pPr>
          </w:p>
        </w:tc>
        <w:tc>
          <w:tcPr>
            <w:tcW w:w="1757" w:type="dxa"/>
          </w:tcPr>
          <w:p w:rsidR="00226900" w:rsidRPr="00442C2C" w:rsidP="00E14DD5" w14:paraId="793EE992" w14:textId="77777777">
            <w:pPr>
              <w:pStyle w:val="PlainText"/>
              <w:keepNext/>
              <w:keepLines/>
              <w:jc w:val="center"/>
              <w:rPr>
                <w:rFonts w:ascii="Arial" w:eastAsia="Calibri" w:hAnsi="Arial" w:cs="Arial"/>
                <w:color w:val="000000" w:themeColor="text1"/>
                <w:sz w:val="20"/>
                <w:szCs w:val="20"/>
                <w:lang w:bidi="en-US"/>
              </w:rPr>
            </w:pPr>
          </w:p>
        </w:tc>
        <w:tc>
          <w:tcPr>
            <w:tcW w:w="1757" w:type="dxa"/>
          </w:tcPr>
          <w:p w:rsidR="00226900" w:rsidRPr="00442C2C" w:rsidP="00E14DD5" w14:paraId="7D9373BB" w14:textId="77777777">
            <w:pPr>
              <w:pStyle w:val="PlainText"/>
              <w:keepNext/>
              <w:keepLines/>
              <w:jc w:val="center"/>
              <w:rPr>
                <w:rFonts w:ascii="Arial" w:eastAsia="Calibri" w:hAnsi="Arial" w:cs="Arial"/>
                <w:color w:val="000000" w:themeColor="text1"/>
                <w:sz w:val="20"/>
                <w:szCs w:val="20"/>
                <w:lang w:bidi="en-US"/>
              </w:rPr>
            </w:pPr>
          </w:p>
        </w:tc>
      </w:tr>
      <w:tr w14:paraId="16BDBD65" w14:textId="77777777" w:rsidTr="00817A88">
        <w:tblPrEx>
          <w:tblW w:w="0" w:type="auto"/>
          <w:tblLook w:val="04A0"/>
        </w:tblPrEx>
        <w:tc>
          <w:tcPr>
            <w:tcW w:w="2261" w:type="dxa"/>
          </w:tcPr>
          <w:p w:rsidR="00226900" w:rsidRPr="00442C2C" w:rsidP="00E14DD5" w14:paraId="51168EA2" w14:textId="6C7EAE9E">
            <w:pPr>
              <w:pStyle w:val="PlainText"/>
              <w:keepNext/>
              <w:keepLines/>
              <w:rPr>
                <w:rFonts w:ascii="Arial" w:eastAsia="Calibri" w:hAnsi="Arial" w:cs="Arial"/>
                <w:bCs/>
                <w:color w:val="000000" w:themeColor="text1"/>
                <w:sz w:val="20"/>
                <w:szCs w:val="20"/>
                <w:lang w:bidi="en-US"/>
              </w:rPr>
            </w:pPr>
            <w:r w:rsidRPr="00442C2C">
              <w:rPr>
                <w:rFonts w:ascii="Arial" w:hAnsi="Arial" w:cs="Arial"/>
                <w:color w:val="000000" w:themeColor="text1"/>
                <w:sz w:val="20"/>
                <w:szCs w:val="20"/>
              </w:rPr>
              <w:t>Average Wage (</w:t>
            </w:r>
            <w:r w:rsidRPr="00442C2C" w:rsidR="00F06B63">
              <w:rPr>
                <w:rFonts w:ascii="Arial" w:eastAsia="Calibri" w:hAnsi="Arial" w:cs="Arial"/>
                <w:color w:val="000000" w:themeColor="text1"/>
                <w:sz w:val="20"/>
                <w:szCs w:val="20"/>
                <w:lang w:bidi="en-US"/>
              </w:rPr>
              <w:t>2,960</w:t>
            </w:r>
            <w:r w:rsidRPr="00442C2C" w:rsidR="00916201">
              <w:rPr>
                <w:rFonts w:ascii="Arial" w:eastAsia="Calibri" w:hAnsi="Arial" w:cs="Arial"/>
                <w:color w:val="000000" w:themeColor="text1"/>
                <w:sz w:val="20"/>
                <w:szCs w:val="20"/>
                <w:lang w:bidi="en-US"/>
              </w:rPr>
              <w:t>.</w:t>
            </w:r>
            <w:r w:rsidRPr="00442C2C" w:rsidR="00F619B4">
              <w:rPr>
                <w:rFonts w:ascii="Arial" w:eastAsia="Calibri" w:hAnsi="Arial" w:cs="Arial"/>
                <w:color w:val="000000" w:themeColor="text1"/>
                <w:sz w:val="20"/>
                <w:szCs w:val="20"/>
                <w:lang w:bidi="en-US"/>
              </w:rPr>
              <w:t>92/11</w:t>
            </w:r>
            <w:r w:rsidRPr="00442C2C">
              <w:rPr>
                <w:rFonts w:ascii="Arial" w:hAnsi="Arial" w:cs="Arial"/>
                <w:color w:val="000000" w:themeColor="text1"/>
                <w:sz w:val="20"/>
                <w:szCs w:val="20"/>
              </w:rPr>
              <w:t>)</w:t>
            </w:r>
          </w:p>
        </w:tc>
        <w:tc>
          <w:tcPr>
            <w:tcW w:w="1818" w:type="dxa"/>
          </w:tcPr>
          <w:p w:rsidR="00226900" w:rsidRPr="00442C2C" w:rsidP="00E14DD5" w14:paraId="696AC899" w14:textId="6EE0D5D5">
            <w:pPr>
              <w:pStyle w:val="PlainText"/>
              <w:keepNext/>
              <w:keepLines/>
              <w:jc w:val="center"/>
              <w:rPr>
                <w:rFonts w:ascii="Arial" w:hAnsi="Arial" w:cs="Arial"/>
                <w:color w:val="000000" w:themeColor="text1"/>
                <w:sz w:val="20"/>
                <w:szCs w:val="20"/>
              </w:rPr>
            </w:pPr>
            <w:r w:rsidRPr="00442C2C">
              <w:rPr>
                <w:rFonts w:ascii="Arial" w:eastAsia="Calibri" w:hAnsi="Arial" w:cs="Arial"/>
                <w:color w:val="000000" w:themeColor="text1"/>
                <w:sz w:val="20"/>
                <w:szCs w:val="20"/>
                <w:lang w:bidi="en-US"/>
              </w:rPr>
              <w:t>269.17</w:t>
            </w:r>
          </w:p>
        </w:tc>
        <w:tc>
          <w:tcPr>
            <w:tcW w:w="1757" w:type="dxa"/>
          </w:tcPr>
          <w:p w:rsidR="00226900" w:rsidRPr="00442C2C" w:rsidP="00E14DD5" w14:paraId="409E7710" w14:textId="77777777">
            <w:pPr>
              <w:pStyle w:val="PlainText"/>
              <w:keepNext/>
              <w:keepLines/>
              <w:jc w:val="center"/>
              <w:rPr>
                <w:rFonts w:ascii="Arial" w:eastAsia="Calibri" w:hAnsi="Arial" w:cs="Arial"/>
                <w:color w:val="000000" w:themeColor="text1"/>
                <w:sz w:val="20"/>
                <w:szCs w:val="20"/>
                <w:lang w:bidi="en-US"/>
              </w:rPr>
            </w:pPr>
          </w:p>
        </w:tc>
        <w:tc>
          <w:tcPr>
            <w:tcW w:w="1757" w:type="dxa"/>
          </w:tcPr>
          <w:p w:rsidR="00226900" w:rsidRPr="00442C2C" w:rsidP="00E14DD5" w14:paraId="1A4A86B8" w14:textId="77777777">
            <w:pPr>
              <w:pStyle w:val="PlainText"/>
              <w:keepNext/>
              <w:keepLines/>
              <w:jc w:val="center"/>
              <w:rPr>
                <w:rFonts w:ascii="Arial" w:eastAsia="Calibri" w:hAnsi="Arial" w:cs="Arial"/>
                <w:color w:val="000000" w:themeColor="text1"/>
                <w:sz w:val="20"/>
                <w:szCs w:val="20"/>
                <w:lang w:bidi="en-US"/>
              </w:rPr>
            </w:pPr>
          </w:p>
        </w:tc>
        <w:tc>
          <w:tcPr>
            <w:tcW w:w="1757" w:type="dxa"/>
          </w:tcPr>
          <w:p w:rsidR="00226900" w:rsidRPr="00442C2C" w:rsidP="00E14DD5" w14:paraId="381EF585" w14:textId="77777777">
            <w:pPr>
              <w:pStyle w:val="PlainText"/>
              <w:keepNext/>
              <w:keepLines/>
              <w:jc w:val="center"/>
              <w:rPr>
                <w:rFonts w:ascii="Arial" w:eastAsia="Calibri" w:hAnsi="Arial" w:cs="Arial"/>
                <w:color w:val="000000" w:themeColor="text1"/>
                <w:sz w:val="20"/>
                <w:szCs w:val="20"/>
                <w:lang w:bidi="en-US"/>
              </w:rPr>
            </w:pPr>
          </w:p>
        </w:tc>
      </w:tr>
    </w:tbl>
    <w:p w:rsidR="007E3BF8" w:rsidRPr="00442C2C" w:rsidP="001E57E1" w14:paraId="10391E06" w14:textId="77777777">
      <w:pPr>
        <w:rPr>
          <w:rFonts w:ascii="Arial" w:hAnsi="Arial" w:cs="Arial"/>
        </w:rPr>
      </w:pPr>
    </w:p>
    <w:p w:rsidR="001E57E1" w:rsidRPr="00442C2C" w:rsidP="001B65B1" w14:paraId="2AB321BE" w14:textId="0BAD3E3B">
      <w:pPr>
        <w:spacing w:before="120" w:after="120" w:line="240" w:lineRule="auto"/>
        <w:rPr>
          <w:rFonts w:ascii="Arial" w:hAnsi="Arial" w:cs="Arial"/>
          <w:i/>
          <w:iCs/>
          <w:sz w:val="24"/>
          <w:szCs w:val="24"/>
        </w:rPr>
      </w:pPr>
      <w:r w:rsidRPr="00442C2C">
        <w:rPr>
          <w:rFonts w:ascii="Arial" w:hAnsi="Arial" w:cs="Arial"/>
          <w:i/>
          <w:iCs/>
          <w:sz w:val="24"/>
          <w:szCs w:val="24"/>
        </w:rPr>
        <w:t>Burden for Electronic Prescribing for Controlled Substances Requirement—Waiver Application</w:t>
      </w:r>
    </w:p>
    <w:p w:rsidR="001E57E1" w:rsidRPr="00442C2C" w:rsidP="00CD4E6A" w14:paraId="3522339E" w14:textId="0F5075F1">
      <w:pPr>
        <w:spacing w:before="120" w:after="120" w:line="240" w:lineRule="auto"/>
        <w:rPr>
          <w:rFonts w:ascii="Arial" w:hAnsi="Arial" w:cs="Arial"/>
          <w:sz w:val="24"/>
          <w:szCs w:val="24"/>
        </w:rPr>
      </w:pPr>
      <w:r w:rsidRPr="00442C2C">
        <w:rPr>
          <w:rFonts w:ascii="Arial" w:hAnsi="Arial" w:cs="Arial"/>
          <w:sz w:val="24"/>
          <w:szCs w:val="24"/>
        </w:rPr>
        <w:t xml:space="preserve">Prescribers may apply for a waiver from the EPCS requirement, should they be facing </w:t>
      </w:r>
      <w:r w:rsidRPr="000F3FFB" w:rsidR="005944A3">
        <w:rPr>
          <w:rFonts w:ascii="Arial" w:hAnsi="Arial" w:cs="Arial"/>
          <w:sz w:val="24"/>
          <w:szCs w:val="24"/>
        </w:rPr>
        <w:t>circumstances beyond their control that prevent them from electronically prescribing, and these circumstances are not the result of a natural disaster or emergency.  From data from the previous year, we received a total of 278 waiver applications, and we will use the assumption of a 10% increase per year for a total of 306 waivers for this calculation.</w:t>
      </w:r>
    </w:p>
    <w:p w:rsidR="00145D1E" w:rsidRPr="000F3FFB" w:rsidP="00145D1E" w14:paraId="4F9252C5" w14:textId="77777777">
      <w:pPr>
        <w:spacing w:before="120" w:after="120" w:line="240" w:lineRule="auto"/>
        <w:rPr>
          <w:rFonts w:ascii="Arial" w:hAnsi="Arial" w:cs="Arial"/>
          <w:sz w:val="24"/>
          <w:szCs w:val="24"/>
        </w:rPr>
      </w:pPr>
      <w:r w:rsidRPr="00442C2C">
        <w:rPr>
          <w:rFonts w:ascii="Arial" w:hAnsi="Arial" w:cs="Arial"/>
          <w:sz w:val="24"/>
          <w:szCs w:val="24"/>
        </w:rPr>
        <w:t xml:space="preserve">As shown in Table 2, we assume the staff involved in the waiver application are prescribers for </w:t>
      </w:r>
      <w:r w:rsidRPr="000F3FFB">
        <w:rPr>
          <w:rFonts w:ascii="Arial" w:hAnsi="Arial" w:cs="Arial"/>
          <w:sz w:val="24"/>
          <w:szCs w:val="24"/>
        </w:rPr>
        <w:t xml:space="preserve">which we use the average physician wage rate. We have seen from the data that each waiver application will take </w:t>
      </w:r>
      <w:r w:rsidRPr="00792237">
        <w:rPr>
          <w:rFonts w:ascii="Arial" w:hAnsi="Arial" w:cs="Arial"/>
          <w:sz w:val="24"/>
          <w:szCs w:val="24"/>
        </w:rPr>
        <w:t>10 minutes</w:t>
      </w:r>
      <w:r w:rsidRPr="000F3FFB">
        <w:rPr>
          <w:rFonts w:ascii="Arial" w:hAnsi="Arial" w:cs="Arial"/>
          <w:sz w:val="24"/>
          <w:szCs w:val="24"/>
        </w:rPr>
        <w:t xml:space="preserve"> and 15 seconds (0.170 </w:t>
      </w:r>
      <w:r w:rsidRPr="000F3FFB">
        <w:rPr>
          <w:rFonts w:ascii="Arial" w:hAnsi="Arial" w:cs="Arial"/>
          <w:sz w:val="24"/>
          <w:szCs w:val="24"/>
        </w:rPr>
        <w:t>hr</w:t>
      </w:r>
      <w:r w:rsidRPr="000F3FFB">
        <w:rPr>
          <w:rFonts w:ascii="Arial" w:hAnsi="Arial" w:cs="Arial"/>
          <w:sz w:val="24"/>
          <w:szCs w:val="24"/>
        </w:rPr>
        <w:t>) for a prescriber at $269.17/</w:t>
      </w:r>
      <w:r w:rsidRPr="000F3FFB">
        <w:rPr>
          <w:rFonts w:ascii="Arial" w:hAnsi="Arial" w:cs="Arial"/>
          <w:sz w:val="24"/>
          <w:szCs w:val="24"/>
        </w:rPr>
        <w:t>hr</w:t>
      </w:r>
      <w:r w:rsidRPr="000F3FFB">
        <w:rPr>
          <w:rFonts w:ascii="Arial" w:hAnsi="Arial" w:cs="Arial"/>
          <w:sz w:val="24"/>
          <w:szCs w:val="24"/>
        </w:rPr>
        <w:t xml:space="preserve"> to complete. </w:t>
      </w:r>
    </w:p>
    <w:p w:rsidR="008E7B9A" w:rsidRPr="00442C2C" w:rsidP="001B65B1" w14:paraId="1DEF2D56" w14:textId="616D1A49">
      <w:pPr>
        <w:spacing w:before="120" w:after="120" w:line="240" w:lineRule="auto"/>
        <w:rPr>
          <w:rFonts w:ascii="Arial" w:hAnsi="Arial" w:cs="Arial"/>
          <w:sz w:val="24"/>
          <w:szCs w:val="24"/>
        </w:rPr>
      </w:pPr>
      <w:r w:rsidRPr="00442C2C">
        <w:rPr>
          <w:rFonts w:ascii="Arial" w:hAnsi="Arial" w:cs="Arial"/>
          <w:sz w:val="24"/>
          <w:szCs w:val="24"/>
        </w:rPr>
        <w:t xml:space="preserve">In aggregate, we estimate an annual burden for filling out applications of </w:t>
      </w:r>
      <w:r w:rsidRPr="00442C2C" w:rsidR="382BA488">
        <w:rPr>
          <w:rFonts w:ascii="Arial" w:hAnsi="Arial" w:cs="Arial"/>
          <w:sz w:val="24"/>
          <w:szCs w:val="24"/>
        </w:rPr>
        <w:t>52</w:t>
      </w:r>
      <w:r w:rsidRPr="00442C2C">
        <w:rPr>
          <w:rFonts w:ascii="Arial" w:hAnsi="Arial" w:cs="Arial"/>
          <w:sz w:val="24"/>
          <w:szCs w:val="24"/>
        </w:rPr>
        <w:t xml:space="preserve"> hours (</w:t>
      </w:r>
      <w:r w:rsidRPr="00442C2C" w:rsidR="74AF007C">
        <w:rPr>
          <w:rFonts w:ascii="Arial" w:hAnsi="Arial" w:cs="Arial"/>
          <w:sz w:val="24"/>
          <w:szCs w:val="24"/>
        </w:rPr>
        <w:t>306)</w:t>
      </w:r>
      <w:r w:rsidRPr="00442C2C">
        <w:rPr>
          <w:rFonts w:ascii="Arial" w:hAnsi="Arial" w:cs="Arial"/>
          <w:sz w:val="24"/>
          <w:szCs w:val="24"/>
        </w:rPr>
        <w:t xml:space="preserve">applications × </w:t>
      </w:r>
      <w:r w:rsidRPr="00442C2C" w:rsidR="32C6A9F8">
        <w:rPr>
          <w:rFonts w:ascii="Arial" w:hAnsi="Arial" w:cs="Arial"/>
          <w:sz w:val="24"/>
          <w:szCs w:val="24"/>
        </w:rPr>
        <w:t>0.170</w:t>
      </w:r>
      <w:r w:rsidRPr="00442C2C">
        <w:rPr>
          <w:rFonts w:ascii="Arial" w:hAnsi="Arial" w:cs="Arial"/>
          <w:sz w:val="24"/>
          <w:szCs w:val="24"/>
        </w:rPr>
        <w:t xml:space="preserve"> </w:t>
      </w:r>
      <w:r w:rsidRPr="00442C2C">
        <w:rPr>
          <w:rFonts w:ascii="Arial" w:hAnsi="Arial" w:cs="Arial"/>
          <w:sz w:val="24"/>
          <w:szCs w:val="24"/>
        </w:rPr>
        <w:t>hr</w:t>
      </w:r>
      <w:r w:rsidRPr="00442C2C">
        <w:rPr>
          <w:rFonts w:ascii="Arial" w:hAnsi="Arial" w:cs="Arial"/>
          <w:sz w:val="24"/>
          <w:szCs w:val="24"/>
        </w:rPr>
        <w:t>) at a cost of $</w:t>
      </w:r>
      <w:r w:rsidRPr="00442C2C" w:rsidR="6E377C5F">
        <w:rPr>
          <w:rFonts w:ascii="Arial" w:hAnsi="Arial" w:cs="Arial"/>
          <w:sz w:val="24"/>
          <w:szCs w:val="24"/>
        </w:rPr>
        <w:t>13,9</w:t>
      </w:r>
      <w:r w:rsidRPr="00442C2C" w:rsidR="1EAAC291">
        <w:rPr>
          <w:rFonts w:ascii="Arial" w:hAnsi="Arial" w:cs="Arial"/>
          <w:sz w:val="24"/>
          <w:szCs w:val="24"/>
        </w:rPr>
        <w:t>9</w:t>
      </w:r>
      <w:r w:rsidRPr="00442C2C" w:rsidR="6E377C5F">
        <w:rPr>
          <w:rFonts w:ascii="Arial" w:hAnsi="Arial" w:cs="Arial"/>
          <w:sz w:val="24"/>
          <w:szCs w:val="24"/>
        </w:rPr>
        <w:t>6.84</w:t>
      </w:r>
      <w:r w:rsidRPr="00442C2C" w:rsidR="381B7D9D">
        <w:rPr>
          <w:rFonts w:ascii="Arial" w:hAnsi="Arial" w:cs="Arial"/>
          <w:sz w:val="24"/>
          <w:szCs w:val="24"/>
        </w:rPr>
        <w:t xml:space="preserve"> (</w:t>
      </w:r>
      <w:r w:rsidRPr="00442C2C" w:rsidR="4FD6EC94">
        <w:rPr>
          <w:rFonts w:ascii="Arial" w:hAnsi="Arial" w:cs="Arial"/>
          <w:sz w:val="24"/>
          <w:szCs w:val="24"/>
        </w:rPr>
        <w:t>52</w:t>
      </w:r>
      <w:r w:rsidRPr="00442C2C">
        <w:rPr>
          <w:rFonts w:ascii="Arial" w:hAnsi="Arial" w:cs="Arial"/>
          <w:sz w:val="24"/>
          <w:szCs w:val="24"/>
        </w:rPr>
        <w:t xml:space="preserve"> hours × $</w:t>
      </w:r>
      <w:r w:rsidRPr="00442C2C" w:rsidR="3BFB25D9">
        <w:rPr>
          <w:rFonts w:ascii="Arial" w:hAnsi="Arial" w:cs="Arial"/>
          <w:sz w:val="24"/>
          <w:szCs w:val="24"/>
        </w:rPr>
        <w:t>269</w:t>
      </w:r>
      <w:r w:rsidRPr="00442C2C">
        <w:rPr>
          <w:rFonts w:ascii="Arial" w:hAnsi="Arial" w:cs="Arial"/>
          <w:sz w:val="24"/>
          <w:szCs w:val="24"/>
        </w:rPr>
        <w:t>.17).</w:t>
      </w:r>
    </w:p>
    <w:tbl>
      <w:tblPr>
        <w:tblW w:w="9015" w:type="dxa"/>
        <w:tblLook w:val="04A0"/>
      </w:tblPr>
      <w:tblGrid>
        <w:gridCol w:w="6300"/>
        <w:gridCol w:w="2715"/>
      </w:tblGrid>
      <w:tr w14:paraId="033B8550" w14:textId="77777777" w:rsidTr="00E92097">
        <w:tblPrEx>
          <w:tblW w:w="9015" w:type="dxa"/>
          <w:tblLook w:val="04A0"/>
        </w:tblPrEx>
        <w:trPr>
          <w:trHeight w:val="290"/>
        </w:trPr>
        <w:tc>
          <w:tcPr>
            <w:tcW w:w="9015" w:type="dxa"/>
            <w:gridSpan w:val="2"/>
            <w:tcBorders>
              <w:top w:val="nil"/>
              <w:left w:val="nil"/>
              <w:bottom w:val="nil"/>
              <w:right w:val="nil"/>
            </w:tcBorders>
            <w:vAlign w:val="bottom"/>
            <w:hideMark/>
          </w:tcPr>
          <w:p w:rsidR="00775100" w:rsidRPr="00442C2C" w:rsidP="001B65B1" w14:paraId="40BBBA08" w14:textId="77777777">
            <w:pPr>
              <w:spacing w:before="120" w:after="120" w:line="240" w:lineRule="auto"/>
              <w:jc w:val="center"/>
              <w:rPr>
                <w:rFonts w:ascii="Arial" w:eastAsia="Times New Roman" w:hAnsi="Arial" w:cs="Arial"/>
                <w:b/>
                <w:bCs/>
                <w:color w:val="000000"/>
                <w:sz w:val="24"/>
                <w:szCs w:val="24"/>
              </w:rPr>
            </w:pPr>
          </w:p>
          <w:p w:rsidR="001E57E1" w:rsidRPr="00442C2C" w:rsidP="001B65B1" w14:paraId="499F66E7" w14:textId="664F0B30">
            <w:pPr>
              <w:spacing w:before="120" w:after="12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Table 2: Burden for Electronic Prescribing of Controlled Substances Requirement—</w:t>
            </w:r>
          </w:p>
        </w:tc>
      </w:tr>
      <w:tr w14:paraId="29F29E2D" w14:textId="77777777" w:rsidTr="00E92097">
        <w:tblPrEx>
          <w:tblW w:w="9015" w:type="dxa"/>
          <w:tblLook w:val="04A0"/>
        </w:tblPrEx>
        <w:trPr>
          <w:trHeight w:val="300"/>
        </w:trPr>
        <w:tc>
          <w:tcPr>
            <w:tcW w:w="6300" w:type="dxa"/>
            <w:tcBorders>
              <w:top w:val="nil"/>
              <w:left w:val="nil"/>
              <w:bottom w:val="single" w:sz="12" w:space="0" w:color="auto"/>
              <w:right w:val="nil"/>
            </w:tcBorders>
            <w:vAlign w:val="bottom"/>
            <w:hideMark/>
          </w:tcPr>
          <w:p w:rsidR="001E57E1" w:rsidRPr="00442C2C" w:rsidP="00E92097" w14:paraId="1D75F5ED" w14:textId="77777777">
            <w:pPr>
              <w:spacing w:before="120" w:after="120" w:line="240" w:lineRule="auto"/>
              <w:ind w:right="-2355"/>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Waiver Application</w:t>
            </w:r>
          </w:p>
        </w:tc>
        <w:tc>
          <w:tcPr>
            <w:tcW w:w="2710" w:type="dxa"/>
            <w:tcBorders>
              <w:top w:val="nil"/>
              <w:left w:val="nil"/>
              <w:bottom w:val="single" w:sz="12" w:space="0" w:color="auto"/>
              <w:right w:val="nil"/>
            </w:tcBorders>
            <w:noWrap/>
            <w:vAlign w:val="bottom"/>
            <w:hideMark/>
          </w:tcPr>
          <w:p w:rsidR="001E57E1" w:rsidRPr="00442C2C" w:rsidP="00E92097" w14:paraId="516850DA" w14:textId="66C7A932">
            <w:pPr>
              <w:spacing w:before="120" w:after="120" w:line="240" w:lineRule="auto"/>
              <w:jc w:val="center"/>
              <w:rPr>
                <w:rFonts w:ascii="Arial" w:eastAsia="Times New Roman" w:hAnsi="Arial" w:cs="Arial"/>
                <w:color w:val="000000"/>
                <w:sz w:val="24"/>
                <w:szCs w:val="24"/>
              </w:rPr>
            </w:pPr>
          </w:p>
        </w:tc>
      </w:tr>
      <w:tr w14:paraId="01226585" w14:textId="77777777" w:rsidTr="00E92097">
        <w:tblPrEx>
          <w:tblW w:w="9015" w:type="dxa"/>
          <w:tblLook w:val="04A0"/>
        </w:tblPrEx>
        <w:trPr>
          <w:trHeight w:val="300"/>
        </w:trPr>
        <w:tc>
          <w:tcPr>
            <w:tcW w:w="6300" w:type="dxa"/>
            <w:tcBorders>
              <w:top w:val="nil"/>
              <w:left w:val="nil"/>
              <w:bottom w:val="nil"/>
              <w:right w:val="nil"/>
            </w:tcBorders>
            <w:noWrap/>
            <w:vAlign w:val="bottom"/>
            <w:hideMark/>
          </w:tcPr>
          <w:p w:rsidR="001E57E1" w:rsidRPr="00442C2C" w:rsidP="001E57E1" w14:paraId="5BAAFC2A" w14:textId="77777777">
            <w:pPr>
              <w:spacing w:after="0" w:line="240" w:lineRule="auto"/>
              <w:rPr>
                <w:rFonts w:ascii="Arial" w:eastAsia="Times New Roman" w:hAnsi="Arial" w:cs="Arial"/>
                <w:color w:val="000000"/>
              </w:rPr>
            </w:pPr>
          </w:p>
        </w:tc>
        <w:tc>
          <w:tcPr>
            <w:tcW w:w="2710" w:type="dxa"/>
            <w:tcBorders>
              <w:top w:val="nil"/>
              <w:left w:val="nil"/>
              <w:bottom w:val="nil"/>
              <w:right w:val="nil"/>
            </w:tcBorders>
            <w:noWrap/>
            <w:vAlign w:val="bottom"/>
            <w:hideMark/>
          </w:tcPr>
          <w:p w:rsidR="001E57E1" w:rsidRPr="00442C2C" w:rsidP="001E57E1" w14:paraId="4998AC9A" w14:textId="77777777">
            <w:pPr>
              <w:spacing w:after="0" w:line="240" w:lineRule="auto"/>
              <w:rPr>
                <w:rFonts w:ascii="Arial" w:eastAsia="Times New Roman" w:hAnsi="Arial" w:cs="Arial"/>
                <w:sz w:val="20"/>
                <w:szCs w:val="20"/>
              </w:rPr>
            </w:pPr>
          </w:p>
        </w:tc>
      </w:tr>
      <w:tr w14:paraId="1F2B8479" w14:textId="77777777" w:rsidTr="00E92097">
        <w:tblPrEx>
          <w:tblW w:w="9015" w:type="dxa"/>
          <w:tblLook w:val="04A0"/>
        </w:tblPrEx>
        <w:trPr>
          <w:trHeight w:val="460"/>
        </w:trPr>
        <w:tc>
          <w:tcPr>
            <w:tcW w:w="6300" w:type="dxa"/>
            <w:tcBorders>
              <w:top w:val="single" w:sz="4" w:space="0" w:color="auto"/>
              <w:left w:val="single" w:sz="4" w:space="0" w:color="auto"/>
              <w:bottom w:val="single" w:sz="4" w:space="0" w:color="auto"/>
              <w:right w:val="single" w:sz="4" w:space="0" w:color="auto"/>
            </w:tcBorders>
            <w:vAlign w:val="bottom"/>
            <w:hideMark/>
          </w:tcPr>
          <w:p w:rsidR="001E57E1" w:rsidRPr="00442C2C" w:rsidP="001E57E1" w14:paraId="1F9D3D11" w14:textId="77777777">
            <w:pPr>
              <w:spacing w:after="0" w:line="240" w:lineRule="auto"/>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 xml:space="preserve">Burden Data Description Burden </w:t>
            </w:r>
          </w:p>
        </w:tc>
        <w:tc>
          <w:tcPr>
            <w:tcW w:w="2710" w:type="dxa"/>
            <w:tcBorders>
              <w:top w:val="single" w:sz="4" w:space="0" w:color="auto"/>
              <w:left w:val="nil"/>
              <w:bottom w:val="single" w:sz="4" w:space="0" w:color="auto"/>
              <w:right w:val="single" w:sz="4" w:space="0" w:color="auto"/>
            </w:tcBorders>
            <w:noWrap/>
            <w:vAlign w:val="bottom"/>
            <w:hideMark/>
          </w:tcPr>
          <w:p w:rsidR="001E57E1" w:rsidRPr="00442C2C" w:rsidP="001E57E1" w14:paraId="6E3C6CEC" w14:textId="77777777">
            <w:pPr>
              <w:spacing w:after="0" w:line="240" w:lineRule="auto"/>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 xml:space="preserve"> Burden Estimate</w:t>
            </w:r>
          </w:p>
        </w:tc>
      </w:tr>
      <w:tr w14:paraId="579C9A08" w14:textId="77777777" w:rsidTr="00E92097">
        <w:tblPrEx>
          <w:tblW w:w="9015" w:type="dxa"/>
          <w:tblLook w:val="04A0"/>
        </w:tblPrEx>
        <w:trPr>
          <w:trHeight w:val="590"/>
        </w:trPr>
        <w:tc>
          <w:tcPr>
            <w:tcW w:w="6300" w:type="dxa"/>
            <w:tcBorders>
              <w:top w:val="nil"/>
              <w:left w:val="single" w:sz="4" w:space="0" w:color="auto"/>
              <w:bottom w:val="single" w:sz="4" w:space="0" w:color="auto"/>
              <w:right w:val="single" w:sz="4" w:space="0" w:color="auto"/>
            </w:tcBorders>
            <w:vAlign w:val="bottom"/>
            <w:hideMark/>
          </w:tcPr>
          <w:p w:rsidR="001E57E1" w:rsidRPr="00442C2C" w:rsidP="001E57E1" w14:paraId="6385D306" w14:textId="5A37650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Total </w:t>
            </w:r>
            <w:r w:rsidRPr="00442C2C">
              <w:rPr>
                <w:rFonts w:ascii="Arial" w:eastAsia="Times New Roman" w:hAnsi="Arial" w:cs="Arial"/>
                <w:color w:val="000000"/>
                <w:sz w:val="24"/>
                <w:szCs w:val="24"/>
              </w:rPr>
              <w:t># of Respondents Applying for a Waiver (a)</w:t>
            </w:r>
          </w:p>
        </w:tc>
        <w:tc>
          <w:tcPr>
            <w:tcW w:w="2710" w:type="dxa"/>
            <w:tcBorders>
              <w:top w:val="nil"/>
              <w:left w:val="nil"/>
              <w:bottom w:val="single" w:sz="4" w:space="0" w:color="auto"/>
              <w:right w:val="single" w:sz="4" w:space="0" w:color="auto"/>
            </w:tcBorders>
            <w:noWrap/>
            <w:vAlign w:val="bottom"/>
            <w:hideMark/>
          </w:tcPr>
          <w:p w:rsidR="001E57E1" w:rsidRPr="00442C2C" w:rsidP="65CF2E2D" w14:paraId="1FFD6872" w14:textId="31963E62">
            <w:pPr>
              <w:spacing w:after="0" w:line="240" w:lineRule="auto"/>
              <w:jc w:val="right"/>
              <w:rPr>
                <w:rFonts w:ascii="Arial" w:eastAsia="Aptos Narrow" w:hAnsi="Arial" w:cs="Arial"/>
                <w:sz w:val="24"/>
                <w:szCs w:val="24"/>
              </w:rPr>
            </w:pPr>
            <w:r w:rsidRPr="00442C2C">
              <w:rPr>
                <w:rFonts w:ascii="Arial" w:eastAsia="Times New Roman" w:hAnsi="Arial" w:cs="Arial"/>
                <w:color w:val="000000" w:themeColor="text1"/>
                <w:sz w:val="24"/>
                <w:szCs w:val="24"/>
              </w:rPr>
              <w:t>306</w:t>
            </w:r>
          </w:p>
        </w:tc>
      </w:tr>
      <w:tr w14:paraId="0BB868CB" w14:textId="77777777" w:rsidTr="00E92097">
        <w:tblPrEx>
          <w:tblW w:w="9015" w:type="dxa"/>
          <w:tblLook w:val="04A0"/>
        </w:tblPrEx>
        <w:trPr>
          <w:trHeight w:val="390"/>
        </w:trPr>
        <w:tc>
          <w:tcPr>
            <w:tcW w:w="6300" w:type="dxa"/>
            <w:tcBorders>
              <w:top w:val="nil"/>
              <w:left w:val="single" w:sz="4" w:space="0" w:color="auto"/>
              <w:bottom w:val="single" w:sz="4" w:space="0" w:color="auto"/>
              <w:right w:val="single" w:sz="4" w:space="0" w:color="auto"/>
            </w:tcBorders>
            <w:vAlign w:val="bottom"/>
            <w:hideMark/>
          </w:tcPr>
          <w:p w:rsidR="001E57E1" w:rsidRPr="00442C2C" w:rsidP="001E57E1" w14:paraId="2DCDFCB9" w14:textId="5626DD81">
            <w:pPr>
              <w:spacing w:after="0" w:line="240" w:lineRule="auto"/>
              <w:rPr>
                <w:rFonts w:ascii="Arial" w:eastAsia="Times New Roman" w:hAnsi="Arial" w:cs="Arial"/>
                <w:color w:val="000000"/>
                <w:sz w:val="24"/>
                <w:szCs w:val="24"/>
              </w:rPr>
            </w:pPr>
            <w:r w:rsidRPr="00442C2C">
              <w:rPr>
                <w:rFonts w:ascii="Arial" w:eastAsia="Times New Roman" w:hAnsi="Arial" w:cs="Arial"/>
                <w:color w:val="000000"/>
                <w:sz w:val="24"/>
                <w:szCs w:val="24"/>
              </w:rPr>
              <w:t>Total  Hours</w:t>
            </w:r>
            <w:r w:rsidRPr="00442C2C">
              <w:rPr>
                <w:rFonts w:ascii="Arial" w:eastAsia="Times New Roman" w:hAnsi="Arial" w:cs="Arial"/>
                <w:color w:val="000000"/>
                <w:sz w:val="24"/>
                <w:szCs w:val="24"/>
              </w:rPr>
              <w:t xml:space="preserve"> for </w:t>
            </w:r>
            <w:r w:rsidR="00623E47">
              <w:rPr>
                <w:rFonts w:ascii="Arial" w:eastAsia="Times New Roman" w:hAnsi="Arial" w:cs="Arial"/>
                <w:color w:val="000000"/>
                <w:sz w:val="24"/>
                <w:szCs w:val="24"/>
              </w:rPr>
              <w:t>E</w:t>
            </w:r>
            <w:r w:rsidR="00AE03A3">
              <w:rPr>
                <w:rFonts w:ascii="Arial" w:eastAsia="Times New Roman" w:hAnsi="Arial" w:cs="Arial"/>
                <w:color w:val="000000"/>
                <w:sz w:val="24"/>
                <w:szCs w:val="24"/>
              </w:rPr>
              <w:t xml:space="preserve">ach </w:t>
            </w:r>
            <w:r w:rsidRPr="00442C2C">
              <w:rPr>
                <w:rFonts w:ascii="Arial" w:eastAsia="Times New Roman" w:hAnsi="Arial" w:cs="Arial"/>
                <w:color w:val="000000"/>
                <w:sz w:val="24"/>
                <w:szCs w:val="24"/>
              </w:rPr>
              <w:t>Waiver Application (b)</w:t>
            </w:r>
          </w:p>
        </w:tc>
        <w:tc>
          <w:tcPr>
            <w:tcW w:w="2710" w:type="dxa"/>
            <w:tcBorders>
              <w:top w:val="nil"/>
              <w:left w:val="nil"/>
              <w:bottom w:val="single" w:sz="4" w:space="0" w:color="auto"/>
              <w:right w:val="single" w:sz="4" w:space="0" w:color="auto"/>
            </w:tcBorders>
            <w:noWrap/>
            <w:vAlign w:val="bottom"/>
            <w:hideMark/>
          </w:tcPr>
          <w:p w:rsidR="001E57E1" w:rsidRPr="00442C2C" w:rsidP="65CF2E2D" w14:paraId="52651A8D" w14:textId="6BE40399">
            <w:pPr>
              <w:spacing w:after="0" w:line="240" w:lineRule="auto"/>
              <w:jc w:val="right"/>
              <w:rPr>
                <w:rFonts w:ascii="Arial" w:eastAsia="Times New Roman" w:hAnsi="Arial" w:cs="Arial"/>
                <w:color w:val="000000"/>
                <w:sz w:val="24"/>
                <w:szCs w:val="24"/>
              </w:rPr>
            </w:pPr>
            <w:r w:rsidRPr="00442C2C">
              <w:rPr>
                <w:rFonts w:ascii="Arial" w:eastAsia="Times New Roman" w:hAnsi="Arial" w:cs="Arial"/>
                <w:color w:val="000000" w:themeColor="text1"/>
                <w:sz w:val="24"/>
                <w:szCs w:val="24"/>
              </w:rPr>
              <w:t>0.170</w:t>
            </w:r>
          </w:p>
        </w:tc>
      </w:tr>
      <w:tr w14:paraId="0E2E015C" w14:textId="77777777" w:rsidTr="00442C2C">
        <w:tblPrEx>
          <w:tblW w:w="9015" w:type="dxa"/>
          <w:tblLook w:val="04A0"/>
        </w:tblPrEx>
        <w:trPr>
          <w:trHeight w:val="420"/>
        </w:trPr>
        <w:tc>
          <w:tcPr>
            <w:tcW w:w="6300" w:type="dxa"/>
            <w:tcBorders>
              <w:top w:val="nil"/>
              <w:left w:val="single" w:sz="4" w:space="0" w:color="auto"/>
              <w:bottom w:val="single" w:sz="4" w:space="0" w:color="auto"/>
              <w:right w:val="single" w:sz="4" w:space="0" w:color="auto"/>
            </w:tcBorders>
            <w:shd w:val="clear" w:color="auto" w:fill="D1D1D1" w:themeFill="background2" w:themeFillShade="E6"/>
            <w:vAlign w:val="bottom"/>
            <w:hideMark/>
          </w:tcPr>
          <w:p w:rsidR="001E57E1" w:rsidRPr="00442C2C" w:rsidP="001E57E1" w14:paraId="3C98F7DB" w14:textId="21690602">
            <w:pPr>
              <w:spacing w:after="0" w:line="240" w:lineRule="auto"/>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Total Annual Hours for</w:t>
            </w:r>
            <w:r w:rsidR="000E5599">
              <w:rPr>
                <w:rFonts w:ascii="Arial" w:eastAsia="Times New Roman" w:hAnsi="Arial" w:cs="Arial"/>
                <w:b/>
                <w:bCs/>
                <w:color w:val="000000"/>
                <w:sz w:val="24"/>
                <w:szCs w:val="24"/>
              </w:rPr>
              <w:t xml:space="preserve"> All</w:t>
            </w:r>
            <w:r w:rsidRPr="00442C2C">
              <w:rPr>
                <w:rFonts w:ascii="Arial" w:eastAsia="Times New Roman" w:hAnsi="Arial" w:cs="Arial"/>
                <w:b/>
                <w:bCs/>
                <w:color w:val="000000"/>
                <w:sz w:val="24"/>
                <w:szCs w:val="24"/>
              </w:rPr>
              <w:t xml:space="preserve"> Waiver Application (c) = (a)*(b)</w:t>
            </w:r>
          </w:p>
        </w:tc>
        <w:tc>
          <w:tcPr>
            <w:tcW w:w="2710" w:type="dxa"/>
            <w:tcBorders>
              <w:top w:val="nil"/>
              <w:left w:val="nil"/>
              <w:bottom w:val="single" w:sz="4" w:space="0" w:color="auto"/>
              <w:right w:val="single" w:sz="4" w:space="0" w:color="auto"/>
            </w:tcBorders>
            <w:shd w:val="clear" w:color="auto" w:fill="D1D1D1" w:themeFill="background2" w:themeFillShade="E6"/>
            <w:noWrap/>
            <w:vAlign w:val="bottom"/>
            <w:hideMark/>
          </w:tcPr>
          <w:p w:rsidR="001E57E1" w:rsidRPr="00442C2C" w:rsidP="00442C2C" w14:paraId="53696AAB" w14:textId="256B0828">
            <w:pPr>
              <w:spacing w:after="0" w:line="240" w:lineRule="auto"/>
              <w:jc w:val="right"/>
              <w:rPr>
                <w:rFonts w:ascii="Arial" w:eastAsia="Times New Roman" w:hAnsi="Arial" w:cs="Arial"/>
                <w:b/>
                <w:bCs/>
                <w:color w:val="000000"/>
                <w:sz w:val="24"/>
                <w:szCs w:val="24"/>
              </w:rPr>
            </w:pPr>
            <w:r w:rsidRPr="00442C2C">
              <w:rPr>
                <w:rFonts w:ascii="Arial" w:eastAsia="Times New Roman" w:hAnsi="Arial" w:cs="Arial"/>
                <w:b/>
                <w:bCs/>
                <w:color w:val="000000" w:themeColor="text1"/>
                <w:sz w:val="24"/>
                <w:szCs w:val="24"/>
              </w:rPr>
              <w:t>52</w:t>
            </w:r>
            <w:r w:rsidRPr="00442C2C">
              <w:rPr>
                <w:rFonts w:ascii="Arial" w:eastAsia="Times New Roman" w:hAnsi="Arial" w:cs="Arial"/>
                <w:b/>
                <w:bCs/>
                <w:color w:val="000000" w:themeColor="text1"/>
                <w:sz w:val="24"/>
                <w:szCs w:val="24"/>
              </w:rPr>
              <w:t xml:space="preserve"> hours</w:t>
            </w:r>
          </w:p>
        </w:tc>
      </w:tr>
      <w:tr w14:paraId="2B23E601" w14:textId="77777777" w:rsidTr="00442C2C">
        <w:tblPrEx>
          <w:tblW w:w="9015" w:type="dxa"/>
          <w:tblLook w:val="04A0"/>
        </w:tblPrEx>
        <w:trPr>
          <w:trHeight w:val="810"/>
        </w:trPr>
        <w:tc>
          <w:tcPr>
            <w:tcW w:w="6300" w:type="dxa"/>
            <w:tcBorders>
              <w:top w:val="nil"/>
              <w:left w:val="single" w:sz="4" w:space="0" w:color="auto"/>
              <w:bottom w:val="single" w:sz="4" w:space="0" w:color="auto"/>
              <w:right w:val="single" w:sz="4" w:space="0" w:color="auto"/>
            </w:tcBorders>
            <w:vAlign w:val="bottom"/>
            <w:hideMark/>
          </w:tcPr>
          <w:p w:rsidR="001E57E1" w:rsidRPr="00442C2C" w:rsidP="001E57E1" w14:paraId="15F6D4BB" w14:textId="1ABB50C6">
            <w:pPr>
              <w:spacing w:after="0" w:line="240" w:lineRule="auto"/>
              <w:rPr>
                <w:rFonts w:ascii="Arial" w:eastAsia="Times New Roman" w:hAnsi="Arial" w:cs="Arial"/>
                <w:color w:val="000000"/>
                <w:sz w:val="24"/>
                <w:szCs w:val="24"/>
              </w:rPr>
            </w:pPr>
            <w:r w:rsidRPr="00442C2C">
              <w:rPr>
                <w:rFonts w:ascii="Arial" w:eastAsia="Times New Roman" w:hAnsi="Arial" w:cs="Arial"/>
                <w:color w:val="000000" w:themeColor="text1"/>
                <w:sz w:val="24"/>
                <w:szCs w:val="24"/>
              </w:rPr>
              <w:t>Labor rate to Apply for a Waiver @ prescriber’s labor rate of $</w:t>
            </w:r>
            <w:r w:rsidRPr="00442C2C" w:rsidR="5F125A43">
              <w:rPr>
                <w:rFonts w:ascii="Arial" w:eastAsia="Times New Roman" w:hAnsi="Arial" w:cs="Arial"/>
                <w:color w:val="000000" w:themeColor="text1"/>
                <w:sz w:val="24"/>
                <w:szCs w:val="24"/>
              </w:rPr>
              <w:t>269</w:t>
            </w:r>
            <w:r w:rsidRPr="00442C2C">
              <w:rPr>
                <w:rFonts w:ascii="Arial" w:eastAsia="Times New Roman" w:hAnsi="Arial" w:cs="Arial"/>
                <w:color w:val="000000" w:themeColor="text1"/>
                <w:sz w:val="24"/>
                <w:szCs w:val="24"/>
              </w:rPr>
              <w:t>.17/hr. (d)</w:t>
            </w:r>
          </w:p>
        </w:tc>
        <w:tc>
          <w:tcPr>
            <w:tcW w:w="2710" w:type="dxa"/>
            <w:tcBorders>
              <w:top w:val="nil"/>
              <w:left w:val="nil"/>
              <w:bottom w:val="single" w:sz="4" w:space="0" w:color="auto"/>
              <w:right w:val="single" w:sz="4" w:space="0" w:color="auto"/>
            </w:tcBorders>
            <w:noWrap/>
            <w:vAlign w:val="bottom"/>
            <w:hideMark/>
          </w:tcPr>
          <w:p w:rsidR="001E57E1" w:rsidRPr="00442C2C" w:rsidP="00442C2C" w14:paraId="394BC727" w14:textId="3972FE6F">
            <w:pPr>
              <w:spacing w:after="0" w:line="240" w:lineRule="auto"/>
              <w:jc w:val="right"/>
              <w:rPr>
                <w:rFonts w:ascii="Arial" w:eastAsia="Times New Roman" w:hAnsi="Arial" w:cs="Arial"/>
                <w:color w:val="000000"/>
                <w:sz w:val="24"/>
                <w:szCs w:val="24"/>
              </w:rPr>
            </w:pPr>
            <w:r w:rsidRPr="00442C2C">
              <w:rPr>
                <w:rFonts w:ascii="Arial" w:eastAsia="Times New Roman" w:hAnsi="Arial" w:cs="Arial"/>
                <w:color w:val="000000" w:themeColor="text1"/>
                <w:sz w:val="24"/>
                <w:szCs w:val="24"/>
              </w:rPr>
              <w:t>$</w:t>
            </w:r>
            <w:r w:rsidRPr="00442C2C" w:rsidR="6FFC694D">
              <w:rPr>
                <w:rFonts w:ascii="Arial" w:eastAsia="Times New Roman" w:hAnsi="Arial" w:cs="Arial"/>
                <w:color w:val="000000" w:themeColor="text1"/>
                <w:sz w:val="24"/>
                <w:szCs w:val="24"/>
              </w:rPr>
              <w:t>269</w:t>
            </w:r>
            <w:r w:rsidRPr="00442C2C">
              <w:rPr>
                <w:rFonts w:ascii="Arial" w:eastAsia="Times New Roman" w:hAnsi="Arial" w:cs="Arial"/>
                <w:color w:val="000000" w:themeColor="text1"/>
                <w:sz w:val="24"/>
                <w:szCs w:val="24"/>
              </w:rPr>
              <w:t>.17/</w:t>
            </w:r>
            <w:r w:rsidRPr="00442C2C">
              <w:rPr>
                <w:rFonts w:ascii="Arial" w:eastAsia="Times New Roman" w:hAnsi="Arial" w:cs="Arial"/>
                <w:color w:val="000000" w:themeColor="text1"/>
                <w:sz w:val="24"/>
                <w:szCs w:val="24"/>
              </w:rPr>
              <w:t>hr</w:t>
            </w:r>
          </w:p>
        </w:tc>
      </w:tr>
      <w:tr w14:paraId="77AC8E63" w14:textId="77777777" w:rsidTr="00C96DC5">
        <w:tblPrEx>
          <w:tblW w:w="9015" w:type="dxa"/>
          <w:tblLook w:val="04A0"/>
        </w:tblPrEx>
        <w:trPr>
          <w:trHeight w:val="270"/>
        </w:trPr>
        <w:tc>
          <w:tcPr>
            <w:tcW w:w="6300" w:type="dxa"/>
            <w:tcBorders>
              <w:top w:val="nil"/>
              <w:left w:val="single" w:sz="4" w:space="0" w:color="auto"/>
              <w:bottom w:val="single" w:sz="4" w:space="0" w:color="auto"/>
              <w:right w:val="single" w:sz="4" w:space="0" w:color="auto"/>
            </w:tcBorders>
            <w:shd w:val="clear" w:color="auto" w:fill="D1D1D1" w:themeFill="background2" w:themeFillShade="E6"/>
            <w:vAlign w:val="bottom"/>
            <w:hideMark/>
          </w:tcPr>
          <w:p w:rsidR="001E57E1" w:rsidRPr="00442C2C" w:rsidP="001E57E1" w14:paraId="1B3B8F1B" w14:textId="6F35859A">
            <w:pPr>
              <w:spacing w:after="0" w:line="240" w:lineRule="auto"/>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 xml:space="preserve">Total </w:t>
            </w:r>
            <w:r w:rsidR="00096581">
              <w:rPr>
                <w:rFonts w:ascii="Arial" w:eastAsia="Times New Roman" w:hAnsi="Arial" w:cs="Arial"/>
                <w:b/>
                <w:bCs/>
                <w:color w:val="000000"/>
                <w:sz w:val="24"/>
                <w:szCs w:val="24"/>
              </w:rPr>
              <w:t xml:space="preserve">Aggregate </w:t>
            </w:r>
            <w:r w:rsidRPr="00442C2C">
              <w:rPr>
                <w:rFonts w:ascii="Arial" w:eastAsia="Times New Roman" w:hAnsi="Arial" w:cs="Arial"/>
                <w:b/>
                <w:bCs/>
                <w:color w:val="000000"/>
                <w:sz w:val="24"/>
                <w:szCs w:val="24"/>
              </w:rPr>
              <w:t xml:space="preserve">Annual Cost for Waiver Application (e) = (c)*(d) </w:t>
            </w:r>
          </w:p>
        </w:tc>
        <w:tc>
          <w:tcPr>
            <w:tcW w:w="2710" w:type="dxa"/>
            <w:tcBorders>
              <w:top w:val="nil"/>
              <w:left w:val="nil"/>
              <w:bottom w:val="single" w:sz="4" w:space="0" w:color="auto"/>
              <w:right w:val="single" w:sz="4" w:space="0" w:color="auto"/>
            </w:tcBorders>
            <w:shd w:val="clear" w:color="auto" w:fill="D1D1D1" w:themeFill="background2" w:themeFillShade="E6"/>
            <w:noWrap/>
            <w:vAlign w:val="bottom"/>
            <w:hideMark/>
          </w:tcPr>
          <w:p w:rsidR="001E57E1" w:rsidRPr="00442C2C" w:rsidP="65CF2E2D" w14:paraId="56EDB102" w14:textId="0B97C3BE">
            <w:pPr>
              <w:spacing w:after="0" w:line="240" w:lineRule="auto"/>
              <w:jc w:val="right"/>
              <w:rPr>
                <w:rFonts w:ascii="Arial" w:eastAsia="Aptos Narrow" w:hAnsi="Arial" w:cs="Arial"/>
                <w:b/>
                <w:bCs/>
                <w:sz w:val="24"/>
                <w:szCs w:val="24"/>
              </w:rPr>
            </w:pPr>
            <w:r w:rsidRPr="00442C2C">
              <w:rPr>
                <w:rFonts w:ascii="Arial" w:eastAsia="Times New Roman" w:hAnsi="Arial" w:cs="Arial"/>
                <w:b/>
                <w:bCs/>
                <w:color w:val="000000" w:themeColor="text1"/>
                <w:sz w:val="24"/>
                <w:szCs w:val="24"/>
              </w:rPr>
              <w:t>13,996</w:t>
            </w:r>
            <w:r w:rsidRPr="00442C2C" w:rsidR="52A85210">
              <w:rPr>
                <w:rFonts w:ascii="Arial" w:eastAsia="Times New Roman" w:hAnsi="Arial" w:cs="Arial"/>
                <w:b/>
                <w:bCs/>
                <w:color w:val="000000" w:themeColor="text1"/>
                <w:sz w:val="24"/>
                <w:szCs w:val="24"/>
              </w:rPr>
              <w:t>.84</w:t>
            </w:r>
          </w:p>
        </w:tc>
      </w:tr>
    </w:tbl>
    <w:p w:rsidR="008E7B9A" w:rsidRPr="00442C2C" w:rsidP="008E7B9A" w14:paraId="2E0F80F6" w14:textId="77777777">
      <w:pPr>
        <w:rPr>
          <w:rFonts w:ascii="Arial" w:hAnsi="Arial" w:cs="Arial"/>
        </w:rPr>
      </w:pPr>
    </w:p>
    <w:p w:rsidR="001E57E1" w:rsidRPr="00442C2C" w:rsidP="005C0D18" w14:paraId="2EE9D8B4" w14:textId="77777777">
      <w:pPr>
        <w:spacing w:before="120" w:after="240" w:line="240" w:lineRule="auto"/>
        <w:rPr>
          <w:rFonts w:ascii="Arial" w:hAnsi="Arial" w:cs="Arial"/>
          <w:i/>
          <w:iCs/>
          <w:sz w:val="24"/>
          <w:szCs w:val="24"/>
        </w:rPr>
      </w:pPr>
      <w:r w:rsidRPr="00442C2C">
        <w:rPr>
          <w:rFonts w:ascii="Arial" w:hAnsi="Arial" w:cs="Arial"/>
          <w:i/>
          <w:iCs/>
          <w:sz w:val="24"/>
          <w:szCs w:val="24"/>
        </w:rPr>
        <w:t>Information Collection Instruments/Instructions</w:t>
      </w:r>
    </w:p>
    <w:p w:rsidR="001E57E1" w:rsidRPr="00442C2C" w:rsidP="005C0D18" w14:paraId="382A1C37" w14:textId="0154263E">
      <w:pPr>
        <w:spacing w:before="120" w:after="240" w:line="240" w:lineRule="auto"/>
        <w:rPr>
          <w:rFonts w:ascii="Arial" w:hAnsi="Arial" w:cs="Arial"/>
          <w:sz w:val="24"/>
          <w:szCs w:val="24"/>
        </w:rPr>
      </w:pPr>
      <w:r w:rsidRPr="00442C2C">
        <w:rPr>
          <w:rFonts w:ascii="Arial" w:hAnsi="Arial" w:cs="Arial"/>
          <w:sz w:val="24"/>
          <w:szCs w:val="24"/>
        </w:rPr>
        <w:t>Appendix 1: EPCS Waiver Application</w:t>
      </w:r>
      <w:r w:rsidRPr="00442C2C">
        <w:rPr>
          <w:rFonts w:ascii="Arial" w:hAnsi="Arial" w:cs="Arial"/>
          <w:sz w:val="24"/>
          <w:szCs w:val="24"/>
        </w:rPr>
        <w:cr/>
      </w:r>
    </w:p>
    <w:p w:rsidR="005F7136" w:rsidRPr="00442C2C" w:rsidP="00275386" w14:paraId="3E33F722" w14:textId="4BD5F222">
      <w:pPr>
        <w:pStyle w:val="ListParagraph"/>
        <w:numPr>
          <w:ilvl w:val="0"/>
          <w:numId w:val="1"/>
        </w:numPr>
        <w:spacing w:before="120" w:after="240" w:line="240" w:lineRule="auto"/>
        <w:rPr>
          <w:rFonts w:ascii="Arial" w:hAnsi="Arial" w:cs="Arial"/>
          <w:sz w:val="24"/>
          <w:szCs w:val="24"/>
          <w:u w:val="single"/>
        </w:rPr>
      </w:pPr>
      <w:r w:rsidRPr="00442C2C">
        <w:rPr>
          <w:rFonts w:ascii="Arial" w:hAnsi="Arial" w:cs="Arial"/>
          <w:sz w:val="24"/>
          <w:szCs w:val="24"/>
          <w:u w:val="single"/>
        </w:rPr>
        <w:t>Capital Costs</w:t>
      </w:r>
    </w:p>
    <w:p w:rsidR="005F7136" w:rsidRPr="00442C2C" w:rsidP="005C0D18" w14:paraId="6A9C9E47" w14:textId="77777777">
      <w:pPr>
        <w:spacing w:before="120" w:after="240" w:line="240" w:lineRule="auto"/>
        <w:rPr>
          <w:rFonts w:ascii="Arial" w:hAnsi="Arial" w:cs="Arial"/>
          <w:sz w:val="24"/>
          <w:szCs w:val="24"/>
        </w:rPr>
      </w:pPr>
      <w:r w:rsidRPr="00442C2C">
        <w:rPr>
          <w:rFonts w:ascii="Arial" w:hAnsi="Arial" w:cs="Arial"/>
          <w:sz w:val="24"/>
          <w:szCs w:val="24"/>
        </w:rPr>
        <w:t>There are no capital costs.</w:t>
      </w:r>
    </w:p>
    <w:p w:rsidR="00275386" w:rsidRPr="00442C2C" w:rsidP="005C0D18" w14:paraId="728970F9" w14:textId="77777777">
      <w:pPr>
        <w:spacing w:before="120" w:after="240" w:line="240" w:lineRule="auto"/>
        <w:rPr>
          <w:rFonts w:ascii="Arial" w:hAnsi="Arial" w:cs="Arial"/>
          <w:sz w:val="24"/>
          <w:szCs w:val="24"/>
        </w:rPr>
      </w:pPr>
    </w:p>
    <w:p w:rsidR="005F7136" w:rsidRPr="00442C2C" w:rsidP="00275386" w14:paraId="1570FC36" w14:textId="4516ABDB">
      <w:pPr>
        <w:pStyle w:val="ListParagraph"/>
        <w:numPr>
          <w:ilvl w:val="0"/>
          <w:numId w:val="1"/>
        </w:numPr>
        <w:spacing w:before="120" w:after="240" w:line="240" w:lineRule="auto"/>
        <w:rPr>
          <w:rFonts w:ascii="Arial" w:hAnsi="Arial" w:cs="Arial"/>
          <w:sz w:val="24"/>
          <w:szCs w:val="24"/>
          <w:u w:val="single"/>
        </w:rPr>
      </w:pPr>
      <w:r w:rsidRPr="00442C2C">
        <w:rPr>
          <w:rFonts w:ascii="Arial" w:hAnsi="Arial" w:cs="Arial"/>
          <w:sz w:val="24"/>
          <w:szCs w:val="24"/>
          <w:u w:val="single"/>
        </w:rPr>
        <w:t>Cost to Federal Government</w:t>
      </w:r>
    </w:p>
    <w:p w:rsidR="00DB763E" w:rsidRPr="000F3FFB" w:rsidP="00DB763E" w14:paraId="438004BB" w14:textId="6DA9D765">
      <w:pPr>
        <w:spacing w:before="120" w:after="120" w:line="240" w:lineRule="auto"/>
        <w:rPr>
          <w:rFonts w:ascii="Arial" w:hAnsi="Arial" w:cs="Arial"/>
          <w:sz w:val="24"/>
          <w:szCs w:val="24"/>
        </w:rPr>
      </w:pPr>
      <w:r w:rsidRPr="00442C2C">
        <w:rPr>
          <w:rFonts w:ascii="Arial" w:hAnsi="Arial" w:cs="Arial"/>
          <w:sz w:val="24"/>
          <w:szCs w:val="24"/>
        </w:rPr>
        <w:t xml:space="preserve">The total annual cost to the Federal government for waiver application is estimated to be </w:t>
      </w:r>
      <w:r w:rsidRPr="000F3FFB">
        <w:rPr>
          <w:rFonts w:ascii="Arial" w:hAnsi="Arial" w:cs="Arial"/>
          <w:sz w:val="24"/>
          <w:szCs w:val="24"/>
        </w:rPr>
        <w:t>8</w:t>
      </w:r>
      <w:r w:rsidR="00923A3A">
        <w:rPr>
          <w:rFonts w:ascii="Arial" w:hAnsi="Arial" w:cs="Arial"/>
          <w:sz w:val="24"/>
          <w:szCs w:val="24"/>
        </w:rPr>
        <w:t>,</w:t>
      </w:r>
      <w:r w:rsidRPr="000F3FFB">
        <w:rPr>
          <w:rFonts w:ascii="Arial" w:hAnsi="Arial" w:cs="Arial"/>
          <w:sz w:val="24"/>
          <w:szCs w:val="24"/>
        </w:rPr>
        <w:t>886.00.</w:t>
      </w:r>
    </w:p>
    <w:p w:rsidR="005F7136" w:rsidRPr="00442C2C" w:rsidP="00C93AD3" w14:paraId="63850045" w14:textId="35903868">
      <w:pPr>
        <w:spacing w:before="120" w:after="120" w:line="240" w:lineRule="auto"/>
        <w:rPr>
          <w:rFonts w:ascii="Arial" w:hAnsi="Arial" w:cs="Arial"/>
          <w:sz w:val="24"/>
          <w:szCs w:val="24"/>
        </w:rPr>
      </w:pPr>
      <w:r w:rsidRPr="00442C2C">
        <w:rPr>
          <w:rFonts w:ascii="Arial" w:hAnsi="Arial" w:cs="Arial"/>
          <w:sz w:val="24"/>
          <w:szCs w:val="24"/>
        </w:rPr>
        <w:t xml:space="preserve">This cost is based on </w:t>
      </w:r>
      <w:r w:rsidRPr="00442C2C" w:rsidR="00AC3FFF">
        <w:rPr>
          <w:rFonts w:ascii="Arial" w:hAnsi="Arial" w:cs="Arial"/>
          <w:sz w:val="24"/>
          <w:szCs w:val="24"/>
        </w:rPr>
        <w:t xml:space="preserve">the management analyst </w:t>
      </w:r>
      <w:r w:rsidRPr="00442C2C">
        <w:rPr>
          <w:rFonts w:ascii="Arial" w:hAnsi="Arial" w:cs="Arial"/>
          <w:sz w:val="24"/>
          <w:szCs w:val="24"/>
        </w:rPr>
        <w:t>at a</w:t>
      </w:r>
      <w:r w:rsidRPr="00442C2C" w:rsidR="00AC3FFF">
        <w:rPr>
          <w:rFonts w:ascii="Arial" w:hAnsi="Arial" w:cs="Arial"/>
          <w:sz w:val="24"/>
          <w:szCs w:val="24"/>
        </w:rPr>
        <w:t>n hourly wage of $111.08 for a full 40-hour work week</w:t>
      </w:r>
      <w:r w:rsidRPr="00442C2C" w:rsidR="00F678FB">
        <w:rPr>
          <w:rFonts w:ascii="Arial" w:hAnsi="Arial" w:cs="Arial"/>
          <w:sz w:val="24"/>
          <w:szCs w:val="24"/>
        </w:rPr>
        <w:t xml:space="preserve"> to operationalize this aspect of it ($111.08/</w:t>
      </w:r>
      <w:r w:rsidRPr="00442C2C" w:rsidR="00F678FB">
        <w:rPr>
          <w:rFonts w:ascii="Arial" w:hAnsi="Arial" w:cs="Arial"/>
          <w:sz w:val="24"/>
          <w:szCs w:val="24"/>
        </w:rPr>
        <w:t>hr</w:t>
      </w:r>
      <w:r w:rsidRPr="00442C2C" w:rsidR="00F678FB">
        <w:rPr>
          <w:rFonts w:ascii="Arial" w:hAnsi="Arial" w:cs="Arial"/>
          <w:sz w:val="24"/>
          <w:szCs w:val="24"/>
        </w:rPr>
        <w:t xml:space="preserve"> x 40 </w:t>
      </w:r>
      <w:r w:rsidRPr="00442C2C" w:rsidR="00F678FB">
        <w:rPr>
          <w:rFonts w:ascii="Arial" w:hAnsi="Arial" w:cs="Arial"/>
          <w:sz w:val="24"/>
          <w:szCs w:val="24"/>
        </w:rPr>
        <w:t>hr</w:t>
      </w:r>
      <w:r w:rsidRPr="00442C2C" w:rsidR="00F678FB">
        <w:rPr>
          <w:rFonts w:ascii="Arial" w:hAnsi="Arial" w:cs="Arial"/>
          <w:sz w:val="24"/>
          <w:szCs w:val="24"/>
        </w:rPr>
        <w:t xml:space="preserve"> = 4443.20).</w:t>
      </w:r>
    </w:p>
    <w:p w:rsidR="008E7B9A" w:rsidRPr="00442C2C" w:rsidP="00C93AD3" w14:paraId="78F3FE2E" w14:textId="22FB3D8C">
      <w:pPr>
        <w:spacing w:before="120" w:after="120" w:line="240" w:lineRule="auto"/>
        <w:rPr>
          <w:rFonts w:ascii="Arial" w:hAnsi="Arial" w:cs="Arial"/>
          <w:sz w:val="24"/>
          <w:szCs w:val="24"/>
        </w:rPr>
      </w:pPr>
      <w:r w:rsidRPr="00442C2C">
        <w:rPr>
          <w:rFonts w:ascii="Arial" w:hAnsi="Arial" w:cs="Arial"/>
          <w:sz w:val="24"/>
          <w:szCs w:val="24"/>
        </w:rPr>
        <w:t>As with the wage rates above, we calculate the cost of overhead, including fringe benefits, at 100% of the mean hourly wage. This is necessarily a rough adjustment, both because fringe benefits and overhead costs vary significantly between employers, and because methods of estimating these costs vary widely in the literature. Nonetheless, we believe that doubling the hourly wage to estimate total cost is a reasonably accurate estimation method.</w:t>
      </w:r>
    </w:p>
    <w:p w:rsidR="6984A30F" w:rsidRPr="00442C2C" w:rsidP="6984A30F" w14:paraId="20CC4DD1" w14:textId="3976D84F">
      <w:pPr>
        <w:rPr>
          <w:rFonts w:ascii="Arial" w:eastAsia="Times New Roman" w:hAnsi="Arial" w:cs="Arial"/>
          <w:color w:val="000000" w:themeColor="text1"/>
        </w:rPr>
      </w:pPr>
    </w:p>
    <w:p w:rsidR="001E57E1" w:rsidRPr="00442C2C" w:rsidP="005F7136" w14:paraId="0F3D6A43" w14:textId="7BF5D26A">
      <w:pPr>
        <w:rPr>
          <w:rFonts w:ascii="Arial" w:eastAsia="Times New Roman" w:hAnsi="Arial" w:cs="Arial"/>
          <w:b/>
          <w:bCs/>
          <w:color w:val="000000" w:themeColor="text1"/>
          <w:sz w:val="24"/>
          <w:szCs w:val="24"/>
        </w:rPr>
      </w:pPr>
      <w:r w:rsidRPr="00442C2C">
        <w:rPr>
          <w:rFonts w:ascii="Arial" w:eastAsia="Times New Roman" w:hAnsi="Arial" w:cs="Arial"/>
          <w:b/>
          <w:bCs/>
          <w:color w:val="000000" w:themeColor="text1"/>
          <w:sz w:val="24"/>
          <w:szCs w:val="24"/>
        </w:rPr>
        <w:t>Table 3: National Occupational Employment and Wage Estimates</w:t>
      </w:r>
    </w:p>
    <w:tbl>
      <w:tblPr>
        <w:tblW w:w="10072" w:type="dxa"/>
        <w:tblLook w:val="04A0"/>
      </w:tblPr>
      <w:tblGrid>
        <w:gridCol w:w="1537"/>
        <w:gridCol w:w="1973"/>
        <w:gridCol w:w="1438"/>
        <w:gridCol w:w="1545"/>
        <w:gridCol w:w="1679"/>
        <w:gridCol w:w="910"/>
        <w:gridCol w:w="1284"/>
      </w:tblGrid>
      <w:tr w14:paraId="0629036E" w14:textId="3BD04399" w:rsidTr="00442C2C">
        <w:tblPrEx>
          <w:tblW w:w="10072" w:type="dxa"/>
          <w:tblLook w:val="04A0"/>
        </w:tblPrEx>
        <w:trPr>
          <w:trHeight w:val="870"/>
        </w:trPr>
        <w:tc>
          <w:tcPr>
            <w:tcW w:w="1424" w:type="dxa"/>
            <w:tcBorders>
              <w:top w:val="single" w:sz="12" w:space="0" w:color="000000" w:themeColor="text1"/>
              <w:left w:val="single" w:sz="4" w:space="0" w:color="auto"/>
              <w:bottom w:val="single" w:sz="4" w:space="0" w:color="auto"/>
              <w:right w:val="single" w:sz="4" w:space="0" w:color="auto"/>
            </w:tcBorders>
            <w:vAlign w:val="center"/>
            <w:hideMark/>
          </w:tcPr>
          <w:p w:rsidR="00284FD1" w:rsidRPr="00442C2C" w:rsidP="00563D0E" w14:paraId="4E31ED48" w14:textId="216E6665">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Occupation Code</w:t>
            </w:r>
          </w:p>
        </w:tc>
        <w:tc>
          <w:tcPr>
            <w:tcW w:w="1973" w:type="dxa"/>
            <w:tcBorders>
              <w:top w:val="single" w:sz="12" w:space="0" w:color="000000" w:themeColor="text1"/>
              <w:left w:val="nil"/>
              <w:bottom w:val="single" w:sz="4" w:space="0" w:color="auto"/>
              <w:right w:val="single" w:sz="4" w:space="0" w:color="auto"/>
            </w:tcBorders>
            <w:vAlign w:val="center"/>
            <w:hideMark/>
          </w:tcPr>
          <w:p w:rsidR="00284FD1" w:rsidRPr="00442C2C" w:rsidP="00563D0E" w14:paraId="6C68B9B2" w14:textId="1E209A8A">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Occupation Title</w:t>
            </w:r>
          </w:p>
        </w:tc>
        <w:tc>
          <w:tcPr>
            <w:tcW w:w="1438" w:type="dxa"/>
            <w:tcBorders>
              <w:top w:val="single" w:sz="12" w:space="0" w:color="000000" w:themeColor="text1"/>
              <w:left w:val="nil"/>
              <w:bottom w:val="single" w:sz="4" w:space="0" w:color="auto"/>
              <w:right w:val="single" w:sz="4" w:space="0" w:color="auto"/>
            </w:tcBorders>
            <w:vAlign w:val="center"/>
            <w:hideMark/>
          </w:tcPr>
          <w:p w:rsidR="00284FD1" w:rsidRPr="00442C2C" w:rsidP="00563D0E" w14:paraId="08A8DA01" w14:textId="77777777">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Mean hourly wage ($/</w:t>
            </w:r>
            <w:r w:rsidRPr="00442C2C">
              <w:rPr>
                <w:rFonts w:ascii="Arial" w:eastAsia="Times New Roman" w:hAnsi="Arial" w:cs="Arial"/>
                <w:b/>
                <w:bCs/>
                <w:color w:val="000000"/>
                <w:sz w:val="24"/>
                <w:szCs w:val="24"/>
              </w:rPr>
              <w:t>hr</w:t>
            </w:r>
            <w:r w:rsidRPr="00442C2C">
              <w:rPr>
                <w:rFonts w:ascii="Arial" w:eastAsia="Times New Roman" w:hAnsi="Arial" w:cs="Arial"/>
                <w:b/>
                <w:bCs/>
                <w:color w:val="000000"/>
                <w:sz w:val="24"/>
                <w:szCs w:val="24"/>
              </w:rPr>
              <w:t>)</w:t>
            </w:r>
          </w:p>
        </w:tc>
        <w:tc>
          <w:tcPr>
            <w:tcW w:w="1545" w:type="dxa"/>
            <w:tcBorders>
              <w:top w:val="single" w:sz="12" w:space="0" w:color="000000" w:themeColor="text1"/>
              <w:left w:val="nil"/>
              <w:bottom w:val="single" w:sz="4" w:space="0" w:color="auto"/>
              <w:right w:val="single" w:sz="4" w:space="0" w:color="auto"/>
            </w:tcBorders>
            <w:vAlign w:val="center"/>
            <w:hideMark/>
          </w:tcPr>
          <w:p w:rsidR="00284FD1" w:rsidRPr="00442C2C" w:rsidP="00563D0E" w14:paraId="50C0010C" w14:textId="77777777">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Fringe benefits and overhead ($/</w:t>
            </w:r>
            <w:r w:rsidRPr="00442C2C">
              <w:rPr>
                <w:rFonts w:ascii="Arial" w:eastAsia="Times New Roman" w:hAnsi="Arial" w:cs="Arial"/>
                <w:b/>
                <w:bCs/>
                <w:color w:val="000000"/>
                <w:sz w:val="24"/>
                <w:szCs w:val="24"/>
              </w:rPr>
              <w:t>hr</w:t>
            </w:r>
            <w:r w:rsidRPr="00442C2C">
              <w:rPr>
                <w:rFonts w:ascii="Arial" w:eastAsia="Times New Roman" w:hAnsi="Arial" w:cs="Arial"/>
                <w:b/>
                <w:bCs/>
                <w:color w:val="000000"/>
                <w:sz w:val="24"/>
                <w:szCs w:val="24"/>
              </w:rPr>
              <w:t>)</w:t>
            </w:r>
          </w:p>
        </w:tc>
        <w:tc>
          <w:tcPr>
            <w:tcW w:w="1679" w:type="dxa"/>
            <w:tcBorders>
              <w:top w:val="single" w:sz="12" w:space="0" w:color="000000" w:themeColor="text1"/>
              <w:left w:val="nil"/>
              <w:bottom w:val="single" w:sz="4" w:space="0" w:color="auto"/>
              <w:right w:val="single" w:sz="4" w:space="0" w:color="auto"/>
            </w:tcBorders>
            <w:vAlign w:val="center"/>
            <w:hideMark/>
          </w:tcPr>
          <w:p w:rsidR="00284FD1" w:rsidRPr="00442C2C" w:rsidP="00563D0E" w14:paraId="70F51B66" w14:textId="77777777">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Adjusted hourly wage ($/</w:t>
            </w:r>
            <w:r w:rsidRPr="00442C2C">
              <w:rPr>
                <w:rFonts w:ascii="Arial" w:eastAsia="Times New Roman" w:hAnsi="Arial" w:cs="Arial"/>
                <w:b/>
                <w:bCs/>
                <w:color w:val="000000"/>
                <w:sz w:val="24"/>
                <w:szCs w:val="24"/>
              </w:rPr>
              <w:t>hr</w:t>
            </w:r>
            <w:r w:rsidRPr="00442C2C">
              <w:rPr>
                <w:rFonts w:ascii="Arial" w:eastAsia="Times New Roman" w:hAnsi="Arial" w:cs="Arial"/>
                <w:b/>
                <w:bCs/>
                <w:color w:val="000000"/>
                <w:sz w:val="24"/>
                <w:szCs w:val="24"/>
              </w:rPr>
              <w:t>)</w:t>
            </w:r>
          </w:p>
        </w:tc>
        <w:tc>
          <w:tcPr>
            <w:tcW w:w="877" w:type="dxa"/>
            <w:tcBorders>
              <w:top w:val="single" w:sz="12" w:space="0" w:color="000000" w:themeColor="text1"/>
              <w:left w:val="nil"/>
              <w:bottom w:val="single" w:sz="4" w:space="0" w:color="auto"/>
              <w:right w:val="single" w:sz="4" w:space="0" w:color="auto"/>
            </w:tcBorders>
            <w:vAlign w:val="center"/>
          </w:tcPr>
          <w:p w:rsidR="00284FD1" w:rsidRPr="00442C2C" w:rsidP="00442C2C" w14:paraId="3BA5BFBC" w14:textId="6E3E66AD">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Hours</w:t>
            </w:r>
          </w:p>
        </w:tc>
        <w:tc>
          <w:tcPr>
            <w:tcW w:w="1136" w:type="dxa"/>
            <w:tcBorders>
              <w:top w:val="single" w:sz="12" w:space="0" w:color="000000" w:themeColor="text1"/>
              <w:left w:val="nil"/>
              <w:bottom w:val="single" w:sz="4" w:space="0" w:color="auto"/>
              <w:right w:val="single" w:sz="4" w:space="0" w:color="auto"/>
            </w:tcBorders>
            <w:vAlign w:val="center"/>
          </w:tcPr>
          <w:p w:rsidR="00284FD1" w:rsidRPr="00442C2C" w:rsidP="00442C2C" w14:paraId="3FBE1B59" w14:textId="0A5DAB7E">
            <w:pPr>
              <w:spacing w:after="0" w:line="240" w:lineRule="auto"/>
              <w:jc w:val="center"/>
              <w:rPr>
                <w:rFonts w:ascii="Arial" w:eastAsia="Times New Roman" w:hAnsi="Arial" w:cs="Arial"/>
                <w:b/>
                <w:bCs/>
                <w:color w:val="000000"/>
                <w:sz w:val="24"/>
                <w:szCs w:val="24"/>
              </w:rPr>
            </w:pPr>
            <w:r w:rsidRPr="00442C2C">
              <w:rPr>
                <w:rFonts w:ascii="Arial" w:eastAsia="Times New Roman" w:hAnsi="Arial" w:cs="Arial"/>
                <w:b/>
                <w:bCs/>
                <w:color w:val="000000"/>
                <w:sz w:val="24"/>
                <w:szCs w:val="24"/>
              </w:rPr>
              <w:t>$Total</w:t>
            </w:r>
          </w:p>
        </w:tc>
      </w:tr>
      <w:tr w14:paraId="7BB95E65" w14:textId="7B2C0C35" w:rsidTr="00442C2C">
        <w:tblPrEx>
          <w:tblW w:w="10072" w:type="dxa"/>
          <w:tblLook w:val="04A0"/>
        </w:tblPrEx>
        <w:trPr>
          <w:trHeight w:val="304"/>
        </w:trPr>
        <w:tc>
          <w:tcPr>
            <w:tcW w:w="1424" w:type="dxa"/>
            <w:tcBorders>
              <w:top w:val="nil"/>
              <w:left w:val="single" w:sz="4" w:space="0" w:color="auto"/>
              <w:bottom w:val="single" w:sz="4" w:space="0" w:color="auto"/>
              <w:right w:val="single" w:sz="4" w:space="0" w:color="auto"/>
            </w:tcBorders>
            <w:noWrap/>
            <w:vAlign w:val="bottom"/>
            <w:hideMark/>
          </w:tcPr>
          <w:p w:rsidR="008F5109" w:rsidRPr="00442C2C" w:rsidP="009C6FE0" w14:paraId="10015ACE" w14:textId="22D7DD41">
            <w:pPr>
              <w:spacing w:after="0" w:line="240" w:lineRule="auto"/>
              <w:rPr>
                <w:rFonts w:ascii="Arial" w:eastAsia="Times New Roman" w:hAnsi="Arial" w:cs="Arial"/>
                <w:color w:val="000000" w:themeColor="text1"/>
                <w:sz w:val="24"/>
                <w:szCs w:val="24"/>
              </w:rPr>
            </w:pPr>
          </w:p>
          <w:p w:rsidR="00284FD1" w:rsidRPr="00442C2C" w:rsidP="009C6FE0" w14:paraId="6E7551AC" w14:textId="50F632A2">
            <w:pPr>
              <w:spacing w:after="0" w:line="240" w:lineRule="auto"/>
              <w:rPr>
                <w:rFonts w:ascii="Arial" w:eastAsia="Times New Roman" w:hAnsi="Arial" w:cs="Arial"/>
                <w:color w:val="000000"/>
                <w:sz w:val="24"/>
                <w:szCs w:val="24"/>
              </w:rPr>
            </w:pPr>
            <w:r w:rsidRPr="00442C2C">
              <w:rPr>
                <w:rFonts w:ascii="Arial" w:eastAsia="Times New Roman" w:hAnsi="Arial" w:cs="Arial"/>
                <w:color w:val="000000" w:themeColor="text1"/>
                <w:sz w:val="24"/>
                <w:szCs w:val="24"/>
              </w:rPr>
              <w:t xml:space="preserve">13-1111 </w:t>
            </w:r>
          </w:p>
        </w:tc>
        <w:tc>
          <w:tcPr>
            <w:tcW w:w="1973" w:type="dxa"/>
            <w:tcBorders>
              <w:top w:val="nil"/>
              <w:left w:val="nil"/>
              <w:bottom w:val="single" w:sz="4" w:space="0" w:color="auto"/>
              <w:right w:val="single" w:sz="4" w:space="0" w:color="auto"/>
            </w:tcBorders>
            <w:noWrap/>
            <w:vAlign w:val="bottom"/>
            <w:hideMark/>
          </w:tcPr>
          <w:p w:rsidR="008F5109" w:rsidRPr="00442C2C" w:rsidP="009C6FE0" w14:paraId="528D6644" w14:textId="7111420E">
            <w:pPr>
              <w:spacing w:after="0" w:line="240" w:lineRule="auto"/>
              <w:rPr>
                <w:rFonts w:ascii="Arial" w:eastAsia="Times New Roman" w:hAnsi="Arial" w:cs="Arial"/>
                <w:color w:val="000000"/>
                <w:sz w:val="24"/>
                <w:szCs w:val="24"/>
              </w:rPr>
            </w:pPr>
          </w:p>
          <w:p w:rsidR="00284FD1" w:rsidRPr="00442C2C" w:rsidP="009C6FE0" w14:paraId="25CB34F6" w14:textId="21A503BE">
            <w:pPr>
              <w:spacing w:after="0" w:line="240" w:lineRule="auto"/>
              <w:rPr>
                <w:rFonts w:ascii="Arial" w:eastAsia="Times New Roman" w:hAnsi="Arial" w:cs="Arial"/>
                <w:color w:val="000000"/>
                <w:sz w:val="24"/>
                <w:szCs w:val="24"/>
              </w:rPr>
            </w:pPr>
            <w:r w:rsidRPr="00442C2C">
              <w:rPr>
                <w:rFonts w:ascii="Arial" w:eastAsia="Times New Roman" w:hAnsi="Arial" w:cs="Arial"/>
                <w:color w:val="000000"/>
                <w:sz w:val="24"/>
                <w:szCs w:val="24"/>
              </w:rPr>
              <w:t>Management Analysis</w:t>
            </w:r>
          </w:p>
        </w:tc>
        <w:tc>
          <w:tcPr>
            <w:tcW w:w="1438" w:type="dxa"/>
            <w:tcBorders>
              <w:top w:val="nil"/>
              <w:left w:val="nil"/>
              <w:bottom w:val="single" w:sz="4" w:space="0" w:color="auto"/>
              <w:right w:val="single" w:sz="4" w:space="0" w:color="auto"/>
            </w:tcBorders>
            <w:noWrap/>
            <w:vAlign w:val="bottom"/>
            <w:hideMark/>
          </w:tcPr>
          <w:p w:rsidR="00284FD1" w:rsidRPr="00442C2C" w:rsidP="009C6FE0" w14:paraId="7FBB9668" w14:textId="12DEFE9B">
            <w:pPr>
              <w:spacing w:after="0" w:line="240" w:lineRule="auto"/>
              <w:jc w:val="right"/>
              <w:rPr>
                <w:rFonts w:ascii="Arial" w:eastAsia="Aptos Narrow" w:hAnsi="Arial" w:cs="Arial"/>
                <w:sz w:val="24"/>
                <w:szCs w:val="24"/>
              </w:rPr>
            </w:pPr>
            <w:r w:rsidRPr="00442C2C">
              <w:rPr>
                <w:rFonts w:ascii="Arial" w:eastAsia="Times New Roman" w:hAnsi="Arial" w:cs="Arial"/>
                <w:color w:val="000000" w:themeColor="text1"/>
                <w:sz w:val="24"/>
                <w:szCs w:val="24"/>
              </w:rPr>
              <w:t xml:space="preserve"> </w:t>
            </w:r>
            <w:r w:rsidRPr="00442C2C">
              <w:rPr>
                <w:rFonts w:ascii="Arial" w:eastAsia="Times New Roman" w:hAnsi="Arial" w:cs="Arial"/>
                <w:color w:val="000000" w:themeColor="text1"/>
                <w:sz w:val="24"/>
                <w:szCs w:val="24"/>
              </w:rPr>
              <w:t>$55.54</w:t>
            </w:r>
          </w:p>
        </w:tc>
        <w:tc>
          <w:tcPr>
            <w:tcW w:w="1545" w:type="dxa"/>
            <w:tcBorders>
              <w:top w:val="nil"/>
              <w:left w:val="nil"/>
              <w:bottom w:val="single" w:sz="4" w:space="0" w:color="auto"/>
              <w:right w:val="single" w:sz="4" w:space="0" w:color="auto"/>
            </w:tcBorders>
            <w:noWrap/>
            <w:vAlign w:val="bottom"/>
            <w:hideMark/>
          </w:tcPr>
          <w:p w:rsidR="00284FD1" w:rsidRPr="00442C2C" w:rsidP="009C6FE0" w14:paraId="5A861A34" w14:textId="1E4A1878">
            <w:pPr>
              <w:spacing w:after="0" w:line="240" w:lineRule="auto"/>
              <w:jc w:val="right"/>
              <w:rPr>
                <w:rFonts w:ascii="Arial" w:eastAsia="Aptos Narrow" w:hAnsi="Arial" w:cs="Arial"/>
                <w:sz w:val="24"/>
                <w:szCs w:val="24"/>
              </w:rPr>
            </w:pPr>
            <w:r w:rsidRPr="00442C2C">
              <w:rPr>
                <w:rFonts w:ascii="Arial" w:eastAsia="Times New Roman" w:hAnsi="Arial" w:cs="Arial"/>
                <w:color w:val="000000" w:themeColor="text1"/>
                <w:sz w:val="24"/>
                <w:szCs w:val="24"/>
              </w:rPr>
              <w:t xml:space="preserve"> </w:t>
            </w:r>
            <w:r w:rsidRPr="00442C2C">
              <w:rPr>
                <w:rFonts w:ascii="Arial" w:eastAsia="Times New Roman" w:hAnsi="Arial" w:cs="Arial"/>
                <w:color w:val="000000" w:themeColor="text1"/>
                <w:sz w:val="24"/>
                <w:szCs w:val="24"/>
              </w:rPr>
              <w:t>$55.54</w:t>
            </w:r>
          </w:p>
        </w:tc>
        <w:tc>
          <w:tcPr>
            <w:tcW w:w="1679" w:type="dxa"/>
            <w:tcBorders>
              <w:top w:val="nil"/>
              <w:left w:val="nil"/>
              <w:bottom w:val="single" w:sz="4" w:space="0" w:color="auto"/>
              <w:right w:val="single" w:sz="4" w:space="0" w:color="auto"/>
            </w:tcBorders>
            <w:noWrap/>
            <w:vAlign w:val="bottom"/>
            <w:hideMark/>
          </w:tcPr>
          <w:p w:rsidR="00284FD1" w:rsidRPr="00442C2C" w:rsidP="009C6FE0" w14:paraId="65A811A2" w14:textId="75C266FF">
            <w:pPr>
              <w:spacing w:after="0" w:line="240" w:lineRule="auto"/>
              <w:jc w:val="right"/>
              <w:rPr>
                <w:rFonts w:ascii="Arial" w:eastAsia="Aptos Narrow" w:hAnsi="Arial" w:cs="Arial"/>
                <w:sz w:val="24"/>
                <w:szCs w:val="24"/>
              </w:rPr>
            </w:pPr>
            <w:r w:rsidRPr="00442C2C">
              <w:rPr>
                <w:rFonts w:ascii="Arial" w:eastAsia="Times New Roman" w:hAnsi="Arial" w:cs="Arial"/>
                <w:color w:val="000000" w:themeColor="text1"/>
                <w:sz w:val="24"/>
                <w:szCs w:val="24"/>
              </w:rPr>
              <w:t xml:space="preserve"> </w:t>
            </w:r>
            <w:r w:rsidRPr="00442C2C">
              <w:rPr>
                <w:rFonts w:ascii="Arial" w:eastAsia="Times New Roman" w:hAnsi="Arial" w:cs="Arial"/>
                <w:color w:val="000000" w:themeColor="text1"/>
                <w:sz w:val="24"/>
                <w:szCs w:val="24"/>
              </w:rPr>
              <w:t>$111.08</w:t>
            </w:r>
          </w:p>
        </w:tc>
        <w:tc>
          <w:tcPr>
            <w:tcW w:w="877" w:type="dxa"/>
            <w:tcBorders>
              <w:top w:val="nil"/>
              <w:left w:val="nil"/>
              <w:bottom w:val="single" w:sz="4" w:space="0" w:color="auto"/>
              <w:right w:val="single" w:sz="4" w:space="0" w:color="auto"/>
            </w:tcBorders>
            <w:vAlign w:val="bottom"/>
          </w:tcPr>
          <w:p w:rsidR="00284FD1" w:rsidRPr="00442C2C" w:rsidP="00442C2C" w14:paraId="416E1322" w14:textId="6767C1C1">
            <w:pPr>
              <w:spacing w:after="0" w:line="240" w:lineRule="auto"/>
              <w:jc w:val="center"/>
              <w:rPr>
                <w:rFonts w:ascii="Arial" w:eastAsia="Times New Roman" w:hAnsi="Arial" w:cs="Arial"/>
                <w:color w:val="000000" w:themeColor="text1"/>
                <w:sz w:val="24"/>
                <w:szCs w:val="24"/>
              </w:rPr>
            </w:pPr>
            <w:r w:rsidRPr="00442C2C">
              <w:rPr>
                <w:rFonts w:ascii="Arial" w:eastAsia="Times New Roman" w:hAnsi="Arial" w:cs="Arial"/>
                <w:color w:val="000000" w:themeColor="text1"/>
                <w:sz w:val="24"/>
                <w:szCs w:val="24"/>
              </w:rPr>
              <w:t>40</w:t>
            </w:r>
          </w:p>
        </w:tc>
        <w:tc>
          <w:tcPr>
            <w:tcW w:w="1136" w:type="dxa"/>
            <w:tcBorders>
              <w:top w:val="nil"/>
              <w:left w:val="nil"/>
              <w:bottom w:val="single" w:sz="4" w:space="0" w:color="auto"/>
              <w:right w:val="single" w:sz="4" w:space="0" w:color="auto"/>
            </w:tcBorders>
            <w:vAlign w:val="bottom"/>
          </w:tcPr>
          <w:p w:rsidR="00284FD1" w:rsidRPr="00442C2C" w:rsidP="00442C2C" w14:paraId="63DD3627" w14:textId="27935C73">
            <w:pPr>
              <w:spacing w:after="0" w:line="240" w:lineRule="auto"/>
              <w:jc w:val="center"/>
              <w:rPr>
                <w:rFonts w:ascii="Arial" w:eastAsia="Times New Roman" w:hAnsi="Arial" w:cs="Arial"/>
                <w:color w:val="000000" w:themeColor="text1"/>
                <w:sz w:val="24"/>
                <w:szCs w:val="24"/>
              </w:rPr>
            </w:pPr>
            <w:r w:rsidRPr="00442C2C">
              <w:rPr>
                <w:rFonts w:ascii="Arial" w:eastAsia="Times New Roman" w:hAnsi="Arial" w:cs="Arial"/>
                <w:color w:val="000000" w:themeColor="text1"/>
                <w:sz w:val="24"/>
                <w:szCs w:val="24"/>
              </w:rPr>
              <w:t>$4</w:t>
            </w:r>
            <w:r w:rsidR="00923A3A">
              <w:rPr>
                <w:rFonts w:ascii="Arial" w:eastAsia="Times New Roman" w:hAnsi="Arial" w:cs="Arial"/>
                <w:color w:val="000000" w:themeColor="text1"/>
                <w:sz w:val="24"/>
                <w:szCs w:val="24"/>
              </w:rPr>
              <w:t>,</w:t>
            </w:r>
            <w:r w:rsidRPr="00442C2C">
              <w:rPr>
                <w:rFonts w:ascii="Arial" w:eastAsia="Times New Roman" w:hAnsi="Arial" w:cs="Arial"/>
                <w:color w:val="000000" w:themeColor="text1"/>
                <w:sz w:val="24"/>
                <w:szCs w:val="24"/>
              </w:rPr>
              <w:t>443.20</w:t>
            </w:r>
          </w:p>
        </w:tc>
      </w:tr>
    </w:tbl>
    <w:p w:rsidR="4302F189" w:rsidRPr="00442C2C" w14:paraId="3454C338" w14:textId="3E14A79B">
      <w:pPr>
        <w:rPr>
          <w:rFonts w:ascii="Arial" w:hAnsi="Arial" w:cs="Arial"/>
          <w:sz w:val="24"/>
          <w:szCs w:val="24"/>
        </w:rPr>
      </w:pPr>
    </w:p>
    <w:p w:rsidR="009C6FE0" w:rsidRPr="00442C2C" w:rsidP="00A20FCF" w14:paraId="6CA1CD78" w14:textId="747853B9">
      <w:pPr>
        <w:spacing w:before="120" w:after="120" w:line="240" w:lineRule="auto"/>
        <w:rPr>
          <w:rFonts w:ascii="Arial" w:hAnsi="Arial" w:cs="Arial"/>
          <w:sz w:val="24"/>
          <w:szCs w:val="24"/>
        </w:rPr>
      </w:pPr>
      <w:r w:rsidRPr="00442C2C">
        <w:rPr>
          <w:rFonts w:ascii="Arial" w:hAnsi="Arial" w:cs="Arial"/>
          <w:sz w:val="24"/>
          <w:szCs w:val="24"/>
        </w:rPr>
        <w:t xml:space="preserve">We also estimate it would be about 40 hours of a contractor time within an existing contract which would equate to $4,443. To derive contractor costs, we used wage data from the Bureau of Labor Statistics Occupational Employment and Wages most recently available published tables </w:t>
      </w:r>
      <w:r w:rsidRPr="00442C2C">
        <w:rPr>
          <w:rFonts w:ascii="Arial" w:hAnsi="Arial" w:cs="Arial"/>
          <w:sz w:val="24"/>
          <w:szCs w:val="24"/>
        </w:rPr>
        <w:t>May,</w:t>
      </w:r>
      <w:r w:rsidRPr="00442C2C">
        <w:rPr>
          <w:rFonts w:ascii="Arial" w:hAnsi="Arial" w:cs="Arial"/>
          <w:sz w:val="24"/>
          <w:szCs w:val="24"/>
        </w:rPr>
        <w:t xml:space="preserve"> 2023.  The total cost to the Federal Government would be </w:t>
      </w:r>
      <w:r w:rsidRPr="00442C2C" w:rsidR="00F678FB">
        <w:rPr>
          <w:rFonts w:ascii="Arial" w:hAnsi="Arial" w:cs="Arial"/>
          <w:sz w:val="24"/>
          <w:szCs w:val="24"/>
        </w:rPr>
        <w:t>$8</w:t>
      </w:r>
      <w:r w:rsidR="00923A3A">
        <w:rPr>
          <w:rFonts w:ascii="Arial" w:hAnsi="Arial" w:cs="Arial"/>
          <w:sz w:val="24"/>
          <w:szCs w:val="24"/>
        </w:rPr>
        <w:t>,</w:t>
      </w:r>
      <w:r w:rsidRPr="00442C2C" w:rsidR="00F678FB">
        <w:rPr>
          <w:rFonts w:ascii="Arial" w:hAnsi="Arial" w:cs="Arial"/>
          <w:sz w:val="24"/>
          <w:szCs w:val="24"/>
        </w:rPr>
        <w:t>886.00</w:t>
      </w:r>
      <w:r w:rsidRPr="00442C2C">
        <w:rPr>
          <w:rFonts w:ascii="Arial" w:hAnsi="Arial" w:cs="Arial"/>
          <w:sz w:val="24"/>
          <w:szCs w:val="24"/>
        </w:rPr>
        <w:t>( $</w:t>
      </w:r>
      <w:r w:rsidRPr="00442C2C" w:rsidR="00F678FB">
        <w:rPr>
          <w:rFonts w:ascii="Arial" w:hAnsi="Arial" w:cs="Arial"/>
          <w:sz w:val="24"/>
          <w:szCs w:val="24"/>
        </w:rPr>
        <w:t>4</w:t>
      </w:r>
      <w:r w:rsidR="00923A3A">
        <w:rPr>
          <w:rFonts w:ascii="Arial" w:hAnsi="Arial" w:cs="Arial"/>
          <w:sz w:val="24"/>
          <w:szCs w:val="24"/>
        </w:rPr>
        <w:t>,</w:t>
      </w:r>
      <w:r w:rsidRPr="00442C2C" w:rsidR="00F678FB">
        <w:rPr>
          <w:rFonts w:ascii="Arial" w:hAnsi="Arial" w:cs="Arial"/>
          <w:sz w:val="24"/>
          <w:szCs w:val="24"/>
        </w:rPr>
        <w:t>443</w:t>
      </w:r>
      <w:r w:rsidR="00442C2C">
        <w:rPr>
          <w:rFonts w:ascii="Arial" w:hAnsi="Arial" w:cs="Arial"/>
          <w:sz w:val="24"/>
          <w:szCs w:val="24"/>
        </w:rPr>
        <w:t>+</w:t>
      </w:r>
      <w:r w:rsidRPr="00442C2C">
        <w:rPr>
          <w:rFonts w:ascii="Arial" w:hAnsi="Arial" w:cs="Arial"/>
          <w:sz w:val="24"/>
          <w:szCs w:val="24"/>
        </w:rPr>
        <w:t>$4,443).</w:t>
      </w:r>
    </w:p>
    <w:p w:rsidR="00D730F5" w:rsidRPr="00442C2C" w:rsidP="00A20FCF" w14:paraId="11AA32C4" w14:textId="6538F994">
      <w:pPr>
        <w:spacing w:before="120" w:after="120" w:line="240" w:lineRule="auto"/>
        <w:rPr>
          <w:rFonts w:ascii="Arial" w:hAnsi="Arial" w:cs="Arial"/>
          <w:sz w:val="24"/>
          <w:szCs w:val="24"/>
        </w:rPr>
      </w:pPr>
    </w:p>
    <w:p w:rsidR="009C6FE0" w:rsidRPr="00442C2C" w:rsidP="00D730F5" w14:paraId="16545A59" w14:textId="60FB1499">
      <w:pPr>
        <w:pStyle w:val="ListParagraph"/>
        <w:numPr>
          <w:ilvl w:val="0"/>
          <w:numId w:val="1"/>
        </w:numPr>
        <w:spacing w:before="120" w:after="120" w:line="240" w:lineRule="auto"/>
        <w:rPr>
          <w:rFonts w:ascii="Arial" w:hAnsi="Arial" w:cs="Arial"/>
          <w:sz w:val="24"/>
          <w:szCs w:val="24"/>
          <w:u w:val="single"/>
        </w:rPr>
      </w:pPr>
      <w:r w:rsidRPr="00442C2C">
        <w:rPr>
          <w:rFonts w:ascii="Arial" w:hAnsi="Arial" w:cs="Arial"/>
          <w:sz w:val="24"/>
          <w:szCs w:val="24"/>
          <w:u w:val="single"/>
        </w:rPr>
        <w:t>Program or Burden Changes</w:t>
      </w:r>
    </w:p>
    <w:p w:rsidR="00D730F5" w:rsidP="00A20FCF" w14:paraId="733CF89B" w14:textId="71D1F4DC">
      <w:pPr>
        <w:spacing w:before="120" w:after="120" w:line="240" w:lineRule="auto"/>
        <w:rPr>
          <w:rFonts w:ascii="Arial" w:hAnsi="Arial" w:cs="Arial"/>
          <w:sz w:val="24"/>
          <w:szCs w:val="24"/>
        </w:rPr>
      </w:pPr>
      <w:r w:rsidRPr="00442C2C">
        <w:rPr>
          <w:rFonts w:ascii="Arial" w:hAnsi="Arial" w:cs="Arial"/>
          <w:sz w:val="24"/>
          <w:szCs w:val="24"/>
        </w:rPr>
        <w:t xml:space="preserve"> The number of respondents increased from </w:t>
      </w:r>
      <w:r w:rsidRPr="00442C2C" w:rsidR="00F10158">
        <w:rPr>
          <w:rFonts w:ascii="Arial" w:hAnsi="Arial" w:cs="Arial"/>
          <w:sz w:val="24"/>
          <w:szCs w:val="24"/>
        </w:rPr>
        <w:t>100</w:t>
      </w:r>
      <w:r w:rsidRPr="00442C2C">
        <w:rPr>
          <w:rFonts w:ascii="Arial" w:hAnsi="Arial" w:cs="Arial"/>
          <w:sz w:val="24"/>
          <w:szCs w:val="24"/>
        </w:rPr>
        <w:t xml:space="preserve"> to </w:t>
      </w:r>
      <w:r w:rsidRPr="00442C2C" w:rsidR="00F10158">
        <w:rPr>
          <w:rFonts w:ascii="Arial" w:hAnsi="Arial" w:cs="Arial"/>
          <w:sz w:val="24"/>
          <w:szCs w:val="24"/>
        </w:rPr>
        <w:t>306</w:t>
      </w:r>
      <w:r w:rsidRPr="00442C2C">
        <w:rPr>
          <w:rFonts w:ascii="Arial" w:hAnsi="Arial" w:cs="Arial"/>
          <w:sz w:val="24"/>
          <w:szCs w:val="24"/>
        </w:rPr>
        <w:t xml:space="preserve">.   The annual burden hours increased from </w:t>
      </w:r>
      <w:r w:rsidRPr="00442C2C" w:rsidR="00F10158">
        <w:rPr>
          <w:rFonts w:ascii="Arial" w:hAnsi="Arial" w:cs="Arial"/>
          <w:sz w:val="24"/>
          <w:szCs w:val="24"/>
        </w:rPr>
        <w:t>17</w:t>
      </w:r>
      <w:r w:rsidRPr="00442C2C">
        <w:rPr>
          <w:rFonts w:ascii="Arial" w:hAnsi="Arial" w:cs="Arial"/>
          <w:sz w:val="24"/>
          <w:szCs w:val="24"/>
        </w:rPr>
        <w:t xml:space="preserve"> to </w:t>
      </w:r>
      <w:r w:rsidRPr="00442C2C" w:rsidR="00F10158">
        <w:rPr>
          <w:rFonts w:ascii="Arial" w:hAnsi="Arial" w:cs="Arial"/>
          <w:sz w:val="24"/>
          <w:szCs w:val="24"/>
        </w:rPr>
        <w:t>52</w:t>
      </w:r>
      <w:r w:rsidRPr="00442C2C">
        <w:rPr>
          <w:rFonts w:ascii="Arial" w:hAnsi="Arial" w:cs="Arial"/>
          <w:sz w:val="24"/>
          <w:szCs w:val="24"/>
        </w:rPr>
        <w:t>.</w:t>
      </w:r>
      <w:r w:rsidRPr="00442C2C" w:rsidR="00F10158">
        <w:rPr>
          <w:rFonts w:ascii="Arial" w:hAnsi="Arial" w:cs="Arial"/>
          <w:sz w:val="24"/>
          <w:szCs w:val="24"/>
        </w:rPr>
        <w:t xml:space="preserve">  </w:t>
      </w:r>
    </w:p>
    <w:p w:rsidR="00C670BA" w:rsidP="00A20FCF" w14:paraId="3EB9CFAC" w14:textId="77777777">
      <w:pPr>
        <w:spacing w:before="120" w:after="120" w:line="240" w:lineRule="auto"/>
        <w:rPr>
          <w:rFonts w:ascii="Arial" w:hAnsi="Arial" w:cs="Arial"/>
          <w:sz w:val="24"/>
          <w:szCs w:val="24"/>
        </w:rPr>
      </w:pPr>
    </w:p>
    <w:p w:rsidR="009C6FE0" w:rsidRPr="00442C2C" w:rsidP="00442C2C" w14:paraId="0F01303A" w14:textId="5AF5197C">
      <w:pPr>
        <w:pStyle w:val="ListParagraph"/>
        <w:numPr>
          <w:ilvl w:val="0"/>
          <w:numId w:val="1"/>
        </w:numPr>
        <w:spacing w:before="120" w:after="120" w:line="240" w:lineRule="auto"/>
        <w:rPr>
          <w:rFonts w:ascii="Arial" w:hAnsi="Arial" w:cs="Arial"/>
          <w:sz w:val="24"/>
          <w:szCs w:val="24"/>
          <w:u w:val="single"/>
        </w:rPr>
      </w:pPr>
      <w:r w:rsidRPr="00442C2C">
        <w:rPr>
          <w:rFonts w:ascii="Arial" w:hAnsi="Arial" w:cs="Arial"/>
          <w:sz w:val="24"/>
          <w:szCs w:val="24"/>
          <w:u w:val="single"/>
        </w:rPr>
        <w:t>Publication and Tabulation Dates</w:t>
      </w:r>
    </w:p>
    <w:p w:rsidR="0057483E" w:rsidRPr="00442C2C" w:rsidP="00A20FCF" w14:paraId="01B5A2FA" w14:textId="4F03D6E2">
      <w:pPr>
        <w:spacing w:before="120" w:after="120" w:line="240" w:lineRule="auto"/>
        <w:rPr>
          <w:rFonts w:ascii="Arial" w:hAnsi="Arial" w:cs="Arial"/>
          <w:sz w:val="24"/>
          <w:szCs w:val="24"/>
        </w:rPr>
      </w:pPr>
      <w:r w:rsidRPr="00442C2C">
        <w:rPr>
          <w:rFonts w:ascii="Arial" w:hAnsi="Arial" w:cs="Arial"/>
          <w:sz w:val="24"/>
          <w:szCs w:val="24"/>
        </w:rPr>
        <w:t>There are no publication dates.</w:t>
      </w:r>
    </w:p>
    <w:p w:rsidR="0057483E" w:rsidRPr="00442C2C" w:rsidP="00A20FCF" w14:paraId="2055E23B" w14:textId="77777777">
      <w:pPr>
        <w:spacing w:before="120" w:after="120" w:line="240" w:lineRule="auto"/>
        <w:rPr>
          <w:rFonts w:ascii="Arial" w:hAnsi="Arial" w:cs="Arial"/>
          <w:sz w:val="24"/>
          <w:szCs w:val="24"/>
        </w:rPr>
      </w:pPr>
    </w:p>
    <w:p w:rsidR="009C6FE0" w:rsidRPr="00442C2C" w:rsidP="00F904EF" w14:paraId="48206AAF" w14:textId="61B2906C">
      <w:pPr>
        <w:pStyle w:val="ListParagraph"/>
        <w:numPr>
          <w:ilvl w:val="0"/>
          <w:numId w:val="1"/>
        </w:numPr>
        <w:spacing w:before="120" w:after="120" w:line="240" w:lineRule="auto"/>
        <w:rPr>
          <w:rFonts w:ascii="Arial" w:hAnsi="Arial" w:cs="Arial"/>
          <w:sz w:val="24"/>
          <w:szCs w:val="24"/>
          <w:u w:val="single"/>
        </w:rPr>
      </w:pPr>
      <w:r w:rsidRPr="00442C2C">
        <w:rPr>
          <w:rFonts w:ascii="Arial" w:hAnsi="Arial" w:cs="Arial"/>
          <w:sz w:val="24"/>
          <w:szCs w:val="24"/>
          <w:u w:val="single"/>
        </w:rPr>
        <w:t>Expiration Date</w:t>
      </w:r>
    </w:p>
    <w:p w:rsidR="009C6FE0" w:rsidRPr="00442C2C" w:rsidP="00A20FCF" w14:paraId="1EA98947" w14:textId="77777777">
      <w:pPr>
        <w:spacing w:before="120" w:after="120" w:line="240" w:lineRule="auto"/>
        <w:rPr>
          <w:rFonts w:ascii="Arial" w:hAnsi="Arial" w:cs="Arial"/>
          <w:sz w:val="24"/>
          <w:szCs w:val="24"/>
        </w:rPr>
      </w:pPr>
      <w:r w:rsidRPr="00442C2C">
        <w:rPr>
          <w:rFonts w:ascii="Arial" w:hAnsi="Arial" w:cs="Arial"/>
          <w:sz w:val="24"/>
          <w:szCs w:val="24"/>
        </w:rPr>
        <w:t>The expiration date will be displayed on the waiver application.</w:t>
      </w:r>
    </w:p>
    <w:p w:rsidR="00F904EF" w:rsidRPr="00442C2C" w:rsidP="00A20FCF" w14:paraId="6A3E27B6" w14:textId="77777777">
      <w:pPr>
        <w:spacing w:before="120" w:after="120" w:line="240" w:lineRule="auto"/>
        <w:rPr>
          <w:rFonts w:ascii="Arial" w:hAnsi="Arial" w:cs="Arial"/>
          <w:sz w:val="24"/>
          <w:szCs w:val="24"/>
        </w:rPr>
      </w:pPr>
    </w:p>
    <w:p w:rsidR="009C6FE0" w:rsidRPr="00442C2C" w:rsidP="00F904EF" w14:paraId="69042A21" w14:textId="5F384299">
      <w:pPr>
        <w:pStyle w:val="ListParagraph"/>
        <w:numPr>
          <w:ilvl w:val="0"/>
          <w:numId w:val="1"/>
        </w:numPr>
        <w:spacing w:before="120" w:after="120" w:line="240" w:lineRule="auto"/>
        <w:rPr>
          <w:rFonts w:ascii="Arial" w:hAnsi="Arial" w:cs="Arial"/>
          <w:sz w:val="24"/>
          <w:szCs w:val="24"/>
          <w:u w:val="single"/>
        </w:rPr>
      </w:pPr>
      <w:r w:rsidRPr="00442C2C">
        <w:rPr>
          <w:rFonts w:ascii="Arial" w:hAnsi="Arial" w:cs="Arial"/>
          <w:sz w:val="24"/>
          <w:szCs w:val="24"/>
          <w:u w:val="single"/>
        </w:rPr>
        <w:t>Certification Statement</w:t>
      </w:r>
    </w:p>
    <w:p w:rsidR="009C6FE0" w:rsidRPr="00442C2C" w:rsidP="00A20FCF" w14:paraId="65891FCA" w14:textId="72D1E9E4">
      <w:pPr>
        <w:spacing w:before="120" w:after="120" w:line="240" w:lineRule="auto"/>
        <w:rPr>
          <w:rFonts w:ascii="Arial" w:hAnsi="Arial" w:cs="Arial"/>
          <w:sz w:val="24"/>
          <w:szCs w:val="24"/>
        </w:rPr>
      </w:pPr>
      <w:r w:rsidRPr="00442C2C">
        <w:rPr>
          <w:rFonts w:ascii="Arial" w:hAnsi="Arial" w:cs="Arial"/>
          <w:sz w:val="24"/>
          <w:szCs w:val="24"/>
        </w:rPr>
        <w:t>There are no exceptions to the certification statement</w:t>
      </w:r>
      <w:r w:rsidRPr="00442C2C" w:rsidR="00F46AA1">
        <w:rPr>
          <w:rFonts w:ascii="Arial" w:hAnsi="Arial" w:cs="Arial"/>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46E0"/>
    <w:multiLevelType w:val="hybridMultilevel"/>
    <w:tmpl w:val="34D8B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513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9A"/>
    <w:rsid w:val="000052BE"/>
    <w:rsid w:val="00010C60"/>
    <w:rsid w:val="000128BF"/>
    <w:rsid w:val="00057E16"/>
    <w:rsid w:val="00066CB1"/>
    <w:rsid w:val="00074359"/>
    <w:rsid w:val="00074799"/>
    <w:rsid w:val="000763D6"/>
    <w:rsid w:val="000809F5"/>
    <w:rsid w:val="0009054C"/>
    <w:rsid w:val="0009148A"/>
    <w:rsid w:val="000941EC"/>
    <w:rsid w:val="00096581"/>
    <w:rsid w:val="000970E1"/>
    <w:rsid w:val="000A3C90"/>
    <w:rsid w:val="000B06D7"/>
    <w:rsid w:val="000B1648"/>
    <w:rsid w:val="000B247A"/>
    <w:rsid w:val="000B3E9A"/>
    <w:rsid w:val="000B505D"/>
    <w:rsid w:val="000B56BD"/>
    <w:rsid w:val="000C67B3"/>
    <w:rsid w:val="000C7D9B"/>
    <w:rsid w:val="000D14F3"/>
    <w:rsid w:val="000D155D"/>
    <w:rsid w:val="000D2D62"/>
    <w:rsid w:val="000E3612"/>
    <w:rsid w:val="000E5599"/>
    <w:rsid w:val="000E669B"/>
    <w:rsid w:val="000F3FFB"/>
    <w:rsid w:val="000F5CA2"/>
    <w:rsid w:val="00106550"/>
    <w:rsid w:val="00112E09"/>
    <w:rsid w:val="00114841"/>
    <w:rsid w:val="00124818"/>
    <w:rsid w:val="00124834"/>
    <w:rsid w:val="00135B79"/>
    <w:rsid w:val="00143525"/>
    <w:rsid w:val="00143911"/>
    <w:rsid w:val="00145D1E"/>
    <w:rsid w:val="00147E61"/>
    <w:rsid w:val="00147EE0"/>
    <w:rsid w:val="00151C04"/>
    <w:rsid w:val="0017337C"/>
    <w:rsid w:val="00174532"/>
    <w:rsid w:val="0017626E"/>
    <w:rsid w:val="00192ADC"/>
    <w:rsid w:val="001B65B1"/>
    <w:rsid w:val="001C2D01"/>
    <w:rsid w:val="001D779D"/>
    <w:rsid w:val="001E4E31"/>
    <w:rsid w:val="001E57E1"/>
    <w:rsid w:val="002018F7"/>
    <w:rsid w:val="002019FB"/>
    <w:rsid w:val="00204AD1"/>
    <w:rsid w:val="00204C1D"/>
    <w:rsid w:val="00220743"/>
    <w:rsid w:val="00226900"/>
    <w:rsid w:val="00243482"/>
    <w:rsid w:val="00245D2A"/>
    <w:rsid w:val="00263CD5"/>
    <w:rsid w:val="002643F1"/>
    <w:rsid w:val="002707F2"/>
    <w:rsid w:val="00272363"/>
    <w:rsid w:val="002734FE"/>
    <w:rsid w:val="00275386"/>
    <w:rsid w:val="002823F0"/>
    <w:rsid w:val="002831D0"/>
    <w:rsid w:val="00284004"/>
    <w:rsid w:val="00284FD1"/>
    <w:rsid w:val="00292EC4"/>
    <w:rsid w:val="002A0E44"/>
    <w:rsid w:val="002A40F0"/>
    <w:rsid w:val="002C2CA4"/>
    <w:rsid w:val="002C66B9"/>
    <w:rsid w:val="002D738F"/>
    <w:rsid w:val="002E04AA"/>
    <w:rsid w:val="002E0C7F"/>
    <w:rsid w:val="002E0F5D"/>
    <w:rsid w:val="002F0034"/>
    <w:rsid w:val="002F648C"/>
    <w:rsid w:val="003125AB"/>
    <w:rsid w:val="00312B3D"/>
    <w:rsid w:val="00314C8A"/>
    <w:rsid w:val="00321A5F"/>
    <w:rsid w:val="003236EC"/>
    <w:rsid w:val="00327B97"/>
    <w:rsid w:val="003310EA"/>
    <w:rsid w:val="003451F8"/>
    <w:rsid w:val="003515E2"/>
    <w:rsid w:val="00353F7F"/>
    <w:rsid w:val="00372D0D"/>
    <w:rsid w:val="003821DD"/>
    <w:rsid w:val="0038277D"/>
    <w:rsid w:val="00390EEC"/>
    <w:rsid w:val="003956D8"/>
    <w:rsid w:val="003A390B"/>
    <w:rsid w:val="003A42DB"/>
    <w:rsid w:val="003A4D90"/>
    <w:rsid w:val="003A5CFB"/>
    <w:rsid w:val="003A70DB"/>
    <w:rsid w:val="003A7CEE"/>
    <w:rsid w:val="003B48C6"/>
    <w:rsid w:val="003C2F0F"/>
    <w:rsid w:val="003C4E83"/>
    <w:rsid w:val="003D1604"/>
    <w:rsid w:val="003D4FF3"/>
    <w:rsid w:val="003D609C"/>
    <w:rsid w:val="003F2296"/>
    <w:rsid w:val="00404445"/>
    <w:rsid w:val="00416C1C"/>
    <w:rsid w:val="004219E9"/>
    <w:rsid w:val="0042610C"/>
    <w:rsid w:val="004319F3"/>
    <w:rsid w:val="0043614E"/>
    <w:rsid w:val="004367EA"/>
    <w:rsid w:val="004371CE"/>
    <w:rsid w:val="00441F54"/>
    <w:rsid w:val="00442C2C"/>
    <w:rsid w:val="00447A7C"/>
    <w:rsid w:val="004563F9"/>
    <w:rsid w:val="00456615"/>
    <w:rsid w:val="00456F83"/>
    <w:rsid w:val="00463334"/>
    <w:rsid w:val="004705FC"/>
    <w:rsid w:val="00481F93"/>
    <w:rsid w:val="004840A9"/>
    <w:rsid w:val="004A0D23"/>
    <w:rsid w:val="004B1533"/>
    <w:rsid w:val="004B15EA"/>
    <w:rsid w:val="004B557E"/>
    <w:rsid w:val="004B6103"/>
    <w:rsid w:val="004B7D57"/>
    <w:rsid w:val="004C5920"/>
    <w:rsid w:val="004C64DB"/>
    <w:rsid w:val="004D15EC"/>
    <w:rsid w:val="004D16E9"/>
    <w:rsid w:val="004E098F"/>
    <w:rsid w:val="004E50AC"/>
    <w:rsid w:val="004F6AB4"/>
    <w:rsid w:val="005073C0"/>
    <w:rsid w:val="00507A01"/>
    <w:rsid w:val="00516312"/>
    <w:rsid w:val="0052053E"/>
    <w:rsid w:val="00526D0B"/>
    <w:rsid w:val="005321C9"/>
    <w:rsid w:val="00537FED"/>
    <w:rsid w:val="0054030B"/>
    <w:rsid w:val="0054176C"/>
    <w:rsid w:val="00546789"/>
    <w:rsid w:val="0054754E"/>
    <w:rsid w:val="00561F29"/>
    <w:rsid w:val="00563D0E"/>
    <w:rsid w:val="0057483E"/>
    <w:rsid w:val="005944A3"/>
    <w:rsid w:val="005A5069"/>
    <w:rsid w:val="005C0D18"/>
    <w:rsid w:val="005C74C5"/>
    <w:rsid w:val="005E1A41"/>
    <w:rsid w:val="005F2A02"/>
    <w:rsid w:val="005F7136"/>
    <w:rsid w:val="00600E23"/>
    <w:rsid w:val="006118DE"/>
    <w:rsid w:val="006129A2"/>
    <w:rsid w:val="00620632"/>
    <w:rsid w:val="00623E47"/>
    <w:rsid w:val="006367F5"/>
    <w:rsid w:val="00644B9A"/>
    <w:rsid w:val="00644F10"/>
    <w:rsid w:val="00650609"/>
    <w:rsid w:val="006563F0"/>
    <w:rsid w:val="006724CB"/>
    <w:rsid w:val="006754C0"/>
    <w:rsid w:val="0068033C"/>
    <w:rsid w:val="00680905"/>
    <w:rsid w:val="00681D34"/>
    <w:rsid w:val="00681DA1"/>
    <w:rsid w:val="00682303"/>
    <w:rsid w:val="006963B8"/>
    <w:rsid w:val="006975D1"/>
    <w:rsid w:val="006B1BCC"/>
    <w:rsid w:val="006B243C"/>
    <w:rsid w:val="006B453A"/>
    <w:rsid w:val="006C3B53"/>
    <w:rsid w:val="006C7469"/>
    <w:rsid w:val="006C7C87"/>
    <w:rsid w:val="006D0F8E"/>
    <w:rsid w:val="006D3D55"/>
    <w:rsid w:val="006F67F0"/>
    <w:rsid w:val="00706372"/>
    <w:rsid w:val="007331BF"/>
    <w:rsid w:val="007343EA"/>
    <w:rsid w:val="0074137B"/>
    <w:rsid w:val="0074557A"/>
    <w:rsid w:val="007462F0"/>
    <w:rsid w:val="0075077B"/>
    <w:rsid w:val="00751787"/>
    <w:rsid w:val="00775100"/>
    <w:rsid w:val="00781B42"/>
    <w:rsid w:val="00791B24"/>
    <w:rsid w:val="00792237"/>
    <w:rsid w:val="00794CA6"/>
    <w:rsid w:val="007B3254"/>
    <w:rsid w:val="007B3A6C"/>
    <w:rsid w:val="007C33A0"/>
    <w:rsid w:val="007D1370"/>
    <w:rsid w:val="007D3D9C"/>
    <w:rsid w:val="007D6A5B"/>
    <w:rsid w:val="007E07F7"/>
    <w:rsid w:val="007E3BF8"/>
    <w:rsid w:val="007F0CCD"/>
    <w:rsid w:val="008013E5"/>
    <w:rsid w:val="0080755F"/>
    <w:rsid w:val="00815890"/>
    <w:rsid w:val="00817A88"/>
    <w:rsid w:val="00831529"/>
    <w:rsid w:val="0084499A"/>
    <w:rsid w:val="00847FFE"/>
    <w:rsid w:val="008620FA"/>
    <w:rsid w:val="00862982"/>
    <w:rsid w:val="008742B7"/>
    <w:rsid w:val="00876EA3"/>
    <w:rsid w:val="008837F8"/>
    <w:rsid w:val="008A059C"/>
    <w:rsid w:val="008A41D7"/>
    <w:rsid w:val="008E7B9A"/>
    <w:rsid w:val="008F5109"/>
    <w:rsid w:val="0090086B"/>
    <w:rsid w:val="00916201"/>
    <w:rsid w:val="00920132"/>
    <w:rsid w:val="00923A3A"/>
    <w:rsid w:val="00943095"/>
    <w:rsid w:val="00953E1B"/>
    <w:rsid w:val="009572E7"/>
    <w:rsid w:val="0095790E"/>
    <w:rsid w:val="00960492"/>
    <w:rsid w:val="009642A7"/>
    <w:rsid w:val="009648BC"/>
    <w:rsid w:val="009700B4"/>
    <w:rsid w:val="00975ADC"/>
    <w:rsid w:val="00975CBB"/>
    <w:rsid w:val="0098171A"/>
    <w:rsid w:val="00981D4E"/>
    <w:rsid w:val="00984939"/>
    <w:rsid w:val="009A5A71"/>
    <w:rsid w:val="009A66B8"/>
    <w:rsid w:val="009A6C64"/>
    <w:rsid w:val="009B64E8"/>
    <w:rsid w:val="009C6FE0"/>
    <w:rsid w:val="009C7CBA"/>
    <w:rsid w:val="009D0CB8"/>
    <w:rsid w:val="009D5951"/>
    <w:rsid w:val="009E1BD2"/>
    <w:rsid w:val="009F625E"/>
    <w:rsid w:val="00A0123D"/>
    <w:rsid w:val="00A04F84"/>
    <w:rsid w:val="00A05076"/>
    <w:rsid w:val="00A11B52"/>
    <w:rsid w:val="00A12214"/>
    <w:rsid w:val="00A12FB6"/>
    <w:rsid w:val="00A15F25"/>
    <w:rsid w:val="00A17A3E"/>
    <w:rsid w:val="00A20FCF"/>
    <w:rsid w:val="00A31E75"/>
    <w:rsid w:val="00A60EC9"/>
    <w:rsid w:val="00A71F33"/>
    <w:rsid w:val="00A76154"/>
    <w:rsid w:val="00A9484B"/>
    <w:rsid w:val="00A9557C"/>
    <w:rsid w:val="00A95B60"/>
    <w:rsid w:val="00AA216D"/>
    <w:rsid w:val="00AB4EFD"/>
    <w:rsid w:val="00AB5E91"/>
    <w:rsid w:val="00AC110E"/>
    <w:rsid w:val="00AC2BC5"/>
    <w:rsid w:val="00AC378F"/>
    <w:rsid w:val="00AC3FF8"/>
    <w:rsid w:val="00AC3FFF"/>
    <w:rsid w:val="00AC5ED4"/>
    <w:rsid w:val="00AD6EA1"/>
    <w:rsid w:val="00AD7257"/>
    <w:rsid w:val="00AD740A"/>
    <w:rsid w:val="00AD7489"/>
    <w:rsid w:val="00AD7601"/>
    <w:rsid w:val="00AE03A3"/>
    <w:rsid w:val="00B02969"/>
    <w:rsid w:val="00B04786"/>
    <w:rsid w:val="00B05124"/>
    <w:rsid w:val="00B11451"/>
    <w:rsid w:val="00B13084"/>
    <w:rsid w:val="00B20001"/>
    <w:rsid w:val="00B2058B"/>
    <w:rsid w:val="00B211A3"/>
    <w:rsid w:val="00B260C8"/>
    <w:rsid w:val="00B42387"/>
    <w:rsid w:val="00B44558"/>
    <w:rsid w:val="00B45B05"/>
    <w:rsid w:val="00B5105B"/>
    <w:rsid w:val="00B6362E"/>
    <w:rsid w:val="00B644E1"/>
    <w:rsid w:val="00B70494"/>
    <w:rsid w:val="00B761AA"/>
    <w:rsid w:val="00B76E68"/>
    <w:rsid w:val="00B81A73"/>
    <w:rsid w:val="00B84AAD"/>
    <w:rsid w:val="00B8751D"/>
    <w:rsid w:val="00B87E8D"/>
    <w:rsid w:val="00B90BB2"/>
    <w:rsid w:val="00B95822"/>
    <w:rsid w:val="00BB1628"/>
    <w:rsid w:val="00BD1D17"/>
    <w:rsid w:val="00BD1DCA"/>
    <w:rsid w:val="00BE0148"/>
    <w:rsid w:val="00BE11FA"/>
    <w:rsid w:val="00C04CC7"/>
    <w:rsid w:val="00C11FD6"/>
    <w:rsid w:val="00C12CCB"/>
    <w:rsid w:val="00C22998"/>
    <w:rsid w:val="00C249E2"/>
    <w:rsid w:val="00C309A8"/>
    <w:rsid w:val="00C30BFD"/>
    <w:rsid w:val="00C3728B"/>
    <w:rsid w:val="00C423BB"/>
    <w:rsid w:val="00C43F14"/>
    <w:rsid w:val="00C51A07"/>
    <w:rsid w:val="00C66298"/>
    <w:rsid w:val="00C670BA"/>
    <w:rsid w:val="00C72623"/>
    <w:rsid w:val="00C86C1B"/>
    <w:rsid w:val="00C93AD3"/>
    <w:rsid w:val="00C94CDC"/>
    <w:rsid w:val="00C95423"/>
    <w:rsid w:val="00C96DC5"/>
    <w:rsid w:val="00CA23DA"/>
    <w:rsid w:val="00CA2EA2"/>
    <w:rsid w:val="00CA3949"/>
    <w:rsid w:val="00CA528A"/>
    <w:rsid w:val="00CD4E6A"/>
    <w:rsid w:val="00CD5B9E"/>
    <w:rsid w:val="00CE29BA"/>
    <w:rsid w:val="00CE6B4C"/>
    <w:rsid w:val="00CF0093"/>
    <w:rsid w:val="00CF7AAC"/>
    <w:rsid w:val="00D0375E"/>
    <w:rsid w:val="00D05DDE"/>
    <w:rsid w:val="00D25F9E"/>
    <w:rsid w:val="00D32B3A"/>
    <w:rsid w:val="00D55B77"/>
    <w:rsid w:val="00D55D51"/>
    <w:rsid w:val="00D57834"/>
    <w:rsid w:val="00D625D8"/>
    <w:rsid w:val="00D7135F"/>
    <w:rsid w:val="00D730F5"/>
    <w:rsid w:val="00D94C02"/>
    <w:rsid w:val="00D94D81"/>
    <w:rsid w:val="00DA05C5"/>
    <w:rsid w:val="00DA33A9"/>
    <w:rsid w:val="00DA34CF"/>
    <w:rsid w:val="00DA39CD"/>
    <w:rsid w:val="00DB1DA6"/>
    <w:rsid w:val="00DB763E"/>
    <w:rsid w:val="00DD68A3"/>
    <w:rsid w:val="00DE2814"/>
    <w:rsid w:val="00DF62D7"/>
    <w:rsid w:val="00E019ED"/>
    <w:rsid w:val="00E04304"/>
    <w:rsid w:val="00E04E29"/>
    <w:rsid w:val="00E104A0"/>
    <w:rsid w:val="00E11A75"/>
    <w:rsid w:val="00E14DD5"/>
    <w:rsid w:val="00E24428"/>
    <w:rsid w:val="00E34DFE"/>
    <w:rsid w:val="00E45A81"/>
    <w:rsid w:val="00E52CD8"/>
    <w:rsid w:val="00E92097"/>
    <w:rsid w:val="00E97D7B"/>
    <w:rsid w:val="00EA1E9F"/>
    <w:rsid w:val="00EA5718"/>
    <w:rsid w:val="00EC0A0C"/>
    <w:rsid w:val="00ED2A70"/>
    <w:rsid w:val="00ED722B"/>
    <w:rsid w:val="00EE1DC1"/>
    <w:rsid w:val="00EF1538"/>
    <w:rsid w:val="00F03091"/>
    <w:rsid w:val="00F067C0"/>
    <w:rsid w:val="00F06B63"/>
    <w:rsid w:val="00F10158"/>
    <w:rsid w:val="00F106CB"/>
    <w:rsid w:val="00F30580"/>
    <w:rsid w:val="00F33F3E"/>
    <w:rsid w:val="00F35177"/>
    <w:rsid w:val="00F36B6B"/>
    <w:rsid w:val="00F46AA1"/>
    <w:rsid w:val="00F531C3"/>
    <w:rsid w:val="00F54C33"/>
    <w:rsid w:val="00F619B4"/>
    <w:rsid w:val="00F63DCC"/>
    <w:rsid w:val="00F678FB"/>
    <w:rsid w:val="00F71928"/>
    <w:rsid w:val="00F72B82"/>
    <w:rsid w:val="00F80F09"/>
    <w:rsid w:val="00F87224"/>
    <w:rsid w:val="00F904EF"/>
    <w:rsid w:val="00F930E4"/>
    <w:rsid w:val="00F95E02"/>
    <w:rsid w:val="00FA7D60"/>
    <w:rsid w:val="00FB008D"/>
    <w:rsid w:val="00FB1439"/>
    <w:rsid w:val="00FB49FB"/>
    <w:rsid w:val="00FB6238"/>
    <w:rsid w:val="00FC11DB"/>
    <w:rsid w:val="00FD03C1"/>
    <w:rsid w:val="00FD3617"/>
    <w:rsid w:val="00FD4DEF"/>
    <w:rsid w:val="00FD519D"/>
    <w:rsid w:val="00FD6FCB"/>
    <w:rsid w:val="00FE13A1"/>
    <w:rsid w:val="00FE4E0C"/>
    <w:rsid w:val="02575476"/>
    <w:rsid w:val="029E4C16"/>
    <w:rsid w:val="0317FFB2"/>
    <w:rsid w:val="0339DDBF"/>
    <w:rsid w:val="0466F856"/>
    <w:rsid w:val="0579DEB0"/>
    <w:rsid w:val="065C2693"/>
    <w:rsid w:val="066C2C96"/>
    <w:rsid w:val="0700EDCB"/>
    <w:rsid w:val="072CB235"/>
    <w:rsid w:val="0858021F"/>
    <w:rsid w:val="085E8078"/>
    <w:rsid w:val="087798A4"/>
    <w:rsid w:val="088C405C"/>
    <w:rsid w:val="08BB2E48"/>
    <w:rsid w:val="09C8D75C"/>
    <w:rsid w:val="0AC21BF9"/>
    <w:rsid w:val="0CF60BFF"/>
    <w:rsid w:val="0D37734A"/>
    <w:rsid w:val="0D458491"/>
    <w:rsid w:val="0E50E75A"/>
    <w:rsid w:val="0EA95C70"/>
    <w:rsid w:val="0F2D6FD3"/>
    <w:rsid w:val="10201526"/>
    <w:rsid w:val="1026AABB"/>
    <w:rsid w:val="108D6875"/>
    <w:rsid w:val="116EDECE"/>
    <w:rsid w:val="12A6AB69"/>
    <w:rsid w:val="12A9F299"/>
    <w:rsid w:val="1335811A"/>
    <w:rsid w:val="139DBF13"/>
    <w:rsid w:val="147EF2AA"/>
    <w:rsid w:val="14B6F72E"/>
    <w:rsid w:val="152F4E60"/>
    <w:rsid w:val="176C5523"/>
    <w:rsid w:val="17D3CBB1"/>
    <w:rsid w:val="18341B25"/>
    <w:rsid w:val="18E23F4C"/>
    <w:rsid w:val="1966B8A2"/>
    <w:rsid w:val="19D0DA65"/>
    <w:rsid w:val="1C75FD10"/>
    <w:rsid w:val="1C77F00C"/>
    <w:rsid w:val="1DA539C9"/>
    <w:rsid w:val="1EAAC291"/>
    <w:rsid w:val="1EF32788"/>
    <w:rsid w:val="1F218C50"/>
    <w:rsid w:val="1FBF46C1"/>
    <w:rsid w:val="2197B666"/>
    <w:rsid w:val="23123E63"/>
    <w:rsid w:val="23712CF8"/>
    <w:rsid w:val="24406A5F"/>
    <w:rsid w:val="24A36E7F"/>
    <w:rsid w:val="24D28916"/>
    <w:rsid w:val="24F9ACF8"/>
    <w:rsid w:val="2677F1A0"/>
    <w:rsid w:val="28D0233E"/>
    <w:rsid w:val="28F744C9"/>
    <w:rsid w:val="2A2786CE"/>
    <w:rsid w:val="2A43CBBC"/>
    <w:rsid w:val="2B66ACF4"/>
    <w:rsid w:val="2B713BAB"/>
    <w:rsid w:val="2C22A770"/>
    <w:rsid w:val="2D38FE98"/>
    <w:rsid w:val="2FF07DC9"/>
    <w:rsid w:val="304E51EE"/>
    <w:rsid w:val="3162EF10"/>
    <w:rsid w:val="3254434B"/>
    <w:rsid w:val="32C6A9F8"/>
    <w:rsid w:val="33A54CD2"/>
    <w:rsid w:val="34BD3D93"/>
    <w:rsid w:val="34C5B284"/>
    <w:rsid w:val="352E71B2"/>
    <w:rsid w:val="353D0205"/>
    <w:rsid w:val="36F26473"/>
    <w:rsid w:val="379B50DF"/>
    <w:rsid w:val="37FE27F9"/>
    <w:rsid w:val="380A11C9"/>
    <w:rsid w:val="381B7D9D"/>
    <w:rsid w:val="382BA488"/>
    <w:rsid w:val="384AA94A"/>
    <w:rsid w:val="38C6259C"/>
    <w:rsid w:val="38DE643C"/>
    <w:rsid w:val="38E468D6"/>
    <w:rsid w:val="39031EAC"/>
    <w:rsid w:val="39529C59"/>
    <w:rsid w:val="39797B14"/>
    <w:rsid w:val="39E2BC0D"/>
    <w:rsid w:val="39F024F9"/>
    <w:rsid w:val="3A6C927A"/>
    <w:rsid w:val="3AC01188"/>
    <w:rsid w:val="3B105679"/>
    <w:rsid w:val="3BFB25D9"/>
    <w:rsid w:val="3C2B76DE"/>
    <w:rsid w:val="3C38407C"/>
    <w:rsid w:val="3C5B3484"/>
    <w:rsid w:val="3DC011D6"/>
    <w:rsid w:val="3DCA384D"/>
    <w:rsid w:val="3E289A9A"/>
    <w:rsid w:val="3E4B0196"/>
    <w:rsid w:val="3EBD0F6C"/>
    <w:rsid w:val="3ED1C93B"/>
    <w:rsid w:val="3FF24976"/>
    <w:rsid w:val="3FF9E5DB"/>
    <w:rsid w:val="42B754E8"/>
    <w:rsid w:val="42B9028A"/>
    <w:rsid w:val="4302F189"/>
    <w:rsid w:val="43BEEE60"/>
    <w:rsid w:val="44985DE0"/>
    <w:rsid w:val="462E6D0A"/>
    <w:rsid w:val="47A7B083"/>
    <w:rsid w:val="48C22298"/>
    <w:rsid w:val="48D07024"/>
    <w:rsid w:val="4A4B520B"/>
    <w:rsid w:val="4A61AF25"/>
    <w:rsid w:val="4B0972AE"/>
    <w:rsid w:val="4D9EFBFE"/>
    <w:rsid w:val="4DC42E83"/>
    <w:rsid w:val="4E6CA1F5"/>
    <w:rsid w:val="4FD6EC94"/>
    <w:rsid w:val="51495A99"/>
    <w:rsid w:val="514B00DA"/>
    <w:rsid w:val="520CC9B0"/>
    <w:rsid w:val="52A85210"/>
    <w:rsid w:val="53BA3BCB"/>
    <w:rsid w:val="540B0E06"/>
    <w:rsid w:val="548FF4EA"/>
    <w:rsid w:val="554D1838"/>
    <w:rsid w:val="57108A6A"/>
    <w:rsid w:val="5717C567"/>
    <w:rsid w:val="58AC05A0"/>
    <w:rsid w:val="58B93D55"/>
    <w:rsid w:val="590F1CCC"/>
    <w:rsid w:val="5998559C"/>
    <w:rsid w:val="59B519F9"/>
    <w:rsid w:val="5A2187BC"/>
    <w:rsid w:val="5CB22E0B"/>
    <w:rsid w:val="5D1F3CE5"/>
    <w:rsid w:val="5D40466A"/>
    <w:rsid w:val="5D4A1825"/>
    <w:rsid w:val="5E36F97C"/>
    <w:rsid w:val="5E9C6D4F"/>
    <w:rsid w:val="5F125A43"/>
    <w:rsid w:val="5FFB0E3E"/>
    <w:rsid w:val="602A7268"/>
    <w:rsid w:val="60B110BB"/>
    <w:rsid w:val="61D5F054"/>
    <w:rsid w:val="61F4B2FB"/>
    <w:rsid w:val="62134343"/>
    <w:rsid w:val="626B07EA"/>
    <w:rsid w:val="6278E4CF"/>
    <w:rsid w:val="629FD9BE"/>
    <w:rsid w:val="62AA2339"/>
    <w:rsid w:val="62EFFA53"/>
    <w:rsid w:val="63D850B1"/>
    <w:rsid w:val="647586F3"/>
    <w:rsid w:val="6528FF7B"/>
    <w:rsid w:val="6573E56A"/>
    <w:rsid w:val="65CF2E2D"/>
    <w:rsid w:val="661B337B"/>
    <w:rsid w:val="662708F2"/>
    <w:rsid w:val="664DE7A7"/>
    <w:rsid w:val="6755A3F4"/>
    <w:rsid w:val="67ACC2A3"/>
    <w:rsid w:val="68336698"/>
    <w:rsid w:val="68781AB2"/>
    <w:rsid w:val="68F0444A"/>
    <w:rsid w:val="6984A30F"/>
    <w:rsid w:val="69A106EF"/>
    <w:rsid w:val="6B41D008"/>
    <w:rsid w:val="6C17D476"/>
    <w:rsid w:val="6C284D49"/>
    <w:rsid w:val="6CD30A66"/>
    <w:rsid w:val="6DC623BB"/>
    <w:rsid w:val="6DF78026"/>
    <w:rsid w:val="6E377C5F"/>
    <w:rsid w:val="6F61DD59"/>
    <w:rsid w:val="6FC2FA95"/>
    <w:rsid w:val="6FEC6F44"/>
    <w:rsid w:val="6FFC694D"/>
    <w:rsid w:val="700AEF0A"/>
    <w:rsid w:val="7068E818"/>
    <w:rsid w:val="718FC9E6"/>
    <w:rsid w:val="729438FE"/>
    <w:rsid w:val="74AF007C"/>
    <w:rsid w:val="74F5630D"/>
    <w:rsid w:val="75C58D77"/>
    <w:rsid w:val="770BCCC1"/>
    <w:rsid w:val="78034990"/>
    <w:rsid w:val="78220351"/>
    <w:rsid w:val="7D071091"/>
    <w:rsid w:val="7DC20AD1"/>
    <w:rsid w:val="7E205377"/>
    <w:rsid w:val="7EB70A9F"/>
    <w:rsid w:val="7ED9FD1F"/>
    <w:rsid w:val="7EDBE117"/>
    <w:rsid w:val="7F558BBB"/>
    <w:rsid w:val="7FEAFA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F0A3AA"/>
  <w15:chartTrackingRefBased/>
  <w15:docId w15:val="{20FAB005-C797-4704-9987-EEACA674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3E"/>
  </w:style>
  <w:style w:type="paragraph" w:styleId="Heading1">
    <w:name w:val="heading 1"/>
    <w:basedOn w:val="Normal"/>
    <w:next w:val="Normal"/>
    <w:link w:val="Heading1Char"/>
    <w:uiPriority w:val="9"/>
    <w:qFormat/>
    <w:rsid w:val="008E7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B9A"/>
    <w:rPr>
      <w:rFonts w:eastAsiaTheme="majorEastAsia" w:cstheme="majorBidi"/>
      <w:color w:val="272727" w:themeColor="text1" w:themeTint="D8"/>
    </w:rPr>
  </w:style>
  <w:style w:type="paragraph" w:styleId="Title">
    <w:name w:val="Title"/>
    <w:basedOn w:val="Normal"/>
    <w:next w:val="Normal"/>
    <w:link w:val="TitleChar"/>
    <w:uiPriority w:val="10"/>
    <w:qFormat/>
    <w:rsid w:val="008E7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B9A"/>
    <w:pPr>
      <w:spacing w:before="160"/>
      <w:jc w:val="center"/>
    </w:pPr>
    <w:rPr>
      <w:i/>
      <w:iCs/>
      <w:color w:val="404040" w:themeColor="text1" w:themeTint="BF"/>
    </w:rPr>
  </w:style>
  <w:style w:type="character" w:customStyle="1" w:styleId="QuoteChar">
    <w:name w:val="Quote Char"/>
    <w:basedOn w:val="DefaultParagraphFont"/>
    <w:link w:val="Quote"/>
    <w:uiPriority w:val="29"/>
    <w:rsid w:val="008E7B9A"/>
    <w:rPr>
      <w:i/>
      <w:iCs/>
      <w:color w:val="404040" w:themeColor="text1" w:themeTint="BF"/>
    </w:rPr>
  </w:style>
  <w:style w:type="paragraph" w:styleId="ListParagraph">
    <w:name w:val="List Paragraph"/>
    <w:basedOn w:val="Normal"/>
    <w:uiPriority w:val="34"/>
    <w:qFormat/>
    <w:rsid w:val="008E7B9A"/>
    <w:pPr>
      <w:ind w:left="720"/>
      <w:contextualSpacing/>
    </w:pPr>
  </w:style>
  <w:style w:type="character" w:styleId="IntenseEmphasis">
    <w:name w:val="Intense Emphasis"/>
    <w:basedOn w:val="DefaultParagraphFont"/>
    <w:uiPriority w:val="21"/>
    <w:qFormat/>
    <w:rsid w:val="008E7B9A"/>
    <w:rPr>
      <w:i/>
      <w:iCs/>
      <w:color w:val="0F4761" w:themeColor="accent1" w:themeShade="BF"/>
    </w:rPr>
  </w:style>
  <w:style w:type="paragraph" w:styleId="IntenseQuote">
    <w:name w:val="Intense Quote"/>
    <w:basedOn w:val="Normal"/>
    <w:next w:val="Normal"/>
    <w:link w:val="IntenseQuoteChar"/>
    <w:uiPriority w:val="30"/>
    <w:qFormat/>
    <w:rsid w:val="008E7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B9A"/>
    <w:rPr>
      <w:i/>
      <w:iCs/>
      <w:color w:val="0F4761" w:themeColor="accent1" w:themeShade="BF"/>
    </w:rPr>
  </w:style>
  <w:style w:type="character" w:styleId="IntenseReference">
    <w:name w:val="Intense Reference"/>
    <w:basedOn w:val="DefaultParagraphFont"/>
    <w:uiPriority w:val="32"/>
    <w:qFormat/>
    <w:rsid w:val="008E7B9A"/>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2CD8"/>
    <w:pPr>
      <w:spacing w:after="0" w:line="240" w:lineRule="auto"/>
    </w:pPr>
  </w:style>
  <w:style w:type="table" w:styleId="TableGrid">
    <w:name w:val="Table Grid"/>
    <w:aliases w:val="Table Grid-A"/>
    <w:basedOn w:val="TableNormal"/>
    <w:uiPriority w:val="39"/>
    <w:rsid w:val="005A50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C33A0"/>
    <w:rPr>
      <w:b/>
      <w:bCs/>
    </w:rPr>
  </w:style>
  <w:style w:type="character" w:customStyle="1" w:styleId="CommentSubjectChar">
    <w:name w:val="Comment Subject Char"/>
    <w:basedOn w:val="CommentTextChar"/>
    <w:link w:val="CommentSubject"/>
    <w:uiPriority w:val="99"/>
    <w:semiHidden/>
    <w:rsid w:val="007C33A0"/>
    <w:rPr>
      <w:b/>
      <w:bCs/>
      <w:sz w:val="20"/>
      <w:szCs w:val="20"/>
    </w:rPr>
  </w:style>
  <w:style w:type="paragraph" w:styleId="PlainText">
    <w:name w:val="Plain Text"/>
    <w:basedOn w:val="Normal"/>
    <w:link w:val="PlainTextChar"/>
    <w:uiPriority w:val="99"/>
    <w:unhideWhenUsed/>
    <w:rsid w:val="00226900"/>
    <w:pPr>
      <w:spacing w:after="0" w:line="240" w:lineRule="auto"/>
    </w:pPr>
    <w:rPr>
      <w:rFonts w:ascii="Times New Roman" w:hAnsi="Times New Roman"/>
      <w:color w:val="000099"/>
      <w:sz w:val="28"/>
      <w:szCs w:val="21"/>
    </w:rPr>
  </w:style>
  <w:style w:type="character" w:customStyle="1" w:styleId="PlainTextChar">
    <w:name w:val="Plain Text Char"/>
    <w:basedOn w:val="DefaultParagraphFont"/>
    <w:link w:val="PlainText"/>
    <w:uiPriority w:val="99"/>
    <w:rsid w:val="00226900"/>
    <w:rPr>
      <w:rFonts w:ascii="Times New Roman" w:hAnsi="Times New Roman"/>
      <w:color w:val="000099"/>
      <w:sz w:val="28"/>
      <w:szCs w:val="21"/>
    </w:rPr>
  </w:style>
  <w:style w:type="paragraph" w:styleId="NoSpacing">
    <w:name w:val="No Spacing"/>
    <w:uiPriority w:val="1"/>
    <w:qFormat/>
    <w:rsid w:val="00442C2C"/>
    <w:pPr>
      <w:spacing w:after="0" w:line="240" w:lineRule="auto"/>
    </w:pPr>
  </w:style>
  <w:style w:type="paragraph" w:styleId="NormalWeb">
    <w:name w:val="Normal (Web)"/>
    <w:basedOn w:val="Normal"/>
    <w:uiPriority w:val="99"/>
    <w:semiHidden/>
    <w:unhideWhenUsed/>
    <w:rsid w:val="00174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1c1b5e-2c0f-4552-9888-ab5eb645ff61" xsi:nil="true"/>
    <lcf76f155ced4ddcb4097134ff3c332f xmlns="5d39512f-6c52-42b6-82c2-1a77b75a6f77">
      <Terms xmlns="http://schemas.microsoft.com/office/infopath/2007/PartnerControls"/>
    </lcf76f155ced4ddcb4097134ff3c332f>
    <Notes xmlns="5d39512f-6c52-42b6-82c2-1a77b75a6f77" xsi:nil="true"/>
    <_ip_UnifiedCompliancePolicyUIAction xmlns="http://schemas.microsoft.com/sharepoint/v3" xsi:nil="true"/>
    <_ip_UnifiedCompliancePolicyProperties xmlns="http://schemas.microsoft.com/sharepoint/v3" xsi:nil="true"/>
    <Comments xmlns="5d39512f-6c52-42b6-82c2-1a77b75a6f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2A6EAF671904419C0BB38B8D9A25F2" ma:contentTypeVersion="17" ma:contentTypeDescription="Create a new document." ma:contentTypeScope="" ma:versionID="9a20fbb057d61cf529450996148be71e">
  <xsd:schema xmlns:xsd="http://www.w3.org/2001/XMLSchema" xmlns:xs="http://www.w3.org/2001/XMLSchema" xmlns:p="http://schemas.microsoft.com/office/2006/metadata/properties" xmlns:ns1="http://schemas.microsoft.com/sharepoint/v3" xmlns:ns2="5d39512f-6c52-42b6-82c2-1a77b75a6f77" xmlns:ns3="701c1b5e-2c0f-4552-9888-ab5eb645ff61" targetNamespace="http://schemas.microsoft.com/office/2006/metadata/properties" ma:root="true" ma:fieldsID="a4027eaf6d814078309771e8e3f18ba3" ns1:_="" ns2:_="" ns3:_="">
    <xsd:import namespace="http://schemas.microsoft.com/sharepoint/v3"/>
    <xsd:import namespace="5d39512f-6c52-42b6-82c2-1a77b75a6f77"/>
    <xsd:import namespace="701c1b5e-2c0f-4552-9888-ab5eb645ff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 minOccurs="0"/>
                <xsd:element ref="ns1:_ip_UnifiedCompliancePolicyProperties" minOccurs="0"/>
                <xsd:element ref="ns1:_ip_UnifiedCompliancePolicyUIA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9512f-6c52-42b6-82c2-1a77b75a6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93aedc-ac5a-46e1-8eba-f65fee0de0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c1b5e-2c0f-4552-9888-ab5eb645ff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e9b414-c9e8-4253-83ef-21aa9cbc4344}" ma:internalName="TaxCatchAll" ma:showField="CatchAllData" ma:web="701c1b5e-2c0f-4552-9888-ab5eb645f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A8F43-08C6-466C-B1FA-DEBF8101F149}">
  <ds:schemaRefs>
    <ds:schemaRef ds:uri="http://schemas.microsoft.com/office/2006/metadata/properties"/>
    <ds:schemaRef ds:uri="http://schemas.microsoft.com/office/infopath/2007/PartnerControls"/>
    <ds:schemaRef ds:uri="701c1b5e-2c0f-4552-9888-ab5eb645ff61"/>
    <ds:schemaRef ds:uri="5d39512f-6c52-42b6-82c2-1a77b75a6f77"/>
    <ds:schemaRef ds:uri="http://schemas.microsoft.com/sharepoint/v3"/>
  </ds:schemaRefs>
</ds:datastoreItem>
</file>

<file path=customXml/itemProps2.xml><?xml version="1.0" encoding="utf-8"?>
<ds:datastoreItem xmlns:ds="http://schemas.openxmlformats.org/officeDocument/2006/customXml" ds:itemID="{0772EF62-36DD-4C61-9054-3EEFE26E7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39512f-6c52-42b6-82c2-1a77b75a6f77"/>
    <ds:schemaRef ds:uri="701c1b5e-2c0f-4552-9888-ab5eb645f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99FA5-984D-4DD5-BC6E-D41B1018C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7</Pages>
  <Words>1954</Words>
  <Characters>11141</Characters>
  <Application>Microsoft Office Word</Application>
  <DocSecurity>0</DocSecurity>
  <Lines>179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Bukstein</dc:creator>
  <cp:lastModifiedBy>King, Denise (CMS/OSORA)</cp:lastModifiedBy>
  <cp:revision>4</cp:revision>
  <dcterms:created xsi:type="dcterms:W3CDTF">2025-12-09T18:49:00Z</dcterms:created>
  <dcterms:modified xsi:type="dcterms:W3CDTF">2025-12-17T13:06:00Z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0x010100C32A6EAF671904419C0BB38B8D9A25F2</vt:lpwstr>
  </property>
  <property fmtid="{D5CDD505-2E9C-101B-9397-08002B2CF9AE}" pid="3" name="MediaServiceImageTags">
    <vt:lpwstr/>
  </property>
</Properties>
</file>