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D56CB" w14:paraId="2E2E06EF" w14:textId="77777777">
      <w:pPr>
        <w:spacing w:after="0" w:line="259" w:lineRule="auto"/>
        <w:ind w:left="10" w:right="346"/>
        <w:jc w:val="center"/>
      </w:pPr>
      <w:r>
        <w:rPr>
          <w:b/>
          <w:sz w:val="28"/>
        </w:rPr>
        <w:t xml:space="preserve">Supporting Statement  </w:t>
      </w:r>
    </w:p>
    <w:p w:rsidR="002D56CB" w14:paraId="36CCDB70" w14:textId="77777777">
      <w:pPr>
        <w:spacing w:after="0" w:line="259" w:lineRule="auto"/>
        <w:ind w:left="10" w:right="342"/>
        <w:jc w:val="center"/>
      </w:pPr>
      <w:r>
        <w:rPr>
          <w:b/>
          <w:sz w:val="28"/>
        </w:rPr>
        <w:t xml:space="preserve">Medicare Outpatient Observation Notice (MOON)  </w:t>
      </w:r>
    </w:p>
    <w:p w:rsidR="002D56CB" w14:paraId="6C0B1EA4" w14:textId="77777777">
      <w:pPr>
        <w:spacing w:after="0" w:line="259" w:lineRule="auto"/>
        <w:ind w:left="10" w:right="344"/>
        <w:jc w:val="center"/>
      </w:pPr>
      <w:r>
        <w:rPr>
          <w:b/>
          <w:sz w:val="28"/>
        </w:rPr>
        <w:t xml:space="preserve">(CMS-10611; OMB 0938-1308)  </w:t>
      </w:r>
    </w:p>
    <w:p w:rsidR="002D56CB" w14:paraId="01A37A4F" w14:textId="77777777">
      <w:pPr>
        <w:ind w:left="270" w:right="505"/>
      </w:pPr>
      <w:r>
        <w:t xml:space="preserve">A. BACKGROUND  </w:t>
      </w:r>
    </w:p>
    <w:p w:rsidR="002D56CB" w14:paraId="7797DE92" w14:textId="77777777">
      <w:pPr>
        <w:spacing w:after="0" w:line="259" w:lineRule="auto"/>
        <w:ind w:left="1" w:firstLine="0"/>
        <w:jc w:val="left"/>
      </w:pPr>
      <w:r>
        <w:t xml:space="preserve">  </w:t>
      </w:r>
    </w:p>
    <w:p w:rsidR="002D56CB" w14:paraId="184277E3" w14:textId="77777777">
      <w:pPr>
        <w:ind w:left="270" w:right="805"/>
      </w:pPr>
      <w:r>
        <w:t xml:space="preserve">The Centers for Medicare &amp; Medicaid Services (CMS) requests the extension of the Office of Management and Budget (OMB) currently approved Medicare notice, the Medicare Outpatient Observation Notice (MOON).  </w:t>
      </w:r>
    </w:p>
    <w:p w:rsidR="002D56CB" w14:paraId="48FDED3F" w14:textId="77777777">
      <w:pPr>
        <w:spacing w:after="0" w:line="259" w:lineRule="auto"/>
        <w:ind w:left="1" w:firstLine="0"/>
        <w:jc w:val="left"/>
      </w:pPr>
      <w:r>
        <w:t xml:space="preserve">  </w:t>
      </w:r>
    </w:p>
    <w:p w:rsidR="002D56CB" w14:paraId="5083630D" w14:textId="77777777">
      <w:pPr>
        <w:ind w:left="270" w:right="930"/>
      </w:pPr>
      <w:r>
        <w:t>The MOON</w:t>
      </w:r>
      <w:r>
        <w:t xml:space="preserve"> is a standardized notice delivered to people entitled to Medicare benefits </w:t>
      </w:r>
      <w:r>
        <w:t>under  Title</w:t>
      </w:r>
      <w:r>
        <w:t xml:space="preserve"> XVIII of the Act who receive more than 24 hours of observation services, informing them that their hospital stay is outpatient and not inpatient, and the implications of being </w:t>
      </w:r>
      <w:r>
        <w:t>an outpatient</w:t>
      </w:r>
      <w:r>
        <w:t xml:space="preserve">.  </w:t>
      </w:r>
    </w:p>
    <w:p w:rsidR="002D56CB" w14:paraId="5B7BC968" w14:textId="77777777">
      <w:pPr>
        <w:spacing w:after="0" w:line="259" w:lineRule="auto"/>
        <w:ind w:left="3" w:firstLine="0"/>
        <w:jc w:val="left"/>
      </w:pPr>
      <w:r>
        <w:t xml:space="preserve">  </w:t>
      </w:r>
    </w:p>
    <w:p w:rsidR="002D56CB" w14:paraId="36EA72E6" w14:textId="77777777">
      <w:pPr>
        <w:ind w:left="270" w:right="505"/>
      </w:pPr>
      <w:r>
        <w:t xml:space="preserve">This information collection applies to beneficiaries in Original Medicare and enrollees in Medicare health plans.  </w:t>
      </w:r>
    </w:p>
    <w:p w:rsidR="002D56CB" w14:paraId="5B46AC68" w14:textId="77777777">
      <w:pPr>
        <w:spacing w:after="0" w:line="259" w:lineRule="auto"/>
        <w:ind w:left="3" w:firstLine="0"/>
        <w:jc w:val="left"/>
      </w:pPr>
      <w:r>
        <w:t xml:space="preserve">  </w:t>
      </w:r>
    </w:p>
    <w:p w:rsidR="002D56CB" w14:paraId="4150FD3B" w14:textId="77777777">
      <w:pPr>
        <w:ind w:left="270" w:right="505"/>
      </w:pPr>
      <w:r>
        <w:t xml:space="preserve">For purposes of these provisions:  </w:t>
      </w:r>
    </w:p>
    <w:p w:rsidR="002D56CB" w14:paraId="5B0F860A" w14:textId="77777777">
      <w:pPr>
        <w:spacing w:after="58" w:line="259" w:lineRule="auto"/>
        <w:ind w:left="3" w:firstLine="0"/>
        <w:jc w:val="left"/>
      </w:pPr>
      <w:r>
        <w:t xml:space="preserve">  </w:t>
      </w:r>
    </w:p>
    <w:p w:rsidR="002D56CB" w14:paraId="7D962404" w14:textId="77777777">
      <w:pPr>
        <w:numPr>
          <w:ilvl w:val="0"/>
          <w:numId w:val="1"/>
        </w:numPr>
        <w:spacing w:after="83"/>
        <w:ind w:right="505" w:hanging="355"/>
      </w:pPr>
      <w:r>
        <w:t xml:space="preserve">The term “Medicare health plans” includes Medicare Advantage plans and cost plans, and  </w:t>
      </w:r>
    </w:p>
    <w:p w:rsidR="002D56CB" w14:paraId="03F0AD5C" w14:textId="77777777">
      <w:pPr>
        <w:numPr>
          <w:ilvl w:val="0"/>
          <w:numId w:val="1"/>
        </w:numPr>
        <w:spacing w:after="128"/>
        <w:ind w:right="505" w:hanging="355"/>
      </w:pPr>
      <w:r>
        <w:t xml:space="preserve">“Beneficiaries” refers to Medicare beneficiaries in Original Medicare and “enrollees” refers to Medicare beneficiaries enrolled in Medicare health plans.  </w:t>
      </w:r>
    </w:p>
    <w:p w:rsidR="002D56CB" w14:paraId="4337584C" w14:textId="77777777">
      <w:pPr>
        <w:numPr>
          <w:ilvl w:val="0"/>
          <w:numId w:val="1"/>
        </w:numPr>
        <w:ind w:right="505" w:hanging="355"/>
      </w:pPr>
      <w:r>
        <w:t xml:space="preserve">“Hospitals” refers to hospitals and Critical Access Hospitals (CAHs).  </w:t>
      </w:r>
    </w:p>
    <w:p w:rsidR="002D56CB" w14:paraId="3D432617" w14:textId="77777777">
      <w:pPr>
        <w:spacing w:after="0" w:line="259" w:lineRule="auto"/>
        <w:ind w:left="1" w:firstLine="0"/>
        <w:jc w:val="left"/>
      </w:pPr>
      <w:r>
        <w:t xml:space="preserve">  </w:t>
      </w:r>
    </w:p>
    <w:p w:rsidR="002D56CB" w14:paraId="541908F6" w14:textId="77777777">
      <w:pPr>
        <w:ind w:left="270" w:right="505"/>
      </w:pPr>
      <w:r>
        <w:t xml:space="preserve">We are not making any changes to this package’s requirements or any information collection/reporting instruments or instructions.  </w:t>
      </w:r>
    </w:p>
    <w:p w:rsidR="002D56CB" w14:paraId="5F799F94" w14:textId="77777777">
      <w:pPr>
        <w:spacing w:after="0" w:line="259" w:lineRule="auto"/>
        <w:ind w:left="1" w:firstLine="0"/>
        <w:jc w:val="left"/>
      </w:pPr>
      <w:r>
        <w:t xml:space="preserve">  </w:t>
      </w:r>
    </w:p>
    <w:p w:rsidR="002D56CB" w14:paraId="57EBE547" w14:textId="77777777">
      <w:pPr>
        <w:ind w:left="270" w:right="505"/>
      </w:pPr>
      <w:r>
        <w:t xml:space="preserve">We are proposing several changes that have no impact on our requirements or burden estimates.  </w:t>
      </w:r>
    </w:p>
    <w:p w:rsidR="002D56CB" w14:paraId="0FC7BFF2" w14:textId="77777777">
      <w:pPr>
        <w:ind w:left="270" w:right="505"/>
      </w:pPr>
      <w:r>
        <w:t xml:space="preserve">The CMS Office of Communications (OC) streamlined all sections of the form, updating the layout and wording using plain language to comport with research and current practices. These changes do not impact or change the information being collected, or the currently approved per response estimates, but the total burden estimates have been updated with more recent annual response data. Our currently approved per response estimates are unchanged. The changes made to this form were completed by the CMS OC to promote plain language </w:t>
      </w:r>
      <w:r>
        <w:t>in order to</w:t>
      </w:r>
      <w:r>
        <w:t xml:space="preserve"> increase accessibility and reduce health disparities. OC supplied the following information on how their design and language decisions used in this form are research-based:  </w:t>
      </w:r>
    </w:p>
    <w:p w:rsidR="002D56CB" w14:paraId="7D1B50A5" w14:textId="77777777">
      <w:pPr>
        <w:spacing w:after="0" w:line="259" w:lineRule="auto"/>
        <w:ind w:left="1" w:firstLine="0"/>
        <w:jc w:val="left"/>
      </w:pPr>
      <w:r>
        <w:t xml:space="preserve">  </w:t>
      </w:r>
    </w:p>
    <w:p w:rsidR="002D56CB" w14:paraId="1BF1D0D1" w14:textId="77777777">
      <w:pPr>
        <w:ind w:left="265" w:right="496"/>
      </w:pPr>
      <w:r>
        <w:rPr>
          <w:i/>
        </w:rPr>
        <w:t xml:space="preserve">The Office of Communications recommendations are soundly based on research-based best practices in plain language and information design. Along with decades of research in cognitive science and behavioral economics, we draw from a wealth of research data specific to CMS programs. We’ve been conducting consumer research with patients, caregivers, providers and partners who interact with CMS programs for more than 20 years, and we use feedback from this research to make sure our information and products are clear and easy to use. Consumer testing is ongoing, and we iteratively refine language and design standards as our audiences and their information needs evolve. We work to apply the same research-based </w:t>
      </w:r>
      <w:r>
        <w:t xml:space="preserve"> </w:t>
      </w:r>
    </w:p>
    <w:p w:rsidR="002D56CB" w14:paraId="26E4939B" w14:textId="77777777">
      <w:pPr>
        <w:ind w:left="265" w:right="496"/>
      </w:pPr>
      <w:r>
        <w:rPr>
          <w:i/>
        </w:rPr>
        <w:t xml:space="preserve">standards across all products and channels to make sure our language, messaging and branding </w:t>
      </w:r>
    </w:p>
    <w:p w:rsidR="002D56CB" w14:paraId="29FF6532" w14:textId="77777777">
      <w:pPr>
        <w:ind w:left="265" w:right="496"/>
      </w:pPr>
      <w:r>
        <w:rPr>
          <w:i/>
        </w:rPr>
        <w:t>are consistent</w:t>
      </w:r>
      <w:r>
        <w:t xml:space="preserve">.  </w:t>
      </w:r>
    </w:p>
    <w:p w:rsidR="002D56CB" w14:paraId="45D9F85E" w14:textId="77777777">
      <w:pPr>
        <w:spacing w:after="0" w:line="259" w:lineRule="auto"/>
        <w:ind w:left="3" w:firstLine="0"/>
        <w:jc w:val="left"/>
      </w:pPr>
      <w:r>
        <w:t xml:space="preserve">  </w:t>
      </w:r>
    </w:p>
    <w:p w:rsidR="002D56CB" w14:paraId="561A19BF" w14:textId="77777777">
      <w:pPr>
        <w:ind w:left="270" w:right="505"/>
      </w:pPr>
      <w:r>
        <w:t xml:space="preserve">B. JUSTIFICATION  </w:t>
      </w:r>
    </w:p>
    <w:p w:rsidR="002D56CB" w14:paraId="425A87EF" w14:textId="77777777">
      <w:pPr>
        <w:spacing w:after="0" w:line="259" w:lineRule="auto"/>
        <w:ind w:left="3" w:firstLine="0"/>
        <w:jc w:val="left"/>
      </w:pPr>
      <w:r>
        <w:t xml:space="preserve">  </w:t>
      </w:r>
    </w:p>
    <w:p w:rsidR="002D56CB" w14:paraId="261DA39C" w14:textId="77777777">
      <w:pPr>
        <w:numPr>
          <w:ilvl w:val="0"/>
          <w:numId w:val="2"/>
        </w:numPr>
        <w:ind w:right="505" w:hanging="367"/>
      </w:pPr>
      <w:r>
        <w:t xml:space="preserve">NEED AND LEGAL BASIS  </w:t>
      </w:r>
    </w:p>
    <w:p w:rsidR="002D56CB" w14:paraId="5A1A4B99" w14:textId="77777777">
      <w:pPr>
        <w:spacing w:after="0" w:line="259" w:lineRule="auto"/>
        <w:ind w:left="4" w:firstLine="0"/>
        <w:jc w:val="left"/>
      </w:pPr>
      <w:r>
        <w:t xml:space="preserve">  </w:t>
      </w:r>
    </w:p>
    <w:p w:rsidR="002D56CB" w14:paraId="3DD301B3" w14:textId="77777777">
      <w:pPr>
        <w:ind w:left="270" w:right="505"/>
      </w:pPr>
      <w:r>
        <w:t xml:space="preserve">On August 6, 2015, Congress enacted the Notice of Observation Treatment and Implication for Care Eligibility Act (NOTICE Act) Public Law 114-42, amending Section 1866(a)(1) of the Social Security Act (the Act) (42 U.S.C. 1395cc(a)(1)), by adding a new subparagraph (Y). The NOTICE  </w:t>
      </w:r>
    </w:p>
    <w:p w:rsidR="002D56CB" w14:paraId="62F5170D" w14:textId="77777777">
      <w:pPr>
        <w:ind w:left="270" w:right="505"/>
      </w:pPr>
      <w:r>
        <w:t xml:space="preserve">Act requires hospitals and CAHs to provide written notification and oral explanation to individuals who receive observation services as outpatients for more than 24 hours. The process for delivery of this notice was addressed in rulemaking, including a final rule, CMS1655-F (81 FR 56761, 57037 through 57052, August 22, 2016), effective October 1, 2016. The resulting regulations are located at 42 CFR Part 489.20(y).  </w:t>
      </w:r>
    </w:p>
    <w:p w:rsidR="002D56CB" w14:paraId="6F82448E" w14:textId="77777777">
      <w:pPr>
        <w:spacing w:after="0" w:line="259" w:lineRule="auto"/>
        <w:ind w:left="4" w:firstLine="0"/>
        <w:jc w:val="left"/>
      </w:pPr>
      <w:r>
        <w:t xml:space="preserve">  </w:t>
      </w:r>
    </w:p>
    <w:p w:rsidR="002D56CB" w14:paraId="738CFEEF" w14:textId="77777777">
      <w:pPr>
        <w:spacing w:after="68"/>
        <w:ind w:left="270" w:right="505"/>
      </w:pPr>
      <w:r>
        <w:t xml:space="preserve">The Medicare Outpatient Observation Notice (MOON) serves as the written notice component of this mandatory notification process. The standardized content of the MOON includes all informational elements required by statute, in language understandable to beneficiaries, and fulfils the regulatory requirements at 42 CFR Part 489.20(y).  </w:t>
      </w:r>
    </w:p>
    <w:p w:rsidR="002D56CB" w14:paraId="031D00B4" w14:textId="77777777">
      <w:pPr>
        <w:spacing w:after="0" w:line="259" w:lineRule="auto"/>
        <w:ind w:left="6" w:firstLine="0"/>
        <w:jc w:val="left"/>
      </w:pPr>
      <w:r>
        <w:t xml:space="preserve">  </w:t>
      </w:r>
    </w:p>
    <w:p w:rsidR="002D56CB" w14:paraId="0AB09FD5" w14:textId="77777777">
      <w:pPr>
        <w:numPr>
          <w:ilvl w:val="0"/>
          <w:numId w:val="2"/>
        </w:numPr>
        <w:ind w:right="505" w:hanging="367"/>
      </w:pPr>
      <w:r>
        <w:t xml:space="preserve">INFORMATION USERS  </w:t>
      </w:r>
    </w:p>
    <w:p w:rsidR="002D56CB" w14:paraId="34F068D4" w14:textId="77777777">
      <w:pPr>
        <w:spacing w:after="0" w:line="259" w:lineRule="auto"/>
        <w:ind w:left="6" w:firstLine="0"/>
        <w:jc w:val="left"/>
      </w:pPr>
      <w:r>
        <w:t xml:space="preserve">  </w:t>
      </w:r>
    </w:p>
    <w:p w:rsidR="002D56CB" w14:paraId="05F24B33" w14:textId="77777777">
      <w:pPr>
        <w:spacing w:after="32" w:line="243" w:lineRule="auto"/>
        <w:ind w:left="236" w:right="551" w:hanging="11"/>
        <w:jc w:val="left"/>
      </w:pPr>
      <w:r>
        <w:t>The MOON</w:t>
      </w:r>
      <w:r>
        <w:t xml:space="preserve"> is used to inform Medicare beneficiaries (including Medicare Advantage health plan enrollees) that they are outpatients receiving observation services and are not inpatients of a hospital or CAH.  </w:t>
      </w:r>
    </w:p>
    <w:p w:rsidR="002D56CB" w14:paraId="3B3BA4FA" w14:textId="77777777">
      <w:pPr>
        <w:spacing w:after="0" w:line="259" w:lineRule="auto"/>
        <w:ind w:left="3" w:firstLine="0"/>
        <w:jc w:val="left"/>
      </w:pPr>
      <w:r>
        <w:t xml:space="preserve">  </w:t>
      </w:r>
    </w:p>
    <w:p w:rsidR="002D56CB" w14:paraId="7A34EAEA" w14:textId="77777777">
      <w:pPr>
        <w:ind w:left="270" w:right="505"/>
      </w:pPr>
      <w:r>
        <w:t xml:space="preserve">The MOON is not given every time items and services are furnished in a hospital or CAH. Rather, hospitals are only required to deliver the MOON to individuals receiving observation services as outpatients for more than 24 hours.  </w:t>
      </w:r>
    </w:p>
    <w:p w:rsidR="002D56CB" w14:paraId="5B24FE4E" w14:textId="77777777">
      <w:pPr>
        <w:spacing w:after="0" w:line="259" w:lineRule="auto"/>
        <w:ind w:left="3" w:firstLine="0"/>
        <w:jc w:val="left"/>
      </w:pPr>
      <w:r>
        <w:t xml:space="preserve">  </w:t>
      </w:r>
    </w:p>
    <w:p w:rsidR="002D56CB" w14:paraId="353CD45F" w14:textId="77777777">
      <w:pPr>
        <w:ind w:left="270" w:right="1153"/>
      </w:pPr>
      <w:r>
        <w:t xml:space="preserve">Based on CMS statistics for 2023, we estimate the number of hospitals and CAHs delivering the MOON to be 5,817, delivering approximately 2,073,991 notices (source: CMS Office of Enterprise and Data Analytics Information Policy &amp; Analytics Group).  </w:t>
      </w:r>
    </w:p>
    <w:p w:rsidR="002D56CB" w14:paraId="79AC18C6" w14:textId="77777777">
      <w:pPr>
        <w:spacing w:after="0" w:line="259" w:lineRule="auto"/>
        <w:ind w:left="3" w:firstLine="0"/>
        <w:jc w:val="left"/>
      </w:pPr>
      <w:r>
        <w:t xml:space="preserve">  </w:t>
      </w:r>
    </w:p>
    <w:p w:rsidR="002D56CB" w14:paraId="5A3F6315" w14:textId="77777777">
      <w:pPr>
        <w:numPr>
          <w:ilvl w:val="0"/>
          <w:numId w:val="2"/>
        </w:numPr>
        <w:ind w:right="505" w:hanging="367"/>
      </w:pPr>
      <w:r>
        <w:t xml:space="preserve">IMPROVED INFORMATION TECHNOLOGY  </w:t>
      </w:r>
    </w:p>
    <w:p w:rsidR="002D56CB" w14:paraId="4CC8FFE9" w14:textId="77777777">
      <w:pPr>
        <w:spacing w:after="0" w:line="259" w:lineRule="auto"/>
        <w:ind w:left="3" w:firstLine="0"/>
        <w:jc w:val="left"/>
      </w:pPr>
      <w:r>
        <w:t xml:space="preserve">  </w:t>
      </w:r>
    </w:p>
    <w:p w:rsidR="002D56CB" w14:paraId="560E5AF8" w14:textId="77777777">
      <w:pPr>
        <w:ind w:left="270" w:right="505"/>
      </w:pPr>
      <w:r>
        <w:t xml:space="preserve">Hospitals must deliver a hard copy of the MOON to beneficiaries and enrollees or their representatives. Hospitals must retain a copy of the signed MOON and may store the MOON electronically if electronic medical records are maintained.  </w:t>
      </w:r>
    </w:p>
    <w:p w:rsidR="002D56CB" w14:paraId="7FC4C750" w14:textId="77777777">
      <w:pPr>
        <w:spacing w:after="0" w:line="259" w:lineRule="auto"/>
        <w:ind w:left="3" w:firstLine="0"/>
        <w:jc w:val="left"/>
      </w:pPr>
      <w:r>
        <w:t xml:space="preserve">  </w:t>
      </w:r>
    </w:p>
    <w:p w:rsidR="002D56CB" w14:paraId="3B1F457E" w14:textId="77777777">
      <w:pPr>
        <w:ind w:left="270" w:right="505"/>
      </w:pPr>
      <w:r>
        <w:t xml:space="preserve">If a hospital elects to issue a MOON that is viewed on an electronic screen before signing, the beneficiary must be given the option of requesting paper rather than electronic issuance if that is what the beneficiary prefers. Regardless of whether a paper or electronic version is issued, and whether the signature is digitally captured or manually penned, the beneficiary must be given a paper copy of the signed MOON.  </w:t>
      </w:r>
    </w:p>
    <w:p w:rsidR="002D56CB" w14:paraId="39B9CF50" w14:textId="77777777">
      <w:pPr>
        <w:ind w:left="270" w:right="1773"/>
      </w:pPr>
      <w:r>
        <w:t xml:space="preserve">In cases where the beneficiary has a representative who is not physically present, hospitals are permitted to give the MOON by telephone </w:t>
      </w:r>
      <w:r>
        <w:t>as long as</w:t>
      </w:r>
      <w:r>
        <w:t xml:space="preserve"> a hard copy is delivered to the representative.  </w:t>
      </w:r>
    </w:p>
    <w:p w:rsidR="002D56CB" w14:paraId="2852F00E" w14:textId="77777777">
      <w:pPr>
        <w:spacing w:after="0" w:line="259" w:lineRule="auto"/>
        <w:ind w:left="0" w:firstLine="0"/>
        <w:jc w:val="left"/>
      </w:pPr>
      <w:r>
        <w:t xml:space="preserve">  </w:t>
      </w:r>
    </w:p>
    <w:p w:rsidR="002D56CB" w14:paraId="10D00136" w14:textId="77777777">
      <w:pPr>
        <w:numPr>
          <w:ilvl w:val="0"/>
          <w:numId w:val="2"/>
        </w:numPr>
        <w:ind w:right="505" w:hanging="367"/>
      </w:pPr>
      <w:r>
        <w:t xml:space="preserve">DUPLICATION OF SIMILAR INFORMATION  </w:t>
      </w:r>
    </w:p>
    <w:p w:rsidR="002D56CB" w14:paraId="16CB29F8" w14:textId="77777777">
      <w:pPr>
        <w:spacing w:after="0" w:line="259" w:lineRule="auto"/>
        <w:ind w:left="0" w:firstLine="0"/>
        <w:jc w:val="left"/>
      </w:pPr>
      <w:r>
        <w:t xml:space="preserve">  </w:t>
      </w:r>
    </w:p>
    <w:p w:rsidR="002D56CB" w14:paraId="0B15CF29" w14:textId="77777777">
      <w:pPr>
        <w:ind w:left="270" w:right="505"/>
      </w:pPr>
      <w:r>
        <w:t xml:space="preserve">The information given to Medicare patients in this notice is unique and does not duplicate any other effort.  </w:t>
      </w:r>
    </w:p>
    <w:p w:rsidR="002D56CB" w14:paraId="5EB916FC" w14:textId="77777777">
      <w:pPr>
        <w:spacing w:after="0" w:line="259" w:lineRule="auto"/>
        <w:ind w:left="0" w:firstLine="0"/>
        <w:jc w:val="left"/>
      </w:pPr>
      <w:r>
        <w:t xml:space="preserve">  </w:t>
      </w:r>
    </w:p>
    <w:p w:rsidR="002D56CB" w14:paraId="7DB39922" w14:textId="77777777">
      <w:pPr>
        <w:numPr>
          <w:ilvl w:val="0"/>
          <w:numId w:val="2"/>
        </w:numPr>
        <w:ind w:right="505" w:hanging="367"/>
      </w:pPr>
      <w:r>
        <w:t xml:space="preserve">SMALL BUSINESS  </w:t>
      </w:r>
    </w:p>
    <w:p w:rsidR="002D56CB" w14:paraId="6E06BA84" w14:textId="77777777">
      <w:pPr>
        <w:spacing w:after="0" w:line="259" w:lineRule="auto"/>
        <w:ind w:left="0" w:firstLine="0"/>
        <w:jc w:val="left"/>
      </w:pPr>
      <w:r>
        <w:t xml:space="preserve">  </w:t>
      </w:r>
    </w:p>
    <w:p w:rsidR="002D56CB" w14:paraId="132E3BE3" w14:textId="77777777">
      <w:pPr>
        <w:ind w:left="270" w:right="505"/>
      </w:pPr>
      <w:r>
        <w:t xml:space="preserve">All hospitals are expected to give the MOON in relevant situations. The requirement does not impose any greater burden on small businesses than on large businesses since there is no difference in the information collected.  </w:t>
      </w:r>
    </w:p>
    <w:p w:rsidR="002D56CB" w14:paraId="6FBC3686" w14:textId="77777777">
      <w:pPr>
        <w:spacing w:after="0" w:line="259" w:lineRule="auto"/>
        <w:ind w:left="1" w:firstLine="0"/>
        <w:jc w:val="left"/>
      </w:pPr>
      <w:r>
        <w:t xml:space="preserve">  </w:t>
      </w:r>
    </w:p>
    <w:p w:rsidR="002D56CB" w14:paraId="2284A253" w14:textId="77777777">
      <w:pPr>
        <w:numPr>
          <w:ilvl w:val="0"/>
          <w:numId w:val="2"/>
        </w:numPr>
        <w:ind w:right="505" w:hanging="367"/>
      </w:pPr>
      <w:r>
        <w:t xml:space="preserve">LESS FREQUENT COLLECTION  </w:t>
      </w:r>
    </w:p>
    <w:p w:rsidR="002D56CB" w14:paraId="55541681" w14:textId="77777777">
      <w:pPr>
        <w:spacing w:after="0" w:line="259" w:lineRule="auto"/>
        <w:ind w:left="1" w:firstLine="0"/>
        <w:jc w:val="left"/>
      </w:pPr>
      <w:r>
        <w:t xml:space="preserve">  </w:t>
      </w:r>
    </w:p>
    <w:p w:rsidR="002D56CB" w14:paraId="15F0303A" w14:textId="77777777">
      <w:pPr>
        <w:ind w:left="270" w:right="505"/>
      </w:pPr>
      <w:r>
        <w:t xml:space="preserve">The MOON is given as often as required by law, described under item number 2, above. If this information is provided less frequently or not provided at all, Medicare beneficiaries won’t be informed that their hospital stay is outpatient and not inpatient and the implications of being an outpatient.  </w:t>
      </w:r>
    </w:p>
    <w:p w:rsidR="002D56CB" w14:paraId="3A76E0FC" w14:textId="77777777">
      <w:pPr>
        <w:spacing w:after="3" w:line="259" w:lineRule="auto"/>
        <w:ind w:left="265" w:firstLine="0"/>
        <w:jc w:val="left"/>
      </w:pPr>
      <w:r>
        <w:t xml:space="preserve">  </w:t>
      </w:r>
    </w:p>
    <w:p w:rsidR="002D56CB" w14:paraId="7DA1FB0F" w14:textId="77777777">
      <w:pPr>
        <w:numPr>
          <w:ilvl w:val="0"/>
          <w:numId w:val="2"/>
        </w:numPr>
        <w:ind w:right="505" w:hanging="367"/>
      </w:pPr>
      <w:r>
        <w:t xml:space="preserve">SPECIAL CIRCUMSTANCES  </w:t>
      </w:r>
    </w:p>
    <w:p w:rsidR="002D56CB" w14:paraId="4A2974A5" w14:textId="77777777">
      <w:pPr>
        <w:spacing w:after="10" w:line="259" w:lineRule="auto"/>
        <w:ind w:left="289" w:firstLine="0"/>
        <w:jc w:val="left"/>
      </w:pPr>
      <w:r>
        <w:t xml:space="preserve"> </w:t>
      </w:r>
    </w:p>
    <w:p w:rsidR="002D56CB" w14:paraId="336CC412" w14:textId="77777777">
      <w:pPr>
        <w:spacing w:after="322"/>
        <w:ind w:left="270" w:right="505"/>
      </w:pPr>
      <w:r>
        <w:t xml:space="preserve">There are no special circumstances that would require an information collection to be conducted in a manner that requires respondents to:  </w:t>
      </w:r>
    </w:p>
    <w:p w:rsidR="002D56CB" w14:paraId="6EAAB01E" w14:textId="77777777">
      <w:pPr>
        <w:numPr>
          <w:ilvl w:val="1"/>
          <w:numId w:val="2"/>
        </w:numPr>
        <w:spacing w:after="178"/>
        <w:ind w:right="505" w:hanging="720"/>
      </w:pPr>
      <w:r>
        <w:t xml:space="preserve">Report information to the agency more often than </w:t>
      </w:r>
      <w:r>
        <w:t>quarterly;</w:t>
      </w:r>
      <w:r>
        <w:t xml:space="preserve">  </w:t>
      </w:r>
    </w:p>
    <w:p w:rsidR="002D56CB" w14:paraId="253356FA" w14:textId="77777777">
      <w:pPr>
        <w:numPr>
          <w:ilvl w:val="1"/>
          <w:numId w:val="2"/>
        </w:numPr>
        <w:spacing w:after="127" w:line="330" w:lineRule="auto"/>
        <w:ind w:right="505" w:hanging="720"/>
      </w:pPr>
      <w:r>
        <w:t xml:space="preserve">Prepare a written response to a collection of information in fewer than 30 </w:t>
      </w:r>
      <w:r>
        <w:t>days  after</w:t>
      </w:r>
      <w:r>
        <w:t xml:space="preserve"> receipt of </w:t>
      </w:r>
      <w:r>
        <w:t>it;</w:t>
      </w:r>
      <w:r>
        <w:t xml:space="preserve">  </w:t>
      </w:r>
    </w:p>
    <w:p w:rsidR="002D56CB" w14:paraId="3D9C73D6" w14:textId="77777777">
      <w:pPr>
        <w:numPr>
          <w:ilvl w:val="1"/>
          <w:numId w:val="2"/>
        </w:numPr>
        <w:spacing w:after="157"/>
        <w:ind w:right="505" w:hanging="720"/>
      </w:pPr>
      <w:r>
        <w:t xml:space="preserve">Submit more than an original and two copies of any </w:t>
      </w:r>
      <w:r>
        <w:t>document;</w:t>
      </w:r>
      <w:r>
        <w:t xml:space="preserve">  </w:t>
      </w:r>
    </w:p>
    <w:p w:rsidR="002D56CB" w14:paraId="3614A95E" w14:textId="77777777">
      <w:pPr>
        <w:numPr>
          <w:ilvl w:val="1"/>
          <w:numId w:val="2"/>
        </w:numPr>
        <w:spacing w:after="51" w:line="348" w:lineRule="auto"/>
        <w:ind w:right="505" w:hanging="720"/>
      </w:pPr>
      <w:r>
        <w:t xml:space="preserve">Retain records, other than health, medical, government contract, grant-in-aid, or tax records for more than three </w:t>
      </w:r>
      <w:r>
        <w:t>years;</w:t>
      </w:r>
      <w:r>
        <w:t xml:space="preserve">  </w:t>
      </w:r>
    </w:p>
    <w:p w:rsidR="002D56CB" w14:paraId="51B23FB5" w14:textId="77777777">
      <w:pPr>
        <w:numPr>
          <w:ilvl w:val="1"/>
          <w:numId w:val="2"/>
        </w:numPr>
        <w:spacing w:after="121" w:line="338" w:lineRule="auto"/>
        <w:ind w:right="505" w:hanging="720"/>
      </w:pPr>
      <w:r>
        <w:t xml:space="preserve">Collect data in connection with a statistical survey that is not designed to produce valid and reliable results that can be generalized to the universe of study,  </w:t>
      </w:r>
    </w:p>
    <w:p w:rsidR="002D56CB" w14:paraId="3E42E450" w14:textId="77777777">
      <w:pPr>
        <w:numPr>
          <w:ilvl w:val="1"/>
          <w:numId w:val="2"/>
        </w:numPr>
        <w:spacing w:after="43" w:line="355" w:lineRule="auto"/>
        <w:ind w:right="505" w:hanging="720"/>
      </w:pPr>
      <w:r>
        <w:t xml:space="preserve">Use a statistical data classification that has not been reviewed and approved by </w:t>
      </w:r>
      <w:r>
        <w:t>OMB;</w:t>
      </w:r>
      <w:r>
        <w:t xml:space="preserve">  </w:t>
      </w:r>
    </w:p>
    <w:p w:rsidR="002D56CB" w14:paraId="273D9792" w14:textId="77777777">
      <w:pPr>
        <w:numPr>
          <w:ilvl w:val="1"/>
          <w:numId w:val="2"/>
        </w:numPr>
        <w:spacing w:after="52" w:line="347" w:lineRule="auto"/>
        <w:ind w:right="505" w:hanging="72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D56CB" w14:paraId="00EC92F6" w14:textId="77777777">
      <w:pPr>
        <w:numPr>
          <w:ilvl w:val="1"/>
          <w:numId w:val="2"/>
        </w:numPr>
        <w:spacing w:line="345" w:lineRule="auto"/>
        <w:ind w:right="505" w:hanging="720"/>
      </w:pPr>
      <w:r>
        <w:t xml:space="preserve">Submit proprietary trade secrets, or other confidential information unless the </w:t>
      </w:r>
      <w:r>
        <w:t>agency can</w:t>
      </w:r>
      <w:r>
        <w:t xml:space="preserve"> demonstrate that it has instituted procedures to protect the information's confidentiality to the extent permitted by law.  </w:t>
      </w:r>
    </w:p>
    <w:p w:rsidR="002D56CB" w14:paraId="0ECE8F75" w14:textId="77777777">
      <w:pPr>
        <w:spacing w:after="113" w:line="259" w:lineRule="auto"/>
        <w:ind w:left="289" w:firstLine="0"/>
        <w:jc w:val="left"/>
      </w:pPr>
      <w:r>
        <w:t xml:space="preserve"> </w:t>
      </w:r>
    </w:p>
    <w:p w:rsidR="002D56CB" w14:paraId="256235CD" w14:textId="77777777">
      <w:pPr>
        <w:numPr>
          <w:ilvl w:val="0"/>
          <w:numId w:val="2"/>
        </w:numPr>
        <w:ind w:right="505" w:hanging="367"/>
      </w:pPr>
      <w:r>
        <w:t xml:space="preserve">FEDERAL REGISTER NOTICE/OUTSIDE CONSULTATION  </w:t>
      </w:r>
    </w:p>
    <w:p w:rsidR="002D56CB" w14:paraId="43B6C497" w14:textId="77777777">
      <w:pPr>
        <w:spacing w:after="0" w:line="259" w:lineRule="auto"/>
        <w:ind w:left="1" w:firstLine="0"/>
        <w:jc w:val="left"/>
      </w:pPr>
      <w:r>
        <w:t xml:space="preserve">  </w:t>
      </w:r>
    </w:p>
    <w:p w:rsidR="002D56CB" w14:paraId="55A09F25" w14:textId="77777777">
      <w:pPr>
        <w:spacing w:after="181"/>
        <w:ind w:left="647" w:right="505"/>
      </w:pPr>
      <w:r>
        <w:t xml:space="preserve">The 60-day notice published in the Federal Register on 9/24/2025 (90 FR 45939). CMS received one comment during the 60-day public comment period. No substantiative changes were made to the form or the form instructions. </w:t>
      </w:r>
    </w:p>
    <w:p w:rsidR="007B1AAE" w:rsidP="007B1AAE" w14:paraId="42D2415B" w14:textId="77777777">
      <w:pPr>
        <w:spacing w:after="181"/>
        <w:ind w:left="647" w:right="505"/>
      </w:pPr>
      <w:r>
        <w:t xml:space="preserve">The 30-day notice </w:t>
      </w:r>
      <w:r>
        <w:t>published</w:t>
      </w:r>
      <w:r>
        <w:t xml:space="preserve"> in the Federal Register on </w:t>
      </w:r>
      <w:r w:rsidR="00D25E7C">
        <w:t>12/08/2025</w:t>
      </w:r>
      <w:r>
        <w:t xml:space="preserve"> (</w:t>
      </w:r>
      <w:r w:rsidRPr="00D25E7C" w:rsidR="00D25E7C">
        <w:t>90 FR 56763</w:t>
      </w:r>
      <w:r>
        <w:t>)</w:t>
      </w:r>
      <w:r w:rsidR="0046723E">
        <w:t xml:space="preserve">.  CMS received two comments during the 30-day public comment period.  </w:t>
      </w:r>
      <w:r>
        <w:t xml:space="preserve">No substantiative changes were made to the form or the form instructions. </w:t>
      </w:r>
    </w:p>
    <w:p w:rsidR="00DD4B62" w:rsidRPr="00DD4B62" w:rsidP="007B1AAE" w14:paraId="77F064B7" w14:textId="17221914">
      <w:pPr>
        <w:spacing w:after="179"/>
        <w:ind w:left="627" w:right="505" w:firstLine="0"/>
      </w:pPr>
      <w:r w:rsidRPr="00DD4B62">
        <w:t xml:space="preserve">You can find information concerning this Information Collection Request (ICR) package on RegInfo.gov and Regulations.gov.   </w:t>
      </w:r>
    </w:p>
    <w:p w:rsidR="002D56CB" w:rsidP="00DD4B62" w14:paraId="20B0DC63" w14:textId="42AA9354">
      <w:pPr>
        <w:spacing w:after="0" w:line="259" w:lineRule="auto"/>
        <w:ind w:left="0" w:firstLine="0"/>
        <w:jc w:val="left"/>
      </w:pPr>
    </w:p>
    <w:p w:rsidR="002D56CB" w14:paraId="3C037E0F" w14:textId="77777777">
      <w:pPr>
        <w:spacing w:after="0" w:line="259" w:lineRule="auto"/>
        <w:ind w:left="1" w:firstLine="0"/>
        <w:jc w:val="left"/>
      </w:pPr>
      <w:r>
        <w:t xml:space="preserve">  </w:t>
      </w:r>
    </w:p>
    <w:p w:rsidR="002D56CB" w14:paraId="6D07D2D9" w14:textId="77777777">
      <w:pPr>
        <w:numPr>
          <w:ilvl w:val="0"/>
          <w:numId w:val="2"/>
        </w:numPr>
        <w:ind w:right="505" w:hanging="367"/>
      </w:pPr>
      <w:r>
        <w:t xml:space="preserve">PAYMENT/ GIFT TO RESPONDENT  </w:t>
      </w:r>
    </w:p>
    <w:p w:rsidR="002D56CB" w14:paraId="6030C105" w14:textId="77777777">
      <w:pPr>
        <w:spacing w:after="0" w:line="259" w:lineRule="auto"/>
        <w:ind w:left="1" w:firstLine="0"/>
        <w:jc w:val="left"/>
      </w:pPr>
      <w:r>
        <w:t xml:space="preserve">  </w:t>
      </w:r>
    </w:p>
    <w:p w:rsidR="002D56CB" w14:paraId="4969D620" w14:textId="77777777">
      <w:pPr>
        <w:spacing w:after="2" w:line="243" w:lineRule="auto"/>
        <w:ind w:left="236" w:right="551" w:hanging="11"/>
        <w:jc w:val="left"/>
      </w:pPr>
      <w:r>
        <w:t xml:space="preserve">No payment or gifts are provided to the respondents for their participation. </w:t>
      </w:r>
      <w:r>
        <w:t>The MOON</w:t>
      </w:r>
      <w:r>
        <w:t xml:space="preserve"> is used to inform Medicare beneficiaries (including Medicare Advantage health plan enrollees) that they are outpatients receiving observation services and are not inpatients of a hospital or CAH.  </w:t>
      </w:r>
    </w:p>
    <w:p w:rsidR="002D56CB" w14:paraId="7C486662" w14:textId="77777777">
      <w:pPr>
        <w:spacing w:after="39" w:line="259" w:lineRule="auto"/>
        <w:ind w:left="289" w:firstLine="0"/>
        <w:jc w:val="left"/>
      </w:pPr>
      <w:r>
        <w:t xml:space="preserve">  </w:t>
      </w:r>
    </w:p>
    <w:p w:rsidR="002D56CB" w14:paraId="008CB8DD" w14:textId="77777777">
      <w:pPr>
        <w:numPr>
          <w:ilvl w:val="0"/>
          <w:numId w:val="2"/>
        </w:numPr>
        <w:ind w:right="505" w:hanging="367"/>
      </w:pPr>
      <w:r>
        <w:t xml:space="preserve">CONFIDENTIALITY  </w:t>
      </w:r>
    </w:p>
    <w:p w:rsidR="002D56CB" w14:paraId="319CA21F" w14:textId="77777777">
      <w:pPr>
        <w:spacing w:after="0" w:line="259" w:lineRule="auto"/>
        <w:ind w:left="1" w:firstLine="0"/>
        <w:jc w:val="left"/>
      </w:pPr>
      <w:r>
        <w:t xml:space="preserve">  </w:t>
      </w:r>
    </w:p>
    <w:p w:rsidR="002D56CB" w14:paraId="61043CB4" w14:textId="77777777">
      <w:pPr>
        <w:ind w:left="270" w:right="742"/>
      </w:pPr>
      <w:r>
        <w:t xml:space="preserve">We do not pledge confidentiality, as we are not collecting information. The provider will maintain records of notices and decisions, but those records do not become part of a federal system of records.  </w:t>
      </w:r>
    </w:p>
    <w:p w:rsidR="002D56CB" w14:paraId="7A99A8A1" w14:textId="77777777">
      <w:pPr>
        <w:spacing w:after="0" w:line="259" w:lineRule="auto"/>
        <w:ind w:left="1" w:firstLine="0"/>
        <w:jc w:val="left"/>
      </w:pPr>
      <w:r>
        <w:t xml:space="preserve">  </w:t>
      </w:r>
    </w:p>
    <w:p w:rsidR="002D56CB" w14:paraId="73E72BE9" w14:textId="77777777">
      <w:pPr>
        <w:numPr>
          <w:ilvl w:val="0"/>
          <w:numId w:val="2"/>
        </w:numPr>
        <w:ind w:right="505" w:hanging="367"/>
      </w:pPr>
      <w:r>
        <w:t xml:space="preserve">SENSITIVE QUESTIONS  </w:t>
      </w:r>
    </w:p>
    <w:p w:rsidR="002D56CB" w14:paraId="068C7A91" w14:textId="77777777">
      <w:pPr>
        <w:spacing w:after="0" w:line="259" w:lineRule="auto"/>
        <w:ind w:left="3" w:firstLine="0"/>
        <w:jc w:val="left"/>
      </w:pPr>
      <w:r>
        <w:t xml:space="preserve">  </w:t>
      </w:r>
    </w:p>
    <w:p w:rsidR="002D56CB" w14:paraId="5646B5F6" w14:textId="77777777">
      <w:pPr>
        <w:ind w:left="270" w:right="505"/>
      </w:pPr>
      <w:r>
        <w:t xml:space="preserve">We do not require beneficiaries to answer any sensitive questions.  </w:t>
      </w:r>
    </w:p>
    <w:p w:rsidR="002D56CB" w14:paraId="71BF7B6D" w14:textId="77777777">
      <w:pPr>
        <w:spacing w:after="0" w:line="259" w:lineRule="auto"/>
        <w:ind w:left="3" w:firstLine="0"/>
        <w:jc w:val="left"/>
      </w:pPr>
      <w:r>
        <w:t xml:space="preserve">  </w:t>
      </w:r>
    </w:p>
    <w:p w:rsidR="002D56CB" w14:paraId="59EEF55D" w14:textId="77777777">
      <w:pPr>
        <w:numPr>
          <w:ilvl w:val="0"/>
          <w:numId w:val="2"/>
        </w:numPr>
        <w:ind w:right="505" w:hanging="367"/>
      </w:pPr>
      <w:r>
        <w:t xml:space="preserve">BURDEN ESTIMATES  </w:t>
      </w:r>
    </w:p>
    <w:p w:rsidR="002D56CB" w14:paraId="3F47D8DC" w14:textId="77777777">
      <w:pPr>
        <w:spacing w:after="0" w:line="259" w:lineRule="auto"/>
        <w:ind w:left="3" w:firstLine="0"/>
        <w:jc w:val="left"/>
      </w:pPr>
      <w:r>
        <w:t xml:space="preserve">  </w:t>
      </w:r>
    </w:p>
    <w:p w:rsidR="002D56CB" w14:paraId="4257553A" w14:textId="77777777">
      <w:pPr>
        <w:spacing w:after="0" w:line="259" w:lineRule="auto"/>
        <w:ind w:left="745"/>
        <w:jc w:val="left"/>
      </w:pPr>
      <w:r>
        <w:rPr>
          <w:u w:val="single" w:color="000000"/>
        </w:rPr>
        <w:t>Hourly Burden</w:t>
      </w:r>
      <w:r>
        <w:t xml:space="preserve">  </w:t>
      </w:r>
    </w:p>
    <w:p w:rsidR="002D56CB" w14:paraId="2B6D5BBA" w14:textId="77777777">
      <w:pPr>
        <w:spacing w:after="0" w:line="259" w:lineRule="auto"/>
        <w:ind w:left="1" w:firstLine="0"/>
        <w:jc w:val="left"/>
      </w:pPr>
      <w:r>
        <w:t xml:space="preserve">  </w:t>
      </w:r>
    </w:p>
    <w:p w:rsidR="002D56CB" w14:paraId="1D64B741" w14:textId="77777777">
      <w:pPr>
        <w:spacing w:after="2" w:line="243" w:lineRule="auto"/>
        <w:ind w:left="775" w:right="971" w:hanging="11"/>
        <w:jc w:val="left"/>
      </w:pPr>
      <w:r>
        <w:t xml:space="preserve">We estimate that delivery of the 2-page MOON, including the oral explanation, will take approximately 15 minutes. Based on the </w:t>
      </w:r>
      <w:r>
        <w:t>15 minute</w:t>
      </w:r>
      <w:r>
        <w:t xml:space="preserve"> (0.25 hour) response time and annual frequency of responses, the annual hour burden is estimated to be 518,498 hours (2,073,991 responses x 0.25 </w:t>
      </w:r>
      <w:r>
        <w:t>hour</w:t>
      </w:r>
      <w:r>
        <w:t xml:space="preserve">) or approximately 89 hours per respondent (518,498 annual hour burden/5,817 hospitals and CAHs).  </w:t>
      </w:r>
    </w:p>
    <w:p w:rsidR="002D56CB" w14:paraId="3BD6F36F" w14:textId="77777777">
      <w:pPr>
        <w:spacing w:after="0" w:line="259" w:lineRule="auto"/>
        <w:ind w:left="1" w:firstLine="0"/>
        <w:jc w:val="left"/>
      </w:pPr>
      <w:r>
        <w:t xml:space="preserve">  </w:t>
      </w:r>
    </w:p>
    <w:p w:rsidR="002D56CB" w14:paraId="4045B35B" w14:textId="77777777">
      <w:pPr>
        <w:spacing w:after="0" w:line="259" w:lineRule="auto"/>
        <w:ind w:left="745"/>
        <w:jc w:val="left"/>
      </w:pPr>
      <w:r>
        <w:rPr>
          <w:u w:val="single" w:color="000000"/>
        </w:rPr>
        <w:t>Wages</w:t>
      </w:r>
      <w:r>
        <w:t xml:space="preserve">  </w:t>
      </w:r>
    </w:p>
    <w:p w:rsidR="002D56CB" w14:paraId="4CFE6F38" w14:textId="77777777">
      <w:pPr>
        <w:ind w:left="750" w:right="1440"/>
      </w:pPr>
      <w:r>
        <w:t xml:space="preserve">To derive average costs, we used data from the </w:t>
      </w:r>
      <w:hyperlink r:id="rId4">
        <w:r>
          <w:rPr>
            <w:color w:val="0000FF"/>
            <w:u w:val="single" w:color="0000FF"/>
          </w:rPr>
          <w:t>U.S. Bureau of Labor Statistics’ May</w:t>
        </w:r>
      </w:hyperlink>
      <w:hyperlink r:id="rId4">
        <w:r>
          <w:rPr>
            <w:color w:val="0000FF"/>
          </w:rPr>
          <w:t xml:space="preserve"> </w:t>
        </w:r>
      </w:hyperlink>
      <w:hyperlink r:id="rId4">
        <w:r>
          <w:rPr>
            <w:color w:val="0000FF"/>
            <w:u w:val="single" w:color="0000FF"/>
          </w:rPr>
          <w:t>2024 National Occupational Employment and Wage Estimate</w:t>
        </w:r>
      </w:hyperlink>
      <w:hyperlink r:id="rId4">
        <w:r>
          <w:rPr>
            <w:color w:val="0000FF"/>
            <w:u w:val="single" w:color="0000FF"/>
          </w:rPr>
          <w:t>s</w:t>
        </w:r>
      </w:hyperlink>
      <w:hyperlink r:id="rId4">
        <w:r>
          <w:t xml:space="preserve"> </w:t>
        </w:r>
      </w:hyperlink>
      <w:hyperlink r:id="rId4">
        <w:r>
          <w:t>f</w:t>
        </w:r>
      </w:hyperlink>
      <w:r>
        <w:t xml:space="preserve">or all salary estimates. In this regard, the following table presents the median hourly wage, the cost of fringe benefits (calculated at 100 percent of salary), and the adjusted hourly wage.  </w:t>
      </w:r>
    </w:p>
    <w:p w:rsidR="002D56CB" w14:paraId="57FD83EB" w14:textId="77777777">
      <w:pPr>
        <w:spacing w:after="0" w:line="259" w:lineRule="auto"/>
        <w:ind w:left="1" w:firstLine="0"/>
        <w:jc w:val="left"/>
      </w:pPr>
      <w:r>
        <w:t xml:space="preserve">  </w:t>
      </w:r>
    </w:p>
    <w:p w:rsidR="002D56CB" w14:paraId="33BAC0A3" w14:textId="77777777">
      <w:pPr>
        <w:ind w:left="390" w:right="505"/>
      </w:pPr>
      <w:r>
        <w:t xml:space="preserve">Table 1: Cost Estimates  </w:t>
      </w:r>
    </w:p>
    <w:tbl>
      <w:tblPr>
        <w:tblStyle w:val="TableGrid"/>
        <w:tblW w:w="9350" w:type="dxa"/>
        <w:tblInd w:w="73" w:type="dxa"/>
        <w:tblCellMar>
          <w:top w:w="133" w:type="dxa"/>
          <w:left w:w="5" w:type="dxa"/>
          <w:right w:w="115" w:type="dxa"/>
        </w:tblCellMar>
        <w:tblLook w:val="04A0"/>
      </w:tblPr>
      <w:tblGrid>
        <w:gridCol w:w="2159"/>
        <w:gridCol w:w="1654"/>
        <w:gridCol w:w="1824"/>
        <w:gridCol w:w="1841"/>
        <w:gridCol w:w="1872"/>
      </w:tblGrid>
      <w:tr w14:paraId="39F0F89D" w14:textId="77777777">
        <w:tblPrEx>
          <w:tblW w:w="9350" w:type="dxa"/>
          <w:tblInd w:w="73" w:type="dxa"/>
          <w:tblCellMar>
            <w:top w:w="133" w:type="dxa"/>
            <w:left w:w="5" w:type="dxa"/>
            <w:right w:w="115" w:type="dxa"/>
          </w:tblCellMar>
          <w:tblLook w:val="04A0"/>
        </w:tblPrEx>
        <w:trPr>
          <w:trHeight w:val="1246"/>
        </w:trPr>
        <w:tc>
          <w:tcPr>
            <w:tcW w:w="2160" w:type="dxa"/>
            <w:tcBorders>
              <w:top w:val="single" w:sz="6" w:space="0" w:color="000000"/>
              <w:left w:val="single" w:sz="6" w:space="0" w:color="000000"/>
              <w:bottom w:val="single" w:sz="6" w:space="0" w:color="000000"/>
              <w:right w:val="single" w:sz="6" w:space="0" w:color="000000"/>
            </w:tcBorders>
          </w:tcPr>
          <w:p w:rsidR="002D56CB" w14:paraId="1E7D0722" w14:textId="77777777">
            <w:pPr>
              <w:spacing w:after="0" w:line="259" w:lineRule="auto"/>
              <w:ind w:left="2" w:firstLine="0"/>
              <w:jc w:val="left"/>
            </w:pPr>
            <w:r>
              <w:t xml:space="preserve">  </w:t>
            </w:r>
          </w:p>
          <w:p w:rsidR="002D56CB" w14:paraId="3D8755A1" w14:textId="77777777">
            <w:pPr>
              <w:spacing w:after="0" w:line="259" w:lineRule="auto"/>
              <w:ind w:left="137" w:firstLine="0"/>
              <w:jc w:val="left"/>
            </w:pPr>
            <w:r>
              <w:t xml:space="preserve">Occupation Title  </w:t>
            </w:r>
          </w:p>
        </w:tc>
        <w:tc>
          <w:tcPr>
            <w:tcW w:w="1654" w:type="dxa"/>
            <w:tcBorders>
              <w:top w:val="single" w:sz="6" w:space="0" w:color="000000"/>
              <w:left w:val="single" w:sz="6" w:space="0" w:color="000000"/>
              <w:bottom w:val="single" w:sz="6" w:space="0" w:color="000000"/>
              <w:right w:val="single" w:sz="6" w:space="0" w:color="000000"/>
            </w:tcBorders>
          </w:tcPr>
          <w:p w:rsidR="002D56CB" w14:paraId="0BECD6C3" w14:textId="77777777">
            <w:pPr>
              <w:spacing w:after="0" w:line="259" w:lineRule="auto"/>
              <w:ind w:left="0" w:firstLine="0"/>
              <w:jc w:val="left"/>
            </w:pPr>
            <w:r>
              <w:t xml:space="preserve">  </w:t>
            </w:r>
          </w:p>
          <w:p w:rsidR="002D56CB" w14:paraId="17F79F14" w14:textId="77777777">
            <w:pPr>
              <w:spacing w:after="0" w:line="259" w:lineRule="auto"/>
              <w:ind w:left="134" w:firstLine="0"/>
              <w:jc w:val="left"/>
            </w:pPr>
            <w:r>
              <w:t xml:space="preserve">Occupation  </w:t>
            </w:r>
          </w:p>
          <w:p w:rsidR="002D56CB" w14:paraId="119E8A80" w14:textId="77777777">
            <w:pPr>
              <w:spacing w:after="0" w:line="259" w:lineRule="auto"/>
              <w:ind w:left="134" w:firstLine="0"/>
              <w:jc w:val="left"/>
            </w:pPr>
            <w:r>
              <w:t xml:space="preserve">Code  </w:t>
            </w:r>
          </w:p>
        </w:tc>
        <w:tc>
          <w:tcPr>
            <w:tcW w:w="1824" w:type="dxa"/>
            <w:tcBorders>
              <w:top w:val="single" w:sz="6" w:space="0" w:color="000000"/>
              <w:left w:val="single" w:sz="6" w:space="0" w:color="000000"/>
              <w:bottom w:val="single" w:sz="6" w:space="0" w:color="000000"/>
              <w:right w:val="single" w:sz="6" w:space="0" w:color="000000"/>
            </w:tcBorders>
          </w:tcPr>
          <w:p w:rsidR="002D56CB" w14:paraId="0A3407E0" w14:textId="77777777">
            <w:pPr>
              <w:spacing w:after="0" w:line="259" w:lineRule="auto"/>
              <w:ind w:left="0" w:firstLine="0"/>
              <w:jc w:val="left"/>
            </w:pPr>
            <w:r>
              <w:t xml:space="preserve">  </w:t>
            </w:r>
          </w:p>
          <w:p w:rsidR="002D56CB" w14:paraId="091ED8C5" w14:textId="77777777">
            <w:pPr>
              <w:spacing w:after="0" w:line="259" w:lineRule="auto"/>
              <w:ind w:left="132" w:firstLine="0"/>
              <w:jc w:val="left"/>
            </w:pPr>
            <w:r>
              <w:t xml:space="preserve">Median  </w:t>
            </w:r>
          </w:p>
          <w:p w:rsidR="002D56CB" w14:paraId="7F6EC079" w14:textId="77777777">
            <w:pPr>
              <w:spacing w:after="0" w:line="259" w:lineRule="auto"/>
              <w:ind w:left="132" w:firstLine="0"/>
              <w:jc w:val="left"/>
            </w:pPr>
            <w:r>
              <w:t xml:space="preserve">Hourly  </w:t>
            </w:r>
          </w:p>
          <w:p w:rsidR="002D56CB" w14:paraId="56DAEA07" w14:textId="77777777">
            <w:pPr>
              <w:spacing w:after="0" w:line="259" w:lineRule="auto"/>
              <w:ind w:left="132" w:firstLine="0"/>
              <w:jc w:val="left"/>
            </w:pPr>
            <w:r>
              <w:t>Wage ($/</w:t>
            </w:r>
            <w:r>
              <w:t>hr</w:t>
            </w:r>
            <w:r>
              <w:t xml:space="preserve">)  </w:t>
            </w:r>
          </w:p>
        </w:tc>
        <w:tc>
          <w:tcPr>
            <w:tcW w:w="1841" w:type="dxa"/>
            <w:tcBorders>
              <w:top w:val="single" w:sz="6" w:space="0" w:color="000000"/>
              <w:left w:val="single" w:sz="6" w:space="0" w:color="000000"/>
              <w:bottom w:val="single" w:sz="6" w:space="0" w:color="000000"/>
              <w:right w:val="single" w:sz="6" w:space="0" w:color="000000"/>
            </w:tcBorders>
          </w:tcPr>
          <w:p w:rsidR="002D56CB" w14:paraId="2750E2FD" w14:textId="77777777">
            <w:pPr>
              <w:spacing w:after="0" w:line="259" w:lineRule="auto"/>
              <w:ind w:left="0" w:firstLine="0"/>
              <w:jc w:val="left"/>
            </w:pPr>
            <w:r>
              <w:t xml:space="preserve">  </w:t>
            </w:r>
          </w:p>
          <w:p w:rsidR="002D56CB" w14:paraId="6520D295" w14:textId="77777777">
            <w:pPr>
              <w:spacing w:after="0" w:line="259" w:lineRule="auto"/>
              <w:ind w:left="130" w:firstLine="0"/>
              <w:jc w:val="left"/>
            </w:pPr>
            <w:r>
              <w:t xml:space="preserve">Fringe  </w:t>
            </w:r>
          </w:p>
          <w:p w:rsidR="002D56CB" w14:paraId="373B93B1" w14:textId="77777777">
            <w:pPr>
              <w:spacing w:after="0" w:line="259" w:lineRule="auto"/>
              <w:ind w:left="130" w:firstLine="0"/>
              <w:jc w:val="left"/>
            </w:pPr>
            <w:r>
              <w:t xml:space="preserve">Benefit  </w:t>
            </w:r>
          </w:p>
          <w:p w:rsidR="002D56CB" w14:paraId="039DC6EB" w14:textId="77777777">
            <w:pPr>
              <w:spacing w:after="0" w:line="259" w:lineRule="auto"/>
              <w:ind w:left="130" w:firstLine="0"/>
              <w:jc w:val="left"/>
            </w:pPr>
            <w:r>
              <w:t>($/</w:t>
            </w:r>
            <w:r>
              <w:t>hr</w:t>
            </w:r>
            <w:r>
              <w:t xml:space="preserve">)  </w:t>
            </w:r>
          </w:p>
        </w:tc>
        <w:tc>
          <w:tcPr>
            <w:tcW w:w="1872" w:type="dxa"/>
            <w:tcBorders>
              <w:top w:val="single" w:sz="6" w:space="0" w:color="000000"/>
              <w:left w:val="single" w:sz="6" w:space="0" w:color="000000"/>
              <w:bottom w:val="single" w:sz="6" w:space="0" w:color="000000"/>
              <w:right w:val="single" w:sz="6" w:space="0" w:color="000000"/>
            </w:tcBorders>
          </w:tcPr>
          <w:p w:rsidR="002D56CB" w14:paraId="56E4E223" w14:textId="77777777">
            <w:pPr>
              <w:spacing w:after="0" w:line="259" w:lineRule="auto"/>
              <w:ind w:left="0" w:firstLine="0"/>
              <w:jc w:val="left"/>
            </w:pPr>
            <w:r>
              <w:t xml:space="preserve">  </w:t>
            </w:r>
          </w:p>
          <w:p w:rsidR="002D56CB" w14:paraId="25C43E78" w14:textId="77777777">
            <w:pPr>
              <w:spacing w:after="0" w:line="259" w:lineRule="auto"/>
              <w:ind w:left="118" w:firstLine="0"/>
              <w:jc w:val="left"/>
            </w:pPr>
            <w:r>
              <w:t xml:space="preserve">Adjusted  </w:t>
            </w:r>
          </w:p>
          <w:p w:rsidR="002D56CB" w14:paraId="749D4EB1" w14:textId="77777777">
            <w:pPr>
              <w:spacing w:after="0" w:line="259" w:lineRule="auto"/>
              <w:ind w:left="118" w:firstLine="0"/>
              <w:jc w:val="left"/>
            </w:pPr>
            <w:r>
              <w:t xml:space="preserve">Hourly Wage  </w:t>
            </w:r>
          </w:p>
          <w:p w:rsidR="002D56CB" w14:paraId="51E0D8FB" w14:textId="77777777">
            <w:pPr>
              <w:spacing w:after="0" w:line="259" w:lineRule="auto"/>
              <w:ind w:left="118" w:firstLine="0"/>
              <w:jc w:val="left"/>
            </w:pPr>
            <w:r>
              <w:t>($/</w:t>
            </w:r>
            <w:r>
              <w:t>hr</w:t>
            </w:r>
            <w:r>
              <w:t xml:space="preserve">)  </w:t>
            </w:r>
          </w:p>
        </w:tc>
      </w:tr>
      <w:tr w14:paraId="1A59A3CF" w14:textId="77777777">
        <w:tblPrEx>
          <w:tblW w:w="9350" w:type="dxa"/>
          <w:tblInd w:w="73" w:type="dxa"/>
          <w:tblCellMar>
            <w:top w:w="133" w:type="dxa"/>
            <w:left w:w="5" w:type="dxa"/>
            <w:right w:w="115" w:type="dxa"/>
          </w:tblCellMar>
          <w:tblLook w:val="04A0"/>
        </w:tblPrEx>
        <w:trPr>
          <w:trHeight w:val="710"/>
        </w:trPr>
        <w:tc>
          <w:tcPr>
            <w:tcW w:w="2160" w:type="dxa"/>
            <w:tcBorders>
              <w:top w:val="single" w:sz="6" w:space="0" w:color="000000"/>
              <w:left w:val="single" w:sz="6" w:space="0" w:color="000000"/>
              <w:bottom w:val="single" w:sz="6" w:space="0" w:color="000000"/>
              <w:right w:val="single" w:sz="6" w:space="0" w:color="000000"/>
            </w:tcBorders>
          </w:tcPr>
          <w:p w:rsidR="002D56CB" w14:paraId="6C7E7A4C" w14:textId="77777777">
            <w:pPr>
              <w:spacing w:after="0" w:line="259" w:lineRule="auto"/>
              <w:ind w:left="137" w:firstLine="0"/>
              <w:jc w:val="left"/>
            </w:pPr>
            <w:r>
              <w:t xml:space="preserve">Registered nurse  </w:t>
            </w:r>
          </w:p>
        </w:tc>
        <w:tc>
          <w:tcPr>
            <w:tcW w:w="1654" w:type="dxa"/>
            <w:tcBorders>
              <w:top w:val="single" w:sz="6" w:space="0" w:color="000000"/>
              <w:left w:val="single" w:sz="6" w:space="0" w:color="000000"/>
              <w:bottom w:val="single" w:sz="6" w:space="0" w:color="000000"/>
              <w:right w:val="single" w:sz="6" w:space="0" w:color="000000"/>
            </w:tcBorders>
          </w:tcPr>
          <w:p w:rsidR="002D56CB" w14:paraId="4B269897" w14:textId="77777777">
            <w:pPr>
              <w:spacing w:after="0" w:line="259" w:lineRule="auto"/>
              <w:ind w:left="134" w:firstLine="0"/>
              <w:jc w:val="left"/>
            </w:pPr>
            <w:r>
              <w:t xml:space="preserve">29-1141  </w:t>
            </w:r>
          </w:p>
        </w:tc>
        <w:tc>
          <w:tcPr>
            <w:tcW w:w="1824" w:type="dxa"/>
            <w:tcBorders>
              <w:top w:val="single" w:sz="6" w:space="0" w:color="000000"/>
              <w:left w:val="single" w:sz="6" w:space="0" w:color="000000"/>
              <w:bottom w:val="single" w:sz="6" w:space="0" w:color="000000"/>
              <w:right w:val="single" w:sz="6" w:space="0" w:color="000000"/>
            </w:tcBorders>
          </w:tcPr>
          <w:p w:rsidR="002D56CB" w14:paraId="22B8B0C0" w14:textId="77777777">
            <w:pPr>
              <w:spacing w:after="0" w:line="259" w:lineRule="auto"/>
              <w:ind w:left="132" w:firstLine="0"/>
              <w:jc w:val="left"/>
            </w:pPr>
            <w:r>
              <w:t xml:space="preserve">$45.00  </w:t>
            </w:r>
          </w:p>
        </w:tc>
        <w:tc>
          <w:tcPr>
            <w:tcW w:w="1841" w:type="dxa"/>
            <w:tcBorders>
              <w:top w:val="single" w:sz="6" w:space="0" w:color="000000"/>
              <w:left w:val="single" w:sz="6" w:space="0" w:color="000000"/>
              <w:bottom w:val="single" w:sz="6" w:space="0" w:color="000000"/>
              <w:right w:val="single" w:sz="6" w:space="0" w:color="000000"/>
            </w:tcBorders>
          </w:tcPr>
          <w:p w:rsidR="002D56CB" w14:paraId="22616BB3" w14:textId="77777777">
            <w:pPr>
              <w:spacing w:after="0" w:line="259" w:lineRule="auto"/>
              <w:ind w:left="130" w:firstLine="0"/>
              <w:jc w:val="left"/>
            </w:pPr>
            <w:r>
              <w:t xml:space="preserve">$45.00  </w:t>
            </w:r>
          </w:p>
        </w:tc>
        <w:tc>
          <w:tcPr>
            <w:tcW w:w="1872" w:type="dxa"/>
            <w:tcBorders>
              <w:top w:val="single" w:sz="6" w:space="0" w:color="000000"/>
              <w:left w:val="single" w:sz="6" w:space="0" w:color="000000"/>
              <w:bottom w:val="single" w:sz="6" w:space="0" w:color="000000"/>
              <w:right w:val="single" w:sz="6" w:space="0" w:color="000000"/>
            </w:tcBorders>
          </w:tcPr>
          <w:p w:rsidR="002D56CB" w14:paraId="0E6D837A" w14:textId="77777777">
            <w:pPr>
              <w:spacing w:after="0" w:line="259" w:lineRule="auto"/>
              <w:ind w:left="118" w:firstLine="0"/>
              <w:jc w:val="left"/>
            </w:pPr>
            <w:r>
              <w:t xml:space="preserve">$90.00  </w:t>
            </w:r>
          </w:p>
        </w:tc>
      </w:tr>
    </w:tbl>
    <w:p w:rsidR="002D56CB" w14:paraId="7BEDF06C" w14:textId="77777777">
      <w:pPr>
        <w:spacing w:after="0" w:line="259" w:lineRule="auto"/>
        <w:ind w:left="1" w:firstLine="0"/>
        <w:jc w:val="left"/>
      </w:pPr>
      <w:r>
        <w:t xml:space="preserve">  </w:t>
      </w:r>
    </w:p>
    <w:p w:rsidR="002D56CB" w14:paraId="722D5039" w14:textId="77777777">
      <w:pPr>
        <w:ind w:left="270" w:right="505"/>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2D56CB" w14:paraId="4F6B979D" w14:textId="77777777">
      <w:pPr>
        <w:spacing w:after="0" w:line="259" w:lineRule="auto"/>
        <w:ind w:left="1" w:firstLine="0"/>
        <w:jc w:val="left"/>
      </w:pPr>
      <w:r>
        <w:t xml:space="preserve">  </w:t>
      </w:r>
    </w:p>
    <w:p w:rsidR="002D56CB" w14:paraId="6DA43414" w14:textId="77777777">
      <w:pPr>
        <w:ind w:left="270" w:right="505"/>
      </w:pPr>
      <w:r>
        <w:t xml:space="preserve">As stated in section 2, we estimate that 5,817 hospitals and CAHs will deliver 2,073,991 notices, annually.  </w:t>
      </w:r>
    </w:p>
    <w:p w:rsidR="002D56CB" w14:paraId="4F6EDF7F" w14:textId="77777777">
      <w:pPr>
        <w:spacing w:after="0" w:line="259" w:lineRule="auto"/>
        <w:ind w:left="1" w:firstLine="0"/>
        <w:jc w:val="left"/>
      </w:pPr>
      <w:r>
        <w:t xml:space="preserve">  </w:t>
      </w:r>
    </w:p>
    <w:p w:rsidR="002D56CB" w14:paraId="6B80EB44" w14:textId="77777777">
      <w:pPr>
        <w:ind w:left="270" w:right="505"/>
      </w:pPr>
      <w:r>
        <w:t xml:space="preserve">The cost per response is approximately $22.50 based on an adjusted hourly salary rate of $90.00 and the 15-minute response estimate ($90.00 Adjusted Hourly Wage x 0.25 hour). By multiplying the annual responses by $22.50, the annual cost burden estimate is $46,664,798 (2,073,991 responses x $22.50) or approximately $8,022 per hospital ($46,664,798/5,817 hospitals and CAHs).  </w:t>
      </w:r>
    </w:p>
    <w:p w:rsidR="002D56CB" w14:paraId="4BCE91A1" w14:textId="77777777">
      <w:pPr>
        <w:spacing w:after="0" w:line="259" w:lineRule="auto"/>
        <w:ind w:left="289" w:firstLine="0"/>
        <w:jc w:val="left"/>
      </w:pPr>
      <w:r>
        <w:t xml:space="preserve">  </w:t>
      </w:r>
    </w:p>
    <w:p w:rsidR="002D56CB" w14:paraId="4EB5A621" w14:textId="77777777">
      <w:pPr>
        <w:ind w:left="270" w:right="505"/>
      </w:pPr>
      <w:r>
        <w:t xml:space="preserve">Table 2: Burden Summary  </w:t>
      </w:r>
    </w:p>
    <w:tbl>
      <w:tblPr>
        <w:tblStyle w:val="TableGrid"/>
        <w:tblW w:w="10224" w:type="dxa"/>
        <w:tblInd w:w="8" w:type="dxa"/>
        <w:tblCellMar>
          <w:top w:w="73" w:type="dxa"/>
          <w:bottom w:w="35" w:type="dxa"/>
        </w:tblCellMar>
        <w:tblLook w:val="04A0"/>
      </w:tblPr>
      <w:tblGrid>
        <w:gridCol w:w="653"/>
        <w:gridCol w:w="1334"/>
        <w:gridCol w:w="1342"/>
        <w:gridCol w:w="1411"/>
        <w:gridCol w:w="1325"/>
        <w:gridCol w:w="1190"/>
        <w:gridCol w:w="1366"/>
        <w:gridCol w:w="1603"/>
      </w:tblGrid>
      <w:tr w14:paraId="4FBC34BA" w14:textId="77777777">
        <w:tblPrEx>
          <w:tblW w:w="10224" w:type="dxa"/>
          <w:tblInd w:w="8" w:type="dxa"/>
          <w:tblCellMar>
            <w:top w:w="73" w:type="dxa"/>
            <w:bottom w:w="35" w:type="dxa"/>
          </w:tblCellMar>
          <w:tblLook w:val="04A0"/>
        </w:tblPrEx>
        <w:trPr>
          <w:trHeight w:val="1265"/>
        </w:trPr>
        <w:tc>
          <w:tcPr>
            <w:tcW w:w="653" w:type="dxa"/>
            <w:tcBorders>
              <w:top w:val="single" w:sz="4" w:space="0" w:color="000000"/>
              <w:left w:val="single" w:sz="4" w:space="0" w:color="000000"/>
              <w:bottom w:val="single" w:sz="4" w:space="0" w:color="000000"/>
              <w:right w:val="single" w:sz="4" w:space="0" w:color="000000"/>
            </w:tcBorders>
            <w:vAlign w:val="center"/>
          </w:tcPr>
          <w:p w:rsidR="002D56CB" w14:paraId="29B31542" w14:textId="77777777">
            <w:pPr>
              <w:spacing w:after="0" w:line="259" w:lineRule="auto"/>
              <w:ind w:left="430" w:firstLine="0"/>
              <w:jc w:val="left"/>
            </w:pPr>
            <w:r>
              <w:rPr>
                <w:sz w:val="20"/>
              </w:rPr>
              <w:t xml:space="preserve"> </w:t>
            </w:r>
            <w:r>
              <w:t xml:space="preserve"> </w:t>
            </w:r>
          </w:p>
        </w:tc>
        <w:tc>
          <w:tcPr>
            <w:tcW w:w="1334" w:type="dxa"/>
            <w:tcBorders>
              <w:top w:val="single" w:sz="4" w:space="0" w:color="000000"/>
              <w:left w:val="single" w:sz="4" w:space="0" w:color="000000"/>
              <w:bottom w:val="single" w:sz="4" w:space="0" w:color="000000"/>
              <w:right w:val="single" w:sz="4" w:space="0" w:color="000000"/>
            </w:tcBorders>
            <w:vAlign w:val="center"/>
          </w:tcPr>
          <w:p w:rsidR="002D56CB" w14:paraId="56435393" w14:textId="77777777">
            <w:pPr>
              <w:spacing w:after="0" w:line="259" w:lineRule="auto"/>
              <w:ind w:left="120" w:firstLine="0"/>
              <w:jc w:val="left"/>
            </w:pPr>
            <w:r>
              <w:rPr>
                <w:sz w:val="20"/>
              </w:rPr>
              <w:t xml:space="preserve">Respondents </w:t>
            </w:r>
          </w:p>
        </w:tc>
        <w:tc>
          <w:tcPr>
            <w:tcW w:w="1342" w:type="dxa"/>
            <w:tcBorders>
              <w:top w:val="single" w:sz="4" w:space="0" w:color="000000"/>
              <w:left w:val="single" w:sz="4" w:space="0" w:color="000000"/>
              <w:bottom w:val="single" w:sz="4" w:space="0" w:color="000000"/>
              <w:right w:val="single" w:sz="4" w:space="0" w:color="000000"/>
            </w:tcBorders>
            <w:vAlign w:val="bottom"/>
          </w:tcPr>
          <w:p w:rsidR="002D56CB" w14:paraId="6FEA1CFE" w14:textId="77777777">
            <w:pPr>
              <w:spacing w:after="0" w:line="259" w:lineRule="auto"/>
              <w:ind w:left="-17" w:firstLine="0"/>
              <w:jc w:val="left"/>
            </w:pPr>
            <w:r>
              <w:t xml:space="preserve"> </w:t>
            </w:r>
          </w:p>
          <w:p w:rsidR="002D56CB" w14:paraId="03674060" w14:textId="77777777">
            <w:pPr>
              <w:spacing w:after="3" w:line="259" w:lineRule="auto"/>
              <w:ind w:left="0" w:right="190" w:firstLine="0"/>
              <w:jc w:val="right"/>
            </w:pPr>
            <w:r>
              <w:rPr>
                <w:sz w:val="20"/>
              </w:rPr>
              <w:t xml:space="preserve">Responses </w:t>
            </w:r>
            <w:r>
              <w:t xml:space="preserve"> </w:t>
            </w:r>
          </w:p>
          <w:p w:rsidR="002D56CB" w14:paraId="2B1D5F58" w14:textId="77777777">
            <w:pPr>
              <w:spacing w:after="0" w:line="259" w:lineRule="auto"/>
              <w:ind w:left="468" w:firstLine="0"/>
              <w:jc w:val="center"/>
            </w:pPr>
            <w:r>
              <w:rPr>
                <w:sz w:val="20"/>
              </w:rPr>
              <w:t xml:space="preserve"> </w:t>
            </w:r>
            <w:r>
              <w:t xml:space="preserve"> </w:t>
            </w:r>
          </w:p>
        </w:tc>
        <w:tc>
          <w:tcPr>
            <w:tcW w:w="1411" w:type="dxa"/>
            <w:tcBorders>
              <w:top w:val="single" w:sz="4" w:space="0" w:color="000000"/>
              <w:left w:val="single" w:sz="4" w:space="0" w:color="000000"/>
              <w:bottom w:val="single" w:sz="4" w:space="0" w:color="000000"/>
              <w:right w:val="single" w:sz="4" w:space="0" w:color="000000"/>
            </w:tcBorders>
            <w:vAlign w:val="center"/>
          </w:tcPr>
          <w:p w:rsidR="002D56CB" w14:paraId="20DF7CDA" w14:textId="77777777">
            <w:pPr>
              <w:spacing w:after="0" w:line="259" w:lineRule="auto"/>
              <w:ind w:left="84" w:firstLine="0"/>
              <w:jc w:val="center"/>
            </w:pPr>
            <w:r>
              <w:rPr>
                <w:sz w:val="20"/>
              </w:rPr>
              <w:t xml:space="preserve">Total Responses </w:t>
            </w:r>
            <w:r>
              <w:t xml:space="preserve"> </w:t>
            </w:r>
          </w:p>
        </w:tc>
        <w:tc>
          <w:tcPr>
            <w:tcW w:w="1325" w:type="dxa"/>
            <w:tcBorders>
              <w:top w:val="single" w:sz="4" w:space="0" w:color="000000"/>
              <w:left w:val="single" w:sz="4" w:space="0" w:color="000000"/>
              <w:bottom w:val="single" w:sz="4" w:space="0" w:color="000000"/>
              <w:right w:val="single" w:sz="4" w:space="0" w:color="000000"/>
            </w:tcBorders>
            <w:vAlign w:val="center"/>
          </w:tcPr>
          <w:p w:rsidR="002D56CB" w14:paraId="38C56E6B" w14:textId="77777777">
            <w:pPr>
              <w:spacing w:after="10" w:line="232" w:lineRule="auto"/>
              <w:ind w:left="349" w:firstLine="0"/>
              <w:jc w:val="center"/>
            </w:pPr>
            <w:r>
              <w:rPr>
                <w:sz w:val="20"/>
              </w:rPr>
              <w:t xml:space="preserve">Burden per </w:t>
            </w:r>
            <w:r>
              <w:t xml:space="preserve"> </w:t>
            </w:r>
          </w:p>
          <w:p w:rsidR="002D56CB" w14:paraId="0929D3B2" w14:textId="77777777">
            <w:pPr>
              <w:spacing w:after="0" w:line="259" w:lineRule="auto"/>
              <w:ind w:left="0" w:right="86" w:firstLine="0"/>
              <w:jc w:val="right"/>
            </w:pPr>
            <w:r>
              <w:rPr>
                <w:sz w:val="20"/>
              </w:rPr>
              <w:t xml:space="preserve">Response </w:t>
            </w:r>
            <w:r>
              <w:t xml:space="preserve"> </w:t>
            </w:r>
          </w:p>
        </w:tc>
        <w:tc>
          <w:tcPr>
            <w:tcW w:w="1190" w:type="dxa"/>
            <w:tcBorders>
              <w:top w:val="single" w:sz="4" w:space="0" w:color="000000"/>
              <w:left w:val="single" w:sz="4" w:space="0" w:color="000000"/>
              <w:bottom w:val="single" w:sz="4" w:space="0" w:color="000000"/>
              <w:right w:val="single" w:sz="4" w:space="0" w:color="000000"/>
            </w:tcBorders>
          </w:tcPr>
          <w:p w:rsidR="002D56CB" w14:paraId="24AAF875" w14:textId="77777777">
            <w:pPr>
              <w:spacing w:after="0" w:line="259" w:lineRule="auto"/>
              <w:ind w:left="0" w:right="202" w:firstLine="0"/>
              <w:jc w:val="right"/>
            </w:pPr>
            <w:r>
              <w:rPr>
                <w:sz w:val="20"/>
              </w:rPr>
              <w:t xml:space="preserve">Total </w:t>
            </w:r>
            <w:r>
              <w:t xml:space="preserve"> </w:t>
            </w:r>
          </w:p>
          <w:p w:rsidR="002D56CB" w14:paraId="4E0A5B19" w14:textId="77777777">
            <w:pPr>
              <w:spacing w:after="0" w:line="259" w:lineRule="auto"/>
              <w:ind w:left="0" w:right="121" w:firstLine="0"/>
              <w:jc w:val="right"/>
            </w:pPr>
            <w:r>
              <w:rPr>
                <w:sz w:val="20"/>
              </w:rPr>
              <w:t xml:space="preserve">Annual </w:t>
            </w:r>
            <w:r>
              <w:t xml:space="preserve"> </w:t>
            </w:r>
          </w:p>
          <w:p w:rsidR="002D56CB" w14:paraId="7E55A991" w14:textId="77777777">
            <w:pPr>
              <w:spacing w:after="0" w:line="259" w:lineRule="auto"/>
              <w:ind w:left="0" w:right="113" w:firstLine="0"/>
              <w:jc w:val="right"/>
            </w:pPr>
            <w:r>
              <w:rPr>
                <w:sz w:val="20"/>
              </w:rPr>
              <w:t xml:space="preserve">Burden </w:t>
            </w:r>
            <w:r>
              <w:t xml:space="preserve"> </w:t>
            </w:r>
          </w:p>
          <w:p w:rsidR="002D56CB" w14:paraId="37571790" w14:textId="77777777">
            <w:pPr>
              <w:spacing w:after="0" w:line="259" w:lineRule="auto"/>
              <w:ind w:left="0" w:right="112" w:firstLine="0"/>
              <w:jc w:val="right"/>
            </w:pPr>
            <w:r>
              <w:rPr>
                <w:sz w:val="20"/>
              </w:rPr>
              <w:t xml:space="preserve">(hours) </w:t>
            </w:r>
            <w:r>
              <w:t xml:space="preserve"> </w:t>
            </w:r>
          </w:p>
        </w:tc>
        <w:tc>
          <w:tcPr>
            <w:tcW w:w="1366" w:type="dxa"/>
            <w:tcBorders>
              <w:top w:val="single" w:sz="4" w:space="0" w:color="000000"/>
              <w:left w:val="single" w:sz="4" w:space="0" w:color="000000"/>
              <w:bottom w:val="single" w:sz="4" w:space="0" w:color="000000"/>
              <w:right w:val="single" w:sz="4" w:space="0" w:color="000000"/>
            </w:tcBorders>
          </w:tcPr>
          <w:p w:rsidR="002D56CB" w14:paraId="232FBAC4" w14:textId="77777777">
            <w:pPr>
              <w:spacing w:after="3" w:line="259" w:lineRule="auto"/>
              <w:ind w:left="490" w:firstLine="0"/>
              <w:jc w:val="left"/>
            </w:pPr>
            <w:r>
              <w:rPr>
                <w:sz w:val="20"/>
              </w:rPr>
              <w:t xml:space="preserve">Hourly </w:t>
            </w:r>
          </w:p>
          <w:p w:rsidR="002D56CB" w14:paraId="791CC7AB" w14:textId="77777777">
            <w:pPr>
              <w:spacing w:after="0" w:line="259" w:lineRule="auto"/>
              <w:ind w:left="542" w:firstLine="0"/>
              <w:jc w:val="left"/>
            </w:pPr>
            <w:r>
              <w:rPr>
                <w:sz w:val="20"/>
              </w:rPr>
              <w:t xml:space="preserve">Labor </w:t>
            </w:r>
            <w:r>
              <w:t xml:space="preserve"> </w:t>
            </w:r>
          </w:p>
          <w:p w:rsidR="002D56CB" w14:paraId="6024DC7C" w14:textId="77777777">
            <w:pPr>
              <w:spacing w:after="0" w:line="259" w:lineRule="auto"/>
              <w:ind w:left="542" w:firstLine="0"/>
              <w:jc w:val="left"/>
            </w:pPr>
            <w:r>
              <w:rPr>
                <w:sz w:val="20"/>
              </w:rPr>
              <w:t xml:space="preserve">Cost of </w:t>
            </w:r>
            <w:r>
              <w:t xml:space="preserve"> </w:t>
            </w:r>
          </w:p>
          <w:p w:rsidR="002D56CB" w14:paraId="012B7A83" w14:textId="77777777">
            <w:pPr>
              <w:spacing w:after="0" w:line="259" w:lineRule="auto"/>
              <w:ind w:left="0" w:right="83" w:firstLine="0"/>
              <w:jc w:val="right"/>
            </w:pPr>
            <w:r>
              <w:rPr>
                <w:sz w:val="20"/>
              </w:rPr>
              <w:t xml:space="preserve">Reporting </w:t>
            </w:r>
            <w:r>
              <w:t xml:space="preserve"> </w:t>
            </w:r>
          </w:p>
          <w:p w:rsidR="002D56CB" w14:paraId="7C07918F" w14:textId="77777777">
            <w:pPr>
              <w:spacing w:after="0" w:line="259" w:lineRule="auto"/>
              <w:ind w:left="0" w:right="208" w:firstLine="0"/>
              <w:jc w:val="right"/>
            </w:pPr>
            <w:r>
              <w:rPr>
                <w:sz w:val="20"/>
              </w:rPr>
              <w:t xml:space="preserve">($/hr.) </w:t>
            </w:r>
            <w:r>
              <w:t xml:space="preserve"> </w:t>
            </w:r>
          </w:p>
        </w:tc>
        <w:tc>
          <w:tcPr>
            <w:tcW w:w="1603" w:type="dxa"/>
            <w:tcBorders>
              <w:top w:val="single" w:sz="4" w:space="0" w:color="000000"/>
              <w:left w:val="single" w:sz="4" w:space="0" w:color="000000"/>
              <w:bottom w:val="single" w:sz="4" w:space="0" w:color="000000"/>
              <w:right w:val="single" w:sz="4" w:space="0" w:color="000000"/>
            </w:tcBorders>
            <w:vAlign w:val="center"/>
          </w:tcPr>
          <w:p w:rsidR="002D56CB" w14:paraId="49680DF7" w14:textId="77777777">
            <w:pPr>
              <w:spacing w:after="0" w:line="259" w:lineRule="auto"/>
              <w:ind w:left="732" w:firstLine="0"/>
              <w:jc w:val="left"/>
            </w:pPr>
            <w:r>
              <w:rPr>
                <w:sz w:val="20"/>
              </w:rPr>
              <w:t xml:space="preserve">Total </w:t>
            </w:r>
            <w:r>
              <w:t xml:space="preserve"> </w:t>
            </w:r>
          </w:p>
          <w:p w:rsidR="002D56CB" w14:paraId="37EC9B37" w14:textId="77777777">
            <w:pPr>
              <w:spacing w:after="0" w:line="259" w:lineRule="auto"/>
              <w:ind w:left="314" w:firstLine="0"/>
              <w:jc w:val="center"/>
            </w:pPr>
            <w:r>
              <w:rPr>
                <w:sz w:val="20"/>
              </w:rPr>
              <w:t xml:space="preserve">Cost </w:t>
            </w:r>
            <w:r>
              <w:t xml:space="preserve"> </w:t>
            </w:r>
          </w:p>
          <w:p w:rsidR="002D56CB" w14:paraId="0B0B68B2" w14:textId="77777777">
            <w:pPr>
              <w:spacing w:after="0" w:line="259" w:lineRule="auto"/>
              <w:ind w:left="319" w:firstLine="0"/>
              <w:jc w:val="center"/>
            </w:pPr>
            <w:r>
              <w:rPr>
                <w:sz w:val="20"/>
              </w:rPr>
              <w:t xml:space="preserve">($) </w:t>
            </w:r>
            <w:r>
              <w:t xml:space="preserve"> </w:t>
            </w:r>
          </w:p>
        </w:tc>
      </w:tr>
      <w:tr w14:paraId="0FDED18F" w14:textId="77777777">
        <w:tblPrEx>
          <w:tblW w:w="10224" w:type="dxa"/>
          <w:tblInd w:w="8" w:type="dxa"/>
          <w:tblCellMar>
            <w:top w:w="73" w:type="dxa"/>
            <w:bottom w:w="35" w:type="dxa"/>
          </w:tblCellMar>
          <w:tblLook w:val="04A0"/>
        </w:tblPrEx>
        <w:trPr>
          <w:trHeight w:val="912"/>
        </w:trPr>
        <w:tc>
          <w:tcPr>
            <w:tcW w:w="653" w:type="dxa"/>
            <w:tcBorders>
              <w:top w:val="single" w:sz="4" w:space="0" w:color="000000"/>
              <w:left w:val="single" w:sz="4" w:space="0" w:color="000000"/>
              <w:bottom w:val="single" w:sz="4" w:space="0" w:color="000000"/>
              <w:right w:val="single" w:sz="4" w:space="0" w:color="000000"/>
            </w:tcBorders>
            <w:vAlign w:val="center"/>
          </w:tcPr>
          <w:p w:rsidR="002D56CB" w14:paraId="023FA907" w14:textId="77777777">
            <w:pPr>
              <w:spacing w:after="0" w:line="259" w:lineRule="auto"/>
              <w:ind w:left="118" w:firstLine="0"/>
              <w:jc w:val="left"/>
            </w:pPr>
            <w:r>
              <w:rPr>
                <w:sz w:val="20"/>
              </w:rPr>
              <w:t xml:space="preserve">Total </w:t>
            </w:r>
            <w:r>
              <w:t xml:space="preserve"> </w:t>
            </w:r>
          </w:p>
        </w:tc>
        <w:tc>
          <w:tcPr>
            <w:tcW w:w="1334" w:type="dxa"/>
            <w:tcBorders>
              <w:top w:val="single" w:sz="4" w:space="0" w:color="000000"/>
              <w:left w:val="single" w:sz="4" w:space="0" w:color="000000"/>
              <w:bottom w:val="single" w:sz="4" w:space="0" w:color="000000"/>
              <w:right w:val="single" w:sz="4" w:space="0" w:color="000000"/>
            </w:tcBorders>
            <w:vAlign w:val="center"/>
          </w:tcPr>
          <w:p w:rsidR="002D56CB" w14:paraId="5F4422C5" w14:textId="77777777">
            <w:pPr>
              <w:spacing w:after="0" w:line="259" w:lineRule="auto"/>
              <w:ind w:left="600" w:firstLine="0"/>
              <w:jc w:val="left"/>
            </w:pPr>
            <w:r>
              <w:rPr>
                <w:sz w:val="20"/>
              </w:rPr>
              <w:t xml:space="preserve">5,817 </w:t>
            </w:r>
            <w: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2D56CB" w14:paraId="53F6C65F" w14:textId="77777777">
            <w:pPr>
              <w:spacing w:after="0" w:line="259" w:lineRule="auto"/>
              <w:ind w:left="0" w:right="87" w:firstLine="0"/>
              <w:jc w:val="right"/>
            </w:pPr>
            <w:r>
              <w:rPr>
                <w:sz w:val="20"/>
              </w:rPr>
              <w:t xml:space="preserve">2,073,991 </w:t>
            </w:r>
            <w:r>
              <w:t xml:space="preserve"> </w:t>
            </w:r>
          </w:p>
        </w:tc>
        <w:tc>
          <w:tcPr>
            <w:tcW w:w="1411" w:type="dxa"/>
            <w:tcBorders>
              <w:top w:val="single" w:sz="4" w:space="0" w:color="000000"/>
              <w:left w:val="single" w:sz="4" w:space="0" w:color="000000"/>
              <w:bottom w:val="single" w:sz="4" w:space="0" w:color="000000"/>
              <w:right w:val="single" w:sz="4" w:space="0" w:color="000000"/>
            </w:tcBorders>
            <w:vAlign w:val="center"/>
          </w:tcPr>
          <w:p w:rsidR="002D56CB" w14:paraId="3D24FD15" w14:textId="77777777">
            <w:pPr>
              <w:spacing w:after="0" w:line="259" w:lineRule="auto"/>
              <w:ind w:left="0" w:right="103" w:firstLine="0"/>
              <w:jc w:val="right"/>
            </w:pPr>
            <w:r>
              <w:rPr>
                <w:sz w:val="20"/>
              </w:rPr>
              <w:t xml:space="preserve">2,887,866 </w:t>
            </w:r>
            <w:r>
              <w:t xml:space="preserve"> </w:t>
            </w:r>
          </w:p>
        </w:tc>
        <w:tc>
          <w:tcPr>
            <w:tcW w:w="1325" w:type="dxa"/>
            <w:tcBorders>
              <w:top w:val="single" w:sz="4" w:space="0" w:color="000000"/>
              <w:left w:val="single" w:sz="4" w:space="0" w:color="000000"/>
              <w:bottom w:val="single" w:sz="4" w:space="0" w:color="000000"/>
              <w:right w:val="single" w:sz="4" w:space="0" w:color="000000"/>
            </w:tcBorders>
            <w:vAlign w:val="center"/>
          </w:tcPr>
          <w:p w:rsidR="002D56CB" w14:paraId="4F0DEEE9" w14:textId="77777777">
            <w:pPr>
              <w:spacing w:after="0" w:line="259" w:lineRule="auto"/>
              <w:ind w:left="0" w:right="175" w:firstLine="0"/>
              <w:jc w:val="right"/>
            </w:pPr>
            <w:r>
              <w:rPr>
                <w:sz w:val="20"/>
              </w:rPr>
              <w:t xml:space="preserve">0.25 </w:t>
            </w:r>
            <w:r>
              <w:rPr>
                <w:sz w:val="20"/>
              </w:rPr>
              <w:t>hr</w:t>
            </w:r>
            <w:r>
              <w:rPr>
                <w:sz w:val="20"/>
              </w:rPr>
              <w:t xml:space="preserve"> </w:t>
            </w:r>
            <w:r>
              <w:t xml:space="preserve"> </w:t>
            </w:r>
          </w:p>
          <w:p w:rsidR="002D56CB" w14:paraId="64934A24" w14:textId="77777777">
            <w:pPr>
              <w:spacing w:after="0" w:line="259" w:lineRule="auto"/>
              <w:ind w:left="0" w:right="139" w:firstLine="0"/>
              <w:jc w:val="right"/>
            </w:pPr>
            <w:r>
              <w:rPr>
                <w:sz w:val="20"/>
              </w:rPr>
              <w:t xml:space="preserve">(15 min) </w:t>
            </w:r>
            <w:r>
              <w:t xml:space="preserve"> </w:t>
            </w:r>
          </w:p>
        </w:tc>
        <w:tc>
          <w:tcPr>
            <w:tcW w:w="1190" w:type="dxa"/>
            <w:tcBorders>
              <w:top w:val="single" w:sz="4" w:space="0" w:color="000000"/>
              <w:left w:val="single" w:sz="4" w:space="0" w:color="000000"/>
              <w:bottom w:val="single" w:sz="4" w:space="0" w:color="000000"/>
              <w:right w:val="single" w:sz="4" w:space="0" w:color="000000"/>
            </w:tcBorders>
            <w:vAlign w:val="center"/>
          </w:tcPr>
          <w:p w:rsidR="002D56CB" w14:paraId="01903DB2" w14:textId="77777777">
            <w:pPr>
              <w:spacing w:after="0" w:line="259" w:lineRule="auto"/>
              <w:ind w:left="0" w:right="85" w:firstLine="0"/>
              <w:jc w:val="right"/>
            </w:pPr>
            <w:r>
              <w:rPr>
                <w:sz w:val="20"/>
              </w:rPr>
              <w:t xml:space="preserve">518,498 </w:t>
            </w:r>
            <w:r>
              <w:t xml:space="preserve"> </w:t>
            </w:r>
          </w:p>
        </w:tc>
        <w:tc>
          <w:tcPr>
            <w:tcW w:w="1366" w:type="dxa"/>
            <w:tcBorders>
              <w:top w:val="single" w:sz="4" w:space="0" w:color="000000"/>
              <w:left w:val="single" w:sz="4" w:space="0" w:color="000000"/>
              <w:bottom w:val="single" w:sz="4" w:space="0" w:color="000000"/>
              <w:right w:val="single" w:sz="4" w:space="0" w:color="000000"/>
            </w:tcBorders>
            <w:vAlign w:val="center"/>
          </w:tcPr>
          <w:p w:rsidR="002D56CB" w14:paraId="159B7762" w14:textId="77777777">
            <w:pPr>
              <w:spacing w:after="0" w:line="259" w:lineRule="auto"/>
              <w:ind w:left="578" w:firstLine="0"/>
              <w:jc w:val="left"/>
            </w:pPr>
            <w:r>
              <w:rPr>
                <w:sz w:val="20"/>
              </w:rPr>
              <w:t xml:space="preserve">90.00 </w:t>
            </w:r>
            <w:r>
              <w:t xml:space="preserve"> </w:t>
            </w:r>
          </w:p>
        </w:tc>
        <w:tc>
          <w:tcPr>
            <w:tcW w:w="1603" w:type="dxa"/>
            <w:tcBorders>
              <w:top w:val="single" w:sz="4" w:space="0" w:color="000000"/>
              <w:left w:val="single" w:sz="4" w:space="0" w:color="000000"/>
              <w:bottom w:val="single" w:sz="4" w:space="0" w:color="000000"/>
              <w:right w:val="single" w:sz="4" w:space="0" w:color="000000"/>
            </w:tcBorders>
            <w:vAlign w:val="center"/>
          </w:tcPr>
          <w:p w:rsidR="002D56CB" w14:paraId="083FBA68" w14:textId="77777777">
            <w:pPr>
              <w:spacing w:after="0" w:line="259" w:lineRule="auto"/>
              <w:ind w:left="0" w:right="90" w:firstLine="0"/>
              <w:jc w:val="right"/>
            </w:pPr>
            <w:r>
              <w:rPr>
                <w:sz w:val="20"/>
              </w:rPr>
              <w:t xml:space="preserve">$46,664,798 </w:t>
            </w:r>
          </w:p>
        </w:tc>
      </w:tr>
    </w:tbl>
    <w:p w:rsidR="002D56CB" w14:paraId="721A0565" w14:textId="77777777">
      <w:pPr>
        <w:spacing w:after="10" w:line="259" w:lineRule="auto"/>
        <w:ind w:left="289" w:firstLine="0"/>
        <w:jc w:val="left"/>
      </w:pPr>
      <w:r>
        <w:t xml:space="preserve">  </w:t>
      </w:r>
    </w:p>
    <w:p w:rsidR="002D56CB" w14:paraId="6B4DDCDA" w14:textId="77777777">
      <w:pPr>
        <w:spacing w:after="0" w:line="259" w:lineRule="auto"/>
        <w:ind w:left="1" w:firstLine="0"/>
        <w:jc w:val="left"/>
      </w:pPr>
      <w:r>
        <w:t xml:space="preserve">  </w:t>
      </w:r>
    </w:p>
    <w:p w:rsidR="002D56CB" w14:paraId="251E81AC" w14:textId="77777777">
      <w:pPr>
        <w:numPr>
          <w:ilvl w:val="0"/>
          <w:numId w:val="3"/>
        </w:numPr>
        <w:ind w:right="505" w:hanging="367"/>
      </w:pPr>
      <w:r>
        <w:t xml:space="preserve">CAPITAL COSTS  </w:t>
      </w:r>
    </w:p>
    <w:p w:rsidR="002D56CB" w14:paraId="1E615B4F" w14:textId="77777777">
      <w:pPr>
        <w:spacing w:after="0" w:line="259" w:lineRule="auto"/>
        <w:ind w:left="1" w:firstLine="0"/>
        <w:jc w:val="left"/>
      </w:pPr>
      <w:r>
        <w:t xml:space="preserve">  </w:t>
      </w:r>
    </w:p>
    <w:p w:rsidR="002D56CB" w14:paraId="17F8A58A" w14:textId="77777777">
      <w:pPr>
        <w:ind w:left="270" w:right="505"/>
      </w:pPr>
      <w:r>
        <w:t xml:space="preserve">There are no capital costs.  </w:t>
      </w:r>
    </w:p>
    <w:p w:rsidR="002D56CB" w14:paraId="38F36FAE" w14:textId="77777777">
      <w:pPr>
        <w:spacing w:after="0" w:line="259" w:lineRule="auto"/>
        <w:ind w:left="1" w:firstLine="0"/>
        <w:jc w:val="left"/>
      </w:pPr>
      <w:r>
        <w:t xml:space="preserve">  </w:t>
      </w:r>
    </w:p>
    <w:p w:rsidR="002D56CB" w14:paraId="6E104A2A" w14:textId="77777777">
      <w:pPr>
        <w:numPr>
          <w:ilvl w:val="0"/>
          <w:numId w:val="3"/>
        </w:numPr>
        <w:ind w:right="505" w:hanging="367"/>
      </w:pPr>
      <w:r>
        <w:t xml:space="preserve">COSTS ASSOCIATED TO THE FEDERAL GOVERNMENT  </w:t>
      </w:r>
    </w:p>
    <w:p w:rsidR="002D56CB" w14:paraId="01FA12F1" w14:textId="77777777">
      <w:pPr>
        <w:spacing w:after="0" w:line="259" w:lineRule="auto"/>
        <w:ind w:left="1" w:firstLine="0"/>
        <w:jc w:val="left"/>
      </w:pPr>
      <w:r>
        <w:t xml:space="preserve">  </w:t>
      </w:r>
    </w:p>
    <w:p w:rsidR="002D56CB" w14:paraId="71B54765" w14:textId="77777777">
      <w:pPr>
        <w:spacing w:after="30" w:line="243" w:lineRule="auto"/>
        <w:ind w:left="236" w:right="551" w:hanging="11"/>
        <w:jc w:val="left"/>
      </w:pPr>
      <w:r>
        <w:t xml:space="preserve">The cost to the Federal government is on a triennial basis and is associated with the preparation and release of the MOON and includes the time it takes the employee to complete the PRA process, another employee to create a translated version, and posting the documents to CMS.gov.  </w:t>
      </w:r>
    </w:p>
    <w:p w:rsidR="002D56CB" w14:paraId="5280CF1A" w14:textId="77777777">
      <w:pPr>
        <w:spacing w:after="0" w:line="259" w:lineRule="auto"/>
        <w:ind w:left="1" w:firstLine="0"/>
        <w:jc w:val="left"/>
      </w:pPr>
      <w:r>
        <w:t xml:space="preserve">  </w:t>
      </w:r>
    </w:p>
    <w:p w:rsidR="002D56CB" w14:paraId="3295E818" w14:textId="77777777">
      <w:pPr>
        <w:spacing w:after="2" w:line="243" w:lineRule="auto"/>
        <w:ind w:left="236" w:right="551" w:hanging="11"/>
        <w:jc w:val="left"/>
      </w:pPr>
      <w:r>
        <w:t xml:space="preserve">The analysis and preparation of the PRA package and the subsequent release of documents is performed by CMS employees. The average salary of the employees who would be completing this task, which includes the </w:t>
      </w:r>
      <w:r>
        <w:t>locality</w:t>
      </w:r>
      <w:r>
        <w:t xml:space="preserve"> pay adjustment for the area of Washington-Baltimore- </w:t>
      </w:r>
    </w:p>
    <w:p w:rsidR="002D56CB" w14:paraId="3BF5BDC8" w14:textId="77777777">
      <w:pPr>
        <w:spacing w:after="2" w:line="243" w:lineRule="auto"/>
        <w:ind w:left="236" w:right="551" w:hanging="11"/>
        <w:jc w:val="left"/>
      </w:pPr>
      <w:r>
        <w:t>Arlington,</w:t>
      </w:r>
      <w:r>
        <w:t xml:space="preserve"> is listed </w:t>
      </w:r>
      <w:r>
        <w:t>in</w:t>
      </w:r>
      <w:r>
        <w:t xml:space="preserve"> the table below. See </w:t>
      </w:r>
      <w:hyperlink r:id="rId5">
        <w:r>
          <w:rPr>
            <w:color w:val="0000FF"/>
            <w:u w:val="single" w:color="0000FF"/>
          </w:rPr>
          <w:t xml:space="preserve">OPM 2025 General Schedule (GS) Locality Pay </w:t>
        </w:r>
      </w:hyperlink>
      <w:hyperlink r:id="rId5">
        <w:r>
          <w:t>T</w:t>
        </w:r>
      </w:hyperlink>
      <w:r>
        <w:t>ables</w:t>
      </w:r>
      <w:r>
        <w:rPr>
          <w:color w:val="0562C1"/>
        </w:rPr>
        <w:t>:</w:t>
      </w:r>
      <w:r>
        <w:t xml:space="preserve">. We estimate that on average it takes a CMS employee 24 hours to perform these activities and the triennial cost to the Federal government to be $1,572.00. The annualized cost to the Federal government is $524 ($1,572/3).  </w:t>
      </w:r>
    </w:p>
    <w:p w:rsidR="002D56CB" w14:paraId="5D7E6C0F" w14:textId="77777777">
      <w:pPr>
        <w:spacing w:after="26" w:line="259" w:lineRule="auto"/>
        <w:ind w:left="1" w:firstLine="0"/>
        <w:jc w:val="left"/>
      </w:pPr>
      <w:r>
        <w:rPr>
          <w:sz w:val="20"/>
        </w:rPr>
        <w:t xml:space="preserve"> </w:t>
      </w:r>
      <w:r>
        <w:t xml:space="preserve"> </w:t>
      </w:r>
    </w:p>
    <w:p w:rsidR="002D56CB" w14:paraId="56046373" w14:textId="77777777">
      <w:pPr>
        <w:ind w:left="270" w:right="505"/>
      </w:pPr>
      <w:r>
        <w:t xml:space="preserve">Table 3.  Cost Estimates   </w:t>
      </w:r>
    </w:p>
    <w:tbl>
      <w:tblPr>
        <w:tblStyle w:val="TableGrid"/>
        <w:tblW w:w="8750" w:type="dxa"/>
        <w:tblInd w:w="198" w:type="dxa"/>
        <w:tblCellMar>
          <w:top w:w="75" w:type="dxa"/>
          <w:left w:w="2" w:type="dxa"/>
          <w:right w:w="83" w:type="dxa"/>
        </w:tblCellMar>
        <w:tblLook w:val="04A0"/>
      </w:tblPr>
      <w:tblGrid>
        <w:gridCol w:w="2498"/>
        <w:gridCol w:w="1620"/>
        <w:gridCol w:w="1788"/>
        <w:gridCol w:w="2844"/>
      </w:tblGrid>
      <w:tr w14:paraId="6585E3FA" w14:textId="77777777">
        <w:tblPrEx>
          <w:tblW w:w="8750" w:type="dxa"/>
          <w:tblInd w:w="198" w:type="dxa"/>
          <w:tblCellMar>
            <w:top w:w="75" w:type="dxa"/>
            <w:left w:w="2" w:type="dxa"/>
            <w:right w:w="83" w:type="dxa"/>
          </w:tblCellMar>
          <w:tblLook w:val="04A0"/>
        </w:tblPrEx>
        <w:trPr>
          <w:trHeight w:val="595"/>
        </w:trPr>
        <w:tc>
          <w:tcPr>
            <w:tcW w:w="2498" w:type="dxa"/>
            <w:tcBorders>
              <w:top w:val="single" w:sz="4" w:space="0" w:color="000000"/>
              <w:left w:val="single" w:sz="4" w:space="0" w:color="000000"/>
              <w:bottom w:val="single" w:sz="4" w:space="0" w:color="000000"/>
              <w:right w:val="single" w:sz="4" w:space="0" w:color="000000"/>
            </w:tcBorders>
          </w:tcPr>
          <w:p w:rsidR="002D56CB" w14:paraId="0168111E" w14:textId="77777777">
            <w:pPr>
              <w:spacing w:after="0" w:line="259" w:lineRule="auto"/>
              <w:ind w:left="425" w:firstLine="0"/>
              <w:jc w:val="left"/>
            </w:pPr>
            <w:r>
              <w:rPr>
                <w:b/>
              </w:rPr>
              <w:t xml:space="preserve">Employee </w:t>
            </w:r>
            <w:r>
              <w:t xml:space="preserve"> </w:t>
            </w:r>
          </w:p>
        </w:tc>
        <w:tc>
          <w:tcPr>
            <w:tcW w:w="1620" w:type="dxa"/>
            <w:tcBorders>
              <w:top w:val="single" w:sz="4" w:space="0" w:color="000000"/>
              <w:left w:val="single" w:sz="4" w:space="0" w:color="000000"/>
              <w:bottom w:val="single" w:sz="4" w:space="0" w:color="000000"/>
              <w:right w:val="single" w:sz="4" w:space="0" w:color="000000"/>
            </w:tcBorders>
          </w:tcPr>
          <w:p w:rsidR="002D56CB" w14:paraId="10655350" w14:textId="77777777">
            <w:pPr>
              <w:spacing w:after="0" w:line="259" w:lineRule="auto"/>
              <w:ind w:left="425" w:firstLine="0"/>
              <w:jc w:val="left"/>
            </w:pPr>
            <w:r>
              <w:rPr>
                <w:b/>
              </w:rPr>
              <w:t xml:space="preserve">Hourly Wage </w:t>
            </w:r>
            <w:r>
              <w:t xml:space="preserve"> </w:t>
            </w:r>
          </w:p>
        </w:tc>
        <w:tc>
          <w:tcPr>
            <w:tcW w:w="1788" w:type="dxa"/>
            <w:tcBorders>
              <w:top w:val="single" w:sz="4" w:space="0" w:color="000000"/>
              <w:left w:val="single" w:sz="4" w:space="0" w:color="000000"/>
              <w:bottom w:val="single" w:sz="4" w:space="0" w:color="000000"/>
              <w:right w:val="single" w:sz="4" w:space="0" w:color="000000"/>
            </w:tcBorders>
          </w:tcPr>
          <w:p w:rsidR="002D56CB" w14:paraId="1A39EC5F" w14:textId="77777777">
            <w:pPr>
              <w:spacing w:after="0" w:line="259" w:lineRule="auto"/>
              <w:ind w:left="425" w:firstLine="0"/>
              <w:jc w:val="left"/>
            </w:pPr>
            <w:r>
              <w:rPr>
                <w:b/>
              </w:rPr>
              <w:t xml:space="preserve">Number of Hours </w:t>
            </w:r>
            <w:r>
              <w:t xml:space="preserve"> </w:t>
            </w:r>
          </w:p>
        </w:tc>
        <w:tc>
          <w:tcPr>
            <w:tcW w:w="2844" w:type="dxa"/>
            <w:tcBorders>
              <w:top w:val="single" w:sz="4" w:space="0" w:color="000000"/>
              <w:left w:val="single" w:sz="4" w:space="0" w:color="000000"/>
              <w:bottom w:val="single" w:sz="4" w:space="0" w:color="000000"/>
              <w:right w:val="single" w:sz="4" w:space="0" w:color="000000"/>
            </w:tcBorders>
          </w:tcPr>
          <w:p w:rsidR="002D56CB" w14:paraId="3B2DC25B" w14:textId="77777777">
            <w:pPr>
              <w:spacing w:after="0" w:line="259" w:lineRule="auto"/>
              <w:ind w:left="427" w:hanging="7"/>
              <w:jc w:val="left"/>
            </w:pPr>
            <w:r>
              <w:rPr>
                <w:b/>
              </w:rPr>
              <w:t xml:space="preserve">Triennial Cost </w:t>
            </w:r>
            <w:r>
              <w:rPr>
                <w:b/>
              </w:rPr>
              <w:t xml:space="preserve">to </w:t>
            </w:r>
            <w:r>
              <w:t xml:space="preserve"> </w:t>
            </w:r>
            <w:r>
              <w:rPr>
                <w:b/>
              </w:rPr>
              <w:t>Government</w:t>
            </w:r>
            <w:r>
              <w:rPr>
                <w:b/>
              </w:rPr>
              <w:t xml:space="preserve"> </w:t>
            </w:r>
            <w:r>
              <w:t xml:space="preserve"> </w:t>
            </w:r>
          </w:p>
        </w:tc>
      </w:tr>
      <w:tr w14:paraId="0C79DDD2" w14:textId="77777777">
        <w:tblPrEx>
          <w:tblW w:w="8750" w:type="dxa"/>
          <w:tblInd w:w="198" w:type="dxa"/>
          <w:tblCellMar>
            <w:top w:w="75" w:type="dxa"/>
            <w:left w:w="2" w:type="dxa"/>
            <w:right w:w="83" w:type="dxa"/>
          </w:tblCellMar>
          <w:tblLook w:val="04A0"/>
        </w:tblPrEx>
        <w:trPr>
          <w:trHeight w:val="595"/>
        </w:trPr>
        <w:tc>
          <w:tcPr>
            <w:tcW w:w="2498" w:type="dxa"/>
            <w:tcBorders>
              <w:top w:val="single" w:sz="4" w:space="0" w:color="000000"/>
              <w:left w:val="single" w:sz="4" w:space="0" w:color="000000"/>
              <w:bottom w:val="single" w:sz="4" w:space="0" w:color="000000"/>
              <w:right w:val="single" w:sz="4" w:space="0" w:color="000000"/>
            </w:tcBorders>
          </w:tcPr>
          <w:p w:rsidR="002D56CB" w14:paraId="5C87D7EB" w14:textId="77777777">
            <w:pPr>
              <w:spacing w:after="0" w:line="259" w:lineRule="auto"/>
              <w:ind w:left="0" w:firstLine="0"/>
              <w:jc w:val="left"/>
            </w:pPr>
            <w:r>
              <w:t xml:space="preserve">GS-13, step 5  </w:t>
            </w:r>
          </w:p>
        </w:tc>
        <w:tc>
          <w:tcPr>
            <w:tcW w:w="1620" w:type="dxa"/>
            <w:tcBorders>
              <w:top w:val="single" w:sz="4" w:space="0" w:color="000000"/>
              <w:left w:val="single" w:sz="4" w:space="0" w:color="000000"/>
              <w:bottom w:val="single" w:sz="4" w:space="0" w:color="000000"/>
              <w:right w:val="single" w:sz="4" w:space="0" w:color="000000"/>
            </w:tcBorders>
          </w:tcPr>
          <w:p w:rsidR="002D56CB" w14:paraId="62733400" w14:textId="77777777">
            <w:pPr>
              <w:spacing w:after="0" w:line="259" w:lineRule="auto"/>
              <w:ind w:left="0" w:right="14" w:firstLine="0"/>
              <w:jc w:val="center"/>
            </w:pPr>
            <w:r>
              <w:t xml:space="preserve">$65.42  </w:t>
            </w:r>
          </w:p>
        </w:tc>
        <w:tc>
          <w:tcPr>
            <w:tcW w:w="1788" w:type="dxa"/>
            <w:tcBorders>
              <w:top w:val="single" w:sz="4" w:space="0" w:color="000000"/>
              <w:left w:val="single" w:sz="4" w:space="0" w:color="000000"/>
              <w:bottom w:val="single" w:sz="4" w:space="0" w:color="000000"/>
              <w:right w:val="single" w:sz="4" w:space="0" w:color="000000"/>
            </w:tcBorders>
          </w:tcPr>
          <w:p w:rsidR="002D56CB" w14:paraId="789ED7D6" w14:textId="77777777">
            <w:pPr>
              <w:spacing w:after="0" w:line="259" w:lineRule="auto"/>
              <w:ind w:left="425" w:firstLine="0"/>
              <w:jc w:val="left"/>
            </w:pPr>
            <w:r>
              <w:t xml:space="preserve">24  </w:t>
            </w:r>
          </w:p>
        </w:tc>
        <w:tc>
          <w:tcPr>
            <w:tcW w:w="2844" w:type="dxa"/>
            <w:tcBorders>
              <w:top w:val="single" w:sz="4" w:space="0" w:color="000000"/>
              <w:left w:val="single" w:sz="4" w:space="0" w:color="000000"/>
              <w:bottom w:val="single" w:sz="4" w:space="0" w:color="000000"/>
              <w:right w:val="single" w:sz="4" w:space="0" w:color="000000"/>
            </w:tcBorders>
          </w:tcPr>
          <w:p w:rsidR="002D56CB" w14:paraId="00CB25E8" w14:textId="77777777">
            <w:pPr>
              <w:spacing w:after="0" w:line="259" w:lineRule="auto"/>
              <w:ind w:left="427" w:firstLine="0"/>
              <w:jc w:val="left"/>
            </w:pPr>
            <w:r>
              <w:t xml:space="preserve">$1,572.00  </w:t>
            </w:r>
          </w:p>
        </w:tc>
      </w:tr>
      <w:tr w14:paraId="0E160C57" w14:textId="77777777">
        <w:tblPrEx>
          <w:tblW w:w="8750" w:type="dxa"/>
          <w:tblInd w:w="198" w:type="dxa"/>
          <w:tblCellMar>
            <w:top w:w="75" w:type="dxa"/>
            <w:left w:w="2" w:type="dxa"/>
            <w:right w:w="83" w:type="dxa"/>
          </w:tblCellMar>
          <w:tblLook w:val="04A0"/>
        </w:tblPrEx>
        <w:trPr>
          <w:trHeight w:val="329"/>
        </w:trPr>
        <w:tc>
          <w:tcPr>
            <w:tcW w:w="2498" w:type="dxa"/>
            <w:tcBorders>
              <w:top w:val="single" w:sz="4" w:space="0" w:color="000000"/>
              <w:left w:val="single" w:sz="4" w:space="0" w:color="000000"/>
              <w:bottom w:val="single" w:sz="4" w:space="0" w:color="000000"/>
              <w:right w:val="single" w:sz="4" w:space="0" w:color="000000"/>
            </w:tcBorders>
          </w:tcPr>
          <w:p w:rsidR="002D56CB" w14:paraId="3A3F7F08" w14:textId="77777777">
            <w:pPr>
              <w:spacing w:after="0" w:line="259" w:lineRule="auto"/>
              <w:ind w:left="0" w:firstLine="0"/>
              <w:jc w:val="left"/>
            </w:pPr>
            <w:r>
              <w:rPr>
                <w:rFonts w:ascii="Times New Roman" w:eastAsia="Times New Roman" w:hAnsi="Times New Roman" w:cs="Times New Roman"/>
                <w:sz w:val="20"/>
              </w:rPr>
              <w:t xml:space="preserve"> </w:t>
            </w:r>
            <w:r>
              <w:t xml:space="preserve"> </w:t>
            </w:r>
          </w:p>
        </w:tc>
        <w:tc>
          <w:tcPr>
            <w:tcW w:w="1620" w:type="dxa"/>
            <w:tcBorders>
              <w:top w:val="single" w:sz="4" w:space="0" w:color="000000"/>
              <w:left w:val="single" w:sz="4" w:space="0" w:color="000000"/>
              <w:bottom w:val="single" w:sz="4" w:space="0" w:color="000000"/>
              <w:right w:val="single" w:sz="4" w:space="0" w:color="000000"/>
            </w:tcBorders>
          </w:tcPr>
          <w:p w:rsidR="002D56CB" w14:paraId="30F92EA9" w14:textId="77777777">
            <w:pPr>
              <w:spacing w:after="0" w:line="259" w:lineRule="auto"/>
              <w:ind w:left="0" w:firstLine="0"/>
              <w:jc w:val="left"/>
            </w:pPr>
            <w:r>
              <w:rPr>
                <w:rFonts w:ascii="Times New Roman" w:eastAsia="Times New Roman" w:hAnsi="Times New Roman" w:cs="Times New Roman"/>
                <w:sz w:val="20"/>
              </w:rPr>
              <w:t xml:space="preserve"> </w:t>
            </w:r>
            <w:r>
              <w:t xml:space="preserve"> </w:t>
            </w:r>
          </w:p>
        </w:tc>
        <w:tc>
          <w:tcPr>
            <w:tcW w:w="1788" w:type="dxa"/>
            <w:tcBorders>
              <w:top w:val="single" w:sz="4" w:space="0" w:color="000000"/>
              <w:left w:val="single" w:sz="4" w:space="0" w:color="000000"/>
              <w:bottom w:val="single" w:sz="4" w:space="0" w:color="000000"/>
              <w:right w:val="single" w:sz="4" w:space="0" w:color="000000"/>
            </w:tcBorders>
          </w:tcPr>
          <w:p w:rsidR="002D56CB" w14:paraId="627FD5F8" w14:textId="77777777">
            <w:pPr>
              <w:spacing w:after="0" w:line="259" w:lineRule="auto"/>
              <w:ind w:left="0" w:firstLine="0"/>
              <w:jc w:val="left"/>
            </w:pPr>
            <w:r>
              <w:rPr>
                <w:rFonts w:ascii="Times New Roman" w:eastAsia="Times New Roman" w:hAnsi="Times New Roman" w:cs="Times New Roman"/>
                <w:sz w:val="20"/>
              </w:rPr>
              <w:t xml:space="preserve"> </w:t>
            </w:r>
            <w:r>
              <w:t xml:space="preserve"> </w:t>
            </w:r>
          </w:p>
        </w:tc>
        <w:tc>
          <w:tcPr>
            <w:tcW w:w="2844" w:type="dxa"/>
            <w:tcBorders>
              <w:top w:val="single" w:sz="4" w:space="0" w:color="000000"/>
              <w:left w:val="single" w:sz="4" w:space="0" w:color="000000"/>
              <w:bottom w:val="single" w:sz="4" w:space="0" w:color="000000"/>
              <w:right w:val="single" w:sz="4" w:space="0" w:color="000000"/>
            </w:tcBorders>
          </w:tcPr>
          <w:p w:rsidR="002D56CB" w14:paraId="5D407D5C" w14:textId="77777777">
            <w:pPr>
              <w:spacing w:after="0" w:line="259" w:lineRule="auto"/>
              <w:ind w:left="29" w:firstLine="0"/>
              <w:jc w:val="center"/>
            </w:pPr>
            <w:r>
              <w:rPr>
                <w:b/>
              </w:rPr>
              <w:t xml:space="preserve">TOTAL: </w:t>
            </w:r>
            <w:r>
              <w:t xml:space="preserve">$1,572.00  </w:t>
            </w:r>
          </w:p>
        </w:tc>
      </w:tr>
    </w:tbl>
    <w:p w:rsidR="002D56CB" w14:paraId="7EE417E1" w14:textId="77777777">
      <w:pPr>
        <w:spacing w:after="0" w:line="259" w:lineRule="auto"/>
        <w:ind w:left="1" w:firstLine="0"/>
        <w:jc w:val="left"/>
      </w:pPr>
      <w:r>
        <w:t xml:space="preserve">  </w:t>
      </w:r>
    </w:p>
    <w:p w:rsidR="002D56CB" w14:paraId="0F750E60" w14:textId="77777777">
      <w:pPr>
        <w:spacing w:after="0" w:line="259" w:lineRule="auto"/>
        <w:ind w:left="1" w:firstLine="0"/>
        <w:jc w:val="left"/>
      </w:pPr>
      <w:r>
        <w:t xml:space="preserve"> </w:t>
      </w:r>
    </w:p>
    <w:p w:rsidR="00206361" w14:paraId="10B9E837" w14:textId="77777777">
      <w:pPr>
        <w:spacing w:after="0" w:line="259" w:lineRule="auto"/>
        <w:ind w:left="1" w:firstLine="0"/>
        <w:jc w:val="left"/>
      </w:pPr>
    </w:p>
    <w:p w:rsidR="00206361" w14:paraId="05E1E4A6" w14:textId="77777777">
      <w:pPr>
        <w:spacing w:after="0" w:line="259" w:lineRule="auto"/>
        <w:ind w:left="1" w:firstLine="0"/>
        <w:jc w:val="left"/>
      </w:pPr>
    </w:p>
    <w:p w:rsidR="00206361" w14:paraId="0A4AC13B" w14:textId="77777777">
      <w:pPr>
        <w:spacing w:after="0" w:line="259" w:lineRule="auto"/>
        <w:ind w:left="1" w:firstLine="0"/>
        <w:jc w:val="left"/>
      </w:pPr>
    </w:p>
    <w:p w:rsidR="002D56CB" w14:paraId="18B52144" w14:textId="77777777">
      <w:pPr>
        <w:numPr>
          <w:ilvl w:val="0"/>
          <w:numId w:val="4"/>
        </w:numPr>
        <w:ind w:right="505" w:hanging="367"/>
      </w:pPr>
      <w:r>
        <w:t xml:space="preserve">PROGRAM OR BURDEN CHANGES  </w:t>
      </w:r>
    </w:p>
    <w:p w:rsidR="00F50E65" w:rsidRPr="00F50E65" w:rsidP="007B1AAE" w14:paraId="14530895" w14:textId="174E2E90">
      <w:pPr>
        <w:spacing w:after="10" w:line="259" w:lineRule="auto"/>
        <w:ind w:left="1" w:firstLine="0"/>
        <w:jc w:val="left"/>
        <w:rPr>
          <w:rFonts w:cstheme="minorHAnsi"/>
          <w:color w:val="000000" w:themeColor="text1"/>
          <w:szCs w:val="22"/>
        </w:rPr>
      </w:pPr>
      <w:r>
        <w:t xml:space="preserve">  </w:t>
      </w:r>
    </w:p>
    <w:p w:rsidR="002D56CB" w:rsidRPr="00F50E65" w14:paraId="164399B9" w14:textId="02CD2D64">
      <w:pPr>
        <w:spacing w:after="2" w:line="243" w:lineRule="auto"/>
        <w:ind w:left="236" w:right="551" w:hanging="11"/>
        <w:jc w:val="left"/>
        <w:rPr>
          <w:szCs w:val="22"/>
        </w:rPr>
      </w:pPr>
      <w:r w:rsidRPr="00F50E65">
        <w:rPr>
          <w:szCs w:val="22"/>
        </w:rPr>
        <w:t xml:space="preserve">We estimate that 5,817 hospitals and CAHs will deliver 2,073,991 notices, annually. This represents an increase of 1,390,769 from our last collection. This is due to our recent capacity to capture Medicare Advantage data in addition to Original Medicare. There are no associated policy changes, but solely the ability to fully account for the existing burden. Hourly burden has increased from 170,806 to 518,498 due to the growth in hospitals/CAHs and notices submitted.   </w:t>
      </w:r>
    </w:p>
    <w:p w:rsidR="002D56CB" w:rsidRPr="00F50E65" w14:paraId="3A6D0B6D" w14:textId="77777777">
      <w:pPr>
        <w:spacing w:after="0" w:line="259" w:lineRule="auto"/>
        <w:ind w:left="1" w:firstLine="0"/>
        <w:jc w:val="left"/>
        <w:rPr>
          <w:szCs w:val="22"/>
        </w:rPr>
      </w:pPr>
      <w:r w:rsidRPr="00F50E65">
        <w:rPr>
          <w:szCs w:val="22"/>
        </w:rPr>
        <w:t xml:space="preserve">  </w:t>
      </w:r>
    </w:p>
    <w:p w:rsidR="002D56CB" w:rsidRPr="00F50E65" w14:paraId="045C1770" w14:textId="77777777">
      <w:pPr>
        <w:ind w:left="214" w:right="395"/>
        <w:jc w:val="center"/>
        <w:rPr>
          <w:szCs w:val="22"/>
        </w:rPr>
      </w:pPr>
      <w:r w:rsidRPr="00F50E65">
        <w:rPr>
          <w:szCs w:val="22"/>
        </w:rPr>
        <w:t xml:space="preserve">The cost per response is now $22.50 based on an adjusted hourly salary rate of $90.00. Previously, it was $19.89 based on an hourly salary rate of $79.56. This is due to updated wage index numbers.  </w:t>
      </w:r>
    </w:p>
    <w:p w:rsidR="002D56CB" w14:paraId="5BFBD810" w14:textId="77777777">
      <w:pPr>
        <w:spacing w:after="0" w:line="259" w:lineRule="auto"/>
        <w:ind w:left="1" w:firstLine="0"/>
        <w:jc w:val="left"/>
      </w:pPr>
      <w:r>
        <w:t xml:space="preserve">  </w:t>
      </w:r>
    </w:p>
    <w:p w:rsidR="002D56CB" w14:paraId="679CB660" w14:textId="77777777">
      <w:pPr>
        <w:numPr>
          <w:ilvl w:val="0"/>
          <w:numId w:val="4"/>
        </w:numPr>
        <w:ind w:right="505" w:hanging="367"/>
      </w:pPr>
      <w:r>
        <w:t xml:space="preserve">PUBLICATION AND TABULATION DATES  </w:t>
      </w:r>
    </w:p>
    <w:p w:rsidR="002D56CB" w14:paraId="020D758B" w14:textId="77777777">
      <w:pPr>
        <w:spacing w:after="0" w:line="259" w:lineRule="auto"/>
        <w:ind w:left="1" w:firstLine="0"/>
        <w:jc w:val="left"/>
      </w:pPr>
      <w:r>
        <w:t xml:space="preserve">  </w:t>
      </w:r>
    </w:p>
    <w:p w:rsidR="002D56CB" w14:paraId="596301DA" w14:textId="77777777">
      <w:pPr>
        <w:ind w:left="270" w:right="681"/>
      </w:pPr>
      <w:r>
        <w:t xml:space="preserve">The notice will be published online at </w:t>
      </w:r>
      <w:hyperlink r:id="rId6">
        <w:r>
          <w:rPr>
            <w:color w:val="0562C1"/>
            <w:u w:val="single" w:color="0562C1"/>
          </w:rPr>
          <w:t>https://www.cms.gov/medicare/forms-</w:t>
        </w:r>
      </w:hyperlink>
      <w:hyperlink r:id="rId6">
        <w:r>
          <w:rPr>
            <w:color w:val="0562C1"/>
          </w:rPr>
          <w:t xml:space="preserve"> </w:t>
        </w:r>
      </w:hyperlink>
      <w:hyperlink r:id="rId6">
        <w:r>
          <w:rPr>
            <w:color w:val="0562C1"/>
            <w:u w:val="single" w:color="0562C1"/>
          </w:rPr>
          <w:t>notices/beneficiary-notices-initiative</w:t>
        </w:r>
      </w:hyperlink>
      <w:hyperlink r:id="rId6">
        <w:r>
          <w:rPr>
            <w:color w:val="0562C1"/>
          </w:rPr>
          <w:t xml:space="preserve"> </w:t>
        </w:r>
      </w:hyperlink>
      <w:hyperlink r:id="rId6">
        <w:r>
          <w:t>H</w:t>
        </w:r>
      </w:hyperlink>
      <w:r>
        <w:t xml:space="preserve">owever, no aggregate or individual data will be tabulated from the notice.  </w:t>
      </w:r>
    </w:p>
    <w:p w:rsidR="002D56CB" w14:paraId="464AF66B" w14:textId="77777777">
      <w:pPr>
        <w:spacing w:after="0" w:line="259" w:lineRule="auto"/>
        <w:ind w:left="1" w:firstLine="0"/>
        <w:jc w:val="left"/>
      </w:pPr>
      <w:r>
        <w:t xml:space="preserve">  </w:t>
      </w:r>
    </w:p>
    <w:p w:rsidR="002D56CB" w14:paraId="44DC38C5" w14:textId="77777777">
      <w:pPr>
        <w:numPr>
          <w:ilvl w:val="0"/>
          <w:numId w:val="4"/>
        </w:numPr>
        <w:ind w:right="505" w:hanging="367"/>
      </w:pPr>
      <w:r>
        <w:t xml:space="preserve">EXPIRATION DATE  </w:t>
      </w:r>
    </w:p>
    <w:p w:rsidR="002D56CB" w14:paraId="4F7AA57F" w14:textId="77777777">
      <w:pPr>
        <w:spacing w:after="0" w:line="259" w:lineRule="auto"/>
        <w:ind w:left="1" w:firstLine="0"/>
        <w:jc w:val="left"/>
      </w:pPr>
      <w:r>
        <w:t xml:space="preserve">  </w:t>
      </w:r>
    </w:p>
    <w:p w:rsidR="002D56CB" w14:paraId="2F2BE15D" w14:textId="77777777">
      <w:pPr>
        <w:ind w:left="270" w:right="505"/>
      </w:pPr>
      <w:r>
        <w:t xml:space="preserve">We are not requesting any exemption. Expiration and OMB control </w:t>
      </w:r>
      <w:r>
        <w:t>number</w:t>
      </w:r>
      <w:r>
        <w:t xml:space="preserve"> will be displayed on all forms and instruction documents.  </w:t>
      </w:r>
    </w:p>
    <w:p w:rsidR="002D56CB" w14:paraId="417179A9" w14:textId="77777777">
      <w:pPr>
        <w:spacing w:after="0" w:line="259" w:lineRule="auto"/>
        <w:ind w:left="1" w:firstLine="0"/>
        <w:jc w:val="left"/>
      </w:pPr>
      <w:r>
        <w:t xml:space="preserve">  </w:t>
      </w:r>
    </w:p>
    <w:p w:rsidR="002D56CB" w14:paraId="3955302C" w14:textId="77777777">
      <w:pPr>
        <w:numPr>
          <w:ilvl w:val="0"/>
          <w:numId w:val="4"/>
        </w:numPr>
        <w:ind w:right="505" w:hanging="367"/>
      </w:pPr>
      <w:r>
        <w:t xml:space="preserve">CERTIFICATION STATEMENT  </w:t>
      </w:r>
    </w:p>
    <w:p w:rsidR="002D56CB" w14:paraId="1425D16B" w14:textId="77777777">
      <w:pPr>
        <w:spacing w:after="0" w:line="259" w:lineRule="auto"/>
        <w:ind w:left="1" w:firstLine="0"/>
        <w:jc w:val="left"/>
      </w:pPr>
      <w:r>
        <w:t xml:space="preserve">  </w:t>
      </w:r>
    </w:p>
    <w:p w:rsidR="002D56CB" w14:paraId="09DFA9A6" w14:textId="77777777">
      <w:pPr>
        <w:ind w:left="270" w:right="505"/>
      </w:pPr>
      <w:r>
        <w:t xml:space="preserve">There are no exceptions to the certification statement.  </w:t>
      </w:r>
    </w:p>
    <w:p w:rsidR="002D56CB" w14:paraId="647C0C7C" w14:textId="77777777">
      <w:pPr>
        <w:spacing w:after="27" w:line="259" w:lineRule="auto"/>
        <w:ind w:left="1" w:firstLine="0"/>
        <w:jc w:val="left"/>
      </w:pPr>
      <w:r>
        <w:t xml:space="preserve">   </w:t>
      </w:r>
    </w:p>
    <w:p w:rsidR="002D56CB" w14:paraId="05F7E052" w14:textId="77777777">
      <w:pPr>
        <w:numPr>
          <w:ilvl w:val="0"/>
          <w:numId w:val="4"/>
        </w:numPr>
        <w:ind w:right="505" w:hanging="367"/>
      </w:pPr>
      <w:r>
        <w:t xml:space="preserve">COLLECTION OF INFORMATION EMPLOYING STATISTICAL METHODS  </w:t>
      </w:r>
    </w:p>
    <w:p w:rsidR="002D56CB" w14:paraId="11655327" w14:textId="77777777">
      <w:pPr>
        <w:spacing w:after="7" w:line="259" w:lineRule="auto"/>
        <w:ind w:left="341" w:firstLine="0"/>
        <w:jc w:val="left"/>
      </w:pPr>
      <w:r>
        <w:t xml:space="preserve"> </w:t>
      </w:r>
    </w:p>
    <w:p w:rsidR="002D56CB" w14:paraId="7733BCD5" w14:textId="77777777">
      <w:pPr>
        <w:ind w:left="270" w:right="505"/>
      </w:pPr>
      <w:r>
        <w:t xml:space="preserve">There are no statistical methods associated with this collection.  </w:t>
      </w:r>
    </w:p>
    <w:sectPr>
      <w:pgSz w:w="12240" w:h="15840"/>
      <w:pgMar w:top="1451" w:right="916" w:bottom="415" w:left="10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72139D"/>
    <w:multiLevelType w:val="hybridMultilevel"/>
    <w:tmpl w:val="28B27704"/>
    <w:lvl w:ilvl="0">
      <w:start w:val="13"/>
      <w:numFmt w:val="decimal"/>
      <w:lvlText w:val="%1."/>
      <w:lvlJc w:val="left"/>
      <w:pPr>
        <w:ind w:left="627"/>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35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7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1">
    <w:nsid w:val="36A1736B"/>
    <w:multiLevelType w:val="hybridMultilevel"/>
    <w:tmpl w:val="62A604E6"/>
    <w:lvl w:ilvl="0">
      <w:start w:val="1"/>
      <w:numFmt w:val="bullet"/>
      <w:lvlText w:val="•"/>
      <w:lvlJc w:val="left"/>
      <w:pPr>
        <w:ind w:left="1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3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6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3B206E77"/>
    <w:multiLevelType w:val="hybridMultilevel"/>
    <w:tmpl w:val="29A4C9BC"/>
    <w:lvl w:ilvl="0">
      <w:start w:val="15"/>
      <w:numFmt w:val="decimal"/>
      <w:lvlText w:val="%1."/>
      <w:lvlJc w:val="left"/>
      <w:pPr>
        <w:ind w:left="627"/>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35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7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3">
    <w:nsid w:val="649B6C26"/>
    <w:multiLevelType w:val="hybridMultilevel"/>
    <w:tmpl w:val="83946314"/>
    <w:lvl w:ilvl="0">
      <w:start w:val="1"/>
      <w:numFmt w:val="decimal"/>
      <w:lvlText w:val="%1."/>
      <w:lvlJc w:val="left"/>
      <w:pPr>
        <w:ind w:left="627"/>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972563511">
    <w:abstractNumId w:val="1"/>
  </w:num>
  <w:num w:numId="2" w16cid:durableId="417141139">
    <w:abstractNumId w:val="3"/>
  </w:num>
  <w:num w:numId="3" w16cid:durableId="121773706">
    <w:abstractNumId w:val="0"/>
  </w:num>
  <w:num w:numId="4" w16cid:durableId="532426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6CB"/>
    <w:rsid w:val="00007131"/>
    <w:rsid w:val="00206361"/>
    <w:rsid w:val="0027447A"/>
    <w:rsid w:val="002D56CB"/>
    <w:rsid w:val="003E2590"/>
    <w:rsid w:val="0046723E"/>
    <w:rsid w:val="007B1AAE"/>
    <w:rsid w:val="00864B99"/>
    <w:rsid w:val="00880E8E"/>
    <w:rsid w:val="00A942E7"/>
    <w:rsid w:val="00AB63AE"/>
    <w:rsid w:val="00C90414"/>
    <w:rsid w:val="00D23EC3"/>
    <w:rsid w:val="00D25E7C"/>
    <w:rsid w:val="00D56AB0"/>
    <w:rsid w:val="00DD4B62"/>
    <w:rsid w:val="00E46A34"/>
    <w:rsid w:val="00F50E65"/>
    <w:rsid w:val="00FF5A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88C85F"/>
  <w15:docId w15:val="{130EC521-D633-4CFC-B257-EE8069E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50" w:lineRule="auto"/>
      <w:ind w:left="285" w:hanging="10"/>
      <w:jc w:val="both"/>
    </w:pPr>
    <w:rPr>
      <w:rFonts w:ascii="Georgia" w:eastAsia="Georgia" w:hAnsi="Georgia" w:cs="Georgia"/>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F5A6E"/>
    <w:rPr>
      <w:sz w:val="16"/>
      <w:szCs w:val="16"/>
    </w:rPr>
  </w:style>
  <w:style w:type="paragraph" w:styleId="CommentText">
    <w:name w:val="annotation text"/>
    <w:basedOn w:val="Normal"/>
    <w:link w:val="CommentTextChar"/>
    <w:uiPriority w:val="99"/>
    <w:unhideWhenUsed/>
    <w:rsid w:val="00FF5A6E"/>
    <w:pPr>
      <w:spacing w:line="240" w:lineRule="auto"/>
    </w:pPr>
    <w:rPr>
      <w:sz w:val="20"/>
      <w:szCs w:val="20"/>
    </w:rPr>
  </w:style>
  <w:style w:type="character" w:customStyle="1" w:styleId="CommentTextChar">
    <w:name w:val="Comment Text Char"/>
    <w:basedOn w:val="DefaultParagraphFont"/>
    <w:link w:val="CommentText"/>
    <w:uiPriority w:val="99"/>
    <w:rsid w:val="00FF5A6E"/>
    <w:rPr>
      <w:rFonts w:ascii="Georgia" w:eastAsia="Georgia" w:hAnsi="Georgia" w:cs="Georgia"/>
      <w:color w:val="000000"/>
      <w:sz w:val="20"/>
      <w:szCs w:val="20"/>
    </w:rPr>
  </w:style>
  <w:style w:type="paragraph" w:styleId="CommentSubject">
    <w:name w:val="annotation subject"/>
    <w:basedOn w:val="CommentText"/>
    <w:next w:val="CommentText"/>
    <w:link w:val="CommentSubjectChar"/>
    <w:uiPriority w:val="99"/>
    <w:semiHidden/>
    <w:unhideWhenUsed/>
    <w:rsid w:val="00FF5A6E"/>
    <w:rPr>
      <w:b/>
      <w:bCs/>
    </w:rPr>
  </w:style>
  <w:style w:type="character" w:customStyle="1" w:styleId="CommentSubjectChar">
    <w:name w:val="Comment Subject Char"/>
    <w:basedOn w:val="CommentTextChar"/>
    <w:link w:val="CommentSubject"/>
    <w:uiPriority w:val="99"/>
    <w:semiHidden/>
    <w:rsid w:val="00FF5A6E"/>
    <w:rPr>
      <w:rFonts w:ascii="Georgia" w:eastAsia="Georgia" w:hAnsi="Georgia" w:cs="Georgi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hyperlink" Target="https://www.opm.gov/policy-data-oversight/pay-leave/salaries-wages/salary-%20tables/pdf/2025/DCB_h.pdf" TargetMode="External" /><Relationship Id="rId6" Type="http://schemas.openxmlformats.org/officeDocument/2006/relationships/hyperlink" Target="https://www.cms.gov/medicare/forms-notices/beneficiary-notices-initiative"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2247</Words>
  <Characters>12495</Characters>
  <Application>Microsoft Office Word</Application>
  <DocSecurity>0</DocSecurity>
  <Lines>367</Lines>
  <Paragraphs>175</Paragraphs>
  <ScaleCrop>false</ScaleCrop>
  <HeadingPairs>
    <vt:vector size="2" baseType="variant">
      <vt:variant>
        <vt:lpstr>Title</vt:lpstr>
      </vt:variant>
      <vt:variant>
        <vt:i4>1</vt:i4>
      </vt:variant>
    </vt:vector>
  </HeadingPairs>
  <TitlesOfParts>
    <vt:vector size="1" baseType="lpstr">
      <vt:lpstr>Supporting Statement for the Medicare Outpatient Observation Notice</vt:lpstr>
    </vt:vector>
  </TitlesOfParts>
  <Company>Center For Medicaid Services</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Medicare Outpatient Observation Notice</dc:title>
  <dc:subject>PRA supporting statement for MOON</dc:subject>
  <dc:creator>CMS/CPC/MEAG/DAP</dc:creator>
  <cp:keywords>MOON, Supporting Statement for the Medicare Outpatient Observation Notice, HON PRA</cp:keywords>
  <cp:lastModifiedBy>Simons, Stephanie (CMS/CM)</cp:lastModifiedBy>
  <cp:revision>6</cp:revision>
  <dcterms:created xsi:type="dcterms:W3CDTF">2026-01-09T19:08:00Z</dcterms:created>
  <dcterms:modified xsi:type="dcterms:W3CDTF">2026-01-13T20:09:00Z</dcterms:modified>
</cp:coreProperties>
</file>