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0CBF" w:rsidP="00E50CBF" w14:paraId="78422590" w14:textId="7A8B2AB5">
      <w:pPr>
        <w:jc w:val="center"/>
      </w:pPr>
      <w:r>
        <w:t xml:space="preserve">AR Lab Network Alert Report Form for </w:t>
      </w:r>
      <w:r w:rsidR="00A70D2F">
        <w:t xml:space="preserve">Carbapenemase-producing Organisms </w:t>
      </w:r>
    </w:p>
    <w:tbl>
      <w:tblPr>
        <w:tblW w:w="7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0"/>
      </w:tblGrid>
      <w:tr w14:paraId="7130F56E" w14:textId="77777777" w:rsidTr="6C0EF6F4">
        <w:tblPrEx>
          <w:tblW w:w="7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jc w:val="center"/>
        </w:trPr>
        <w:tc>
          <w:tcPr>
            <w:tcW w:w="7100" w:type="dxa"/>
            <w:shd w:val="clear" w:color="auto" w:fill="auto"/>
            <w:noWrap/>
            <w:vAlign w:val="bottom"/>
            <w:hideMark/>
          </w:tcPr>
          <w:p w:rsidR="0083333F" w:rsidRPr="0083333F" w:rsidP="0083333F" w14:paraId="1CA7ECB7"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Submitting State Laboratory ID</w:t>
            </w:r>
          </w:p>
        </w:tc>
      </w:tr>
      <w:tr w14:paraId="21E4C437"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E446BB4"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Date alert sent from jurisdiction to CDC</w:t>
            </w:r>
          </w:p>
        </w:tc>
      </w:tr>
      <w:tr w14:paraId="4D0531D4"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60483424" w14:textId="77777777">
            <w:pPr>
              <w:spacing w:after="0" w:line="240" w:lineRule="auto"/>
              <w:rPr>
                <w:rFonts w:ascii="Calibri" w:eastAsia="Times New Roman" w:hAnsi="Calibri" w:cs="Calibri"/>
                <w:color w:val="000000"/>
              </w:rPr>
            </w:pPr>
            <w:r>
              <w:rPr>
                <w:rFonts w:ascii="Calibri" w:eastAsia="Times New Roman" w:hAnsi="Calibri" w:cs="Calibri"/>
                <w:color w:val="000000"/>
              </w:rPr>
              <w:t>Which state is submitting this alert?</w:t>
            </w:r>
          </w:p>
        </w:tc>
      </w:tr>
      <w:tr w14:paraId="76B5C6A0"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B05CBD" w14:paraId="5B55694E" w14:textId="77777777">
            <w:pPr>
              <w:spacing w:after="0" w:line="240" w:lineRule="auto"/>
              <w:rPr>
                <w:rFonts w:ascii="Calibri" w:eastAsia="Times New Roman" w:hAnsi="Calibri" w:cs="Calibri"/>
                <w:color w:val="000000"/>
              </w:rPr>
            </w:pPr>
            <w:r>
              <w:rPr>
                <w:rFonts w:ascii="Calibri" w:eastAsia="Times New Roman" w:hAnsi="Calibri" w:cs="Calibri"/>
                <w:color w:val="000000"/>
              </w:rPr>
              <w:t>From which state did the isolate originate</w:t>
            </w:r>
            <w:r w:rsidRPr="0083333F">
              <w:rPr>
                <w:rFonts w:ascii="Calibri" w:eastAsia="Times New Roman" w:hAnsi="Calibri" w:cs="Calibri"/>
                <w:color w:val="000000"/>
              </w:rPr>
              <w:t>?</w:t>
            </w:r>
          </w:p>
        </w:tc>
      </w:tr>
      <w:tr w14:paraId="1479C810"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691DA8B"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Alert type</w:t>
            </w:r>
          </w:p>
        </w:tc>
      </w:tr>
      <w:tr w14:paraId="613129D2"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EFCBED1"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Alert type other, specify</w:t>
            </w:r>
          </w:p>
        </w:tc>
      </w:tr>
      <w:tr w14:paraId="43467B5B"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61E4B96" w14:textId="58AC9CA4">
            <w:pPr>
              <w:spacing w:after="0" w:line="240" w:lineRule="auto"/>
              <w:rPr>
                <w:rFonts w:ascii="Calibri" w:eastAsia="Times New Roman" w:hAnsi="Calibri" w:cs="Calibri"/>
                <w:color w:val="000000"/>
              </w:rPr>
            </w:pPr>
            <w:r w:rsidRPr="6C0EF6F4">
              <w:rPr>
                <w:rFonts w:ascii="Calibri" w:eastAsia="Times New Roman" w:hAnsi="Calibri" w:cs="Calibri"/>
                <w:color w:val="000000" w:themeColor="text1"/>
              </w:rPr>
              <w:t>Was this pan resistant? (no</w:t>
            </w:r>
            <w:r w:rsidRPr="6C0EF6F4" w:rsidR="50DA4FEB">
              <w:rPr>
                <w:rFonts w:ascii="Calibri" w:eastAsia="Times New Roman" w:hAnsi="Calibri" w:cs="Calibri"/>
                <w:color w:val="000000" w:themeColor="text1"/>
              </w:rPr>
              <w:t>t</w:t>
            </w:r>
            <w:r w:rsidRPr="6C0EF6F4">
              <w:rPr>
                <w:rFonts w:ascii="Calibri" w:eastAsia="Times New Roman" w:hAnsi="Calibri" w:cs="Calibri"/>
                <w:color w:val="000000" w:themeColor="text1"/>
              </w:rPr>
              <w:t>-susceptible to all drugs tested thus far)</w:t>
            </w:r>
          </w:p>
        </w:tc>
      </w:tr>
      <w:tr w14:paraId="006A9E9B"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01F71EF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Was this isolate sent to regional laboratory for testing?</w:t>
            </w:r>
          </w:p>
        </w:tc>
      </w:tr>
      <w:tr w14:paraId="364CAB03"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5534361"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Original submitting State Laboratory ID</w:t>
            </w:r>
          </w:p>
        </w:tc>
      </w:tr>
      <w:tr w14:paraId="3878D1CC"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6496372"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Specimen source</w:t>
            </w:r>
          </w:p>
        </w:tc>
      </w:tr>
      <w:tr w14:paraId="652766C2"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0E156098"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Patient age in years</w:t>
            </w:r>
          </w:p>
        </w:tc>
      </w:tr>
      <w:tr w14:paraId="4EC6C507"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39DFB84"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Date of specimen collection</w:t>
            </w:r>
          </w:p>
        </w:tc>
      </w:tr>
      <w:tr w14:paraId="155A6A6E"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A8181B9"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Organism (Genera)</w:t>
            </w:r>
          </w:p>
        </w:tc>
      </w:tr>
      <w:tr w14:paraId="64E25C7E"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48B1B7BB"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Other genus, specify</w:t>
            </w:r>
          </w:p>
        </w:tc>
      </w:tr>
      <w:tr w14:paraId="289F83D2"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5B034CA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Species</w:t>
            </w:r>
          </w:p>
        </w:tc>
      </w:tr>
      <w:tr w14:paraId="73D96DD5" w14:textId="77777777" w:rsidTr="6C0EF6F4">
        <w:tblPrEx>
          <w:tblW w:w="7100" w:type="dxa"/>
          <w:jc w:val="center"/>
          <w:tblLook w:val="04A0"/>
        </w:tblPrEx>
        <w:trPr>
          <w:trHeight w:val="288"/>
          <w:jc w:val="center"/>
        </w:trPr>
        <w:tc>
          <w:tcPr>
            <w:tcW w:w="7100" w:type="dxa"/>
            <w:shd w:val="clear" w:color="auto" w:fill="auto"/>
            <w:vAlign w:val="bottom"/>
            <w:hideMark/>
          </w:tcPr>
          <w:p w:rsidR="0083333F" w:rsidRPr="0083333F" w:rsidP="0083333F" w14:paraId="0A90E622"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 xml:space="preserve">mCIM or Carba-NP results? </w:t>
            </w:r>
          </w:p>
        </w:tc>
      </w:tr>
      <w:tr w14:paraId="2CD2AB56" w14:textId="77777777" w:rsidTr="6C0EF6F4">
        <w:tblPrEx>
          <w:tblW w:w="7100" w:type="dxa"/>
          <w:jc w:val="center"/>
          <w:tblLook w:val="04A0"/>
        </w:tblPrEx>
        <w:trPr>
          <w:trHeight w:val="288"/>
          <w:jc w:val="center"/>
        </w:trPr>
        <w:tc>
          <w:tcPr>
            <w:tcW w:w="7100" w:type="dxa"/>
            <w:shd w:val="clear" w:color="auto" w:fill="auto"/>
            <w:vAlign w:val="bottom"/>
            <w:hideMark/>
          </w:tcPr>
          <w:p w:rsidR="01B120DA" w:rsidP="72AEAE9C" w14:paraId="0CFD49C3" w14:textId="26E1A58E">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MBL screening method and result</w:t>
            </w:r>
          </w:p>
        </w:tc>
      </w:tr>
      <w:tr w14:paraId="6F6A0935"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7576928"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KPC Result</w:t>
            </w:r>
          </w:p>
        </w:tc>
      </w:tr>
      <w:tr w14:paraId="0474DA23"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51F022D3"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NDM Result</w:t>
            </w:r>
          </w:p>
        </w:tc>
      </w:tr>
      <w:tr w14:paraId="070508A8"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1E13042"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OXA-48 Result</w:t>
            </w:r>
          </w:p>
        </w:tc>
      </w:tr>
      <w:tr w14:paraId="473AA934"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792D26" w14:paraId="6729BCBE"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OXA-23</w:t>
            </w:r>
            <w:r w:rsidR="00792D26">
              <w:rPr>
                <w:rFonts w:ascii="Calibri" w:eastAsia="Times New Roman" w:hAnsi="Calibri" w:cs="Calibri"/>
                <w:color w:val="000000"/>
              </w:rPr>
              <w:t>, -24/40, 58-like</w:t>
            </w:r>
            <w:r w:rsidRPr="0083333F">
              <w:rPr>
                <w:rFonts w:ascii="Calibri" w:eastAsia="Times New Roman" w:hAnsi="Calibri" w:cs="Calibri"/>
                <w:color w:val="000000"/>
              </w:rPr>
              <w:t xml:space="preserve"> Result</w:t>
            </w:r>
          </w:p>
        </w:tc>
      </w:tr>
      <w:tr w14:paraId="53FC864E"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07A041C"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VIM Result</w:t>
            </w:r>
          </w:p>
        </w:tc>
      </w:tr>
      <w:tr w14:paraId="71EF050B"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9B939E7"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IMP Result</w:t>
            </w:r>
          </w:p>
        </w:tc>
      </w:tr>
      <w:tr w14:paraId="3FA0B125"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9A164B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Which method(s) was used to test IMP?</w:t>
            </w:r>
          </w:p>
        </w:tc>
      </w:tr>
      <w:tr w14:paraId="4FDEE562"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2B8A00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By which method was IMP positive?</w:t>
            </w:r>
          </w:p>
        </w:tc>
      </w:tr>
      <w:tr w14:paraId="2BAC8588"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512C216"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mcr-1 Result</w:t>
            </w:r>
          </w:p>
        </w:tc>
      </w:tr>
      <w:tr w14:paraId="48BE1C7D"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48B8D72"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mcr-2 Result</w:t>
            </w:r>
          </w:p>
        </w:tc>
      </w:tr>
      <w:tr w14:paraId="032A3414"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4057CB97"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Other genes detected</w:t>
            </w:r>
          </w:p>
        </w:tc>
      </w:tr>
      <w:tr w14:paraId="35C13DD6"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051C9D0A"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Other genes detected, specify</w:t>
            </w:r>
          </w:p>
        </w:tc>
      </w:tr>
      <w:tr w14:paraId="04970AA2"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516E03DD"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Description of AST for the isolate?</w:t>
            </w:r>
          </w:p>
        </w:tc>
      </w:tr>
      <w:tr w14:paraId="1AC44ECF" w14:textId="77777777" w:rsidTr="6C0EF6F4">
        <w:tblPrEx>
          <w:tblW w:w="7100" w:type="dxa"/>
          <w:jc w:val="center"/>
          <w:tblLook w:val="04A0"/>
        </w:tblPrEx>
        <w:trPr>
          <w:trHeight w:val="288"/>
          <w:jc w:val="center"/>
        </w:trPr>
        <w:tc>
          <w:tcPr>
            <w:tcW w:w="7100" w:type="dxa"/>
            <w:shd w:val="clear" w:color="auto" w:fill="auto"/>
            <w:noWrap/>
            <w:vAlign w:val="bottom"/>
            <w:hideMark/>
          </w:tcPr>
          <w:p w:rsidR="411608C7" w:rsidP="72AEAE9C" w14:paraId="4343F33A" w14:textId="747A1AAB">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Description of carbapenemase genes found via sequencing the isolate</w:t>
            </w:r>
          </w:p>
        </w:tc>
      </w:tr>
      <w:tr w14:paraId="06F93B90"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17F980F"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file from submitting lab</w:t>
            </w:r>
          </w:p>
        </w:tc>
      </w:tr>
      <w:tr w14:paraId="0D0B0DB0"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226EBB1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 xml:space="preserve">AST from submitting clinical lab </w:t>
            </w:r>
          </w:p>
        </w:tc>
      </w:tr>
      <w:tr w14:paraId="5DA0791A"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C18C73D"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 xml:space="preserve">AST  from public health lab </w:t>
            </w:r>
          </w:p>
        </w:tc>
      </w:tr>
      <w:tr w14:paraId="322B4B8D"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052C3B8"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Which method was used to conduct AST at Public Health Laboratory?</w:t>
            </w:r>
          </w:p>
        </w:tc>
      </w:tr>
      <w:tr w14:paraId="503752CC"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41FE34AB"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Amikacin</w:t>
            </w:r>
          </w:p>
        </w:tc>
      </w:tr>
      <w:tr w14:paraId="6B3A4F50"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5702B4E"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Ticarcillin/clavulanic acid constant 2</w:t>
            </w:r>
          </w:p>
        </w:tc>
      </w:tr>
      <w:tr w14:paraId="5278A4A1"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7019332"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Aztreonam</w:t>
            </w:r>
          </w:p>
        </w:tc>
      </w:tr>
      <w:tr w14:paraId="2193A826"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950888E"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Cefepime</w:t>
            </w:r>
          </w:p>
        </w:tc>
      </w:tr>
      <w:tr w14:paraId="653C637F"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8A67752"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Piperacillin/tazobactam constant 4</w:t>
            </w:r>
          </w:p>
        </w:tc>
      </w:tr>
      <w:tr w14:paraId="2317992E"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58C1EFC1"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Trimethoprim/sulfamethoxazole</w:t>
            </w:r>
          </w:p>
        </w:tc>
      </w:tr>
      <w:tr w14:paraId="7C27061F"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5B5C39EC"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Gentamicin</w:t>
            </w:r>
          </w:p>
        </w:tc>
      </w:tr>
      <w:tr w14:paraId="5184E015"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0022C8FA"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Cefepime</w:t>
            </w:r>
          </w:p>
        </w:tc>
      </w:tr>
      <w:tr w14:paraId="0BAFF0D1"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195677C"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Tobramycin</w:t>
            </w:r>
          </w:p>
        </w:tc>
      </w:tr>
      <w:tr w14:paraId="264DA985"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7B643A3"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Levofloxacin</w:t>
            </w:r>
          </w:p>
        </w:tc>
      </w:tr>
      <w:tr w14:paraId="50FD4523"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0C6D1CF9"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Doxycycline</w:t>
            </w:r>
          </w:p>
        </w:tc>
      </w:tr>
      <w:tr w14:paraId="2F2AB196"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F5230E6"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Ciprofloxacin</w:t>
            </w:r>
          </w:p>
        </w:tc>
      </w:tr>
      <w:tr w14:paraId="4E7FAF3E"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3EB8CA7"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Minocycline</w:t>
            </w:r>
          </w:p>
        </w:tc>
      </w:tr>
      <w:tr w14:paraId="369A524C"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372CFCB"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Meropenem</w:t>
            </w:r>
          </w:p>
        </w:tc>
      </w:tr>
      <w:tr w14:paraId="07809A86"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5954064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Doripenem</w:t>
            </w:r>
          </w:p>
        </w:tc>
      </w:tr>
      <w:tr w14:paraId="0DA7359B"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6BB4AEEA"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Colistin</w:t>
            </w:r>
          </w:p>
        </w:tc>
      </w:tr>
      <w:tr w14:paraId="02651FF8"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62C032AE"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Polymixin B</w:t>
            </w:r>
          </w:p>
        </w:tc>
      </w:tr>
      <w:tr w14:paraId="0FA67813"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C88300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Ceftazidime</w:t>
            </w:r>
          </w:p>
        </w:tc>
      </w:tr>
      <w:tr w14:paraId="797BD063"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00593611"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Cefotaxime</w:t>
            </w:r>
          </w:p>
        </w:tc>
      </w:tr>
      <w:tr w14:paraId="0EA3B7D0"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1DF6583C"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Tigecycline</w:t>
            </w:r>
          </w:p>
        </w:tc>
      </w:tr>
      <w:tr w14:paraId="62E3619F"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9CF5B03"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Ertapenem</w:t>
            </w:r>
          </w:p>
        </w:tc>
      </w:tr>
      <w:tr w14:paraId="4EAFE06E"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4825014E"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Imipenem</w:t>
            </w:r>
          </w:p>
        </w:tc>
      </w:tr>
      <w:tr w14:paraId="126F0E0D"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4C41C6A9"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Cefazolin</w:t>
            </w:r>
          </w:p>
        </w:tc>
      </w:tr>
      <w:tr w14:paraId="03876E3B"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497AB53B"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Ceftriaxone</w:t>
            </w:r>
          </w:p>
        </w:tc>
      </w:tr>
      <w:tr w14:paraId="77EA9DBC"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D9C8015"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Amoxicillin/Clavulanic acid</w:t>
            </w:r>
          </w:p>
        </w:tc>
      </w:tr>
      <w:tr w14:paraId="16B835DE"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EB23C17"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Ampicillin</w:t>
            </w:r>
          </w:p>
        </w:tc>
      </w:tr>
      <w:tr w14:paraId="327922B5"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3F754B3"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Ampicillin/Sulbactam</w:t>
            </w:r>
          </w:p>
        </w:tc>
      </w:tr>
      <w:tr w14:paraId="51B5A3D8"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6C353EC3"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Nitrofurantoin</w:t>
            </w:r>
          </w:p>
        </w:tc>
      </w:tr>
      <w:tr w14:paraId="0DEF8534"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405B699D"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Ceftazidime Avibactam</w:t>
            </w:r>
          </w:p>
        </w:tc>
      </w:tr>
      <w:tr w14:paraId="7E6150BB"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8D5D536"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Ceftolozane/tazobactam</w:t>
            </w:r>
          </w:p>
        </w:tc>
      </w:tr>
      <w:tr w14:paraId="50162853"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6630726"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Moxifloxacin</w:t>
            </w:r>
          </w:p>
        </w:tc>
      </w:tr>
      <w:tr w14:paraId="29F9B988" w14:textId="77777777" w:rsidTr="6C0EF6F4">
        <w:tblPrEx>
          <w:tblW w:w="7100" w:type="dxa"/>
          <w:jc w:val="center"/>
          <w:tblLook w:val="04A0"/>
        </w:tblPrEx>
        <w:trPr>
          <w:trHeight w:val="288"/>
          <w:jc w:val="center"/>
        </w:trPr>
        <w:tc>
          <w:tcPr>
            <w:tcW w:w="7100" w:type="dxa"/>
            <w:shd w:val="clear" w:color="auto" w:fill="auto"/>
            <w:noWrap/>
            <w:vAlign w:val="bottom"/>
            <w:hideMark/>
          </w:tcPr>
          <w:p w:rsidR="6A581AA4" w:rsidP="72AEAE9C" w14:paraId="454545AD" w14:textId="7B82E3A4">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AST result for Imipenem/Relebactam</w:t>
            </w:r>
          </w:p>
        </w:tc>
      </w:tr>
      <w:tr w14:paraId="7CA1B0FC" w14:textId="77777777" w:rsidTr="6C0EF6F4">
        <w:tblPrEx>
          <w:tblW w:w="7100" w:type="dxa"/>
          <w:jc w:val="center"/>
          <w:tblLook w:val="04A0"/>
        </w:tblPrEx>
        <w:trPr>
          <w:trHeight w:val="288"/>
          <w:jc w:val="center"/>
        </w:trPr>
        <w:tc>
          <w:tcPr>
            <w:tcW w:w="7100" w:type="dxa"/>
            <w:shd w:val="clear" w:color="auto" w:fill="auto"/>
            <w:noWrap/>
            <w:vAlign w:val="bottom"/>
            <w:hideMark/>
          </w:tcPr>
          <w:p w:rsidR="6A581AA4" w:rsidP="72AEAE9C" w14:paraId="17F51C1C" w14:textId="2E550F33">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AST result for Meropenem/Vaborbactam</w:t>
            </w:r>
          </w:p>
        </w:tc>
      </w:tr>
      <w:tr w14:paraId="4CEBA37E"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7D15EB2A"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results from Regional lab</w:t>
            </w:r>
          </w:p>
        </w:tc>
      </w:tr>
      <w:tr w14:paraId="2431C96F"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06EBEEB8"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Was the specimen detected during colonization screening?</w:t>
            </w:r>
          </w:p>
        </w:tc>
      </w:tr>
      <w:tr w14:paraId="763A561F"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250970D5"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State lab ID of the Index patient (isolate)</w:t>
            </w:r>
          </w:p>
        </w:tc>
      </w:tr>
      <w:tr w14:paraId="1AE7454B" w14:textId="77777777" w:rsidTr="6C0EF6F4">
        <w:tblPrEx>
          <w:tblW w:w="7100" w:type="dxa"/>
          <w:jc w:val="center"/>
          <w:tblLook w:val="04A0"/>
        </w:tblPrEx>
        <w:trPr>
          <w:trHeight w:val="288"/>
          <w:jc w:val="center"/>
        </w:trPr>
        <w:tc>
          <w:tcPr>
            <w:tcW w:w="7100" w:type="dxa"/>
            <w:shd w:val="clear" w:color="auto" w:fill="auto"/>
            <w:noWrap/>
            <w:vAlign w:val="bottom"/>
            <w:hideMark/>
          </w:tcPr>
          <w:p w:rsidR="0083333F" w:rsidRPr="0083333F" w:rsidP="0083333F" w14:paraId="3706CCB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Any other information about the isolate/patient you would like to us to know?</w:t>
            </w:r>
          </w:p>
        </w:tc>
      </w:tr>
      <w:tr w14:paraId="5A376D4F" w14:textId="77777777" w:rsidTr="6C0EF6F4">
        <w:tblPrEx>
          <w:tblW w:w="7100" w:type="dxa"/>
          <w:jc w:val="center"/>
          <w:tblLook w:val="04A0"/>
        </w:tblPrEx>
        <w:trPr>
          <w:trHeight w:val="288"/>
          <w:jc w:val="center"/>
        </w:trPr>
        <w:tc>
          <w:tcPr>
            <w:tcW w:w="7100" w:type="dxa"/>
            <w:shd w:val="clear" w:color="auto" w:fill="auto"/>
            <w:noWrap/>
            <w:vAlign w:val="bottom"/>
            <w:hideMark/>
          </w:tcPr>
          <w:p w:rsidR="6621CDD0" w:rsidP="72AEAE9C" w14:paraId="14A2918F" w14:textId="7895C490">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This isolate had ExAST testing.</w:t>
            </w:r>
          </w:p>
        </w:tc>
      </w:tr>
      <w:tr w14:paraId="2FF5AFCB" w14:textId="77777777" w:rsidTr="6C0EF6F4">
        <w:tblPrEx>
          <w:tblW w:w="7100" w:type="dxa"/>
          <w:jc w:val="center"/>
          <w:tblLook w:val="04A0"/>
        </w:tblPrEx>
        <w:trPr>
          <w:trHeight w:val="288"/>
          <w:jc w:val="center"/>
        </w:trPr>
        <w:tc>
          <w:tcPr>
            <w:tcW w:w="7100" w:type="dxa"/>
            <w:shd w:val="clear" w:color="auto" w:fill="auto"/>
            <w:noWrap/>
            <w:vAlign w:val="bottom"/>
            <w:hideMark/>
          </w:tcPr>
          <w:p w:rsidR="6621CDD0" w:rsidP="72AEAE9C" w14:paraId="3FD532DB" w14:textId="6D5C5D1D">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This isolate is supplementary testing and was not a direct request for ExAST.</w:t>
            </w:r>
          </w:p>
        </w:tc>
      </w:tr>
      <w:tr w14:paraId="50BF57A0" w14:textId="77777777" w:rsidTr="6C0EF6F4">
        <w:tblPrEx>
          <w:tblW w:w="7100" w:type="dxa"/>
          <w:jc w:val="center"/>
          <w:tblLook w:val="04A0"/>
        </w:tblPrEx>
        <w:trPr>
          <w:trHeight w:val="288"/>
          <w:jc w:val="center"/>
        </w:trPr>
        <w:tc>
          <w:tcPr>
            <w:tcW w:w="7100" w:type="dxa"/>
            <w:shd w:val="clear" w:color="auto" w:fill="auto"/>
            <w:noWrap/>
            <w:vAlign w:val="bottom"/>
            <w:hideMark/>
          </w:tcPr>
          <w:p w:rsidR="6621CDD0" w:rsidP="72AEAE9C" w14:paraId="7A7A1472" w14:textId="0EA924DB">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Record ID from New Drug Susceptibility Database</w:t>
            </w:r>
          </w:p>
        </w:tc>
      </w:tr>
      <w:tr w14:paraId="22C8A44E" w14:textId="77777777" w:rsidTr="6C0EF6F4">
        <w:tblPrEx>
          <w:tblW w:w="7100" w:type="dxa"/>
          <w:jc w:val="center"/>
          <w:tblLook w:val="04A0"/>
        </w:tblPrEx>
        <w:trPr>
          <w:trHeight w:val="288"/>
          <w:jc w:val="center"/>
        </w:trPr>
        <w:tc>
          <w:tcPr>
            <w:tcW w:w="7100" w:type="dxa"/>
            <w:shd w:val="clear" w:color="auto" w:fill="auto"/>
            <w:noWrap/>
            <w:vAlign w:val="bottom"/>
            <w:hideMark/>
          </w:tcPr>
          <w:p w:rsidR="6621CDD0" w:rsidP="72AEAE9C" w14:paraId="3AF7506D" w14:textId="4D8CAD75">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Name of submitting laboratory</w:t>
            </w:r>
          </w:p>
        </w:tc>
      </w:tr>
      <w:tr w14:paraId="5DFC4A65" w14:textId="77777777" w:rsidTr="6C0EF6F4">
        <w:tblPrEx>
          <w:tblW w:w="7100" w:type="dxa"/>
          <w:jc w:val="center"/>
          <w:tblLook w:val="04A0"/>
        </w:tblPrEx>
        <w:trPr>
          <w:trHeight w:val="288"/>
          <w:jc w:val="center"/>
        </w:trPr>
        <w:tc>
          <w:tcPr>
            <w:tcW w:w="7100" w:type="dxa"/>
            <w:shd w:val="clear" w:color="auto" w:fill="auto"/>
            <w:noWrap/>
            <w:vAlign w:val="bottom"/>
            <w:hideMark/>
          </w:tcPr>
          <w:p w:rsidR="6621CDD0" w:rsidP="72AEAE9C" w14:paraId="5382867C" w14:textId="1E4164F7">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Name of healthcare facility of origin</w:t>
            </w:r>
          </w:p>
        </w:tc>
      </w:tr>
      <w:tr w14:paraId="4F4725C6" w14:textId="77777777" w:rsidTr="6C0EF6F4">
        <w:tblPrEx>
          <w:tblW w:w="7100" w:type="dxa"/>
          <w:jc w:val="center"/>
          <w:tblLook w:val="04A0"/>
        </w:tblPrEx>
        <w:trPr>
          <w:trHeight w:val="288"/>
          <w:jc w:val="center"/>
        </w:trPr>
        <w:tc>
          <w:tcPr>
            <w:tcW w:w="7100" w:type="dxa"/>
            <w:shd w:val="clear" w:color="auto" w:fill="auto"/>
            <w:noWrap/>
            <w:vAlign w:val="bottom"/>
            <w:hideMark/>
          </w:tcPr>
          <w:p w:rsidR="6621CDD0" w:rsidP="72AEAE9C" w14:paraId="4A2A914D" w14:textId="0E284645">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Zipcode of healthcare facility of origin</w:t>
            </w:r>
          </w:p>
        </w:tc>
      </w:tr>
      <w:tr w14:paraId="32534776" w14:textId="77777777" w:rsidTr="6C0EF6F4">
        <w:tblPrEx>
          <w:tblW w:w="7100" w:type="dxa"/>
          <w:jc w:val="center"/>
          <w:tblLook w:val="04A0"/>
        </w:tblPrEx>
        <w:trPr>
          <w:trHeight w:val="288"/>
          <w:jc w:val="center"/>
        </w:trPr>
        <w:tc>
          <w:tcPr>
            <w:tcW w:w="7100" w:type="dxa"/>
            <w:shd w:val="clear" w:color="auto" w:fill="auto"/>
            <w:noWrap/>
            <w:vAlign w:val="bottom"/>
            <w:hideMark/>
          </w:tcPr>
          <w:p w:rsidR="6621CDD0" w:rsidP="72AEAE9C" w14:paraId="01DA5A0D" w14:textId="7C972EFD">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MIC Value for Ceftazadime-Avibactam from HP Printer</w:t>
            </w:r>
          </w:p>
        </w:tc>
      </w:tr>
      <w:tr w14:paraId="0BBD101A" w14:textId="77777777" w:rsidTr="6C0EF6F4">
        <w:tblPrEx>
          <w:tblW w:w="7100" w:type="dxa"/>
          <w:jc w:val="center"/>
          <w:tblLook w:val="04A0"/>
        </w:tblPrEx>
        <w:trPr>
          <w:trHeight w:val="288"/>
          <w:jc w:val="center"/>
        </w:trPr>
        <w:tc>
          <w:tcPr>
            <w:tcW w:w="7100" w:type="dxa"/>
            <w:shd w:val="clear" w:color="auto" w:fill="auto"/>
            <w:noWrap/>
            <w:vAlign w:val="bottom"/>
            <w:hideMark/>
          </w:tcPr>
          <w:p w:rsidR="6621CDD0" w:rsidP="72AEAE9C" w14:paraId="5D60B011" w14:textId="63BFF979">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Interpretation for MIC value for Ceftazidime/Avibactam from HP Printer</w:t>
            </w:r>
          </w:p>
        </w:tc>
      </w:tr>
      <w:tr w14:paraId="40DAE38C" w14:textId="77777777" w:rsidTr="6C0EF6F4">
        <w:tblPrEx>
          <w:tblW w:w="7100" w:type="dxa"/>
          <w:jc w:val="center"/>
          <w:tblLook w:val="04A0"/>
        </w:tblPrEx>
        <w:trPr>
          <w:trHeight w:val="288"/>
          <w:jc w:val="center"/>
        </w:trPr>
        <w:tc>
          <w:tcPr>
            <w:tcW w:w="7100" w:type="dxa"/>
            <w:shd w:val="clear" w:color="auto" w:fill="auto"/>
            <w:noWrap/>
            <w:vAlign w:val="bottom"/>
            <w:hideMark/>
          </w:tcPr>
          <w:p w:rsidR="6621CDD0" w:rsidP="72AEAE9C" w14:paraId="335B06C3" w14:textId="5D11C46A">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MIC value for Aztreonam from HP Printer</w:t>
            </w:r>
          </w:p>
        </w:tc>
      </w:tr>
      <w:tr w14:paraId="1B0ABE95" w14:textId="77777777" w:rsidTr="6C0EF6F4">
        <w:tblPrEx>
          <w:tblW w:w="7100" w:type="dxa"/>
          <w:jc w:val="center"/>
          <w:tblLook w:val="04A0"/>
        </w:tblPrEx>
        <w:trPr>
          <w:trHeight w:val="288"/>
          <w:jc w:val="center"/>
        </w:trPr>
        <w:tc>
          <w:tcPr>
            <w:tcW w:w="7100" w:type="dxa"/>
            <w:shd w:val="clear" w:color="auto" w:fill="auto"/>
            <w:noWrap/>
            <w:vAlign w:val="bottom"/>
            <w:hideMark/>
          </w:tcPr>
          <w:p w:rsidR="6621CDD0" w:rsidP="72AEAE9C" w14:paraId="11584DAD" w14:textId="532EE381">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Interpretation for MIC value for Aztreonam from HP Printer</w:t>
            </w:r>
          </w:p>
        </w:tc>
      </w:tr>
      <w:tr w14:paraId="4AD5AC11" w14:textId="77777777" w:rsidTr="6C0EF6F4">
        <w:tblPrEx>
          <w:tblW w:w="7100" w:type="dxa"/>
          <w:jc w:val="center"/>
          <w:tblLook w:val="04A0"/>
        </w:tblPrEx>
        <w:trPr>
          <w:trHeight w:val="288"/>
          <w:jc w:val="center"/>
        </w:trPr>
        <w:tc>
          <w:tcPr>
            <w:tcW w:w="7100" w:type="dxa"/>
            <w:shd w:val="clear" w:color="auto" w:fill="auto"/>
            <w:noWrap/>
            <w:vAlign w:val="bottom"/>
            <w:hideMark/>
          </w:tcPr>
          <w:p w:rsidR="6621CDD0" w:rsidP="72AEAE9C" w14:paraId="6BC176D5" w14:textId="094ABD4C">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MIC value for Aztreonam-Avibactam</w:t>
            </w:r>
          </w:p>
        </w:tc>
      </w:tr>
      <w:tr w14:paraId="0BDB6902" w14:textId="77777777" w:rsidTr="6C0EF6F4">
        <w:tblPrEx>
          <w:tblW w:w="7100" w:type="dxa"/>
          <w:jc w:val="center"/>
          <w:tblLook w:val="04A0"/>
        </w:tblPrEx>
        <w:trPr>
          <w:trHeight w:val="288"/>
          <w:jc w:val="center"/>
        </w:trPr>
        <w:tc>
          <w:tcPr>
            <w:tcW w:w="7100" w:type="dxa"/>
            <w:shd w:val="clear" w:color="auto" w:fill="auto"/>
            <w:noWrap/>
            <w:vAlign w:val="bottom"/>
            <w:hideMark/>
          </w:tcPr>
          <w:p w:rsidR="6621CDD0" w:rsidP="72AEAE9C" w14:paraId="09C34E2D" w14:textId="2F930B92">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MIC value for Aztreonam-Avibactam-Ceftazidime</w:t>
            </w:r>
          </w:p>
        </w:tc>
      </w:tr>
    </w:tbl>
    <w:p w:rsidR="72AEAE9C" w14:paraId="607D9123" w14:textId="34CE3F6F"/>
    <w:p w:rsidR="00FC70C6" w14:paraId="355A216B" w14:textId="77777777"/>
    <w:sectPr w:rsidSect="00192588">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6F2C" w14:paraId="4127F1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61AE" w:rsidRPr="00673DF2" w:rsidP="003F61AE" w14:paraId="73FF8C99" w14:textId="6AB6F8C6">
    <w:pPr>
      <w:rPr>
        <w:sz w:val="16"/>
      </w:rPr>
    </w:pPr>
    <w:r w:rsidRPr="00673DF2">
      <w:rPr>
        <w:sz w:val="16"/>
      </w:rPr>
      <w:t>Public reporting burden of this collection of information is estimated to average</w:t>
    </w:r>
    <w:r>
      <w:rPr>
        <w:sz w:val="16"/>
      </w:rPr>
      <w:t xml:space="preserve"> </w:t>
    </w:r>
    <w:r w:rsidR="00A70D2F">
      <w:rPr>
        <w:sz w:val="16"/>
      </w:rPr>
      <w:t>3</w:t>
    </w:r>
    <w:r w:rsidRPr="00673DF2">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6"/>
      </w:rPr>
      <w:t>-1310</w:t>
    </w:r>
  </w:p>
  <w:p w:rsidR="007212A8" w14:paraId="1310DBF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rsidP="007212A8" w14:paraId="6F773140" w14:textId="5D070129">
    <w:pPr>
      <w:ind w:left="720"/>
    </w:pPr>
    <w:r w:rsidRPr="00192588">
      <w:rPr>
        <w:sz w:val="16"/>
        <w:szCs w:val="16"/>
      </w:rPr>
      <w:t xml:space="preserve">Public reporting burden of this collection of information is estimated to average </w:t>
    </w:r>
    <w:r w:rsidR="00A70D2F">
      <w:rPr>
        <w:b/>
        <w:bCs/>
        <w:sz w:val="16"/>
        <w:szCs w:val="16"/>
      </w:rPr>
      <w:t>3</w:t>
    </w:r>
    <w:r>
      <w:rPr>
        <w:b/>
        <w:bCs/>
        <w:sz w:val="16"/>
        <w:szCs w:val="16"/>
      </w:rPr>
      <w:t xml:space="preserve"> </w:t>
    </w:r>
    <w:r w:rsidRPr="00192588">
      <w:rPr>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2B6F2C">
      <w:rPr>
        <w:sz w:val="16"/>
        <w:szCs w:val="16"/>
      </w:rPr>
      <w:t>H21-8</w:t>
    </w:r>
    <w:r w:rsidRPr="00192588">
      <w:rPr>
        <w:sz w:val="16"/>
        <w:szCs w:val="16"/>
      </w:rPr>
      <w:t>, Atlanta, Georgia 30333; ATTN: PRA 0920-</w:t>
    </w:r>
    <w:r w:rsidR="007212A8">
      <w:rPr>
        <w:sz w:val="16"/>
        <w:szCs w:val="16"/>
      </w:rPr>
      <w:t>1310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6F2C" w14:paraId="5D6218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14:paraId="7F9E2B1A" w14:textId="77777777">
    <w:pPr>
      <w:pStyle w:val="Header"/>
    </w:pPr>
  </w:p>
  <w:p w:rsidR="00192588" w14:paraId="71E882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rsidP="00192588" w14:paraId="2B230790" w14:textId="77777777">
    <w:pPr>
      <w:spacing w:line="240" w:lineRule="auto"/>
      <w:ind w:left="720"/>
      <w:contextualSpacing/>
      <w:jc w:val="right"/>
    </w:pPr>
    <w:r>
      <w:t>Form Approved</w:t>
    </w:r>
  </w:p>
  <w:p w:rsidR="00192588" w:rsidP="00192588" w14:paraId="79E5E837" w14:textId="1B4CDF17">
    <w:pPr>
      <w:spacing w:line="240" w:lineRule="auto"/>
      <w:ind w:left="720"/>
      <w:contextualSpacing/>
      <w:jc w:val="right"/>
    </w:pPr>
    <w:r>
      <w:t>OMB Control No.: 0920-</w:t>
    </w:r>
    <w:r w:rsidR="007212A8">
      <w:t>1310</w:t>
    </w:r>
  </w:p>
  <w:p w:rsidR="00192588" w:rsidP="00192588" w14:paraId="040A7C12" w14:textId="77777777">
    <w:pPr>
      <w:spacing w:line="240" w:lineRule="auto"/>
      <w:ind w:left="720"/>
      <w:contextualSpacing/>
      <w:jc w:val="right"/>
    </w:pPr>
    <w:r>
      <w:t>Expiration date: XX/XX/XXXX</w:t>
    </w:r>
  </w:p>
  <w:p w:rsidR="00192588" w14:paraId="21467C3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88"/>
    <w:rsid w:val="00192588"/>
    <w:rsid w:val="002B6F2C"/>
    <w:rsid w:val="003F61AE"/>
    <w:rsid w:val="004D5E47"/>
    <w:rsid w:val="004D6BCF"/>
    <w:rsid w:val="00673DF2"/>
    <w:rsid w:val="006D27CA"/>
    <w:rsid w:val="007162CD"/>
    <w:rsid w:val="007212A8"/>
    <w:rsid w:val="00732110"/>
    <w:rsid w:val="00792D26"/>
    <w:rsid w:val="0083333F"/>
    <w:rsid w:val="008F35DB"/>
    <w:rsid w:val="00A003C5"/>
    <w:rsid w:val="00A70D2F"/>
    <w:rsid w:val="00AE4B4A"/>
    <w:rsid w:val="00B05CBD"/>
    <w:rsid w:val="00B7674A"/>
    <w:rsid w:val="00BA15A5"/>
    <w:rsid w:val="00D26908"/>
    <w:rsid w:val="00E50CBF"/>
    <w:rsid w:val="00E55548"/>
    <w:rsid w:val="00EE147B"/>
    <w:rsid w:val="00F66319"/>
    <w:rsid w:val="00FC70C6"/>
    <w:rsid w:val="01B120DA"/>
    <w:rsid w:val="07549BCE"/>
    <w:rsid w:val="09616F70"/>
    <w:rsid w:val="0FF64949"/>
    <w:rsid w:val="1654837D"/>
    <w:rsid w:val="30FB9A15"/>
    <w:rsid w:val="411608C7"/>
    <w:rsid w:val="46830AFF"/>
    <w:rsid w:val="4FF4BBB4"/>
    <w:rsid w:val="50DA4FEB"/>
    <w:rsid w:val="51876D2B"/>
    <w:rsid w:val="5351069D"/>
    <w:rsid w:val="53BE69BC"/>
    <w:rsid w:val="578D7602"/>
    <w:rsid w:val="60234601"/>
    <w:rsid w:val="6621CDD0"/>
    <w:rsid w:val="6A581AA4"/>
    <w:rsid w:val="6C0EF6F4"/>
    <w:rsid w:val="72504A6D"/>
    <w:rsid w:val="72AEAE9C"/>
    <w:rsid w:val="73FD32AD"/>
    <w:rsid w:val="7680403C"/>
    <w:rsid w:val="77B6E1BD"/>
    <w:rsid w:val="7B2626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810B2B"/>
  <w15:chartTrackingRefBased/>
  <w15:docId w15:val="{AE33B921-AF4D-40EF-92AE-EB8B1576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588"/>
  </w:style>
  <w:style w:type="paragraph" w:styleId="Footer">
    <w:name w:val="footer"/>
    <w:basedOn w:val="Normal"/>
    <w:link w:val="FooterChar"/>
    <w:uiPriority w:val="99"/>
    <w:unhideWhenUsed/>
    <w:rsid w:val="00192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588"/>
  </w:style>
  <w:style w:type="paragraph" w:styleId="BalloonText">
    <w:name w:val="Balloon Text"/>
    <w:basedOn w:val="Normal"/>
    <w:link w:val="BalloonTextChar"/>
    <w:uiPriority w:val="99"/>
    <w:semiHidden/>
    <w:unhideWhenUsed/>
    <w:rsid w:val="00EE14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47B"/>
    <w:rPr>
      <w:rFonts w:ascii="Segoe UI" w:hAnsi="Segoe UI" w:cs="Segoe UI"/>
      <w:sz w:val="18"/>
      <w:szCs w:val="18"/>
    </w:rPr>
  </w:style>
  <w:style w:type="character" w:styleId="CommentReference">
    <w:name w:val="annotation reference"/>
    <w:basedOn w:val="DefaultParagraphFont"/>
    <w:uiPriority w:val="99"/>
    <w:semiHidden/>
    <w:unhideWhenUsed/>
    <w:rsid w:val="00EE147B"/>
    <w:rPr>
      <w:sz w:val="16"/>
      <w:szCs w:val="16"/>
    </w:rPr>
  </w:style>
  <w:style w:type="paragraph" w:styleId="CommentText">
    <w:name w:val="annotation text"/>
    <w:basedOn w:val="Normal"/>
    <w:link w:val="CommentTextChar"/>
    <w:uiPriority w:val="99"/>
    <w:semiHidden/>
    <w:unhideWhenUsed/>
    <w:rsid w:val="00EE147B"/>
    <w:pPr>
      <w:spacing w:line="240" w:lineRule="auto"/>
    </w:pPr>
    <w:rPr>
      <w:sz w:val="20"/>
      <w:szCs w:val="20"/>
    </w:rPr>
  </w:style>
  <w:style w:type="character" w:customStyle="1" w:styleId="CommentTextChar">
    <w:name w:val="Comment Text Char"/>
    <w:basedOn w:val="DefaultParagraphFont"/>
    <w:link w:val="CommentText"/>
    <w:uiPriority w:val="99"/>
    <w:semiHidden/>
    <w:rsid w:val="00EE147B"/>
    <w:rPr>
      <w:sz w:val="20"/>
      <w:szCs w:val="20"/>
    </w:rPr>
  </w:style>
  <w:style w:type="paragraph" w:styleId="CommentSubject">
    <w:name w:val="annotation subject"/>
    <w:basedOn w:val="CommentText"/>
    <w:next w:val="CommentText"/>
    <w:link w:val="CommentSubjectChar"/>
    <w:uiPriority w:val="99"/>
    <w:semiHidden/>
    <w:unhideWhenUsed/>
    <w:rsid w:val="00EE147B"/>
    <w:rPr>
      <w:b/>
      <w:bCs/>
    </w:rPr>
  </w:style>
  <w:style w:type="character" w:customStyle="1" w:styleId="CommentSubjectChar">
    <w:name w:val="Comment Subject Char"/>
    <w:basedOn w:val="CommentTextChar"/>
    <w:link w:val="CommentSubject"/>
    <w:uiPriority w:val="99"/>
    <w:semiHidden/>
    <w:rsid w:val="00EE147B"/>
    <w:rPr>
      <w:b/>
      <w:bCs/>
      <w:sz w:val="20"/>
      <w:szCs w:val="20"/>
    </w:rPr>
  </w:style>
  <w:style w:type="paragraph" w:styleId="Revision">
    <w:name w:val="Revision"/>
    <w:hidden/>
    <w:uiPriority w:val="99"/>
    <w:semiHidden/>
    <w:rsid w:val="00721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c83a2b38bfffdd627eea24321175e1ca">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652b6965d8af9035236ba83d404d0ec8"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61D70-2F0F-40BB-960E-C41DDCFCEAB7}">
  <ds:schemaRefs>
    <ds:schemaRef ds:uri="http://schemas.microsoft.com/sharepoint/v3/contenttype/forms"/>
  </ds:schemaRefs>
</ds:datastoreItem>
</file>

<file path=customXml/itemProps2.xml><?xml version="1.0" encoding="utf-8"?>
<ds:datastoreItem xmlns:ds="http://schemas.openxmlformats.org/officeDocument/2006/customXml" ds:itemID="{30912B72-364A-4811-BD6E-FBF84C5C4F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ADF8D6-428E-41F5-8A57-61A55961C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2526</Characters>
  <Application>Microsoft Office Word</Application>
  <DocSecurity>0</DocSecurity>
  <Lines>21</Lines>
  <Paragraphs>5</Paragraphs>
  <ScaleCrop>false</ScaleCrop>
  <Company>Centers for Disease Control and Prevention</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Sarah (CDC/DDID/NCEZID/DHQP) (CTR)</dc:creator>
  <cp:lastModifiedBy>Vice, Rudith (CDC/NCEZID/OD)</cp:lastModifiedBy>
  <cp:revision>11</cp:revision>
  <dcterms:created xsi:type="dcterms:W3CDTF">2019-12-17T13:11:00Z</dcterms:created>
  <dcterms:modified xsi:type="dcterms:W3CDTF">2024-09-09T17:44:00Z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a5b373f6-d8aa-4be9-bd10-444b306bb9df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2023-01-24T14:27:16Z</vt:lpwstr>
  </property>
  <property fmtid="{D5CDD505-2E9C-101B-9397-08002B2CF9AE}" pid="9" name="MSIP_Label_7b94a7b8-f06c-4dfe-bdcc-9b548fd58c31_SiteId">
    <vt:lpwstr>9ce70869-60db-44fd-abe8-d2767077fc8f</vt:lpwstr>
  </property>
</Properties>
</file>