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3054" w:rsidRPr="00022A54" w:rsidP="00B47B1C" w14:paraId="30A4C879" w14:textId="77777777">
      <w:pPr>
        <w:jc w:val="center"/>
        <w:rPr>
          <w:b/>
        </w:rPr>
      </w:pPr>
    </w:p>
    <w:p w:rsidR="00F03054" w:rsidP="00B47B1C" w14:paraId="3CABA838" w14:textId="77777777">
      <w:pPr>
        <w:jc w:val="center"/>
        <w:rPr>
          <w:b/>
        </w:rPr>
      </w:pPr>
      <w:r w:rsidRPr="00022A54">
        <w:rPr>
          <w:b/>
        </w:rPr>
        <w:t>Generic Clearance</w:t>
      </w:r>
      <w:r w:rsidR="00330F92">
        <w:rPr>
          <w:b/>
        </w:rPr>
        <w:t xml:space="preserve"> for CDC/ATSDR</w:t>
      </w:r>
    </w:p>
    <w:p w:rsidR="00662F81" w:rsidP="00B47B1C" w14:paraId="20613327" w14:textId="77777777">
      <w:pPr>
        <w:jc w:val="center"/>
        <w:rPr>
          <w:b/>
        </w:rPr>
      </w:pPr>
      <w:r w:rsidRPr="00022A54">
        <w:rPr>
          <w:b/>
        </w:rPr>
        <w:t xml:space="preserve">Formative Research </w:t>
      </w:r>
      <w:r w:rsidRPr="00022A54" w:rsidR="00FE436A">
        <w:rPr>
          <w:b/>
        </w:rPr>
        <w:t xml:space="preserve">and </w:t>
      </w:r>
      <w:r w:rsidRPr="00022A54">
        <w:rPr>
          <w:b/>
        </w:rPr>
        <w:t>Tool Development</w:t>
      </w:r>
    </w:p>
    <w:p w:rsidR="009E3AC6" w:rsidP="00B47B1C" w14:paraId="4BF42B98" w14:textId="7DAE33D9">
      <w:pPr>
        <w:jc w:val="center"/>
        <w:rPr>
          <w:b/>
        </w:rPr>
      </w:pPr>
      <w:r w:rsidRPr="000659C9">
        <w:rPr>
          <w:rFonts w:ascii="Arial" w:hAnsi="Arial"/>
          <w:sz w:val="21"/>
          <w:szCs w:val="21"/>
        </w:rPr>
        <w:t>Poliovirus Facility Response Readiness Survey</w:t>
      </w:r>
    </w:p>
    <w:p w:rsidR="009E3AC6" w:rsidRPr="00022A54" w:rsidP="00B47B1C" w14:paraId="71394A8C" w14:textId="77777777">
      <w:pPr>
        <w:jc w:val="center"/>
        <w:rPr>
          <w:b/>
        </w:rPr>
      </w:pPr>
      <w:r>
        <w:rPr>
          <w:b/>
        </w:rPr>
        <w:t>0920-1154</w:t>
      </w:r>
    </w:p>
    <w:p w:rsidR="00662F81" w:rsidRPr="00022A54" w:rsidP="00B47B1C" w14:paraId="3DEDBF04" w14:textId="77777777"/>
    <w:p w:rsidR="00662F81" w:rsidRPr="00022A54" w:rsidP="00662F81" w14:paraId="64C5D4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F03054" w:rsidRPr="00022A54" w:rsidP="00B47B1C" w14:paraId="1475D006" w14:textId="77777777">
      <w:pPr>
        <w:jc w:val="center"/>
        <w:rPr>
          <w:lang w:val="fr-FR"/>
        </w:rPr>
      </w:pPr>
    </w:p>
    <w:p w:rsidR="00F03054" w:rsidRPr="00022A54" w:rsidP="00B47B1C" w14:paraId="06BA3F63" w14:textId="77777777">
      <w:pPr>
        <w:jc w:val="center"/>
        <w:rPr>
          <w:lang w:val="fr-FR"/>
        </w:rPr>
      </w:pPr>
    </w:p>
    <w:p w:rsidR="00F03054" w:rsidRPr="00022A54" w:rsidP="00B47B1C" w14:paraId="321E7E33" w14:textId="77777777">
      <w:pPr>
        <w:jc w:val="center"/>
        <w:rPr>
          <w:lang w:val="fr-FR"/>
        </w:rPr>
      </w:pPr>
    </w:p>
    <w:p w:rsidR="00F03054" w:rsidRPr="00022A54" w:rsidP="00B47B1C" w14:paraId="56DC3E12" w14:textId="30C05B9A">
      <w:pPr>
        <w:jc w:val="center"/>
        <w:rPr>
          <w:lang w:val="fr-FR"/>
        </w:rPr>
      </w:pPr>
      <w:r>
        <w:rPr>
          <w:lang w:val="fr-FR"/>
        </w:rPr>
        <w:t>March 20, 2026</w:t>
      </w:r>
    </w:p>
    <w:p w:rsidR="00F03054" w:rsidRPr="00022A54" w:rsidP="00B47B1C" w14:paraId="5A4626AF" w14:textId="77777777">
      <w:pPr>
        <w:jc w:val="center"/>
        <w:rPr>
          <w:lang w:val="fr-FR"/>
        </w:rPr>
      </w:pPr>
    </w:p>
    <w:p w:rsidR="00F03054" w:rsidRPr="00022A54" w:rsidP="00B47B1C" w14:paraId="5046E1DD" w14:textId="77777777">
      <w:pPr>
        <w:jc w:val="center"/>
        <w:rPr>
          <w:lang w:val="fr-FR"/>
        </w:rPr>
      </w:pPr>
    </w:p>
    <w:p w:rsidR="00F03054" w:rsidRPr="00022A54" w:rsidP="00B47B1C" w14:paraId="4A53B067" w14:textId="77777777">
      <w:pPr>
        <w:jc w:val="center"/>
        <w:rPr>
          <w:lang w:val="fr-FR"/>
        </w:rPr>
      </w:pPr>
    </w:p>
    <w:p w:rsidR="00F03054" w:rsidRPr="00022A54" w:rsidP="00B47B1C" w14:paraId="07A34673" w14:textId="77777777">
      <w:pPr>
        <w:jc w:val="center"/>
        <w:rPr>
          <w:lang w:val="fr-FR"/>
        </w:rPr>
      </w:pPr>
    </w:p>
    <w:p w:rsidR="00662F81" w:rsidRPr="00022A54" w:rsidP="00B47B1C" w14:paraId="1DD253E4" w14:textId="77777777">
      <w:pPr>
        <w:jc w:val="center"/>
        <w:rPr>
          <w:lang w:val="fr-FR"/>
        </w:rPr>
      </w:pPr>
      <w:r w:rsidRPr="00022A54">
        <w:rPr>
          <w:lang w:val="fr-FR"/>
        </w:rPr>
        <w:t xml:space="preserve">Contact </w:t>
      </w:r>
      <w:r w:rsidRPr="00022A54">
        <w:rPr>
          <w:lang w:val="fr-FR"/>
        </w:rPr>
        <w:t>Information:</w:t>
      </w:r>
    </w:p>
    <w:p w:rsidR="00662F81" w:rsidRPr="00022A54" w:rsidP="00B47B1C" w14:paraId="28E90874" w14:textId="77777777">
      <w:pPr>
        <w:jc w:val="center"/>
        <w:rPr>
          <w:lang w:val="fr-FR"/>
        </w:rPr>
      </w:pPr>
    </w:p>
    <w:p w:rsidR="00D909E2" w:rsidP="00AD3B70" w14:paraId="3BA02A4B" w14:textId="77777777">
      <w:pPr>
        <w:spacing w:after="60"/>
        <w:jc w:val="center"/>
      </w:pPr>
      <w:r>
        <w:t>Albert Garcia</w:t>
      </w:r>
    </w:p>
    <w:p w:rsidR="00C6416D" w:rsidP="00AD3B70" w14:paraId="1073AC87" w14:textId="389214C0">
      <w:pPr>
        <w:spacing w:after="60"/>
        <w:jc w:val="center"/>
      </w:pPr>
      <w:r>
        <w:t>Office of Readiness and Response</w:t>
      </w:r>
    </w:p>
    <w:p w:rsidR="00662F81" w:rsidP="00AD3B70" w14:paraId="40AE6EA4" w14:textId="77777777">
      <w:pPr>
        <w:spacing w:after="60"/>
        <w:jc w:val="center"/>
      </w:pPr>
      <w:r>
        <w:t>Centers for Disease Control and Prevention (</w:t>
      </w:r>
      <w:r w:rsidRPr="00022A54">
        <w:t>CDC</w:t>
      </w:r>
      <w:r>
        <w:t>)</w:t>
      </w:r>
    </w:p>
    <w:p w:rsidR="00330F92" w:rsidP="00AD3B70" w14:paraId="7ED75ADF" w14:textId="3D9474A1">
      <w:pPr>
        <w:spacing w:after="60"/>
        <w:jc w:val="center"/>
      </w:pPr>
      <w:r>
        <w:t xml:space="preserve"> 404-639-</w:t>
      </w:r>
      <w:r w:rsidR="00D909E2">
        <w:t>7139</w:t>
      </w:r>
    </w:p>
    <w:p w:rsidR="00C6416D" w:rsidRPr="00022A54" w:rsidP="00AD3B70" w14:paraId="26C6204A" w14:textId="77777777">
      <w:pPr>
        <w:spacing w:after="60"/>
        <w:jc w:val="center"/>
      </w:pPr>
      <w:r>
        <w:br w:type="page"/>
      </w:r>
    </w:p>
    <w:p w:rsidR="000B3F98" w:rsidRPr="00FC301A" w:rsidP="00FC301A" w14:paraId="19D1735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rsidR="000B3F98" w:rsidRPr="00FC301A" w:rsidP="000B3F98" w14:paraId="13430D94" w14:textId="77777777">
      <w:pPr>
        <w:rPr>
          <w:b/>
        </w:rPr>
      </w:pPr>
      <w:r w:rsidRPr="00FC301A">
        <w:rPr>
          <w:b/>
        </w:rPr>
        <w:t>Section</w:t>
      </w:r>
      <w:r w:rsidRPr="00FC301A">
        <w:rPr>
          <w:b/>
        </w:rPr>
        <w:tab/>
      </w:r>
    </w:p>
    <w:p w:rsidR="000B3F98" w:rsidRPr="00FC301A" w:rsidP="000B3F98" w14:paraId="0E6C9DFE" w14:textId="77777777">
      <w:pPr>
        <w:rPr>
          <w:b/>
        </w:rPr>
      </w:pPr>
      <w:r w:rsidRPr="00FC301A">
        <w:rPr>
          <w:b/>
        </w:rPr>
        <w:t>A.</w:t>
      </w:r>
      <w:r w:rsidRPr="00FC301A">
        <w:rPr>
          <w:b/>
        </w:rPr>
        <w:tab/>
        <w:t>Justification</w:t>
      </w:r>
    </w:p>
    <w:p w:rsidR="00AD3B70" w:rsidRPr="00951BC8" w:rsidP="00B06EB4" w14:paraId="77F5C7BA" w14:textId="77777777">
      <w:pPr>
        <w:numPr>
          <w:ilvl w:val="0"/>
          <w:numId w:val="38"/>
        </w:numPr>
        <w:spacing w:after="0"/>
        <w:rPr>
          <w:bCs/>
        </w:rPr>
      </w:pPr>
      <w:r w:rsidRPr="00951BC8">
        <w:rPr>
          <w:bCs/>
        </w:rPr>
        <w:t>Circumstances Making the Collection of Information Necessary</w:t>
      </w:r>
    </w:p>
    <w:p w:rsidR="00AD3B70" w:rsidRPr="00951BC8" w:rsidP="00B06EB4" w14:paraId="2AFC1C17" w14:textId="77777777">
      <w:pPr>
        <w:numPr>
          <w:ilvl w:val="0"/>
          <w:numId w:val="38"/>
        </w:numPr>
        <w:spacing w:after="0"/>
        <w:rPr>
          <w:bCs/>
        </w:rPr>
      </w:pPr>
      <w:r w:rsidRPr="00951BC8">
        <w:rPr>
          <w:bCs/>
        </w:rPr>
        <w:t>Purpose and Use of the Information Collection</w:t>
      </w:r>
    </w:p>
    <w:p w:rsidR="00AD3B70" w:rsidRPr="00951BC8" w:rsidP="00B06EB4" w14:paraId="24CE5907" w14:textId="77777777">
      <w:pPr>
        <w:numPr>
          <w:ilvl w:val="0"/>
          <w:numId w:val="38"/>
        </w:numPr>
        <w:spacing w:after="0"/>
        <w:rPr>
          <w:bCs/>
        </w:rPr>
      </w:pPr>
      <w:r w:rsidRPr="00951BC8">
        <w:rPr>
          <w:bCs/>
        </w:rPr>
        <w:t>Use of Improved Information Technology and Burden Reduction</w:t>
      </w:r>
    </w:p>
    <w:p w:rsidR="00AD3B70" w:rsidRPr="00951BC8" w:rsidP="00B06EB4" w14:paraId="1B3A1DA3" w14:textId="77777777">
      <w:pPr>
        <w:numPr>
          <w:ilvl w:val="0"/>
          <w:numId w:val="38"/>
        </w:numPr>
        <w:spacing w:after="0"/>
        <w:rPr>
          <w:bCs/>
        </w:rPr>
      </w:pPr>
      <w:r w:rsidRPr="00951BC8">
        <w:rPr>
          <w:bCs/>
        </w:rPr>
        <w:t>Efforts to Identify Duplication and Use of Similar Information</w:t>
      </w:r>
    </w:p>
    <w:p w:rsidR="00AD3B70" w:rsidRPr="00951BC8" w:rsidP="00B06EB4" w14:paraId="1F8FC39E" w14:textId="77777777">
      <w:pPr>
        <w:numPr>
          <w:ilvl w:val="0"/>
          <w:numId w:val="38"/>
        </w:numPr>
        <w:spacing w:after="0"/>
        <w:rPr>
          <w:bCs/>
        </w:rPr>
      </w:pPr>
      <w:r w:rsidRPr="00951BC8">
        <w:rPr>
          <w:bCs/>
        </w:rPr>
        <w:t>Impact on Small Businesses or Other Small Entities</w:t>
      </w:r>
    </w:p>
    <w:p w:rsidR="00AD3B70" w:rsidRPr="00951BC8" w:rsidP="00B06EB4" w14:paraId="69505039" w14:textId="77777777">
      <w:pPr>
        <w:numPr>
          <w:ilvl w:val="0"/>
          <w:numId w:val="38"/>
        </w:numPr>
        <w:spacing w:after="0"/>
        <w:rPr>
          <w:bCs/>
        </w:rPr>
      </w:pPr>
      <w:r w:rsidRPr="00951BC8">
        <w:rPr>
          <w:bCs/>
        </w:rPr>
        <w:t>Consequences of Collecting the Information Less Frequently</w:t>
      </w:r>
    </w:p>
    <w:p w:rsidR="00AD3B70" w:rsidRPr="00951BC8" w:rsidP="00B06EB4" w14:paraId="49229404" w14:textId="77777777">
      <w:pPr>
        <w:numPr>
          <w:ilvl w:val="0"/>
          <w:numId w:val="38"/>
        </w:numPr>
        <w:spacing w:after="0"/>
        <w:rPr>
          <w:bCs/>
        </w:rPr>
      </w:pPr>
      <w:r w:rsidRPr="00951BC8">
        <w:rPr>
          <w:bCs/>
        </w:rPr>
        <w:t>Special Circumstances Relating to the Guidelines of 5 CFR 1320.5</w:t>
      </w:r>
    </w:p>
    <w:p w:rsidR="00AD3B70" w:rsidRPr="00951BC8" w:rsidP="00B06EB4" w14:paraId="4E953A37" w14:textId="77777777">
      <w:pPr>
        <w:numPr>
          <w:ilvl w:val="0"/>
          <w:numId w:val="38"/>
        </w:numPr>
        <w:spacing w:after="0"/>
        <w:rPr>
          <w:bCs/>
        </w:rPr>
      </w:pPr>
      <w:r w:rsidRPr="00951BC8">
        <w:rPr>
          <w:bCs/>
        </w:rPr>
        <w:t>Comments in Response to the Federal Register Notice and Efforts to Consult Outside the Agency</w:t>
      </w:r>
    </w:p>
    <w:p w:rsidR="00AD3B70" w:rsidRPr="00951BC8" w:rsidP="00B06EB4" w14:paraId="4DE724E0" w14:textId="77777777">
      <w:pPr>
        <w:numPr>
          <w:ilvl w:val="0"/>
          <w:numId w:val="38"/>
        </w:numPr>
        <w:spacing w:after="0"/>
        <w:rPr>
          <w:bCs/>
        </w:rPr>
      </w:pPr>
      <w:r w:rsidRPr="00951BC8">
        <w:rPr>
          <w:bCs/>
        </w:rPr>
        <w:t>Explanation of Any Payment or Gift to Respondents</w:t>
      </w:r>
    </w:p>
    <w:p w:rsidR="00AD3B70" w:rsidRPr="00951BC8" w:rsidP="00B06EB4" w14:paraId="377E777F" w14:textId="77777777">
      <w:pPr>
        <w:numPr>
          <w:ilvl w:val="0"/>
          <w:numId w:val="38"/>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rsidR="00AD3B70" w:rsidRPr="00951BC8" w:rsidP="00B06EB4" w14:paraId="09BB1FFA" w14:textId="77777777">
      <w:pPr>
        <w:numPr>
          <w:ilvl w:val="0"/>
          <w:numId w:val="38"/>
        </w:numPr>
        <w:spacing w:after="0"/>
        <w:rPr>
          <w:bCs/>
        </w:rPr>
      </w:pPr>
      <w:r w:rsidRPr="00951BC8">
        <w:rPr>
          <w:bCs/>
        </w:rPr>
        <w:t>Institutional Review Board (IRB) and Justification for Sensitive Questions</w:t>
      </w:r>
    </w:p>
    <w:p w:rsidR="00AD3B70" w:rsidRPr="00951BC8" w:rsidP="00B06EB4" w14:paraId="6AC66F51" w14:textId="77777777">
      <w:pPr>
        <w:numPr>
          <w:ilvl w:val="0"/>
          <w:numId w:val="38"/>
        </w:numPr>
        <w:spacing w:after="0"/>
        <w:rPr>
          <w:bCs/>
        </w:rPr>
      </w:pPr>
      <w:r w:rsidRPr="00951BC8">
        <w:rPr>
          <w:bCs/>
        </w:rPr>
        <w:t>Estimates of Annualized Burden Hours and Costs</w:t>
      </w:r>
    </w:p>
    <w:p w:rsidR="00AD3B70" w:rsidRPr="00951BC8" w:rsidP="00B06EB4" w14:paraId="59A96ACA" w14:textId="77777777">
      <w:pPr>
        <w:numPr>
          <w:ilvl w:val="0"/>
          <w:numId w:val="38"/>
        </w:numPr>
        <w:spacing w:after="0"/>
        <w:rPr>
          <w:bCs/>
        </w:rPr>
      </w:pPr>
      <w:r w:rsidRPr="00951BC8">
        <w:rPr>
          <w:bCs/>
        </w:rPr>
        <w:t>Estimates of Other Total Annual Cost Burden to Respondents and Record Keepers</w:t>
      </w:r>
    </w:p>
    <w:p w:rsidR="00AD3B70" w:rsidRPr="00951BC8" w:rsidP="00B06EB4" w14:paraId="5372A4AB" w14:textId="77777777">
      <w:pPr>
        <w:numPr>
          <w:ilvl w:val="0"/>
          <w:numId w:val="38"/>
        </w:numPr>
        <w:spacing w:after="0"/>
        <w:rPr>
          <w:bCs/>
        </w:rPr>
      </w:pPr>
      <w:r w:rsidRPr="00951BC8">
        <w:rPr>
          <w:bCs/>
        </w:rPr>
        <w:t>Annualized Cost to the Federal Government</w:t>
      </w:r>
    </w:p>
    <w:p w:rsidR="00AD3B70" w:rsidRPr="00951BC8" w:rsidP="00B06EB4" w14:paraId="7024136D" w14:textId="77777777">
      <w:pPr>
        <w:numPr>
          <w:ilvl w:val="0"/>
          <w:numId w:val="38"/>
        </w:numPr>
        <w:spacing w:after="0"/>
        <w:rPr>
          <w:bCs/>
        </w:rPr>
      </w:pPr>
      <w:r w:rsidRPr="00951BC8">
        <w:rPr>
          <w:bCs/>
        </w:rPr>
        <w:t>Explanation for Program Changes or Adjustments</w:t>
      </w:r>
    </w:p>
    <w:p w:rsidR="00AD3B70" w:rsidRPr="00951BC8" w:rsidP="00B06EB4" w14:paraId="330A3E99" w14:textId="77777777">
      <w:pPr>
        <w:numPr>
          <w:ilvl w:val="0"/>
          <w:numId w:val="38"/>
        </w:numPr>
        <w:spacing w:after="0"/>
        <w:rPr>
          <w:bCs/>
        </w:rPr>
      </w:pPr>
      <w:r w:rsidRPr="00951BC8">
        <w:rPr>
          <w:bCs/>
        </w:rPr>
        <w:t>Plans for Tabulation and Publication and Project Time Schedule</w:t>
      </w:r>
    </w:p>
    <w:p w:rsidR="00AD3B70" w:rsidRPr="00951BC8" w:rsidP="00B06EB4" w14:paraId="2B10531E" w14:textId="77777777">
      <w:pPr>
        <w:numPr>
          <w:ilvl w:val="0"/>
          <w:numId w:val="38"/>
        </w:numPr>
        <w:spacing w:after="0"/>
        <w:rPr>
          <w:bCs/>
        </w:rPr>
      </w:pPr>
      <w:r w:rsidRPr="00951BC8">
        <w:rPr>
          <w:bCs/>
        </w:rPr>
        <w:t>Reason(s) Display of OMB Expiration Date is Inappropriate</w:t>
      </w:r>
    </w:p>
    <w:p w:rsidR="00AD3B70" w:rsidRPr="00951BC8" w:rsidP="00B06EB4" w14:paraId="2C517014" w14:textId="77777777">
      <w:pPr>
        <w:numPr>
          <w:ilvl w:val="0"/>
          <w:numId w:val="38"/>
        </w:numPr>
        <w:spacing w:after="0"/>
        <w:rPr>
          <w:bCs/>
        </w:rPr>
      </w:pPr>
      <w:r w:rsidRPr="00951BC8">
        <w:rPr>
          <w:bCs/>
        </w:rPr>
        <w:t>Exceptions to Certification for Paperwork Reduction Act Submissions</w:t>
      </w:r>
    </w:p>
    <w:p w:rsidR="000B3F98" w:rsidRPr="00022A54" w:rsidP="00AD3B70" w14:paraId="4B45825C" w14:textId="77777777">
      <w:pPr>
        <w:spacing w:after="0"/>
      </w:pPr>
      <w:r w:rsidRPr="00022A54">
        <w:fldChar w:fldCharType="begin"/>
      </w:r>
      <w:r w:rsidRPr="00022A54" w:rsidR="009F4060">
        <w:instrText xml:space="preserve"> TOC \t "Exhibit Title,5" </w:instrText>
      </w:r>
      <w:r w:rsidRPr="00022A54">
        <w:fldChar w:fldCharType="separate"/>
      </w:r>
    </w:p>
    <w:p w:rsidR="00465034" w:rsidRPr="007272EC" w:rsidP="00AD3B70" w14:paraId="44A6EE1F" w14:textId="77777777">
      <w:pPr>
        <w:spacing w:after="0"/>
        <w:rPr>
          <w:b/>
        </w:rPr>
      </w:pPr>
      <w:r w:rsidRPr="007272EC">
        <w:rPr>
          <w:b/>
        </w:rPr>
        <w:t>Attachments</w:t>
      </w:r>
      <w:r w:rsidRPr="007272EC">
        <w:rPr>
          <w:b/>
        </w:rPr>
        <w:tab/>
      </w:r>
      <w:r w:rsidRPr="007272EC">
        <w:rPr>
          <w:b/>
        </w:rPr>
        <w:tab/>
      </w:r>
    </w:p>
    <w:p w:rsidR="00465034" w:rsidRPr="00022A54" w:rsidP="00AD3B70" w14:paraId="5309E7EA" w14:textId="77777777">
      <w:pPr>
        <w:spacing w:after="0"/>
      </w:pPr>
    </w:p>
    <w:p w:rsidR="00465034" w:rsidRPr="00022A54" w:rsidP="00AD3B70" w14:paraId="3E12CEE1" w14:textId="77777777">
      <w:pPr>
        <w:spacing w:after="0"/>
      </w:pPr>
      <w:r w:rsidRPr="00022A54">
        <w:t>Att 1</w:t>
      </w:r>
      <w:r w:rsidRPr="00022A54">
        <w:tab/>
        <w:t>Authorizing Legislation</w:t>
      </w:r>
    </w:p>
    <w:p w:rsidR="00465034" w:rsidP="00AD3B70" w14:paraId="72976387" w14:textId="77777777">
      <w:pPr>
        <w:spacing w:after="0"/>
      </w:pPr>
      <w:r w:rsidRPr="00022A54">
        <w:t>Att 2</w:t>
      </w:r>
      <w:r w:rsidRPr="00022A54">
        <w:tab/>
        <w:t>60 D</w:t>
      </w:r>
      <w:r w:rsidR="007272EC">
        <w:t>ay Federal Register Notice</w:t>
      </w:r>
    </w:p>
    <w:p w:rsidR="00465034" w:rsidP="00465034" w14:paraId="34D2316C" w14:textId="77777777">
      <w:r>
        <w:t>Att 3</w:t>
      </w:r>
      <w:r>
        <w:tab/>
        <w:t>genIC template</w:t>
      </w:r>
    </w:p>
    <w:p w:rsidR="00533093" w:rsidP="00465034" w14:paraId="2D869F38" w14:textId="2B4E5F23">
      <w:r>
        <w:t>Att 4 NAC Survey Tool</w:t>
      </w:r>
    </w:p>
    <w:p w:rsidR="00533093" w:rsidP="00465034" w14:paraId="2FC24F8D" w14:textId="1F3C8F22">
      <w:r>
        <w:t>Att 5 Non-Research Determination</w:t>
      </w:r>
    </w:p>
    <w:p w:rsidR="00533093" w:rsidP="00465034" w14:paraId="6A21D7DB" w14:textId="77777777"/>
    <w:p w:rsidR="00F61A44" w:rsidRPr="00022A54" w:rsidP="00465034" w14:paraId="7EBECDFA" w14:textId="77777777">
      <w:r>
        <w:br w:type="page"/>
      </w:r>
    </w:p>
    <w:p w:rsidR="00465034" w:rsidRPr="00022A54" w:rsidP="00465034" w14:paraId="78F0F68A" w14:textId="77777777"/>
    <w:p w:rsidR="0092767B" w:rsidP="007272EC" w14:paraId="4F2EFCC0" w14:textId="77777777">
      <w:pPr>
        <w:jc w:val="center"/>
        <w:rPr>
          <w:rFonts w:ascii="Courier New" w:hAnsi="Courier New" w:cs="Courier New"/>
          <w:b/>
        </w:rPr>
      </w:pPr>
      <w:r>
        <w:rPr>
          <w:noProof/>
        </w:rPr>
        <mc:AlternateContent>
          <mc:Choice Requires="wps">
            <w:drawing>
              <wp:anchor distT="0" distB="0" distL="114300" distR="114300" simplePos="0" relativeHeight="251658240" behindDoc="0" locked="0" layoutInCell="1" allowOverlap="1">
                <wp:simplePos x="0" y="0"/>
                <wp:positionH relativeFrom="column">
                  <wp:posOffset>-327660</wp:posOffset>
                </wp:positionH>
                <wp:positionV relativeFrom="paragraph">
                  <wp:posOffset>167005</wp:posOffset>
                </wp:positionV>
                <wp:extent cx="6490335" cy="6523355"/>
                <wp:effectExtent l="0" t="0" r="5715"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0335" cy="6523355"/>
                        </a:xfrm>
                        <a:prstGeom prst="rect">
                          <a:avLst/>
                        </a:prstGeom>
                        <a:solidFill>
                          <a:srgbClr val="FFFFFF"/>
                        </a:solidFill>
                        <a:ln w="9525">
                          <a:solidFill>
                            <a:srgbClr val="000000"/>
                          </a:solidFill>
                          <a:miter lim="800000"/>
                          <a:headEnd/>
                          <a:tailEnd/>
                        </a:ln>
                      </wps:spPr>
                      <wps:txbx>
                        <w:txbxContent>
                          <w:p w:rsidR="002F5077" w:rsidRPr="00896231" w:rsidP="00896231" w14:textId="299EAA77">
                            <w:pPr>
                              <w:pStyle w:val="ListParagraph"/>
                              <w:numPr>
                                <w:ilvl w:val="0"/>
                                <w:numId w:val="34"/>
                              </w:numPr>
                              <w:spacing w:before="120"/>
                              <w:contextualSpacing w:val="0"/>
                              <w:rPr>
                                <w:sz w:val="22"/>
                                <w:szCs w:val="22"/>
                              </w:rPr>
                            </w:pPr>
                            <w:r w:rsidRPr="00896231">
                              <w:rPr>
                                <w:sz w:val="22"/>
                                <w:szCs w:val="22"/>
                              </w:rPr>
                              <w:t>The goal of th</w:t>
                            </w:r>
                            <w:r>
                              <w:rPr>
                                <w:sz w:val="22"/>
                                <w:szCs w:val="22"/>
                              </w:rPr>
                              <w:t xml:space="preserve">is </w:t>
                            </w:r>
                            <w:r w:rsidR="00701BE0">
                              <w:rPr>
                                <w:sz w:val="22"/>
                                <w:szCs w:val="22"/>
                              </w:rPr>
                              <w:t xml:space="preserve">GenIC is </w:t>
                            </w:r>
                            <w:r w:rsidRPr="00701BE0" w:rsidR="00701BE0">
                              <w:rPr>
                                <w:sz w:val="22"/>
                                <w:szCs w:val="22"/>
                              </w:rPr>
                              <w:t xml:space="preserve">to ascertain the level of readiness of poliovirus essential facilities (PEF) for responding to a poliovirus breach of containment or other polio-related event and provide PEFs with information </w:t>
                            </w:r>
                            <w:r w:rsidR="00434A0D">
                              <w:rPr>
                                <w:sz w:val="22"/>
                                <w:szCs w:val="22"/>
                              </w:rPr>
                              <w:t xml:space="preserve">in a </w:t>
                            </w:r>
                            <w:r w:rsidR="008B556E">
                              <w:rPr>
                                <w:sz w:val="22"/>
                                <w:szCs w:val="22"/>
                              </w:rPr>
                              <w:t xml:space="preserve">post-survey report </w:t>
                            </w:r>
                            <w:r w:rsidRPr="00701BE0" w:rsidR="00701BE0">
                              <w:rPr>
                                <w:sz w:val="22"/>
                                <w:szCs w:val="22"/>
                              </w:rPr>
                              <w:t>that will help them to improve their preparedness and response plans.</w:t>
                            </w:r>
                          </w:p>
                          <w:p w:rsidR="00434A0D" w:rsidP="00896231" w14:textId="46FE5E0A">
                            <w:pPr>
                              <w:pStyle w:val="ListParagraph"/>
                              <w:numPr>
                                <w:ilvl w:val="0"/>
                                <w:numId w:val="34"/>
                              </w:numPr>
                              <w:spacing w:before="120"/>
                              <w:contextualSpacing w:val="0"/>
                              <w:rPr>
                                <w:sz w:val="22"/>
                                <w:szCs w:val="22"/>
                              </w:rPr>
                            </w:pPr>
                            <w:r w:rsidRPr="00434A0D">
                              <w:rPr>
                                <w:sz w:val="22"/>
                                <w:szCs w:val="22"/>
                              </w:rPr>
                              <w:t>Survey results will be used to improve the containment program by focusing the NAC's available resources on the development of policies, guidance, and training for PEFs based on the most commonly reported and highest risk areas as reported by respondents. The</w:t>
                            </w:r>
                            <w:r w:rsidR="000B224A">
                              <w:rPr>
                                <w:sz w:val="22"/>
                                <w:szCs w:val="22"/>
                              </w:rPr>
                              <w:t xml:space="preserve"> </w:t>
                            </w:r>
                            <w:r w:rsidRPr="00434A0D">
                              <w:rPr>
                                <w:sz w:val="22"/>
                                <w:szCs w:val="22"/>
                              </w:rPr>
                              <w:t>informational resources provided in the post-survey report will be a valuable asset to PEFs and the result of the effort is a PEF community better prepared to respond to a poliovirus breach of containment or other poliovirus-related event.</w:t>
                            </w:r>
                          </w:p>
                          <w:p w:rsidR="00434A0D" w:rsidP="007A3CF4" w14:textId="3F5231A8">
                            <w:pPr>
                              <w:pStyle w:val="ListParagraph"/>
                              <w:numPr>
                                <w:ilvl w:val="0"/>
                                <w:numId w:val="34"/>
                              </w:numPr>
                              <w:spacing w:before="120"/>
                              <w:contextualSpacing w:val="0"/>
                              <w:rPr>
                                <w:sz w:val="22"/>
                                <w:szCs w:val="22"/>
                              </w:rPr>
                            </w:pPr>
                            <w:r>
                              <w:rPr>
                                <w:sz w:val="22"/>
                                <w:szCs w:val="22"/>
                              </w:rPr>
                              <w:t>A</w:t>
                            </w:r>
                            <w:r w:rsidRPr="00434A0D">
                              <w:rPr>
                                <w:sz w:val="22"/>
                                <w:szCs w:val="22"/>
                              </w:rPr>
                              <w:t xml:space="preserve"> web-based survey </w:t>
                            </w:r>
                            <w:r>
                              <w:rPr>
                                <w:sz w:val="22"/>
                                <w:szCs w:val="22"/>
                              </w:rPr>
                              <w:t xml:space="preserve">will be used </w:t>
                            </w:r>
                            <w:r w:rsidRPr="00434A0D">
                              <w:rPr>
                                <w:sz w:val="22"/>
                                <w:szCs w:val="22"/>
                              </w:rPr>
                              <w:t>to collect data</w:t>
                            </w:r>
                            <w:r w:rsidR="00E119ED">
                              <w:rPr>
                                <w:sz w:val="22"/>
                                <w:szCs w:val="22"/>
                              </w:rPr>
                              <w:t>.</w:t>
                            </w:r>
                            <w:r w:rsidRPr="00434A0D">
                              <w:rPr>
                                <w:sz w:val="22"/>
                                <w:szCs w:val="22"/>
                              </w:rPr>
                              <w:t xml:space="preserve"> </w:t>
                            </w:r>
                          </w:p>
                          <w:p w:rsidR="002F5077" w:rsidP="007A3CF4" w14:textId="16E9915F">
                            <w:pPr>
                              <w:pStyle w:val="ListParagraph"/>
                              <w:numPr>
                                <w:ilvl w:val="0"/>
                                <w:numId w:val="34"/>
                              </w:numPr>
                              <w:spacing w:before="120"/>
                              <w:contextualSpacing w:val="0"/>
                              <w:rPr>
                                <w:sz w:val="22"/>
                                <w:szCs w:val="22"/>
                              </w:rPr>
                            </w:pPr>
                            <w:r>
                              <w:rPr>
                                <w:sz w:val="22"/>
                                <w:szCs w:val="22"/>
                              </w:rPr>
                              <w:t xml:space="preserve">Respondents include </w:t>
                            </w:r>
                            <w:r w:rsidR="00E119ED">
                              <w:rPr>
                                <w:sz w:val="22"/>
                                <w:szCs w:val="22"/>
                              </w:rPr>
                              <w:t>individuals</w:t>
                            </w:r>
                            <w:r>
                              <w:rPr>
                                <w:sz w:val="22"/>
                                <w:szCs w:val="22"/>
                              </w:rPr>
                              <w:t xml:space="preserve"> in</w:t>
                            </w:r>
                            <w:r w:rsidR="00434A0D">
                              <w:rPr>
                                <w:sz w:val="22"/>
                                <w:szCs w:val="22"/>
                              </w:rPr>
                              <w:t xml:space="preserve">volved in the emergency </w:t>
                            </w:r>
                            <w:r w:rsidR="00E119ED">
                              <w:rPr>
                                <w:sz w:val="22"/>
                                <w:szCs w:val="22"/>
                              </w:rPr>
                              <w:t>response planning</w:t>
                            </w:r>
                            <w:r w:rsidR="00434A0D">
                              <w:rPr>
                                <w:sz w:val="22"/>
                                <w:szCs w:val="22"/>
                              </w:rPr>
                              <w:t xml:space="preserve"> activities at Poliovirus Essential Facilities (PEFs). </w:t>
                            </w:r>
                          </w:p>
                          <w:p w:rsidR="00533093" w:rsidRPr="00896231" w:rsidP="007A3CF4" w14:textId="0903B17D">
                            <w:pPr>
                              <w:pStyle w:val="ListParagraph"/>
                              <w:numPr>
                                <w:ilvl w:val="0"/>
                                <w:numId w:val="34"/>
                              </w:numPr>
                              <w:spacing w:before="120"/>
                              <w:contextualSpacing w:val="0"/>
                              <w:rPr>
                                <w:sz w:val="22"/>
                                <w:szCs w:val="22"/>
                              </w:rPr>
                            </w:pPr>
                            <w:r w:rsidRPr="00533093">
                              <w:rPr>
                                <w:sz w:val="22"/>
                                <w:szCs w:val="22"/>
                              </w:rPr>
                              <w:t>Data collected will be analyzed through simple tabulations and summarization followed by visualization using Microsoft Excel.</w:t>
                            </w:r>
                          </w:p>
                          <w:p w:rsidR="002F5077" w:rsidRPr="00896231" w:rsidP="00AF084B" w14:textId="77777777">
                            <w:pPr>
                              <w:pStyle w:val="ListParagraph"/>
                              <w:spacing w:before="120"/>
                              <w:ind w:left="360" w:firstLine="0"/>
                              <w:contextualSpacing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05pt;height:513.65pt;margin-top:13.15pt;margin-left:-25.8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2F5077" w:rsidRPr="00896231" w:rsidP="00896231" w14:paraId="267DEFCA" w14:textId="299EAA77">
                      <w:pPr>
                        <w:pStyle w:val="ListParagraph"/>
                        <w:numPr>
                          <w:ilvl w:val="0"/>
                          <w:numId w:val="34"/>
                        </w:numPr>
                        <w:spacing w:before="120"/>
                        <w:contextualSpacing w:val="0"/>
                        <w:rPr>
                          <w:sz w:val="22"/>
                          <w:szCs w:val="22"/>
                        </w:rPr>
                      </w:pPr>
                      <w:r w:rsidRPr="00896231">
                        <w:rPr>
                          <w:sz w:val="22"/>
                          <w:szCs w:val="22"/>
                        </w:rPr>
                        <w:t>The goal of th</w:t>
                      </w:r>
                      <w:r>
                        <w:rPr>
                          <w:sz w:val="22"/>
                          <w:szCs w:val="22"/>
                        </w:rPr>
                        <w:t xml:space="preserve">is </w:t>
                      </w:r>
                      <w:r w:rsidR="00701BE0">
                        <w:rPr>
                          <w:sz w:val="22"/>
                          <w:szCs w:val="22"/>
                        </w:rPr>
                        <w:t xml:space="preserve">GenIC is </w:t>
                      </w:r>
                      <w:r w:rsidRPr="00701BE0" w:rsidR="00701BE0">
                        <w:rPr>
                          <w:sz w:val="22"/>
                          <w:szCs w:val="22"/>
                        </w:rPr>
                        <w:t xml:space="preserve">to ascertain the level of readiness of poliovirus essential facilities (PEF) for responding to a poliovirus breach of containment or other polio-related event and provide PEFs with information </w:t>
                      </w:r>
                      <w:r w:rsidR="00434A0D">
                        <w:rPr>
                          <w:sz w:val="22"/>
                          <w:szCs w:val="22"/>
                        </w:rPr>
                        <w:t xml:space="preserve">in a </w:t>
                      </w:r>
                      <w:r w:rsidR="008B556E">
                        <w:rPr>
                          <w:sz w:val="22"/>
                          <w:szCs w:val="22"/>
                        </w:rPr>
                        <w:t xml:space="preserve">post-survey report </w:t>
                      </w:r>
                      <w:r w:rsidRPr="00701BE0" w:rsidR="00701BE0">
                        <w:rPr>
                          <w:sz w:val="22"/>
                          <w:szCs w:val="22"/>
                        </w:rPr>
                        <w:t>that will help them to improve their preparedness and response plans.</w:t>
                      </w:r>
                    </w:p>
                    <w:p w:rsidR="00434A0D" w:rsidP="00896231" w14:paraId="69298C8F" w14:textId="46FE5E0A">
                      <w:pPr>
                        <w:pStyle w:val="ListParagraph"/>
                        <w:numPr>
                          <w:ilvl w:val="0"/>
                          <w:numId w:val="34"/>
                        </w:numPr>
                        <w:spacing w:before="120"/>
                        <w:contextualSpacing w:val="0"/>
                        <w:rPr>
                          <w:sz w:val="22"/>
                          <w:szCs w:val="22"/>
                        </w:rPr>
                      </w:pPr>
                      <w:r w:rsidRPr="00434A0D">
                        <w:rPr>
                          <w:sz w:val="22"/>
                          <w:szCs w:val="22"/>
                        </w:rPr>
                        <w:t>Survey results will be used to improve the containment program by focusing the NAC's available resources on the development of policies, guidance, and training for PEFs based on the most commonly reported and highest risk areas as reported by respondents. The</w:t>
                      </w:r>
                      <w:r w:rsidR="000B224A">
                        <w:rPr>
                          <w:sz w:val="22"/>
                          <w:szCs w:val="22"/>
                        </w:rPr>
                        <w:t xml:space="preserve"> </w:t>
                      </w:r>
                      <w:r w:rsidRPr="00434A0D">
                        <w:rPr>
                          <w:sz w:val="22"/>
                          <w:szCs w:val="22"/>
                        </w:rPr>
                        <w:t>informational resources provided in the post-survey report will be a valuable asset to PEFs and the result of the effort is a PEF community better prepared to respond to a poliovirus breach of containment or other poliovirus-related event.</w:t>
                      </w:r>
                    </w:p>
                    <w:p w:rsidR="00434A0D" w:rsidP="007A3CF4" w14:paraId="5A050724" w14:textId="3F5231A8">
                      <w:pPr>
                        <w:pStyle w:val="ListParagraph"/>
                        <w:numPr>
                          <w:ilvl w:val="0"/>
                          <w:numId w:val="34"/>
                        </w:numPr>
                        <w:spacing w:before="120"/>
                        <w:contextualSpacing w:val="0"/>
                        <w:rPr>
                          <w:sz w:val="22"/>
                          <w:szCs w:val="22"/>
                        </w:rPr>
                      </w:pPr>
                      <w:r>
                        <w:rPr>
                          <w:sz w:val="22"/>
                          <w:szCs w:val="22"/>
                        </w:rPr>
                        <w:t>A</w:t>
                      </w:r>
                      <w:r w:rsidRPr="00434A0D">
                        <w:rPr>
                          <w:sz w:val="22"/>
                          <w:szCs w:val="22"/>
                        </w:rPr>
                        <w:t xml:space="preserve"> web-based survey </w:t>
                      </w:r>
                      <w:r>
                        <w:rPr>
                          <w:sz w:val="22"/>
                          <w:szCs w:val="22"/>
                        </w:rPr>
                        <w:t xml:space="preserve">will be used </w:t>
                      </w:r>
                      <w:r w:rsidRPr="00434A0D">
                        <w:rPr>
                          <w:sz w:val="22"/>
                          <w:szCs w:val="22"/>
                        </w:rPr>
                        <w:t>to collect data</w:t>
                      </w:r>
                      <w:r w:rsidR="00E119ED">
                        <w:rPr>
                          <w:sz w:val="22"/>
                          <w:szCs w:val="22"/>
                        </w:rPr>
                        <w:t>.</w:t>
                      </w:r>
                      <w:r w:rsidRPr="00434A0D">
                        <w:rPr>
                          <w:sz w:val="22"/>
                          <w:szCs w:val="22"/>
                        </w:rPr>
                        <w:t xml:space="preserve"> </w:t>
                      </w:r>
                    </w:p>
                    <w:p w:rsidR="002F5077" w:rsidP="007A3CF4" w14:paraId="1F75A34B" w14:textId="16E9915F">
                      <w:pPr>
                        <w:pStyle w:val="ListParagraph"/>
                        <w:numPr>
                          <w:ilvl w:val="0"/>
                          <w:numId w:val="34"/>
                        </w:numPr>
                        <w:spacing w:before="120"/>
                        <w:contextualSpacing w:val="0"/>
                        <w:rPr>
                          <w:sz w:val="22"/>
                          <w:szCs w:val="22"/>
                        </w:rPr>
                      </w:pPr>
                      <w:r>
                        <w:rPr>
                          <w:sz w:val="22"/>
                          <w:szCs w:val="22"/>
                        </w:rPr>
                        <w:t xml:space="preserve">Respondents include </w:t>
                      </w:r>
                      <w:r w:rsidR="00E119ED">
                        <w:rPr>
                          <w:sz w:val="22"/>
                          <w:szCs w:val="22"/>
                        </w:rPr>
                        <w:t>individuals</w:t>
                      </w:r>
                      <w:r>
                        <w:rPr>
                          <w:sz w:val="22"/>
                          <w:szCs w:val="22"/>
                        </w:rPr>
                        <w:t xml:space="preserve"> in</w:t>
                      </w:r>
                      <w:r w:rsidR="00434A0D">
                        <w:rPr>
                          <w:sz w:val="22"/>
                          <w:szCs w:val="22"/>
                        </w:rPr>
                        <w:t xml:space="preserve">volved in the emergency </w:t>
                      </w:r>
                      <w:r w:rsidR="00E119ED">
                        <w:rPr>
                          <w:sz w:val="22"/>
                          <w:szCs w:val="22"/>
                        </w:rPr>
                        <w:t>response planning</w:t>
                      </w:r>
                      <w:r w:rsidR="00434A0D">
                        <w:rPr>
                          <w:sz w:val="22"/>
                          <w:szCs w:val="22"/>
                        </w:rPr>
                        <w:t xml:space="preserve"> activities at Poliovirus Essential Facilities (PEFs). </w:t>
                      </w:r>
                    </w:p>
                    <w:p w:rsidR="00533093" w:rsidRPr="00896231" w:rsidP="007A3CF4" w14:paraId="7EDFF718" w14:textId="0903B17D">
                      <w:pPr>
                        <w:pStyle w:val="ListParagraph"/>
                        <w:numPr>
                          <w:ilvl w:val="0"/>
                          <w:numId w:val="34"/>
                        </w:numPr>
                        <w:spacing w:before="120"/>
                        <w:contextualSpacing w:val="0"/>
                        <w:rPr>
                          <w:sz w:val="22"/>
                          <w:szCs w:val="22"/>
                        </w:rPr>
                      </w:pPr>
                      <w:r w:rsidRPr="00533093">
                        <w:rPr>
                          <w:sz w:val="22"/>
                          <w:szCs w:val="22"/>
                        </w:rPr>
                        <w:t>Data collected will be analyzed through simple tabulations and summarization followed by visualization using Microsoft Excel.</w:t>
                      </w:r>
                    </w:p>
                    <w:p w:rsidR="002F5077" w:rsidRPr="00896231" w:rsidP="00AF084B" w14:paraId="27CDE25D" w14:textId="77777777">
                      <w:pPr>
                        <w:pStyle w:val="ListParagraph"/>
                        <w:spacing w:before="120"/>
                        <w:ind w:left="360" w:firstLine="0"/>
                        <w:contextualSpacing w:val="0"/>
                      </w:pPr>
                    </w:p>
                  </w:txbxContent>
                </v:textbox>
              </v:shape>
            </w:pict>
          </mc:Fallback>
        </mc:AlternateContent>
      </w:r>
      <w:r w:rsidRPr="00022A54" w:rsidR="000B3F98">
        <w:fldChar w:fldCharType="end"/>
      </w:r>
    </w:p>
    <w:p w:rsidR="0092767B" w:rsidP="0092767B" w14:paraId="58A32BE3" w14:textId="77777777">
      <w:pPr>
        <w:rPr>
          <w:rFonts w:ascii="Courier New" w:hAnsi="Courier New" w:cs="Courier New"/>
          <w:b/>
        </w:rPr>
      </w:pPr>
    </w:p>
    <w:p w:rsidR="0092767B" w:rsidP="0092767B" w14:paraId="06D79104" w14:textId="77777777">
      <w:pPr>
        <w:rPr>
          <w:rFonts w:ascii="Courier New" w:hAnsi="Courier New" w:cs="Courier New"/>
          <w:b/>
        </w:rPr>
      </w:pPr>
    </w:p>
    <w:p w:rsidR="0092767B" w:rsidP="0092767B" w14:paraId="16E2E8FF" w14:textId="77777777">
      <w:pPr>
        <w:rPr>
          <w:rFonts w:ascii="Courier New" w:hAnsi="Courier New" w:cs="Courier New"/>
          <w:b/>
        </w:rPr>
      </w:pPr>
    </w:p>
    <w:p w:rsidR="0092767B" w:rsidP="0092767B" w14:paraId="1A114E5D" w14:textId="77777777">
      <w:pPr>
        <w:rPr>
          <w:rFonts w:ascii="Courier New" w:hAnsi="Courier New" w:cs="Courier New"/>
          <w:b/>
        </w:rPr>
      </w:pPr>
    </w:p>
    <w:p w:rsidR="0092767B" w:rsidP="0092767B" w14:paraId="24F80374" w14:textId="77777777">
      <w:pPr>
        <w:rPr>
          <w:rFonts w:ascii="Courier New" w:hAnsi="Courier New" w:cs="Courier New"/>
          <w:b/>
        </w:rPr>
      </w:pPr>
    </w:p>
    <w:p w:rsidR="0092767B" w:rsidP="0092767B" w14:paraId="59A93F6C" w14:textId="77777777">
      <w:pPr>
        <w:rPr>
          <w:rFonts w:ascii="Courier New" w:hAnsi="Courier New" w:cs="Courier New"/>
          <w:b/>
        </w:rPr>
      </w:pPr>
    </w:p>
    <w:p w:rsidR="0092767B" w:rsidP="0092767B" w14:paraId="4CF2FA9C" w14:textId="77777777">
      <w:pPr>
        <w:rPr>
          <w:rFonts w:ascii="Courier New" w:hAnsi="Courier New" w:cs="Courier New"/>
          <w:b/>
        </w:rPr>
      </w:pPr>
    </w:p>
    <w:p w:rsidR="0092767B" w:rsidP="0092767B" w14:paraId="20850D7D" w14:textId="77777777">
      <w:pPr>
        <w:rPr>
          <w:rFonts w:ascii="Courier New" w:hAnsi="Courier New" w:cs="Courier New"/>
          <w:b/>
        </w:rPr>
      </w:pPr>
    </w:p>
    <w:p w:rsidR="0092767B" w:rsidP="0092767B" w14:paraId="2B632D95" w14:textId="77777777">
      <w:pPr>
        <w:rPr>
          <w:rFonts w:ascii="Courier New" w:hAnsi="Courier New" w:cs="Courier New"/>
          <w:b/>
        </w:rPr>
      </w:pPr>
    </w:p>
    <w:p w:rsidR="00662F81" w:rsidRPr="00022A54" w:rsidP="00662F81" w14:paraId="16D87750" w14:textId="77777777">
      <w:pPr>
        <w:tabs>
          <w:tab w:val="left" w:pos="-1440"/>
        </w:tabs>
        <w:ind w:left="720" w:hanging="720"/>
        <w:rPr>
          <w:b/>
          <w:bCs/>
        </w:rPr>
      </w:pPr>
      <w:r>
        <w:rPr>
          <w:b/>
          <w:bCs/>
        </w:rPr>
        <w:br w:type="page"/>
      </w:r>
      <w:r w:rsidRPr="00022A54">
        <w:rPr>
          <w:b/>
          <w:bCs/>
        </w:rPr>
        <w:t>A.</w:t>
      </w:r>
      <w:r w:rsidRPr="00022A54">
        <w:rPr>
          <w:b/>
          <w:bCs/>
        </w:rPr>
        <w:tab/>
        <w:t>JUSTIFICATION</w:t>
      </w:r>
    </w:p>
    <w:p w:rsidR="00662F81" w:rsidRPr="00022A54" w:rsidP="00662F81" w14:paraId="0965E4CC"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E119ED" w:rsidP="00C54140" w14:paraId="5B20DE86" w14:textId="2065FB86">
      <w:pPr>
        <w:ind w:left="0" w:firstLine="0"/>
      </w:pPr>
      <w:bookmarkStart w:id="0" w:name="OLE_LINK5"/>
      <w:bookmarkStart w:id="1" w:name="OLE_LINK6"/>
      <w:r w:rsidRPr="00E119ED">
        <w:t>As the world approaches eradication of poliovirus (PV) and given the 2022 case of vaccine-derived polio in the United States, the first since 2013, poliovirus response readiness has moved to the forefront of planning for many within the emergency response community. Facilities in the U.S. that work with or store poliovirus must register with the U.S. National Authority for Containment of poliovirus (NAC), implement appropriate risk mitigation strategies, and be prepared to respond to poliovirus-related incidents including worker exposure, release, theft, loss, or other breach of containment. The U.S. NAC works with registered poliovirus essential facilities (PEF) to ensure that stringent biocontainment measures required in the Poliovirus Global Action Plan (GAP) are in place. Poliovirus has unique handling and containment needs, and response plans developed by PEFs must reflect deliberate and informed planning to protect workers and ensure timely and effective response to poliovirus-related emergencies. However, since 2018, only 8.2% of NAC-audited facilities fully met the emergency planning and response requirements of GAP. Additionally, NAC data suggest that gaps in preparedness and response readiness of U.S. facilities could delay or hinder efforts to respond to a poliovirus incident. To address this problem, the U.S. NAC has developed an online tool in consultation with emergency response, communication, and survey design experts, for facilities to assess their current level of poliovirus preparedness and response readiness. This self-led tool navigates users through a series of questions on topics such as available resources and practices for planning, training, and exercises; communication and evaluation plans; incident investigation procedures; documentation of strengths, areas for improvement, and lessons learned; and ability to manage and resolve identified improvement plan tasks after an exercise or incident. Participants using the tool are presented with recommendations for improving their current response capabilities and offered information on training, guidance, and other resources tailored to their situation based on the responses they provided to questions in seven broad categories. Facilities can also indicate interest in participating in poliovirus outbreak simulation exercises with inter-agency state and federal partners. This new tool offers facilities an opportunity to improve their internal response readiness therefore putting local, state, and national public health authorities better positioned to address patient/sample testing, transmission, surveillance, environmental concerns, community messaging, and other issues when faced with a poliovirus incident.</w:t>
      </w:r>
    </w:p>
    <w:p w:rsidR="00513B8B" w:rsidP="00C54140" w14:paraId="2918AF28" w14:textId="2B3C8577">
      <w:pPr>
        <w:ind w:left="0" w:firstLine="0"/>
      </w:pPr>
      <w:r w:rsidRPr="00022A54">
        <w:t xml:space="preserve">Data collection for this project is authorized under 42 U.S.C. 241, </w:t>
      </w:r>
      <w:r w:rsidRPr="00022A54" w:rsidR="00132B15">
        <w:t xml:space="preserve">Chapter 6a - Public Health Service; Subchapter </w:t>
      </w:r>
      <w:r w:rsidRPr="00022A54" w:rsidR="00132B15">
        <w:t>Ii</w:t>
      </w:r>
      <w:r w:rsidRPr="00022A54" w:rsidR="00132B15">
        <w:t xml:space="preserve"> - General Powers and Duties </w:t>
      </w:r>
      <w:r w:rsidRPr="00022A54">
        <w:t xml:space="preserve">Part A - Research and Investigations. </w:t>
      </w:r>
    </w:p>
    <w:p w:rsidR="00A758F5" w:rsidP="00C54140" w14:paraId="79D76739" w14:textId="77777777">
      <w:pPr>
        <w:ind w:left="0" w:firstLine="0"/>
        <w:rPr>
          <w:bCs/>
        </w:rPr>
      </w:pPr>
    </w:p>
    <w:bookmarkEnd w:id="0"/>
    <w:bookmarkEnd w:id="1"/>
    <w:p w:rsidR="00CA1AF9" w:rsidRPr="00022A54" w:rsidP="00CA1AF9" w14:paraId="77A651F6"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00E119ED" w:rsidP="00A758F5" w14:paraId="47352201" w14:textId="33D9A185">
      <w:pPr>
        <w:ind w:left="0" w:firstLine="0"/>
      </w:pPr>
      <w:r w:rsidRPr="00E119ED">
        <w:t>The goal of the survey is to ascertain the level of readiness of poliovirus essential facilities (PEF) for responding to a poliovirus breach of containment or other polio-related event and provide PEFs with information that will help them to improve their preparedness and response plans. Additionally, NAC program will be improved by using the anonymous data to identify common and significant areas for improvement and focus limited resources on activities that will have the greatest positive impact on the PEF community.</w:t>
      </w:r>
    </w:p>
    <w:p w:rsidR="00A758F5" w:rsidP="00A758F5" w14:paraId="5564D5D2" w14:textId="77777777">
      <w:pPr>
        <w:ind w:left="0" w:firstLine="0"/>
      </w:pPr>
    </w:p>
    <w:p w:rsidR="00662F81" w:rsidRPr="00022A54" w:rsidP="00662F81" w14:paraId="7ECA1379" w14:textId="492FBB66">
      <w:pPr>
        <w:tabs>
          <w:tab w:val="left" w:pos="-1440"/>
        </w:tabs>
      </w:pPr>
      <w:r w:rsidRPr="00022A54">
        <w:rPr>
          <w:b/>
          <w:bCs/>
        </w:rPr>
        <w:t>3.</w:t>
      </w:r>
      <w:r w:rsidRPr="00022A54">
        <w:rPr>
          <w:b/>
          <w:bCs/>
        </w:rPr>
        <w:tab/>
        <w:t>Use of Improved Information Technology and Burden Reduction</w:t>
      </w:r>
    </w:p>
    <w:p w:rsidR="00E119ED" w:rsidP="00291FB8" w14:paraId="020724E1" w14:textId="6DF51F42">
      <w:pPr>
        <w:ind w:left="0" w:firstLine="0"/>
      </w:pPr>
      <w:r>
        <w:t>A web-based survey will be used to collect information with built-in skip logic to reduce burden</w:t>
      </w:r>
      <w:r w:rsidR="001E3B30">
        <w:t>.</w:t>
      </w:r>
      <w:r>
        <w:t xml:space="preserve"> </w:t>
      </w:r>
    </w:p>
    <w:p w:rsidR="007E1DCC" w:rsidP="00291FB8" w14:paraId="675D982F" w14:textId="77777777">
      <w:pPr>
        <w:ind w:left="0" w:firstLine="0"/>
      </w:pPr>
    </w:p>
    <w:p w:rsidR="00662F81" w:rsidRPr="00022A54" w:rsidP="00B95A61" w14:paraId="7FEA26F2" w14:textId="77777777">
      <w:pPr>
        <w:tabs>
          <w:tab w:val="left" w:pos="-1440"/>
        </w:tabs>
      </w:pPr>
      <w:r w:rsidRPr="00022A54">
        <w:rPr>
          <w:b/>
          <w:bCs/>
        </w:rPr>
        <w:t>4.</w:t>
      </w:r>
      <w:r w:rsidRPr="00022A54">
        <w:rPr>
          <w:b/>
          <w:bCs/>
        </w:rPr>
        <w:tab/>
        <w:t>Efforts to Identify Duplication and Use of Similar Information</w:t>
      </w:r>
    </w:p>
    <w:p w:rsidR="00B27EF4" w:rsidP="00291FB8" w14:paraId="54E51171" w14:textId="4A65F1B8">
      <w:pPr>
        <w:ind w:left="0" w:firstLine="0"/>
      </w:pPr>
      <w:r>
        <w:t xml:space="preserve">The NAC is </w:t>
      </w:r>
      <w:r w:rsidR="007E1DCC">
        <w:t xml:space="preserve">uniquely situated to collect this information from PEFs solely so there would be no duplication in information collection efforts in the Federal government or otherwise. </w:t>
      </w:r>
    </w:p>
    <w:p w:rsidR="007E1DCC" w:rsidRPr="00022A54" w:rsidP="00291FB8" w14:paraId="76D52939" w14:textId="77777777">
      <w:pPr>
        <w:ind w:left="0" w:firstLine="0"/>
      </w:pPr>
    </w:p>
    <w:p w:rsidR="00662F81" w:rsidRPr="0090285F" w:rsidP="00B95A61" w14:paraId="72DAFBE2" w14:textId="77777777">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0616B4" w:rsidRPr="000616B4" w:rsidP="000616B4" w14:paraId="55FDF327" w14:textId="4147213D">
      <w:pPr>
        <w:ind w:left="0" w:firstLine="0"/>
      </w:pPr>
      <w:r>
        <w:t>N</w:t>
      </w:r>
      <w:r w:rsidRPr="002E274D" w:rsidR="002E274D">
        <w:t>o small businesses will be involved in th</w:t>
      </w:r>
      <w:r w:rsidR="002E274D">
        <w:t>e</w:t>
      </w:r>
      <w:r w:rsidRPr="002E274D" w:rsidR="002E274D">
        <w:t xml:space="preserve"> data collection</w:t>
      </w:r>
      <w:r w:rsidR="002E274D">
        <w:t xml:space="preserve"> activities</w:t>
      </w:r>
      <w:r w:rsidRPr="002E274D" w:rsidR="002E274D">
        <w:t>.</w:t>
      </w:r>
      <w:r w:rsidR="009F4060">
        <w:t xml:space="preserve"> </w:t>
      </w:r>
    </w:p>
    <w:p w:rsidR="003A6373" w:rsidRPr="00022A54" w:rsidP="00291FB8" w14:paraId="0A66084C" w14:textId="77777777">
      <w:pPr>
        <w:ind w:left="0" w:firstLine="0"/>
      </w:pPr>
    </w:p>
    <w:p w:rsidR="00662F81" w:rsidRPr="00022A54" w:rsidP="00B95A61" w14:paraId="0758F905" w14:textId="77777777">
      <w:pPr>
        <w:tabs>
          <w:tab w:val="left" w:pos="-1440"/>
        </w:tabs>
      </w:pPr>
      <w:r w:rsidRPr="00022A54">
        <w:rPr>
          <w:b/>
          <w:bCs/>
        </w:rPr>
        <w:t>6.</w:t>
      </w:r>
      <w:r w:rsidRPr="00022A54">
        <w:rPr>
          <w:b/>
          <w:bCs/>
        </w:rPr>
        <w:tab/>
      </w:r>
      <w:r w:rsidRPr="0016614F">
        <w:rPr>
          <w:b/>
          <w:bCs/>
        </w:rPr>
        <w:t>Consequences of Collecting the Information Less Frequently</w:t>
      </w:r>
    </w:p>
    <w:p w:rsidR="00662F81" w:rsidRPr="00022A54" w:rsidP="005A3B06" w14:paraId="7B55EB23" w14:textId="456F809A">
      <w:pPr>
        <w:ind w:left="0" w:firstLine="0"/>
      </w:pPr>
      <w:r>
        <w:t>Collecting this information allows PEFs to improve their preparedness</w:t>
      </w:r>
      <w:r w:rsidR="00D357C4">
        <w:t xml:space="preserve"> and response</w:t>
      </w:r>
      <w:r w:rsidR="00AC6570">
        <w:t xml:space="preserve"> planning</w:t>
      </w:r>
      <w:r>
        <w:t xml:space="preserve"> activities. </w:t>
      </w:r>
    </w:p>
    <w:p w:rsidR="00384295" w:rsidP="00B95A61" w14:paraId="2A2A9201" w14:textId="77777777">
      <w:pPr>
        <w:tabs>
          <w:tab w:val="left" w:pos="-1440"/>
        </w:tabs>
        <w:rPr>
          <w:b/>
          <w:bCs/>
        </w:rPr>
      </w:pPr>
    </w:p>
    <w:p w:rsidR="00662F81" w:rsidRPr="00022A54" w:rsidP="00B95A61" w14:paraId="3E30069B"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00662F81" w:rsidRPr="00022A54" w:rsidP="00662F81" w14:paraId="537A44C5" w14:textId="77777777">
      <w:r w:rsidRPr="00022A54">
        <w:t>This request fully complies with the regulation 5 CFR 1320.5.</w:t>
      </w:r>
    </w:p>
    <w:p w:rsidR="00384295" w:rsidP="00AC132E" w14:paraId="14AD18F4" w14:textId="77777777">
      <w:pPr>
        <w:tabs>
          <w:tab w:val="left" w:pos="-1440"/>
        </w:tabs>
        <w:rPr>
          <w:b/>
          <w:bCs/>
        </w:rPr>
      </w:pPr>
    </w:p>
    <w:p w:rsidR="00662F81" w:rsidRPr="00022A54" w:rsidP="00AC132E" w14:paraId="4FA304E2"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662F81" w:rsidP="00291FB8" w14:paraId="3BFF2D71" w14:textId="195CA999">
      <w:pPr>
        <w:tabs>
          <w:tab w:val="left" w:pos="-1440"/>
        </w:tabs>
        <w:ind w:left="0" w:firstLine="0"/>
      </w:pPr>
      <w:r w:rsidRPr="00022A54">
        <w:t>The</w:t>
      </w:r>
      <w:r w:rsidRPr="00022A54" w:rsidR="00400FED">
        <w:t xml:space="preserve"> Federal Register notice w</w:t>
      </w:r>
      <w:r w:rsidRPr="00022A54">
        <w:t xml:space="preserve">as </w:t>
      </w:r>
      <w:r w:rsidRPr="00022A54" w:rsidR="00400FED">
        <w:t>published for this collection on</w:t>
      </w:r>
      <w:r w:rsidR="000D6277">
        <w:t xml:space="preserve"> </w:t>
      </w:r>
      <w:r w:rsidR="008E323D">
        <w:t xml:space="preserve">July </w:t>
      </w:r>
      <w:r w:rsidR="00151B07">
        <w:t>14</w:t>
      </w:r>
      <w:r w:rsidR="006A0C13">
        <w:t>, 20</w:t>
      </w:r>
      <w:r w:rsidR="008E323D">
        <w:t>2</w:t>
      </w:r>
      <w:r w:rsidR="00151B07">
        <w:t>5</w:t>
      </w:r>
      <w:r w:rsidR="00A26E81">
        <w:t xml:space="preserve">, </w:t>
      </w:r>
      <w:r w:rsidRPr="00A26E81" w:rsidR="00A26E81">
        <w:t>Vol.</w:t>
      </w:r>
      <w:r w:rsidR="000D6277">
        <w:t xml:space="preserve"> </w:t>
      </w:r>
      <w:r w:rsidR="008240F6">
        <w:t>90</w:t>
      </w:r>
      <w:r w:rsidRPr="00A26E81" w:rsidR="00A26E81">
        <w:t>, No.</w:t>
      </w:r>
      <w:r w:rsidR="008E323D">
        <w:t>1</w:t>
      </w:r>
      <w:r w:rsidR="008240F6">
        <w:t>32</w:t>
      </w:r>
      <w:r w:rsidR="008E323D">
        <w:t xml:space="preserve"> </w:t>
      </w:r>
      <w:r w:rsidR="000D6277">
        <w:t>,</w:t>
      </w:r>
      <w:r w:rsidRPr="00022A54" w:rsidR="00400FED">
        <w:t xml:space="preserve"> pp.</w:t>
      </w:r>
      <w:r w:rsidRPr="00022A54" w:rsidR="007B3B8F">
        <w:t xml:space="preserve"> </w:t>
      </w:r>
      <w:r w:rsidR="008240F6">
        <w:t>31206</w:t>
      </w:r>
      <w:r w:rsidR="000D6277">
        <w:t>.</w:t>
      </w:r>
      <w:r w:rsidRPr="00022A54" w:rsidR="00400FED">
        <w:t xml:space="preserve"> </w:t>
      </w:r>
      <w:r w:rsidR="008240F6">
        <w:t>One</w:t>
      </w:r>
      <w:r w:rsidR="003E5A93">
        <w:t xml:space="preserve"> </w:t>
      </w:r>
      <w:r w:rsidRPr="00022A54">
        <w:t>public</w:t>
      </w:r>
      <w:r w:rsidR="0044048D">
        <w:t xml:space="preserve"> comment w</w:t>
      </w:r>
      <w:r w:rsidR="008240F6">
        <w:t>as</w:t>
      </w:r>
      <w:r w:rsidR="0044048D">
        <w:t xml:space="preserve"> received</w:t>
      </w:r>
      <w:r w:rsidRPr="00022A54">
        <w:t xml:space="preserve">. </w:t>
      </w:r>
      <w:r w:rsidRPr="00022A54" w:rsidR="00400FED">
        <w:t xml:space="preserve"> </w:t>
      </w:r>
    </w:p>
    <w:p w:rsidR="00937702" w:rsidP="004B3F6F" w14:paraId="477F0BA3" w14:textId="77777777">
      <w:pPr>
        <w:tabs>
          <w:tab w:val="left" w:pos="0"/>
        </w:tabs>
        <w:rPr>
          <w:b/>
          <w:bCs/>
        </w:rPr>
      </w:pPr>
    </w:p>
    <w:p w:rsidR="00662F81" w:rsidRPr="00022A54" w:rsidP="004B3F6F" w14:paraId="6FEE3FE8" w14:textId="77777777">
      <w:pPr>
        <w:tabs>
          <w:tab w:val="left" w:pos="0"/>
        </w:tabs>
      </w:pPr>
      <w:r w:rsidRPr="00022A54">
        <w:rPr>
          <w:b/>
          <w:bCs/>
        </w:rPr>
        <w:t>9.</w:t>
      </w:r>
      <w:r w:rsidRPr="00022A54">
        <w:rPr>
          <w:b/>
          <w:bCs/>
        </w:rPr>
        <w:tab/>
      </w:r>
      <w:r w:rsidRPr="004B3F6F">
        <w:rPr>
          <w:b/>
          <w:bCs/>
        </w:rPr>
        <w:t>Explanation of Any Payment or Gift to Respondents</w:t>
      </w:r>
    </w:p>
    <w:p w:rsidR="00CD3BF7" w:rsidP="00F50D26" w14:paraId="4A14DAEF" w14:textId="09A6115A">
      <w:pPr>
        <w:pStyle w:val="a"/>
        <w:tabs>
          <w:tab w:val="left" w:pos="0"/>
        </w:tabs>
        <w:ind w:left="0" w:firstLine="0"/>
      </w:pPr>
      <w:r>
        <w:t xml:space="preserve">No payments or gifts will be made to respondents. </w:t>
      </w:r>
    </w:p>
    <w:p w:rsidR="007E1DCC" w:rsidRPr="00022A54" w:rsidP="00F50D26" w14:paraId="11B08F42" w14:textId="77777777">
      <w:pPr>
        <w:pStyle w:val="a"/>
        <w:tabs>
          <w:tab w:val="left" w:pos="0"/>
        </w:tabs>
        <w:ind w:left="0" w:firstLine="0"/>
      </w:pPr>
    </w:p>
    <w:p w:rsidR="00662F81" w:rsidRPr="00022A54" w:rsidP="00662F81" w14:paraId="1D1FE7AE" w14:textId="77777777">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9F4B4D" w:rsidP="006B5057" w14:paraId="55669E11" w14:textId="77777777">
      <w:pPr>
        <w:ind w:left="0" w:firstLine="0"/>
      </w:pPr>
      <w:r>
        <w:rPr>
          <w:color w:val="000000"/>
        </w:rPr>
        <w:t xml:space="preserve">PII will not be collected. </w:t>
      </w:r>
      <w:r w:rsidRPr="009F4B4D">
        <w:rPr>
          <w:color w:val="000000"/>
        </w:rPr>
        <w:t>Survey results may be shared with the Poliovirus Containment Working Group (PCWG) or CDC/ORR leadership in aggregate form (i.e., summarizing data at group level, not individual facility level).</w:t>
      </w:r>
      <w:r w:rsidRPr="009F4B4D">
        <w:t xml:space="preserve"> </w:t>
      </w:r>
    </w:p>
    <w:p w:rsidR="009F4B4D" w:rsidRPr="009F4B4D" w:rsidP="009F4B4D" w14:paraId="39A2D7DB" w14:textId="77777777">
      <w:pPr>
        <w:ind w:left="0" w:firstLine="0"/>
        <w:rPr>
          <w:color w:val="000000"/>
        </w:rPr>
      </w:pPr>
      <w:r>
        <w:t>D</w:t>
      </w:r>
      <w:r w:rsidRPr="009F4B4D">
        <w:rPr>
          <w:color w:val="000000"/>
        </w:rPr>
        <w:t xml:space="preserve">ata will be collected and stored in REDCap (short-term). Long-term, all data will be transferred to and stored in NAC’s Azure SQL database behind the CDC firewall. The NAC Director and/or technical owner will determine who is permitted to have access to the REDCap project and data. A decision to grant access is based on an individual's need to know and is conveyed to the REDCap project manager and SQL database business owner to grant access rights within the systems. Access to the system and its data is permissions-based and controlled by the technical owner using the Principal of Least-Privilege as the model for access control. Access to certain application features is only available to an individual if their CDC PIV card profile at login is a match to one documented within the system. All system users are required to take security awareness and privacy training on </w:t>
      </w:r>
      <w:r w:rsidRPr="009F4B4D">
        <w:rPr>
          <w:color w:val="000000"/>
        </w:rPr>
        <w:t>an annual basis. Furthermore, users will receive system-specific training based on their NAC role(s) and responsibilities to further their skills and perform their specific jobs in a secure manner.</w:t>
      </w:r>
    </w:p>
    <w:p w:rsidR="006B5057" w:rsidP="009F4B4D" w14:paraId="3B384D08" w14:textId="373FCB32">
      <w:pPr>
        <w:ind w:left="0" w:firstLine="0"/>
      </w:pPr>
      <w:r w:rsidRPr="009F4B4D">
        <w:rPr>
          <w:color w:val="000000"/>
        </w:rPr>
        <w:t>The data will be retained throughout the life of the project and then deleted once it is determined that it has no additional value for the NAC.</w:t>
      </w:r>
    </w:p>
    <w:p w:rsidR="002D76E5" w:rsidP="00662F81" w14:paraId="79EFF8DB" w14:textId="77777777">
      <w:pPr>
        <w:tabs>
          <w:tab w:val="left" w:pos="0"/>
        </w:tabs>
        <w:ind w:left="720" w:hanging="720"/>
        <w:rPr>
          <w:b/>
          <w:bCs/>
        </w:rPr>
      </w:pPr>
    </w:p>
    <w:p w:rsidR="00662F81" w:rsidRPr="00C56746" w:rsidP="002D76E5" w14:paraId="062AD84E" w14:textId="77777777">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963C2F" w:rsidP="009F4EA7" w14:paraId="35876D32" w14:textId="70261727">
      <w:pPr>
        <w:ind w:left="0" w:firstLine="0"/>
      </w:pPr>
      <w:bookmarkStart w:id="2" w:name="OLE_LINK9"/>
      <w:bookmarkStart w:id="3" w:name="OLE_LINK10"/>
      <w:r>
        <w:t>IRB Approval</w:t>
      </w:r>
      <w:r w:rsidR="009F4EA7">
        <w:t xml:space="preserve"> is not required for this information collection at it has been determined to be non-research</w:t>
      </w:r>
      <w:r w:rsidR="002003D7">
        <w:t>.</w:t>
      </w:r>
      <w:r w:rsidR="009F4EA7">
        <w:t xml:space="preserve"> (</w:t>
      </w:r>
      <w:r w:rsidRPr="009F4EA7" w:rsidR="009F4EA7">
        <w:rPr>
          <w:b/>
          <w:bCs/>
        </w:rPr>
        <w:t xml:space="preserve">Attachment </w:t>
      </w:r>
      <w:r w:rsidR="008240F6">
        <w:rPr>
          <w:b/>
          <w:bCs/>
        </w:rPr>
        <w:t>5</w:t>
      </w:r>
      <w:r w:rsidR="009F4EA7">
        <w:t xml:space="preserve">- </w:t>
      </w:r>
      <w:r w:rsidR="009F4EA7">
        <w:t>Non-research</w:t>
      </w:r>
      <w:r w:rsidR="009F4EA7">
        <w:t xml:space="preserve"> determination) </w:t>
      </w:r>
      <w:r w:rsidRPr="00C41149">
        <w:t xml:space="preserve"> </w:t>
      </w:r>
    </w:p>
    <w:p w:rsidR="00F50D26" w:rsidRPr="00022A54" w:rsidP="00291FB8" w14:paraId="7CD0DDE7" w14:textId="56B2C6B8">
      <w:pPr>
        <w:ind w:left="0" w:firstLine="0"/>
      </w:pPr>
      <w:r>
        <w:t xml:space="preserve">There are no sensitive questions posed to respondents. </w:t>
      </w:r>
    </w:p>
    <w:bookmarkEnd w:id="2"/>
    <w:bookmarkEnd w:id="3"/>
    <w:p w:rsidR="00A549CA" w:rsidP="00E049ED" w14:paraId="72F58119" w14:textId="77777777">
      <w:pPr>
        <w:tabs>
          <w:tab w:val="left" w:pos="0"/>
        </w:tabs>
        <w:spacing w:before="120"/>
        <w:rPr>
          <w:b/>
          <w:bCs/>
        </w:rPr>
      </w:pPr>
    </w:p>
    <w:p w:rsidR="00E049ED" w:rsidRPr="00022A54" w:rsidP="00E049ED" w14:paraId="247A5C12" w14:textId="7591BC66">
      <w:pPr>
        <w:tabs>
          <w:tab w:val="left" w:pos="0"/>
        </w:tabs>
        <w:spacing w:before="120"/>
        <w:rPr>
          <w:b/>
          <w:bCs/>
        </w:rPr>
      </w:pPr>
      <w:r>
        <w:rPr>
          <w:b/>
          <w:bCs/>
        </w:rPr>
        <w:t xml:space="preserve">A.12. </w:t>
      </w:r>
      <w:r w:rsidRPr="00022A54">
        <w:rPr>
          <w:b/>
          <w:bCs/>
        </w:rPr>
        <w:t xml:space="preserve">Estimates of Annualized Burden Hours and Costs </w:t>
      </w:r>
    </w:p>
    <w:p w:rsidR="00061916" w:rsidP="002B49B4" w14:paraId="052AEE1E" w14:textId="79C34F5E">
      <w:pPr>
        <w:ind w:left="0" w:firstLine="0"/>
        <w:rPr>
          <w:snapToGrid w:val="0"/>
        </w:rPr>
      </w:pPr>
      <w:r w:rsidRPr="002B49B4">
        <w:rPr>
          <w:snapToGrid w:val="0"/>
        </w:rPr>
        <w:t xml:space="preserve">The annualized response burden is estimated at </w:t>
      </w:r>
      <w:r w:rsidR="00F50D26">
        <w:rPr>
          <w:snapToGrid w:val="0"/>
        </w:rPr>
        <w:t>75</w:t>
      </w:r>
      <w:r w:rsidRPr="002B49B4">
        <w:rPr>
          <w:snapToGrid w:val="0"/>
        </w:rPr>
        <w:t xml:space="preserve"> hours. </w:t>
      </w:r>
    </w:p>
    <w:p w:rsidR="002B49B4" w:rsidRPr="002B49B4" w:rsidP="002B49B4" w14:paraId="4FA18303" w14:textId="77777777">
      <w:pPr>
        <w:keepNext/>
        <w:keepLines/>
        <w:spacing w:before="120"/>
        <w:ind w:left="1166" w:hanging="1166"/>
        <w:rPr>
          <w:b/>
          <w:snapToGrid w:val="0"/>
        </w:rPr>
      </w:pPr>
      <w:r w:rsidRPr="002B49B4">
        <w:rPr>
          <w:b/>
          <w:snapToGrid w:val="0"/>
        </w:rPr>
        <w:t>Exhibit A.12.</w:t>
      </w:r>
      <w:r w:rsidRPr="002B49B4">
        <w:rPr>
          <w:b/>
          <w:snapToGrid w:val="0"/>
        </w:rPr>
        <w:t>A</w:t>
      </w:r>
      <w:r w:rsidRPr="002B49B4">
        <w:rPr>
          <w:b/>
          <w:snapToGrid w:val="0"/>
        </w:rPr>
        <w:tab/>
        <w:t xml:space="preserve">  Annualized Burden Hours</w:t>
      </w:r>
    </w:p>
    <w:tbl>
      <w:tblPr>
        <w:tblW w:w="9660" w:type="dxa"/>
        <w:tblLayout w:type="fixed"/>
        <w:tblCellMar>
          <w:left w:w="120" w:type="dxa"/>
          <w:right w:w="120" w:type="dxa"/>
        </w:tblCellMar>
        <w:tblLook w:val="0000"/>
      </w:tblPr>
      <w:tblGrid>
        <w:gridCol w:w="2151"/>
        <w:gridCol w:w="1710"/>
        <w:gridCol w:w="1530"/>
        <w:gridCol w:w="1530"/>
        <w:gridCol w:w="1440"/>
        <w:gridCol w:w="1299"/>
      </w:tblGrid>
      <w:tr w14:paraId="5D749E34" w14:textId="77777777" w:rsidTr="00EC677D">
        <w:tblPrEx>
          <w:tblW w:w="9660" w:type="dxa"/>
          <w:tblLayout w:type="fixed"/>
          <w:tblCellMar>
            <w:left w:w="120" w:type="dxa"/>
            <w:right w:w="120" w:type="dxa"/>
          </w:tblCellMar>
          <w:tblLook w:val="0000"/>
        </w:tblPrEx>
        <w:trPr>
          <w:tblHeader/>
        </w:trPr>
        <w:tc>
          <w:tcPr>
            <w:tcW w:w="2151" w:type="dxa"/>
            <w:tcBorders>
              <w:top w:val="single" w:sz="7" w:space="0" w:color="000000"/>
              <w:left w:val="single" w:sz="7" w:space="0" w:color="000000"/>
              <w:bottom w:val="single" w:sz="7" w:space="0" w:color="000000"/>
              <w:right w:val="single" w:sz="7" w:space="0" w:color="000000"/>
            </w:tcBorders>
            <w:vAlign w:val="center"/>
          </w:tcPr>
          <w:p w:rsidR="00503BB4" w:rsidRPr="002B49B4" w:rsidP="002B49B4" w14:paraId="022BF1B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Type of Respondent</w:t>
            </w:r>
          </w:p>
        </w:tc>
        <w:tc>
          <w:tcPr>
            <w:tcW w:w="1710" w:type="dxa"/>
            <w:tcBorders>
              <w:top w:val="single" w:sz="7" w:space="0" w:color="000000"/>
              <w:left w:val="single" w:sz="7" w:space="0" w:color="000000"/>
              <w:bottom w:val="single" w:sz="7" w:space="0" w:color="000000"/>
              <w:right w:val="single" w:sz="7" w:space="0" w:color="000000"/>
            </w:tcBorders>
            <w:vAlign w:val="center"/>
          </w:tcPr>
          <w:p w:rsidR="00503BB4" w:rsidRPr="002B49B4" w:rsidP="002B49B4" w14:paraId="6AE4DB5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2B49B4" w14:paraId="68BF54A0" w14:textId="77777777">
            <w:pPr>
              <w:widowControl w:val="0"/>
              <w:autoSpaceDE w:val="0"/>
              <w:autoSpaceDN w:val="0"/>
              <w:adjustRightInd w:val="0"/>
              <w:spacing w:after="0" w:line="120" w:lineRule="exact"/>
              <w:ind w:left="0" w:firstLine="0"/>
              <w:rPr>
                <w:bCs/>
                <w:color w:val="000000"/>
              </w:rPr>
            </w:pPr>
          </w:p>
          <w:p w:rsidR="00503BB4" w:rsidRPr="002B49B4" w:rsidP="002B49B4" w14:paraId="0F1E5B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503BB4" w:rsidRPr="002B49B4" w:rsidP="002B49B4" w14:paraId="1AAB6A3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Respondents</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2B49B4" w14:paraId="3D15D38F" w14:textId="77777777">
            <w:pPr>
              <w:widowControl w:val="0"/>
              <w:autoSpaceDE w:val="0"/>
              <w:autoSpaceDN w:val="0"/>
              <w:adjustRightInd w:val="0"/>
              <w:spacing w:after="0" w:line="120" w:lineRule="exact"/>
              <w:ind w:left="0" w:firstLine="0"/>
              <w:rPr>
                <w:bCs/>
                <w:color w:val="000000"/>
              </w:rPr>
            </w:pPr>
          </w:p>
          <w:p w:rsidR="00503BB4" w:rsidRPr="002B49B4" w:rsidP="002B49B4" w14:paraId="0961F52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503BB4" w:rsidRPr="002B49B4" w:rsidP="002B49B4" w14:paraId="0E06E21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Responses per</w:t>
            </w:r>
          </w:p>
          <w:p w:rsidR="00503BB4" w:rsidRPr="002B49B4" w:rsidP="002B49B4" w14:paraId="391B542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2B49B4" w14:paraId="687956C7" w14:textId="77777777">
            <w:pPr>
              <w:widowControl w:val="0"/>
              <w:autoSpaceDE w:val="0"/>
              <w:autoSpaceDN w:val="0"/>
              <w:adjustRightInd w:val="0"/>
              <w:spacing w:after="0" w:line="120" w:lineRule="exact"/>
              <w:ind w:left="0" w:firstLine="0"/>
              <w:rPr>
                <w:bCs/>
                <w:color w:val="000000"/>
              </w:rPr>
            </w:pPr>
          </w:p>
          <w:p w:rsidR="00503BB4" w:rsidRPr="002B49B4" w:rsidP="002B49B4" w14:paraId="120309F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Average Hours</w:t>
            </w:r>
          </w:p>
          <w:p w:rsidR="00503BB4" w:rsidRPr="002B49B4" w:rsidP="002B49B4" w14:paraId="19A2951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Per Response</w:t>
            </w:r>
          </w:p>
        </w:tc>
        <w:tc>
          <w:tcPr>
            <w:tcW w:w="1299" w:type="dxa"/>
            <w:tcBorders>
              <w:top w:val="single" w:sz="7" w:space="0" w:color="000000"/>
              <w:left w:val="single" w:sz="7" w:space="0" w:color="000000"/>
              <w:bottom w:val="single" w:sz="7" w:space="0" w:color="000000"/>
              <w:right w:val="single" w:sz="7" w:space="0" w:color="000000"/>
            </w:tcBorders>
          </w:tcPr>
          <w:p w:rsidR="00503BB4" w:rsidRPr="002B49B4" w:rsidP="002B49B4" w14:paraId="0D3D471B" w14:textId="77777777">
            <w:pPr>
              <w:widowControl w:val="0"/>
              <w:autoSpaceDE w:val="0"/>
              <w:autoSpaceDN w:val="0"/>
              <w:adjustRightInd w:val="0"/>
              <w:spacing w:after="0" w:line="120" w:lineRule="exact"/>
              <w:ind w:left="0" w:firstLine="0"/>
              <w:rPr>
                <w:bCs/>
                <w:color w:val="000000"/>
              </w:rPr>
            </w:pPr>
          </w:p>
          <w:p w:rsidR="00503BB4" w:rsidRPr="002B49B4" w:rsidP="002B49B4" w14:paraId="02DD847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Total Response</w:t>
            </w:r>
          </w:p>
          <w:p w:rsidR="00503BB4" w:rsidRPr="002B49B4" w:rsidP="002B49B4" w14:paraId="072EAE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Burden</w:t>
            </w:r>
          </w:p>
          <w:p w:rsidR="00503BB4" w:rsidRPr="002B49B4" w:rsidP="002B49B4" w14:paraId="24E0C1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(Hours)</w:t>
            </w:r>
          </w:p>
        </w:tc>
      </w:tr>
      <w:tr w14:paraId="2A7752B3" w14:textId="77777777" w:rsidTr="00EC677D">
        <w:tblPrEx>
          <w:tblW w:w="9660" w:type="dxa"/>
          <w:tblLayout w:type="fixed"/>
          <w:tblCellMar>
            <w:left w:w="120" w:type="dxa"/>
            <w:right w:w="120" w:type="dxa"/>
          </w:tblCellMar>
          <w:tblLook w:val="0000"/>
        </w:tblPrEx>
        <w:trPr>
          <w:trHeight w:val="1656"/>
        </w:trPr>
        <w:tc>
          <w:tcPr>
            <w:tcW w:w="2151" w:type="dxa"/>
            <w:tcBorders>
              <w:top w:val="single" w:sz="7" w:space="0" w:color="000000"/>
              <w:left w:val="single" w:sz="7" w:space="0" w:color="000000"/>
              <w:right w:val="single" w:sz="7" w:space="0" w:color="000000"/>
            </w:tcBorders>
          </w:tcPr>
          <w:p w:rsidR="00F50D26" w:rsidRPr="002B49B4" w:rsidP="00503BB4" w14:paraId="5DE610D6" w14:textId="210EC11D">
            <w:pPr>
              <w:widowControl w:val="0"/>
              <w:autoSpaceDE w:val="0"/>
              <w:autoSpaceDN w:val="0"/>
              <w:adjustRightInd w:val="0"/>
              <w:spacing w:after="0"/>
              <w:ind w:left="0" w:firstLine="0"/>
              <w:rPr>
                <w:color w:val="000000"/>
              </w:rPr>
            </w:pPr>
            <w:r>
              <w:rPr>
                <w:color w:val="000000"/>
              </w:rPr>
              <w:t>Emergency Response Coordinator at Poliovirus Essential Facility</w:t>
            </w:r>
          </w:p>
        </w:tc>
        <w:tc>
          <w:tcPr>
            <w:tcW w:w="1710" w:type="dxa"/>
            <w:tcBorders>
              <w:top w:val="single" w:sz="7" w:space="0" w:color="000000"/>
              <w:left w:val="single" w:sz="7" w:space="0" w:color="000000"/>
              <w:right w:val="single" w:sz="7" w:space="0" w:color="000000"/>
            </w:tcBorders>
          </w:tcPr>
          <w:p w:rsidR="00F50D26" w:rsidRPr="002B49B4" w:rsidP="00503BB4" w14:paraId="5E20BF1A" w14:textId="61A57BA5">
            <w:pPr>
              <w:autoSpaceDE w:val="0"/>
              <w:autoSpaceDN w:val="0"/>
              <w:adjustRightInd w:val="0"/>
              <w:spacing w:after="58"/>
              <w:ind w:left="0" w:firstLine="0"/>
              <w:rPr>
                <w:color w:val="000000"/>
              </w:rPr>
            </w:pPr>
            <w:r>
              <w:rPr>
                <w:color w:val="000000"/>
              </w:rPr>
              <w:br/>
            </w:r>
            <w:r w:rsidR="00EC677D">
              <w:rPr>
                <w:color w:val="000000"/>
              </w:rPr>
              <w:t>Poliovirus Response Readiness Survey</w:t>
            </w:r>
          </w:p>
        </w:tc>
        <w:tc>
          <w:tcPr>
            <w:tcW w:w="1530" w:type="dxa"/>
            <w:tcBorders>
              <w:top w:val="single" w:sz="7" w:space="0" w:color="000000"/>
              <w:left w:val="single" w:sz="7" w:space="0" w:color="000000"/>
              <w:right w:val="single" w:sz="7" w:space="0" w:color="000000"/>
            </w:tcBorders>
          </w:tcPr>
          <w:p w:rsidR="00F50D26" w:rsidRPr="002B49B4" w:rsidP="00503BB4" w14:paraId="29502EB9" w14:textId="2F35A9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jc w:val="right"/>
              <w:rPr>
                <w:color w:val="000000"/>
              </w:rPr>
            </w:pPr>
            <w:r>
              <w:rPr>
                <w:color w:val="000000"/>
              </w:rPr>
              <w:t>100</w:t>
            </w:r>
          </w:p>
        </w:tc>
        <w:tc>
          <w:tcPr>
            <w:tcW w:w="1530" w:type="dxa"/>
            <w:tcBorders>
              <w:top w:val="single" w:sz="7" w:space="0" w:color="000000"/>
              <w:left w:val="single" w:sz="7" w:space="0" w:color="000000"/>
              <w:right w:val="single" w:sz="7" w:space="0" w:color="000000"/>
            </w:tcBorders>
          </w:tcPr>
          <w:p w:rsidR="00F50D26" w:rsidRPr="002B49B4" w:rsidP="00503BB4" w14:paraId="041D46BA" w14:textId="560A46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w:t>
            </w:r>
          </w:p>
        </w:tc>
        <w:tc>
          <w:tcPr>
            <w:tcW w:w="1440" w:type="dxa"/>
            <w:tcBorders>
              <w:top w:val="single" w:sz="7" w:space="0" w:color="000000"/>
              <w:left w:val="single" w:sz="7" w:space="0" w:color="000000"/>
              <w:right w:val="single" w:sz="7" w:space="0" w:color="000000"/>
            </w:tcBorders>
          </w:tcPr>
          <w:p w:rsidR="00F50D26" w:rsidRPr="002B49B4" w:rsidP="00503BB4" w14:paraId="722F070A" w14:textId="1CF317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45/60</w:t>
            </w:r>
          </w:p>
        </w:tc>
        <w:tc>
          <w:tcPr>
            <w:tcW w:w="1299" w:type="dxa"/>
            <w:tcBorders>
              <w:top w:val="single" w:sz="7" w:space="0" w:color="000000"/>
              <w:left w:val="single" w:sz="7" w:space="0" w:color="000000"/>
              <w:right w:val="single" w:sz="7" w:space="0" w:color="000000"/>
            </w:tcBorders>
          </w:tcPr>
          <w:p w:rsidR="00F50D26" w:rsidRPr="002B49B4" w:rsidP="00503BB4" w14:paraId="112DF0B0" w14:textId="299957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jc w:val="right"/>
              <w:rPr>
                <w:color w:val="000000"/>
              </w:rPr>
            </w:pPr>
            <w:r>
              <w:rPr>
                <w:color w:val="000000"/>
              </w:rPr>
              <w:t>75</w:t>
            </w:r>
          </w:p>
        </w:tc>
      </w:tr>
      <w:tr w14:paraId="28D095A3" w14:textId="77777777" w:rsidTr="00EC677D">
        <w:tblPrEx>
          <w:tblW w:w="9660" w:type="dxa"/>
          <w:tblLayout w:type="fixed"/>
          <w:tblCellMar>
            <w:left w:w="120" w:type="dxa"/>
            <w:right w:w="120" w:type="dxa"/>
          </w:tblCellMar>
          <w:tblLook w:val="0000"/>
        </w:tblPrEx>
        <w:tc>
          <w:tcPr>
            <w:tcW w:w="2151" w:type="dxa"/>
            <w:tcBorders>
              <w:top w:val="single" w:sz="8" w:space="0" w:color="000000"/>
              <w:left w:val="single" w:sz="7" w:space="0" w:color="000000"/>
              <w:bottom w:val="single" w:sz="7" w:space="0" w:color="000000"/>
              <w:right w:val="single" w:sz="7" w:space="0" w:color="000000"/>
            </w:tcBorders>
          </w:tcPr>
          <w:p w:rsidR="00F50D26" w:rsidRPr="002B49B4" w:rsidP="00503BB4" w14:paraId="1922F82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sidRPr="002B49B4">
              <w:rPr>
                <w:b/>
                <w:color w:val="000000"/>
              </w:rPr>
              <w:t>Total</w:t>
            </w:r>
          </w:p>
        </w:tc>
        <w:tc>
          <w:tcPr>
            <w:tcW w:w="1710" w:type="dxa"/>
            <w:tcBorders>
              <w:top w:val="single" w:sz="8" w:space="0" w:color="000000"/>
              <w:left w:val="single" w:sz="7" w:space="0" w:color="000000"/>
              <w:bottom w:val="single" w:sz="7" w:space="0" w:color="000000"/>
              <w:right w:val="single" w:sz="7" w:space="0" w:color="000000"/>
            </w:tcBorders>
          </w:tcPr>
          <w:p w:rsidR="00F50D26" w:rsidRPr="002B49B4" w:rsidP="00503BB4" w14:paraId="6D97B84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p>
        </w:tc>
        <w:tc>
          <w:tcPr>
            <w:tcW w:w="1530" w:type="dxa"/>
            <w:tcBorders>
              <w:top w:val="single" w:sz="8" w:space="0" w:color="000000"/>
              <w:left w:val="single" w:sz="7" w:space="0" w:color="000000"/>
              <w:bottom w:val="single" w:sz="7" w:space="0" w:color="000000"/>
              <w:right w:val="single" w:sz="7" w:space="0" w:color="000000"/>
            </w:tcBorders>
          </w:tcPr>
          <w:p w:rsidR="00F50D26" w:rsidRPr="002B49B4" w:rsidP="00DC1889" w14:paraId="70856524" w14:textId="7C5D76A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p>
        </w:tc>
        <w:tc>
          <w:tcPr>
            <w:tcW w:w="1530" w:type="dxa"/>
            <w:tcBorders>
              <w:top w:val="single" w:sz="8" w:space="0" w:color="000000"/>
              <w:left w:val="single" w:sz="7" w:space="0" w:color="000000"/>
              <w:bottom w:val="single" w:sz="7" w:space="0" w:color="000000"/>
              <w:right w:val="single" w:sz="7" w:space="0" w:color="000000"/>
            </w:tcBorders>
          </w:tcPr>
          <w:p w:rsidR="00F50D26" w:rsidRPr="002B49B4" w:rsidP="00503BB4" w14:paraId="4885FEE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440" w:type="dxa"/>
            <w:tcBorders>
              <w:top w:val="single" w:sz="8" w:space="0" w:color="000000"/>
              <w:left w:val="single" w:sz="7" w:space="0" w:color="000000"/>
              <w:bottom w:val="single" w:sz="7" w:space="0" w:color="000000"/>
              <w:right w:val="single" w:sz="7" w:space="0" w:color="000000"/>
            </w:tcBorders>
          </w:tcPr>
          <w:p w:rsidR="00F50D26" w:rsidRPr="002B49B4" w:rsidP="00503BB4" w14:paraId="5790C24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299" w:type="dxa"/>
            <w:tcBorders>
              <w:top w:val="single" w:sz="8" w:space="0" w:color="000000"/>
              <w:left w:val="single" w:sz="7" w:space="0" w:color="000000"/>
              <w:bottom w:val="single" w:sz="7" w:space="0" w:color="000000"/>
              <w:right w:val="single" w:sz="7" w:space="0" w:color="000000"/>
            </w:tcBorders>
          </w:tcPr>
          <w:p w:rsidR="00F50D26" w:rsidRPr="002B49B4" w:rsidP="009C50AC" w14:paraId="67790563" w14:textId="1A4C37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Pr>
                <w:b/>
                <w:color w:val="000000"/>
              </w:rPr>
              <w:t>75</w:t>
            </w:r>
          </w:p>
        </w:tc>
      </w:tr>
    </w:tbl>
    <w:p w:rsidR="00885576" w:rsidP="00291FB8" w14:paraId="65094C8E" w14:textId="77777777">
      <w:pPr>
        <w:pStyle w:val="BodyText1"/>
        <w:spacing w:line="240" w:lineRule="auto"/>
        <w:ind w:left="0" w:firstLine="0"/>
        <w:rPr>
          <w:b/>
          <w:szCs w:val="24"/>
        </w:rPr>
      </w:pPr>
    </w:p>
    <w:p w:rsidR="00E049ED" w:rsidRPr="00022A54" w:rsidP="00E049ED" w14:paraId="30CAC239" w14:textId="77777777">
      <w:pPr>
        <w:tabs>
          <w:tab w:val="left" w:pos="0"/>
        </w:tabs>
      </w:pPr>
      <w:r w:rsidRPr="00022A54">
        <w:rPr>
          <w:b/>
          <w:bCs/>
        </w:rPr>
        <w:t xml:space="preserve">A.12.B Estimated Annualized Costs </w:t>
      </w:r>
    </w:p>
    <w:p w:rsidR="002B49B4" w:rsidRPr="002B49B4" w:rsidP="00885576" w14:paraId="59CA3975" w14:textId="248551C5">
      <w:pPr>
        <w:pStyle w:val="BodyText1"/>
        <w:spacing w:line="240" w:lineRule="auto"/>
        <w:ind w:left="0" w:firstLine="0"/>
        <w:rPr>
          <w:bCs/>
        </w:rPr>
      </w:pPr>
      <w:r>
        <w:t>T</w:t>
      </w:r>
      <w:r w:rsidRPr="002B49B4">
        <w:t>he United States Department of Labor, Bureau of Labor Statistics</w:t>
      </w:r>
      <w:r w:rsidR="0017776D">
        <w:t>,</w:t>
      </w:r>
      <w:r w:rsidRPr="002B49B4">
        <w:t xml:space="preserve"> May,</w:t>
      </w:r>
      <w:r w:rsidR="00D71D3D">
        <w:t xml:space="preserve"> </w:t>
      </w:r>
      <w:r w:rsidRPr="002B49B4" w:rsidR="00D71D3D">
        <w:t>20</w:t>
      </w:r>
      <w:r w:rsidR="00D71D3D">
        <w:t>2</w:t>
      </w:r>
      <w:r w:rsidR="009F4EA7">
        <w:t>3</w:t>
      </w:r>
      <w:r w:rsidR="00D71D3D">
        <w:t xml:space="preserve"> </w:t>
      </w:r>
      <w:r w:rsidR="009F4EA7">
        <w:t>(</w:t>
      </w:r>
      <w:hyperlink r:id="rId5" w:history="1">
        <w:r w:rsidRPr="00A00C5A" w:rsidR="009F4EA7">
          <w:rPr>
            <w:rStyle w:val="Hyperlink"/>
          </w:rPr>
          <w:t>https://www.bls.gov/oes/2023/may/oes119161.htm</w:t>
        </w:r>
      </w:hyperlink>
      <w:r w:rsidR="009F4EA7">
        <w:t xml:space="preserve"> ) </w:t>
      </w:r>
      <w:r w:rsidR="009C50AC">
        <w:t xml:space="preserve">data </w:t>
      </w:r>
      <w:r w:rsidRPr="002B49B4">
        <w:t>w</w:t>
      </w:r>
      <w:r w:rsidR="009C50AC">
        <w:t>ere</w:t>
      </w:r>
      <w:r w:rsidRPr="002B49B4">
        <w:t xml:space="preserve"> used to estimate the hourly wage rate for the general public and for private providers for the purpose of this generic request. </w:t>
      </w:r>
      <w:r w:rsidR="008C47E3">
        <w:t xml:space="preserve">The annualized cost to respondents is </w:t>
      </w:r>
      <w:r w:rsidR="0089121D">
        <w:t>$</w:t>
      </w:r>
      <w:r w:rsidR="008C47E3">
        <w:t>3,852.</w:t>
      </w:r>
    </w:p>
    <w:p w:rsidR="00E049ED" w:rsidRPr="00022A54" w:rsidP="00E049ED" w14:paraId="3E0B23C8" w14:textId="77777777">
      <w:pPr>
        <w:pStyle w:val="Exhibittitle"/>
        <w:rPr>
          <w:szCs w:val="24"/>
        </w:rPr>
      </w:pPr>
      <w:bookmarkStart w:id="4" w:name="_Toc173739005"/>
      <w:r w:rsidRPr="00022A54">
        <w:rPr>
          <w:szCs w:val="24"/>
        </w:rPr>
        <w:t>Exhibit A.12.B.</w:t>
      </w:r>
      <w:r w:rsidRPr="00022A54">
        <w:rPr>
          <w:szCs w:val="24"/>
        </w:rPr>
        <w:tab/>
        <w:t>Annualized Cost to Respondents</w:t>
      </w:r>
      <w:bookmarkEnd w:id="4"/>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1AE493F2" w14:textId="77777777" w:rsidTr="002B49B4">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2B49B4" w:rsidRPr="002B49B4" w:rsidP="002B49B4" w14:paraId="4C68872C" w14:textId="77777777">
            <w:pPr>
              <w:widowControl w:val="0"/>
              <w:autoSpaceDE w:val="0"/>
              <w:autoSpaceDN w:val="0"/>
              <w:adjustRightInd w:val="0"/>
              <w:spacing w:after="0"/>
              <w:ind w:left="0" w:firstLine="0"/>
              <w:rPr>
                <w:b/>
                <w:bCs/>
              </w:rPr>
            </w:pPr>
            <w:r w:rsidRPr="002B49B4">
              <w:rPr>
                <w:b/>
                <w:bCs/>
              </w:rPr>
              <w:t>Activity</w:t>
            </w:r>
          </w:p>
        </w:tc>
        <w:tc>
          <w:tcPr>
            <w:tcW w:w="2340" w:type="dxa"/>
          </w:tcPr>
          <w:p w:rsidR="002B49B4" w:rsidRPr="002B49B4" w:rsidP="002B49B4" w14:paraId="611682D1" w14:textId="77777777">
            <w:pPr>
              <w:widowControl w:val="0"/>
              <w:autoSpaceDE w:val="0"/>
              <w:autoSpaceDN w:val="0"/>
              <w:adjustRightInd w:val="0"/>
              <w:spacing w:after="0"/>
              <w:ind w:left="0" w:firstLine="0"/>
              <w:jc w:val="center"/>
              <w:rPr>
                <w:b/>
                <w:bCs/>
              </w:rPr>
            </w:pPr>
            <w:r w:rsidRPr="002B49B4">
              <w:rPr>
                <w:b/>
                <w:bCs/>
              </w:rPr>
              <w:t>Total Burden Hours</w:t>
            </w:r>
          </w:p>
        </w:tc>
        <w:tc>
          <w:tcPr>
            <w:tcW w:w="1800" w:type="dxa"/>
          </w:tcPr>
          <w:p w:rsidR="002B49B4" w:rsidRPr="002B49B4" w:rsidP="002B49B4" w14:paraId="37A571FB" w14:textId="77777777">
            <w:pPr>
              <w:widowControl w:val="0"/>
              <w:autoSpaceDE w:val="0"/>
              <w:autoSpaceDN w:val="0"/>
              <w:adjustRightInd w:val="0"/>
              <w:spacing w:after="0"/>
              <w:ind w:left="0" w:firstLine="0"/>
              <w:jc w:val="center"/>
              <w:rPr>
                <w:b/>
                <w:bCs/>
              </w:rPr>
            </w:pPr>
            <w:r w:rsidRPr="002B49B4">
              <w:rPr>
                <w:b/>
                <w:bCs/>
              </w:rPr>
              <w:t>Hourly Wage Rate</w:t>
            </w:r>
          </w:p>
        </w:tc>
        <w:tc>
          <w:tcPr>
            <w:tcW w:w="2250" w:type="dxa"/>
          </w:tcPr>
          <w:p w:rsidR="002B49B4" w:rsidRPr="002B49B4" w:rsidP="002B49B4" w14:paraId="61126CCB" w14:textId="77777777">
            <w:pPr>
              <w:widowControl w:val="0"/>
              <w:autoSpaceDE w:val="0"/>
              <w:autoSpaceDN w:val="0"/>
              <w:adjustRightInd w:val="0"/>
              <w:spacing w:after="0"/>
              <w:ind w:left="0" w:firstLine="0"/>
              <w:jc w:val="center"/>
              <w:rPr>
                <w:b/>
                <w:bCs/>
              </w:rPr>
            </w:pPr>
            <w:r w:rsidRPr="002B49B4">
              <w:rPr>
                <w:b/>
                <w:bCs/>
              </w:rPr>
              <w:t>Total Respondent Cost</w:t>
            </w:r>
          </w:p>
        </w:tc>
      </w:tr>
      <w:tr w14:paraId="05E41CF4" w14:textId="77777777" w:rsidTr="002B49B4">
        <w:tblPrEx>
          <w:tblW w:w="9000" w:type="dxa"/>
          <w:tblInd w:w="18" w:type="dxa"/>
          <w:tblLook w:val="0000"/>
        </w:tblPrEx>
        <w:trPr>
          <w:trHeight w:val="314"/>
        </w:trPr>
        <w:tc>
          <w:tcPr>
            <w:tcW w:w="2610" w:type="dxa"/>
          </w:tcPr>
          <w:p w:rsidR="002B49B4" w:rsidRPr="002B49B4" w:rsidP="005131F3" w14:paraId="4E0C697B" w14:textId="77777777">
            <w:pPr>
              <w:autoSpaceDE w:val="0"/>
              <w:autoSpaceDN w:val="0"/>
              <w:adjustRightInd w:val="0"/>
              <w:spacing w:after="58"/>
              <w:ind w:left="0" w:firstLine="0"/>
              <w:rPr>
                <w:color w:val="000000"/>
              </w:rPr>
            </w:pPr>
            <w:r>
              <w:rPr>
                <w:color w:val="000000"/>
              </w:rPr>
              <w:t xml:space="preserve">Data collection </w:t>
            </w:r>
          </w:p>
        </w:tc>
        <w:tc>
          <w:tcPr>
            <w:tcW w:w="2340" w:type="dxa"/>
          </w:tcPr>
          <w:p w:rsidR="002B49B4" w:rsidRPr="002B49B4" w:rsidP="009C50AC" w14:paraId="4D3760DC" w14:textId="657540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75</w:t>
            </w:r>
          </w:p>
        </w:tc>
        <w:tc>
          <w:tcPr>
            <w:tcW w:w="1800" w:type="dxa"/>
          </w:tcPr>
          <w:p w:rsidR="002B49B4" w:rsidRPr="002B49B4" w:rsidP="0017776D" w14:paraId="608BB535" w14:textId="2F404B51">
            <w:pPr>
              <w:widowControl w:val="0"/>
              <w:autoSpaceDE w:val="0"/>
              <w:autoSpaceDN w:val="0"/>
              <w:adjustRightInd w:val="0"/>
              <w:spacing w:after="0"/>
              <w:ind w:left="0" w:firstLine="0"/>
              <w:jc w:val="right"/>
            </w:pPr>
            <w:r w:rsidRPr="002B49B4">
              <w:t>$</w:t>
            </w:r>
            <w:r w:rsidR="008C47E3">
              <w:t>51.36</w:t>
            </w:r>
          </w:p>
        </w:tc>
        <w:tc>
          <w:tcPr>
            <w:tcW w:w="2250" w:type="dxa"/>
          </w:tcPr>
          <w:p w:rsidR="002B49B4" w:rsidRPr="002B49B4" w:rsidP="0017776D" w14:paraId="6AB3918F" w14:textId="5C4EDC60">
            <w:pPr>
              <w:widowControl w:val="0"/>
              <w:autoSpaceDE w:val="0"/>
              <w:autoSpaceDN w:val="0"/>
              <w:adjustRightInd w:val="0"/>
              <w:spacing w:after="0" w:line="480" w:lineRule="auto"/>
              <w:ind w:left="0" w:firstLine="0"/>
              <w:jc w:val="right"/>
            </w:pPr>
            <w:r>
              <w:t>$</w:t>
            </w:r>
            <w:r w:rsidR="008C47E3">
              <w:t>3,852</w:t>
            </w:r>
          </w:p>
        </w:tc>
      </w:tr>
    </w:tbl>
    <w:p w:rsidR="00E049ED" w:rsidP="00E049ED" w14:paraId="1B3775BD" w14:textId="77777777">
      <w:pPr>
        <w:pStyle w:val="HTMLPreformatted"/>
        <w:rPr>
          <w:rFonts w:ascii="Times New Roman" w:hAnsi="Times New Roman" w:cs="Times New Roman"/>
          <w:sz w:val="24"/>
          <w:szCs w:val="24"/>
        </w:rPr>
      </w:pPr>
    </w:p>
    <w:p w:rsidR="00E049ED" w:rsidRPr="00022A54" w:rsidP="00E049ED" w14:paraId="39AC96D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rsidR="00E049ED" w:rsidRPr="00022A54" w:rsidP="00E049ED" w14:paraId="2D24C03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rsidR="0018477E" w:rsidP="00E049ED" w14:paraId="66FE528B" w14:textId="77777777">
      <w:pPr>
        <w:tabs>
          <w:tab w:val="left" w:pos="0"/>
        </w:tabs>
        <w:rPr>
          <w:b/>
          <w:bCs/>
        </w:rPr>
      </w:pPr>
    </w:p>
    <w:p w:rsidR="00E049ED" w:rsidRPr="00022A54" w:rsidP="00E049ED" w14:paraId="75EF5B64" w14:textId="7D2DF433">
      <w:pPr>
        <w:tabs>
          <w:tab w:val="left" w:pos="0"/>
        </w:tabs>
      </w:pPr>
      <w:r w:rsidRPr="00022A54">
        <w:rPr>
          <w:b/>
          <w:bCs/>
        </w:rPr>
        <w:t>A.14</w:t>
      </w:r>
      <w:r w:rsidRPr="00022A54">
        <w:t>.</w:t>
      </w:r>
      <w:r w:rsidRPr="00022A54">
        <w:tab/>
      </w:r>
      <w:r w:rsidRPr="00022A54">
        <w:rPr>
          <w:b/>
          <w:bCs/>
          <w:u w:val="single"/>
        </w:rPr>
        <w:t xml:space="preserve">Annualized Costs to the Government   </w:t>
      </w:r>
    </w:p>
    <w:p w:rsidR="002A2784" w:rsidP="006E3A26" w14:paraId="7A9201DD" w14:textId="77777777">
      <w:pPr>
        <w:tabs>
          <w:tab w:val="left" w:pos="4320"/>
          <w:tab w:val="left" w:pos="6120"/>
          <w:tab w:val="right" w:pos="8280"/>
        </w:tabs>
        <w:ind w:left="0" w:firstLine="0"/>
      </w:pPr>
      <w:r w:rsidRPr="00022A54">
        <w:t>Actual annualized costs to the government will vary depending on the specific needs of the individual information collection activity.</w:t>
      </w:r>
      <w:r w:rsidRPr="00022A54" w:rsidR="00C651E0">
        <w:t xml:space="preserve"> </w:t>
      </w:r>
      <w:r w:rsidRPr="00022A54">
        <w:t>Generally, each development activity</w:t>
      </w:r>
      <w:r w:rsidRPr="00022A54" w:rsidR="00301939">
        <w:t xml:space="preserve"> will involve participation of </w:t>
      </w:r>
      <w:r w:rsidRPr="00022A54">
        <w:t>at least one CDC project officer (GS-12, 13 or 14 levels) who will be responsible for the project design, obtaining IRB approvals, providing project oversight, and analysis and dissemination of the results. The CDC project officer will provide remote and onsite technical assistance to the local areas implementing the data collection. Travel may be required to provide this technical assistance.</w:t>
      </w:r>
      <w:r w:rsidRPr="00022A54" w:rsidR="00C651E0">
        <w:t xml:space="preserve"> </w:t>
      </w:r>
      <w:r w:rsidRPr="00022A54">
        <w:t>In some cases, a CDC data manager’s (typically a contractor equivalent to GS</w:t>
      </w:r>
      <w:r w:rsidRPr="00022A54" w:rsidR="004B468F">
        <w:t xml:space="preserve">-9) time may also be required. </w:t>
      </w:r>
      <w:r w:rsidRPr="00022A54" w:rsidR="00232D54">
        <w:t>An estimated average cost per individual activity is listed below, but detailed costs will be submitted with each individual collection request.</w:t>
      </w:r>
    </w:p>
    <w:p w:rsidR="00232D54" w:rsidRPr="00022A54" w:rsidP="006E3A26" w14:paraId="4E5E62E9" w14:textId="77777777">
      <w:pPr>
        <w:tabs>
          <w:tab w:val="left" w:pos="4320"/>
          <w:tab w:val="left" w:pos="6120"/>
          <w:tab w:val="right" w:pos="8280"/>
        </w:tabs>
        <w:ind w:left="0" w:firstLine="0"/>
      </w:pPr>
      <w:r w:rsidRPr="00022A5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725"/>
        <w:gridCol w:w="1550"/>
      </w:tblGrid>
      <w:tr w14:paraId="3D1531C9" w14:textId="77777777" w:rsidTr="00265752">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872"/>
        </w:trPr>
        <w:tc>
          <w:tcPr>
            <w:tcW w:w="1801" w:type="dxa"/>
            <w:vAlign w:val="bottom"/>
          </w:tcPr>
          <w:p w:rsidR="00232D54" w:rsidRPr="00022A54" w:rsidP="0073297F" w14:paraId="160566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sidRPr="00022A54">
              <w:rPr>
                <w:b/>
                <w:bCs/>
                <w:color w:val="000000"/>
              </w:rPr>
              <w:t>Expense Type</w:t>
            </w:r>
          </w:p>
        </w:tc>
        <w:tc>
          <w:tcPr>
            <w:tcW w:w="5725" w:type="dxa"/>
            <w:vAlign w:val="bottom"/>
          </w:tcPr>
          <w:p w:rsidR="00232D54" w:rsidRPr="00022A54" w:rsidP="0073297F" w14:paraId="683CF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highlight w:val="yellow"/>
              </w:rPr>
            </w:pPr>
            <w:r w:rsidRPr="00022A54">
              <w:rPr>
                <w:b/>
                <w:bCs/>
                <w:color w:val="000000"/>
              </w:rPr>
              <w:t>Expense Explanation</w:t>
            </w:r>
          </w:p>
        </w:tc>
        <w:tc>
          <w:tcPr>
            <w:tcW w:w="1550" w:type="dxa"/>
            <w:vAlign w:val="bottom"/>
          </w:tcPr>
          <w:p w:rsidR="00232D54" w:rsidRPr="00022A54" w:rsidP="0073297F" w14:paraId="0705F46E" w14:textId="77777777">
            <w:pPr>
              <w:spacing w:line="50" w:lineRule="exact"/>
              <w:jc w:val="center"/>
              <w:rPr>
                <w:b/>
                <w:color w:val="000000"/>
              </w:rPr>
            </w:pPr>
          </w:p>
          <w:p w:rsidR="00232D54" w:rsidRPr="00022A54" w:rsidP="0073297F" w14:paraId="0A7EC9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4" w:firstLine="4"/>
              <w:jc w:val="center"/>
              <w:rPr>
                <w:b/>
                <w:color w:val="000000"/>
              </w:rPr>
            </w:pPr>
            <w:r w:rsidRPr="00022A54">
              <w:rPr>
                <w:b/>
                <w:bCs/>
                <w:color w:val="000000"/>
              </w:rPr>
              <w:t>Annual Costs (dollars)</w:t>
            </w:r>
          </w:p>
        </w:tc>
      </w:tr>
      <w:tr w14:paraId="7373A272" w14:textId="77777777" w:rsidTr="00552D8A">
        <w:tblPrEx>
          <w:tblW w:w="0" w:type="auto"/>
          <w:tblInd w:w="108" w:type="dxa"/>
          <w:tblLook w:val="01E0"/>
        </w:tblPrEx>
        <w:tc>
          <w:tcPr>
            <w:tcW w:w="1801" w:type="dxa"/>
          </w:tcPr>
          <w:p w:rsidR="00232D54" w:rsidRPr="00022A54" w:rsidP="00D83DA1" w14:paraId="7123B7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Direct Costs to the Federal Government</w:t>
            </w:r>
          </w:p>
        </w:tc>
        <w:tc>
          <w:tcPr>
            <w:tcW w:w="5725" w:type="dxa"/>
            <w:vAlign w:val="center"/>
          </w:tcPr>
          <w:p w:rsidR="00232D54" w:rsidRPr="00022A54" w:rsidP="00D83DA1" w14:paraId="024B13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550" w:type="dxa"/>
            <w:vAlign w:val="center"/>
          </w:tcPr>
          <w:p w:rsidR="00232D54" w:rsidRPr="00022A54" w:rsidP="001B4154" w14:paraId="1526255A" w14:textId="2C67E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 xml:space="preserve"> </w:t>
            </w:r>
          </w:p>
        </w:tc>
      </w:tr>
      <w:tr w14:paraId="0D96DE07" w14:textId="77777777" w:rsidTr="00552D8A">
        <w:tblPrEx>
          <w:tblW w:w="0" w:type="auto"/>
          <w:tblInd w:w="108" w:type="dxa"/>
          <w:tblLook w:val="01E0"/>
        </w:tblPrEx>
        <w:tc>
          <w:tcPr>
            <w:tcW w:w="1801" w:type="dxa"/>
          </w:tcPr>
          <w:p w:rsidR="00552D8A" w:rsidRPr="0018477E" w:rsidP="00552D8A" w14:paraId="7CAAA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725" w:type="dxa"/>
            <w:vAlign w:val="center"/>
          </w:tcPr>
          <w:p w:rsidR="00552D8A" w:rsidRPr="0018477E" w:rsidP="00552D8A" w14:paraId="393C4EE1" w14:textId="298D3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477E">
              <w:rPr>
                <w:color w:val="000000"/>
              </w:rPr>
              <w:t>CDC Project Officer (GS-</w:t>
            </w:r>
            <w:r>
              <w:rPr>
                <w:color w:val="000000"/>
              </w:rPr>
              <w:t>14</w:t>
            </w:r>
            <w:r w:rsidRPr="0018477E">
              <w:rPr>
                <w:color w:val="000000"/>
              </w:rPr>
              <w:t>, 0.</w:t>
            </w:r>
            <w:r>
              <w:rPr>
                <w:color w:val="000000"/>
              </w:rPr>
              <w:t>20</w:t>
            </w:r>
            <w:r w:rsidRPr="0018477E">
              <w:rPr>
                <w:color w:val="000000"/>
              </w:rPr>
              <w:t xml:space="preserve"> FTE)</w:t>
            </w:r>
          </w:p>
        </w:tc>
        <w:tc>
          <w:tcPr>
            <w:tcW w:w="1550" w:type="dxa"/>
            <w:vAlign w:val="center"/>
          </w:tcPr>
          <w:p w:rsidR="00552D8A" w:rsidRPr="00022A54" w:rsidP="00552D8A" w14:paraId="59AAEEC5" w14:textId="1CB9A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$30,289</w:t>
            </w:r>
          </w:p>
        </w:tc>
      </w:tr>
      <w:tr w14:paraId="2BE99513" w14:textId="77777777" w:rsidTr="00552D8A">
        <w:tblPrEx>
          <w:tblW w:w="0" w:type="auto"/>
          <w:tblInd w:w="108" w:type="dxa"/>
          <w:tblLook w:val="01E0"/>
        </w:tblPrEx>
        <w:tc>
          <w:tcPr>
            <w:tcW w:w="1801" w:type="dxa"/>
          </w:tcPr>
          <w:p w:rsidR="00552D8A" w:rsidRPr="0018477E" w:rsidP="00552D8A" w14:paraId="1A129C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725" w:type="dxa"/>
            <w:vAlign w:val="center"/>
          </w:tcPr>
          <w:p w:rsidR="00552D8A" w:rsidRPr="0018477E" w:rsidP="00552D8A" w14:paraId="57032730" w14:textId="783AE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477E">
              <w:rPr>
                <w:color w:val="000000"/>
              </w:rPr>
              <w:t xml:space="preserve">CDC </w:t>
            </w:r>
            <w:r>
              <w:rPr>
                <w:color w:val="000000"/>
              </w:rPr>
              <w:t>Review</w:t>
            </w:r>
            <w:r w:rsidRPr="0018477E">
              <w:rPr>
                <w:color w:val="000000"/>
              </w:rPr>
              <w:t>er (GS-</w:t>
            </w:r>
            <w:r>
              <w:rPr>
                <w:color w:val="000000"/>
              </w:rPr>
              <w:t>14</w:t>
            </w:r>
            <w:r w:rsidRPr="0018477E">
              <w:rPr>
                <w:color w:val="000000"/>
              </w:rPr>
              <w:t>, 0.</w:t>
            </w:r>
            <w:r>
              <w:rPr>
                <w:color w:val="000000"/>
              </w:rPr>
              <w:t>10</w:t>
            </w:r>
            <w:r w:rsidRPr="0018477E">
              <w:rPr>
                <w:color w:val="000000"/>
              </w:rPr>
              <w:t xml:space="preserve"> FTE)</w:t>
            </w:r>
          </w:p>
        </w:tc>
        <w:tc>
          <w:tcPr>
            <w:tcW w:w="1550" w:type="dxa"/>
            <w:vAlign w:val="center"/>
          </w:tcPr>
          <w:p w:rsidR="00552D8A" w:rsidRPr="00022A54" w:rsidP="00552D8A" w14:paraId="2F0347E3" w14:textId="19DCC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$15,144</w:t>
            </w:r>
          </w:p>
        </w:tc>
      </w:tr>
      <w:tr w14:paraId="415C4529" w14:textId="77777777" w:rsidTr="00552D8A">
        <w:tblPrEx>
          <w:tblW w:w="0" w:type="auto"/>
          <w:tblInd w:w="108" w:type="dxa"/>
          <w:tblLook w:val="01E0"/>
        </w:tblPrEx>
        <w:tc>
          <w:tcPr>
            <w:tcW w:w="1801" w:type="dxa"/>
          </w:tcPr>
          <w:p w:rsidR="00552D8A" w:rsidRPr="0018477E" w:rsidP="00552D8A" w14:paraId="5C9F9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725" w:type="dxa"/>
            <w:vAlign w:val="center"/>
          </w:tcPr>
          <w:p w:rsidR="00552D8A" w:rsidRPr="0018477E" w:rsidP="00552D8A" w14:paraId="71AD3F4D" w14:textId="3DE08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F64EE">
              <w:rPr>
                <w:color w:val="000000"/>
              </w:rPr>
              <w:t>CDC Reviewer (GS-13, 0.10 FTE)</w:t>
            </w:r>
          </w:p>
        </w:tc>
        <w:tc>
          <w:tcPr>
            <w:tcW w:w="1550" w:type="dxa"/>
            <w:vAlign w:val="center"/>
          </w:tcPr>
          <w:p w:rsidR="00552D8A" w:rsidRPr="00022A54" w:rsidP="00552D8A" w14:paraId="1E626F80" w14:textId="464A1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0" w:firstLine="0"/>
              <w:jc w:val="right"/>
              <w:rPr>
                <w:color w:val="000000"/>
              </w:rPr>
            </w:pPr>
            <w:r>
              <w:rPr>
                <w:color w:val="000000"/>
              </w:rPr>
              <w:t>$12,816</w:t>
            </w:r>
          </w:p>
        </w:tc>
      </w:tr>
      <w:tr w14:paraId="42DAE827" w14:textId="77777777" w:rsidTr="00552D8A">
        <w:tblPrEx>
          <w:tblW w:w="0" w:type="auto"/>
          <w:tblInd w:w="108" w:type="dxa"/>
          <w:tblLook w:val="01E0"/>
        </w:tblPrEx>
        <w:tc>
          <w:tcPr>
            <w:tcW w:w="1801" w:type="dxa"/>
          </w:tcPr>
          <w:p w:rsidR="00552D8A" w:rsidRPr="0018477E" w:rsidP="00552D8A" w14:paraId="05C32D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725" w:type="dxa"/>
            <w:vAlign w:val="center"/>
          </w:tcPr>
          <w:p w:rsidR="00552D8A" w:rsidRPr="0018477E" w:rsidP="00552D8A" w14:paraId="2BBF58B9" w14:textId="0D86AA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17D33">
              <w:rPr>
                <w:color w:val="000000"/>
              </w:rPr>
              <w:t xml:space="preserve">CDC Data </w:t>
            </w:r>
            <w:r>
              <w:rPr>
                <w:color w:val="000000"/>
              </w:rPr>
              <w:t>Analyst</w:t>
            </w:r>
            <w:r w:rsidRPr="00417D33">
              <w:rPr>
                <w:color w:val="000000"/>
              </w:rPr>
              <w:t xml:space="preserve"> (</w:t>
            </w:r>
            <w:r>
              <w:rPr>
                <w:color w:val="000000"/>
              </w:rPr>
              <w:t xml:space="preserve">equivalent to </w:t>
            </w:r>
            <w:r w:rsidRPr="00417D33">
              <w:rPr>
                <w:color w:val="000000"/>
              </w:rPr>
              <w:t>GS-9/10, 0.</w:t>
            </w:r>
            <w:r>
              <w:rPr>
                <w:color w:val="000000"/>
              </w:rPr>
              <w:t>10</w:t>
            </w:r>
            <w:r w:rsidRPr="00417D33">
              <w:rPr>
                <w:color w:val="000000"/>
              </w:rPr>
              <w:t xml:space="preserve"> FTE)</w:t>
            </w:r>
          </w:p>
        </w:tc>
        <w:tc>
          <w:tcPr>
            <w:tcW w:w="1550" w:type="dxa"/>
            <w:vAlign w:val="center"/>
          </w:tcPr>
          <w:p w:rsidR="00552D8A" w:rsidRPr="00022A54" w:rsidP="00552D8A" w14:paraId="66BB849A" w14:textId="22D5A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$8,992</w:t>
            </w:r>
          </w:p>
        </w:tc>
      </w:tr>
      <w:tr w14:paraId="1AE2039F" w14:textId="77777777" w:rsidTr="00552D8A">
        <w:tblPrEx>
          <w:tblW w:w="0" w:type="auto"/>
          <w:tblInd w:w="108" w:type="dxa"/>
          <w:tblLook w:val="01E0"/>
        </w:tblPrEx>
        <w:tc>
          <w:tcPr>
            <w:tcW w:w="1801" w:type="dxa"/>
          </w:tcPr>
          <w:p w:rsidR="00552D8A" w:rsidRPr="0018477E" w:rsidP="00552D8A" w14:paraId="6994D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725" w:type="dxa"/>
            <w:vAlign w:val="center"/>
          </w:tcPr>
          <w:p w:rsidR="00552D8A" w:rsidRPr="00417D33" w:rsidP="00552D8A" w14:paraId="0D031C80" w14:textId="4765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52D8A">
              <w:rPr>
                <w:color w:val="000000"/>
              </w:rPr>
              <w:t>Subtotal, Direct costs</w:t>
            </w:r>
          </w:p>
        </w:tc>
        <w:tc>
          <w:tcPr>
            <w:tcW w:w="1550" w:type="dxa"/>
            <w:vAlign w:val="center"/>
          </w:tcPr>
          <w:p w:rsidR="00552D8A" w:rsidP="00552D8A" w14:paraId="4B691F49" w14:textId="79A98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52D8A">
              <w:rPr>
                <w:color w:val="000000"/>
              </w:rPr>
              <w:t>$67,241</w:t>
            </w:r>
          </w:p>
        </w:tc>
      </w:tr>
      <w:tr w14:paraId="0AF0A2E7" w14:textId="77777777" w:rsidTr="00552D8A">
        <w:tblPrEx>
          <w:tblW w:w="0" w:type="auto"/>
          <w:tblInd w:w="108" w:type="dxa"/>
          <w:tblLook w:val="01E0"/>
        </w:tblPrEx>
        <w:tc>
          <w:tcPr>
            <w:tcW w:w="1801" w:type="dxa"/>
          </w:tcPr>
          <w:p w:rsidR="00552D8A" w:rsidRPr="0018477E" w:rsidP="00552D8A" w14:paraId="2CFD4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725" w:type="dxa"/>
            <w:vAlign w:val="center"/>
          </w:tcPr>
          <w:p w:rsidR="00552D8A" w:rsidRPr="00417D33" w:rsidP="00552D8A" w14:paraId="0B2F67F9" w14:textId="17D68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52D8A">
              <w:rPr>
                <w:color w:val="000000"/>
              </w:rPr>
              <w:t>TOTAL COST TO THE GOVERNMENT</w:t>
            </w:r>
          </w:p>
        </w:tc>
        <w:tc>
          <w:tcPr>
            <w:tcW w:w="1550" w:type="dxa"/>
            <w:vAlign w:val="center"/>
          </w:tcPr>
          <w:p w:rsidR="00552D8A" w:rsidRPr="00022A54" w:rsidP="00552D8A" w14:paraId="34B47B72" w14:textId="68C3B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52D8A">
              <w:rPr>
                <w:color w:val="000000"/>
              </w:rPr>
              <w:t>$67,241</w:t>
            </w:r>
          </w:p>
        </w:tc>
      </w:tr>
    </w:tbl>
    <w:p w:rsidR="00161E86" w:rsidP="00662F81" w14:paraId="18D60756" w14:textId="77777777">
      <w:pPr>
        <w:tabs>
          <w:tab w:val="left" w:pos="4320"/>
          <w:tab w:val="left" w:pos="6120"/>
          <w:tab w:val="right" w:pos="8280"/>
        </w:tabs>
      </w:pPr>
      <w:r w:rsidRPr="00022A54">
        <w:t xml:space="preserve"> </w:t>
      </w:r>
    </w:p>
    <w:p w:rsidR="00265752" w:rsidRPr="00022A54" w:rsidP="00662F81" w14:paraId="4FB18187" w14:textId="77777777">
      <w:pPr>
        <w:tabs>
          <w:tab w:val="left" w:pos="4320"/>
          <w:tab w:val="left" w:pos="6120"/>
          <w:tab w:val="right" w:pos="8280"/>
        </w:tabs>
      </w:pPr>
    </w:p>
    <w:p w:rsidR="00662F81" w:rsidRPr="00022A54" w:rsidP="00662F81" w14:paraId="65E425D6" w14:textId="77777777">
      <w:pPr>
        <w:tabs>
          <w:tab w:val="left" w:pos="0"/>
        </w:tabs>
        <w:ind w:left="720" w:hanging="720"/>
        <w:rPr>
          <w:color w:val="000000"/>
        </w:rPr>
      </w:pPr>
      <w:r w:rsidRPr="00022A54">
        <w:rPr>
          <w:b/>
          <w:bCs/>
          <w:color w:val="000000"/>
        </w:rPr>
        <w:t xml:space="preserve">A.15. </w:t>
      </w:r>
      <w:r w:rsidRPr="00022A54">
        <w:rPr>
          <w:b/>
          <w:bCs/>
          <w:color w:val="000000"/>
          <w:u w:val="single"/>
        </w:rPr>
        <w:t>Explanation for Program Changes or Adjustments</w:t>
      </w:r>
    </w:p>
    <w:p w:rsidR="00662F81" w:rsidRPr="00022A54" w:rsidP="00662F81" w14:paraId="7C8C7A66" w14:textId="31BAC7F0">
      <w:pPr>
        <w:tabs>
          <w:tab w:val="left" w:pos="0"/>
        </w:tabs>
        <w:rPr>
          <w:color w:val="000000"/>
        </w:rPr>
      </w:pPr>
      <w:r w:rsidRPr="009D5A35">
        <w:rPr>
          <w:color w:val="000000"/>
        </w:rPr>
        <w:t>Th</w:t>
      </w:r>
      <w:r w:rsidR="008240F6">
        <w:rPr>
          <w:color w:val="000000"/>
        </w:rPr>
        <w:t xml:space="preserve">ere are no changes since this is </w:t>
      </w:r>
      <w:r w:rsidR="008240F6">
        <w:rPr>
          <w:color w:val="000000"/>
        </w:rPr>
        <w:t xml:space="preserve">a </w:t>
      </w:r>
      <w:r w:rsidR="008240F6">
        <w:rPr>
          <w:color w:val="000000"/>
        </w:rPr>
        <w:t>GenIC</w:t>
      </w:r>
      <w:r w:rsidR="00D71D3D">
        <w:rPr>
          <w:color w:val="000000"/>
        </w:rPr>
        <w:t>.</w:t>
      </w:r>
    </w:p>
    <w:p w:rsidR="00F80C9B" w:rsidP="00662F81" w14:paraId="346AD2BE" w14:textId="77777777">
      <w:pPr>
        <w:tabs>
          <w:tab w:val="left" w:pos="0"/>
        </w:tabs>
        <w:ind w:left="720" w:hanging="720"/>
        <w:rPr>
          <w:b/>
          <w:bCs/>
          <w:color w:val="000000"/>
        </w:rPr>
      </w:pPr>
    </w:p>
    <w:p w:rsidR="00662F81" w:rsidRPr="00022A54" w:rsidP="00662F81" w14:paraId="34409E55" w14:textId="64CD560B">
      <w:pPr>
        <w:tabs>
          <w:tab w:val="left" w:pos="0"/>
        </w:tabs>
        <w:ind w:left="720" w:hanging="720"/>
        <w:rPr>
          <w:color w:val="000000"/>
        </w:rPr>
      </w:pPr>
      <w:r w:rsidRPr="00022A54">
        <w:rPr>
          <w:b/>
          <w:bCs/>
          <w:color w:val="000000"/>
        </w:rPr>
        <w:t>A.16.</w:t>
      </w:r>
      <w:r w:rsidRPr="00022A54" w:rsidR="007A0C9C">
        <w:rPr>
          <w:b/>
          <w:bCs/>
          <w:color w:val="000000"/>
        </w:rPr>
        <w:t xml:space="preserve"> </w:t>
      </w:r>
      <w:r w:rsidRPr="00022A54">
        <w:rPr>
          <w:b/>
          <w:bCs/>
          <w:color w:val="000000"/>
          <w:u w:val="single"/>
        </w:rPr>
        <w:t>Plans for Tabulation and Publication and Project Time Schedule</w:t>
      </w:r>
    </w:p>
    <w:p w:rsidR="00F80C9B" w:rsidP="00F80C9B" w14:paraId="4973B2E3" w14:textId="20D4B316">
      <w:pPr>
        <w:adjustRightInd w:val="0"/>
        <w:ind w:left="0" w:firstLine="0"/>
        <w:jc w:val="both"/>
        <w:rPr>
          <w:bCs/>
        </w:rPr>
      </w:pPr>
      <w:r>
        <w:rPr>
          <w:color w:val="000000"/>
        </w:rPr>
        <w:t>Information collection is scheduled to begin April 202</w:t>
      </w:r>
      <w:r w:rsidR="008240F6">
        <w:rPr>
          <w:color w:val="000000"/>
        </w:rPr>
        <w:t>6</w:t>
      </w:r>
      <w:r>
        <w:rPr>
          <w:color w:val="000000"/>
        </w:rPr>
        <w:t xml:space="preserve">. </w:t>
      </w:r>
      <w:r>
        <w:rPr>
          <w:bCs/>
        </w:rPr>
        <w:t xml:space="preserve">Data collected will be analyzed through simple tabulations and summarization followed by visualization using Microsoft Excel. These data, which will not have identifying data of facilities, will be prepared for publication to help </w:t>
      </w:r>
      <w:r w:rsidR="00006D0B">
        <w:rPr>
          <w:bCs/>
        </w:rPr>
        <w:t xml:space="preserve">convey </w:t>
      </w:r>
      <w:r w:rsidR="00314492">
        <w:rPr>
          <w:bCs/>
        </w:rPr>
        <w:t xml:space="preserve">information </w:t>
      </w:r>
      <w:r w:rsidR="00D707EE">
        <w:rPr>
          <w:bCs/>
        </w:rPr>
        <w:t>about</w:t>
      </w:r>
      <w:r w:rsidR="00314492">
        <w:rPr>
          <w:bCs/>
        </w:rPr>
        <w:t xml:space="preserve"> </w:t>
      </w:r>
      <w:r w:rsidR="00D707EE">
        <w:rPr>
          <w:bCs/>
        </w:rPr>
        <w:t xml:space="preserve">common </w:t>
      </w:r>
      <w:r w:rsidR="00B16535">
        <w:rPr>
          <w:bCs/>
        </w:rPr>
        <w:t xml:space="preserve">preparedness and response planning areas for improvement and </w:t>
      </w:r>
      <w:r>
        <w:rPr>
          <w:bCs/>
        </w:rPr>
        <w:t>inform best practices. Th</w:t>
      </w:r>
      <w:r w:rsidR="00B16535">
        <w:rPr>
          <w:bCs/>
        </w:rPr>
        <w:t>e</w:t>
      </w:r>
      <w:r>
        <w:rPr>
          <w:bCs/>
        </w:rPr>
        <w:t xml:space="preserve"> data will also be prepared for presentation as posters at forums related to </w:t>
      </w:r>
      <w:r w:rsidR="003A2819">
        <w:rPr>
          <w:bCs/>
        </w:rPr>
        <w:t>b</w:t>
      </w:r>
      <w:r>
        <w:rPr>
          <w:bCs/>
        </w:rPr>
        <w:t xml:space="preserve">iosafety. </w:t>
      </w:r>
      <w:r>
        <w:rPr>
          <w:bCs/>
        </w:rPr>
        <w:t>Shown in Table 1.16.A,</w:t>
      </w:r>
      <w:r>
        <w:rPr>
          <w:bCs/>
        </w:rPr>
        <w:t xml:space="preserve"> is the projected time schedule for the collection and preparation of data for publication and presentation.</w:t>
      </w:r>
    </w:p>
    <w:p w:rsidR="00F80C9B" w:rsidP="00F80C9B" w14:paraId="5966FF6E" w14:textId="77777777">
      <w:pPr>
        <w:adjustRightInd w:val="0"/>
        <w:jc w:val="both"/>
        <w:rPr>
          <w:bCs/>
        </w:rPr>
      </w:pPr>
      <w:r>
        <w:rPr>
          <w:bCs/>
        </w:rPr>
        <w:t>Table 1.16A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5981"/>
      </w:tblGrid>
      <w:tr w14:paraId="4DB4F515" w14:textId="77777777" w:rsidTr="002A4E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rPr>
        <w:tc>
          <w:tcPr>
            <w:tcW w:w="9576" w:type="dxa"/>
            <w:gridSpan w:val="2"/>
          </w:tcPr>
          <w:p w:rsidR="00F80C9B" w:rsidRPr="0064659A" w:rsidP="00CF2709" w14:paraId="5F62005E" w14:textId="77777777">
            <w:pPr>
              <w:adjustRightInd w:val="0"/>
              <w:jc w:val="center"/>
              <w:rPr>
                <w:bCs/>
              </w:rPr>
            </w:pPr>
            <w:r w:rsidRPr="0064659A">
              <w:rPr>
                <w:bCs/>
              </w:rPr>
              <w:t>Project Time Schedule</w:t>
            </w:r>
          </w:p>
        </w:tc>
      </w:tr>
      <w:tr w14:paraId="3FFFE154" w14:textId="77777777" w:rsidTr="00BB77EA">
        <w:tblPrEx>
          <w:tblW w:w="0" w:type="auto"/>
          <w:tblLook w:val="04A0"/>
        </w:tblPrEx>
        <w:trPr>
          <w:trHeight w:val="350"/>
        </w:trPr>
        <w:tc>
          <w:tcPr>
            <w:tcW w:w="3595" w:type="dxa"/>
          </w:tcPr>
          <w:p w:rsidR="00F80C9B" w:rsidRPr="0064659A" w:rsidP="00CF2709" w14:paraId="322B05CA" w14:textId="77777777">
            <w:pPr>
              <w:adjustRightInd w:val="0"/>
              <w:jc w:val="center"/>
              <w:rPr>
                <w:bCs/>
              </w:rPr>
            </w:pPr>
            <w:r w:rsidRPr="0064659A">
              <w:rPr>
                <w:bCs/>
              </w:rPr>
              <w:t>Activity</w:t>
            </w:r>
          </w:p>
        </w:tc>
        <w:tc>
          <w:tcPr>
            <w:tcW w:w="5981" w:type="dxa"/>
          </w:tcPr>
          <w:p w:rsidR="00F80C9B" w:rsidRPr="0064659A" w:rsidP="00CF2709" w14:paraId="3789E416" w14:textId="77777777">
            <w:pPr>
              <w:adjustRightInd w:val="0"/>
              <w:jc w:val="center"/>
              <w:rPr>
                <w:bCs/>
              </w:rPr>
            </w:pPr>
            <w:r w:rsidRPr="0064659A">
              <w:rPr>
                <w:bCs/>
              </w:rPr>
              <w:t>Time Schedule</w:t>
            </w:r>
          </w:p>
        </w:tc>
      </w:tr>
      <w:tr w14:paraId="41701275" w14:textId="77777777" w:rsidTr="00BB77EA">
        <w:tblPrEx>
          <w:tblW w:w="0" w:type="auto"/>
          <w:tblLook w:val="04A0"/>
        </w:tblPrEx>
        <w:trPr>
          <w:trHeight w:val="359"/>
        </w:trPr>
        <w:tc>
          <w:tcPr>
            <w:tcW w:w="3595" w:type="dxa"/>
          </w:tcPr>
          <w:p w:rsidR="00F80C9B" w:rsidRPr="0064659A" w:rsidP="00CF2709" w14:paraId="56743C57" w14:textId="77777777">
            <w:pPr>
              <w:adjustRightInd w:val="0"/>
              <w:jc w:val="both"/>
              <w:rPr>
                <w:bCs/>
              </w:rPr>
            </w:pPr>
            <w:r w:rsidRPr="0064659A">
              <w:rPr>
                <w:bCs/>
              </w:rPr>
              <w:t>Emails sent to respondents</w:t>
            </w:r>
          </w:p>
        </w:tc>
        <w:tc>
          <w:tcPr>
            <w:tcW w:w="5981" w:type="dxa"/>
          </w:tcPr>
          <w:p w:rsidR="00F80C9B" w:rsidRPr="0064659A" w:rsidP="00CF2709" w14:paraId="443BB3DE" w14:textId="31149887">
            <w:pPr>
              <w:adjustRightInd w:val="0"/>
              <w:jc w:val="both"/>
              <w:rPr>
                <w:bCs/>
              </w:rPr>
            </w:pPr>
            <w:r w:rsidRPr="0064659A">
              <w:rPr>
                <w:bCs/>
              </w:rPr>
              <w:t>1</w:t>
            </w:r>
            <w:r w:rsidR="00B57008">
              <w:rPr>
                <w:bCs/>
              </w:rPr>
              <w:t xml:space="preserve"> </w:t>
            </w:r>
            <w:r w:rsidRPr="0064659A">
              <w:rPr>
                <w:bCs/>
              </w:rPr>
              <w:t>month after OMB approval</w:t>
            </w:r>
          </w:p>
        </w:tc>
      </w:tr>
      <w:tr w14:paraId="36F70B8A" w14:textId="77777777" w:rsidTr="00BB77EA">
        <w:tblPrEx>
          <w:tblW w:w="0" w:type="auto"/>
          <w:tblLook w:val="04A0"/>
        </w:tblPrEx>
        <w:trPr>
          <w:trHeight w:val="350"/>
        </w:trPr>
        <w:tc>
          <w:tcPr>
            <w:tcW w:w="3595" w:type="dxa"/>
          </w:tcPr>
          <w:p w:rsidR="00F80C9B" w:rsidRPr="0064659A" w:rsidP="00CF2709" w14:paraId="0380DEEF" w14:textId="2952D000">
            <w:pPr>
              <w:adjustRightInd w:val="0"/>
              <w:jc w:val="both"/>
              <w:rPr>
                <w:bCs/>
              </w:rPr>
            </w:pPr>
            <w:r w:rsidRPr="0064659A">
              <w:rPr>
                <w:bCs/>
              </w:rPr>
              <w:t>Data collection</w:t>
            </w:r>
          </w:p>
        </w:tc>
        <w:tc>
          <w:tcPr>
            <w:tcW w:w="5981" w:type="dxa"/>
          </w:tcPr>
          <w:p w:rsidR="00F80C9B" w:rsidRPr="0064659A" w:rsidP="00CF2709" w14:paraId="01F534CB" w14:textId="1B83CDEC">
            <w:pPr>
              <w:adjustRightInd w:val="0"/>
              <w:jc w:val="both"/>
              <w:rPr>
                <w:bCs/>
              </w:rPr>
            </w:pPr>
            <w:r>
              <w:rPr>
                <w:bCs/>
              </w:rPr>
              <w:t>2</w:t>
            </w:r>
            <w:r w:rsidRPr="0064659A">
              <w:rPr>
                <w:bCs/>
              </w:rPr>
              <w:t>-</w:t>
            </w:r>
            <w:r w:rsidR="00D0388F">
              <w:rPr>
                <w:bCs/>
              </w:rPr>
              <w:t>12</w:t>
            </w:r>
            <w:r w:rsidRPr="0064659A">
              <w:rPr>
                <w:bCs/>
              </w:rPr>
              <w:t xml:space="preserve"> months after OMB approval</w:t>
            </w:r>
          </w:p>
        </w:tc>
      </w:tr>
      <w:tr w14:paraId="260F403E" w14:textId="77777777" w:rsidTr="00533093">
        <w:tblPrEx>
          <w:tblW w:w="0" w:type="auto"/>
          <w:tblLook w:val="04A0"/>
        </w:tblPrEx>
        <w:trPr>
          <w:trHeight w:val="350"/>
        </w:trPr>
        <w:tc>
          <w:tcPr>
            <w:tcW w:w="3595" w:type="dxa"/>
          </w:tcPr>
          <w:p w:rsidR="00F80C9B" w:rsidRPr="0064659A" w:rsidP="00CF2709" w14:paraId="5C183DA0" w14:textId="77777777">
            <w:pPr>
              <w:adjustRightInd w:val="0"/>
              <w:jc w:val="both"/>
              <w:rPr>
                <w:bCs/>
              </w:rPr>
            </w:pPr>
            <w:r w:rsidRPr="0064659A">
              <w:rPr>
                <w:bCs/>
              </w:rPr>
              <w:t>Validation</w:t>
            </w:r>
          </w:p>
        </w:tc>
        <w:tc>
          <w:tcPr>
            <w:tcW w:w="5981" w:type="dxa"/>
          </w:tcPr>
          <w:p w:rsidR="00F80C9B" w:rsidRPr="0064659A" w:rsidP="00CF2709" w14:paraId="2900FDA4" w14:textId="4F365FE0">
            <w:pPr>
              <w:adjustRightInd w:val="0"/>
              <w:jc w:val="both"/>
              <w:rPr>
                <w:bCs/>
              </w:rPr>
            </w:pPr>
            <w:r w:rsidRPr="0064659A">
              <w:rPr>
                <w:bCs/>
              </w:rPr>
              <w:t>1</w:t>
            </w:r>
            <w:r w:rsidR="001F155C">
              <w:rPr>
                <w:bCs/>
              </w:rPr>
              <w:t>2</w:t>
            </w:r>
            <w:r w:rsidRPr="0064659A">
              <w:rPr>
                <w:bCs/>
              </w:rPr>
              <w:t>-1</w:t>
            </w:r>
            <w:r w:rsidR="001F155C">
              <w:rPr>
                <w:bCs/>
              </w:rPr>
              <w:t>4</w:t>
            </w:r>
            <w:r w:rsidRPr="0064659A">
              <w:rPr>
                <w:bCs/>
              </w:rPr>
              <w:t xml:space="preserve"> months after OMB approval</w:t>
            </w:r>
          </w:p>
        </w:tc>
      </w:tr>
      <w:tr w14:paraId="7DF1C7AB" w14:textId="77777777" w:rsidTr="00BB77EA">
        <w:tblPrEx>
          <w:tblW w:w="0" w:type="auto"/>
          <w:tblLook w:val="04A0"/>
        </w:tblPrEx>
        <w:tc>
          <w:tcPr>
            <w:tcW w:w="3595" w:type="dxa"/>
          </w:tcPr>
          <w:p w:rsidR="00F80C9B" w:rsidRPr="0064659A" w:rsidP="00CF2709" w14:paraId="32203ED3" w14:textId="77777777">
            <w:pPr>
              <w:adjustRightInd w:val="0"/>
              <w:jc w:val="both"/>
              <w:rPr>
                <w:bCs/>
              </w:rPr>
            </w:pPr>
            <w:r w:rsidRPr="0064659A">
              <w:rPr>
                <w:bCs/>
              </w:rPr>
              <w:t>Analyses</w:t>
            </w:r>
          </w:p>
        </w:tc>
        <w:tc>
          <w:tcPr>
            <w:tcW w:w="5981" w:type="dxa"/>
          </w:tcPr>
          <w:p w:rsidR="00F80C9B" w:rsidRPr="0064659A" w:rsidP="00CF2709" w14:paraId="1A16F640" w14:textId="77777777">
            <w:pPr>
              <w:adjustRightInd w:val="0"/>
              <w:jc w:val="both"/>
              <w:rPr>
                <w:bCs/>
              </w:rPr>
            </w:pPr>
            <w:r w:rsidRPr="0064659A">
              <w:rPr>
                <w:bCs/>
              </w:rPr>
              <w:t>12-18 months after OMB approval</w:t>
            </w:r>
          </w:p>
        </w:tc>
      </w:tr>
      <w:tr w14:paraId="33251AD9" w14:textId="77777777" w:rsidTr="00BB77EA">
        <w:tblPrEx>
          <w:tblW w:w="0" w:type="auto"/>
          <w:tblLook w:val="04A0"/>
        </w:tblPrEx>
        <w:trPr>
          <w:trHeight w:val="341"/>
        </w:trPr>
        <w:tc>
          <w:tcPr>
            <w:tcW w:w="3595" w:type="dxa"/>
          </w:tcPr>
          <w:p w:rsidR="00F80C9B" w:rsidRPr="0064659A" w:rsidP="00CF2709" w14:paraId="3F85E3D5" w14:textId="77777777">
            <w:pPr>
              <w:adjustRightInd w:val="0"/>
              <w:jc w:val="both"/>
              <w:rPr>
                <w:bCs/>
              </w:rPr>
            </w:pPr>
            <w:r w:rsidRPr="0064659A">
              <w:rPr>
                <w:bCs/>
              </w:rPr>
              <w:t>Publication</w:t>
            </w:r>
          </w:p>
        </w:tc>
        <w:tc>
          <w:tcPr>
            <w:tcW w:w="5981" w:type="dxa"/>
          </w:tcPr>
          <w:p w:rsidR="00F80C9B" w:rsidRPr="0064659A" w:rsidP="00CF2709" w14:paraId="0E822DD6" w14:textId="77777777">
            <w:pPr>
              <w:adjustRightInd w:val="0"/>
              <w:jc w:val="both"/>
              <w:rPr>
                <w:bCs/>
              </w:rPr>
            </w:pPr>
            <w:r w:rsidRPr="0064659A">
              <w:rPr>
                <w:bCs/>
              </w:rPr>
              <w:t>18-24 months after OMB approval</w:t>
            </w:r>
          </w:p>
        </w:tc>
      </w:tr>
    </w:tbl>
    <w:p w:rsidR="00DF2A09" w:rsidRPr="00022A54" w:rsidP="006E3A26" w14:paraId="2E06DF59" w14:textId="3183C1D6">
      <w:pPr>
        <w:tabs>
          <w:tab w:val="left" w:pos="0"/>
        </w:tabs>
        <w:ind w:left="0" w:firstLine="0"/>
        <w:rPr>
          <w:color w:val="000000"/>
        </w:rPr>
      </w:pPr>
    </w:p>
    <w:p w:rsidR="00662F81" w:rsidRPr="00022A54" w:rsidP="00662F81" w14:paraId="58B32336" w14:textId="77777777">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rsidR="00662F81" w:rsidRPr="00022A54" w:rsidP="00662F81" w14:paraId="6B5AAC33"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rsidR="00BB77EA" w:rsidP="00662F81" w14:paraId="658C01CF" w14:textId="77777777">
      <w:pPr>
        <w:tabs>
          <w:tab w:val="left" w:pos="0"/>
        </w:tabs>
        <w:rPr>
          <w:b/>
          <w:bCs/>
          <w:color w:val="000000"/>
        </w:rPr>
      </w:pPr>
    </w:p>
    <w:p w:rsidR="00662F81" w:rsidRPr="00022A54" w:rsidP="00662F81" w14:paraId="108D1BB6" w14:textId="7C0EF9A4">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rsidR="000A4D5E" w:rsidP="00BB77EA" w14:paraId="4BA8F9AB" w14:textId="73FF4298">
      <w:pPr>
        <w:tabs>
          <w:tab w:val="left" w:pos="0"/>
        </w:tabs>
        <w:rPr>
          <w:color w:val="000000"/>
        </w:rPr>
      </w:pPr>
      <w:r w:rsidRPr="00022A54">
        <w:rPr>
          <w:color w:val="000000"/>
        </w:rPr>
        <w:t>There are no exceptions to the certification.</w:t>
      </w:r>
    </w:p>
    <w:p w:rsidR="000A4D5E" w:rsidP="00662F81" w14:paraId="2C7EE6A5" w14:textId="77777777">
      <w:pPr>
        <w:tabs>
          <w:tab w:val="left" w:pos="0"/>
        </w:tabs>
        <w:rPr>
          <w:color w:val="000000"/>
        </w:rPr>
      </w:pPr>
    </w:p>
    <w:p w:rsidR="000A4D5E" w:rsidP="00662F81" w14:paraId="1B631366" w14:textId="77777777">
      <w:pPr>
        <w:tabs>
          <w:tab w:val="left" w:pos="0"/>
        </w:tabs>
        <w:rPr>
          <w:color w:val="000000"/>
        </w:rPr>
      </w:pPr>
      <w:r>
        <w:rPr>
          <w:color w:val="000000"/>
        </w:rPr>
        <w:t>REFERENCE</w:t>
      </w:r>
    </w:p>
    <w:p w:rsidR="000A4D5E" w:rsidP="00662F81" w14:paraId="42EBE029" w14:textId="77777777">
      <w:pPr>
        <w:tabs>
          <w:tab w:val="left" w:pos="0"/>
        </w:tabs>
        <w:rPr>
          <w:color w:val="000000"/>
        </w:rPr>
      </w:pPr>
    </w:p>
    <w:p w:rsidR="000A4D5E" w:rsidP="00662F81" w14:paraId="6E034FE5" w14:textId="77777777">
      <w:pPr>
        <w:tabs>
          <w:tab w:val="left" w:pos="0"/>
        </w:tabs>
        <w:rPr>
          <w:color w:val="000000"/>
        </w:rPr>
      </w:pPr>
      <w:r>
        <w:rPr>
          <w:color w:val="000000"/>
        </w:rPr>
        <w:t>Office of Management and Budget, Statistical Policy Directive No. 2: Standards and Guidelines for Statistical Surveys; Addendum: Standards and Guidelines for Cognitive Interviews. Published in the Federal Register, October 12, 2016, vol. 81, no. 197, pp. 70586.</w:t>
      </w:r>
    </w:p>
    <w:sectPr w:rsidSect="00AF71D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427EEA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1A067E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639A05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6D">
      <w:rPr>
        <w:rStyle w:val="PageNumber"/>
        <w:noProof/>
      </w:rPr>
      <w:t>16</w:t>
    </w:r>
    <w:r>
      <w:rPr>
        <w:rStyle w:val="PageNumber"/>
      </w:rPr>
      <w:fldChar w:fldCharType="end"/>
    </w:r>
  </w:p>
  <w:p w:rsidR="002F5077" w:rsidP="005B5F63" w14:paraId="26CE98F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1CD6E9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742647" w14:paraId="045EA6B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3E2D73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154DCE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436559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4">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136644898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310521264">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2038583070">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16983400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26865276">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72984029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480804775">
    <w:abstractNumId w:val="29"/>
  </w:num>
  <w:num w:numId="8" w16cid:durableId="617184201">
    <w:abstractNumId w:val="15"/>
  </w:num>
  <w:num w:numId="9" w16cid:durableId="124201630">
    <w:abstractNumId w:val="35"/>
  </w:num>
  <w:num w:numId="10" w16cid:durableId="1994141469">
    <w:abstractNumId w:val="16"/>
  </w:num>
  <w:num w:numId="11" w16cid:durableId="1116830723">
    <w:abstractNumId w:val="24"/>
  </w:num>
  <w:num w:numId="12" w16cid:durableId="1743601027">
    <w:abstractNumId w:val="27"/>
  </w:num>
  <w:num w:numId="13" w16cid:durableId="139079698">
    <w:abstractNumId w:val="28"/>
  </w:num>
  <w:num w:numId="14" w16cid:durableId="847250905">
    <w:abstractNumId w:val="19"/>
  </w:num>
  <w:num w:numId="15" w16cid:durableId="1095517416">
    <w:abstractNumId w:val="10"/>
  </w:num>
  <w:num w:numId="16" w16cid:durableId="1437021649">
    <w:abstractNumId w:val="26"/>
  </w:num>
  <w:num w:numId="17" w16cid:durableId="80685237">
    <w:abstractNumId w:val="20"/>
  </w:num>
  <w:num w:numId="18" w16cid:durableId="1075512282">
    <w:abstractNumId w:val="32"/>
  </w:num>
  <w:num w:numId="19" w16cid:durableId="2028406252">
    <w:abstractNumId w:val="31"/>
  </w:num>
  <w:num w:numId="20" w16cid:durableId="451826039">
    <w:abstractNumId w:val="23"/>
  </w:num>
  <w:num w:numId="21" w16cid:durableId="80567740">
    <w:abstractNumId w:val="17"/>
  </w:num>
  <w:num w:numId="22" w16cid:durableId="1556500217">
    <w:abstractNumId w:val="12"/>
  </w:num>
  <w:num w:numId="23" w16cid:durableId="1875923920">
    <w:abstractNumId w:val="25"/>
  </w:num>
  <w:num w:numId="24" w16cid:durableId="717126447">
    <w:abstractNumId w:val="8"/>
  </w:num>
  <w:num w:numId="25" w16cid:durableId="2112584860">
    <w:abstractNumId w:val="36"/>
  </w:num>
  <w:num w:numId="26" w16cid:durableId="1669403535">
    <w:abstractNumId w:val="7"/>
  </w:num>
  <w:num w:numId="27" w16cid:durableId="1170410768">
    <w:abstractNumId w:val="6"/>
  </w:num>
  <w:num w:numId="28" w16cid:durableId="1820072029">
    <w:abstractNumId w:val="33"/>
  </w:num>
  <w:num w:numId="29" w16cid:durableId="2045521101">
    <w:abstractNumId w:val="13"/>
  </w:num>
  <w:num w:numId="30" w16cid:durableId="885487954">
    <w:abstractNumId w:val="30"/>
  </w:num>
  <w:num w:numId="31" w16cid:durableId="4794419">
    <w:abstractNumId w:val="9"/>
  </w:num>
  <w:num w:numId="32" w16cid:durableId="1281104277">
    <w:abstractNumId w:val="34"/>
  </w:num>
  <w:num w:numId="33" w16cid:durableId="180626000">
    <w:abstractNumId w:val="5"/>
  </w:num>
  <w:num w:numId="34" w16cid:durableId="1716848012">
    <w:abstractNumId w:val="21"/>
  </w:num>
  <w:num w:numId="35" w16cid:durableId="2136830762">
    <w:abstractNumId w:val="14"/>
  </w:num>
  <w:num w:numId="36" w16cid:durableId="160513496">
    <w:abstractNumId w:val="22"/>
  </w:num>
  <w:num w:numId="37" w16cid:durableId="1536389845">
    <w:abstractNumId w:val="11"/>
  </w:num>
  <w:num w:numId="38" w16cid:durableId="16296989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9BA"/>
    <w:rsid w:val="00000E7D"/>
    <w:rsid w:val="00001968"/>
    <w:rsid w:val="0000202D"/>
    <w:rsid w:val="00002764"/>
    <w:rsid w:val="00006D0B"/>
    <w:rsid w:val="00017B42"/>
    <w:rsid w:val="00022A54"/>
    <w:rsid w:val="000259DE"/>
    <w:rsid w:val="0002754E"/>
    <w:rsid w:val="00027ABA"/>
    <w:rsid w:val="00027B74"/>
    <w:rsid w:val="00030DA5"/>
    <w:rsid w:val="000315DB"/>
    <w:rsid w:val="00031D85"/>
    <w:rsid w:val="00032124"/>
    <w:rsid w:val="00033191"/>
    <w:rsid w:val="00035595"/>
    <w:rsid w:val="000360CC"/>
    <w:rsid w:val="00036E5B"/>
    <w:rsid w:val="000403E5"/>
    <w:rsid w:val="00040572"/>
    <w:rsid w:val="00043480"/>
    <w:rsid w:val="00043566"/>
    <w:rsid w:val="00044742"/>
    <w:rsid w:val="00045538"/>
    <w:rsid w:val="00045A69"/>
    <w:rsid w:val="00046FFA"/>
    <w:rsid w:val="00047045"/>
    <w:rsid w:val="00055B49"/>
    <w:rsid w:val="000616B4"/>
    <w:rsid w:val="00061916"/>
    <w:rsid w:val="000627FE"/>
    <w:rsid w:val="000659C9"/>
    <w:rsid w:val="00066529"/>
    <w:rsid w:val="0006668D"/>
    <w:rsid w:val="000703D6"/>
    <w:rsid w:val="0007072A"/>
    <w:rsid w:val="00075916"/>
    <w:rsid w:val="000773D3"/>
    <w:rsid w:val="000814C1"/>
    <w:rsid w:val="00082A36"/>
    <w:rsid w:val="00085603"/>
    <w:rsid w:val="000901A5"/>
    <w:rsid w:val="000907F7"/>
    <w:rsid w:val="00091D70"/>
    <w:rsid w:val="000928D4"/>
    <w:rsid w:val="00093C81"/>
    <w:rsid w:val="00097D05"/>
    <w:rsid w:val="000A2FF3"/>
    <w:rsid w:val="000A3385"/>
    <w:rsid w:val="000A4D5E"/>
    <w:rsid w:val="000A689B"/>
    <w:rsid w:val="000B03B1"/>
    <w:rsid w:val="000B224A"/>
    <w:rsid w:val="000B2411"/>
    <w:rsid w:val="000B295F"/>
    <w:rsid w:val="000B3000"/>
    <w:rsid w:val="000B3F98"/>
    <w:rsid w:val="000B5579"/>
    <w:rsid w:val="000C166E"/>
    <w:rsid w:val="000C55FF"/>
    <w:rsid w:val="000C6292"/>
    <w:rsid w:val="000C7994"/>
    <w:rsid w:val="000D5B86"/>
    <w:rsid w:val="000D6277"/>
    <w:rsid w:val="000E2AAE"/>
    <w:rsid w:val="000E2C9A"/>
    <w:rsid w:val="000E3FAB"/>
    <w:rsid w:val="000E5D00"/>
    <w:rsid w:val="000E79C3"/>
    <w:rsid w:val="000F5494"/>
    <w:rsid w:val="000F5951"/>
    <w:rsid w:val="000F681D"/>
    <w:rsid w:val="001116B2"/>
    <w:rsid w:val="00111BE6"/>
    <w:rsid w:val="001121FF"/>
    <w:rsid w:val="001161EE"/>
    <w:rsid w:val="00116596"/>
    <w:rsid w:val="0012089D"/>
    <w:rsid w:val="00121AC4"/>
    <w:rsid w:val="00124A5C"/>
    <w:rsid w:val="0012573B"/>
    <w:rsid w:val="0013173E"/>
    <w:rsid w:val="00132B15"/>
    <w:rsid w:val="00133117"/>
    <w:rsid w:val="001363F9"/>
    <w:rsid w:val="00142D32"/>
    <w:rsid w:val="00144D39"/>
    <w:rsid w:val="00151B07"/>
    <w:rsid w:val="00151EE0"/>
    <w:rsid w:val="0015392C"/>
    <w:rsid w:val="001561E1"/>
    <w:rsid w:val="00157B85"/>
    <w:rsid w:val="00161E86"/>
    <w:rsid w:val="001623D4"/>
    <w:rsid w:val="00163BC3"/>
    <w:rsid w:val="0016543B"/>
    <w:rsid w:val="0016614F"/>
    <w:rsid w:val="00166593"/>
    <w:rsid w:val="00166A41"/>
    <w:rsid w:val="001715FA"/>
    <w:rsid w:val="00172CA4"/>
    <w:rsid w:val="00173868"/>
    <w:rsid w:val="001747FF"/>
    <w:rsid w:val="001756C0"/>
    <w:rsid w:val="0017776D"/>
    <w:rsid w:val="001802AD"/>
    <w:rsid w:val="0018216D"/>
    <w:rsid w:val="0018474A"/>
    <w:rsid w:val="0018477E"/>
    <w:rsid w:val="00187C46"/>
    <w:rsid w:val="0019071F"/>
    <w:rsid w:val="00192008"/>
    <w:rsid w:val="001929B8"/>
    <w:rsid w:val="00192F40"/>
    <w:rsid w:val="00193766"/>
    <w:rsid w:val="001A03B7"/>
    <w:rsid w:val="001A0DF0"/>
    <w:rsid w:val="001A278B"/>
    <w:rsid w:val="001A44B4"/>
    <w:rsid w:val="001A4ECC"/>
    <w:rsid w:val="001A58EA"/>
    <w:rsid w:val="001B4154"/>
    <w:rsid w:val="001B5CC2"/>
    <w:rsid w:val="001B6931"/>
    <w:rsid w:val="001B6FA8"/>
    <w:rsid w:val="001C03C4"/>
    <w:rsid w:val="001C0AFB"/>
    <w:rsid w:val="001C28FF"/>
    <w:rsid w:val="001C2EE3"/>
    <w:rsid w:val="001C5C15"/>
    <w:rsid w:val="001D1CE5"/>
    <w:rsid w:val="001D62A2"/>
    <w:rsid w:val="001D6452"/>
    <w:rsid w:val="001D75FF"/>
    <w:rsid w:val="001E3984"/>
    <w:rsid w:val="001E3B30"/>
    <w:rsid w:val="001E5449"/>
    <w:rsid w:val="001F155C"/>
    <w:rsid w:val="001F244E"/>
    <w:rsid w:val="001F2663"/>
    <w:rsid w:val="001F2866"/>
    <w:rsid w:val="001F610D"/>
    <w:rsid w:val="001F772D"/>
    <w:rsid w:val="002003D7"/>
    <w:rsid w:val="00201240"/>
    <w:rsid w:val="00203971"/>
    <w:rsid w:val="00203E80"/>
    <w:rsid w:val="00204024"/>
    <w:rsid w:val="00204C4B"/>
    <w:rsid w:val="0020502A"/>
    <w:rsid w:val="00205D7C"/>
    <w:rsid w:val="002065ED"/>
    <w:rsid w:val="002105B9"/>
    <w:rsid w:val="00210D56"/>
    <w:rsid w:val="0021212E"/>
    <w:rsid w:val="00216D94"/>
    <w:rsid w:val="00216FB9"/>
    <w:rsid w:val="002173D4"/>
    <w:rsid w:val="0022229C"/>
    <w:rsid w:val="00223911"/>
    <w:rsid w:val="00223B66"/>
    <w:rsid w:val="002266F7"/>
    <w:rsid w:val="00226BE0"/>
    <w:rsid w:val="0022752A"/>
    <w:rsid w:val="00227BF6"/>
    <w:rsid w:val="00232D54"/>
    <w:rsid w:val="0023517B"/>
    <w:rsid w:val="00235BDB"/>
    <w:rsid w:val="00236073"/>
    <w:rsid w:val="00244187"/>
    <w:rsid w:val="00246997"/>
    <w:rsid w:val="00247E74"/>
    <w:rsid w:val="00252C97"/>
    <w:rsid w:val="00253472"/>
    <w:rsid w:val="00254471"/>
    <w:rsid w:val="002548AD"/>
    <w:rsid w:val="002567B0"/>
    <w:rsid w:val="002574A5"/>
    <w:rsid w:val="00261E27"/>
    <w:rsid w:val="00265752"/>
    <w:rsid w:val="0026704E"/>
    <w:rsid w:val="0027142C"/>
    <w:rsid w:val="00272BA4"/>
    <w:rsid w:val="0027378A"/>
    <w:rsid w:val="002850AC"/>
    <w:rsid w:val="00286A5A"/>
    <w:rsid w:val="00287FB1"/>
    <w:rsid w:val="00290452"/>
    <w:rsid w:val="00291FB8"/>
    <w:rsid w:val="002922F0"/>
    <w:rsid w:val="0029301E"/>
    <w:rsid w:val="002936BD"/>
    <w:rsid w:val="002971A5"/>
    <w:rsid w:val="00297834"/>
    <w:rsid w:val="00297880"/>
    <w:rsid w:val="002A0EED"/>
    <w:rsid w:val="002A1D76"/>
    <w:rsid w:val="002A2784"/>
    <w:rsid w:val="002A4EB5"/>
    <w:rsid w:val="002A66E3"/>
    <w:rsid w:val="002B3674"/>
    <w:rsid w:val="002B3CA1"/>
    <w:rsid w:val="002B49B4"/>
    <w:rsid w:val="002B763E"/>
    <w:rsid w:val="002C008B"/>
    <w:rsid w:val="002C2D2E"/>
    <w:rsid w:val="002C4B79"/>
    <w:rsid w:val="002C5A3C"/>
    <w:rsid w:val="002C60A8"/>
    <w:rsid w:val="002D09B6"/>
    <w:rsid w:val="002D3DED"/>
    <w:rsid w:val="002D3EDE"/>
    <w:rsid w:val="002D4341"/>
    <w:rsid w:val="002D5EE8"/>
    <w:rsid w:val="002D69D1"/>
    <w:rsid w:val="002D7213"/>
    <w:rsid w:val="002D76E5"/>
    <w:rsid w:val="002E1517"/>
    <w:rsid w:val="002E2357"/>
    <w:rsid w:val="002E274D"/>
    <w:rsid w:val="002E28BA"/>
    <w:rsid w:val="002E3155"/>
    <w:rsid w:val="002E5A05"/>
    <w:rsid w:val="002F0966"/>
    <w:rsid w:val="002F4EE4"/>
    <w:rsid w:val="002F5077"/>
    <w:rsid w:val="002F58B9"/>
    <w:rsid w:val="00300EC4"/>
    <w:rsid w:val="00301939"/>
    <w:rsid w:val="00302801"/>
    <w:rsid w:val="0030685B"/>
    <w:rsid w:val="003070B6"/>
    <w:rsid w:val="00307AAF"/>
    <w:rsid w:val="00312CF4"/>
    <w:rsid w:val="00314492"/>
    <w:rsid w:val="0031692A"/>
    <w:rsid w:val="00317F8B"/>
    <w:rsid w:val="0032200A"/>
    <w:rsid w:val="00322265"/>
    <w:rsid w:val="00323FDE"/>
    <w:rsid w:val="00324858"/>
    <w:rsid w:val="003272C1"/>
    <w:rsid w:val="00327D53"/>
    <w:rsid w:val="00330F92"/>
    <w:rsid w:val="00332FB2"/>
    <w:rsid w:val="00333DB0"/>
    <w:rsid w:val="00335838"/>
    <w:rsid w:val="00336168"/>
    <w:rsid w:val="003369E6"/>
    <w:rsid w:val="00341C66"/>
    <w:rsid w:val="00342B6C"/>
    <w:rsid w:val="0034329D"/>
    <w:rsid w:val="003479C7"/>
    <w:rsid w:val="00350BDE"/>
    <w:rsid w:val="003519FE"/>
    <w:rsid w:val="00353925"/>
    <w:rsid w:val="00353BDB"/>
    <w:rsid w:val="00356F00"/>
    <w:rsid w:val="00360CD6"/>
    <w:rsid w:val="003701D5"/>
    <w:rsid w:val="00370ADF"/>
    <w:rsid w:val="00373838"/>
    <w:rsid w:val="0037421D"/>
    <w:rsid w:val="00375E73"/>
    <w:rsid w:val="0038183C"/>
    <w:rsid w:val="00383105"/>
    <w:rsid w:val="00384295"/>
    <w:rsid w:val="0038552D"/>
    <w:rsid w:val="003878C5"/>
    <w:rsid w:val="0039102B"/>
    <w:rsid w:val="00391B2A"/>
    <w:rsid w:val="00397380"/>
    <w:rsid w:val="003A020B"/>
    <w:rsid w:val="003A09AB"/>
    <w:rsid w:val="003A2819"/>
    <w:rsid w:val="003A4192"/>
    <w:rsid w:val="003A5A2F"/>
    <w:rsid w:val="003A5AC9"/>
    <w:rsid w:val="003A6373"/>
    <w:rsid w:val="003A7667"/>
    <w:rsid w:val="003B042F"/>
    <w:rsid w:val="003B0855"/>
    <w:rsid w:val="003B2F57"/>
    <w:rsid w:val="003B5740"/>
    <w:rsid w:val="003B7755"/>
    <w:rsid w:val="003C2231"/>
    <w:rsid w:val="003C40AE"/>
    <w:rsid w:val="003C536F"/>
    <w:rsid w:val="003C539B"/>
    <w:rsid w:val="003C7F57"/>
    <w:rsid w:val="003D0E36"/>
    <w:rsid w:val="003D1382"/>
    <w:rsid w:val="003D1FDA"/>
    <w:rsid w:val="003D3646"/>
    <w:rsid w:val="003D4B1C"/>
    <w:rsid w:val="003D6657"/>
    <w:rsid w:val="003D6E02"/>
    <w:rsid w:val="003E2325"/>
    <w:rsid w:val="003E3A8D"/>
    <w:rsid w:val="003E5A93"/>
    <w:rsid w:val="003E6332"/>
    <w:rsid w:val="003E7A28"/>
    <w:rsid w:val="003F4D22"/>
    <w:rsid w:val="003F64EE"/>
    <w:rsid w:val="003F6CB2"/>
    <w:rsid w:val="003F7074"/>
    <w:rsid w:val="003F716B"/>
    <w:rsid w:val="00400FED"/>
    <w:rsid w:val="004031FA"/>
    <w:rsid w:val="00403CFB"/>
    <w:rsid w:val="004049CD"/>
    <w:rsid w:val="0040694B"/>
    <w:rsid w:val="00412362"/>
    <w:rsid w:val="00412A3C"/>
    <w:rsid w:val="004141BE"/>
    <w:rsid w:val="00416793"/>
    <w:rsid w:val="00416C0B"/>
    <w:rsid w:val="00417D33"/>
    <w:rsid w:val="00420156"/>
    <w:rsid w:val="00420C29"/>
    <w:rsid w:val="004217D2"/>
    <w:rsid w:val="00421A71"/>
    <w:rsid w:val="00423268"/>
    <w:rsid w:val="00423A78"/>
    <w:rsid w:val="00430942"/>
    <w:rsid w:val="00434A0D"/>
    <w:rsid w:val="00435717"/>
    <w:rsid w:val="0043632C"/>
    <w:rsid w:val="00437B12"/>
    <w:rsid w:val="0044048D"/>
    <w:rsid w:val="00443C44"/>
    <w:rsid w:val="0044466C"/>
    <w:rsid w:val="00444F0C"/>
    <w:rsid w:val="004454E2"/>
    <w:rsid w:val="004473A8"/>
    <w:rsid w:val="00447969"/>
    <w:rsid w:val="00450E88"/>
    <w:rsid w:val="00451737"/>
    <w:rsid w:val="00452251"/>
    <w:rsid w:val="00453CE1"/>
    <w:rsid w:val="00454060"/>
    <w:rsid w:val="004559B5"/>
    <w:rsid w:val="00456FC9"/>
    <w:rsid w:val="004578E8"/>
    <w:rsid w:val="00460A3A"/>
    <w:rsid w:val="00465034"/>
    <w:rsid w:val="0046629E"/>
    <w:rsid w:val="004703AB"/>
    <w:rsid w:val="0047092D"/>
    <w:rsid w:val="00474849"/>
    <w:rsid w:val="00480A80"/>
    <w:rsid w:val="00481BD2"/>
    <w:rsid w:val="0048277E"/>
    <w:rsid w:val="00484423"/>
    <w:rsid w:val="00484684"/>
    <w:rsid w:val="0048652D"/>
    <w:rsid w:val="00490440"/>
    <w:rsid w:val="0049315A"/>
    <w:rsid w:val="00493A00"/>
    <w:rsid w:val="004943FB"/>
    <w:rsid w:val="004945F6"/>
    <w:rsid w:val="00495927"/>
    <w:rsid w:val="00495B91"/>
    <w:rsid w:val="004A1D73"/>
    <w:rsid w:val="004A1DD7"/>
    <w:rsid w:val="004A7B77"/>
    <w:rsid w:val="004A7E4D"/>
    <w:rsid w:val="004B3F6F"/>
    <w:rsid w:val="004B468F"/>
    <w:rsid w:val="004B7499"/>
    <w:rsid w:val="004C0961"/>
    <w:rsid w:val="004C2700"/>
    <w:rsid w:val="004C45EF"/>
    <w:rsid w:val="004C5BF8"/>
    <w:rsid w:val="004C67DF"/>
    <w:rsid w:val="004C7332"/>
    <w:rsid w:val="004D70E7"/>
    <w:rsid w:val="004E0BA2"/>
    <w:rsid w:val="004E4DEB"/>
    <w:rsid w:val="004E68D8"/>
    <w:rsid w:val="004E696B"/>
    <w:rsid w:val="004E741E"/>
    <w:rsid w:val="004F0B8F"/>
    <w:rsid w:val="004F3C1E"/>
    <w:rsid w:val="004F463C"/>
    <w:rsid w:val="004F4DEF"/>
    <w:rsid w:val="004F6688"/>
    <w:rsid w:val="00503BB4"/>
    <w:rsid w:val="00504858"/>
    <w:rsid w:val="00506464"/>
    <w:rsid w:val="005131F3"/>
    <w:rsid w:val="00513B8B"/>
    <w:rsid w:val="005163C3"/>
    <w:rsid w:val="0052066C"/>
    <w:rsid w:val="00521EA9"/>
    <w:rsid w:val="00522ED3"/>
    <w:rsid w:val="00524C30"/>
    <w:rsid w:val="00527974"/>
    <w:rsid w:val="005317FD"/>
    <w:rsid w:val="0053217D"/>
    <w:rsid w:val="00533093"/>
    <w:rsid w:val="0053314B"/>
    <w:rsid w:val="00533C10"/>
    <w:rsid w:val="00541C78"/>
    <w:rsid w:val="005431CB"/>
    <w:rsid w:val="005465F8"/>
    <w:rsid w:val="005471AF"/>
    <w:rsid w:val="005502BF"/>
    <w:rsid w:val="00552D8A"/>
    <w:rsid w:val="005538AA"/>
    <w:rsid w:val="00557E03"/>
    <w:rsid w:val="00561EE6"/>
    <w:rsid w:val="0057212D"/>
    <w:rsid w:val="00572CCE"/>
    <w:rsid w:val="00573B53"/>
    <w:rsid w:val="00574489"/>
    <w:rsid w:val="00576A1E"/>
    <w:rsid w:val="005809A4"/>
    <w:rsid w:val="00585C1F"/>
    <w:rsid w:val="00586B8D"/>
    <w:rsid w:val="0059004E"/>
    <w:rsid w:val="00591899"/>
    <w:rsid w:val="00591927"/>
    <w:rsid w:val="00591F0C"/>
    <w:rsid w:val="005958B6"/>
    <w:rsid w:val="005A1A39"/>
    <w:rsid w:val="005A3B06"/>
    <w:rsid w:val="005A47E5"/>
    <w:rsid w:val="005A4AFD"/>
    <w:rsid w:val="005B0625"/>
    <w:rsid w:val="005B1667"/>
    <w:rsid w:val="005B56EE"/>
    <w:rsid w:val="005B5F63"/>
    <w:rsid w:val="005B6CC3"/>
    <w:rsid w:val="005B6F4B"/>
    <w:rsid w:val="005C07A9"/>
    <w:rsid w:val="005C218C"/>
    <w:rsid w:val="005C4BED"/>
    <w:rsid w:val="005C4D92"/>
    <w:rsid w:val="005C6EDC"/>
    <w:rsid w:val="005C799D"/>
    <w:rsid w:val="005D14BD"/>
    <w:rsid w:val="005D5A24"/>
    <w:rsid w:val="005E02FC"/>
    <w:rsid w:val="005E0C3A"/>
    <w:rsid w:val="005E2A2B"/>
    <w:rsid w:val="005E503F"/>
    <w:rsid w:val="005F1840"/>
    <w:rsid w:val="005F1C86"/>
    <w:rsid w:val="005F2661"/>
    <w:rsid w:val="005F3A76"/>
    <w:rsid w:val="005F42B7"/>
    <w:rsid w:val="005F5456"/>
    <w:rsid w:val="005F5993"/>
    <w:rsid w:val="00603514"/>
    <w:rsid w:val="00604D99"/>
    <w:rsid w:val="006053A3"/>
    <w:rsid w:val="00605919"/>
    <w:rsid w:val="00605D3B"/>
    <w:rsid w:val="0060645E"/>
    <w:rsid w:val="006074E5"/>
    <w:rsid w:val="00611F95"/>
    <w:rsid w:val="00616C66"/>
    <w:rsid w:val="00616F1C"/>
    <w:rsid w:val="00617333"/>
    <w:rsid w:val="006179E5"/>
    <w:rsid w:val="00622517"/>
    <w:rsid w:val="00623677"/>
    <w:rsid w:val="006259CB"/>
    <w:rsid w:val="00626BE8"/>
    <w:rsid w:val="00633542"/>
    <w:rsid w:val="00633F07"/>
    <w:rsid w:val="006400F9"/>
    <w:rsid w:val="00642B74"/>
    <w:rsid w:val="00642BCE"/>
    <w:rsid w:val="0064331B"/>
    <w:rsid w:val="00645A2A"/>
    <w:rsid w:val="0064659A"/>
    <w:rsid w:val="00647037"/>
    <w:rsid w:val="00657BF3"/>
    <w:rsid w:val="00660E2D"/>
    <w:rsid w:val="00662786"/>
    <w:rsid w:val="00662F81"/>
    <w:rsid w:val="00663F64"/>
    <w:rsid w:val="00664292"/>
    <w:rsid w:val="00665F61"/>
    <w:rsid w:val="0066668A"/>
    <w:rsid w:val="006701E9"/>
    <w:rsid w:val="00675ED7"/>
    <w:rsid w:val="006774DA"/>
    <w:rsid w:val="006901BF"/>
    <w:rsid w:val="00690F7B"/>
    <w:rsid w:val="006914BA"/>
    <w:rsid w:val="006A0701"/>
    <w:rsid w:val="006A0C13"/>
    <w:rsid w:val="006A1272"/>
    <w:rsid w:val="006A2310"/>
    <w:rsid w:val="006A53A8"/>
    <w:rsid w:val="006A76F0"/>
    <w:rsid w:val="006B0171"/>
    <w:rsid w:val="006B2967"/>
    <w:rsid w:val="006B3B70"/>
    <w:rsid w:val="006B4C5B"/>
    <w:rsid w:val="006B5057"/>
    <w:rsid w:val="006B5A32"/>
    <w:rsid w:val="006B761C"/>
    <w:rsid w:val="006B7BFD"/>
    <w:rsid w:val="006C0D1F"/>
    <w:rsid w:val="006C163B"/>
    <w:rsid w:val="006C442F"/>
    <w:rsid w:val="006C450E"/>
    <w:rsid w:val="006D2E04"/>
    <w:rsid w:val="006E0BD9"/>
    <w:rsid w:val="006E3A26"/>
    <w:rsid w:val="006E50BF"/>
    <w:rsid w:val="006E68FD"/>
    <w:rsid w:val="006F300A"/>
    <w:rsid w:val="006F6536"/>
    <w:rsid w:val="006F7B24"/>
    <w:rsid w:val="00701BE0"/>
    <w:rsid w:val="007045F7"/>
    <w:rsid w:val="00712CAA"/>
    <w:rsid w:val="007149AD"/>
    <w:rsid w:val="007206CD"/>
    <w:rsid w:val="007214D8"/>
    <w:rsid w:val="0072304F"/>
    <w:rsid w:val="00726662"/>
    <w:rsid w:val="00726CCC"/>
    <w:rsid w:val="00726F05"/>
    <w:rsid w:val="007272EC"/>
    <w:rsid w:val="00727F34"/>
    <w:rsid w:val="007300AA"/>
    <w:rsid w:val="0073297F"/>
    <w:rsid w:val="00732EC3"/>
    <w:rsid w:val="0073514A"/>
    <w:rsid w:val="00737071"/>
    <w:rsid w:val="00741E24"/>
    <w:rsid w:val="00742131"/>
    <w:rsid w:val="00742647"/>
    <w:rsid w:val="0074268C"/>
    <w:rsid w:val="00743FA6"/>
    <w:rsid w:val="007455D4"/>
    <w:rsid w:val="007459DF"/>
    <w:rsid w:val="007514B3"/>
    <w:rsid w:val="00751B33"/>
    <w:rsid w:val="0075634D"/>
    <w:rsid w:val="00756619"/>
    <w:rsid w:val="007627F2"/>
    <w:rsid w:val="00762956"/>
    <w:rsid w:val="00771FEE"/>
    <w:rsid w:val="00773361"/>
    <w:rsid w:val="00774561"/>
    <w:rsid w:val="00776240"/>
    <w:rsid w:val="00780647"/>
    <w:rsid w:val="00782542"/>
    <w:rsid w:val="0078618B"/>
    <w:rsid w:val="00786C8D"/>
    <w:rsid w:val="00790D75"/>
    <w:rsid w:val="00790E6D"/>
    <w:rsid w:val="0079529C"/>
    <w:rsid w:val="00795EF3"/>
    <w:rsid w:val="007977C4"/>
    <w:rsid w:val="007A0C9C"/>
    <w:rsid w:val="007A0EB1"/>
    <w:rsid w:val="007A31F8"/>
    <w:rsid w:val="007A3CF4"/>
    <w:rsid w:val="007A43F4"/>
    <w:rsid w:val="007B0719"/>
    <w:rsid w:val="007B0A83"/>
    <w:rsid w:val="007B1B24"/>
    <w:rsid w:val="007B3B8F"/>
    <w:rsid w:val="007B50D6"/>
    <w:rsid w:val="007B546A"/>
    <w:rsid w:val="007B69A3"/>
    <w:rsid w:val="007B6EE4"/>
    <w:rsid w:val="007B763C"/>
    <w:rsid w:val="007C1577"/>
    <w:rsid w:val="007C207A"/>
    <w:rsid w:val="007C4179"/>
    <w:rsid w:val="007C77B8"/>
    <w:rsid w:val="007D19FA"/>
    <w:rsid w:val="007D383F"/>
    <w:rsid w:val="007E1152"/>
    <w:rsid w:val="007E1DCC"/>
    <w:rsid w:val="007E1F24"/>
    <w:rsid w:val="007E2EE2"/>
    <w:rsid w:val="007E4E8A"/>
    <w:rsid w:val="007E5351"/>
    <w:rsid w:val="007E7D10"/>
    <w:rsid w:val="007F3E6D"/>
    <w:rsid w:val="007F50E3"/>
    <w:rsid w:val="00800C22"/>
    <w:rsid w:val="008030BE"/>
    <w:rsid w:val="00810AE5"/>
    <w:rsid w:val="008135AF"/>
    <w:rsid w:val="008138AD"/>
    <w:rsid w:val="0081497D"/>
    <w:rsid w:val="0081573C"/>
    <w:rsid w:val="00817E1F"/>
    <w:rsid w:val="008214BF"/>
    <w:rsid w:val="0082274C"/>
    <w:rsid w:val="008240F6"/>
    <w:rsid w:val="00831594"/>
    <w:rsid w:val="00831E43"/>
    <w:rsid w:val="00832AE9"/>
    <w:rsid w:val="00835D5F"/>
    <w:rsid w:val="0083743A"/>
    <w:rsid w:val="00840464"/>
    <w:rsid w:val="00843D58"/>
    <w:rsid w:val="00852489"/>
    <w:rsid w:val="00852CFC"/>
    <w:rsid w:val="00853B29"/>
    <w:rsid w:val="00853D19"/>
    <w:rsid w:val="008570EC"/>
    <w:rsid w:val="008616D8"/>
    <w:rsid w:val="008624DA"/>
    <w:rsid w:val="00863136"/>
    <w:rsid w:val="00865AAE"/>
    <w:rsid w:val="00865E98"/>
    <w:rsid w:val="00866969"/>
    <w:rsid w:val="00866F07"/>
    <w:rsid w:val="0086747F"/>
    <w:rsid w:val="00867875"/>
    <w:rsid w:val="00867E5F"/>
    <w:rsid w:val="00874700"/>
    <w:rsid w:val="00874CD6"/>
    <w:rsid w:val="00880CE4"/>
    <w:rsid w:val="008848B7"/>
    <w:rsid w:val="00885576"/>
    <w:rsid w:val="00885754"/>
    <w:rsid w:val="00886A38"/>
    <w:rsid w:val="0089121D"/>
    <w:rsid w:val="008923D2"/>
    <w:rsid w:val="00896231"/>
    <w:rsid w:val="00896987"/>
    <w:rsid w:val="00897C00"/>
    <w:rsid w:val="008A2806"/>
    <w:rsid w:val="008A43EB"/>
    <w:rsid w:val="008A53E9"/>
    <w:rsid w:val="008A63B5"/>
    <w:rsid w:val="008A652E"/>
    <w:rsid w:val="008B4B55"/>
    <w:rsid w:val="008B556E"/>
    <w:rsid w:val="008C2365"/>
    <w:rsid w:val="008C47E3"/>
    <w:rsid w:val="008D036E"/>
    <w:rsid w:val="008D0C53"/>
    <w:rsid w:val="008D0FDC"/>
    <w:rsid w:val="008D101E"/>
    <w:rsid w:val="008D105D"/>
    <w:rsid w:val="008D37D9"/>
    <w:rsid w:val="008D57C0"/>
    <w:rsid w:val="008D766F"/>
    <w:rsid w:val="008E23D5"/>
    <w:rsid w:val="008E323D"/>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32A9"/>
    <w:rsid w:val="00903ECC"/>
    <w:rsid w:val="009109FD"/>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40FC5"/>
    <w:rsid w:val="00941322"/>
    <w:rsid w:val="00941800"/>
    <w:rsid w:val="00942142"/>
    <w:rsid w:val="00942473"/>
    <w:rsid w:val="00945476"/>
    <w:rsid w:val="009477FD"/>
    <w:rsid w:val="0095019F"/>
    <w:rsid w:val="00951BC8"/>
    <w:rsid w:val="00952269"/>
    <w:rsid w:val="009546CC"/>
    <w:rsid w:val="00957BDB"/>
    <w:rsid w:val="00960A89"/>
    <w:rsid w:val="00961E31"/>
    <w:rsid w:val="0096214D"/>
    <w:rsid w:val="00963C2F"/>
    <w:rsid w:val="00965824"/>
    <w:rsid w:val="00967294"/>
    <w:rsid w:val="00972D81"/>
    <w:rsid w:val="009742D0"/>
    <w:rsid w:val="00977108"/>
    <w:rsid w:val="00977344"/>
    <w:rsid w:val="00992B17"/>
    <w:rsid w:val="009940DF"/>
    <w:rsid w:val="0099547E"/>
    <w:rsid w:val="009A2F72"/>
    <w:rsid w:val="009A405E"/>
    <w:rsid w:val="009A4647"/>
    <w:rsid w:val="009A4DB7"/>
    <w:rsid w:val="009A6DF8"/>
    <w:rsid w:val="009A7031"/>
    <w:rsid w:val="009B2D82"/>
    <w:rsid w:val="009B4D83"/>
    <w:rsid w:val="009B589D"/>
    <w:rsid w:val="009B647C"/>
    <w:rsid w:val="009B7CD6"/>
    <w:rsid w:val="009C50AC"/>
    <w:rsid w:val="009D0341"/>
    <w:rsid w:val="009D3982"/>
    <w:rsid w:val="009D5A35"/>
    <w:rsid w:val="009D5DCC"/>
    <w:rsid w:val="009D60EC"/>
    <w:rsid w:val="009D7515"/>
    <w:rsid w:val="009D7744"/>
    <w:rsid w:val="009E20C3"/>
    <w:rsid w:val="009E2F8A"/>
    <w:rsid w:val="009E3AC6"/>
    <w:rsid w:val="009E5980"/>
    <w:rsid w:val="009E5F11"/>
    <w:rsid w:val="009F05BD"/>
    <w:rsid w:val="009F0BDC"/>
    <w:rsid w:val="009F38D8"/>
    <w:rsid w:val="009F4060"/>
    <w:rsid w:val="009F42DF"/>
    <w:rsid w:val="009F45E3"/>
    <w:rsid w:val="009F4B4D"/>
    <w:rsid w:val="009F4EA7"/>
    <w:rsid w:val="009F5E00"/>
    <w:rsid w:val="009F5FD9"/>
    <w:rsid w:val="00A00072"/>
    <w:rsid w:val="00A00BA3"/>
    <w:rsid w:val="00A00C5A"/>
    <w:rsid w:val="00A0144B"/>
    <w:rsid w:val="00A04501"/>
    <w:rsid w:val="00A05118"/>
    <w:rsid w:val="00A13150"/>
    <w:rsid w:val="00A143DB"/>
    <w:rsid w:val="00A148A7"/>
    <w:rsid w:val="00A14C7C"/>
    <w:rsid w:val="00A23313"/>
    <w:rsid w:val="00A24501"/>
    <w:rsid w:val="00A26E81"/>
    <w:rsid w:val="00A3098E"/>
    <w:rsid w:val="00A313F2"/>
    <w:rsid w:val="00A3660B"/>
    <w:rsid w:val="00A36D1E"/>
    <w:rsid w:val="00A370DA"/>
    <w:rsid w:val="00A43385"/>
    <w:rsid w:val="00A441DA"/>
    <w:rsid w:val="00A44FB7"/>
    <w:rsid w:val="00A45CB6"/>
    <w:rsid w:val="00A549CA"/>
    <w:rsid w:val="00A54AB6"/>
    <w:rsid w:val="00A55400"/>
    <w:rsid w:val="00A56453"/>
    <w:rsid w:val="00A60A3A"/>
    <w:rsid w:val="00A60F67"/>
    <w:rsid w:val="00A63A7A"/>
    <w:rsid w:val="00A65636"/>
    <w:rsid w:val="00A668F3"/>
    <w:rsid w:val="00A6730B"/>
    <w:rsid w:val="00A7249E"/>
    <w:rsid w:val="00A72BB1"/>
    <w:rsid w:val="00A73821"/>
    <w:rsid w:val="00A73EE7"/>
    <w:rsid w:val="00A758F5"/>
    <w:rsid w:val="00A7798A"/>
    <w:rsid w:val="00A81414"/>
    <w:rsid w:val="00A81D78"/>
    <w:rsid w:val="00A8262E"/>
    <w:rsid w:val="00A82DA5"/>
    <w:rsid w:val="00A842EE"/>
    <w:rsid w:val="00A93282"/>
    <w:rsid w:val="00A96C90"/>
    <w:rsid w:val="00AA043E"/>
    <w:rsid w:val="00AA17C1"/>
    <w:rsid w:val="00AA19C9"/>
    <w:rsid w:val="00AA25E3"/>
    <w:rsid w:val="00AA4627"/>
    <w:rsid w:val="00AB06C5"/>
    <w:rsid w:val="00AB39E0"/>
    <w:rsid w:val="00AB3EB1"/>
    <w:rsid w:val="00AB462A"/>
    <w:rsid w:val="00AB6361"/>
    <w:rsid w:val="00AB6721"/>
    <w:rsid w:val="00AC132E"/>
    <w:rsid w:val="00AC6570"/>
    <w:rsid w:val="00AC76DE"/>
    <w:rsid w:val="00AD09BA"/>
    <w:rsid w:val="00AD1077"/>
    <w:rsid w:val="00AD3B70"/>
    <w:rsid w:val="00AD3C03"/>
    <w:rsid w:val="00AD479F"/>
    <w:rsid w:val="00AE45FF"/>
    <w:rsid w:val="00AE6727"/>
    <w:rsid w:val="00AF084B"/>
    <w:rsid w:val="00AF1E5F"/>
    <w:rsid w:val="00AF3C1E"/>
    <w:rsid w:val="00AF5A4A"/>
    <w:rsid w:val="00AF71DC"/>
    <w:rsid w:val="00AF71E8"/>
    <w:rsid w:val="00B01A19"/>
    <w:rsid w:val="00B02C26"/>
    <w:rsid w:val="00B04655"/>
    <w:rsid w:val="00B06EB4"/>
    <w:rsid w:val="00B07B39"/>
    <w:rsid w:val="00B07ED2"/>
    <w:rsid w:val="00B14E17"/>
    <w:rsid w:val="00B15E1B"/>
    <w:rsid w:val="00B16535"/>
    <w:rsid w:val="00B16D09"/>
    <w:rsid w:val="00B17494"/>
    <w:rsid w:val="00B178F7"/>
    <w:rsid w:val="00B21268"/>
    <w:rsid w:val="00B24ACE"/>
    <w:rsid w:val="00B257A4"/>
    <w:rsid w:val="00B27EF4"/>
    <w:rsid w:val="00B41712"/>
    <w:rsid w:val="00B4362E"/>
    <w:rsid w:val="00B4456D"/>
    <w:rsid w:val="00B46D34"/>
    <w:rsid w:val="00B47B1C"/>
    <w:rsid w:val="00B511F8"/>
    <w:rsid w:val="00B51C8E"/>
    <w:rsid w:val="00B5293F"/>
    <w:rsid w:val="00B53725"/>
    <w:rsid w:val="00B53AA4"/>
    <w:rsid w:val="00B55E0C"/>
    <w:rsid w:val="00B5630D"/>
    <w:rsid w:val="00B5654A"/>
    <w:rsid w:val="00B57008"/>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3E4E"/>
    <w:rsid w:val="00B94682"/>
    <w:rsid w:val="00B94B8F"/>
    <w:rsid w:val="00B95264"/>
    <w:rsid w:val="00B95A61"/>
    <w:rsid w:val="00B97222"/>
    <w:rsid w:val="00BA1364"/>
    <w:rsid w:val="00BA48D5"/>
    <w:rsid w:val="00BA5D0A"/>
    <w:rsid w:val="00BB0A1A"/>
    <w:rsid w:val="00BB2DAD"/>
    <w:rsid w:val="00BB363C"/>
    <w:rsid w:val="00BB5773"/>
    <w:rsid w:val="00BB77EA"/>
    <w:rsid w:val="00BC18BB"/>
    <w:rsid w:val="00BC2627"/>
    <w:rsid w:val="00BC42BC"/>
    <w:rsid w:val="00BC4B33"/>
    <w:rsid w:val="00BC5747"/>
    <w:rsid w:val="00BC66CD"/>
    <w:rsid w:val="00BD23FF"/>
    <w:rsid w:val="00BD6AF1"/>
    <w:rsid w:val="00BD7302"/>
    <w:rsid w:val="00BE0930"/>
    <w:rsid w:val="00BE1961"/>
    <w:rsid w:val="00BE3525"/>
    <w:rsid w:val="00BE36D5"/>
    <w:rsid w:val="00BE38C1"/>
    <w:rsid w:val="00BE5E2A"/>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1405"/>
    <w:rsid w:val="00C3385D"/>
    <w:rsid w:val="00C3573C"/>
    <w:rsid w:val="00C37F93"/>
    <w:rsid w:val="00C40795"/>
    <w:rsid w:val="00C41149"/>
    <w:rsid w:val="00C41189"/>
    <w:rsid w:val="00C428DD"/>
    <w:rsid w:val="00C42CD9"/>
    <w:rsid w:val="00C45881"/>
    <w:rsid w:val="00C46C52"/>
    <w:rsid w:val="00C47B45"/>
    <w:rsid w:val="00C50667"/>
    <w:rsid w:val="00C50988"/>
    <w:rsid w:val="00C52433"/>
    <w:rsid w:val="00C524E4"/>
    <w:rsid w:val="00C52553"/>
    <w:rsid w:val="00C53FC2"/>
    <w:rsid w:val="00C54140"/>
    <w:rsid w:val="00C555E4"/>
    <w:rsid w:val="00C56746"/>
    <w:rsid w:val="00C56BB4"/>
    <w:rsid w:val="00C61182"/>
    <w:rsid w:val="00C62AD2"/>
    <w:rsid w:val="00C6416D"/>
    <w:rsid w:val="00C64171"/>
    <w:rsid w:val="00C651E0"/>
    <w:rsid w:val="00C65B19"/>
    <w:rsid w:val="00C74FF1"/>
    <w:rsid w:val="00C7585E"/>
    <w:rsid w:val="00C76BE6"/>
    <w:rsid w:val="00C8106E"/>
    <w:rsid w:val="00C824DE"/>
    <w:rsid w:val="00C84FDB"/>
    <w:rsid w:val="00C85FF1"/>
    <w:rsid w:val="00C86D2F"/>
    <w:rsid w:val="00C9228B"/>
    <w:rsid w:val="00C931FD"/>
    <w:rsid w:val="00C94C4D"/>
    <w:rsid w:val="00CA1AF9"/>
    <w:rsid w:val="00CA1DD0"/>
    <w:rsid w:val="00CA2099"/>
    <w:rsid w:val="00CA572A"/>
    <w:rsid w:val="00CB1E7A"/>
    <w:rsid w:val="00CB2290"/>
    <w:rsid w:val="00CB4E1D"/>
    <w:rsid w:val="00CC1CA1"/>
    <w:rsid w:val="00CC2588"/>
    <w:rsid w:val="00CC536E"/>
    <w:rsid w:val="00CC5D88"/>
    <w:rsid w:val="00CC698C"/>
    <w:rsid w:val="00CD29B9"/>
    <w:rsid w:val="00CD3BF7"/>
    <w:rsid w:val="00CD3FB4"/>
    <w:rsid w:val="00CD4557"/>
    <w:rsid w:val="00CE00C5"/>
    <w:rsid w:val="00CE03AC"/>
    <w:rsid w:val="00CE14B5"/>
    <w:rsid w:val="00CE1F02"/>
    <w:rsid w:val="00CE2B3F"/>
    <w:rsid w:val="00CE2F84"/>
    <w:rsid w:val="00CE7BD4"/>
    <w:rsid w:val="00CF19EA"/>
    <w:rsid w:val="00CF2709"/>
    <w:rsid w:val="00CF2859"/>
    <w:rsid w:val="00D01A8C"/>
    <w:rsid w:val="00D02CA7"/>
    <w:rsid w:val="00D03328"/>
    <w:rsid w:val="00D03686"/>
    <w:rsid w:val="00D0369F"/>
    <w:rsid w:val="00D0388F"/>
    <w:rsid w:val="00D044DD"/>
    <w:rsid w:val="00D119D3"/>
    <w:rsid w:val="00D15EFA"/>
    <w:rsid w:val="00D16967"/>
    <w:rsid w:val="00D20B2D"/>
    <w:rsid w:val="00D211CD"/>
    <w:rsid w:val="00D23E49"/>
    <w:rsid w:val="00D24412"/>
    <w:rsid w:val="00D2594B"/>
    <w:rsid w:val="00D27077"/>
    <w:rsid w:val="00D276C6"/>
    <w:rsid w:val="00D27D46"/>
    <w:rsid w:val="00D337DD"/>
    <w:rsid w:val="00D35071"/>
    <w:rsid w:val="00D35201"/>
    <w:rsid w:val="00D357B4"/>
    <w:rsid w:val="00D357C4"/>
    <w:rsid w:val="00D366C1"/>
    <w:rsid w:val="00D40156"/>
    <w:rsid w:val="00D4023F"/>
    <w:rsid w:val="00D407D4"/>
    <w:rsid w:val="00D41EA5"/>
    <w:rsid w:val="00D42CD9"/>
    <w:rsid w:val="00D44456"/>
    <w:rsid w:val="00D46E5A"/>
    <w:rsid w:val="00D474E7"/>
    <w:rsid w:val="00D47549"/>
    <w:rsid w:val="00D53B63"/>
    <w:rsid w:val="00D5441D"/>
    <w:rsid w:val="00D54C20"/>
    <w:rsid w:val="00D561E8"/>
    <w:rsid w:val="00D60946"/>
    <w:rsid w:val="00D64635"/>
    <w:rsid w:val="00D70341"/>
    <w:rsid w:val="00D707EE"/>
    <w:rsid w:val="00D714A1"/>
    <w:rsid w:val="00D71D3D"/>
    <w:rsid w:val="00D76A08"/>
    <w:rsid w:val="00D8296B"/>
    <w:rsid w:val="00D83545"/>
    <w:rsid w:val="00D83DA1"/>
    <w:rsid w:val="00D850E0"/>
    <w:rsid w:val="00D85FE0"/>
    <w:rsid w:val="00D867C0"/>
    <w:rsid w:val="00D87D3F"/>
    <w:rsid w:val="00D87EAD"/>
    <w:rsid w:val="00D907C1"/>
    <w:rsid w:val="00D909E2"/>
    <w:rsid w:val="00D96313"/>
    <w:rsid w:val="00D9671A"/>
    <w:rsid w:val="00DA2426"/>
    <w:rsid w:val="00DA300D"/>
    <w:rsid w:val="00DA310E"/>
    <w:rsid w:val="00DA4FDF"/>
    <w:rsid w:val="00DA6246"/>
    <w:rsid w:val="00DB0A38"/>
    <w:rsid w:val="00DB277F"/>
    <w:rsid w:val="00DB41EA"/>
    <w:rsid w:val="00DC0585"/>
    <w:rsid w:val="00DC1889"/>
    <w:rsid w:val="00DC2724"/>
    <w:rsid w:val="00DC39F4"/>
    <w:rsid w:val="00DC407C"/>
    <w:rsid w:val="00DC4730"/>
    <w:rsid w:val="00DC5CE3"/>
    <w:rsid w:val="00DD087D"/>
    <w:rsid w:val="00DD2B69"/>
    <w:rsid w:val="00DD2E55"/>
    <w:rsid w:val="00DD4C2D"/>
    <w:rsid w:val="00DD60CD"/>
    <w:rsid w:val="00DD6BE1"/>
    <w:rsid w:val="00DE21FF"/>
    <w:rsid w:val="00DE555F"/>
    <w:rsid w:val="00DE66FC"/>
    <w:rsid w:val="00DF2560"/>
    <w:rsid w:val="00DF2A09"/>
    <w:rsid w:val="00DF47A5"/>
    <w:rsid w:val="00E00318"/>
    <w:rsid w:val="00E028BB"/>
    <w:rsid w:val="00E049ED"/>
    <w:rsid w:val="00E119ED"/>
    <w:rsid w:val="00E122BA"/>
    <w:rsid w:val="00E12805"/>
    <w:rsid w:val="00E12A4F"/>
    <w:rsid w:val="00E14CF2"/>
    <w:rsid w:val="00E1790F"/>
    <w:rsid w:val="00E1794C"/>
    <w:rsid w:val="00E20BE0"/>
    <w:rsid w:val="00E21496"/>
    <w:rsid w:val="00E23E09"/>
    <w:rsid w:val="00E25218"/>
    <w:rsid w:val="00E306D7"/>
    <w:rsid w:val="00E31CD1"/>
    <w:rsid w:val="00E3498C"/>
    <w:rsid w:val="00E34A1B"/>
    <w:rsid w:val="00E34D29"/>
    <w:rsid w:val="00E351A4"/>
    <w:rsid w:val="00E35EE9"/>
    <w:rsid w:val="00E365C4"/>
    <w:rsid w:val="00E37D59"/>
    <w:rsid w:val="00E4005C"/>
    <w:rsid w:val="00E401E3"/>
    <w:rsid w:val="00E41136"/>
    <w:rsid w:val="00E41A5C"/>
    <w:rsid w:val="00E41BE1"/>
    <w:rsid w:val="00E41CA4"/>
    <w:rsid w:val="00E47152"/>
    <w:rsid w:val="00E50D8D"/>
    <w:rsid w:val="00E5255A"/>
    <w:rsid w:val="00E537D9"/>
    <w:rsid w:val="00E6144D"/>
    <w:rsid w:val="00E64CA1"/>
    <w:rsid w:val="00E65030"/>
    <w:rsid w:val="00E659CE"/>
    <w:rsid w:val="00E659F3"/>
    <w:rsid w:val="00E67766"/>
    <w:rsid w:val="00E67C96"/>
    <w:rsid w:val="00E71F8D"/>
    <w:rsid w:val="00E756AA"/>
    <w:rsid w:val="00E75942"/>
    <w:rsid w:val="00E7599D"/>
    <w:rsid w:val="00E8128A"/>
    <w:rsid w:val="00E8463B"/>
    <w:rsid w:val="00E85A15"/>
    <w:rsid w:val="00E87149"/>
    <w:rsid w:val="00E877A3"/>
    <w:rsid w:val="00E87FFD"/>
    <w:rsid w:val="00E9079B"/>
    <w:rsid w:val="00E91572"/>
    <w:rsid w:val="00E9533E"/>
    <w:rsid w:val="00E9696B"/>
    <w:rsid w:val="00E9699F"/>
    <w:rsid w:val="00EA5585"/>
    <w:rsid w:val="00EA6736"/>
    <w:rsid w:val="00EB073D"/>
    <w:rsid w:val="00EB1016"/>
    <w:rsid w:val="00EB5DD9"/>
    <w:rsid w:val="00EC1EAE"/>
    <w:rsid w:val="00EC3DDE"/>
    <w:rsid w:val="00EC4F59"/>
    <w:rsid w:val="00EC5A07"/>
    <w:rsid w:val="00EC677D"/>
    <w:rsid w:val="00ED1E68"/>
    <w:rsid w:val="00ED3E26"/>
    <w:rsid w:val="00ED442E"/>
    <w:rsid w:val="00ED4984"/>
    <w:rsid w:val="00ED6C27"/>
    <w:rsid w:val="00EE5BC0"/>
    <w:rsid w:val="00EF0492"/>
    <w:rsid w:val="00EF1559"/>
    <w:rsid w:val="00EF213E"/>
    <w:rsid w:val="00EF3221"/>
    <w:rsid w:val="00EF4D3A"/>
    <w:rsid w:val="00EF72E8"/>
    <w:rsid w:val="00F00C19"/>
    <w:rsid w:val="00F0266B"/>
    <w:rsid w:val="00F03054"/>
    <w:rsid w:val="00F04F5C"/>
    <w:rsid w:val="00F1086C"/>
    <w:rsid w:val="00F10DC0"/>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516B"/>
    <w:rsid w:val="00F47F14"/>
    <w:rsid w:val="00F50064"/>
    <w:rsid w:val="00F50D26"/>
    <w:rsid w:val="00F51A62"/>
    <w:rsid w:val="00F603ED"/>
    <w:rsid w:val="00F608CE"/>
    <w:rsid w:val="00F61A44"/>
    <w:rsid w:val="00F6699D"/>
    <w:rsid w:val="00F67DF5"/>
    <w:rsid w:val="00F704B7"/>
    <w:rsid w:val="00F70CE7"/>
    <w:rsid w:val="00F77A36"/>
    <w:rsid w:val="00F80C9B"/>
    <w:rsid w:val="00F80FA9"/>
    <w:rsid w:val="00F81290"/>
    <w:rsid w:val="00F81BAC"/>
    <w:rsid w:val="00F8310A"/>
    <w:rsid w:val="00F83501"/>
    <w:rsid w:val="00F84227"/>
    <w:rsid w:val="00F848DE"/>
    <w:rsid w:val="00F85104"/>
    <w:rsid w:val="00F852A7"/>
    <w:rsid w:val="00F93D59"/>
    <w:rsid w:val="00F9545C"/>
    <w:rsid w:val="00F9662A"/>
    <w:rsid w:val="00F9742F"/>
    <w:rsid w:val="00F97C0D"/>
    <w:rsid w:val="00F97FBC"/>
    <w:rsid w:val="00FA11C2"/>
    <w:rsid w:val="00FA29E8"/>
    <w:rsid w:val="00FA5508"/>
    <w:rsid w:val="00FA665B"/>
    <w:rsid w:val="00FA6B94"/>
    <w:rsid w:val="00FB479D"/>
    <w:rsid w:val="00FB4A25"/>
    <w:rsid w:val="00FB7342"/>
    <w:rsid w:val="00FC0178"/>
    <w:rsid w:val="00FC1626"/>
    <w:rsid w:val="00FC16A7"/>
    <w:rsid w:val="00FC2352"/>
    <w:rsid w:val="00FC301A"/>
    <w:rsid w:val="00FC3A8F"/>
    <w:rsid w:val="00FC5AF9"/>
    <w:rsid w:val="00FC643B"/>
    <w:rsid w:val="00FD10FB"/>
    <w:rsid w:val="00FD1EC9"/>
    <w:rsid w:val="00FD23DE"/>
    <w:rsid w:val="00FD3DE5"/>
    <w:rsid w:val="00FE2E7B"/>
    <w:rsid w:val="00FE3886"/>
    <w:rsid w:val="00FE3D90"/>
    <w:rsid w:val="00FE436A"/>
    <w:rsid w:val="00FE7A28"/>
    <w:rsid w:val="00FF09A7"/>
    <w:rsid w:val="00FF192D"/>
    <w:rsid w:val="00FF1D84"/>
    <w:rsid w:val="00FF2ECD"/>
    <w:rsid w:val="00FF4B08"/>
    <w:rsid w:val="00FF647D"/>
    <w:rsid w:val="00FF7C1D"/>
  </w:rsids>
  <w:docVars>
    <w:docVar w:name="__Grammarly_42___1" w:val="H4sIAAAAAAAEAKtWcslP9kxRslIyNDY2MDEwNDc1sDSxNDMwMzVV0lEKTi0uzszPAykwrgUA0GBv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B28EDF"/>
  <w15:chartTrackingRefBased/>
  <w15:docId w15:val="{84DF26D6-DE6C-412C-AE3C-D59FC96F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styleId="UnresolvedMention">
    <w:name w:val="Unresolved Mention"/>
    <w:basedOn w:val="DefaultParagraphFont"/>
    <w:uiPriority w:val="99"/>
    <w:semiHidden/>
    <w:unhideWhenUsed/>
    <w:rsid w:val="009F4EA7"/>
    <w:rPr>
      <w:color w:val="605E5C"/>
      <w:shd w:val="clear" w:color="auto" w:fill="E1DFDD"/>
    </w:rPr>
  </w:style>
  <w:style w:type="paragraph" w:styleId="Revision">
    <w:name w:val="Revision"/>
    <w:hidden/>
    <w:uiPriority w:val="99"/>
    <w:semiHidden/>
    <w:rsid w:val="00D366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3/may/oes119161.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7FAF-5A88-45BE-BDD2-991B98C4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1785</Words>
  <Characters>10474</Characters>
  <Application>Microsoft Office Word</Application>
  <DocSecurity>0</DocSecurity>
  <Lines>308</Lines>
  <Paragraphs>165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Joyce, Kevin J. (CDC/OD/OS)</cp:lastModifiedBy>
  <cp:revision>73</cp:revision>
  <cp:lastPrinted>2019-08-05T16:03:00Z</cp:lastPrinted>
  <dcterms:created xsi:type="dcterms:W3CDTF">2025-01-27T18:47:00Z</dcterms:created>
  <dcterms:modified xsi:type="dcterms:W3CDTF">2026-03-25T16:00:00Z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49105a72-147e-4bdc-899a-1b89ac50beed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2026-03-25T16:00:34Z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y fmtid="{D5CDD505-2E9C-101B-9397-08002B2CF9AE}" pid="10" name="_DocHome">
    <vt:i4>972146359</vt:i4>
  </property>
  <property fmtid="{D5CDD505-2E9C-101B-9397-08002B2CF9AE}" pid="11" name="_EmailEntryID">
    <vt:lpwstr>00000000729029A0ACBDD111A2DD00A02461F7A00700F159D348C461D111A2D900A02461F7A000000034B1BE00008C88A0106170264C92F3E5F789C1B55C00004E4D83100000</vt:lpwstr>
  </property>
  <property fmtid="{D5CDD505-2E9C-101B-9397-08002B2CF9AE}" pid="12"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3" name="_EmailStoreID1">
    <vt:lpwstr>C54292F636E3D526563697069656E74732F636E3D7378773200E94632F42C0000000200000010000000730078007700320040006300640063002E0067006F00760000000000</vt:lpwstr>
  </property>
  <property fmtid="{D5CDD505-2E9C-101B-9397-08002B2CF9AE}" pid="14" name="_NewReviewCycle">
    <vt:lpwstr/>
  </property>
  <property fmtid="{D5CDD505-2E9C-101B-9397-08002B2CF9AE}" pid="15" name="_TentativeReviewCycleID">
    <vt:i4>1309795231</vt:i4>
  </property>
</Properties>
</file>