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8714F" w:rsidRPr="0018714F" w:rsidP="0018714F" w14:paraId="24414109" w14:textId="77777777">
      <w:pPr>
        <w:jc w:val="center"/>
      </w:pPr>
    </w:p>
    <w:p w:rsidR="0018714F" w:rsidRPr="0018714F" w:rsidP="0018714F" w14:paraId="7668C504" w14:textId="77777777">
      <w:pPr>
        <w:jc w:val="center"/>
        <w:rPr>
          <w:rFonts w:eastAsia="Calibri"/>
        </w:rPr>
      </w:pPr>
      <w:r w:rsidRPr="0018714F">
        <w:rPr>
          <w:rFonts w:eastAsia="Calibri"/>
        </w:rPr>
        <w:t>United States Food and Drug Administration</w:t>
      </w:r>
    </w:p>
    <w:p w:rsidR="0018714F" w:rsidRPr="0018714F" w:rsidP="0018714F" w14:paraId="2C5B26FC" w14:textId="77777777">
      <w:pPr>
        <w:jc w:val="center"/>
        <w:rPr>
          <w:rFonts w:eastAsia="Calibri"/>
        </w:rPr>
      </w:pPr>
    </w:p>
    <w:p w:rsidR="0018714F" w:rsidP="0018714F" w14:paraId="77CA8DE0" w14:textId="3B597195">
      <w:pPr>
        <w:jc w:val="center"/>
        <w:rPr>
          <w:rFonts w:eastAsia="Calibri"/>
        </w:rPr>
      </w:pPr>
      <w:r w:rsidRPr="000142B1">
        <w:rPr>
          <w:rFonts w:eastAsia="Calibri"/>
        </w:rPr>
        <w:t>Tobacco Retailer Training Programs</w:t>
      </w:r>
    </w:p>
    <w:p w:rsidR="000142B1" w:rsidRPr="0018714F" w:rsidP="0018714F" w14:paraId="55FAC6C2" w14:textId="77777777">
      <w:pPr>
        <w:jc w:val="center"/>
        <w:rPr>
          <w:rFonts w:eastAsia="Calibri"/>
        </w:rPr>
      </w:pPr>
    </w:p>
    <w:p w:rsidR="0018714F" w:rsidRPr="0018714F" w:rsidP="0018714F" w14:paraId="30B1CABA" w14:textId="199A6B63">
      <w:pPr>
        <w:jc w:val="center"/>
        <w:rPr>
          <w:rFonts w:eastAsia="Calibri"/>
        </w:rPr>
      </w:pPr>
      <w:r w:rsidRPr="0018714F">
        <w:rPr>
          <w:rFonts w:eastAsia="Calibri"/>
        </w:rPr>
        <w:t>OMB Control No. 0910-0</w:t>
      </w:r>
      <w:r w:rsidR="002A507E">
        <w:rPr>
          <w:rFonts w:eastAsia="Calibri"/>
        </w:rPr>
        <w:t>745</w:t>
      </w:r>
      <w:r w:rsidRPr="0018714F">
        <w:rPr>
          <w:rFonts w:eastAsia="Calibri"/>
        </w:rPr>
        <w:t>—EXTENSION</w:t>
      </w:r>
    </w:p>
    <w:p w:rsidR="0018714F" w:rsidRPr="0018714F" w:rsidP="00885A00" w14:paraId="2FBB2141" w14:textId="72605A6C">
      <w:pPr>
        <w:tabs>
          <w:tab w:val="left" w:pos="1557"/>
        </w:tabs>
        <w:rPr>
          <w:rFonts w:eastAsia="Calibri"/>
        </w:rPr>
      </w:pPr>
      <w:r>
        <w:rPr>
          <w:rFonts w:eastAsia="Calibri"/>
        </w:rPr>
        <w:tab/>
      </w:r>
    </w:p>
    <w:p w:rsidR="0018714F" w:rsidRPr="0018714F" w:rsidP="0018714F" w14:paraId="38F792BB" w14:textId="77777777">
      <w:pPr>
        <w:jc w:val="center"/>
        <w:rPr>
          <w:rFonts w:eastAsia="Calibri"/>
        </w:rPr>
      </w:pPr>
      <w:r w:rsidRPr="0018714F">
        <w:rPr>
          <w:rFonts w:eastAsia="Calibri"/>
        </w:rPr>
        <w:t>SUPPORTING STATEMENT</w:t>
      </w:r>
    </w:p>
    <w:p w:rsidR="00810FF1" w:rsidP="007D4353" w14:paraId="1B80EFE1" w14:textId="77777777">
      <w:pPr>
        <w:jc w:val="center"/>
        <w:rPr>
          <w:b/>
        </w:rPr>
      </w:pPr>
    </w:p>
    <w:p w:rsidR="0089178E" w:rsidP="0089178E" w14:paraId="536892EA" w14:textId="77777777">
      <w:r w:rsidRPr="0014473B">
        <w:rPr>
          <w:bCs/>
          <w:u w:val="single"/>
        </w:rPr>
        <w:t>Terms of Clearance:</w:t>
      </w:r>
      <w:r>
        <w:rPr>
          <w:b/>
        </w:rPr>
        <w:t xml:space="preserve"> </w:t>
      </w:r>
      <w:r w:rsidR="0061789C">
        <w:t>None.</w:t>
      </w:r>
    </w:p>
    <w:p w:rsidR="0089178E" w:rsidP="0089178E" w14:paraId="148833F7" w14:textId="77777777"/>
    <w:p w:rsidR="00EB7538" w:rsidP="0089178E" w14:paraId="7D25C03D" w14:textId="2079BB06">
      <w:pPr>
        <w:rPr>
          <w:b/>
          <w:bCs/>
        </w:rPr>
      </w:pPr>
      <w:r>
        <w:rPr>
          <w:b/>
          <w:bCs/>
        </w:rPr>
        <w:t xml:space="preserve">Part </w:t>
      </w:r>
      <w:r w:rsidRPr="5F19AC2F" w:rsidR="000C453C">
        <w:rPr>
          <w:b/>
          <w:bCs/>
        </w:rPr>
        <w:t>A</w:t>
      </w:r>
      <w:r w:rsidR="00ED1BFB">
        <w:rPr>
          <w:b/>
          <w:bCs/>
        </w:rPr>
        <w:t>:</w:t>
      </w:r>
      <w:r w:rsidRPr="5F19AC2F" w:rsidR="000C453C">
        <w:rPr>
          <w:b/>
          <w:bCs/>
        </w:rPr>
        <w:t xml:space="preserve"> </w:t>
      </w:r>
      <w:r w:rsidR="00162FC4">
        <w:rPr>
          <w:b/>
          <w:bCs/>
        </w:rPr>
        <w:t xml:space="preserve"> </w:t>
      </w:r>
      <w:r w:rsidRPr="5F19AC2F" w:rsidR="000C453C">
        <w:rPr>
          <w:b/>
          <w:bCs/>
        </w:rPr>
        <w:t>Justification</w:t>
      </w:r>
      <w:r w:rsidR="00D307C5">
        <w:rPr>
          <w:b/>
          <w:bCs/>
        </w:rPr>
        <w:t>:</w:t>
      </w:r>
    </w:p>
    <w:p w:rsidR="0089178E" w:rsidP="0089178E" w14:paraId="67C65DF5" w14:textId="77777777">
      <w:pPr>
        <w:pStyle w:val="NormalWeb"/>
        <w:spacing w:before="0" w:beforeAutospacing="0" w:after="0" w:afterAutospacing="0"/>
        <w:rPr>
          <w:b/>
          <w:bCs/>
        </w:rPr>
      </w:pPr>
    </w:p>
    <w:p w:rsidR="0061789C" w:rsidRPr="00DB24D9" w:rsidP="00380FD2" w14:paraId="34726BE4" w14:textId="685887D0">
      <w:pPr>
        <w:numPr>
          <w:ilvl w:val="0"/>
          <w:numId w:val="4"/>
        </w:numPr>
        <w:tabs>
          <w:tab w:val="num" w:pos="360"/>
          <w:tab w:val="clear" w:pos="720"/>
        </w:tabs>
        <w:spacing w:after="200"/>
        <w:ind w:left="360"/>
        <w:rPr>
          <w:u w:val="single"/>
        </w:rPr>
      </w:pPr>
      <w:r w:rsidRPr="002746DB">
        <w:rPr>
          <w:u w:val="single"/>
        </w:rPr>
        <w:t>Circumstances Making the Collection of Information Necessary</w:t>
      </w:r>
    </w:p>
    <w:p w:rsidR="004A480C" w:rsidP="00D4741F" w14:paraId="682CC41C" w14:textId="2CCB837A">
      <w:pPr>
        <w:tabs>
          <w:tab w:val="left" w:pos="360"/>
        </w:tabs>
        <w:spacing w:after="200"/>
      </w:pPr>
      <w:r>
        <w:t xml:space="preserve">This information collection supports Food and Drug Administration guidance </w:t>
      </w:r>
      <w:r w:rsidR="10ED67D5">
        <w:t xml:space="preserve">for industry </w:t>
      </w:r>
      <w:r>
        <w:t>on Tobacco Retailer Training Programs.</w:t>
      </w:r>
      <w:r w:rsidR="4B4DFC17">
        <w:t xml:space="preserve"> </w:t>
      </w:r>
      <w:r>
        <w:t>Tobacco products are governed by chapter IX of the Federal Food, Drug, and Cosmetic Act (</w:t>
      </w:r>
      <w:r w:rsidR="00537D21">
        <w:t xml:space="preserve">the FD&amp;C Act) </w:t>
      </w:r>
      <w:r>
        <w:t xml:space="preserve">(sections 900 through 920) (21 U.S.C. 387 through 21 U.S.C. 387u). </w:t>
      </w:r>
      <w:r w:rsidR="000C453C">
        <w:t xml:space="preserve">FDA intends to issue regulations establishing standards for approved tobacco retailer training programs under section 906(d) of the Federal Food, Drug and Cosmetic Act (21 U.S.C. 387f(d)). </w:t>
      </w:r>
      <w:r w:rsidR="00611CD3">
        <w:t xml:space="preserve">In the interim, </w:t>
      </w:r>
      <w:r>
        <w:t>FDA published a guidance document</w:t>
      </w:r>
      <w:r w:rsidR="24065140">
        <w:t xml:space="preserve"> </w:t>
      </w:r>
      <w:r>
        <w:t xml:space="preserve">which can be downloaded at </w:t>
      </w:r>
      <w:hyperlink r:id="rId9">
        <w:r w:rsidRPr="287CB3A2" w:rsidR="57320DC5">
          <w:rPr>
            <w:rStyle w:val="Hyperlink"/>
          </w:rPr>
          <w:t>www.fda.gov/media/79013/download</w:t>
        </w:r>
      </w:hyperlink>
      <w:r>
        <w:t>.</w:t>
      </w:r>
      <w:r>
        <w:t xml:space="preserve"> </w:t>
      </w:r>
      <w:r>
        <w:t>The guidance is intended to assist tobacco retailers to voluntarily implement effective training programs for employees.</w:t>
      </w:r>
    </w:p>
    <w:p w:rsidR="00D23687" w:rsidP="00D4741F" w14:paraId="24AE0D37" w14:textId="4A2DC6A9">
      <w:pPr>
        <w:tabs>
          <w:tab w:val="left" w:pos="360"/>
        </w:tabs>
        <w:spacing w:after="200"/>
      </w:pPr>
      <w:r>
        <w:t>The guidance discusses recommended elements that should be covered in a training program, such as:</w:t>
      </w:r>
      <w:r w:rsidR="00BD637D">
        <w:t xml:space="preserve"> </w:t>
      </w:r>
      <w:r>
        <w:t xml:space="preserve">(1) </w:t>
      </w:r>
      <w:r w:rsidR="00D0379D">
        <w:t>f</w:t>
      </w:r>
      <w:r>
        <w:t xml:space="preserve">ederal laws restricting the access to, and the advertising and promotion of, cigarettes, smokeless, and covered tobacco products; (2) the health and economic effects of tobacco use, especially when the tobacco use begins at a young age; (3) written company policies against sales to youth and other restrictions on the access to, and the advertising and promotion of, tobacco products; (4) identification of the tobacco products sold in the retail establishment that are subject to the </w:t>
      </w:r>
      <w:r w:rsidR="00D0379D">
        <w:t>f</w:t>
      </w:r>
      <w:r>
        <w:t>ederal laws and regulations prohibiting their sale to underage persons; (5) age verification methods; (6) practical guidelines for refusing sales; and (7) testing to ensure that employees have the required knowledge.</w:t>
      </w:r>
      <w:r w:rsidR="00BD637D">
        <w:t xml:space="preserve"> </w:t>
      </w:r>
      <w:r>
        <w:t>The guidance recommends that retailers require current and new employees to take a written test prior to selling tobacco products and that refresher training be provided at least annually and more frequently as needed.</w:t>
      </w:r>
      <w:r w:rsidR="00BD637D">
        <w:t xml:space="preserve"> </w:t>
      </w:r>
      <w:r>
        <w:t xml:space="preserve">The guidance recommends that retailers maintain certain written records documenting that all individual employees have been trained and that </w:t>
      </w:r>
      <w:r w:rsidRPr="00C74AA9">
        <w:t>retailers retain these records for 4 years</w:t>
      </w:r>
      <w:r>
        <w:t xml:space="preserve"> </w:t>
      </w:r>
      <w:r>
        <w:t>in order to</w:t>
      </w:r>
      <w:r>
        <w:t xml:space="preserve"> be able to provide evidence of a training program during the 48-month time period covered by the civil money penalty schedules outlined in the law.</w:t>
      </w:r>
    </w:p>
    <w:p w:rsidR="00051D61" w:rsidP="00D4741F" w14:paraId="73D49441" w14:textId="77777777">
      <w:pPr>
        <w:tabs>
          <w:tab w:val="left" w:pos="360"/>
        </w:tabs>
        <w:spacing w:after="200"/>
      </w:pPr>
      <w:r>
        <w:t>The guidance also recommends that retailers implement certain hiring and management practices as part of an effective retailer training program.</w:t>
      </w:r>
      <w:r w:rsidR="00BD637D">
        <w:t xml:space="preserve"> </w:t>
      </w:r>
      <w:r>
        <w:t>The guidance suggests that applicants and current employees be notified both verbally and in writing of the importance of complying with laws prohibiting the sales of tobacco products to underage persons.</w:t>
      </w:r>
      <w:r w:rsidR="00BD637D">
        <w:t xml:space="preserve"> </w:t>
      </w:r>
      <w:r>
        <w:t>In addition, FDA recommends that retailers implement an internal compliance check program and document the procedures and corrective actions for the program.</w:t>
      </w:r>
      <w:r w:rsidR="003C497A">
        <w:t xml:space="preserve"> </w:t>
      </w:r>
    </w:p>
    <w:p w:rsidR="00D23687" w:rsidP="00D4741F" w14:paraId="673AD858" w14:textId="542A3F8B">
      <w:pPr>
        <w:tabs>
          <w:tab w:val="left" w:pos="360"/>
        </w:tabs>
        <w:spacing w:after="200"/>
      </w:pPr>
      <w:r w:rsidRPr="003C497A">
        <w:t>We therefore request extension of OMB approval of the information provisions found in the guidance for industry entitled, “Tobacco Retailer Training Programs (Revised)” as discussed in this supporting statement.</w:t>
      </w:r>
    </w:p>
    <w:p w:rsidR="008B30AB" w:rsidRPr="002746DB" w:rsidP="003F39F8" w14:paraId="28CC4EAF" w14:textId="77777777">
      <w:pPr>
        <w:keepNext/>
        <w:numPr>
          <w:ilvl w:val="0"/>
          <w:numId w:val="4"/>
        </w:numPr>
        <w:tabs>
          <w:tab w:val="left" w:pos="360"/>
          <w:tab w:val="clear" w:pos="720"/>
        </w:tabs>
        <w:spacing w:after="200"/>
        <w:ind w:left="360"/>
        <w:rPr>
          <w:u w:val="single"/>
        </w:rPr>
      </w:pPr>
      <w:r w:rsidRPr="002746DB">
        <w:rPr>
          <w:u w:val="single"/>
        </w:rPr>
        <w:t xml:space="preserve">Purpose and Use of the Information Collection </w:t>
      </w:r>
    </w:p>
    <w:p w:rsidR="00E369A0" w:rsidP="00D4741F" w14:paraId="125D69D8" w14:textId="03442D98">
      <w:pPr>
        <w:tabs>
          <w:tab w:val="left" w:pos="360"/>
        </w:tabs>
        <w:spacing w:after="200"/>
      </w:pPr>
      <w:r w:rsidRPr="00AC7BF5">
        <w:t xml:space="preserve">The </w:t>
      </w:r>
      <w:r w:rsidRPr="00581FBC" w:rsidR="008718CA">
        <w:rPr>
          <w:rFonts w:eastAsia="Calibri"/>
        </w:rPr>
        <w:t xml:space="preserve">Family Smoking Prevention and </w:t>
      </w:r>
      <w:r w:rsidRPr="00581FBC">
        <w:rPr>
          <w:rFonts w:eastAsia="Calibri"/>
        </w:rPr>
        <w:t xml:space="preserve">Tobacco Control Act </w:t>
      </w:r>
      <w:r w:rsidR="008718CA">
        <w:rPr>
          <w:rFonts w:eastAsia="Calibri"/>
        </w:rPr>
        <w:t>(</w:t>
      </w:r>
      <w:r w:rsidRPr="00AC7BF5">
        <w:t>Tobacco Control Act</w:t>
      </w:r>
      <w:r w:rsidR="001801D7">
        <w:t>)</w:t>
      </w:r>
      <w:r w:rsidRPr="00AC7BF5">
        <w:t xml:space="preserve"> </w:t>
      </w:r>
      <w:r w:rsidRPr="00581FBC" w:rsidR="001801D7">
        <w:rPr>
          <w:rFonts w:eastAsia="Calibri"/>
        </w:rPr>
        <w:t xml:space="preserve">(Public Law 111-31; 123 Stat. 1776) </w:t>
      </w:r>
      <w:r w:rsidRPr="00AC7BF5">
        <w:t>does not require retailers to implement retailer training programs.</w:t>
      </w:r>
      <w:r w:rsidR="00BD637D">
        <w:t xml:space="preserve"> </w:t>
      </w:r>
      <w:r w:rsidRPr="00AC7BF5">
        <w:t>However, it provides for two schedules of civil money penalties for violations of restrictions promulgated under section 906(d) of the FD&amp;C Act pertaining to the sale and distribution of tobacco products, including youth access, advertising, and promotion restrictions—a schedule of lower penalties for retailers who have implemented a training program that complies with the standards set by FDA and a schedule of higher penalties for those who have not.</w:t>
      </w:r>
      <w:r w:rsidR="00BD637D">
        <w:t xml:space="preserve"> </w:t>
      </w:r>
    </w:p>
    <w:p w:rsidR="00FD3103" w:rsidP="00D4741F" w14:paraId="7FCA3476" w14:textId="3A6B5276">
      <w:pPr>
        <w:tabs>
          <w:tab w:val="left" w:pos="360"/>
        </w:tabs>
        <w:spacing w:after="200"/>
      </w:pPr>
      <w:r>
        <w:t>According to guidance, a retailer training program should provide the information and tools necessary for employees to comply with the Federal laws, including regulations, restricting the sale and distribution, including youth access, and the advertising and promotion of cigarettes, smokeless tobacco, and covered tobacco products. Some retailers may already have a training program in place for other purposes (e.g., company policy, State or local law). FDA recommends that retailers who want to train employees about Federal requirements incorporate the elements described in the guidance into their existing training program, as appropriate.</w:t>
      </w:r>
    </w:p>
    <w:p w:rsidR="43FB8414" w:rsidP="00D4741F" w14:paraId="346AD55D" w14:textId="3DCD0027">
      <w:pPr>
        <w:tabs>
          <w:tab w:val="left" w:pos="360"/>
        </w:tabs>
        <w:spacing w:after="200"/>
      </w:pPr>
      <w:r>
        <w:t>Retailers are under no obligation to submit their training programs for FDA revie</w:t>
      </w:r>
      <w:r w:rsidR="78BEECC9">
        <w:t>w</w:t>
      </w:r>
      <w:r w:rsidR="46375CED">
        <w:t>, and r</w:t>
      </w:r>
      <w:r>
        <w:t>etailers who have received a complaint should not submit their training programs for FDA review under this information collection.</w:t>
      </w:r>
      <w:r w:rsidR="46375CED">
        <w:t xml:space="preserve"> </w:t>
      </w:r>
      <w:bookmarkStart w:id="0" w:name="_Hlk117238601"/>
      <w:r w:rsidR="00DC4B72">
        <w:t xml:space="preserve">Any </w:t>
      </w:r>
      <w:r w:rsidR="27AF33DF">
        <w:t xml:space="preserve">submissions </w:t>
      </w:r>
      <w:r w:rsidR="00DC4B72">
        <w:t xml:space="preserve">provided </w:t>
      </w:r>
      <w:r w:rsidR="27AF33DF">
        <w:t>during the Civil Money Penalty</w:t>
      </w:r>
      <w:r w:rsidR="6087DB13">
        <w:t xml:space="preserve"> or No-Tobacco-Sale Order</w:t>
      </w:r>
      <w:r w:rsidR="27AF33DF">
        <w:t xml:space="preserve"> process </w:t>
      </w:r>
      <w:r w:rsidR="3D9ADCCB">
        <w:t>are</w:t>
      </w:r>
      <w:r w:rsidR="00DC4B72">
        <w:t xml:space="preserve"> part of</w:t>
      </w:r>
      <w:r w:rsidR="3D9ADCCB">
        <w:t xml:space="preserve"> an administra</w:t>
      </w:r>
      <w:r w:rsidR="71610C39">
        <w:t xml:space="preserve">tive </w:t>
      </w:r>
      <w:r w:rsidR="3D9ADCCB">
        <w:t xml:space="preserve">action to which FDA and an individual retailer are parties. </w:t>
      </w:r>
      <w:r w:rsidR="57E03847">
        <w:t xml:space="preserve">As such, </w:t>
      </w:r>
      <w:r w:rsidR="3A6162EE">
        <w:t>r</w:t>
      </w:r>
      <w:r w:rsidR="7E6D83DD">
        <w:t>etailer</w:t>
      </w:r>
      <w:r w:rsidRPr="00C0194B" w:rsidR="7E6D83DD">
        <w:t xml:space="preserve"> training program submissions made to FDA during th</w:t>
      </w:r>
      <w:r w:rsidR="38B15D9D">
        <w:t xml:space="preserve">e Civil Money </w:t>
      </w:r>
      <w:r w:rsidR="6F649F78">
        <w:t>Penalty</w:t>
      </w:r>
      <w:r w:rsidRPr="00C0194B" w:rsidR="7E6D83DD">
        <w:t xml:space="preserve"> process are exempted from OMB review and approval under </w:t>
      </w:r>
      <w:r w:rsidRPr="00C0194B" w:rsidR="10E8D1F8">
        <w:t>the Paperwork Reduction Act (</w:t>
      </w:r>
      <w:r w:rsidRPr="00C0194B" w:rsidR="27AF33DF">
        <w:t>PRA</w:t>
      </w:r>
      <w:r w:rsidRPr="00C0194B" w:rsidR="10E8D1F8">
        <w:t xml:space="preserve">) </w:t>
      </w:r>
      <w:r w:rsidRPr="00C0194B" w:rsidR="7E6D83DD">
        <w:t>(</w:t>
      </w:r>
      <w:r w:rsidRPr="00C0194B" w:rsidR="27713520">
        <w:t xml:space="preserve">5 CFR </w:t>
      </w:r>
      <w:r w:rsidRPr="00C0194B" w:rsidR="27AF33DF">
        <w:t>1320.4(a)(2)</w:t>
      </w:r>
      <w:r w:rsidRPr="00C0194B" w:rsidR="7E6D83DD">
        <w:t>)</w:t>
      </w:r>
      <w:r w:rsidRPr="00C0194B" w:rsidR="27AF33DF">
        <w:t>.</w:t>
      </w:r>
      <w:r>
        <w:t xml:space="preserve"> </w:t>
      </w:r>
      <w:bookmarkEnd w:id="0"/>
      <w:r w:rsidR="000C453C">
        <w:t xml:space="preserve">Until FDA issues regulations establishing standards for approved retailer training programs, the </w:t>
      </w:r>
      <w:r w:rsidR="00FA5721">
        <w:t>a</w:t>
      </w:r>
      <w:r w:rsidR="000C453C">
        <w:t>gency</w:t>
      </w:r>
      <w:r>
        <w:t xml:space="preserve"> intends to seek penalties in accordance with section 103(q)(2)(A)(i) of the Tobacco Control Act (for retailers with an approved retailer training program), whether or not the retailer has implemented a training program.</w:t>
      </w:r>
      <w:r w:rsidR="00BD637D">
        <w:t xml:space="preserve"> </w:t>
      </w:r>
      <w:r>
        <w:t xml:space="preserve">FDA may consider further reducing the </w:t>
      </w:r>
      <w:r w:rsidR="00DC4B72">
        <w:t>C</w:t>
      </w:r>
      <w:r>
        <w:t xml:space="preserve">ivil </w:t>
      </w:r>
      <w:r w:rsidR="00DC4B72">
        <w:t>M</w:t>
      </w:r>
      <w:r>
        <w:t xml:space="preserve">oney </w:t>
      </w:r>
      <w:r w:rsidR="00DC4B72">
        <w:t>P</w:t>
      </w:r>
      <w:r>
        <w:t>enalty for retailers who have implemented a training program.</w:t>
      </w:r>
    </w:p>
    <w:p w:rsidR="00DB24D9" w:rsidRPr="00AC7BF5" w:rsidP="00D4741F" w14:paraId="3569926F" w14:textId="640FE1FE">
      <w:pPr>
        <w:tabs>
          <w:tab w:val="left" w:pos="360"/>
        </w:tabs>
        <w:spacing w:after="200"/>
      </w:pPr>
      <w:r w:rsidRPr="00AC7BF5">
        <w:t>Retailers who have received a Complaint for Civil Money Penalt</w:t>
      </w:r>
      <w:r w:rsidR="00A7702B">
        <w:t>y</w:t>
      </w:r>
      <w:r>
        <w:t xml:space="preserve"> or No-Tobacco</w:t>
      </w:r>
      <w:r w:rsidR="00A7702B">
        <w:t>-</w:t>
      </w:r>
      <w:r>
        <w:t>Sale Order</w:t>
      </w:r>
      <w:r w:rsidRPr="00AC7BF5">
        <w:t xml:space="preserve"> and who wish to submit evidence that they have a training program in place, for purposes of settlement negotiations</w:t>
      </w:r>
      <w:r>
        <w:t xml:space="preserve"> only</w:t>
      </w:r>
      <w:r w:rsidRPr="00AC7BF5">
        <w:t xml:space="preserve">, may do so when filing an Answer to the Complaint. </w:t>
      </w:r>
      <w:r>
        <w:t>FDA does not treat retailer training information submitted as part of settlement negotiations as a submission for approval of a retailer training program.</w:t>
      </w:r>
      <w:r w:rsidR="00BD637D">
        <w:t xml:space="preserve"> </w:t>
      </w:r>
      <w:r w:rsidRPr="00AC7BF5">
        <w:t>Retailers who have not received a notice of Complaint should not submit their training programs for FDA review.</w:t>
      </w:r>
      <w:r>
        <w:t xml:space="preserve"> The submissions during the Civil Money Penalty or No-Tobacco-Sale Order process </w:t>
      </w:r>
      <w:r w:rsidR="00764C0B">
        <w:t>are an administrative action to which FDA and an individual retailer are parties. Retailer training program submissions made to FDA during this process are exempted from OMB review and approval under the</w:t>
      </w:r>
      <w:r>
        <w:t xml:space="preserve"> PRA </w:t>
      </w:r>
      <w:r w:rsidR="00764C0B">
        <w:t>(</w:t>
      </w:r>
      <w:r>
        <w:t>1320.4(a)(2)</w:t>
      </w:r>
      <w:r w:rsidR="00764C0B">
        <w:t>).</w:t>
      </w:r>
    </w:p>
    <w:p w:rsidR="00DB24D9" w:rsidP="00D4741F" w14:paraId="7787F25B" w14:textId="66F70585">
      <w:pPr>
        <w:tabs>
          <w:tab w:val="left" w:pos="360"/>
        </w:tabs>
        <w:spacing w:after="200"/>
      </w:pPr>
      <w:r>
        <w:t xml:space="preserve">For further information about retailer training and enforcement a retailer can visit </w:t>
      </w:r>
      <w:hyperlink r:id="rId10">
        <w:r w:rsidRPr="5F19AC2F">
          <w:rPr>
            <w:rStyle w:val="Hyperlink"/>
          </w:rPr>
          <w:t>www.fda.gov/tobacco-products/retail-sales-tobacco-products/retailer-training-and-enforcement</w:t>
        </w:r>
      </w:hyperlink>
      <w:r>
        <w:t>.</w:t>
      </w:r>
    </w:p>
    <w:p w:rsidR="002746DB" w:rsidRPr="004C6979" w:rsidP="0DD7CCC2" w14:paraId="533FCEC7" w14:textId="77777777">
      <w:pPr>
        <w:keepNext/>
        <w:keepLines/>
        <w:numPr>
          <w:ilvl w:val="0"/>
          <w:numId w:val="4"/>
        </w:numPr>
        <w:tabs>
          <w:tab w:val="left" w:pos="360"/>
          <w:tab w:val="clear" w:pos="720"/>
        </w:tabs>
        <w:spacing w:after="200"/>
        <w:ind w:left="360" w:right="-1440"/>
        <w:rPr>
          <w:u w:val="single"/>
        </w:rPr>
      </w:pPr>
      <w:r w:rsidRPr="0DD7CCC2">
        <w:rPr>
          <w:u w:val="single"/>
        </w:rPr>
        <w:t xml:space="preserve">Use of Improved Information Technology and Burden Reduction </w:t>
      </w:r>
    </w:p>
    <w:p w:rsidR="009C3A38" w:rsidP="0DD7CCC2" w14:paraId="45D09B59" w14:textId="58AB9208">
      <w:pPr>
        <w:keepNext/>
        <w:keepLines/>
        <w:tabs>
          <w:tab w:val="left" w:pos="360"/>
        </w:tabs>
        <w:autoSpaceDE w:val="0"/>
        <w:autoSpaceDN w:val="0"/>
        <w:adjustRightInd w:val="0"/>
        <w:spacing w:after="200"/>
      </w:pPr>
      <w:r>
        <w:t xml:space="preserve">The collection of information does not involve the use of automated, electronic, mechanical, or other technological collection techniques or other forms of information technology. </w:t>
      </w:r>
      <w:r w:rsidR="004D12F6">
        <w:t>As discussed above</w:t>
      </w:r>
      <w:r>
        <w:t xml:space="preserve">, there are no submissions covered under this information collection as they are exempt under </w:t>
      </w:r>
      <w:r w:rsidR="00893FBE">
        <w:t>5 CFR</w:t>
      </w:r>
      <w:r w:rsidR="00862CC0">
        <w:t xml:space="preserve"> </w:t>
      </w:r>
      <w:r>
        <w:t xml:space="preserve">1320.4(a)(2). </w:t>
      </w:r>
      <w:r w:rsidR="004D12F6">
        <w:t>R</w:t>
      </w:r>
      <w:r>
        <w:t>e</w:t>
      </w:r>
      <w:r w:rsidR="004D12F6">
        <w:t>tailer training information provided during Civil Money Penalty or No-Tobacco-Sale Order settlement discussions process do not implicate PRA as they are administrative actions conducted by FDA and exempted from the PRA</w:t>
      </w:r>
      <w:r>
        <w:t>.</w:t>
      </w:r>
    </w:p>
    <w:p w:rsidR="002746DB" w:rsidRPr="00DB24D9" w:rsidP="00D4741F" w14:paraId="78DEC8CE" w14:textId="7A70180C">
      <w:pPr>
        <w:numPr>
          <w:ilvl w:val="0"/>
          <w:numId w:val="4"/>
        </w:numPr>
        <w:tabs>
          <w:tab w:val="left" w:pos="360"/>
          <w:tab w:val="clear" w:pos="720"/>
        </w:tabs>
        <w:spacing w:after="200"/>
        <w:ind w:left="360" w:right="-1440"/>
        <w:rPr>
          <w:u w:val="single"/>
        </w:rPr>
      </w:pPr>
      <w:r w:rsidRPr="00DB24D9">
        <w:rPr>
          <w:u w:val="single"/>
        </w:rPr>
        <w:t xml:space="preserve">Efforts to Identify Duplication and Use of Similar Information </w:t>
      </w:r>
    </w:p>
    <w:p w:rsidR="002746DB" w:rsidRPr="00AC7BF5" w:rsidP="00D4741F" w14:paraId="15CA859E" w14:textId="4A8D3440">
      <w:pPr>
        <w:tabs>
          <w:tab w:val="left" w:pos="360"/>
        </w:tabs>
        <w:spacing w:after="200"/>
        <w:ind w:left="360" w:hanging="360"/>
      </w:pPr>
      <w:r>
        <w:t>We are unaware of duplicative information collection</w:t>
      </w:r>
      <w:r w:rsidR="00AC7BF5">
        <w:t>.</w:t>
      </w:r>
    </w:p>
    <w:p w:rsidR="002746DB" w:rsidRPr="004C6979" w:rsidP="00D4741F" w14:paraId="1574BEC4" w14:textId="77777777">
      <w:pPr>
        <w:numPr>
          <w:ilvl w:val="0"/>
          <w:numId w:val="4"/>
        </w:numPr>
        <w:tabs>
          <w:tab w:val="left" w:pos="360"/>
          <w:tab w:val="clear" w:pos="720"/>
        </w:tabs>
        <w:spacing w:after="200"/>
        <w:ind w:left="360"/>
        <w:rPr>
          <w:u w:val="single"/>
        </w:rPr>
      </w:pPr>
      <w:r w:rsidRPr="004C6979">
        <w:rPr>
          <w:u w:val="single"/>
        </w:rPr>
        <w:t>Impact on Small Businesses or Other Small Entities</w:t>
      </w:r>
    </w:p>
    <w:p w:rsidR="00CD77C3" w:rsidRPr="004C6979" w:rsidP="0C6E86BC" w14:paraId="67858302" w14:textId="10444A64">
      <w:pPr>
        <w:pStyle w:val="BodyText2"/>
        <w:keepNext/>
        <w:tabs>
          <w:tab w:val="left" w:pos="360"/>
        </w:tabs>
        <w:spacing w:after="200"/>
        <w:rPr>
          <w:u w:val="single"/>
        </w:rPr>
      </w:pPr>
      <w:r>
        <w:t xml:space="preserve">While many tobacco product retailers may be considered small, the development of Tobacco Retailer Training Programs and retention of related information does not fall disproportionately upon these small businesses as development of a training program is optional for all tobacco product retailers, regardless of size. </w:t>
      </w:r>
    </w:p>
    <w:p w:rsidR="00CD77C3" w:rsidRPr="004C6979" w:rsidP="00420A1E" w14:paraId="0335BAF2" w14:textId="57B7DDA1">
      <w:pPr>
        <w:pStyle w:val="BodyText2"/>
        <w:keepNext/>
        <w:numPr>
          <w:ilvl w:val="0"/>
          <w:numId w:val="4"/>
        </w:numPr>
        <w:tabs>
          <w:tab w:val="left" w:pos="360"/>
        </w:tabs>
        <w:spacing w:after="200"/>
        <w:ind w:hanging="720"/>
        <w:rPr>
          <w:u w:val="single"/>
        </w:rPr>
      </w:pPr>
      <w:r w:rsidRPr="0C6E86BC">
        <w:rPr>
          <w:u w:val="single"/>
        </w:rPr>
        <w:t xml:space="preserve"> </w:t>
      </w:r>
      <w:r w:rsidRPr="0C6E86BC" w:rsidR="000C453C">
        <w:rPr>
          <w:u w:val="single"/>
        </w:rPr>
        <w:t>Consequences of Collecting the Information Less Frequently</w:t>
      </w:r>
    </w:p>
    <w:p w:rsidR="00AC7BF5" w:rsidRPr="00AC7BF5" w:rsidP="00D4741F" w14:paraId="383B5A0B" w14:textId="2D42A0AD">
      <w:pPr>
        <w:tabs>
          <w:tab w:val="left" w:pos="360"/>
        </w:tabs>
        <w:spacing w:after="200"/>
      </w:pPr>
      <w:r>
        <w:t>There are no legal obstacles to reduce the burden.</w:t>
      </w:r>
      <w:r w:rsidR="00BD637D">
        <w:t xml:space="preserve"> </w:t>
      </w:r>
      <w:r>
        <w:t xml:space="preserve">Retailers are under no obligation to submit their training programs for FDA review </w:t>
      </w:r>
      <w:r w:rsidR="04BB238D">
        <w:t>and</w:t>
      </w:r>
      <w:r w:rsidR="04BB238D">
        <w:t xml:space="preserve"> as discussed in the guidance</w:t>
      </w:r>
      <w:r w:rsidR="00A932D6">
        <w:t>,</w:t>
      </w:r>
      <w:r w:rsidR="04BB238D">
        <w:t xml:space="preserve"> r</w:t>
      </w:r>
      <w:r w:rsidR="43FB8414">
        <w:t xml:space="preserve">etailers who have not received a </w:t>
      </w:r>
      <w:r w:rsidR="00A7702B">
        <w:t>C</w:t>
      </w:r>
      <w:r w:rsidR="43FB8414">
        <w:t>omplaint</w:t>
      </w:r>
      <w:r w:rsidR="00A7702B">
        <w:t xml:space="preserve"> for Civil Money Penalty</w:t>
      </w:r>
      <w:r w:rsidR="00F00628">
        <w:t xml:space="preserve"> of No-Tobacco-Sale Order</w:t>
      </w:r>
      <w:r w:rsidR="43FB8414">
        <w:t xml:space="preserve"> should not submit their training programs for FDA review under this information collection.</w:t>
      </w:r>
      <w:r w:rsidR="00BD637D">
        <w:t xml:space="preserve"> </w:t>
      </w:r>
      <w:r w:rsidR="004D12F6">
        <w:t xml:space="preserve"> </w:t>
      </w:r>
    </w:p>
    <w:p w:rsidR="00CD77C3" w:rsidRPr="004C6979" w:rsidP="00D4741F" w14:paraId="2C5235C7" w14:textId="77777777">
      <w:pPr>
        <w:numPr>
          <w:ilvl w:val="0"/>
          <w:numId w:val="4"/>
        </w:numPr>
        <w:tabs>
          <w:tab w:val="left" w:pos="360"/>
          <w:tab w:val="clear" w:pos="720"/>
        </w:tabs>
        <w:spacing w:after="200"/>
        <w:ind w:left="360"/>
        <w:rPr>
          <w:u w:val="single"/>
        </w:rPr>
      </w:pPr>
      <w:r w:rsidRPr="004C6979">
        <w:rPr>
          <w:u w:val="single"/>
        </w:rPr>
        <w:t>Special Circumstances Relating to the Guidelines of 5 CFR 1320.5</w:t>
      </w:r>
    </w:p>
    <w:p w:rsidR="5F19AC2F" w:rsidRPr="00BB7F69" w:rsidP="713FEF66" w14:paraId="4ED1CA0D" w14:textId="5E8CD88B">
      <w:pPr>
        <w:tabs>
          <w:tab w:val="left" w:pos="360"/>
        </w:tabs>
        <w:spacing w:after="200"/>
        <w:rPr>
          <w:color w:val="000000" w:themeColor="text1"/>
        </w:rPr>
      </w:pPr>
      <w:r>
        <w:t xml:space="preserve">This section is not applicable. </w:t>
      </w:r>
      <w:r w:rsidR="000C453C">
        <w:t>There are no special circumstances for this collection of information.</w:t>
      </w:r>
      <w:r w:rsidR="00721339">
        <w:tab/>
      </w:r>
    </w:p>
    <w:p w:rsidR="00CD77C3" w:rsidP="00BB7F69" w14:paraId="5479E90B" w14:textId="77777777">
      <w:pPr>
        <w:numPr>
          <w:ilvl w:val="0"/>
          <w:numId w:val="4"/>
        </w:numPr>
        <w:tabs>
          <w:tab w:val="num" w:pos="360"/>
          <w:tab w:val="clear" w:pos="720"/>
        </w:tabs>
        <w:spacing w:after="200"/>
        <w:ind w:left="360"/>
        <w:rPr>
          <w:u w:val="single"/>
        </w:rPr>
      </w:pPr>
      <w:r w:rsidRPr="004C6979">
        <w:rPr>
          <w:u w:val="single"/>
        </w:rPr>
        <w:t>Comments in Response to the Federal Register Notice and Efforts to Consult Outside the Agency</w:t>
      </w:r>
    </w:p>
    <w:p w:rsidR="00902435" w:rsidP="00902435" w14:paraId="78666976" w14:textId="77777777">
      <w:r w:rsidRPr="005F30C2">
        <w:t xml:space="preserve">In the </w:t>
      </w:r>
      <w:r w:rsidRPr="00902435">
        <w:rPr>
          <w:i/>
        </w:rPr>
        <w:t>Federal Register</w:t>
      </w:r>
      <w:r w:rsidRPr="005F30C2">
        <w:t xml:space="preserve"> of </w:t>
      </w:r>
      <w:r>
        <w:t>August 22, 2025</w:t>
      </w:r>
      <w:r w:rsidRPr="005F30C2">
        <w:t xml:space="preserve"> </w:t>
      </w:r>
      <w:r>
        <w:t>(</w:t>
      </w:r>
      <w:r w:rsidRPr="00A44FE4">
        <w:t>90 FR 41081</w:t>
      </w:r>
      <w:r w:rsidRPr="005F30C2">
        <w:t xml:space="preserve">), FDA published a 60-day notice </w:t>
      </w:r>
      <w:r w:rsidRPr="00DA49FE">
        <w:t xml:space="preserve">requesting public comment on the proposed collection of information.  FDA received two comments that were PRA related. </w:t>
      </w:r>
    </w:p>
    <w:p w:rsidR="00902435" w:rsidRPr="00902435" w:rsidP="00902435" w14:paraId="418F0EAD" w14:textId="77777777">
      <w:pPr>
        <w:rPr>
          <w:highlight w:val="yellow"/>
        </w:rPr>
      </w:pPr>
    </w:p>
    <w:p w:rsidR="00902435" w:rsidP="00902435" w14:paraId="0BE8D87E" w14:textId="77777777">
      <w:r w:rsidRPr="00241D88">
        <w:t>Both comments agreed that the proposed information collection is necessary and has practical utility. One</w:t>
      </w:r>
      <w:r>
        <w:t xml:space="preserve"> of the</w:t>
      </w:r>
      <w:r w:rsidRPr="00241D88">
        <w:t xml:space="preserve"> comment</w:t>
      </w:r>
      <w:r>
        <w:t>s</w:t>
      </w:r>
      <w:r w:rsidRPr="00241D88">
        <w:t xml:space="preserve"> explained that the retailer training program recommendations are linked to preventing youth access to tobacco products and improving compliance. </w:t>
      </w:r>
      <w:r>
        <w:t>The other</w:t>
      </w:r>
      <w:r w:rsidRPr="00241D88">
        <w:t xml:space="preserve"> comment explained that retailer training programs are a critical component of preventing youth access to tobacco products and ensuring compliance with federal law. FDA agrees with these comments. </w:t>
      </w:r>
    </w:p>
    <w:p w:rsidR="00902435" w:rsidRPr="00241D88" w:rsidP="00902435" w14:paraId="444026FA" w14:textId="77777777"/>
    <w:p w:rsidR="00902435" w:rsidP="00902435" w14:paraId="7EC620BA" w14:textId="77777777">
      <w:r w:rsidRPr="00241D88">
        <w:t>One</w:t>
      </w:r>
      <w:r>
        <w:t xml:space="preserve"> of the</w:t>
      </w:r>
      <w:r w:rsidRPr="00241D88">
        <w:t xml:space="preserve"> comment</w:t>
      </w:r>
      <w:r>
        <w:t>s</w:t>
      </w:r>
      <w:r w:rsidRPr="00241D88">
        <w:t xml:space="preserve"> requested that FDA provide materials to the public for the development of retail training programs, such as retailer checklists covering the guidance recommendations, model nonbinding templates for written policies and standard operating procedures, and minimal data fields for employee records</w:t>
      </w:r>
      <w:r>
        <w:t>,</w:t>
      </w:r>
      <w:r w:rsidRPr="00241D88">
        <w:t xml:space="preserve"> to improve uniformity. The same comment suggested that FDA could leverage specific automation and information technology tools to minimize the burden on respondents. FDA disagrees with the comment. The guidance provides recommendations for elements to be included in retailer training program</w:t>
      </w:r>
      <w:r>
        <w:t>s</w:t>
      </w:r>
      <w:r w:rsidRPr="00241D88">
        <w:t xml:space="preserve"> and recommended hiring and management </w:t>
      </w:r>
      <w:r w:rsidRPr="00241D88">
        <w:t xml:space="preserve">practices to assist retailers in complying with Federal tobacco laws and regulations. Retailers who want to train employees about Federal requirements may incorporate the elements described in the guidance into their existing training programs, as appropriate. The guidance also encourages the inclusion of training related to specific age verification techniques using point of sale scanning systems and electronic age verification devices.  Additionally, FDA has provided several resources, such as webinars and downloadable materials through FDA’s “This is Our Watch” </w:t>
      </w:r>
      <w:r>
        <w:t>P</w:t>
      </w:r>
      <w:r w:rsidRPr="00241D88">
        <w:t xml:space="preserve">rogram, to assist retailers in complying with the requirements under the law. </w:t>
      </w:r>
    </w:p>
    <w:p w:rsidR="00902435" w:rsidRPr="00241D88" w:rsidP="00902435" w14:paraId="1C0E2071" w14:textId="77777777"/>
    <w:p w:rsidR="00902435" w:rsidP="00902435" w14:paraId="11E2804D" w14:textId="77777777">
      <w:r w:rsidRPr="00241D88">
        <w:t>Both comments suggested that FDA approve or otherwise explicitly recognize that certain existing retailer training programs and certifications satisfy recommended elements of the guidance. The comments suggest that FDA approval or recognition</w:t>
      </w:r>
      <w:r>
        <w:t xml:space="preserve"> of these programs and certifications</w:t>
      </w:r>
      <w:r w:rsidRPr="00241D88">
        <w:t xml:space="preserve"> will improve the quality and usefulness of the collected information. FDA disagrees with this comment. The Tobacco Control Act does not require retailers to implement retailer training programs, and retailers are under no obligation to submit their training programs for FDA review because this is a voluntary program. Additionally, the guidance establishes non-binding recommendations </w:t>
      </w:r>
      <w:r>
        <w:t>for</w:t>
      </w:r>
      <w:r w:rsidRPr="00241D88">
        <w:t xml:space="preserve"> the elements that should be included in a retailer training program, it does not establish requirements. To do so, FDA must first promulgate regulations establishing standards for approved retailer training programs. FDA has not yet promulgated these regulations, and</w:t>
      </w:r>
      <w:r>
        <w:t xml:space="preserve"> </w:t>
      </w:r>
      <w:r w:rsidRPr="00241D88">
        <w:t xml:space="preserve">currently FDA </w:t>
      </w:r>
      <w:r>
        <w:t xml:space="preserve">is not </w:t>
      </w:r>
      <w:r>
        <w:t>in a position</w:t>
      </w:r>
      <w:r>
        <w:t xml:space="preserve"> </w:t>
      </w:r>
      <w:r w:rsidRPr="00241D88">
        <w:t>to recognize any program or certification as an approved retailer training program.</w:t>
      </w:r>
    </w:p>
    <w:p w:rsidR="00902435" w:rsidP="00902435" w14:paraId="41CFDE86" w14:textId="77777777"/>
    <w:p w:rsidR="002A361D" w:rsidP="00902435" w14:paraId="167C8C3F" w14:textId="16E7E2A6">
      <w:pPr>
        <w:keepNext/>
        <w:textAlignment w:val="baseline"/>
      </w:pPr>
      <w:r>
        <w:t xml:space="preserve">With respect to the burden estimates, one comment indicated that FDA may have overestimated the number of retailers that would need to develop a training program as many may already have training programs in place or may adopt existing programs. The same comment suggested that FDA may have underestimated the burden per recordkeeper in Tables 1 and 2, but its estimates may be reasonable if FDA evaluates the burden by retailer size and type. The other comment indicated that FDA’s burden estimates are likely reasonable. FDA agrees that it may have overestimated the number of retailers that would develop new retailer training programs and has adjusted the number of recordkeepers in Table 1 as described below. FDA is not adjusting the average burden values, as both commentors agree that those estimates could be reasonable. While one comment noted that the burden may change per size and sophistication of the retailer, the recommendations of the guidance are not retail size or type specific. Additionally, </w:t>
      </w:r>
      <w:r w:rsidRPr="12B10064">
        <w:t xml:space="preserve">FDA </w:t>
      </w:r>
      <w:r>
        <w:t>considered</w:t>
      </w:r>
      <w:r w:rsidRPr="12B10064">
        <w:t xml:space="preserve"> the availability of online support resources provided by FDA to assist</w:t>
      </w:r>
      <w:r>
        <w:t xml:space="preserve"> all</w:t>
      </w:r>
      <w:r w:rsidRPr="12B10064">
        <w:t xml:space="preserve"> retail establishments in developing training programs and internal compliance check programs</w:t>
      </w:r>
      <w:r>
        <w:t xml:space="preserve"> in determining the average burden per recordkeeper</w:t>
      </w:r>
      <w:r w:rsidRPr="005B4BE7">
        <w:t xml:space="preserve">. </w:t>
      </w:r>
      <w:r w:rsidRPr="005B4BE7">
        <w:t xml:space="preserve"> </w:t>
      </w:r>
    </w:p>
    <w:p w:rsidR="00902435" w:rsidRPr="00DB24D9" w:rsidP="00902435" w14:paraId="333A1D97" w14:textId="77777777">
      <w:pPr>
        <w:keepNext/>
        <w:textAlignment w:val="baseline"/>
        <w:rPr>
          <w:rFonts w:eastAsiaTheme="minorEastAsia"/>
          <w:color w:val="333333"/>
        </w:rPr>
      </w:pPr>
    </w:p>
    <w:p w:rsidR="00CD77C3" w:rsidRPr="004C6979" w:rsidP="00BB7F69" w14:paraId="7E089EFC" w14:textId="77777777">
      <w:pPr>
        <w:numPr>
          <w:ilvl w:val="0"/>
          <w:numId w:val="4"/>
        </w:numPr>
        <w:tabs>
          <w:tab w:val="num" w:pos="360"/>
          <w:tab w:val="clear" w:pos="720"/>
        </w:tabs>
        <w:spacing w:after="200"/>
        <w:ind w:left="360"/>
        <w:rPr>
          <w:u w:val="single"/>
        </w:rPr>
      </w:pPr>
      <w:r w:rsidRPr="004C6979">
        <w:rPr>
          <w:u w:val="single"/>
        </w:rPr>
        <w:t>Explanation of Any Payment or Gift to Respondents</w:t>
      </w:r>
    </w:p>
    <w:p w:rsidR="00EB1835" w:rsidP="00AB2E6F" w14:paraId="2BC82328" w14:textId="4C60A58C">
      <w:pPr>
        <w:tabs>
          <w:tab w:val="num" w:pos="360"/>
        </w:tabs>
        <w:spacing w:after="200"/>
        <w:ind w:left="360" w:hanging="360"/>
      </w:pPr>
      <w:r>
        <w:t>There are no incentives,</w:t>
      </w:r>
      <w:r w:rsidR="000C453C">
        <w:t xml:space="preserve"> payment</w:t>
      </w:r>
      <w:r w:rsidR="008B0B8D">
        <w:t>s</w:t>
      </w:r>
      <w:r w:rsidR="009E00EC">
        <w:t>,</w:t>
      </w:r>
      <w:r w:rsidR="000C453C">
        <w:t xml:space="preserve"> or gift</w:t>
      </w:r>
      <w:r w:rsidR="00482066">
        <w:t>s</w:t>
      </w:r>
      <w:r w:rsidR="000C453C">
        <w:t xml:space="preserve"> </w:t>
      </w:r>
      <w:r w:rsidR="007625DD">
        <w:t>associated with this information collection.</w:t>
      </w:r>
    </w:p>
    <w:p w:rsidR="00CD77C3" w:rsidRPr="004C6979" w:rsidP="00BB7F69" w14:paraId="37F987E1" w14:textId="77777777">
      <w:pPr>
        <w:numPr>
          <w:ilvl w:val="0"/>
          <w:numId w:val="4"/>
        </w:numPr>
        <w:tabs>
          <w:tab w:val="num" w:pos="360"/>
          <w:tab w:val="clear" w:pos="720"/>
        </w:tabs>
        <w:spacing w:after="200"/>
        <w:ind w:left="360"/>
        <w:rPr>
          <w:u w:val="single"/>
        </w:rPr>
      </w:pPr>
      <w:r w:rsidRPr="004C6979">
        <w:rPr>
          <w:u w:val="single"/>
        </w:rPr>
        <w:t>Assurance of Confidentiality Provided to Respondents</w:t>
      </w:r>
    </w:p>
    <w:p w:rsidR="000D3663" w:rsidP="00AB2E6F" w14:paraId="58E1B569" w14:textId="09CBD432">
      <w:pPr>
        <w:tabs>
          <w:tab w:val="num" w:pos="360"/>
        </w:tabs>
        <w:spacing w:after="200"/>
      </w:pPr>
      <w:r>
        <w:t xml:space="preserve">FDA’s privacy officer was consulted for this collection. </w:t>
      </w:r>
      <w:r w:rsidRPr="000D3663">
        <w:t xml:space="preserve">If a system, application, third-party web application (TPWA) or survey is not collected, storing, transmitted, processing or sharing </w:t>
      </w:r>
      <w:r w:rsidR="004D12F6">
        <w:t>any</w:t>
      </w:r>
      <w:r w:rsidR="00DB24D9">
        <w:t xml:space="preserve"> </w:t>
      </w:r>
      <w:r w:rsidRPr="000D3663">
        <w:t>dat</w:t>
      </w:r>
      <w:r w:rsidR="004D12F6">
        <w:t>a</w:t>
      </w:r>
      <w:r w:rsidRPr="000D3663">
        <w:t xml:space="preserve"> on behalf of FDA, a privacy assessment (PTA/PIA) and/or privacy compliance requirement are not required</w:t>
      </w:r>
      <w:r>
        <w:t>. Therefore</w:t>
      </w:r>
      <w:r w:rsidR="7ED356B6">
        <w:t>,</w:t>
      </w:r>
      <w:r>
        <w:t xml:space="preserve"> it was determined that a privacy assessment was not required.</w:t>
      </w:r>
    </w:p>
    <w:p w:rsidR="00A301C5" w:rsidRPr="00A301C5" w:rsidP="713FEF66" w14:paraId="7ADE8E1D" w14:textId="60895D17">
      <w:pPr>
        <w:spacing w:after="200"/>
      </w:pPr>
      <w:r w:rsidRPr="00A301C5">
        <w:t>FDA’s general regulations concerning the public availability of FDA records are contained in 21</w:t>
      </w:r>
      <w:r w:rsidR="00C967C4">
        <w:t> </w:t>
      </w:r>
      <w:r w:rsidRPr="00A301C5">
        <w:t>CFR part 20.</w:t>
      </w:r>
      <w:r w:rsidRPr="00A301C5">
        <w:t xml:space="preserve"> </w:t>
      </w:r>
      <w:r w:rsidRPr="00A301C5">
        <w:t>No assurance of confidentiality has been provided except as generally considered in review guidelines in 21 CFR 20.61.</w:t>
      </w:r>
    </w:p>
    <w:p w:rsidR="00107885" w:rsidP="129D06F8" w14:paraId="3B8CEC41" w14:textId="0DE24311">
      <w:pPr>
        <w:spacing w:after="200"/>
      </w:pPr>
      <w:r>
        <w:t>Among the laws governing the disclosure of information submitted under sections of the FD&amp;C Act are the Freedom of Information Act (FOIA) (5 U.S.C. 552) and FDA’s implementing regulations.</w:t>
      </w:r>
      <w:r>
        <w:t xml:space="preserve"> </w:t>
      </w:r>
      <w:r>
        <w:t xml:space="preserve">Under FOIA, the public has broad access to </w:t>
      </w:r>
      <w:r w:rsidR="00FA5721">
        <w:t>a</w:t>
      </w:r>
      <w:r>
        <w:t>gency records unless the records (or a part of the records) are protected from disclosure by any of the law’s nine exemptions.</w:t>
      </w:r>
    </w:p>
    <w:p w:rsidR="004C6979" w:rsidRPr="004C6979" w:rsidP="00BB7F69" w14:paraId="2850533B" w14:textId="77777777">
      <w:pPr>
        <w:keepNext/>
        <w:numPr>
          <w:ilvl w:val="0"/>
          <w:numId w:val="4"/>
        </w:numPr>
        <w:tabs>
          <w:tab w:val="num" w:pos="360"/>
          <w:tab w:val="clear" w:pos="720"/>
        </w:tabs>
        <w:spacing w:after="200"/>
        <w:ind w:left="360"/>
        <w:rPr>
          <w:u w:val="single"/>
        </w:rPr>
      </w:pPr>
      <w:r w:rsidRPr="5F19AC2F">
        <w:rPr>
          <w:u w:val="single"/>
        </w:rPr>
        <w:t>Justification for Sensitive Questions</w:t>
      </w:r>
    </w:p>
    <w:p w:rsidR="004C6979" w:rsidP="129D06F8" w14:paraId="2C95BB34" w14:textId="15C26F2C">
      <w:pPr>
        <w:spacing w:after="200"/>
      </w:pPr>
      <w:r>
        <w:t>Th</w:t>
      </w:r>
      <w:r w:rsidR="001B5ECB">
        <w:t>e</w:t>
      </w:r>
      <w:r>
        <w:t xml:space="preserve"> collection </w:t>
      </w:r>
      <w:r w:rsidR="001B5ECB">
        <w:t xml:space="preserve">of information </w:t>
      </w:r>
      <w:r>
        <w:t xml:space="preserve">does not </w:t>
      </w:r>
      <w:r w:rsidR="00C02AD1">
        <w:t>involve sensitive questions</w:t>
      </w:r>
      <w:r>
        <w:t>.</w:t>
      </w:r>
    </w:p>
    <w:p w:rsidR="004C6979" w:rsidRPr="004C6979" w:rsidP="00BB7F69" w14:paraId="073B7949" w14:textId="77777777">
      <w:pPr>
        <w:numPr>
          <w:ilvl w:val="0"/>
          <w:numId w:val="4"/>
        </w:numPr>
        <w:tabs>
          <w:tab w:val="num" w:pos="360"/>
          <w:tab w:val="clear" w:pos="720"/>
        </w:tabs>
        <w:spacing w:after="200"/>
        <w:ind w:left="360"/>
        <w:rPr>
          <w:u w:val="single"/>
        </w:rPr>
      </w:pPr>
      <w:r w:rsidRPr="004C6979">
        <w:rPr>
          <w:u w:val="single"/>
        </w:rPr>
        <w:t>Estimates of Annualized Burden Hours and Costs</w:t>
      </w:r>
    </w:p>
    <w:p w:rsidR="004C6979" w:rsidRPr="00AB2E6F" w:rsidP="00AB2E6F" w14:paraId="0FA88C43" w14:textId="77777777">
      <w:pPr>
        <w:tabs>
          <w:tab w:val="num" w:pos="0"/>
        </w:tabs>
        <w:spacing w:after="200"/>
      </w:pPr>
      <w:r w:rsidRPr="00AB2E6F">
        <w:t>FDA estimates the burden for this information collection as follows:</w:t>
      </w:r>
    </w:p>
    <w:p w:rsidR="004C6979" w:rsidP="005534A2" w14:paraId="2DA85FD3" w14:textId="1FEF5418">
      <w:pPr>
        <w:tabs>
          <w:tab w:val="num" w:pos="360"/>
        </w:tabs>
        <w:spacing w:after="200"/>
        <w:ind w:left="360"/>
      </w:pPr>
      <w:r>
        <w:t xml:space="preserve">12a. </w:t>
      </w:r>
      <w:r w:rsidR="01DC06B4">
        <w:t xml:space="preserve">Annualized </w:t>
      </w:r>
      <w:r>
        <w:t>Hour Burden Estimate</w:t>
      </w:r>
    </w:p>
    <w:p w:rsidR="009F4504" w:rsidRPr="00DE01E6" w:rsidP="0DD7CCC2" w14:paraId="010B9A50" w14:textId="7B7F0A16">
      <w:pPr>
        <w:keepNext/>
        <w:tabs>
          <w:tab w:val="num" w:pos="360"/>
        </w:tabs>
        <w:jc w:val="center"/>
        <w:rPr>
          <w:vertAlign w:val="superscript"/>
        </w:rPr>
      </w:pPr>
      <w:r w:rsidRPr="0DD7CCC2">
        <w:rPr>
          <w:sz w:val="20"/>
          <w:szCs w:val="20"/>
        </w:rPr>
        <w:t>Table 1.--Estimated One Time Recordkeeping Burden</w:t>
      </w:r>
    </w:p>
    <w:tbl>
      <w:tblPr>
        <w:tblW w:w="475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4"/>
        <w:gridCol w:w="1461"/>
        <w:gridCol w:w="1643"/>
        <w:gridCol w:w="1095"/>
        <w:gridCol w:w="1466"/>
        <w:gridCol w:w="1270"/>
      </w:tblGrid>
      <w:tr w14:paraId="7A343081" w14:textId="77777777" w:rsidTr="00F2677F">
        <w:tblPrEx>
          <w:tblW w:w="475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6"/>
          <w:tblHeader/>
        </w:trPr>
        <w:tc>
          <w:tcPr>
            <w:tcW w:w="2086" w:type="dxa"/>
            <w:vAlign w:val="center"/>
          </w:tcPr>
          <w:p w:rsidR="005A13FD" w:rsidRPr="00084446" w:rsidP="00B30A29" w14:paraId="68FE2CE1" w14:textId="3B7AA81D">
            <w:pPr>
              <w:contextualSpacing/>
              <w:jc w:val="center"/>
              <w:rPr>
                <w:sz w:val="20"/>
                <w:szCs w:val="20"/>
              </w:rPr>
            </w:pPr>
            <w:r w:rsidRPr="0DD7CCC2">
              <w:rPr>
                <w:sz w:val="20"/>
                <w:szCs w:val="20"/>
              </w:rPr>
              <w:t>Activity</w:t>
            </w:r>
            <w:r w:rsidRPr="0DD7CCC2" w:rsidR="001C3DA4">
              <w:rPr>
                <w:sz w:val="20"/>
                <w:szCs w:val="20"/>
              </w:rPr>
              <w:t xml:space="preserve"> </w:t>
            </w:r>
            <w:r w:rsidRPr="0DD7CCC2" w:rsidR="006C70CF">
              <w:rPr>
                <w:sz w:val="20"/>
                <w:szCs w:val="20"/>
              </w:rPr>
              <w:t>(</w:t>
            </w:r>
            <w:r w:rsidRPr="0DD7CCC2" w:rsidR="001C3DA4">
              <w:rPr>
                <w:sz w:val="20"/>
                <w:szCs w:val="20"/>
              </w:rPr>
              <w:t>Guidance Section IV</w:t>
            </w:r>
            <w:r w:rsidRPr="0DD7CCC2" w:rsidR="006C70CF">
              <w:rPr>
                <w:sz w:val="20"/>
                <w:szCs w:val="20"/>
              </w:rPr>
              <w:t>)</w:t>
            </w:r>
          </w:p>
        </w:tc>
        <w:tc>
          <w:tcPr>
            <w:tcW w:w="1463" w:type="dxa"/>
            <w:vAlign w:val="center"/>
          </w:tcPr>
          <w:p w:rsidR="005A13FD" w:rsidRPr="00084446" w:rsidP="006C70CF" w14:paraId="7A0CA135" w14:textId="7A2E3A1C">
            <w:pPr>
              <w:contextualSpacing/>
              <w:jc w:val="center"/>
              <w:rPr>
                <w:sz w:val="20"/>
                <w:szCs w:val="20"/>
              </w:rPr>
            </w:pPr>
            <w:r w:rsidRPr="00084446">
              <w:rPr>
                <w:sz w:val="20"/>
                <w:szCs w:val="20"/>
              </w:rPr>
              <w:t xml:space="preserve">No. of </w:t>
            </w:r>
            <w:r w:rsidRPr="00084446" w:rsidR="00943F76">
              <w:rPr>
                <w:sz w:val="20"/>
                <w:szCs w:val="20"/>
              </w:rPr>
              <w:t>Recordkeepers</w:t>
            </w:r>
          </w:p>
        </w:tc>
        <w:tc>
          <w:tcPr>
            <w:tcW w:w="1645" w:type="dxa"/>
            <w:vAlign w:val="center"/>
          </w:tcPr>
          <w:p w:rsidR="005A13FD" w:rsidRPr="00084446" w:rsidP="006C70CF" w14:paraId="5191568E" w14:textId="5A7849D8">
            <w:pPr>
              <w:contextualSpacing/>
              <w:jc w:val="center"/>
              <w:rPr>
                <w:sz w:val="20"/>
                <w:szCs w:val="20"/>
              </w:rPr>
            </w:pPr>
            <w:r w:rsidRPr="00084446">
              <w:rPr>
                <w:bCs/>
                <w:sz w:val="20"/>
                <w:szCs w:val="20"/>
              </w:rPr>
              <w:t>No. of Records per Recordkeeper</w:t>
            </w:r>
          </w:p>
        </w:tc>
        <w:tc>
          <w:tcPr>
            <w:tcW w:w="1096" w:type="dxa"/>
            <w:vAlign w:val="center"/>
          </w:tcPr>
          <w:p w:rsidR="005A13FD" w:rsidRPr="00084446" w:rsidP="006C70CF" w14:paraId="4FB2596E" w14:textId="53B5BF1B">
            <w:pPr>
              <w:contextualSpacing/>
              <w:jc w:val="center"/>
              <w:rPr>
                <w:sz w:val="20"/>
                <w:szCs w:val="20"/>
              </w:rPr>
            </w:pPr>
            <w:r w:rsidRPr="00084446">
              <w:rPr>
                <w:sz w:val="20"/>
                <w:szCs w:val="20"/>
              </w:rPr>
              <w:t xml:space="preserve">Total Annual </w:t>
            </w:r>
            <w:r w:rsidRPr="00084446" w:rsidR="00943F76">
              <w:rPr>
                <w:sz w:val="20"/>
                <w:szCs w:val="20"/>
              </w:rPr>
              <w:t>Records</w:t>
            </w:r>
          </w:p>
        </w:tc>
        <w:tc>
          <w:tcPr>
            <w:tcW w:w="1468" w:type="dxa"/>
            <w:vAlign w:val="center"/>
          </w:tcPr>
          <w:p w:rsidR="005A13FD" w:rsidRPr="00084446" w:rsidP="006C70CF" w14:paraId="081DB49F" w14:textId="14367619">
            <w:pPr>
              <w:contextualSpacing/>
              <w:jc w:val="center"/>
              <w:rPr>
                <w:sz w:val="20"/>
                <w:szCs w:val="20"/>
              </w:rPr>
            </w:pPr>
            <w:r w:rsidRPr="0DD7CCC2">
              <w:rPr>
                <w:sz w:val="20"/>
                <w:szCs w:val="20"/>
              </w:rPr>
              <w:t xml:space="preserve">Average Burden per </w:t>
            </w:r>
            <w:r w:rsidRPr="0DD7CCC2" w:rsidR="00943F76">
              <w:rPr>
                <w:sz w:val="20"/>
                <w:szCs w:val="20"/>
              </w:rPr>
              <w:t>Recordkeeper</w:t>
            </w:r>
            <w:r w:rsidRPr="0DD7CCC2" w:rsidR="00097953">
              <w:rPr>
                <w:sz w:val="20"/>
                <w:szCs w:val="20"/>
              </w:rPr>
              <w:t xml:space="preserve"> in hours</w:t>
            </w:r>
          </w:p>
        </w:tc>
        <w:tc>
          <w:tcPr>
            <w:tcW w:w="1271" w:type="dxa"/>
            <w:vAlign w:val="center"/>
          </w:tcPr>
          <w:p w:rsidR="005A13FD" w:rsidRPr="00084446" w:rsidP="006C70CF" w14:paraId="76A6DB33" w14:textId="77777777">
            <w:pPr>
              <w:keepNext/>
              <w:keepLines/>
              <w:contextualSpacing/>
              <w:jc w:val="center"/>
              <w:rPr>
                <w:sz w:val="20"/>
                <w:szCs w:val="20"/>
              </w:rPr>
            </w:pPr>
            <w:r w:rsidRPr="00084446">
              <w:rPr>
                <w:sz w:val="20"/>
                <w:szCs w:val="20"/>
              </w:rPr>
              <w:t>Total Hours</w:t>
            </w:r>
          </w:p>
        </w:tc>
      </w:tr>
      <w:tr w14:paraId="797357F5" w14:textId="77777777" w:rsidTr="00F2677F">
        <w:tblPrEx>
          <w:tblW w:w="4750" w:type="pct"/>
          <w:tblInd w:w="198" w:type="dxa"/>
          <w:tblLayout w:type="fixed"/>
          <w:tblLook w:val="01E0"/>
        </w:tblPrEx>
        <w:trPr>
          <w:cantSplit/>
          <w:trHeight w:val="16"/>
        </w:trPr>
        <w:tc>
          <w:tcPr>
            <w:tcW w:w="2086" w:type="dxa"/>
            <w:vAlign w:val="center"/>
          </w:tcPr>
          <w:p w:rsidR="00F529C6" w:rsidRPr="00084446" w:rsidP="00F529C6" w14:paraId="3F35C42B" w14:textId="27C7C681">
            <w:pPr>
              <w:rPr>
                <w:sz w:val="20"/>
                <w:szCs w:val="20"/>
              </w:rPr>
            </w:pPr>
            <w:r w:rsidRPr="284F21F8">
              <w:rPr>
                <w:sz w:val="20"/>
                <w:szCs w:val="20"/>
              </w:rPr>
              <w:t>Develop training program</w:t>
            </w:r>
          </w:p>
        </w:tc>
        <w:tc>
          <w:tcPr>
            <w:tcW w:w="1463" w:type="dxa"/>
            <w:vAlign w:val="center"/>
          </w:tcPr>
          <w:p w:rsidR="00F529C6" w:rsidRPr="00084446" w:rsidP="00F529C6" w14:paraId="0CB3707A" w14:textId="60B6E78B">
            <w:pPr>
              <w:jc w:val="center"/>
              <w:rPr>
                <w:sz w:val="20"/>
                <w:szCs w:val="20"/>
              </w:rPr>
            </w:pPr>
            <w:r w:rsidRPr="0DD7CCC2">
              <w:rPr>
                <w:sz w:val="20"/>
                <w:szCs w:val="20"/>
              </w:rPr>
              <w:t>18,969</w:t>
            </w:r>
          </w:p>
        </w:tc>
        <w:tc>
          <w:tcPr>
            <w:tcW w:w="1645" w:type="dxa"/>
            <w:vAlign w:val="center"/>
          </w:tcPr>
          <w:p w:rsidR="00F529C6" w:rsidRPr="00084446" w:rsidP="00F529C6" w14:paraId="5AEEBD67" w14:textId="77777777">
            <w:pPr>
              <w:jc w:val="center"/>
              <w:rPr>
                <w:sz w:val="20"/>
                <w:szCs w:val="20"/>
              </w:rPr>
            </w:pPr>
            <w:r w:rsidRPr="00084446">
              <w:rPr>
                <w:sz w:val="20"/>
                <w:szCs w:val="20"/>
              </w:rPr>
              <w:t>1</w:t>
            </w:r>
          </w:p>
        </w:tc>
        <w:tc>
          <w:tcPr>
            <w:tcW w:w="1096" w:type="dxa"/>
            <w:vAlign w:val="center"/>
          </w:tcPr>
          <w:p w:rsidR="00F529C6" w:rsidRPr="00084446" w:rsidP="00F529C6" w14:paraId="13E50465" w14:textId="5D9E949D">
            <w:pPr>
              <w:jc w:val="center"/>
              <w:rPr>
                <w:sz w:val="20"/>
                <w:szCs w:val="20"/>
              </w:rPr>
            </w:pPr>
            <w:r w:rsidRPr="0DD7CCC2">
              <w:rPr>
                <w:sz w:val="20"/>
                <w:szCs w:val="20"/>
              </w:rPr>
              <w:t>18,969</w:t>
            </w:r>
          </w:p>
        </w:tc>
        <w:tc>
          <w:tcPr>
            <w:tcW w:w="1468" w:type="dxa"/>
            <w:vAlign w:val="center"/>
          </w:tcPr>
          <w:p w:rsidR="00F529C6" w:rsidRPr="00084446" w:rsidP="00F529C6" w14:paraId="53E6405A" w14:textId="1C09D35F">
            <w:pPr>
              <w:jc w:val="center"/>
              <w:rPr>
                <w:sz w:val="20"/>
                <w:szCs w:val="20"/>
              </w:rPr>
            </w:pPr>
            <w:r>
              <w:rPr>
                <w:sz w:val="20"/>
                <w:szCs w:val="20"/>
              </w:rPr>
              <w:t>1</w:t>
            </w:r>
            <w:r w:rsidRPr="0DD7CCC2">
              <w:rPr>
                <w:sz w:val="20"/>
                <w:szCs w:val="20"/>
              </w:rPr>
              <w:t>6</w:t>
            </w:r>
          </w:p>
        </w:tc>
        <w:tc>
          <w:tcPr>
            <w:tcW w:w="1271" w:type="dxa"/>
            <w:vAlign w:val="center"/>
          </w:tcPr>
          <w:p w:rsidR="00F529C6" w:rsidRPr="00C223EB" w:rsidP="00F529C6" w14:paraId="433F963C" w14:textId="41899380">
            <w:pPr>
              <w:keepNext/>
              <w:keepLines/>
              <w:jc w:val="center"/>
              <w:rPr>
                <w:sz w:val="20"/>
                <w:szCs w:val="20"/>
              </w:rPr>
            </w:pPr>
            <w:r w:rsidRPr="00C223EB">
              <w:rPr>
                <w:color w:val="000000" w:themeColor="text1"/>
                <w:sz w:val="20"/>
                <w:szCs w:val="20"/>
              </w:rPr>
              <w:t>303,504</w:t>
            </w:r>
          </w:p>
        </w:tc>
      </w:tr>
      <w:tr w14:paraId="21E61E31" w14:textId="77777777" w:rsidTr="00F2677F">
        <w:tblPrEx>
          <w:tblW w:w="4750" w:type="pct"/>
          <w:tblInd w:w="198" w:type="dxa"/>
          <w:tblLayout w:type="fixed"/>
          <w:tblLook w:val="01E0"/>
        </w:tblPrEx>
        <w:trPr>
          <w:cantSplit/>
          <w:trHeight w:val="16"/>
        </w:trPr>
        <w:tc>
          <w:tcPr>
            <w:tcW w:w="2086" w:type="dxa"/>
            <w:vAlign w:val="center"/>
          </w:tcPr>
          <w:p w:rsidR="00F529C6" w:rsidRPr="00084446" w:rsidP="00F529C6" w14:paraId="59023BE0" w14:textId="36171B6E">
            <w:pPr>
              <w:rPr>
                <w:sz w:val="20"/>
                <w:szCs w:val="20"/>
              </w:rPr>
            </w:pPr>
            <w:r w:rsidRPr="00084446">
              <w:rPr>
                <w:sz w:val="20"/>
                <w:szCs w:val="20"/>
              </w:rPr>
              <w:t xml:space="preserve">Develop </w:t>
            </w:r>
            <w:bookmarkStart w:id="1" w:name="_Hlk114561182"/>
            <w:r w:rsidRPr="00084446">
              <w:rPr>
                <w:sz w:val="20"/>
                <w:szCs w:val="20"/>
              </w:rPr>
              <w:t>written policy against sales to minors and employee acknowledgement</w:t>
            </w:r>
            <w:bookmarkEnd w:id="1"/>
          </w:p>
        </w:tc>
        <w:tc>
          <w:tcPr>
            <w:tcW w:w="1463" w:type="dxa"/>
            <w:vAlign w:val="center"/>
          </w:tcPr>
          <w:p w:rsidR="00F529C6" w:rsidRPr="00084446" w:rsidP="00F529C6" w14:paraId="45BFF38A" w14:textId="3C9C40E3">
            <w:pPr>
              <w:jc w:val="center"/>
              <w:rPr>
                <w:sz w:val="20"/>
                <w:szCs w:val="20"/>
              </w:rPr>
            </w:pPr>
            <w:r w:rsidRPr="0DD7CCC2">
              <w:rPr>
                <w:sz w:val="20"/>
                <w:szCs w:val="20"/>
              </w:rPr>
              <w:t>18,969</w:t>
            </w:r>
          </w:p>
        </w:tc>
        <w:tc>
          <w:tcPr>
            <w:tcW w:w="1645" w:type="dxa"/>
            <w:vAlign w:val="center"/>
          </w:tcPr>
          <w:p w:rsidR="00F529C6" w:rsidRPr="00084446" w:rsidP="00F529C6" w14:paraId="6FEED5F0" w14:textId="77777777">
            <w:pPr>
              <w:jc w:val="center"/>
              <w:rPr>
                <w:sz w:val="20"/>
                <w:szCs w:val="20"/>
              </w:rPr>
            </w:pPr>
            <w:r w:rsidRPr="00084446">
              <w:rPr>
                <w:sz w:val="20"/>
                <w:szCs w:val="20"/>
              </w:rPr>
              <w:t>1</w:t>
            </w:r>
          </w:p>
        </w:tc>
        <w:tc>
          <w:tcPr>
            <w:tcW w:w="1096" w:type="dxa"/>
            <w:vAlign w:val="center"/>
          </w:tcPr>
          <w:p w:rsidR="00F529C6" w:rsidRPr="00084446" w:rsidP="00F529C6" w14:paraId="38924C1A" w14:textId="3E85A8B9">
            <w:pPr>
              <w:jc w:val="center"/>
              <w:rPr>
                <w:sz w:val="20"/>
                <w:szCs w:val="20"/>
              </w:rPr>
            </w:pPr>
            <w:r w:rsidRPr="0DD7CCC2">
              <w:rPr>
                <w:sz w:val="20"/>
                <w:szCs w:val="20"/>
              </w:rPr>
              <w:t>18,969</w:t>
            </w:r>
          </w:p>
        </w:tc>
        <w:tc>
          <w:tcPr>
            <w:tcW w:w="1468" w:type="dxa"/>
            <w:vAlign w:val="center"/>
          </w:tcPr>
          <w:p w:rsidR="00F529C6" w:rsidRPr="00084446" w:rsidP="00F529C6" w14:paraId="5F7E5B48" w14:textId="77777777">
            <w:pPr>
              <w:jc w:val="center"/>
              <w:rPr>
                <w:sz w:val="20"/>
                <w:szCs w:val="20"/>
              </w:rPr>
            </w:pPr>
            <w:r w:rsidRPr="00084446">
              <w:rPr>
                <w:sz w:val="20"/>
                <w:szCs w:val="20"/>
              </w:rPr>
              <w:t>1</w:t>
            </w:r>
          </w:p>
        </w:tc>
        <w:tc>
          <w:tcPr>
            <w:tcW w:w="1271" w:type="dxa"/>
            <w:vAlign w:val="center"/>
          </w:tcPr>
          <w:p w:rsidR="00F529C6" w:rsidRPr="00084446" w:rsidP="00F529C6" w14:paraId="0D80D132" w14:textId="38E5C1C9">
            <w:pPr>
              <w:keepNext/>
              <w:keepLines/>
              <w:jc w:val="center"/>
              <w:rPr>
                <w:sz w:val="20"/>
                <w:szCs w:val="20"/>
              </w:rPr>
            </w:pPr>
            <w:r w:rsidRPr="0DD7CCC2">
              <w:rPr>
                <w:sz w:val="20"/>
                <w:szCs w:val="20"/>
              </w:rPr>
              <w:t>18,969</w:t>
            </w:r>
          </w:p>
        </w:tc>
      </w:tr>
      <w:tr w14:paraId="78E73F52" w14:textId="77777777" w:rsidTr="00F2677F">
        <w:tblPrEx>
          <w:tblW w:w="4750" w:type="pct"/>
          <w:tblInd w:w="198" w:type="dxa"/>
          <w:tblLayout w:type="fixed"/>
          <w:tblLook w:val="01E0"/>
        </w:tblPrEx>
        <w:trPr>
          <w:cantSplit/>
          <w:trHeight w:val="16"/>
        </w:trPr>
        <w:tc>
          <w:tcPr>
            <w:tcW w:w="2086" w:type="dxa"/>
            <w:vAlign w:val="center"/>
          </w:tcPr>
          <w:p w:rsidR="00F529C6" w:rsidRPr="00084446" w:rsidP="00F529C6" w14:paraId="14210C07" w14:textId="2F841943">
            <w:pPr>
              <w:rPr>
                <w:sz w:val="20"/>
                <w:szCs w:val="20"/>
              </w:rPr>
            </w:pPr>
            <w:r w:rsidRPr="00084446">
              <w:rPr>
                <w:sz w:val="20"/>
                <w:szCs w:val="20"/>
              </w:rPr>
              <w:t>Develop internal compliance check program</w:t>
            </w:r>
          </w:p>
        </w:tc>
        <w:tc>
          <w:tcPr>
            <w:tcW w:w="1463" w:type="dxa"/>
            <w:vAlign w:val="center"/>
          </w:tcPr>
          <w:p w:rsidR="00F529C6" w:rsidRPr="00084446" w:rsidP="00F529C6" w14:paraId="52D7344B" w14:textId="6EBD2B3E">
            <w:pPr>
              <w:jc w:val="center"/>
              <w:rPr>
                <w:sz w:val="20"/>
                <w:szCs w:val="20"/>
              </w:rPr>
            </w:pPr>
            <w:r w:rsidRPr="0DD7CCC2">
              <w:rPr>
                <w:sz w:val="20"/>
                <w:szCs w:val="20"/>
              </w:rPr>
              <w:t>18,969</w:t>
            </w:r>
          </w:p>
        </w:tc>
        <w:tc>
          <w:tcPr>
            <w:tcW w:w="1645" w:type="dxa"/>
            <w:vAlign w:val="center"/>
          </w:tcPr>
          <w:p w:rsidR="00F529C6" w:rsidRPr="00084446" w:rsidP="00F529C6" w14:paraId="24FE1397" w14:textId="77777777">
            <w:pPr>
              <w:jc w:val="center"/>
              <w:rPr>
                <w:sz w:val="20"/>
                <w:szCs w:val="20"/>
              </w:rPr>
            </w:pPr>
            <w:r w:rsidRPr="00084446">
              <w:rPr>
                <w:sz w:val="20"/>
                <w:szCs w:val="20"/>
              </w:rPr>
              <w:t>1</w:t>
            </w:r>
          </w:p>
        </w:tc>
        <w:tc>
          <w:tcPr>
            <w:tcW w:w="1096" w:type="dxa"/>
            <w:vAlign w:val="center"/>
          </w:tcPr>
          <w:p w:rsidR="00F529C6" w:rsidRPr="00084446" w:rsidP="00F529C6" w14:paraId="42424260" w14:textId="3E5D8920">
            <w:pPr>
              <w:jc w:val="center"/>
              <w:rPr>
                <w:sz w:val="20"/>
                <w:szCs w:val="20"/>
              </w:rPr>
            </w:pPr>
            <w:r w:rsidRPr="0DD7CCC2">
              <w:rPr>
                <w:sz w:val="20"/>
                <w:szCs w:val="20"/>
              </w:rPr>
              <w:t>18,969</w:t>
            </w:r>
          </w:p>
        </w:tc>
        <w:tc>
          <w:tcPr>
            <w:tcW w:w="1468" w:type="dxa"/>
            <w:vAlign w:val="center"/>
          </w:tcPr>
          <w:p w:rsidR="00F529C6" w:rsidRPr="00084446" w:rsidP="00F529C6" w14:paraId="02F93166" w14:textId="26352B19">
            <w:pPr>
              <w:jc w:val="center"/>
              <w:rPr>
                <w:sz w:val="20"/>
                <w:szCs w:val="20"/>
              </w:rPr>
            </w:pPr>
            <w:r>
              <w:rPr>
                <w:sz w:val="20"/>
                <w:szCs w:val="20"/>
              </w:rPr>
              <w:t>8</w:t>
            </w:r>
          </w:p>
        </w:tc>
        <w:tc>
          <w:tcPr>
            <w:tcW w:w="1271" w:type="dxa"/>
            <w:vAlign w:val="center"/>
          </w:tcPr>
          <w:p w:rsidR="00F529C6" w:rsidRPr="00084446" w:rsidP="00F529C6" w14:paraId="2CE8C556" w14:textId="6823243F">
            <w:pPr>
              <w:keepNext/>
              <w:keepLines/>
              <w:jc w:val="center"/>
              <w:rPr>
                <w:sz w:val="20"/>
                <w:szCs w:val="20"/>
              </w:rPr>
            </w:pPr>
            <w:r w:rsidRPr="0DD7CCC2">
              <w:rPr>
                <w:sz w:val="20"/>
                <w:szCs w:val="20"/>
              </w:rPr>
              <w:t>56,907</w:t>
            </w:r>
          </w:p>
        </w:tc>
      </w:tr>
      <w:tr w14:paraId="2D1932DE" w14:textId="77777777" w:rsidTr="00F2677F">
        <w:tblPrEx>
          <w:tblW w:w="4750" w:type="pct"/>
          <w:tblInd w:w="198" w:type="dxa"/>
          <w:tblLayout w:type="fixed"/>
          <w:tblLook w:val="01E0"/>
        </w:tblPrEx>
        <w:trPr>
          <w:cantSplit/>
          <w:trHeight w:val="269"/>
        </w:trPr>
        <w:tc>
          <w:tcPr>
            <w:tcW w:w="2086" w:type="dxa"/>
            <w:vAlign w:val="center"/>
          </w:tcPr>
          <w:p w:rsidR="007D6FE3" w:rsidRPr="00084446" w:rsidP="007D6FE3" w14:paraId="23030356" w14:textId="302FEC43">
            <w:pPr>
              <w:rPr>
                <w:sz w:val="20"/>
                <w:szCs w:val="20"/>
              </w:rPr>
            </w:pPr>
            <w:r w:rsidRPr="0DD7CCC2">
              <w:rPr>
                <w:sz w:val="20"/>
                <w:szCs w:val="20"/>
              </w:rPr>
              <w:t>Total</w:t>
            </w:r>
          </w:p>
        </w:tc>
        <w:tc>
          <w:tcPr>
            <w:tcW w:w="1463" w:type="dxa"/>
            <w:vAlign w:val="center"/>
          </w:tcPr>
          <w:p w:rsidR="007D6FE3" w:rsidRPr="00084446" w:rsidP="007D6FE3" w14:paraId="45A3CD56" w14:textId="77777777">
            <w:pPr>
              <w:jc w:val="center"/>
              <w:rPr>
                <w:sz w:val="20"/>
                <w:szCs w:val="20"/>
              </w:rPr>
            </w:pPr>
          </w:p>
        </w:tc>
        <w:tc>
          <w:tcPr>
            <w:tcW w:w="1645" w:type="dxa"/>
            <w:vAlign w:val="center"/>
          </w:tcPr>
          <w:p w:rsidR="007D6FE3" w:rsidRPr="00084446" w:rsidP="007D6FE3" w14:paraId="380946F1" w14:textId="716CDAE2">
            <w:pPr>
              <w:jc w:val="center"/>
              <w:rPr>
                <w:sz w:val="20"/>
                <w:szCs w:val="20"/>
              </w:rPr>
            </w:pPr>
            <w:r w:rsidRPr="0DD7CCC2">
              <w:rPr>
                <w:sz w:val="20"/>
                <w:szCs w:val="20"/>
              </w:rPr>
              <w:t>3</w:t>
            </w:r>
          </w:p>
        </w:tc>
        <w:tc>
          <w:tcPr>
            <w:tcW w:w="1096" w:type="dxa"/>
            <w:vAlign w:val="center"/>
          </w:tcPr>
          <w:p w:rsidR="007D6FE3" w:rsidRPr="00084446" w:rsidP="007D6FE3" w14:paraId="56F35834" w14:textId="77777777">
            <w:pPr>
              <w:jc w:val="center"/>
              <w:rPr>
                <w:sz w:val="20"/>
                <w:szCs w:val="20"/>
              </w:rPr>
            </w:pPr>
          </w:p>
        </w:tc>
        <w:tc>
          <w:tcPr>
            <w:tcW w:w="1468" w:type="dxa"/>
            <w:vAlign w:val="center"/>
          </w:tcPr>
          <w:p w:rsidR="007D6FE3" w:rsidRPr="00084446" w:rsidP="007D6FE3" w14:paraId="508B95C3" w14:textId="1CA2CEC0">
            <w:pPr>
              <w:jc w:val="center"/>
              <w:rPr>
                <w:sz w:val="20"/>
                <w:szCs w:val="20"/>
              </w:rPr>
            </w:pPr>
            <w:r>
              <w:rPr>
                <w:sz w:val="20"/>
                <w:szCs w:val="20"/>
              </w:rPr>
              <w:t>25</w:t>
            </w:r>
          </w:p>
        </w:tc>
        <w:tc>
          <w:tcPr>
            <w:tcW w:w="1271" w:type="dxa"/>
            <w:vAlign w:val="center"/>
          </w:tcPr>
          <w:p w:rsidR="007D6FE3" w:rsidRPr="00084446" w:rsidP="0DD7CCC2" w14:paraId="15FD2FA3" w14:textId="306B8808">
            <w:pPr>
              <w:keepNext/>
              <w:keepLines/>
              <w:jc w:val="center"/>
              <w:rPr>
                <w:noProof/>
                <w:sz w:val="20"/>
                <w:szCs w:val="20"/>
              </w:rPr>
            </w:pPr>
            <w:r>
              <w:rPr>
                <w:sz w:val="20"/>
                <w:szCs w:val="20"/>
              </w:rPr>
              <w:t>474,225</w:t>
            </w:r>
          </w:p>
        </w:tc>
      </w:tr>
    </w:tbl>
    <w:p w:rsidR="0DD7CCC2" w14:paraId="7318EC8E" w14:textId="21491420"/>
    <w:p w:rsidR="00B5002F" w:rsidP="0DD7CCC2" w14:paraId="31B1686C" w14:textId="1D541D31">
      <w:pPr>
        <w:rPr>
          <w:rStyle w:val="eop"/>
          <w:color w:val="000000" w:themeColor="text1"/>
          <w:sz w:val="20"/>
          <w:szCs w:val="20"/>
        </w:rPr>
      </w:pPr>
    </w:p>
    <w:p w:rsidR="00CB379F" w:rsidRPr="00B5002F" w:rsidP="0DD7CCC2" w14:paraId="78B12C51" w14:textId="26DFA364">
      <w:pPr>
        <w:keepNext/>
        <w:jc w:val="center"/>
        <w:rPr>
          <w:vertAlign w:val="superscript"/>
        </w:rPr>
      </w:pPr>
      <w:r w:rsidRPr="0DD7CCC2">
        <w:rPr>
          <w:sz w:val="20"/>
          <w:szCs w:val="20"/>
        </w:rPr>
        <w:t>Table 2.--Estimated Annual Recordkeeping Burden</w:t>
      </w:r>
    </w:p>
    <w:tbl>
      <w:tblPr>
        <w:tblW w:w="475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1461"/>
        <w:gridCol w:w="1643"/>
        <w:gridCol w:w="1095"/>
        <w:gridCol w:w="1461"/>
        <w:gridCol w:w="1277"/>
      </w:tblGrid>
      <w:tr w14:paraId="40A35CE2" w14:textId="3345F5B9" w:rsidTr="0DD7CCC2">
        <w:tblPrEx>
          <w:tblW w:w="475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42"/>
          <w:tblHeader/>
        </w:trPr>
        <w:tc>
          <w:tcPr>
            <w:tcW w:w="1154" w:type="pct"/>
            <w:vAlign w:val="center"/>
          </w:tcPr>
          <w:p w:rsidR="005A13FD" w:rsidRPr="00084446" w:rsidP="00CB379F" w14:paraId="4AF6FE93" w14:textId="3CF38EB5">
            <w:pPr>
              <w:keepNext/>
              <w:keepLines/>
              <w:contextualSpacing/>
              <w:jc w:val="center"/>
              <w:rPr>
                <w:sz w:val="20"/>
                <w:szCs w:val="20"/>
              </w:rPr>
            </w:pPr>
            <w:r w:rsidRPr="0DD7CCC2">
              <w:rPr>
                <w:sz w:val="20"/>
                <w:szCs w:val="20"/>
              </w:rPr>
              <w:t>Activity</w:t>
            </w:r>
            <w:r w:rsidRPr="0DD7CCC2" w:rsidR="00A478C4">
              <w:rPr>
                <w:sz w:val="20"/>
                <w:szCs w:val="20"/>
              </w:rPr>
              <w:t xml:space="preserve"> </w:t>
            </w:r>
            <w:r w:rsidRPr="0DD7CCC2" w:rsidR="006C70CF">
              <w:rPr>
                <w:sz w:val="20"/>
                <w:szCs w:val="20"/>
              </w:rPr>
              <w:t>(</w:t>
            </w:r>
            <w:r w:rsidRPr="0DD7CCC2" w:rsidR="00A478C4">
              <w:rPr>
                <w:sz w:val="20"/>
                <w:szCs w:val="20"/>
              </w:rPr>
              <w:t>Guidance Section IV</w:t>
            </w:r>
            <w:r w:rsidRPr="0DD7CCC2" w:rsidR="006C70CF">
              <w:rPr>
                <w:sz w:val="20"/>
                <w:szCs w:val="20"/>
              </w:rPr>
              <w:t>)</w:t>
            </w:r>
          </w:p>
        </w:tc>
        <w:tc>
          <w:tcPr>
            <w:tcW w:w="810" w:type="pct"/>
            <w:vAlign w:val="center"/>
          </w:tcPr>
          <w:p w:rsidR="005A13FD" w:rsidRPr="00084446" w:rsidP="00CB379F" w14:paraId="00913B1A" w14:textId="2E660676">
            <w:pPr>
              <w:keepNext/>
              <w:keepLines/>
              <w:contextualSpacing/>
              <w:jc w:val="center"/>
              <w:rPr>
                <w:sz w:val="20"/>
                <w:szCs w:val="20"/>
              </w:rPr>
            </w:pPr>
            <w:r w:rsidRPr="00084446">
              <w:rPr>
                <w:sz w:val="20"/>
                <w:szCs w:val="20"/>
              </w:rPr>
              <w:t>No. of Recordkeepers</w:t>
            </w:r>
          </w:p>
        </w:tc>
        <w:tc>
          <w:tcPr>
            <w:tcW w:w="911" w:type="pct"/>
            <w:vAlign w:val="center"/>
          </w:tcPr>
          <w:p w:rsidR="005A13FD" w:rsidRPr="00084446" w:rsidP="00CB379F" w14:paraId="5E9504EC" w14:textId="1B12AED7">
            <w:pPr>
              <w:keepNext/>
              <w:keepLines/>
              <w:contextualSpacing/>
              <w:jc w:val="center"/>
              <w:rPr>
                <w:sz w:val="20"/>
                <w:szCs w:val="20"/>
              </w:rPr>
            </w:pPr>
            <w:r w:rsidRPr="00084446">
              <w:rPr>
                <w:bCs/>
                <w:sz w:val="20"/>
                <w:szCs w:val="20"/>
              </w:rPr>
              <w:t>No. of Records per Recordkeeper</w:t>
            </w:r>
          </w:p>
        </w:tc>
        <w:tc>
          <w:tcPr>
            <w:tcW w:w="607" w:type="pct"/>
            <w:vAlign w:val="center"/>
          </w:tcPr>
          <w:p w:rsidR="005A13FD" w:rsidRPr="00084446" w:rsidP="00CB379F" w14:paraId="15EABF95" w14:textId="36CA3D01">
            <w:pPr>
              <w:keepNext/>
              <w:keepLines/>
              <w:contextualSpacing/>
              <w:jc w:val="center"/>
              <w:rPr>
                <w:sz w:val="20"/>
                <w:szCs w:val="20"/>
              </w:rPr>
            </w:pPr>
            <w:r w:rsidRPr="00084446">
              <w:rPr>
                <w:sz w:val="20"/>
                <w:szCs w:val="20"/>
              </w:rPr>
              <w:t>Total Annual Records</w:t>
            </w:r>
          </w:p>
        </w:tc>
        <w:tc>
          <w:tcPr>
            <w:tcW w:w="810" w:type="pct"/>
            <w:vAlign w:val="center"/>
          </w:tcPr>
          <w:p w:rsidR="005A13FD" w:rsidRPr="00084446" w:rsidP="00CB379F" w14:paraId="69C48102" w14:textId="1C0E1DFE">
            <w:pPr>
              <w:keepNext/>
              <w:keepLines/>
              <w:contextualSpacing/>
              <w:jc w:val="center"/>
              <w:rPr>
                <w:sz w:val="20"/>
                <w:szCs w:val="20"/>
              </w:rPr>
            </w:pPr>
            <w:r w:rsidRPr="0DD7CCC2">
              <w:rPr>
                <w:sz w:val="20"/>
                <w:szCs w:val="20"/>
              </w:rPr>
              <w:t>Average Burden per Recordkeeper</w:t>
            </w:r>
            <w:r w:rsidRPr="0DD7CCC2" w:rsidR="00097953">
              <w:rPr>
                <w:sz w:val="20"/>
                <w:szCs w:val="20"/>
              </w:rPr>
              <w:t xml:space="preserve"> in hours</w:t>
            </w:r>
          </w:p>
        </w:tc>
        <w:tc>
          <w:tcPr>
            <w:tcW w:w="708" w:type="pct"/>
            <w:vAlign w:val="center"/>
          </w:tcPr>
          <w:p w:rsidR="005A13FD" w:rsidRPr="00084446" w:rsidP="00CB379F" w14:paraId="32960750" w14:textId="352A4FD9">
            <w:pPr>
              <w:keepNext/>
              <w:keepLines/>
              <w:contextualSpacing/>
              <w:jc w:val="center"/>
              <w:rPr>
                <w:sz w:val="20"/>
                <w:szCs w:val="20"/>
              </w:rPr>
            </w:pPr>
            <w:r w:rsidRPr="00084446">
              <w:rPr>
                <w:sz w:val="20"/>
                <w:szCs w:val="20"/>
              </w:rPr>
              <w:t>Total Hours</w:t>
            </w:r>
          </w:p>
        </w:tc>
      </w:tr>
      <w:tr w14:paraId="116ADA11" w14:textId="77777777" w:rsidTr="0DD7CCC2">
        <w:tblPrEx>
          <w:tblW w:w="4750" w:type="pct"/>
          <w:tblInd w:w="198" w:type="dxa"/>
          <w:tblLayout w:type="fixed"/>
          <w:tblLook w:val="01E0"/>
        </w:tblPrEx>
        <w:trPr>
          <w:trHeight w:val="536"/>
        </w:trPr>
        <w:tc>
          <w:tcPr>
            <w:tcW w:w="1154" w:type="pct"/>
            <w:vAlign w:val="center"/>
          </w:tcPr>
          <w:p w:rsidR="0046413D" w:rsidRPr="00084446" w:rsidP="0046413D" w14:paraId="562F1541" w14:textId="79C9F20F">
            <w:pPr>
              <w:keepNext/>
              <w:keepLines/>
              <w:contextualSpacing/>
              <w:rPr>
                <w:sz w:val="20"/>
                <w:szCs w:val="20"/>
              </w:rPr>
            </w:pPr>
            <w:r w:rsidRPr="00084446">
              <w:rPr>
                <w:sz w:val="20"/>
                <w:szCs w:val="20"/>
              </w:rPr>
              <w:t>Training program</w:t>
            </w:r>
          </w:p>
        </w:tc>
        <w:tc>
          <w:tcPr>
            <w:tcW w:w="810" w:type="pct"/>
            <w:vAlign w:val="center"/>
          </w:tcPr>
          <w:p w:rsidR="0046413D" w:rsidRPr="00084446" w:rsidP="0046413D" w14:paraId="674F3F92" w14:textId="0456DB5B">
            <w:pPr>
              <w:keepNext/>
              <w:keepLines/>
              <w:contextualSpacing/>
              <w:jc w:val="center"/>
              <w:rPr>
                <w:sz w:val="20"/>
                <w:szCs w:val="20"/>
              </w:rPr>
            </w:pPr>
            <w:r w:rsidRPr="0DD7CCC2">
              <w:rPr>
                <w:sz w:val="20"/>
                <w:szCs w:val="20"/>
              </w:rPr>
              <w:t>237,113</w:t>
            </w:r>
          </w:p>
        </w:tc>
        <w:tc>
          <w:tcPr>
            <w:tcW w:w="911" w:type="pct"/>
            <w:vAlign w:val="center"/>
          </w:tcPr>
          <w:p w:rsidR="0046413D" w:rsidRPr="00084446" w:rsidP="0046413D" w14:paraId="66469F86" w14:textId="77777777">
            <w:pPr>
              <w:keepNext/>
              <w:keepLines/>
              <w:contextualSpacing/>
              <w:jc w:val="center"/>
              <w:rPr>
                <w:sz w:val="20"/>
                <w:szCs w:val="20"/>
              </w:rPr>
            </w:pPr>
            <w:r w:rsidRPr="00084446">
              <w:rPr>
                <w:sz w:val="20"/>
                <w:szCs w:val="20"/>
              </w:rPr>
              <w:t>4</w:t>
            </w:r>
          </w:p>
        </w:tc>
        <w:tc>
          <w:tcPr>
            <w:tcW w:w="607" w:type="pct"/>
            <w:vAlign w:val="center"/>
          </w:tcPr>
          <w:p w:rsidR="0046413D" w:rsidRPr="00084446" w:rsidP="0046413D" w14:paraId="3E62CF91" w14:textId="38ACC39B">
            <w:pPr>
              <w:keepNext/>
              <w:keepLines/>
              <w:contextualSpacing/>
              <w:jc w:val="center"/>
              <w:rPr>
                <w:sz w:val="20"/>
                <w:szCs w:val="20"/>
              </w:rPr>
            </w:pPr>
            <w:r w:rsidRPr="0DD7CCC2">
              <w:rPr>
                <w:sz w:val="20"/>
                <w:szCs w:val="20"/>
              </w:rPr>
              <w:t>948,452</w:t>
            </w:r>
          </w:p>
        </w:tc>
        <w:tc>
          <w:tcPr>
            <w:tcW w:w="810" w:type="pct"/>
            <w:vAlign w:val="center"/>
          </w:tcPr>
          <w:p w:rsidR="0046413D" w:rsidRPr="00084446" w:rsidP="0046413D" w14:paraId="6FC1B920" w14:textId="08DE2DB7">
            <w:pPr>
              <w:keepNext/>
              <w:keepLines/>
              <w:contextualSpacing/>
              <w:jc w:val="center"/>
              <w:rPr>
                <w:sz w:val="20"/>
                <w:szCs w:val="20"/>
              </w:rPr>
            </w:pPr>
            <w:r w:rsidRPr="00084446">
              <w:rPr>
                <w:sz w:val="20"/>
                <w:szCs w:val="20"/>
              </w:rPr>
              <w:t>0.25</w:t>
            </w:r>
          </w:p>
          <w:p w:rsidR="0046413D" w:rsidRPr="00084446" w:rsidP="0046413D" w14:paraId="75E7FD74" w14:textId="77777777">
            <w:pPr>
              <w:keepNext/>
              <w:keepLines/>
              <w:contextualSpacing/>
              <w:jc w:val="center"/>
              <w:rPr>
                <w:sz w:val="20"/>
                <w:szCs w:val="20"/>
              </w:rPr>
            </w:pPr>
            <w:r w:rsidRPr="00084446">
              <w:rPr>
                <w:sz w:val="20"/>
                <w:szCs w:val="20"/>
              </w:rPr>
              <w:t>(15 minutes)</w:t>
            </w:r>
          </w:p>
        </w:tc>
        <w:tc>
          <w:tcPr>
            <w:tcW w:w="708" w:type="pct"/>
            <w:vAlign w:val="center"/>
          </w:tcPr>
          <w:p w:rsidR="0046413D" w:rsidRPr="00084446" w:rsidP="0046413D" w14:paraId="5FF33CA8" w14:textId="25D6ED91">
            <w:pPr>
              <w:keepNext/>
              <w:keepLines/>
              <w:contextualSpacing/>
              <w:jc w:val="center"/>
              <w:rPr>
                <w:sz w:val="20"/>
                <w:szCs w:val="20"/>
              </w:rPr>
            </w:pPr>
            <w:r w:rsidRPr="0DD7CCC2">
              <w:rPr>
                <w:sz w:val="20"/>
                <w:szCs w:val="20"/>
              </w:rPr>
              <w:t>237,113</w:t>
            </w:r>
          </w:p>
        </w:tc>
      </w:tr>
      <w:tr w14:paraId="7AF4D395" w14:textId="77777777" w:rsidTr="0DD7CCC2">
        <w:tblPrEx>
          <w:tblW w:w="4750" w:type="pct"/>
          <w:tblInd w:w="198" w:type="dxa"/>
          <w:tblLayout w:type="fixed"/>
          <w:tblLook w:val="01E0"/>
        </w:tblPrEx>
        <w:trPr>
          <w:trHeight w:val="913"/>
        </w:trPr>
        <w:tc>
          <w:tcPr>
            <w:tcW w:w="1154" w:type="pct"/>
            <w:vAlign w:val="center"/>
          </w:tcPr>
          <w:p w:rsidR="0046413D" w:rsidRPr="00084446" w:rsidP="0046413D" w14:paraId="4B3C7A45" w14:textId="535817AB">
            <w:pPr>
              <w:keepNext/>
              <w:keepLines/>
              <w:contextualSpacing/>
              <w:rPr>
                <w:sz w:val="20"/>
                <w:szCs w:val="20"/>
              </w:rPr>
            </w:pPr>
            <w:r w:rsidRPr="00084446">
              <w:rPr>
                <w:sz w:val="20"/>
                <w:szCs w:val="20"/>
              </w:rPr>
              <w:t>Written policy against sales to minors and employee acknowledgement</w:t>
            </w:r>
          </w:p>
        </w:tc>
        <w:tc>
          <w:tcPr>
            <w:tcW w:w="810" w:type="pct"/>
            <w:vAlign w:val="center"/>
          </w:tcPr>
          <w:p w:rsidR="0046413D" w:rsidRPr="00084446" w:rsidP="0046413D" w14:paraId="6A2B7677" w14:textId="13BB1378">
            <w:pPr>
              <w:keepNext/>
              <w:keepLines/>
              <w:contextualSpacing/>
              <w:jc w:val="center"/>
              <w:rPr>
                <w:sz w:val="20"/>
                <w:szCs w:val="20"/>
              </w:rPr>
            </w:pPr>
            <w:r w:rsidRPr="0DD7CCC2">
              <w:rPr>
                <w:sz w:val="20"/>
                <w:szCs w:val="20"/>
              </w:rPr>
              <w:t>237,113</w:t>
            </w:r>
          </w:p>
        </w:tc>
        <w:tc>
          <w:tcPr>
            <w:tcW w:w="911" w:type="pct"/>
            <w:vAlign w:val="center"/>
          </w:tcPr>
          <w:p w:rsidR="0046413D" w:rsidRPr="00084446" w:rsidP="0046413D" w14:paraId="206CA56C" w14:textId="77777777">
            <w:pPr>
              <w:keepNext/>
              <w:keepLines/>
              <w:contextualSpacing/>
              <w:jc w:val="center"/>
              <w:rPr>
                <w:sz w:val="20"/>
                <w:szCs w:val="20"/>
              </w:rPr>
            </w:pPr>
            <w:r w:rsidRPr="00084446">
              <w:rPr>
                <w:sz w:val="20"/>
                <w:szCs w:val="20"/>
              </w:rPr>
              <w:t>4</w:t>
            </w:r>
          </w:p>
        </w:tc>
        <w:tc>
          <w:tcPr>
            <w:tcW w:w="607" w:type="pct"/>
            <w:vAlign w:val="center"/>
          </w:tcPr>
          <w:p w:rsidR="0046413D" w:rsidRPr="00084446" w:rsidP="0046413D" w14:paraId="0312F32F" w14:textId="33BF56F7">
            <w:pPr>
              <w:keepNext/>
              <w:keepLines/>
              <w:contextualSpacing/>
              <w:jc w:val="center"/>
              <w:rPr>
                <w:sz w:val="20"/>
                <w:szCs w:val="20"/>
              </w:rPr>
            </w:pPr>
            <w:r w:rsidRPr="0DD7CCC2">
              <w:rPr>
                <w:sz w:val="20"/>
                <w:szCs w:val="20"/>
              </w:rPr>
              <w:t>948,452</w:t>
            </w:r>
          </w:p>
        </w:tc>
        <w:tc>
          <w:tcPr>
            <w:tcW w:w="810" w:type="pct"/>
            <w:vAlign w:val="center"/>
          </w:tcPr>
          <w:p w:rsidR="0046413D" w:rsidRPr="00084446" w:rsidP="0046413D" w14:paraId="0908087A" w14:textId="4E8C8B8A">
            <w:pPr>
              <w:keepNext/>
              <w:keepLines/>
              <w:contextualSpacing/>
              <w:jc w:val="center"/>
              <w:rPr>
                <w:sz w:val="20"/>
                <w:szCs w:val="20"/>
              </w:rPr>
            </w:pPr>
            <w:r w:rsidRPr="00084446">
              <w:rPr>
                <w:sz w:val="20"/>
                <w:szCs w:val="20"/>
              </w:rPr>
              <w:t>0.10</w:t>
            </w:r>
          </w:p>
          <w:p w:rsidR="0046413D" w:rsidRPr="00084446" w:rsidP="0046413D" w14:paraId="1439DEDB" w14:textId="77777777">
            <w:pPr>
              <w:keepNext/>
              <w:keepLines/>
              <w:contextualSpacing/>
              <w:jc w:val="center"/>
              <w:rPr>
                <w:sz w:val="20"/>
                <w:szCs w:val="20"/>
              </w:rPr>
            </w:pPr>
            <w:r w:rsidRPr="00084446">
              <w:rPr>
                <w:sz w:val="20"/>
                <w:szCs w:val="20"/>
              </w:rPr>
              <w:t>(6 minutes)</w:t>
            </w:r>
          </w:p>
        </w:tc>
        <w:tc>
          <w:tcPr>
            <w:tcW w:w="708" w:type="pct"/>
            <w:vAlign w:val="center"/>
          </w:tcPr>
          <w:p w:rsidR="0046413D" w:rsidRPr="00084446" w:rsidP="0046413D" w14:paraId="0B273A50" w14:textId="1E84E5FB">
            <w:pPr>
              <w:keepNext/>
              <w:keepLines/>
              <w:contextualSpacing/>
              <w:jc w:val="center"/>
              <w:rPr>
                <w:sz w:val="20"/>
                <w:szCs w:val="20"/>
              </w:rPr>
            </w:pPr>
            <w:r w:rsidRPr="0DD7CCC2">
              <w:rPr>
                <w:sz w:val="20"/>
                <w:szCs w:val="20"/>
              </w:rPr>
              <w:t>94,845</w:t>
            </w:r>
          </w:p>
        </w:tc>
      </w:tr>
      <w:tr w14:paraId="057C7494" w14:textId="77777777" w:rsidTr="0DD7CCC2">
        <w:tblPrEx>
          <w:tblW w:w="4750" w:type="pct"/>
          <w:tblInd w:w="198" w:type="dxa"/>
          <w:tblLayout w:type="fixed"/>
          <w:tblLook w:val="01E0"/>
        </w:tblPrEx>
        <w:trPr>
          <w:trHeight w:val="642"/>
        </w:trPr>
        <w:tc>
          <w:tcPr>
            <w:tcW w:w="1154" w:type="pct"/>
            <w:vAlign w:val="center"/>
          </w:tcPr>
          <w:p w:rsidR="0046413D" w:rsidRPr="00084446" w:rsidP="0046413D" w14:paraId="1D65EC63" w14:textId="7590DC73">
            <w:pPr>
              <w:keepNext/>
              <w:keepLines/>
              <w:contextualSpacing/>
              <w:rPr>
                <w:sz w:val="20"/>
                <w:szCs w:val="20"/>
              </w:rPr>
            </w:pPr>
            <w:r w:rsidRPr="00084446">
              <w:rPr>
                <w:sz w:val="20"/>
                <w:szCs w:val="20"/>
              </w:rPr>
              <w:t>Internal compliance check program</w:t>
            </w:r>
          </w:p>
        </w:tc>
        <w:tc>
          <w:tcPr>
            <w:tcW w:w="810" w:type="pct"/>
            <w:vAlign w:val="center"/>
          </w:tcPr>
          <w:p w:rsidR="0046413D" w:rsidRPr="00084446" w:rsidP="0046413D" w14:paraId="6A2A4763" w14:textId="2B76B714">
            <w:pPr>
              <w:keepNext/>
              <w:keepLines/>
              <w:contextualSpacing/>
              <w:jc w:val="center"/>
              <w:rPr>
                <w:sz w:val="20"/>
                <w:szCs w:val="20"/>
              </w:rPr>
            </w:pPr>
            <w:r w:rsidRPr="0DD7CCC2">
              <w:rPr>
                <w:sz w:val="20"/>
                <w:szCs w:val="20"/>
              </w:rPr>
              <w:t>237,113</w:t>
            </w:r>
          </w:p>
        </w:tc>
        <w:tc>
          <w:tcPr>
            <w:tcW w:w="911" w:type="pct"/>
            <w:vAlign w:val="center"/>
          </w:tcPr>
          <w:p w:rsidR="0046413D" w:rsidRPr="00084446" w:rsidP="0046413D" w14:paraId="73018E5B" w14:textId="77777777">
            <w:pPr>
              <w:keepNext/>
              <w:keepLines/>
              <w:contextualSpacing/>
              <w:jc w:val="center"/>
              <w:rPr>
                <w:sz w:val="20"/>
                <w:szCs w:val="20"/>
              </w:rPr>
            </w:pPr>
            <w:r w:rsidRPr="00084446">
              <w:rPr>
                <w:sz w:val="20"/>
                <w:szCs w:val="20"/>
              </w:rPr>
              <w:t>2</w:t>
            </w:r>
          </w:p>
        </w:tc>
        <w:tc>
          <w:tcPr>
            <w:tcW w:w="607" w:type="pct"/>
            <w:vAlign w:val="center"/>
          </w:tcPr>
          <w:p w:rsidR="0046413D" w:rsidRPr="00084446" w:rsidP="0046413D" w14:paraId="1DBF40C2" w14:textId="2A94363E">
            <w:pPr>
              <w:keepNext/>
              <w:keepLines/>
              <w:contextualSpacing/>
              <w:jc w:val="center"/>
              <w:rPr>
                <w:sz w:val="20"/>
                <w:szCs w:val="20"/>
              </w:rPr>
            </w:pPr>
            <w:r w:rsidRPr="0DD7CCC2">
              <w:rPr>
                <w:sz w:val="20"/>
                <w:szCs w:val="20"/>
              </w:rPr>
              <w:t>474,226</w:t>
            </w:r>
          </w:p>
        </w:tc>
        <w:tc>
          <w:tcPr>
            <w:tcW w:w="810" w:type="pct"/>
            <w:vAlign w:val="center"/>
          </w:tcPr>
          <w:p w:rsidR="0046413D" w:rsidRPr="00084446" w:rsidP="0046413D" w14:paraId="4D240427" w14:textId="00D2009B">
            <w:pPr>
              <w:keepNext/>
              <w:keepLines/>
              <w:contextualSpacing/>
              <w:jc w:val="center"/>
              <w:rPr>
                <w:sz w:val="20"/>
                <w:szCs w:val="20"/>
              </w:rPr>
            </w:pPr>
            <w:r w:rsidRPr="00084446">
              <w:rPr>
                <w:sz w:val="20"/>
                <w:szCs w:val="20"/>
              </w:rPr>
              <w:t>0.5</w:t>
            </w:r>
          </w:p>
          <w:p w:rsidR="0046413D" w:rsidRPr="00084446" w:rsidP="0046413D" w14:paraId="79C0366A" w14:textId="77777777">
            <w:pPr>
              <w:keepNext/>
              <w:keepLines/>
              <w:contextualSpacing/>
              <w:jc w:val="center"/>
              <w:rPr>
                <w:sz w:val="20"/>
                <w:szCs w:val="20"/>
              </w:rPr>
            </w:pPr>
            <w:r w:rsidRPr="00084446">
              <w:rPr>
                <w:sz w:val="20"/>
                <w:szCs w:val="20"/>
              </w:rPr>
              <w:t>(30 minutes)</w:t>
            </w:r>
          </w:p>
        </w:tc>
        <w:tc>
          <w:tcPr>
            <w:tcW w:w="708" w:type="pct"/>
            <w:vAlign w:val="center"/>
          </w:tcPr>
          <w:p w:rsidR="0046413D" w:rsidRPr="00084446" w:rsidP="0046413D" w14:paraId="5DF47013" w14:textId="7D8006E4">
            <w:pPr>
              <w:keepNext/>
              <w:keepLines/>
              <w:contextualSpacing/>
              <w:jc w:val="center"/>
              <w:rPr>
                <w:sz w:val="20"/>
                <w:szCs w:val="20"/>
              </w:rPr>
            </w:pPr>
            <w:r w:rsidRPr="0DD7CCC2">
              <w:rPr>
                <w:sz w:val="20"/>
                <w:szCs w:val="20"/>
              </w:rPr>
              <w:t>237,113</w:t>
            </w:r>
          </w:p>
        </w:tc>
      </w:tr>
      <w:tr w14:paraId="7A4C2991" w14:textId="77777777" w:rsidTr="0DD7CCC2">
        <w:tblPrEx>
          <w:tblW w:w="4750" w:type="pct"/>
          <w:tblInd w:w="198" w:type="dxa"/>
          <w:tblLayout w:type="fixed"/>
          <w:tblLook w:val="01E0"/>
        </w:tblPrEx>
        <w:trPr>
          <w:trHeight w:val="250"/>
        </w:trPr>
        <w:tc>
          <w:tcPr>
            <w:tcW w:w="4292" w:type="pct"/>
            <w:gridSpan w:val="5"/>
          </w:tcPr>
          <w:p w:rsidR="005A13FD" w:rsidRPr="00084446" w:rsidP="004D05CA" w14:paraId="129105EB" w14:textId="77777777">
            <w:pPr>
              <w:keepNext/>
              <w:keepLines/>
              <w:contextualSpacing/>
              <w:rPr>
                <w:sz w:val="20"/>
                <w:szCs w:val="20"/>
              </w:rPr>
            </w:pPr>
            <w:r w:rsidRPr="00084446">
              <w:rPr>
                <w:sz w:val="20"/>
                <w:szCs w:val="20"/>
              </w:rPr>
              <w:t>Total</w:t>
            </w:r>
          </w:p>
        </w:tc>
        <w:tc>
          <w:tcPr>
            <w:tcW w:w="708" w:type="pct"/>
          </w:tcPr>
          <w:p w:rsidR="005A13FD" w:rsidRPr="00084446" w:rsidP="0DD7CCC2" w14:paraId="609CCC08" w14:textId="3405B842">
            <w:pPr>
              <w:keepNext/>
              <w:keepLines/>
              <w:contextualSpacing/>
              <w:jc w:val="right"/>
              <w:rPr>
                <w:noProof/>
                <w:sz w:val="20"/>
                <w:szCs w:val="20"/>
              </w:rPr>
            </w:pPr>
            <w:r w:rsidRPr="0DD7CCC2">
              <w:rPr>
                <w:sz w:val="20"/>
                <w:szCs w:val="20"/>
              </w:rPr>
              <w:t>569,071</w:t>
            </w:r>
          </w:p>
        </w:tc>
      </w:tr>
    </w:tbl>
    <w:p w:rsidR="00FF5FE7" w:rsidP="0DD7CCC2" w14:paraId="0C098B21" w14:textId="0070533F">
      <w:pPr>
        <w:pStyle w:val="BodyText2"/>
        <w:spacing w:after="200"/>
        <w:ind w:left="360"/>
        <w:rPr>
          <w:sz w:val="20"/>
        </w:rPr>
      </w:pPr>
    </w:p>
    <w:p w:rsidR="005F2DC7" w:rsidP="00E34FE9" w14:paraId="5B552722" w14:textId="0286E7A8">
      <w:pPr>
        <w:pStyle w:val="BodyText2"/>
        <w:tabs>
          <w:tab w:val="left" w:pos="180"/>
        </w:tabs>
        <w:spacing w:after="200"/>
        <w:ind w:left="180"/>
      </w:pPr>
      <w:r w:rsidRPr="005A7198">
        <w:t xml:space="preserve">FDA’s estimate of the number of respondents in tables 1 and 2 is based on </w:t>
      </w:r>
      <w:r w:rsidR="007A0C6F">
        <w:t>2022 data from the Census Bureau’s Economic Census</w:t>
      </w:r>
      <w:r>
        <w:rPr>
          <w:rStyle w:val="FootnoteReference"/>
        </w:rPr>
        <w:footnoteReference w:id="3"/>
      </w:r>
      <w:r w:rsidR="007A0C6F">
        <w:t xml:space="preserve">, </w:t>
      </w:r>
      <w:r w:rsidRPr="00EC6384" w:rsidR="007A0C6F">
        <w:t>Statistics of U.S. Business</w:t>
      </w:r>
      <w:r w:rsidR="007A0C6F">
        <w:t>es</w:t>
      </w:r>
      <w:r w:rsidRPr="00EC6384" w:rsidR="007A0C6F">
        <w:t xml:space="preserve"> (SUSB)</w:t>
      </w:r>
      <w:r>
        <w:rPr>
          <w:rStyle w:val="FootnoteReference"/>
        </w:rPr>
        <w:footnoteReference w:id="4"/>
      </w:r>
      <w:r w:rsidR="007A0C6F">
        <w:t xml:space="preserve">, and Business </w:t>
      </w:r>
      <w:r w:rsidR="007A0C6F">
        <w:t>Dynamics Statistics (BDS)</w:t>
      </w:r>
      <w:r>
        <w:rPr>
          <w:rStyle w:val="FootnoteReference"/>
        </w:rPr>
        <w:footnoteReference w:id="5"/>
      </w:r>
      <w:r w:rsidR="007A0C6F">
        <w:t>. We use SUSB and Economic Census data to estimate the counts of retail establishments that sell tobacco products</w:t>
      </w:r>
      <w:r>
        <w:rPr>
          <w:rStyle w:val="FootnoteReference"/>
        </w:rPr>
        <w:footnoteReference w:id="6"/>
      </w:r>
      <w:r w:rsidR="007A0C6F">
        <w:t xml:space="preserve">, resulting in a count of 237,113 total tobacco product retail establishments who keep records of training programs, written policies, and internal compliance check programs (Table 2) annually. </w:t>
      </w:r>
      <w:r w:rsidRPr="008010CC" w:rsidR="007A0C6F">
        <w:t xml:space="preserve">From the 2022 Business Dynamics Statistics, we </w:t>
      </w:r>
      <w:r w:rsidR="007A0C6F">
        <w:t>calculate</w:t>
      </w:r>
      <w:r w:rsidRPr="008010CC" w:rsidR="007A0C6F">
        <w:t xml:space="preserve"> establishment entry and exit rate</w:t>
      </w:r>
      <w:r w:rsidR="007A0C6F">
        <w:t xml:space="preserve"> of approximately 8 percent, on average,</w:t>
      </w:r>
      <w:r w:rsidRPr="008010CC" w:rsidR="007A0C6F">
        <w:t xml:space="preserve"> for NAICS industry</w:t>
      </w:r>
      <w:r w:rsidR="007A0C6F">
        <w:t xml:space="preserve"> codes</w:t>
      </w:r>
      <w:r w:rsidRPr="008010CC" w:rsidR="007A0C6F">
        <w:t xml:space="preserve"> 4451 (</w:t>
      </w:r>
      <w:r w:rsidR="007A0C6F">
        <w:t>Grocery and Convenience Retailers</w:t>
      </w:r>
      <w:r w:rsidRPr="008010CC" w:rsidR="007A0C6F">
        <w:t>) and 4471 (</w:t>
      </w:r>
      <w:r w:rsidR="007A0C6F">
        <w:t>Gasoline Stations</w:t>
      </w:r>
      <w:r w:rsidRPr="008010CC" w:rsidR="007A0C6F">
        <w:t xml:space="preserve">) - </w:t>
      </w:r>
      <w:r w:rsidR="007A0C6F">
        <w:t>these two categories represent</w:t>
      </w:r>
      <w:r w:rsidRPr="008010CC" w:rsidR="007A0C6F">
        <w:t xml:space="preserve"> more than 60% of </w:t>
      </w:r>
      <w:r w:rsidR="007A0C6F">
        <w:t xml:space="preserve">our estimated total count of </w:t>
      </w:r>
      <w:r w:rsidRPr="008010CC" w:rsidR="007A0C6F">
        <w:t>tobacco product retail establishments.</w:t>
      </w:r>
      <w:r w:rsidR="007A0C6F">
        <w:t xml:space="preserve"> In Table 1, we estimate </w:t>
      </w:r>
      <w:r w:rsidRPr="004338B3" w:rsidR="007A0C6F">
        <w:t xml:space="preserve">18,969 </w:t>
      </w:r>
      <w:r w:rsidR="007A0C6F">
        <w:t xml:space="preserve">tobacco retail establishments (= </w:t>
      </w:r>
      <w:r w:rsidRPr="004B0722" w:rsidR="007A0C6F">
        <w:t xml:space="preserve">237,113 total establishments x 8 percent) </w:t>
      </w:r>
      <w:r w:rsidR="007A0C6F">
        <w:t xml:space="preserve">may newly develop retailer training programs, written policies, and internal compliance check programs </w:t>
      </w:r>
      <w:r w:rsidRPr="004B0722" w:rsidR="007A0C6F">
        <w:t xml:space="preserve">annually. </w:t>
      </w:r>
    </w:p>
    <w:p w:rsidR="00E75E4A" w:rsidP="00E75E4A" w14:paraId="0E43D1B9" w14:textId="32FF9339">
      <w:pPr>
        <w:pStyle w:val="BodyText2"/>
        <w:tabs>
          <w:tab w:val="left" w:pos="180"/>
        </w:tabs>
        <w:spacing w:after="200"/>
        <w:ind w:left="180"/>
      </w:pPr>
      <w:r>
        <w:t xml:space="preserve">In Table 1, FDA estimates that developing a training program will require </w:t>
      </w:r>
      <w:r w:rsidR="00400606">
        <w:t>1</w:t>
      </w:r>
      <w:r>
        <w:t>6 hours, creating a written procedure may take 1 hour, and developing an internal compliance check program will require 3 hours for a total of 10 hours per respondent.</w:t>
      </w:r>
    </w:p>
    <w:p w:rsidR="00E75E4A" w:rsidP="00E75E4A" w14:paraId="2C7BA937" w14:textId="5AD14F31">
      <w:pPr>
        <w:pStyle w:val="BodyText2"/>
        <w:tabs>
          <w:tab w:val="left" w:pos="180"/>
        </w:tabs>
        <w:spacing w:after="200"/>
        <w:ind w:left="180"/>
      </w:pPr>
      <w:r>
        <w:t>For Table 2, the guidance recommends retailers periodically review and update their established training program, written policies, and internal compliance checks. Annually, we assume training programs and written policies will be reviewed and updated quarterly and therefore estimate 4 records per recordkeeper, taking 21 minutes per quarter (= 15 minutes + 6 minutes). Following the guidance, we assume retailers will conduct internal compliance checks every 6 months and therefore estimate 2 records per recordkeeper annually, taking 30 minutes per record.</w:t>
      </w:r>
    </w:p>
    <w:p w:rsidR="005F2DC7" w:rsidP="00902435" w14:paraId="6CCB2C79" w14:textId="764DFA39">
      <w:pPr>
        <w:spacing w:line="225" w:lineRule="atLeast"/>
        <w:ind w:left="180"/>
      </w:pPr>
      <w:r>
        <w:t xml:space="preserve">FDA estimates that the total </w:t>
      </w:r>
      <w:r w:rsidR="00A10D9D">
        <w:t xml:space="preserve">annual </w:t>
      </w:r>
      <w:r>
        <w:t xml:space="preserve">burden for this collection </w:t>
      </w:r>
      <w:r w:rsidR="00C21014">
        <w:t>is</w:t>
      </w:r>
      <w:r>
        <w:t xml:space="preserve"> </w:t>
      </w:r>
      <w:r w:rsidR="00C223EB">
        <w:t>1,043,296</w:t>
      </w:r>
      <w:r w:rsidR="006D2C94">
        <w:t xml:space="preserve"> </w:t>
      </w:r>
      <w:r>
        <w:t>hours (</w:t>
      </w:r>
      <w:r w:rsidR="00C223EB">
        <w:t>474,225</w:t>
      </w:r>
      <w:r w:rsidR="008908D2">
        <w:t xml:space="preserve"> </w:t>
      </w:r>
      <w:r w:rsidR="00943F76">
        <w:t>one-time recordkeeping</w:t>
      </w:r>
      <w:r>
        <w:t xml:space="preserve"> + </w:t>
      </w:r>
      <w:r w:rsidR="00D017B0">
        <w:t xml:space="preserve">569,071 </w:t>
      </w:r>
      <w:r w:rsidR="00943F76">
        <w:t xml:space="preserve">annual </w:t>
      </w:r>
      <w:r>
        <w:t>recordkeeping).</w:t>
      </w:r>
      <w:r w:rsidR="00C223EB">
        <w:t xml:space="preserve"> </w:t>
      </w:r>
      <w:r w:rsidR="00C223EB">
        <w:rPr>
          <w:rFonts w:ascii="Arial" w:hAnsi="Arial" w:cs="Arial"/>
          <w:color w:val="56606F"/>
          <w:sz w:val="17"/>
          <w:szCs w:val="17"/>
        </w:rPr>
        <w:br/>
      </w:r>
    </w:p>
    <w:p w:rsidR="00A93ED9" w:rsidRPr="00E34FE9" w:rsidP="00B67508" w14:paraId="52870731" w14:textId="4E7B16A0">
      <w:pPr>
        <w:pStyle w:val="BodyText2"/>
        <w:spacing w:after="200"/>
        <w:ind w:left="180" w:firstLine="360"/>
      </w:pPr>
      <w:r>
        <w:t xml:space="preserve">12b. </w:t>
      </w:r>
      <w:r w:rsidR="00411D11">
        <w:t>Annualized Cost Burden Estimate</w:t>
      </w:r>
    </w:p>
    <w:p w:rsidR="00B66DF9" w:rsidP="00B66DF9" w14:paraId="10ABFAA7" w14:textId="1156336D">
      <w:pPr>
        <w:pStyle w:val="BodyText2"/>
        <w:tabs>
          <w:tab w:val="left" w:pos="270"/>
        </w:tabs>
        <w:spacing w:after="200"/>
        <w:ind w:left="180"/>
      </w:pPr>
      <w:r>
        <w:t>The total annual reporting and recordkeeping cost to respondents is $</w:t>
      </w:r>
      <w:r w:rsidR="00400606">
        <w:t>36,431,896.32</w:t>
      </w:r>
      <w:r>
        <w:t xml:space="preserve">.  </w:t>
      </w:r>
      <w:r w:rsidRPr="00E34FE9">
        <w:t>Th</w:t>
      </w:r>
      <w:r>
        <w:t>is</w:t>
      </w:r>
      <w:r w:rsidRPr="00E34FE9">
        <w:t xml:space="preserve"> </w:t>
      </w:r>
      <w:r>
        <w:t xml:space="preserve">estimate assumes that the mean hourly wages for </w:t>
      </w:r>
      <w:r w:rsidRPr="008010CC">
        <w:t>445</w:t>
      </w:r>
      <w:r>
        <w:t>0A1</w:t>
      </w:r>
      <w:r w:rsidRPr="008010CC">
        <w:t xml:space="preserve"> (</w:t>
      </w:r>
      <w:r>
        <w:t>Food and Beverage Retailers, $18.52</w:t>
      </w:r>
      <w:r w:rsidRPr="008010CC">
        <w:t>)</w:t>
      </w:r>
      <w:r>
        <w:rPr>
          <w:rStyle w:val="FootnoteReference"/>
        </w:rPr>
        <w:footnoteReference w:id="7"/>
      </w:r>
      <w:r w:rsidRPr="008010CC">
        <w:t xml:space="preserve"> and 4471 (</w:t>
      </w:r>
      <w:r>
        <w:t>Gasoline Stations, $16.40</w:t>
      </w:r>
      <w:r w:rsidRPr="008010CC">
        <w:t>)</w:t>
      </w:r>
      <w:r>
        <w:rPr>
          <w:rStyle w:val="FootnoteReference"/>
        </w:rPr>
        <w:footnoteReference w:id="8"/>
      </w:r>
      <w:r>
        <w:t xml:space="preserve"> industry (all occupations) labor category will account for both the development of a tobacco retailer training program and annual record keeping at an average (mean) hourly wage of $17.46 </w:t>
      </w:r>
      <w:r w:rsidR="009A2D9F">
        <w:t xml:space="preserve">using </w:t>
      </w:r>
      <w:r>
        <w:t xml:space="preserve">Department of Labor’s </w:t>
      </w:r>
      <w:r w:rsidRPr="00E34FE9">
        <w:t>Bureau of Labor Statistics</w:t>
      </w:r>
      <w:r>
        <w:t xml:space="preserve"> (BLS), </w:t>
      </w:r>
      <w:r w:rsidRPr="00E34FE9">
        <w:t>May 202</w:t>
      </w:r>
      <w:r>
        <w:t>4</w:t>
      </w:r>
      <w:r w:rsidRPr="00E34FE9">
        <w:t xml:space="preserve"> </w:t>
      </w:r>
      <w:r>
        <w:t>National Industry-Specific Occupational Employment and Wage Estimates</w:t>
      </w:r>
      <w:r w:rsidR="009A2D9F">
        <w:t>.</w:t>
      </w:r>
      <w:r>
        <w:t xml:space="preserve"> </w:t>
      </w:r>
      <w:r w:rsidRPr="00E34FE9">
        <w:t>We double this to account for benefits and overhead, yielding an hourly wage rate of $</w:t>
      </w:r>
      <w:r>
        <w:t>34.92</w:t>
      </w:r>
      <w:r w:rsidRPr="00E34FE9">
        <w:t>. The annual one-time recordkeeping cost to respondents for the development of a tobacco retailer training program is estimated to be $</w:t>
      </w:r>
      <w:r>
        <w:t>6,623,974.80</w:t>
      </w:r>
      <w:r w:rsidRPr="00E34FE9">
        <w:t xml:space="preserve"> (</w:t>
      </w:r>
      <w:r w:rsidR="00400606">
        <w:t>474,225</w:t>
      </w:r>
      <w:r>
        <w:t xml:space="preserve"> </w:t>
      </w:r>
      <w:r w:rsidRPr="00E34FE9">
        <w:t>annualized one-time reporting hours x $</w:t>
      </w:r>
      <w:r>
        <w:t>34.92</w:t>
      </w:r>
      <w:r w:rsidRPr="00E34FE9">
        <w:t>/hr.).</w:t>
      </w:r>
      <w:r>
        <w:t xml:space="preserve"> </w:t>
      </w:r>
      <w:r w:rsidRPr="00E34FE9">
        <w:t>FDA estimates the annual recordkeeping cost to respondents is $</w:t>
      </w:r>
      <w:r w:rsidR="00400606">
        <w:t>19,871,959</w:t>
      </w:r>
      <w:r>
        <w:t>.32</w:t>
      </w:r>
      <w:r w:rsidRPr="00E34FE9">
        <w:t xml:space="preserve"> (</w:t>
      </w:r>
      <w:r w:rsidRPr="00B66DF9">
        <w:t xml:space="preserve">569,071 </w:t>
      </w:r>
      <w:r w:rsidRPr="00E34FE9">
        <w:t>annual recordkeeping hours x $</w:t>
      </w:r>
      <w:r>
        <w:t>34.92/hr.).</w:t>
      </w:r>
      <w:r w:rsidRPr="00400606" w:rsidR="00400606">
        <w:rPr>
          <w:sz w:val="20"/>
        </w:rPr>
        <w:t xml:space="preserve"> </w:t>
      </w:r>
    </w:p>
    <w:p w:rsidR="00F2677F" w:rsidP="00B66DF9" w14:paraId="0CB2414A" w14:textId="77777777">
      <w:pPr>
        <w:pStyle w:val="BodyText2"/>
        <w:tabs>
          <w:tab w:val="left" w:pos="270"/>
        </w:tabs>
        <w:spacing w:after="200"/>
        <w:ind w:left="180"/>
      </w:pPr>
    </w:p>
    <w:p w:rsidR="00AA7E4F" w:rsidRPr="00AA7E4F" w:rsidP="00F2677F" w14:paraId="53A62D3C" w14:textId="10907382">
      <w:pPr>
        <w:pStyle w:val="BodyText2"/>
        <w:keepNext/>
        <w:keepLines/>
        <w:tabs>
          <w:tab w:val="left" w:pos="270"/>
        </w:tabs>
        <w:ind w:left="187"/>
        <w:jc w:val="center"/>
        <w:rPr>
          <w:sz w:val="20"/>
        </w:rPr>
      </w:pPr>
      <w:r w:rsidRPr="0DD7CCC2">
        <w:rPr>
          <w:sz w:val="20"/>
        </w:rPr>
        <w:t>Table 3--Estimated Annual Cost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6"/>
        <w:gridCol w:w="1624"/>
        <w:gridCol w:w="2130"/>
        <w:gridCol w:w="2916"/>
      </w:tblGrid>
      <w:tr w14:paraId="3AB56197" w14:textId="77777777" w:rsidTr="0DD7CCC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96" w:type="dxa"/>
            <w:vAlign w:val="center"/>
          </w:tcPr>
          <w:p w:rsidR="003740BC" w:rsidRPr="00B30A29" w:rsidP="00F2677F" w14:paraId="2FA3174F" w14:textId="3AE97041">
            <w:pPr>
              <w:keepNext/>
              <w:keepLines/>
              <w:jc w:val="center"/>
              <w:rPr>
                <w:sz w:val="20"/>
                <w:szCs w:val="20"/>
              </w:rPr>
            </w:pPr>
            <w:r w:rsidRPr="00B30A29">
              <w:rPr>
                <w:sz w:val="20"/>
                <w:szCs w:val="20"/>
              </w:rPr>
              <w:t>Activity</w:t>
            </w:r>
          </w:p>
        </w:tc>
        <w:tc>
          <w:tcPr>
            <w:tcW w:w="1624" w:type="dxa"/>
            <w:vAlign w:val="center"/>
          </w:tcPr>
          <w:p w:rsidR="003740BC" w:rsidRPr="00B30A29" w:rsidP="00F2677F" w14:paraId="1EC1F86F" w14:textId="754753D3">
            <w:pPr>
              <w:keepNext/>
              <w:keepLines/>
              <w:jc w:val="center"/>
              <w:rPr>
                <w:sz w:val="20"/>
                <w:szCs w:val="20"/>
              </w:rPr>
            </w:pPr>
            <w:r w:rsidRPr="00B30A29">
              <w:rPr>
                <w:sz w:val="20"/>
                <w:szCs w:val="20"/>
              </w:rPr>
              <w:t xml:space="preserve">Total </w:t>
            </w:r>
            <w:r w:rsidRPr="00B30A29" w:rsidR="00144801">
              <w:rPr>
                <w:sz w:val="20"/>
                <w:szCs w:val="20"/>
              </w:rPr>
              <w:t>B</w:t>
            </w:r>
            <w:r w:rsidRPr="00B30A29">
              <w:rPr>
                <w:sz w:val="20"/>
                <w:szCs w:val="20"/>
              </w:rPr>
              <w:t xml:space="preserve">urden </w:t>
            </w:r>
            <w:r w:rsidRPr="00B30A29" w:rsidR="00144801">
              <w:rPr>
                <w:sz w:val="20"/>
                <w:szCs w:val="20"/>
              </w:rPr>
              <w:t>H</w:t>
            </w:r>
            <w:r w:rsidRPr="00B30A29">
              <w:rPr>
                <w:sz w:val="20"/>
                <w:szCs w:val="20"/>
              </w:rPr>
              <w:t>ours</w:t>
            </w:r>
          </w:p>
        </w:tc>
        <w:tc>
          <w:tcPr>
            <w:tcW w:w="2130" w:type="dxa"/>
            <w:vAlign w:val="center"/>
          </w:tcPr>
          <w:p w:rsidR="003740BC" w:rsidRPr="00B30A29" w:rsidP="00F2677F" w14:paraId="12647FC9" w14:textId="455A6614">
            <w:pPr>
              <w:keepNext/>
              <w:keepLines/>
              <w:jc w:val="center"/>
              <w:rPr>
                <w:sz w:val="20"/>
                <w:szCs w:val="20"/>
              </w:rPr>
            </w:pPr>
            <w:r w:rsidRPr="00B30A29">
              <w:rPr>
                <w:sz w:val="20"/>
                <w:szCs w:val="20"/>
              </w:rPr>
              <w:t xml:space="preserve">Hourly </w:t>
            </w:r>
            <w:r w:rsidRPr="00B30A29" w:rsidR="00144801">
              <w:rPr>
                <w:sz w:val="20"/>
                <w:szCs w:val="20"/>
              </w:rPr>
              <w:t>W</w:t>
            </w:r>
            <w:r w:rsidRPr="00B30A29">
              <w:rPr>
                <w:sz w:val="20"/>
                <w:szCs w:val="20"/>
              </w:rPr>
              <w:t xml:space="preserve">age </w:t>
            </w:r>
            <w:r w:rsidRPr="00B30A29" w:rsidR="00144801">
              <w:rPr>
                <w:sz w:val="20"/>
                <w:szCs w:val="20"/>
              </w:rPr>
              <w:t>R</w:t>
            </w:r>
            <w:r w:rsidRPr="00B30A29">
              <w:rPr>
                <w:sz w:val="20"/>
                <w:szCs w:val="20"/>
              </w:rPr>
              <w:t>ate</w:t>
            </w:r>
          </w:p>
        </w:tc>
        <w:tc>
          <w:tcPr>
            <w:tcW w:w="2916" w:type="dxa"/>
            <w:vAlign w:val="center"/>
          </w:tcPr>
          <w:p w:rsidR="003740BC" w:rsidRPr="00B30A29" w:rsidP="00F2677F" w14:paraId="3487041B" w14:textId="17591113">
            <w:pPr>
              <w:keepNext/>
              <w:keepLines/>
              <w:jc w:val="center"/>
              <w:rPr>
                <w:sz w:val="20"/>
                <w:szCs w:val="20"/>
              </w:rPr>
            </w:pPr>
            <w:r w:rsidRPr="00B30A29">
              <w:rPr>
                <w:sz w:val="20"/>
                <w:szCs w:val="20"/>
              </w:rPr>
              <w:t xml:space="preserve">Total </w:t>
            </w:r>
            <w:r w:rsidRPr="00B30A29" w:rsidR="00144801">
              <w:rPr>
                <w:sz w:val="20"/>
                <w:szCs w:val="20"/>
              </w:rPr>
              <w:t>R</w:t>
            </w:r>
            <w:r w:rsidRPr="00B30A29">
              <w:rPr>
                <w:sz w:val="20"/>
                <w:szCs w:val="20"/>
              </w:rPr>
              <w:t xml:space="preserve">espondent </w:t>
            </w:r>
            <w:r w:rsidRPr="00B30A29" w:rsidR="00144801">
              <w:rPr>
                <w:sz w:val="20"/>
                <w:szCs w:val="20"/>
              </w:rPr>
              <w:t>C</w:t>
            </w:r>
            <w:r w:rsidRPr="00B30A29">
              <w:rPr>
                <w:sz w:val="20"/>
                <w:szCs w:val="20"/>
              </w:rPr>
              <w:t>osts</w:t>
            </w:r>
          </w:p>
        </w:tc>
      </w:tr>
      <w:tr w14:paraId="74418FC4" w14:textId="77777777" w:rsidTr="0DD7CCC2">
        <w:tblPrEx>
          <w:tblW w:w="0" w:type="auto"/>
          <w:tblInd w:w="828" w:type="dxa"/>
          <w:tblLook w:val="01E0"/>
        </w:tblPrEx>
        <w:tc>
          <w:tcPr>
            <w:tcW w:w="1996" w:type="dxa"/>
            <w:vAlign w:val="center"/>
          </w:tcPr>
          <w:p w:rsidR="00586F28" w:rsidRPr="00B30A29" w:rsidP="00F2677F" w14:paraId="5B6DB944" w14:textId="070B5FA7">
            <w:pPr>
              <w:keepNext/>
              <w:keepLines/>
              <w:rPr>
                <w:sz w:val="20"/>
                <w:szCs w:val="20"/>
              </w:rPr>
            </w:pPr>
            <w:r w:rsidRPr="00B30A29">
              <w:rPr>
                <w:sz w:val="20"/>
                <w:szCs w:val="20"/>
              </w:rPr>
              <w:t>One-time Recordkeeping</w:t>
            </w:r>
          </w:p>
        </w:tc>
        <w:tc>
          <w:tcPr>
            <w:tcW w:w="1624" w:type="dxa"/>
            <w:vAlign w:val="center"/>
          </w:tcPr>
          <w:p w:rsidR="00586F28" w:rsidRPr="00B30A29" w:rsidP="00F2677F" w14:paraId="1B69569F" w14:textId="32822C9C">
            <w:pPr>
              <w:keepNext/>
              <w:keepLines/>
              <w:jc w:val="center"/>
              <w:rPr>
                <w:noProof/>
                <w:sz w:val="20"/>
                <w:szCs w:val="20"/>
              </w:rPr>
            </w:pPr>
            <w:r>
              <w:rPr>
                <w:sz w:val="20"/>
                <w:szCs w:val="20"/>
              </w:rPr>
              <w:t>474,225</w:t>
            </w:r>
          </w:p>
        </w:tc>
        <w:tc>
          <w:tcPr>
            <w:tcW w:w="2130" w:type="dxa"/>
            <w:vAlign w:val="center"/>
          </w:tcPr>
          <w:p w:rsidR="00586F28" w:rsidRPr="00B30A29" w:rsidP="00F2677F" w14:paraId="332CE156" w14:textId="2B660891">
            <w:pPr>
              <w:keepNext/>
              <w:keepLines/>
              <w:jc w:val="center"/>
              <w:rPr>
                <w:sz w:val="20"/>
                <w:szCs w:val="20"/>
              </w:rPr>
            </w:pPr>
            <w:r w:rsidRPr="0DD7CCC2">
              <w:rPr>
                <w:sz w:val="20"/>
                <w:szCs w:val="20"/>
              </w:rPr>
              <w:t>$34.92</w:t>
            </w:r>
          </w:p>
        </w:tc>
        <w:tc>
          <w:tcPr>
            <w:tcW w:w="2916" w:type="dxa"/>
            <w:vAlign w:val="center"/>
          </w:tcPr>
          <w:p w:rsidR="00586F28" w:rsidRPr="00B30A29" w:rsidP="00F2677F" w14:paraId="5BCD7655" w14:textId="3ABECEA5">
            <w:pPr>
              <w:keepNext/>
              <w:keepLines/>
              <w:spacing w:line="259" w:lineRule="auto"/>
              <w:jc w:val="center"/>
              <w:rPr>
                <w:sz w:val="20"/>
                <w:szCs w:val="20"/>
              </w:rPr>
            </w:pPr>
            <w:r w:rsidRPr="0DD7CCC2">
              <w:rPr>
                <w:sz w:val="20"/>
                <w:szCs w:val="20"/>
              </w:rPr>
              <w:t>$</w:t>
            </w:r>
            <w:r w:rsidR="00400606">
              <w:rPr>
                <w:sz w:val="20"/>
                <w:szCs w:val="20"/>
              </w:rPr>
              <w:t>16,559,937</w:t>
            </w:r>
          </w:p>
        </w:tc>
      </w:tr>
      <w:tr w14:paraId="383CCCC7" w14:textId="77777777" w:rsidTr="0DD7CCC2">
        <w:tblPrEx>
          <w:tblW w:w="0" w:type="auto"/>
          <w:tblInd w:w="828" w:type="dxa"/>
          <w:tblLook w:val="01E0"/>
        </w:tblPrEx>
        <w:tc>
          <w:tcPr>
            <w:tcW w:w="1996" w:type="dxa"/>
            <w:vAlign w:val="center"/>
          </w:tcPr>
          <w:p w:rsidR="00586F28" w:rsidRPr="00B30A29" w:rsidP="00F2677F" w14:paraId="123539D5" w14:textId="092D4D67">
            <w:pPr>
              <w:keepNext/>
              <w:keepLines/>
              <w:rPr>
                <w:sz w:val="20"/>
                <w:szCs w:val="20"/>
              </w:rPr>
            </w:pPr>
            <w:r w:rsidRPr="00B30A29">
              <w:rPr>
                <w:sz w:val="20"/>
                <w:szCs w:val="20"/>
              </w:rPr>
              <w:t>Annual Recordkeeping</w:t>
            </w:r>
          </w:p>
        </w:tc>
        <w:tc>
          <w:tcPr>
            <w:tcW w:w="1624" w:type="dxa"/>
            <w:vAlign w:val="center"/>
          </w:tcPr>
          <w:p w:rsidR="00586F28" w:rsidRPr="00B30A29" w:rsidP="00F2677F" w14:paraId="1EF85BF3" w14:textId="48B8B01C">
            <w:pPr>
              <w:keepNext/>
              <w:keepLines/>
              <w:spacing w:line="259" w:lineRule="auto"/>
              <w:jc w:val="center"/>
              <w:rPr>
                <w:sz w:val="20"/>
                <w:szCs w:val="20"/>
              </w:rPr>
            </w:pPr>
            <w:r w:rsidRPr="0DD7CCC2">
              <w:rPr>
                <w:sz w:val="20"/>
                <w:szCs w:val="20"/>
              </w:rPr>
              <w:t>569,071</w:t>
            </w:r>
          </w:p>
        </w:tc>
        <w:tc>
          <w:tcPr>
            <w:tcW w:w="2130" w:type="dxa"/>
            <w:vAlign w:val="center"/>
          </w:tcPr>
          <w:p w:rsidR="00586F28" w:rsidRPr="00B30A29" w:rsidP="00F2677F" w14:paraId="38EC3C44" w14:textId="79D8ECF0">
            <w:pPr>
              <w:keepNext/>
              <w:keepLines/>
              <w:jc w:val="center"/>
              <w:rPr>
                <w:sz w:val="20"/>
                <w:szCs w:val="20"/>
              </w:rPr>
            </w:pPr>
            <w:r w:rsidRPr="0DD7CCC2">
              <w:rPr>
                <w:sz w:val="20"/>
                <w:szCs w:val="20"/>
              </w:rPr>
              <w:t>$34.92</w:t>
            </w:r>
          </w:p>
        </w:tc>
        <w:tc>
          <w:tcPr>
            <w:tcW w:w="2916" w:type="dxa"/>
            <w:vAlign w:val="center"/>
          </w:tcPr>
          <w:p w:rsidR="00586F28" w:rsidRPr="00B30A29" w:rsidP="00F2677F" w14:paraId="59D0BF03" w14:textId="64868CA3">
            <w:pPr>
              <w:keepNext/>
              <w:keepLines/>
              <w:spacing w:line="259" w:lineRule="auto"/>
              <w:jc w:val="center"/>
              <w:rPr>
                <w:sz w:val="20"/>
                <w:szCs w:val="20"/>
              </w:rPr>
            </w:pPr>
            <w:r w:rsidRPr="0DD7CCC2">
              <w:rPr>
                <w:sz w:val="20"/>
                <w:szCs w:val="20"/>
              </w:rPr>
              <w:t>$</w:t>
            </w:r>
            <w:r w:rsidR="00400606">
              <w:rPr>
                <w:sz w:val="20"/>
                <w:szCs w:val="20"/>
              </w:rPr>
              <w:t>19,871,959</w:t>
            </w:r>
            <w:r w:rsidRPr="0DD7CCC2">
              <w:rPr>
                <w:sz w:val="20"/>
                <w:szCs w:val="20"/>
              </w:rPr>
              <w:t>.32</w:t>
            </w:r>
          </w:p>
        </w:tc>
      </w:tr>
      <w:tr w14:paraId="77BD3950" w14:textId="77777777" w:rsidTr="0DD7CCC2">
        <w:tblPrEx>
          <w:tblW w:w="0" w:type="auto"/>
          <w:tblInd w:w="828" w:type="dxa"/>
          <w:tblLook w:val="01E0"/>
        </w:tblPrEx>
        <w:tc>
          <w:tcPr>
            <w:tcW w:w="5750" w:type="dxa"/>
            <w:gridSpan w:val="3"/>
          </w:tcPr>
          <w:p w:rsidR="00586F28" w:rsidRPr="00B30A29" w:rsidP="00F2677F" w14:paraId="0F88BD58" w14:textId="77777777">
            <w:pPr>
              <w:keepNext/>
              <w:keepLines/>
              <w:rPr>
                <w:sz w:val="20"/>
                <w:szCs w:val="20"/>
              </w:rPr>
            </w:pPr>
            <w:r w:rsidRPr="00B30A29">
              <w:rPr>
                <w:sz w:val="20"/>
                <w:szCs w:val="20"/>
              </w:rPr>
              <w:t>Total</w:t>
            </w:r>
          </w:p>
        </w:tc>
        <w:tc>
          <w:tcPr>
            <w:tcW w:w="2916" w:type="dxa"/>
            <w:vAlign w:val="center"/>
          </w:tcPr>
          <w:p w:rsidR="00586F28" w:rsidRPr="00B30A29" w:rsidP="00F2677F" w14:paraId="0BD4A4A6" w14:textId="0131CDD2">
            <w:pPr>
              <w:keepNext/>
              <w:keepLines/>
              <w:jc w:val="center"/>
              <w:rPr>
                <w:sz w:val="20"/>
                <w:szCs w:val="20"/>
              </w:rPr>
            </w:pPr>
            <w:r w:rsidRPr="0DD7CCC2">
              <w:rPr>
                <w:sz w:val="20"/>
                <w:szCs w:val="20"/>
              </w:rPr>
              <w:t>$</w:t>
            </w:r>
            <w:r w:rsidR="00400606">
              <w:rPr>
                <w:sz w:val="20"/>
                <w:szCs w:val="20"/>
              </w:rPr>
              <w:t>36,431,896.32</w:t>
            </w:r>
          </w:p>
        </w:tc>
      </w:tr>
    </w:tbl>
    <w:p w:rsidR="003740BC" w:rsidP="00C7767F" w14:paraId="314C9711" w14:textId="77777777">
      <w:pPr>
        <w:pStyle w:val="BodyText2"/>
      </w:pPr>
    </w:p>
    <w:p w:rsidR="004C6979" w:rsidRPr="004C6979" w:rsidP="007D73E5" w14:paraId="624C3B52" w14:textId="77777777">
      <w:pPr>
        <w:numPr>
          <w:ilvl w:val="0"/>
          <w:numId w:val="4"/>
        </w:numPr>
        <w:tabs>
          <w:tab w:val="num" w:pos="360"/>
          <w:tab w:val="clear" w:pos="720"/>
        </w:tabs>
        <w:spacing w:after="200"/>
        <w:ind w:left="360"/>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EB1835" w:rsidP="007D73E5" w14:paraId="218C91F5" w14:textId="3DCFF2F9">
      <w:pPr>
        <w:tabs>
          <w:tab w:val="num" w:pos="360"/>
        </w:tabs>
        <w:spacing w:after="200"/>
        <w:ind w:left="360" w:hanging="360"/>
      </w:pPr>
      <w:r>
        <w:t>There are no additional costs associated with this collection of information.</w:t>
      </w:r>
    </w:p>
    <w:p w:rsidR="004C6979" w:rsidRPr="004C6979" w:rsidP="007D73E5" w14:paraId="28C81D53" w14:textId="77777777">
      <w:pPr>
        <w:numPr>
          <w:ilvl w:val="0"/>
          <w:numId w:val="4"/>
        </w:numPr>
        <w:tabs>
          <w:tab w:val="num" w:pos="360"/>
          <w:tab w:val="clear" w:pos="720"/>
        </w:tabs>
        <w:spacing w:after="200"/>
        <w:ind w:left="360"/>
        <w:rPr>
          <w:u w:val="single"/>
        </w:rPr>
      </w:pPr>
      <w:r w:rsidRPr="004C6979">
        <w:rPr>
          <w:u w:val="single"/>
        </w:rPr>
        <w:t>Annualized Cost to the Federal Government</w:t>
      </w:r>
    </w:p>
    <w:p w:rsidR="00A70426" w:rsidP="007D73E5" w14:paraId="2019D145" w14:textId="2F9DD8E1">
      <w:pPr>
        <w:tabs>
          <w:tab w:val="num" w:pos="360"/>
        </w:tabs>
        <w:spacing w:after="200"/>
      </w:pPr>
      <w:bookmarkStart w:id="2" w:name="_Hlk114214043"/>
      <w:r>
        <w:t>As discussed earlier in the document, retailers are under no obligation to submit their training programs</w:t>
      </w:r>
      <w:r w:rsidR="00C676AD">
        <w:t xml:space="preserve"> </w:t>
      </w:r>
      <w:r w:rsidR="00487169">
        <w:t xml:space="preserve">(including the </w:t>
      </w:r>
      <w:r w:rsidR="00C676AD">
        <w:t>written policy against sales to minors and employee acknowledgement</w:t>
      </w:r>
      <w:r w:rsidR="00487169">
        <w:t xml:space="preserve"> and the </w:t>
      </w:r>
      <w:r w:rsidR="00C676AD">
        <w:t>internal compliance check program</w:t>
      </w:r>
      <w:r w:rsidR="00487169">
        <w:t>)</w:t>
      </w:r>
      <w:r>
        <w:t xml:space="preserve"> for FDA review, and retailers who have received a complaint should not submit the</w:t>
      </w:r>
      <w:r w:rsidR="00C676AD">
        <w:t>se</w:t>
      </w:r>
      <w:r>
        <w:t xml:space="preserve"> training </w:t>
      </w:r>
      <w:r w:rsidR="00C676AD">
        <w:t>documents</w:t>
      </w:r>
      <w:r>
        <w:t xml:space="preserve"> for FDA review under this information collection. </w:t>
      </w:r>
      <w:r w:rsidR="00543F6D">
        <w:t xml:space="preserve">The submissions during the Civil Money Penalty or No-Tobacco-Sale Order process are an administration action to which FDA and an individual retailer are parties. Retailer training program submissions made to FDA during this process are exempted from OMB review and approval </w:t>
      </w:r>
      <w:r w:rsidR="00B301B1">
        <w:t xml:space="preserve">under </w:t>
      </w:r>
      <w:r w:rsidR="00543F6D">
        <w:t>the Paperwork Reduction Act (PRA) and its implementing regulations, as they are administrative actions conducted by FDA and exempted from the PRA under (5</w:t>
      </w:r>
      <w:r w:rsidR="006A4F28">
        <w:t> </w:t>
      </w:r>
      <w:r w:rsidR="00543F6D">
        <w:t>CFR</w:t>
      </w:r>
      <w:r w:rsidR="006A4F28">
        <w:t> </w:t>
      </w:r>
      <w:r w:rsidR="00543F6D">
        <w:t xml:space="preserve">1320.4(a)(2)). </w:t>
      </w:r>
      <w:r>
        <w:t>As such these activities are not covered under this collection and we do not associate a cost to the government</w:t>
      </w:r>
      <w:r w:rsidR="0081592B">
        <w:t>.</w:t>
      </w:r>
    </w:p>
    <w:bookmarkEnd w:id="2"/>
    <w:p w:rsidR="009C3A38" w:rsidRPr="009C3A38" w:rsidP="007D73E5" w14:paraId="246791DA" w14:textId="2BFAD021">
      <w:pPr>
        <w:numPr>
          <w:ilvl w:val="0"/>
          <w:numId w:val="4"/>
        </w:numPr>
        <w:tabs>
          <w:tab w:val="num" w:pos="360"/>
          <w:tab w:val="clear" w:pos="720"/>
        </w:tabs>
        <w:spacing w:after="200"/>
        <w:ind w:left="360"/>
        <w:rPr>
          <w:u w:val="single"/>
        </w:rPr>
      </w:pPr>
      <w:r w:rsidRPr="004C6979">
        <w:rPr>
          <w:u w:val="single"/>
        </w:rPr>
        <w:t>Explanation for Program Changes or Adjustments</w:t>
      </w:r>
    </w:p>
    <w:p w:rsidR="00034DD8" w:rsidP="0DD7CCC2" w14:paraId="60F90EDE" w14:textId="156F4306">
      <w:pPr>
        <w:tabs>
          <w:tab w:val="num" w:pos="360"/>
        </w:tabs>
        <w:spacing w:after="200"/>
      </w:pPr>
      <w:r>
        <w:t xml:space="preserve">FDA has updated the counts of tobacco product retail establishments in Table 1 and Table 2 using more recent data from Census Bureau on the number of retail establishments that sell tobacco products and retail establishment entry and exit rates. FDA has adjusted the burden estimate per record in Table 1 to reflect the availability of online support resources provided by FDA to assist retail establishments in developing training programs and internal compliance check programs. </w:t>
      </w:r>
      <w:r w:rsidRPr="00570936" w:rsidR="00570936">
        <w:t xml:space="preserve">The estimated burden for the information collection reflects an overall </w:t>
      </w:r>
      <w:r w:rsidR="00570936">
        <w:t>increase of 1,391,937 responses</w:t>
      </w:r>
      <w:r w:rsidR="00570936">
        <w:t xml:space="preserve"> and a decrease</w:t>
      </w:r>
      <w:r w:rsidRPr="00570936" w:rsidR="00570936">
        <w:t xml:space="preserve"> of </w:t>
      </w:r>
      <w:r w:rsidR="00570936">
        <w:t xml:space="preserve">1,140,484 </w:t>
      </w:r>
      <w:r w:rsidRPr="00570936" w:rsidR="00570936">
        <w:t>hour</w:t>
      </w:r>
      <w:r>
        <w:t xml:space="preserve">. FDA has adjusted its annualized cost burden estimate to incorporate retail establishment </w:t>
      </w:r>
      <w:r w:rsidRPr="00783AC0">
        <w:t xml:space="preserve">wage estimates instead of Tobacco Manufacturing wages to better reflect the wage rates of the respondents developing and maintaining these records. </w:t>
      </w:r>
      <w:r w:rsidRPr="00783AC0" w:rsidR="00783AC0">
        <w:t>As a result of FDA’s adjustments, the total respondent costs associated with tobacco retailer training programs decrease from $136,049,494.00 to $36,431,896.32, a reduction of $99,617,597.68.</w:t>
      </w:r>
    </w:p>
    <w:p w:rsidR="00034DD8" w:rsidP="0DD7CCC2" w14:paraId="63215FDA" w14:textId="77777777">
      <w:pPr>
        <w:tabs>
          <w:tab w:val="num" w:pos="360"/>
        </w:tabs>
        <w:spacing w:after="200"/>
      </w:pPr>
    </w:p>
    <w:p w:rsidR="00034DD8" w:rsidP="0DD7CCC2" w14:paraId="17DC99BA" w14:textId="77777777">
      <w:pPr>
        <w:tabs>
          <w:tab w:val="num" w:pos="360"/>
        </w:tabs>
        <w:spacing w:after="200"/>
      </w:pPr>
    </w:p>
    <w:p w:rsidR="00034DD8" w:rsidP="0DD7CCC2" w14:paraId="3F038351" w14:textId="77777777">
      <w:pPr>
        <w:tabs>
          <w:tab w:val="num" w:pos="360"/>
        </w:tabs>
        <w:spacing w:after="200"/>
      </w:pPr>
    </w:p>
    <w:p w:rsidR="00034DD8" w:rsidP="0DD7CCC2" w14:paraId="75A7F817" w14:textId="77777777">
      <w:pPr>
        <w:tabs>
          <w:tab w:val="num" w:pos="360"/>
        </w:tabs>
        <w:spacing w:after="200"/>
      </w:pPr>
    </w:p>
    <w:p w:rsidR="00034DD8" w:rsidP="0DD7CCC2" w14:paraId="4A4F5526" w14:textId="77777777">
      <w:pPr>
        <w:tabs>
          <w:tab w:val="num" w:pos="360"/>
        </w:tabs>
        <w:spacing w:after="200"/>
      </w:pPr>
    </w:p>
    <w:p w:rsidR="00034DD8" w:rsidP="0DD7CCC2" w14:paraId="07C259C7" w14:textId="77777777">
      <w:pPr>
        <w:tabs>
          <w:tab w:val="num" w:pos="360"/>
        </w:tabs>
        <w:spacing w:after="200"/>
      </w:pPr>
    </w:p>
    <w:p w:rsidR="00ED1F07" w:rsidRPr="00DE01E6" w:rsidP="00ED1F07" w14:paraId="0F9B7536" w14:textId="77777777">
      <w:pPr>
        <w:keepNext/>
        <w:tabs>
          <w:tab w:val="num" w:pos="360"/>
        </w:tabs>
        <w:jc w:val="center"/>
        <w:rPr>
          <w:vertAlign w:val="superscript"/>
        </w:rPr>
      </w:pPr>
      <w:r w:rsidRPr="0DD7CCC2">
        <w:rPr>
          <w:sz w:val="20"/>
          <w:szCs w:val="20"/>
        </w:rPr>
        <w:t xml:space="preserve">Table </w:t>
      </w:r>
      <w:r w:rsidRPr="0DD7CCC2">
        <w:rPr>
          <w:sz w:val="20"/>
          <w:szCs w:val="20"/>
        </w:rPr>
        <w:t>1.--</w:t>
      </w:r>
      <w:r w:rsidRPr="0DD7CCC2">
        <w:rPr>
          <w:sz w:val="20"/>
          <w:szCs w:val="20"/>
        </w:rPr>
        <w:t>Estimated One Time Recordkeeping Burden</w:t>
      </w:r>
    </w:p>
    <w:tbl>
      <w:tblPr>
        <w:tblpPr w:leftFromText="180" w:rightFromText="180" w:vertAnchor="text" w:horzAnchor="margin" w:tblpY="36"/>
        <w:tblW w:w="9530" w:type="dxa"/>
        <w:tblCellMar>
          <w:left w:w="0" w:type="dxa"/>
          <w:right w:w="0" w:type="dxa"/>
        </w:tblCellMar>
        <w:tblLook w:val="04A0"/>
      </w:tblPr>
      <w:tblGrid>
        <w:gridCol w:w="2600"/>
        <w:gridCol w:w="1497"/>
        <w:gridCol w:w="1462"/>
        <w:gridCol w:w="1309"/>
        <w:gridCol w:w="2662"/>
      </w:tblGrid>
      <w:tr w14:paraId="1A0BC521" w14:textId="77777777" w:rsidTr="00783AC0">
        <w:tblPrEx>
          <w:tblW w:w="9530" w:type="dxa"/>
          <w:tblCellMar>
            <w:left w:w="0" w:type="dxa"/>
            <w:right w:w="0" w:type="dxa"/>
          </w:tblCellMar>
          <w:tblLook w:val="04A0"/>
        </w:tblPrEx>
        <w:trPr>
          <w:cantSplit/>
          <w:trHeight w:val="4"/>
          <w:tblHeader/>
        </w:trPr>
        <w:tc>
          <w:tcPr>
            <w:tcW w:w="2600" w:type="dxa"/>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783AC0" w:rsidRPr="00702699" w:rsidP="00783AC0" w14:paraId="0ABACCD4" w14:textId="3E58A4C3">
            <w:pPr>
              <w:spacing w:after="160" w:line="259" w:lineRule="auto"/>
              <w:jc w:val="center"/>
              <w:rPr>
                <w:sz w:val="20"/>
                <w:szCs w:val="20"/>
              </w:rPr>
            </w:pPr>
            <w:r w:rsidRPr="00702699">
              <w:rPr>
                <w:sz w:val="20"/>
                <w:szCs w:val="20"/>
              </w:rPr>
              <w:t>Activity/CFR Section</w:t>
            </w:r>
          </w:p>
        </w:tc>
        <w:tc>
          <w:tcPr>
            <w:tcW w:w="1497"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783AC0" w:rsidRPr="00702699" w:rsidP="00783AC0" w14:paraId="3B5098FD" w14:textId="7A6EBFDE">
            <w:pPr>
              <w:spacing w:after="160" w:line="259" w:lineRule="auto"/>
              <w:jc w:val="center"/>
              <w:rPr>
                <w:sz w:val="20"/>
                <w:szCs w:val="20"/>
              </w:rPr>
            </w:pPr>
            <w:r w:rsidRPr="00702699">
              <w:rPr>
                <w:sz w:val="20"/>
                <w:szCs w:val="20"/>
              </w:rPr>
              <w:t>Previous Approved Annual Burden Hours</w:t>
            </w:r>
          </w:p>
        </w:tc>
        <w:tc>
          <w:tcPr>
            <w:tcW w:w="1462"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783AC0" w:rsidRPr="00702699" w:rsidP="00783AC0" w14:paraId="1E09EFB0" w14:textId="3F2D7ACE">
            <w:pPr>
              <w:spacing w:after="160" w:line="259" w:lineRule="auto"/>
              <w:jc w:val="center"/>
              <w:rPr>
                <w:sz w:val="20"/>
                <w:szCs w:val="20"/>
              </w:rPr>
            </w:pPr>
            <w:r w:rsidRPr="00702699">
              <w:rPr>
                <w:sz w:val="20"/>
                <w:szCs w:val="20"/>
              </w:rPr>
              <w:t>Requested Annual Burden Hours</w:t>
            </w:r>
          </w:p>
        </w:tc>
        <w:tc>
          <w:tcPr>
            <w:tcW w:w="1309" w:type="dxa"/>
            <w:tcBorders>
              <w:top w:val="single" w:sz="8" w:space="0" w:color="auto"/>
              <w:left w:val="nil"/>
              <w:bottom w:val="single" w:sz="8" w:space="0" w:color="auto"/>
              <w:right w:val="single" w:sz="8" w:space="0" w:color="auto"/>
            </w:tcBorders>
            <w:shd w:val="clear" w:color="auto" w:fill="F2F2F2"/>
            <w:hideMark/>
          </w:tcPr>
          <w:p w:rsidR="00783AC0" w:rsidRPr="00702699" w:rsidP="00783AC0" w14:paraId="2BEB7757" w14:textId="77777777">
            <w:pPr>
              <w:spacing w:after="160" w:line="259" w:lineRule="auto"/>
              <w:jc w:val="center"/>
              <w:rPr>
                <w:sz w:val="20"/>
                <w:szCs w:val="20"/>
              </w:rPr>
            </w:pPr>
            <w:r w:rsidRPr="00702699">
              <w:rPr>
                <w:sz w:val="20"/>
                <w:szCs w:val="20"/>
              </w:rPr>
              <w:t>Difference (Hours)</w:t>
            </w:r>
          </w:p>
          <w:p w:rsidR="00783AC0" w:rsidRPr="00702699" w:rsidP="00783AC0" w14:paraId="047F5E3B" w14:textId="034E05F2">
            <w:pPr>
              <w:spacing w:after="160" w:line="259" w:lineRule="auto"/>
              <w:jc w:val="center"/>
              <w:rPr>
                <w:sz w:val="20"/>
                <w:szCs w:val="20"/>
              </w:rPr>
            </w:pPr>
            <w:r w:rsidRPr="00702699">
              <w:rPr>
                <w:sz w:val="20"/>
                <w:szCs w:val="20"/>
              </w:rPr>
              <w:t>(+/-)</w:t>
            </w:r>
          </w:p>
        </w:tc>
        <w:tc>
          <w:tcPr>
            <w:tcW w:w="2662" w:type="dxa"/>
            <w:tcBorders>
              <w:top w:val="single" w:sz="8" w:space="0" w:color="auto"/>
              <w:left w:val="nil"/>
              <w:bottom w:val="single" w:sz="8" w:space="0" w:color="auto"/>
              <w:right w:val="single" w:sz="8" w:space="0" w:color="auto"/>
            </w:tcBorders>
            <w:shd w:val="clear" w:color="auto" w:fill="F2F2F2"/>
          </w:tcPr>
          <w:p w:rsidR="00783AC0" w:rsidRPr="00702699" w:rsidP="00783AC0" w14:paraId="6346D760" w14:textId="77777777">
            <w:pPr>
              <w:spacing w:after="160" w:line="259" w:lineRule="auto"/>
              <w:jc w:val="center"/>
              <w:rPr>
                <w:sz w:val="20"/>
                <w:szCs w:val="20"/>
              </w:rPr>
            </w:pPr>
            <w:r w:rsidRPr="00702699">
              <w:rPr>
                <w:sz w:val="20"/>
                <w:szCs w:val="20"/>
              </w:rPr>
              <w:t>Rationale for Change</w:t>
            </w:r>
          </w:p>
          <w:p w:rsidR="00783AC0" w:rsidRPr="00702699" w:rsidP="00783AC0" w14:paraId="2FC15C23" w14:textId="77777777">
            <w:pPr>
              <w:spacing w:after="160" w:line="259" w:lineRule="auto"/>
              <w:jc w:val="center"/>
              <w:rPr>
                <w:sz w:val="20"/>
                <w:szCs w:val="20"/>
              </w:rPr>
            </w:pPr>
            <w:r w:rsidRPr="00702699">
              <w:rPr>
                <w:sz w:val="20"/>
                <w:szCs w:val="20"/>
              </w:rPr>
              <w:t>(Estimate Revision/Programmatic)</w:t>
            </w:r>
          </w:p>
          <w:p w:rsidR="00783AC0" w:rsidRPr="00702699" w:rsidP="00783AC0" w14:paraId="55AAF1D1" w14:textId="77777777">
            <w:pPr>
              <w:spacing w:after="160" w:line="259" w:lineRule="auto"/>
              <w:jc w:val="center"/>
              <w:rPr>
                <w:sz w:val="20"/>
                <w:szCs w:val="20"/>
              </w:rPr>
            </w:pPr>
          </w:p>
        </w:tc>
      </w:tr>
      <w:tr w14:paraId="3F4B2CDF" w14:textId="77777777" w:rsidTr="00783AC0">
        <w:tblPrEx>
          <w:tblW w:w="9530" w:type="dxa"/>
          <w:tblCellMar>
            <w:left w:w="0" w:type="dxa"/>
            <w:right w:w="0" w:type="dxa"/>
          </w:tblCellMar>
          <w:tblLook w:val="04A0"/>
        </w:tblPrEx>
        <w:trPr>
          <w:cantSplit/>
          <w:trHeight w:val="110"/>
        </w:trPr>
        <w:tc>
          <w:tcPr>
            <w:tcW w:w="2600"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50965389" w14:textId="77777777">
            <w:pPr>
              <w:spacing w:after="160" w:line="259" w:lineRule="auto"/>
              <w:rPr>
                <w:i/>
                <w:iCs/>
                <w:sz w:val="20"/>
                <w:szCs w:val="20"/>
              </w:rPr>
            </w:pPr>
            <w:r w:rsidRPr="00034DD8">
              <w:rPr>
                <w:sz w:val="20"/>
                <w:szCs w:val="20"/>
              </w:rPr>
              <w:t>Develop training program</w:t>
            </w:r>
          </w:p>
        </w:tc>
        <w:tc>
          <w:tcPr>
            <w:tcW w:w="149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320F92BA" w14:textId="77777777">
            <w:pPr>
              <w:spacing w:after="160" w:line="259" w:lineRule="auto"/>
              <w:jc w:val="right"/>
              <w:rPr>
                <w:sz w:val="20"/>
                <w:szCs w:val="20"/>
              </w:rPr>
            </w:pPr>
            <w:r w:rsidRPr="00034DD8">
              <w:rPr>
                <w:sz w:val="20"/>
                <w:szCs w:val="20"/>
              </w:rPr>
              <w:t>1,275,200</w:t>
            </w:r>
          </w:p>
        </w:tc>
        <w:tc>
          <w:tcPr>
            <w:tcW w:w="1462"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1A7CA8E3" w14:textId="77777777">
            <w:pPr>
              <w:spacing w:after="160" w:line="259" w:lineRule="auto"/>
              <w:jc w:val="right"/>
              <w:rPr>
                <w:sz w:val="20"/>
                <w:szCs w:val="20"/>
              </w:rPr>
            </w:pPr>
            <w:r w:rsidRPr="00034DD8">
              <w:rPr>
                <w:color w:val="000000" w:themeColor="text1"/>
                <w:sz w:val="20"/>
                <w:szCs w:val="20"/>
              </w:rPr>
              <w:t>303,504</w:t>
            </w:r>
          </w:p>
        </w:tc>
        <w:tc>
          <w:tcPr>
            <w:tcW w:w="1309" w:type="dxa"/>
            <w:tcBorders>
              <w:top w:val="nil"/>
              <w:left w:val="nil"/>
              <w:bottom w:val="single" w:sz="8" w:space="0" w:color="auto"/>
              <w:right w:val="single" w:sz="8" w:space="0" w:color="auto"/>
            </w:tcBorders>
          </w:tcPr>
          <w:p w:rsidR="00ED1F07" w:rsidRPr="00B33867" w:rsidP="00B33867" w14:paraId="3B67D299" w14:textId="10A780DD">
            <w:pPr>
              <w:spacing w:after="160" w:line="259" w:lineRule="auto"/>
              <w:jc w:val="right"/>
              <w:rPr>
                <w:color w:val="002060"/>
                <w:sz w:val="20"/>
                <w:szCs w:val="20"/>
              </w:rPr>
            </w:pPr>
            <w:r w:rsidRPr="00B33867">
              <w:rPr>
                <w:color w:val="002060"/>
                <w:sz w:val="20"/>
                <w:szCs w:val="20"/>
              </w:rPr>
              <w:t>-</w:t>
            </w:r>
            <w:r>
              <w:rPr>
                <w:color w:val="002060"/>
                <w:sz w:val="20"/>
                <w:szCs w:val="20"/>
              </w:rPr>
              <w:t xml:space="preserve"> </w:t>
            </w:r>
            <w:r w:rsidRPr="00B33867">
              <w:rPr>
                <w:color w:val="002060"/>
                <w:sz w:val="20"/>
                <w:szCs w:val="20"/>
              </w:rPr>
              <w:t>971,696</w:t>
            </w:r>
          </w:p>
        </w:tc>
        <w:tc>
          <w:tcPr>
            <w:tcW w:w="2662" w:type="dxa"/>
            <w:tcBorders>
              <w:top w:val="nil"/>
              <w:left w:val="nil"/>
              <w:bottom w:val="single" w:sz="8" w:space="0" w:color="auto"/>
              <w:right w:val="single" w:sz="8" w:space="0" w:color="auto"/>
            </w:tcBorders>
          </w:tcPr>
          <w:p w:rsidR="00ED1F07" w:rsidRPr="00702699" w:rsidP="00ED1F07" w14:paraId="19071206" w14:textId="77777777">
            <w:pPr>
              <w:spacing w:after="160" w:line="259" w:lineRule="auto"/>
              <w:jc w:val="center"/>
              <w:rPr>
                <w:sz w:val="20"/>
                <w:szCs w:val="20"/>
              </w:rPr>
            </w:pPr>
            <w:r w:rsidRPr="00702699">
              <w:rPr>
                <w:sz w:val="20"/>
                <w:szCs w:val="20"/>
              </w:rPr>
              <w:t>Estimate Revision</w:t>
            </w:r>
          </w:p>
        </w:tc>
      </w:tr>
      <w:tr w14:paraId="706256A6" w14:textId="77777777" w:rsidTr="00783AC0">
        <w:tblPrEx>
          <w:tblW w:w="9530" w:type="dxa"/>
          <w:tblCellMar>
            <w:left w:w="0" w:type="dxa"/>
            <w:right w:w="0" w:type="dxa"/>
          </w:tblCellMar>
          <w:tblLook w:val="04A0"/>
        </w:tblPrEx>
        <w:trPr>
          <w:cantSplit/>
          <w:trHeight w:val="210"/>
        </w:trPr>
        <w:tc>
          <w:tcPr>
            <w:tcW w:w="2600"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420545CC" w14:textId="77777777">
            <w:pPr>
              <w:spacing w:after="160" w:line="259" w:lineRule="auto"/>
              <w:rPr>
                <w:sz w:val="20"/>
                <w:szCs w:val="20"/>
              </w:rPr>
            </w:pPr>
            <w:r w:rsidRPr="00034DD8">
              <w:rPr>
                <w:sz w:val="20"/>
                <w:szCs w:val="20"/>
              </w:rPr>
              <w:t>Develop written policy against sales to minors and employee acknowledgement</w:t>
            </w:r>
          </w:p>
        </w:tc>
        <w:tc>
          <w:tcPr>
            <w:tcW w:w="149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5F537454" w14:textId="77777777">
            <w:pPr>
              <w:spacing w:after="160" w:line="259" w:lineRule="auto"/>
              <w:jc w:val="right"/>
              <w:rPr>
                <w:sz w:val="20"/>
                <w:szCs w:val="20"/>
              </w:rPr>
            </w:pPr>
            <w:r w:rsidRPr="00034DD8">
              <w:rPr>
                <w:sz w:val="20"/>
                <w:szCs w:val="20"/>
              </w:rPr>
              <w:t>79,700</w:t>
            </w:r>
          </w:p>
        </w:tc>
        <w:tc>
          <w:tcPr>
            <w:tcW w:w="1462"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1FA2B6D3" w14:textId="77777777">
            <w:pPr>
              <w:spacing w:after="160" w:line="259" w:lineRule="auto"/>
              <w:jc w:val="right"/>
              <w:rPr>
                <w:sz w:val="20"/>
                <w:szCs w:val="20"/>
              </w:rPr>
            </w:pPr>
            <w:r w:rsidRPr="00034DD8">
              <w:rPr>
                <w:sz w:val="20"/>
                <w:szCs w:val="20"/>
              </w:rPr>
              <w:t>18,969</w:t>
            </w:r>
          </w:p>
        </w:tc>
        <w:tc>
          <w:tcPr>
            <w:tcW w:w="1309" w:type="dxa"/>
            <w:tcBorders>
              <w:top w:val="nil"/>
              <w:left w:val="nil"/>
              <w:bottom w:val="single" w:sz="8" w:space="0" w:color="auto"/>
              <w:right w:val="single" w:sz="8" w:space="0" w:color="auto"/>
            </w:tcBorders>
          </w:tcPr>
          <w:p w:rsidR="00ED1F07" w:rsidRPr="00B33867" w:rsidP="00B33867" w14:paraId="404C7D3E" w14:textId="29EF9E6E">
            <w:pPr>
              <w:spacing w:after="160" w:line="259" w:lineRule="auto"/>
              <w:jc w:val="right"/>
              <w:rPr>
                <w:color w:val="002060"/>
                <w:sz w:val="20"/>
                <w:szCs w:val="20"/>
              </w:rPr>
            </w:pPr>
            <w:r w:rsidRPr="00B33867">
              <w:rPr>
                <w:color w:val="002060"/>
                <w:sz w:val="20"/>
                <w:szCs w:val="20"/>
              </w:rPr>
              <w:t>-</w:t>
            </w:r>
            <w:r>
              <w:rPr>
                <w:color w:val="002060"/>
                <w:sz w:val="20"/>
                <w:szCs w:val="20"/>
              </w:rPr>
              <w:t xml:space="preserve"> </w:t>
            </w:r>
            <w:r w:rsidRPr="00B33867">
              <w:rPr>
                <w:color w:val="002060"/>
                <w:sz w:val="20"/>
                <w:szCs w:val="20"/>
              </w:rPr>
              <w:t>60,731</w:t>
            </w:r>
          </w:p>
        </w:tc>
        <w:tc>
          <w:tcPr>
            <w:tcW w:w="2662" w:type="dxa"/>
            <w:tcBorders>
              <w:top w:val="nil"/>
              <w:left w:val="nil"/>
              <w:bottom w:val="single" w:sz="8" w:space="0" w:color="auto"/>
              <w:right w:val="single" w:sz="8" w:space="0" w:color="auto"/>
            </w:tcBorders>
          </w:tcPr>
          <w:p w:rsidR="00ED1F07" w:rsidRPr="00702699" w:rsidP="00ED1F07" w14:paraId="516D7D07" w14:textId="77777777">
            <w:pPr>
              <w:spacing w:after="160" w:line="259" w:lineRule="auto"/>
              <w:jc w:val="center"/>
              <w:rPr>
                <w:sz w:val="20"/>
                <w:szCs w:val="20"/>
              </w:rPr>
            </w:pPr>
            <w:r w:rsidRPr="00702699">
              <w:rPr>
                <w:sz w:val="20"/>
                <w:szCs w:val="20"/>
              </w:rPr>
              <w:t>Estimate Revision</w:t>
            </w:r>
          </w:p>
        </w:tc>
      </w:tr>
      <w:tr w14:paraId="05540F2C" w14:textId="77777777" w:rsidTr="00783AC0">
        <w:tblPrEx>
          <w:tblW w:w="9530" w:type="dxa"/>
          <w:tblCellMar>
            <w:left w:w="0" w:type="dxa"/>
            <w:right w:w="0" w:type="dxa"/>
          </w:tblCellMar>
          <w:tblLook w:val="04A0"/>
        </w:tblPrEx>
        <w:trPr>
          <w:cantSplit/>
          <w:trHeight w:val="103"/>
        </w:trPr>
        <w:tc>
          <w:tcPr>
            <w:tcW w:w="2600"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07A307BC" w14:textId="77777777">
            <w:pPr>
              <w:spacing w:after="160" w:line="259" w:lineRule="auto"/>
              <w:rPr>
                <w:sz w:val="20"/>
                <w:szCs w:val="20"/>
              </w:rPr>
            </w:pPr>
            <w:r w:rsidRPr="00034DD8">
              <w:rPr>
                <w:sz w:val="20"/>
                <w:szCs w:val="20"/>
              </w:rPr>
              <w:t>Develop internal compliance check program</w:t>
            </w:r>
          </w:p>
        </w:tc>
        <w:tc>
          <w:tcPr>
            <w:tcW w:w="149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146C5A4B" w14:textId="77777777">
            <w:pPr>
              <w:spacing w:after="160" w:line="259" w:lineRule="auto"/>
              <w:jc w:val="right"/>
              <w:rPr>
                <w:sz w:val="20"/>
                <w:szCs w:val="20"/>
              </w:rPr>
            </w:pPr>
            <w:r w:rsidRPr="00034DD8">
              <w:rPr>
                <w:sz w:val="20"/>
                <w:szCs w:val="20"/>
              </w:rPr>
              <w:t>637,600</w:t>
            </w:r>
          </w:p>
        </w:tc>
        <w:tc>
          <w:tcPr>
            <w:tcW w:w="1462"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1BD09C0E" w14:textId="77777777">
            <w:pPr>
              <w:spacing w:after="160" w:line="259" w:lineRule="auto"/>
              <w:jc w:val="right"/>
              <w:rPr>
                <w:sz w:val="20"/>
                <w:szCs w:val="20"/>
              </w:rPr>
            </w:pPr>
            <w:r w:rsidRPr="00034DD8">
              <w:rPr>
                <w:sz w:val="20"/>
                <w:szCs w:val="20"/>
              </w:rPr>
              <w:t>56,907</w:t>
            </w:r>
          </w:p>
        </w:tc>
        <w:tc>
          <w:tcPr>
            <w:tcW w:w="1309" w:type="dxa"/>
            <w:tcBorders>
              <w:top w:val="nil"/>
              <w:left w:val="nil"/>
              <w:bottom w:val="single" w:sz="8" w:space="0" w:color="auto"/>
              <w:right w:val="single" w:sz="8" w:space="0" w:color="auto"/>
            </w:tcBorders>
          </w:tcPr>
          <w:p w:rsidR="00ED1F07" w:rsidRPr="00B33867" w:rsidP="00B33867" w14:paraId="2CFF9064" w14:textId="10C36338">
            <w:pPr>
              <w:spacing w:after="160" w:line="259" w:lineRule="auto"/>
              <w:jc w:val="right"/>
              <w:rPr>
                <w:color w:val="002060"/>
                <w:sz w:val="20"/>
                <w:szCs w:val="20"/>
              </w:rPr>
            </w:pPr>
            <w:r w:rsidRPr="00B33867">
              <w:rPr>
                <w:color w:val="002060"/>
                <w:sz w:val="20"/>
                <w:szCs w:val="20"/>
              </w:rPr>
              <w:t>-</w:t>
            </w:r>
            <w:r>
              <w:rPr>
                <w:color w:val="002060"/>
                <w:sz w:val="20"/>
                <w:szCs w:val="20"/>
              </w:rPr>
              <w:t xml:space="preserve"> </w:t>
            </w:r>
            <w:r w:rsidRPr="00B33867">
              <w:rPr>
                <w:color w:val="002060"/>
                <w:sz w:val="20"/>
                <w:szCs w:val="20"/>
              </w:rPr>
              <w:t>580,693</w:t>
            </w:r>
          </w:p>
        </w:tc>
        <w:tc>
          <w:tcPr>
            <w:tcW w:w="2662" w:type="dxa"/>
            <w:tcBorders>
              <w:top w:val="nil"/>
              <w:left w:val="nil"/>
              <w:bottom w:val="single" w:sz="8" w:space="0" w:color="auto"/>
              <w:right w:val="single" w:sz="8" w:space="0" w:color="auto"/>
            </w:tcBorders>
          </w:tcPr>
          <w:p w:rsidR="00ED1F07" w:rsidRPr="00702699" w:rsidP="00ED1F07" w14:paraId="635314DB" w14:textId="77777777">
            <w:pPr>
              <w:spacing w:after="160" w:line="259" w:lineRule="auto"/>
              <w:jc w:val="center"/>
              <w:rPr>
                <w:sz w:val="20"/>
                <w:szCs w:val="20"/>
              </w:rPr>
            </w:pPr>
            <w:r w:rsidRPr="00702699">
              <w:rPr>
                <w:sz w:val="20"/>
                <w:szCs w:val="20"/>
              </w:rPr>
              <w:t>Estimate Revision</w:t>
            </w:r>
          </w:p>
        </w:tc>
      </w:tr>
      <w:tr w14:paraId="65E48AB2" w14:textId="77777777" w:rsidTr="00783AC0">
        <w:tblPrEx>
          <w:tblW w:w="9530" w:type="dxa"/>
          <w:tblCellMar>
            <w:left w:w="0" w:type="dxa"/>
            <w:right w:w="0" w:type="dxa"/>
          </w:tblCellMar>
          <w:tblLook w:val="04A0"/>
        </w:tblPrEx>
        <w:trPr>
          <w:cantSplit/>
          <w:trHeight w:val="98"/>
        </w:trPr>
        <w:tc>
          <w:tcPr>
            <w:tcW w:w="2600" w:type="dxa"/>
            <w:tcBorders>
              <w:top w:val="nil"/>
              <w:left w:val="single" w:sz="8" w:space="0" w:color="auto"/>
              <w:bottom w:val="single" w:sz="8" w:space="0" w:color="auto"/>
              <w:right w:val="single" w:sz="8" w:space="0" w:color="auto"/>
            </w:tcBorders>
            <w:tcMar>
              <w:top w:w="0" w:type="dxa"/>
              <w:left w:w="101" w:type="dxa"/>
              <w:bottom w:w="0" w:type="dxa"/>
              <w:right w:w="101" w:type="dxa"/>
            </w:tcMar>
            <w:vAlign w:val="bottom"/>
            <w:hideMark/>
          </w:tcPr>
          <w:p w:rsidR="00ED1F07" w:rsidRPr="00702699" w:rsidP="00ED1F07" w14:paraId="04D6B6E5" w14:textId="77777777">
            <w:pPr>
              <w:spacing w:after="160" w:line="259" w:lineRule="auto"/>
              <w:rPr>
                <w:b/>
                <w:bCs/>
                <w:sz w:val="20"/>
                <w:szCs w:val="20"/>
              </w:rPr>
            </w:pPr>
            <w:r w:rsidRPr="00702699">
              <w:rPr>
                <w:b/>
                <w:bCs/>
                <w:sz w:val="20"/>
                <w:szCs w:val="20"/>
              </w:rPr>
              <w:t>TOTAL</w:t>
            </w:r>
          </w:p>
        </w:tc>
        <w:tc>
          <w:tcPr>
            <w:tcW w:w="149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3C33339A" w14:textId="77777777">
            <w:pPr>
              <w:spacing w:after="160" w:line="259" w:lineRule="auto"/>
              <w:jc w:val="right"/>
              <w:rPr>
                <w:b/>
                <w:bCs/>
                <w:sz w:val="20"/>
                <w:szCs w:val="20"/>
              </w:rPr>
            </w:pPr>
            <w:r w:rsidRPr="00034DD8">
              <w:rPr>
                <w:sz w:val="20"/>
                <w:szCs w:val="20"/>
              </w:rPr>
              <w:fldChar w:fldCharType="begin"/>
            </w:r>
            <w:r w:rsidRPr="00034DD8">
              <w:rPr>
                <w:sz w:val="20"/>
                <w:szCs w:val="20"/>
              </w:rPr>
              <w:instrText xml:space="preserve"> =SUM(ABOVE) </w:instrText>
            </w:r>
            <w:r w:rsidRPr="00034DD8">
              <w:rPr>
                <w:sz w:val="20"/>
                <w:szCs w:val="20"/>
              </w:rPr>
              <w:fldChar w:fldCharType="separate"/>
            </w:r>
            <w:r w:rsidRPr="00034DD8">
              <w:rPr>
                <w:noProof/>
                <w:sz w:val="20"/>
                <w:szCs w:val="20"/>
              </w:rPr>
              <w:t>1,992,500</w:t>
            </w:r>
            <w:r w:rsidRPr="00034DD8">
              <w:rPr>
                <w:sz w:val="20"/>
                <w:szCs w:val="20"/>
              </w:rPr>
              <w:fldChar w:fldCharType="end"/>
            </w:r>
          </w:p>
        </w:tc>
        <w:tc>
          <w:tcPr>
            <w:tcW w:w="1462" w:type="dxa"/>
            <w:tcBorders>
              <w:top w:val="nil"/>
              <w:left w:val="nil"/>
              <w:bottom w:val="single" w:sz="8" w:space="0" w:color="auto"/>
              <w:right w:val="single" w:sz="8" w:space="0" w:color="auto"/>
            </w:tcBorders>
            <w:tcMar>
              <w:top w:w="0" w:type="dxa"/>
              <w:left w:w="101" w:type="dxa"/>
              <w:bottom w:w="0" w:type="dxa"/>
              <w:right w:w="101" w:type="dxa"/>
            </w:tcMar>
            <w:vAlign w:val="center"/>
          </w:tcPr>
          <w:p w:rsidR="00ED1F07" w:rsidRPr="00702699" w:rsidP="00ED1F07" w14:paraId="134F6E91" w14:textId="77777777">
            <w:pPr>
              <w:spacing w:after="160" w:line="259" w:lineRule="auto"/>
              <w:jc w:val="right"/>
              <w:rPr>
                <w:b/>
                <w:bCs/>
                <w:sz w:val="20"/>
                <w:szCs w:val="20"/>
              </w:rPr>
            </w:pPr>
            <w:r w:rsidRPr="00034DD8">
              <w:rPr>
                <w:sz w:val="20"/>
                <w:szCs w:val="20"/>
              </w:rPr>
              <w:t>474,225</w:t>
            </w:r>
          </w:p>
        </w:tc>
        <w:tc>
          <w:tcPr>
            <w:tcW w:w="1309" w:type="dxa"/>
            <w:tcBorders>
              <w:top w:val="nil"/>
              <w:left w:val="nil"/>
              <w:bottom w:val="single" w:sz="8" w:space="0" w:color="auto"/>
              <w:right w:val="single" w:sz="8" w:space="0" w:color="auto"/>
            </w:tcBorders>
            <w:vAlign w:val="bottom"/>
          </w:tcPr>
          <w:p w:rsidR="00ED1F07" w:rsidRPr="00702699" w:rsidP="00ED1F07" w14:paraId="69517F6C" w14:textId="2FCFF383">
            <w:pPr>
              <w:spacing w:after="160" w:line="259" w:lineRule="auto"/>
              <w:jc w:val="right"/>
              <w:rPr>
                <w:color w:val="002060"/>
                <w:sz w:val="20"/>
                <w:szCs w:val="20"/>
              </w:rPr>
            </w:pPr>
            <w:r w:rsidRPr="00034DD8">
              <w:rPr>
                <w:color w:val="002060"/>
                <w:sz w:val="20"/>
                <w:szCs w:val="20"/>
              </w:rPr>
              <w:t>-</w:t>
            </w:r>
            <w:r w:rsidR="00B33867">
              <w:rPr>
                <w:color w:val="002060"/>
                <w:sz w:val="20"/>
                <w:szCs w:val="20"/>
              </w:rPr>
              <w:t xml:space="preserve"> </w:t>
            </w:r>
            <w:r w:rsidRPr="00034DD8">
              <w:rPr>
                <w:color w:val="002060"/>
                <w:sz w:val="20"/>
                <w:szCs w:val="20"/>
              </w:rPr>
              <w:t>1,518,275</w:t>
            </w:r>
          </w:p>
        </w:tc>
        <w:tc>
          <w:tcPr>
            <w:tcW w:w="2662" w:type="dxa"/>
            <w:tcBorders>
              <w:top w:val="nil"/>
              <w:left w:val="nil"/>
              <w:bottom w:val="single" w:sz="8" w:space="0" w:color="auto"/>
              <w:right w:val="single" w:sz="8" w:space="0" w:color="auto"/>
            </w:tcBorders>
            <w:shd w:val="clear" w:color="auto" w:fill="000000" w:themeFill="text1"/>
          </w:tcPr>
          <w:p w:rsidR="00ED1F07" w:rsidRPr="00702699" w:rsidP="00ED1F07" w14:paraId="76924EC3" w14:textId="77777777">
            <w:pPr>
              <w:spacing w:after="160" w:line="259" w:lineRule="auto"/>
              <w:jc w:val="right"/>
            </w:pPr>
          </w:p>
        </w:tc>
      </w:tr>
    </w:tbl>
    <w:p w:rsidR="00ED1F07" w:rsidP="00ED1F07" w14:paraId="3EABDCC7" w14:textId="77777777">
      <w:pPr>
        <w:keepNext/>
        <w:tabs>
          <w:tab w:val="num" w:pos="360"/>
        </w:tabs>
        <w:jc w:val="center"/>
        <w:rPr>
          <w:sz w:val="20"/>
          <w:szCs w:val="20"/>
        </w:rPr>
      </w:pPr>
    </w:p>
    <w:tbl>
      <w:tblPr>
        <w:tblpPr w:leftFromText="180" w:rightFromText="180" w:bottomFromText="160" w:vertAnchor="page" w:horzAnchor="margin" w:tblpY="5761"/>
        <w:tblW w:w="9484" w:type="dxa"/>
        <w:tblCellMar>
          <w:left w:w="0" w:type="dxa"/>
          <w:right w:w="0" w:type="dxa"/>
        </w:tblCellMar>
        <w:tblLook w:val="04A0"/>
      </w:tblPr>
      <w:tblGrid>
        <w:gridCol w:w="2593"/>
        <w:gridCol w:w="1350"/>
        <w:gridCol w:w="1417"/>
        <w:gridCol w:w="1263"/>
        <w:gridCol w:w="2861"/>
      </w:tblGrid>
      <w:tr w14:paraId="66B4C092" w14:textId="77777777" w:rsidTr="00ED1F07">
        <w:tblPrEx>
          <w:tblW w:w="9484" w:type="dxa"/>
          <w:tblCellMar>
            <w:left w:w="0" w:type="dxa"/>
            <w:right w:w="0" w:type="dxa"/>
          </w:tblCellMar>
          <w:tblLook w:val="04A0"/>
        </w:tblPrEx>
        <w:trPr>
          <w:cantSplit/>
          <w:trHeight w:val="4"/>
          <w:tblHeader/>
        </w:trPr>
        <w:tc>
          <w:tcPr>
            <w:tcW w:w="2593" w:type="dxa"/>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ED1F07" w:rsidRPr="00702699" w:rsidP="00ED1F07" w14:paraId="7657F5BF" w14:textId="77777777">
            <w:pPr>
              <w:spacing w:after="160" w:line="259" w:lineRule="auto"/>
              <w:jc w:val="center"/>
              <w:rPr>
                <w:sz w:val="20"/>
                <w:szCs w:val="20"/>
              </w:rPr>
            </w:pPr>
            <w:r w:rsidRPr="00702699">
              <w:rPr>
                <w:sz w:val="20"/>
                <w:szCs w:val="20"/>
              </w:rPr>
              <w:t>Activity/CFR Section</w:t>
            </w:r>
          </w:p>
        </w:tc>
        <w:tc>
          <w:tcPr>
            <w:tcW w:w="1350"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ED1F07" w:rsidRPr="00702699" w:rsidP="00ED1F07" w14:paraId="277B9CD8" w14:textId="77777777">
            <w:pPr>
              <w:spacing w:after="160" w:line="259" w:lineRule="auto"/>
              <w:jc w:val="center"/>
              <w:rPr>
                <w:sz w:val="20"/>
                <w:szCs w:val="20"/>
              </w:rPr>
            </w:pPr>
            <w:r w:rsidRPr="00702699">
              <w:rPr>
                <w:sz w:val="20"/>
                <w:szCs w:val="20"/>
              </w:rPr>
              <w:t>Previous Approved Annual Burden Hours</w:t>
            </w:r>
          </w:p>
        </w:tc>
        <w:tc>
          <w:tcPr>
            <w:tcW w:w="1417"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ED1F07" w:rsidRPr="00702699" w:rsidP="00ED1F07" w14:paraId="4C3CD911" w14:textId="77777777">
            <w:pPr>
              <w:spacing w:after="160" w:line="259" w:lineRule="auto"/>
              <w:jc w:val="center"/>
              <w:rPr>
                <w:sz w:val="20"/>
                <w:szCs w:val="20"/>
              </w:rPr>
            </w:pPr>
            <w:r w:rsidRPr="00702699">
              <w:rPr>
                <w:sz w:val="20"/>
                <w:szCs w:val="20"/>
              </w:rPr>
              <w:t>Requested Annual Burden Hours</w:t>
            </w:r>
          </w:p>
        </w:tc>
        <w:tc>
          <w:tcPr>
            <w:tcW w:w="1263" w:type="dxa"/>
            <w:tcBorders>
              <w:top w:val="single" w:sz="8" w:space="0" w:color="auto"/>
              <w:left w:val="nil"/>
              <w:bottom w:val="single" w:sz="8" w:space="0" w:color="auto"/>
              <w:right w:val="single" w:sz="8" w:space="0" w:color="auto"/>
            </w:tcBorders>
            <w:shd w:val="clear" w:color="auto" w:fill="F2F2F2"/>
            <w:hideMark/>
          </w:tcPr>
          <w:p w:rsidR="00ED1F07" w:rsidRPr="00702699" w:rsidP="00ED1F07" w14:paraId="55604FC5" w14:textId="77777777">
            <w:pPr>
              <w:spacing w:after="160" w:line="259" w:lineRule="auto"/>
              <w:jc w:val="center"/>
              <w:rPr>
                <w:sz w:val="20"/>
                <w:szCs w:val="20"/>
              </w:rPr>
            </w:pPr>
            <w:r w:rsidRPr="00702699">
              <w:rPr>
                <w:sz w:val="20"/>
                <w:szCs w:val="20"/>
              </w:rPr>
              <w:t>Difference (Hours)</w:t>
            </w:r>
          </w:p>
          <w:p w:rsidR="00ED1F07" w:rsidRPr="00702699" w:rsidP="00ED1F07" w14:paraId="6AE1164D" w14:textId="77777777">
            <w:pPr>
              <w:spacing w:after="160" w:line="259" w:lineRule="auto"/>
              <w:jc w:val="center"/>
              <w:rPr>
                <w:sz w:val="20"/>
                <w:szCs w:val="20"/>
              </w:rPr>
            </w:pPr>
            <w:r w:rsidRPr="00702699">
              <w:rPr>
                <w:sz w:val="20"/>
                <w:szCs w:val="20"/>
              </w:rPr>
              <w:t>(+/-)</w:t>
            </w:r>
          </w:p>
        </w:tc>
        <w:tc>
          <w:tcPr>
            <w:tcW w:w="2861" w:type="dxa"/>
            <w:tcBorders>
              <w:top w:val="single" w:sz="8" w:space="0" w:color="auto"/>
              <w:left w:val="nil"/>
              <w:bottom w:val="single" w:sz="8" w:space="0" w:color="auto"/>
              <w:right w:val="single" w:sz="8" w:space="0" w:color="auto"/>
            </w:tcBorders>
            <w:shd w:val="clear" w:color="auto" w:fill="F2F2F2"/>
          </w:tcPr>
          <w:p w:rsidR="00ED1F07" w:rsidRPr="00702699" w:rsidP="00ED1F07" w14:paraId="58216ABA" w14:textId="77777777">
            <w:pPr>
              <w:spacing w:after="160" w:line="259" w:lineRule="auto"/>
              <w:jc w:val="center"/>
              <w:rPr>
                <w:sz w:val="20"/>
                <w:szCs w:val="20"/>
              </w:rPr>
            </w:pPr>
            <w:r w:rsidRPr="00702699">
              <w:rPr>
                <w:sz w:val="20"/>
                <w:szCs w:val="20"/>
              </w:rPr>
              <w:t>Rationale for Change</w:t>
            </w:r>
          </w:p>
          <w:p w:rsidR="00ED1F07" w:rsidRPr="00702699" w:rsidP="00ED1F07" w14:paraId="15084AFF" w14:textId="77777777">
            <w:pPr>
              <w:spacing w:after="160" w:line="259" w:lineRule="auto"/>
              <w:jc w:val="center"/>
              <w:rPr>
                <w:sz w:val="20"/>
                <w:szCs w:val="20"/>
              </w:rPr>
            </w:pPr>
            <w:r w:rsidRPr="00702699">
              <w:rPr>
                <w:sz w:val="20"/>
                <w:szCs w:val="20"/>
              </w:rPr>
              <w:t>(Estimate Revision/Programmatic)</w:t>
            </w:r>
          </w:p>
          <w:p w:rsidR="00ED1F07" w:rsidRPr="00702699" w:rsidP="00ED1F07" w14:paraId="7A31E1EA" w14:textId="77777777">
            <w:pPr>
              <w:spacing w:after="160" w:line="259" w:lineRule="auto"/>
              <w:jc w:val="center"/>
              <w:rPr>
                <w:sz w:val="20"/>
                <w:szCs w:val="20"/>
              </w:rPr>
            </w:pPr>
          </w:p>
        </w:tc>
      </w:tr>
      <w:tr w14:paraId="7B011C5A" w14:textId="77777777" w:rsidTr="00ED1F07">
        <w:tblPrEx>
          <w:tblW w:w="9484" w:type="dxa"/>
          <w:tblCellMar>
            <w:left w:w="0" w:type="dxa"/>
            <w:right w:w="0" w:type="dxa"/>
          </w:tblCellMar>
          <w:tblLook w:val="04A0"/>
        </w:tblPrEx>
        <w:trPr>
          <w:cantSplit/>
          <w:trHeight w:val="110"/>
        </w:trPr>
        <w:tc>
          <w:tcPr>
            <w:tcW w:w="2593"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3F4C96E7" w14:textId="77777777">
            <w:pPr>
              <w:spacing w:after="160" w:line="259" w:lineRule="auto"/>
              <w:rPr>
                <w:i/>
                <w:iCs/>
                <w:sz w:val="20"/>
                <w:szCs w:val="20"/>
              </w:rPr>
            </w:pPr>
            <w:r>
              <w:rPr>
                <w:sz w:val="20"/>
                <w:szCs w:val="20"/>
              </w:rPr>
              <w:t>Training program</w:t>
            </w:r>
          </w:p>
        </w:tc>
        <w:tc>
          <w:tcPr>
            <w:tcW w:w="1350"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7845EB0A" w14:textId="77777777">
            <w:pPr>
              <w:jc w:val="right"/>
              <w:rPr>
                <w:sz w:val="20"/>
                <w:szCs w:val="20"/>
              </w:rPr>
            </w:pPr>
            <w:r>
              <w:rPr>
                <w:sz w:val="20"/>
                <w:szCs w:val="20"/>
              </w:rPr>
              <w:t>79,700</w:t>
            </w:r>
          </w:p>
        </w:tc>
        <w:tc>
          <w:tcPr>
            <w:tcW w:w="141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2D56D7A5" w14:textId="77777777">
            <w:pPr>
              <w:jc w:val="right"/>
              <w:rPr>
                <w:sz w:val="20"/>
                <w:szCs w:val="20"/>
              </w:rPr>
            </w:pPr>
            <w:r w:rsidRPr="0DD7CCC2">
              <w:rPr>
                <w:sz w:val="20"/>
                <w:szCs w:val="20"/>
              </w:rPr>
              <w:t>237,113</w:t>
            </w:r>
          </w:p>
        </w:tc>
        <w:tc>
          <w:tcPr>
            <w:tcW w:w="1263" w:type="dxa"/>
            <w:tcBorders>
              <w:top w:val="nil"/>
              <w:left w:val="nil"/>
              <w:bottom w:val="single" w:sz="8" w:space="0" w:color="auto"/>
              <w:right w:val="single" w:sz="8" w:space="0" w:color="auto"/>
            </w:tcBorders>
          </w:tcPr>
          <w:p w:rsidR="00ED1F07" w:rsidRPr="00702699" w:rsidP="00ED1F07" w14:paraId="779B95E7" w14:textId="3122DCD8">
            <w:pPr>
              <w:jc w:val="right"/>
              <w:rPr>
                <w:color w:val="FF0000"/>
                <w:sz w:val="20"/>
                <w:szCs w:val="20"/>
              </w:rPr>
            </w:pPr>
            <w:r>
              <w:rPr>
                <w:color w:val="FF0000"/>
                <w:sz w:val="20"/>
                <w:szCs w:val="20"/>
              </w:rPr>
              <w:t xml:space="preserve">+ </w:t>
            </w:r>
            <w:r w:rsidRPr="00702699">
              <w:rPr>
                <w:color w:val="FF0000"/>
                <w:sz w:val="20"/>
                <w:szCs w:val="20"/>
              </w:rPr>
              <w:t>157,413</w:t>
            </w:r>
          </w:p>
        </w:tc>
        <w:tc>
          <w:tcPr>
            <w:tcW w:w="2861" w:type="dxa"/>
            <w:tcBorders>
              <w:top w:val="nil"/>
              <w:left w:val="nil"/>
              <w:bottom w:val="single" w:sz="8" w:space="0" w:color="auto"/>
              <w:right w:val="single" w:sz="8" w:space="0" w:color="auto"/>
            </w:tcBorders>
          </w:tcPr>
          <w:p w:rsidR="00ED1F07" w:rsidRPr="00702699" w:rsidP="00ED1F07" w14:paraId="26D2AB44" w14:textId="77777777">
            <w:pPr>
              <w:spacing w:after="160" w:line="259" w:lineRule="auto"/>
              <w:jc w:val="center"/>
              <w:rPr>
                <w:sz w:val="20"/>
                <w:szCs w:val="20"/>
              </w:rPr>
            </w:pPr>
            <w:r w:rsidRPr="00702699">
              <w:rPr>
                <w:sz w:val="20"/>
                <w:szCs w:val="20"/>
              </w:rPr>
              <w:t>Estimate Revision</w:t>
            </w:r>
          </w:p>
        </w:tc>
      </w:tr>
      <w:tr w14:paraId="6C31EA93" w14:textId="77777777" w:rsidTr="00ED1F07">
        <w:tblPrEx>
          <w:tblW w:w="9484" w:type="dxa"/>
          <w:tblCellMar>
            <w:left w:w="0" w:type="dxa"/>
            <w:right w:w="0" w:type="dxa"/>
          </w:tblCellMar>
          <w:tblLook w:val="04A0"/>
        </w:tblPrEx>
        <w:trPr>
          <w:cantSplit/>
          <w:trHeight w:val="210"/>
        </w:trPr>
        <w:tc>
          <w:tcPr>
            <w:tcW w:w="2593"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74A9A1ED" w14:textId="77777777">
            <w:pPr>
              <w:spacing w:after="160" w:line="259" w:lineRule="auto"/>
              <w:rPr>
                <w:sz w:val="20"/>
                <w:szCs w:val="20"/>
              </w:rPr>
            </w:pPr>
            <w:r>
              <w:rPr>
                <w:sz w:val="20"/>
                <w:szCs w:val="20"/>
              </w:rPr>
              <w:t>Written policy against sales to minors and employee acknowledgement</w:t>
            </w:r>
          </w:p>
        </w:tc>
        <w:tc>
          <w:tcPr>
            <w:tcW w:w="1350"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2AB5FD68" w14:textId="77777777">
            <w:pPr>
              <w:jc w:val="right"/>
              <w:rPr>
                <w:sz w:val="20"/>
                <w:szCs w:val="20"/>
              </w:rPr>
            </w:pPr>
            <w:r>
              <w:rPr>
                <w:sz w:val="20"/>
                <w:szCs w:val="20"/>
              </w:rPr>
              <w:t>31,880</w:t>
            </w:r>
          </w:p>
        </w:tc>
        <w:tc>
          <w:tcPr>
            <w:tcW w:w="141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22C73F72" w14:textId="77777777">
            <w:pPr>
              <w:jc w:val="right"/>
              <w:rPr>
                <w:sz w:val="20"/>
                <w:szCs w:val="20"/>
              </w:rPr>
            </w:pPr>
            <w:r w:rsidRPr="0DD7CCC2">
              <w:rPr>
                <w:sz w:val="20"/>
                <w:szCs w:val="20"/>
              </w:rPr>
              <w:t>94,845</w:t>
            </w:r>
          </w:p>
        </w:tc>
        <w:tc>
          <w:tcPr>
            <w:tcW w:w="1263" w:type="dxa"/>
            <w:tcBorders>
              <w:top w:val="nil"/>
              <w:left w:val="nil"/>
              <w:bottom w:val="single" w:sz="8" w:space="0" w:color="auto"/>
              <w:right w:val="single" w:sz="8" w:space="0" w:color="auto"/>
            </w:tcBorders>
          </w:tcPr>
          <w:p w:rsidR="00ED1F07" w:rsidRPr="00702699" w:rsidP="00ED1F07" w14:paraId="50D9C8E3" w14:textId="32D5614A">
            <w:pPr>
              <w:jc w:val="right"/>
              <w:rPr>
                <w:color w:val="FF0000"/>
                <w:sz w:val="20"/>
                <w:szCs w:val="20"/>
              </w:rPr>
            </w:pPr>
            <w:r>
              <w:rPr>
                <w:color w:val="FF0000"/>
                <w:sz w:val="20"/>
                <w:szCs w:val="20"/>
              </w:rPr>
              <w:t xml:space="preserve">+ </w:t>
            </w:r>
            <w:r w:rsidRPr="00702699">
              <w:rPr>
                <w:color w:val="FF0000"/>
                <w:sz w:val="20"/>
                <w:szCs w:val="20"/>
              </w:rPr>
              <w:t>62,965</w:t>
            </w:r>
          </w:p>
        </w:tc>
        <w:tc>
          <w:tcPr>
            <w:tcW w:w="2861" w:type="dxa"/>
            <w:tcBorders>
              <w:top w:val="nil"/>
              <w:left w:val="nil"/>
              <w:bottom w:val="single" w:sz="8" w:space="0" w:color="auto"/>
              <w:right w:val="single" w:sz="8" w:space="0" w:color="auto"/>
            </w:tcBorders>
          </w:tcPr>
          <w:p w:rsidR="00ED1F07" w:rsidRPr="00702699" w:rsidP="00ED1F07" w14:paraId="4DFC8973" w14:textId="77777777">
            <w:pPr>
              <w:spacing w:after="160" w:line="259" w:lineRule="auto"/>
              <w:jc w:val="center"/>
              <w:rPr>
                <w:sz w:val="20"/>
                <w:szCs w:val="20"/>
              </w:rPr>
            </w:pPr>
            <w:r w:rsidRPr="00702699">
              <w:rPr>
                <w:sz w:val="20"/>
                <w:szCs w:val="20"/>
              </w:rPr>
              <w:t>Estimate Revision</w:t>
            </w:r>
          </w:p>
        </w:tc>
      </w:tr>
      <w:tr w14:paraId="294C79F2" w14:textId="77777777" w:rsidTr="00ED1F07">
        <w:tblPrEx>
          <w:tblW w:w="9484" w:type="dxa"/>
          <w:tblCellMar>
            <w:left w:w="0" w:type="dxa"/>
            <w:right w:w="0" w:type="dxa"/>
          </w:tblCellMar>
          <w:tblLook w:val="04A0"/>
        </w:tblPrEx>
        <w:trPr>
          <w:cantSplit/>
          <w:trHeight w:val="103"/>
        </w:trPr>
        <w:tc>
          <w:tcPr>
            <w:tcW w:w="2593"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5200F586" w14:textId="77777777">
            <w:pPr>
              <w:spacing w:after="160" w:line="259" w:lineRule="auto"/>
              <w:rPr>
                <w:sz w:val="20"/>
                <w:szCs w:val="20"/>
              </w:rPr>
            </w:pPr>
            <w:r>
              <w:rPr>
                <w:sz w:val="20"/>
                <w:szCs w:val="20"/>
              </w:rPr>
              <w:t>Internal compliance check program</w:t>
            </w:r>
          </w:p>
        </w:tc>
        <w:tc>
          <w:tcPr>
            <w:tcW w:w="1350"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09D7F3B8" w14:textId="77777777">
            <w:pPr>
              <w:jc w:val="right"/>
              <w:rPr>
                <w:sz w:val="20"/>
                <w:szCs w:val="20"/>
              </w:rPr>
            </w:pPr>
            <w:r>
              <w:rPr>
                <w:sz w:val="20"/>
                <w:szCs w:val="20"/>
              </w:rPr>
              <w:t>79,700</w:t>
            </w:r>
          </w:p>
        </w:tc>
        <w:tc>
          <w:tcPr>
            <w:tcW w:w="141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3CAD8BBF" w14:textId="77777777">
            <w:pPr>
              <w:jc w:val="right"/>
              <w:rPr>
                <w:sz w:val="20"/>
                <w:szCs w:val="20"/>
              </w:rPr>
            </w:pPr>
            <w:r w:rsidRPr="0DD7CCC2">
              <w:rPr>
                <w:sz w:val="20"/>
                <w:szCs w:val="20"/>
              </w:rPr>
              <w:t>237,113</w:t>
            </w:r>
          </w:p>
        </w:tc>
        <w:tc>
          <w:tcPr>
            <w:tcW w:w="1263" w:type="dxa"/>
            <w:tcBorders>
              <w:top w:val="nil"/>
              <w:left w:val="nil"/>
              <w:bottom w:val="single" w:sz="8" w:space="0" w:color="auto"/>
              <w:right w:val="single" w:sz="8" w:space="0" w:color="auto"/>
            </w:tcBorders>
          </w:tcPr>
          <w:p w:rsidR="00ED1F07" w:rsidRPr="00702699" w:rsidP="00ED1F07" w14:paraId="68D6F72D" w14:textId="4FDB8049">
            <w:pPr>
              <w:jc w:val="right"/>
              <w:rPr>
                <w:color w:val="FF0000"/>
                <w:sz w:val="20"/>
                <w:szCs w:val="20"/>
              </w:rPr>
            </w:pPr>
            <w:r>
              <w:rPr>
                <w:color w:val="FF0000"/>
                <w:sz w:val="20"/>
                <w:szCs w:val="20"/>
              </w:rPr>
              <w:t xml:space="preserve">+ </w:t>
            </w:r>
            <w:r w:rsidRPr="00702699">
              <w:rPr>
                <w:color w:val="FF0000"/>
                <w:sz w:val="20"/>
                <w:szCs w:val="20"/>
              </w:rPr>
              <w:t>157,413</w:t>
            </w:r>
          </w:p>
        </w:tc>
        <w:tc>
          <w:tcPr>
            <w:tcW w:w="2861" w:type="dxa"/>
            <w:tcBorders>
              <w:top w:val="nil"/>
              <w:left w:val="nil"/>
              <w:bottom w:val="single" w:sz="8" w:space="0" w:color="auto"/>
              <w:right w:val="single" w:sz="8" w:space="0" w:color="auto"/>
            </w:tcBorders>
          </w:tcPr>
          <w:p w:rsidR="00ED1F07" w:rsidRPr="00702699" w:rsidP="00ED1F07" w14:paraId="19D55C8E" w14:textId="77777777">
            <w:pPr>
              <w:spacing w:after="160" w:line="259" w:lineRule="auto"/>
              <w:jc w:val="center"/>
              <w:rPr>
                <w:sz w:val="20"/>
                <w:szCs w:val="20"/>
              </w:rPr>
            </w:pPr>
            <w:r w:rsidRPr="00702699">
              <w:rPr>
                <w:sz w:val="20"/>
                <w:szCs w:val="20"/>
              </w:rPr>
              <w:t>Estimate Revision</w:t>
            </w:r>
          </w:p>
        </w:tc>
      </w:tr>
      <w:tr w14:paraId="2D55F9D3" w14:textId="77777777" w:rsidTr="00ED1F07">
        <w:tblPrEx>
          <w:tblW w:w="9484" w:type="dxa"/>
          <w:tblCellMar>
            <w:left w:w="0" w:type="dxa"/>
            <w:right w:w="0" w:type="dxa"/>
          </w:tblCellMar>
          <w:tblLook w:val="04A0"/>
        </w:tblPrEx>
        <w:trPr>
          <w:cantSplit/>
          <w:trHeight w:val="98"/>
        </w:trPr>
        <w:tc>
          <w:tcPr>
            <w:tcW w:w="2593"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ED1F07" w:rsidRPr="00702699" w:rsidP="00ED1F07" w14:paraId="75EF01E4" w14:textId="77777777">
            <w:pPr>
              <w:spacing w:after="160" w:line="259" w:lineRule="auto"/>
              <w:rPr>
                <w:b/>
                <w:bCs/>
                <w:sz w:val="20"/>
                <w:szCs w:val="20"/>
              </w:rPr>
            </w:pPr>
            <w:r w:rsidRPr="00702699">
              <w:rPr>
                <w:b/>
                <w:bCs/>
                <w:sz w:val="20"/>
                <w:szCs w:val="20"/>
              </w:rPr>
              <w:t>TOTAL</w:t>
            </w:r>
          </w:p>
        </w:tc>
        <w:tc>
          <w:tcPr>
            <w:tcW w:w="1350"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6D2884E2" w14:textId="77777777">
            <w:pPr>
              <w:jc w:val="right"/>
              <w:rPr>
                <w:b/>
                <w:bCs/>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191,280</w:t>
            </w:r>
            <w:r>
              <w:rPr>
                <w:sz w:val="20"/>
                <w:szCs w:val="20"/>
              </w:rPr>
              <w:fldChar w:fldCharType="end"/>
            </w:r>
          </w:p>
        </w:tc>
        <w:tc>
          <w:tcPr>
            <w:tcW w:w="1417" w:type="dxa"/>
            <w:tcBorders>
              <w:top w:val="nil"/>
              <w:left w:val="nil"/>
              <w:bottom w:val="single" w:sz="8" w:space="0" w:color="auto"/>
              <w:right w:val="single" w:sz="8" w:space="0" w:color="auto"/>
            </w:tcBorders>
            <w:tcMar>
              <w:top w:w="0" w:type="dxa"/>
              <w:left w:w="101" w:type="dxa"/>
              <w:bottom w:w="0" w:type="dxa"/>
              <w:right w:w="101" w:type="dxa"/>
            </w:tcMar>
          </w:tcPr>
          <w:p w:rsidR="00ED1F07" w:rsidRPr="00702699" w:rsidP="00ED1F07" w14:paraId="467EB216" w14:textId="77777777">
            <w:pPr>
              <w:jc w:val="right"/>
              <w:rPr>
                <w:b/>
                <w:bCs/>
                <w:sz w:val="20"/>
                <w:szCs w:val="20"/>
              </w:rPr>
            </w:pPr>
            <w:r w:rsidRPr="0DD7CCC2">
              <w:rPr>
                <w:sz w:val="20"/>
                <w:szCs w:val="20"/>
              </w:rPr>
              <w:t>569,071</w:t>
            </w:r>
          </w:p>
        </w:tc>
        <w:tc>
          <w:tcPr>
            <w:tcW w:w="1263" w:type="dxa"/>
            <w:tcBorders>
              <w:top w:val="nil"/>
              <w:left w:val="nil"/>
              <w:bottom w:val="single" w:sz="8" w:space="0" w:color="auto"/>
              <w:right w:val="single" w:sz="8" w:space="0" w:color="auto"/>
            </w:tcBorders>
          </w:tcPr>
          <w:p w:rsidR="00ED1F07" w:rsidRPr="00702699" w:rsidP="00ED1F07" w14:paraId="0582C3B2" w14:textId="24C36655">
            <w:pPr>
              <w:jc w:val="right"/>
              <w:rPr>
                <w:color w:val="FF0000"/>
                <w:sz w:val="20"/>
                <w:szCs w:val="20"/>
              </w:rPr>
            </w:pPr>
            <w:r>
              <w:rPr>
                <w:color w:val="FF0000"/>
                <w:sz w:val="20"/>
                <w:szCs w:val="20"/>
              </w:rPr>
              <w:t xml:space="preserve">+ </w:t>
            </w:r>
            <w:r w:rsidRPr="00702699">
              <w:rPr>
                <w:color w:val="FF0000"/>
                <w:sz w:val="20"/>
                <w:szCs w:val="20"/>
              </w:rPr>
              <w:t>377,791</w:t>
            </w:r>
          </w:p>
        </w:tc>
        <w:tc>
          <w:tcPr>
            <w:tcW w:w="2861" w:type="dxa"/>
            <w:tcBorders>
              <w:top w:val="nil"/>
              <w:left w:val="nil"/>
              <w:bottom w:val="single" w:sz="8" w:space="0" w:color="auto"/>
              <w:right w:val="single" w:sz="8" w:space="0" w:color="auto"/>
            </w:tcBorders>
            <w:shd w:val="clear" w:color="auto" w:fill="000000" w:themeFill="text1"/>
          </w:tcPr>
          <w:p w:rsidR="00ED1F07" w:rsidRPr="00702699" w:rsidP="00ED1F07" w14:paraId="049A4501" w14:textId="77777777">
            <w:pPr>
              <w:spacing w:after="160" w:line="259" w:lineRule="auto"/>
              <w:jc w:val="right"/>
            </w:pPr>
          </w:p>
        </w:tc>
      </w:tr>
    </w:tbl>
    <w:p w:rsidR="00ED1F07" w:rsidRPr="00DE01E6" w:rsidP="00ED1F07" w14:paraId="3D77E76E" w14:textId="11D54B06">
      <w:pPr>
        <w:keepNext/>
        <w:tabs>
          <w:tab w:val="num" w:pos="360"/>
        </w:tabs>
        <w:jc w:val="center"/>
        <w:rPr>
          <w:vertAlign w:val="superscript"/>
        </w:rPr>
      </w:pPr>
      <w:r w:rsidRPr="0DD7CCC2">
        <w:rPr>
          <w:sz w:val="20"/>
          <w:szCs w:val="20"/>
        </w:rPr>
        <w:t xml:space="preserve">Table </w:t>
      </w:r>
      <w:r>
        <w:rPr>
          <w:sz w:val="20"/>
          <w:szCs w:val="20"/>
        </w:rPr>
        <w:t>2</w:t>
      </w:r>
      <w:r w:rsidRPr="0DD7CCC2">
        <w:rPr>
          <w:sz w:val="20"/>
          <w:szCs w:val="20"/>
        </w:rPr>
        <w:t>.--</w:t>
      </w:r>
      <w:r w:rsidRPr="0DD7CCC2">
        <w:rPr>
          <w:sz w:val="20"/>
          <w:szCs w:val="20"/>
        </w:rPr>
        <w:t>Estimated Recordkeeping Burden</w:t>
      </w:r>
    </w:p>
    <w:p w:rsidR="00902435" w:rsidRPr="009C3A38" w:rsidP="0DD7CCC2" w14:paraId="7369933C" w14:textId="77777777">
      <w:pPr>
        <w:tabs>
          <w:tab w:val="num" w:pos="360"/>
        </w:tabs>
        <w:spacing w:after="200"/>
        <w:rPr>
          <w:u w:val="single"/>
        </w:rPr>
      </w:pPr>
    </w:p>
    <w:p w:rsidR="004C6979" w:rsidRPr="009C3A38" w:rsidP="00F2677F" w14:paraId="270395E6" w14:textId="6DB4775F">
      <w:pPr>
        <w:pStyle w:val="ListParagraph"/>
        <w:numPr>
          <w:ilvl w:val="0"/>
          <w:numId w:val="4"/>
        </w:numPr>
        <w:tabs>
          <w:tab w:val="num" w:pos="360"/>
          <w:tab w:val="clear" w:pos="720"/>
        </w:tabs>
        <w:spacing w:after="200"/>
        <w:ind w:left="360"/>
        <w:rPr>
          <w:u w:val="single"/>
        </w:rPr>
      </w:pPr>
      <w:r w:rsidRPr="0DD7CCC2">
        <w:rPr>
          <w:u w:val="single"/>
        </w:rPr>
        <w:t>Plans for Tabulation and Publication and Project Time Schedule</w:t>
      </w:r>
    </w:p>
    <w:p w:rsidR="003C4EBB" w:rsidP="007D73E5" w14:paraId="4F9A6894" w14:textId="0C34BD5C">
      <w:pPr>
        <w:tabs>
          <w:tab w:val="num" w:pos="360"/>
        </w:tabs>
        <w:spacing w:after="200"/>
        <w:ind w:left="360" w:hanging="360"/>
      </w:pPr>
      <w:r>
        <w:t>The information collect</w:t>
      </w:r>
      <w:r w:rsidR="00C1253E">
        <w:t>ed will not be published or tabulated</w:t>
      </w:r>
      <w:r>
        <w:t>.</w:t>
      </w:r>
    </w:p>
    <w:p w:rsidR="004C6979" w:rsidRPr="004C6979" w:rsidP="007D73E5" w14:paraId="71AACF4D" w14:textId="77777777">
      <w:pPr>
        <w:numPr>
          <w:ilvl w:val="0"/>
          <w:numId w:val="4"/>
        </w:numPr>
        <w:tabs>
          <w:tab w:val="num" w:pos="360"/>
          <w:tab w:val="clear" w:pos="720"/>
        </w:tabs>
        <w:spacing w:after="200"/>
        <w:ind w:left="360"/>
        <w:rPr>
          <w:u w:val="single"/>
        </w:rPr>
      </w:pPr>
      <w:r w:rsidRPr="004C6979">
        <w:rPr>
          <w:u w:val="single"/>
        </w:rPr>
        <w:t>Reason(s) Display of OMB Expiration Date is Inappropriate</w:t>
      </w:r>
    </w:p>
    <w:p w:rsidR="5F19AC2F" w:rsidP="007D73E5" w14:paraId="217B48ED" w14:textId="46449872">
      <w:pPr>
        <w:tabs>
          <w:tab w:val="num" w:pos="360"/>
        </w:tabs>
        <w:spacing w:after="200"/>
      </w:pPr>
      <w:r>
        <w:t xml:space="preserve">Consistent with established practice FDA will publish a </w:t>
      </w:r>
      <w:r w:rsidRPr="5A47FCD4">
        <w:rPr>
          <w:i/>
        </w:rPr>
        <w:t>Federal Register</w:t>
      </w:r>
      <w: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EB7538" w:rsidP="007D73E5" w14:paraId="62C25529" w14:textId="60712877">
      <w:pPr>
        <w:numPr>
          <w:ilvl w:val="0"/>
          <w:numId w:val="4"/>
        </w:numPr>
        <w:tabs>
          <w:tab w:val="clear" w:pos="720"/>
        </w:tabs>
        <w:spacing w:after="200"/>
        <w:ind w:left="360"/>
        <w:rPr>
          <w:u w:val="single"/>
        </w:rPr>
      </w:pPr>
      <w:r w:rsidRPr="5F19AC2F">
        <w:rPr>
          <w:u w:val="single"/>
        </w:rPr>
        <w:t>Exceptions to Certification for Paperwork Reduction Act Submissions</w:t>
      </w:r>
    </w:p>
    <w:p w:rsidR="007733D5" w:rsidP="007D73E5" w14:paraId="5449E08F" w14:textId="5F6D2B90">
      <w:pPr>
        <w:spacing w:after="200"/>
        <w:ind w:left="360" w:hanging="360"/>
      </w:pPr>
      <w:r>
        <w:t>There are n</w:t>
      </w:r>
      <w:r w:rsidR="000C453C">
        <w:t>o exceptions to the certification</w:t>
      </w:r>
      <w:r w:rsidR="4B1387C3">
        <w:t>.</w:t>
      </w:r>
    </w:p>
    <w:p w:rsidR="005A13FD" w:rsidRPr="004C6979" w:rsidP="56DACA6F" w14:paraId="103B0607" w14:textId="26D0184A">
      <w:pPr>
        <w:spacing w:before="100" w:beforeAutospacing="1" w:after="200" w:afterAutospacing="1"/>
        <w:ind w:left="360" w:hanging="360"/>
        <w:rPr>
          <w:color w:val="000000" w:themeColor="text1"/>
        </w:rPr>
      </w:pPr>
    </w:p>
    <w:sectPr w:rsidSect="00885A00">
      <w:headerReference w:type="default" r:id="rId11"/>
      <w:footerReference w:type="even" r:id="rId12"/>
      <w:footerReference w:type="default" r:id="rId13"/>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535D1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CADB9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6707BF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F47">
      <w:rPr>
        <w:rStyle w:val="PageNumber"/>
        <w:noProof/>
      </w:rPr>
      <w:t>1</w:t>
    </w:r>
    <w:r>
      <w:rPr>
        <w:rStyle w:val="PageNumber"/>
      </w:rPr>
      <w:fldChar w:fldCharType="end"/>
    </w:r>
  </w:p>
  <w:p w:rsidR="00E63DE5" w14:paraId="6451BE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0918" w14:paraId="00BDB0E9" w14:textId="77777777">
      <w:r>
        <w:separator/>
      </w:r>
    </w:p>
  </w:footnote>
  <w:footnote w:type="continuationSeparator" w:id="1">
    <w:p w:rsidR="00D50918" w14:paraId="7B245EC7" w14:textId="77777777">
      <w:r>
        <w:continuationSeparator/>
      </w:r>
    </w:p>
  </w:footnote>
  <w:footnote w:type="continuationNotice" w:id="2">
    <w:p w:rsidR="00D50918" w14:paraId="00733A7D" w14:textId="77777777"/>
  </w:footnote>
  <w:footnote w:id="3">
    <w:p w:rsidR="007A0C6F" w:rsidRPr="0036726C" w:rsidP="007A0C6F" w14:paraId="587DE0F4" w14:textId="77777777">
      <w:pPr>
        <w:pStyle w:val="FootnoteText"/>
      </w:pPr>
      <w:r>
        <w:rPr>
          <w:rStyle w:val="FootnoteReference"/>
        </w:rPr>
        <w:footnoteRef/>
      </w:r>
      <w:r w:rsidR="0DD7CCC2">
        <w:t xml:space="preserve"> </w:t>
      </w:r>
      <w:hyperlink r:id="rId1" w:history="1">
        <w:r w:rsidRPr="0066172E" w:rsidR="0DD7CCC2">
          <w:rPr>
            <w:rStyle w:val="Hyperlink"/>
          </w:rPr>
          <w:t>www.census.gov/programs-surveys/economic-census/year/2022/news-updates/ecdata-releases.html</w:t>
        </w:r>
      </w:hyperlink>
      <w:r w:rsidR="0DD7CCC2">
        <w:t xml:space="preserve"> (</w:t>
      </w:r>
      <w:r w:rsidRPr="0036726C" w:rsidR="0DD7CCC2">
        <w:t>EC2200NAPCSINDPRD</w:t>
      </w:r>
      <w:r w:rsidR="0DD7CCC2">
        <w:t xml:space="preserve"> Industry by Product and EC2200NAPCSPRDIND</w:t>
      </w:r>
    </w:p>
    <w:p w:rsidR="007A0C6F" w:rsidP="007A0C6F" w14:paraId="702BCA1A" w14:textId="77777777">
      <w:pPr>
        <w:pStyle w:val="FootnoteText"/>
      </w:pPr>
      <w:r>
        <w:t> Product by Industry Tables)</w:t>
      </w:r>
    </w:p>
  </w:footnote>
  <w:footnote w:id="4">
    <w:p w:rsidR="007A0C6F" w:rsidP="007A0C6F" w14:paraId="5AF54300" w14:textId="77777777">
      <w:pPr>
        <w:pStyle w:val="FootnoteText"/>
      </w:pPr>
      <w:r>
        <w:rPr>
          <w:rStyle w:val="FootnoteReference"/>
        </w:rPr>
        <w:footnoteRef/>
      </w:r>
      <w:r w:rsidR="0DD7CCC2">
        <w:t xml:space="preserve"> </w:t>
      </w:r>
      <w:r w:rsidRPr="00341168" w:rsidR="0DD7CCC2">
        <w:t>www.census.gov/data/tables/2022/econ/susb/2022-susb-annual.html</w:t>
      </w:r>
    </w:p>
  </w:footnote>
  <w:footnote w:id="5">
    <w:p w:rsidR="007A0C6F" w:rsidP="007A0C6F" w14:paraId="0E184513" w14:textId="77777777">
      <w:pPr>
        <w:pStyle w:val="FootnoteText"/>
      </w:pPr>
      <w:r>
        <w:rPr>
          <w:rStyle w:val="FootnoteReference"/>
        </w:rPr>
        <w:footnoteRef/>
      </w:r>
      <w:r w:rsidR="0DD7CCC2">
        <w:t xml:space="preserve"> </w:t>
      </w:r>
      <w:r w:rsidRPr="00341168" w:rsidR="0DD7CCC2">
        <w:t>www.census.gov/data/data-tools/bds-explorer.html</w:t>
      </w:r>
    </w:p>
  </w:footnote>
  <w:footnote w:id="6">
    <w:p w:rsidR="007A0C6F" w:rsidP="007A0C6F" w14:paraId="541E96DC" w14:textId="77777777">
      <w:pPr>
        <w:pStyle w:val="FootnoteText"/>
      </w:pPr>
      <w:r>
        <w:rPr>
          <w:rStyle w:val="FootnoteReference"/>
        </w:rPr>
        <w:footnoteRef/>
      </w:r>
      <w:r w:rsidR="0DD7CCC2">
        <w:t xml:space="preserve"> NAICS codes – 44511 (</w:t>
      </w:r>
      <w:r w:rsidRPr="00227F29" w:rsidR="0DD7CCC2">
        <w:t>Supermarkets and Other Grocery (except Convenience) Stores</w:t>
      </w:r>
      <w:r w:rsidR="0DD7CCC2">
        <w:t>)</w:t>
      </w:r>
      <w:r w:rsidRPr="00227F29" w:rsidR="0DD7CCC2">
        <w:t xml:space="preserve">, </w:t>
      </w:r>
      <w:r w:rsidR="0DD7CCC2">
        <w:t>44512 (</w:t>
      </w:r>
      <w:r w:rsidRPr="00227F29" w:rsidR="0DD7CCC2">
        <w:t>Convenience Stores</w:t>
      </w:r>
      <w:r w:rsidR="0DD7CCC2">
        <w:t>)</w:t>
      </w:r>
      <w:r w:rsidRPr="00227F29" w:rsidR="0DD7CCC2">
        <w:t xml:space="preserve">, </w:t>
      </w:r>
      <w:r w:rsidR="0DD7CCC2">
        <w:t>44530 (</w:t>
      </w:r>
      <w:r w:rsidRPr="00227F29" w:rsidR="0DD7CCC2">
        <w:t xml:space="preserve">Beer, Wine, and Liquor Stores), </w:t>
      </w:r>
      <w:r w:rsidR="0DD7CCC2">
        <w:t>44611 (</w:t>
      </w:r>
      <w:r w:rsidRPr="00227F29" w:rsidR="0DD7CCC2">
        <w:t xml:space="preserve">Pharmacies and Drug Stores), </w:t>
      </w:r>
      <w:r w:rsidR="0DD7CCC2">
        <w:t>44711 (</w:t>
      </w:r>
      <w:r w:rsidRPr="00227F29" w:rsidR="0DD7CCC2">
        <w:t xml:space="preserve">Gasoline Stations with Convenience Stores), </w:t>
      </w:r>
      <w:r w:rsidR="0DD7CCC2">
        <w:t>44719 (</w:t>
      </w:r>
      <w:r w:rsidRPr="00227F29" w:rsidR="0DD7CCC2">
        <w:t>Other Gasoline Stations),</w:t>
      </w:r>
      <w:r w:rsidR="0DD7CCC2">
        <w:t xml:space="preserve"> 452311</w:t>
      </w:r>
      <w:r w:rsidRPr="00227F29" w:rsidR="0DD7CCC2">
        <w:t xml:space="preserve"> </w:t>
      </w:r>
      <w:r w:rsidR="0DD7CCC2">
        <w:t>(</w:t>
      </w:r>
      <w:r w:rsidRPr="00227F29" w:rsidR="0DD7CCC2">
        <w:t xml:space="preserve">Warehouse Clubs and Supercenters), </w:t>
      </w:r>
      <w:r w:rsidR="0DD7CCC2">
        <w:t>452319 (</w:t>
      </w:r>
      <w:r w:rsidRPr="00227F29" w:rsidR="0DD7CCC2">
        <w:t xml:space="preserve">All Other General Merchandise Stores), and </w:t>
      </w:r>
      <w:r w:rsidR="0DD7CCC2">
        <w:t>453991 (</w:t>
      </w:r>
      <w:r w:rsidRPr="00227F29" w:rsidR="0DD7CCC2">
        <w:t>Tobacco Stores)</w:t>
      </w:r>
      <w:r w:rsidR="0DD7CCC2">
        <w:t>. Economic Census data were used to determine the percent of establishments within each NAICS code that sell tobacco products.</w:t>
      </w:r>
    </w:p>
  </w:footnote>
  <w:footnote w:id="7">
    <w:p w:rsidR="00B66DF9" w:rsidP="00B66DF9" w14:paraId="37243151" w14:textId="77777777">
      <w:pPr>
        <w:pStyle w:val="FootnoteText"/>
      </w:pPr>
      <w:r>
        <w:rPr>
          <w:rStyle w:val="FootnoteReference"/>
        </w:rPr>
        <w:footnoteRef/>
      </w:r>
      <w:r w:rsidR="0DD7CCC2">
        <w:t xml:space="preserve"> </w:t>
      </w:r>
      <w:r w:rsidRPr="00341168" w:rsidR="0DD7CCC2">
        <w:t>data.bls.gov/oes/#/industry/4450A1</w:t>
      </w:r>
    </w:p>
  </w:footnote>
  <w:footnote w:id="8">
    <w:p w:rsidR="00B66DF9" w:rsidP="00B66DF9" w14:paraId="0284C852" w14:textId="77777777">
      <w:pPr>
        <w:pStyle w:val="FootnoteText"/>
      </w:pPr>
      <w:r>
        <w:rPr>
          <w:rStyle w:val="FootnoteReference"/>
        </w:rPr>
        <w:footnoteRef/>
      </w:r>
      <w:r w:rsidR="0DD7CCC2">
        <w:t xml:space="preserve"> </w:t>
      </w:r>
      <w:r w:rsidRPr="00341168" w:rsidR="0DD7CCC2">
        <w:t>data.bls.gov/oes/#/industry/457100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64F" w:rsidRPr="00C473F5" w14:paraId="6B610B71" w14:textId="0C34C0F3">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130BD2"/>
    <w:multiLevelType w:val="hybridMultilevel"/>
    <w:tmpl w:val="F2486728"/>
    <w:lvl w:ilvl="0">
      <w:start w:val="0"/>
      <w:numFmt w:val="bullet"/>
      <w:lvlText w:val="•"/>
      <w:lvlJc w:val="left"/>
      <w:pPr>
        <w:ind w:left="1080" w:hanging="360"/>
      </w:pPr>
      <w:rPr>
        <w:rFonts w:ascii="Times New Roman" w:eastAsia="Times New Roman" w:hAnsi="Times New Roman" w:cs="Times New Roman"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E743558"/>
    <w:multiLevelType w:val="hybridMultilevel"/>
    <w:tmpl w:val="422E5AD6"/>
    <w:lvl w:ilvl="0">
      <w:start w:val="0"/>
      <w:numFmt w:val="bullet"/>
      <w:lvlText w:val="•"/>
      <w:lvlJc w:val="left"/>
      <w:pPr>
        <w:ind w:left="1080" w:hanging="360"/>
      </w:pPr>
      <w:rPr>
        <w:rFonts w:ascii="Times New Roman" w:eastAsia="Times New Roman" w:hAnsi="Times New Roman" w:cs="Times New Roman"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D6A9215"/>
    <w:multiLevelType w:val="multilevel"/>
    <w:tmpl w:val="7722E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52D393D"/>
    <w:multiLevelType w:val="hybridMultilevel"/>
    <w:tmpl w:val="AD18183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95E8EF"/>
    <w:multiLevelType w:val="hybridMultilevel"/>
    <w:tmpl w:val="71229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E85486"/>
    <w:multiLevelType w:val="hybridMultilevel"/>
    <w:tmpl w:val="DA70ADAC"/>
    <w:lvl w:ilvl="0">
      <w:start w:val="0"/>
      <w:numFmt w:val="bullet"/>
      <w:lvlText w:val="•"/>
      <w:lvlJc w:val="left"/>
      <w:pPr>
        <w:ind w:left="1800" w:hanging="360"/>
      </w:pPr>
      <w:rPr>
        <w:rFonts w:ascii="Times New Roman" w:eastAsia="Times New Roman" w:hAnsi="Times New Roman" w:cs="Times New Roman" w:hint="default"/>
        <w:color w:val="000000" w:themeColor="tex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CDC785C"/>
    <w:multiLevelType w:val="hybridMultilevel"/>
    <w:tmpl w:val="8A763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3A8573A"/>
    <w:multiLevelType w:val="hybridMultilevel"/>
    <w:tmpl w:val="16809C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D86CF48"/>
    <w:multiLevelType w:val="multilevel"/>
    <w:tmpl w:val="C4881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7285314"/>
    <w:multiLevelType w:val="hybridMultilevel"/>
    <w:tmpl w:val="D1E87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3A29BD"/>
    <w:multiLevelType w:val="hybridMultilevel"/>
    <w:tmpl w:val="DE223AFC"/>
    <w:lvl w:ilvl="0">
      <w:start w:val="0"/>
      <w:numFmt w:val="bullet"/>
      <w:lvlText w:val="•"/>
      <w:lvlJc w:val="left"/>
      <w:pPr>
        <w:ind w:left="1080" w:hanging="360"/>
      </w:pPr>
      <w:rPr>
        <w:rFonts w:ascii="Times New Roman" w:eastAsia="Times New Roman" w:hAnsi="Times New Roman" w:cs="Times New Roman"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01B3226"/>
    <w:multiLevelType w:val="hybridMultilevel"/>
    <w:tmpl w:val="5CCA352E"/>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5B640BE"/>
    <w:multiLevelType w:val="hybridMultilevel"/>
    <w:tmpl w:val="9E4EA9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9">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D711B06"/>
    <w:multiLevelType w:val="hybridMultilevel"/>
    <w:tmpl w:val="55FE5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F70BDE"/>
    <w:multiLevelType w:val="hybridMultilevel"/>
    <w:tmpl w:val="4D228476"/>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450363564">
    <w:abstractNumId w:val="14"/>
  </w:num>
  <w:num w:numId="2" w16cid:durableId="1219853632">
    <w:abstractNumId w:val="6"/>
  </w:num>
  <w:num w:numId="3" w16cid:durableId="452670135">
    <w:abstractNumId w:val="27"/>
  </w:num>
  <w:num w:numId="4" w16cid:durableId="1384867968">
    <w:abstractNumId w:val="16"/>
  </w:num>
  <w:num w:numId="5" w16cid:durableId="1369375995">
    <w:abstractNumId w:val="23"/>
  </w:num>
  <w:num w:numId="6" w16cid:durableId="934438310">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7" w16cid:durableId="436564925">
    <w:abstractNumId w:val="29"/>
  </w:num>
  <w:num w:numId="8" w16cid:durableId="162012669">
    <w:abstractNumId w:val="10"/>
  </w:num>
  <w:num w:numId="9" w16cid:durableId="538124632">
    <w:abstractNumId w:val="33"/>
  </w:num>
  <w:num w:numId="10" w16cid:durableId="919799977">
    <w:abstractNumId w:val="40"/>
  </w:num>
  <w:num w:numId="11" w16cid:durableId="1442840876">
    <w:abstractNumId w:val="7"/>
  </w:num>
  <w:num w:numId="12" w16cid:durableId="1495102649">
    <w:abstractNumId w:val="34"/>
  </w:num>
  <w:num w:numId="13" w16cid:durableId="945576474">
    <w:abstractNumId w:val="28"/>
  </w:num>
  <w:num w:numId="14" w16cid:durableId="1037703093">
    <w:abstractNumId w:val="12"/>
  </w:num>
  <w:num w:numId="15" w16cid:durableId="1257250153">
    <w:abstractNumId w:val="43"/>
  </w:num>
  <w:num w:numId="16" w16cid:durableId="777873795">
    <w:abstractNumId w:val="26"/>
  </w:num>
  <w:num w:numId="17" w16cid:durableId="2029402623">
    <w:abstractNumId w:val="11"/>
  </w:num>
  <w:num w:numId="18" w16cid:durableId="531041898">
    <w:abstractNumId w:val="22"/>
  </w:num>
  <w:num w:numId="19" w16cid:durableId="2028870438">
    <w:abstractNumId w:val="20"/>
  </w:num>
  <w:num w:numId="20" w16cid:durableId="606810629">
    <w:abstractNumId w:val="39"/>
  </w:num>
  <w:num w:numId="21" w16cid:durableId="1657372146">
    <w:abstractNumId w:val="42"/>
  </w:num>
  <w:num w:numId="22" w16cid:durableId="991712123">
    <w:abstractNumId w:val="41"/>
  </w:num>
  <w:num w:numId="23" w16cid:durableId="1773435720">
    <w:abstractNumId w:val="25"/>
  </w:num>
  <w:num w:numId="24" w16cid:durableId="341473396">
    <w:abstractNumId w:val="19"/>
  </w:num>
  <w:num w:numId="25" w16cid:durableId="64375071">
    <w:abstractNumId w:val="5"/>
  </w:num>
  <w:num w:numId="26" w16cid:durableId="564343457">
    <w:abstractNumId w:val="36"/>
  </w:num>
  <w:num w:numId="27" w16cid:durableId="1540506374">
    <w:abstractNumId w:val="30"/>
  </w:num>
  <w:num w:numId="28" w16cid:durableId="47917526">
    <w:abstractNumId w:val="17"/>
  </w:num>
  <w:num w:numId="29" w16cid:durableId="1866358644">
    <w:abstractNumId w:val="9"/>
  </w:num>
  <w:num w:numId="30" w16cid:durableId="913124072">
    <w:abstractNumId w:val="46"/>
  </w:num>
  <w:num w:numId="31" w16cid:durableId="1683360300">
    <w:abstractNumId w:val="38"/>
  </w:num>
  <w:num w:numId="32" w16cid:durableId="1446804599">
    <w:abstractNumId w:val="8"/>
  </w:num>
  <w:num w:numId="33" w16cid:durableId="641422735">
    <w:abstractNumId w:val="24"/>
  </w:num>
  <w:num w:numId="34" w16cid:durableId="372463180">
    <w:abstractNumId w:val="3"/>
  </w:num>
  <w:num w:numId="35" w16cid:durableId="1158034221">
    <w:abstractNumId w:val="1"/>
  </w:num>
  <w:num w:numId="36" w16cid:durableId="255792060">
    <w:abstractNumId w:val="18"/>
  </w:num>
  <w:num w:numId="37" w16cid:durableId="55517040">
    <w:abstractNumId w:val="44"/>
  </w:num>
  <w:num w:numId="38" w16cid:durableId="1886216719">
    <w:abstractNumId w:val="37"/>
  </w:num>
  <w:num w:numId="39" w16cid:durableId="1073312491">
    <w:abstractNumId w:val="31"/>
  </w:num>
  <w:num w:numId="40" w16cid:durableId="1005281107">
    <w:abstractNumId w:val="21"/>
  </w:num>
  <w:num w:numId="41" w16cid:durableId="490758819">
    <w:abstractNumId w:val="2"/>
  </w:num>
  <w:num w:numId="42" w16cid:durableId="2076465085">
    <w:abstractNumId w:val="15"/>
  </w:num>
  <w:num w:numId="43" w16cid:durableId="1532767838">
    <w:abstractNumId w:val="4"/>
  </w:num>
  <w:num w:numId="44" w16cid:durableId="1780711408">
    <w:abstractNumId w:val="32"/>
  </w:num>
  <w:num w:numId="45" w16cid:durableId="1750344845">
    <w:abstractNumId w:val="35"/>
  </w:num>
  <w:num w:numId="46" w16cid:durableId="410742184">
    <w:abstractNumId w:val="13"/>
  </w:num>
  <w:num w:numId="47" w16cid:durableId="269313126">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926"/>
    <w:rsid w:val="00005A72"/>
    <w:rsid w:val="00012B55"/>
    <w:rsid w:val="00013B98"/>
    <w:rsid w:val="000142B1"/>
    <w:rsid w:val="00016F83"/>
    <w:rsid w:val="00034DD8"/>
    <w:rsid w:val="00036146"/>
    <w:rsid w:val="0003648A"/>
    <w:rsid w:val="00036BBC"/>
    <w:rsid w:val="0004164E"/>
    <w:rsid w:val="0004421A"/>
    <w:rsid w:val="000462C0"/>
    <w:rsid w:val="00051D61"/>
    <w:rsid w:val="00062A7B"/>
    <w:rsid w:val="000631DF"/>
    <w:rsid w:val="0006570F"/>
    <w:rsid w:val="00083325"/>
    <w:rsid w:val="00084446"/>
    <w:rsid w:val="00086CF2"/>
    <w:rsid w:val="00095183"/>
    <w:rsid w:val="00097953"/>
    <w:rsid w:val="000B1CA0"/>
    <w:rsid w:val="000B2871"/>
    <w:rsid w:val="000B362D"/>
    <w:rsid w:val="000B3C69"/>
    <w:rsid w:val="000B7DC5"/>
    <w:rsid w:val="000C0835"/>
    <w:rsid w:val="000C1399"/>
    <w:rsid w:val="000C453C"/>
    <w:rsid w:val="000C4F3B"/>
    <w:rsid w:val="000C560C"/>
    <w:rsid w:val="000D3663"/>
    <w:rsid w:val="000D48FD"/>
    <w:rsid w:val="000D4937"/>
    <w:rsid w:val="000D7BCC"/>
    <w:rsid w:val="000E1C64"/>
    <w:rsid w:val="000E2BE4"/>
    <w:rsid w:val="000E377E"/>
    <w:rsid w:val="000E5582"/>
    <w:rsid w:val="000F5BC7"/>
    <w:rsid w:val="000F7119"/>
    <w:rsid w:val="00100739"/>
    <w:rsid w:val="001053A7"/>
    <w:rsid w:val="00105F31"/>
    <w:rsid w:val="00107885"/>
    <w:rsid w:val="001114EF"/>
    <w:rsid w:val="00112676"/>
    <w:rsid w:val="001126BE"/>
    <w:rsid w:val="00114FC4"/>
    <w:rsid w:val="00116249"/>
    <w:rsid w:val="0012329C"/>
    <w:rsid w:val="00134FA7"/>
    <w:rsid w:val="00137950"/>
    <w:rsid w:val="00140957"/>
    <w:rsid w:val="001415F4"/>
    <w:rsid w:val="00143B82"/>
    <w:rsid w:val="0014473B"/>
    <w:rsid w:val="00144801"/>
    <w:rsid w:val="00147087"/>
    <w:rsid w:val="00152F29"/>
    <w:rsid w:val="00157799"/>
    <w:rsid w:val="001616FD"/>
    <w:rsid w:val="00162EBD"/>
    <w:rsid w:val="00162FC4"/>
    <w:rsid w:val="00166C98"/>
    <w:rsid w:val="00167B12"/>
    <w:rsid w:val="00167B75"/>
    <w:rsid w:val="0017474B"/>
    <w:rsid w:val="00174E9C"/>
    <w:rsid w:val="001801D7"/>
    <w:rsid w:val="001824B0"/>
    <w:rsid w:val="00182614"/>
    <w:rsid w:val="00185270"/>
    <w:rsid w:val="0018714F"/>
    <w:rsid w:val="00196A44"/>
    <w:rsid w:val="001A2880"/>
    <w:rsid w:val="001A3B5A"/>
    <w:rsid w:val="001A5720"/>
    <w:rsid w:val="001A6998"/>
    <w:rsid w:val="001B0860"/>
    <w:rsid w:val="001B2D23"/>
    <w:rsid w:val="001B5ECB"/>
    <w:rsid w:val="001B6680"/>
    <w:rsid w:val="001B7C61"/>
    <w:rsid w:val="001B7CE9"/>
    <w:rsid w:val="001C24B2"/>
    <w:rsid w:val="001C250E"/>
    <w:rsid w:val="001C3DA4"/>
    <w:rsid w:val="001D001C"/>
    <w:rsid w:val="001D0743"/>
    <w:rsid w:val="001D1D43"/>
    <w:rsid w:val="001D23C9"/>
    <w:rsid w:val="001D3208"/>
    <w:rsid w:val="001D3EF1"/>
    <w:rsid w:val="001D495A"/>
    <w:rsid w:val="001D7BE7"/>
    <w:rsid w:val="001D7ED0"/>
    <w:rsid w:val="001E244C"/>
    <w:rsid w:val="001F1437"/>
    <w:rsid w:val="001F47AA"/>
    <w:rsid w:val="00204ED1"/>
    <w:rsid w:val="0021113E"/>
    <w:rsid w:val="0022193B"/>
    <w:rsid w:val="002259EF"/>
    <w:rsid w:val="0022695A"/>
    <w:rsid w:val="00227F29"/>
    <w:rsid w:val="00232759"/>
    <w:rsid w:val="00233CED"/>
    <w:rsid w:val="002341A9"/>
    <w:rsid w:val="00237033"/>
    <w:rsid w:val="002401FE"/>
    <w:rsid w:val="00240D88"/>
    <w:rsid w:val="00241D88"/>
    <w:rsid w:val="00242E8F"/>
    <w:rsid w:val="00242ED1"/>
    <w:rsid w:val="00244AAD"/>
    <w:rsid w:val="00246F75"/>
    <w:rsid w:val="002501A1"/>
    <w:rsid w:val="00254069"/>
    <w:rsid w:val="00260AFD"/>
    <w:rsid w:val="00262F51"/>
    <w:rsid w:val="00263690"/>
    <w:rsid w:val="00264049"/>
    <w:rsid w:val="00264BAC"/>
    <w:rsid w:val="0026680F"/>
    <w:rsid w:val="002734E5"/>
    <w:rsid w:val="002746DB"/>
    <w:rsid w:val="0027493D"/>
    <w:rsid w:val="00280CAF"/>
    <w:rsid w:val="00282F09"/>
    <w:rsid w:val="00283211"/>
    <w:rsid w:val="00287DB4"/>
    <w:rsid w:val="00290995"/>
    <w:rsid w:val="00295127"/>
    <w:rsid w:val="002953CB"/>
    <w:rsid w:val="002A0113"/>
    <w:rsid w:val="002A0BC4"/>
    <w:rsid w:val="002A0F5B"/>
    <w:rsid w:val="002A1210"/>
    <w:rsid w:val="002A2B5A"/>
    <w:rsid w:val="002A361D"/>
    <w:rsid w:val="002A507E"/>
    <w:rsid w:val="002B0555"/>
    <w:rsid w:val="002B234D"/>
    <w:rsid w:val="002B770B"/>
    <w:rsid w:val="002C4626"/>
    <w:rsid w:val="002C6595"/>
    <w:rsid w:val="002D14D8"/>
    <w:rsid w:val="002D2999"/>
    <w:rsid w:val="002D320B"/>
    <w:rsid w:val="002D427D"/>
    <w:rsid w:val="002D4799"/>
    <w:rsid w:val="002D51D1"/>
    <w:rsid w:val="002D6C07"/>
    <w:rsid w:val="002E2126"/>
    <w:rsid w:val="002E3FA4"/>
    <w:rsid w:val="002E5FA4"/>
    <w:rsid w:val="002F0759"/>
    <w:rsid w:val="002F0B12"/>
    <w:rsid w:val="002F219E"/>
    <w:rsid w:val="002F2ADF"/>
    <w:rsid w:val="002F4F51"/>
    <w:rsid w:val="002F728D"/>
    <w:rsid w:val="002F7530"/>
    <w:rsid w:val="002F763F"/>
    <w:rsid w:val="002F7D5C"/>
    <w:rsid w:val="00302F56"/>
    <w:rsid w:val="0030350E"/>
    <w:rsid w:val="00310196"/>
    <w:rsid w:val="003113FF"/>
    <w:rsid w:val="00312A56"/>
    <w:rsid w:val="00315909"/>
    <w:rsid w:val="0032277F"/>
    <w:rsid w:val="00341168"/>
    <w:rsid w:val="00346BF7"/>
    <w:rsid w:val="00347F16"/>
    <w:rsid w:val="00350523"/>
    <w:rsid w:val="00352DD4"/>
    <w:rsid w:val="00354286"/>
    <w:rsid w:val="00355CBA"/>
    <w:rsid w:val="00357A9B"/>
    <w:rsid w:val="0036726C"/>
    <w:rsid w:val="00372EAE"/>
    <w:rsid w:val="003740BC"/>
    <w:rsid w:val="00374E49"/>
    <w:rsid w:val="003801A3"/>
    <w:rsid w:val="00380FD2"/>
    <w:rsid w:val="00381380"/>
    <w:rsid w:val="00382844"/>
    <w:rsid w:val="00383D90"/>
    <w:rsid w:val="00391458"/>
    <w:rsid w:val="00392117"/>
    <w:rsid w:val="003922B3"/>
    <w:rsid w:val="003943EB"/>
    <w:rsid w:val="00395550"/>
    <w:rsid w:val="00396264"/>
    <w:rsid w:val="00396508"/>
    <w:rsid w:val="003A701A"/>
    <w:rsid w:val="003B3505"/>
    <w:rsid w:val="003B367C"/>
    <w:rsid w:val="003B42B3"/>
    <w:rsid w:val="003B4C8C"/>
    <w:rsid w:val="003B6384"/>
    <w:rsid w:val="003B74B5"/>
    <w:rsid w:val="003C497A"/>
    <w:rsid w:val="003C4EBB"/>
    <w:rsid w:val="003C5A2E"/>
    <w:rsid w:val="003D1531"/>
    <w:rsid w:val="003D6B21"/>
    <w:rsid w:val="003E4EC6"/>
    <w:rsid w:val="003E527E"/>
    <w:rsid w:val="003E553E"/>
    <w:rsid w:val="003E6838"/>
    <w:rsid w:val="003E7078"/>
    <w:rsid w:val="003F248C"/>
    <w:rsid w:val="003F39F8"/>
    <w:rsid w:val="003F3DF5"/>
    <w:rsid w:val="003F58C5"/>
    <w:rsid w:val="003F77B1"/>
    <w:rsid w:val="00400606"/>
    <w:rsid w:val="0040153D"/>
    <w:rsid w:val="004015A1"/>
    <w:rsid w:val="00405973"/>
    <w:rsid w:val="00407E82"/>
    <w:rsid w:val="00411D11"/>
    <w:rsid w:val="00415E23"/>
    <w:rsid w:val="0041670D"/>
    <w:rsid w:val="00416850"/>
    <w:rsid w:val="004204BA"/>
    <w:rsid w:val="00420A1E"/>
    <w:rsid w:val="00424061"/>
    <w:rsid w:val="00425E5D"/>
    <w:rsid w:val="004263F8"/>
    <w:rsid w:val="00431FA0"/>
    <w:rsid w:val="004338B3"/>
    <w:rsid w:val="004353DC"/>
    <w:rsid w:val="00435F47"/>
    <w:rsid w:val="00437942"/>
    <w:rsid w:val="004403FB"/>
    <w:rsid w:val="00442A3C"/>
    <w:rsid w:val="00443969"/>
    <w:rsid w:val="004440A8"/>
    <w:rsid w:val="00447D74"/>
    <w:rsid w:val="004508E2"/>
    <w:rsid w:val="00450A74"/>
    <w:rsid w:val="00453287"/>
    <w:rsid w:val="004546BF"/>
    <w:rsid w:val="004550E7"/>
    <w:rsid w:val="004574C8"/>
    <w:rsid w:val="0046181D"/>
    <w:rsid w:val="0046203C"/>
    <w:rsid w:val="0046413D"/>
    <w:rsid w:val="00465332"/>
    <w:rsid w:val="00465350"/>
    <w:rsid w:val="00472411"/>
    <w:rsid w:val="00473758"/>
    <w:rsid w:val="004738D6"/>
    <w:rsid w:val="00475371"/>
    <w:rsid w:val="0047660E"/>
    <w:rsid w:val="00480BCE"/>
    <w:rsid w:val="00482066"/>
    <w:rsid w:val="0048290C"/>
    <w:rsid w:val="00482AFA"/>
    <w:rsid w:val="004846BF"/>
    <w:rsid w:val="00486F93"/>
    <w:rsid w:val="00487169"/>
    <w:rsid w:val="00494573"/>
    <w:rsid w:val="004A480C"/>
    <w:rsid w:val="004A592A"/>
    <w:rsid w:val="004B0722"/>
    <w:rsid w:val="004B3327"/>
    <w:rsid w:val="004C4C1F"/>
    <w:rsid w:val="004C6979"/>
    <w:rsid w:val="004D05CA"/>
    <w:rsid w:val="004D12F6"/>
    <w:rsid w:val="004D2180"/>
    <w:rsid w:val="004D353A"/>
    <w:rsid w:val="004D3E7A"/>
    <w:rsid w:val="004D62EC"/>
    <w:rsid w:val="004E0513"/>
    <w:rsid w:val="004F50B7"/>
    <w:rsid w:val="004F7BC3"/>
    <w:rsid w:val="00510F77"/>
    <w:rsid w:val="00521775"/>
    <w:rsid w:val="00521C0B"/>
    <w:rsid w:val="00534E50"/>
    <w:rsid w:val="005352DC"/>
    <w:rsid w:val="00535ABD"/>
    <w:rsid w:val="00537313"/>
    <w:rsid w:val="00537D21"/>
    <w:rsid w:val="00540101"/>
    <w:rsid w:val="005439B9"/>
    <w:rsid w:val="00543F6D"/>
    <w:rsid w:val="00544138"/>
    <w:rsid w:val="00547717"/>
    <w:rsid w:val="005534A2"/>
    <w:rsid w:val="00556F03"/>
    <w:rsid w:val="00564BBB"/>
    <w:rsid w:val="00564CF5"/>
    <w:rsid w:val="00570936"/>
    <w:rsid w:val="005723D5"/>
    <w:rsid w:val="0057280E"/>
    <w:rsid w:val="005738C8"/>
    <w:rsid w:val="00575EE1"/>
    <w:rsid w:val="00576A87"/>
    <w:rsid w:val="00581FBC"/>
    <w:rsid w:val="00582942"/>
    <w:rsid w:val="0058333C"/>
    <w:rsid w:val="00584583"/>
    <w:rsid w:val="00586F28"/>
    <w:rsid w:val="0058786D"/>
    <w:rsid w:val="005963EA"/>
    <w:rsid w:val="00596C9A"/>
    <w:rsid w:val="005A0F0B"/>
    <w:rsid w:val="005A13FD"/>
    <w:rsid w:val="005A4099"/>
    <w:rsid w:val="005A7198"/>
    <w:rsid w:val="005B4BE7"/>
    <w:rsid w:val="005B7FF9"/>
    <w:rsid w:val="005C2ADD"/>
    <w:rsid w:val="005C38B2"/>
    <w:rsid w:val="005C5029"/>
    <w:rsid w:val="005C55C2"/>
    <w:rsid w:val="005C745C"/>
    <w:rsid w:val="005D10D8"/>
    <w:rsid w:val="005D4DF5"/>
    <w:rsid w:val="005D4F0E"/>
    <w:rsid w:val="005D554F"/>
    <w:rsid w:val="005E018F"/>
    <w:rsid w:val="005E16B9"/>
    <w:rsid w:val="005F181C"/>
    <w:rsid w:val="005F2DC7"/>
    <w:rsid w:val="005F2F28"/>
    <w:rsid w:val="005F30C2"/>
    <w:rsid w:val="005F4D8C"/>
    <w:rsid w:val="005F530E"/>
    <w:rsid w:val="005F5C69"/>
    <w:rsid w:val="005F6EA7"/>
    <w:rsid w:val="005F6F3A"/>
    <w:rsid w:val="00600591"/>
    <w:rsid w:val="0060164F"/>
    <w:rsid w:val="00607527"/>
    <w:rsid w:val="00607953"/>
    <w:rsid w:val="00611CD3"/>
    <w:rsid w:val="00611D6B"/>
    <w:rsid w:val="0061789C"/>
    <w:rsid w:val="00617E11"/>
    <w:rsid w:val="00620473"/>
    <w:rsid w:val="006264D5"/>
    <w:rsid w:val="006274DA"/>
    <w:rsid w:val="006310ED"/>
    <w:rsid w:val="00632C31"/>
    <w:rsid w:val="00636A4B"/>
    <w:rsid w:val="006377D8"/>
    <w:rsid w:val="00640BE1"/>
    <w:rsid w:val="00645F41"/>
    <w:rsid w:val="006525A7"/>
    <w:rsid w:val="00655294"/>
    <w:rsid w:val="00660907"/>
    <w:rsid w:val="00661010"/>
    <w:rsid w:val="0066172E"/>
    <w:rsid w:val="0066658D"/>
    <w:rsid w:val="0067339C"/>
    <w:rsid w:val="006775CB"/>
    <w:rsid w:val="0068061C"/>
    <w:rsid w:val="00682536"/>
    <w:rsid w:val="006847BB"/>
    <w:rsid w:val="00685FC4"/>
    <w:rsid w:val="00693956"/>
    <w:rsid w:val="00693B14"/>
    <w:rsid w:val="006960EF"/>
    <w:rsid w:val="00696B56"/>
    <w:rsid w:val="006973E0"/>
    <w:rsid w:val="006A1E65"/>
    <w:rsid w:val="006A26C6"/>
    <w:rsid w:val="006A298C"/>
    <w:rsid w:val="006A4F28"/>
    <w:rsid w:val="006A5A1B"/>
    <w:rsid w:val="006A7D5D"/>
    <w:rsid w:val="006B1413"/>
    <w:rsid w:val="006B22EA"/>
    <w:rsid w:val="006B3E47"/>
    <w:rsid w:val="006C052D"/>
    <w:rsid w:val="006C11A9"/>
    <w:rsid w:val="006C70CF"/>
    <w:rsid w:val="006D2C94"/>
    <w:rsid w:val="006D453E"/>
    <w:rsid w:val="006D5D57"/>
    <w:rsid w:val="006E06E5"/>
    <w:rsid w:val="006E3B63"/>
    <w:rsid w:val="006E4463"/>
    <w:rsid w:val="006E46E5"/>
    <w:rsid w:val="006E4764"/>
    <w:rsid w:val="006F4D6D"/>
    <w:rsid w:val="006F6767"/>
    <w:rsid w:val="007000B7"/>
    <w:rsid w:val="00702291"/>
    <w:rsid w:val="00702699"/>
    <w:rsid w:val="00705086"/>
    <w:rsid w:val="0070518E"/>
    <w:rsid w:val="007130BB"/>
    <w:rsid w:val="00716004"/>
    <w:rsid w:val="00721339"/>
    <w:rsid w:val="007226FF"/>
    <w:rsid w:val="007232F9"/>
    <w:rsid w:val="00724386"/>
    <w:rsid w:val="00731047"/>
    <w:rsid w:val="00735BF8"/>
    <w:rsid w:val="00740287"/>
    <w:rsid w:val="0074318E"/>
    <w:rsid w:val="00743C00"/>
    <w:rsid w:val="00747CBD"/>
    <w:rsid w:val="00747CC8"/>
    <w:rsid w:val="00750353"/>
    <w:rsid w:val="007506A4"/>
    <w:rsid w:val="00753C44"/>
    <w:rsid w:val="00754497"/>
    <w:rsid w:val="007563BF"/>
    <w:rsid w:val="00756CB6"/>
    <w:rsid w:val="007625DD"/>
    <w:rsid w:val="00764C0B"/>
    <w:rsid w:val="00764ED5"/>
    <w:rsid w:val="00765EDD"/>
    <w:rsid w:val="00766393"/>
    <w:rsid w:val="0076658B"/>
    <w:rsid w:val="007733D5"/>
    <w:rsid w:val="0077451F"/>
    <w:rsid w:val="00774790"/>
    <w:rsid w:val="00774F2D"/>
    <w:rsid w:val="00783AC0"/>
    <w:rsid w:val="00784122"/>
    <w:rsid w:val="00787C39"/>
    <w:rsid w:val="00792CB8"/>
    <w:rsid w:val="00793FDB"/>
    <w:rsid w:val="00795DF3"/>
    <w:rsid w:val="007A0C6F"/>
    <w:rsid w:val="007A373C"/>
    <w:rsid w:val="007A5443"/>
    <w:rsid w:val="007B225C"/>
    <w:rsid w:val="007B262C"/>
    <w:rsid w:val="007B382A"/>
    <w:rsid w:val="007C2C67"/>
    <w:rsid w:val="007C3EA5"/>
    <w:rsid w:val="007C5160"/>
    <w:rsid w:val="007C63EC"/>
    <w:rsid w:val="007C6C5B"/>
    <w:rsid w:val="007C75B1"/>
    <w:rsid w:val="007D3DFC"/>
    <w:rsid w:val="007D4353"/>
    <w:rsid w:val="007D6FE3"/>
    <w:rsid w:val="007D73E5"/>
    <w:rsid w:val="007D741A"/>
    <w:rsid w:val="007E273F"/>
    <w:rsid w:val="007E2F07"/>
    <w:rsid w:val="007E3017"/>
    <w:rsid w:val="007E4AED"/>
    <w:rsid w:val="007E638E"/>
    <w:rsid w:val="007F26D6"/>
    <w:rsid w:val="007F29BA"/>
    <w:rsid w:val="007F2D9F"/>
    <w:rsid w:val="007F3246"/>
    <w:rsid w:val="007F3ACE"/>
    <w:rsid w:val="008010CC"/>
    <w:rsid w:val="00807131"/>
    <w:rsid w:val="0080776D"/>
    <w:rsid w:val="00810145"/>
    <w:rsid w:val="008108FA"/>
    <w:rsid w:val="00810FF1"/>
    <w:rsid w:val="0081213C"/>
    <w:rsid w:val="00814C4B"/>
    <w:rsid w:val="0081592B"/>
    <w:rsid w:val="0081602B"/>
    <w:rsid w:val="00817DD9"/>
    <w:rsid w:val="00822336"/>
    <w:rsid w:val="00822B2D"/>
    <w:rsid w:val="00823DFA"/>
    <w:rsid w:val="008252EB"/>
    <w:rsid w:val="00827A23"/>
    <w:rsid w:val="00827BE0"/>
    <w:rsid w:val="00827CA3"/>
    <w:rsid w:val="008302DA"/>
    <w:rsid w:val="00831971"/>
    <w:rsid w:val="008370B2"/>
    <w:rsid w:val="00843633"/>
    <w:rsid w:val="00843752"/>
    <w:rsid w:val="00844D57"/>
    <w:rsid w:val="0084744F"/>
    <w:rsid w:val="00852A22"/>
    <w:rsid w:val="008543A4"/>
    <w:rsid w:val="00855975"/>
    <w:rsid w:val="0085725E"/>
    <w:rsid w:val="00862CC0"/>
    <w:rsid w:val="00862D6C"/>
    <w:rsid w:val="008718CA"/>
    <w:rsid w:val="00885A00"/>
    <w:rsid w:val="00885B09"/>
    <w:rsid w:val="00887AB3"/>
    <w:rsid w:val="00887BD5"/>
    <w:rsid w:val="008908D2"/>
    <w:rsid w:val="0089178E"/>
    <w:rsid w:val="00892400"/>
    <w:rsid w:val="00892E2B"/>
    <w:rsid w:val="00893FBE"/>
    <w:rsid w:val="00895F6E"/>
    <w:rsid w:val="00896976"/>
    <w:rsid w:val="008A209D"/>
    <w:rsid w:val="008A6EB4"/>
    <w:rsid w:val="008B0671"/>
    <w:rsid w:val="008B0B8D"/>
    <w:rsid w:val="008B0E29"/>
    <w:rsid w:val="008B0EFA"/>
    <w:rsid w:val="008B30AB"/>
    <w:rsid w:val="008B69D0"/>
    <w:rsid w:val="008B6E47"/>
    <w:rsid w:val="008C76B0"/>
    <w:rsid w:val="008C78AA"/>
    <w:rsid w:val="008D57A1"/>
    <w:rsid w:val="008D7DAE"/>
    <w:rsid w:val="008F4BD6"/>
    <w:rsid w:val="009011C6"/>
    <w:rsid w:val="009013A3"/>
    <w:rsid w:val="00902435"/>
    <w:rsid w:val="0090363B"/>
    <w:rsid w:val="00904560"/>
    <w:rsid w:val="0090553A"/>
    <w:rsid w:val="00905DEF"/>
    <w:rsid w:val="0090758E"/>
    <w:rsid w:val="00911D5F"/>
    <w:rsid w:val="00912736"/>
    <w:rsid w:val="00913B43"/>
    <w:rsid w:val="009245D7"/>
    <w:rsid w:val="00925D3F"/>
    <w:rsid w:val="009269EE"/>
    <w:rsid w:val="00927CFA"/>
    <w:rsid w:val="00930203"/>
    <w:rsid w:val="009311D2"/>
    <w:rsid w:val="009311E6"/>
    <w:rsid w:val="00931275"/>
    <w:rsid w:val="00931B77"/>
    <w:rsid w:val="00936AC7"/>
    <w:rsid w:val="00937BCF"/>
    <w:rsid w:val="009403D3"/>
    <w:rsid w:val="00941556"/>
    <w:rsid w:val="00942A22"/>
    <w:rsid w:val="00942BDC"/>
    <w:rsid w:val="009434CE"/>
    <w:rsid w:val="00943F76"/>
    <w:rsid w:val="00946108"/>
    <w:rsid w:val="009468C4"/>
    <w:rsid w:val="00951026"/>
    <w:rsid w:val="0095261E"/>
    <w:rsid w:val="00952821"/>
    <w:rsid w:val="00953B64"/>
    <w:rsid w:val="00960160"/>
    <w:rsid w:val="009603CA"/>
    <w:rsid w:val="00962146"/>
    <w:rsid w:val="00962449"/>
    <w:rsid w:val="00964EC7"/>
    <w:rsid w:val="00973691"/>
    <w:rsid w:val="00974E05"/>
    <w:rsid w:val="00977C69"/>
    <w:rsid w:val="0098206A"/>
    <w:rsid w:val="00986371"/>
    <w:rsid w:val="00996F14"/>
    <w:rsid w:val="009A0F0F"/>
    <w:rsid w:val="009A1674"/>
    <w:rsid w:val="009A2675"/>
    <w:rsid w:val="009A2D9F"/>
    <w:rsid w:val="009A587D"/>
    <w:rsid w:val="009A6722"/>
    <w:rsid w:val="009C0545"/>
    <w:rsid w:val="009C3A38"/>
    <w:rsid w:val="009C5C81"/>
    <w:rsid w:val="009C684F"/>
    <w:rsid w:val="009D074C"/>
    <w:rsid w:val="009D529D"/>
    <w:rsid w:val="009D6BA7"/>
    <w:rsid w:val="009E00EC"/>
    <w:rsid w:val="009E3ADD"/>
    <w:rsid w:val="009E5091"/>
    <w:rsid w:val="009E5344"/>
    <w:rsid w:val="009F041F"/>
    <w:rsid w:val="009F2B4F"/>
    <w:rsid w:val="009F4504"/>
    <w:rsid w:val="009F66B5"/>
    <w:rsid w:val="009F7A6F"/>
    <w:rsid w:val="009F7D00"/>
    <w:rsid w:val="00A02365"/>
    <w:rsid w:val="00A03469"/>
    <w:rsid w:val="00A04B48"/>
    <w:rsid w:val="00A05F79"/>
    <w:rsid w:val="00A107C7"/>
    <w:rsid w:val="00A10D9D"/>
    <w:rsid w:val="00A1109F"/>
    <w:rsid w:val="00A16221"/>
    <w:rsid w:val="00A20A7D"/>
    <w:rsid w:val="00A20ECD"/>
    <w:rsid w:val="00A239C3"/>
    <w:rsid w:val="00A24B31"/>
    <w:rsid w:val="00A301C5"/>
    <w:rsid w:val="00A317C5"/>
    <w:rsid w:val="00A338D4"/>
    <w:rsid w:val="00A35B05"/>
    <w:rsid w:val="00A35D42"/>
    <w:rsid w:val="00A35E3A"/>
    <w:rsid w:val="00A403E6"/>
    <w:rsid w:val="00A427E0"/>
    <w:rsid w:val="00A44FE4"/>
    <w:rsid w:val="00A4607F"/>
    <w:rsid w:val="00A46CCF"/>
    <w:rsid w:val="00A478C4"/>
    <w:rsid w:val="00A50D7D"/>
    <w:rsid w:val="00A5335E"/>
    <w:rsid w:val="00A53451"/>
    <w:rsid w:val="00A564B8"/>
    <w:rsid w:val="00A66A8C"/>
    <w:rsid w:val="00A70426"/>
    <w:rsid w:val="00A73337"/>
    <w:rsid w:val="00A7702B"/>
    <w:rsid w:val="00A90D69"/>
    <w:rsid w:val="00A91848"/>
    <w:rsid w:val="00A91E9A"/>
    <w:rsid w:val="00A932D6"/>
    <w:rsid w:val="00A9349D"/>
    <w:rsid w:val="00A93ED9"/>
    <w:rsid w:val="00A96221"/>
    <w:rsid w:val="00A96897"/>
    <w:rsid w:val="00A97B70"/>
    <w:rsid w:val="00AA1929"/>
    <w:rsid w:val="00AA291C"/>
    <w:rsid w:val="00AA7692"/>
    <w:rsid w:val="00AA7E4F"/>
    <w:rsid w:val="00AA7F11"/>
    <w:rsid w:val="00AB2E6F"/>
    <w:rsid w:val="00AC02F9"/>
    <w:rsid w:val="00AC25A4"/>
    <w:rsid w:val="00AC3E4E"/>
    <w:rsid w:val="00AC450E"/>
    <w:rsid w:val="00AC6A99"/>
    <w:rsid w:val="00AC7BF5"/>
    <w:rsid w:val="00AD036F"/>
    <w:rsid w:val="00AD093C"/>
    <w:rsid w:val="00AD0ABC"/>
    <w:rsid w:val="00AD173E"/>
    <w:rsid w:val="00AD19E5"/>
    <w:rsid w:val="00AD4244"/>
    <w:rsid w:val="00AE17B1"/>
    <w:rsid w:val="00AE3945"/>
    <w:rsid w:val="00AE7159"/>
    <w:rsid w:val="00AF09F2"/>
    <w:rsid w:val="00AF337E"/>
    <w:rsid w:val="00AF6941"/>
    <w:rsid w:val="00B055EF"/>
    <w:rsid w:val="00B06140"/>
    <w:rsid w:val="00B10D00"/>
    <w:rsid w:val="00B13229"/>
    <w:rsid w:val="00B15ADC"/>
    <w:rsid w:val="00B15E04"/>
    <w:rsid w:val="00B1766C"/>
    <w:rsid w:val="00B17B45"/>
    <w:rsid w:val="00B20730"/>
    <w:rsid w:val="00B21544"/>
    <w:rsid w:val="00B234FB"/>
    <w:rsid w:val="00B23769"/>
    <w:rsid w:val="00B23EF7"/>
    <w:rsid w:val="00B24A15"/>
    <w:rsid w:val="00B26E08"/>
    <w:rsid w:val="00B27590"/>
    <w:rsid w:val="00B301B1"/>
    <w:rsid w:val="00B30A29"/>
    <w:rsid w:val="00B33867"/>
    <w:rsid w:val="00B3419E"/>
    <w:rsid w:val="00B35C39"/>
    <w:rsid w:val="00B35FD6"/>
    <w:rsid w:val="00B36739"/>
    <w:rsid w:val="00B5002F"/>
    <w:rsid w:val="00B51D9B"/>
    <w:rsid w:val="00B51F7C"/>
    <w:rsid w:val="00B57180"/>
    <w:rsid w:val="00B6080E"/>
    <w:rsid w:val="00B63609"/>
    <w:rsid w:val="00B63716"/>
    <w:rsid w:val="00B64089"/>
    <w:rsid w:val="00B64C70"/>
    <w:rsid w:val="00B66DAF"/>
    <w:rsid w:val="00B66DF9"/>
    <w:rsid w:val="00B67508"/>
    <w:rsid w:val="00B72561"/>
    <w:rsid w:val="00B75487"/>
    <w:rsid w:val="00B770D7"/>
    <w:rsid w:val="00B8024C"/>
    <w:rsid w:val="00B81808"/>
    <w:rsid w:val="00B81D69"/>
    <w:rsid w:val="00B84F92"/>
    <w:rsid w:val="00B85218"/>
    <w:rsid w:val="00B86DFA"/>
    <w:rsid w:val="00B8735C"/>
    <w:rsid w:val="00B87AE2"/>
    <w:rsid w:val="00B91483"/>
    <w:rsid w:val="00B936D0"/>
    <w:rsid w:val="00B93FF0"/>
    <w:rsid w:val="00B95725"/>
    <w:rsid w:val="00B97D19"/>
    <w:rsid w:val="00BA23C8"/>
    <w:rsid w:val="00BA33EB"/>
    <w:rsid w:val="00BB1AE8"/>
    <w:rsid w:val="00BB7F69"/>
    <w:rsid w:val="00BC04E1"/>
    <w:rsid w:val="00BC0F6A"/>
    <w:rsid w:val="00BC154B"/>
    <w:rsid w:val="00BC70B1"/>
    <w:rsid w:val="00BD2121"/>
    <w:rsid w:val="00BD4EFD"/>
    <w:rsid w:val="00BD6258"/>
    <w:rsid w:val="00BD62C8"/>
    <w:rsid w:val="00BD637D"/>
    <w:rsid w:val="00BD6DB1"/>
    <w:rsid w:val="00BD7788"/>
    <w:rsid w:val="00BE17E6"/>
    <w:rsid w:val="00BE3600"/>
    <w:rsid w:val="00BE7EA4"/>
    <w:rsid w:val="00BF1379"/>
    <w:rsid w:val="00BF4DE2"/>
    <w:rsid w:val="00C00CCD"/>
    <w:rsid w:val="00C012A5"/>
    <w:rsid w:val="00C0194B"/>
    <w:rsid w:val="00C01F6F"/>
    <w:rsid w:val="00C02AD1"/>
    <w:rsid w:val="00C049F0"/>
    <w:rsid w:val="00C109A0"/>
    <w:rsid w:val="00C1253E"/>
    <w:rsid w:val="00C149AB"/>
    <w:rsid w:val="00C16471"/>
    <w:rsid w:val="00C201CE"/>
    <w:rsid w:val="00C21014"/>
    <w:rsid w:val="00C223EB"/>
    <w:rsid w:val="00C223F5"/>
    <w:rsid w:val="00C2473A"/>
    <w:rsid w:val="00C24DE5"/>
    <w:rsid w:val="00C27D61"/>
    <w:rsid w:val="00C31393"/>
    <w:rsid w:val="00C32E13"/>
    <w:rsid w:val="00C33DFC"/>
    <w:rsid w:val="00C3445A"/>
    <w:rsid w:val="00C34D96"/>
    <w:rsid w:val="00C36A43"/>
    <w:rsid w:val="00C40694"/>
    <w:rsid w:val="00C41AEB"/>
    <w:rsid w:val="00C431E4"/>
    <w:rsid w:val="00C46E85"/>
    <w:rsid w:val="00C473F5"/>
    <w:rsid w:val="00C521B4"/>
    <w:rsid w:val="00C60196"/>
    <w:rsid w:val="00C62FF8"/>
    <w:rsid w:val="00C6705E"/>
    <w:rsid w:val="00C676AD"/>
    <w:rsid w:val="00C70542"/>
    <w:rsid w:val="00C74AA9"/>
    <w:rsid w:val="00C7566B"/>
    <w:rsid w:val="00C75CBF"/>
    <w:rsid w:val="00C76356"/>
    <w:rsid w:val="00C76DB8"/>
    <w:rsid w:val="00C7767F"/>
    <w:rsid w:val="00C819E7"/>
    <w:rsid w:val="00C862E4"/>
    <w:rsid w:val="00C9251A"/>
    <w:rsid w:val="00C92563"/>
    <w:rsid w:val="00C935B4"/>
    <w:rsid w:val="00C967C4"/>
    <w:rsid w:val="00CA132A"/>
    <w:rsid w:val="00CA5347"/>
    <w:rsid w:val="00CB379F"/>
    <w:rsid w:val="00CB7B85"/>
    <w:rsid w:val="00CC1AF4"/>
    <w:rsid w:val="00CC2894"/>
    <w:rsid w:val="00CC4F3B"/>
    <w:rsid w:val="00CC5200"/>
    <w:rsid w:val="00CC6053"/>
    <w:rsid w:val="00CC6313"/>
    <w:rsid w:val="00CD27BE"/>
    <w:rsid w:val="00CD3BC1"/>
    <w:rsid w:val="00CD3BCF"/>
    <w:rsid w:val="00CD3BEF"/>
    <w:rsid w:val="00CD75A2"/>
    <w:rsid w:val="00CD77C3"/>
    <w:rsid w:val="00CE112C"/>
    <w:rsid w:val="00CE1903"/>
    <w:rsid w:val="00CE4E7B"/>
    <w:rsid w:val="00CE6B81"/>
    <w:rsid w:val="00CF11E4"/>
    <w:rsid w:val="00CF55D4"/>
    <w:rsid w:val="00D00827"/>
    <w:rsid w:val="00D0135A"/>
    <w:rsid w:val="00D017B0"/>
    <w:rsid w:val="00D026E5"/>
    <w:rsid w:val="00D0379D"/>
    <w:rsid w:val="00D206FF"/>
    <w:rsid w:val="00D23687"/>
    <w:rsid w:val="00D250F2"/>
    <w:rsid w:val="00D26ADF"/>
    <w:rsid w:val="00D27700"/>
    <w:rsid w:val="00D307C5"/>
    <w:rsid w:val="00D347E3"/>
    <w:rsid w:val="00D356E1"/>
    <w:rsid w:val="00D46EAD"/>
    <w:rsid w:val="00D4741F"/>
    <w:rsid w:val="00D50918"/>
    <w:rsid w:val="00D552F1"/>
    <w:rsid w:val="00D604AB"/>
    <w:rsid w:val="00D608DA"/>
    <w:rsid w:val="00D730BF"/>
    <w:rsid w:val="00D772EC"/>
    <w:rsid w:val="00D77918"/>
    <w:rsid w:val="00D8172E"/>
    <w:rsid w:val="00D826BB"/>
    <w:rsid w:val="00D8279B"/>
    <w:rsid w:val="00D82B43"/>
    <w:rsid w:val="00D82D4B"/>
    <w:rsid w:val="00D84D25"/>
    <w:rsid w:val="00D859C4"/>
    <w:rsid w:val="00D927CE"/>
    <w:rsid w:val="00DA02B1"/>
    <w:rsid w:val="00DA1684"/>
    <w:rsid w:val="00DA1709"/>
    <w:rsid w:val="00DA49FE"/>
    <w:rsid w:val="00DA4BCE"/>
    <w:rsid w:val="00DA5C95"/>
    <w:rsid w:val="00DA6DB2"/>
    <w:rsid w:val="00DB24D9"/>
    <w:rsid w:val="00DB4C24"/>
    <w:rsid w:val="00DB56E8"/>
    <w:rsid w:val="00DC0244"/>
    <w:rsid w:val="00DC0C0A"/>
    <w:rsid w:val="00DC13A2"/>
    <w:rsid w:val="00DC3213"/>
    <w:rsid w:val="00DC3DE0"/>
    <w:rsid w:val="00DC4B72"/>
    <w:rsid w:val="00DC57A1"/>
    <w:rsid w:val="00DC76C7"/>
    <w:rsid w:val="00DD09F5"/>
    <w:rsid w:val="00DD1174"/>
    <w:rsid w:val="00DD17B9"/>
    <w:rsid w:val="00DD40F4"/>
    <w:rsid w:val="00DD4201"/>
    <w:rsid w:val="00DD485C"/>
    <w:rsid w:val="00DD4B0F"/>
    <w:rsid w:val="00DD5A56"/>
    <w:rsid w:val="00DD65FE"/>
    <w:rsid w:val="00DE01E6"/>
    <w:rsid w:val="00DE1503"/>
    <w:rsid w:val="00DE1F92"/>
    <w:rsid w:val="00DE4319"/>
    <w:rsid w:val="00DE4977"/>
    <w:rsid w:val="00DE54D3"/>
    <w:rsid w:val="00DE5711"/>
    <w:rsid w:val="00DE591B"/>
    <w:rsid w:val="00DE6EDF"/>
    <w:rsid w:val="00DF1FD0"/>
    <w:rsid w:val="00DF6087"/>
    <w:rsid w:val="00E00EA0"/>
    <w:rsid w:val="00E06C68"/>
    <w:rsid w:val="00E06DFB"/>
    <w:rsid w:val="00E136F9"/>
    <w:rsid w:val="00E154EB"/>
    <w:rsid w:val="00E20680"/>
    <w:rsid w:val="00E26758"/>
    <w:rsid w:val="00E34FE9"/>
    <w:rsid w:val="00E369A0"/>
    <w:rsid w:val="00E37DBA"/>
    <w:rsid w:val="00E42E46"/>
    <w:rsid w:val="00E4357B"/>
    <w:rsid w:val="00E56BD6"/>
    <w:rsid w:val="00E61419"/>
    <w:rsid w:val="00E63270"/>
    <w:rsid w:val="00E636D5"/>
    <w:rsid w:val="00E63DE5"/>
    <w:rsid w:val="00E6477F"/>
    <w:rsid w:val="00E647D4"/>
    <w:rsid w:val="00E65A37"/>
    <w:rsid w:val="00E70EE8"/>
    <w:rsid w:val="00E71E0D"/>
    <w:rsid w:val="00E7322A"/>
    <w:rsid w:val="00E75E4A"/>
    <w:rsid w:val="00E77B48"/>
    <w:rsid w:val="00E81420"/>
    <w:rsid w:val="00E82952"/>
    <w:rsid w:val="00E868FB"/>
    <w:rsid w:val="00E87778"/>
    <w:rsid w:val="00E91799"/>
    <w:rsid w:val="00E9254A"/>
    <w:rsid w:val="00E925F4"/>
    <w:rsid w:val="00E95636"/>
    <w:rsid w:val="00E9607D"/>
    <w:rsid w:val="00EA21FE"/>
    <w:rsid w:val="00EA342F"/>
    <w:rsid w:val="00EA34E3"/>
    <w:rsid w:val="00EA7DDF"/>
    <w:rsid w:val="00EA7E06"/>
    <w:rsid w:val="00EB1835"/>
    <w:rsid w:val="00EB2E52"/>
    <w:rsid w:val="00EB70CA"/>
    <w:rsid w:val="00EB7538"/>
    <w:rsid w:val="00EC2514"/>
    <w:rsid w:val="00EC6384"/>
    <w:rsid w:val="00ED1BFB"/>
    <w:rsid w:val="00ED1F07"/>
    <w:rsid w:val="00ED3907"/>
    <w:rsid w:val="00ED4EC7"/>
    <w:rsid w:val="00ED650B"/>
    <w:rsid w:val="00EE19B4"/>
    <w:rsid w:val="00EE20FC"/>
    <w:rsid w:val="00EE43CC"/>
    <w:rsid w:val="00EE6CE3"/>
    <w:rsid w:val="00EE770C"/>
    <w:rsid w:val="00EF13AA"/>
    <w:rsid w:val="00F00628"/>
    <w:rsid w:val="00F00B81"/>
    <w:rsid w:val="00F0366F"/>
    <w:rsid w:val="00F0472F"/>
    <w:rsid w:val="00F1006C"/>
    <w:rsid w:val="00F1308C"/>
    <w:rsid w:val="00F13270"/>
    <w:rsid w:val="00F16E1C"/>
    <w:rsid w:val="00F20436"/>
    <w:rsid w:val="00F207A4"/>
    <w:rsid w:val="00F25D84"/>
    <w:rsid w:val="00F2677F"/>
    <w:rsid w:val="00F30355"/>
    <w:rsid w:val="00F33395"/>
    <w:rsid w:val="00F355AC"/>
    <w:rsid w:val="00F369B5"/>
    <w:rsid w:val="00F37DFE"/>
    <w:rsid w:val="00F42C9B"/>
    <w:rsid w:val="00F459E2"/>
    <w:rsid w:val="00F500B8"/>
    <w:rsid w:val="00F52946"/>
    <w:rsid w:val="00F529C6"/>
    <w:rsid w:val="00F531E4"/>
    <w:rsid w:val="00F563B4"/>
    <w:rsid w:val="00F57616"/>
    <w:rsid w:val="00F64A83"/>
    <w:rsid w:val="00F65523"/>
    <w:rsid w:val="00F67C18"/>
    <w:rsid w:val="00F7172D"/>
    <w:rsid w:val="00F71A5A"/>
    <w:rsid w:val="00F7282B"/>
    <w:rsid w:val="00F769E0"/>
    <w:rsid w:val="00F775B1"/>
    <w:rsid w:val="00F83E98"/>
    <w:rsid w:val="00F94038"/>
    <w:rsid w:val="00F951A4"/>
    <w:rsid w:val="00F95BA7"/>
    <w:rsid w:val="00F9748F"/>
    <w:rsid w:val="00FA06DA"/>
    <w:rsid w:val="00FA1370"/>
    <w:rsid w:val="00FA2317"/>
    <w:rsid w:val="00FA499E"/>
    <w:rsid w:val="00FA5721"/>
    <w:rsid w:val="00FA7835"/>
    <w:rsid w:val="00FB1C4B"/>
    <w:rsid w:val="00FB4D46"/>
    <w:rsid w:val="00FB540B"/>
    <w:rsid w:val="00FB58E1"/>
    <w:rsid w:val="00FC56C1"/>
    <w:rsid w:val="00FC59A4"/>
    <w:rsid w:val="00FC6BDE"/>
    <w:rsid w:val="00FD3103"/>
    <w:rsid w:val="00FD4754"/>
    <w:rsid w:val="00FE1903"/>
    <w:rsid w:val="00FF5FE7"/>
    <w:rsid w:val="01DC06B4"/>
    <w:rsid w:val="02253FA2"/>
    <w:rsid w:val="027C59E9"/>
    <w:rsid w:val="0329E8D1"/>
    <w:rsid w:val="04BB238D"/>
    <w:rsid w:val="06AED1B4"/>
    <w:rsid w:val="06B63B89"/>
    <w:rsid w:val="06EE1B44"/>
    <w:rsid w:val="07CC200A"/>
    <w:rsid w:val="08D75E34"/>
    <w:rsid w:val="0940C1A0"/>
    <w:rsid w:val="0AD3457B"/>
    <w:rsid w:val="0AF349F1"/>
    <w:rsid w:val="0AFAA841"/>
    <w:rsid w:val="0C57EF72"/>
    <w:rsid w:val="0C6E86BC"/>
    <w:rsid w:val="0D5A820F"/>
    <w:rsid w:val="0DD7CCC2"/>
    <w:rsid w:val="0FEF437C"/>
    <w:rsid w:val="1035BA02"/>
    <w:rsid w:val="10E8D1F8"/>
    <w:rsid w:val="10ED67D5"/>
    <w:rsid w:val="11FD992E"/>
    <w:rsid w:val="129D06F8"/>
    <w:rsid w:val="12B10064"/>
    <w:rsid w:val="155B1035"/>
    <w:rsid w:val="1569ED89"/>
    <w:rsid w:val="166B0530"/>
    <w:rsid w:val="16C2061E"/>
    <w:rsid w:val="18A75FE1"/>
    <w:rsid w:val="19EE452E"/>
    <w:rsid w:val="1A19AA8A"/>
    <w:rsid w:val="1B73251A"/>
    <w:rsid w:val="1B92CA8E"/>
    <w:rsid w:val="1C00F9A3"/>
    <w:rsid w:val="1C3E172A"/>
    <w:rsid w:val="1DDE1543"/>
    <w:rsid w:val="1ED7F4E9"/>
    <w:rsid w:val="1F75B7EC"/>
    <w:rsid w:val="1F913907"/>
    <w:rsid w:val="20C4BE30"/>
    <w:rsid w:val="23AE17F7"/>
    <w:rsid w:val="24065140"/>
    <w:rsid w:val="2415F203"/>
    <w:rsid w:val="27713520"/>
    <w:rsid w:val="27AF33DF"/>
    <w:rsid w:val="284F21F8"/>
    <w:rsid w:val="287CB3A2"/>
    <w:rsid w:val="290371D5"/>
    <w:rsid w:val="295CB588"/>
    <w:rsid w:val="2AE455D7"/>
    <w:rsid w:val="2DD6E2F8"/>
    <w:rsid w:val="2E7E1353"/>
    <w:rsid w:val="2E867E64"/>
    <w:rsid w:val="31DDACE8"/>
    <w:rsid w:val="33F3B15C"/>
    <w:rsid w:val="34A32BF9"/>
    <w:rsid w:val="37439D5F"/>
    <w:rsid w:val="37AA96E1"/>
    <w:rsid w:val="38B15D9D"/>
    <w:rsid w:val="38B2E785"/>
    <w:rsid w:val="39218325"/>
    <w:rsid w:val="3989B2BE"/>
    <w:rsid w:val="3997D2A4"/>
    <w:rsid w:val="3A6162EE"/>
    <w:rsid w:val="3D47B914"/>
    <w:rsid w:val="3D760F8B"/>
    <w:rsid w:val="3D9ADCCB"/>
    <w:rsid w:val="3F34B903"/>
    <w:rsid w:val="3F43A233"/>
    <w:rsid w:val="417F688B"/>
    <w:rsid w:val="41AC928C"/>
    <w:rsid w:val="426451D2"/>
    <w:rsid w:val="43FB8414"/>
    <w:rsid w:val="443ACB89"/>
    <w:rsid w:val="44DD2940"/>
    <w:rsid w:val="45594F7B"/>
    <w:rsid w:val="46375CED"/>
    <w:rsid w:val="47195224"/>
    <w:rsid w:val="48A3FF17"/>
    <w:rsid w:val="4B1387C3"/>
    <w:rsid w:val="4B3A4C75"/>
    <w:rsid w:val="4B4DFC17"/>
    <w:rsid w:val="4C4647EB"/>
    <w:rsid w:val="4D5DFFB0"/>
    <w:rsid w:val="4FC50803"/>
    <w:rsid w:val="503B19C0"/>
    <w:rsid w:val="510F7040"/>
    <w:rsid w:val="51CAE705"/>
    <w:rsid w:val="53B0A7D3"/>
    <w:rsid w:val="53B923CB"/>
    <w:rsid w:val="551D23C8"/>
    <w:rsid w:val="5653018A"/>
    <w:rsid w:val="56DACA6F"/>
    <w:rsid w:val="57320DC5"/>
    <w:rsid w:val="57E03847"/>
    <w:rsid w:val="5A47FCD4"/>
    <w:rsid w:val="5C1AD63C"/>
    <w:rsid w:val="5F19AC2F"/>
    <w:rsid w:val="6087DB13"/>
    <w:rsid w:val="60E38E2E"/>
    <w:rsid w:val="6126C0B1"/>
    <w:rsid w:val="63C5EBBA"/>
    <w:rsid w:val="640FBEA3"/>
    <w:rsid w:val="658C3F89"/>
    <w:rsid w:val="65FE3B18"/>
    <w:rsid w:val="66578274"/>
    <w:rsid w:val="68DA27F4"/>
    <w:rsid w:val="697D534E"/>
    <w:rsid w:val="69C6A246"/>
    <w:rsid w:val="6D08E76D"/>
    <w:rsid w:val="6D560209"/>
    <w:rsid w:val="6EFD8D9F"/>
    <w:rsid w:val="6F649F78"/>
    <w:rsid w:val="713FEF66"/>
    <w:rsid w:val="71610C39"/>
    <w:rsid w:val="73243594"/>
    <w:rsid w:val="746A6EC0"/>
    <w:rsid w:val="74AD8A89"/>
    <w:rsid w:val="7676E23B"/>
    <w:rsid w:val="76C5A0D3"/>
    <w:rsid w:val="771BD611"/>
    <w:rsid w:val="78BEECC9"/>
    <w:rsid w:val="7A1CF94C"/>
    <w:rsid w:val="7BABBA3A"/>
    <w:rsid w:val="7C683DD3"/>
    <w:rsid w:val="7C6AE202"/>
    <w:rsid w:val="7CC4D99B"/>
    <w:rsid w:val="7DA048DF"/>
    <w:rsid w:val="7E6D83DD"/>
    <w:rsid w:val="7ED356B6"/>
    <w:rsid w:val="7EE06528"/>
    <w:rsid w:val="7FA940EB"/>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ocId w14:val="271EC72F"/>
  <w15:docId w15:val="{16AE7E19-7E3A-4799-80EC-D5E8B10F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B64C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rsid w:val="00576A87"/>
    <w:rPr>
      <w:sz w:val="16"/>
      <w:szCs w:val="16"/>
    </w:rPr>
  </w:style>
  <w:style w:type="paragraph" w:styleId="CommentText">
    <w:name w:val="annotation text"/>
    <w:basedOn w:val="Normal"/>
    <w:link w:val="CommentTextChar"/>
    <w:rsid w:val="00576A87"/>
    <w:rPr>
      <w:sz w:val="20"/>
      <w:szCs w:val="20"/>
    </w:rPr>
  </w:style>
  <w:style w:type="character" w:customStyle="1" w:styleId="CommentTextChar">
    <w:name w:val="Comment Text Char"/>
    <w:basedOn w:val="DefaultParagraphFont"/>
    <w:link w:val="CommentText"/>
    <w:rsid w:val="00576A87"/>
  </w:style>
  <w:style w:type="paragraph" w:styleId="CommentSubject">
    <w:name w:val="annotation subject"/>
    <w:basedOn w:val="CommentText"/>
    <w:next w:val="CommentText"/>
    <w:link w:val="CommentSubjectChar"/>
    <w:rsid w:val="00576A87"/>
    <w:rPr>
      <w:b/>
      <w:bCs/>
    </w:rPr>
  </w:style>
  <w:style w:type="character" w:customStyle="1" w:styleId="CommentSubjectChar">
    <w:name w:val="Comment Subject Char"/>
    <w:basedOn w:val="CommentTextChar"/>
    <w:link w:val="CommentSubject"/>
    <w:rsid w:val="00576A87"/>
    <w:rPr>
      <w:b/>
      <w:bCs/>
    </w:rPr>
  </w:style>
  <w:style w:type="paragraph" w:styleId="FootnoteText">
    <w:name w:val="footnote text"/>
    <w:basedOn w:val="Normal"/>
    <w:link w:val="FootnoteTextChar"/>
    <w:rsid w:val="00576A87"/>
    <w:rPr>
      <w:sz w:val="20"/>
      <w:szCs w:val="20"/>
    </w:rPr>
  </w:style>
  <w:style w:type="character" w:customStyle="1" w:styleId="FootnoteTextChar">
    <w:name w:val="Footnote Text Char"/>
    <w:basedOn w:val="DefaultParagraphFont"/>
    <w:link w:val="FootnoteText"/>
    <w:rsid w:val="00576A87"/>
  </w:style>
  <w:style w:type="character" w:styleId="FootnoteReference">
    <w:name w:val="footnote reference"/>
    <w:rsid w:val="00576A87"/>
    <w:rPr>
      <w:vertAlign w:val="superscript"/>
    </w:rPr>
  </w:style>
  <w:style w:type="character" w:styleId="Hyperlink">
    <w:name w:val="Hyperlink"/>
    <w:rsid w:val="00576A87"/>
    <w:rPr>
      <w:color w:val="0000FF"/>
      <w:u w:val="single"/>
    </w:rPr>
  </w:style>
  <w:style w:type="character" w:styleId="FollowedHyperlink">
    <w:name w:val="FollowedHyperlink"/>
    <w:basedOn w:val="DefaultParagraphFont"/>
    <w:rsid w:val="00784122"/>
    <w:rPr>
      <w:color w:val="800080" w:themeColor="followedHyperlink"/>
      <w:u w:val="single"/>
    </w:rPr>
  </w:style>
  <w:style w:type="character" w:customStyle="1" w:styleId="Heading1Char">
    <w:name w:val="Heading 1 Char"/>
    <w:basedOn w:val="DefaultParagraphFont"/>
    <w:link w:val="Heading1"/>
    <w:rsid w:val="00B64C70"/>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1A6998"/>
    <w:rPr>
      <w:color w:val="605E5C"/>
      <w:shd w:val="clear" w:color="auto" w:fill="E1DFDD"/>
    </w:rPr>
  </w:style>
  <w:style w:type="paragraph" w:styleId="Header">
    <w:name w:val="header"/>
    <w:basedOn w:val="Normal"/>
    <w:link w:val="HeaderChar"/>
    <w:unhideWhenUsed/>
    <w:rsid w:val="00617E11"/>
    <w:pPr>
      <w:tabs>
        <w:tab w:val="center" w:pos="4680"/>
        <w:tab w:val="right" w:pos="9360"/>
      </w:tabs>
    </w:pPr>
  </w:style>
  <w:style w:type="character" w:customStyle="1" w:styleId="HeaderChar">
    <w:name w:val="Header Char"/>
    <w:basedOn w:val="DefaultParagraphFont"/>
    <w:link w:val="Header"/>
    <w:rsid w:val="00617E11"/>
    <w:rPr>
      <w:sz w:val="24"/>
      <w:szCs w:val="24"/>
    </w:rPr>
  </w:style>
  <w:style w:type="paragraph" w:styleId="ListParagraph">
    <w:name w:val="List Paragraph"/>
    <w:basedOn w:val="Normal"/>
    <w:uiPriority w:val="34"/>
    <w:qFormat/>
    <w:rsid w:val="009C3A38"/>
    <w:pPr>
      <w:ind w:left="720"/>
      <w:contextualSpacing/>
    </w:pPr>
  </w:style>
  <w:style w:type="paragraph" w:styleId="Revision">
    <w:name w:val="Revision"/>
    <w:hidden/>
    <w:uiPriority w:val="99"/>
    <w:semiHidden/>
    <w:rsid w:val="0077451F"/>
    <w:rPr>
      <w:sz w:val="24"/>
      <w:szCs w:val="24"/>
    </w:rPr>
  </w:style>
  <w:style w:type="character" w:styleId="Mention">
    <w:name w:val="Mention"/>
    <w:basedOn w:val="DefaultParagraphFont"/>
    <w:uiPriority w:val="99"/>
    <w:unhideWhenUsed/>
    <w:rsid w:val="004015A1"/>
    <w:rPr>
      <w:color w:val="2B579A"/>
      <w:shd w:val="clear" w:color="auto" w:fill="E1DFDD"/>
    </w:rPr>
  </w:style>
  <w:style w:type="character" w:customStyle="1" w:styleId="normaltextrun">
    <w:name w:val="normaltextrun"/>
    <w:basedOn w:val="DefaultParagraphFont"/>
    <w:rsid w:val="00B5002F"/>
  </w:style>
  <w:style w:type="character" w:customStyle="1" w:styleId="eop">
    <w:name w:val="eop"/>
    <w:basedOn w:val="DefaultParagraphFont"/>
    <w:rsid w:val="00B5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tobacco-products/retail-sales-tobacco-products/retailer-training-and-enforcement"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a/79013/downloa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ensus.gov/programs-surveys/economic-census/year/2022/news-updates/ecdata-releas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3E2F2-1A8E-443E-A668-112712560B9B}">
  <ds:schemaRefs>
    <ds:schemaRef ds:uri="http://schemas.microsoft.com/sharepoint/v3/contenttype/forms"/>
  </ds:schemaRefs>
</ds:datastoreItem>
</file>

<file path=customXml/itemProps2.xml><?xml version="1.0" encoding="utf-8"?>
<ds:datastoreItem xmlns:ds="http://schemas.openxmlformats.org/officeDocument/2006/customXml" ds:itemID="{B0290046-5995-4119-BC21-E16AD5C49CBF}">
  <ds:schemaRefs>
    <ds:schemaRef ds:uri="http://schemas.openxmlformats.org/officeDocument/2006/bibliography"/>
  </ds:schemaRefs>
</ds:datastoreItem>
</file>

<file path=customXml/itemProps3.xml><?xml version="1.0" encoding="utf-8"?>
<ds:datastoreItem xmlns:ds="http://schemas.openxmlformats.org/officeDocument/2006/customXml" ds:itemID="{31664AA1-394D-4E40-86B3-16A1469C296F}">
  <ds:schemaRefs>
    <ds:schemaRef ds:uri="http://schemas.microsoft.com/office/2006/documentManagement/types"/>
    <ds:schemaRef ds:uri="3c66cd9f-b2c2-4f0e-a893-47fba9e311c1"/>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AE52ADF-75BE-47D1-9B12-0CCB02F1D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3217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Anna Julia</dc:creator>
  <cp:lastModifiedBy>Sanford, Amber</cp:lastModifiedBy>
  <cp:revision>2</cp:revision>
  <dcterms:created xsi:type="dcterms:W3CDTF">2026-02-27T01:18:00Z</dcterms:created>
  <dcterms:modified xsi:type="dcterms:W3CDTF">2026-02-27T01:18:00Z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ies>
</file>