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00B22" w:rsidRPr="00900B22" w:rsidP="00900B22" w14:paraId="373E66CE" w14:textId="2CC4AAC4">
      <w:pPr>
        <w:widowControl/>
        <w:autoSpaceDE/>
        <w:autoSpaceDN/>
        <w:jc w:val="center"/>
        <w:rPr>
          <w:sz w:val="24"/>
          <w:szCs w:val="24"/>
          <w:u w:val="single"/>
        </w:rPr>
      </w:pPr>
      <w:r w:rsidRPr="00900B22">
        <w:rPr>
          <w:sz w:val="24"/>
          <w:szCs w:val="24"/>
          <w:u w:val="single"/>
        </w:rPr>
        <w:t>OMB Control No. 0910-00</w:t>
      </w:r>
      <w:r w:rsidR="00955B2A">
        <w:rPr>
          <w:sz w:val="24"/>
          <w:szCs w:val="24"/>
          <w:u w:val="single"/>
        </w:rPr>
        <w:t>32</w:t>
      </w:r>
      <w:r w:rsidRPr="00900B22">
        <w:rPr>
          <w:sz w:val="24"/>
          <w:szCs w:val="24"/>
          <w:u w:val="single"/>
        </w:rPr>
        <w:t xml:space="preserve"> </w:t>
      </w:r>
    </w:p>
    <w:p w:rsidR="00955B2A" w:rsidP="00900B22" w14:paraId="3CFE2433" w14:textId="77777777">
      <w:pPr>
        <w:widowControl/>
        <w:autoSpaceDE/>
        <w:autoSpaceDN/>
        <w:jc w:val="center"/>
        <w:rPr>
          <w:sz w:val="24"/>
          <w:szCs w:val="24"/>
        </w:rPr>
      </w:pPr>
    </w:p>
    <w:p w:rsidR="00900B22" w:rsidRPr="00CB1532" w:rsidP="00900B22" w14:paraId="7F0FB5C5" w14:textId="4CA8D5DB">
      <w:pPr>
        <w:widowControl/>
        <w:autoSpaceDE/>
        <w:autoSpaceDN/>
        <w:jc w:val="center"/>
        <w:rPr>
          <w:sz w:val="24"/>
          <w:szCs w:val="24"/>
        </w:rPr>
      </w:pPr>
      <w:r w:rsidRPr="00CB1532">
        <w:rPr>
          <w:sz w:val="24"/>
          <w:szCs w:val="24"/>
        </w:rPr>
        <w:t>New Animal Drug Applications</w:t>
      </w:r>
      <w:r w:rsidRPr="00CB1532" w:rsidR="0090338B">
        <w:rPr>
          <w:sz w:val="24"/>
          <w:szCs w:val="24"/>
        </w:rPr>
        <w:t>; Abbreviated New Animal Drug Applications (</w:t>
      </w:r>
      <w:r w:rsidRPr="00CB1532" w:rsidR="0090338B">
        <w:rPr>
          <w:sz w:val="24"/>
          <w:szCs w:val="24"/>
        </w:rPr>
        <w:t>21 CFR 514 and 558, and Section 571 of the Federal Food, Drug, and Cosmetic Act (21 U.S.C. 360ccc)</w:t>
      </w:r>
      <w:r w:rsidRPr="00CB1532" w:rsidR="0090338B">
        <w:rPr>
          <w:sz w:val="24"/>
          <w:szCs w:val="24"/>
        </w:rPr>
        <w:t xml:space="preserve">); and </w:t>
      </w:r>
      <w:r w:rsidRPr="00CB1532">
        <w:rPr>
          <w:sz w:val="24"/>
          <w:szCs w:val="24"/>
        </w:rPr>
        <w:t>Veterinary Master Files</w:t>
      </w:r>
    </w:p>
    <w:p w:rsidR="00900B22" w:rsidRPr="00CB1532" w:rsidP="00900B22" w14:paraId="0741ABFC" w14:textId="2AE85735">
      <w:pPr>
        <w:widowControl/>
        <w:autoSpaceDE/>
        <w:autoSpaceDN/>
        <w:jc w:val="center"/>
        <w:rPr>
          <w:sz w:val="24"/>
          <w:szCs w:val="24"/>
        </w:rPr>
      </w:pPr>
    </w:p>
    <w:p w:rsidR="00900B22" w:rsidRPr="00CB1532" w:rsidP="00F07D09" w14:paraId="3E5F4465" w14:textId="77777777">
      <w:pPr>
        <w:pStyle w:val="Heading1"/>
        <w:ind w:left="0"/>
        <w:jc w:val="center"/>
        <w:rPr>
          <w:bCs w:val="0"/>
          <w:color w:val="000000" w:themeColor="text1"/>
          <w:u w:val="none"/>
        </w:rPr>
      </w:pPr>
    </w:p>
    <w:p w:rsidR="005765DB" w:rsidRPr="00CB1532" w:rsidP="00F07D09" w14:paraId="766B4C3A" w14:textId="7D6FA022">
      <w:pPr>
        <w:pStyle w:val="Heading1"/>
        <w:ind w:left="0"/>
        <w:jc w:val="center"/>
        <w:rPr>
          <w:b w:val="0"/>
          <w:color w:val="000000" w:themeColor="text1"/>
          <w:u w:val="none"/>
        </w:rPr>
      </w:pPr>
      <w:r w:rsidRPr="00CB1532">
        <w:rPr>
          <w:bCs w:val="0"/>
          <w:color w:val="000000" w:themeColor="text1"/>
          <w:u w:val="none"/>
        </w:rPr>
        <w:t>REQUEST FOR NON-SUBSTANTIVE/NON-MATERIAL CHANGE</w:t>
      </w:r>
      <w:r w:rsidRPr="00CB1532">
        <w:rPr>
          <w:b w:val="0"/>
          <w:color w:val="000000" w:themeColor="text1"/>
          <w:u w:val="none"/>
        </w:rPr>
        <w:t>:</w:t>
      </w:r>
    </w:p>
    <w:p w:rsidR="005765DB" w:rsidRPr="00CB1532" w:rsidP="00F07D09" w14:paraId="766B4C3B" w14:textId="77777777">
      <w:pPr>
        <w:pStyle w:val="BodyText"/>
        <w:spacing w:before="2"/>
        <w:rPr>
          <w:color w:val="000000" w:themeColor="text1"/>
        </w:rPr>
      </w:pPr>
    </w:p>
    <w:p w:rsidR="00F02690" w:rsidRPr="00CB1532" w:rsidP="00900B22" w14:paraId="5D63285F" w14:textId="6EE81EE2">
      <w:pPr>
        <w:pStyle w:val="BodyText"/>
        <w:spacing w:before="90"/>
        <w:rPr>
          <w:color w:val="000000" w:themeColor="text1"/>
        </w:rPr>
      </w:pPr>
      <w:r w:rsidRPr="00CB1532">
        <w:rPr>
          <w:color w:val="000000" w:themeColor="text1"/>
        </w:rPr>
        <w:t>Th</w:t>
      </w:r>
      <w:r w:rsidRPr="00CB1532" w:rsidR="00C9210F">
        <w:rPr>
          <w:color w:val="000000" w:themeColor="text1"/>
        </w:rPr>
        <w:t>e</w:t>
      </w:r>
      <w:r w:rsidRPr="00CB1532">
        <w:rPr>
          <w:color w:val="000000" w:themeColor="text1"/>
        </w:rPr>
        <w:t xml:space="preserve"> information collection supports implementation of section 512 of the Federal Food, Drug, and Cosmetic Act (the FD&amp;C Act) (21 U.S.C. 360b), which governs new animal drugs.  Agency regulations in 21 CFR part 514 (21 CFR 514) and associated regulations </w:t>
      </w:r>
      <w:r w:rsidR="00DD0BA2">
        <w:rPr>
          <w:color w:val="000000" w:themeColor="text1"/>
        </w:rPr>
        <w:t xml:space="preserve">in </w:t>
      </w:r>
      <w:r w:rsidRPr="00CB1532">
        <w:rPr>
          <w:color w:val="000000" w:themeColor="text1"/>
        </w:rPr>
        <w:t xml:space="preserve">21 CFR part 558, establish format and content requirements with regard to new animal drug application (NADA) submissions, as well as provide for pre-application submissions, amended applications, and application supplements.  This information collection also supports implementation of section 571 of the FD&amp;C Act regarding application for conditional approval of new animal drug (CNADA) submissions.  As set forth in the FD&amp;C Act and </w:t>
      </w:r>
      <w:r w:rsidR="00DD0BA2">
        <w:rPr>
          <w:color w:val="000000" w:themeColor="text1"/>
        </w:rPr>
        <w:t xml:space="preserve">applicable </w:t>
      </w:r>
      <w:r w:rsidRPr="00CB1532">
        <w:rPr>
          <w:color w:val="000000" w:themeColor="text1"/>
        </w:rPr>
        <w:t>regulations, requisite elements include safety and effectiveness data, proposed labeling, product manufacturing information, and where necessary, complete information on food safety (including microbial food safety) and any methods used to determine residues of drug chemicals in edible tissue from food producing animals.  Applications must be prepared as appropriate to support the particular submission.  Respondents to the information collection are persons developing, manufacturing, and/or researching new animal drugs.</w:t>
      </w:r>
      <w:r w:rsidRPr="00CB1532" w:rsidR="00D05599">
        <w:rPr>
          <w:color w:val="000000" w:themeColor="text1"/>
        </w:rPr>
        <w:t xml:space="preserve"> </w:t>
      </w:r>
    </w:p>
    <w:p w:rsidR="00D05599" w:rsidRPr="00CB1532" w:rsidP="00900B22" w14:paraId="24ED2CE8" w14:textId="77777777">
      <w:pPr>
        <w:pStyle w:val="BodyText"/>
        <w:spacing w:before="90"/>
        <w:rPr>
          <w:color w:val="000000" w:themeColor="text1"/>
        </w:rPr>
      </w:pPr>
    </w:p>
    <w:p w:rsidR="00975732" w:rsidP="00D05599" w14:paraId="7CB5DEB3" w14:textId="77777777">
      <w:pPr>
        <w:contextualSpacing/>
        <w:rPr>
          <w:rFonts w:eastAsia="Aptos"/>
          <w:kern w:val="2"/>
          <w:sz w:val="24"/>
          <w:szCs w:val="24"/>
        </w:rPr>
      </w:pPr>
      <w:r w:rsidRPr="00CB1532">
        <w:rPr>
          <w:rFonts w:eastAsia="Calibri"/>
          <w:sz w:val="24"/>
          <w:szCs w:val="24"/>
        </w:rPr>
        <w:t>For the efficiency of agency operations, w</w:t>
      </w:r>
      <w:r w:rsidRPr="00CB1532" w:rsidR="00C9210F">
        <w:rPr>
          <w:rFonts w:eastAsia="Calibri"/>
          <w:sz w:val="24"/>
          <w:szCs w:val="24"/>
        </w:rPr>
        <w:t xml:space="preserve">e are requesting to include burden attributable to </w:t>
      </w:r>
      <w:r w:rsidRPr="00CB1532">
        <w:rPr>
          <w:rFonts w:eastAsia="Calibri"/>
          <w:sz w:val="24"/>
          <w:szCs w:val="24"/>
        </w:rPr>
        <w:t xml:space="preserve">related </w:t>
      </w:r>
      <w:r w:rsidRPr="00CB1532" w:rsidR="00C9210F">
        <w:rPr>
          <w:rFonts w:eastAsia="Calibri"/>
          <w:sz w:val="24"/>
          <w:szCs w:val="24"/>
        </w:rPr>
        <w:t>information collection activit</w:t>
      </w:r>
      <w:r w:rsidRPr="00CB1532">
        <w:rPr>
          <w:rFonts w:eastAsia="Calibri"/>
          <w:sz w:val="24"/>
          <w:szCs w:val="24"/>
        </w:rPr>
        <w:t>y</w:t>
      </w:r>
      <w:r w:rsidRPr="00CB1532" w:rsidR="00C9210F">
        <w:rPr>
          <w:rFonts w:eastAsia="Calibri"/>
          <w:sz w:val="24"/>
          <w:szCs w:val="24"/>
        </w:rPr>
        <w:t xml:space="preserve"> for Abbreviated New Animal Drug Applications</w:t>
      </w:r>
      <w:r w:rsidRPr="00CB1532">
        <w:rPr>
          <w:rFonts w:eastAsia="Calibri"/>
          <w:sz w:val="24"/>
          <w:szCs w:val="24"/>
        </w:rPr>
        <w:t xml:space="preserve"> (ANDAs)</w:t>
      </w:r>
      <w:r w:rsidRPr="00CB1532" w:rsidR="00C9210F">
        <w:rPr>
          <w:rFonts w:eastAsia="Calibri"/>
          <w:sz w:val="24"/>
          <w:szCs w:val="24"/>
        </w:rPr>
        <w:t xml:space="preserve">, currently included in OMB control no. 0910-0669.  Information collection applicable to the submission of </w:t>
      </w:r>
      <w:r w:rsidRPr="00CB1532">
        <w:rPr>
          <w:rFonts w:eastAsia="Calibri"/>
          <w:sz w:val="24"/>
          <w:szCs w:val="24"/>
        </w:rPr>
        <w:t xml:space="preserve">ANDAs </w:t>
      </w:r>
      <w:r w:rsidRPr="00CB1532" w:rsidR="00237A43">
        <w:rPr>
          <w:rFonts w:eastAsia="Calibri"/>
          <w:sz w:val="24"/>
          <w:szCs w:val="24"/>
        </w:rPr>
        <w:t xml:space="preserve">is </w:t>
      </w:r>
      <w:r w:rsidRPr="00CB1532" w:rsidR="00C9210F">
        <w:rPr>
          <w:rFonts w:eastAsia="Calibri"/>
          <w:sz w:val="24"/>
          <w:szCs w:val="24"/>
        </w:rPr>
        <w:t xml:space="preserve">also governed by section 512 of the FD&amp;C Act.  Information </w:t>
      </w:r>
      <w:r w:rsidRPr="00CB1532" w:rsidR="00D05599">
        <w:rPr>
          <w:rFonts w:eastAsia="Aptos"/>
          <w:kern w:val="2"/>
          <w:sz w:val="24"/>
          <w:szCs w:val="24"/>
        </w:rPr>
        <w:t>required to be submitted as part of an ANADA is described in section 512(n)(1) of the FD&amp;C Act</w:t>
      </w:r>
      <w:r w:rsidRPr="00CB1532" w:rsidR="00237A43">
        <w:rPr>
          <w:rFonts w:eastAsia="Aptos"/>
          <w:kern w:val="2"/>
          <w:sz w:val="24"/>
          <w:szCs w:val="24"/>
        </w:rPr>
        <w:t xml:space="preserve">, and establishes that </w:t>
      </w:r>
      <w:r w:rsidRPr="00CB1532" w:rsidR="00D05599">
        <w:rPr>
          <w:rFonts w:eastAsia="Aptos"/>
          <w:kern w:val="2"/>
          <w:sz w:val="24"/>
          <w:szCs w:val="24"/>
        </w:rPr>
        <w:t>an ANADA is required to contain information to show that the proposed generic drug is bioequivalent to, and has the same labeling as, the approved new animal drug.</w:t>
      </w:r>
      <w:r w:rsidRPr="00CB1532" w:rsidR="00C9210F">
        <w:rPr>
          <w:rFonts w:eastAsia="Aptos"/>
          <w:kern w:val="2"/>
          <w:sz w:val="24"/>
          <w:szCs w:val="24"/>
        </w:rPr>
        <w:t xml:space="preserve">  A</w:t>
      </w:r>
      <w:r w:rsidRPr="00CB1532" w:rsidR="00D05599">
        <w:rPr>
          <w:rFonts w:eastAsia="Aptos"/>
          <w:kern w:val="2"/>
          <w:sz w:val="24"/>
          <w:szCs w:val="24"/>
        </w:rPr>
        <w:t xml:space="preserve">pplicants </w:t>
      </w:r>
      <w:r w:rsidRPr="00CB1532" w:rsidR="00C9210F">
        <w:rPr>
          <w:rFonts w:eastAsia="Aptos"/>
          <w:kern w:val="2"/>
          <w:sz w:val="24"/>
          <w:szCs w:val="24"/>
        </w:rPr>
        <w:t xml:space="preserve">are permitted </w:t>
      </w:r>
      <w:r w:rsidRPr="00CB1532" w:rsidR="00D05599">
        <w:rPr>
          <w:rFonts w:eastAsia="Aptos"/>
          <w:kern w:val="2"/>
          <w:sz w:val="24"/>
          <w:szCs w:val="24"/>
        </w:rPr>
        <w:t xml:space="preserve">to submit a complete ANADA or to submit information in support of an ANADA for phased review.  Applicants may electronically submit Form FDA 356v with a complete ANADA or a phased review submission to ensure efficient and accurate processing of information.  </w:t>
      </w:r>
    </w:p>
    <w:p w:rsidR="00975732" w:rsidP="00D05599" w14:paraId="3099D740" w14:textId="77777777">
      <w:pPr>
        <w:contextualSpacing/>
        <w:rPr>
          <w:rFonts w:eastAsia="Aptos"/>
          <w:kern w:val="2"/>
          <w:sz w:val="24"/>
          <w:szCs w:val="24"/>
        </w:rPr>
      </w:pPr>
    </w:p>
    <w:p w:rsidR="00D031AD" w:rsidP="00D05599" w14:paraId="0FDCB7E0" w14:textId="77777777">
      <w:pPr>
        <w:contextualSpacing/>
        <w:rPr>
          <w:rFonts w:eastAsia="Aptos"/>
          <w:kern w:val="2"/>
          <w:sz w:val="24"/>
          <w:szCs w:val="24"/>
        </w:rPr>
      </w:pPr>
      <w:r w:rsidRPr="00CB1532">
        <w:rPr>
          <w:rFonts w:eastAsia="Aptos"/>
          <w:kern w:val="2"/>
          <w:sz w:val="24"/>
          <w:szCs w:val="24"/>
        </w:rPr>
        <w:t>While FDA extended the</w:t>
      </w:r>
      <w:r w:rsidRPr="00CB1532" w:rsidR="000A1EDC">
        <w:rPr>
          <w:rFonts w:eastAsia="Aptos"/>
          <w:kern w:val="2"/>
          <w:sz w:val="24"/>
          <w:szCs w:val="24"/>
        </w:rPr>
        <w:t xml:space="preserve"> instant</w:t>
      </w:r>
      <w:r w:rsidRPr="00CB1532">
        <w:rPr>
          <w:rFonts w:eastAsia="Aptos"/>
          <w:kern w:val="2"/>
          <w:sz w:val="24"/>
          <w:szCs w:val="24"/>
        </w:rPr>
        <w:t xml:space="preserve"> information collection </w:t>
      </w:r>
      <w:r w:rsidR="00975732">
        <w:rPr>
          <w:rFonts w:eastAsia="Aptos"/>
          <w:kern w:val="2"/>
          <w:sz w:val="24"/>
          <w:szCs w:val="24"/>
        </w:rPr>
        <w:t xml:space="preserve">earlier </w:t>
      </w:r>
      <w:r w:rsidRPr="00CB1532">
        <w:rPr>
          <w:rFonts w:eastAsia="Aptos"/>
          <w:kern w:val="2"/>
          <w:sz w:val="24"/>
          <w:szCs w:val="24"/>
        </w:rPr>
        <w:t xml:space="preserve">this year, extenuating circumstances have prevented us from issuing </w:t>
      </w:r>
      <w:r w:rsidRPr="00CB1532" w:rsidR="00673797">
        <w:rPr>
          <w:rFonts w:eastAsia="Aptos"/>
          <w:kern w:val="2"/>
          <w:sz w:val="24"/>
          <w:szCs w:val="24"/>
        </w:rPr>
        <w:t>our requisite</w:t>
      </w:r>
      <w:r w:rsidRPr="00CB1532">
        <w:rPr>
          <w:rFonts w:eastAsia="Aptos"/>
          <w:kern w:val="2"/>
          <w:sz w:val="24"/>
          <w:szCs w:val="24"/>
        </w:rPr>
        <w:t xml:space="preserve"> 30-day notice for </w:t>
      </w:r>
      <w:r w:rsidR="00FC6BBB">
        <w:rPr>
          <w:rFonts w:eastAsia="Aptos"/>
          <w:kern w:val="2"/>
          <w:sz w:val="24"/>
          <w:szCs w:val="24"/>
        </w:rPr>
        <w:t xml:space="preserve">activities covered by </w:t>
      </w:r>
      <w:r w:rsidRPr="00CB1532">
        <w:rPr>
          <w:rFonts w:eastAsia="Aptos"/>
          <w:kern w:val="2"/>
          <w:sz w:val="24"/>
          <w:szCs w:val="24"/>
        </w:rPr>
        <w:t xml:space="preserve">OMB control no. 0910-0669.  Our 60-day published June 16, 2025 (90 FR </w:t>
      </w:r>
      <w:r w:rsidRPr="00CB1532" w:rsidR="000A1EDC">
        <w:rPr>
          <w:rFonts w:eastAsia="Aptos"/>
          <w:kern w:val="2"/>
          <w:sz w:val="24"/>
          <w:szCs w:val="24"/>
        </w:rPr>
        <w:t>25319)</w:t>
      </w:r>
      <w:r w:rsidRPr="00CB1532" w:rsidR="00673797">
        <w:rPr>
          <w:rFonts w:eastAsia="Aptos"/>
          <w:kern w:val="2"/>
          <w:sz w:val="24"/>
          <w:szCs w:val="24"/>
        </w:rPr>
        <w:t xml:space="preserve"> announcing we intend no changes to the program.  </w:t>
      </w:r>
      <w:r w:rsidR="00BC5E35">
        <w:rPr>
          <w:rFonts w:eastAsia="Aptos"/>
          <w:kern w:val="2"/>
          <w:sz w:val="24"/>
          <w:szCs w:val="24"/>
        </w:rPr>
        <w:t>No public comments were received</w:t>
      </w:r>
      <w:r w:rsidR="00BE1C46">
        <w:rPr>
          <w:rFonts w:eastAsia="Aptos"/>
          <w:kern w:val="2"/>
          <w:sz w:val="24"/>
          <w:szCs w:val="24"/>
        </w:rPr>
        <w:t>; however, the information collection expired November 30, 2025</w:t>
      </w:r>
      <w:r w:rsidR="00BC5E35">
        <w:rPr>
          <w:rFonts w:eastAsia="Aptos"/>
          <w:kern w:val="2"/>
          <w:sz w:val="24"/>
          <w:szCs w:val="24"/>
        </w:rPr>
        <w:t xml:space="preserve">.  </w:t>
      </w:r>
      <w:r w:rsidRPr="00CB1532" w:rsidR="00673797">
        <w:rPr>
          <w:rFonts w:eastAsia="Aptos"/>
          <w:kern w:val="2"/>
          <w:sz w:val="24"/>
          <w:szCs w:val="24"/>
        </w:rPr>
        <w:t>Upon further evaluation, we believe the related collection activities may be included in one approval package</w:t>
      </w:r>
      <w:r>
        <w:rPr>
          <w:rFonts w:eastAsia="Aptos"/>
          <w:kern w:val="2"/>
          <w:sz w:val="24"/>
          <w:szCs w:val="24"/>
        </w:rPr>
        <w:t xml:space="preserve">.  Because </w:t>
      </w:r>
      <w:r w:rsidR="00D5284E">
        <w:rPr>
          <w:rFonts w:eastAsia="Aptos"/>
          <w:kern w:val="2"/>
          <w:sz w:val="24"/>
          <w:szCs w:val="24"/>
        </w:rPr>
        <w:t xml:space="preserve">of the import we place on the underlying statutory requirements the regulations support, we </w:t>
      </w:r>
      <w:r w:rsidRPr="00CB1532" w:rsidR="00673797">
        <w:rPr>
          <w:rFonts w:eastAsia="Aptos"/>
          <w:kern w:val="2"/>
          <w:sz w:val="24"/>
          <w:szCs w:val="24"/>
        </w:rPr>
        <w:t xml:space="preserve">are </w:t>
      </w:r>
      <w:r w:rsidR="00B75ACA">
        <w:rPr>
          <w:rFonts w:eastAsia="Aptos"/>
          <w:kern w:val="2"/>
          <w:sz w:val="24"/>
          <w:szCs w:val="24"/>
        </w:rPr>
        <w:t xml:space="preserve">submitting this </w:t>
      </w:r>
      <w:r w:rsidRPr="00CB1532" w:rsidR="00673797">
        <w:rPr>
          <w:rFonts w:eastAsia="Aptos"/>
          <w:kern w:val="2"/>
          <w:sz w:val="24"/>
          <w:szCs w:val="24"/>
        </w:rPr>
        <w:t>request</w:t>
      </w:r>
      <w:r>
        <w:rPr>
          <w:rFonts w:eastAsia="Aptos"/>
          <w:kern w:val="2"/>
          <w:sz w:val="24"/>
          <w:szCs w:val="24"/>
        </w:rPr>
        <w:t xml:space="preserve"> to offset the expired approval period to the best of our ability.</w:t>
      </w:r>
    </w:p>
    <w:p w:rsidR="00D031AD" w:rsidP="00D05599" w14:paraId="4CD09975" w14:textId="77777777">
      <w:pPr>
        <w:contextualSpacing/>
        <w:rPr>
          <w:rFonts w:eastAsia="Aptos"/>
          <w:kern w:val="2"/>
          <w:sz w:val="24"/>
          <w:szCs w:val="24"/>
        </w:rPr>
      </w:pPr>
    </w:p>
    <w:p w:rsidR="00673797" w:rsidP="00D05599" w14:paraId="6B68B231" w14:textId="2186D61B">
      <w:pPr>
        <w:contextualSpacing/>
        <w:rPr>
          <w:rFonts w:eastAsia="Aptos"/>
          <w:kern w:val="2"/>
          <w:sz w:val="24"/>
          <w:szCs w:val="24"/>
        </w:rPr>
      </w:pPr>
      <w:r w:rsidRPr="00CB1532">
        <w:rPr>
          <w:rFonts w:eastAsia="Aptos"/>
          <w:kern w:val="2"/>
          <w:sz w:val="24"/>
          <w:szCs w:val="24"/>
        </w:rPr>
        <w:t>To reflect the modification, we have added the following elements:</w:t>
      </w:r>
    </w:p>
    <w:p w:rsidR="00D031AD" w:rsidRPr="00CB1532" w:rsidP="00D05599" w14:paraId="6FE85714" w14:textId="77777777">
      <w:pPr>
        <w:contextualSpacing/>
        <w:rPr>
          <w:rFonts w:eastAsia="Aptos"/>
          <w:kern w:val="2"/>
          <w:sz w:val="24"/>
          <w:szCs w:val="24"/>
        </w:rPr>
      </w:pPr>
    </w:p>
    <w:p w:rsidR="00673797" w:rsidRPr="00CB1532" w:rsidP="00CB1532" w14:paraId="63446786" w14:textId="4C544394">
      <w:pPr>
        <w:pStyle w:val="ListParagraph"/>
        <w:numPr>
          <w:ilvl w:val="0"/>
          <w:numId w:val="4"/>
        </w:numPr>
        <w:contextualSpacing/>
        <w:rPr>
          <w:rFonts w:eastAsia="Aptos"/>
          <w:i/>
          <w:iCs/>
          <w:kern w:val="2"/>
          <w:sz w:val="24"/>
          <w:szCs w:val="24"/>
        </w:rPr>
      </w:pPr>
      <w:r w:rsidRPr="00CB1532">
        <w:rPr>
          <w:rFonts w:eastAsia="Aptos"/>
          <w:i/>
          <w:iCs/>
          <w:kern w:val="2"/>
          <w:sz w:val="24"/>
          <w:szCs w:val="24"/>
        </w:rPr>
        <w:t>Abbreviated New Animal Drug Application Submissions</w:t>
      </w:r>
      <w:r w:rsidRPr="00CB1532" w:rsidR="00CB1532">
        <w:rPr>
          <w:rFonts w:eastAsia="Aptos"/>
          <w:i/>
          <w:iCs/>
          <w:kern w:val="2"/>
          <w:sz w:val="24"/>
          <w:szCs w:val="24"/>
        </w:rPr>
        <w:t>.</w:t>
      </w:r>
    </w:p>
    <w:p w:rsidR="00B677BF" w:rsidRPr="00CB1532" w:rsidP="00CB1532" w14:paraId="658D3D08" w14:textId="0ABDCA04">
      <w:pPr>
        <w:pStyle w:val="ListParagraph"/>
        <w:numPr>
          <w:ilvl w:val="0"/>
          <w:numId w:val="4"/>
        </w:numPr>
        <w:contextualSpacing/>
        <w:rPr>
          <w:rFonts w:eastAsia="Aptos"/>
          <w:i/>
          <w:iCs/>
          <w:kern w:val="2"/>
          <w:sz w:val="24"/>
          <w:szCs w:val="24"/>
        </w:rPr>
      </w:pPr>
      <w:r w:rsidRPr="00CB1532">
        <w:rPr>
          <w:rFonts w:eastAsia="Aptos"/>
          <w:i/>
          <w:iCs/>
          <w:kern w:val="2"/>
          <w:sz w:val="24"/>
          <w:szCs w:val="24"/>
        </w:rPr>
        <w:t>Biowaiver requests.</w:t>
      </w:r>
    </w:p>
    <w:p w:rsidR="00B677BF" w:rsidRPr="00CB1532" w:rsidP="00D05599" w14:paraId="2E66B01F" w14:textId="77777777">
      <w:pPr>
        <w:contextualSpacing/>
        <w:rPr>
          <w:rFonts w:eastAsia="Aptos"/>
          <w:kern w:val="2"/>
          <w:sz w:val="24"/>
          <w:szCs w:val="24"/>
        </w:rPr>
      </w:pPr>
    </w:p>
    <w:p w:rsidR="00B677BF" w:rsidRPr="00CB1532" w:rsidP="00D05599" w14:paraId="1651FB94" w14:textId="472E4B64">
      <w:pPr>
        <w:contextualSpacing/>
        <w:rPr>
          <w:rFonts w:eastAsia="Aptos"/>
          <w:kern w:val="2"/>
          <w:sz w:val="24"/>
          <w:szCs w:val="24"/>
        </w:rPr>
      </w:pPr>
      <w:r w:rsidRPr="00CB1532">
        <w:rPr>
          <w:rFonts w:eastAsia="Aptos"/>
          <w:kern w:val="2"/>
          <w:sz w:val="24"/>
          <w:szCs w:val="24"/>
        </w:rPr>
        <w:t>To reflect an increase in submissions since last OMB review and approval</w:t>
      </w:r>
      <w:r w:rsidR="00B75ACA">
        <w:rPr>
          <w:rFonts w:eastAsia="Aptos"/>
          <w:kern w:val="2"/>
          <w:sz w:val="24"/>
          <w:szCs w:val="24"/>
        </w:rPr>
        <w:t xml:space="preserve"> under OMB control no</w:t>
      </w:r>
      <w:r w:rsidR="002114CF">
        <w:rPr>
          <w:rFonts w:eastAsia="Aptos"/>
          <w:kern w:val="2"/>
          <w:sz w:val="24"/>
          <w:szCs w:val="24"/>
        </w:rPr>
        <w:t>. 0910-0669</w:t>
      </w:r>
      <w:r w:rsidRPr="00CB1532">
        <w:rPr>
          <w:rFonts w:eastAsia="Aptos"/>
          <w:kern w:val="2"/>
          <w:sz w:val="24"/>
          <w:szCs w:val="24"/>
        </w:rPr>
        <w:t xml:space="preserve">, we increased </w:t>
      </w:r>
      <w:r w:rsidR="002114CF">
        <w:rPr>
          <w:rFonts w:eastAsia="Aptos"/>
          <w:kern w:val="2"/>
          <w:sz w:val="24"/>
          <w:szCs w:val="24"/>
        </w:rPr>
        <w:t xml:space="preserve">the approved </w:t>
      </w:r>
      <w:r w:rsidRPr="00CB1532">
        <w:rPr>
          <w:rFonts w:eastAsia="Aptos"/>
          <w:kern w:val="2"/>
          <w:sz w:val="24"/>
          <w:szCs w:val="24"/>
        </w:rPr>
        <w:t>estimate by 55 responses and 511 hours, and have included this in our</w:t>
      </w:r>
      <w:r w:rsidR="002114CF">
        <w:rPr>
          <w:rFonts w:eastAsia="Aptos"/>
          <w:kern w:val="2"/>
          <w:sz w:val="24"/>
          <w:szCs w:val="24"/>
        </w:rPr>
        <w:t xml:space="preserve"> current</w:t>
      </w:r>
      <w:r w:rsidRPr="00CB1532">
        <w:rPr>
          <w:rFonts w:eastAsia="Aptos"/>
          <w:kern w:val="2"/>
          <w:sz w:val="24"/>
          <w:szCs w:val="24"/>
        </w:rPr>
        <w:t xml:space="preserve"> request.</w:t>
      </w:r>
    </w:p>
    <w:p w:rsidR="00B33C2F" w:rsidRPr="00CB1532" w:rsidP="00D05599" w14:paraId="4A1FB689" w14:textId="77777777">
      <w:pPr>
        <w:contextualSpacing/>
        <w:rPr>
          <w:rFonts w:eastAsia="Aptos"/>
          <w:kern w:val="2"/>
          <w:sz w:val="24"/>
          <w:szCs w:val="24"/>
        </w:rPr>
      </w:pPr>
    </w:p>
    <w:p w:rsidR="00D05599" w:rsidRPr="00CB1532" w:rsidP="00D05599" w14:paraId="7A612324" w14:textId="46E52DE2">
      <w:pPr>
        <w:contextualSpacing/>
        <w:rPr>
          <w:rFonts w:eastAsia="Aptos"/>
          <w:kern w:val="2"/>
          <w:sz w:val="24"/>
          <w:szCs w:val="24"/>
        </w:rPr>
      </w:pPr>
      <w:r w:rsidRPr="00CB1532">
        <w:rPr>
          <w:rFonts w:eastAsia="Aptos"/>
          <w:b/>
          <w:bCs/>
          <w:kern w:val="2"/>
          <w:sz w:val="24"/>
          <w:szCs w:val="24"/>
        </w:rPr>
        <w:t>Form FDA 356v</w:t>
      </w:r>
      <w:r w:rsidRPr="00CB1532" w:rsidR="00C838B9">
        <w:rPr>
          <w:rFonts w:eastAsia="Aptos"/>
          <w:kern w:val="2"/>
          <w:sz w:val="24"/>
          <w:szCs w:val="24"/>
        </w:rPr>
        <w:t>, approved for use</w:t>
      </w:r>
      <w:r w:rsidRPr="00CB1532">
        <w:rPr>
          <w:rFonts w:eastAsia="Aptos"/>
          <w:kern w:val="2"/>
          <w:sz w:val="24"/>
          <w:szCs w:val="24"/>
        </w:rPr>
        <w:t xml:space="preserve"> </w:t>
      </w:r>
      <w:r w:rsidRPr="00CB1532" w:rsidR="00C838B9">
        <w:rPr>
          <w:rFonts w:eastAsia="Aptos"/>
          <w:kern w:val="2"/>
          <w:sz w:val="24"/>
          <w:szCs w:val="24"/>
        </w:rPr>
        <w:t xml:space="preserve">in </w:t>
      </w:r>
      <w:r w:rsidRPr="00CB1532">
        <w:rPr>
          <w:rFonts w:eastAsia="Aptos"/>
          <w:kern w:val="2"/>
          <w:sz w:val="24"/>
          <w:szCs w:val="24"/>
        </w:rPr>
        <w:t>OMB control number 0910-0032</w:t>
      </w:r>
      <w:r w:rsidRPr="00CB1532" w:rsidR="00C838B9">
        <w:rPr>
          <w:rFonts w:eastAsia="Aptos"/>
          <w:kern w:val="2"/>
          <w:sz w:val="24"/>
          <w:szCs w:val="24"/>
        </w:rPr>
        <w:t xml:space="preserve">, is also used for ANDAs, and </w:t>
      </w:r>
      <w:r w:rsidRPr="00CB1532">
        <w:rPr>
          <w:sz w:val="24"/>
          <w:szCs w:val="24"/>
        </w:rPr>
        <w:t xml:space="preserve">is available for download from our website at </w:t>
      </w:r>
      <w:hyperlink r:id="rId5" w:history="1">
        <w:r w:rsidRPr="00CB1532">
          <w:rPr>
            <w:rStyle w:val="Hyperlink"/>
            <w:sz w:val="24"/>
            <w:szCs w:val="24"/>
          </w:rPr>
          <w:t>https://www.fda.gov/about-fda/reports-manuals-forms/forms</w:t>
        </w:r>
      </w:hyperlink>
      <w:r w:rsidRPr="00CB1532">
        <w:rPr>
          <w:sz w:val="24"/>
          <w:szCs w:val="24"/>
        </w:rPr>
        <w:t xml:space="preserve">.  </w:t>
      </w:r>
      <w:r w:rsidRPr="00CB1532">
        <w:rPr>
          <w:rFonts w:eastAsia="Aptos"/>
          <w:kern w:val="2"/>
          <w:sz w:val="24"/>
          <w:szCs w:val="24"/>
        </w:rPr>
        <w:t>We use the information submitted, among other things, to assess bioequivalence to the originally approved drug and thus, the safety and effectiveness of the generic new animal drug.</w:t>
      </w:r>
    </w:p>
    <w:p w:rsidR="00C9210F" w:rsidRPr="00CB1532" w:rsidP="00D05599" w14:paraId="6B0BA36A" w14:textId="77777777">
      <w:pPr>
        <w:contextualSpacing/>
        <w:rPr>
          <w:rFonts w:eastAsia="Aptos"/>
          <w:kern w:val="2"/>
          <w:sz w:val="24"/>
          <w:szCs w:val="24"/>
        </w:rPr>
      </w:pPr>
    </w:p>
    <w:p w:rsidR="00A41095" w:rsidRPr="00CB1532" w:rsidP="00A41095" w14:paraId="4B946B69" w14:textId="5C308157">
      <w:pPr>
        <w:rPr>
          <w:rFonts w:eastAsia="Aptos"/>
          <w:kern w:val="2"/>
          <w:sz w:val="24"/>
          <w:szCs w:val="24"/>
        </w:rPr>
      </w:pPr>
      <w:r w:rsidRPr="00CB1532">
        <w:rPr>
          <w:rFonts w:eastAsia="Aptos"/>
          <w:kern w:val="2"/>
          <w:sz w:val="24"/>
          <w:szCs w:val="24"/>
        </w:rPr>
        <w:t>The information collection also includes applicant requests to waive the requirement to establish bioequivalence through in vivo studies (biowaiver requests) for soluble powder oral dosage form products or certain Type A medicated articles based upon either of two methods.  We use the information submitted by applicants in the biowaiver request as the basis for our decision whether to grant the request.  Therefore, the information collection references the guidance document GFI #171 ‘‘</w:t>
      </w:r>
      <w:bookmarkStart w:id="0" w:name="_Hlk192596086"/>
      <w:r w:rsidRPr="00CB1532">
        <w:rPr>
          <w:rFonts w:eastAsia="Aptos"/>
          <w:i/>
          <w:iCs/>
          <w:kern w:val="2"/>
          <w:sz w:val="24"/>
          <w:szCs w:val="24"/>
        </w:rPr>
        <w:t>Demonstrating Bioequivalence for Soluble Powder Oral Dosage Form Products and Type A Medicated Articles Containing Active Pharmaceutical Ingredients Considered to Be Soluble in Aqueous Media</w:t>
      </w:r>
      <w:r w:rsidRPr="00CB1532">
        <w:rPr>
          <w:rFonts w:eastAsia="Aptos"/>
          <w:kern w:val="2"/>
          <w:sz w:val="24"/>
          <w:szCs w:val="24"/>
        </w:rPr>
        <w:t xml:space="preserve">’’ </w:t>
      </w:r>
      <w:bookmarkEnd w:id="0"/>
      <w:r w:rsidRPr="00CB1532">
        <w:rPr>
          <w:rFonts w:eastAsia="Aptos"/>
          <w:kern w:val="2"/>
          <w:sz w:val="24"/>
          <w:szCs w:val="24"/>
        </w:rPr>
        <w:t>(</w:t>
      </w:r>
      <w:hyperlink r:id="rId6" w:history="1">
        <w:r w:rsidRPr="00CB1532">
          <w:rPr>
            <w:rStyle w:val="Hyperlink"/>
            <w:sz w:val="24"/>
            <w:szCs w:val="24"/>
          </w:rPr>
          <w:t>https://www.fda.gov/regulatory-information/search-fda-guidance-documents/cvm-gfi-171-demonstrating-bioequivalence-soluble-powder-oral-dosage-form-products-and-type-medicated</w:t>
        </w:r>
      </w:hyperlink>
      <w:r w:rsidRPr="00CB1532">
        <w:rPr>
          <w:rFonts w:eastAsia="Aptos"/>
          <w:kern w:val="2"/>
          <w:sz w:val="24"/>
          <w:szCs w:val="24"/>
        </w:rPr>
        <w:t>)</w:t>
      </w:r>
      <w:r w:rsidR="00BE1C46">
        <w:rPr>
          <w:rFonts w:eastAsia="Aptos"/>
          <w:kern w:val="2"/>
          <w:sz w:val="24"/>
          <w:szCs w:val="24"/>
        </w:rPr>
        <w:t xml:space="preserve"> </w:t>
      </w:r>
      <w:r w:rsidRPr="00CB1532">
        <w:rPr>
          <w:rFonts w:eastAsia="Aptos"/>
          <w:kern w:val="2"/>
          <w:sz w:val="24"/>
          <w:szCs w:val="24"/>
        </w:rPr>
        <w:t xml:space="preserve">(June 2023), which discusses statutory bioequivalence requirements as well as qualifications for requesting a waiver from the requirements.  The guidance document was developed consistent with the </w:t>
      </w:r>
      <w:r w:rsidRPr="00CB1532" w:rsidR="00AE47EA">
        <w:rPr>
          <w:rFonts w:eastAsia="Aptos"/>
          <w:kern w:val="2"/>
          <w:sz w:val="24"/>
          <w:szCs w:val="24"/>
        </w:rPr>
        <w:t>a</w:t>
      </w:r>
      <w:r w:rsidRPr="00CB1532">
        <w:rPr>
          <w:rFonts w:eastAsia="Aptos"/>
          <w:kern w:val="2"/>
          <w:sz w:val="24"/>
          <w:szCs w:val="24"/>
        </w:rPr>
        <w:t>gency’s Good Guidance Practice regulations in 21 CFR 10.115, which provide for comment at any time.</w:t>
      </w:r>
    </w:p>
    <w:p w:rsidR="00B71CF9" w:rsidRPr="00CB1532" w:rsidP="00A41095" w14:paraId="1E08614C" w14:textId="77777777">
      <w:pPr>
        <w:rPr>
          <w:rFonts w:eastAsia="Aptos"/>
          <w:kern w:val="2"/>
          <w:sz w:val="24"/>
          <w:szCs w:val="24"/>
        </w:rPr>
      </w:pPr>
    </w:p>
    <w:p w:rsidR="00F02690" w:rsidRPr="00CB1532" w:rsidP="00CB1532" w14:paraId="58F3B03A" w14:textId="3B807EBA">
      <w:pPr>
        <w:rPr>
          <w:rFonts w:eastAsia="Aptos"/>
          <w:b/>
          <w:bCs/>
          <w:kern w:val="2"/>
          <w:sz w:val="24"/>
          <w:szCs w:val="24"/>
        </w:rPr>
      </w:pPr>
      <w:r w:rsidRPr="00CB1532">
        <w:rPr>
          <w:rFonts w:eastAsia="Aptos"/>
          <w:b/>
          <w:bCs/>
          <w:kern w:val="2"/>
          <w:sz w:val="24"/>
          <w:szCs w:val="24"/>
        </w:rPr>
        <w:t>Submitted:  December 2025</w:t>
      </w:r>
    </w:p>
    <w:sectPr w:rsidSect="006230EB">
      <w:headerReference w:type="default" r:id="rId7"/>
      <w:footerReference w:type="default" r:id="rId8"/>
      <w:headerReference w:type="first" r:id="rId9"/>
      <w:pgSz w:w="12240" w:h="15840"/>
      <w:pgMar w:top="1440" w:right="1440" w:bottom="1440" w:left="1440" w:header="720" w:footer="720" w:gutter="0"/>
      <w:cols w:space="720"/>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472101899"/>
      <w:docPartObj>
        <w:docPartGallery w:val="Page Numbers (Bottom of Page)"/>
        <w:docPartUnique/>
      </w:docPartObj>
    </w:sdtPr>
    <w:sdtEndPr>
      <w:rPr>
        <w:noProof/>
      </w:rPr>
    </w:sdtEndPr>
    <w:sdtContent>
      <w:p w:rsidR="000778C1" w14:paraId="11A1E4C0" w14:textId="1DF6546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0778C1" w14:paraId="55FC525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D6CB6" w:rsidP="007D6CB6" w14:paraId="3F2EBE58" w14:textId="00DA47E2">
    <w:pPr>
      <w:pStyle w:val="Header"/>
      <w:ind w:left="-720"/>
    </w:pPr>
  </w:p>
  <w:p w:rsidR="007D6CB6" w:rsidP="007D6CB6" w14:paraId="5262CE76" w14:textId="4206A5BA">
    <w:pPr>
      <w:pStyle w:val="Header"/>
      <w:ind w:left="-720"/>
    </w:pPr>
  </w:p>
  <w:p w:rsidR="007D6CB6" w:rsidP="007D6CB6" w14:paraId="1410A192" w14:textId="77777777">
    <w:pPr>
      <w:pStyle w:val="Header"/>
      <w:ind w:left="-7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E2F03" w:rsidP="005E2F03" w14:paraId="379F197B" w14:textId="166E9109">
    <w:pPr>
      <w:pStyle w:val="Header"/>
      <w:ind w:left="-630"/>
    </w:pPr>
    <w:r>
      <w:rPr>
        <w:noProof/>
      </w:rPr>
      <w:drawing>
        <wp:inline distT="0" distB="0" distL="0" distR="0">
          <wp:extent cx="1653117" cy="342024"/>
          <wp:effectExtent l="0" t="0" r="4445"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669908" cy="345498"/>
                  </a:xfrm>
                  <a:prstGeom prst="rect">
                    <a:avLst/>
                  </a:prstGeom>
                </pic:spPr>
              </pic:pic>
            </a:graphicData>
          </a:graphic>
        </wp:inline>
      </w:drawing>
    </w:r>
  </w:p>
  <w:p w:rsidR="005E2F03" w:rsidP="005E2F03" w14:paraId="2ABED240" w14:textId="3998E64B">
    <w:pPr>
      <w:pStyle w:val="Header"/>
      <w:ind w:left="-630"/>
    </w:pPr>
  </w:p>
  <w:p w:rsidR="005E2F03" w:rsidP="005E2F03" w14:paraId="39C7A563" w14:textId="77777777">
    <w:pPr>
      <w:pStyle w:val="Header"/>
      <w:ind w:left="-63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84C5559"/>
    <w:multiLevelType w:val="hybridMultilevel"/>
    <w:tmpl w:val="75887FE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732F2D19"/>
    <w:multiLevelType w:val="hybridMultilevel"/>
    <w:tmpl w:val="8ABA614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78176892"/>
    <w:multiLevelType w:val="hybridMultilevel"/>
    <w:tmpl w:val="767AB124"/>
    <w:lvl w:ilvl="0">
      <w:start w:val="0"/>
      <w:numFmt w:val="bullet"/>
      <w:lvlText w:val="-"/>
      <w:lvlJc w:val="left"/>
      <w:pPr>
        <w:ind w:left="359" w:hanging="360"/>
      </w:pPr>
      <w:rPr>
        <w:rFonts w:ascii="Times New Roman" w:eastAsia="Times New Roman" w:hAnsi="Times New Roman" w:cs="Times New Roman" w:hint="default"/>
      </w:rPr>
    </w:lvl>
    <w:lvl w:ilvl="1" w:tentative="1">
      <w:start w:val="1"/>
      <w:numFmt w:val="bullet"/>
      <w:lvlText w:val="o"/>
      <w:lvlJc w:val="left"/>
      <w:pPr>
        <w:ind w:left="1079" w:hanging="360"/>
      </w:pPr>
      <w:rPr>
        <w:rFonts w:ascii="Courier New" w:hAnsi="Courier New" w:cs="Courier New" w:hint="default"/>
      </w:rPr>
    </w:lvl>
    <w:lvl w:ilvl="2" w:tentative="1">
      <w:start w:val="1"/>
      <w:numFmt w:val="bullet"/>
      <w:lvlText w:val=""/>
      <w:lvlJc w:val="left"/>
      <w:pPr>
        <w:ind w:left="1799" w:hanging="360"/>
      </w:pPr>
      <w:rPr>
        <w:rFonts w:ascii="Wingdings" w:hAnsi="Wingdings" w:hint="default"/>
      </w:rPr>
    </w:lvl>
    <w:lvl w:ilvl="3" w:tentative="1">
      <w:start w:val="1"/>
      <w:numFmt w:val="bullet"/>
      <w:lvlText w:val=""/>
      <w:lvlJc w:val="left"/>
      <w:pPr>
        <w:ind w:left="2519" w:hanging="360"/>
      </w:pPr>
      <w:rPr>
        <w:rFonts w:ascii="Symbol" w:hAnsi="Symbol" w:hint="default"/>
      </w:rPr>
    </w:lvl>
    <w:lvl w:ilvl="4" w:tentative="1">
      <w:start w:val="1"/>
      <w:numFmt w:val="bullet"/>
      <w:lvlText w:val="o"/>
      <w:lvlJc w:val="left"/>
      <w:pPr>
        <w:ind w:left="3239" w:hanging="360"/>
      </w:pPr>
      <w:rPr>
        <w:rFonts w:ascii="Courier New" w:hAnsi="Courier New" w:cs="Courier New" w:hint="default"/>
      </w:rPr>
    </w:lvl>
    <w:lvl w:ilvl="5" w:tentative="1">
      <w:start w:val="1"/>
      <w:numFmt w:val="bullet"/>
      <w:lvlText w:val=""/>
      <w:lvlJc w:val="left"/>
      <w:pPr>
        <w:ind w:left="3959" w:hanging="360"/>
      </w:pPr>
      <w:rPr>
        <w:rFonts w:ascii="Wingdings" w:hAnsi="Wingdings" w:hint="default"/>
      </w:rPr>
    </w:lvl>
    <w:lvl w:ilvl="6" w:tentative="1">
      <w:start w:val="1"/>
      <w:numFmt w:val="bullet"/>
      <w:lvlText w:val=""/>
      <w:lvlJc w:val="left"/>
      <w:pPr>
        <w:ind w:left="4679" w:hanging="360"/>
      </w:pPr>
      <w:rPr>
        <w:rFonts w:ascii="Symbol" w:hAnsi="Symbol" w:hint="default"/>
      </w:rPr>
    </w:lvl>
    <w:lvl w:ilvl="7" w:tentative="1">
      <w:start w:val="1"/>
      <w:numFmt w:val="bullet"/>
      <w:lvlText w:val="o"/>
      <w:lvlJc w:val="left"/>
      <w:pPr>
        <w:ind w:left="5399" w:hanging="360"/>
      </w:pPr>
      <w:rPr>
        <w:rFonts w:ascii="Courier New" w:hAnsi="Courier New" w:cs="Courier New" w:hint="default"/>
      </w:rPr>
    </w:lvl>
    <w:lvl w:ilvl="8" w:tentative="1">
      <w:start w:val="1"/>
      <w:numFmt w:val="bullet"/>
      <w:lvlText w:val=""/>
      <w:lvlJc w:val="left"/>
      <w:pPr>
        <w:ind w:left="6119" w:hanging="360"/>
      </w:pPr>
      <w:rPr>
        <w:rFonts w:ascii="Wingdings" w:hAnsi="Wingdings" w:hint="default"/>
      </w:rPr>
    </w:lvl>
  </w:abstractNum>
  <w:abstractNum w:abstractNumId="3">
    <w:nsid w:val="7CF1704F"/>
    <w:multiLevelType w:val="hybridMultilevel"/>
    <w:tmpl w:val="005AFCF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212184439">
    <w:abstractNumId w:val="2"/>
  </w:num>
  <w:num w:numId="2" w16cid:durableId="1937519181">
    <w:abstractNumId w:val="3"/>
  </w:num>
  <w:num w:numId="3" w16cid:durableId="1520388725">
    <w:abstractNumId w:val="0"/>
  </w:num>
  <w:num w:numId="4" w16cid:durableId="13743780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removePersonalInformation/>
  <w:removeDateAndTime/>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5DB"/>
    <w:rsid w:val="0000012A"/>
    <w:rsid w:val="00031007"/>
    <w:rsid w:val="00033156"/>
    <w:rsid w:val="00046967"/>
    <w:rsid w:val="000579A9"/>
    <w:rsid w:val="0006741E"/>
    <w:rsid w:val="000759E3"/>
    <w:rsid w:val="000778C1"/>
    <w:rsid w:val="00096E7E"/>
    <w:rsid w:val="000A1EDC"/>
    <w:rsid w:val="000D1F6A"/>
    <w:rsid w:val="000E2C0E"/>
    <w:rsid w:val="00110719"/>
    <w:rsid w:val="00110E65"/>
    <w:rsid w:val="00113B08"/>
    <w:rsid w:val="00150038"/>
    <w:rsid w:val="00166AEC"/>
    <w:rsid w:val="001925C2"/>
    <w:rsid w:val="001A3887"/>
    <w:rsid w:val="001B4CB8"/>
    <w:rsid w:val="001C60E0"/>
    <w:rsid w:val="001D2B0A"/>
    <w:rsid w:val="001E146E"/>
    <w:rsid w:val="00200912"/>
    <w:rsid w:val="00210F79"/>
    <w:rsid w:val="002114CF"/>
    <w:rsid w:val="00233A89"/>
    <w:rsid w:val="00237A43"/>
    <w:rsid w:val="0024546A"/>
    <w:rsid w:val="00250DDB"/>
    <w:rsid w:val="00277411"/>
    <w:rsid w:val="00293DA6"/>
    <w:rsid w:val="00294F09"/>
    <w:rsid w:val="002C3795"/>
    <w:rsid w:val="002E2371"/>
    <w:rsid w:val="00300833"/>
    <w:rsid w:val="0034129C"/>
    <w:rsid w:val="003453EC"/>
    <w:rsid w:val="00383541"/>
    <w:rsid w:val="00390843"/>
    <w:rsid w:val="00390883"/>
    <w:rsid w:val="003960D1"/>
    <w:rsid w:val="003A3675"/>
    <w:rsid w:val="003C3AA2"/>
    <w:rsid w:val="003D1D16"/>
    <w:rsid w:val="00405A4C"/>
    <w:rsid w:val="00405A8E"/>
    <w:rsid w:val="0040641E"/>
    <w:rsid w:val="004072A0"/>
    <w:rsid w:val="0043083C"/>
    <w:rsid w:val="00453692"/>
    <w:rsid w:val="004707E9"/>
    <w:rsid w:val="00486C97"/>
    <w:rsid w:val="00490640"/>
    <w:rsid w:val="00496A50"/>
    <w:rsid w:val="004C267D"/>
    <w:rsid w:val="004C79E5"/>
    <w:rsid w:val="004D15DF"/>
    <w:rsid w:val="004F24EE"/>
    <w:rsid w:val="005765DB"/>
    <w:rsid w:val="00583C78"/>
    <w:rsid w:val="00586BB4"/>
    <w:rsid w:val="00596FA1"/>
    <w:rsid w:val="00597079"/>
    <w:rsid w:val="005B0702"/>
    <w:rsid w:val="005C1ACD"/>
    <w:rsid w:val="005C6B1B"/>
    <w:rsid w:val="005D1306"/>
    <w:rsid w:val="005D3D44"/>
    <w:rsid w:val="005E2F03"/>
    <w:rsid w:val="005E39F9"/>
    <w:rsid w:val="005E3E68"/>
    <w:rsid w:val="005F26E0"/>
    <w:rsid w:val="005F2993"/>
    <w:rsid w:val="005F63A6"/>
    <w:rsid w:val="00600A0E"/>
    <w:rsid w:val="00605EA2"/>
    <w:rsid w:val="006125FC"/>
    <w:rsid w:val="00620810"/>
    <w:rsid w:val="006230EB"/>
    <w:rsid w:val="006304D7"/>
    <w:rsid w:val="00641550"/>
    <w:rsid w:val="00652C29"/>
    <w:rsid w:val="00673797"/>
    <w:rsid w:val="006B4C8C"/>
    <w:rsid w:val="006C359A"/>
    <w:rsid w:val="006D31A6"/>
    <w:rsid w:val="006F3B16"/>
    <w:rsid w:val="00706607"/>
    <w:rsid w:val="00712A8A"/>
    <w:rsid w:val="00716E03"/>
    <w:rsid w:val="00740A68"/>
    <w:rsid w:val="00742D1F"/>
    <w:rsid w:val="0078189C"/>
    <w:rsid w:val="00795C1D"/>
    <w:rsid w:val="007A3864"/>
    <w:rsid w:val="007B3183"/>
    <w:rsid w:val="007D5193"/>
    <w:rsid w:val="007D51EA"/>
    <w:rsid w:val="007D6CB6"/>
    <w:rsid w:val="00807440"/>
    <w:rsid w:val="00810DC7"/>
    <w:rsid w:val="008139D1"/>
    <w:rsid w:val="00836412"/>
    <w:rsid w:val="00846CEF"/>
    <w:rsid w:val="00854989"/>
    <w:rsid w:val="00863B7C"/>
    <w:rsid w:val="00871010"/>
    <w:rsid w:val="008731E5"/>
    <w:rsid w:val="00876761"/>
    <w:rsid w:val="008836CF"/>
    <w:rsid w:val="00891A29"/>
    <w:rsid w:val="008C346B"/>
    <w:rsid w:val="008F30EB"/>
    <w:rsid w:val="00900B22"/>
    <w:rsid w:val="0090338B"/>
    <w:rsid w:val="00911EEA"/>
    <w:rsid w:val="00933BFD"/>
    <w:rsid w:val="00945F96"/>
    <w:rsid w:val="00953B49"/>
    <w:rsid w:val="00955B2A"/>
    <w:rsid w:val="009747EE"/>
    <w:rsid w:val="00975732"/>
    <w:rsid w:val="009810A1"/>
    <w:rsid w:val="009823C9"/>
    <w:rsid w:val="009862FC"/>
    <w:rsid w:val="009A0406"/>
    <w:rsid w:val="009A4963"/>
    <w:rsid w:val="009C0997"/>
    <w:rsid w:val="009D3D8C"/>
    <w:rsid w:val="009D4E5E"/>
    <w:rsid w:val="009E4422"/>
    <w:rsid w:val="009E6885"/>
    <w:rsid w:val="009F2C4E"/>
    <w:rsid w:val="009F4F3A"/>
    <w:rsid w:val="00A04FC5"/>
    <w:rsid w:val="00A0511B"/>
    <w:rsid w:val="00A05649"/>
    <w:rsid w:val="00A145BF"/>
    <w:rsid w:val="00A41095"/>
    <w:rsid w:val="00A5375F"/>
    <w:rsid w:val="00A759D4"/>
    <w:rsid w:val="00A82564"/>
    <w:rsid w:val="00A9096E"/>
    <w:rsid w:val="00A93F5A"/>
    <w:rsid w:val="00A96149"/>
    <w:rsid w:val="00AB7EF6"/>
    <w:rsid w:val="00AC4037"/>
    <w:rsid w:val="00AD474C"/>
    <w:rsid w:val="00AE43E1"/>
    <w:rsid w:val="00AE47EA"/>
    <w:rsid w:val="00AF57A8"/>
    <w:rsid w:val="00B11039"/>
    <w:rsid w:val="00B13FA0"/>
    <w:rsid w:val="00B14706"/>
    <w:rsid w:val="00B20511"/>
    <w:rsid w:val="00B21C1D"/>
    <w:rsid w:val="00B220B4"/>
    <w:rsid w:val="00B25843"/>
    <w:rsid w:val="00B33C2F"/>
    <w:rsid w:val="00B45203"/>
    <w:rsid w:val="00B5383C"/>
    <w:rsid w:val="00B53F01"/>
    <w:rsid w:val="00B575EC"/>
    <w:rsid w:val="00B677BF"/>
    <w:rsid w:val="00B71CF9"/>
    <w:rsid w:val="00B75ACA"/>
    <w:rsid w:val="00B8150C"/>
    <w:rsid w:val="00B906A8"/>
    <w:rsid w:val="00B971D2"/>
    <w:rsid w:val="00BA30B3"/>
    <w:rsid w:val="00BA3C2B"/>
    <w:rsid w:val="00BB00A7"/>
    <w:rsid w:val="00BB0D57"/>
    <w:rsid w:val="00BC2736"/>
    <w:rsid w:val="00BC5E35"/>
    <w:rsid w:val="00BE1C46"/>
    <w:rsid w:val="00BF2123"/>
    <w:rsid w:val="00BF5247"/>
    <w:rsid w:val="00C01CD9"/>
    <w:rsid w:val="00C152E0"/>
    <w:rsid w:val="00C50958"/>
    <w:rsid w:val="00C60C1D"/>
    <w:rsid w:val="00C663EC"/>
    <w:rsid w:val="00C7071B"/>
    <w:rsid w:val="00C7398B"/>
    <w:rsid w:val="00C838B9"/>
    <w:rsid w:val="00C91CDC"/>
    <w:rsid w:val="00C9210F"/>
    <w:rsid w:val="00C967BD"/>
    <w:rsid w:val="00CA54C5"/>
    <w:rsid w:val="00CB1532"/>
    <w:rsid w:val="00CC0F1C"/>
    <w:rsid w:val="00CC7F00"/>
    <w:rsid w:val="00D031AD"/>
    <w:rsid w:val="00D05599"/>
    <w:rsid w:val="00D35DBC"/>
    <w:rsid w:val="00D36907"/>
    <w:rsid w:val="00D451B2"/>
    <w:rsid w:val="00D5284E"/>
    <w:rsid w:val="00D77B4B"/>
    <w:rsid w:val="00D84AE9"/>
    <w:rsid w:val="00D8658E"/>
    <w:rsid w:val="00DA0427"/>
    <w:rsid w:val="00DD05F2"/>
    <w:rsid w:val="00DD0BA2"/>
    <w:rsid w:val="00DE0B1A"/>
    <w:rsid w:val="00DF7BD7"/>
    <w:rsid w:val="00E14553"/>
    <w:rsid w:val="00E468A3"/>
    <w:rsid w:val="00E522D5"/>
    <w:rsid w:val="00E54917"/>
    <w:rsid w:val="00E55469"/>
    <w:rsid w:val="00E60316"/>
    <w:rsid w:val="00E6301E"/>
    <w:rsid w:val="00E84B11"/>
    <w:rsid w:val="00EA6DB0"/>
    <w:rsid w:val="00EB41CC"/>
    <w:rsid w:val="00EC0092"/>
    <w:rsid w:val="00EC022D"/>
    <w:rsid w:val="00ED1B14"/>
    <w:rsid w:val="00EE68AC"/>
    <w:rsid w:val="00EF489B"/>
    <w:rsid w:val="00F02690"/>
    <w:rsid w:val="00F07D09"/>
    <w:rsid w:val="00F2666C"/>
    <w:rsid w:val="00F565F2"/>
    <w:rsid w:val="00F615C9"/>
    <w:rsid w:val="00F8030A"/>
    <w:rsid w:val="00F803E0"/>
    <w:rsid w:val="00F80C91"/>
    <w:rsid w:val="00FC6BBB"/>
    <w:rsid w:val="00FC7555"/>
    <w:rsid w:val="00FD0577"/>
    <w:rsid w:val="00FE45E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66B4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20"/>
      <w:outlineLvl w:val="0"/>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9"/>
    </w:pPr>
  </w:style>
  <w:style w:type="paragraph" w:styleId="Header">
    <w:name w:val="header"/>
    <w:basedOn w:val="Normal"/>
    <w:link w:val="HeaderChar"/>
    <w:uiPriority w:val="99"/>
    <w:unhideWhenUsed/>
    <w:rsid w:val="000778C1"/>
    <w:pPr>
      <w:tabs>
        <w:tab w:val="center" w:pos="4680"/>
        <w:tab w:val="right" w:pos="9360"/>
      </w:tabs>
    </w:pPr>
  </w:style>
  <w:style w:type="character" w:customStyle="1" w:styleId="HeaderChar">
    <w:name w:val="Header Char"/>
    <w:basedOn w:val="DefaultParagraphFont"/>
    <w:link w:val="Header"/>
    <w:uiPriority w:val="99"/>
    <w:rsid w:val="000778C1"/>
    <w:rPr>
      <w:rFonts w:ascii="Times New Roman" w:eastAsia="Times New Roman" w:hAnsi="Times New Roman" w:cs="Times New Roman"/>
    </w:rPr>
  </w:style>
  <w:style w:type="paragraph" w:styleId="Footer">
    <w:name w:val="footer"/>
    <w:basedOn w:val="Normal"/>
    <w:link w:val="FooterChar"/>
    <w:uiPriority w:val="99"/>
    <w:unhideWhenUsed/>
    <w:rsid w:val="000778C1"/>
    <w:pPr>
      <w:tabs>
        <w:tab w:val="center" w:pos="4680"/>
        <w:tab w:val="right" w:pos="9360"/>
      </w:tabs>
    </w:pPr>
  </w:style>
  <w:style w:type="character" w:customStyle="1" w:styleId="FooterChar">
    <w:name w:val="Footer Char"/>
    <w:basedOn w:val="DefaultParagraphFont"/>
    <w:link w:val="Footer"/>
    <w:uiPriority w:val="99"/>
    <w:rsid w:val="000778C1"/>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933BFD"/>
    <w:rPr>
      <w:sz w:val="16"/>
      <w:szCs w:val="16"/>
    </w:rPr>
  </w:style>
  <w:style w:type="paragraph" w:styleId="CommentText">
    <w:name w:val="annotation text"/>
    <w:basedOn w:val="Normal"/>
    <w:link w:val="CommentTextChar"/>
    <w:uiPriority w:val="99"/>
    <w:unhideWhenUsed/>
    <w:rsid w:val="00933BFD"/>
    <w:rPr>
      <w:sz w:val="20"/>
      <w:szCs w:val="20"/>
    </w:rPr>
  </w:style>
  <w:style w:type="character" w:customStyle="1" w:styleId="CommentTextChar">
    <w:name w:val="Comment Text Char"/>
    <w:basedOn w:val="DefaultParagraphFont"/>
    <w:link w:val="CommentText"/>
    <w:uiPriority w:val="99"/>
    <w:rsid w:val="00933BF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33BFD"/>
    <w:rPr>
      <w:b/>
      <w:bCs/>
    </w:rPr>
  </w:style>
  <w:style w:type="character" w:customStyle="1" w:styleId="CommentSubjectChar">
    <w:name w:val="Comment Subject Char"/>
    <w:basedOn w:val="CommentTextChar"/>
    <w:link w:val="CommentSubject"/>
    <w:uiPriority w:val="99"/>
    <w:semiHidden/>
    <w:rsid w:val="00933BFD"/>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D451B2"/>
    <w:rPr>
      <w:color w:val="0000FF" w:themeColor="hyperlink"/>
      <w:u w:val="single"/>
    </w:rPr>
  </w:style>
  <w:style w:type="character" w:styleId="UnresolvedMention">
    <w:name w:val="Unresolved Mention"/>
    <w:basedOn w:val="DefaultParagraphFont"/>
    <w:uiPriority w:val="99"/>
    <w:semiHidden/>
    <w:unhideWhenUsed/>
    <w:rsid w:val="00D451B2"/>
    <w:rPr>
      <w:color w:val="605E5C"/>
      <w:shd w:val="clear" w:color="auto" w:fill="E1DFDD"/>
    </w:rPr>
  </w:style>
  <w:style w:type="character" w:styleId="FollowedHyperlink">
    <w:name w:val="FollowedHyperlink"/>
    <w:basedOn w:val="DefaultParagraphFont"/>
    <w:uiPriority w:val="99"/>
    <w:semiHidden/>
    <w:unhideWhenUsed/>
    <w:rsid w:val="008836CF"/>
    <w:rPr>
      <w:color w:val="800080" w:themeColor="followedHyperlink"/>
      <w:u w:val="single"/>
    </w:rPr>
  </w:style>
  <w:style w:type="table" w:styleId="GridTable1Light">
    <w:name w:val="Grid Table 1 Light"/>
    <w:basedOn w:val="TableNormal"/>
    <w:uiPriority w:val="46"/>
    <w:rsid w:val="00A9096E"/>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fda.gov/about-fda/reports-manuals-forms/forms" TargetMode="External" /><Relationship Id="rId6" Type="http://schemas.openxmlformats.org/officeDocument/2006/relationships/hyperlink" Target="https://www.fda.gov/regulatory-information/search-fda-guidance-documents/cvm-gfi-171-demonstrating-bioequivalence-soluble-powder-oral-dosage-form-products-and-type-medicated" TargetMode="Externa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header" Target="header2.xml"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ADC36E-5DC8-448E-94DE-F438B20D0775}">
  <ds:schemaRefs>
    <ds:schemaRef ds:uri="http://schemas.openxmlformats.org/officeDocument/2006/bibliography"/>
  </ds:schemaRefs>
</ds:datastoreItem>
</file>

<file path=docMetadata/LabelInfo.xml><?xml version="1.0" encoding="utf-8"?>
<clbl:labelList xmlns:clbl="http://schemas.microsoft.com/office/2020/mipLabelMetadata">
  <clbl:label id="{7d2fdb41-339c-4257-87f2-a665730b31fc}" enabled="0" method="" siteId="{7d2fdb41-339c-4257-87f2-a665730b31fc}"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797</Words>
  <Characters>4548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2025-12-01T20:19:00Z</dcterms:created>
  <dcterms:modified xsi:type="dcterms:W3CDTF">2025-12-01T20:19:00Z</dcterms:modified>
</cp:coreProperties>
</file>