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AA9" w:rsidRPr="00B752E9" w:rsidP="00190AA9" w14:paraId="6A62E207" w14:textId="037CE0AA">
      <w:pPr>
        <w:autoSpaceDE w:val="0"/>
        <w:autoSpaceDN w:val="0"/>
        <w:adjustRightInd w:val="0"/>
        <w:spacing w:after="0" w:line="240" w:lineRule="auto"/>
        <w:jc w:val="center"/>
        <w:rPr>
          <w:rFonts w:ascii="Arial" w:eastAsia="Times New Roman" w:hAnsi="Arial" w:cs="Arial"/>
          <w:b/>
          <w:bCs/>
          <w:kern w:val="0"/>
          <w:sz w:val="24"/>
          <w:szCs w:val="20"/>
          <w14:ligatures w14:val="none"/>
        </w:rPr>
      </w:pPr>
      <w:r w:rsidRPr="00B752E9">
        <w:rPr>
          <w:rFonts w:ascii="Arial" w:eastAsia="Times New Roman" w:hAnsi="Arial" w:cs="Arial"/>
          <w:b/>
          <w:bCs/>
          <w:kern w:val="0"/>
          <w:sz w:val="24"/>
          <w:szCs w:val="20"/>
          <w14:ligatures w14:val="none"/>
        </w:rPr>
        <w:t xml:space="preserve">SUPPORTING STATEMENT </w:t>
      </w:r>
      <w:r w:rsidRPr="00B752E9" w:rsidR="00A11CD1">
        <w:rPr>
          <w:rFonts w:ascii="Arial" w:eastAsia="Times New Roman" w:hAnsi="Arial" w:cs="Arial"/>
          <w:b/>
          <w:bCs/>
          <w:kern w:val="0"/>
          <w:sz w:val="24"/>
          <w:szCs w:val="20"/>
          <w14:ligatures w14:val="none"/>
        </w:rPr>
        <w:t>PART A</w:t>
      </w:r>
      <w:r w:rsidRPr="00B752E9">
        <w:rPr>
          <w:rFonts w:ascii="Arial" w:eastAsia="Times New Roman" w:hAnsi="Arial" w:cs="Arial"/>
          <w:b/>
          <w:bCs/>
          <w:kern w:val="0"/>
          <w:sz w:val="24"/>
          <w:szCs w:val="20"/>
          <w14:ligatures w14:val="none"/>
        </w:rPr>
        <w:t xml:space="preserve"> </w:t>
      </w:r>
    </w:p>
    <w:p w:rsidR="00A11CD1" w:rsidRPr="00A11CD1" w:rsidP="00A11CD1" w14:paraId="1960F2CA" w14:textId="1A034EBD">
      <w:pPr>
        <w:autoSpaceDE w:val="0"/>
        <w:autoSpaceDN w:val="0"/>
        <w:adjustRightInd w:val="0"/>
        <w:spacing w:after="0" w:line="240" w:lineRule="auto"/>
        <w:jc w:val="center"/>
        <w:rPr>
          <w:rFonts w:ascii="Arial" w:eastAsia="Times New Roman" w:hAnsi="Arial" w:cs="Arial"/>
          <w:b/>
          <w:bCs/>
          <w:color w:val="000000"/>
          <w:kern w:val="0"/>
          <w:sz w:val="24"/>
          <w:szCs w:val="24"/>
          <w14:ligatures w14:val="none"/>
        </w:rPr>
      </w:pPr>
      <w:r w:rsidRPr="00A11CD1">
        <w:rPr>
          <w:rFonts w:ascii="Arial" w:eastAsia="Times New Roman" w:hAnsi="Arial" w:cs="Arial"/>
          <w:b/>
          <w:bCs/>
          <w:color w:val="000000"/>
          <w:kern w:val="0"/>
          <w:sz w:val="24"/>
          <w:szCs w:val="24"/>
          <w14:ligatures w14:val="none"/>
        </w:rPr>
        <w:t xml:space="preserve">U.S. </w:t>
      </w:r>
      <w:bookmarkStart w:id="0" w:name="_Hlk165525039"/>
      <w:r w:rsidRPr="00A11CD1">
        <w:rPr>
          <w:rFonts w:ascii="Arial" w:eastAsia="Times New Roman" w:hAnsi="Arial" w:cs="Arial"/>
          <w:b/>
          <w:bCs/>
          <w:color w:val="000000"/>
          <w:kern w:val="0"/>
          <w:sz w:val="24"/>
          <w:szCs w:val="24"/>
          <w14:ligatures w14:val="none"/>
        </w:rPr>
        <w:t>D</w:t>
      </w:r>
      <w:r>
        <w:rPr>
          <w:rFonts w:ascii="Arial" w:eastAsia="Times New Roman" w:hAnsi="Arial" w:cs="Arial"/>
          <w:b/>
          <w:bCs/>
          <w:color w:val="000000"/>
          <w:kern w:val="0"/>
          <w:sz w:val="24"/>
          <w:szCs w:val="24"/>
          <w14:ligatures w14:val="none"/>
        </w:rPr>
        <w:t>epartment of</w:t>
      </w:r>
      <w:r w:rsidRPr="00A11CD1">
        <w:rPr>
          <w:rFonts w:ascii="Arial" w:eastAsia="Times New Roman" w:hAnsi="Arial" w:cs="Arial"/>
          <w:b/>
          <w:bCs/>
          <w:color w:val="000000"/>
          <w:kern w:val="0"/>
          <w:sz w:val="24"/>
          <w:szCs w:val="24"/>
          <w14:ligatures w14:val="none"/>
        </w:rPr>
        <w:t xml:space="preserve"> </w:t>
      </w:r>
      <w:r w:rsidR="000543CD">
        <w:rPr>
          <w:rFonts w:ascii="Arial" w:eastAsia="Times New Roman" w:hAnsi="Arial" w:cs="Arial"/>
          <w:b/>
          <w:bCs/>
          <w:color w:val="000000"/>
          <w:kern w:val="0"/>
          <w:sz w:val="24"/>
          <w:szCs w:val="24"/>
          <w14:ligatures w14:val="none"/>
        </w:rPr>
        <w:t>Commerce</w:t>
      </w:r>
      <w:bookmarkEnd w:id="0"/>
    </w:p>
    <w:p w:rsidR="00A11CD1" w:rsidP="00A11CD1" w14:paraId="0AA8BE48" w14:textId="6EF7872D">
      <w:pPr>
        <w:widowControl w:val="0"/>
        <w:spacing w:after="0" w:line="240" w:lineRule="auto"/>
        <w:jc w:val="center"/>
        <w:rPr>
          <w:rFonts w:ascii="Arial" w:eastAsia="Times New Roman" w:hAnsi="Arial" w:cs="Arial"/>
          <w:b/>
          <w:bCs/>
          <w:kern w:val="0"/>
          <w:sz w:val="24"/>
          <w:szCs w:val="20"/>
          <w14:ligatures w14:val="none"/>
        </w:rPr>
      </w:pPr>
      <w:r w:rsidRPr="00A11CD1">
        <w:rPr>
          <w:rFonts w:ascii="Arial" w:eastAsia="Times New Roman" w:hAnsi="Arial" w:cs="Arial"/>
          <w:b/>
          <w:kern w:val="0"/>
          <w:sz w:val="24"/>
          <w:szCs w:val="20"/>
          <w14:ligatures w14:val="none"/>
        </w:rPr>
        <w:t xml:space="preserve">Generic </w:t>
      </w:r>
      <w:r w:rsidR="000B1C77">
        <w:rPr>
          <w:rFonts w:ascii="Arial" w:eastAsia="Times New Roman" w:hAnsi="Arial" w:cs="Arial"/>
          <w:b/>
          <w:kern w:val="0"/>
          <w:sz w:val="24"/>
          <w:szCs w:val="20"/>
          <w14:ligatures w14:val="none"/>
        </w:rPr>
        <w:t>C</w:t>
      </w:r>
      <w:r w:rsidR="00235B8C">
        <w:rPr>
          <w:rFonts w:ascii="Arial" w:eastAsia="Times New Roman" w:hAnsi="Arial" w:cs="Arial"/>
          <w:b/>
          <w:kern w:val="0"/>
          <w:sz w:val="24"/>
          <w:szCs w:val="20"/>
          <w14:ligatures w14:val="none"/>
        </w:rPr>
        <w:t xml:space="preserve">learance </w:t>
      </w:r>
      <w:r w:rsidRPr="00A11CD1">
        <w:rPr>
          <w:rFonts w:ascii="Arial" w:eastAsia="Times New Roman" w:hAnsi="Arial" w:cs="Arial"/>
          <w:b/>
          <w:bCs/>
          <w:kern w:val="0"/>
          <w:sz w:val="24"/>
          <w:szCs w:val="20"/>
          <w14:ligatures w14:val="none"/>
        </w:rPr>
        <w:t>for Funding Opportunity Announcements and Related Forms</w:t>
      </w:r>
    </w:p>
    <w:p w:rsidR="00A11CD1" w:rsidRPr="00A11CD1" w:rsidP="00A11CD1" w14:paraId="284A445C" w14:textId="77777777">
      <w:pPr>
        <w:widowControl w:val="0"/>
        <w:spacing w:after="0" w:line="480" w:lineRule="auto"/>
        <w:jc w:val="center"/>
        <w:rPr>
          <w:rFonts w:ascii="Arial" w:eastAsia="Times New Roman" w:hAnsi="Arial" w:cs="Arial"/>
          <w:b/>
          <w:bCs/>
          <w:kern w:val="0"/>
          <w:sz w:val="24"/>
          <w:szCs w:val="20"/>
          <w14:ligatures w14:val="none"/>
        </w:rPr>
      </w:pPr>
      <w:r w:rsidRPr="00A11CD1">
        <w:rPr>
          <w:rFonts w:ascii="Arial" w:eastAsia="Times New Roman" w:hAnsi="Arial" w:cs="Arial"/>
          <w:b/>
          <w:bCs/>
          <w:kern w:val="0"/>
          <w:sz w:val="24"/>
          <w:szCs w:val="20"/>
          <w14:ligatures w14:val="none"/>
        </w:rPr>
        <w:t xml:space="preserve">OMB Control No. 0690-NEW </w:t>
      </w:r>
    </w:p>
    <w:p w:rsidR="00322464" w:rsidP="00190AA9" w14:paraId="65837501" w14:textId="77777777">
      <w:pPr>
        <w:autoSpaceDE w:val="0"/>
        <w:autoSpaceDN w:val="0"/>
        <w:adjustRightInd w:val="0"/>
        <w:spacing w:after="0" w:line="240" w:lineRule="auto"/>
        <w:rPr>
          <w:rFonts w:ascii="Arial" w:eastAsia="Times New Roman" w:hAnsi="Arial" w:cs="Arial"/>
          <w:b/>
          <w:bCs/>
          <w:iCs/>
          <w:color w:val="000000"/>
          <w:kern w:val="0"/>
          <w14:ligatures w14:val="none"/>
        </w:rPr>
      </w:pPr>
    </w:p>
    <w:p w:rsidR="00256B35" w:rsidRPr="00256B35" w:rsidP="00256B35" w14:paraId="132121CB" w14:textId="77777777">
      <w:pPr>
        <w:rPr>
          <w:rFonts w:ascii="Arial" w:hAnsi="Arial" w:cs="Arial"/>
          <w:b/>
          <w:bCs/>
          <w:kern w:val="0"/>
          <w14:ligatures w14:val="none"/>
        </w:rPr>
      </w:pPr>
      <w:r w:rsidRPr="00256B35">
        <w:rPr>
          <w:rFonts w:ascii="Arial" w:hAnsi="Arial" w:cs="Arial"/>
          <w:b/>
          <w:bCs/>
          <w:kern w:val="0"/>
          <w14:ligatures w14:val="none"/>
        </w:rPr>
        <w:t>ABSTRACT</w:t>
      </w:r>
    </w:p>
    <w:p w:rsidR="001C671A" w:rsidP="003C3981" w14:paraId="7C7477BB" w14:textId="6D527B4E">
      <w:pPr>
        <w:spacing w:after="0" w:line="240" w:lineRule="auto"/>
        <w:rPr>
          <w:rFonts w:ascii="Segoe UI" w:hAnsi="Segoe UI" w:cs="Segoe UI"/>
          <w:kern w:val="0"/>
          <w14:ligatures w14:val="none"/>
        </w:rPr>
      </w:pPr>
      <w:r w:rsidRPr="00256B35">
        <w:rPr>
          <w:rFonts w:ascii="Segoe UI" w:hAnsi="Segoe UI" w:cs="Segoe UI"/>
          <w:kern w:val="0"/>
          <w14:ligatures w14:val="none"/>
        </w:rPr>
        <w:t xml:space="preserve">This is a request for a new generic clearance </w:t>
      </w:r>
      <w:r w:rsidRPr="00A116E8" w:rsidR="000D50A1">
        <w:rPr>
          <w:rFonts w:ascii="Segoe UI" w:hAnsi="Segoe UI" w:cs="Segoe UI"/>
          <w:kern w:val="0"/>
          <w14:ligatures w14:val="none"/>
        </w:rPr>
        <w:t xml:space="preserve">to cover </w:t>
      </w:r>
      <w:r w:rsidRPr="00B81E0E" w:rsidR="000D50A1">
        <w:rPr>
          <w:rFonts w:ascii="Segoe UI" w:hAnsi="Segoe UI" w:cs="Segoe UI"/>
          <w:kern w:val="0"/>
          <w14:ligatures w14:val="none"/>
        </w:rPr>
        <w:t>information collection requirements</w:t>
      </w:r>
      <w:r w:rsidRPr="00A116E8" w:rsidR="000B19BF">
        <w:rPr>
          <w:rFonts w:ascii="Segoe UI" w:hAnsi="Segoe UI" w:cs="Segoe UI"/>
          <w:kern w:val="0"/>
          <w14:ligatures w14:val="none"/>
        </w:rPr>
        <w:t xml:space="preserve"> (ICRs)</w:t>
      </w:r>
      <w:r w:rsidRPr="00B81E0E" w:rsidR="000D50A1">
        <w:rPr>
          <w:rFonts w:ascii="Segoe UI" w:hAnsi="Segoe UI" w:cs="Segoe UI"/>
          <w:kern w:val="0"/>
          <w14:ligatures w14:val="none"/>
        </w:rPr>
        <w:t xml:space="preserve"> </w:t>
      </w:r>
      <w:r w:rsidRPr="00A116E8" w:rsidR="000D50A1">
        <w:rPr>
          <w:rFonts w:ascii="Segoe UI" w:hAnsi="Segoe UI" w:cs="Segoe UI"/>
          <w:kern w:val="0"/>
          <w14:ligatures w14:val="none"/>
        </w:rPr>
        <w:t>in funding opportunity announcements</w:t>
      </w:r>
      <w:r w:rsidRPr="00A116E8" w:rsidR="008A7A68">
        <w:rPr>
          <w:rFonts w:ascii="Segoe UI" w:hAnsi="Segoe UI" w:cs="Segoe UI"/>
          <w:kern w:val="0"/>
          <w14:ligatures w14:val="none"/>
        </w:rPr>
        <w:t xml:space="preserve"> (FOAs)</w:t>
      </w:r>
      <w:r w:rsidRPr="00A116E8" w:rsidR="000D50A1">
        <w:rPr>
          <w:rFonts w:ascii="Segoe UI" w:hAnsi="Segoe UI" w:cs="Segoe UI"/>
          <w:kern w:val="0"/>
          <w14:ligatures w14:val="none"/>
        </w:rPr>
        <w:t xml:space="preserve"> </w:t>
      </w:r>
      <w:r w:rsidRPr="00B81E0E" w:rsidR="000D50A1">
        <w:rPr>
          <w:rFonts w:ascii="Segoe UI" w:hAnsi="Segoe UI" w:cs="Segoe UI"/>
          <w:kern w:val="0"/>
          <w14:ligatures w14:val="none"/>
        </w:rPr>
        <w:t>extending beyond what is collected on currently approved standard forms.</w:t>
      </w:r>
      <w:r w:rsidRPr="00A116E8" w:rsidR="003C3981">
        <w:rPr>
          <w:rFonts w:ascii="Segoe UI" w:hAnsi="Segoe UI" w:cs="Segoe UI"/>
          <w:kern w:val="0"/>
          <w14:ligatures w14:val="none"/>
        </w:rPr>
        <w:t xml:space="preserve"> </w:t>
      </w:r>
      <w:r w:rsidRPr="00256B35" w:rsidR="003C3981">
        <w:rPr>
          <w:rFonts w:ascii="Segoe UI" w:hAnsi="Segoe UI" w:cs="Segoe UI"/>
          <w:kern w:val="0"/>
          <w14:ligatures w14:val="none"/>
        </w:rPr>
        <w:t xml:space="preserve">The Department of Commerce </w:t>
      </w:r>
      <w:r w:rsidRPr="00A116E8" w:rsidR="001F7E99">
        <w:rPr>
          <w:rFonts w:ascii="Segoe UI" w:hAnsi="Segoe UI" w:cs="Segoe UI"/>
          <w:kern w:val="0"/>
          <w14:ligatures w14:val="none"/>
        </w:rPr>
        <w:t>agencie</w:t>
      </w:r>
      <w:r w:rsidRPr="00256B35" w:rsidR="003C3981">
        <w:rPr>
          <w:rFonts w:ascii="Segoe UI" w:hAnsi="Segoe UI" w:cs="Segoe UI"/>
          <w:kern w:val="0"/>
          <w14:ligatures w14:val="none"/>
        </w:rPr>
        <w:t xml:space="preserve">s manage </w:t>
      </w:r>
      <w:r w:rsidRPr="00A116E8" w:rsidR="001F7E99">
        <w:rPr>
          <w:rFonts w:ascii="Segoe UI" w:hAnsi="Segoe UI" w:cs="Segoe UI"/>
          <w:kern w:val="0"/>
          <w14:ligatures w14:val="none"/>
        </w:rPr>
        <w:t xml:space="preserve">funding </w:t>
      </w:r>
      <w:r w:rsidRPr="00256B35" w:rsidR="003C3981">
        <w:rPr>
          <w:rFonts w:ascii="Segoe UI" w:hAnsi="Segoe UI" w:cs="Segoe UI"/>
          <w:kern w:val="0"/>
          <w14:ligatures w14:val="none"/>
        </w:rPr>
        <w:t xml:space="preserve">programs that vary in purpose, target population, and activities. </w:t>
      </w:r>
      <w:r w:rsidRPr="00B81E0E" w:rsidR="003C3981">
        <w:rPr>
          <w:rFonts w:ascii="Segoe UI" w:hAnsi="Segoe UI" w:cs="Segoe UI"/>
          <w:kern w:val="0"/>
          <w14:ligatures w14:val="none"/>
        </w:rPr>
        <w:t xml:space="preserve">OMB approval of this </w:t>
      </w:r>
      <w:r w:rsidRPr="00A116E8" w:rsidR="00C34297">
        <w:rPr>
          <w:rFonts w:ascii="Segoe UI" w:hAnsi="Segoe UI" w:cs="Segoe UI"/>
          <w:kern w:val="0"/>
          <w14:ligatures w14:val="none"/>
        </w:rPr>
        <w:t xml:space="preserve">umbrella </w:t>
      </w:r>
      <w:r w:rsidRPr="00B81E0E" w:rsidR="003C3981">
        <w:rPr>
          <w:rFonts w:ascii="Segoe UI" w:hAnsi="Segoe UI" w:cs="Segoe UI"/>
          <w:kern w:val="0"/>
          <w14:ligatures w14:val="none"/>
        </w:rPr>
        <w:t xml:space="preserve">generic ICR </w:t>
      </w:r>
      <w:r w:rsidR="008209C2">
        <w:rPr>
          <w:rFonts w:ascii="Segoe UI" w:hAnsi="Segoe UI" w:cs="Segoe UI"/>
          <w:kern w:val="0"/>
          <w14:ligatures w14:val="none"/>
        </w:rPr>
        <w:t xml:space="preserve">will </w:t>
      </w:r>
      <w:r w:rsidRPr="00B81E0E" w:rsidR="003C3981">
        <w:rPr>
          <w:rFonts w:ascii="Segoe UI" w:hAnsi="Segoe UI" w:cs="Segoe UI"/>
          <w:kern w:val="0"/>
          <w14:ligatures w14:val="none"/>
        </w:rPr>
        <w:t xml:space="preserve">assist </w:t>
      </w:r>
      <w:r w:rsidRPr="00A116E8" w:rsidR="00DB2FD9">
        <w:rPr>
          <w:rFonts w:ascii="Segoe UI" w:hAnsi="Segoe UI" w:cs="Segoe UI"/>
          <w:kern w:val="0"/>
          <w14:ligatures w14:val="none"/>
        </w:rPr>
        <w:t>Commerce</w:t>
      </w:r>
      <w:r w:rsidRPr="00A116E8" w:rsidR="006B6B5F">
        <w:rPr>
          <w:rFonts w:ascii="Segoe UI" w:hAnsi="Segoe UI" w:cs="Segoe UI"/>
          <w:kern w:val="0"/>
          <w14:ligatures w14:val="none"/>
        </w:rPr>
        <w:t xml:space="preserve"> in</w:t>
      </w:r>
      <w:r w:rsidRPr="00B81E0E" w:rsidR="003C3981">
        <w:rPr>
          <w:rFonts w:ascii="Segoe UI" w:hAnsi="Segoe UI" w:cs="Segoe UI"/>
          <w:kern w:val="0"/>
          <w14:ligatures w14:val="none"/>
        </w:rPr>
        <w:t xml:space="preserve"> </w:t>
      </w:r>
      <w:r w:rsidRPr="00A116E8" w:rsidR="00C34297">
        <w:rPr>
          <w:rFonts w:ascii="Segoe UI" w:hAnsi="Segoe UI" w:cs="Segoe UI"/>
          <w:kern w:val="0"/>
          <w14:ligatures w14:val="none"/>
        </w:rPr>
        <w:t xml:space="preserve">timely </w:t>
      </w:r>
      <w:r w:rsidRPr="00B81E0E" w:rsidR="003C3981">
        <w:rPr>
          <w:rFonts w:ascii="Segoe UI" w:hAnsi="Segoe UI" w:cs="Segoe UI"/>
          <w:kern w:val="0"/>
          <w14:ligatures w14:val="none"/>
        </w:rPr>
        <w:t>carry</w:t>
      </w:r>
      <w:r w:rsidRPr="00A116E8" w:rsidR="006B6B5F">
        <w:rPr>
          <w:rFonts w:ascii="Segoe UI" w:hAnsi="Segoe UI" w:cs="Segoe UI"/>
          <w:kern w:val="0"/>
          <w14:ligatures w14:val="none"/>
        </w:rPr>
        <w:t xml:space="preserve">ing </w:t>
      </w:r>
      <w:r w:rsidRPr="00B81E0E" w:rsidR="003C3981">
        <w:rPr>
          <w:rFonts w:ascii="Segoe UI" w:hAnsi="Segoe UI" w:cs="Segoe UI"/>
          <w:kern w:val="0"/>
          <w14:ligatures w14:val="none"/>
        </w:rPr>
        <w:t>out its responsibilities under the Paperwork Reduction Act by accurately accounting for the public burden</w:t>
      </w:r>
      <w:r w:rsidRPr="00A116E8" w:rsidR="00A116E8">
        <w:rPr>
          <w:rFonts w:ascii="Segoe UI" w:hAnsi="Segoe UI" w:cs="Segoe UI"/>
          <w:kern w:val="0"/>
          <w14:ligatures w14:val="none"/>
        </w:rPr>
        <w:t xml:space="preserve"> and reporting</w:t>
      </w:r>
      <w:r w:rsidRPr="00B81E0E" w:rsidR="003C3981">
        <w:rPr>
          <w:rFonts w:ascii="Segoe UI" w:hAnsi="Segoe UI" w:cs="Segoe UI"/>
          <w:kern w:val="0"/>
          <w14:ligatures w14:val="none"/>
        </w:rPr>
        <w:t xml:space="preserve"> associated with </w:t>
      </w:r>
      <w:r w:rsidRPr="00A116E8" w:rsidR="001F7E99">
        <w:rPr>
          <w:rFonts w:ascii="Segoe UI" w:hAnsi="Segoe UI" w:cs="Segoe UI"/>
          <w:kern w:val="0"/>
          <w14:ligatures w14:val="none"/>
        </w:rPr>
        <w:t>FOA</w:t>
      </w:r>
      <w:r w:rsidRPr="00B81E0E" w:rsidR="003C3981">
        <w:rPr>
          <w:rFonts w:ascii="Segoe UI" w:hAnsi="Segoe UI" w:cs="Segoe UI"/>
          <w:kern w:val="0"/>
          <w14:ligatures w14:val="none"/>
        </w:rPr>
        <w:t xml:space="preserve"> applications</w:t>
      </w:r>
      <w:r w:rsidRPr="00A116E8" w:rsidR="001217AB">
        <w:rPr>
          <w:rFonts w:ascii="Segoe UI" w:hAnsi="Segoe UI" w:cs="Segoe UI"/>
          <w:kern w:val="0"/>
          <w14:ligatures w14:val="none"/>
        </w:rPr>
        <w:t xml:space="preserve"> and related forms</w:t>
      </w:r>
      <w:r w:rsidRPr="00A116E8">
        <w:rPr>
          <w:rFonts w:ascii="Segoe UI" w:hAnsi="Segoe UI" w:cs="Segoe UI"/>
          <w:kern w:val="0"/>
          <w14:ligatures w14:val="none"/>
        </w:rPr>
        <w:t>.</w:t>
      </w:r>
    </w:p>
    <w:p w:rsidR="00DF0DBF" w:rsidP="003C3981" w14:paraId="6FF16EF0" w14:textId="77777777">
      <w:pPr>
        <w:spacing w:after="0" w:line="240" w:lineRule="auto"/>
        <w:rPr>
          <w:rFonts w:ascii="Segoe UI" w:hAnsi="Segoe UI" w:cs="Segoe UI"/>
          <w:kern w:val="0"/>
          <w14:ligatures w14:val="none"/>
        </w:rPr>
      </w:pPr>
    </w:p>
    <w:p w:rsidR="00741274" w:rsidRPr="00741274" w:rsidP="00741274" w14:paraId="2EBF4EB6" w14:textId="77777777">
      <w:pPr>
        <w:spacing w:after="0" w:line="240" w:lineRule="auto"/>
        <w:rPr>
          <w:rFonts w:ascii="Segoe UI" w:hAnsi="Segoe UI" w:cs="Segoe UI"/>
          <w:kern w:val="0"/>
          <w14:ligatures w14:val="none"/>
        </w:rPr>
      </w:pPr>
      <w:r w:rsidRPr="00741274">
        <w:rPr>
          <w:rFonts w:ascii="Segoe UI" w:hAnsi="Segoe UI" w:cs="Segoe UI"/>
          <w:kern w:val="0"/>
          <w14:ligatures w14:val="none"/>
        </w:rPr>
        <w:t xml:space="preserve">The following Agency Bureaus and offices will be authorized to use this Generic Clearance: </w:t>
      </w:r>
    </w:p>
    <w:p w:rsidR="00DF0DBF" w:rsidRPr="00A116E8" w:rsidP="00741274" w14:paraId="73246037" w14:textId="7C3B6B77">
      <w:pPr>
        <w:spacing w:after="0" w:line="240" w:lineRule="auto"/>
        <w:rPr>
          <w:rFonts w:ascii="Segoe UI" w:hAnsi="Segoe UI" w:cs="Segoe UI"/>
          <w:kern w:val="0"/>
          <w14:ligatures w14:val="none"/>
        </w:rPr>
      </w:pPr>
      <w:r w:rsidRPr="00741274">
        <w:rPr>
          <w:rFonts w:ascii="Segoe UI" w:hAnsi="Segoe UI" w:cs="Segoe UI"/>
          <w:kern w:val="0"/>
          <w14:ligatures w14:val="none"/>
        </w:rPr>
        <w:t>Bureau of Industry and Security (BIS); U.S. Census Bureau (Census); Economic Development Administration (EDA); Economics and Statistics Administration (ESA); International Trade Administration (ITA); Minority Business Development Agency (MBDA); National Oceanic &amp; Atmospheric Administration (NOAA); National Institute of Standards and Technology (NIST); National Technical Information Service (NTIS); National Telecommunications and Information Administration (NTIA); Office of the Under Secretary of Economic Affairs (OUSEA), and the Office of the Secretary (OS).</w:t>
      </w:r>
    </w:p>
    <w:p w:rsidR="00256B35" w:rsidRPr="00256B35" w:rsidP="00256B35" w14:paraId="7B62F53C" w14:textId="77777777">
      <w:pPr>
        <w:spacing w:after="0" w:line="240" w:lineRule="auto"/>
        <w:rPr>
          <w:rFonts w:ascii="Arial" w:hAnsi="Arial" w:cs="Arial"/>
          <w:kern w:val="0"/>
          <w14:ligatures w14:val="none"/>
        </w:rPr>
      </w:pPr>
    </w:p>
    <w:p w:rsidR="00190AA9" w:rsidRPr="00CF3103" w:rsidP="00190AA9" w14:paraId="6A5CC0AA" w14:textId="78579424">
      <w:pPr>
        <w:autoSpaceDE w:val="0"/>
        <w:autoSpaceDN w:val="0"/>
        <w:adjustRightInd w:val="0"/>
        <w:spacing w:after="0" w:line="240" w:lineRule="auto"/>
        <w:rPr>
          <w:rFonts w:ascii="Arial" w:eastAsia="Times New Roman" w:hAnsi="Arial" w:cs="Arial"/>
          <w:b/>
          <w:bCs/>
          <w:iCs/>
          <w:color w:val="000000"/>
          <w:kern w:val="0"/>
          <w14:ligatures w14:val="none"/>
        </w:rPr>
      </w:pPr>
      <w:r w:rsidRPr="00CF3103">
        <w:rPr>
          <w:rFonts w:ascii="Arial" w:eastAsia="Times New Roman" w:hAnsi="Arial" w:cs="Arial"/>
          <w:b/>
          <w:bCs/>
          <w:iCs/>
          <w:color w:val="000000"/>
          <w:kern w:val="0"/>
          <w14:ligatures w14:val="none"/>
        </w:rPr>
        <w:t>Justification</w:t>
      </w:r>
    </w:p>
    <w:p w:rsidR="00190AA9" w:rsidRPr="00BF4D99" w:rsidP="00190AA9" w14:paraId="035829EE"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623E28" w:rsidP="008C3DD8" w14:paraId="7692286B" w14:textId="04E2D4A8">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23E28">
        <w:rPr>
          <w:rFonts w:ascii="Arial" w:eastAsia="Times New Roman" w:hAnsi="Arial" w:cs="Arial"/>
          <w:b/>
          <w:bCs/>
          <w:color w:val="000000"/>
          <w:kern w:val="0"/>
          <w14:ligatures w14:val="none"/>
        </w:rPr>
        <w:t xml:space="preserve">Explain the circumstances that make the collection of information necessary. Identify any legal or administrative requirements that necessitate the collection. Describe the practical utility of the collection, including proposed and actual use. </w:t>
      </w:r>
    </w:p>
    <w:p w:rsidR="00623E28" w:rsidRPr="00623E28" w:rsidP="00623E28" w14:paraId="1C04E2DD" w14:textId="77777777">
      <w:pPr>
        <w:widowControl w:val="0"/>
        <w:autoSpaceDE w:val="0"/>
        <w:autoSpaceDN w:val="0"/>
        <w:adjustRightInd w:val="0"/>
        <w:spacing w:after="0" w:line="240" w:lineRule="auto"/>
        <w:ind w:left="360"/>
        <w:rPr>
          <w:rFonts w:ascii="Times New Roman" w:eastAsia="Times New Roman" w:hAnsi="Times New Roman" w:cs="Times New Roman"/>
          <w:color w:val="000000"/>
          <w:kern w:val="0"/>
          <w14:ligatures w14:val="none"/>
        </w:rPr>
      </w:pPr>
    </w:p>
    <w:p w:rsidR="00190AA9" w:rsidP="00190AA9" w14:paraId="60258203" w14:textId="04AE2DB7">
      <w:pPr>
        <w:autoSpaceDE w:val="0"/>
        <w:autoSpaceDN w:val="0"/>
        <w:adjustRightInd w:val="0"/>
        <w:spacing w:after="0" w:line="240" w:lineRule="auto"/>
        <w:rPr>
          <w:rFonts w:ascii="Segoe UI" w:eastAsia="Times New Roman" w:hAnsi="Segoe UI" w:cs="Segoe UI"/>
          <w:color w:val="000000"/>
          <w:kern w:val="0"/>
          <w14:ligatures w14:val="none"/>
        </w:rPr>
      </w:pPr>
      <w:r w:rsidRPr="001B58F1">
        <w:rPr>
          <w:rFonts w:ascii="Segoe UI" w:eastAsia="Times New Roman" w:hAnsi="Segoe UI" w:cs="Segoe UI"/>
          <w:color w:val="000000"/>
          <w:kern w:val="0"/>
          <w14:ligatures w14:val="none"/>
        </w:rPr>
        <w:t xml:space="preserve">The Department of </w:t>
      </w:r>
      <w:r w:rsidR="000543CD">
        <w:rPr>
          <w:rFonts w:ascii="Segoe UI" w:eastAsia="Times New Roman" w:hAnsi="Segoe UI" w:cs="Segoe UI"/>
          <w:color w:val="000000"/>
          <w:kern w:val="0"/>
          <w14:ligatures w14:val="none"/>
        </w:rPr>
        <w:t>Commerce</w:t>
      </w:r>
      <w:r w:rsidRPr="001B58F1">
        <w:rPr>
          <w:rFonts w:ascii="Segoe UI" w:eastAsia="Times New Roman" w:hAnsi="Segoe UI" w:cs="Segoe UI"/>
          <w:color w:val="000000"/>
          <w:kern w:val="0"/>
          <w14:ligatures w14:val="none"/>
        </w:rPr>
        <w:t xml:space="preserve"> is required by 2 CFR 200.204 to announce discretionary grants and cooperative agreements and other </w:t>
      </w:r>
      <w:bookmarkStart w:id="1" w:name="_Hlk166216600"/>
      <w:r w:rsidRPr="001B58F1">
        <w:rPr>
          <w:rFonts w:ascii="Segoe UI" w:eastAsia="Times New Roman" w:hAnsi="Segoe UI" w:cs="Segoe UI"/>
          <w:color w:val="000000"/>
          <w:kern w:val="0"/>
          <w14:ligatures w14:val="none"/>
        </w:rPr>
        <w:t xml:space="preserve">financial assistance </w:t>
      </w:r>
      <w:bookmarkEnd w:id="1"/>
      <w:r w:rsidRPr="001B58F1">
        <w:rPr>
          <w:rFonts w:ascii="Segoe UI" w:eastAsia="Times New Roman" w:hAnsi="Segoe UI" w:cs="Segoe UI"/>
          <w:color w:val="000000"/>
          <w:kern w:val="0"/>
          <w14:ligatures w14:val="none"/>
        </w:rPr>
        <w:t xml:space="preserve">programs through public announcement. This includes announcements for pilot programs and one-time funding programs. A variety of public-facing documents are used to meet this requirement such as Funding Opportunity Announcements (FOAs), Request for Applications (RFAs), </w:t>
      </w:r>
      <w:r w:rsidR="00C04BEB">
        <w:rPr>
          <w:rFonts w:ascii="Segoe UI" w:eastAsia="Times New Roman" w:hAnsi="Segoe UI" w:cs="Segoe UI"/>
          <w:color w:val="000000"/>
          <w:kern w:val="0"/>
          <w14:ligatures w14:val="none"/>
        </w:rPr>
        <w:t>Other Transaction Agreements (OTA</w:t>
      </w:r>
      <w:r w:rsidR="00455FD0">
        <w:rPr>
          <w:rFonts w:ascii="Segoe UI" w:eastAsia="Times New Roman" w:hAnsi="Segoe UI" w:cs="Segoe UI"/>
          <w:color w:val="000000"/>
          <w:kern w:val="0"/>
          <w14:ligatures w14:val="none"/>
        </w:rPr>
        <w:t xml:space="preserve">s), </w:t>
      </w:r>
      <w:r w:rsidRPr="001B58F1">
        <w:rPr>
          <w:rFonts w:ascii="Segoe UI" w:eastAsia="Times New Roman" w:hAnsi="Segoe UI" w:cs="Segoe UI"/>
          <w:color w:val="000000"/>
          <w:kern w:val="0"/>
          <w14:ligatures w14:val="none"/>
        </w:rPr>
        <w:t xml:space="preserve">Notice of Funding Announcements (NOFAs), Notice of Solicitation of Applications (NOSAs), </w:t>
      </w:r>
      <w:r w:rsidRPr="001B58F1">
        <w:rPr>
          <w:rFonts w:ascii="Segoe UI" w:eastAsia="Times New Roman" w:hAnsi="Segoe UI" w:cs="Segoe UI"/>
          <w:i/>
          <w:iCs/>
          <w:color w:val="000000"/>
          <w:kern w:val="0"/>
          <w14:ligatures w14:val="none"/>
        </w:rPr>
        <w:t>Grants.gov</w:t>
      </w:r>
      <w:r w:rsidRPr="001B58F1">
        <w:rPr>
          <w:rFonts w:ascii="Segoe UI" w:eastAsia="Times New Roman" w:hAnsi="Segoe UI" w:cs="Segoe UI"/>
          <w:color w:val="000000"/>
          <w:kern w:val="0"/>
          <w14:ligatures w14:val="none"/>
        </w:rPr>
        <w:t xml:space="preserve"> announcements, Notice of Awards, or other funding announcement type</w:t>
      </w:r>
      <w:r w:rsidR="008D2A48">
        <w:rPr>
          <w:rFonts w:ascii="Segoe UI" w:eastAsia="Times New Roman" w:hAnsi="Segoe UI" w:cs="Segoe UI"/>
          <w:color w:val="000000"/>
          <w:kern w:val="0"/>
          <w14:ligatures w14:val="none"/>
        </w:rPr>
        <w:t>s</w:t>
      </w:r>
      <w:r w:rsidRPr="001B58F1">
        <w:rPr>
          <w:rFonts w:ascii="Segoe UI" w:eastAsia="Times New Roman" w:hAnsi="Segoe UI" w:cs="Segoe UI"/>
          <w:color w:val="000000"/>
          <w:kern w:val="0"/>
          <w14:ligatures w14:val="none"/>
        </w:rPr>
        <w:t>. The specific statutes for these programs cannot be identified in advance but will be included as part of each submission request to OMB.</w:t>
      </w:r>
    </w:p>
    <w:p w:rsidR="00AD5448" w:rsidP="00190AA9" w14:paraId="43C5E4AC"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045399" w:rsidRPr="00045399" w:rsidP="00045399" w14:paraId="26BA58E3" w14:textId="4A5C7EAE">
      <w:pPr>
        <w:autoSpaceDE w:val="0"/>
        <w:autoSpaceDN w:val="0"/>
        <w:adjustRightInd w:val="0"/>
        <w:spacing w:after="0" w:line="240" w:lineRule="auto"/>
        <w:rPr>
          <w:rFonts w:ascii="Segoe UI" w:eastAsia="Times New Roman" w:hAnsi="Segoe UI" w:cs="Segoe UI"/>
          <w:color w:val="000000"/>
          <w:kern w:val="0"/>
          <w14:ligatures w14:val="none"/>
        </w:rPr>
      </w:pPr>
      <w:r w:rsidRPr="00045399">
        <w:rPr>
          <w:rFonts w:ascii="Segoe UI" w:eastAsia="Times New Roman" w:hAnsi="Segoe UI" w:cs="Segoe UI"/>
          <w:color w:val="000000"/>
          <w:kern w:val="0"/>
          <w14:ligatures w14:val="none"/>
        </w:rPr>
        <w:t>Under OMB Circular A-102, Section C, heads of Executive departments are instructed to obtain Office of Management and Budget (OMB) approval under the Paperwork Reduction Act (codified at 44 U.S.C. § 3501, et seq., with regulations at 5 C.F.R. Part 1320) before collecting information associated with grants</w:t>
      </w:r>
      <w:r w:rsidR="004740FE">
        <w:rPr>
          <w:rFonts w:ascii="Segoe UI" w:eastAsia="Times New Roman" w:hAnsi="Segoe UI" w:cs="Segoe UI"/>
          <w:color w:val="000000"/>
          <w:kern w:val="0"/>
          <w14:ligatures w14:val="none"/>
        </w:rPr>
        <w:t xml:space="preserve"> and financial assistance</w:t>
      </w:r>
      <w:r w:rsidRPr="00045399">
        <w:rPr>
          <w:rFonts w:ascii="Segoe UI" w:eastAsia="Times New Roman" w:hAnsi="Segoe UI" w:cs="Segoe UI"/>
          <w:color w:val="000000"/>
          <w:kern w:val="0"/>
          <w14:ligatures w14:val="none"/>
        </w:rPr>
        <w:t xml:space="preserve"> that is “different or additional” to the information </w:t>
      </w:r>
      <w:r w:rsidRPr="00045399">
        <w:rPr>
          <w:rFonts w:ascii="Segoe UI" w:eastAsia="Times New Roman" w:hAnsi="Segoe UI" w:cs="Segoe UI"/>
          <w:color w:val="000000"/>
          <w:kern w:val="0"/>
          <w14:ligatures w14:val="none"/>
        </w:rPr>
        <w:t>collected on approved standard forms (e.g., SF-424, etc.). Further, OMB Circular A-110, Subpart B instructs Federal agencies to comply with the requirements of 5 C.F.R. Part 1320, “Controlling Paperwork Burdens on the Public,” with regard to all forms used by the Federal awarding agency in place of or as a supplement to the SF-424 series.</w:t>
      </w:r>
    </w:p>
    <w:p w:rsidR="00930C63" w:rsidRPr="001B58F1" w:rsidP="00190AA9" w14:paraId="696276CC"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190AA9" w:rsidRPr="001B58F1" w:rsidP="00190AA9" w14:paraId="028DEB73" w14:textId="0B44CAAD">
      <w:pPr>
        <w:autoSpaceDE w:val="0"/>
        <w:autoSpaceDN w:val="0"/>
        <w:adjustRightInd w:val="0"/>
        <w:spacing w:after="0" w:line="240" w:lineRule="auto"/>
        <w:rPr>
          <w:rFonts w:ascii="Segoe UI" w:eastAsia="Times New Roman" w:hAnsi="Segoe UI" w:cs="Segoe UI"/>
          <w:color w:val="000000"/>
          <w:kern w:val="0"/>
          <w14:ligatures w14:val="none"/>
        </w:rPr>
      </w:pPr>
      <w:r w:rsidRPr="001B58F1">
        <w:rPr>
          <w:rFonts w:ascii="Segoe UI" w:eastAsia="Times New Roman" w:hAnsi="Segoe UI" w:cs="Segoe UI"/>
          <w:color w:val="000000"/>
          <w:kern w:val="0"/>
          <w14:ligatures w14:val="none"/>
        </w:rPr>
        <w:t xml:space="preserve">To ensure </w:t>
      </w:r>
      <w:r w:rsidR="00D23E1A">
        <w:rPr>
          <w:rFonts w:ascii="Segoe UI" w:eastAsia="Times New Roman" w:hAnsi="Segoe UI" w:cs="Segoe UI"/>
          <w:color w:val="000000"/>
          <w:kern w:val="0"/>
          <w14:ligatures w14:val="none"/>
        </w:rPr>
        <w:t xml:space="preserve">financial </w:t>
      </w:r>
      <w:r w:rsidR="00005FF6">
        <w:rPr>
          <w:rFonts w:ascii="Segoe UI" w:eastAsia="Times New Roman" w:hAnsi="Segoe UI" w:cs="Segoe UI"/>
          <w:color w:val="000000"/>
          <w:kern w:val="0"/>
          <w14:ligatures w14:val="none"/>
        </w:rPr>
        <w:t>assistance i</w:t>
      </w:r>
      <w:r w:rsidRPr="001B58F1">
        <w:rPr>
          <w:rFonts w:ascii="Segoe UI" w:eastAsia="Times New Roman" w:hAnsi="Segoe UI" w:cs="Segoe UI"/>
          <w:color w:val="000000"/>
          <w:kern w:val="0"/>
          <w14:ligatures w14:val="none"/>
        </w:rPr>
        <w:t xml:space="preserve">s awarded to the applicant(s) best suited to perform the functions of </w:t>
      </w:r>
      <w:r w:rsidRPr="00FE5ADB" w:rsidR="00FE5ADB">
        <w:rPr>
          <w:rFonts w:ascii="Segoe UI" w:eastAsia="Times New Roman" w:hAnsi="Segoe UI" w:cs="Segoe UI"/>
          <w:color w:val="000000"/>
          <w:kern w:val="0"/>
          <w14:ligatures w14:val="none"/>
        </w:rPr>
        <w:t xml:space="preserve">fulfilling the mission of the </w:t>
      </w:r>
      <w:r w:rsidR="00FE5ADB">
        <w:rPr>
          <w:rFonts w:ascii="Segoe UI" w:eastAsia="Times New Roman" w:hAnsi="Segoe UI" w:cs="Segoe UI"/>
          <w:color w:val="000000"/>
          <w:kern w:val="0"/>
          <w14:ligatures w14:val="none"/>
        </w:rPr>
        <w:t>Commerce</w:t>
      </w:r>
      <w:r w:rsidRPr="00FE5ADB" w:rsidR="00FE5ADB">
        <w:rPr>
          <w:rFonts w:ascii="Segoe UI" w:eastAsia="Times New Roman" w:hAnsi="Segoe UI" w:cs="Segoe UI"/>
          <w:color w:val="000000"/>
          <w:kern w:val="0"/>
          <w14:ligatures w14:val="none"/>
        </w:rPr>
        <w:t xml:space="preserve"> program</w:t>
      </w:r>
      <w:r w:rsidR="00EA7EDE">
        <w:rPr>
          <w:rFonts w:ascii="Segoe UI" w:eastAsia="Times New Roman" w:hAnsi="Segoe UI" w:cs="Segoe UI"/>
          <w:color w:val="000000"/>
          <w:kern w:val="0"/>
          <w14:ligatures w14:val="none"/>
        </w:rPr>
        <w:t>,</w:t>
      </w:r>
      <w:r w:rsidRPr="001B58F1">
        <w:rPr>
          <w:rFonts w:ascii="Segoe UI" w:eastAsia="Times New Roman" w:hAnsi="Segoe UI" w:cs="Segoe UI"/>
          <w:color w:val="000000"/>
          <w:kern w:val="0"/>
          <w14:ligatures w14:val="none"/>
        </w:rPr>
        <w:t xml:space="preserve"> applicants are generally required to submit an application. The first part of </w:t>
      </w:r>
      <w:r w:rsidR="00F746AA">
        <w:rPr>
          <w:rFonts w:ascii="Segoe UI" w:eastAsia="Times New Roman" w:hAnsi="Segoe UI" w:cs="Segoe UI"/>
          <w:color w:val="000000"/>
          <w:kern w:val="0"/>
          <w14:ligatures w14:val="none"/>
        </w:rPr>
        <w:t>the process</w:t>
      </w:r>
      <w:r w:rsidRPr="001B58F1">
        <w:rPr>
          <w:rFonts w:ascii="Segoe UI" w:eastAsia="Times New Roman" w:hAnsi="Segoe UI" w:cs="Segoe UI"/>
          <w:color w:val="000000"/>
          <w:kern w:val="0"/>
          <w14:ligatures w14:val="none"/>
        </w:rPr>
        <w:t xml:space="preserve"> consists of submitting the application form(s), which </w:t>
      </w:r>
      <w:r w:rsidR="00525357">
        <w:rPr>
          <w:rFonts w:ascii="Segoe UI" w:eastAsia="Times New Roman" w:hAnsi="Segoe UI" w:cs="Segoe UI"/>
          <w:color w:val="000000"/>
          <w:kern w:val="0"/>
          <w14:ligatures w14:val="none"/>
        </w:rPr>
        <w:t xml:space="preserve">for grants </w:t>
      </w:r>
      <w:r w:rsidRPr="001B58F1">
        <w:rPr>
          <w:rFonts w:ascii="Segoe UI" w:eastAsia="Times New Roman" w:hAnsi="Segoe UI" w:cs="Segoe UI"/>
          <w:color w:val="000000"/>
          <w:kern w:val="0"/>
          <w14:ligatures w14:val="none"/>
        </w:rPr>
        <w:t xml:space="preserve">includes the Standard Form 424, Application for Federal Assistance and may include additional standard grant application forms. The second part of a grant application usually requires a technical proposal demonstrating the applicant's capabilities in accordance with a statement of work or selection criteria and other related information as specified in the funding announcement. In some cases, applicants may be asked for additional information as part of the application or following the award of a grant </w:t>
      </w:r>
      <w:r w:rsidR="004E0E87">
        <w:rPr>
          <w:rFonts w:ascii="Segoe UI" w:eastAsia="Times New Roman" w:hAnsi="Segoe UI" w:cs="Segoe UI"/>
          <w:color w:val="000000"/>
          <w:kern w:val="0"/>
          <w14:ligatures w14:val="none"/>
        </w:rPr>
        <w:t xml:space="preserve">or OTA </w:t>
      </w:r>
      <w:r w:rsidRPr="001B58F1">
        <w:rPr>
          <w:rFonts w:ascii="Segoe UI" w:eastAsia="Times New Roman" w:hAnsi="Segoe UI" w:cs="Segoe UI"/>
          <w:color w:val="000000"/>
          <w:kern w:val="0"/>
          <w14:ligatures w14:val="none"/>
        </w:rPr>
        <w:t xml:space="preserve">that is not captured on a preexisting, approved information collection. For example: </w:t>
      </w:r>
    </w:p>
    <w:p w:rsidR="00190AA9" w:rsidRPr="001B58F1" w:rsidP="00190AA9" w14:paraId="198E5E24" w14:textId="77777777">
      <w:pPr>
        <w:autoSpaceDE w:val="0"/>
        <w:autoSpaceDN w:val="0"/>
        <w:adjustRightInd w:val="0"/>
        <w:spacing w:after="0" w:line="240" w:lineRule="auto"/>
        <w:rPr>
          <w:rFonts w:ascii="Times New Roman" w:eastAsia="Times New Roman" w:hAnsi="Times New Roman" w:cs="Times New Roman"/>
          <w:color w:val="000000"/>
          <w:kern w:val="0"/>
          <w14:ligatures w14:val="none"/>
        </w:rPr>
      </w:pPr>
    </w:p>
    <w:p w:rsidR="00190AA9" w:rsidP="00190AA9" w14:paraId="05BE49E0"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color w:val="000000"/>
          <w:kern w:val="0"/>
          <w14:ligatures w14:val="none"/>
        </w:rPr>
        <w:t>Applications may be asked to describe the</w:t>
      </w:r>
      <w:r w:rsidRPr="001B58F1">
        <w:rPr>
          <w:rFonts w:ascii="Segoe UI" w:eastAsia="Times New Roman" w:hAnsi="Segoe UI" w:cs="Segoe UI"/>
          <w:kern w:val="0"/>
          <w14:ligatures w14:val="none"/>
        </w:rPr>
        <w:t xml:space="preserve"> applicant organization, including skills, experience, biographies, history, knowledge, qualifications, capabilities, office locations, and/or organization chart. </w:t>
      </w:r>
    </w:p>
    <w:p w:rsidR="00240134" w:rsidRPr="00365DFA" w:rsidP="00365DFA" w14:paraId="0DC5A8DC" w14:textId="77777777">
      <w:pPr>
        <w:widowControl w:val="0"/>
        <w:autoSpaceDE w:val="0"/>
        <w:autoSpaceDN w:val="0"/>
        <w:adjustRightInd w:val="0"/>
        <w:spacing w:after="0" w:line="240" w:lineRule="auto"/>
        <w:ind w:left="720"/>
        <w:rPr>
          <w:rFonts w:ascii="Segoe UI" w:eastAsia="Times New Roman" w:hAnsi="Segoe UI" w:cs="Segoe UI"/>
          <w:kern w:val="0"/>
          <w:sz w:val="16"/>
          <w:szCs w:val="16"/>
          <w14:ligatures w14:val="none"/>
        </w:rPr>
      </w:pPr>
    </w:p>
    <w:p w:rsidR="00190AA9" w:rsidP="00190AA9" w14:paraId="7024C2BB" w14:textId="3F331D31">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 xml:space="preserve">Applicants may be asked to describe other entities participating or collaborating with the applicant organization that may include businesses, workforce investment boards, </w:t>
      </w:r>
      <w:r w:rsidR="007F55AF">
        <w:rPr>
          <w:rFonts w:ascii="Segoe UI" w:eastAsia="Times New Roman" w:hAnsi="Segoe UI" w:cs="Segoe UI"/>
          <w:kern w:val="0"/>
          <w14:ligatures w14:val="none"/>
        </w:rPr>
        <w:t xml:space="preserve">local and </w:t>
      </w:r>
      <w:r w:rsidR="00173FEF">
        <w:rPr>
          <w:rFonts w:ascii="Segoe UI" w:eastAsia="Times New Roman" w:hAnsi="Segoe UI" w:cs="Segoe UI"/>
          <w:kern w:val="0"/>
          <w14:ligatures w14:val="none"/>
        </w:rPr>
        <w:t>state government</w:t>
      </w:r>
      <w:r w:rsidR="00217E48">
        <w:rPr>
          <w:rFonts w:ascii="Segoe UI" w:eastAsia="Times New Roman" w:hAnsi="Segoe UI" w:cs="Segoe UI"/>
          <w:kern w:val="0"/>
          <w14:ligatures w14:val="none"/>
        </w:rPr>
        <w:t xml:space="preserve"> and non</w:t>
      </w:r>
      <w:r w:rsidR="008727A1">
        <w:rPr>
          <w:rFonts w:ascii="Segoe UI" w:eastAsia="Times New Roman" w:hAnsi="Segoe UI" w:cs="Segoe UI"/>
          <w:kern w:val="0"/>
          <w14:ligatures w14:val="none"/>
        </w:rPr>
        <w:t>-government</w:t>
      </w:r>
      <w:r w:rsidR="00173FEF">
        <w:rPr>
          <w:rFonts w:ascii="Segoe UI" w:eastAsia="Times New Roman" w:hAnsi="Segoe UI" w:cs="Segoe UI"/>
          <w:kern w:val="0"/>
          <w14:ligatures w14:val="none"/>
        </w:rPr>
        <w:t xml:space="preserve"> offices</w:t>
      </w:r>
      <w:r w:rsidR="007F55AF">
        <w:rPr>
          <w:rFonts w:ascii="Segoe UI" w:eastAsia="Times New Roman" w:hAnsi="Segoe UI" w:cs="Segoe UI"/>
          <w:kern w:val="0"/>
          <w14:ligatures w14:val="none"/>
        </w:rPr>
        <w:t xml:space="preserve">, </w:t>
      </w:r>
      <w:r w:rsidR="008727A1">
        <w:rPr>
          <w:rFonts w:ascii="Segoe UI" w:eastAsia="Times New Roman" w:hAnsi="Segoe UI" w:cs="Segoe UI"/>
          <w:kern w:val="0"/>
          <w14:ligatures w14:val="none"/>
        </w:rPr>
        <w:t xml:space="preserve">universities, </w:t>
      </w:r>
      <w:r w:rsidRPr="001B58F1">
        <w:rPr>
          <w:rFonts w:ascii="Segoe UI" w:eastAsia="Times New Roman" w:hAnsi="Segoe UI" w:cs="Segoe UI"/>
          <w:kern w:val="0"/>
          <w14:ligatures w14:val="none"/>
        </w:rPr>
        <w:t xml:space="preserve">letters of support, copies of agreements, and/or contracts. </w:t>
      </w:r>
    </w:p>
    <w:p w:rsidR="00365DFA" w:rsidRPr="00365DFA" w:rsidP="00B77D7F" w14:paraId="52233F94" w14:textId="77777777">
      <w:pPr>
        <w:pStyle w:val="ListParagraph"/>
        <w:spacing w:after="0"/>
        <w:rPr>
          <w:rFonts w:ascii="Segoe UI" w:eastAsia="Times New Roman" w:hAnsi="Segoe UI" w:cs="Segoe UI"/>
          <w:kern w:val="0"/>
          <w:sz w:val="16"/>
          <w:szCs w:val="16"/>
          <w14:ligatures w14:val="none"/>
        </w:rPr>
      </w:pPr>
    </w:p>
    <w:p w:rsidR="00190AA9" w:rsidP="000449D6" w14:paraId="4D4F6E27"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Applicants may be asked to describe a plan for implementing or achieving the program goals. Requested elements may include strategy, process, method, schedule, timeline, innovations, communications, program design, management, focus, and/or statement of work.</w:t>
      </w:r>
    </w:p>
    <w:p w:rsidR="00365DFA" w:rsidRPr="000449D6" w:rsidP="000449D6" w14:paraId="152C00C7" w14:textId="77777777">
      <w:pPr>
        <w:pStyle w:val="ListParagraph"/>
        <w:spacing w:after="0" w:line="240" w:lineRule="auto"/>
        <w:rPr>
          <w:rFonts w:ascii="Segoe UI" w:eastAsia="Times New Roman" w:hAnsi="Segoe UI" w:cs="Segoe UI"/>
          <w:kern w:val="0"/>
          <w:sz w:val="16"/>
          <w:szCs w:val="16"/>
          <w14:ligatures w14:val="none"/>
        </w:rPr>
      </w:pPr>
    </w:p>
    <w:p w:rsidR="004A2D2F" w:rsidP="004A2D2F" w14:paraId="7E4641C9"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Applicants may be asked to describe the measures of success for the plan and to provide progress reports. Requested elements may include outcomes, goals, number served, number hired, increase in wages, educational degrees, cost effectiveness, results oriented model, feedback mechanism, performance accountability, evaluation and improvement, and/or the proposed system to monitor the implementation of program activities and achievement of stated project objectives.</w:t>
      </w:r>
    </w:p>
    <w:p w:rsidR="004A2D2F" w:rsidP="00194077" w14:paraId="6856A897" w14:textId="77777777">
      <w:pPr>
        <w:pStyle w:val="ListParagraph"/>
        <w:spacing w:after="0"/>
        <w:rPr>
          <w:rFonts w:ascii="Segoe UI" w:eastAsia="Times New Roman" w:hAnsi="Segoe UI" w:cs="Segoe UI"/>
          <w:kern w:val="0"/>
          <w14:ligatures w14:val="none"/>
        </w:rPr>
      </w:pPr>
    </w:p>
    <w:p w:rsidR="00190AA9" w:rsidRPr="004A2D2F" w:rsidP="004A2D2F" w14:paraId="653227A8" w14:textId="262F43BC">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4A2D2F">
        <w:rPr>
          <w:rFonts w:ascii="Segoe UI" w:eastAsia="Times New Roman" w:hAnsi="Segoe UI" w:cs="Segoe UI"/>
          <w:kern w:val="0"/>
          <w14:ligatures w14:val="none"/>
        </w:rPr>
        <w:t xml:space="preserve">Applicants may be asked to describe the recipients or target audience of the plan. Requested elements may include description and/or demographics of service region, occupations served, diversity, </w:t>
      </w:r>
      <w:r w:rsidRPr="004A2D2F" w:rsidR="00826C56">
        <w:rPr>
          <w:rFonts w:ascii="Segoe UI" w:eastAsia="Times New Roman" w:hAnsi="Segoe UI" w:cs="Segoe UI"/>
          <w:kern w:val="0"/>
          <w14:ligatures w14:val="none"/>
        </w:rPr>
        <w:t xml:space="preserve">and </w:t>
      </w:r>
      <w:r w:rsidRPr="004A2D2F">
        <w:rPr>
          <w:rFonts w:ascii="Segoe UI" w:eastAsia="Times New Roman" w:hAnsi="Segoe UI" w:cs="Segoe UI"/>
          <w:kern w:val="0"/>
          <w14:ligatures w14:val="none"/>
        </w:rPr>
        <w:t>civil</w:t>
      </w:r>
      <w:r w:rsidRPr="004A2D2F" w:rsidR="00826C56">
        <w:rPr>
          <w:rFonts w:ascii="Segoe UI" w:eastAsia="Times New Roman" w:hAnsi="Segoe UI" w:cs="Segoe UI"/>
          <w:kern w:val="0"/>
          <w14:ligatures w14:val="none"/>
        </w:rPr>
        <w:t xml:space="preserve"> </w:t>
      </w:r>
      <w:r w:rsidRPr="004A2D2F">
        <w:rPr>
          <w:rFonts w:ascii="Segoe UI" w:eastAsia="Times New Roman" w:hAnsi="Segoe UI" w:cs="Segoe UI"/>
          <w:kern w:val="0"/>
          <w14:ligatures w14:val="none"/>
        </w:rPr>
        <w:t>rights information.</w:t>
      </w:r>
    </w:p>
    <w:p w:rsidR="001E6ED2" w:rsidRPr="001E6ED2" w:rsidP="001E6ED2" w14:paraId="3AE7E0AB" w14:textId="77777777">
      <w:pPr>
        <w:widowControl w:val="0"/>
        <w:autoSpaceDE w:val="0"/>
        <w:autoSpaceDN w:val="0"/>
        <w:adjustRightInd w:val="0"/>
        <w:spacing w:after="0" w:line="240" w:lineRule="auto"/>
        <w:ind w:left="1440"/>
        <w:rPr>
          <w:rFonts w:ascii="Segoe UI" w:eastAsia="Times New Roman" w:hAnsi="Segoe UI" w:cs="Segoe UI"/>
          <w:kern w:val="0"/>
          <w:sz w:val="16"/>
          <w:szCs w:val="16"/>
          <w14:ligatures w14:val="none"/>
        </w:rPr>
      </w:pPr>
    </w:p>
    <w:p w:rsidR="00190AA9" w:rsidP="00190AA9" w14:paraId="50283B03" w14:textId="2FFF1E30">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 xml:space="preserve">Applicants may be asked </w:t>
      </w:r>
      <w:r w:rsidRPr="001B58F1" w:rsidR="00826C56">
        <w:rPr>
          <w:rFonts w:ascii="Segoe UI" w:eastAsia="Times New Roman" w:hAnsi="Segoe UI" w:cs="Segoe UI"/>
          <w:kern w:val="0"/>
          <w14:ligatures w14:val="none"/>
        </w:rPr>
        <w:t>to include</w:t>
      </w:r>
      <w:r w:rsidRPr="001B58F1">
        <w:rPr>
          <w:rFonts w:ascii="Segoe UI" w:eastAsia="Times New Roman" w:hAnsi="Segoe UI" w:cs="Segoe UI"/>
          <w:kern w:val="0"/>
          <w14:ligatures w14:val="none"/>
        </w:rPr>
        <w:t xml:space="preserve"> a budget plan and to describe alternative funding sources. This element may include sources, supplemental sources, material support, in kind support, matching funds, and/or other support.</w:t>
      </w:r>
    </w:p>
    <w:p w:rsidR="001E6ED2" w:rsidRPr="001E6ED2" w:rsidP="001E6ED2" w14:paraId="320D3B73" w14:textId="77777777">
      <w:pPr>
        <w:widowControl w:val="0"/>
        <w:autoSpaceDE w:val="0"/>
        <w:autoSpaceDN w:val="0"/>
        <w:adjustRightInd w:val="0"/>
        <w:spacing w:after="0" w:line="240" w:lineRule="auto"/>
        <w:ind w:left="720"/>
        <w:rPr>
          <w:rFonts w:ascii="Segoe UI" w:eastAsia="Times New Roman" w:hAnsi="Segoe UI" w:cs="Segoe UI"/>
          <w:kern w:val="0"/>
          <w:sz w:val="16"/>
          <w:szCs w:val="16"/>
          <w14:ligatures w14:val="none"/>
        </w:rPr>
      </w:pPr>
    </w:p>
    <w:p w:rsidR="00190AA9" w:rsidRPr="001B58F1" w:rsidP="00190AA9" w14:paraId="326CB9E8"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Applicants may be asked to describe how this program can or will outlast the federal funding.</w:t>
      </w:r>
    </w:p>
    <w:p w:rsidR="00190AA9" w:rsidRPr="001E6ED2" w:rsidP="00190AA9" w14:paraId="1024CEA1" w14:textId="77777777">
      <w:pPr>
        <w:autoSpaceDE w:val="0"/>
        <w:autoSpaceDN w:val="0"/>
        <w:adjustRightInd w:val="0"/>
        <w:spacing w:after="0" w:line="240" w:lineRule="auto"/>
        <w:rPr>
          <w:rFonts w:ascii="Segoe UI" w:eastAsia="Times New Roman" w:hAnsi="Segoe UI" w:cs="Segoe UI"/>
          <w:kern w:val="0"/>
          <w:sz w:val="16"/>
          <w:szCs w:val="16"/>
          <w14:ligatures w14:val="none"/>
        </w:rPr>
      </w:pPr>
    </w:p>
    <w:p w:rsidR="00190AA9" w:rsidP="00190AA9" w14:paraId="6F17A5B1" w14:textId="77777777">
      <w:p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 xml:space="preserve">Such information will only be asked where necessary to evaluate the application or to run the program, and </w:t>
      </w:r>
      <w:bookmarkStart w:id="2" w:name="_Hlk167367731"/>
      <w:r w:rsidRPr="001B58F1">
        <w:rPr>
          <w:rFonts w:ascii="Segoe UI" w:eastAsia="Times New Roman" w:hAnsi="Segoe UI" w:cs="Segoe UI"/>
          <w:kern w:val="0"/>
          <w14:ligatures w14:val="none"/>
        </w:rPr>
        <w:t>duplicative information (included any information provided in the SF-424 forms) will not be requested on any forms approved under this collection of information, except for the minimal information necessary to allow for identification of separate forms in an application package (i.e., applicant and/or project name).</w:t>
      </w:r>
      <w:bookmarkEnd w:id="2"/>
    </w:p>
    <w:p w:rsidR="00256620" w:rsidP="00190AA9" w14:paraId="72A9DAA8" w14:textId="77777777">
      <w:pPr>
        <w:autoSpaceDE w:val="0"/>
        <w:autoSpaceDN w:val="0"/>
        <w:adjustRightInd w:val="0"/>
        <w:spacing w:after="0" w:line="240" w:lineRule="auto"/>
        <w:rPr>
          <w:rFonts w:ascii="Segoe UI" w:eastAsia="Times New Roman" w:hAnsi="Segoe UI" w:cs="Segoe UI"/>
          <w:kern w:val="0"/>
          <w14:ligatures w14:val="none"/>
        </w:rPr>
      </w:pPr>
    </w:p>
    <w:p w:rsidR="00256620" w:rsidRPr="00256620" w:rsidP="00256620" w14:paraId="53435566" w14:textId="6E86DD9E">
      <w:pPr>
        <w:autoSpaceDE w:val="0"/>
        <w:autoSpaceDN w:val="0"/>
        <w:adjustRightInd w:val="0"/>
        <w:spacing w:after="0" w:line="240" w:lineRule="auto"/>
        <w:rPr>
          <w:rFonts w:ascii="Segoe UI" w:eastAsia="Times New Roman" w:hAnsi="Segoe UI" w:cs="Segoe UI"/>
          <w:kern w:val="0"/>
          <w14:ligatures w14:val="none"/>
        </w:rPr>
      </w:pPr>
      <w:r w:rsidRPr="00256620">
        <w:rPr>
          <w:rFonts w:ascii="Segoe UI" w:eastAsia="Times New Roman" w:hAnsi="Segoe UI" w:cs="Segoe UI"/>
          <w:kern w:val="0"/>
          <w14:ligatures w14:val="none"/>
        </w:rPr>
        <w:t xml:space="preserve">Awards made in connection with this supporting statement are subject to the general recordkeeping requirements at 2 CFR 200.334 – 200.338.  This includes storing application information and any other documents necessary to support the application, selection of an application, negotiation, and any allowable pre-award costs.  To ensure application and award documents are effectively tracked and recorded, </w:t>
      </w:r>
      <w:r>
        <w:rPr>
          <w:rFonts w:ascii="Segoe UI" w:eastAsia="Times New Roman" w:hAnsi="Segoe UI" w:cs="Segoe UI"/>
          <w:kern w:val="0"/>
          <w14:ligatures w14:val="none"/>
        </w:rPr>
        <w:t>Commerce</w:t>
      </w:r>
      <w:r w:rsidRPr="00256620">
        <w:rPr>
          <w:rFonts w:ascii="Segoe UI" w:eastAsia="Times New Roman" w:hAnsi="Segoe UI" w:cs="Segoe UI"/>
          <w:kern w:val="0"/>
          <w14:ligatures w14:val="none"/>
        </w:rPr>
        <w:t xml:space="preserve"> </w:t>
      </w:r>
      <w:r w:rsidR="002B6266">
        <w:rPr>
          <w:rFonts w:ascii="Segoe UI" w:eastAsia="Times New Roman" w:hAnsi="Segoe UI" w:cs="Segoe UI"/>
          <w:kern w:val="0"/>
          <w14:ligatures w14:val="none"/>
        </w:rPr>
        <w:t>will</w:t>
      </w:r>
      <w:r w:rsidRPr="00256620">
        <w:rPr>
          <w:rFonts w:ascii="Segoe UI" w:eastAsia="Times New Roman" w:hAnsi="Segoe UI" w:cs="Segoe UI"/>
          <w:kern w:val="0"/>
          <w14:ligatures w14:val="none"/>
        </w:rPr>
        <w:t xml:space="preserve"> comply with its records management policies.  Any specific or additional program-specific recordkeeping requirements will be included as part of each submission request to OMB.  </w:t>
      </w:r>
    </w:p>
    <w:p w:rsidR="00190AA9" w:rsidRPr="001B58F1" w:rsidP="00190AA9" w14:paraId="793C61C5" w14:textId="77777777">
      <w:pPr>
        <w:autoSpaceDE w:val="0"/>
        <w:autoSpaceDN w:val="0"/>
        <w:adjustRightInd w:val="0"/>
        <w:spacing w:after="0" w:line="240" w:lineRule="auto"/>
        <w:rPr>
          <w:rFonts w:ascii="Segoe UI" w:eastAsia="Times New Roman" w:hAnsi="Segoe UI" w:cs="Segoe UI"/>
          <w:kern w:val="0"/>
          <w14:ligatures w14:val="none"/>
        </w:rPr>
      </w:pPr>
    </w:p>
    <w:p w:rsidR="00190AA9" w:rsidRPr="001B58F1" w:rsidP="00190AA9" w14:paraId="1C7FC71E" w14:textId="4DBAEAC8">
      <w:pPr>
        <w:autoSpaceDE w:val="0"/>
        <w:autoSpaceDN w:val="0"/>
        <w:adjustRightInd w:val="0"/>
        <w:spacing w:after="0" w:line="240" w:lineRule="auto"/>
        <w:rPr>
          <w:rFonts w:ascii="Segoe UI" w:eastAsia="Times New Roman" w:hAnsi="Segoe UI" w:cs="Segoe UI"/>
          <w:color w:val="000000"/>
          <w:kern w:val="0"/>
          <w14:ligatures w14:val="none"/>
        </w:rPr>
      </w:pPr>
      <w:r w:rsidRPr="001B58F1">
        <w:rPr>
          <w:rFonts w:ascii="Segoe UI" w:eastAsia="Times New Roman" w:hAnsi="Segoe UI" w:cs="Segoe UI"/>
          <w:color w:val="000000"/>
          <w:kern w:val="0"/>
          <w14:ligatures w14:val="none"/>
        </w:rPr>
        <w:t xml:space="preserve">While </w:t>
      </w:r>
      <w:r w:rsidR="00CF3D90">
        <w:rPr>
          <w:rFonts w:ascii="Segoe UI" w:eastAsia="Times New Roman" w:hAnsi="Segoe UI" w:cs="Segoe UI"/>
          <w:color w:val="000000"/>
          <w:kern w:val="0"/>
          <w14:ligatures w14:val="none"/>
        </w:rPr>
        <w:t>C</w:t>
      </w:r>
      <w:r w:rsidR="005A574E">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 has authority to collect application information for many of its existing grant </w:t>
      </w:r>
      <w:r w:rsidR="0061036D">
        <w:rPr>
          <w:rFonts w:ascii="Segoe UI" w:eastAsia="Times New Roman" w:hAnsi="Segoe UI" w:cs="Segoe UI"/>
          <w:color w:val="000000"/>
          <w:kern w:val="0"/>
          <w14:ligatures w14:val="none"/>
        </w:rPr>
        <w:t xml:space="preserve">and financial assistance </w:t>
      </w:r>
      <w:r w:rsidR="000E6DB8">
        <w:rPr>
          <w:rFonts w:ascii="Segoe UI" w:eastAsia="Times New Roman" w:hAnsi="Segoe UI" w:cs="Segoe UI"/>
          <w:color w:val="000000"/>
          <w:kern w:val="0"/>
          <w14:ligatures w14:val="none"/>
        </w:rPr>
        <w:t>program</w:t>
      </w:r>
      <w:r w:rsidRPr="001B58F1">
        <w:rPr>
          <w:rFonts w:ascii="Segoe UI" w:eastAsia="Times New Roman" w:hAnsi="Segoe UI" w:cs="Segoe UI"/>
          <w:color w:val="000000"/>
          <w:kern w:val="0"/>
          <w14:ligatures w14:val="none"/>
        </w:rPr>
        <w:t xml:space="preserve">s, the Department is now seeking approval of a generic </w:t>
      </w:r>
      <w:r w:rsidR="005A574E">
        <w:rPr>
          <w:rFonts w:ascii="Segoe UI" w:eastAsia="Times New Roman" w:hAnsi="Segoe UI" w:cs="Segoe UI"/>
          <w:color w:val="000000"/>
          <w:kern w:val="0"/>
          <w14:ligatures w14:val="none"/>
        </w:rPr>
        <w:t>information collection</w:t>
      </w:r>
      <w:r w:rsidRPr="001B58F1">
        <w:rPr>
          <w:rFonts w:ascii="Segoe UI" w:eastAsia="Times New Roman" w:hAnsi="Segoe UI" w:cs="Segoe UI"/>
          <w:color w:val="000000"/>
          <w:kern w:val="0"/>
          <w14:ligatures w14:val="none"/>
        </w:rPr>
        <w:t xml:space="preserve"> to cover elements like those listed above </w:t>
      </w:r>
      <w:r w:rsidR="005A574E">
        <w:rPr>
          <w:rFonts w:ascii="Segoe UI" w:eastAsia="Times New Roman" w:hAnsi="Segoe UI" w:cs="Segoe UI"/>
          <w:color w:val="000000"/>
          <w:kern w:val="0"/>
          <w14:ligatures w14:val="none"/>
        </w:rPr>
        <w:t xml:space="preserve">or others </w:t>
      </w:r>
      <w:r w:rsidRPr="001B58F1">
        <w:rPr>
          <w:rFonts w:ascii="Segoe UI" w:eastAsia="Times New Roman" w:hAnsi="Segoe UI" w:cs="Segoe UI"/>
          <w:color w:val="000000"/>
          <w:kern w:val="0"/>
          <w14:ligatures w14:val="none"/>
        </w:rPr>
        <w:t>that may not be captured on an existing, approved application</w:t>
      </w:r>
      <w:r w:rsidR="005A574E">
        <w:rPr>
          <w:rFonts w:ascii="Segoe UI" w:eastAsia="Times New Roman" w:hAnsi="Segoe UI" w:cs="Segoe UI"/>
          <w:color w:val="000000"/>
          <w:kern w:val="0"/>
          <w14:ligatures w14:val="none"/>
        </w:rPr>
        <w:t xml:space="preserve"> or form</w:t>
      </w:r>
      <w:r w:rsidRPr="001B58F1">
        <w:rPr>
          <w:rFonts w:ascii="Segoe UI" w:eastAsia="Times New Roman" w:hAnsi="Segoe UI" w:cs="Segoe UI"/>
          <w:color w:val="000000"/>
          <w:kern w:val="0"/>
          <w14:ligatures w14:val="none"/>
        </w:rPr>
        <w:t xml:space="preserve">.  Without approval to collect the necessary information with the application or after the award, </w:t>
      </w:r>
      <w:r w:rsidR="00CF3D90">
        <w:rPr>
          <w:rFonts w:ascii="Segoe UI" w:eastAsia="Times New Roman" w:hAnsi="Segoe UI" w:cs="Segoe UI"/>
          <w:color w:val="000000"/>
          <w:kern w:val="0"/>
          <w14:ligatures w14:val="none"/>
        </w:rPr>
        <w:t>C</w:t>
      </w:r>
      <w:r w:rsidR="005A574E">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’s ability to make timely awards </w:t>
      </w:r>
      <w:r w:rsidR="00475DA6">
        <w:rPr>
          <w:rFonts w:ascii="Segoe UI" w:eastAsia="Times New Roman" w:hAnsi="Segoe UI" w:cs="Segoe UI"/>
          <w:color w:val="000000"/>
          <w:kern w:val="0"/>
          <w14:ligatures w14:val="none"/>
        </w:rPr>
        <w:t xml:space="preserve">and to provide appropriate oversight </w:t>
      </w:r>
      <w:r w:rsidRPr="001B58F1">
        <w:rPr>
          <w:rFonts w:ascii="Segoe UI" w:eastAsia="Times New Roman" w:hAnsi="Segoe UI" w:cs="Segoe UI"/>
          <w:color w:val="000000"/>
          <w:kern w:val="0"/>
          <w14:ligatures w14:val="none"/>
        </w:rPr>
        <w:t xml:space="preserve">is compromised. </w:t>
      </w:r>
      <w:r w:rsidR="00CF3D90">
        <w:rPr>
          <w:rFonts w:ascii="Segoe UI" w:eastAsia="Times New Roman" w:hAnsi="Segoe UI" w:cs="Segoe UI"/>
          <w:color w:val="000000"/>
          <w:kern w:val="0"/>
          <w14:ligatures w14:val="none"/>
        </w:rPr>
        <w:t>C</w:t>
      </w:r>
      <w:r w:rsidR="00475DA6">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 will only use this collection for funding announcements of new programs</w:t>
      </w:r>
      <w:r w:rsidR="003741B5">
        <w:rPr>
          <w:rFonts w:ascii="Segoe UI" w:eastAsia="Times New Roman" w:hAnsi="Segoe UI" w:cs="Segoe UI"/>
          <w:color w:val="000000"/>
          <w:kern w:val="0"/>
          <w14:ligatures w14:val="none"/>
        </w:rPr>
        <w:t xml:space="preserve"> or for existing programs with a new requirement</w:t>
      </w:r>
      <w:r w:rsidRPr="001B58F1">
        <w:rPr>
          <w:rFonts w:ascii="Segoe UI" w:eastAsia="Times New Roman" w:hAnsi="Segoe UI" w:cs="Segoe UI"/>
          <w:color w:val="000000"/>
          <w:kern w:val="0"/>
          <w14:ligatures w14:val="none"/>
        </w:rPr>
        <w:t>. If additional funding becomes available</w:t>
      </w:r>
      <w:r w:rsidR="003741B5">
        <w:rPr>
          <w:rFonts w:ascii="Segoe UI" w:eastAsia="Times New Roman" w:hAnsi="Segoe UI" w:cs="Segoe UI"/>
          <w:color w:val="000000"/>
          <w:kern w:val="0"/>
          <w14:ligatures w14:val="none"/>
        </w:rPr>
        <w:t xml:space="preserve"> for </w:t>
      </w:r>
      <w:r w:rsidR="00B959F4">
        <w:rPr>
          <w:rFonts w:ascii="Segoe UI" w:eastAsia="Times New Roman" w:hAnsi="Segoe UI" w:cs="Segoe UI"/>
          <w:color w:val="000000"/>
          <w:kern w:val="0"/>
          <w14:ligatures w14:val="none"/>
        </w:rPr>
        <w:t xml:space="preserve">the </w:t>
      </w:r>
      <w:r w:rsidR="003741B5">
        <w:rPr>
          <w:rFonts w:ascii="Segoe UI" w:eastAsia="Times New Roman" w:hAnsi="Segoe UI" w:cs="Segoe UI"/>
          <w:color w:val="000000"/>
          <w:kern w:val="0"/>
          <w14:ligatures w14:val="none"/>
        </w:rPr>
        <w:t>new program</w:t>
      </w:r>
      <w:r w:rsidRPr="001B58F1">
        <w:rPr>
          <w:rFonts w:ascii="Segoe UI" w:eastAsia="Times New Roman" w:hAnsi="Segoe UI" w:cs="Segoe UI"/>
          <w:color w:val="000000"/>
          <w:kern w:val="0"/>
          <w14:ligatures w14:val="none"/>
        </w:rPr>
        <w:t xml:space="preserve"> or if the agency undertakes additional rounds of funding for a program, </w:t>
      </w:r>
      <w:r w:rsidR="00CF3D90">
        <w:rPr>
          <w:rFonts w:ascii="Segoe UI" w:eastAsia="Times New Roman" w:hAnsi="Segoe UI" w:cs="Segoe UI"/>
          <w:color w:val="000000"/>
          <w:kern w:val="0"/>
          <w14:ligatures w14:val="none"/>
        </w:rPr>
        <w:t>C</w:t>
      </w:r>
      <w:r w:rsidR="00E260E5">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 will prepare a distinct collection for the program, with the required 60- and 30-day Federal Register </w:t>
      </w:r>
      <w:r w:rsidRPr="001B58F1" w:rsidR="002D344E">
        <w:rPr>
          <w:rFonts w:ascii="Segoe UI" w:eastAsia="Times New Roman" w:hAnsi="Segoe UI" w:cs="Segoe UI"/>
          <w:color w:val="000000"/>
          <w:kern w:val="0"/>
          <w14:ligatures w14:val="none"/>
        </w:rPr>
        <w:t>notices and</w:t>
      </w:r>
      <w:r w:rsidRPr="001B58F1">
        <w:rPr>
          <w:rFonts w:ascii="Segoe UI" w:eastAsia="Times New Roman" w:hAnsi="Segoe UI" w:cs="Segoe UI"/>
          <w:color w:val="000000"/>
          <w:kern w:val="0"/>
          <w14:ligatures w14:val="none"/>
        </w:rPr>
        <w:t xml:space="preserve"> remove the program from this generic collection (if included at the time).</w:t>
      </w:r>
    </w:p>
    <w:p w:rsidR="00016E22" w:rsidRPr="00016E22" w:rsidP="00016E22" w14:paraId="74C8CAC5" w14:textId="2F532AC7">
      <w:pPr>
        <w:widowControl w:val="0"/>
        <w:autoSpaceDE w:val="0"/>
        <w:autoSpaceDN w:val="0"/>
        <w:adjustRightInd w:val="0"/>
        <w:spacing w:after="0" w:line="240" w:lineRule="auto"/>
        <w:outlineLvl w:val="1"/>
        <w:rPr>
          <w:rFonts w:ascii="Segoe UI" w:eastAsia="Times New Roman" w:hAnsi="Segoe UI" w:cs="Segoe UI"/>
          <w:color w:val="000000"/>
          <w:kern w:val="0"/>
          <w14:ligatures w14:val="none"/>
        </w:rPr>
      </w:pPr>
      <w:r>
        <w:rPr>
          <w:rFonts w:ascii="Segoe UI" w:hAnsi="Segoe UI" w:cs="Segoe UI"/>
        </w:rPr>
        <w:pict>
          <v:rect id="_x0000_i1025" style="width:486.6pt;height:0.95pt" o:hrpct="0" o:hralign="center" o:hrstd="t" o:hrnoshade="t" o:hr="t" fillcolor="#414141" stroked="f"/>
        </w:pict>
      </w:r>
    </w:p>
    <w:p w:rsidR="00190AA9" w:rsidRPr="00190AA9" w:rsidP="00190AA9" w14:paraId="3FD48715" w14:textId="77777777">
      <w:pPr>
        <w:autoSpaceDE w:val="0"/>
        <w:autoSpaceDN w:val="0"/>
        <w:adjustRightInd w:val="0"/>
        <w:spacing w:after="0" w:line="240" w:lineRule="auto"/>
        <w:ind w:left="1080" w:hanging="720"/>
        <w:outlineLvl w:val="1"/>
        <w:rPr>
          <w:rFonts w:ascii="Times New Roman" w:eastAsia="Times New Roman" w:hAnsi="Times New Roman" w:cs="Times New Roman"/>
          <w:color w:val="000000"/>
          <w:kern w:val="0"/>
          <w:sz w:val="24"/>
          <w:szCs w:val="24"/>
          <w14:ligatures w14:val="none"/>
        </w:rPr>
      </w:pPr>
    </w:p>
    <w:p w:rsidR="00190AA9" w:rsidRPr="001B58F1" w:rsidP="00190AA9" w14:paraId="574F01C6" w14:textId="77777777">
      <w:pPr>
        <w:widowControl w:val="0"/>
        <w:numPr>
          <w:ilvl w:val="0"/>
          <w:numId w:val="1"/>
        </w:numPr>
        <w:tabs>
          <w:tab w:val="left" w:pos="360"/>
        </w:tabs>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Indicate how, by whom, and for what purpose the information is to be used. Except for a new collection, indicate the actual use the agency has made of the information received from the current collection.</w:t>
      </w:r>
    </w:p>
    <w:p w:rsidR="00190AA9" w:rsidRPr="00190AA9" w:rsidP="00190AA9" w14:paraId="0D03FE45" w14:textId="77777777">
      <w:pPr>
        <w:autoSpaceDE w:val="0"/>
        <w:autoSpaceDN w:val="0"/>
        <w:adjustRightInd w:val="0"/>
        <w:spacing w:after="0" w:line="240" w:lineRule="auto"/>
        <w:rPr>
          <w:rFonts w:ascii="Times New Roman" w:eastAsia="Times New Roman" w:hAnsi="Times New Roman" w:cs="Times New Roman"/>
          <w:b/>
          <w:bCs/>
          <w:color w:val="000000"/>
          <w:kern w:val="0"/>
          <w:sz w:val="24"/>
          <w:szCs w:val="24"/>
          <w14:ligatures w14:val="none"/>
        </w:rPr>
      </w:pPr>
    </w:p>
    <w:p w:rsidR="00110C0A" w:rsidP="00110C0A" w14:paraId="08C1AC84" w14:textId="5D69E060">
      <w:pPr>
        <w:autoSpaceDE w:val="0"/>
        <w:autoSpaceDN w:val="0"/>
        <w:adjustRightInd w:val="0"/>
        <w:spacing w:after="0" w:line="240" w:lineRule="auto"/>
        <w:rPr>
          <w:rFonts w:ascii="Segoe UI" w:eastAsia="Times New Roman" w:hAnsi="Segoe UI" w:cs="Segoe UI"/>
          <w:color w:val="000000"/>
          <w:kern w:val="0"/>
          <w14:ligatures w14:val="none"/>
        </w:rPr>
      </w:pPr>
      <w:r w:rsidRPr="004170FE">
        <w:rPr>
          <w:rFonts w:ascii="Segoe UI" w:eastAsia="Times New Roman" w:hAnsi="Segoe UI" w:cs="Segoe UI"/>
          <w:color w:val="000000"/>
          <w:kern w:val="0"/>
          <w14:ligatures w14:val="none"/>
        </w:rPr>
        <w:t xml:space="preserve">The information collected in response to solicitations for </w:t>
      </w:r>
      <w:r w:rsidRPr="00D27143" w:rsidR="00B7719F">
        <w:rPr>
          <w:rFonts w:ascii="Segoe UI" w:eastAsia="Times New Roman" w:hAnsi="Segoe UI" w:cs="Segoe UI"/>
          <w:color w:val="000000"/>
          <w:kern w:val="0"/>
          <w14:ligatures w14:val="none"/>
        </w:rPr>
        <w:t>applications</w:t>
      </w:r>
      <w:r w:rsidRPr="00B7719F" w:rsidR="00B7719F">
        <w:rPr>
          <w:rFonts w:ascii="Segoe UI" w:eastAsia="Times New Roman" w:hAnsi="Segoe UI" w:cs="Segoe UI"/>
          <w:color w:val="000000"/>
          <w:kern w:val="0"/>
          <w14:ligatures w14:val="none"/>
        </w:rPr>
        <w:t xml:space="preserve"> </w:t>
      </w:r>
      <w:r w:rsidRPr="004170FE">
        <w:rPr>
          <w:rFonts w:ascii="Segoe UI" w:eastAsia="Times New Roman" w:hAnsi="Segoe UI" w:cs="Segoe UI"/>
          <w:color w:val="000000"/>
          <w:kern w:val="0"/>
          <w14:ligatures w14:val="none"/>
        </w:rPr>
        <w:t xml:space="preserve">has been and will be used by </w:t>
      </w:r>
      <w:r w:rsidR="00CF3D90">
        <w:rPr>
          <w:rFonts w:ascii="Segoe UI" w:eastAsia="Times New Roman" w:hAnsi="Segoe UI" w:cs="Segoe UI"/>
          <w:color w:val="000000"/>
          <w:kern w:val="0"/>
          <w14:ligatures w14:val="none"/>
        </w:rPr>
        <w:t>C</w:t>
      </w:r>
      <w:r w:rsidR="006758DD">
        <w:rPr>
          <w:rFonts w:ascii="Segoe UI" w:eastAsia="Times New Roman" w:hAnsi="Segoe UI" w:cs="Segoe UI"/>
          <w:color w:val="000000"/>
          <w:kern w:val="0"/>
          <w14:ligatures w14:val="none"/>
        </w:rPr>
        <w:t>ommerce</w:t>
      </w:r>
      <w:r w:rsidRPr="004170FE">
        <w:rPr>
          <w:rFonts w:ascii="Segoe UI" w:eastAsia="Times New Roman" w:hAnsi="Segoe UI" w:cs="Segoe UI"/>
          <w:color w:val="000000"/>
          <w:kern w:val="0"/>
          <w14:ligatures w14:val="none"/>
        </w:rPr>
        <w:t xml:space="preserve"> for issuing </w:t>
      </w:r>
      <w:r w:rsidR="006758DD">
        <w:rPr>
          <w:rFonts w:ascii="Segoe UI" w:eastAsia="Times New Roman" w:hAnsi="Segoe UI" w:cs="Segoe UI"/>
          <w:color w:val="000000"/>
          <w:kern w:val="0"/>
          <w14:ligatures w14:val="none"/>
        </w:rPr>
        <w:t>award</w:t>
      </w:r>
      <w:r w:rsidRPr="004170FE">
        <w:rPr>
          <w:rFonts w:ascii="Segoe UI" w:eastAsia="Times New Roman" w:hAnsi="Segoe UI" w:cs="Segoe UI"/>
          <w:color w:val="000000"/>
          <w:kern w:val="0"/>
          <w14:ligatures w14:val="none"/>
        </w:rPr>
        <w:t xml:space="preserve">s to the applicants most suited for fulfilling the mission of the </w:t>
      </w:r>
      <w:r w:rsidR="00836618">
        <w:rPr>
          <w:rFonts w:ascii="Segoe UI" w:eastAsia="Times New Roman" w:hAnsi="Segoe UI" w:cs="Segoe UI"/>
          <w:color w:val="000000"/>
          <w:kern w:val="0"/>
          <w14:ligatures w14:val="none"/>
        </w:rPr>
        <w:t>Commerce programs</w:t>
      </w:r>
      <w:r w:rsidRPr="004170FE">
        <w:rPr>
          <w:rFonts w:ascii="Segoe UI" w:eastAsia="Times New Roman" w:hAnsi="Segoe UI" w:cs="Segoe UI"/>
          <w:color w:val="000000"/>
          <w:kern w:val="0"/>
          <w14:ligatures w14:val="none"/>
        </w:rPr>
        <w:t xml:space="preserve">.  </w:t>
      </w:r>
      <w:r w:rsidR="005F0B91">
        <w:rPr>
          <w:rFonts w:ascii="Segoe UI" w:eastAsia="Times New Roman" w:hAnsi="Segoe UI" w:cs="Segoe UI"/>
          <w:color w:val="000000"/>
          <w:kern w:val="0"/>
          <w14:ligatures w14:val="none"/>
        </w:rPr>
        <w:t>C</w:t>
      </w:r>
      <w:r w:rsidR="00836618">
        <w:rPr>
          <w:rFonts w:ascii="Segoe UI" w:eastAsia="Times New Roman" w:hAnsi="Segoe UI" w:cs="Segoe UI"/>
          <w:color w:val="000000"/>
          <w:kern w:val="0"/>
          <w14:ligatures w14:val="none"/>
        </w:rPr>
        <w:t>ommerce</w:t>
      </w:r>
      <w:r w:rsidR="005F0B91">
        <w:rPr>
          <w:rFonts w:ascii="Segoe UI" w:eastAsia="Times New Roman" w:hAnsi="Segoe UI" w:cs="Segoe UI"/>
          <w:color w:val="000000"/>
          <w:kern w:val="0"/>
          <w14:ligatures w14:val="none"/>
        </w:rPr>
        <w:t xml:space="preserve"> </w:t>
      </w:r>
      <w:r w:rsidRPr="00D27143" w:rsidR="005F0B91">
        <w:rPr>
          <w:rFonts w:ascii="Segoe UI" w:eastAsia="Times New Roman" w:hAnsi="Segoe UI" w:cs="Segoe UI"/>
          <w:color w:val="000000"/>
          <w:kern w:val="0"/>
          <w14:ligatures w14:val="none"/>
        </w:rPr>
        <w:t>may append the uses for a specific funding opportunity to reflect statutory and regulatory requirements or program needs</w:t>
      </w:r>
      <w:r w:rsidR="006A27EE">
        <w:rPr>
          <w:rFonts w:ascii="Segoe UI" w:eastAsia="Times New Roman" w:hAnsi="Segoe UI" w:cs="Segoe UI"/>
          <w:color w:val="000000"/>
          <w:kern w:val="0"/>
          <w14:ligatures w14:val="none"/>
        </w:rPr>
        <w:t xml:space="preserve"> and program evaluations</w:t>
      </w:r>
      <w:r w:rsidRPr="00D27143" w:rsidR="005F0B91">
        <w:rPr>
          <w:rFonts w:ascii="Segoe UI" w:eastAsia="Times New Roman" w:hAnsi="Segoe UI" w:cs="Segoe UI"/>
          <w:color w:val="000000"/>
          <w:kern w:val="0"/>
          <w14:ligatures w14:val="none"/>
        </w:rPr>
        <w:t xml:space="preserve">.  </w:t>
      </w:r>
    </w:p>
    <w:p w:rsidR="00381424" w:rsidP="00110C0A" w14:paraId="48CF30C8"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2B5225" w:rsidP="002B5225" w14:paraId="05792A22"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381424">
        <w:rPr>
          <w:rFonts w:ascii="Segoe UI" w:eastAsia="Times New Roman" w:hAnsi="Segoe UI" w:cs="Segoe UI"/>
          <w:color w:val="000000"/>
          <w:kern w:val="0"/>
          <w14:ligatures w14:val="none"/>
        </w:rPr>
        <w:t xml:space="preserve">Program or project evaluations provide critical information to inform decisions about current or future programming, effective strategies or interventions, policies, and organizational operations. Evaluations, especially for large funding programs, should be used for the improvement purposes </w:t>
      </w:r>
      <w:r w:rsidRPr="00381424">
        <w:rPr>
          <w:rFonts w:ascii="Segoe UI" w:eastAsia="Times New Roman" w:hAnsi="Segoe UI" w:cs="Segoe UI"/>
          <w:color w:val="000000"/>
          <w:kern w:val="0"/>
          <w14:ligatures w14:val="none"/>
        </w:rPr>
        <w:t>to support research under the departmental Learning Agenda and in support of the work in the Annual Evaluation Plans.</w:t>
      </w:r>
      <w:r>
        <w:rPr>
          <w:rFonts w:ascii="Segoe UI" w:eastAsia="Times New Roman" w:hAnsi="Segoe UI" w:cs="Segoe UI"/>
          <w:color w:val="000000"/>
          <w:kern w:val="0"/>
          <w14:ligatures w14:val="none"/>
        </w:rPr>
        <w:t xml:space="preserve"> </w:t>
      </w:r>
      <w:r w:rsidRPr="00D27143">
        <w:rPr>
          <w:rFonts w:ascii="Segoe UI" w:eastAsia="Times New Roman" w:hAnsi="Segoe UI" w:cs="Segoe UI"/>
          <w:color w:val="000000"/>
          <w:kern w:val="0"/>
          <w14:ligatures w14:val="none"/>
        </w:rPr>
        <w:t xml:space="preserve">Additional use information will be included in </w:t>
      </w:r>
      <w:r>
        <w:rPr>
          <w:rFonts w:ascii="Segoe UI" w:eastAsia="Times New Roman" w:hAnsi="Segoe UI" w:cs="Segoe UI"/>
          <w:color w:val="000000"/>
          <w:kern w:val="0"/>
          <w14:ligatures w14:val="none"/>
        </w:rPr>
        <w:t>specific</w:t>
      </w:r>
      <w:r w:rsidRPr="00D27143">
        <w:rPr>
          <w:rFonts w:ascii="Segoe UI" w:eastAsia="Times New Roman" w:hAnsi="Segoe UI" w:cs="Segoe UI"/>
          <w:color w:val="000000"/>
          <w:kern w:val="0"/>
          <w14:ligatures w14:val="none"/>
        </w:rPr>
        <w:t xml:space="preserve"> collections. </w:t>
      </w:r>
    </w:p>
    <w:p w:rsidR="00016E22" w:rsidRPr="004170FE" w:rsidP="00190AA9" w14:paraId="2FD78992" w14:textId="43804FF7">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6" style="width:486.6pt;height:0.95pt" o:hrpct="0" o:hralign="center" o:hrstd="t" o:hrnoshade="t" o:hr="t" fillcolor="#414141" stroked="f"/>
        </w:pict>
      </w:r>
    </w:p>
    <w:p w:rsidR="00190AA9" w:rsidRPr="00190AA9" w:rsidP="00190AA9" w14:paraId="0D39D86D"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7F308BDC" w14:textId="77777777">
      <w:pPr>
        <w:tabs>
          <w:tab w:val="left" w:pos="360"/>
        </w:tabs>
        <w:autoSpaceDE w:val="0"/>
        <w:autoSpaceDN w:val="0"/>
        <w:adjustRightInd w:val="0"/>
        <w:spacing w:after="0" w:line="240" w:lineRule="auto"/>
        <w:ind w:left="360" w:hanging="360"/>
        <w:rPr>
          <w:rFonts w:ascii="Arial" w:eastAsia="Times New Roman" w:hAnsi="Arial" w:cs="Arial"/>
          <w:color w:val="000000"/>
          <w:kern w:val="0"/>
          <w14:ligatures w14:val="none"/>
        </w:rPr>
      </w:pPr>
      <w:r w:rsidRPr="004170FE">
        <w:rPr>
          <w:rFonts w:ascii="Arial" w:eastAsia="Times New Roman" w:hAnsi="Arial" w:cs="Arial"/>
          <w:b/>
          <w:color w:val="000000"/>
          <w:kern w:val="0"/>
          <w:sz w:val="24"/>
          <w:szCs w:val="24"/>
          <w14:ligatures w14:val="none"/>
        </w:rPr>
        <w:t>3.</w:t>
      </w:r>
      <w:r w:rsidRPr="001B58F1">
        <w:rPr>
          <w:rFonts w:ascii="Arial" w:eastAsia="Times New Roman" w:hAnsi="Arial" w:cs="Arial"/>
          <w:b/>
          <w:color w:val="000000"/>
          <w:kern w:val="0"/>
          <w14:ligatures w14:val="none"/>
        </w:rPr>
        <w:tab/>
      </w:r>
      <w:r w:rsidRPr="001B58F1">
        <w:rPr>
          <w:rFonts w:ascii="Arial" w:eastAsia="Times New Roman" w:hAnsi="Arial" w:cs="Arial"/>
          <w:b/>
          <w:bCs/>
          <w:color w:val="000000"/>
          <w:kern w:val="0"/>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190AA9" w:rsidRPr="00190AA9" w:rsidP="00190AA9" w14:paraId="047274F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B348E9" w:rsidRPr="00B348E9" w:rsidP="00B348E9" w14:paraId="726D9BAD" w14:textId="7C97DE16">
      <w:pPr>
        <w:autoSpaceDE w:val="0"/>
        <w:autoSpaceDN w:val="0"/>
        <w:adjustRightInd w:val="0"/>
        <w:spacing w:after="0" w:line="240" w:lineRule="auto"/>
        <w:rPr>
          <w:rFonts w:ascii="Segoe UI" w:eastAsia="Times New Roman" w:hAnsi="Segoe UI" w:cs="Segoe UI"/>
          <w:color w:val="000000"/>
          <w:kern w:val="0"/>
          <w14:ligatures w14:val="none"/>
        </w:rPr>
      </w:pPr>
      <w:r w:rsidRPr="004170FE">
        <w:rPr>
          <w:rFonts w:ascii="Segoe UI" w:eastAsia="Times New Roman" w:hAnsi="Segoe UI" w:cs="Segoe UI"/>
          <w:color w:val="000000"/>
          <w:kern w:val="0"/>
          <w14:ligatures w14:val="none"/>
        </w:rPr>
        <w:t xml:space="preserve">2 CFR 200.204 requires </w:t>
      </w:r>
      <w:r w:rsidR="00CF3D90">
        <w:rPr>
          <w:rFonts w:ascii="Segoe UI" w:eastAsia="Times New Roman" w:hAnsi="Segoe UI" w:cs="Segoe UI"/>
          <w:color w:val="000000"/>
          <w:kern w:val="0"/>
          <w14:ligatures w14:val="none"/>
        </w:rPr>
        <w:t>C</w:t>
      </w:r>
      <w:r w:rsidR="0004252F">
        <w:rPr>
          <w:rFonts w:ascii="Segoe UI" w:eastAsia="Times New Roman" w:hAnsi="Segoe UI" w:cs="Segoe UI"/>
          <w:color w:val="000000"/>
          <w:kern w:val="0"/>
          <w14:ligatures w14:val="none"/>
        </w:rPr>
        <w:t>ommerce</w:t>
      </w:r>
      <w:r w:rsidRPr="004170FE">
        <w:rPr>
          <w:rFonts w:ascii="Segoe UI" w:eastAsia="Times New Roman" w:hAnsi="Segoe UI" w:cs="Segoe UI"/>
          <w:color w:val="000000"/>
          <w:kern w:val="0"/>
          <w14:ligatures w14:val="none"/>
        </w:rPr>
        <w:t xml:space="preserve"> agencies to post funding opportunities using the Federal website, Grants.gov.  Grants.gov allows customers to submit electronic applications to the Federal agency.  </w:t>
      </w:r>
      <w:r w:rsidR="00CB6E00">
        <w:rPr>
          <w:rFonts w:ascii="Segoe UI" w:eastAsia="Times New Roman" w:hAnsi="Segoe UI" w:cs="Segoe UI"/>
          <w:color w:val="000000"/>
          <w:kern w:val="0"/>
          <w14:ligatures w14:val="none"/>
        </w:rPr>
        <w:t xml:space="preserve">Many </w:t>
      </w:r>
      <w:r w:rsidRPr="004170FE">
        <w:rPr>
          <w:rFonts w:ascii="Segoe UI" w:eastAsia="Times New Roman" w:hAnsi="Segoe UI" w:cs="Segoe UI"/>
          <w:color w:val="000000"/>
          <w:kern w:val="0"/>
          <w14:ligatures w14:val="none"/>
        </w:rPr>
        <w:t xml:space="preserve">agencies post their opportunity to Grants.gov and </w:t>
      </w:r>
      <w:r w:rsidR="00E34A79">
        <w:rPr>
          <w:rFonts w:ascii="Segoe UI" w:eastAsia="Times New Roman" w:hAnsi="Segoe UI" w:cs="Segoe UI"/>
          <w:color w:val="000000"/>
          <w:kern w:val="0"/>
          <w14:ligatures w14:val="none"/>
        </w:rPr>
        <w:t xml:space="preserve">others may </w:t>
      </w:r>
      <w:r w:rsidRPr="004170FE">
        <w:rPr>
          <w:rFonts w:ascii="Segoe UI" w:eastAsia="Times New Roman" w:hAnsi="Segoe UI" w:cs="Segoe UI"/>
          <w:color w:val="000000"/>
          <w:kern w:val="0"/>
          <w14:ligatures w14:val="none"/>
        </w:rPr>
        <w:t>offer an</w:t>
      </w:r>
      <w:r w:rsidR="00B04E9F">
        <w:rPr>
          <w:rFonts w:ascii="Segoe UI" w:eastAsia="Times New Roman" w:hAnsi="Segoe UI" w:cs="Segoe UI"/>
          <w:color w:val="000000"/>
          <w:kern w:val="0"/>
          <w14:ligatures w14:val="none"/>
        </w:rPr>
        <w:t>other</w:t>
      </w:r>
      <w:r w:rsidRPr="004170FE">
        <w:rPr>
          <w:rFonts w:ascii="Segoe UI" w:eastAsia="Times New Roman" w:hAnsi="Segoe UI" w:cs="Segoe UI"/>
          <w:color w:val="000000"/>
          <w:kern w:val="0"/>
          <w14:ligatures w14:val="none"/>
        </w:rPr>
        <w:t xml:space="preserve"> application system for customers to apply</w:t>
      </w:r>
      <w:r w:rsidR="003A440E">
        <w:rPr>
          <w:rFonts w:ascii="Segoe UI" w:eastAsia="Times New Roman" w:hAnsi="Segoe UI" w:cs="Segoe UI"/>
          <w:color w:val="000000"/>
          <w:kern w:val="0"/>
          <w14:ligatures w14:val="none"/>
        </w:rPr>
        <w:t xml:space="preserve"> such as </w:t>
      </w:r>
      <w:r w:rsidR="0083021F">
        <w:rPr>
          <w:rFonts w:ascii="Segoe UI" w:eastAsia="Times New Roman" w:hAnsi="Segoe UI" w:cs="Segoe UI"/>
          <w:color w:val="000000"/>
          <w:kern w:val="0"/>
          <w14:ligatures w14:val="none"/>
        </w:rPr>
        <w:t>S</w:t>
      </w:r>
      <w:r w:rsidRPr="00B348E9">
        <w:rPr>
          <w:rFonts w:ascii="Segoe UI" w:eastAsia="Times New Roman" w:hAnsi="Segoe UI" w:cs="Segoe UI"/>
          <w:color w:val="000000"/>
          <w:kern w:val="0"/>
          <w14:ligatures w14:val="none"/>
        </w:rPr>
        <w:t>am.gov; and other locations known to industry for the specific research initiative</w:t>
      </w:r>
      <w:r w:rsidR="003A440E">
        <w:rPr>
          <w:rFonts w:ascii="Segoe UI" w:eastAsia="Times New Roman" w:hAnsi="Segoe UI" w:cs="Segoe UI"/>
          <w:color w:val="000000"/>
          <w:kern w:val="0"/>
          <w14:ligatures w14:val="none"/>
        </w:rPr>
        <w:t>s</w:t>
      </w:r>
      <w:r w:rsidRPr="00B348E9">
        <w:rPr>
          <w:rFonts w:ascii="Segoe UI" w:eastAsia="Times New Roman" w:hAnsi="Segoe UI" w:cs="Segoe UI"/>
          <w:color w:val="000000"/>
          <w:kern w:val="0"/>
          <w14:ligatures w14:val="none"/>
        </w:rPr>
        <w:t xml:space="preserve">. Additionally, </w:t>
      </w:r>
      <w:r w:rsidR="003B521F">
        <w:rPr>
          <w:rFonts w:ascii="Segoe UI" w:eastAsia="Times New Roman" w:hAnsi="Segoe UI" w:cs="Segoe UI"/>
          <w:color w:val="000000"/>
          <w:kern w:val="0"/>
          <w14:ligatures w14:val="none"/>
        </w:rPr>
        <w:t>Commerce</w:t>
      </w:r>
      <w:r w:rsidRPr="00B348E9">
        <w:rPr>
          <w:rFonts w:ascii="Segoe UI" w:eastAsia="Times New Roman" w:hAnsi="Segoe UI" w:cs="Segoe UI"/>
          <w:color w:val="000000"/>
          <w:kern w:val="0"/>
          <w14:ligatures w14:val="none"/>
        </w:rPr>
        <w:t xml:space="preserve"> may reach potential applicants via other means, including but not limited to white papers, oral presentations, panel pitches, and targeted solicitations.</w:t>
      </w:r>
    </w:p>
    <w:p w:rsidR="00016E22" w:rsidRPr="004170FE" w:rsidP="00190AA9" w14:paraId="1034C085" w14:textId="4002E01C">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7" style="width:486.6pt;height:0.95pt" o:hrpct="0" o:hralign="center" o:hrstd="t" o:hrnoshade="t" o:hr="t" fillcolor="#414141" stroked="f"/>
        </w:pict>
      </w:r>
    </w:p>
    <w:p w:rsidR="00190AA9" w:rsidRPr="00190AA9" w:rsidP="00190AA9" w14:paraId="589275E9"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05C24D21"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2244D1">
        <w:rPr>
          <w:rFonts w:ascii="Arial" w:eastAsia="Times New Roman" w:hAnsi="Arial" w:cs="Arial"/>
          <w:b/>
          <w:color w:val="000000"/>
          <w:kern w:val="0"/>
          <w:sz w:val="24"/>
          <w:szCs w:val="24"/>
          <w14:ligatures w14:val="none"/>
        </w:rPr>
        <w:t>4.</w:t>
      </w:r>
      <w:r w:rsidRPr="002244D1">
        <w:rPr>
          <w:rFonts w:ascii="Arial" w:eastAsia="Times New Roman" w:hAnsi="Arial" w:cs="Arial"/>
          <w:b/>
          <w:color w:val="000000"/>
          <w:kern w:val="0"/>
          <w:sz w:val="24"/>
          <w:szCs w:val="24"/>
          <w14:ligatures w14:val="none"/>
        </w:rPr>
        <w:tab/>
      </w:r>
      <w:r w:rsidRPr="001B58F1">
        <w:rPr>
          <w:rFonts w:ascii="Arial" w:eastAsia="Times New Roman" w:hAnsi="Arial" w:cs="Arial"/>
          <w:b/>
          <w:bCs/>
          <w:color w:val="000000"/>
          <w:kern w:val="0"/>
          <w14:ligatures w14:val="none"/>
        </w:rPr>
        <w:t>Describe efforts to identify duplication. Show specifically why any similar information already available cannot be used or modified for use for the purposes described in Item 2 above.</w:t>
      </w:r>
    </w:p>
    <w:p w:rsidR="00190AA9" w:rsidRPr="00190AA9" w:rsidP="00190AA9" w14:paraId="0A15AA88" w14:textId="77777777">
      <w:pPr>
        <w:autoSpaceDE w:val="0"/>
        <w:autoSpaceDN w:val="0"/>
        <w:adjustRightInd w:val="0"/>
        <w:spacing w:after="0" w:line="240" w:lineRule="auto"/>
        <w:rPr>
          <w:rFonts w:ascii="Times New Roman" w:eastAsia="Times New Roman" w:hAnsi="Times New Roman" w:cs="Times New Roman"/>
          <w:b/>
          <w:bCs/>
          <w:color w:val="000000"/>
          <w:kern w:val="0"/>
          <w:sz w:val="24"/>
          <w:szCs w:val="24"/>
          <w14:ligatures w14:val="none"/>
        </w:rPr>
      </w:pPr>
    </w:p>
    <w:p w:rsidR="00566205" w:rsidP="00190AA9" w14:paraId="1F90C9A6" w14:textId="410382C9">
      <w:pPr>
        <w:autoSpaceDE w:val="0"/>
        <w:autoSpaceDN w:val="0"/>
        <w:adjustRightInd w:val="0"/>
        <w:spacing w:after="0" w:line="240" w:lineRule="auto"/>
        <w:rPr>
          <w:rFonts w:ascii="Segoe UI" w:eastAsia="Times New Roman" w:hAnsi="Segoe UI" w:cs="Segoe UI"/>
          <w:color w:val="000000"/>
          <w:kern w:val="0"/>
          <w14:ligatures w14:val="none"/>
        </w:rPr>
      </w:pPr>
      <w:r w:rsidRPr="002244D1">
        <w:rPr>
          <w:rFonts w:ascii="Segoe UI" w:eastAsia="Times New Roman" w:hAnsi="Segoe UI" w:cs="Segoe UI"/>
          <w:color w:val="000000"/>
          <w:kern w:val="0"/>
          <w14:ligatures w14:val="none"/>
        </w:rPr>
        <w:t xml:space="preserve">The information collected in </w:t>
      </w:r>
      <w:r w:rsidR="00CF3D90">
        <w:rPr>
          <w:rFonts w:ascii="Segoe UI" w:eastAsia="Times New Roman" w:hAnsi="Segoe UI" w:cs="Segoe UI"/>
          <w:color w:val="000000"/>
          <w:kern w:val="0"/>
          <w14:ligatures w14:val="none"/>
        </w:rPr>
        <w:t>C</w:t>
      </w:r>
      <w:r w:rsidR="00B7048A">
        <w:rPr>
          <w:rFonts w:ascii="Segoe UI" w:eastAsia="Times New Roman" w:hAnsi="Segoe UI" w:cs="Segoe UI"/>
          <w:color w:val="000000"/>
          <w:kern w:val="0"/>
          <w14:ligatures w14:val="none"/>
        </w:rPr>
        <w:t>ommerce</w:t>
      </w:r>
      <w:r w:rsidRPr="002244D1">
        <w:rPr>
          <w:rFonts w:ascii="Segoe UI" w:eastAsia="Times New Roman" w:hAnsi="Segoe UI" w:cs="Segoe UI"/>
          <w:color w:val="000000"/>
          <w:kern w:val="0"/>
          <w14:ligatures w14:val="none"/>
        </w:rPr>
        <w:t xml:space="preserve"> funding announcements</w:t>
      </w:r>
      <w:r w:rsidR="00B7048A">
        <w:rPr>
          <w:rFonts w:ascii="Segoe UI" w:eastAsia="Times New Roman" w:hAnsi="Segoe UI" w:cs="Segoe UI"/>
          <w:color w:val="000000"/>
          <w:kern w:val="0"/>
          <w14:ligatures w14:val="none"/>
        </w:rPr>
        <w:t>,</w:t>
      </w:r>
      <w:r w:rsidRPr="002244D1">
        <w:rPr>
          <w:rFonts w:ascii="Segoe UI" w:eastAsia="Times New Roman" w:hAnsi="Segoe UI" w:cs="Segoe UI"/>
          <w:color w:val="000000"/>
          <w:kern w:val="0"/>
          <w14:ligatures w14:val="none"/>
        </w:rPr>
        <w:t xml:space="preserve"> associated forms and in the associated reporting requirements is unique to each </w:t>
      </w:r>
      <w:r w:rsidR="00B7048A">
        <w:rPr>
          <w:rFonts w:ascii="Segoe UI" w:eastAsia="Times New Roman" w:hAnsi="Segoe UI" w:cs="Segoe UI"/>
          <w:color w:val="000000"/>
          <w:kern w:val="0"/>
          <w14:ligatures w14:val="none"/>
        </w:rPr>
        <w:t>funding award</w:t>
      </w:r>
      <w:r w:rsidRPr="002244D1">
        <w:rPr>
          <w:rFonts w:ascii="Segoe UI" w:eastAsia="Times New Roman" w:hAnsi="Segoe UI" w:cs="Segoe UI"/>
          <w:color w:val="000000"/>
          <w:kern w:val="0"/>
          <w14:ligatures w14:val="none"/>
        </w:rPr>
        <w:t>; therefore, it is not duplicated in any other source.</w:t>
      </w:r>
      <w:r w:rsidRPr="002244D1">
        <w:rPr>
          <w:rFonts w:ascii="Segoe UI" w:eastAsia="Times New Roman" w:hAnsi="Segoe UI" w:cs="Segoe UI"/>
          <w:b/>
          <w:bCs/>
          <w:color w:val="000000"/>
          <w:kern w:val="0"/>
          <w14:ligatures w14:val="none"/>
        </w:rPr>
        <w:t xml:space="preserve"> </w:t>
      </w:r>
      <w:r w:rsidRPr="002244D1">
        <w:rPr>
          <w:rFonts w:ascii="Segoe UI" w:eastAsia="Times New Roman" w:hAnsi="Segoe UI" w:cs="Segoe UI"/>
          <w:color w:val="000000"/>
          <w:kern w:val="0"/>
          <w14:ligatures w14:val="none"/>
        </w:rPr>
        <w:t>As applicable, the Department utilizes currently approved standard forms and will not duplicate information collected on these forms.</w:t>
      </w:r>
    </w:p>
    <w:p w:rsidR="00566205" w:rsidRPr="00566205" w:rsidP="00190AA9" w14:paraId="33DD927B" w14:textId="265702A1">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8" style="width:486.6pt;height:0.95pt" o:hrpct="0" o:hralign="center" o:hrstd="t" o:hrnoshade="t" o:hr="t" fillcolor="#414141" stroked="f"/>
        </w:pict>
      </w:r>
    </w:p>
    <w:p w:rsidR="00190AA9" w:rsidRPr="002244D1" w:rsidP="00190AA9" w14:paraId="1EDD6BB5"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190AA9" w:rsidRPr="001B58F1" w:rsidP="00190AA9" w14:paraId="2F79BCB9"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2244D1">
        <w:rPr>
          <w:rFonts w:ascii="Arial" w:eastAsia="Times New Roman" w:hAnsi="Arial" w:cs="Arial"/>
          <w:b/>
          <w:bCs/>
          <w:color w:val="000000"/>
          <w:kern w:val="0"/>
          <w:sz w:val="24"/>
          <w:szCs w:val="24"/>
          <w14:ligatures w14:val="none"/>
        </w:rPr>
        <w:t>5.</w:t>
      </w:r>
      <w:r w:rsidRPr="002244D1">
        <w:rPr>
          <w:rFonts w:ascii="Arial" w:eastAsia="Times New Roman" w:hAnsi="Arial" w:cs="Arial"/>
          <w:b/>
          <w:bCs/>
          <w:color w:val="000000"/>
          <w:kern w:val="0"/>
          <w:sz w:val="24"/>
          <w:szCs w:val="24"/>
          <w14:ligatures w14:val="none"/>
        </w:rPr>
        <w:tab/>
      </w:r>
      <w:r w:rsidRPr="001B58F1">
        <w:rPr>
          <w:rFonts w:ascii="Arial" w:eastAsia="Times New Roman" w:hAnsi="Arial" w:cs="Arial"/>
          <w:b/>
          <w:bCs/>
          <w:color w:val="000000"/>
          <w:kern w:val="0"/>
          <w14:ligatures w14:val="none"/>
        </w:rPr>
        <w:t>If the collection of information impacts small businesses or other small entities, describe any methods used to minimize burden. Describe how the collection reduces, to the extent practicable and appropriate, the burden on all persons, including small entities, providing information.</w:t>
      </w:r>
    </w:p>
    <w:p w:rsidR="00190AA9" w:rsidRPr="00190AA9" w:rsidP="00190AA9" w14:paraId="6C49C0FF"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663D3565" w14:textId="1ED02FCF">
      <w:pPr>
        <w:autoSpaceDE w:val="0"/>
        <w:autoSpaceDN w:val="0"/>
        <w:adjustRightInd w:val="0"/>
        <w:spacing w:after="0" w:line="240" w:lineRule="auto"/>
        <w:rPr>
          <w:rFonts w:ascii="Segoe UI" w:eastAsia="Times New Roman" w:hAnsi="Segoe UI" w:cs="Segoe UI"/>
          <w:color w:val="000000"/>
          <w:kern w:val="0"/>
          <w14:ligatures w14:val="none"/>
        </w:rPr>
      </w:pPr>
      <w:r w:rsidRPr="00855656">
        <w:rPr>
          <w:rFonts w:ascii="Segoe UI" w:eastAsia="Times New Roman" w:hAnsi="Segoe UI" w:cs="Segoe UI"/>
          <w:color w:val="000000"/>
          <w:kern w:val="0"/>
          <w14:ligatures w14:val="none"/>
        </w:rPr>
        <w:t>To limit the burden imposed on respondents, Commerce utilizes the existing structures and resources that are in place for evaluating application, awarding funds and managing awards, which includes the SF-424 series.</w:t>
      </w:r>
      <w:r w:rsidRPr="002244D1" w:rsidR="00000000">
        <w:rPr>
          <w:rFonts w:ascii="Segoe UI" w:eastAsia="Times New Roman" w:hAnsi="Segoe UI" w:cs="Segoe UI"/>
          <w:color w:val="000000"/>
          <w:kern w:val="0"/>
          <w14:ligatures w14:val="none"/>
        </w:rPr>
        <w:t xml:space="preserve">  </w:t>
      </w:r>
    </w:p>
    <w:p w:rsidR="00566205" w:rsidRPr="002244D1" w:rsidP="00190AA9" w14:paraId="43E88BD1" w14:textId="05E0DC5D">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9" style="width:486.6pt;height:0.95pt" o:hrpct="0" o:hralign="center" o:hrstd="t" o:hrnoshade="t" o:hr="t" fillcolor="#414141" stroked="f"/>
        </w:pict>
      </w:r>
    </w:p>
    <w:p w:rsidR="00190AA9" w:rsidRPr="00190AA9" w:rsidP="00190AA9" w14:paraId="55364A6B"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2244D1" w:rsidP="00190AA9" w14:paraId="1ED1C5D6"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sz w:val="24"/>
          <w:szCs w:val="24"/>
          <w14:ligatures w14:val="none"/>
        </w:rPr>
      </w:pPr>
      <w:r w:rsidRPr="002244D1">
        <w:rPr>
          <w:rFonts w:ascii="Arial" w:eastAsia="Times New Roman" w:hAnsi="Arial" w:cs="Arial"/>
          <w:b/>
          <w:bCs/>
          <w:color w:val="000000"/>
          <w:kern w:val="0"/>
          <w:sz w:val="24"/>
          <w:szCs w:val="24"/>
          <w14:ligatures w14:val="none"/>
        </w:rPr>
        <w:t>6.</w:t>
      </w:r>
      <w:r w:rsidRPr="002244D1">
        <w:rPr>
          <w:rFonts w:ascii="Arial" w:eastAsia="Times New Roman" w:hAnsi="Arial" w:cs="Arial"/>
          <w:b/>
          <w:bCs/>
          <w:color w:val="000000"/>
          <w:kern w:val="0"/>
          <w:sz w:val="24"/>
          <w:szCs w:val="24"/>
          <w14:ligatures w14:val="none"/>
        </w:rPr>
        <w:tab/>
        <w:t>Describe the consequence to Federal program or policy activities if the collection is not conducted or is conducted less frequently, as well as any technical or legal obstacles to reducing the burden.</w:t>
      </w:r>
    </w:p>
    <w:p w:rsidR="00190AA9" w:rsidRPr="00190AA9" w:rsidP="00190AA9" w14:paraId="709F69D9"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566205" w:rsidP="00190AA9" w14:paraId="2BEECF03" w14:textId="5775FA1B">
      <w:pPr>
        <w:autoSpaceDE w:val="0"/>
        <w:autoSpaceDN w:val="0"/>
        <w:adjustRightInd w:val="0"/>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w:t>
      </w:r>
      <w:r w:rsidR="00873DAD">
        <w:rPr>
          <w:rFonts w:ascii="Arial" w:eastAsia="Times New Roman" w:hAnsi="Arial" w:cs="Arial"/>
          <w:color w:val="000000"/>
          <w:kern w:val="0"/>
          <w14:ligatures w14:val="none"/>
        </w:rPr>
        <w:t>ommerce</w:t>
      </w:r>
      <w:r w:rsidRPr="002244D1" w:rsidR="00190AA9">
        <w:rPr>
          <w:rFonts w:ascii="Arial" w:eastAsia="Times New Roman" w:hAnsi="Arial" w:cs="Arial"/>
          <w:color w:val="000000"/>
          <w:kern w:val="0"/>
          <w14:ligatures w14:val="none"/>
        </w:rPr>
        <w:t xml:space="preserve"> activities regarding </w:t>
      </w:r>
      <w:r w:rsidR="00873DAD">
        <w:rPr>
          <w:rFonts w:ascii="Arial" w:eastAsia="Times New Roman" w:hAnsi="Arial" w:cs="Arial"/>
          <w:color w:val="000000"/>
          <w:kern w:val="0"/>
          <w14:ligatures w14:val="none"/>
        </w:rPr>
        <w:t>funding award</w:t>
      </w:r>
      <w:r w:rsidRPr="002244D1" w:rsidR="00190AA9">
        <w:rPr>
          <w:rFonts w:ascii="Arial" w:eastAsia="Times New Roman" w:hAnsi="Arial" w:cs="Arial"/>
          <w:color w:val="000000"/>
          <w:kern w:val="0"/>
          <w14:ligatures w14:val="none"/>
        </w:rPr>
        <w:t xml:space="preserve">s would be significantly hindered if it were not able to collect the information required to evaluate potential </w:t>
      </w:r>
      <w:r w:rsidR="00873DAD">
        <w:rPr>
          <w:rFonts w:ascii="Arial" w:eastAsia="Times New Roman" w:hAnsi="Arial" w:cs="Arial"/>
          <w:color w:val="000000"/>
          <w:kern w:val="0"/>
          <w14:ligatures w14:val="none"/>
        </w:rPr>
        <w:t>award</w:t>
      </w:r>
      <w:r w:rsidRPr="002244D1" w:rsidR="00190AA9">
        <w:rPr>
          <w:rFonts w:ascii="Arial" w:eastAsia="Times New Roman" w:hAnsi="Arial" w:cs="Arial"/>
          <w:color w:val="000000"/>
          <w:kern w:val="0"/>
          <w14:ligatures w14:val="none"/>
        </w:rPr>
        <w:t xml:space="preserve"> recipients.</w:t>
      </w:r>
    </w:p>
    <w:p w:rsidR="00566205" w:rsidRPr="002244D1" w:rsidP="00190AA9" w14:paraId="268F5FE9" w14:textId="6524EE51">
      <w:pPr>
        <w:autoSpaceDE w:val="0"/>
        <w:autoSpaceDN w:val="0"/>
        <w:adjustRightInd w:val="0"/>
        <w:spacing w:after="0" w:line="240" w:lineRule="auto"/>
        <w:rPr>
          <w:rFonts w:ascii="Arial" w:eastAsia="Times New Roman" w:hAnsi="Arial" w:cs="Arial"/>
          <w:color w:val="000000"/>
          <w:kern w:val="0"/>
          <w14:ligatures w14:val="none"/>
        </w:rPr>
      </w:pPr>
      <w:r>
        <w:rPr>
          <w:rFonts w:ascii="Segoe UI" w:hAnsi="Segoe UI" w:cs="Segoe UI"/>
        </w:rPr>
        <w:pict>
          <v:rect id="_x0000_i1030" style="width:486.6pt;height:0.95pt" o:hrpct="0" o:hralign="center" o:hrstd="t" o:hrnoshade="t" o:hr="t" fillcolor="#414141" stroked="f"/>
        </w:pict>
      </w:r>
    </w:p>
    <w:p w:rsidR="00190AA9" w:rsidRPr="00190AA9" w:rsidP="00190AA9" w14:paraId="2D6EF633"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14E7BFD2"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2244D1">
        <w:rPr>
          <w:rFonts w:ascii="Arial" w:eastAsia="Times New Roman" w:hAnsi="Arial" w:cs="Arial"/>
          <w:b/>
          <w:bCs/>
          <w:color w:val="000000"/>
          <w:kern w:val="0"/>
          <w:sz w:val="24"/>
          <w:szCs w:val="24"/>
          <w14:ligatures w14:val="none"/>
        </w:rPr>
        <w:t>7.</w:t>
      </w:r>
      <w:r w:rsidRPr="002244D1">
        <w:rPr>
          <w:rFonts w:ascii="Arial" w:eastAsia="Times New Roman" w:hAnsi="Arial" w:cs="Arial"/>
          <w:b/>
          <w:bCs/>
          <w:color w:val="000000"/>
          <w:kern w:val="0"/>
          <w:sz w:val="24"/>
          <w:szCs w:val="24"/>
          <w14:ligatures w14:val="none"/>
        </w:rPr>
        <w:tab/>
      </w:r>
      <w:r w:rsidRPr="001B58F1">
        <w:rPr>
          <w:rFonts w:ascii="Arial" w:eastAsia="Times New Roman" w:hAnsi="Arial" w:cs="Arial"/>
          <w:b/>
          <w:bCs/>
          <w:color w:val="000000"/>
          <w:kern w:val="0"/>
          <w14:ligatures w14:val="none"/>
        </w:rPr>
        <w:t>Explain any special circumstances that would cause an information collection to be conducted in a manner:</w:t>
      </w:r>
    </w:p>
    <w:p w:rsidR="00190AA9" w:rsidRPr="001B58F1" w:rsidP="00190AA9" w14:paraId="19B6A519"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B58F1" w:rsidP="006920D5" w14:paraId="03C49C30" w14:textId="57F509AA">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403E42">
        <w:rPr>
          <w:rFonts w:ascii="Arial" w:eastAsia="Times New Roman" w:hAnsi="Arial" w:cs="Arial"/>
          <w:b/>
          <w:bCs/>
          <w:color w:val="000000"/>
          <w:kern w:val="0"/>
          <w14:ligatures w14:val="none"/>
        </w:rPr>
        <w:t xml:space="preserve">requiring respondents to report information to the agency more often than </w:t>
      </w:r>
    </w:p>
    <w:p w:rsidR="00190AA9" w:rsidRPr="001B58F1" w:rsidP="00403E42" w14:paraId="28A881DB" w14:textId="7F430DCC">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respondents to prepare a written response to a collection of information in fewer than 30 days after receipt of </w:t>
      </w:r>
      <w:r w:rsidRPr="001B58F1" w:rsidR="001E42ED">
        <w:rPr>
          <w:rFonts w:ascii="Arial" w:eastAsia="Times New Roman" w:hAnsi="Arial" w:cs="Arial"/>
          <w:b/>
          <w:bCs/>
          <w:color w:val="000000"/>
          <w:kern w:val="0"/>
          <w14:ligatures w14:val="none"/>
        </w:rPr>
        <w:t>it.</w:t>
      </w:r>
    </w:p>
    <w:p w:rsidR="00190AA9" w:rsidRPr="001B58F1" w:rsidP="00403E42" w14:paraId="5077F294" w14:textId="11BFE343">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respondents to submit more than an original and two copies of any </w:t>
      </w:r>
      <w:r w:rsidRPr="001B58F1" w:rsidR="001E42ED">
        <w:rPr>
          <w:rFonts w:ascii="Arial" w:eastAsia="Times New Roman" w:hAnsi="Arial" w:cs="Arial"/>
          <w:b/>
          <w:bCs/>
          <w:color w:val="000000"/>
          <w:kern w:val="0"/>
          <w14:ligatures w14:val="none"/>
        </w:rPr>
        <w:t>document.</w:t>
      </w:r>
    </w:p>
    <w:p w:rsidR="00190AA9" w:rsidRPr="001B58F1" w:rsidP="00403E42" w14:paraId="7237AA91" w14:textId="4B639496">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respondents to retain records, other than health, medical, government contract, grant-in-aid, or tax records for more than three </w:t>
      </w:r>
      <w:r w:rsidRPr="001B58F1" w:rsidR="001E42ED">
        <w:rPr>
          <w:rFonts w:ascii="Arial" w:eastAsia="Times New Roman" w:hAnsi="Arial" w:cs="Arial"/>
          <w:b/>
          <w:bCs/>
          <w:color w:val="000000"/>
          <w:kern w:val="0"/>
          <w14:ligatures w14:val="none"/>
        </w:rPr>
        <w:t>years.</w:t>
      </w:r>
    </w:p>
    <w:p w:rsidR="00190AA9" w:rsidRPr="001B58F1" w:rsidP="00403E42" w14:paraId="384E7021" w14:textId="57FC997D">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in connection with a statistical survey, that is not designed to produce valid and reliable results that can be generalized to the universe of </w:t>
      </w:r>
      <w:r w:rsidRPr="001B58F1" w:rsidR="001E42ED">
        <w:rPr>
          <w:rFonts w:ascii="Arial" w:eastAsia="Times New Roman" w:hAnsi="Arial" w:cs="Arial"/>
          <w:b/>
          <w:bCs/>
          <w:color w:val="000000"/>
          <w:kern w:val="0"/>
          <w14:ligatures w14:val="none"/>
        </w:rPr>
        <w:t>study.</w:t>
      </w:r>
    </w:p>
    <w:p w:rsidR="00190AA9" w:rsidRPr="001B58F1" w:rsidP="00403E42" w14:paraId="3F03541E" w14:textId="5FC2C1BD">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the use of a statistical data classification that has not been reviewed and approved by </w:t>
      </w:r>
      <w:r w:rsidRPr="001B58F1" w:rsidR="001E42ED">
        <w:rPr>
          <w:rFonts w:ascii="Arial" w:eastAsia="Times New Roman" w:hAnsi="Arial" w:cs="Arial"/>
          <w:b/>
          <w:bCs/>
          <w:color w:val="000000"/>
          <w:kern w:val="0"/>
          <w14:ligatures w14:val="none"/>
        </w:rPr>
        <w:t>OMB.</w:t>
      </w:r>
    </w:p>
    <w:p w:rsidR="00190AA9" w:rsidRPr="001B58F1" w:rsidP="00190AA9" w14:paraId="1B94CDF3" w14:textId="77777777">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0AA9" w:rsidRPr="001B58F1" w:rsidP="00190AA9" w14:paraId="3FE154BB" w14:textId="77777777">
      <w:pPr>
        <w:widowControl w:val="0"/>
        <w:numPr>
          <w:ilvl w:val="0"/>
          <w:numId w:val="5"/>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requiring respondents to submit proprietary, trade secret, or other confidential information unless the agency can demonstrate that it has instituted procedures to protect the information's confidentiality to the extent permitted by law.</w:t>
      </w:r>
    </w:p>
    <w:p w:rsidR="00190AA9" w:rsidRPr="00190AA9" w:rsidP="00190AA9" w14:paraId="427C5264"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C13293" w:rsidRPr="00C13293" w:rsidP="00C13293" w14:paraId="22F05D64" w14:textId="5E200975">
      <w:pPr>
        <w:autoSpaceDE w:val="0"/>
        <w:autoSpaceDN w:val="0"/>
        <w:adjustRightInd w:val="0"/>
        <w:spacing w:after="0" w:line="240" w:lineRule="auto"/>
        <w:rPr>
          <w:rFonts w:ascii="Segoe UI" w:eastAsia="Times New Roman" w:hAnsi="Segoe UI" w:cs="Segoe UI"/>
          <w:color w:val="000000"/>
          <w:kern w:val="0"/>
          <w14:ligatures w14:val="none"/>
        </w:rPr>
      </w:pPr>
      <w:r w:rsidRPr="002244D1">
        <w:rPr>
          <w:rFonts w:ascii="Segoe UI" w:eastAsia="Times New Roman" w:hAnsi="Segoe UI" w:cs="Segoe UI"/>
          <w:color w:val="000000"/>
          <w:kern w:val="0"/>
          <w14:ligatures w14:val="none"/>
        </w:rPr>
        <w:t>The Department will ensure that all collections of information contained in its funding announcements and associated forms comply with 5 C.F.R. § 1320.5.</w:t>
      </w:r>
      <w:r>
        <w:rPr>
          <w:rFonts w:ascii="Segoe UI" w:eastAsia="Times New Roman" w:hAnsi="Segoe UI" w:cs="Segoe UI"/>
          <w:color w:val="000000"/>
          <w:kern w:val="0"/>
          <w14:ligatures w14:val="none"/>
        </w:rPr>
        <w:t xml:space="preserve"> </w:t>
      </w:r>
      <w:r w:rsidRPr="00C13293">
        <w:rPr>
          <w:rFonts w:ascii="Segoe UI" w:eastAsia="Times New Roman" w:hAnsi="Segoe UI" w:cs="Segoe UI"/>
          <w:color w:val="000000"/>
          <w:kern w:val="0"/>
          <w14:ligatures w14:val="none"/>
        </w:rPr>
        <w:t>Any exceptions to this will be included as part of each submission request to OMB.</w:t>
      </w:r>
    </w:p>
    <w:p w:rsidR="00566205" w:rsidRPr="002244D1" w:rsidP="00190AA9" w14:paraId="3F2EE69F" w14:textId="233D3409">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1" style="width:486.6pt;height:0.95pt" o:hrpct="0" o:hralign="center" o:hrstd="t" o:hrnoshade="t" o:hr="t" fillcolor="#414141" stroked="f"/>
        </w:pict>
      </w:r>
    </w:p>
    <w:p w:rsidR="00190AA9" w:rsidRPr="00190AA9" w:rsidP="00190AA9" w14:paraId="3E121AB4"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57972F6D"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90AA9">
        <w:rPr>
          <w:rFonts w:ascii="Times New Roman" w:eastAsia="Times New Roman" w:hAnsi="Times New Roman" w:cs="Times New Roman"/>
          <w:b/>
          <w:bCs/>
          <w:color w:val="000000"/>
          <w:kern w:val="0"/>
          <w:sz w:val="24"/>
          <w:szCs w:val="24"/>
          <w14:ligatures w14:val="none"/>
        </w:rPr>
        <w:t>8.</w:t>
      </w:r>
      <w:r w:rsidRPr="00190AA9">
        <w:rPr>
          <w:rFonts w:ascii="Times New Roman" w:eastAsia="Times New Roman" w:hAnsi="Times New Roman" w:cs="Times New Roman"/>
          <w:b/>
          <w:bCs/>
          <w:color w:val="000000"/>
          <w:kern w:val="0"/>
          <w:sz w:val="24"/>
          <w:szCs w:val="24"/>
          <w14:ligatures w14:val="none"/>
        </w:rPr>
        <w:tab/>
      </w:r>
      <w:r w:rsidRPr="001B58F1">
        <w:rPr>
          <w:rFonts w:ascii="Arial" w:eastAsia="Times New Roman" w:hAnsi="Arial" w:cs="Arial"/>
          <w:b/>
          <w:bCs/>
          <w:color w:val="000000"/>
          <w:kern w:val="0"/>
          <w14:ligatures w14:val="none"/>
        </w:rPr>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90AA9" w:rsidRPr="001B58F1" w:rsidP="00190AA9" w14:paraId="5E033FBD"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B58F1" w:rsidP="00190AA9" w14:paraId="3DB11904" w14:textId="77777777">
      <w:pPr>
        <w:widowControl w:val="0"/>
        <w:numPr>
          <w:ilvl w:val="1"/>
          <w:numId w:val="2"/>
        </w:numPr>
        <w:autoSpaceDE w:val="0"/>
        <w:autoSpaceDN w:val="0"/>
        <w:adjustRightInd w:val="0"/>
        <w:spacing w:after="0" w:line="240" w:lineRule="auto"/>
        <w:ind w:left="720"/>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0AA9" w:rsidRPr="001B58F1" w:rsidP="00190AA9" w14:paraId="4E1982BF" w14:textId="77777777">
      <w:pPr>
        <w:autoSpaceDE w:val="0"/>
        <w:autoSpaceDN w:val="0"/>
        <w:adjustRightInd w:val="0"/>
        <w:spacing w:after="0" w:line="240" w:lineRule="auto"/>
        <w:ind w:left="720"/>
        <w:rPr>
          <w:rFonts w:ascii="Arial" w:eastAsia="Times New Roman" w:hAnsi="Arial" w:cs="Arial"/>
          <w:b/>
          <w:bCs/>
          <w:color w:val="000000"/>
          <w:kern w:val="0"/>
          <w14:ligatures w14:val="none"/>
        </w:rPr>
      </w:pPr>
    </w:p>
    <w:p w:rsidR="00190AA9" w:rsidP="00190AA9" w14:paraId="43B9C07D" w14:textId="77777777">
      <w:pPr>
        <w:widowControl w:val="0"/>
        <w:numPr>
          <w:ilvl w:val="1"/>
          <w:numId w:val="2"/>
        </w:numPr>
        <w:autoSpaceDE w:val="0"/>
        <w:autoSpaceDN w:val="0"/>
        <w:adjustRightInd w:val="0"/>
        <w:spacing w:after="0" w:line="240" w:lineRule="auto"/>
        <w:ind w:left="720"/>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90AA9" w:rsidRPr="00190AA9" w:rsidP="00190AA9" w14:paraId="481A52DA"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34E94E10" w14:textId="5E05FBCA">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eastAsia="Times New Roman" w:hAnsi="Segoe UI" w:cs="Segoe UI"/>
          <w:color w:val="000000"/>
          <w:kern w:val="0"/>
          <w14:ligatures w14:val="none"/>
        </w:rPr>
        <w:t>COMMERCE</w:t>
      </w:r>
      <w:r w:rsidRPr="001B58F1">
        <w:rPr>
          <w:rFonts w:ascii="Segoe UI" w:eastAsia="Times New Roman" w:hAnsi="Segoe UI" w:cs="Segoe UI"/>
          <w:color w:val="000000"/>
          <w:kern w:val="0"/>
          <w14:ligatures w14:val="none"/>
        </w:rPr>
        <w:t xml:space="preserve"> published a 60-day </w:t>
      </w:r>
      <w:r w:rsidRPr="001B58F1">
        <w:rPr>
          <w:rFonts w:ascii="Segoe UI" w:eastAsia="Times New Roman" w:hAnsi="Segoe UI" w:cs="Segoe UI"/>
          <w:i/>
          <w:color w:val="000000"/>
          <w:kern w:val="0"/>
          <w14:ligatures w14:val="none"/>
        </w:rPr>
        <w:t>Federal Register</w:t>
      </w:r>
      <w:r w:rsidRPr="001B58F1">
        <w:rPr>
          <w:rFonts w:ascii="Segoe UI" w:eastAsia="Times New Roman" w:hAnsi="Segoe UI" w:cs="Segoe UI"/>
          <w:color w:val="000000"/>
          <w:kern w:val="0"/>
          <w14:ligatures w14:val="none"/>
        </w:rPr>
        <w:t xml:space="preserve"> notice on Ma</w:t>
      </w:r>
      <w:r w:rsidRPr="001B58F1" w:rsidR="004728C6">
        <w:rPr>
          <w:rFonts w:ascii="Segoe UI" w:eastAsia="Times New Roman" w:hAnsi="Segoe UI" w:cs="Segoe UI"/>
          <w:color w:val="000000"/>
          <w:kern w:val="0"/>
          <w14:ligatures w14:val="none"/>
        </w:rPr>
        <w:t>y</w:t>
      </w:r>
      <w:r w:rsidRPr="001B58F1" w:rsidR="002F38AA">
        <w:rPr>
          <w:rFonts w:ascii="Segoe UI" w:eastAsia="Times New Roman" w:hAnsi="Segoe UI" w:cs="Segoe UI"/>
          <w:color w:val="000000"/>
          <w:kern w:val="0"/>
          <w14:ligatures w14:val="none"/>
        </w:rPr>
        <w:t xml:space="preserve"> 1</w:t>
      </w:r>
      <w:r w:rsidRPr="001B58F1">
        <w:rPr>
          <w:rFonts w:ascii="Segoe UI" w:eastAsia="Times New Roman" w:hAnsi="Segoe UI" w:cs="Segoe UI"/>
          <w:color w:val="000000"/>
          <w:kern w:val="0"/>
          <w14:ligatures w14:val="none"/>
        </w:rPr>
        <w:t>, 202</w:t>
      </w:r>
      <w:r w:rsidRPr="001B58F1" w:rsidR="002F38AA">
        <w:rPr>
          <w:rFonts w:ascii="Segoe UI" w:eastAsia="Times New Roman" w:hAnsi="Segoe UI" w:cs="Segoe UI"/>
          <w:color w:val="000000"/>
          <w:kern w:val="0"/>
          <w14:ligatures w14:val="none"/>
        </w:rPr>
        <w:t>4</w:t>
      </w:r>
      <w:r w:rsidRPr="001B58F1">
        <w:rPr>
          <w:rFonts w:ascii="Segoe UI" w:eastAsia="Times New Roman" w:hAnsi="Segoe UI" w:cs="Segoe UI"/>
          <w:color w:val="000000"/>
          <w:kern w:val="0"/>
          <w14:ligatures w14:val="none"/>
        </w:rPr>
        <w:t xml:space="preserve"> (</w:t>
      </w:r>
      <w:r w:rsidRPr="001B58F1" w:rsidR="002F38AA">
        <w:rPr>
          <w:rFonts w:ascii="Segoe UI" w:eastAsia="Times New Roman" w:hAnsi="Segoe UI" w:cs="Segoe UI"/>
          <w:kern w:val="0"/>
          <w14:ligatures w14:val="none"/>
        </w:rPr>
        <w:t>89 FR 35057</w:t>
      </w:r>
      <w:r w:rsidR="00740782">
        <w:rPr>
          <w:rFonts w:ascii="Segoe UI" w:eastAsia="Times New Roman" w:hAnsi="Segoe UI" w:cs="Segoe UI"/>
          <w:kern w:val="0"/>
          <w14:ligatures w14:val="none"/>
        </w:rPr>
        <w:t>)</w:t>
      </w:r>
      <w:r w:rsidRPr="00401585">
        <w:rPr>
          <w:rFonts w:ascii="Segoe UI" w:eastAsia="Times New Roman" w:hAnsi="Segoe UI" w:cs="Segoe UI"/>
          <w:color w:val="000000"/>
          <w:kern w:val="0"/>
          <w14:ligatures w14:val="none"/>
        </w:rPr>
        <w:t>.</w:t>
      </w:r>
      <w:r w:rsidR="00183048">
        <w:rPr>
          <w:rFonts w:ascii="Segoe UI" w:eastAsia="Times New Roman" w:hAnsi="Segoe UI" w:cs="Segoe UI"/>
          <w:color w:val="000000"/>
          <w:kern w:val="0"/>
          <w14:ligatures w14:val="none"/>
        </w:rPr>
        <w:t xml:space="preserve"> No public comments </w:t>
      </w:r>
      <w:r w:rsidR="005B464F">
        <w:rPr>
          <w:rFonts w:ascii="Segoe UI" w:eastAsia="Times New Roman" w:hAnsi="Segoe UI" w:cs="Segoe UI"/>
          <w:color w:val="000000"/>
          <w:kern w:val="0"/>
          <w14:ligatures w14:val="none"/>
        </w:rPr>
        <w:t xml:space="preserve">were </w:t>
      </w:r>
      <w:r w:rsidR="0079457C">
        <w:rPr>
          <w:rFonts w:ascii="Segoe UI" w:eastAsia="Times New Roman" w:hAnsi="Segoe UI" w:cs="Segoe UI"/>
          <w:color w:val="000000"/>
          <w:kern w:val="0"/>
          <w14:ligatures w14:val="none"/>
        </w:rPr>
        <w:t>received.</w:t>
      </w:r>
    </w:p>
    <w:p w:rsidR="00362B44" w:rsidP="00190AA9" w14:paraId="0F0B0E88"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855656" w:rsidRPr="00855656" w:rsidP="00855656" w14:paraId="4CC84AFD" w14:textId="25066701">
      <w:pPr>
        <w:spacing w:after="0"/>
        <w:rPr>
          <w:rFonts w:ascii="Segoe UI" w:hAnsi="Segoe UI" w:cs="Segoe UI"/>
          <w:kern w:val="0"/>
          <w14:ligatures w14:val="none"/>
        </w:rPr>
      </w:pPr>
      <w:r w:rsidRPr="00362B44">
        <w:rPr>
          <w:rFonts w:ascii="Segoe UI" w:hAnsi="Segoe UI" w:cs="Segoe UI"/>
          <w:kern w:val="0"/>
          <w14:ligatures w14:val="none"/>
        </w:rPr>
        <w:t>In addition to soliciting comments from the public, we consulted with representatives from other government agencies that have similar collections.</w:t>
      </w:r>
      <w:r>
        <w:rPr>
          <w:rFonts w:ascii="Segoe UI" w:hAnsi="Segoe UI" w:cs="Segoe UI"/>
          <w:kern w:val="0"/>
          <w14:ligatures w14:val="none"/>
        </w:rPr>
        <w:t xml:space="preserve"> </w:t>
      </w:r>
      <w:r w:rsidRPr="00855656">
        <w:rPr>
          <w:rFonts w:ascii="Segoe UI" w:hAnsi="Segoe UI" w:cs="Segoe UI"/>
          <w:kern w:val="0"/>
          <w14:ligatures w14:val="none"/>
        </w:rPr>
        <w:t xml:space="preserve">The </w:t>
      </w:r>
      <w:r>
        <w:rPr>
          <w:rFonts w:ascii="Segoe UI" w:hAnsi="Segoe UI" w:cs="Segoe UI"/>
          <w:kern w:val="0"/>
          <w14:ligatures w14:val="none"/>
        </w:rPr>
        <w:t xml:space="preserve">feedback received </w:t>
      </w:r>
      <w:r w:rsidRPr="00855656">
        <w:rPr>
          <w:rFonts w:ascii="Segoe UI" w:hAnsi="Segoe UI" w:cs="Segoe UI"/>
          <w:kern w:val="0"/>
          <w14:ligatures w14:val="none"/>
        </w:rPr>
        <w:t>was that the collection is working well for their agencies.</w:t>
      </w:r>
    </w:p>
    <w:p w:rsidR="00190AA9" w:rsidP="00190AA9" w14:paraId="75647F9F" w14:textId="703D646A">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Segoe UI" w:hAnsi="Segoe UI" w:cs="Segoe UI"/>
        </w:rPr>
        <w:pict>
          <v:rect id="_x0000_i1032" style="width:486.6pt;height:0.95pt" o:hrpct="0" o:hralign="center" o:hrstd="t" o:hrnoshade="t" o:hr="t" fillcolor="#414141" stroked="f"/>
        </w:pict>
      </w:r>
    </w:p>
    <w:p w:rsidR="00807994" w:rsidRPr="00190AA9" w:rsidP="00190AA9" w14:paraId="5D43835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FD4016" w:rsidP="00190AA9" w14:paraId="2B80DF5D"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sz w:val="24"/>
          <w:szCs w:val="24"/>
          <w14:ligatures w14:val="none"/>
        </w:rPr>
      </w:pPr>
      <w:r w:rsidRPr="00FD4016">
        <w:rPr>
          <w:rFonts w:ascii="Arial" w:eastAsia="Times New Roman" w:hAnsi="Arial" w:cs="Arial"/>
          <w:b/>
          <w:bCs/>
          <w:color w:val="000000"/>
          <w:kern w:val="0"/>
          <w:sz w:val="24"/>
          <w:szCs w:val="24"/>
          <w14:ligatures w14:val="none"/>
        </w:rPr>
        <w:t>9.</w:t>
      </w:r>
      <w:r w:rsidRPr="00FD4016">
        <w:rPr>
          <w:rFonts w:ascii="Arial" w:eastAsia="Times New Roman" w:hAnsi="Arial" w:cs="Arial"/>
          <w:b/>
          <w:bCs/>
          <w:color w:val="000000"/>
          <w:kern w:val="0"/>
          <w:sz w:val="24"/>
          <w:szCs w:val="24"/>
          <w14:ligatures w14:val="none"/>
        </w:rPr>
        <w:tab/>
      </w:r>
      <w:r w:rsidRPr="001B58F1">
        <w:rPr>
          <w:rFonts w:ascii="Arial" w:eastAsia="Times New Roman" w:hAnsi="Arial" w:cs="Arial"/>
          <w:b/>
          <w:bCs/>
          <w:color w:val="000000"/>
          <w:kern w:val="0"/>
          <w14:ligatures w14:val="none"/>
        </w:rPr>
        <w:t>Explain any decision to provide any payment or gift to respondents, other than remuneration of contractors or grantees.</w:t>
      </w:r>
    </w:p>
    <w:p w:rsidR="00190AA9" w:rsidRPr="00190AA9" w:rsidP="00190AA9" w14:paraId="0A05BC2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190F8440" w14:textId="2AC6A19F">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eastAsia="Times New Roman" w:hAnsi="Segoe UI" w:cs="Segoe UI"/>
          <w:color w:val="000000"/>
          <w:kern w:val="0"/>
          <w14:ligatures w14:val="none"/>
        </w:rPr>
        <w:t xml:space="preserve">Other than the </w:t>
      </w:r>
      <w:r w:rsidR="009D007C">
        <w:rPr>
          <w:rFonts w:ascii="Segoe UI" w:eastAsia="Times New Roman" w:hAnsi="Segoe UI" w:cs="Segoe UI"/>
          <w:color w:val="000000"/>
          <w:kern w:val="0"/>
          <w14:ligatures w14:val="none"/>
        </w:rPr>
        <w:t>f</w:t>
      </w:r>
      <w:r w:rsidR="003D5B66">
        <w:rPr>
          <w:rFonts w:ascii="Segoe UI" w:eastAsia="Times New Roman" w:hAnsi="Segoe UI" w:cs="Segoe UI"/>
          <w:color w:val="000000"/>
          <w:kern w:val="0"/>
          <w14:ligatures w14:val="none"/>
        </w:rPr>
        <w:t>unding</w:t>
      </w:r>
      <w:r w:rsidR="009D007C">
        <w:rPr>
          <w:rFonts w:ascii="Segoe UI" w:eastAsia="Times New Roman" w:hAnsi="Segoe UI" w:cs="Segoe UI"/>
          <w:color w:val="000000"/>
          <w:kern w:val="0"/>
          <w14:ligatures w14:val="none"/>
        </w:rPr>
        <w:t xml:space="preserve"> awards, t</w:t>
      </w:r>
      <w:r w:rsidRPr="00FD4016">
        <w:rPr>
          <w:rFonts w:ascii="Segoe UI" w:eastAsia="Times New Roman" w:hAnsi="Segoe UI" w:cs="Segoe UI"/>
          <w:color w:val="000000"/>
          <w:kern w:val="0"/>
          <w14:ligatures w14:val="none"/>
        </w:rPr>
        <w:t xml:space="preserve">he Department does not provide any payment or gift to respondents in connection with this </w:t>
      </w:r>
      <w:r w:rsidR="001A32FB">
        <w:rPr>
          <w:rFonts w:ascii="Segoe UI" w:eastAsia="Times New Roman" w:hAnsi="Segoe UI" w:cs="Segoe UI"/>
          <w:color w:val="000000"/>
          <w:kern w:val="0"/>
          <w14:ligatures w14:val="none"/>
        </w:rPr>
        <w:t>information collection request.</w:t>
      </w:r>
    </w:p>
    <w:p w:rsidR="00F174B7" w:rsidRPr="00FD4016" w:rsidP="00190AA9" w14:paraId="4A655674" w14:textId="1D5BD21B">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3" style="width:486.6pt;height:0.95pt" o:hrpct="0" o:hralign="center" o:hrstd="t" o:hrnoshade="t" o:hr="t" fillcolor="#414141" stroked="f"/>
        </w:pict>
      </w:r>
    </w:p>
    <w:p w:rsidR="00190AA9" w:rsidRPr="00190AA9" w:rsidP="00190AA9" w14:paraId="0351568F"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62724E1D"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10.</w:t>
      </w:r>
      <w:r w:rsidRPr="001B58F1">
        <w:rPr>
          <w:rFonts w:ascii="Arial" w:eastAsia="Times New Roman" w:hAnsi="Arial" w:cs="Arial"/>
          <w:b/>
          <w:bCs/>
          <w:color w:val="000000"/>
          <w:kern w:val="0"/>
          <w14:ligatures w14:val="none"/>
        </w:rPr>
        <w:tab/>
        <w:t>Describe any assurance of confidentiality provided to respondents and the basis for the assurance in statute, regulation, or agency policy.</w:t>
      </w:r>
    </w:p>
    <w:p w:rsidR="00AF47F7" w:rsidP="00190AA9" w14:paraId="325A8920"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p>
    <w:p w:rsidR="00AD0295" w:rsidP="00190AA9" w14:paraId="238C3057" w14:textId="0C0E1271">
      <w:pPr>
        <w:autoSpaceDE w:val="0"/>
        <w:autoSpaceDN w:val="0"/>
        <w:adjustRightInd w:val="0"/>
        <w:spacing w:after="0" w:line="240" w:lineRule="auto"/>
        <w:rPr>
          <w:rFonts w:ascii="Segoe UI" w:eastAsia="Times New Roman" w:hAnsi="Segoe UI" w:cs="Segoe UI"/>
          <w:color w:val="000000"/>
          <w:kern w:val="0"/>
          <w14:ligatures w14:val="none"/>
        </w:rPr>
      </w:pPr>
      <w:r w:rsidRPr="00AD0295">
        <w:rPr>
          <w:rFonts w:ascii="Segoe UI" w:eastAsia="Times New Roman" w:hAnsi="Segoe UI" w:cs="Segoe UI"/>
          <w:color w:val="000000"/>
          <w:kern w:val="0"/>
          <w14:ligatures w14:val="none"/>
        </w:rPr>
        <w:t xml:space="preserve">In general, </w:t>
      </w:r>
      <w:r>
        <w:rPr>
          <w:rFonts w:ascii="Segoe UI" w:eastAsia="Times New Roman" w:hAnsi="Segoe UI" w:cs="Segoe UI"/>
          <w:color w:val="000000"/>
          <w:kern w:val="0"/>
          <w14:ligatures w14:val="none"/>
        </w:rPr>
        <w:t>Commerce</w:t>
      </w:r>
      <w:r w:rsidRPr="00AD0295">
        <w:rPr>
          <w:rFonts w:ascii="Segoe UI" w:eastAsia="Times New Roman" w:hAnsi="Segoe UI" w:cs="Segoe UI"/>
          <w:color w:val="000000"/>
          <w:kern w:val="0"/>
          <w14:ligatures w14:val="none"/>
        </w:rPr>
        <w:t xml:space="preserve"> makes no assurance of confidentiality to those responding to funding announcements and associated forms, unless otherwise explicitly indicated.  Any special circumstances will be included as part of each submission request to OMB.  However, as a practical matter, disclosures are only made in compliance with the Freedom of Information Act (FOIA) and </w:t>
      </w:r>
      <w:r>
        <w:rPr>
          <w:rFonts w:ascii="Segoe UI" w:eastAsia="Times New Roman" w:hAnsi="Segoe UI" w:cs="Segoe UI"/>
          <w:color w:val="000000"/>
          <w:kern w:val="0"/>
          <w14:ligatures w14:val="none"/>
        </w:rPr>
        <w:t>Commerce</w:t>
      </w:r>
      <w:r w:rsidRPr="00AD0295">
        <w:rPr>
          <w:rFonts w:ascii="Segoe UI" w:eastAsia="Times New Roman" w:hAnsi="Segoe UI" w:cs="Segoe UI"/>
          <w:color w:val="000000"/>
          <w:kern w:val="0"/>
          <w14:ligatures w14:val="none"/>
        </w:rPr>
        <w:t xml:space="preserve"> regulations implementing that statute. </w:t>
      </w:r>
    </w:p>
    <w:p w:rsidR="00F174B7" w:rsidRPr="00FD4016" w:rsidP="00190AA9" w14:paraId="732FF59A" w14:textId="3F484368">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4" style="width:486.6pt;height:0.95pt" o:hrpct="0" o:hralign="center" o:hrstd="t" o:hrnoshade="t" o:hr="t" fillcolor="#414141" stroked="f"/>
        </w:pict>
      </w:r>
    </w:p>
    <w:p w:rsidR="00190AA9" w:rsidRPr="00190AA9" w:rsidP="00190AA9" w14:paraId="69635A2F"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FD4016" w:rsidP="00190AA9" w14:paraId="2387B7E2" w14:textId="77777777">
      <w:pPr>
        <w:widowControl w:val="0"/>
        <w:numPr>
          <w:ilvl w:val="0"/>
          <w:numId w:val="2"/>
        </w:numPr>
        <w:tabs>
          <w:tab w:val="left" w:pos="360"/>
        </w:tabs>
        <w:autoSpaceDE w:val="0"/>
        <w:autoSpaceDN w:val="0"/>
        <w:adjustRightInd w:val="0"/>
        <w:spacing w:after="0" w:line="240" w:lineRule="auto"/>
        <w:ind w:left="360"/>
        <w:rPr>
          <w:rFonts w:ascii="Arial" w:eastAsia="Times New Roman" w:hAnsi="Arial" w:cs="Arial"/>
          <w:b/>
          <w:bCs/>
          <w:color w:val="000000"/>
          <w:kern w:val="0"/>
          <w:sz w:val="24"/>
          <w:szCs w:val="24"/>
          <w14:ligatures w14:val="none"/>
        </w:rPr>
      </w:pPr>
      <w:r w:rsidRPr="00185DEA">
        <w:rPr>
          <w:rFonts w:ascii="Arial" w:eastAsia="Times New Roman" w:hAnsi="Arial" w:cs="Arial"/>
          <w:b/>
          <w:bCs/>
          <w:color w:val="000000"/>
          <w:kern w:val="0"/>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w:t>
      </w:r>
      <w:r w:rsidRPr="00FD4016">
        <w:rPr>
          <w:rFonts w:ascii="Arial" w:eastAsia="Times New Roman" w:hAnsi="Arial" w:cs="Arial"/>
          <w:b/>
          <w:bCs/>
          <w:color w:val="000000"/>
          <w:kern w:val="0"/>
          <w:sz w:val="24"/>
          <w:szCs w:val="24"/>
          <w14:ligatures w14:val="none"/>
        </w:rPr>
        <w:t xml:space="preserve"> </w:t>
      </w:r>
      <w:r w:rsidRPr="00185DEA">
        <w:rPr>
          <w:rFonts w:ascii="Arial" w:eastAsia="Times New Roman" w:hAnsi="Arial" w:cs="Arial"/>
          <w:b/>
          <w:bCs/>
          <w:color w:val="000000"/>
          <w:kern w:val="0"/>
          <w14:ligatures w14:val="none"/>
        </w:rPr>
        <w:t>consent.</w:t>
      </w:r>
    </w:p>
    <w:p w:rsidR="00190AA9" w:rsidRPr="00190AA9" w:rsidP="00190AA9" w14:paraId="28A627C7"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0950CC7F"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11635F">
        <w:rPr>
          <w:rFonts w:ascii="Segoe UI" w:eastAsia="Times New Roman" w:hAnsi="Segoe UI" w:cs="Segoe UI"/>
          <w:color w:val="000000"/>
          <w:kern w:val="0"/>
          <w14:ligatures w14:val="none"/>
        </w:rPr>
        <w:t>Application and reporting requirements in funding announcements and associated forms do not ask questions of a sensitive nature.</w:t>
      </w:r>
    </w:p>
    <w:p w:rsidR="00866B5D" w:rsidP="00190AA9" w14:paraId="5C770E2A"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866B5D" w:rsidRPr="00866B5D" w:rsidP="00866B5D" w14:paraId="42FAAA7D"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866B5D">
        <w:rPr>
          <w:rFonts w:ascii="Segoe UI" w:eastAsia="Times New Roman" w:hAnsi="Segoe UI" w:cs="Segoe UI"/>
          <w:color w:val="000000"/>
          <w:kern w:val="0"/>
          <w14:ligatures w14:val="none"/>
        </w:rPr>
        <w:t>As a general matter, information collections under this generic collection request will not result in any new system of records containing privacy information and will not ask questions of a sensitive nature that have not been approved for use by OMB, such as sexual behavior and attitudes, religious beliefs, and other matters that are commonly considered private.</w:t>
      </w:r>
    </w:p>
    <w:p w:rsidR="00866B5D" w:rsidP="00190AA9" w14:paraId="39E59929"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6F07CA" w:rsidRPr="008A5422" w:rsidP="00190AA9" w14:paraId="39EDD906" w14:textId="1E8A4494">
      <w:pPr>
        <w:autoSpaceDE w:val="0"/>
        <w:autoSpaceDN w:val="0"/>
        <w:adjustRightInd w:val="0"/>
        <w:spacing w:after="0" w:line="240" w:lineRule="auto"/>
        <w:rPr>
          <w:rFonts w:ascii="Segoe UI" w:eastAsia="Times New Roman" w:hAnsi="Segoe UI" w:cs="Segoe UI"/>
          <w:color w:val="000000"/>
          <w:kern w:val="0"/>
          <w14:ligatures w14:val="none"/>
        </w:rPr>
      </w:pPr>
      <w:r w:rsidRPr="008A5422">
        <w:rPr>
          <w:rFonts w:ascii="Segoe UI" w:eastAsia="Times New Roman" w:hAnsi="Segoe UI" w:cs="Segoe UI"/>
          <w:color w:val="000000"/>
          <w:kern w:val="0"/>
          <w:lang w:bidi="en-US"/>
          <w14:ligatures w14:val="none"/>
        </w:rPr>
        <w:t>For information collections involving questions of race/ethnicity, the agency will ensure that the OMB Standards for the Classification of Federal Data on Race and Ethnicity are followed (SPD 15 Revised Race and Ethnicity Data Standards</w:t>
      </w:r>
      <w:r w:rsidRPr="008A5422" w:rsidR="00355D79">
        <w:rPr>
          <w:rFonts w:ascii="Segoe UI" w:eastAsia="Times New Roman" w:hAnsi="Segoe UI" w:cs="Segoe UI"/>
          <w:color w:val="000000"/>
          <w:kern w:val="0"/>
          <w:lang w:bidi="en-US"/>
          <w14:ligatures w14:val="none"/>
        </w:rPr>
        <w:t>).</w:t>
      </w:r>
    </w:p>
    <w:p w:rsidR="00190AA9" w:rsidP="00190AA9" w14:paraId="7BC1D762"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F174B7" w:rsidP="00190AA9" w14:paraId="7683820C" w14:textId="52F0EF73">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Segoe UI" w:hAnsi="Segoe UI" w:cs="Segoe UI"/>
        </w:rPr>
        <w:pict>
          <v:rect id="_x0000_i1035" style="width:486.6pt;height:0.95pt" o:hrpct="0" o:hralign="center" o:hrstd="t" o:hrnoshade="t" o:hr="t" fillcolor="#414141" stroked="f"/>
        </w:pict>
      </w:r>
    </w:p>
    <w:p w:rsidR="00F174B7" w:rsidP="00190AA9" w14:paraId="321E1F5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85DEA" w:rsidP="00190AA9" w14:paraId="5670D418" w14:textId="77777777">
      <w:pPr>
        <w:widowControl w:val="0"/>
        <w:numPr>
          <w:ilvl w:val="0"/>
          <w:numId w:val="2"/>
        </w:numPr>
        <w:tabs>
          <w:tab w:val="left" w:pos="360"/>
        </w:tabs>
        <w:autoSpaceDE w:val="0"/>
        <w:autoSpaceDN w:val="0"/>
        <w:adjustRightInd w:val="0"/>
        <w:spacing w:after="0" w:line="240" w:lineRule="auto"/>
        <w:ind w:left="360"/>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Provide estimates of the hour burden of the collection of information. The statement should:</w:t>
      </w:r>
    </w:p>
    <w:p w:rsidR="00190AA9" w:rsidRPr="00185DEA" w:rsidP="00190AA9" w14:paraId="4185828C"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P="00190AA9" w14:paraId="39EE08EE" w14:textId="4A32B4CE">
      <w:pPr>
        <w:widowControl w:val="0"/>
        <w:numPr>
          <w:ilvl w:val="0"/>
          <w:numId w:val="3"/>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Indicate the number of respondents, frequency of response, annual hour burden, and an explanation of how the burden was estimated. Unless directed to do so, agencies should not conduct special surveys to obtain information on which to base hour</w:t>
      </w:r>
      <w:r w:rsidR="005D0E75">
        <w:rPr>
          <w:rFonts w:ascii="Arial" w:eastAsia="Times New Roman" w:hAnsi="Arial" w:cs="Arial"/>
          <w:b/>
          <w:bCs/>
          <w:color w:val="000000"/>
          <w:kern w:val="0"/>
          <w14:ligatures w14:val="none"/>
        </w:rPr>
        <w:t xml:space="preserve">ly </w:t>
      </w:r>
      <w:r w:rsidRPr="00185DEA">
        <w:rPr>
          <w:rFonts w:ascii="Arial" w:eastAsia="Times New Roman" w:hAnsi="Arial" w:cs="Arial"/>
          <w:b/>
          <w:bCs/>
          <w:color w:val="000000"/>
          <w:kern w:val="0"/>
          <w14:ligatures w14:val="none"/>
        </w:rPr>
        <w:t>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86309" w:rsidP="00486309" w14:paraId="3AB1898C" w14:textId="77777777">
      <w:pPr>
        <w:widowControl w:val="0"/>
        <w:autoSpaceDE w:val="0"/>
        <w:autoSpaceDN w:val="0"/>
        <w:adjustRightInd w:val="0"/>
        <w:spacing w:after="0" w:line="240" w:lineRule="auto"/>
        <w:rPr>
          <w:rFonts w:ascii="Arial" w:eastAsia="Times New Roman" w:hAnsi="Arial" w:cs="Arial"/>
          <w:b/>
          <w:bCs/>
          <w:color w:val="000000"/>
          <w:kern w:val="0"/>
          <w14:ligatures w14:val="non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610"/>
        <w:gridCol w:w="1848"/>
        <w:gridCol w:w="1906"/>
        <w:gridCol w:w="1312"/>
      </w:tblGrid>
      <w:tr w14:paraId="2AC12EF4" w14:textId="77777777" w:rsidTr="00855656">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0"/>
        </w:trPr>
        <w:tc>
          <w:tcPr>
            <w:tcW w:w="2695"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rsidR="00486309" w:rsidRPr="002206EF" w:rsidP="00C02F78" w14:paraId="6C507419" w14:textId="77777777">
            <w:pPr>
              <w:spacing w:after="0"/>
              <w:jc w:val="center"/>
              <w:rPr>
                <w:rFonts w:ascii="Arial" w:hAnsi="Arial" w:cs="Arial"/>
                <w:b/>
              </w:rPr>
            </w:pPr>
          </w:p>
          <w:p w:rsidR="00855656" w:rsidP="00855656" w14:paraId="63FEED84" w14:textId="77777777">
            <w:pPr>
              <w:spacing w:after="0"/>
              <w:jc w:val="center"/>
              <w:rPr>
                <w:rFonts w:ascii="Arial" w:hAnsi="Arial" w:cs="Arial"/>
                <w:b/>
              </w:rPr>
            </w:pPr>
          </w:p>
          <w:p w:rsidR="00486309" w:rsidRPr="002206EF" w:rsidP="00C02F78" w14:paraId="6582C4A3" w14:textId="52215677">
            <w:pPr>
              <w:jc w:val="center"/>
              <w:rPr>
                <w:rFonts w:ascii="Arial" w:hAnsi="Arial" w:cs="Arial"/>
                <w:b/>
              </w:rPr>
            </w:pPr>
            <w:r w:rsidRPr="002206EF">
              <w:rPr>
                <w:rFonts w:ascii="Arial" w:hAnsi="Arial" w:cs="Arial"/>
                <w:b/>
              </w:rPr>
              <w:t>Instrument</w:t>
            </w:r>
          </w:p>
        </w:tc>
        <w:tc>
          <w:tcPr>
            <w:tcW w:w="135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64BE8E3C" w14:textId="77777777">
            <w:pPr>
              <w:spacing w:after="0"/>
              <w:jc w:val="center"/>
              <w:rPr>
                <w:rFonts w:ascii="Arial" w:hAnsi="Arial" w:cs="Arial"/>
                <w:b/>
              </w:rPr>
            </w:pPr>
          </w:p>
          <w:p w:rsidR="00486309" w:rsidRPr="002206EF" w:rsidP="00C02F78" w14:paraId="7D6378A6" w14:textId="77777777">
            <w:pPr>
              <w:jc w:val="center"/>
              <w:rPr>
                <w:rFonts w:ascii="Arial" w:hAnsi="Arial" w:cs="Arial"/>
                <w:b/>
              </w:rPr>
            </w:pPr>
            <w:r w:rsidRPr="002206EF">
              <w:rPr>
                <w:rFonts w:ascii="Arial" w:hAnsi="Arial" w:cs="Arial"/>
                <w:b/>
              </w:rPr>
              <w:t>Number of Respondents</w:t>
            </w:r>
          </w:p>
        </w:tc>
        <w:tc>
          <w:tcPr>
            <w:tcW w:w="189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6C1864E0" w14:textId="77777777">
            <w:pPr>
              <w:spacing w:after="0"/>
              <w:jc w:val="center"/>
              <w:rPr>
                <w:rFonts w:ascii="Arial" w:hAnsi="Arial" w:cs="Arial"/>
                <w:b/>
              </w:rPr>
            </w:pPr>
          </w:p>
          <w:p w:rsidR="00486309" w:rsidRPr="002206EF" w:rsidP="00C02F78" w14:paraId="7EE2C6DA" w14:textId="77777777">
            <w:pPr>
              <w:jc w:val="center"/>
              <w:rPr>
                <w:rFonts w:ascii="Arial" w:hAnsi="Arial" w:cs="Arial"/>
                <w:b/>
              </w:rPr>
            </w:pPr>
            <w:r w:rsidRPr="002206EF">
              <w:rPr>
                <w:rFonts w:ascii="Arial" w:hAnsi="Arial" w:cs="Arial"/>
                <w:b/>
              </w:rPr>
              <w:t>Number of Responses per Respondent</w:t>
            </w:r>
          </w:p>
        </w:tc>
        <w:tc>
          <w:tcPr>
            <w:tcW w:w="198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5CF3A589" w14:textId="77777777">
            <w:pPr>
              <w:spacing w:after="0"/>
              <w:jc w:val="center"/>
              <w:rPr>
                <w:rFonts w:ascii="Arial" w:hAnsi="Arial" w:cs="Arial"/>
                <w:b/>
              </w:rPr>
            </w:pPr>
          </w:p>
          <w:p w:rsidR="00486309" w:rsidRPr="002206EF" w:rsidP="00C02F78" w14:paraId="0A225ADB" w14:textId="77777777">
            <w:pPr>
              <w:jc w:val="center"/>
              <w:rPr>
                <w:rFonts w:ascii="Arial" w:hAnsi="Arial" w:cs="Arial"/>
                <w:b/>
              </w:rPr>
            </w:pPr>
            <w:r w:rsidRPr="002206EF">
              <w:rPr>
                <w:rFonts w:ascii="Arial" w:hAnsi="Arial" w:cs="Arial"/>
                <w:b/>
              </w:rPr>
              <w:t>Average Burden (in hours) per Response</w:t>
            </w:r>
          </w:p>
        </w:tc>
        <w:tc>
          <w:tcPr>
            <w:tcW w:w="135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63042E1E" w14:textId="77777777">
            <w:pPr>
              <w:spacing w:after="0"/>
              <w:jc w:val="center"/>
              <w:rPr>
                <w:rFonts w:ascii="Arial" w:hAnsi="Arial" w:cs="Arial"/>
                <w:b/>
              </w:rPr>
            </w:pPr>
          </w:p>
          <w:p w:rsidR="00486309" w:rsidRPr="002206EF" w:rsidP="00C02F78" w14:paraId="326A1555" w14:textId="77777777">
            <w:pPr>
              <w:jc w:val="center"/>
              <w:rPr>
                <w:rFonts w:ascii="Arial" w:hAnsi="Arial" w:cs="Arial"/>
                <w:b/>
              </w:rPr>
            </w:pPr>
            <w:r w:rsidRPr="002206EF">
              <w:rPr>
                <w:rFonts w:ascii="Arial" w:hAnsi="Arial" w:cs="Arial"/>
                <w:b/>
              </w:rPr>
              <w:t>Total Burden Hours</w:t>
            </w:r>
          </w:p>
        </w:tc>
      </w:tr>
      <w:tr w14:paraId="008F3698" w14:textId="77777777" w:rsidTr="00855656">
        <w:tblPrEx>
          <w:tblW w:w="9265" w:type="dxa"/>
          <w:tblLook w:val="01E0"/>
        </w:tblPrEx>
        <w:trPr>
          <w:trHeight w:val="275"/>
        </w:trPr>
        <w:tc>
          <w:tcPr>
            <w:tcW w:w="2695" w:type="dxa"/>
            <w:tcBorders>
              <w:top w:val="single" w:sz="4" w:space="0" w:color="auto"/>
              <w:left w:val="single" w:sz="4" w:space="0" w:color="auto"/>
              <w:bottom w:val="single" w:sz="4" w:space="0" w:color="auto"/>
              <w:right w:val="single" w:sz="4" w:space="0" w:color="auto"/>
            </w:tcBorders>
            <w:hideMark/>
          </w:tcPr>
          <w:p w:rsidR="00486309" w:rsidRPr="008B39C8" w:rsidP="00855656" w14:paraId="50330EA5" w14:textId="1AA8A07B">
            <w:pPr>
              <w:rPr>
                <w:rFonts w:ascii="Arial" w:hAnsi="Arial" w:cs="Arial"/>
                <w:b/>
                <w:bCs/>
              </w:rPr>
            </w:pPr>
            <w:r w:rsidRPr="008B39C8">
              <w:rPr>
                <w:rFonts w:ascii="Arial" w:hAnsi="Arial" w:cs="Arial"/>
                <w:b/>
                <w:bCs/>
              </w:rPr>
              <w:t xml:space="preserve">Various Program </w:t>
            </w:r>
            <w:r w:rsidR="0004223F">
              <w:rPr>
                <w:rFonts w:ascii="Arial" w:hAnsi="Arial" w:cs="Arial"/>
                <w:b/>
                <w:bCs/>
              </w:rPr>
              <w:t>Funding Opportunities and</w:t>
            </w:r>
            <w:r w:rsidRPr="008B39C8">
              <w:rPr>
                <w:rFonts w:ascii="Arial" w:hAnsi="Arial" w:cs="Arial"/>
                <w:b/>
                <w:bCs/>
              </w:rPr>
              <w:t xml:space="preserve"> </w:t>
            </w:r>
            <w:r w:rsidR="0004223F">
              <w:rPr>
                <w:rFonts w:ascii="Arial" w:hAnsi="Arial" w:cs="Arial"/>
                <w:b/>
                <w:bCs/>
              </w:rPr>
              <w:t>Forms</w:t>
            </w:r>
            <w:r w:rsidR="00855656">
              <w:rPr>
                <w:rFonts w:ascii="Arial" w:hAnsi="Arial" w:cs="Arial"/>
                <w:b/>
                <w:bCs/>
              </w:rPr>
              <w:t xml:space="preserve"> (e.g. </w:t>
            </w:r>
            <w:r w:rsidRPr="00B5126D" w:rsidR="00855656">
              <w:rPr>
                <w:rFonts w:ascii="Arial" w:hAnsi="Arial" w:cs="Arial"/>
                <w:b/>
                <w:bCs/>
              </w:rPr>
              <w:t>white paper</w:t>
            </w:r>
            <w:r w:rsidRPr="00855656" w:rsidR="00855656">
              <w:rPr>
                <w:rFonts w:ascii="Arial" w:hAnsi="Arial" w:cs="Arial"/>
                <w:b/>
                <w:bCs/>
              </w:rPr>
              <w:t xml:space="preserve">s, </w:t>
            </w:r>
            <w:r w:rsidRPr="00B5126D" w:rsidR="00855656">
              <w:rPr>
                <w:rFonts w:ascii="Arial" w:hAnsi="Arial" w:cs="Arial"/>
                <w:b/>
                <w:bCs/>
              </w:rPr>
              <w:t>proposal writing</w:t>
            </w:r>
            <w:r w:rsidRPr="00855656" w:rsidR="00855656">
              <w:rPr>
                <w:rFonts w:ascii="Arial" w:hAnsi="Arial" w:cs="Arial"/>
                <w:b/>
                <w:bCs/>
              </w:rPr>
              <w:t>, r</w:t>
            </w:r>
            <w:r w:rsidRPr="00B5126D" w:rsidR="00855656">
              <w:rPr>
                <w:rFonts w:ascii="Arial" w:hAnsi="Arial" w:cs="Arial"/>
                <w:b/>
                <w:bCs/>
              </w:rPr>
              <w:t>esponding to comments</w:t>
            </w:r>
            <w:r w:rsidRPr="00855656" w:rsidR="00855656">
              <w:rPr>
                <w:rFonts w:ascii="Arial" w:hAnsi="Arial" w:cs="Arial"/>
                <w:b/>
                <w:bCs/>
              </w:rPr>
              <w:t xml:space="preserve">, and completing </w:t>
            </w:r>
            <w:r w:rsidRPr="00B5126D" w:rsidR="00855656">
              <w:rPr>
                <w:rFonts w:ascii="Arial" w:hAnsi="Arial" w:cs="Arial"/>
                <w:b/>
                <w:bCs/>
              </w:rPr>
              <w:t>application</w:t>
            </w:r>
            <w:r w:rsidRPr="00855656" w:rsidR="00855656">
              <w:rPr>
                <w:rFonts w:ascii="Arial" w:hAnsi="Arial" w:cs="Arial"/>
                <w:b/>
                <w:bCs/>
              </w:rPr>
              <w:t>s.</w:t>
            </w:r>
            <w:r w:rsidR="00855656">
              <w:rPr>
                <w:rFonts w:ascii="Arial" w:hAnsi="Arial" w:cs="Arial"/>
                <w:b/>
                <w:bCs/>
              </w:rPr>
              <w:t>)</w:t>
            </w:r>
          </w:p>
        </w:tc>
        <w:tc>
          <w:tcPr>
            <w:tcW w:w="1350" w:type="dxa"/>
            <w:tcBorders>
              <w:top w:val="single" w:sz="4" w:space="0" w:color="auto"/>
              <w:left w:val="single" w:sz="4" w:space="0" w:color="auto"/>
              <w:bottom w:val="single" w:sz="4" w:space="0" w:color="auto"/>
              <w:right w:val="single" w:sz="4" w:space="0" w:color="auto"/>
            </w:tcBorders>
            <w:hideMark/>
          </w:tcPr>
          <w:p w:rsidR="00486309" w:rsidRPr="008B39C8" w:rsidP="00C02F78" w14:paraId="51C5BF22" w14:textId="77777777">
            <w:pPr>
              <w:jc w:val="center"/>
              <w:rPr>
                <w:rFonts w:ascii="Arial" w:hAnsi="Arial" w:cs="Arial"/>
                <w:b/>
                <w:bCs/>
              </w:rPr>
            </w:pPr>
          </w:p>
          <w:p w:rsidR="00486309" w:rsidRPr="008B39C8" w:rsidP="00C02F78" w14:paraId="2A426A79" w14:textId="277C959C">
            <w:pPr>
              <w:jc w:val="center"/>
              <w:rPr>
                <w:rFonts w:ascii="Arial" w:hAnsi="Arial" w:cs="Arial"/>
                <w:b/>
                <w:bCs/>
              </w:rPr>
            </w:pPr>
            <w:r>
              <w:rPr>
                <w:rFonts w:ascii="Arial" w:hAnsi="Arial" w:cs="Arial"/>
                <w:b/>
                <w:bCs/>
              </w:rPr>
              <w:t>2</w:t>
            </w:r>
            <w:r w:rsidR="0004223F">
              <w:rPr>
                <w:rFonts w:ascii="Arial" w:hAnsi="Arial" w:cs="Arial"/>
                <w:b/>
                <w:bCs/>
              </w:rPr>
              <w:t>0,000</w:t>
            </w:r>
          </w:p>
        </w:tc>
        <w:tc>
          <w:tcPr>
            <w:tcW w:w="1890" w:type="dxa"/>
            <w:tcBorders>
              <w:top w:val="single" w:sz="4" w:space="0" w:color="auto"/>
              <w:left w:val="single" w:sz="4" w:space="0" w:color="auto"/>
              <w:bottom w:val="single" w:sz="4" w:space="0" w:color="auto"/>
              <w:right w:val="single" w:sz="4" w:space="0" w:color="auto"/>
            </w:tcBorders>
            <w:hideMark/>
          </w:tcPr>
          <w:p w:rsidR="00486309" w:rsidRPr="008B39C8" w:rsidP="00C02F78" w14:paraId="50FB65BE" w14:textId="77777777">
            <w:pPr>
              <w:jc w:val="center"/>
              <w:rPr>
                <w:rFonts w:ascii="Arial" w:hAnsi="Arial" w:cs="Arial"/>
                <w:b/>
                <w:bCs/>
              </w:rPr>
            </w:pPr>
          </w:p>
          <w:p w:rsidR="00486309" w:rsidRPr="008B39C8" w:rsidP="00C02F78" w14:paraId="577B164B" w14:textId="77777777">
            <w:pPr>
              <w:jc w:val="center"/>
              <w:rPr>
                <w:rFonts w:ascii="Arial" w:hAnsi="Arial" w:cs="Arial"/>
                <w:b/>
                <w:bCs/>
              </w:rPr>
            </w:pPr>
            <w:r w:rsidRPr="008B39C8">
              <w:rPr>
                <w:rFonts w:ascii="Arial" w:hAnsi="Arial" w:cs="Arial"/>
                <w:b/>
                <w:bCs/>
              </w:rPr>
              <w:t>Varies</w:t>
            </w:r>
          </w:p>
        </w:tc>
        <w:tc>
          <w:tcPr>
            <w:tcW w:w="1980" w:type="dxa"/>
            <w:tcBorders>
              <w:top w:val="single" w:sz="4" w:space="0" w:color="auto"/>
              <w:left w:val="single" w:sz="4" w:space="0" w:color="auto"/>
              <w:bottom w:val="single" w:sz="4" w:space="0" w:color="auto"/>
              <w:right w:val="single" w:sz="4" w:space="0" w:color="auto"/>
            </w:tcBorders>
            <w:hideMark/>
          </w:tcPr>
          <w:p w:rsidR="00486309" w:rsidRPr="008B39C8" w:rsidP="00C02F78" w14:paraId="28132725" w14:textId="77777777">
            <w:pPr>
              <w:jc w:val="center"/>
              <w:rPr>
                <w:rFonts w:ascii="Arial" w:hAnsi="Arial" w:cs="Arial"/>
                <w:b/>
                <w:bCs/>
              </w:rPr>
            </w:pPr>
          </w:p>
          <w:p w:rsidR="00486309" w:rsidRPr="008B39C8" w:rsidP="00C02F78" w14:paraId="01D17F80" w14:textId="78CC7AE7">
            <w:pPr>
              <w:jc w:val="center"/>
              <w:rPr>
                <w:rFonts w:ascii="Arial" w:hAnsi="Arial" w:cs="Arial"/>
                <w:b/>
                <w:bCs/>
              </w:rPr>
            </w:pPr>
            <w:r>
              <w:rPr>
                <w:rFonts w:ascii="Arial" w:hAnsi="Arial" w:cs="Arial"/>
                <w:b/>
                <w:bCs/>
              </w:rPr>
              <w:t>2</w:t>
            </w:r>
          </w:p>
        </w:tc>
        <w:tc>
          <w:tcPr>
            <w:tcW w:w="1350" w:type="dxa"/>
            <w:tcBorders>
              <w:top w:val="single" w:sz="4" w:space="0" w:color="auto"/>
              <w:left w:val="single" w:sz="4" w:space="0" w:color="auto"/>
              <w:bottom w:val="single" w:sz="4" w:space="0" w:color="auto"/>
              <w:right w:val="single" w:sz="4" w:space="0" w:color="auto"/>
            </w:tcBorders>
            <w:hideMark/>
          </w:tcPr>
          <w:p w:rsidR="00486309" w:rsidRPr="008B39C8" w:rsidP="00C02F78" w14:paraId="5D1508CC" w14:textId="77777777">
            <w:pPr>
              <w:jc w:val="center"/>
              <w:rPr>
                <w:rFonts w:ascii="Arial" w:hAnsi="Arial" w:cs="Arial"/>
                <w:b/>
                <w:bCs/>
              </w:rPr>
            </w:pPr>
          </w:p>
          <w:p w:rsidR="00486309" w:rsidRPr="008B39C8" w:rsidP="00C02F78" w14:paraId="0AFF55E7" w14:textId="2D72D227">
            <w:pPr>
              <w:jc w:val="center"/>
              <w:rPr>
                <w:rFonts w:ascii="Arial" w:hAnsi="Arial" w:cs="Arial"/>
                <w:b/>
                <w:bCs/>
              </w:rPr>
            </w:pPr>
            <w:r>
              <w:rPr>
                <w:rFonts w:ascii="Arial" w:hAnsi="Arial" w:cs="Arial"/>
                <w:b/>
                <w:bCs/>
              </w:rPr>
              <w:t>40</w:t>
            </w:r>
            <w:r w:rsidR="00B5148D">
              <w:rPr>
                <w:rFonts w:ascii="Arial" w:hAnsi="Arial" w:cs="Arial"/>
                <w:b/>
                <w:bCs/>
              </w:rPr>
              <w:t>,000</w:t>
            </w:r>
          </w:p>
        </w:tc>
      </w:tr>
      <w:tr w14:paraId="640793D1" w14:textId="77777777" w:rsidTr="00855656">
        <w:tblPrEx>
          <w:tblW w:w="9265" w:type="dxa"/>
          <w:tblLook w:val="01E0"/>
        </w:tblPrEx>
        <w:trPr>
          <w:trHeight w:val="207"/>
        </w:trPr>
        <w:tc>
          <w:tcPr>
            <w:tcW w:w="2695" w:type="dxa"/>
            <w:tcBorders>
              <w:top w:val="single" w:sz="4" w:space="0" w:color="auto"/>
              <w:left w:val="single" w:sz="4" w:space="0" w:color="auto"/>
              <w:bottom w:val="single" w:sz="4" w:space="0" w:color="auto"/>
              <w:right w:val="single" w:sz="4" w:space="0" w:color="auto"/>
            </w:tcBorders>
            <w:shd w:val="clear" w:color="auto" w:fill="FFFF00"/>
            <w:hideMark/>
          </w:tcPr>
          <w:p w:rsidR="00486309" w:rsidRPr="002206EF" w:rsidP="00B5148D" w14:paraId="112E1720" w14:textId="77777777">
            <w:pPr>
              <w:spacing w:before="240" w:after="0" w:line="240" w:lineRule="auto"/>
              <w:rPr>
                <w:rFonts w:ascii="Arial" w:hAnsi="Arial" w:cs="Arial"/>
                <w:b/>
                <w:bCs/>
              </w:rPr>
            </w:pPr>
            <w:r w:rsidRPr="002206EF">
              <w:rPr>
                <w:rFonts w:ascii="Arial" w:hAnsi="Arial" w:cs="Arial"/>
                <w:b/>
                <w:bCs/>
              </w:rPr>
              <w:t>Total annually</w:t>
            </w:r>
          </w:p>
        </w:tc>
        <w:tc>
          <w:tcPr>
            <w:tcW w:w="1350" w:type="dxa"/>
            <w:tcBorders>
              <w:top w:val="single" w:sz="4" w:space="0" w:color="auto"/>
              <w:left w:val="single" w:sz="4" w:space="0" w:color="auto"/>
              <w:bottom w:val="single" w:sz="4" w:space="0" w:color="auto"/>
              <w:right w:val="single" w:sz="4" w:space="0" w:color="auto"/>
            </w:tcBorders>
            <w:shd w:val="clear" w:color="auto" w:fill="FFFF00"/>
            <w:hideMark/>
          </w:tcPr>
          <w:p w:rsidR="00486309" w:rsidRPr="002206EF" w:rsidP="00B5148D" w14:paraId="3039D90E" w14:textId="67F9A51E">
            <w:pPr>
              <w:spacing w:before="240" w:after="0" w:line="240" w:lineRule="auto"/>
              <w:jc w:val="center"/>
              <w:rPr>
                <w:rFonts w:ascii="Arial" w:hAnsi="Arial" w:cs="Arial"/>
                <w:b/>
              </w:rPr>
            </w:pPr>
            <w:r>
              <w:rPr>
                <w:rFonts w:ascii="Arial" w:hAnsi="Arial" w:cs="Arial"/>
                <w:b/>
              </w:rPr>
              <w:t>2</w:t>
            </w:r>
            <w:r w:rsidR="00B5148D">
              <w:rPr>
                <w:rFonts w:ascii="Arial" w:hAnsi="Arial" w:cs="Arial"/>
                <w:b/>
              </w:rPr>
              <w:t>0,000</w:t>
            </w:r>
          </w:p>
        </w:tc>
        <w:tc>
          <w:tcPr>
            <w:tcW w:w="1890" w:type="dxa"/>
            <w:tcBorders>
              <w:top w:val="single" w:sz="4" w:space="0" w:color="auto"/>
              <w:left w:val="single" w:sz="4" w:space="0" w:color="auto"/>
              <w:bottom w:val="single" w:sz="4" w:space="0" w:color="auto"/>
              <w:right w:val="single" w:sz="4" w:space="0" w:color="auto"/>
            </w:tcBorders>
            <w:shd w:val="clear" w:color="auto" w:fill="FFFF00"/>
          </w:tcPr>
          <w:p w:rsidR="00486309" w:rsidRPr="002206EF" w:rsidP="00B5148D" w14:paraId="3648B66E" w14:textId="77777777">
            <w:pPr>
              <w:spacing w:before="240" w:line="240" w:lineRule="auto"/>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486309" w:rsidRPr="002206EF" w:rsidP="00B5148D" w14:paraId="1E8B6EF8" w14:textId="77777777">
            <w:pPr>
              <w:spacing w:before="240" w:line="240" w:lineRule="auto"/>
              <w:jc w:val="cente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FFFF00"/>
            <w:hideMark/>
          </w:tcPr>
          <w:p w:rsidR="00486309" w:rsidRPr="002206EF" w:rsidP="00B5148D" w14:paraId="662CE985" w14:textId="58581733">
            <w:pPr>
              <w:spacing w:before="240" w:line="240" w:lineRule="auto"/>
              <w:jc w:val="center"/>
              <w:rPr>
                <w:rFonts w:ascii="Arial" w:hAnsi="Arial" w:cs="Arial"/>
                <w:b/>
              </w:rPr>
            </w:pPr>
            <w:r>
              <w:rPr>
                <w:rFonts w:ascii="Arial" w:hAnsi="Arial" w:cs="Arial"/>
                <w:b/>
              </w:rPr>
              <w:t>4</w:t>
            </w:r>
            <w:r w:rsidR="00B5148D">
              <w:rPr>
                <w:rFonts w:ascii="Arial" w:hAnsi="Arial" w:cs="Arial"/>
                <w:b/>
              </w:rPr>
              <w:t>0,000</w:t>
            </w:r>
          </w:p>
        </w:tc>
      </w:tr>
    </w:tbl>
    <w:p w:rsidR="00F174B7" w:rsidRPr="0011635F" w:rsidP="00190AA9" w14:paraId="7CF6B278" w14:textId="2C344DC7">
      <w:pPr>
        <w:tabs>
          <w:tab w:val="right" w:pos="7200"/>
        </w:tabs>
        <w:autoSpaceDE w:val="0"/>
        <w:autoSpaceDN w:val="0"/>
        <w:adjustRightInd w:val="0"/>
        <w:spacing w:after="0" w:line="240" w:lineRule="auto"/>
        <w:rPr>
          <w:rFonts w:ascii="Segoe UI" w:eastAsia="Times New Roman" w:hAnsi="Segoe UI" w:cs="Segoe UI"/>
          <w:kern w:val="0"/>
          <w14:ligatures w14:val="none"/>
        </w:rPr>
      </w:pPr>
      <w:r>
        <w:rPr>
          <w:rFonts w:ascii="Segoe UI" w:hAnsi="Segoe UI" w:cs="Segoe UI"/>
        </w:rPr>
        <w:pict>
          <v:rect id="_x0000_i1036" style="width:486.6pt;height:0.95pt" o:hrpct="0" o:hralign="center" o:hrstd="t" o:hrnoshade="t" o:hr="t" fillcolor="#414141" stroked="f"/>
        </w:pict>
      </w:r>
    </w:p>
    <w:p w:rsidR="00190AA9" w:rsidRPr="00190AA9" w:rsidP="00190AA9" w14:paraId="08E168E7"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85DEA" w:rsidP="00190AA9" w14:paraId="4A820DDB"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13.</w:t>
      </w:r>
      <w:r w:rsidRPr="00185DEA">
        <w:rPr>
          <w:rFonts w:ascii="Arial" w:eastAsia="Times New Roman" w:hAnsi="Arial" w:cs="Arial"/>
          <w:b/>
          <w:bCs/>
          <w:color w:val="000000"/>
          <w:kern w:val="0"/>
          <w14:ligatures w14:val="none"/>
        </w:rPr>
        <w:tab/>
        <w:t>Provide an estimate of the total annual cost burden to respondents or recordkeepers resulting from the collection of information. (Do not include the cost of any hour burden shown in Items 12 and 14).</w:t>
      </w:r>
    </w:p>
    <w:p w:rsidR="00190AA9" w:rsidRPr="00185DEA" w:rsidP="00190AA9" w14:paraId="7A5A5D47" w14:textId="77777777">
      <w:pPr>
        <w:autoSpaceDE w:val="0"/>
        <w:autoSpaceDN w:val="0"/>
        <w:adjustRightInd w:val="0"/>
        <w:spacing w:after="0" w:line="240" w:lineRule="auto"/>
        <w:rPr>
          <w:rFonts w:ascii="Arial" w:eastAsia="Times New Roman" w:hAnsi="Arial" w:cs="Arial"/>
          <w:color w:val="000000"/>
          <w:kern w:val="0"/>
          <w14:ligatures w14:val="none"/>
        </w:rPr>
      </w:pPr>
    </w:p>
    <w:p w:rsidR="00190AA9" w:rsidRPr="00185DEA" w:rsidP="00190AA9" w14:paraId="77B95B02" w14:textId="670C9FAA">
      <w:pPr>
        <w:widowControl w:val="0"/>
        <w:numPr>
          <w:ilvl w:val="0"/>
          <w:numId w:val="4"/>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85DEA" w:rsidR="00893A63">
        <w:rPr>
          <w:rFonts w:ascii="Arial" w:eastAsia="Times New Roman" w:hAnsi="Arial" w:cs="Arial"/>
          <w:b/>
          <w:bCs/>
          <w:color w:val="000000"/>
          <w:kern w:val="0"/>
          <w14:ligatures w14:val="none"/>
        </w:rPr>
        <w:t>consider</w:t>
      </w:r>
      <w:r w:rsidRPr="00185DEA">
        <w:rPr>
          <w:rFonts w:ascii="Arial" w:eastAsia="Times New Roman" w:hAnsi="Arial" w:cs="Arial"/>
          <w:b/>
          <w:bCs/>
          <w:color w:val="000000"/>
          <w:kern w:val="0"/>
          <w14:ligatures w14:val="none"/>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90AA9" w:rsidRPr="00185DEA" w:rsidP="00190AA9" w14:paraId="1CE5636D"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85DEA" w:rsidP="00190AA9" w14:paraId="2723FE47" w14:textId="77777777">
      <w:pPr>
        <w:widowControl w:val="0"/>
        <w:numPr>
          <w:ilvl w:val="0"/>
          <w:numId w:val="4"/>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90AA9" w:rsidRPr="00185DEA" w:rsidP="00190AA9" w14:paraId="2ADEADAE"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85DEA" w:rsidP="00190AA9" w14:paraId="3BB9B56B" w14:textId="77777777">
      <w:pPr>
        <w:widowControl w:val="0"/>
        <w:numPr>
          <w:ilvl w:val="0"/>
          <w:numId w:val="4"/>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0AA9" w:rsidRPr="0011635F" w:rsidP="00190AA9" w14:paraId="5E718F1A"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190AA9" w:rsidP="00190AA9" w14:paraId="458BD25B"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11635F">
        <w:rPr>
          <w:rFonts w:ascii="Segoe UI" w:eastAsia="Times New Roman" w:hAnsi="Segoe UI" w:cs="Segoe UI"/>
          <w:color w:val="000000"/>
          <w:kern w:val="0"/>
          <w14:ligatures w14:val="none"/>
        </w:rPr>
        <w:t xml:space="preserve">There are no costs other than monetization of hourly burden as captured above in Item 12. </w:t>
      </w:r>
    </w:p>
    <w:p w:rsidR="00F174B7" w:rsidRPr="0011635F" w:rsidP="00190AA9" w14:paraId="0E47E88C" w14:textId="39B26AFF">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7" style="width:486.6pt;height:0.95pt" o:hrpct="0" o:hralign="center" o:hrstd="t" o:hrnoshade="t" o:hr="t" fillcolor="#414141" stroked="f"/>
        </w:pict>
      </w:r>
    </w:p>
    <w:p w:rsidR="00190AA9" w:rsidRPr="00190AA9" w:rsidP="00190AA9" w14:paraId="2011B4D8"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347396" w:rsidP="00190AA9" w14:paraId="62537664" w14:textId="77777777">
      <w:pPr>
        <w:tabs>
          <w:tab w:val="left" w:pos="360"/>
        </w:tabs>
        <w:autoSpaceDE w:val="0"/>
        <w:autoSpaceDN w:val="0"/>
        <w:adjustRightInd w:val="0"/>
        <w:spacing w:after="0" w:line="240" w:lineRule="auto"/>
        <w:ind w:left="360" w:hanging="360"/>
        <w:rPr>
          <w:rFonts w:ascii="Arial" w:eastAsia="Times New Roman" w:hAnsi="Arial" w:cs="Arial"/>
          <w:color w:val="000000"/>
          <w:kern w:val="0"/>
          <w14:ligatures w14:val="none"/>
        </w:rPr>
      </w:pPr>
      <w:r w:rsidRPr="00347396">
        <w:rPr>
          <w:rFonts w:ascii="Arial" w:eastAsia="Times New Roman" w:hAnsi="Arial" w:cs="Arial"/>
          <w:b/>
          <w:bCs/>
          <w:color w:val="000000"/>
          <w:kern w:val="0"/>
          <w14:ligatures w14:val="none"/>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17, 18, and 19 in a single table.</w:t>
      </w:r>
    </w:p>
    <w:p w:rsidR="00190AA9" w:rsidRPr="00185DEA" w:rsidP="00190AA9" w14:paraId="36F1D5D0" w14:textId="77777777">
      <w:pPr>
        <w:autoSpaceDE w:val="0"/>
        <w:autoSpaceDN w:val="0"/>
        <w:adjustRightInd w:val="0"/>
        <w:spacing w:after="0" w:line="240" w:lineRule="auto"/>
        <w:rPr>
          <w:rFonts w:ascii="Times New Roman" w:eastAsia="Times New Roman" w:hAnsi="Times New Roman" w:cs="Times New Roman"/>
          <w:color w:val="000000"/>
          <w:kern w:val="0"/>
          <w14:ligatures w14:val="none"/>
        </w:rPr>
      </w:pPr>
    </w:p>
    <w:p w:rsidR="006055BC" w:rsidRPr="006055BC" w:rsidP="006055BC" w14:paraId="10F9DB6C" w14:textId="4979AE8D">
      <w:pPr>
        <w:rPr>
          <w:rFonts w:ascii="Segoe UI" w:hAnsi="Segoe UI" w:cs="Segoe UI"/>
          <w:b/>
          <w:bCs/>
          <w:kern w:val="0"/>
          <w14:ligatures w14:val="none"/>
        </w:rPr>
      </w:pPr>
      <w:r w:rsidRPr="006055BC">
        <w:rPr>
          <w:rFonts w:ascii="Segoe UI" w:hAnsi="Segoe UI" w:cs="Segoe UI"/>
          <w:kern w:val="0"/>
          <w14:ligatures w14:val="none"/>
        </w:rPr>
        <w:t xml:space="preserve">The </w:t>
      </w:r>
      <w:r w:rsidR="00DC335C">
        <w:rPr>
          <w:rFonts w:ascii="Segoe UI" w:hAnsi="Segoe UI" w:cs="Segoe UI"/>
          <w:kern w:val="0"/>
          <w14:ligatures w14:val="none"/>
        </w:rPr>
        <w:t xml:space="preserve">estimated </w:t>
      </w:r>
      <w:r w:rsidRPr="006055BC">
        <w:rPr>
          <w:rFonts w:ascii="Segoe UI" w:hAnsi="Segoe UI" w:cs="Segoe UI"/>
          <w:kern w:val="0"/>
          <w14:ligatures w14:val="none"/>
        </w:rPr>
        <w:t>annualized cost to the Federal Government for the proposed data collection effort is</w:t>
      </w:r>
      <w:r w:rsidR="00945489">
        <w:rPr>
          <w:rFonts w:ascii="Segoe UI" w:hAnsi="Segoe UI" w:cs="Segoe UI"/>
          <w:kern w:val="0"/>
          <w14:ligatures w14:val="none"/>
        </w:rPr>
        <w:t xml:space="preserve"> $1</w:t>
      </w:r>
      <w:r w:rsidRPr="00C40B56" w:rsidR="0026032A">
        <w:rPr>
          <w:rFonts w:ascii="Segoe UI" w:hAnsi="Segoe UI" w:cs="Segoe UI"/>
          <w:kern w:val="0"/>
          <w14:ligatures w14:val="none"/>
        </w:rPr>
        <w:t>57</w:t>
      </w:r>
      <w:r w:rsidRPr="00C40B56" w:rsidR="00C40B56">
        <w:rPr>
          <w:rFonts w:ascii="Segoe UI" w:hAnsi="Segoe UI" w:cs="Segoe UI"/>
          <w:kern w:val="0"/>
          <w14:ligatures w14:val="none"/>
        </w:rPr>
        <w:t>,980</w:t>
      </w:r>
      <w:r w:rsidR="00C40B56">
        <w:rPr>
          <w:rFonts w:ascii="Segoe UI" w:hAnsi="Segoe UI" w:cs="Segoe UI"/>
          <w:b/>
          <w:bCs/>
          <w:kern w:val="0"/>
          <w14:ligatures w14:val="none"/>
        </w:rPr>
        <w:t>.</w:t>
      </w:r>
      <w:r w:rsidRPr="006055BC">
        <w:rPr>
          <w:rFonts w:ascii="Segoe UI" w:hAnsi="Segoe UI" w:cs="Segoe UI"/>
          <w:b/>
          <w:bCs/>
          <w:kern w:val="0"/>
          <w14:ligatures w14:val="none"/>
        </w:rPr>
        <w:t xml:space="preserve"> </w:t>
      </w:r>
    </w:p>
    <w:tbl>
      <w:tblPr>
        <w:tblW w:w="9620" w:type="dxa"/>
        <w:tblInd w:w="-10" w:type="dxa"/>
        <w:tblCellMar>
          <w:left w:w="0" w:type="dxa"/>
          <w:right w:w="0" w:type="dxa"/>
        </w:tblCellMar>
        <w:tblLook w:val="04A0"/>
      </w:tblPr>
      <w:tblGrid>
        <w:gridCol w:w="1980"/>
        <w:gridCol w:w="1350"/>
        <w:gridCol w:w="2430"/>
        <w:gridCol w:w="1134"/>
        <w:gridCol w:w="1308"/>
        <w:gridCol w:w="1275"/>
        <w:gridCol w:w="137"/>
        <w:gridCol w:w="6"/>
      </w:tblGrid>
      <w:tr w14:paraId="5706CF10" w14:textId="77777777" w:rsidTr="00CF682C">
        <w:tblPrEx>
          <w:tblW w:w="9620" w:type="dxa"/>
          <w:tblInd w:w="-10" w:type="dxa"/>
          <w:tblCellMar>
            <w:left w:w="0" w:type="dxa"/>
            <w:right w:w="0" w:type="dxa"/>
          </w:tblCellMar>
          <w:tblLook w:val="04A0"/>
        </w:tblPrEx>
        <w:trPr>
          <w:gridAfter w:val="2"/>
          <w:wAfter w:w="143" w:type="dxa"/>
          <w:trHeight w:val="727"/>
        </w:trPr>
        <w:tc>
          <w:tcPr>
            <w:tcW w:w="1980" w:type="dxa"/>
            <w:tcBorders>
              <w:top w:val="single" w:sz="8" w:space="0" w:color="auto"/>
              <w:left w:val="single" w:sz="8" w:space="0" w:color="auto"/>
              <w:bottom w:val="single" w:sz="8" w:space="0" w:color="auto"/>
              <w:right w:val="single" w:sz="8" w:space="0" w:color="auto"/>
            </w:tcBorders>
            <w:shd w:val="clear" w:color="auto" w:fill="B3E5A1" w:themeFill="accent6" w:themeFillTint="66"/>
            <w:noWrap/>
            <w:tcMar>
              <w:top w:w="0" w:type="dxa"/>
              <w:left w:w="108" w:type="dxa"/>
              <w:bottom w:w="0" w:type="dxa"/>
              <w:right w:w="108" w:type="dxa"/>
            </w:tcMar>
            <w:vAlign w:val="bottom"/>
            <w:hideMark/>
          </w:tcPr>
          <w:p w:rsidR="006055BC" w:rsidRPr="006055BC" w:rsidP="006055BC" w14:paraId="5C636665" w14:textId="77777777">
            <w:pPr>
              <w:jc w:val="center"/>
              <w:rPr>
                <w:rFonts w:ascii="Arial" w:hAnsi="Arial" w:cs="Arial"/>
                <w:b/>
                <w:bCs/>
                <w:kern w:val="0"/>
                <w14:ligatures w14:val="none"/>
              </w:rPr>
            </w:pPr>
            <w:r w:rsidRPr="006055BC">
              <w:rPr>
                <w:rFonts w:ascii="Arial" w:hAnsi="Arial" w:cs="Arial"/>
                <w:b/>
                <w:bCs/>
                <w:kern w:val="0"/>
                <w14:ligatures w14:val="none"/>
              </w:rPr>
              <w:t>Cost Descriptions</w:t>
            </w:r>
          </w:p>
        </w:tc>
        <w:tc>
          <w:tcPr>
            <w:tcW w:w="1350" w:type="dxa"/>
            <w:tcBorders>
              <w:top w:val="single" w:sz="8" w:space="0" w:color="auto"/>
              <w:left w:val="nil"/>
              <w:bottom w:val="single" w:sz="8" w:space="0" w:color="auto"/>
              <w:right w:val="single" w:sz="8" w:space="0" w:color="auto"/>
            </w:tcBorders>
            <w:shd w:val="clear" w:color="auto" w:fill="B3E5A1" w:themeFill="accent6" w:themeFillTint="66"/>
            <w:vAlign w:val="bottom"/>
          </w:tcPr>
          <w:p w:rsidR="006055BC" w:rsidRPr="006055BC" w:rsidP="006055BC" w14:paraId="6C5C1851" w14:textId="77777777">
            <w:pPr>
              <w:spacing w:after="0"/>
              <w:jc w:val="center"/>
              <w:rPr>
                <w:rFonts w:ascii="Arial" w:hAnsi="Arial" w:cs="Arial"/>
                <w:b/>
                <w:bCs/>
                <w:kern w:val="0"/>
                <w14:ligatures w14:val="none"/>
              </w:rPr>
            </w:pPr>
          </w:p>
          <w:p w:rsidR="006055BC" w:rsidRPr="006055BC" w:rsidP="006055BC" w14:paraId="241DBD49" w14:textId="77777777">
            <w:pPr>
              <w:jc w:val="center"/>
              <w:rPr>
                <w:rFonts w:ascii="Arial" w:hAnsi="Arial" w:cs="Arial"/>
                <w:b/>
                <w:bCs/>
                <w:kern w:val="0"/>
                <w14:ligatures w14:val="none"/>
              </w:rPr>
            </w:pPr>
            <w:r w:rsidRPr="006055BC">
              <w:rPr>
                <w:rFonts w:ascii="Arial" w:hAnsi="Arial" w:cs="Arial"/>
                <w:b/>
                <w:bCs/>
                <w:kern w:val="0"/>
                <w14:ligatures w14:val="none"/>
              </w:rPr>
              <w:t>Grade/Step</w:t>
            </w:r>
          </w:p>
        </w:tc>
        <w:tc>
          <w:tcPr>
            <w:tcW w:w="2430" w:type="dxa"/>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bottom"/>
            <w:hideMark/>
          </w:tcPr>
          <w:p w:rsidR="006055BC" w:rsidRPr="006055BC" w:rsidP="006055BC" w14:paraId="23F355B0" w14:textId="77777777">
            <w:pPr>
              <w:jc w:val="center"/>
              <w:rPr>
                <w:rFonts w:ascii="Arial" w:hAnsi="Arial" w:cs="Arial"/>
                <w:b/>
                <w:bCs/>
                <w:kern w:val="0"/>
                <w14:ligatures w14:val="none"/>
              </w:rPr>
            </w:pPr>
            <w:r w:rsidRPr="006055BC">
              <w:rPr>
                <w:rFonts w:ascii="Arial" w:hAnsi="Arial" w:cs="Arial"/>
                <w:b/>
                <w:bCs/>
                <w:kern w:val="0"/>
                <w14:ligatures w14:val="none"/>
              </w:rPr>
              <w:t>Salary</w:t>
            </w:r>
          </w:p>
        </w:tc>
        <w:tc>
          <w:tcPr>
            <w:tcW w:w="1134" w:type="dxa"/>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bottom"/>
            <w:hideMark/>
          </w:tcPr>
          <w:p w:rsidR="006055BC" w:rsidRPr="006055BC" w:rsidP="006055BC" w14:paraId="492B154E" w14:textId="77777777">
            <w:pPr>
              <w:jc w:val="center"/>
              <w:rPr>
                <w:rFonts w:ascii="Arial" w:hAnsi="Arial" w:cs="Arial"/>
                <w:b/>
                <w:bCs/>
                <w:kern w:val="0"/>
                <w14:ligatures w14:val="none"/>
              </w:rPr>
            </w:pPr>
            <w:r w:rsidRPr="006055BC">
              <w:rPr>
                <w:rFonts w:ascii="Arial" w:hAnsi="Arial" w:cs="Arial"/>
                <w:b/>
                <w:bCs/>
                <w:kern w:val="0"/>
                <w14:ligatures w14:val="none"/>
              </w:rPr>
              <w:t>% of Effort</w:t>
            </w:r>
          </w:p>
        </w:tc>
        <w:tc>
          <w:tcPr>
            <w:tcW w:w="1308" w:type="dxa"/>
            <w:tcBorders>
              <w:top w:val="single" w:sz="8" w:space="0" w:color="auto"/>
              <w:left w:val="nil"/>
              <w:bottom w:val="single" w:sz="8" w:space="0" w:color="auto"/>
              <w:right w:val="single" w:sz="8" w:space="0" w:color="auto"/>
            </w:tcBorders>
            <w:shd w:val="clear" w:color="auto" w:fill="B3E5A1" w:themeFill="accent6" w:themeFillTint="66"/>
          </w:tcPr>
          <w:p w:rsidR="006055BC" w:rsidRPr="006055BC" w:rsidP="006055BC" w14:paraId="14DD3F69" w14:textId="77777777">
            <w:pPr>
              <w:spacing w:after="0"/>
              <w:jc w:val="center"/>
              <w:rPr>
                <w:rFonts w:ascii="Arial" w:hAnsi="Arial" w:cs="Arial"/>
                <w:b/>
                <w:bCs/>
                <w:kern w:val="0"/>
                <w14:ligatures w14:val="none"/>
              </w:rPr>
            </w:pPr>
          </w:p>
          <w:p w:rsidR="006055BC" w:rsidRPr="006055BC" w:rsidP="006055BC" w14:paraId="06D64C1B" w14:textId="77777777">
            <w:pPr>
              <w:jc w:val="center"/>
              <w:rPr>
                <w:rFonts w:ascii="Arial" w:hAnsi="Arial" w:cs="Arial"/>
                <w:b/>
                <w:bCs/>
                <w:kern w:val="0"/>
                <w14:ligatures w14:val="none"/>
              </w:rPr>
            </w:pPr>
            <w:r w:rsidRPr="006055BC">
              <w:rPr>
                <w:rFonts w:ascii="Arial" w:hAnsi="Arial" w:cs="Arial"/>
                <w:b/>
                <w:bCs/>
                <w:kern w:val="0"/>
                <w14:ligatures w14:val="none"/>
              </w:rPr>
              <w:t>Fringe (if applicable)</w:t>
            </w:r>
          </w:p>
        </w:tc>
        <w:tc>
          <w:tcPr>
            <w:tcW w:w="1275" w:type="dxa"/>
            <w:tcBorders>
              <w:top w:val="single" w:sz="8" w:space="0" w:color="auto"/>
              <w:left w:val="nil"/>
              <w:bottom w:val="single" w:sz="8" w:space="0" w:color="auto"/>
              <w:right w:val="single" w:sz="8" w:space="0" w:color="auto"/>
            </w:tcBorders>
            <w:shd w:val="clear" w:color="auto" w:fill="B3E5A1" w:themeFill="accent6" w:themeFillTint="66"/>
          </w:tcPr>
          <w:p w:rsidR="006055BC" w:rsidRPr="006055BC" w:rsidP="006055BC" w14:paraId="66325AAF" w14:textId="77777777">
            <w:pPr>
              <w:spacing w:after="0"/>
              <w:jc w:val="center"/>
              <w:rPr>
                <w:rFonts w:ascii="Arial" w:hAnsi="Arial" w:cs="Arial"/>
                <w:b/>
                <w:bCs/>
                <w:kern w:val="0"/>
                <w14:ligatures w14:val="none"/>
              </w:rPr>
            </w:pPr>
          </w:p>
          <w:p w:rsidR="006055BC" w:rsidRPr="006055BC" w:rsidP="006055BC" w14:paraId="34CDD23A" w14:textId="77777777">
            <w:pPr>
              <w:jc w:val="center"/>
              <w:rPr>
                <w:rFonts w:ascii="Arial" w:hAnsi="Arial" w:cs="Arial"/>
                <w:b/>
                <w:bCs/>
                <w:kern w:val="0"/>
                <w14:ligatures w14:val="none"/>
              </w:rPr>
            </w:pPr>
            <w:r w:rsidRPr="006055BC">
              <w:rPr>
                <w:rFonts w:ascii="Arial" w:hAnsi="Arial" w:cs="Arial"/>
                <w:b/>
                <w:bCs/>
                <w:kern w:val="0"/>
                <w14:ligatures w14:val="none"/>
              </w:rPr>
              <w:t>Total Cost to Gov’t</w:t>
            </w:r>
          </w:p>
        </w:tc>
      </w:tr>
      <w:tr w14:paraId="3E5DD7F3" w14:textId="77777777" w:rsidTr="00CF682C">
        <w:tblPrEx>
          <w:tblW w:w="9620" w:type="dxa"/>
          <w:tblInd w:w="-10" w:type="dxa"/>
          <w:tblCellMar>
            <w:left w:w="0" w:type="dxa"/>
            <w:right w:w="0" w:type="dxa"/>
          </w:tblCellMar>
          <w:tblLook w:val="04A0"/>
        </w:tblPrEx>
        <w:trPr>
          <w:gridAfter w:val="2"/>
          <w:wAfter w:w="143" w:type="dxa"/>
          <w:trHeight w:val="29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055BC" w:rsidRPr="006055BC" w:rsidP="006055BC" w14:paraId="3B428A68" w14:textId="77777777">
            <w:pPr>
              <w:spacing w:after="0"/>
              <w:rPr>
                <w:rFonts w:ascii="Arial" w:hAnsi="Arial" w:cs="Arial"/>
                <w:b/>
                <w:kern w:val="0"/>
                <w14:ligatures w14:val="none"/>
              </w:rPr>
            </w:pPr>
            <w:r w:rsidRPr="006055BC">
              <w:rPr>
                <w:rFonts w:ascii="Arial" w:hAnsi="Arial" w:cs="Arial"/>
                <w:b/>
                <w:kern w:val="0"/>
                <w14:ligatures w14:val="none"/>
              </w:rPr>
              <w:t>Federal Oversight</w:t>
            </w:r>
          </w:p>
        </w:tc>
        <w:tc>
          <w:tcPr>
            <w:tcW w:w="1350" w:type="dxa"/>
            <w:tcBorders>
              <w:top w:val="nil"/>
              <w:left w:val="nil"/>
              <w:bottom w:val="single" w:sz="8" w:space="0" w:color="auto"/>
              <w:right w:val="single" w:sz="8" w:space="0" w:color="auto"/>
            </w:tcBorders>
            <w:shd w:val="pct20" w:color="auto" w:fill="auto"/>
          </w:tcPr>
          <w:p w:rsidR="006055BC" w:rsidRPr="006055BC" w:rsidP="006055BC" w14:paraId="02C47959" w14:textId="77777777">
            <w:pPr>
              <w:spacing w:after="0"/>
              <w:rPr>
                <w:rFonts w:ascii="Arial" w:hAnsi="Arial" w:cs="Arial"/>
                <w:kern w:val="0"/>
                <w14:ligatures w14:val="none"/>
              </w:rPr>
            </w:pPr>
          </w:p>
        </w:tc>
        <w:tc>
          <w:tcPr>
            <w:tcW w:w="243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6055BC" w:rsidRPr="006055BC" w:rsidP="006055BC" w14:paraId="466FFC56" w14:textId="77777777">
            <w:pPr>
              <w:spacing w:after="0"/>
              <w:rPr>
                <w:rFonts w:ascii="Arial" w:hAnsi="Arial" w:cs="Arial"/>
                <w:kern w:val="0"/>
                <w14:ligatures w14:val="none"/>
              </w:rPr>
            </w:pPr>
          </w:p>
        </w:tc>
        <w:tc>
          <w:tcPr>
            <w:tcW w:w="1134"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6055BC" w:rsidRPr="006055BC" w:rsidP="006055BC" w14:paraId="51304124" w14:textId="77777777">
            <w:pPr>
              <w:spacing w:after="0"/>
              <w:rPr>
                <w:rFonts w:ascii="Arial" w:hAnsi="Arial" w:cs="Arial"/>
                <w:kern w:val="0"/>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tcPr>
          <w:p w:rsidR="006055BC" w:rsidRPr="006055BC" w:rsidP="006055BC" w14:paraId="433FE103" w14:textId="77777777">
            <w:pPr>
              <w:spacing w:after="0"/>
              <w:rPr>
                <w:rFonts w:ascii="Arial" w:hAnsi="Arial" w:cs="Arial"/>
                <w:kern w:val="0"/>
                <w14:ligatures w14:val="none"/>
              </w:rPr>
            </w:pPr>
          </w:p>
        </w:tc>
        <w:tc>
          <w:tcPr>
            <w:tcW w:w="1275" w:type="dxa"/>
            <w:tcBorders>
              <w:top w:val="nil"/>
              <w:left w:val="nil"/>
              <w:bottom w:val="single" w:sz="8" w:space="0" w:color="auto"/>
              <w:right w:val="single" w:sz="8" w:space="0" w:color="auto"/>
            </w:tcBorders>
            <w:shd w:val="pct20" w:color="auto" w:fill="auto"/>
          </w:tcPr>
          <w:p w:rsidR="006055BC" w:rsidRPr="006055BC" w:rsidP="006055BC" w14:paraId="04A80F41" w14:textId="77777777">
            <w:pPr>
              <w:spacing w:after="0"/>
              <w:rPr>
                <w:rFonts w:ascii="Arial" w:hAnsi="Arial" w:cs="Arial"/>
                <w:kern w:val="0"/>
                <w14:ligatures w14:val="none"/>
              </w:rPr>
            </w:pPr>
          </w:p>
        </w:tc>
      </w:tr>
      <w:tr w14:paraId="32342F28" w14:textId="77777777" w:rsidTr="00CF682C">
        <w:tblPrEx>
          <w:tblW w:w="9620" w:type="dxa"/>
          <w:tblInd w:w="-10" w:type="dxa"/>
          <w:tblCellMar>
            <w:left w:w="0" w:type="dxa"/>
            <w:right w:w="0" w:type="dxa"/>
          </w:tblCellMar>
          <w:tblLook w:val="04A0"/>
        </w:tblPrEx>
        <w:trPr>
          <w:gridAfter w:val="2"/>
          <w:wAfter w:w="143" w:type="dxa"/>
          <w:trHeight w:val="295"/>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31326CFB" w14:textId="51837D3B">
            <w:pPr>
              <w:spacing w:after="0"/>
              <w:rPr>
                <w:rFonts w:ascii="Arial" w:hAnsi="Arial" w:cs="Arial"/>
                <w:kern w:val="0"/>
                <w14:ligatures w14:val="none"/>
              </w:rPr>
            </w:pPr>
            <w:r w:rsidRPr="002206EF">
              <w:rPr>
                <w:rFonts w:ascii="Arial" w:hAnsi="Arial" w:cs="Arial"/>
              </w:rPr>
              <w:t>Federal staff</w:t>
            </w:r>
          </w:p>
        </w:tc>
        <w:tc>
          <w:tcPr>
            <w:tcW w:w="1350" w:type="dxa"/>
            <w:tcBorders>
              <w:top w:val="nil"/>
              <w:left w:val="nil"/>
              <w:bottom w:val="single" w:sz="8" w:space="0" w:color="auto"/>
              <w:right w:val="single" w:sz="8" w:space="0" w:color="auto"/>
            </w:tcBorders>
          </w:tcPr>
          <w:p w:rsidR="00E94C4A" w:rsidRPr="006055BC" w:rsidP="00E94C4A" w14:paraId="768B9BA4" w14:textId="3C682044">
            <w:pPr>
              <w:spacing w:after="0"/>
              <w:jc w:val="center"/>
              <w:rPr>
                <w:rFonts w:ascii="Arial" w:hAnsi="Arial" w:cs="Arial"/>
                <w:kern w:val="0"/>
                <w14:ligatures w14:val="none"/>
              </w:rPr>
            </w:pPr>
            <w:r w:rsidRPr="002206EF">
              <w:rPr>
                <w:rFonts w:ascii="Arial" w:hAnsi="Arial" w:cs="Arial"/>
              </w:rPr>
              <w:t>multiple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64DEE733" w14:textId="01AAB6C2">
            <w:pPr>
              <w:spacing w:after="0"/>
              <w:jc w:val="center"/>
              <w:rPr>
                <w:rFonts w:ascii="Arial" w:hAnsi="Arial" w:cs="Arial"/>
                <w:kern w:val="0"/>
                <w14:ligatures w14:val="none"/>
              </w:rPr>
            </w:pPr>
            <w:r>
              <w:rPr>
                <w:rFonts w:ascii="Arial" w:hAnsi="Arial" w:cs="Arial"/>
              </w:rPr>
              <w:t xml:space="preserve">Avg - </w:t>
            </w:r>
            <w:r w:rsidRPr="002206EF">
              <w:rPr>
                <w:rFonts w:ascii="Arial" w:hAnsi="Arial" w:cs="Arial"/>
              </w:rPr>
              <w:t>$</w:t>
            </w:r>
            <w:r>
              <w:rPr>
                <w:rFonts w:ascii="Arial" w:hAnsi="Arial" w:cs="Arial"/>
              </w:rPr>
              <w:t>78.99</w:t>
            </w:r>
            <w:r w:rsidRPr="002206EF">
              <w:rPr>
                <w:rFonts w:ascii="Arial" w:hAnsi="Arial" w:cs="Arial"/>
              </w:rPr>
              <w:t xml:space="preserve"> hour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56587CD9" w14:textId="5F9390CD">
            <w:pPr>
              <w:spacing w:after="0"/>
              <w:jc w:val="center"/>
              <w:rPr>
                <w:rFonts w:ascii="Arial" w:hAnsi="Arial" w:cs="Arial"/>
                <w:kern w:val="0"/>
                <w14:ligatures w14:val="none"/>
              </w:rPr>
            </w:pPr>
            <w:r>
              <w:rPr>
                <w:rFonts w:ascii="Arial" w:hAnsi="Arial" w:cs="Arial"/>
              </w:rPr>
              <w:t>2</w:t>
            </w:r>
            <w:r w:rsidRPr="002206EF">
              <w:rPr>
                <w:rFonts w:ascii="Arial" w:hAnsi="Arial" w:cs="Arial"/>
              </w:rPr>
              <w:t>0%</w:t>
            </w:r>
          </w:p>
        </w:tc>
        <w:tc>
          <w:tcPr>
            <w:tcW w:w="1308" w:type="dxa"/>
            <w:tcBorders>
              <w:top w:val="nil"/>
              <w:left w:val="nil"/>
              <w:bottom w:val="single" w:sz="8" w:space="0" w:color="auto"/>
              <w:right w:val="single" w:sz="8" w:space="0" w:color="auto"/>
            </w:tcBorders>
            <w:shd w:val="clear" w:color="auto" w:fill="BFBFBF" w:themeFill="background1" w:themeFillShade="BF"/>
          </w:tcPr>
          <w:p w:rsidR="00E94C4A" w:rsidRPr="006055BC" w:rsidP="00E94C4A" w14:paraId="1BBA6B33" w14:textId="77777777">
            <w:pPr>
              <w:spacing w:after="0"/>
              <w:jc w:val="center"/>
              <w:rPr>
                <w:rFonts w:ascii="Arial" w:hAnsi="Arial" w:cs="Arial"/>
                <w:kern w:val="0"/>
                <w14:ligatures w14:val="none"/>
              </w:rPr>
            </w:pPr>
          </w:p>
        </w:tc>
        <w:tc>
          <w:tcPr>
            <w:tcW w:w="1275" w:type="dxa"/>
            <w:tcBorders>
              <w:top w:val="nil"/>
              <w:left w:val="nil"/>
              <w:bottom w:val="single" w:sz="8" w:space="0" w:color="auto"/>
              <w:right w:val="single" w:sz="8" w:space="0" w:color="auto"/>
            </w:tcBorders>
          </w:tcPr>
          <w:p w:rsidR="00E94C4A" w:rsidRPr="006055BC" w:rsidP="00E94C4A" w14:paraId="59AF3940" w14:textId="1775800A">
            <w:pPr>
              <w:spacing w:after="0"/>
              <w:jc w:val="center"/>
              <w:rPr>
                <w:rFonts w:ascii="Arial" w:hAnsi="Arial" w:cs="Arial"/>
                <w:kern w:val="0"/>
                <w14:ligatures w14:val="none"/>
              </w:rPr>
            </w:pPr>
            <w:r w:rsidRPr="002206EF">
              <w:rPr>
                <w:rFonts w:ascii="Arial" w:hAnsi="Arial" w:cs="Arial"/>
              </w:rPr>
              <w:t>$</w:t>
            </w:r>
            <w:r w:rsidR="00683F80">
              <w:rPr>
                <w:rFonts w:ascii="Arial" w:hAnsi="Arial" w:cs="Arial"/>
              </w:rPr>
              <w:t>157,980</w:t>
            </w:r>
          </w:p>
        </w:tc>
      </w:tr>
      <w:tr w14:paraId="44E121FD" w14:textId="77777777" w:rsidTr="00CF682C">
        <w:tblPrEx>
          <w:tblW w:w="9620" w:type="dxa"/>
          <w:tblInd w:w="-10" w:type="dxa"/>
          <w:tblCellMar>
            <w:left w:w="0" w:type="dxa"/>
            <w:right w:w="0" w:type="dxa"/>
          </w:tblCellMar>
          <w:tblLook w:val="04A0"/>
        </w:tblPrEx>
        <w:trPr>
          <w:gridAfter w:val="2"/>
          <w:wAfter w:w="143" w:type="dxa"/>
          <w:trHeight w:val="277"/>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1701E262" w14:textId="77777777">
            <w:pPr>
              <w:spacing w:after="0"/>
              <w:rPr>
                <w:rFonts w:ascii="Arial" w:hAnsi="Arial" w:cs="Arial"/>
                <w:kern w:val="0"/>
                <w14:ligatures w14:val="none"/>
              </w:rPr>
            </w:pPr>
          </w:p>
        </w:tc>
        <w:tc>
          <w:tcPr>
            <w:tcW w:w="1350" w:type="dxa"/>
            <w:tcBorders>
              <w:top w:val="nil"/>
              <w:left w:val="nil"/>
              <w:bottom w:val="single" w:sz="8" w:space="0" w:color="auto"/>
              <w:right w:val="single" w:sz="8" w:space="0" w:color="auto"/>
            </w:tcBorders>
          </w:tcPr>
          <w:p w:rsidR="00E94C4A" w:rsidRPr="006055BC" w:rsidP="00E94C4A" w14:paraId="3E567CB4" w14:textId="77777777">
            <w:pPr>
              <w:spacing w:after="0"/>
              <w:rPr>
                <w:rFonts w:ascii="Arial" w:hAnsi="Arial" w:cs="Arial"/>
                <w:kern w:val="0"/>
                <w14:ligatures w14:val="none"/>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16FADA96" w14:textId="77777777">
            <w:pPr>
              <w:spacing w:after="0"/>
              <w:rPr>
                <w:rFonts w:ascii="Arial" w:hAnsi="Arial" w:cs="Arial"/>
                <w:kern w:val="0"/>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30A07420" w14:textId="77777777">
            <w:pPr>
              <w:spacing w:after="0"/>
              <w:rPr>
                <w:rFonts w:ascii="Arial" w:hAnsi="Arial" w:cs="Arial"/>
                <w:kern w:val="0"/>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tcPr>
          <w:p w:rsidR="00E94C4A" w:rsidRPr="006055BC" w:rsidP="00E94C4A" w14:paraId="1693BBFB" w14:textId="77777777">
            <w:pPr>
              <w:spacing w:after="0"/>
              <w:rPr>
                <w:rFonts w:ascii="Arial" w:hAnsi="Arial" w:cs="Arial"/>
                <w:kern w:val="0"/>
                <w14:ligatures w14:val="none"/>
              </w:rPr>
            </w:pPr>
          </w:p>
        </w:tc>
        <w:tc>
          <w:tcPr>
            <w:tcW w:w="1275" w:type="dxa"/>
            <w:tcBorders>
              <w:top w:val="nil"/>
              <w:left w:val="nil"/>
              <w:bottom w:val="single" w:sz="8" w:space="0" w:color="auto"/>
              <w:right w:val="single" w:sz="8" w:space="0" w:color="auto"/>
            </w:tcBorders>
          </w:tcPr>
          <w:p w:rsidR="00E94C4A" w:rsidRPr="006055BC" w:rsidP="00E94C4A" w14:paraId="3C9F432E" w14:textId="77777777">
            <w:pPr>
              <w:spacing w:after="0"/>
              <w:rPr>
                <w:rFonts w:ascii="Arial" w:hAnsi="Arial" w:cs="Arial"/>
                <w:kern w:val="0"/>
                <w14:ligatures w14:val="none"/>
              </w:rPr>
            </w:pPr>
          </w:p>
        </w:tc>
      </w:tr>
      <w:tr w14:paraId="41F3BAC0" w14:textId="77777777" w:rsidTr="006055BC">
        <w:tblPrEx>
          <w:tblW w:w="9620" w:type="dxa"/>
          <w:tblInd w:w="-10" w:type="dxa"/>
          <w:tblCellMar>
            <w:left w:w="0" w:type="dxa"/>
            <w:right w:w="0" w:type="dxa"/>
          </w:tblCellMar>
          <w:tblLook w:val="04A0"/>
        </w:tblPrEx>
        <w:trPr>
          <w:trHeight w:val="322"/>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4C4A" w:rsidRPr="006055BC" w:rsidP="00E94C4A" w14:paraId="0BE1BE6E" w14:textId="77777777">
            <w:pPr>
              <w:spacing w:after="0"/>
              <w:rPr>
                <w:rFonts w:ascii="Arial" w:hAnsi="Arial" w:cs="Arial"/>
                <w:bCs/>
                <w:kern w:val="0"/>
                <w14:ligatures w14:val="none"/>
              </w:rPr>
            </w:pPr>
          </w:p>
        </w:tc>
        <w:tc>
          <w:tcPr>
            <w:tcW w:w="1350" w:type="dxa"/>
            <w:tcBorders>
              <w:top w:val="nil"/>
              <w:left w:val="nil"/>
              <w:bottom w:val="single" w:sz="8" w:space="0" w:color="auto"/>
              <w:right w:val="single" w:sz="8" w:space="0" w:color="auto"/>
            </w:tcBorders>
            <w:shd w:val="clear" w:color="auto" w:fill="BFBFBF" w:themeFill="background1" w:themeFillShade="BF"/>
          </w:tcPr>
          <w:p w:rsidR="00E94C4A" w:rsidRPr="006055BC" w:rsidP="00E94C4A" w14:paraId="6E533B6E" w14:textId="77777777">
            <w:pPr>
              <w:spacing w:after="0"/>
              <w:rPr>
                <w:rFonts w:ascii="Arial" w:hAnsi="Arial" w:cs="Arial"/>
                <w:kern w:val="0"/>
                <w14:ligatures w14:val="none"/>
              </w:rPr>
            </w:pPr>
          </w:p>
        </w:tc>
        <w:tc>
          <w:tcPr>
            <w:tcW w:w="24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E94C4A" w:rsidRPr="006055BC" w:rsidP="00E94C4A" w14:paraId="0A1BD104" w14:textId="77777777">
            <w:pPr>
              <w:spacing w:after="0"/>
              <w:rPr>
                <w:rFonts w:ascii="Arial" w:hAnsi="Arial" w:cs="Arial"/>
                <w:kern w:val="0"/>
                <w14:ligatures w14:val="none"/>
              </w:rPr>
            </w:pPr>
          </w:p>
        </w:tc>
        <w:tc>
          <w:tcPr>
            <w:tcW w:w="113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E94C4A" w:rsidRPr="006055BC" w:rsidP="00E94C4A" w14:paraId="682E4936" w14:textId="77777777">
            <w:pPr>
              <w:spacing w:after="0"/>
              <w:rPr>
                <w:rFonts w:ascii="Arial" w:hAnsi="Arial" w:cs="Arial"/>
                <w:b/>
                <w:kern w:val="0"/>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vAlign w:val="bottom"/>
          </w:tcPr>
          <w:p w:rsidR="00E94C4A" w:rsidRPr="006055BC" w:rsidP="00E94C4A" w14:paraId="52BB96C0" w14:textId="77777777">
            <w:pPr>
              <w:spacing w:after="0"/>
              <w:rPr>
                <w:rFonts w:ascii="Arial" w:hAnsi="Arial" w:cs="Arial"/>
                <w:b/>
                <w:kern w:val="0"/>
                <w14:ligatures w14:val="none"/>
              </w:rPr>
            </w:pPr>
          </w:p>
        </w:tc>
        <w:tc>
          <w:tcPr>
            <w:tcW w:w="1275" w:type="dxa"/>
            <w:tcBorders>
              <w:top w:val="nil"/>
              <w:left w:val="nil"/>
              <w:bottom w:val="single" w:sz="8" w:space="0" w:color="auto"/>
              <w:right w:val="single" w:sz="8" w:space="0" w:color="auto"/>
            </w:tcBorders>
          </w:tcPr>
          <w:p w:rsidR="00E94C4A" w:rsidRPr="006055BC" w:rsidP="00E94C4A" w14:paraId="01932071" w14:textId="77777777">
            <w:pPr>
              <w:spacing w:after="0"/>
              <w:rPr>
                <w:rFonts w:ascii="Arial" w:hAnsi="Arial" w:cs="Arial"/>
                <w:b/>
                <w:kern w:val="0"/>
                <w14:ligatures w14:val="none"/>
              </w:rPr>
            </w:pPr>
          </w:p>
        </w:tc>
        <w:tc>
          <w:tcPr>
            <w:tcW w:w="137" w:type="dxa"/>
            <w:vAlign w:val="bottom"/>
          </w:tcPr>
          <w:p w:rsidR="00E94C4A" w:rsidRPr="006055BC" w:rsidP="00E94C4A" w14:paraId="0450369E" w14:textId="77777777">
            <w:pPr>
              <w:spacing w:after="0"/>
              <w:rPr>
                <w:rFonts w:ascii="Arial" w:hAnsi="Arial" w:cs="Arial"/>
                <w:kern w:val="0"/>
                <w14:ligatures w14:val="none"/>
              </w:rPr>
            </w:pPr>
          </w:p>
        </w:tc>
        <w:tc>
          <w:tcPr>
            <w:tcW w:w="6" w:type="dxa"/>
            <w:vAlign w:val="bottom"/>
          </w:tcPr>
          <w:p w:rsidR="00E94C4A" w:rsidRPr="006055BC" w:rsidP="00E94C4A" w14:paraId="144BFB48" w14:textId="77777777">
            <w:pPr>
              <w:spacing w:after="0"/>
              <w:rPr>
                <w:rFonts w:ascii="Arial" w:hAnsi="Arial" w:cs="Arial"/>
                <w:kern w:val="0"/>
                <w14:ligatures w14:val="none"/>
              </w:rPr>
            </w:pPr>
          </w:p>
        </w:tc>
      </w:tr>
      <w:tr w14:paraId="6C635D41" w14:textId="77777777" w:rsidTr="006055BC">
        <w:tblPrEx>
          <w:tblW w:w="9620" w:type="dxa"/>
          <w:tblInd w:w="-10" w:type="dxa"/>
          <w:tblCellMar>
            <w:left w:w="0" w:type="dxa"/>
            <w:right w:w="0" w:type="dxa"/>
          </w:tblCellMar>
          <w:tblLook w:val="04A0"/>
        </w:tblPrEx>
        <w:trPr>
          <w:trHeight w:val="322"/>
        </w:trPr>
        <w:tc>
          <w:tcPr>
            <w:tcW w:w="1980" w:type="dxa"/>
            <w:tcBorders>
              <w:top w:val="single" w:sz="8" w:space="0" w:color="auto"/>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E94C4A" w:rsidRPr="006055BC" w:rsidP="00E94C4A" w14:paraId="3E503E29" w14:textId="77777777">
            <w:pPr>
              <w:spacing w:after="0"/>
              <w:rPr>
                <w:rFonts w:ascii="Arial" w:hAnsi="Arial" w:cs="Arial"/>
                <w:b/>
                <w:kern w:val="0"/>
                <w14:ligatures w14:val="none"/>
              </w:rPr>
            </w:pPr>
            <w:r w:rsidRPr="006055BC">
              <w:rPr>
                <w:rFonts w:ascii="Arial" w:hAnsi="Arial" w:cs="Arial"/>
                <w:b/>
                <w:kern w:val="0"/>
                <w14:ligatures w14:val="none"/>
              </w:rPr>
              <w:t>Total</w:t>
            </w:r>
          </w:p>
        </w:tc>
        <w:tc>
          <w:tcPr>
            <w:tcW w:w="1350" w:type="dxa"/>
            <w:tcBorders>
              <w:top w:val="single" w:sz="8" w:space="0" w:color="auto"/>
              <w:left w:val="nil"/>
              <w:bottom w:val="single" w:sz="4" w:space="0" w:color="auto"/>
              <w:right w:val="single" w:sz="8" w:space="0" w:color="auto"/>
            </w:tcBorders>
            <w:shd w:val="clear" w:color="auto" w:fill="FFFF00"/>
          </w:tcPr>
          <w:p w:rsidR="00E94C4A" w:rsidRPr="006055BC" w:rsidP="00E94C4A" w14:paraId="276D71DA" w14:textId="77777777">
            <w:pPr>
              <w:spacing w:line="240" w:lineRule="auto"/>
              <w:rPr>
                <w:rFonts w:ascii="Arial" w:hAnsi="Arial" w:cs="Arial"/>
                <w:kern w:val="0"/>
                <w14:ligatures w14:val="none"/>
              </w:rPr>
            </w:pPr>
          </w:p>
        </w:tc>
        <w:tc>
          <w:tcPr>
            <w:tcW w:w="2430"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tcPr>
          <w:p w:rsidR="00E94C4A" w:rsidRPr="006055BC" w:rsidP="00E94C4A" w14:paraId="2CB5928F" w14:textId="77777777">
            <w:pPr>
              <w:spacing w:line="240" w:lineRule="auto"/>
              <w:rPr>
                <w:rFonts w:ascii="Arial" w:hAnsi="Arial" w:cs="Arial"/>
                <w:kern w:val="0"/>
                <w14:ligatures w14:val="none"/>
              </w:rPr>
            </w:pPr>
          </w:p>
        </w:tc>
        <w:tc>
          <w:tcPr>
            <w:tcW w:w="1134"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tcPr>
          <w:p w:rsidR="00E94C4A" w:rsidRPr="006055BC" w:rsidP="00E94C4A" w14:paraId="4CC45409" w14:textId="77777777">
            <w:pPr>
              <w:spacing w:line="240" w:lineRule="auto"/>
              <w:rPr>
                <w:rFonts w:ascii="Arial" w:hAnsi="Arial" w:cs="Arial"/>
                <w:kern w:val="0"/>
                <w14:ligatures w14:val="none"/>
              </w:rPr>
            </w:pPr>
          </w:p>
        </w:tc>
        <w:tc>
          <w:tcPr>
            <w:tcW w:w="1308" w:type="dxa"/>
            <w:tcBorders>
              <w:top w:val="single" w:sz="8" w:space="0" w:color="auto"/>
              <w:left w:val="nil"/>
              <w:bottom w:val="single" w:sz="4" w:space="0" w:color="auto"/>
              <w:right w:val="single" w:sz="8" w:space="0" w:color="auto"/>
            </w:tcBorders>
            <w:shd w:val="clear" w:color="auto" w:fill="FFFF00"/>
            <w:vAlign w:val="bottom"/>
          </w:tcPr>
          <w:p w:rsidR="00E94C4A" w:rsidRPr="006055BC" w:rsidP="00E94C4A" w14:paraId="22D8C02D" w14:textId="77777777">
            <w:pPr>
              <w:spacing w:line="240" w:lineRule="auto"/>
              <w:jc w:val="center"/>
              <w:rPr>
                <w:rFonts w:ascii="Arial" w:hAnsi="Arial" w:cs="Arial"/>
                <w:kern w:val="0"/>
                <w14:ligatures w14:val="none"/>
              </w:rPr>
            </w:pPr>
          </w:p>
        </w:tc>
        <w:tc>
          <w:tcPr>
            <w:tcW w:w="1275" w:type="dxa"/>
            <w:tcBorders>
              <w:top w:val="single" w:sz="8" w:space="0" w:color="auto"/>
              <w:left w:val="nil"/>
              <w:bottom w:val="single" w:sz="4" w:space="0" w:color="auto"/>
              <w:right w:val="single" w:sz="8" w:space="0" w:color="auto"/>
            </w:tcBorders>
            <w:shd w:val="clear" w:color="auto" w:fill="FFFF00"/>
          </w:tcPr>
          <w:p w:rsidR="00E94C4A" w:rsidRPr="006055BC" w:rsidP="00E94C4A" w14:paraId="7A580AA0" w14:textId="50371A31">
            <w:pPr>
              <w:spacing w:after="0"/>
              <w:jc w:val="center"/>
              <w:rPr>
                <w:rFonts w:ascii="Arial" w:hAnsi="Arial" w:cs="Arial"/>
                <w:b/>
                <w:bCs/>
                <w:kern w:val="0"/>
                <w14:ligatures w14:val="none"/>
              </w:rPr>
            </w:pPr>
            <w:r w:rsidRPr="002206EF">
              <w:rPr>
                <w:rFonts w:ascii="Arial" w:hAnsi="Arial" w:cs="Arial"/>
              </w:rPr>
              <w:t>$</w:t>
            </w:r>
            <w:r>
              <w:rPr>
                <w:rFonts w:ascii="Arial" w:hAnsi="Arial" w:cs="Arial"/>
              </w:rPr>
              <w:t>157,980</w:t>
            </w:r>
          </w:p>
        </w:tc>
        <w:tc>
          <w:tcPr>
            <w:tcW w:w="137" w:type="dxa"/>
            <w:vAlign w:val="bottom"/>
          </w:tcPr>
          <w:p w:rsidR="00E94C4A" w:rsidRPr="006055BC" w:rsidP="00E94C4A" w14:paraId="1E9C97D5" w14:textId="77777777">
            <w:pPr>
              <w:rPr>
                <w:rFonts w:ascii="Arial" w:hAnsi="Arial" w:cs="Arial"/>
                <w:kern w:val="0"/>
                <w14:ligatures w14:val="none"/>
              </w:rPr>
            </w:pPr>
          </w:p>
        </w:tc>
        <w:tc>
          <w:tcPr>
            <w:tcW w:w="6" w:type="dxa"/>
            <w:vAlign w:val="bottom"/>
          </w:tcPr>
          <w:p w:rsidR="00E94C4A" w:rsidRPr="006055BC" w:rsidP="00E94C4A" w14:paraId="78799C05" w14:textId="77777777">
            <w:pPr>
              <w:rPr>
                <w:rFonts w:ascii="Arial" w:hAnsi="Arial" w:cs="Arial"/>
                <w:kern w:val="0"/>
                <w14:ligatures w14:val="none"/>
              </w:rPr>
            </w:pPr>
          </w:p>
        </w:tc>
      </w:tr>
    </w:tbl>
    <w:p w:rsidR="00190AA9" w:rsidP="00190AA9" w14:paraId="18337A8C" w14:textId="34CF41E8">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Segoe UI" w:hAnsi="Segoe UI" w:cs="Segoe UI"/>
        </w:rPr>
        <w:pict>
          <v:rect id="_x0000_i1038" style="width:486.6pt;height:0.95pt" o:hrpct="0" o:hralign="center" o:hrstd="t" o:hrnoshade="t" o:hr="t" fillcolor="#414141" stroked="f"/>
        </w:pict>
      </w:r>
    </w:p>
    <w:p w:rsidR="00F174B7" w:rsidRPr="00CD0C31" w:rsidP="00190AA9" w14:paraId="6FB1B41C"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0B1ED0" w:rsidP="00E16A30" w14:paraId="2B7D7795" w14:textId="5976D26E">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15.  Explain the reasons for any program changes or adjustments reporting in Items 12</w:t>
      </w:r>
      <w:r w:rsidR="00FF5110">
        <w:rPr>
          <w:rFonts w:ascii="Arial" w:eastAsia="Times New Roman" w:hAnsi="Arial" w:cs="Arial"/>
          <w:b/>
          <w:bCs/>
          <w:color w:val="000000"/>
          <w:kern w:val="0"/>
          <w14:ligatures w14:val="none"/>
        </w:rPr>
        <w:t xml:space="preserve"> &amp; 1</w:t>
      </w:r>
      <w:r w:rsidRPr="00185DEA">
        <w:rPr>
          <w:rFonts w:ascii="Arial" w:eastAsia="Times New Roman" w:hAnsi="Arial" w:cs="Arial"/>
          <w:b/>
          <w:bCs/>
          <w:color w:val="000000"/>
          <w:kern w:val="0"/>
          <w14:ligatures w14:val="none"/>
        </w:rPr>
        <w:t>3</w:t>
      </w:r>
      <w:r w:rsidR="00E16A30">
        <w:rPr>
          <w:rFonts w:ascii="Arial" w:eastAsia="Times New Roman" w:hAnsi="Arial" w:cs="Arial"/>
          <w:b/>
          <w:bCs/>
          <w:color w:val="000000"/>
          <w:kern w:val="0"/>
          <w14:ligatures w14:val="none"/>
        </w:rPr>
        <w:t xml:space="preserve"> </w:t>
      </w:r>
    </w:p>
    <w:p w:rsidR="000B1ED0" w:rsidRPr="00CD0C31" w:rsidP="00E16A30" w14:paraId="3B6FCD05"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sz w:val="16"/>
          <w:szCs w:val="16"/>
          <w14:ligatures w14:val="none"/>
        </w:rPr>
      </w:pPr>
    </w:p>
    <w:p w:rsidR="00190AA9" w:rsidP="00E16A30" w14:paraId="73918195" w14:textId="353C0376">
      <w:pPr>
        <w:tabs>
          <w:tab w:val="left" w:pos="360"/>
        </w:tabs>
        <w:autoSpaceDE w:val="0"/>
        <w:autoSpaceDN w:val="0"/>
        <w:adjustRightInd w:val="0"/>
        <w:spacing w:after="0" w:line="240" w:lineRule="auto"/>
        <w:ind w:left="360" w:hanging="360"/>
        <w:rPr>
          <w:rFonts w:ascii="Segoe UI" w:eastAsia="Times New Roman" w:hAnsi="Segoe UI" w:cs="Segoe UI"/>
          <w:color w:val="000000"/>
          <w:kern w:val="0"/>
          <w14:ligatures w14:val="none"/>
        </w:rPr>
      </w:pPr>
      <w:r w:rsidRPr="0011635F">
        <w:rPr>
          <w:rFonts w:ascii="Segoe UI" w:eastAsia="Times New Roman" w:hAnsi="Segoe UI" w:cs="Segoe UI"/>
          <w:color w:val="000000"/>
          <w:kern w:val="0"/>
          <w14:ligatures w14:val="none"/>
        </w:rPr>
        <w:t>None</w:t>
      </w:r>
      <w:r w:rsidR="00A100E0">
        <w:rPr>
          <w:rFonts w:ascii="Segoe UI" w:eastAsia="Times New Roman" w:hAnsi="Segoe UI" w:cs="Segoe UI"/>
          <w:color w:val="000000"/>
          <w:kern w:val="0"/>
          <w14:ligatures w14:val="none"/>
        </w:rPr>
        <w:t>. T</w:t>
      </w:r>
      <w:r w:rsidRPr="0011635F">
        <w:rPr>
          <w:rFonts w:ascii="Segoe UI" w:eastAsia="Times New Roman" w:hAnsi="Segoe UI" w:cs="Segoe UI"/>
          <w:color w:val="000000"/>
          <w:kern w:val="0"/>
          <w14:ligatures w14:val="none"/>
        </w:rPr>
        <w:t>his is a new collection.</w:t>
      </w:r>
    </w:p>
    <w:p w:rsidR="00F174B7" w:rsidRPr="0011635F" w:rsidP="00190AA9" w14:paraId="309937B6" w14:textId="74671DEF">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9" style="width:486.6pt;height:0.95pt" o:hrpct="0" o:hralign="center" o:hrstd="t" o:hrnoshade="t" o:hr="t" fillcolor="#414141" stroked="f"/>
        </w:pict>
      </w:r>
    </w:p>
    <w:p w:rsidR="00190AA9" w:rsidRPr="00CD0C31" w:rsidP="00190AA9" w14:paraId="30253647"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6C433B" w:rsidP="00190AA9" w14:paraId="1EA01318" w14:textId="59161723">
      <w:pPr>
        <w:autoSpaceDE w:val="0"/>
        <w:autoSpaceDN w:val="0"/>
        <w:adjustRightInd w:val="0"/>
        <w:spacing w:after="0" w:line="240" w:lineRule="auto"/>
        <w:rPr>
          <w:rFonts w:ascii="Arial" w:eastAsia="Times New Roman" w:hAnsi="Arial" w:cs="Arial"/>
          <w:b/>
          <w:bCs/>
          <w:color w:val="000000"/>
          <w:kern w:val="0"/>
          <w14:ligatures w14:val="none"/>
        </w:rPr>
      </w:pPr>
      <w:r w:rsidRPr="006C433B">
        <w:rPr>
          <w:rFonts w:ascii="Arial" w:eastAsia="Times New Roman" w:hAnsi="Arial" w:cs="Arial"/>
          <w:b/>
          <w:bCs/>
          <w:color w:val="000000"/>
          <w:kern w:val="0"/>
          <w14:ligatures w14:val="none"/>
        </w:rPr>
        <w:t xml:space="preserve">16.  For collections of information in which results will be published, outline plans for tabulation, and publication. Address any complex analytical techniques that will be used. </w:t>
      </w:r>
      <w:r w:rsidRPr="006C433B">
        <w:rPr>
          <w:rFonts w:ascii="Arial" w:eastAsia="Times New Roman" w:hAnsi="Arial" w:cs="Arial"/>
          <w:b/>
          <w:bCs/>
          <w:color w:val="000000"/>
          <w:kern w:val="0"/>
          <w14:ligatures w14:val="none"/>
        </w:rPr>
        <w:t xml:space="preserve">Provide the time schedule for the entire project, including beginning and ending dates of the collection of information, completion of report, publication dates, and </w:t>
      </w:r>
      <w:r w:rsidRPr="006C433B" w:rsidR="00A03650">
        <w:rPr>
          <w:rFonts w:ascii="Arial" w:eastAsia="Times New Roman" w:hAnsi="Arial" w:cs="Arial"/>
          <w:b/>
          <w:bCs/>
          <w:color w:val="000000"/>
          <w:kern w:val="0"/>
          <w14:ligatures w14:val="none"/>
        </w:rPr>
        <w:t xml:space="preserve"> </w:t>
      </w:r>
      <w:r w:rsidRPr="006C433B">
        <w:rPr>
          <w:rFonts w:ascii="Arial" w:eastAsia="Times New Roman" w:hAnsi="Arial" w:cs="Arial"/>
          <w:b/>
          <w:bCs/>
          <w:color w:val="000000"/>
          <w:kern w:val="0"/>
          <w14:ligatures w14:val="none"/>
        </w:rPr>
        <w:t>other actions.</w:t>
      </w:r>
    </w:p>
    <w:p w:rsidR="00190AA9" w:rsidRPr="00CD0C31" w:rsidP="00190AA9" w14:paraId="7E093643"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8C0C68" w:rsidRPr="008C0C68" w:rsidP="008C0C68" w14:paraId="12FE2DC0" w14:textId="3D1FE0DF">
      <w:pPr>
        <w:autoSpaceDE w:val="0"/>
        <w:autoSpaceDN w:val="0"/>
        <w:adjustRightInd w:val="0"/>
        <w:spacing w:after="0" w:line="240" w:lineRule="auto"/>
        <w:rPr>
          <w:rFonts w:ascii="Segoe UI" w:eastAsia="Times New Roman" w:hAnsi="Segoe UI" w:cs="Segoe UI"/>
          <w:color w:val="000000"/>
          <w:kern w:val="0"/>
          <w14:ligatures w14:val="none"/>
        </w:rPr>
      </w:pPr>
      <w:bookmarkStart w:id="3" w:name="_Hlk114214826"/>
      <w:r w:rsidRPr="008C0C68">
        <w:rPr>
          <w:rFonts w:ascii="Segoe UI" w:eastAsia="Times New Roman" w:hAnsi="Segoe UI" w:cs="Segoe UI"/>
          <w:color w:val="000000"/>
          <w:kern w:val="0"/>
          <w14:ligatures w14:val="none"/>
        </w:rPr>
        <w:t xml:space="preserve">The information may be made available publicly depending on requests from OMB, Congress, or Federal agencies with appropriate authority.  Also, individual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programs may assess </w:t>
      </w:r>
      <w:r w:rsidRPr="008C0C68" w:rsidR="00F33950">
        <w:rPr>
          <w:rFonts w:ascii="Segoe UI" w:eastAsia="Times New Roman" w:hAnsi="Segoe UI" w:cs="Segoe UI"/>
          <w:color w:val="000000"/>
          <w:kern w:val="0"/>
          <w14:ligatures w14:val="none"/>
        </w:rPr>
        <w:t>the needs</w:t>
      </w:r>
      <w:r w:rsidRPr="008C0C68">
        <w:rPr>
          <w:rFonts w:ascii="Segoe UI" w:eastAsia="Times New Roman" w:hAnsi="Segoe UI" w:cs="Segoe UI"/>
          <w:color w:val="000000"/>
          <w:kern w:val="0"/>
          <w14:ligatures w14:val="none"/>
        </w:rPr>
        <w:t xml:space="preserve"> to publish information.  When this information is used to inform public reports or is otherwise reported publicly,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will ensure adequate discussion is included regarding validity concerns and biases in how this data is collected by grantee organizations and aggregated by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This discussion may acknowledge certain limitations to this dataset including: (1) the inability for grantee organizations to report non-responses or refused response data and a lack of clarity as to how these data-points are reported to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(2) potentially varied collection methods, including both self-identification and proxy reporting (which may present validity issues); and (3) any inadvertently skew in the aggregate reporting data.  Following internal consultation,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may also choose to discuss additional sources of error or bias. </w:t>
      </w:r>
    </w:p>
    <w:p w:rsidR="00F174B7" w:rsidRPr="0011635F" w:rsidP="00190AA9" w14:paraId="60712FD8" w14:textId="687DC447">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40" style="width:486.6pt;height:0.95pt" o:hrpct="0" o:hralign="center" o:hrstd="t" o:hrnoshade="t" o:hr="t" fillcolor="#414141" stroked="f"/>
        </w:pict>
      </w:r>
    </w:p>
    <w:bookmarkEnd w:id="3"/>
    <w:p w:rsidR="00190AA9" w:rsidRPr="00CD0C31" w:rsidP="00190AA9" w14:paraId="6B6E9EB9"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6C433B" w:rsidP="00190AA9" w14:paraId="0DCC03C4" w14:textId="77777777">
      <w:pPr>
        <w:autoSpaceDE w:val="0"/>
        <w:autoSpaceDN w:val="0"/>
        <w:adjustRightInd w:val="0"/>
        <w:spacing w:after="0" w:line="240" w:lineRule="auto"/>
        <w:rPr>
          <w:rFonts w:ascii="Arial" w:eastAsia="Times New Roman" w:hAnsi="Arial" w:cs="Arial"/>
          <w:color w:val="000000"/>
          <w:kern w:val="0"/>
          <w14:ligatures w14:val="none"/>
        </w:rPr>
      </w:pPr>
      <w:r w:rsidRPr="006C433B">
        <w:rPr>
          <w:rFonts w:ascii="Arial" w:eastAsia="Times New Roman" w:hAnsi="Arial" w:cs="Arial"/>
          <w:b/>
          <w:bCs/>
          <w:color w:val="000000"/>
          <w:kern w:val="0"/>
          <w14:ligatures w14:val="none"/>
        </w:rPr>
        <w:t>17.  If seeking approval to not display the expiration date for OMB approval of the information collection, explain the reasons that display would be inappropriate.</w:t>
      </w:r>
    </w:p>
    <w:p w:rsidR="00190AA9" w:rsidRPr="00CD0C31" w:rsidP="00190AA9" w14:paraId="66B920AF"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P="00190AA9" w14:paraId="6727D966" w14:textId="22135698">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eastAsia="Times New Roman" w:hAnsi="Segoe UI" w:cs="Segoe UI"/>
          <w:color w:val="000000"/>
          <w:kern w:val="0"/>
          <w14:ligatures w14:val="none"/>
        </w:rPr>
        <w:t>C</w:t>
      </w:r>
      <w:r w:rsidR="00BA01D2">
        <w:rPr>
          <w:rFonts w:ascii="Segoe UI" w:eastAsia="Times New Roman" w:hAnsi="Segoe UI" w:cs="Segoe UI"/>
          <w:color w:val="000000"/>
          <w:kern w:val="0"/>
          <w14:ligatures w14:val="none"/>
        </w:rPr>
        <w:t>ommerce</w:t>
      </w:r>
      <w:r w:rsidRPr="00C002C9">
        <w:rPr>
          <w:rFonts w:ascii="Segoe UI" w:eastAsia="Times New Roman" w:hAnsi="Segoe UI" w:cs="Segoe UI"/>
          <w:color w:val="000000"/>
          <w:kern w:val="0"/>
          <w14:ligatures w14:val="none"/>
        </w:rPr>
        <w:t xml:space="preserve"> will include the OMB control number and expiration date on </w:t>
      </w:r>
      <w:r w:rsidR="00290400">
        <w:rPr>
          <w:rFonts w:ascii="Segoe UI" w:eastAsia="Times New Roman" w:hAnsi="Segoe UI" w:cs="Segoe UI"/>
          <w:color w:val="000000"/>
          <w:kern w:val="0"/>
          <w14:ligatures w14:val="none"/>
        </w:rPr>
        <w:t>most</w:t>
      </w:r>
      <w:r w:rsidRPr="00C002C9">
        <w:rPr>
          <w:rFonts w:ascii="Segoe UI" w:eastAsia="Times New Roman" w:hAnsi="Segoe UI" w:cs="Segoe UI"/>
          <w:color w:val="000000"/>
          <w:kern w:val="0"/>
          <w14:ligatures w14:val="none"/>
        </w:rPr>
        <w:t xml:space="preserve"> associated forms.</w:t>
      </w:r>
      <w:r w:rsidRPr="00C002C9" w:rsidR="003A567D">
        <w:rPr>
          <w:rFonts w:ascii="Segoe UI" w:eastAsia="Times New Roman" w:hAnsi="Segoe UI" w:cs="Segoe UI"/>
          <w:color w:val="000000"/>
          <w:kern w:val="0"/>
          <w14:ligatures w14:val="none"/>
        </w:rPr>
        <w:t xml:space="preserve"> </w:t>
      </w:r>
      <w:r w:rsidR="00F25626">
        <w:rPr>
          <w:rFonts w:ascii="Segoe UI" w:eastAsia="Times New Roman" w:hAnsi="Segoe UI" w:cs="Segoe UI"/>
          <w:color w:val="000000"/>
          <w:kern w:val="0"/>
          <w14:ligatures w14:val="none"/>
        </w:rPr>
        <w:t>However, there may be times in which the program office may request</w:t>
      </w:r>
      <w:r w:rsidR="007A6679">
        <w:rPr>
          <w:rFonts w:ascii="Segoe UI" w:eastAsia="Times New Roman" w:hAnsi="Segoe UI" w:cs="Segoe UI"/>
          <w:color w:val="000000"/>
          <w:kern w:val="0"/>
          <w14:ligatures w14:val="none"/>
        </w:rPr>
        <w:t xml:space="preserve"> </w:t>
      </w:r>
      <w:r w:rsidRPr="00174A73" w:rsidR="00174A73">
        <w:rPr>
          <w:rFonts w:ascii="Segoe UI" w:eastAsia="Times New Roman" w:hAnsi="Segoe UI" w:cs="Segoe UI"/>
          <w:color w:val="000000"/>
          <w:kern w:val="0"/>
          <w14:ligatures w14:val="none"/>
        </w:rPr>
        <w:t xml:space="preserve">and explain the reason for the request </w:t>
      </w:r>
      <w:r w:rsidR="007A6679">
        <w:rPr>
          <w:rFonts w:ascii="Segoe UI" w:eastAsia="Times New Roman" w:hAnsi="Segoe UI" w:cs="Segoe UI"/>
          <w:color w:val="000000"/>
          <w:kern w:val="0"/>
          <w14:ligatures w14:val="none"/>
        </w:rPr>
        <w:t>not to display</w:t>
      </w:r>
      <w:r w:rsidR="001626A5">
        <w:rPr>
          <w:rFonts w:ascii="Segoe UI" w:eastAsia="Times New Roman" w:hAnsi="Segoe UI" w:cs="Segoe UI"/>
          <w:color w:val="000000"/>
          <w:kern w:val="0"/>
          <w14:ligatures w14:val="none"/>
        </w:rPr>
        <w:t xml:space="preserve"> the</w:t>
      </w:r>
      <w:r w:rsidR="000B736A">
        <w:rPr>
          <w:rFonts w:ascii="Segoe UI" w:eastAsia="Times New Roman" w:hAnsi="Segoe UI" w:cs="Segoe UI"/>
          <w:color w:val="000000"/>
          <w:kern w:val="0"/>
          <w14:ligatures w14:val="none"/>
        </w:rPr>
        <w:t xml:space="preserve"> </w:t>
      </w:r>
      <w:r w:rsidRPr="00C002C9" w:rsidR="000B736A">
        <w:rPr>
          <w:rFonts w:ascii="Segoe UI" w:eastAsia="Times New Roman" w:hAnsi="Segoe UI" w:cs="Segoe UI"/>
          <w:color w:val="000000"/>
          <w:kern w:val="0"/>
          <w14:ligatures w14:val="none"/>
        </w:rPr>
        <w:t>OMB control number and</w:t>
      </w:r>
      <w:r w:rsidR="001626A5">
        <w:rPr>
          <w:rFonts w:ascii="Segoe UI" w:eastAsia="Times New Roman" w:hAnsi="Segoe UI" w:cs="Segoe UI"/>
          <w:color w:val="000000"/>
          <w:kern w:val="0"/>
          <w14:ligatures w14:val="none"/>
        </w:rPr>
        <w:t xml:space="preserve"> expiration date.</w:t>
      </w:r>
      <w:r w:rsidR="00855656">
        <w:rPr>
          <w:rFonts w:ascii="Segoe UI" w:eastAsia="Times New Roman" w:hAnsi="Segoe UI" w:cs="Segoe UI"/>
          <w:color w:val="000000"/>
          <w:kern w:val="0"/>
          <w14:ligatures w14:val="none"/>
        </w:rPr>
        <w:t xml:space="preserve"> </w:t>
      </w:r>
      <w:r w:rsidRPr="00855656" w:rsidR="00855656">
        <w:rPr>
          <w:rFonts w:ascii="Segoe UI" w:eastAsia="Times New Roman" w:hAnsi="Segoe UI" w:cs="Segoe UI"/>
          <w:color w:val="000000"/>
          <w:kern w:val="0"/>
          <w14:ligatures w14:val="none"/>
        </w:rPr>
        <w:t xml:space="preserve">This is rare. </w:t>
      </w:r>
      <w:r w:rsidR="00855656">
        <w:rPr>
          <w:rFonts w:ascii="Segoe UI" w:eastAsia="Times New Roman" w:hAnsi="Segoe UI" w:cs="Segoe UI"/>
          <w:color w:val="000000"/>
          <w:kern w:val="0"/>
          <w14:ligatures w14:val="none"/>
        </w:rPr>
        <w:t>However, i</w:t>
      </w:r>
      <w:r w:rsidRPr="00855656" w:rsidR="00855656">
        <w:rPr>
          <w:rFonts w:ascii="Segoe UI" w:eastAsia="Times New Roman" w:hAnsi="Segoe UI" w:cs="Segoe UI"/>
          <w:color w:val="000000"/>
          <w:kern w:val="0"/>
          <w14:ligatures w14:val="none"/>
        </w:rPr>
        <w:t>n these instances, the control number and expiration date are included on a cover sheet along with an explanation.</w:t>
      </w:r>
    </w:p>
    <w:p w:rsidR="00F174B7" w:rsidRPr="00C002C9" w:rsidP="00190AA9" w14:paraId="140C9338" w14:textId="7BA03A89">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41" style="width:486.6pt;height:0.95pt" o:hrpct="0" o:hralign="center" o:hrstd="t" o:hrnoshade="t" o:hr="t" fillcolor="#414141" stroked="f"/>
        </w:pict>
      </w:r>
    </w:p>
    <w:p w:rsidR="00190AA9" w:rsidRPr="00CD0C31" w:rsidP="00190AA9" w14:paraId="7ECC199C"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347396" w:rsidP="00190AA9" w14:paraId="76FF63AA" w14:textId="77777777">
      <w:pPr>
        <w:autoSpaceDE w:val="0"/>
        <w:autoSpaceDN w:val="0"/>
        <w:adjustRightInd w:val="0"/>
        <w:spacing w:after="0" w:line="240" w:lineRule="auto"/>
        <w:rPr>
          <w:rFonts w:ascii="Arial" w:eastAsia="Times New Roman" w:hAnsi="Arial" w:cs="Arial"/>
          <w:b/>
          <w:bCs/>
          <w:color w:val="000000"/>
          <w:kern w:val="0"/>
          <w14:ligatures w14:val="none"/>
        </w:rPr>
      </w:pPr>
      <w:r w:rsidRPr="00347396">
        <w:rPr>
          <w:rFonts w:ascii="Arial" w:eastAsia="Times New Roman" w:hAnsi="Arial" w:cs="Arial"/>
          <w:b/>
          <w:bCs/>
          <w:color w:val="000000"/>
          <w:kern w:val="0"/>
          <w14:ligatures w14:val="none"/>
        </w:rPr>
        <w:t>18.  Explain each exception to the certification statement identified in the "Certification for Paperwork Reduction Act Submission.”</w:t>
      </w:r>
    </w:p>
    <w:p w:rsidR="00190AA9" w:rsidRPr="00CD0C31" w:rsidP="00190AA9" w14:paraId="3E9F6379"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C002C9" w:rsidP="00190AA9" w14:paraId="03B7F666"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C002C9">
        <w:rPr>
          <w:rFonts w:ascii="Segoe UI" w:eastAsia="Times New Roman" w:hAnsi="Segoe UI" w:cs="Segoe UI"/>
          <w:color w:val="000000"/>
          <w:kern w:val="0"/>
          <w14:ligatures w14:val="none"/>
        </w:rPr>
        <w:t>The Department is not seeking an exception to the certification statement.</w:t>
      </w:r>
    </w:p>
    <w:p w:rsidR="00820871" w:rsidP="00190AA9" w14:paraId="4E14230F" w14:textId="77777777">
      <w:pPr>
        <w:autoSpaceDE w:val="0"/>
        <w:autoSpaceDN w:val="0"/>
        <w:adjustRightInd w:val="0"/>
        <w:spacing w:after="0" w:line="240" w:lineRule="auto"/>
        <w:rPr>
          <w:rFonts w:ascii="Arial" w:eastAsia="Times New Roman" w:hAnsi="Arial" w:cs="Arial"/>
          <w:b/>
          <w:bCs/>
          <w:iCs/>
          <w:color w:val="000000"/>
          <w:kern w:val="0"/>
          <w14:ligatures w14:val="none"/>
        </w:rPr>
      </w:pPr>
    </w:p>
    <w:p w:rsidR="00190AA9" w:rsidRPr="00D30C22" w:rsidP="00190AA9" w14:paraId="6AE76351" w14:textId="08FF8814">
      <w:pPr>
        <w:autoSpaceDE w:val="0"/>
        <w:autoSpaceDN w:val="0"/>
        <w:adjustRightInd w:val="0"/>
        <w:spacing w:after="0" w:line="240" w:lineRule="auto"/>
        <w:rPr>
          <w:rFonts w:ascii="Arial" w:eastAsia="Times New Roman" w:hAnsi="Arial" w:cs="Arial"/>
          <w:b/>
          <w:bCs/>
          <w:iCs/>
          <w:color w:val="000000"/>
          <w:kern w:val="0"/>
          <w14:ligatures w14:val="none"/>
        </w:rPr>
      </w:pPr>
      <w:r w:rsidRPr="00D30C22">
        <w:rPr>
          <w:rFonts w:ascii="Arial" w:eastAsia="Times New Roman" w:hAnsi="Arial" w:cs="Arial"/>
          <w:b/>
          <w:bCs/>
          <w:iCs/>
          <w:color w:val="000000"/>
          <w:kern w:val="0"/>
          <w14:ligatures w14:val="none"/>
        </w:rPr>
        <w:t>Part B.  Statistical</w:t>
      </w:r>
      <w:r w:rsidRPr="00347396">
        <w:rPr>
          <w:rFonts w:ascii="Arial" w:eastAsia="Times New Roman" w:hAnsi="Arial" w:cs="Arial"/>
          <w:b/>
          <w:bCs/>
          <w:i/>
          <w:color w:val="000000"/>
          <w:kern w:val="0"/>
          <w14:ligatures w14:val="none"/>
        </w:rPr>
        <w:t xml:space="preserve"> </w:t>
      </w:r>
      <w:r w:rsidRPr="00D30C22">
        <w:rPr>
          <w:rFonts w:ascii="Arial" w:eastAsia="Times New Roman" w:hAnsi="Arial" w:cs="Arial"/>
          <w:b/>
          <w:bCs/>
          <w:iCs/>
          <w:color w:val="000000"/>
          <w:kern w:val="0"/>
          <w14:ligatures w14:val="none"/>
        </w:rPr>
        <w:t>Methods</w:t>
      </w:r>
    </w:p>
    <w:p w:rsidR="00190AA9" w:rsidRPr="00347396" w:rsidP="00190AA9" w14:paraId="49D9FCF5" w14:textId="77777777">
      <w:pPr>
        <w:autoSpaceDE w:val="0"/>
        <w:autoSpaceDN w:val="0"/>
        <w:adjustRightInd w:val="0"/>
        <w:spacing w:after="0" w:line="240" w:lineRule="auto"/>
        <w:rPr>
          <w:rFonts w:ascii="Arial" w:eastAsia="Times New Roman" w:hAnsi="Arial" w:cs="Arial"/>
          <w:color w:val="000000"/>
          <w:kern w:val="0"/>
          <w14:ligatures w14:val="none"/>
        </w:rPr>
      </w:pPr>
    </w:p>
    <w:p w:rsidR="00190AA9" w:rsidRPr="00C002C9" w:rsidP="00190AA9" w14:paraId="4ACA1773"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C002C9">
        <w:rPr>
          <w:rFonts w:ascii="Segoe UI" w:eastAsia="Times New Roman" w:hAnsi="Segoe UI" w:cs="Segoe UI"/>
          <w:color w:val="000000"/>
          <w:kern w:val="0"/>
          <w14:ligatures w14:val="none"/>
        </w:rPr>
        <w:t>This information collection does not employ statistical methods.</w:t>
      </w:r>
    </w:p>
    <w:p w:rsidR="00CC7723" w:rsidRPr="00C002C9" w14:paraId="330FF508" w14:textId="77777777">
      <w:pPr>
        <w:rPr>
          <w:rFonts w:ascii="Segoe UI" w:hAnsi="Segoe UI" w:cs="Segoe UI"/>
        </w:rPr>
      </w:pPr>
    </w:p>
    <w:sectPr w:rsidSect="00B643D2">
      <w:footerReference w:type="even" r:id="rId4"/>
      <w:footerReference w:type="default" r:id="rId5"/>
      <w:endnotePr>
        <w:numFmt w:val="decimal"/>
      </w:endnotePr>
      <w:pgSz w:w="12240" w:h="15840"/>
      <w:pgMar w:top="1440" w:right="1296" w:bottom="1440" w:left="129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A6" w14:paraId="430290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362A6" w14:paraId="547486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A6" w14:paraId="64B91E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62A6" w14:paraId="2CE6A7BA" w14:textId="77777777">
    <w:pPr>
      <w:pStyle w:val="Footer"/>
    </w:pPr>
    <w:r>
      <w:tab/>
    </w:r>
    <w:r>
      <w:rPr>
        <w:rStyle w:val="PageNumber"/>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16DA1"/>
    <w:multiLevelType w:val="hybridMultilevel"/>
    <w:tmpl w:val="FAB463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7E6861"/>
    <w:multiLevelType w:val="hybridMultilevel"/>
    <w:tmpl w:val="5080D27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09070948"/>
    <w:multiLevelType w:val="hybridMultilevel"/>
    <w:tmpl w:val="942E15F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6E97CEF"/>
    <w:multiLevelType w:val="hybridMultilevel"/>
    <w:tmpl w:val="6E7C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672DA"/>
    <w:multiLevelType w:val="hybridMultilevel"/>
    <w:tmpl w:val="0CA8C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D32701"/>
    <w:multiLevelType w:val="hybridMultilevel"/>
    <w:tmpl w:val="3BDEFD02"/>
    <w:lvl w:ilvl="0">
      <w:start w:val="1"/>
      <w:numFmt w:val="upp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7B75121C"/>
    <w:multiLevelType w:val="hybridMultilevel"/>
    <w:tmpl w:val="E272CEF0"/>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0552506">
    <w:abstractNumId w:val="1"/>
  </w:num>
  <w:num w:numId="2" w16cid:durableId="258831533">
    <w:abstractNumId w:val="10"/>
  </w:num>
  <w:num w:numId="3" w16cid:durableId="490413663">
    <w:abstractNumId w:val="4"/>
  </w:num>
  <w:num w:numId="4" w16cid:durableId="1810367256">
    <w:abstractNumId w:val="6"/>
  </w:num>
  <w:num w:numId="5" w16cid:durableId="839154109">
    <w:abstractNumId w:val="5"/>
  </w:num>
  <w:num w:numId="6" w16cid:durableId="797264565">
    <w:abstractNumId w:val="11"/>
  </w:num>
  <w:num w:numId="7" w16cid:durableId="925770680">
    <w:abstractNumId w:val="7"/>
  </w:num>
  <w:num w:numId="8" w16cid:durableId="1312829612">
    <w:abstractNumId w:val="0"/>
  </w:num>
  <w:num w:numId="9" w16cid:durableId="1206601021">
    <w:abstractNumId w:val="9"/>
  </w:num>
  <w:num w:numId="10" w16cid:durableId="492064465">
    <w:abstractNumId w:val="8"/>
  </w:num>
  <w:num w:numId="11" w16cid:durableId="1559706736">
    <w:abstractNumId w:val="2"/>
  </w:num>
  <w:num w:numId="12" w16cid:durableId="123543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removeDateAndTime/>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A9"/>
    <w:rsid w:val="00005FF6"/>
    <w:rsid w:val="00011B11"/>
    <w:rsid w:val="00016E22"/>
    <w:rsid w:val="000205DB"/>
    <w:rsid w:val="00027F65"/>
    <w:rsid w:val="00031101"/>
    <w:rsid w:val="00041F88"/>
    <w:rsid w:val="0004223F"/>
    <w:rsid w:val="0004252F"/>
    <w:rsid w:val="000449D6"/>
    <w:rsid w:val="00045399"/>
    <w:rsid w:val="000543CD"/>
    <w:rsid w:val="00066DFB"/>
    <w:rsid w:val="000813D4"/>
    <w:rsid w:val="000B19BF"/>
    <w:rsid w:val="000B1C77"/>
    <w:rsid w:val="000B1ED0"/>
    <w:rsid w:val="000B736A"/>
    <w:rsid w:val="000D50A1"/>
    <w:rsid w:val="000E1626"/>
    <w:rsid w:val="000E55D6"/>
    <w:rsid w:val="000E6DB8"/>
    <w:rsid w:val="00110C0A"/>
    <w:rsid w:val="0011635F"/>
    <w:rsid w:val="001217AB"/>
    <w:rsid w:val="00141197"/>
    <w:rsid w:val="001471F0"/>
    <w:rsid w:val="001626A5"/>
    <w:rsid w:val="00173FEF"/>
    <w:rsid w:val="00174A73"/>
    <w:rsid w:val="00183048"/>
    <w:rsid w:val="00185DEA"/>
    <w:rsid w:val="00190AA9"/>
    <w:rsid w:val="00194077"/>
    <w:rsid w:val="001A32FB"/>
    <w:rsid w:val="001A3D24"/>
    <w:rsid w:val="001B58F1"/>
    <w:rsid w:val="001C671A"/>
    <w:rsid w:val="001D16F9"/>
    <w:rsid w:val="001E42ED"/>
    <w:rsid w:val="001E6ED2"/>
    <w:rsid w:val="001F245D"/>
    <w:rsid w:val="001F7E99"/>
    <w:rsid w:val="00217E48"/>
    <w:rsid w:val="002206EF"/>
    <w:rsid w:val="002244D1"/>
    <w:rsid w:val="00233881"/>
    <w:rsid w:val="00234541"/>
    <w:rsid w:val="00235B8C"/>
    <w:rsid w:val="00240134"/>
    <w:rsid w:val="00250DD8"/>
    <w:rsid w:val="00256620"/>
    <w:rsid w:val="00256B35"/>
    <w:rsid w:val="0026032A"/>
    <w:rsid w:val="002735D3"/>
    <w:rsid w:val="0027755D"/>
    <w:rsid w:val="00290400"/>
    <w:rsid w:val="002B403B"/>
    <w:rsid w:val="002B5225"/>
    <w:rsid w:val="002B6266"/>
    <w:rsid w:val="002B732A"/>
    <w:rsid w:val="002D344E"/>
    <w:rsid w:val="002F38AA"/>
    <w:rsid w:val="00315E5F"/>
    <w:rsid w:val="00322464"/>
    <w:rsid w:val="00347396"/>
    <w:rsid w:val="00354E26"/>
    <w:rsid w:val="00355D79"/>
    <w:rsid w:val="00362B44"/>
    <w:rsid w:val="00365DFA"/>
    <w:rsid w:val="00366E3B"/>
    <w:rsid w:val="003741B5"/>
    <w:rsid w:val="00381424"/>
    <w:rsid w:val="003A440E"/>
    <w:rsid w:val="003A567D"/>
    <w:rsid w:val="003B521F"/>
    <w:rsid w:val="003C3981"/>
    <w:rsid w:val="003D2D77"/>
    <w:rsid w:val="003D5B66"/>
    <w:rsid w:val="00401585"/>
    <w:rsid w:val="00403E42"/>
    <w:rsid w:val="004170FE"/>
    <w:rsid w:val="004253B6"/>
    <w:rsid w:val="00455FD0"/>
    <w:rsid w:val="004728C6"/>
    <w:rsid w:val="004740FE"/>
    <w:rsid w:val="00475DA6"/>
    <w:rsid w:val="00485635"/>
    <w:rsid w:val="004857C7"/>
    <w:rsid w:val="00486309"/>
    <w:rsid w:val="004A2D2F"/>
    <w:rsid w:val="004D6F95"/>
    <w:rsid w:val="004E0E87"/>
    <w:rsid w:val="00525357"/>
    <w:rsid w:val="00543790"/>
    <w:rsid w:val="00566205"/>
    <w:rsid w:val="0058320D"/>
    <w:rsid w:val="00584492"/>
    <w:rsid w:val="005958C0"/>
    <w:rsid w:val="005A0D01"/>
    <w:rsid w:val="005A574E"/>
    <w:rsid w:val="005A7C1A"/>
    <w:rsid w:val="005B1AF8"/>
    <w:rsid w:val="005B464F"/>
    <w:rsid w:val="005B6ECA"/>
    <w:rsid w:val="005D0E75"/>
    <w:rsid w:val="005E54EA"/>
    <w:rsid w:val="005E7A84"/>
    <w:rsid w:val="005F0B91"/>
    <w:rsid w:val="005F3D0F"/>
    <w:rsid w:val="00604CC1"/>
    <w:rsid w:val="006055BC"/>
    <w:rsid w:val="006059B6"/>
    <w:rsid w:val="00605DFD"/>
    <w:rsid w:val="0061036D"/>
    <w:rsid w:val="00623A24"/>
    <w:rsid w:val="00623E28"/>
    <w:rsid w:val="00633619"/>
    <w:rsid w:val="00671EB1"/>
    <w:rsid w:val="006758DD"/>
    <w:rsid w:val="006773D8"/>
    <w:rsid w:val="00683F80"/>
    <w:rsid w:val="006872EC"/>
    <w:rsid w:val="006920D5"/>
    <w:rsid w:val="006A2510"/>
    <w:rsid w:val="006A27EE"/>
    <w:rsid w:val="006B6B5F"/>
    <w:rsid w:val="006C433B"/>
    <w:rsid w:val="006D0674"/>
    <w:rsid w:val="006E1586"/>
    <w:rsid w:val="006E2D97"/>
    <w:rsid w:val="006F07CA"/>
    <w:rsid w:val="006F5C1B"/>
    <w:rsid w:val="00707C9D"/>
    <w:rsid w:val="00734D10"/>
    <w:rsid w:val="00740782"/>
    <w:rsid w:val="00741274"/>
    <w:rsid w:val="00751670"/>
    <w:rsid w:val="0075709C"/>
    <w:rsid w:val="0079457C"/>
    <w:rsid w:val="00797697"/>
    <w:rsid w:val="007A5AC1"/>
    <w:rsid w:val="007A6679"/>
    <w:rsid w:val="007E08EF"/>
    <w:rsid w:val="007F55AF"/>
    <w:rsid w:val="00807994"/>
    <w:rsid w:val="0081344F"/>
    <w:rsid w:val="00820871"/>
    <w:rsid w:val="008209C2"/>
    <w:rsid w:val="00826C56"/>
    <w:rsid w:val="0083021F"/>
    <w:rsid w:val="00836618"/>
    <w:rsid w:val="00855656"/>
    <w:rsid w:val="0085681E"/>
    <w:rsid w:val="00866B5D"/>
    <w:rsid w:val="008727A1"/>
    <w:rsid w:val="00873DAD"/>
    <w:rsid w:val="00884355"/>
    <w:rsid w:val="00893A63"/>
    <w:rsid w:val="00896746"/>
    <w:rsid w:val="008A5422"/>
    <w:rsid w:val="008A7A68"/>
    <w:rsid w:val="008B39C8"/>
    <w:rsid w:val="008C0C68"/>
    <w:rsid w:val="008C3DD8"/>
    <w:rsid w:val="008D2A48"/>
    <w:rsid w:val="008F038A"/>
    <w:rsid w:val="008F5E16"/>
    <w:rsid w:val="00903AE5"/>
    <w:rsid w:val="00913604"/>
    <w:rsid w:val="00930C63"/>
    <w:rsid w:val="00932358"/>
    <w:rsid w:val="00945489"/>
    <w:rsid w:val="0095005B"/>
    <w:rsid w:val="00957596"/>
    <w:rsid w:val="00962606"/>
    <w:rsid w:val="009657B5"/>
    <w:rsid w:val="009750F6"/>
    <w:rsid w:val="00995F14"/>
    <w:rsid w:val="009B30A3"/>
    <w:rsid w:val="009C4171"/>
    <w:rsid w:val="009C5542"/>
    <w:rsid w:val="009D007C"/>
    <w:rsid w:val="00A03650"/>
    <w:rsid w:val="00A100E0"/>
    <w:rsid w:val="00A116E8"/>
    <w:rsid w:val="00A11CD1"/>
    <w:rsid w:val="00A147D4"/>
    <w:rsid w:val="00A264BF"/>
    <w:rsid w:val="00A26D32"/>
    <w:rsid w:val="00A449E3"/>
    <w:rsid w:val="00A6204E"/>
    <w:rsid w:val="00A814C3"/>
    <w:rsid w:val="00AA632B"/>
    <w:rsid w:val="00AA6DBB"/>
    <w:rsid w:val="00AC5978"/>
    <w:rsid w:val="00AD0295"/>
    <w:rsid w:val="00AD20D0"/>
    <w:rsid w:val="00AD5448"/>
    <w:rsid w:val="00AF08E1"/>
    <w:rsid w:val="00AF47F7"/>
    <w:rsid w:val="00B04E9F"/>
    <w:rsid w:val="00B202B6"/>
    <w:rsid w:val="00B32B90"/>
    <w:rsid w:val="00B348E9"/>
    <w:rsid w:val="00B47D5C"/>
    <w:rsid w:val="00B5126D"/>
    <w:rsid w:val="00B5148D"/>
    <w:rsid w:val="00B643D2"/>
    <w:rsid w:val="00B7048A"/>
    <w:rsid w:val="00B7165A"/>
    <w:rsid w:val="00B72E2D"/>
    <w:rsid w:val="00B752E9"/>
    <w:rsid w:val="00B7719F"/>
    <w:rsid w:val="00B77D7F"/>
    <w:rsid w:val="00B81E0E"/>
    <w:rsid w:val="00B946FA"/>
    <w:rsid w:val="00B959F4"/>
    <w:rsid w:val="00BA01D2"/>
    <w:rsid w:val="00BA3E4E"/>
    <w:rsid w:val="00BF0CAE"/>
    <w:rsid w:val="00BF279C"/>
    <w:rsid w:val="00BF4D99"/>
    <w:rsid w:val="00C002C9"/>
    <w:rsid w:val="00C02F78"/>
    <w:rsid w:val="00C04BEB"/>
    <w:rsid w:val="00C04DF0"/>
    <w:rsid w:val="00C13293"/>
    <w:rsid w:val="00C258C2"/>
    <w:rsid w:val="00C313DF"/>
    <w:rsid w:val="00C34297"/>
    <w:rsid w:val="00C40B56"/>
    <w:rsid w:val="00C415D8"/>
    <w:rsid w:val="00C43FF7"/>
    <w:rsid w:val="00C65A0F"/>
    <w:rsid w:val="00C85619"/>
    <w:rsid w:val="00CB6E00"/>
    <w:rsid w:val="00CC40E3"/>
    <w:rsid w:val="00CC5B48"/>
    <w:rsid w:val="00CC7723"/>
    <w:rsid w:val="00CD0C31"/>
    <w:rsid w:val="00CE0EB2"/>
    <w:rsid w:val="00CE0F3D"/>
    <w:rsid w:val="00CE65AB"/>
    <w:rsid w:val="00CF3103"/>
    <w:rsid w:val="00CF3D90"/>
    <w:rsid w:val="00CF67AE"/>
    <w:rsid w:val="00D2212F"/>
    <w:rsid w:val="00D23E1A"/>
    <w:rsid w:val="00D27143"/>
    <w:rsid w:val="00D30C22"/>
    <w:rsid w:val="00D33055"/>
    <w:rsid w:val="00D362A6"/>
    <w:rsid w:val="00D50919"/>
    <w:rsid w:val="00D52565"/>
    <w:rsid w:val="00D57FDB"/>
    <w:rsid w:val="00D64B2C"/>
    <w:rsid w:val="00D82F7F"/>
    <w:rsid w:val="00D92256"/>
    <w:rsid w:val="00DA4447"/>
    <w:rsid w:val="00DB2FD9"/>
    <w:rsid w:val="00DC08F7"/>
    <w:rsid w:val="00DC335C"/>
    <w:rsid w:val="00DD38F3"/>
    <w:rsid w:val="00DD6A35"/>
    <w:rsid w:val="00DE100D"/>
    <w:rsid w:val="00DE6377"/>
    <w:rsid w:val="00DF0DBF"/>
    <w:rsid w:val="00DF7569"/>
    <w:rsid w:val="00E10F2C"/>
    <w:rsid w:val="00E11D40"/>
    <w:rsid w:val="00E144CE"/>
    <w:rsid w:val="00E16A30"/>
    <w:rsid w:val="00E23664"/>
    <w:rsid w:val="00E260E5"/>
    <w:rsid w:val="00E34A79"/>
    <w:rsid w:val="00E37122"/>
    <w:rsid w:val="00E53A82"/>
    <w:rsid w:val="00E7341C"/>
    <w:rsid w:val="00E772C1"/>
    <w:rsid w:val="00E8584C"/>
    <w:rsid w:val="00E92496"/>
    <w:rsid w:val="00E94C4A"/>
    <w:rsid w:val="00EA7EDE"/>
    <w:rsid w:val="00EB51F2"/>
    <w:rsid w:val="00EC5164"/>
    <w:rsid w:val="00ED3FA4"/>
    <w:rsid w:val="00ED7017"/>
    <w:rsid w:val="00EE69D6"/>
    <w:rsid w:val="00EF1DC4"/>
    <w:rsid w:val="00EF274C"/>
    <w:rsid w:val="00EF69E3"/>
    <w:rsid w:val="00F15614"/>
    <w:rsid w:val="00F174B7"/>
    <w:rsid w:val="00F25626"/>
    <w:rsid w:val="00F259C3"/>
    <w:rsid w:val="00F33950"/>
    <w:rsid w:val="00F746AA"/>
    <w:rsid w:val="00FB149C"/>
    <w:rsid w:val="00FB4EF5"/>
    <w:rsid w:val="00FC0658"/>
    <w:rsid w:val="00FC4BE8"/>
    <w:rsid w:val="00FD4016"/>
    <w:rsid w:val="00FE5ADB"/>
    <w:rsid w:val="00FF51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2F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AA9"/>
    <w:rPr>
      <w:rFonts w:eastAsiaTheme="majorEastAsia" w:cstheme="majorBidi"/>
      <w:color w:val="272727" w:themeColor="text1" w:themeTint="D8"/>
    </w:rPr>
  </w:style>
  <w:style w:type="paragraph" w:styleId="Title">
    <w:name w:val="Title"/>
    <w:basedOn w:val="Normal"/>
    <w:next w:val="Normal"/>
    <w:link w:val="TitleChar"/>
    <w:uiPriority w:val="10"/>
    <w:qFormat/>
    <w:rsid w:val="0019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AA9"/>
    <w:pPr>
      <w:spacing w:before="160"/>
      <w:jc w:val="center"/>
    </w:pPr>
    <w:rPr>
      <w:i/>
      <w:iCs/>
      <w:color w:val="404040" w:themeColor="text1" w:themeTint="BF"/>
    </w:rPr>
  </w:style>
  <w:style w:type="character" w:customStyle="1" w:styleId="QuoteChar">
    <w:name w:val="Quote Char"/>
    <w:basedOn w:val="DefaultParagraphFont"/>
    <w:link w:val="Quote"/>
    <w:uiPriority w:val="29"/>
    <w:rsid w:val="00190AA9"/>
    <w:rPr>
      <w:i/>
      <w:iCs/>
      <w:color w:val="404040" w:themeColor="text1" w:themeTint="BF"/>
    </w:rPr>
  </w:style>
  <w:style w:type="paragraph" w:styleId="ListParagraph">
    <w:name w:val="List Paragraph"/>
    <w:basedOn w:val="Normal"/>
    <w:uiPriority w:val="34"/>
    <w:qFormat/>
    <w:rsid w:val="00190AA9"/>
    <w:pPr>
      <w:ind w:left="720"/>
      <w:contextualSpacing/>
    </w:pPr>
  </w:style>
  <w:style w:type="character" w:styleId="IntenseEmphasis">
    <w:name w:val="Intense Emphasis"/>
    <w:basedOn w:val="DefaultParagraphFont"/>
    <w:uiPriority w:val="21"/>
    <w:qFormat/>
    <w:rsid w:val="00190AA9"/>
    <w:rPr>
      <w:i/>
      <w:iCs/>
      <w:color w:val="0F4761" w:themeColor="accent1" w:themeShade="BF"/>
    </w:rPr>
  </w:style>
  <w:style w:type="paragraph" w:styleId="IntenseQuote">
    <w:name w:val="Intense Quote"/>
    <w:basedOn w:val="Normal"/>
    <w:next w:val="Normal"/>
    <w:link w:val="IntenseQuoteChar"/>
    <w:uiPriority w:val="30"/>
    <w:qFormat/>
    <w:rsid w:val="0019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AA9"/>
    <w:rPr>
      <w:i/>
      <w:iCs/>
      <w:color w:val="0F4761" w:themeColor="accent1" w:themeShade="BF"/>
    </w:rPr>
  </w:style>
  <w:style w:type="character" w:styleId="IntenseReference">
    <w:name w:val="Intense Reference"/>
    <w:basedOn w:val="DefaultParagraphFont"/>
    <w:uiPriority w:val="32"/>
    <w:qFormat/>
    <w:rsid w:val="00190AA9"/>
    <w:rPr>
      <w:b/>
      <w:bCs/>
      <w:smallCaps/>
      <w:color w:val="0F4761" w:themeColor="accent1" w:themeShade="BF"/>
      <w:spacing w:val="5"/>
    </w:rPr>
  </w:style>
  <w:style w:type="paragraph" w:styleId="Header">
    <w:name w:val="header"/>
    <w:basedOn w:val="Normal"/>
    <w:link w:val="HeaderChar"/>
    <w:uiPriority w:val="99"/>
    <w:unhideWhenUsed/>
    <w:rsid w:val="0019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A9"/>
  </w:style>
  <w:style w:type="paragraph" w:styleId="Footer">
    <w:name w:val="footer"/>
    <w:basedOn w:val="Normal"/>
    <w:link w:val="FooterChar"/>
    <w:uiPriority w:val="99"/>
    <w:unhideWhenUsed/>
    <w:rsid w:val="0019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A9"/>
  </w:style>
  <w:style w:type="character" w:styleId="FootnoteReference">
    <w:name w:val="footnote reference"/>
    <w:semiHidden/>
    <w:rsid w:val="00190AA9"/>
  </w:style>
  <w:style w:type="character" w:styleId="PageNumber">
    <w:name w:val="page number"/>
    <w:basedOn w:val="DefaultParagraphFont"/>
    <w:rsid w:val="00190AA9"/>
  </w:style>
  <w:style w:type="character" w:styleId="Hyperlink">
    <w:name w:val="Hyperlink"/>
    <w:rsid w:val="00190AA9"/>
    <w:rPr>
      <w:color w:val="0000FF"/>
      <w:u w:val="single"/>
    </w:rPr>
  </w:style>
  <w:style w:type="character" w:styleId="FollowedHyperlink">
    <w:name w:val="FollowedHyperlink"/>
    <w:basedOn w:val="DefaultParagraphFont"/>
    <w:uiPriority w:val="99"/>
    <w:semiHidden/>
    <w:unhideWhenUsed/>
    <w:rsid w:val="00031101"/>
    <w:rPr>
      <w:color w:val="96607D" w:themeColor="followedHyperlink"/>
      <w:u w:val="single"/>
    </w:rPr>
  </w:style>
  <w:style w:type="character" w:styleId="UnresolvedMention">
    <w:name w:val="Unresolved Mention"/>
    <w:basedOn w:val="DefaultParagraphFont"/>
    <w:uiPriority w:val="99"/>
    <w:semiHidden/>
    <w:unhideWhenUsed/>
    <w:rsid w:val="005A7C1A"/>
    <w:rPr>
      <w:color w:val="605E5C"/>
      <w:shd w:val="clear" w:color="auto" w:fill="E1DFDD"/>
    </w:rPr>
  </w:style>
  <w:style w:type="paragraph" w:styleId="FootnoteText">
    <w:name w:val="footnote text"/>
    <w:basedOn w:val="Normal"/>
    <w:link w:val="FootnoteTextChar"/>
    <w:uiPriority w:val="99"/>
    <w:semiHidden/>
    <w:unhideWhenUsed/>
    <w:rsid w:val="00256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20"/>
    <w:rPr>
      <w:sz w:val="20"/>
      <w:szCs w:val="20"/>
    </w:rPr>
  </w:style>
  <w:style w:type="character" w:styleId="CommentReference">
    <w:name w:val="annotation reference"/>
    <w:basedOn w:val="DefaultParagraphFont"/>
    <w:uiPriority w:val="99"/>
    <w:semiHidden/>
    <w:unhideWhenUsed/>
    <w:rsid w:val="00EF1DC4"/>
    <w:rPr>
      <w:sz w:val="16"/>
      <w:szCs w:val="16"/>
    </w:rPr>
  </w:style>
  <w:style w:type="paragraph" w:styleId="CommentText">
    <w:name w:val="annotation text"/>
    <w:basedOn w:val="Normal"/>
    <w:link w:val="CommentTextChar"/>
    <w:uiPriority w:val="99"/>
    <w:unhideWhenUsed/>
    <w:rsid w:val="00EF1DC4"/>
    <w:pPr>
      <w:spacing w:line="240" w:lineRule="auto"/>
    </w:pPr>
    <w:rPr>
      <w:sz w:val="20"/>
      <w:szCs w:val="20"/>
    </w:rPr>
  </w:style>
  <w:style w:type="character" w:customStyle="1" w:styleId="CommentTextChar">
    <w:name w:val="Comment Text Char"/>
    <w:basedOn w:val="DefaultParagraphFont"/>
    <w:link w:val="CommentText"/>
    <w:uiPriority w:val="99"/>
    <w:rsid w:val="00EF1DC4"/>
    <w:rPr>
      <w:sz w:val="20"/>
      <w:szCs w:val="20"/>
    </w:rPr>
  </w:style>
  <w:style w:type="paragraph" w:styleId="CommentSubject">
    <w:name w:val="annotation subject"/>
    <w:basedOn w:val="CommentText"/>
    <w:next w:val="CommentText"/>
    <w:link w:val="CommentSubjectChar"/>
    <w:uiPriority w:val="99"/>
    <w:semiHidden/>
    <w:unhideWhenUsed/>
    <w:rsid w:val="00EF1DC4"/>
    <w:rPr>
      <w:b/>
      <w:bCs/>
    </w:rPr>
  </w:style>
  <w:style w:type="character" w:customStyle="1" w:styleId="CommentSubjectChar">
    <w:name w:val="Comment Subject Char"/>
    <w:basedOn w:val="CommentTextChar"/>
    <w:link w:val="CommentSubject"/>
    <w:uiPriority w:val="99"/>
    <w:semiHidden/>
    <w:rsid w:val="00EF1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2024-10-11T20:09:00Z</dcterms:created>
  <dcterms:modified xsi:type="dcterms:W3CDTF">2024-10-11T20:09:00Z</dcterms:modified>
</cp:coreProperties>
</file>