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9204E" w:rsidRPr="00BF7124" w:rsidP="00E67593" w14:paraId="44C058BA" w14:textId="7AC829D1">
      <w:pPr>
        <w:pStyle w:val="NoSpacing"/>
        <w:jc w:val="center"/>
        <w:rPr>
          <w:rFonts w:ascii="Arial" w:hAnsi="Arial" w:cs="Arial"/>
          <w:b/>
          <w:bCs/>
          <w:sz w:val="24"/>
          <w:szCs w:val="24"/>
        </w:rPr>
      </w:pPr>
      <w:r w:rsidRPr="00BF7124">
        <w:rPr>
          <w:rFonts w:ascii="Arial" w:hAnsi="Arial" w:cs="Arial"/>
          <w:b/>
          <w:bCs/>
          <w:sz w:val="24"/>
          <w:szCs w:val="24"/>
        </w:rPr>
        <w:t>JUSTIFICATION FOR NONMATERIAL/NONSUBSTANTIVE CHANGE</w:t>
      </w:r>
    </w:p>
    <w:p w:rsidR="00E67593" w:rsidRPr="00BF7124" w:rsidP="00E67593" w14:paraId="4F6F0538" w14:textId="5A383ED2">
      <w:pPr>
        <w:pStyle w:val="NoSpacing"/>
        <w:jc w:val="center"/>
        <w:rPr>
          <w:rFonts w:ascii="Arial" w:hAnsi="Arial" w:cs="Arial"/>
          <w:b/>
          <w:bCs/>
          <w:sz w:val="24"/>
          <w:szCs w:val="24"/>
        </w:rPr>
      </w:pPr>
      <w:r w:rsidRPr="00BF7124">
        <w:rPr>
          <w:rFonts w:ascii="Arial" w:hAnsi="Arial" w:cs="Arial"/>
          <w:b/>
          <w:bCs/>
          <w:sz w:val="24"/>
          <w:szCs w:val="24"/>
        </w:rPr>
        <w:t>Patents External Quality Survey</w:t>
      </w:r>
    </w:p>
    <w:p w:rsidR="00E67593" w:rsidRPr="00BF7124" w:rsidP="00E67593" w14:paraId="7B07AB13" w14:textId="6F994E1F">
      <w:pPr>
        <w:pStyle w:val="NoSpacing"/>
        <w:jc w:val="center"/>
        <w:rPr>
          <w:rFonts w:ascii="Arial" w:hAnsi="Arial" w:cs="Arial"/>
          <w:sz w:val="24"/>
          <w:szCs w:val="24"/>
        </w:rPr>
      </w:pPr>
      <w:r w:rsidRPr="00BF7124">
        <w:rPr>
          <w:rFonts w:ascii="Arial" w:hAnsi="Arial" w:cs="Arial"/>
          <w:b/>
          <w:bCs/>
          <w:sz w:val="24"/>
          <w:szCs w:val="24"/>
        </w:rPr>
        <w:t>OMB Control Number 0651-00</w:t>
      </w:r>
      <w:r w:rsidRPr="00BF7124" w:rsidR="005F43B4">
        <w:rPr>
          <w:rFonts w:ascii="Arial" w:hAnsi="Arial" w:cs="Arial"/>
          <w:b/>
          <w:bCs/>
          <w:sz w:val="24"/>
          <w:szCs w:val="24"/>
        </w:rPr>
        <w:t>57</w:t>
      </w:r>
    </w:p>
    <w:p w:rsidR="5A267A6A" w:rsidRPr="00BF7124" w:rsidP="1D908379" w14:paraId="41B61E00" w14:textId="612B2AD4">
      <w:pPr>
        <w:pStyle w:val="NoSpacing"/>
        <w:jc w:val="center"/>
        <w:rPr>
          <w:rFonts w:ascii="Arial" w:hAnsi="Arial" w:cs="Arial"/>
          <w:b/>
          <w:bCs/>
          <w:sz w:val="24"/>
          <w:szCs w:val="24"/>
        </w:rPr>
      </w:pPr>
      <w:r w:rsidRPr="00BF7124">
        <w:rPr>
          <w:rFonts w:ascii="Arial" w:hAnsi="Arial" w:cs="Arial"/>
          <w:b/>
          <w:bCs/>
          <w:sz w:val="24"/>
          <w:szCs w:val="24"/>
        </w:rPr>
        <w:t>2026</w:t>
      </w:r>
    </w:p>
    <w:p w:rsidR="00E67593" w:rsidRPr="00BF7124" w:rsidP="00E67593" w14:paraId="6831FECA" w14:textId="77777777">
      <w:pPr>
        <w:pStyle w:val="NoSpacing"/>
        <w:rPr>
          <w:rFonts w:ascii="Arial" w:hAnsi="Arial" w:cs="Arial"/>
          <w:sz w:val="24"/>
          <w:szCs w:val="24"/>
        </w:rPr>
      </w:pPr>
    </w:p>
    <w:p w:rsidR="00E67593" w:rsidRPr="00BF7124" w:rsidP="2758DAA9" w14:paraId="4DDCF218" w14:textId="77777777">
      <w:pPr>
        <w:pStyle w:val="NoSpacing"/>
        <w:jc w:val="both"/>
        <w:rPr>
          <w:rFonts w:ascii="Arial" w:hAnsi="Arial" w:cs="Arial"/>
          <w:b/>
          <w:bCs/>
          <w:sz w:val="24"/>
          <w:szCs w:val="24"/>
        </w:rPr>
      </w:pPr>
      <w:r w:rsidRPr="00BF7124">
        <w:rPr>
          <w:rFonts w:ascii="Arial" w:hAnsi="Arial" w:cs="Arial"/>
          <w:b/>
          <w:bCs/>
          <w:sz w:val="24"/>
          <w:szCs w:val="24"/>
        </w:rPr>
        <w:t>Background</w:t>
      </w:r>
    </w:p>
    <w:p w:rsidR="00E67593" w:rsidRPr="00BF7124" w:rsidP="00E67593" w14:paraId="30406CE5" w14:textId="77777777">
      <w:pPr>
        <w:pStyle w:val="NoSpacing"/>
        <w:jc w:val="both"/>
        <w:rPr>
          <w:rFonts w:ascii="Arial" w:hAnsi="Arial" w:cs="Arial"/>
          <w:sz w:val="24"/>
          <w:szCs w:val="24"/>
        </w:rPr>
      </w:pPr>
    </w:p>
    <w:p w:rsidR="2D207F66" w:rsidRPr="00BF7124" w:rsidP="2758DAA9" w14:paraId="02EEC109" w14:textId="5E2E0856">
      <w:pPr>
        <w:jc w:val="both"/>
        <w:rPr>
          <w:rFonts w:ascii="Arial" w:hAnsi="Arial"/>
          <w:sz w:val="24"/>
          <w:szCs w:val="24"/>
        </w:rPr>
      </w:pPr>
      <w:r w:rsidRPr="00BF7124">
        <w:rPr>
          <w:rFonts w:ascii="Arial" w:hAnsi="Arial"/>
          <w:sz w:val="24"/>
          <w:szCs w:val="24"/>
        </w:rPr>
        <w:t>This United States Patent and Trademark Office (USPTO) External Quality Survey</w:t>
      </w:r>
      <w:r w:rsidRPr="00BF7124" w:rsidR="0E2BAFDE">
        <w:rPr>
          <w:rFonts w:ascii="Arial" w:hAnsi="Arial"/>
          <w:sz w:val="24"/>
          <w:szCs w:val="24"/>
        </w:rPr>
        <w:t xml:space="preserve"> (EQS)</w:t>
      </w:r>
      <w:r w:rsidRPr="00BF7124">
        <w:rPr>
          <w:rFonts w:ascii="Arial" w:hAnsi="Arial"/>
          <w:sz w:val="24"/>
          <w:szCs w:val="24"/>
        </w:rPr>
        <w:t xml:space="preserve"> is an instrument designed to measure opinions about the services that USPTO provides its patent application customers. The results from this voluntary survey will assist the USPTO in guiding improvements and enhancements in the future. This survey narrows the focus of customer satisfaction to examination quality. The USPTO uses this survey to identify problems with examination quality and works to resolve these issues in a timely manner. </w:t>
      </w:r>
    </w:p>
    <w:p w:rsidR="2758DAA9" w:rsidRPr="00BF7124" w:rsidP="2758DAA9" w14:paraId="229CE71F" w14:textId="63F9BBB3">
      <w:pPr>
        <w:jc w:val="both"/>
        <w:rPr>
          <w:rFonts w:ascii="Arial" w:hAnsi="Arial"/>
          <w:sz w:val="24"/>
          <w:szCs w:val="24"/>
        </w:rPr>
      </w:pPr>
    </w:p>
    <w:p w:rsidR="0C9472E6" w:rsidRPr="00BF7124" w:rsidP="2758DAA9" w14:paraId="6407B957" w14:textId="06AB1DF9">
      <w:pPr>
        <w:jc w:val="both"/>
        <w:rPr>
          <w:rFonts w:ascii="Arial" w:eastAsia="Arial" w:hAnsi="Arial" w:cs="Arial"/>
          <w:sz w:val="24"/>
          <w:szCs w:val="24"/>
        </w:rPr>
      </w:pPr>
      <w:r w:rsidRPr="00BF7124">
        <w:rPr>
          <w:rFonts w:ascii="Arial" w:eastAsia="Arial" w:hAnsi="Arial" w:cs="Arial"/>
          <w:color w:val="000000" w:themeColor="text1"/>
          <w:sz w:val="24"/>
          <w:szCs w:val="24"/>
        </w:rPr>
        <w:t>The revised EQS will gather feedback from attorneys and agents who are registered to practice before the USPTO. These attorneys and agents may represent large domestic corporations (including those with over 500 employees), small and medium-size businesses, independent inventors, and universities and other non-profit research organizations. This survey will not request responses from pro se inventors or foreign entities.</w:t>
      </w:r>
    </w:p>
    <w:p w:rsidR="2758DAA9" w:rsidRPr="00BF7124" w:rsidP="2758DAA9" w14:paraId="638BB426" w14:textId="3D503B20">
      <w:pPr>
        <w:jc w:val="both"/>
        <w:rPr>
          <w:rFonts w:ascii="Arial" w:hAnsi="Arial"/>
          <w:sz w:val="24"/>
          <w:szCs w:val="24"/>
        </w:rPr>
      </w:pPr>
    </w:p>
    <w:p w:rsidR="6C551C9D" w:rsidRPr="00BF7124" w:rsidP="2758DAA9" w14:paraId="13445A34" w14:textId="3A98C0CF">
      <w:pPr>
        <w:jc w:val="both"/>
        <w:rPr>
          <w:rFonts w:ascii="Arial" w:hAnsi="Arial"/>
          <w:b/>
          <w:bCs/>
          <w:sz w:val="24"/>
          <w:szCs w:val="24"/>
        </w:rPr>
      </w:pPr>
      <w:r w:rsidRPr="00BF7124">
        <w:rPr>
          <w:rFonts w:ascii="Arial" w:hAnsi="Arial"/>
          <w:b/>
          <w:bCs/>
          <w:sz w:val="24"/>
          <w:szCs w:val="24"/>
        </w:rPr>
        <w:t>Changes</w:t>
      </w:r>
    </w:p>
    <w:p w:rsidR="2758DAA9" w:rsidRPr="00BF7124" w:rsidP="2758DAA9" w14:paraId="1690EE6B" w14:textId="4606A52F">
      <w:pPr>
        <w:ind w:left="360"/>
        <w:jc w:val="both"/>
        <w:rPr>
          <w:rFonts w:ascii="Arial" w:hAnsi="Arial"/>
          <w:sz w:val="24"/>
          <w:szCs w:val="24"/>
        </w:rPr>
      </w:pPr>
    </w:p>
    <w:p w:rsidR="00593E7A" w:rsidRPr="00BF7124" w:rsidP="00C209CB" w14:paraId="6D990075" w14:textId="2C55AEAC">
      <w:pPr>
        <w:pStyle w:val="ListParagraph"/>
        <w:ind w:left="0"/>
        <w:jc w:val="both"/>
        <w:rPr>
          <w:rFonts w:ascii="Arial" w:hAnsi="Arial"/>
          <w:sz w:val="24"/>
          <w:szCs w:val="24"/>
          <w:u w:val="single"/>
        </w:rPr>
      </w:pPr>
      <w:r w:rsidRPr="00BF7124">
        <w:rPr>
          <w:rFonts w:ascii="Arial" w:hAnsi="Arial"/>
          <w:sz w:val="24"/>
          <w:szCs w:val="24"/>
          <w:u w:val="single"/>
        </w:rPr>
        <w:t>A new opt-in approach to the survey</w:t>
      </w:r>
    </w:p>
    <w:p w:rsidR="005B7DE3" w:rsidRPr="00BF7124" w:rsidP="005B7DE3" w14:paraId="6AAA2F4E" w14:textId="77777777">
      <w:pPr>
        <w:jc w:val="both"/>
        <w:rPr>
          <w:rFonts w:ascii="Arial" w:hAnsi="Arial"/>
          <w:bCs/>
          <w:sz w:val="24"/>
        </w:rPr>
      </w:pPr>
    </w:p>
    <w:p w:rsidR="005B7DE3" w:rsidRPr="00BF7124" w:rsidP="00C209CB" w14:paraId="10FEA8A8" w14:textId="2807BE35">
      <w:pPr>
        <w:jc w:val="both"/>
        <w:rPr>
          <w:rFonts w:ascii="Arial" w:hAnsi="Arial"/>
          <w:sz w:val="24"/>
          <w:szCs w:val="24"/>
        </w:rPr>
      </w:pPr>
      <w:r w:rsidRPr="00BF7124">
        <w:rPr>
          <w:rFonts w:ascii="Arial" w:hAnsi="Arial"/>
          <w:sz w:val="24"/>
          <w:szCs w:val="24"/>
        </w:rPr>
        <w:t>Response rates to the survey have been declining over several years and the USPTO is changing its method of delivery in an attempt to increase re</w:t>
      </w:r>
      <w:r w:rsidRPr="00BF7124" w:rsidR="4DCE6D07">
        <w:rPr>
          <w:rFonts w:ascii="Arial" w:hAnsi="Arial"/>
          <w:sz w:val="24"/>
          <w:szCs w:val="24"/>
        </w:rPr>
        <w:t xml:space="preserve">spondent </w:t>
      </w:r>
      <w:r w:rsidRPr="00BF7124">
        <w:rPr>
          <w:rFonts w:ascii="Arial" w:hAnsi="Arial"/>
          <w:sz w:val="24"/>
          <w:szCs w:val="24"/>
        </w:rPr>
        <w:t>engagement.</w:t>
      </w:r>
      <w:r w:rsidRPr="00BF7124" w:rsidR="7CA8AF5F">
        <w:rPr>
          <w:rFonts w:ascii="Arial" w:hAnsi="Arial"/>
          <w:sz w:val="24"/>
          <w:szCs w:val="24"/>
        </w:rPr>
        <w:t xml:space="preserve"> The </w:t>
      </w:r>
      <w:r w:rsidRPr="00BF7124" w:rsidR="0E2BAFDE">
        <w:rPr>
          <w:rFonts w:ascii="Arial" w:hAnsi="Arial"/>
          <w:sz w:val="24"/>
          <w:szCs w:val="24"/>
        </w:rPr>
        <w:t>most recent</w:t>
      </w:r>
      <w:r w:rsidRPr="00BF7124" w:rsidR="7CA8AF5F">
        <w:rPr>
          <w:rFonts w:ascii="Arial" w:hAnsi="Arial"/>
          <w:sz w:val="24"/>
          <w:szCs w:val="24"/>
        </w:rPr>
        <w:t xml:space="preserve"> wave of the </w:t>
      </w:r>
      <w:r w:rsidRPr="00BF7124" w:rsidR="0E2BAFDE">
        <w:rPr>
          <w:rFonts w:ascii="Arial" w:hAnsi="Arial"/>
          <w:sz w:val="24"/>
          <w:szCs w:val="24"/>
        </w:rPr>
        <w:t xml:space="preserve">survey </w:t>
      </w:r>
      <w:r w:rsidRPr="00BF7124" w:rsidR="7CA8AF5F">
        <w:rPr>
          <w:rFonts w:ascii="Arial" w:hAnsi="Arial"/>
          <w:sz w:val="24"/>
          <w:szCs w:val="24"/>
        </w:rPr>
        <w:t>(Summer Fiscal Year 2025, Wave 42) had a response rate below 25%.</w:t>
      </w:r>
    </w:p>
    <w:p w:rsidR="006A290C" w:rsidRPr="00BF7124" w:rsidP="00C209CB" w14:paraId="53832C91" w14:textId="77777777">
      <w:pPr>
        <w:jc w:val="both"/>
        <w:rPr>
          <w:rFonts w:ascii="Arial" w:hAnsi="Arial"/>
          <w:bCs/>
          <w:sz w:val="24"/>
        </w:rPr>
      </w:pPr>
    </w:p>
    <w:p w:rsidR="009C21CA" w:rsidRPr="00BF7124" w:rsidP="00C209CB" w14:paraId="12CF4217" w14:textId="3EAD17B3">
      <w:pPr>
        <w:jc w:val="both"/>
        <w:rPr>
          <w:rFonts w:ascii="Arial" w:hAnsi="Arial"/>
          <w:sz w:val="24"/>
          <w:szCs w:val="24"/>
        </w:rPr>
      </w:pPr>
      <w:r w:rsidRPr="00BF7124">
        <w:rPr>
          <w:rFonts w:ascii="Arial" w:hAnsi="Arial"/>
          <w:sz w:val="24"/>
          <w:szCs w:val="24"/>
        </w:rPr>
        <w:t xml:space="preserve">The </w:t>
      </w:r>
      <w:r w:rsidRPr="00BF7124" w:rsidR="1AEBB581">
        <w:rPr>
          <w:rFonts w:ascii="Arial" w:hAnsi="Arial"/>
          <w:sz w:val="24"/>
          <w:szCs w:val="24"/>
        </w:rPr>
        <w:t xml:space="preserve">USPTO </w:t>
      </w:r>
      <w:r w:rsidRPr="00BF7124">
        <w:rPr>
          <w:rFonts w:ascii="Arial" w:hAnsi="Arial"/>
          <w:sz w:val="24"/>
          <w:szCs w:val="24"/>
        </w:rPr>
        <w:t>current</w:t>
      </w:r>
      <w:r w:rsidRPr="00BF7124" w:rsidR="62D2ABD9">
        <w:rPr>
          <w:rFonts w:ascii="Arial" w:hAnsi="Arial"/>
          <w:sz w:val="24"/>
          <w:szCs w:val="24"/>
        </w:rPr>
        <w:t>ly uses a</w:t>
      </w:r>
      <w:r w:rsidRPr="00BF7124">
        <w:rPr>
          <w:rFonts w:ascii="Arial" w:hAnsi="Arial"/>
          <w:sz w:val="24"/>
          <w:szCs w:val="24"/>
        </w:rPr>
        <w:t xml:space="preserve"> rotating panel </w:t>
      </w:r>
      <w:r w:rsidRPr="00BF7124" w:rsidR="62D2ABD9">
        <w:rPr>
          <w:rFonts w:ascii="Arial" w:hAnsi="Arial"/>
          <w:sz w:val="24"/>
          <w:szCs w:val="24"/>
        </w:rPr>
        <w:t xml:space="preserve">method which </w:t>
      </w:r>
      <w:r w:rsidRPr="00BF7124">
        <w:rPr>
          <w:rFonts w:ascii="Arial" w:hAnsi="Arial"/>
          <w:sz w:val="24"/>
          <w:szCs w:val="24"/>
        </w:rPr>
        <w:t>cut</w:t>
      </w:r>
      <w:r w:rsidRPr="00BF7124" w:rsidR="1AEBB581">
        <w:rPr>
          <w:rFonts w:ascii="Arial" w:hAnsi="Arial"/>
          <w:sz w:val="24"/>
          <w:szCs w:val="24"/>
        </w:rPr>
        <w:t>s</w:t>
      </w:r>
      <w:r w:rsidRPr="00BF7124">
        <w:rPr>
          <w:rFonts w:ascii="Arial" w:hAnsi="Arial"/>
          <w:sz w:val="24"/>
          <w:szCs w:val="24"/>
        </w:rPr>
        <w:t xml:space="preserve"> out potential respondents from the sample for 18 months</w:t>
      </w:r>
      <w:r w:rsidRPr="00BF7124" w:rsidR="62D2ABD9">
        <w:rPr>
          <w:rFonts w:ascii="Arial" w:hAnsi="Arial"/>
          <w:sz w:val="24"/>
          <w:szCs w:val="24"/>
        </w:rPr>
        <w:t>.</w:t>
      </w:r>
      <w:r w:rsidRPr="00BF7124">
        <w:rPr>
          <w:rFonts w:ascii="Arial" w:hAnsi="Arial"/>
          <w:sz w:val="24"/>
          <w:szCs w:val="24"/>
        </w:rPr>
        <w:t xml:space="preserve"> </w:t>
      </w:r>
      <w:r w:rsidRPr="00BF7124" w:rsidR="62D2ABD9">
        <w:rPr>
          <w:rFonts w:ascii="Arial" w:hAnsi="Arial"/>
          <w:sz w:val="24"/>
          <w:szCs w:val="24"/>
        </w:rPr>
        <w:t xml:space="preserve">This </w:t>
      </w:r>
      <w:r w:rsidRPr="00BF7124" w:rsidR="2B9BBB96">
        <w:rPr>
          <w:rFonts w:ascii="Arial" w:hAnsi="Arial"/>
          <w:sz w:val="24"/>
          <w:szCs w:val="24"/>
        </w:rPr>
        <w:t>causes the USPTO to</w:t>
      </w:r>
      <w:r w:rsidRPr="00BF7124">
        <w:rPr>
          <w:rFonts w:ascii="Arial" w:hAnsi="Arial"/>
          <w:sz w:val="24"/>
          <w:szCs w:val="24"/>
        </w:rPr>
        <w:t xml:space="preserve"> los</w:t>
      </w:r>
      <w:r w:rsidRPr="00BF7124" w:rsidR="2B9BBB96">
        <w:rPr>
          <w:rFonts w:ascii="Arial" w:hAnsi="Arial"/>
          <w:sz w:val="24"/>
          <w:szCs w:val="24"/>
        </w:rPr>
        <w:t>e</w:t>
      </w:r>
      <w:r w:rsidRPr="00BF7124">
        <w:rPr>
          <w:rFonts w:ascii="Arial" w:hAnsi="Arial"/>
          <w:sz w:val="24"/>
          <w:szCs w:val="24"/>
        </w:rPr>
        <w:t xml:space="preserve"> opportunities for valuable feedback during that time.</w:t>
      </w:r>
      <w:r w:rsidRPr="00BF7124" w:rsidR="613DF355">
        <w:rPr>
          <w:rFonts w:ascii="Arial" w:hAnsi="Arial"/>
          <w:sz w:val="24"/>
          <w:szCs w:val="24"/>
        </w:rPr>
        <w:t xml:space="preserve"> </w:t>
      </w:r>
      <w:r w:rsidRPr="00BF7124">
        <w:rPr>
          <w:rFonts w:ascii="Arial" w:hAnsi="Arial"/>
          <w:sz w:val="24"/>
          <w:szCs w:val="24"/>
        </w:rPr>
        <w:t>The</w:t>
      </w:r>
      <w:r w:rsidRPr="00BF7124" w:rsidR="2B9BBB96">
        <w:rPr>
          <w:rFonts w:ascii="Arial" w:hAnsi="Arial"/>
          <w:sz w:val="24"/>
          <w:szCs w:val="24"/>
        </w:rPr>
        <w:t xml:space="preserve"> USPTO </w:t>
      </w:r>
      <w:r w:rsidRPr="00BF7124" w:rsidR="04121ADF">
        <w:rPr>
          <w:rFonts w:ascii="Arial" w:hAnsi="Arial"/>
          <w:sz w:val="24"/>
          <w:szCs w:val="24"/>
        </w:rPr>
        <w:t>will now use an</w:t>
      </w:r>
      <w:r w:rsidRPr="00BF7124">
        <w:rPr>
          <w:rFonts w:ascii="Arial" w:hAnsi="Arial"/>
          <w:sz w:val="24"/>
          <w:szCs w:val="24"/>
        </w:rPr>
        <w:t xml:space="preserve"> opt-in approach </w:t>
      </w:r>
      <w:r w:rsidRPr="00BF7124" w:rsidR="04121ADF">
        <w:rPr>
          <w:rFonts w:ascii="Arial" w:hAnsi="Arial"/>
          <w:sz w:val="24"/>
          <w:szCs w:val="24"/>
        </w:rPr>
        <w:t xml:space="preserve">to the survey that </w:t>
      </w:r>
      <w:r w:rsidRPr="00BF7124">
        <w:rPr>
          <w:rFonts w:ascii="Arial" w:hAnsi="Arial"/>
          <w:sz w:val="24"/>
          <w:szCs w:val="24"/>
        </w:rPr>
        <w:t>can capture respondents’ experience with patent quality at any point in the process,</w:t>
      </w:r>
      <w:r w:rsidRPr="00BF7124" w:rsidR="2211E733">
        <w:rPr>
          <w:rFonts w:ascii="Arial" w:hAnsi="Arial"/>
          <w:sz w:val="24"/>
          <w:szCs w:val="24"/>
        </w:rPr>
        <w:t xml:space="preserve"> </w:t>
      </w:r>
      <w:r w:rsidRPr="00BF7124">
        <w:rPr>
          <w:rFonts w:ascii="Arial" w:hAnsi="Arial"/>
          <w:sz w:val="24"/>
          <w:szCs w:val="24"/>
        </w:rPr>
        <w:t xml:space="preserve">and allows the USPTO to capture more responses from smaller firms. The USPTO currently has the potential to miss patents attorneys/agents from smaller firms, but the opt-in approach </w:t>
      </w:r>
      <w:r w:rsidRPr="00BF7124" w:rsidR="4A6A10CD">
        <w:rPr>
          <w:rFonts w:ascii="Arial" w:hAnsi="Arial"/>
          <w:sz w:val="24"/>
          <w:szCs w:val="24"/>
        </w:rPr>
        <w:t>will provide</w:t>
      </w:r>
      <w:r w:rsidRPr="00BF7124">
        <w:rPr>
          <w:rFonts w:ascii="Arial" w:hAnsi="Arial"/>
          <w:sz w:val="24"/>
          <w:szCs w:val="24"/>
        </w:rPr>
        <w:t xml:space="preserve"> all patent attorneys/agents </w:t>
      </w:r>
      <w:r w:rsidRPr="00BF7124" w:rsidR="4A6A10CD">
        <w:rPr>
          <w:rFonts w:ascii="Arial" w:hAnsi="Arial"/>
          <w:sz w:val="24"/>
          <w:szCs w:val="24"/>
        </w:rPr>
        <w:t xml:space="preserve">with </w:t>
      </w:r>
      <w:r w:rsidRPr="00BF7124">
        <w:rPr>
          <w:rFonts w:ascii="Arial" w:hAnsi="Arial"/>
          <w:sz w:val="24"/>
          <w:szCs w:val="24"/>
        </w:rPr>
        <w:t>the ability to respond to the survey.</w:t>
      </w:r>
    </w:p>
    <w:p w:rsidR="001842CC" w:rsidRPr="00BF7124" w:rsidP="00C209CB" w14:paraId="228563DB" w14:textId="77777777">
      <w:pPr>
        <w:jc w:val="both"/>
        <w:rPr>
          <w:rFonts w:ascii="Arial" w:hAnsi="Arial"/>
          <w:bCs/>
          <w:sz w:val="24"/>
        </w:rPr>
      </w:pPr>
    </w:p>
    <w:p w:rsidR="009C21CA" w:rsidRPr="00BF7124" w:rsidP="00C209CB" w14:paraId="34271EC9" w14:textId="6BBF078A">
      <w:pPr>
        <w:jc w:val="both"/>
        <w:rPr>
          <w:rFonts w:ascii="Arial" w:hAnsi="Arial"/>
          <w:bCs/>
          <w:sz w:val="24"/>
        </w:rPr>
      </w:pPr>
      <w:r w:rsidRPr="00BF7124">
        <w:rPr>
          <w:rFonts w:ascii="Arial" w:hAnsi="Arial"/>
          <w:bCs/>
          <w:sz w:val="24"/>
        </w:rPr>
        <w:t>The USPTO is planning a communication campaign to encourage patent applicant feedback. This communication can be modified to help increase responses from any particular subset (large, small, micro filers</w:t>
      </w:r>
      <w:r w:rsidRPr="00BF7124" w:rsidR="00B523E3">
        <w:rPr>
          <w:rFonts w:ascii="Arial" w:hAnsi="Arial"/>
          <w:bCs/>
          <w:sz w:val="24"/>
        </w:rPr>
        <w:t>,</w:t>
      </w:r>
      <w:r w:rsidRPr="00BF7124">
        <w:rPr>
          <w:rFonts w:ascii="Arial" w:hAnsi="Arial"/>
          <w:bCs/>
          <w:sz w:val="24"/>
        </w:rPr>
        <w:t xml:space="preserve"> etc.) to ensure that </w:t>
      </w:r>
      <w:r w:rsidRPr="00BF7124" w:rsidR="00B523E3">
        <w:rPr>
          <w:rFonts w:ascii="Arial" w:hAnsi="Arial"/>
          <w:bCs/>
          <w:sz w:val="24"/>
        </w:rPr>
        <w:t>the USPTO</w:t>
      </w:r>
      <w:r w:rsidRPr="00BF7124">
        <w:rPr>
          <w:rFonts w:ascii="Arial" w:hAnsi="Arial"/>
          <w:bCs/>
          <w:sz w:val="24"/>
        </w:rPr>
        <w:t xml:space="preserve"> ha</w:t>
      </w:r>
      <w:r w:rsidRPr="00BF7124" w:rsidR="00B523E3">
        <w:rPr>
          <w:rFonts w:ascii="Arial" w:hAnsi="Arial"/>
          <w:bCs/>
          <w:sz w:val="24"/>
        </w:rPr>
        <w:t>s</w:t>
      </w:r>
      <w:r w:rsidRPr="00BF7124">
        <w:rPr>
          <w:rFonts w:ascii="Arial" w:hAnsi="Arial"/>
          <w:bCs/>
          <w:sz w:val="24"/>
        </w:rPr>
        <w:t xml:space="preserve"> a complete picture of applica</w:t>
      </w:r>
      <w:r w:rsidRPr="00BF7124" w:rsidR="004C1C9D">
        <w:rPr>
          <w:rFonts w:ascii="Arial" w:hAnsi="Arial"/>
          <w:bCs/>
          <w:sz w:val="24"/>
        </w:rPr>
        <w:t>n</w:t>
      </w:r>
      <w:r w:rsidRPr="00BF7124">
        <w:rPr>
          <w:rFonts w:ascii="Arial" w:hAnsi="Arial"/>
          <w:bCs/>
          <w:sz w:val="24"/>
        </w:rPr>
        <w:t>t experience</w:t>
      </w:r>
      <w:r w:rsidRPr="00BF7124" w:rsidR="004C1C9D">
        <w:rPr>
          <w:rFonts w:ascii="Arial" w:hAnsi="Arial"/>
          <w:bCs/>
          <w:sz w:val="24"/>
        </w:rPr>
        <w:t>s</w:t>
      </w:r>
      <w:r w:rsidRPr="00BF7124">
        <w:rPr>
          <w:rFonts w:ascii="Arial" w:hAnsi="Arial"/>
          <w:bCs/>
          <w:sz w:val="24"/>
        </w:rPr>
        <w:t xml:space="preserve">. Because </w:t>
      </w:r>
      <w:r w:rsidRPr="00BF7124" w:rsidR="004C1C9D">
        <w:rPr>
          <w:rFonts w:ascii="Arial" w:hAnsi="Arial"/>
          <w:bCs/>
          <w:sz w:val="24"/>
        </w:rPr>
        <w:t xml:space="preserve">the </w:t>
      </w:r>
      <w:r w:rsidRPr="00BF7124">
        <w:rPr>
          <w:rFonts w:ascii="Arial" w:hAnsi="Arial"/>
          <w:bCs/>
          <w:sz w:val="24"/>
        </w:rPr>
        <w:t>opt-in</w:t>
      </w:r>
      <w:r w:rsidRPr="00BF7124" w:rsidR="004C1C9D">
        <w:rPr>
          <w:rFonts w:ascii="Arial" w:hAnsi="Arial"/>
          <w:bCs/>
          <w:sz w:val="24"/>
        </w:rPr>
        <w:t xml:space="preserve"> approach</w:t>
      </w:r>
      <w:r w:rsidRPr="00BF7124">
        <w:rPr>
          <w:rFonts w:ascii="Arial" w:hAnsi="Arial"/>
          <w:bCs/>
          <w:sz w:val="24"/>
        </w:rPr>
        <w:t xml:space="preserve"> will permit additional respondents who are motivated to provide ongoing feedback—particularly patent agents and attorneys who want to share their views—the total number of responses and the diversity of viewpoints are likely to increase. Th</w:t>
      </w:r>
      <w:r w:rsidRPr="00BF7124" w:rsidR="004C1C9D">
        <w:rPr>
          <w:rFonts w:ascii="Arial" w:hAnsi="Arial"/>
          <w:bCs/>
          <w:sz w:val="24"/>
        </w:rPr>
        <w:t>is</w:t>
      </w:r>
      <w:r w:rsidRPr="00BF7124">
        <w:rPr>
          <w:rFonts w:ascii="Arial" w:hAnsi="Arial"/>
          <w:bCs/>
          <w:sz w:val="24"/>
        </w:rPr>
        <w:t xml:space="preserve"> broader participation will help the </w:t>
      </w:r>
      <w:r w:rsidRPr="00BF7124">
        <w:rPr>
          <w:rFonts w:ascii="Arial" w:hAnsi="Arial"/>
          <w:bCs/>
          <w:sz w:val="24"/>
        </w:rPr>
        <w:t>USPTO better understand and address concerns across a wider cross-section of stakeholders. The ultimate goal of the new survey is to take in the widest possible feedback to support patent quality.</w:t>
      </w:r>
    </w:p>
    <w:p w:rsidR="009C21CA" w:rsidRPr="00BF7124" w:rsidP="00C209CB" w14:paraId="5BD4C1DC" w14:textId="77777777">
      <w:pPr>
        <w:jc w:val="both"/>
        <w:rPr>
          <w:rFonts w:ascii="Arial" w:hAnsi="Arial"/>
          <w:bCs/>
          <w:sz w:val="24"/>
        </w:rPr>
      </w:pPr>
    </w:p>
    <w:p w:rsidR="00EF3848" w:rsidRPr="00BF7124" w:rsidP="00C209CB" w14:paraId="490AA7D8" w14:textId="5F15EB81">
      <w:pPr>
        <w:pStyle w:val="ListParagraph"/>
        <w:ind w:left="0"/>
        <w:jc w:val="both"/>
        <w:rPr>
          <w:rFonts w:ascii="Arial" w:hAnsi="Arial"/>
          <w:sz w:val="24"/>
          <w:szCs w:val="24"/>
          <w:u w:val="single"/>
        </w:rPr>
      </w:pPr>
      <w:r>
        <w:rPr>
          <w:rFonts w:ascii="Arial" w:hAnsi="Arial"/>
          <w:sz w:val="24"/>
          <w:szCs w:val="24"/>
          <w:u w:val="single"/>
        </w:rPr>
        <w:t xml:space="preserve">Change to </w:t>
      </w:r>
      <w:r w:rsidR="00635D22">
        <w:rPr>
          <w:rFonts w:ascii="Arial" w:hAnsi="Arial"/>
          <w:sz w:val="24"/>
          <w:szCs w:val="24"/>
          <w:u w:val="single"/>
        </w:rPr>
        <w:t>s</w:t>
      </w:r>
      <w:r w:rsidR="00453236">
        <w:rPr>
          <w:rFonts w:ascii="Arial" w:hAnsi="Arial"/>
          <w:sz w:val="24"/>
          <w:szCs w:val="24"/>
          <w:u w:val="single"/>
        </w:rPr>
        <w:t xml:space="preserve">ampling </w:t>
      </w:r>
      <w:r w:rsidR="00635D22">
        <w:rPr>
          <w:rFonts w:ascii="Arial" w:hAnsi="Arial"/>
          <w:sz w:val="24"/>
          <w:szCs w:val="24"/>
          <w:u w:val="single"/>
        </w:rPr>
        <w:t>m</w:t>
      </w:r>
      <w:r w:rsidR="00453236">
        <w:rPr>
          <w:rFonts w:ascii="Arial" w:hAnsi="Arial"/>
          <w:sz w:val="24"/>
          <w:szCs w:val="24"/>
          <w:u w:val="single"/>
        </w:rPr>
        <w:t xml:space="preserve">ethod </w:t>
      </w:r>
      <w:r>
        <w:rPr>
          <w:rFonts w:ascii="Arial" w:hAnsi="Arial"/>
          <w:sz w:val="24"/>
          <w:szCs w:val="24"/>
          <w:u w:val="single"/>
        </w:rPr>
        <w:t>\</w:t>
      </w:r>
    </w:p>
    <w:p w:rsidR="009C21CA" w:rsidRPr="00BF7124" w:rsidP="00C209CB" w14:paraId="23233095" w14:textId="5E1C8540">
      <w:pPr>
        <w:pStyle w:val="ListParagraph"/>
        <w:ind w:left="0"/>
        <w:jc w:val="both"/>
        <w:rPr>
          <w:rFonts w:ascii="Arial" w:hAnsi="Arial"/>
          <w:sz w:val="24"/>
          <w:szCs w:val="24"/>
        </w:rPr>
      </w:pPr>
      <w:r w:rsidRPr="00BF7124">
        <w:rPr>
          <w:rFonts w:ascii="Arial" w:hAnsi="Arial"/>
          <w:sz w:val="24"/>
          <w:szCs w:val="24"/>
        </w:rPr>
        <w:t>The USPTO i</w:t>
      </w:r>
      <w:r w:rsidRPr="00BF7124" w:rsidR="7B1A2019">
        <w:rPr>
          <w:rFonts w:ascii="Arial" w:hAnsi="Arial"/>
          <w:sz w:val="24"/>
          <w:szCs w:val="24"/>
        </w:rPr>
        <w:t xml:space="preserve">ntends to </w:t>
      </w:r>
      <w:r w:rsidRPr="00BF7124">
        <w:rPr>
          <w:rFonts w:ascii="Arial" w:hAnsi="Arial"/>
          <w:sz w:val="24"/>
          <w:szCs w:val="24"/>
        </w:rPr>
        <w:t xml:space="preserve">keep the same survey schedule, with two surveys periods </w:t>
      </w:r>
      <w:r w:rsidRPr="00BF7124" w:rsidR="3FE5E329">
        <w:rPr>
          <w:rFonts w:ascii="Arial" w:hAnsi="Arial"/>
          <w:sz w:val="24"/>
          <w:szCs w:val="24"/>
        </w:rPr>
        <w:t xml:space="preserve">(waves) </w:t>
      </w:r>
      <w:r w:rsidRPr="00BF7124">
        <w:rPr>
          <w:rFonts w:ascii="Arial" w:hAnsi="Arial"/>
          <w:sz w:val="24"/>
          <w:szCs w:val="24"/>
        </w:rPr>
        <w:t>per year. This feedback cycle allow</w:t>
      </w:r>
      <w:r w:rsidRPr="00BF7124" w:rsidR="6CE09E8D">
        <w:rPr>
          <w:rFonts w:ascii="Arial" w:hAnsi="Arial"/>
          <w:sz w:val="24"/>
          <w:szCs w:val="24"/>
        </w:rPr>
        <w:t>s</w:t>
      </w:r>
      <w:r w:rsidRPr="00BF7124">
        <w:rPr>
          <w:rFonts w:ascii="Arial" w:hAnsi="Arial"/>
          <w:sz w:val="24"/>
          <w:szCs w:val="24"/>
        </w:rPr>
        <w:t xml:space="preserve"> </w:t>
      </w:r>
      <w:r w:rsidRPr="00BF7124" w:rsidR="3FE5E329">
        <w:rPr>
          <w:rFonts w:ascii="Arial" w:hAnsi="Arial"/>
          <w:sz w:val="24"/>
          <w:szCs w:val="24"/>
        </w:rPr>
        <w:t>the USPTO</w:t>
      </w:r>
      <w:r w:rsidRPr="00BF7124">
        <w:rPr>
          <w:rFonts w:ascii="Arial" w:hAnsi="Arial"/>
          <w:sz w:val="24"/>
          <w:szCs w:val="24"/>
        </w:rPr>
        <w:t xml:space="preserve"> to </w:t>
      </w:r>
      <w:r w:rsidRPr="00BF7124" w:rsidR="23BE9BA2">
        <w:rPr>
          <w:rFonts w:ascii="Arial" w:hAnsi="Arial"/>
          <w:sz w:val="24"/>
          <w:szCs w:val="24"/>
        </w:rPr>
        <w:t xml:space="preserve">maintain a consistent </w:t>
      </w:r>
      <w:r w:rsidRPr="00BF7124">
        <w:rPr>
          <w:rFonts w:ascii="Arial" w:hAnsi="Arial"/>
          <w:sz w:val="24"/>
          <w:szCs w:val="24"/>
        </w:rPr>
        <w:t>anal</w:t>
      </w:r>
      <w:r w:rsidRPr="00BF7124" w:rsidR="7E2974E4">
        <w:rPr>
          <w:rFonts w:ascii="Arial" w:hAnsi="Arial"/>
          <w:sz w:val="24"/>
          <w:szCs w:val="24"/>
        </w:rPr>
        <w:t>ysis</w:t>
      </w:r>
      <w:r w:rsidRPr="00BF7124" w:rsidR="5CF04492">
        <w:rPr>
          <w:rFonts w:ascii="Arial" w:hAnsi="Arial"/>
          <w:sz w:val="24"/>
          <w:szCs w:val="24"/>
        </w:rPr>
        <w:t xml:space="preserve"> </w:t>
      </w:r>
      <w:r w:rsidRPr="00BF7124" w:rsidR="7F0F2E19">
        <w:rPr>
          <w:rFonts w:ascii="Arial" w:hAnsi="Arial"/>
          <w:sz w:val="24"/>
          <w:szCs w:val="24"/>
        </w:rPr>
        <w:t xml:space="preserve">of </w:t>
      </w:r>
      <w:r w:rsidRPr="00BF7124">
        <w:rPr>
          <w:rFonts w:ascii="Arial" w:hAnsi="Arial"/>
          <w:sz w:val="24"/>
          <w:szCs w:val="24"/>
        </w:rPr>
        <w:t xml:space="preserve">trends in patent quality.  Previous studies were done for testing the non-response bias (nonrespondents versus respondents), and no statistical significance was identified. </w:t>
      </w:r>
      <w:r w:rsidRPr="00BF7124" w:rsidR="02E8C64F">
        <w:rPr>
          <w:rFonts w:ascii="Arial" w:hAnsi="Arial"/>
          <w:sz w:val="24"/>
          <w:szCs w:val="24"/>
        </w:rPr>
        <w:t>Under the current framework</w:t>
      </w:r>
      <w:r w:rsidRPr="00BF7124">
        <w:rPr>
          <w:rFonts w:ascii="Arial" w:hAnsi="Arial"/>
          <w:sz w:val="24"/>
          <w:szCs w:val="24"/>
        </w:rPr>
        <w:t xml:space="preserve">, most of the sampling is from large firms that are chosen by USPTO. </w:t>
      </w:r>
      <w:r w:rsidRPr="00BF7124" w:rsidR="12E81E70">
        <w:rPr>
          <w:rFonts w:ascii="Arial" w:hAnsi="Arial"/>
          <w:sz w:val="24"/>
          <w:szCs w:val="24"/>
        </w:rPr>
        <w:t>The new opt</w:t>
      </w:r>
      <w:r w:rsidRPr="00BF7124" w:rsidR="694E6717">
        <w:rPr>
          <w:rFonts w:ascii="Arial" w:hAnsi="Arial"/>
          <w:sz w:val="24"/>
          <w:szCs w:val="24"/>
        </w:rPr>
        <w:t>-</w:t>
      </w:r>
      <w:r w:rsidRPr="00BF7124" w:rsidR="12E81E70">
        <w:rPr>
          <w:rFonts w:ascii="Arial" w:hAnsi="Arial"/>
          <w:sz w:val="24"/>
          <w:szCs w:val="24"/>
        </w:rPr>
        <w:t xml:space="preserve">in framework </w:t>
      </w:r>
      <w:r w:rsidRPr="00BF7124">
        <w:rPr>
          <w:rFonts w:ascii="Arial" w:hAnsi="Arial"/>
          <w:sz w:val="24"/>
          <w:szCs w:val="24"/>
        </w:rPr>
        <w:t>allows</w:t>
      </w:r>
      <w:r w:rsidRPr="00BF7124" w:rsidR="2FEA6B52">
        <w:rPr>
          <w:rFonts w:ascii="Arial" w:hAnsi="Arial"/>
          <w:sz w:val="24"/>
          <w:szCs w:val="24"/>
        </w:rPr>
        <w:t xml:space="preserve"> the USPTO</w:t>
      </w:r>
      <w:r w:rsidRPr="00BF7124">
        <w:rPr>
          <w:rFonts w:ascii="Arial" w:hAnsi="Arial"/>
          <w:sz w:val="24"/>
          <w:szCs w:val="24"/>
        </w:rPr>
        <w:t xml:space="preserve"> to capture smaller firms that might have missed </w:t>
      </w:r>
      <w:r w:rsidRPr="00BF7124" w:rsidR="254E3236">
        <w:rPr>
          <w:rFonts w:ascii="Arial" w:hAnsi="Arial"/>
          <w:sz w:val="24"/>
          <w:szCs w:val="24"/>
        </w:rPr>
        <w:t>in previous surveys</w:t>
      </w:r>
      <w:r w:rsidRPr="00BF7124">
        <w:rPr>
          <w:rFonts w:ascii="Arial" w:hAnsi="Arial"/>
          <w:sz w:val="24"/>
          <w:szCs w:val="24"/>
        </w:rPr>
        <w:t xml:space="preserve">. With </w:t>
      </w:r>
      <w:r w:rsidRPr="00BF7124" w:rsidR="4E71BB90">
        <w:rPr>
          <w:rFonts w:ascii="Arial" w:hAnsi="Arial"/>
          <w:sz w:val="24"/>
          <w:szCs w:val="24"/>
        </w:rPr>
        <w:t>a mor</w:t>
      </w:r>
      <w:r w:rsidRPr="00BF7124">
        <w:rPr>
          <w:rFonts w:ascii="Arial" w:hAnsi="Arial"/>
          <w:sz w:val="24"/>
          <w:szCs w:val="24"/>
        </w:rPr>
        <w:t xml:space="preserve">e </w:t>
      </w:r>
      <w:r w:rsidRPr="00BF7124" w:rsidR="4BB60AFC">
        <w:rPr>
          <w:rFonts w:ascii="Arial" w:hAnsi="Arial"/>
          <w:sz w:val="24"/>
          <w:szCs w:val="24"/>
        </w:rPr>
        <w:t xml:space="preserve">substantial </w:t>
      </w:r>
      <w:r w:rsidRPr="00BF7124">
        <w:rPr>
          <w:rFonts w:ascii="Arial" w:hAnsi="Arial"/>
          <w:sz w:val="24"/>
          <w:szCs w:val="24"/>
        </w:rPr>
        <w:t>inclusion of small firms, the USPTO will get a broader set of viewpoints</w:t>
      </w:r>
      <w:r w:rsidRPr="00BF7124" w:rsidR="096E15B1">
        <w:rPr>
          <w:rFonts w:ascii="Arial" w:hAnsi="Arial"/>
          <w:sz w:val="24"/>
          <w:szCs w:val="24"/>
        </w:rPr>
        <w:t xml:space="preserve"> than provided by previous surveys under this program</w:t>
      </w:r>
      <w:r w:rsidRPr="00BF7124">
        <w:rPr>
          <w:rFonts w:ascii="Arial" w:hAnsi="Arial"/>
          <w:sz w:val="24"/>
          <w:szCs w:val="24"/>
        </w:rPr>
        <w:t xml:space="preserve">. </w:t>
      </w:r>
      <w:r w:rsidRPr="00BF7124" w:rsidR="4C2BB722">
        <w:rPr>
          <w:rFonts w:ascii="Arial" w:hAnsi="Arial"/>
          <w:sz w:val="24"/>
          <w:szCs w:val="24"/>
        </w:rPr>
        <w:t>This wider audience will enable the US</w:t>
      </w:r>
      <w:r w:rsidRPr="00BF7124" w:rsidR="787C006C">
        <w:rPr>
          <w:rFonts w:ascii="Arial" w:hAnsi="Arial"/>
          <w:sz w:val="24"/>
          <w:szCs w:val="24"/>
        </w:rPr>
        <w:t xml:space="preserve">PTO to hear more types of concerns and issues and be able to address those issues in a timely fashion.  </w:t>
      </w:r>
      <w:r w:rsidRPr="00BF7124">
        <w:rPr>
          <w:rFonts w:ascii="Arial" w:hAnsi="Arial"/>
          <w:sz w:val="24"/>
          <w:szCs w:val="24"/>
        </w:rPr>
        <w:t xml:space="preserve">   </w:t>
      </w:r>
    </w:p>
    <w:p w:rsidR="008E5A1F" w:rsidRPr="00BF7124" w:rsidP="00C209CB" w14:paraId="22D82D01" w14:textId="77777777">
      <w:pPr>
        <w:jc w:val="both"/>
        <w:rPr>
          <w:rFonts w:ascii="Arial" w:hAnsi="Arial"/>
          <w:bCs/>
          <w:sz w:val="24"/>
        </w:rPr>
      </w:pPr>
    </w:p>
    <w:p w:rsidR="009C21CA" w:rsidRPr="00BF7124" w:rsidP="00C209CB" w14:paraId="180B91D5" w14:textId="3DD7413A">
      <w:pPr>
        <w:jc w:val="both"/>
        <w:rPr>
          <w:rFonts w:ascii="Arial" w:hAnsi="Arial"/>
          <w:sz w:val="24"/>
          <w:szCs w:val="24"/>
        </w:rPr>
      </w:pPr>
      <w:r w:rsidRPr="00BF7124">
        <w:rPr>
          <w:rFonts w:ascii="Arial" w:hAnsi="Arial"/>
          <w:sz w:val="24"/>
          <w:szCs w:val="24"/>
        </w:rPr>
        <w:t xml:space="preserve">The USPTO has the potential to capture feedback from patent agents/attorneys </w:t>
      </w:r>
      <w:r w:rsidRPr="00BF7124" w:rsidR="18B603F8">
        <w:rPr>
          <w:rFonts w:ascii="Arial" w:hAnsi="Arial"/>
          <w:sz w:val="24"/>
          <w:szCs w:val="24"/>
        </w:rPr>
        <w:t xml:space="preserve">who wish </w:t>
      </w:r>
      <w:r w:rsidRPr="00BF7124">
        <w:rPr>
          <w:rFonts w:ascii="Arial" w:hAnsi="Arial"/>
          <w:sz w:val="24"/>
          <w:szCs w:val="24"/>
        </w:rPr>
        <w:t>to continue responding with valuable information</w:t>
      </w:r>
      <w:r w:rsidRPr="00BF7124" w:rsidR="5E16C762">
        <w:rPr>
          <w:rFonts w:ascii="Arial" w:hAnsi="Arial"/>
          <w:sz w:val="24"/>
          <w:szCs w:val="24"/>
        </w:rPr>
        <w:t>.</w:t>
      </w:r>
      <w:r w:rsidRPr="00BF7124">
        <w:rPr>
          <w:rFonts w:ascii="Arial" w:hAnsi="Arial"/>
          <w:sz w:val="24"/>
          <w:szCs w:val="24"/>
        </w:rPr>
        <w:t xml:space="preserve"> </w:t>
      </w:r>
      <w:r w:rsidRPr="00BF7124" w:rsidR="6ECC95BD">
        <w:rPr>
          <w:rFonts w:ascii="Arial" w:hAnsi="Arial"/>
          <w:sz w:val="24"/>
          <w:szCs w:val="24"/>
        </w:rPr>
        <w:t xml:space="preserve">This will enable respondents to engage with USPTO at their own desired frequency rather than being dependent upon inclusion on a </w:t>
      </w:r>
      <w:r w:rsidRPr="00BF7124">
        <w:rPr>
          <w:rFonts w:ascii="Arial" w:hAnsi="Arial"/>
          <w:sz w:val="24"/>
          <w:szCs w:val="24"/>
        </w:rPr>
        <w:t>particular survey panel. </w:t>
      </w:r>
    </w:p>
    <w:p w:rsidR="009C21CA" w:rsidRPr="00BF7124" w:rsidP="009C21CA" w14:paraId="360CAA4E" w14:textId="77777777">
      <w:pPr>
        <w:jc w:val="both"/>
        <w:rPr>
          <w:rFonts w:ascii="Arial" w:hAnsi="Arial"/>
          <w:bCs/>
          <w:sz w:val="24"/>
          <w:u w:val="single"/>
        </w:rPr>
      </w:pPr>
    </w:p>
    <w:p w:rsidR="00613D9C" w:rsidRPr="00BF7124" w:rsidP="2758DAA9" w14:paraId="71BACCA6" w14:textId="6B83F077">
      <w:pPr>
        <w:jc w:val="both"/>
        <w:rPr>
          <w:rFonts w:ascii="Arial" w:hAnsi="Arial"/>
          <w:sz w:val="24"/>
          <w:szCs w:val="24"/>
        </w:rPr>
      </w:pPr>
      <w:r w:rsidRPr="00BF7124">
        <w:rPr>
          <w:rFonts w:ascii="Arial" w:hAnsi="Arial"/>
          <w:sz w:val="24"/>
          <w:szCs w:val="24"/>
        </w:rPr>
        <w:t>The revisions listed above will result in these particular changes to the information collection burdens and questions</w:t>
      </w:r>
      <w:r w:rsidRPr="00BF7124" w:rsidR="3DF73663">
        <w:rPr>
          <w:rFonts w:ascii="Arial" w:hAnsi="Arial"/>
          <w:sz w:val="24"/>
          <w:szCs w:val="24"/>
        </w:rPr>
        <w:t>:</w:t>
      </w:r>
    </w:p>
    <w:p w:rsidR="00F7618F" w:rsidRPr="00BF7124" w:rsidP="00F7618F" w14:paraId="1FEABD5B" w14:textId="77777777">
      <w:pPr>
        <w:jc w:val="both"/>
        <w:rPr>
          <w:rFonts w:ascii="Arial" w:hAnsi="Arial"/>
          <w:bCs/>
          <w:sz w:val="24"/>
        </w:rPr>
      </w:pPr>
    </w:p>
    <w:p w:rsidR="002C162B" w:rsidRPr="00BF7124" w:rsidP="00613D9C" w14:paraId="0131BFEB" w14:textId="46E43D51">
      <w:pPr>
        <w:pStyle w:val="ListParagraph"/>
        <w:numPr>
          <w:ilvl w:val="0"/>
          <w:numId w:val="27"/>
        </w:numPr>
        <w:jc w:val="both"/>
        <w:rPr>
          <w:rFonts w:ascii="Arial" w:hAnsi="Arial"/>
          <w:bCs/>
          <w:sz w:val="24"/>
        </w:rPr>
      </w:pPr>
      <w:r w:rsidRPr="00BF7124">
        <w:rPr>
          <w:rFonts w:ascii="Arial" w:hAnsi="Arial"/>
          <w:bCs/>
          <w:sz w:val="24"/>
        </w:rPr>
        <w:t xml:space="preserve">The responses will be </w:t>
      </w:r>
      <w:r w:rsidRPr="00BF7124" w:rsidR="00726A19">
        <w:rPr>
          <w:rFonts w:ascii="Arial" w:hAnsi="Arial"/>
          <w:bCs/>
          <w:sz w:val="24"/>
        </w:rPr>
        <w:t xml:space="preserve">now be </w:t>
      </w:r>
      <w:r w:rsidRPr="00BF7124">
        <w:rPr>
          <w:rFonts w:ascii="Arial" w:hAnsi="Arial"/>
          <w:bCs/>
          <w:sz w:val="24"/>
        </w:rPr>
        <w:t xml:space="preserve">collected using an opt-in approach instead of the previous rotating sample panel </w:t>
      </w:r>
      <w:r w:rsidRPr="00BF7124" w:rsidR="00B36DAB">
        <w:rPr>
          <w:rFonts w:ascii="Arial" w:hAnsi="Arial"/>
          <w:bCs/>
          <w:sz w:val="24"/>
        </w:rPr>
        <w:t>method</w:t>
      </w:r>
      <w:r w:rsidRPr="00BF7124">
        <w:rPr>
          <w:rFonts w:ascii="Arial" w:hAnsi="Arial"/>
          <w:bCs/>
          <w:sz w:val="24"/>
        </w:rPr>
        <w:t>. This means that</w:t>
      </w:r>
      <w:r w:rsidRPr="00BF7124">
        <w:rPr>
          <w:rFonts w:ascii="Arial" w:hAnsi="Arial"/>
          <w:bCs/>
          <w:sz w:val="24"/>
        </w:rPr>
        <w:t>:</w:t>
      </w:r>
    </w:p>
    <w:p w:rsidR="002C162B" w:rsidRPr="00BF7124" w:rsidP="002C162B" w14:paraId="66A5DFB5" w14:textId="6B529C3E">
      <w:pPr>
        <w:pStyle w:val="ListParagraph"/>
        <w:numPr>
          <w:ilvl w:val="1"/>
          <w:numId w:val="27"/>
        </w:numPr>
        <w:jc w:val="both"/>
        <w:rPr>
          <w:rFonts w:ascii="Arial" w:hAnsi="Arial"/>
          <w:bCs/>
          <w:sz w:val="24"/>
        </w:rPr>
      </w:pPr>
      <w:r w:rsidRPr="00BF7124">
        <w:rPr>
          <w:rFonts w:ascii="Arial" w:hAnsi="Arial"/>
          <w:bCs/>
          <w:sz w:val="24"/>
        </w:rPr>
        <w:t>T</w:t>
      </w:r>
      <w:r w:rsidRPr="00BF7124" w:rsidR="00F7618F">
        <w:rPr>
          <w:rFonts w:ascii="Arial" w:hAnsi="Arial"/>
          <w:bCs/>
          <w:sz w:val="24"/>
        </w:rPr>
        <w:t xml:space="preserve">he information collection will no longer use </w:t>
      </w:r>
      <w:r w:rsidRPr="00BF7124" w:rsidR="00FF4998">
        <w:rPr>
          <w:rFonts w:ascii="Arial" w:hAnsi="Arial"/>
          <w:bCs/>
          <w:sz w:val="24"/>
        </w:rPr>
        <w:t>s</w:t>
      </w:r>
      <w:r w:rsidRPr="00BF7124" w:rsidR="00F7618F">
        <w:rPr>
          <w:rFonts w:ascii="Arial" w:hAnsi="Arial"/>
          <w:bCs/>
          <w:sz w:val="24"/>
        </w:rPr>
        <w:t xml:space="preserve">tatistical </w:t>
      </w:r>
      <w:r w:rsidRPr="00BF7124" w:rsidR="00FF4998">
        <w:rPr>
          <w:rFonts w:ascii="Arial" w:hAnsi="Arial"/>
          <w:bCs/>
          <w:sz w:val="24"/>
        </w:rPr>
        <w:t>m</w:t>
      </w:r>
      <w:r w:rsidRPr="00BF7124" w:rsidR="00F7618F">
        <w:rPr>
          <w:rFonts w:ascii="Arial" w:hAnsi="Arial"/>
          <w:bCs/>
          <w:sz w:val="24"/>
        </w:rPr>
        <w:t>ethods to select respondents, and therefore Supporting Statement Part B has been removed.</w:t>
      </w:r>
      <w:r w:rsidRPr="00BF7124" w:rsidR="002058AF">
        <w:rPr>
          <w:rFonts w:ascii="Arial" w:hAnsi="Arial"/>
          <w:bCs/>
          <w:sz w:val="24"/>
        </w:rPr>
        <w:t xml:space="preserve"> </w:t>
      </w:r>
    </w:p>
    <w:p w:rsidR="00F7618F" w:rsidRPr="00BF7124" w:rsidP="006663C8" w14:paraId="0B6F0F59" w14:textId="3C51E5F9">
      <w:pPr>
        <w:pStyle w:val="ListParagraph"/>
        <w:numPr>
          <w:ilvl w:val="1"/>
          <w:numId w:val="27"/>
        </w:numPr>
        <w:jc w:val="both"/>
        <w:rPr>
          <w:rFonts w:ascii="Arial" w:hAnsi="Arial"/>
          <w:bCs/>
          <w:sz w:val="24"/>
        </w:rPr>
      </w:pPr>
      <w:r w:rsidRPr="00BF7124">
        <w:rPr>
          <w:rFonts w:ascii="Arial" w:hAnsi="Arial"/>
          <w:bCs/>
          <w:sz w:val="24"/>
        </w:rPr>
        <w:t xml:space="preserve">The opt-in approach to the survey aims to increase the </w:t>
      </w:r>
      <w:r w:rsidR="006422E4">
        <w:rPr>
          <w:rFonts w:ascii="Arial" w:hAnsi="Arial"/>
          <w:bCs/>
          <w:sz w:val="24"/>
        </w:rPr>
        <w:t>number of responses</w:t>
      </w:r>
      <w:r w:rsidR="004C2EA2">
        <w:rPr>
          <w:rFonts w:ascii="Arial" w:hAnsi="Arial"/>
          <w:bCs/>
          <w:sz w:val="24"/>
        </w:rPr>
        <w:t xml:space="preserve">. </w:t>
      </w:r>
      <w:r w:rsidRPr="00BF7124" w:rsidR="008575D3">
        <w:rPr>
          <w:rFonts w:ascii="Arial" w:hAnsi="Arial"/>
          <w:bCs/>
          <w:sz w:val="24"/>
        </w:rPr>
        <w:t>T</w:t>
      </w:r>
      <w:r w:rsidRPr="00BF7124" w:rsidR="00EC578E">
        <w:rPr>
          <w:rFonts w:ascii="Arial" w:hAnsi="Arial"/>
          <w:bCs/>
          <w:sz w:val="24"/>
        </w:rPr>
        <w:t xml:space="preserve">he USPTO </w:t>
      </w:r>
      <w:r w:rsidRPr="00BF7124" w:rsidR="000537AF">
        <w:rPr>
          <w:rFonts w:ascii="Arial" w:hAnsi="Arial"/>
          <w:bCs/>
          <w:sz w:val="24"/>
        </w:rPr>
        <w:t>estimates that the new method of collection will increase the estim</w:t>
      </w:r>
      <w:r w:rsidRPr="00BF7124" w:rsidR="00B93119">
        <w:rPr>
          <w:rFonts w:ascii="Arial" w:hAnsi="Arial"/>
          <w:bCs/>
          <w:sz w:val="24"/>
        </w:rPr>
        <w:t xml:space="preserve">ated annual responses from </w:t>
      </w:r>
      <w:r w:rsidRPr="00BF7124" w:rsidR="00CF7DB0">
        <w:rPr>
          <w:rFonts w:ascii="Arial" w:hAnsi="Arial"/>
          <w:bCs/>
          <w:sz w:val="24"/>
        </w:rPr>
        <w:t>1,000</w:t>
      </w:r>
      <w:r w:rsidRPr="00BF7124" w:rsidR="00B93119">
        <w:rPr>
          <w:rFonts w:ascii="Arial" w:hAnsi="Arial"/>
          <w:bCs/>
          <w:sz w:val="24"/>
        </w:rPr>
        <w:t xml:space="preserve"> to 1,250 (an </w:t>
      </w:r>
      <w:r w:rsidRPr="00BF7124" w:rsidR="00333FDB">
        <w:rPr>
          <w:rFonts w:ascii="Arial" w:hAnsi="Arial"/>
          <w:bCs/>
          <w:sz w:val="24"/>
        </w:rPr>
        <w:t xml:space="preserve">increase of </w:t>
      </w:r>
      <w:r w:rsidRPr="00BF7124" w:rsidR="00CF7DB0">
        <w:rPr>
          <w:rFonts w:ascii="Arial" w:hAnsi="Arial"/>
          <w:bCs/>
          <w:sz w:val="24"/>
        </w:rPr>
        <w:t>25</w:t>
      </w:r>
      <w:r w:rsidRPr="00BF7124" w:rsidR="00333FDB">
        <w:rPr>
          <w:rFonts w:ascii="Arial" w:hAnsi="Arial"/>
          <w:bCs/>
          <w:sz w:val="24"/>
        </w:rPr>
        <w:t>0 responses)</w:t>
      </w:r>
      <w:r w:rsidRPr="00BF7124" w:rsidR="0085784D">
        <w:rPr>
          <w:rFonts w:ascii="Arial" w:hAnsi="Arial"/>
          <w:bCs/>
          <w:sz w:val="24"/>
        </w:rPr>
        <w:t xml:space="preserve"> and have a corresponding increase in</w:t>
      </w:r>
      <w:r w:rsidRPr="00BF7124" w:rsidR="00F445D6">
        <w:rPr>
          <w:rFonts w:ascii="Arial" w:hAnsi="Arial"/>
          <w:bCs/>
          <w:sz w:val="24"/>
        </w:rPr>
        <w:t xml:space="preserve"> </w:t>
      </w:r>
      <w:r w:rsidRPr="00BF7124" w:rsidR="002C162B">
        <w:rPr>
          <w:rFonts w:ascii="Arial" w:hAnsi="Arial"/>
          <w:bCs/>
          <w:sz w:val="24"/>
        </w:rPr>
        <w:t>37</w:t>
      </w:r>
      <w:r w:rsidRPr="00BF7124" w:rsidR="0085784D">
        <w:rPr>
          <w:rFonts w:ascii="Arial" w:hAnsi="Arial"/>
          <w:bCs/>
          <w:sz w:val="24"/>
        </w:rPr>
        <w:t xml:space="preserve"> burden hours (from </w:t>
      </w:r>
      <w:r w:rsidRPr="00BF7124" w:rsidR="00CF7DB0">
        <w:rPr>
          <w:rFonts w:ascii="Arial" w:hAnsi="Arial"/>
          <w:bCs/>
          <w:sz w:val="24"/>
        </w:rPr>
        <w:t>171</w:t>
      </w:r>
      <w:r w:rsidRPr="00BF7124" w:rsidR="00F445D6">
        <w:rPr>
          <w:rFonts w:ascii="Arial" w:hAnsi="Arial"/>
          <w:bCs/>
          <w:sz w:val="24"/>
        </w:rPr>
        <w:t xml:space="preserve"> to 208 hours)</w:t>
      </w:r>
      <w:r w:rsidRPr="00BF7124" w:rsidR="002C162B">
        <w:rPr>
          <w:rFonts w:ascii="Arial" w:hAnsi="Arial"/>
          <w:bCs/>
          <w:sz w:val="24"/>
        </w:rPr>
        <w:t>.</w:t>
      </w:r>
    </w:p>
    <w:p w:rsidR="00613D9C" w:rsidRPr="00BF7124" w:rsidP="00613D9C" w14:paraId="1CCA7A15" w14:textId="77777777">
      <w:pPr>
        <w:pStyle w:val="ListParagraph"/>
        <w:jc w:val="both"/>
        <w:rPr>
          <w:rFonts w:ascii="Arial" w:hAnsi="Arial"/>
          <w:bCs/>
          <w:sz w:val="24"/>
        </w:rPr>
      </w:pPr>
    </w:p>
    <w:p w:rsidR="00613D9C" w:rsidRPr="00BF7124" w:rsidP="00613D9C" w14:paraId="0DF6BA43" w14:textId="0C32D2C6">
      <w:pPr>
        <w:pStyle w:val="ListParagraph"/>
        <w:numPr>
          <w:ilvl w:val="0"/>
          <w:numId w:val="27"/>
        </w:numPr>
        <w:jc w:val="both"/>
        <w:rPr>
          <w:rFonts w:ascii="Arial" w:hAnsi="Arial"/>
          <w:bCs/>
          <w:sz w:val="24"/>
        </w:rPr>
      </w:pPr>
      <w:r w:rsidRPr="00BF7124">
        <w:rPr>
          <w:rFonts w:ascii="Arial" w:hAnsi="Arial"/>
          <w:sz w:val="24"/>
        </w:rPr>
        <w:t>One question will be added</w:t>
      </w:r>
      <w:r w:rsidRPr="00BF7124" w:rsidR="00C82A33">
        <w:rPr>
          <w:rFonts w:ascii="Arial" w:hAnsi="Arial"/>
          <w:sz w:val="24"/>
        </w:rPr>
        <w:t>,</w:t>
      </w:r>
      <w:r w:rsidRPr="00BF7124">
        <w:rPr>
          <w:rFonts w:ascii="Arial" w:hAnsi="Arial"/>
          <w:sz w:val="24"/>
        </w:rPr>
        <w:t xml:space="preserve"> which asks for the attorney or agent registration number</w:t>
      </w:r>
      <w:r w:rsidRPr="00BF7124" w:rsidR="00335AD2">
        <w:rPr>
          <w:rFonts w:ascii="Arial" w:hAnsi="Arial"/>
          <w:sz w:val="24"/>
        </w:rPr>
        <w:t xml:space="preserve">. This </w:t>
      </w:r>
      <w:r w:rsidRPr="00BF7124">
        <w:rPr>
          <w:rFonts w:ascii="Arial" w:hAnsi="Arial"/>
          <w:sz w:val="24"/>
        </w:rPr>
        <w:t>will be required for validity purposes</w:t>
      </w:r>
      <w:r w:rsidRPr="00BF7124" w:rsidR="00016765">
        <w:rPr>
          <w:rFonts w:ascii="Arial" w:hAnsi="Arial"/>
          <w:sz w:val="24"/>
        </w:rPr>
        <w:t xml:space="preserve"> to ensure that the responding attorneys </w:t>
      </w:r>
      <w:r w:rsidRPr="00BF7124" w:rsidR="00AC2376">
        <w:rPr>
          <w:rFonts w:ascii="Arial" w:hAnsi="Arial"/>
          <w:sz w:val="24"/>
        </w:rPr>
        <w:t xml:space="preserve">and agents </w:t>
      </w:r>
      <w:r w:rsidRPr="00BF7124" w:rsidR="00016765">
        <w:rPr>
          <w:rFonts w:ascii="Arial" w:hAnsi="Arial"/>
          <w:sz w:val="24"/>
        </w:rPr>
        <w:t xml:space="preserve">are </w:t>
      </w:r>
      <w:r w:rsidRPr="00BF7124" w:rsidR="00062FC7">
        <w:rPr>
          <w:rFonts w:ascii="Arial" w:hAnsi="Arial"/>
          <w:sz w:val="24"/>
        </w:rPr>
        <w:t>legitimate</w:t>
      </w:r>
      <w:r w:rsidRPr="00BF7124" w:rsidR="00016765">
        <w:rPr>
          <w:rFonts w:ascii="Arial" w:hAnsi="Arial"/>
          <w:sz w:val="24"/>
        </w:rPr>
        <w:t xml:space="preserve"> members of the Patent Bar and authorized to represent patent applica</w:t>
      </w:r>
      <w:r w:rsidRPr="00BF7124" w:rsidR="00062FC7">
        <w:rPr>
          <w:rFonts w:ascii="Arial" w:hAnsi="Arial"/>
          <w:sz w:val="24"/>
        </w:rPr>
        <w:t>n</w:t>
      </w:r>
      <w:r w:rsidRPr="00BF7124" w:rsidR="00016765">
        <w:rPr>
          <w:rFonts w:ascii="Arial" w:hAnsi="Arial"/>
          <w:sz w:val="24"/>
        </w:rPr>
        <w:t xml:space="preserve">ts. </w:t>
      </w:r>
      <w:r w:rsidRPr="00BF7124" w:rsidR="00AF6FC0">
        <w:rPr>
          <w:rFonts w:ascii="Arial" w:hAnsi="Arial"/>
          <w:sz w:val="24"/>
        </w:rPr>
        <w:t xml:space="preserve">The addition of </w:t>
      </w:r>
      <w:r w:rsidRPr="00BF7124" w:rsidR="001D72C4">
        <w:rPr>
          <w:rFonts w:ascii="Arial" w:hAnsi="Arial"/>
          <w:sz w:val="24"/>
        </w:rPr>
        <w:t>the one question will have a negligible impact on the time per response.</w:t>
      </w:r>
    </w:p>
    <w:p w:rsidR="00BE4578" w:rsidRPr="00BF7124" w:rsidP="00341633" w14:paraId="423D6DA2" w14:textId="77777777">
      <w:pPr>
        <w:pStyle w:val="ListParagraph"/>
        <w:jc w:val="both"/>
        <w:rPr>
          <w:rFonts w:ascii="Arial" w:hAnsi="Arial"/>
          <w:bCs/>
          <w:sz w:val="24"/>
        </w:rPr>
      </w:pPr>
    </w:p>
    <w:p w:rsidR="005F43B4" w:rsidRPr="00BF7124" w:rsidP="00E67593" w14:paraId="4A58B76C" w14:textId="751E9008">
      <w:pPr>
        <w:pStyle w:val="ListParagraph"/>
        <w:numPr>
          <w:ilvl w:val="0"/>
          <w:numId w:val="27"/>
        </w:numPr>
        <w:tabs>
          <w:tab w:val="left" w:pos="720"/>
        </w:tabs>
        <w:jc w:val="both"/>
        <w:rPr>
          <w:rFonts w:ascii="Arial" w:hAnsi="Arial" w:cs="Arial"/>
          <w:sz w:val="24"/>
          <w:szCs w:val="24"/>
        </w:rPr>
      </w:pPr>
      <w:r w:rsidRPr="00BF7124">
        <w:rPr>
          <w:rFonts w:ascii="Arial" w:hAnsi="Arial"/>
          <w:sz w:val="24"/>
        </w:rPr>
        <w:t>The question requesting</w:t>
      </w:r>
      <w:r w:rsidRPr="00BF7124" w:rsidR="00BE4578">
        <w:rPr>
          <w:rFonts w:ascii="Arial" w:hAnsi="Arial"/>
          <w:sz w:val="24"/>
        </w:rPr>
        <w:t xml:space="preserve"> an</w:t>
      </w:r>
      <w:r w:rsidRPr="00BF7124">
        <w:rPr>
          <w:rFonts w:ascii="Arial" w:hAnsi="Arial"/>
          <w:sz w:val="24"/>
        </w:rPr>
        <w:t xml:space="preserve"> email address has been removed.</w:t>
      </w:r>
    </w:p>
    <w:p w:rsidR="282141D3" w:rsidRPr="00BF7124" w:rsidP="282141D3" w14:paraId="01F912FF" w14:textId="3A4798AE">
      <w:pPr>
        <w:pStyle w:val="NoSpacing"/>
        <w:jc w:val="both"/>
        <w:rPr>
          <w:rFonts w:ascii="Arial" w:hAnsi="Arial" w:cs="Arial"/>
          <w:sz w:val="24"/>
          <w:szCs w:val="24"/>
          <w:u w:val="single"/>
        </w:rPr>
      </w:pPr>
    </w:p>
    <w:p w:rsidR="6FB1D036" w:rsidRPr="00BF7124" w:rsidP="282141D3" w14:paraId="3D19360B" w14:textId="5E5E2620">
      <w:pPr>
        <w:pStyle w:val="NoSpacing"/>
        <w:jc w:val="both"/>
        <w:rPr>
          <w:rFonts w:ascii="Arial" w:hAnsi="Arial" w:cs="Arial"/>
          <w:sz w:val="24"/>
          <w:szCs w:val="24"/>
        </w:rPr>
      </w:pPr>
      <w:r w:rsidRPr="00BF7124">
        <w:rPr>
          <w:rFonts w:ascii="Arial" w:hAnsi="Arial" w:cs="Arial"/>
          <w:sz w:val="24"/>
          <w:szCs w:val="24"/>
          <w:u w:val="single"/>
        </w:rPr>
        <w:t>Changes in Burden</w:t>
      </w:r>
    </w:p>
    <w:p w:rsidR="282141D3" w:rsidRPr="00BF7124" w:rsidP="282141D3" w14:paraId="2A9C3F88" w14:textId="5F38040B">
      <w:pPr>
        <w:pStyle w:val="NoSpacing"/>
        <w:jc w:val="both"/>
        <w:rPr>
          <w:rFonts w:ascii="Arial" w:hAnsi="Arial" w:cs="Arial"/>
          <w:sz w:val="24"/>
          <w:szCs w:val="24"/>
        </w:rPr>
      </w:pPr>
    </w:p>
    <w:p w:rsidR="00106F3B" w:rsidRPr="00BF7124" w:rsidP="00E67593" w14:paraId="4A45CB39" w14:textId="69CE5EB4">
      <w:pPr>
        <w:pStyle w:val="NoSpacing"/>
        <w:jc w:val="both"/>
        <w:rPr>
          <w:rFonts w:ascii="Arial" w:hAnsi="Arial" w:cs="Arial"/>
          <w:sz w:val="24"/>
          <w:szCs w:val="24"/>
        </w:rPr>
      </w:pPr>
      <w:r w:rsidRPr="00BF7124">
        <w:rPr>
          <w:rFonts w:ascii="Arial" w:hAnsi="Arial" w:cs="Arial"/>
          <w:sz w:val="24"/>
          <w:szCs w:val="24"/>
        </w:rPr>
        <w:t xml:space="preserve">The addition of </w:t>
      </w:r>
      <w:r w:rsidRPr="00BF7124" w:rsidR="25F20D72">
        <w:rPr>
          <w:rFonts w:ascii="Arial" w:hAnsi="Arial" w:cs="Arial"/>
          <w:sz w:val="24"/>
          <w:szCs w:val="24"/>
        </w:rPr>
        <w:t>one</w:t>
      </w:r>
      <w:r w:rsidRPr="00BF7124">
        <w:rPr>
          <w:rFonts w:ascii="Arial" w:hAnsi="Arial" w:cs="Arial"/>
          <w:sz w:val="24"/>
          <w:szCs w:val="24"/>
        </w:rPr>
        <w:t xml:space="preserve"> question</w:t>
      </w:r>
      <w:r w:rsidRPr="00BF7124" w:rsidR="4E34EF8B">
        <w:rPr>
          <w:rFonts w:ascii="Arial" w:hAnsi="Arial" w:cs="Arial"/>
          <w:sz w:val="24"/>
          <w:szCs w:val="24"/>
        </w:rPr>
        <w:t xml:space="preserve"> and removal of another question</w:t>
      </w:r>
      <w:r w:rsidRPr="00BF7124">
        <w:rPr>
          <w:rFonts w:ascii="Arial" w:hAnsi="Arial" w:cs="Arial"/>
          <w:sz w:val="24"/>
          <w:szCs w:val="24"/>
        </w:rPr>
        <w:t xml:space="preserve"> </w:t>
      </w:r>
      <w:r w:rsidRPr="00BF7124" w:rsidR="7E45D5B4">
        <w:rPr>
          <w:rFonts w:ascii="Arial" w:hAnsi="Arial" w:cs="Arial"/>
          <w:sz w:val="24"/>
          <w:szCs w:val="24"/>
        </w:rPr>
        <w:t xml:space="preserve">in the survey </w:t>
      </w:r>
      <w:r w:rsidRPr="00BF7124" w:rsidR="25F20D72">
        <w:rPr>
          <w:rFonts w:ascii="Arial" w:hAnsi="Arial" w:cs="Arial"/>
          <w:sz w:val="24"/>
          <w:szCs w:val="24"/>
        </w:rPr>
        <w:t>does not</w:t>
      </w:r>
      <w:r w:rsidRPr="00BF7124" w:rsidR="2EF572FA">
        <w:rPr>
          <w:rFonts w:ascii="Arial" w:hAnsi="Arial" w:cs="Arial"/>
          <w:sz w:val="24"/>
          <w:szCs w:val="24"/>
        </w:rPr>
        <w:t xml:space="preserve"> change </w:t>
      </w:r>
      <w:r w:rsidRPr="00BF7124" w:rsidR="0C0B0A8B">
        <w:rPr>
          <w:rFonts w:ascii="Arial" w:hAnsi="Arial" w:cs="Arial"/>
          <w:sz w:val="24"/>
          <w:szCs w:val="24"/>
        </w:rPr>
        <w:t xml:space="preserve">the </w:t>
      </w:r>
      <w:r w:rsidRPr="00BF7124" w:rsidR="25F20D72">
        <w:rPr>
          <w:rFonts w:ascii="Arial" w:hAnsi="Arial" w:cs="Arial"/>
          <w:sz w:val="24"/>
          <w:szCs w:val="24"/>
        </w:rPr>
        <w:t>estimated time per response</w:t>
      </w:r>
      <w:r w:rsidRPr="00BF7124" w:rsidR="0C0B0A8B">
        <w:rPr>
          <w:rFonts w:ascii="Arial" w:hAnsi="Arial" w:cs="Arial"/>
          <w:sz w:val="24"/>
          <w:szCs w:val="24"/>
        </w:rPr>
        <w:t>.</w:t>
      </w:r>
      <w:r w:rsidRPr="00BF7124" w:rsidR="25F20D72">
        <w:rPr>
          <w:rFonts w:ascii="Arial" w:hAnsi="Arial" w:cs="Arial"/>
          <w:sz w:val="24"/>
          <w:szCs w:val="24"/>
        </w:rPr>
        <w:t xml:space="preserve"> </w:t>
      </w:r>
      <w:r w:rsidRPr="00BF7124" w:rsidR="4177DD51">
        <w:rPr>
          <w:rFonts w:ascii="Arial" w:hAnsi="Arial" w:cs="Arial"/>
          <w:sz w:val="24"/>
          <w:szCs w:val="24"/>
        </w:rPr>
        <w:t>However, t</w:t>
      </w:r>
      <w:r w:rsidRPr="00BF7124" w:rsidR="25F20D72">
        <w:rPr>
          <w:rFonts w:ascii="Arial" w:hAnsi="Arial" w:cs="Arial"/>
          <w:sz w:val="24"/>
          <w:szCs w:val="24"/>
        </w:rPr>
        <w:t xml:space="preserve">he change in the survey’s method of delivery will likely increase the response rate, and therefore the </w:t>
      </w:r>
      <w:r w:rsidRPr="00BF7124" w:rsidR="36413FAE">
        <w:rPr>
          <w:rFonts w:ascii="Arial" w:hAnsi="Arial" w:cs="Arial"/>
          <w:sz w:val="24"/>
          <w:szCs w:val="24"/>
        </w:rPr>
        <w:t xml:space="preserve">number of </w:t>
      </w:r>
      <w:r w:rsidRPr="00BF7124" w:rsidR="25F20D72">
        <w:rPr>
          <w:rFonts w:ascii="Arial" w:hAnsi="Arial" w:cs="Arial"/>
          <w:sz w:val="24"/>
          <w:szCs w:val="24"/>
        </w:rPr>
        <w:t>estimated</w:t>
      </w:r>
      <w:r w:rsidRPr="00BF7124" w:rsidR="29F78E60">
        <w:rPr>
          <w:rFonts w:ascii="Arial" w:hAnsi="Arial" w:cs="Arial"/>
          <w:sz w:val="24"/>
          <w:szCs w:val="24"/>
        </w:rPr>
        <w:t xml:space="preserve"> annual</w:t>
      </w:r>
      <w:r w:rsidRPr="00BF7124" w:rsidR="36413FAE">
        <w:rPr>
          <w:rFonts w:ascii="Arial" w:hAnsi="Arial" w:cs="Arial"/>
          <w:sz w:val="24"/>
          <w:szCs w:val="24"/>
        </w:rPr>
        <w:t xml:space="preserve"> responses and</w:t>
      </w:r>
      <w:r w:rsidRPr="00BF7124" w:rsidR="25F20D72">
        <w:rPr>
          <w:rFonts w:ascii="Arial" w:hAnsi="Arial" w:cs="Arial"/>
          <w:sz w:val="24"/>
          <w:szCs w:val="24"/>
        </w:rPr>
        <w:t xml:space="preserve"> annual hourly burden will increase to</w:t>
      </w:r>
      <w:r w:rsidRPr="00BF7124" w:rsidR="36413FAE">
        <w:rPr>
          <w:rFonts w:ascii="Arial" w:hAnsi="Arial" w:cs="Arial"/>
          <w:sz w:val="24"/>
          <w:szCs w:val="24"/>
        </w:rPr>
        <w:t xml:space="preserve"> 1,250 responses and</w:t>
      </w:r>
      <w:r w:rsidRPr="00BF7124" w:rsidR="25F20D72">
        <w:rPr>
          <w:rFonts w:ascii="Arial" w:hAnsi="Arial" w:cs="Arial"/>
          <w:sz w:val="24"/>
          <w:szCs w:val="24"/>
        </w:rPr>
        <w:t xml:space="preserve"> </w:t>
      </w:r>
      <w:r w:rsidRPr="00BF7124" w:rsidR="29F78E60">
        <w:rPr>
          <w:rFonts w:ascii="Arial" w:hAnsi="Arial" w:cs="Arial"/>
          <w:sz w:val="24"/>
          <w:szCs w:val="24"/>
        </w:rPr>
        <w:t>208 hours</w:t>
      </w:r>
      <w:r w:rsidRPr="00BF7124" w:rsidR="25F20D72">
        <w:rPr>
          <w:rFonts w:ascii="Arial" w:hAnsi="Arial" w:cs="Arial"/>
          <w:sz w:val="24"/>
          <w:szCs w:val="24"/>
        </w:rPr>
        <w:t>.</w:t>
      </w:r>
    </w:p>
    <w:p w:rsidR="002D60D1" w:rsidRPr="00BF7124" w:rsidP="00E67593" w14:paraId="169668BC" w14:textId="77777777">
      <w:pPr>
        <w:pStyle w:val="NoSpacing"/>
        <w:jc w:val="both"/>
        <w:rPr>
          <w:rFonts w:ascii="Arial" w:hAnsi="Arial" w:cs="Arial"/>
          <w:sz w:val="24"/>
          <w:szCs w:val="24"/>
        </w:rPr>
      </w:pPr>
    </w:p>
    <w:tbl>
      <w:tblPr>
        <w:tblStyle w:val="TableGrid"/>
        <w:tblW w:w="0" w:type="auto"/>
        <w:tblLook w:val="04A0"/>
      </w:tblPr>
      <w:tblGrid>
        <w:gridCol w:w="3231"/>
        <w:gridCol w:w="2068"/>
        <w:gridCol w:w="1978"/>
        <w:gridCol w:w="2063"/>
      </w:tblGrid>
      <w:tr w14:paraId="5A5C6D1E" w14:textId="77777777" w:rsidTr="282141D3">
        <w:tblPrEx>
          <w:tblW w:w="0" w:type="auto"/>
          <w:tblLook w:val="04A0"/>
        </w:tblPrEx>
        <w:trPr>
          <w:trHeight w:val="300"/>
        </w:trPr>
        <w:tc>
          <w:tcPr>
            <w:tcW w:w="3235" w:type="dxa"/>
            <w:tcBorders>
              <w:top w:val="single" w:sz="8" w:space="0" w:color="auto"/>
              <w:left w:val="single" w:sz="8" w:space="0" w:color="auto"/>
              <w:bottom w:val="single" w:sz="8" w:space="0" w:color="auto"/>
              <w:right w:val="single" w:sz="8" w:space="0" w:color="auto"/>
            </w:tcBorders>
            <w:shd w:val="clear" w:color="auto" w:fill="B4C6E7" w:themeFill="accent5" w:themeFillTint="66"/>
            <w:tcMar>
              <w:left w:w="108" w:type="dxa"/>
              <w:right w:w="108" w:type="dxa"/>
            </w:tcMar>
            <w:vAlign w:val="center"/>
          </w:tcPr>
          <w:p w:rsidR="282141D3" w:rsidRPr="00BF7124" w:rsidP="282141D3" w14:paraId="18E5C459" w14:textId="41C794E0">
            <w:pPr>
              <w:pStyle w:val="NoSpacing"/>
              <w:jc w:val="center"/>
            </w:pPr>
            <w:r w:rsidRPr="00BF7124">
              <w:rPr>
                <w:rFonts w:ascii="Arial" w:eastAsia="Arial" w:hAnsi="Arial" w:cs="Arial"/>
                <w:b/>
                <w:bCs/>
                <w:color w:val="000000" w:themeColor="text1"/>
                <w:sz w:val="20"/>
                <w:szCs w:val="20"/>
              </w:rPr>
              <w:t>Burden Type</w:t>
            </w:r>
          </w:p>
        </w:tc>
        <w:tc>
          <w:tcPr>
            <w:tcW w:w="2070" w:type="dxa"/>
            <w:tcBorders>
              <w:top w:val="single" w:sz="8" w:space="0" w:color="auto"/>
              <w:left w:val="single" w:sz="8" w:space="0" w:color="auto"/>
              <w:bottom w:val="single" w:sz="8" w:space="0" w:color="auto"/>
              <w:right w:val="single" w:sz="8" w:space="0" w:color="auto"/>
            </w:tcBorders>
            <w:shd w:val="clear" w:color="auto" w:fill="B4C6E7" w:themeFill="accent5" w:themeFillTint="66"/>
            <w:tcMar>
              <w:left w:w="108" w:type="dxa"/>
              <w:right w:w="108" w:type="dxa"/>
            </w:tcMar>
            <w:vAlign w:val="center"/>
          </w:tcPr>
          <w:p w:rsidR="282141D3" w:rsidRPr="00BF7124" w:rsidP="282141D3" w14:paraId="7F332619" w14:textId="63C20ED0">
            <w:pPr>
              <w:pStyle w:val="NoSpacing"/>
              <w:jc w:val="center"/>
            </w:pPr>
            <w:r w:rsidRPr="00BF7124">
              <w:rPr>
                <w:rFonts w:ascii="Arial" w:eastAsia="Arial" w:hAnsi="Arial" w:cs="Arial"/>
                <w:b/>
                <w:bCs/>
                <w:color w:val="000000" w:themeColor="text1"/>
                <w:sz w:val="20"/>
                <w:szCs w:val="20"/>
              </w:rPr>
              <w:t>Currently Approved</w:t>
            </w:r>
          </w:p>
        </w:tc>
        <w:tc>
          <w:tcPr>
            <w:tcW w:w="1980" w:type="dxa"/>
            <w:tcBorders>
              <w:top w:val="single" w:sz="8" w:space="0" w:color="auto"/>
              <w:left w:val="single" w:sz="8" w:space="0" w:color="auto"/>
              <w:bottom w:val="single" w:sz="8" w:space="0" w:color="auto"/>
              <w:right w:val="single" w:sz="8" w:space="0" w:color="auto"/>
            </w:tcBorders>
            <w:shd w:val="clear" w:color="auto" w:fill="B4C6E7" w:themeFill="accent5" w:themeFillTint="66"/>
            <w:tcMar>
              <w:left w:w="108" w:type="dxa"/>
              <w:right w:w="108" w:type="dxa"/>
            </w:tcMar>
            <w:vAlign w:val="center"/>
          </w:tcPr>
          <w:p w:rsidR="282141D3" w:rsidRPr="00BF7124" w:rsidP="282141D3" w14:paraId="3D270792" w14:textId="171AFC70">
            <w:pPr>
              <w:pStyle w:val="NoSpacing"/>
              <w:jc w:val="center"/>
            </w:pPr>
            <w:r w:rsidRPr="00BF7124">
              <w:rPr>
                <w:rFonts w:ascii="Arial" w:eastAsia="Arial" w:hAnsi="Arial" w:cs="Arial"/>
                <w:b/>
                <w:bCs/>
                <w:color w:val="000000" w:themeColor="text1"/>
                <w:sz w:val="20"/>
                <w:szCs w:val="20"/>
              </w:rPr>
              <w:t>Proposed Change</w:t>
            </w:r>
          </w:p>
        </w:tc>
        <w:tc>
          <w:tcPr>
            <w:tcW w:w="2065" w:type="dxa"/>
            <w:tcBorders>
              <w:top w:val="single" w:sz="8" w:space="0" w:color="auto"/>
              <w:left w:val="single" w:sz="8" w:space="0" w:color="auto"/>
              <w:bottom w:val="single" w:sz="8" w:space="0" w:color="auto"/>
              <w:right w:val="single" w:sz="8" w:space="0" w:color="auto"/>
            </w:tcBorders>
            <w:shd w:val="clear" w:color="auto" w:fill="B4C6E7" w:themeFill="accent5" w:themeFillTint="66"/>
            <w:tcMar>
              <w:left w:w="108" w:type="dxa"/>
              <w:right w:w="108" w:type="dxa"/>
            </w:tcMar>
            <w:vAlign w:val="center"/>
          </w:tcPr>
          <w:p w:rsidR="282141D3" w:rsidRPr="00BF7124" w:rsidP="282141D3" w14:paraId="03B87BB8" w14:textId="540DEE06">
            <w:pPr>
              <w:pStyle w:val="NoSpacing"/>
              <w:jc w:val="center"/>
            </w:pPr>
            <w:r w:rsidRPr="00BF7124">
              <w:rPr>
                <w:rFonts w:ascii="Arial" w:eastAsia="Arial" w:hAnsi="Arial" w:cs="Arial"/>
                <w:b/>
                <w:bCs/>
                <w:color w:val="000000" w:themeColor="text1"/>
                <w:sz w:val="20"/>
                <w:szCs w:val="20"/>
              </w:rPr>
              <w:t>New Estimate</w:t>
            </w:r>
          </w:p>
        </w:tc>
      </w:tr>
      <w:tr w14:paraId="1BAFFA6C" w14:textId="77777777" w:rsidTr="282141D3">
        <w:tblPrEx>
          <w:tblW w:w="0" w:type="auto"/>
          <w:tblLook w:val="04A0"/>
        </w:tblPrEx>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BA58EBC" w:rsidRPr="00BF7124" w:rsidP="282141D3" w14:paraId="4C0D3DB4" w14:textId="33AACBA5">
            <w:pPr>
              <w:pStyle w:val="NoSpacing"/>
            </w:pPr>
            <w:r w:rsidRPr="00BF7124">
              <w:rPr>
                <w:rFonts w:ascii="Arial" w:eastAsia="Arial" w:hAnsi="Arial" w:cs="Arial"/>
                <w:sz w:val="20"/>
                <w:szCs w:val="20"/>
              </w:rPr>
              <w:t>Responses</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141D3" w:rsidRPr="00BF7124" w:rsidP="282141D3" w14:paraId="57D5EA58" w14:textId="627B2B50">
            <w:pPr>
              <w:pStyle w:val="NoSpacing"/>
              <w:jc w:val="right"/>
              <w:rPr>
                <w:rFonts w:ascii="Arial" w:eastAsia="Arial" w:hAnsi="Arial" w:cs="Arial"/>
                <w:sz w:val="20"/>
                <w:szCs w:val="20"/>
              </w:rPr>
            </w:pPr>
            <w:r w:rsidRPr="00BF7124">
              <w:rPr>
                <w:rFonts w:ascii="Arial" w:eastAsia="Arial" w:hAnsi="Arial" w:cs="Arial"/>
                <w:sz w:val="20"/>
                <w:szCs w:val="20"/>
              </w:rPr>
              <w:t>1,000</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BA58EBC" w:rsidRPr="00BF7124" w:rsidP="282141D3" w14:paraId="24B2BA10" w14:textId="7758C0A6">
            <w:pPr>
              <w:pStyle w:val="NoSpacing"/>
              <w:jc w:val="right"/>
              <w:rPr>
                <w:rFonts w:ascii="Arial" w:eastAsia="Arial" w:hAnsi="Arial" w:cs="Arial"/>
                <w:sz w:val="20"/>
                <w:szCs w:val="20"/>
              </w:rPr>
            </w:pPr>
            <w:r w:rsidRPr="00BF7124">
              <w:rPr>
                <w:rFonts w:ascii="Arial" w:eastAsia="Arial" w:hAnsi="Arial" w:cs="Arial"/>
                <w:sz w:val="20"/>
                <w:szCs w:val="20"/>
              </w:rPr>
              <w:t>250</w:t>
            </w:r>
          </w:p>
        </w:tc>
        <w:tc>
          <w:tcPr>
            <w:tcW w:w="2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141D3" w:rsidRPr="00BF7124" w:rsidP="282141D3" w14:paraId="69AC9094" w14:textId="47E56B12">
            <w:pPr>
              <w:pStyle w:val="NoSpacing"/>
              <w:jc w:val="right"/>
              <w:rPr>
                <w:rFonts w:ascii="Arial" w:eastAsia="Arial" w:hAnsi="Arial" w:cs="Arial"/>
                <w:sz w:val="20"/>
                <w:szCs w:val="20"/>
              </w:rPr>
            </w:pPr>
            <w:r w:rsidRPr="00BF7124">
              <w:rPr>
                <w:rFonts w:ascii="Arial" w:eastAsia="Arial" w:hAnsi="Arial" w:cs="Arial"/>
                <w:sz w:val="20"/>
                <w:szCs w:val="20"/>
              </w:rPr>
              <w:t>1,250</w:t>
            </w:r>
          </w:p>
        </w:tc>
      </w:tr>
      <w:tr w14:paraId="30FBF822" w14:textId="77777777" w:rsidTr="282141D3">
        <w:tblPrEx>
          <w:tblW w:w="0" w:type="auto"/>
          <w:tblLook w:val="04A0"/>
        </w:tblPrEx>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BA58EBC" w:rsidRPr="00BF7124" w:rsidP="282141D3" w14:paraId="2B357307" w14:textId="680C95F4">
            <w:pPr>
              <w:pStyle w:val="NoSpacing"/>
              <w:rPr>
                <w:rFonts w:ascii="Arial" w:eastAsia="Arial" w:hAnsi="Arial" w:cs="Arial"/>
                <w:sz w:val="20"/>
                <w:szCs w:val="20"/>
              </w:rPr>
            </w:pPr>
            <w:r w:rsidRPr="00BF7124">
              <w:rPr>
                <w:rFonts w:ascii="Arial" w:eastAsia="Arial" w:hAnsi="Arial" w:cs="Arial"/>
                <w:sz w:val="20"/>
                <w:szCs w:val="20"/>
              </w:rPr>
              <w:t xml:space="preserve">Hourly Burden </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141D3" w:rsidRPr="00BF7124" w:rsidP="282141D3" w14:paraId="38432DF9" w14:textId="31D892F0">
            <w:pPr>
              <w:pStyle w:val="NoSpacing"/>
              <w:jc w:val="right"/>
              <w:rPr>
                <w:rFonts w:ascii="Arial" w:eastAsia="Arial" w:hAnsi="Arial" w:cs="Arial"/>
                <w:sz w:val="20"/>
                <w:szCs w:val="20"/>
              </w:rPr>
            </w:pPr>
            <w:r w:rsidRPr="00BF7124">
              <w:rPr>
                <w:rFonts w:ascii="Arial" w:eastAsia="Arial" w:hAnsi="Arial" w:cs="Arial"/>
                <w:sz w:val="20"/>
                <w:szCs w:val="20"/>
              </w:rPr>
              <w:t>171</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BA58EBC" w:rsidRPr="00BF7124" w:rsidP="282141D3" w14:paraId="052ECC0D" w14:textId="11BC8B1D">
            <w:pPr>
              <w:pStyle w:val="NoSpacing"/>
              <w:jc w:val="right"/>
              <w:rPr>
                <w:rFonts w:ascii="Arial" w:eastAsia="Arial" w:hAnsi="Arial" w:cs="Arial"/>
                <w:sz w:val="20"/>
                <w:szCs w:val="20"/>
              </w:rPr>
            </w:pPr>
            <w:r w:rsidRPr="00BF7124">
              <w:rPr>
                <w:rFonts w:ascii="Arial" w:eastAsia="Arial" w:hAnsi="Arial" w:cs="Arial"/>
                <w:sz w:val="20"/>
                <w:szCs w:val="20"/>
              </w:rPr>
              <w:t>37</w:t>
            </w:r>
          </w:p>
        </w:tc>
        <w:tc>
          <w:tcPr>
            <w:tcW w:w="2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82141D3" w:rsidRPr="00BF7124" w:rsidP="282141D3" w14:paraId="46C76524" w14:textId="6BA655E1">
            <w:pPr>
              <w:pStyle w:val="NoSpacing"/>
              <w:jc w:val="right"/>
              <w:rPr>
                <w:rFonts w:ascii="Arial" w:eastAsia="Arial" w:hAnsi="Arial" w:cs="Arial"/>
                <w:sz w:val="20"/>
                <w:szCs w:val="20"/>
              </w:rPr>
            </w:pPr>
            <w:r w:rsidRPr="00BF7124">
              <w:rPr>
                <w:rFonts w:ascii="Arial" w:eastAsia="Arial" w:hAnsi="Arial" w:cs="Arial"/>
                <w:sz w:val="20"/>
                <w:szCs w:val="20"/>
              </w:rPr>
              <w:t>208</w:t>
            </w:r>
          </w:p>
        </w:tc>
      </w:tr>
    </w:tbl>
    <w:p w:rsidR="282141D3" w:rsidRPr="00BF7124" w:rsidP="282141D3" w14:paraId="3A233A4A" w14:textId="6AE0186E">
      <w:pPr>
        <w:pStyle w:val="NoSpacing"/>
        <w:jc w:val="both"/>
        <w:rPr>
          <w:rFonts w:ascii="Arial" w:hAnsi="Arial" w:cs="Arial"/>
          <w:sz w:val="24"/>
          <w:szCs w:val="24"/>
        </w:rPr>
      </w:pPr>
    </w:p>
    <w:p w:rsidR="002D60D1" w:rsidRPr="00BF7124" w:rsidP="00E67593" w14:paraId="6C0545AE" w14:textId="5094BB36">
      <w:pPr>
        <w:pStyle w:val="NoSpacing"/>
        <w:jc w:val="both"/>
        <w:rPr>
          <w:rFonts w:ascii="Arial" w:hAnsi="Arial" w:cs="Arial"/>
          <w:sz w:val="24"/>
          <w:szCs w:val="24"/>
        </w:rPr>
      </w:pPr>
      <w:r w:rsidRPr="00BF7124">
        <w:rPr>
          <w:rFonts w:ascii="Arial" w:hAnsi="Arial" w:cs="Arial"/>
          <w:sz w:val="24"/>
          <w:szCs w:val="24"/>
        </w:rPr>
        <w:t>0651-00</w:t>
      </w:r>
      <w:r w:rsidRPr="00BF7124" w:rsidR="25F20D72">
        <w:rPr>
          <w:rFonts w:ascii="Arial" w:hAnsi="Arial" w:cs="Arial"/>
          <w:sz w:val="24"/>
          <w:szCs w:val="24"/>
        </w:rPr>
        <w:t>57</w:t>
      </w:r>
      <w:r w:rsidRPr="00BF7124">
        <w:rPr>
          <w:rFonts w:ascii="Arial" w:hAnsi="Arial" w:cs="Arial"/>
          <w:sz w:val="24"/>
          <w:szCs w:val="24"/>
        </w:rPr>
        <w:t xml:space="preserve">’s </w:t>
      </w:r>
      <w:r w:rsidRPr="00BF7124" w:rsidR="1ACEA5F2">
        <w:rPr>
          <w:rFonts w:ascii="Arial" w:hAnsi="Arial" w:cs="Arial"/>
          <w:sz w:val="24"/>
          <w:szCs w:val="24"/>
        </w:rPr>
        <w:t>revi</w:t>
      </w:r>
      <w:r w:rsidRPr="00BF7124" w:rsidR="782CAE8E">
        <w:rPr>
          <w:rFonts w:ascii="Arial" w:hAnsi="Arial" w:cs="Arial"/>
          <w:sz w:val="24"/>
          <w:szCs w:val="24"/>
        </w:rPr>
        <w:t xml:space="preserve">sed </w:t>
      </w:r>
      <w:r w:rsidRPr="00BF7124">
        <w:rPr>
          <w:rFonts w:ascii="Arial" w:hAnsi="Arial" w:cs="Arial"/>
          <w:sz w:val="24"/>
          <w:szCs w:val="24"/>
        </w:rPr>
        <w:t>burden is as follows:</w:t>
      </w:r>
    </w:p>
    <w:p w:rsidR="002D60D1" w:rsidRPr="00BF7124" w:rsidP="00E67593" w14:paraId="71944E10" w14:textId="77777777">
      <w:pPr>
        <w:pStyle w:val="NoSpacing"/>
        <w:jc w:val="both"/>
        <w:rPr>
          <w:rFonts w:ascii="Arial" w:hAnsi="Arial" w:cs="Arial"/>
          <w:sz w:val="24"/>
          <w:szCs w:val="24"/>
        </w:rPr>
      </w:pPr>
    </w:p>
    <w:p w:rsidR="002D60D1" w:rsidRPr="00BF7124" w:rsidP="002D60D1" w14:paraId="1189888D" w14:textId="57879916">
      <w:pPr>
        <w:pStyle w:val="NoSpacing"/>
        <w:numPr>
          <w:ilvl w:val="0"/>
          <w:numId w:val="24"/>
        </w:numPr>
        <w:jc w:val="both"/>
        <w:rPr>
          <w:rFonts w:ascii="Arial" w:hAnsi="Arial" w:cs="Arial"/>
          <w:sz w:val="24"/>
          <w:szCs w:val="24"/>
        </w:rPr>
      </w:pPr>
      <w:r w:rsidRPr="00BF7124">
        <w:rPr>
          <w:rFonts w:ascii="Arial" w:hAnsi="Arial" w:cs="Arial"/>
          <w:sz w:val="24"/>
          <w:szCs w:val="24"/>
        </w:rPr>
        <w:t>1,250</w:t>
      </w:r>
      <w:r w:rsidRPr="00BF7124" w:rsidR="39EA2CF1">
        <w:rPr>
          <w:rFonts w:ascii="Arial" w:hAnsi="Arial" w:cs="Arial"/>
          <w:sz w:val="24"/>
          <w:szCs w:val="24"/>
        </w:rPr>
        <w:t xml:space="preserve"> </w:t>
      </w:r>
      <w:r w:rsidRPr="00BF7124">
        <w:rPr>
          <w:rFonts w:ascii="Arial" w:hAnsi="Arial" w:cs="Arial"/>
          <w:sz w:val="24"/>
          <w:szCs w:val="24"/>
        </w:rPr>
        <w:t xml:space="preserve">annual responses </w:t>
      </w:r>
    </w:p>
    <w:p w:rsidR="002D60D1" w:rsidRPr="00BF7124" w:rsidP="002D60D1" w14:paraId="7193C96D" w14:textId="266CB4DD">
      <w:pPr>
        <w:pStyle w:val="NoSpacing"/>
        <w:numPr>
          <w:ilvl w:val="0"/>
          <w:numId w:val="24"/>
        </w:numPr>
        <w:jc w:val="both"/>
        <w:rPr>
          <w:rFonts w:ascii="Arial" w:hAnsi="Arial" w:cs="Arial"/>
          <w:sz w:val="24"/>
          <w:szCs w:val="24"/>
        </w:rPr>
      </w:pPr>
      <w:r w:rsidRPr="00BF7124">
        <w:rPr>
          <w:rFonts w:ascii="Arial" w:hAnsi="Arial" w:cs="Arial"/>
          <w:sz w:val="24"/>
          <w:szCs w:val="24"/>
        </w:rPr>
        <w:t>208</w:t>
      </w:r>
      <w:r w:rsidRPr="00BF7124" w:rsidR="4FB9DBDA">
        <w:rPr>
          <w:rFonts w:ascii="Arial" w:hAnsi="Arial" w:cs="Arial"/>
          <w:sz w:val="24"/>
          <w:szCs w:val="24"/>
        </w:rPr>
        <w:t xml:space="preserve"> </w:t>
      </w:r>
      <w:r w:rsidRPr="00BF7124">
        <w:rPr>
          <w:rFonts w:ascii="Arial" w:hAnsi="Arial" w:cs="Arial"/>
          <w:sz w:val="24"/>
          <w:szCs w:val="24"/>
        </w:rPr>
        <w:t xml:space="preserve">annual hourly burden </w:t>
      </w:r>
    </w:p>
    <w:p w:rsidR="002D60D1" w:rsidRPr="00BF7124" w:rsidP="002D60D1" w14:paraId="04FC5AB0" w14:textId="6028DF51">
      <w:pPr>
        <w:pStyle w:val="NoSpacing"/>
        <w:numPr>
          <w:ilvl w:val="0"/>
          <w:numId w:val="24"/>
        </w:numPr>
        <w:jc w:val="both"/>
        <w:rPr>
          <w:rFonts w:ascii="Arial" w:hAnsi="Arial" w:cs="Arial"/>
          <w:sz w:val="24"/>
          <w:szCs w:val="24"/>
        </w:rPr>
      </w:pPr>
      <w:r w:rsidRPr="00BF7124">
        <w:rPr>
          <w:rFonts w:ascii="Arial" w:hAnsi="Arial" w:cs="Arial"/>
          <w:sz w:val="24"/>
          <w:szCs w:val="24"/>
        </w:rPr>
        <w:t>$0 in annual non-hourly burden costs (unchanged)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0D16D91"/>
    <w:multiLevelType w:val="hybridMultilevel"/>
    <w:tmpl w:val="2D209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40E84E6C"/>
    <w:multiLevelType w:val="hybridMultilevel"/>
    <w:tmpl w:val="5A841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7024CDD"/>
    <w:multiLevelType w:val="hybridMultilevel"/>
    <w:tmpl w:val="C61218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A747EA8"/>
    <w:multiLevelType w:val="hybridMultilevel"/>
    <w:tmpl w:val="BF84D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63F15143"/>
    <w:multiLevelType w:val="hybridMultilevel"/>
    <w:tmpl w:val="5F385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72F060F"/>
    <w:multiLevelType w:val="hybridMultilevel"/>
    <w:tmpl w:val="CF301066"/>
    <w:lvl w:ilvl="0">
      <w:start w:val="1"/>
      <w:numFmt w:val="decimal"/>
      <w:lvlText w:val="%1."/>
      <w:lvlJc w:val="left"/>
      <w:pPr>
        <w:ind w:left="720" w:hanging="360"/>
      </w:pPr>
      <w:rPr>
        <w:rFonts w:ascii="Arial" w:hAnsi="Arial" w:eastAsiaTheme="minorHAnsi" w:cs="Aria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30573641">
    <w:abstractNumId w:val="23"/>
  </w:num>
  <w:num w:numId="2" w16cid:durableId="1393776147">
    <w:abstractNumId w:val="13"/>
  </w:num>
  <w:num w:numId="3" w16cid:durableId="311368342">
    <w:abstractNumId w:val="11"/>
  </w:num>
  <w:num w:numId="4" w16cid:durableId="770667515">
    <w:abstractNumId w:val="26"/>
  </w:num>
  <w:num w:numId="5" w16cid:durableId="1518738639">
    <w:abstractNumId w:val="14"/>
  </w:num>
  <w:num w:numId="6" w16cid:durableId="2112041857">
    <w:abstractNumId w:val="17"/>
  </w:num>
  <w:num w:numId="7" w16cid:durableId="1726097073">
    <w:abstractNumId w:val="21"/>
  </w:num>
  <w:num w:numId="8" w16cid:durableId="1656258166">
    <w:abstractNumId w:val="9"/>
  </w:num>
  <w:num w:numId="9" w16cid:durableId="1993682163">
    <w:abstractNumId w:val="7"/>
  </w:num>
  <w:num w:numId="10" w16cid:durableId="332147324">
    <w:abstractNumId w:val="6"/>
  </w:num>
  <w:num w:numId="11" w16cid:durableId="877085818">
    <w:abstractNumId w:val="5"/>
  </w:num>
  <w:num w:numId="12" w16cid:durableId="479661479">
    <w:abstractNumId w:val="4"/>
  </w:num>
  <w:num w:numId="13" w16cid:durableId="889809277">
    <w:abstractNumId w:val="8"/>
  </w:num>
  <w:num w:numId="14" w16cid:durableId="1025012930">
    <w:abstractNumId w:val="3"/>
  </w:num>
  <w:num w:numId="15" w16cid:durableId="943726359">
    <w:abstractNumId w:val="2"/>
  </w:num>
  <w:num w:numId="16" w16cid:durableId="342635372">
    <w:abstractNumId w:val="1"/>
  </w:num>
  <w:num w:numId="17" w16cid:durableId="845052595">
    <w:abstractNumId w:val="0"/>
  </w:num>
  <w:num w:numId="18" w16cid:durableId="901215653">
    <w:abstractNumId w:val="15"/>
  </w:num>
  <w:num w:numId="19" w16cid:durableId="620889078">
    <w:abstractNumId w:val="16"/>
  </w:num>
  <w:num w:numId="20" w16cid:durableId="1354648953">
    <w:abstractNumId w:val="24"/>
  </w:num>
  <w:num w:numId="21" w16cid:durableId="727264912">
    <w:abstractNumId w:val="19"/>
  </w:num>
  <w:num w:numId="22" w16cid:durableId="1843203617">
    <w:abstractNumId w:val="12"/>
  </w:num>
  <w:num w:numId="23" w16cid:durableId="1743138691">
    <w:abstractNumId w:val="28"/>
  </w:num>
  <w:num w:numId="24" w16cid:durableId="1980451920">
    <w:abstractNumId w:val="25"/>
  </w:num>
  <w:num w:numId="25" w16cid:durableId="2087877489">
    <w:abstractNumId w:val="10"/>
  </w:num>
  <w:num w:numId="26" w16cid:durableId="625552259">
    <w:abstractNumId w:val="27"/>
  </w:num>
  <w:num w:numId="27" w16cid:durableId="1991012685">
    <w:abstractNumId w:val="20"/>
  </w:num>
  <w:num w:numId="28" w16cid:durableId="9124687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50222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93"/>
    <w:rsid w:val="00016765"/>
    <w:rsid w:val="00053727"/>
    <w:rsid w:val="000537AF"/>
    <w:rsid w:val="00062FC7"/>
    <w:rsid w:val="00097D59"/>
    <w:rsid w:val="000A5E61"/>
    <w:rsid w:val="000B7675"/>
    <w:rsid w:val="00106F3B"/>
    <w:rsid w:val="001141BC"/>
    <w:rsid w:val="001147CB"/>
    <w:rsid w:val="00130B39"/>
    <w:rsid w:val="001322DC"/>
    <w:rsid w:val="0013283D"/>
    <w:rsid w:val="00164AB7"/>
    <w:rsid w:val="00175FF5"/>
    <w:rsid w:val="001842CC"/>
    <w:rsid w:val="001C619C"/>
    <w:rsid w:val="001D0B5E"/>
    <w:rsid w:val="001D72C4"/>
    <w:rsid w:val="002058AF"/>
    <w:rsid w:val="00221D09"/>
    <w:rsid w:val="00256696"/>
    <w:rsid w:val="002623F0"/>
    <w:rsid w:val="002757C8"/>
    <w:rsid w:val="002A78A2"/>
    <w:rsid w:val="002C162B"/>
    <w:rsid w:val="002D60D1"/>
    <w:rsid w:val="00333FDB"/>
    <w:rsid w:val="00335AD2"/>
    <w:rsid w:val="0033621F"/>
    <w:rsid w:val="00341633"/>
    <w:rsid w:val="003672D2"/>
    <w:rsid w:val="003706A8"/>
    <w:rsid w:val="003951D0"/>
    <w:rsid w:val="003A4AEC"/>
    <w:rsid w:val="003D2AF5"/>
    <w:rsid w:val="003D76EE"/>
    <w:rsid w:val="00414D85"/>
    <w:rsid w:val="00423042"/>
    <w:rsid w:val="00426159"/>
    <w:rsid w:val="00442BF7"/>
    <w:rsid w:val="0045120E"/>
    <w:rsid w:val="00453236"/>
    <w:rsid w:val="00460B24"/>
    <w:rsid w:val="004837AF"/>
    <w:rsid w:val="0048688B"/>
    <w:rsid w:val="0049020A"/>
    <w:rsid w:val="004C1C9D"/>
    <w:rsid w:val="004C2EA2"/>
    <w:rsid w:val="004C6081"/>
    <w:rsid w:val="004C777B"/>
    <w:rsid w:val="0050731A"/>
    <w:rsid w:val="00513D6F"/>
    <w:rsid w:val="00535B80"/>
    <w:rsid w:val="005600A3"/>
    <w:rsid w:val="00566C0F"/>
    <w:rsid w:val="00576597"/>
    <w:rsid w:val="00593E7A"/>
    <w:rsid w:val="00596A73"/>
    <w:rsid w:val="005A34F6"/>
    <w:rsid w:val="005B457A"/>
    <w:rsid w:val="005B7DE3"/>
    <w:rsid w:val="005D7E9F"/>
    <w:rsid w:val="005E339B"/>
    <w:rsid w:val="005E3579"/>
    <w:rsid w:val="005F43B4"/>
    <w:rsid w:val="00613D9C"/>
    <w:rsid w:val="00635D22"/>
    <w:rsid w:val="006422E4"/>
    <w:rsid w:val="006427B0"/>
    <w:rsid w:val="00645252"/>
    <w:rsid w:val="006663C8"/>
    <w:rsid w:val="006A290C"/>
    <w:rsid w:val="006D3D74"/>
    <w:rsid w:val="006D7A20"/>
    <w:rsid w:val="00726300"/>
    <w:rsid w:val="00726A19"/>
    <w:rsid w:val="0076389F"/>
    <w:rsid w:val="00773C0E"/>
    <w:rsid w:val="0077725E"/>
    <w:rsid w:val="007A03A2"/>
    <w:rsid w:val="007B2E9B"/>
    <w:rsid w:val="0083569A"/>
    <w:rsid w:val="008575D3"/>
    <w:rsid w:val="0085784D"/>
    <w:rsid w:val="00863338"/>
    <w:rsid w:val="008E5A1F"/>
    <w:rsid w:val="00925A73"/>
    <w:rsid w:val="009301C4"/>
    <w:rsid w:val="009343CA"/>
    <w:rsid w:val="00970DAE"/>
    <w:rsid w:val="0098762D"/>
    <w:rsid w:val="0099204E"/>
    <w:rsid w:val="009B28B7"/>
    <w:rsid w:val="009C21CA"/>
    <w:rsid w:val="009E3E92"/>
    <w:rsid w:val="00A00BD7"/>
    <w:rsid w:val="00A37AAD"/>
    <w:rsid w:val="00A6624F"/>
    <w:rsid w:val="00A747FB"/>
    <w:rsid w:val="00A9204E"/>
    <w:rsid w:val="00AC2376"/>
    <w:rsid w:val="00AC3498"/>
    <w:rsid w:val="00AF6FC0"/>
    <w:rsid w:val="00B01877"/>
    <w:rsid w:val="00B32DF4"/>
    <w:rsid w:val="00B36DAB"/>
    <w:rsid w:val="00B405AB"/>
    <w:rsid w:val="00B41B04"/>
    <w:rsid w:val="00B523E3"/>
    <w:rsid w:val="00B7118D"/>
    <w:rsid w:val="00B817AB"/>
    <w:rsid w:val="00B93119"/>
    <w:rsid w:val="00BB1A4D"/>
    <w:rsid w:val="00BE4578"/>
    <w:rsid w:val="00BE629A"/>
    <w:rsid w:val="00BE7889"/>
    <w:rsid w:val="00BF7124"/>
    <w:rsid w:val="00C17B04"/>
    <w:rsid w:val="00C209CB"/>
    <w:rsid w:val="00C35D2C"/>
    <w:rsid w:val="00C40E63"/>
    <w:rsid w:val="00C41705"/>
    <w:rsid w:val="00C66C7D"/>
    <w:rsid w:val="00C82A33"/>
    <w:rsid w:val="00CB305D"/>
    <w:rsid w:val="00CC1DC1"/>
    <w:rsid w:val="00CD9BC5"/>
    <w:rsid w:val="00CE1AA5"/>
    <w:rsid w:val="00CE64CB"/>
    <w:rsid w:val="00CF49AA"/>
    <w:rsid w:val="00CF7DB0"/>
    <w:rsid w:val="00D44F53"/>
    <w:rsid w:val="00D45281"/>
    <w:rsid w:val="00D5414B"/>
    <w:rsid w:val="00D85ED9"/>
    <w:rsid w:val="00DF27DA"/>
    <w:rsid w:val="00E029C8"/>
    <w:rsid w:val="00E67593"/>
    <w:rsid w:val="00EC56C9"/>
    <w:rsid w:val="00EC578E"/>
    <w:rsid w:val="00EE716F"/>
    <w:rsid w:val="00EF3848"/>
    <w:rsid w:val="00F445D6"/>
    <w:rsid w:val="00F532B2"/>
    <w:rsid w:val="00F7618F"/>
    <w:rsid w:val="00FA3C44"/>
    <w:rsid w:val="00FF4998"/>
    <w:rsid w:val="02B5DB10"/>
    <w:rsid w:val="02E8C64F"/>
    <w:rsid w:val="033D81A4"/>
    <w:rsid w:val="0375EC5A"/>
    <w:rsid w:val="04121ADF"/>
    <w:rsid w:val="0457475E"/>
    <w:rsid w:val="051EA541"/>
    <w:rsid w:val="08A317E1"/>
    <w:rsid w:val="096E15B1"/>
    <w:rsid w:val="099839E0"/>
    <w:rsid w:val="0B0D3FC6"/>
    <w:rsid w:val="0BA58EBC"/>
    <w:rsid w:val="0C0B0A8B"/>
    <w:rsid w:val="0C9472E6"/>
    <w:rsid w:val="0D672D71"/>
    <w:rsid w:val="0DB0BDF2"/>
    <w:rsid w:val="0E2BAFDE"/>
    <w:rsid w:val="0EB7DC47"/>
    <w:rsid w:val="101E2075"/>
    <w:rsid w:val="12E81E70"/>
    <w:rsid w:val="13D27845"/>
    <w:rsid w:val="14B47D5B"/>
    <w:rsid w:val="14C6433E"/>
    <w:rsid w:val="17A8CD44"/>
    <w:rsid w:val="18802C1D"/>
    <w:rsid w:val="18B603F8"/>
    <w:rsid w:val="1ACEA5F2"/>
    <w:rsid w:val="1AEBB581"/>
    <w:rsid w:val="1C120C05"/>
    <w:rsid w:val="1D908379"/>
    <w:rsid w:val="1F4BD66D"/>
    <w:rsid w:val="20B26415"/>
    <w:rsid w:val="21BF15F5"/>
    <w:rsid w:val="2211E733"/>
    <w:rsid w:val="22978132"/>
    <w:rsid w:val="23BE9BA2"/>
    <w:rsid w:val="254E3236"/>
    <w:rsid w:val="25F20D72"/>
    <w:rsid w:val="266407B7"/>
    <w:rsid w:val="267BCDE1"/>
    <w:rsid w:val="26AAD358"/>
    <w:rsid w:val="2758DAA9"/>
    <w:rsid w:val="27D515FA"/>
    <w:rsid w:val="282141D3"/>
    <w:rsid w:val="29F78E60"/>
    <w:rsid w:val="2B6D4895"/>
    <w:rsid w:val="2B9BBB96"/>
    <w:rsid w:val="2C4B3A32"/>
    <w:rsid w:val="2D207F66"/>
    <w:rsid w:val="2D8CE3EB"/>
    <w:rsid w:val="2DA31CD8"/>
    <w:rsid w:val="2E1F0741"/>
    <w:rsid w:val="2EF572FA"/>
    <w:rsid w:val="2FD6DDBA"/>
    <w:rsid w:val="2FEA6B52"/>
    <w:rsid w:val="3180E9D3"/>
    <w:rsid w:val="33350D66"/>
    <w:rsid w:val="334677A5"/>
    <w:rsid w:val="33F65FD7"/>
    <w:rsid w:val="33FA62CF"/>
    <w:rsid w:val="34AEB65E"/>
    <w:rsid w:val="34B1D866"/>
    <w:rsid w:val="34B727D0"/>
    <w:rsid w:val="362E114F"/>
    <w:rsid w:val="36413FAE"/>
    <w:rsid w:val="39CAAB48"/>
    <w:rsid w:val="39D7815F"/>
    <w:rsid w:val="39EA2CF1"/>
    <w:rsid w:val="3B584382"/>
    <w:rsid w:val="3B615CC4"/>
    <w:rsid w:val="3D16D749"/>
    <w:rsid w:val="3D44C7B1"/>
    <w:rsid w:val="3DF73663"/>
    <w:rsid w:val="3F31C075"/>
    <w:rsid w:val="3FC736A6"/>
    <w:rsid w:val="3FE3969A"/>
    <w:rsid w:val="3FE5E329"/>
    <w:rsid w:val="4047D2A3"/>
    <w:rsid w:val="4126E160"/>
    <w:rsid w:val="4177DD51"/>
    <w:rsid w:val="41CCE57B"/>
    <w:rsid w:val="497C02A3"/>
    <w:rsid w:val="4A6A10CD"/>
    <w:rsid w:val="4BB60AFC"/>
    <w:rsid w:val="4BF67258"/>
    <w:rsid w:val="4C110453"/>
    <w:rsid w:val="4C1BD220"/>
    <w:rsid w:val="4C2BB722"/>
    <w:rsid w:val="4C8C05BA"/>
    <w:rsid w:val="4DCE6D07"/>
    <w:rsid w:val="4E34EF8B"/>
    <w:rsid w:val="4E4797F3"/>
    <w:rsid w:val="4E71BB90"/>
    <w:rsid w:val="4FB9DBDA"/>
    <w:rsid w:val="4FE2C9C1"/>
    <w:rsid w:val="5050E7F6"/>
    <w:rsid w:val="51241D55"/>
    <w:rsid w:val="5317141C"/>
    <w:rsid w:val="539C52BD"/>
    <w:rsid w:val="5481E7FC"/>
    <w:rsid w:val="56F5A651"/>
    <w:rsid w:val="597D4073"/>
    <w:rsid w:val="59C14709"/>
    <w:rsid w:val="59D30F9F"/>
    <w:rsid w:val="5A267A6A"/>
    <w:rsid w:val="5CED1472"/>
    <w:rsid w:val="5CF04492"/>
    <w:rsid w:val="5E16C762"/>
    <w:rsid w:val="5EDFD393"/>
    <w:rsid w:val="5EE091E2"/>
    <w:rsid w:val="604DD1F2"/>
    <w:rsid w:val="613DF355"/>
    <w:rsid w:val="6237A8F8"/>
    <w:rsid w:val="62D2ABD9"/>
    <w:rsid w:val="637D0D31"/>
    <w:rsid w:val="645B0765"/>
    <w:rsid w:val="65600A01"/>
    <w:rsid w:val="6914E3AC"/>
    <w:rsid w:val="694AF6B3"/>
    <w:rsid w:val="694E6717"/>
    <w:rsid w:val="6BDFB39B"/>
    <w:rsid w:val="6C551C9D"/>
    <w:rsid w:val="6CE09E8D"/>
    <w:rsid w:val="6D15C729"/>
    <w:rsid w:val="6E777839"/>
    <w:rsid w:val="6ECC95BD"/>
    <w:rsid w:val="6F4124D3"/>
    <w:rsid w:val="6F531ADB"/>
    <w:rsid w:val="6F61B006"/>
    <w:rsid w:val="6FB1D036"/>
    <w:rsid w:val="7079DE2D"/>
    <w:rsid w:val="70C9D2DC"/>
    <w:rsid w:val="73651AEF"/>
    <w:rsid w:val="74E6B7A7"/>
    <w:rsid w:val="75E290D1"/>
    <w:rsid w:val="76CFEE19"/>
    <w:rsid w:val="774B99EB"/>
    <w:rsid w:val="776946DA"/>
    <w:rsid w:val="777EAC50"/>
    <w:rsid w:val="782CAE8E"/>
    <w:rsid w:val="78340780"/>
    <w:rsid w:val="786CC918"/>
    <w:rsid w:val="787C006C"/>
    <w:rsid w:val="7A5E970E"/>
    <w:rsid w:val="7B1A2019"/>
    <w:rsid w:val="7B7AF572"/>
    <w:rsid w:val="7B9CE501"/>
    <w:rsid w:val="7CA8AF5F"/>
    <w:rsid w:val="7E20DE4E"/>
    <w:rsid w:val="7E2974E4"/>
    <w:rsid w:val="7E45D5B4"/>
    <w:rsid w:val="7EB02864"/>
    <w:rsid w:val="7F0F2E19"/>
    <w:rsid w:val="7F24F4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22BF10"/>
  <w15:chartTrackingRefBased/>
  <w15:docId w15:val="{637117A8-653E-4508-8428-7EBCFA8D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E67593"/>
  </w:style>
  <w:style w:type="paragraph" w:styleId="ListParagraph">
    <w:name w:val="List Paragraph"/>
    <w:basedOn w:val="Normal"/>
    <w:uiPriority w:val="34"/>
    <w:unhideWhenUsed/>
    <w:qFormat/>
    <w:rsid w:val="00613D9C"/>
    <w:pPr>
      <w:ind w:left="720"/>
      <w:contextualSpacing/>
    </w:pPr>
  </w:style>
  <w:style w:type="paragraph" w:styleId="Revision">
    <w:name w:val="Revision"/>
    <w:hidden/>
    <w:uiPriority w:val="99"/>
    <w:semiHidden/>
    <w:rsid w:val="0001676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gunther1\AppData\Local\Microsoft\Office\16.0\DTS\en-US%7B1FB751A1-860C-444E-8598-8BAB63C39022%7D\%7BB5E4DDF8-8157-4585-8C19-84EF4422A4D5%7DTF2de6fc23-48e8-448b-960e-1bdc6e9248ab13e3e5f5_win32-3981d9212dd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TaxCatchAll xmlns="ebb8c3bc-3ea9-4050-8e17-eb45cd7e46fa" xsi:nil="true"/>
    <lcf76f155ced4ddcb4097134ff3c332f xmlns="0f5e2127-2ba4-41f5-b528-d0f9d9208b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0f5e2127-2ba4-41f5-b528-d0f9d9208b73"/>
    <ds:schemaRef ds:uri="ebb8c3bc-3ea9-4050-8e17-eb45cd7e46fa"/>
  </ds:schemaRefs>
</ds:datastoreItem>
</file>

<file path=customXml/itemProps2.xml><?xml version="1.0" encoding="utf-8"?>
<ds:datastoreItem xmlns:ds="http://schemas.openxmlformats.org/officeDocument/2006/customXml" ds:itemID="{83263459-3A98-4C85-9610-36D95AEC02EE}">
  <ds:schemaRefs>
    <ds:schemaRef ds:uri="http://schemas.microsoft.com/sharepoint/v3/contenttype/forms"/>
  </ds:schemaRefs>
</ds:datastoreItem>
</file>

<file path=customXml/itemProps3.xml><?xml version="1.0" encoding="utf-8"?>
<ds:datastoreItem xmlns:ds="http://schemas.openxmlformats.org/officeDocument/2006/customXml" ds:itemID="{232AD778-53DD-4523-A2C9-F5032E490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{B5E4DDF8-8157-4585-8C19-84EF4422A4D5}TF2de6fc23-48e8-448b-960e-1bdc6e9248ab13e3e5f5_win32-3981d9212dde</Template>
  <TotalTime>1</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3</cp:revision>
  <dcterms:created xsi:type="dcterms:W3CDTF">2026-03-03T14:48:00Z</dcterms:created>
  <dcterms:modified xsi:type="dcterms:W3CDTF">2026-03-03T14:48:00Z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0x010100B0FF176B9C2D0B489525CF344D663D72</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MediaServiceImageTags">
    <vt:lpwstr/>
  </property>
  <property fmtid="{D5CDD505-2E9C-101B-9397-08002B2CF9AE}" pid="8" name="ScenarioTags">
    <vt:lpwstr/>
  </property>
</Properties>
</file>