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23F2" w:rsidP="004A43EC" w14:paraId="1904D8E2" w14:textId="2D7C0763">
      <w:pPr>
        <w:pStyle w:val="Title"/>
      </w:pPr>
      <w:r>
        <w:t>SUPPORTING STATEMENT</w:t>
      </w:r>
    </w:p>
    <w:p w:rsidR="008C4052" w14:paraId="6A010335" w14:textId="77777777">
      <w:pPr>
        <w:pStyle w:val="Title"/>
      </w:pPr>
      <w:r>
        <w:t>U</w:t>
      </w:r>
      <w:r w:rsidR="00686544">
        <w:t xml:space="preserve">nited </w:t>
      </w:r>
      <w:r>
        <w:t>S</w:t>
      </w:r>
      <w:r w:rsidR="00686544">
        <w:t>tates</w:t>
      </w:r>
      <w:r>
        <w:t xml:space="preserve"> P</w:t>
      </w:r>
      <w:r w:rsidR="00686544">
        <w:t>atent</w:t>
      </w:r>
      <w:r>
        <w:t xml:space="preserve"> </w:t>
      </w:r>
      <w:r w:rsidR="00686544">
        <w:t xml:space="preserve">and </w:t>
      </w:r>
      <w:r>
        <w:t>T</w:t>
      </w:r>
      <w:r w:rsidR="00686544">
        <w:t>rademark</w:t>
      </w:r>
      <w:r>
        <w:t xml:space="preserve"> O</w:t>
      </w:r>
      <w:r w:rsidR="00686544">
        <w:t>ffice</w:t>
      </w:r>
    </w:p>
    <w:p w:rsidR="008C4052" w14:paraId="43E4EF6E" w14:textId="77777777">
      <w:pPr>
        <w:pStyle w:val="Title"/>
      </w:pPr>
      <w:r>
        <w:t xml:space="preserve">Patents External Quality Survey </w:t>
      </w:r>
    </w:p>
    <w:p w:rsidR="00B52CB2" w14:paraId="40C22D5F" w14:textId="77777777">
      <w:pPr>
        <w:pStyle w:val="Title"/>
      </w:pPr>
      <w:r>
        <w:t>OMB Control Number 0651-00</w:t>
      </w:r>
      <w:r w:rsidR="00BF25AB">
        <w:t>57</w:t>
      </w:r>
    </w:p>
    <w:p w:rsidR="005823F2" w:rsidRPr="00FA128E" w:rsidP="00FA128E" w14:paraId="3F202A29" w14:textId="5D45F745">
      <w:pPr>
        <w:pStyle w:val="Title"/>
      </w:pPr>
      <w:r>
        <w:t>202</w:t>
      </w:r>
      <w:r w:rsidR="311E4663">
        <w:t>6</w:t>
      </w:r>
    </w:p>
    <w:p w:rsidR="005823F2" w14:paraId="4FFE4C1F" w14:textId="77777777">
      <w:pPr>
        <w:pStyle w:val="Heading1"/>
      </w:pPr>
    </w:p>
    <w:p w:rsidR="005823F2" w:rsidP="00A54DB6" w14:paraId="69BB2A4F" w14:textId="45830662">
      <w:pPr>
        <w:pStyle w:val="Heading1"/>
        <w:ind w:hanging="360"/>
      </w:pPr>
      <w:r>
        <w:t>A.</w:t>
      </w:r>
      <w:r w:rsidR="007A74FC">
        <w:t xml:space="preserve">  </w:t>
      </w:r>
      <w:r>
        <w:t>JUSTIFICATION</w:t>
      </w:r>
    </w:p>
    <w:p w:rsidR="005823F2" w14:paraId="4C530BDD" w14:textId="77777777">
      <w:pPr>
        <w:rPr>
          <w:rFonts w:ascii="Arial" w:hAnsi="Arial"/>
          <w:b/>
          <w:sz w:val="24"/>
        </w:rPr>
      </w:pPr>
    </w:p>
    <w:p w:rsidR="005823F2" w:rsidP="00A54DB6" w14:paraId="28FAFE18" w14:textId="33DC0995">
      <w:pPr>
        <w:ind w:left="360" w:hanging="360"/>
        <w:jc w:val="both"/>
        <w:rPr>
          <w:rFonts w:ascii="Arial" w:hAnsi="Arial"/>
          <w:b/>
          <w:sz w:val="24"/>
        </w:rPr>
      </w:pPr>
      <w:r w:rsidRPr="005A4A11">
        <w:rPr>
          <w:rFonts w:ascii="Arial" w:hAnsi="Arial"/>
          <w:b/>
          <w:sz w:val="24"/>
        </w:rPr>
        <w:t>1.</w:t>
      </w:r>
      <w:r w:rsidRPr="005A4A11">
        <w:rPr>
          <w:rFonts w:ascii="Arial" w:hAnsi="Arial"/>
          <w:b/>
          <w:sz w:val="24"/>
        </w:rPr>
        <w:tab/>
      </w:r>
      <w:r w:rsidRPr="001D603D" w:rsidR="0052480A">
        <w:rPr>
          <w:rFonts w:ascii="Arial" w:hAnsi="Arial" w:cs="Arial"/>
          <w:b/>
          <w:bCs/>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5823F2" w14:paraId="3FF2AC45" w14:textId="77777777">
      <w:pPr>
        <w:jc w:val="both"/>
        <w:rPr>
          <w:rFonts w:ascii="Arial" w:hAnsi="Arial"/>
          <w:sz w:val="24"/>
        </w:rPr>
      </w:pPr>
    </w:p>
    <w:p w:rsidR="00B079B9" w:rsidRPr="00B079B9" w:rsidP="00B079B9" w14:paraId="3460843C" w14:textId="22D7C0C0">
      <w:pPr>
        <w:jc w:val="both"/>
        <w:rPr>
          <w:rFonts w:ascii="Arial" w:hAnsi="Arial"/>
          <w:bCs/>
          <w:sz w:val="24"/>
        </w:rPr>
      </w:pPr>
      <w:r w:rsidRPr="00B079B9">
        <w:rPr>
          <w:rFonts w:ascii="Arial" w:hAnsi="Arial"/>
          <w:bCs/>
          <w:sz w:val="24"/>
        </w:rPr>
        <w:t>This United States Patent and Trademark Office</w:t>
      </w:r>
      <w:r w:rsidR="000A01A8">
        <w:rPr>
          <w:rFonts w:ascii="Arial" w:hAnsi="Arial"/>
          <w:bCs/>
          <w:sz w:val="24"/>
        </w:rPr>
        <w:t xml:space="preserve"> (USPTO)</w:t>
      </w:r>
      <w:r w:rsidRPr="00B079B9">
        <w:rPr>
          <w:rFonts w:ascii="Arial" w:hAnsi="Arial"/>
          <w:bCs/>
          <w:sz w:val="24"/>
        </w:rPr>
        <w:t xml:space="preserve"> </w:t>
      </w:r>
      <w:r w:rsidR="009D5740">
        <w:rPr>
          <w:rFonts w:ascii="Arial" w:hAnsi="Arial"/>
          <w:bCs/>
          <w:sz w:val="24"/>
        </w:rPr>
        <w:t xml:space="preserve">External </w:t>
      </w:r>
      <w:r w:rsidRPr="00B079B9">
        <w:rPr>
          <w:rFonts w:ascii="Arial" w:hAnsi="Arial"/>
          <w:bCs/>
          <w:sz w:val="24"/>
        </w:rPr>
        <w:t xml:space="preserve">Quality Survey </w:t>
      </w:r>
      <w:r w:rsidR="00F50302">
        <w:rPr>
          <w:rFonts w:ascii="Arial" w:hAnsi="Arial"/>
          <w:bCs/>
          <w:sz w:val="24"/>
        </w:rPr>
        <w:t xml:space="preserve">(EQS) </w:t>
      </w:r>
      <w:r w:rsidRPr="00B079B9">
        <w:rPr>
          <w:rFonts w:ascii="Arial" w:hAnsi="Arial"/>
          <w:bCs/>
          <w:sz w:val="24"/>
        </w:rPr>
        <w:t>is an instrument designed to measure opinions about the services that USPTO provides its patent application customers. The results from this voluntary survey will assist the USPTO in guiding improvements and enhancements in the future. This survey narrows the focus of customer satisfaction to examination quality</w:t>
      </w:r>
      <w:r w:rsidR="00B54621">
        <w:rPr>
          <w:rFonts w:ascii="Arial" w:hAnsi="Arial"/>
          <w:bCs/>
          <w:sz w:val="24"/>
        </w:rPr>
        <w:t xml:space="preserve">. </w:t>
      </w:r>
      <w:r w:rsidR="00096282">
        <w:rPr>
          <w:rFonts w:ascii="Arial" w:hAnsi="Arial"/>
          <w:sz w:val="24"/>
        </w:rPr>
        <w:t>The USPTO uses th</w:t>
      </w:r>
      <w:r w:rsidR="0046509A">
        <w:rPr>
          <w:rFonts w:ascii="Arial" w:hAnsi="Arial"/>
          <w:sz w:val="24"/>
        </w:rPr>
        <w:t>e</w:t>
      </w:r>
      <w:r w:rsidR="00096282">
        <w:rPr>
          <w:rFonts w:ascii="Arial" w:hAnsi="Arial"/>
          <w:sz w:val="24"/>
        </w:rPr>
        <w:t xml:space="preserve"> survey to identify problems with examination quality and work</w:t>
      </w:r>
      <w:r w:rsidR="00BC5C3A">
        <w:rPr>
          <w:rFonts w:ascii="Arial" w:hAnsi="Arial"/>
          <w:sz w:val="24"/>
        </w:rPr>
        <w:t>s</w:t>
      </w:r>
      <w:r w:rsidR="00096282">
        <w:rPr>
          <w:rFonts w:ascii="Arial" w:hAnsi="Arial"/>
          <w:sz w:val="24"/>
        </w:rPr>
        <w:t xml:space="preserve"> to resolve these issues in a timely manner. </w:t>
      </w:r>
      <w:r w:rsidRPr="00D339FB" w:rsidR="00D339FB">
        <w:rPr>
          <w:rFonts w:ascii="Arial" w:hAnsi="Arial"/>
          <w:sz w:val="24"/>
        </w:rPr>
        <w:t>The E</w:t>
      </w:r>
      <w:r w:rsidR="00A24380">
        <w:rPr>
          <w:rFonts w:ascii="Arial" w:hAnsi="Arial"/>
          <w:sz w:val="24"/>
        </w:rPr>
        <w:t>xternal Quality Survey</w:t>
      </w:r>
      <w:r w:rsidRPr="00D339FB" w:rsidR="00D339FB">
        <w:rPr>
          <w:rFonts w:ascii="Arial" w:hAnsi="Arial"/>
          <w:sz w:val="24"/>
        </w:rPr>
        <w:t xml:space="preserve"> </w:t>
      </w:r>
      <w:r w:rsidR="004412B8">
        <w:rPr>
          <w:rFonts w:ascii="Arial" w:hAnsi="Arial"/>
          <w:sz w:val="24"/>
        </w:rPr>
        <w:t>requests feedback from</w:t>
      </w:r>
      <w:r w:rsidRPr="00D339FB" w:rsidR="00D339FB">
        <w:rPr>
          <w:rFonts w:ascii="Arial" w:hAnsi="Arial"/>
          <w:sz w:val="24"/>
        </w:rPr>
        <w:t xml:space="preserve"> attorneys and agents who are registered to practice before the USPTO</w:t>
      </w:r>
      <w:r w:rsidR="00D339FB">
        <w:rPr>
          <w:rFonts w:ascii="Arial" w:hAnsi="Arial"/>
          <w:sz w:val="24"/>
        </w:rPr>
        <w:t>.</w:t>
      </w:r>
      <w:r w:rsidRPr="00D339FB" w:rsidR="00D339FB">
        <w:rPr>
          <w:rFonts w:ascii="Arial" w:hAnsi="Arial"/>
          <w:sz w:val="24"/>
        </w:rPr>
        <w:t xml:space="preserve"> </w:t>
      </w:r>
      <w:r w:rsidR="001E7C91">
        <w:rPr>
          <w:rFonts w:ascii="Arial" w:hAnsi="Arial"/>
          <w:bCs/>
          <w:sz w:val="24"/>
        </w:rPr>
        <w:t>These attorneys and agents may represent</w:t>
      </w:r>
      <w:r w:rsidR="001C308B">
        <w:rPr>
          <w:rFonts w:ascii="Arial" w:hAnsi="Arial"/>
          <w:bCs/>
          <w:sz w:val="24"/>
        </w:rPr>
        <w:t xml:space="preserve"> </w:t>
      </w:r>
      <w:r w:rsidRPr="00B079B9">
        <w:rPr>
          <w:rFonts w:ascii="Arial" w:hAnsi="Arial"/>
          <w:bCs/>
          <w:sz w:val="24"/>
        </w:rPr>
        <w:t xml:space="preserve">large domestic corporations (including those with </w:t>
      </w:r>
      <w:r w:rsidR="00B54621">
        <w:rPr>
          <w:rFonts w:ascii="Arial" w:hAnsi="Arial"/>
          <w:bCs/>
          <w:sz w:val="24"/>
        </w:rPr>
        <w:t xml:space="preserve">over </w:t>
      </w:r>
      <w:r w:rsidRPr="00B079B9">
        <w:rPr>
          <w:rFonts w:ascii="Arial" w:hAnsi="Arial"/>
          <w:bCs/>
          <w:sz w:val="24"/>
        </w:rPr>
        <w:t>500 employees), small and medium-size businesses, independent inventors, and universities and other non-profit research organizations. This survey</w:t>
      </w:r>
      <w:r w:rsidR="00B33023">
        <w:rPr>
          <w:rFonts w:ascii="Arial" w:hAnsi="Arial"/>
          <w:bCs/>
          <w:sz w:val="24"/>
        </w:rPr>
        <w:t xml:space="preserve"> </w:t>
      </w:r>
      <w:r w:rsidRPr="00B079B9">
        <w:rPr>
          <w:rFonts w:ascii="Arial" w:hAnsi="Arial"/>
          <w:bCs/>
          <w:sz w:val="24"/>
        </w:rPr>
        <w:t xml:space="preserve">does not </w:t>
      </w:r>
      <w:r w:rsidR="00B54621">
        <w:rPr>
          <w:rFonts w:ascii="Arial" w:hAnsi="Arial"/>
          <w:bCs/>
          <w:sz w:val="24"/>
        </w:rPr>
        <w:t>request responses from</w:t>
      </w:r>
      <w:r w:rsidR="00D339FB">
        <w:rPr>
          <w:rFonts w:ascii="Arial" w:hAnsi="Arial"/>
          <w:bCs/>
          <w:sz w:val="24"/>
        </w:rPr>
        <w:t xml:space="preserve"> pro se inventors</w:t>
      </w:r>
      <w:r w:rsidR="0011424F">
        <w:rPr>
          <w:rFonts w:ascii="Arial" w:hAnsi="Arial"/>
          <w:bCs/>
          <w:sz w:val="24"/>
        </w:rPr>
        <w:t xml:space="preserve"> or foreign entities</w:t>
      </w:r>
      <w:r w:rsidR="00D339FB">
        <w:rPr>
          <w:rFonts w:ascii="Arial" w:hAnsi="Arial"/>
          <w:bCs/>
          <w:sz w:val="24"/>
        </w:rPr>
        <w:t>.</w:t>
      </w:r>
    </w:p>
    <w:p w:rsidR="00D70F19" w14:paraId="2F1BB6C0" w14:textId="77777777">
      <w:pPr>
        <w:jc w:val="both"/>
        <w:rPr>
          <w:rFonts w:ascii="Arial" w:hAnsi="Arial"/>
          <w:bCs/>
          <w:sz w:val="24"/>
        </w:rPr>
      </w:pPr>
    </w:p>
    <w:p w:rsidR="00D70F19" w14:paraId="1A80216D" w14:textId="6CD086E0">
      <w:pPr>
        <w:jc w:val="both"/>
        <w:rPr>
          <w:rFonts w:ascii="Arial" w:hAnsi="Arial"/>
          <w:bCs/>
          <w:sz w:val="24"/>
        </w:rPr>
      </w:pPr>
      <w:r>
        <w:rPr>
          <w:rFonts w:ascii="Arial" w:hAnsi="Arial"/>
          <w:bCs/>
          <w:sz w:val="24"/>
        </w:rPr>
        <w:t xml:space="preserve">Starting </w:t>
      </w:r>
      <w:r w:rsidR="003975C7">
        <w:rPr>
          <w:rFonts w:ascii="Arial" w:hAnsi="Arial"/>
          <w:bCs/>
          <w:sz w:val="24"/>
        </w:rPr>
        <w:t>in Fiscal Year 2026</w:t>
      </w:r>
      <w:r w:rsidR="001A3C25">
        <w:rPr>
          <w:rFonts w:ascii="Arial" w:hAnsi="Arial"/>
          <w:bCs/>
          <w:sz w:val="24"/>
        </w:rPr>
        <w:t xml:space="preserve"> </w:t>
      </w:r>
      <w:r w:rsidR="003975C7">
        <w:rPr>
          <w:rFonts w:ascii="Arial" w:hAnsi="Arial"/>
          <w:bCs/>
          <w:sz w:val="24"/>
        </w:rPr>
        <w:t>t</w:t>
      </w:r>
      <w:r w:rsidR="00BE0148">
        <w:rPr>
          <w:rFonts w:ascii="Arial" w:hAnsi="Arial"/>
          <w:bCs/>
          <w:sz w:val="24"/>
        </w:rPr>
        <w:t xml:space="preserve">he responses will be collected using an opt-in approach instead of the previous rotating sample panel </w:t>
      </w:r>
      <w:r w:rsidR="003975C7">
        <w:rPr>
          <w:rFonts w:ascii="Arial" w:hAnsi="Arial"/>
          <w:bCs/>
          <w:sz w:val="24"/>
        </w:rPr>
        <w:t>method</w:t>
      </w:r>
      <w:r w:rsidR="00BE0148">
        <w:rPr>
          <w:rFonts w:ascii="Arial" w:hAnsi="Arial"/>
          <w:bCs/>
          <w:sz w:val="24"/>
        </w:rPr>
        <w:t xml:space="preserve">. The response rates have </w:t>
      </w:r>
      <w:r w:rsidR="008C7383">
        <w:rPr>
          <w:rFonts w:ascii="Arial" w:hAnsi="Arial"/>
          <w:bCs/>
          <w:sz w:val="24"/>
        </w:rPr>
        <w:t xml:space="preserve">seen a downward trend </w:t>
      </w:r>
      <w:r w:rsidR="00F77398">
        <w:rPr>
          <w:rFonts w:ascii="Arial" w:hAnsi="Arial"/>
          <w:bCs/>
          <w:sz w:val="24"/>
        </w:rPr>
        <w:t>over the past few years. T</w:t>
      </w:r>
      <w:r w:rsidR="008C7383">
        <w:rPr>
          <w:rFonts w:ascii="Arial" w:hAnsi="Arial"/>
          <w:bCs/>
          <w:sz w:val="24"/>
        </w:rPr>
        <w:t xml:space="preserve">he last </w:t>
      </w:r>
      <w:r w:rsidR="00404D0A">
        <w:rPr>
          <w:rFonts w:ascii="Arial" w:hAnsi="Arial"/>
          <w:bCs/>
          <w:sz w:val="24"/>
        </w:rPr>
        <w:t>wave</w:t>
      </w:r>
      <w:r w:rsidR="008C7383">
        <w:rPr>
          <w:rFonts w:ascii="Arial" w:hAnsi="Arial"/>
          <w:bCs/>
          <w:sz w:val="24"/>
        </w:rPr>
        <w:t xml:space="preserve"> of the External Quality Survey </w:t>
      </w:r>
      <w:r w:rsidR="00F77398">
        <w:rPr>
          <w:rFonts w:ascii="Arial" w:hAnsi="Arial"/>
          <w:bCs/>
          <w:sz w:val="24"/>
        </w:rPr>
        <w:t>Summer</w:t>
      </w:r>
      <w:r w:rsidR="008C7383">
        <w:rPr>
          <w:rFonts w:ascii="Arial" w:hAnsi="Arial"/>
          <w:bCs/>
          <w:sz w:val="24"/>
        </w:rPr>
        <w:t xml:space="preserve"> Fiscal Year 2025</w:t>
      </w:r>
      <w:r w:rsidR="00F77398">
        <w:rPr>
          <w:rFonts w:ascii="Arial" w:hAnsi="Arial"/>
          <w:bCs/>
          <w:sz w:val="24"/>
        </w:rPr>
        <w:t xml:space="preserve"> Wave 42</w:t>
      </w:r>
      <w:r w:rsidR="00BE0148">
        <w:rPr>
          <w:rFonts w:ascii="Arial" w:hAnsi="Arial"/>
          <w:bCs/>
          <w:sz w:val="24"/>
        </w:rPr>
        <w:t xml:space="preserve"> </w:t>
      </w:r>
      <w:r w:rsidR="00F77398">
        <w:rPr>
          <w:rFonts w:ascii="Arial" w:hAnsi="Arial"/>
          <w:bCs/>
          <w:sz w:val="24"/>
        </w:rPr>
        <w:t>had</w:t>
      </w:r>
      <w:r w:rsidR="008C7383">
        <w:rPr>
          <w:rFonts w:ascii="Arial" w:hAnsi="Arial"/>
          <w:bCs/>
          <w:sz w:val="24"/>
        </w:rPr>
        <w:t xml:space="preserve"> a response rate </w:t>
      </w:r>
      <w:r w:rsidR="00F77398">
        <w:rPr>
          <w:rFonts w:ascii="Arial" w:hAnsi="Arial"/>
          <w:bCs/>
          <w:sz w:val="24"/>
        </w:rPr>
        <w:t>below 25%. T</w:t>
      </w:r>
      <w:r w:rsidR="008C7383">
        <w:rPr>
          <w:rFonts w:ascii="Arial" w:hAnsi="Arial"/>
          <w:bCs/>
          <w:sz w:val="24"/>
        </w:rPr>
        <w:t>he opt-in approach will allow agents/attorneys</w:t>
      </w:r>
      <w:r w:rsidR="00F77398">
        <w:rPr>
          <w:rFonts w:ascii="Arial" w:hAnsi="Arial"/>
          <w:bCs/>
          <w:sz w:val="24"/>
        </w:rPr>
        <w:t xml:space="preserve"> to</w:t>
      </w:r>
      <w:r w:rsidR="008C7383">
        <w:rPr>
          <w:rFonts w:ascii="Arial" w:hAnsi="Arial"/>
          <w:bCs/>
          <w:sz w:val="24"/>
        </w:rPr>
        <w:t xml:space="preserve"> respond to the survey who would otherwise may not have been selected by a panel design. The agents and attorneys can</w:t>
      </w:r>
      <w:r w:rsidR="0092456F">
        <w:rPr>
          <w:rFonts w:ascii="Arial" w:hAnsi="Arial"/>
          <w:bCs/>
          <w:sz w:val="24"/>
        </w:rPr>
        <w:t xml:space="preserve"> still</w:t>
      </w:r>
      <w:r w:rsidR="008C7383">
        <w:rPr>
          <w:rFonts w:ascii="Arial" w:hAnsi="Arial"/>
          <w:bCs/>
          <w:sz w:val="24"/>
        </w:rPr>
        <w:t xml:space="preserve"> respond </w:t>
      </w:r>
      <w:r w:rsidR="0092456F">
        <w:rPr>
          <w:rFonts w:ascii="Arial" w:hAnsi="Arial"/>
          <w:bCs/>
          <w:sz w:val="24"/>
        </w:rPr>
        <w:t xml:space="preserve">to </w:t>
      </w:r>
      <w:r w:rsidR="008C7383">
        <w:rPr>
          <w:rFonts w:ascii="Arial" w:hAnsi="Arial"/>
          <w:bCs/>
          <w:sz w:val="24"/>
        </w:rPr>
        <w:t xml:space="preserve">each </w:t>
      </w:r>
      <w:r w:rsidR="00404D0A">
        <w:rPr>
          <w:rFonts w:ascii="Arial" w:hAnsi="Arial"/>
          <w:bCs/>
          <w:sz w:val="24"/>
        </w:rPr>
        <w:t>wave</w:t>
      </w:r>
      <w:r w:rsidR="008C7383">
        <w:rPr>
          <w:rFonts w:ascii="Arial" w:hAnsi="Arial"/>
          <w:bCs/>
          <w:sz w:val="24"/>
        </w:rPr>
        <w:t xml:space="preserve"> (summer and winter)</w:t>
      </w:r>
      <w:r w:rsidR="0092456F">
        <w:rPr>
          <w:rFonts w:ascii="Arial" w:hAnsi="Arial"/>
          <w:bCs/>
          <w:sz w:val="24"/>
        </w:rPr>
        <w:t>,</w:t>
      </w:r>
      <w:r w:rsidR="008C7383">
        <w:rPr>
          <w:rFonts w:ascii="Arial" w:hAnsi="Arial"/>
          <w:bCs/>
          <w:sz w:val="24"/>
        </w:rPr>
        <w:t xml:space="preserve"> </w:t>
      </w:r>
      <w:r w:rsidR="00EE06F3">
        <w:rPr>
          <w:rFonts w:ascii="Arial" w:hAnsi="Arial"/>
          <w:bCs/>
          <w:sz w:val="24"/>
        </w:rPr>
        <w:t xml:space="preserve">thereby </w:t>
      </w:r>
      <w:r w:rsidR="008C7383">
        <w:rPr>
          <w:rFonts w:ascii="Arial" w:hAnsi="Arial"/>
          <w:bCs/>
          <w:sz w:val="24"/>
        </w:rPr>
        <w:t xml:space="preserve">preserving the </w:t>
      </w:r>
      <w:r w:rsidR="00F77398">
        <w:rPr>
          <w:rFonts w:ascii="Arial" w:hAnsi="Arial"/>
          <w:bCs/>
          <w:sz w:val="24"/>
        </w:rPr>
        <w:t xml:space="preserve">goal of </w:t>
      </w:r>
      <w:r w:rsidR="008C7383">
        <w:rPr>
          <w:rFonts w:ascii="Arial" w:hAnsi="Arial"/>
          <w:bCs/>
          <w:sz w:val="24"/>
        </w:rPr>
        <w:t>monitoring quality over time.</w:t>
      </w:r>
    </w:p>
    <w:p w:rsidR="00ED5B81" w14:paraId="5B6273A3" w14:textId="77777777">
      <w:pPr>
        <w:jc w:val="both"/>
        <w:rPr>
          <w:rFonts w:ascii="Arial" w:hAnsi="Arial"/>
          <w:sz w:val="24"/>
        </w:rPr>
      </w:pPr>
    </w:p>
    <w:p w:rsidR="007A0D71" w:rsidRPr="007A0D71" w:rsidP="007A0D71" w14:paraId="723E5E0A" w14:textId="690E50AF">
      <w:pPr>
        <w:numPr>
          <w:ilvl w:val="0"/>
          <w:numId w:val="12"/>
        </w:numPr>
        <w:tabs>
          <w:tab w:val="clear" w:pos="720"/>
        </w:tabs>
        <w:ind w:left="360" w:hanging="360"/>
        <w:jc w:val="both"/>
        <w:rPr>
          <w:rFonts w:ascii="Arial" w:hAnsi="Arial"/>
          <w:b/>
          <w:sz w:val="24"/>
        </w:rPr>
      </w:pPr>
      <w:r w:rsidRPr="001D603D">
        <w:rPr>
          <w:rFonts w:ascii="Arial" w:hAnsi="Arial" w:cs="Arial"/>
          <w:b/>
          <w:bCs/>
          <w:sz w:val="24"/>
        </w:rPr>
        <w:t>Indicate how, by whom, and for what purpose the information is to be used. Except for a new information collection, indicate the actual use the agency has made of the information received from the current information collection.</w:t>
      </w:r>
    </w:p>
    <w:p w:rsidR="00083F86" w14:paraId="161150B3" w14:textId="31518F3C">
      <w:pPr>
        <w:tabs>
          <w:tab w:val="left" w:pos="720"/>
        </w:tabs>
        <w:jc w:val="both"/>
        <w:rPr>
          <w:rFonts w:ascii="Arial" w:hAnsi="Arial"/>
          <w:b/>
          <w:sz w:val="24"/>
        </w:rPr>
      </w:pPr>
    </w:p>
    <w:p w:rsidR="007A0D71" w:rsidP="49F0B053" w14:paraId="534C74F8" w14:textId="7CA0F556">
      <w:pPr>
        <w:tabs>
          <w:tab w:val="left" w:pos="720"/>
        </w:tabs>
        <w:jc w:val="both"/>
        <w:rPr>
          <w:rFonts w:ascii="Arial" w:hAnsi="Arial"/>
          <w:sz w:val="24"/>
          <w:szCs w:val="24"/>
        </w:rPr>
      </w:pPr>
      <w:r w:rsidRPr="49F0B053">
        <w:rPr>
          <w:rFonts w:ascii="Arial" w:hAnsi="Arial"/>
          <w:sz w:val="24"/>
          <w:szCs w:val="24"/>
        </w:rPr>
        <w:t>The External Quality Survey sample selection, data collection,</w:t>
      </w:r>
      <w:r w:rsidRPr="49F0B053" w:rsidR="7773931E">
        <w:rPr>
          <w:rFonts w:ascii="Arial" w:hAnsi="Arial"/>
          <w:sz w:val="24"/>
          <w:szCs w:val="24"/>
        </w:rPr>
        <w:t xml:space="preserve"> </w:t>
      </w:r>
      <w:r w:rsidRPr="49F0B053">
        <w:rPr>
          <w:rFonts w:ascii="Arial" w:hAnsi="Arial"/>
          <w:sz w:val="24"/>
          <w:szCs w:val="24"/>
        </w:rPr>
        <w:t xml:space="preserve">and analysis </w:t>
      </w:r>
      <w:r w:rsidRPr="49F0B053" w:rsidR="0092456F">
        <w:rPr>
          <w:rFonts w:ascii="Arial" w:hAnsi="Arial"/>
          <w:sz w:val="24"/>
          <w:szCs w:val="24"/>
        </w:rPr>
        <w:t>was</w:t>
      </w:r>
      <w:r w:rsidRPr="49F0B053">
        <w:rPr>
          <w:rFonts w:ascii="Arial" w:hAnsi="Arial"/>
          <w:sz w:val="24"/>
          <w:szCs w:val="24"/>
        </w:rPr>
        <w:t xml:space="preserve"> previously conducted by Westat. Starting Fiscal Year 2026 the USPTO will be conducting all aspects of the survey</w:t>
      </w:r>
      <w:r w:rsidRPr="49F0B053" w:rsidR="51A31C3D">
        <w:rPr>
          <w:rFonts w:ascii="Arial" w:hAnsi="Arial"/>
          <w:sz w:val="24"/>
          <w:szCs w:val="24"/>
        </w:rPr>
        <w:t xml:space="preserve"> using the </w:t>
      </w:r>
      <w:r w:rsidRPr="49F0B053" w:rsidR="51A31C3D">
        <w:rPr>
          <w:rFonts w:ascii="Arial" w:hAnsi="Arial" w:cs="Arial"/>
          <w:sz w:val="24"/>
          <w:szCs w:val="24"/>
        </w:rPr>
        <w:t>Qualtrics</w:t>
      </w:r>
      <w:r w:rsidRPr="49F0B053" w:rsidR="51A31C3D">
        <w:rPr>
          <w:rFonts w:ascii="Arial" w:hAnsi="Arial"/>
          <w:sz w:val="24"/>
          <w:szCs w:val="24"/>
        </w:rPr>
        <w:t xml:space="preserve"> platform.</w:t>
      </w:r>
      <w:r w:rsidRPr="49F0B053" w:rsidR="762C9B8E">
        <w:rPr>
          <w:rFonts w:ascii="Arial" w:hAnsi="Arial"/>
          <w:sz w:val="24"/>
          <w:szCs w:val="24"/>
        </w:rPr>
        <w:t xml:space="preserve"> The External Quality Survey link will be posted on a USPTO website</w:t>
      </w:r>
      <w:r w:rsidRPr="49F0B053" w:rsidR="2B81E366">
        <w:rPr>
          <w:rFonts w:ascii="Arial" w:hAnsi="Arial"/>
          <w:sz w:val="24"/>
          <w:szCs w:val="24"/>
        </w:rPr>
        <w:t>. Invitations and communication about the survey will be</w:t>
      </w:r>
      <w:r w:rsidRPr="49F0B053" w:rsidR="762C9B8E">
        <w:rPr>
          <w:rFonts w:ascii="Arial" w:hAnsi="Arial"/>
          <w:sz w:val="24"/>
          <w:szCs w:val="24"/>
        </w:rPr>
        <w:t xml:space="preserve"> sent </w:t>
      </w:r>
      <w:r w:rsidRPr="49F0B053" w:rsidR="72F8E342">
        <w:rPr>
          <w:rFonts w:ascii="Arial" w:hAnsi="Arial"/>
          <w:sz w:val="24"/>
          <w:szCs w:val="24"/>
        </w:rPr>
        <w:t>through</w:t>
      </w:r>
      <w:r w:rsidRPr="49F0B053" w:rsidR="762C9B8E">
        <w:rPr>
          <w:rFonts w:ascii="Arial" w:hAnsi="Arial"/>
          <w:sz w:val="24"/>
          <w:szCs w:val="24"/>
        </w:rPr>
        <w:t xml:space="preserve"> Patents Alerts, as well as several intellectual property blogs to increase participation.</w:t>
      </w:r>
    </w:p>
    <w:p w:rsidR="007A0D71" w:rsidP="49F0B053" w14:paraId="4C97926F" w14:textId="3A38AA80">
      <w:pPr>
        <w:tabs>
          <w:tab w:val="left" w:pos="720"/>
        </w:tabs>
        <w:jc w:val="both"/>
        <w:rPr>
          <w:rFonts w:ascii="Arial" w:hAnsi="Arial"/>
          <w:sz w:val="24"/>
          <w:szCs w:val="24"/>
        </w:rPr>
      </w:pPr>
    </w:p>
    <w:p w:rsidR="007A0D71" w:rsidP="007A0D71" w14:paraId="689EF396" w14:textId="77777777">
      <w:pPr>
        <w:tabs>
          <w:tab w:val="left" w:pos="720"/>
        </w:tabs>
        <w:jc w:val="both"/>
        <w:rPr>
          <w:rFonts w:ascii="Arial" w:hAnsi="Arial"/>
          <w:sz w:val="24"/>
        </w:rPr>
      </w:pPr>
    </w:p>
    <w:p w:rsidR="007A0D71" w:rsidP="49F0B053" w14:paraId="7314AD61" w14:textId="035214B7">
      <w:pPr>
        <w:tabs>
          <w:tab w:val="left" w:pos="720"/>
        </w:tabs>
        <w:spacing w:line="259" w:lineRule="auto"/>
        <w:jc w:val="both"/>
        <w:rPr>
          <w:rFonts w:ascii="Arial" w:hAnsi="Arial"/>
          <w:sz w:val="24"/>
          <w:szCs w:val="24"/>
        </w:rPr>
      </w:pPr>
      <w:r w:rsidRPr="49F0B053">
        <w:rPr>
          <w:rFonts w:ascii="Arial" w:hAnsi="Arial"/>
          <w:sz w:val="24"/>
          <w:szCs w:val="24"/>
        </w:rPr>
        <w:t>The External Quality Survey questions</w:t>
      </w:r>
      <w:r w:rsidRPr="49F0B053" w:rsidR="00F77398">
        <w:rPr>
          <w:rFonts w:ascii="Arial" w:hAnsi="Arial"/>
          <w:sz w:val="24"/>
          <w:szCs w:val="24"/>
        </w:rPr>
        <w:t xml:space="preserve"> from </w:t>
      </w:r>
      <w:r w:rsidRPr="49F0B053" w:rsidR="002D1F8B">
        <w:rPr>
          <w:rFonts w:ascii="Arial" w:hAnsi="Arial"/>
          <w:sz w:val="24"/>
          <w:szCs w:val="24"/>
        </w:rPr>
        <w:t>F</w:t>
      </w:r>
      <w:r w:rsidRPr="49F0B053" w:rsidR="00F77398">
        <w:rPr>
          <w:rFonts w:ascii="Arial" w:hAnsi="Arial"/>
          <w:sz w:val="24"/>
          <w:szCs w:val="24"/>
        </w:rPr>
        <w:t xml:space="preserve">iscal </w:t>
      </w:r>
      <w:r w:rsidRPr="49F0B053" w:rsidR="002D1F8B">
        <w:rPr>
          <w:rFonts w:ascii="Arial" w:hAnsi="Arial"/>
          <w:sz w:val="24"/>
          <w:szCs w:val="24"/>
        </w:rPr>
        <w:t>Y</w:t>
      </w:r>
      <w:r w:rsidRPr="49F0B053" w:rsidR="00F77398">
        <w:rPr>
          <w:rFonts w:ascii="Arial" w:hAnsi="Arial"/>
          <w:sz w:val="24"/>
          <w:szCs w:val="24"/>
        </w:rPr>
        <w:t>ear 2025</w:t>
      </w:r>
      <w:r w:rsidRPr="49F0B053">
        <w:rPr>
          <w:rFonts w:ascii="Arial" w:hAnsi="Arial"/>
          <w:sz w:val="24"/>
          <w:szCs w:val="24"/>
        </w:rPr>
        <w:t xml:space="preserve"> remain </w:t>
      </w:r>
      <w:r w:rsidRPr="49F0B053" w:rsidR="002D1F8B">
        <w:rPr>
          <w:rFonts w:ascii="Arial" w:hAnsi="Arial"/>
          <w:sz w:val="24"/>
          <w:szCs w:val="24"/>
        </w:rPr>
        <w:t xml:space="preserve">largely </w:t>
      </w:r>
      <w:r w:rsidRPr="49F0B053">
        <w:rPr>
          <w:rFonts w:ascii="Arial" w:hAnsi="Arial"/>
          <w:sz w:val="24"/>
          <w:szCs w:val="24"/>
        </w:rPr>
        <w:t xml:space="preserve">unchanged. </w:t>
      </w:r>
      <w:r w:rsidRPr="49F0B053" w:rsidR="5B35F7DB">
        <w:rPr>
          <w:rFonts w:ascii="Arial" w:hAnsi="Arial"/>
          <w:sz w:val="24"/>
          <w:szCs w:val="24"/>
        </w:rPr>
        <w:t>However, o</w:t>
      </w:r>
      <w:r w:rsidRPr="49F0B053">
        <w:rPr>
          <w:rFonts w:ascii="Arial" w:hAnsi="Arial"/>
          <w:sz w:val="24"/>
          <w:szCs w:val="24"/>
        </w:rPr>
        <w:t xml:space="preserve">ne question will be added </w:t>
      </w:r>
      <w:r w:rsidRPr="49F0B053" w:rsidR="00BF650A">
        <w:rPr>
          <w:rFonts w:ascii="Arial" w:hAnsi="Arial"/>
          <w:sz w:val="24"/>
          <w:szCs w:val="24"/>
        </w:rPr>
        <w:t>ask</w:t>
      </w:r>
      <w:r w:rsidRPr="49F0B053" w:rsidR="28603054">
        <w:rPr>
          <w:rFonts w:ascii="Arial" w:hAnsi="Arial"/>
          <w:sz w:val="24"/>
          <w:szCs w:val="24"/>
        </w:rPr>
        <w:t>ing</w:t>
      </w:r>
      <w:r w:rsidRPr="49F0B053" w:rsidR="00BF650A">
        <w:rPr>
          <w:rFonts w:ascii="Arial" w:hAnsi="Arial"/>
          <w:sz w:val="24"/>
          <w:szCs w:val="24"/>
        </w:rPr>
        <w:t xml:space="preserve"> for the attorney or agent registration number</w:t>
      </w:r>
      <w:r w:rsidRPr="49F0B053" w:rsidR="00A6173A">
        <w:rPr>
          <w:rFonts w:ascii="Arial" w:hAnsi="Arial"/>
          <w:sz w:val="24"/>
          <w:szCs w:val="24"/>
        </w:rPr>
        <w:t xml:space="preserve">. This </w:t>
      </w:r>
      <w:r w:rsidRPr="49F0B053" w:rsidR="35B220C6">
        <w:rPr>
          <w:rFonts w:ascii="Arial" w:hAnsi="Arial"/>
          <w:sz w:val="24"/>
          <w:szCs w:val="24"/>
        </w:rPr>
        <w:t>item is</w:t>
      </w:r>
      <w:r w:rsidRPr="49F0B053" w:rsidR="00BF650A">
        <w:rPr>
          <w:rFonts w:ascii="Arial" w:hAnsi="Arial"/>
          <w:sz w:val="24"/>
          <w:szCs w:val="24"/>
        </w:rPr>
        <w:t xml:space="preserve"> required for validity purposes</w:t>
      </w:r>
      <w:r w:rsidRPr="49F0B053" w:rsidR="00DF1737">
        <w:rPr>
          <w:rFonts w:ascii="Arial" w:hAnsi="Arial"/>
          <w:sz w:val="24"/>
          <w:szCs w:val="24"/>
        </w:rPr>
        <w:t xml:space="preserve"> to ensure that the responding attorneys and agents are legitimate members of the Patent Bar and authorized to represent patent applicants</w:t>
      </w:r>
      <w:r w:rsidRPr="49F0B053" w:rsidR="00BF650A">
        <w:rPr>
          <w:rFonts w:ascii="Arial" w:hAnsi="Arial"/>
          <w:sz w:val="24"/>
          <w:szCs w:val="24"/>
        </w:rPr>
        <w:t xml:space="preserve">. </w:t>
      </w:r>
      <w:r w:rsidRPr="49F0B053" w:rsidR="4E1DFBF4">
        <w:rPr>
          <w:rFonts w:ascii="Arial" w:hAnsi="Arial"/>
          <w:sz w:val="24"/>
          <w:szCs w:val="24"/>
        </w:rPr>
        <w:t>R</w:t>
      </w:r>
      <w:r w:rsidRPr="49F0B053" w:rsidR="3D211F8D">
        <w:rPr>
          <w:rFonts w:ascii="Arial" w:hAnsi="Arial"/>
          <w:sz w:val="24"/>
          <w:szCs w:val="24"/>
        </w:rPr>
        <w:t>espondents</w:t>
      </w:r>
      <w:r w:rsidRPr="49F0B053" w:rsidR="00BF650A">
        <w:rPr>
          <w:rFonts w:ascii="Arial" w:hAnsi="Arial"/>
          <w:sz w:val="24"/>
          <w:szCs w:val="24"/>
        </w:rPr>
        <w:t xml:space="preserve"> </w:t>
      </w:r>
      <w:r w:rsidRPr="49F0B053" w:rsidR="391325B7">
        <w:rPr>
          <w:rFonts w:ascii="Arial" w:hAnsi="Arial"/>
          <w:sz w:val="24"/>
          <w:szCs w:val="24"/>
        </w:rPr>
        <w:t xml:space="preserve">will only be allowed </w:t>
      </w:r>
      <w:r w:rsidRPr="49F0B053" w:rsidR="00BF650A">
        <w:rPr>
          <w:rFonts w:ascii="Arial" w:hAnsi="Arial"/>
          <w:sz w:val="24"/>
          <w:szCs w:val="24"/>
        </w:rPr>
        <w:t>to complete the survey</w:t>
      </w:r>
      <w:r w:rsidRPr="49F0B053" w:rsidR="00EB0506">
        <w:rPr>
          <w:rFonts w:ascii="Arial" w:hAnsi="Arial"/>
          <w:sz w:val="24"/>
          <w:szCs w:val="24"/>
        </w:rPr>
        <w:t xml:space="preserve"> </w:t>
      </w:r>
      <w:r w:rsidRPr="49F0B053" w:rsidR="00BF650A">
        <w:rPr>
          <w:rFonts w:ascii="Arial" w:hAnsi="Arial"/>
          <w:sz w:val="24"/>
          <w:szCs w:val="24"/>
        </w:rPr>
        <w:t>once</w:t>
      </w:r>
      <w:r w:rsidRPr="49F0B053" w:rsidR="008C5801">
        <w:rPr>
          <w:rFonts w:ascii="Arial" w:hAnsi="Arial"/>
          <w:sz w:val="24"/>
          <w:szCs w:val="24"/>
        </w:rPr>
        <w:t xml:space="preserve"> per wave</w:t>
      </w:r>
      <w:r w:rsidRPr="49F0B053" w:rsidR="4A255C04">
        <w:rPr>
          <w:rFonts w:ascii="Arial" w:hAnsi="Arial"/>
          <w:sz w:val="24"/>
          <w:szCs w:val="24"/>
        </w:rPr>
        <w:t xml:space="preserve">; </w:t>
      </w:r>
      <w:r w:rsidRPr="49F0B053" w:rsidR="00BF650A">
        <w:rPr>
          <w:rFonts w:ascii="Arial" w:hAnsi="Arial"/>
          <w:sz w:val="24"/>
          <w:szCs w:val="24"/>
        </w:rPr>
        <w:t xml:space="preserve">the registration number will confirm that </w:t>
      </w:r>
      <w:r w:rsidRPr="49F0B053" w:rsidR="00F1688B">
        <w:rPr>
          <w:rFonts w:ascii="Arial" w:hAnsi="Arial"/>
          <w:sz w:val="24"/>
          <w:szCs w:val="24"/>
        </w:rPr>
        <w:t>a single</w:t>
      </w:r>
      <w:r w:rsidRPr="49F0B053" w:rsidR="00BF650A">
        <w:rPr>
          <w:rFonts w:ascii="Arial" w:hAnsi="Arial"/>
          <w:sz w:val="24"/>
          <w:szCs w:val="24"/>
        </w:rPr>
        <w:t xml:space="preserve"> response is maintained in the data files.</w:t>
      </w:r>
      <w:r w:rsidRPr="49F0B053" w:rsidR="008C7046">
        <w:rPr>
          <w:rFonts w:ascii="Arial" w:hAnsi="Arial"/>
          <w:sz w:val="24"/>
          <w:szCs w:val="24"/>
        </w:rPr>
        <w:t xml:space="preserve"> </w:t>
      </w:r>
      <w:r w:rsidRPr="49F0B053" w:rsidR="006F36F3">
        <w:rPr>
          <w:rFonts w:ascii="Arial" w:hAnsi="Arial"/>
          <w:sz w:val="24"/>
          <w:szCs w:val="24"/>
        </w:rPr>
        <w:t>The question requesting</w:t>
      </w:r>
      <w:r w:rsidRPr="49F0B053" w:rsidR="001D60EE">
        <w:rPr>
          <w:rFonts w:ascii="Arial" w:hAnsi="Arial"/>
          <w:sz w:val="24"/>
          <w:szCs w:val="24"/>
        </w:rPr>
        <w:t xml:space="preserve"> an</w:t>
      </w:r>
      <w:r w:rsidRPr="49F0B053" w:rsidR="006F36F3">
        <w:rPr>
          <w:rFonts w:ascii="Arial" w:hAnsi="Arial"/>
          <w:sz w:val="24"/>
          <w:szCs w:val="24"/>
        </w:rPr>
        <w:t xml:space="preserve"> email address </w:t>
      </w:r>
      <w:r w:rsidRPr="49F0B053" w:rsidR="59F71C07">
        <w:rPr>
          <w:rFonts w:ascii="Arial" w:hAnsi="Arial"/>
          <w:sz w:val="24"/>
          <w:szCs w:val="24"/>
        </w:rPr>
        <w:t xml:space="preserve">will </w:t>
      </w:r>
      <w:r w:rsidRPr="49F0B053" w:rsidR="006F36F3">
        <w:rPr>
          <w:rFonts w:ascii="Arial" w:hAnsi="Arial"/>
          <w:sz w:val="24"/>
          <w:szCs w:val="24"/>
        </w:rPr>
        <w:t>be removed.</w:t>
      </w:r>
    </w:p>
    <w:p w:rsidR="007A0D71" w14:paraId="41ADB07B" w14:textId="77777777">
      <w:pPr>
        <w:tabs>
          <w:tab w:val="left" w:pos="720"/>
        </w:tabs>
        <w:jc w:val="both"/>
        <w:rPr>
          <w:rFonts w:ascii="Arial" w:hAnsi="Arial"/>
          <w:sz w:val="24"/>
        </w:rPr>
      </w:pPr>
    </w:p>
    <w:p w:rsidR="005576A4" w14:paraId="7968CB56" w14:textId="315E7CA0">
      <w:pPr>
        <w:tabs>
          <w:tab w:val="left" w:pos="720"/>
        </w:tabs>
        <w:jc w:val="both"/>
        <w:rPr>
          <w:rFonts w:ascii="Arial" w:hAnsi="Arial"/>
          <w:sz w:val="24"/>
        </w:rPr>
      </w:pPr>
      <w:r w:rsidRPr="005B4235">
        <w:rPr>
          <w:rFonts w:ascii="Arial" w:hAnsi="Arial"/>
          <w:sz w:val="24"/>
        </w:rPr>
        <w:t>The information collect</w:t>
      </w:r>
      <w:r w:rsidR="00FE2617">
        <w:rPr>
          <w:rFonts w:ascii="Arial" w:hAnsi="Arial"/>
          <w:sz w:val="24"/>
        </w:rPr>
        <w:t>s</w:t>
      </w:r>
      <w:r w:rsidRPr="005B4235">
        <w:rPr>
          <w:rFonts w:ascii="Arial" w:hAnsi="Arial"/>
          <w:sz w:val="24"/>
        </w:rPr>
        <w:t>, maintain</w:t>
      </w:r>
      <w:r w:rsidR="00FE2617">
        <w:rPr>
          <w:rFonts w:ascii="Arial" w:hAnsi="Arial"/>
          <w:sz w:val="24"/>
        </w:rPr>
        <w:t>s</w:t>
      </w:r>
      <w:r w:rsidRPr="005B4235">
        <w:rPr>
          <w:rFonts w:ascii="Arial" w:hAnsi="Arial"/>
          <w:sz w:val="24"/>
        </w:rPr>
        <w:t>, and use</w:t>
      </w:r>
      <w:r w:rsidR="00FE2617">
        <w:rPr>
          <w:rFonts w:ascii="Arial" w:hAnsi="Arial"/>
          <w:sz w:val="24"/>
        </w:rPr>
        <w:t>s</w:t>
      </w:r>
      <w:r w:rsidRPr="005B4235">
        <w:rPr>
          <w:rFonts w:ascii="Arial" w:hAnsi="Arial"/>
          <w:sz w:val="24"/>
        </w:rPr>
        <w:t xml:space="preserve"> in this </w:t>
      </w:r>
      <w:r w:rsidR="005D3BB6">
        <w:rPr>
          <w:rFonts w:ascii="Arial" w:hAnsi="Arial"/>
          <w:sz w:val="24"/>
        </w:rPr>
        <w:t xml:space="preserve">information </w:t>
      </w:r>
      <w:r w:rsidRPr="005B4235">
        <w:rPr>
          <w:rFonts w:ascii="Arial" w:hAnsi="Arial"/>
          <w:sz w:val="24"/>
        </w:rPr>
        <w:t>collection is based on OMB and USPTO guidelines. This includes the basic information quality standards established in the Paperwork Reduction Act (44 U.S.C. Chapter 35), in OMB Circular A-130, and in the OMB information quality guidelines.</w:t>
      </w:r>
    </w:p>
    <w:p w:rsidR="005B4235" w14:paraId="444D95DB" w14:textId="77777777">
      <w:pPr>
        <w:tabs>
          <w:tab w:val="left" w:pos="720"/>
        </w:tabs>
        <w:jc w:val="both"/>
        <w:rPr>
          <w:rFonts w:ascii="Arial" w:hAnsi="Arial"/>
          <w:sz w:val="24"/>
        </w:rPr>
      </w:pPr>
    </w:p>
    <w:p w:rsidR="0021634B" w:rsidP="00482FA4" w14:paraId="4AFF71E3" w14:textId="429D7404">
      <w:pPr>
        <w:tabs>
          <w:tab w:val="left" w:pos="720"/>
        </w:tabs>
        <w:jc w:val="both"/>
        <w:rPr>
          <w:rFonts w:ascii="Arial" w:hAnsi="Arial"/>
          <w:b/>
          <w:bCs/>
          <w:sz w:val="24"/>
        </w:rPr>
      </w:pPr>
      <w:r>
        <w:rPr>
          <w:rFonts w:ascii="Arial" w:hAnsi="Arial"/>
          <w:sz w:val="24"/>
        </w:rPr>
        <w:t xml:space="preserve">Table </w:t>
      </w:r>
      <w:r w:rsidR="009613DB">
        <w:rPr>
          <w:rFonts w:ascii="Arial" w:hAnsi="Arial"/>
          <w:sz w:val="24"/>
        </w:rPr>
        <w:t>1</w:t>
      </w:r>
      <w:r w:rsidRPr="005B4235">
        <w:rPr>
          <w:rFonts w:ascii="Arial" w:hAnsi="Arial"/>
          <w:sz w:val="24"/>
        </w:rPr>
        <w:t xml:space="preserve"> outlines how this collection of information is used by the public and the USPTO</w:t>
      </w:r>
      <w:r w:rsidR="006244DA">
        <w:rPr>
          <w:rFonts w:ascii="Arial" w:hAnsi="Arial"/>
          <w:sz w:val="24"/>
        </w:rPr>
        <w:t>.</w:t>
      </w:r>
    </w:p>
    <w:p w:rsidR="0021634B" w:rsidP="00482FA4" w14:paraId="390CD5A1" w14:textId="77777777">
      <w:pPr>
        <w:tabs>
          <w:tab w:val="left" w:pos="720"/>
        </w:tabs>
        <w:jc w:val="both"/>
        <w:rPr>
          <w:rFonts w:ascii="Arial" w:hAnsi="Arial" w:cs="Arial"/>
          <w:b/>
        </w:rPr>
      </w:pPr>
    </w:p>
    <w:p w:rsidR="005823F2" w:rsidRPr="0021634B" w:rsidP="00482FA4" w14:paraId="5692A49F" w14:textId="03FDE4B1">
      <w:pPr>
        <w:tabs>
          <w:tab w:val="left" w:pos="720"/>
        </w:tabs>
        <w:jc w:val="both"/>
        <w:rPr>
          <w:rFonts w:ascii="Arial" w:hAnsi="Arial"/>
          <w:sz w:val="24"/>
        </w:rPr>
      </w:pPr>
      <w:r w:rsidRPr="00482FA4">
        <w:rPr>
          <w:rFonts w:ascii="Arial" w:hAnsi="Arial" w:cs="Arial"/>
          <w:b/>
        </w:rPr>
        <w:t xml:space="preserve">Table </w:t>
      </w:r>
      <w:r w:rsidR="009613DB">
        <w:rPr>
          <w:rFonts w:ascii="Arial" w:hAnsi="Arial" w:cs="Arial"/>
          <w:b/>
        </w:rPr>
        <w:t>1</w:t>
      </w:r>
      <w:r w:rsidRPr="00482FA4">
        <w:rPr>
          <w:rFonts w:ascii="Arial" w:hAnsi="Arial" w:cs="Arial"/>
          <w:b/>
        </w:rPr>
        <w:t xml:space="preserve">:  </w:t>
      </w:r>
      <w:r w:rsidR="0017598A">
        <w:rPr>
          <w:rFonts w:ascii="Arial" w:hAnsi="Arial" w:cs="Arial"/>
          <w:b/>
        </w:rPr>
        <w:t>Needs and Uses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160"/>
        <w:gridCol w:w="1170"/>
        <w:gridCol w:w="5310"/>
      </w:tblGrid>
      <w:tr w14:paraId="413DD5D9" w14:textId="77777777" w:rsidTr="00A54DB6">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07" w:type="dxa"/>
            <w:shd w:val="clear" w:color="auto" w:fill="B4C6E7" w:themeFill="accent5" w:themeFillTint="66"/>
          </w:tcPr>
          <w:p w:rsidR="00683F60" w:rsidP="00683F60" w14:paraId="52C23FCD" w14:textId="77777777">
            <w:pPr>
              <w:tabs>
                <w:tab w:val="left" w:pos="720"/>
              </w:tabs>
              <w:jc w:val="center"/>
              <w:rPr>
                <w:rFonts w:ascii="Arial" w:hAnsi="Arial"/>
                <w:b/>
                <w:sz w:val="16"/>
              </w:rPr>
            </w:pPr>
          </w:p>
          <w:p w:rsidR="00683F60" w:rsidP="00683F60" w14:paraId="011685BA" w14:textId="65074110">
            <w:pPr>
              <w:tabs>
                <w:tab w:val="left" w:pos="720"/>
              </w:tabs>
              <w:jc w:val="center"/>
              <w:rPr>
                <w:rFonts w:ascii="Arial" w:hAnsi="Arial"/>
                <w:b/>
                <w:sz w:val="16"/>
              </w:rPr>
            </w:pPr>
            <w:r>
              <w:rPr>
                <w:rFonts w:ascii="Arial" w:hAnsi="Arial"/>
                <w:b/>
                <w:sz w:val="16"/>
              </w:rPr>
              <w:t>Item No.</w:t>
            </w:r>
          </w:p>
        </w:tc>
        <w:tc>
          <w:tcPr>
            <w:tcW w:w="2160" w:type="dxa"/>
            <w:shd w:val="clear" w:color="auto" w:fill="B4C6E7" w:themeFill="accent5" w:themeFillTint="66"/>
          </w:tcPr>
          <w:p w:rsidR="00683F60" w:rsidP="00683F60" w14:paraId="24B4A7C1" w14:textId="77777777">
            <w:pPr>
              <w:tabs>
                <w:tab w:val="left" w:pos="720"/>
              </w:tabs>
              <w:jc w:val="center"/>
              <w:rPr>
                <w:rFonts w:ascii="Arial" w:hAnsi="Arial"/>
                <w:b/>
                <w:sz w:val="16"/>
              </w:rPr>
            </w:pPr>
          </w:p>
          <w:p w:rsidR="00683F60" w:rsidP="00683F60" w14:paraId="5DA9C1B9" w14:textId="41945E85">
            <w:pPr>
              <w:tabs>
                <w:tab w:val="left" w:pos="720"/>
              </w:tabs>
              <w:jc w:val="center"/>
              <w:rPr>
                <w:rFonts w:ascii="Arial" w:hAnsi="Arial"/>
                <w:b/>
                <w:sz w:val="16"/>
              </w:rPr>
            </w:pPr>
            <w:r>
              <w:rPr>
                <w:rFonts w:ascii="Arial" w:hAnsi="Arial"/>
                <w:b/>
                <w:sz w:val="16"/>
              </w:rPr>
              <w:t>Form and Function</w:t>
            </w:r>
          </w:p>
        </w:tc>
        <w:tc>
          <w:tcPr>
            <w:tcW w:w="1170" w:type="dxa"/>
            <w:shd w:val="clear" w:color="auto" w:fill="B4C6E7" w:themeFill="accent5" w:themeFillTint="66"/>
          </w:tcPr>
          <w:p w:rsidR="00683F60" w:rsidP="00683F60" w14:paraId="5814D369" w14:textId="5B22B5EA">
            <w:pPr>
              <w:tabs>
                <w:tab w:val="left" w:pos="720"/>
              </w:tabs>
              <w:jc w:val="center"/>
              <w:rPr>
                <w:rFonts w:ascii="Arial" w:hAnsi="Arial"/>
                <w:b/>
                <w:sz w:val="16"/>
              </w:rPr>
            </w:pPr>
          </w:p>
          <w:p w:rsidR="00683F60" w:rsidP="00683F60" w14:paraId="31FF4EBE" w14:textId="238983D0">
            <w:pPr>
              <w:tabs>
                <w:tab w:val="left" w:pos="720"/>
              </w:tabs>
              <w:jc w:val="center"/>
              <w:rPr>
                <w:rFonts w:ascii="Arial" w:hAnsi="Arial"/>
                <w:b/>
                <w:sz w:val="16"/>
              </w:rPr>
            </w:pPr>
            <w:r>
              <w:rPr>
                <w:rFonts w:ascii="Arial" w:hAnsi="Arial"/>
                <w:b/>
                <w:sz w:val="16"/>
              </w:rPr>
              <w:t xml:space="preserve">Form </w:t>
            </w:r>
            <w:r w:rsidR="006244DA">
              <w:rPr>
                <w:rFonts w:ascii="Arial" w:hAnsi="Arial"/>
                <w:b/>
                <w:sz w:val="16"/>
              </w:rPr>
              <w:t>No.</w:t>
            </w:r>
          </w:p>
        </w:tc>
        <w:tc>
          <w:tcPr>
            <w:tcW w:w="5310" w:type="dxa"/>
            <w:shd w:val="clear" w:color="auto" w:fill="B4C6E7" w:themeFill="accent5" w:themeFillTint="66"/>
          </w:tcPr>
          <w:p w:rsidR="00683F60" w:rsidP="00683F60" w14:paraId="2A7CAE09" w14:textId="77777777">
            <w:pPr>
              <w:tabs>
                <w:tab w:val="left" w:pos="720"/>
              </w:tabs>
              <w:jc w:val="center"/>
              <w:rPr>
                <w:rFonts w:ascii="Arial" w:hAnsi="Arial"/>
                <w:b/>
                <w:sz w:val="16"/>
              </w:rPr>
            </w:pPr>
          </w:p>
          <w:p w:rsidR="00683F60" w:rsidP="00683F60" w14:paraId="0C2D4F09" w14:textId="77777777">
            <w:pPr>
              <w:tabs>
                <w:tab w:val="left" w:pos="720"/>
              </w:tabs>
              <w:jc w:val="center"/>
              <w:rPr>
                <w:rFonts w:ascii="Arial" w:hAnsi="Arial"/>
                <w:b/>
                <w:sz w:val="16"/>
              </w:rPr>
            </w:pPr>
            <w:r>
              <w:rPr>
                <w:rFonts w:ascii="Arial" w:hAnsi="Arial"/>
                <w:b/>
                <w:sz w:val="16"/>
              </w:rPr>
              <w:t>Needs and Uses</w:t>
            </w:r>
          </w:p>
        </w:tc>
      </w:tr>
      <w:tr w14:paraId="628ACF61" w14:textId="77777777" w:rsidTr="00A54DB6">
        <w:tblPrEx>
          <w:tblW w:w="9247" w:type="dxa"/>
          <w:tblInd w:w="108" w:type="dxa"/>
          <w:tblLayout w:type="fixed"/>
          <w:tblLook w:val="0000"/>
        </w:tblPrEx>
        <w:trPr>
          <w:cantSplit/>
        </w:trPr>
        <w:tc>
          <w:tcPr>
            <w:tcW w:w="607" w:type="dxa"/>
            <w:vAlign w:val="center"/>
          </w:tcPr>
          <w:p w:rsidR="00683F60" w:rsidRPr="00683F60" w14:paraId="5CFFD63A" w14:textId="12A6375B">
            <w:pPr>
              <w:tabs>
                <w:tab w:val="left" w:pos="720"/>
              </w:tabs>
              <w:jc w:val="center"/>
              <w:rPr>
                <w:rFonts w:ascii="Arial" w:hAnsi="Arial"/>
                <w:b/>
                <w:sz w:val="16"/>
              </w:rPr>
            </w:pPr>
            <w:r w:rsidRPr="00683F60">
              <w:rPr>
                <w:rFonts w:ascii="Arial" w:hAnsi="Arial"/>
                <w:b/>
                <w:sz w:val="16"/>
              </w:rPr>
              <w:t>1</w:t>
            </w:r>
          </w:p>
        </w:tc>
        <w:tc>
          <w:tcPr>
            <w:tcW w:w="2160" w:type="dxa"/>
            <w:vAlign w:val="center"/>
          </w:tcPr>
          <w:p w:rsidR="00683F60" w:rsidP="00A54DB6" w14:paraId="60237753" w14:textId="57682A84">
            <w:pPr>
              <w:tabs>
                <w:tab w:val="left" w:pos="720"/>
              </w:tabs>
              <w:rPr>
                <w:rFonts w:ascii="Arial" w:hAnsi="Arial"/>
                <w:sz w:val="16"/>
              </w:rPr>
            </w:pPr>
            <w:r>
              <w:rPr>
                <w:rFonts w:ascii="Arial" w:hAnsi="Arial"/>
                <w:sz w:val="16"/>
              </w:rPr>
              <w:t>Patents External Quality Survey</w:t>
            </w:r>
          </w:p>
        </w:tc>
        <w:tc>
          <w:tcPr>
            <w:tcW w:w="1170" w:type="dxa"/>
            <w:vAlign w:val="center"/>
          </w:tcPr>
          <w:p w:rsidR="00683F60" w:rsidP="00A54DB6" w14:paraId="37BD1D64" w14:textId="5FF4F3AC">
            <w:pPr>
              <w:tabs>
                <w:tab w:val="left" w:pos="720"/>
              </w:tabs>
              <w:jc w:val="center"/>
              <w:rPr>
                <w:rFonts w:ascii="Arial" w:hAnsi="Arial"/>
                <w:sz w:val="16"/>
              </w:rPr>
            </w:pPr>
            <w:r>
              <w:rPr>
                <w:rFonts w:ascii="Arial" w:hAnsi="Arial"/>
                <w:sz w:val="16"/>
              </w:rPr>
              <w:t>PTO/2535</w:t>
            </w:r>
          </w:p>
        </w:tc>
        <w:tc>
          <w:tcPr>
            <w:tcW w:w="5310" w:type="dxa"/>
          </w:tcPr>
          <w:p w:rsidR="00683F60" w:rsidRPr="004A43EC" w:rsidP="00A54DB6" w14:paraId="18DBFD30" w14:textId="13048B77">
            <w:pPr>
              <w:pStyle w:val="ListParagraph"/>
              <w:numPr>
                <w:ilvl w:val="0"/>
                <w:numId w:val="29"/>
              </w:numPr>
              <w:ind w:left="250" w:hanging="250"/>
              <w:jc w:val="both"/>
              <w:rPr>
                <w:rFonts w:ascii="Arial" w:hAnsi="Arial"/>
                <w:sz w:val="16"/>
              </w:rPr>
            </w:pPr>
            <w:r w:rsidRPr="004A43EC">
              <w:rPr>
                <w:rFonts w:ascii="Arial" w:hAnsi="Arial"/>
                <w:sz w:val="16"/>
              </w:rPr>
              <w:t>Used by individuals to provide the USPTO with their perceptions of examination quality.</w:t>
            </w:r>
          </w:p>
          <w:p w:rsidR="00683F60" w:rsidP="00A54DB6" w14:paraId="4A8CCE10" w14:textId="77777777">
            <w:pPr>
              <w:tabs>
                <w:tab w:val="left" w:pos="252"/>
                <w:tab w:val="left" w:pos="720"/>
              </w:tabs>
              <w:jc w:val="both"/>
              <w:rPr>
                <w:rFonts w:ascii="Arial" w:hAnsi="Arial"/>
                <w:sz w:val="16"/>
              </w:rPr>
            </w:pPr>
          </w:p>
          <w:p w:rsidR="00683F60" w:rsidP="00A54DB6" w14:paraId="16CA1B6D" w14:textId="77777777">
            <w:pPr>
              <w:numPr>
                <w:ilvl w:val="0"/>
                <w:numId w:val="5"/>
              </w:numPr>
              <w:tabs>
                <w:tab w:val="left" w:pos="252"/>
                <w:tab w:val="left" w:pos="720"/>
              </w:tabs>
              <w:ind w:left="252" w:hanging="252"/>
              <w:jc w:val="both"/>
              <w:rPr>
                <w:rFonts w:ascii="Arial" w:hAnsi="Arial"/>
                <w:sz w:val="16"/>
              </w:rPr>
            </w:pPr>
            <w:r>
              <w:rPr>
                <w:rFonts w:ascii="Arial" w:hAnsi="Arial"/>
                <w:sz w:val="16"/>
              </w:rPr>
              <w:t>Used by the USPTO to gather feedback to assist them in targeting key areas for examination quality improvement and identify important areas for examiner training.</w:t>
            </w:r>
          </w:p>
        </w:tc>
      </w:tr>
    </w:tbl>
    <w:p w:rsidR="00947CB1" w14:paraId="0242B194" w14:textId="77777777">
      <w:pPr>
        <w:tabs>
          <w:tab w:val="left" w:pos="720"/>
        </w:tabs>
        <w:jc w:val="both"/>
        <w:rPr>
          <w:rFonts w:ascii="Arial" w:hAnsi="Arial"/>
          <w:sz w:val="24"/>
        </w:rPr>
      </w:pPr>
    </w:p>
    <w:p w:rsidR="005823F2" w:rsidP="00A54DB6" w14:paraId="53A33F79" w14:textId="7A334A79">
      <w:pPr>
        <w:ind w:left="360" w:hanging="360"/>
        <w:jc w:val="both"/>
        <w:rPr>
          <w:rFonts w:ascii="Arial" w:hAnsi="Arial" w:cs="Arial"/>
          <w:b/>
          <w:bCs/>
          <w:sz w:val="24"/>
        </w:rPr>
      </w:pPr>
      <w:r>
        <w:rPr>
          <w:rFonts w:ascii="Arial" w:hAnsi="Arial"/>
          <w:b/>
          <w:sz w:val="24"/>
        </w:rPr>
        <w:t>3.</w:t>
      </w:r>
      <w:r>
        <w:rPr>
          <w:rFonts w:ascii="Arial" w:hAnsi="Arial"/>
          <w:b/>
          <w:sz w:val="24"/>
        </w:rPr>
        <w:tab/>
      </w:r>
      <w:r w:rsidRPr="001D603D" w:rsidR="0052480A">
        <w:rPr>
          <w:rFonts w:ascii="Arial" w:hAnsi="Arial" w:cs="Arial"/>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934CC9" w:rsidP="00A54DB6" w14:paraId="48DE4F3C" w14:textId="77777777">
      <w:pPr>
        <w:ind w:left="360" w:hanging="360"/>
        <w:jc w:val="both"/>
        <w:rPr>
          <w:rFonts w:ascii="Arial" w:hAnsi="Arial"/>
          <w:b/>
          <w:sz w:val="24"/>
        </w:rPr>
      </w:pPr>
    </w:p>
    <w:p w:rsidR="00C60D2F" w:rsidRPr="00955ADD" w:rsidP="49F0B053" w14:paraId="79DA7C9D" w14:textId="2D51029B">
      <w:pPr>
        <w:tabs>
          <w:tab w:val="left" w:pos="720"/>
        </w:tabs>
        <w:jc w:val="both"/>
        <w:rPr>
          <w:rFonts w:cs="Arial"/>
        </w:rPr>
      </w:pPr>
      <w:r w:rsidRPr="49F0B053">
        <w:rPr>
          <w:rFonts w:ascii="Arial" w:hAnsi="Arial" w:cs="Arial"/>
          <w:sz w:val="24"/>
          <w:szCs w:val="24"/>
        </w:rPr>
        <w:t xml:space="preserve">The </w:t>
      </w:r>
      <w:r w:rsidRPr="49F0B053" w:rsidR="00B15C1D">
        <w:rPr>
          <w:rFonts w:ascii="Arial" w:hAnsi="Arial" w:cs="Arial"/>
          <w:sz w:val="24"/>
          <w:szCs w:val="24"/>
        </w:rPr>
        <w:t>s</w:t>
      </w:r>
      <w:r w:rsidRPr="49F0B053">
        <w:rPr>
          <w:rFonts w:ascii="Arial" w:hAnsi="Arial" w:cs="Arial"/>
          <w:sz w:val="24"/>
          <w:szCs w:val="24"/>
        </w:rPr>
        <w:t xml:space="preserve">urvey </w:t>
      </w:r>
      <w:r w:rsidRPr="49F0B053" w:rsidR="3E4956E6">
        <w:rPr>
          <w:rFonts w:ascii="Arial" w:hAnsi="Arial" w:cs="Arial"/>
          <w:sz w:val="24"/>
          <w:szCs w:val="24"/>
        </w:rPr>
        <w:t xml:space="preserve">will be </w:t>
      </w:r>
      <w:r w:rsidRPr="49F0B053" w:rsidR="00D46D4D">
        <w:rPr>
          <w:rFonts w:ascii="Arial" w:hAnsi="Arial" w:cs="Arial"/>
          <w:sz w:val="24"/>
          <w:szCs w:val="24"/>
        </w:rPr>
        <w:t>conducted</w:t>
      </w:r>
      <w:r w:rsidRPr="49F0B053">
        <w:rPr>
          <w:rFonts w:ascii="Arial" w:hAnsi="Arial" w:cs="Arial"/>
          <w:sz w:val="24"/>
          <w:szCs w:val="24"/>
        </w:rPr>
        <w:t xml:space="preserve"> </w:t>
      </w:r>
      <w:r w:rsidRPr="49F0B053" w:rsidR="00E13209">
        <w:rPr>
          <w:rFonts w:ascii="Arial" w:hAnsi="Arial" w:cs="Arial"/>
          <w:sz w:val="24"/>
          <w:szCs w:val="24"/>
        </w:rPr>
        <w:t>electronic</w:t>
      </w:r>
      <w:r w:rsidRPr="49F0B053" w:rsidR="00D46D4D">
        <w:rPr>
          <w:rFonts w:ascii="Arial" w:hAnsi="Arial" w:cs="Arial"/>
          <w:sz w:val="24"/>
          <w:szCs w:val="24"/>
        </w:rPr>
        <w:t>ally</w:t>
      </w:r>
      <w:r w:rsidRPr="49F0B053" w:rsidR="00097E14">
        <w:rPr>
          <w:rFonts w:ascii="Arial" w:hAnsi="Arial" w:cs="Arial"/>
          <w:sz w:val="24"/>
          <w:szCs w:val="24"/>
        </w:rPr>
        <w:t xml:space="preserve"> via </w:t>
      </w:r>
      <w:r w:rsidRPr="49F0B053" w:rsidR="00C96637">
        <w:rPr>
          <w:rFonts w:ascii="Arial" w:hAnsi="Arial" w:cs="Arial"/>
          <w:sz w:val="24"/>
          <w:szCs w:val="24"/>
        </w:rPr>
        <w:t>the</w:t>
      </w:r>
      <w:r w:rsidRPr="49F0B053" w:rsidR="00097E14">
        <w:rPr>
          <w:rFonts w:ascii="Arial" w:hAnsi="Arial" w:cs="Arial"/>
          <w:sz w:val="24"/>
          <w:szCs w:val="24"/>
        </w:rPr>
        <w:t xml:space="preserve"> </w:t>
      </w:r>
      <w:r w:rsidRPr="49F0B053" w:rsidR="00AD1665">
        <w:rPr>
          <w:rFonts w:ascii="Arial" w:hAnsi="Arial" w:cs="Arial"/>
          <w:sz w:val="24"/>
          <w:szCs w:val="24"/>
        </w:rPr>
        <w:t xml:space="preserve">Qualtrics </w:t>
      </w:r>
      <w:r w:rsidRPr="49F0B053" w:rsidR="00097E14">
        <w:rPr>
          <w:rFonts w:ascii="Arial" w:hAnsi="Arial" w:cs="Arial"/>
          <w:sz w:val="24"/>
          <w:szCs w:val="24"/>
        </w:rPr>
        <w:t>survey platform</w:t>
      </w:r>
      <w:r w:rsidRPr="49F0B053" w:rsidR="00000744">
        <w:rPr>
          <w:rFonts w:ascii="Arial" w:hAnsi="Arial" w:cs="Arial"/>
          <w:sz w:val="24"/>
          <w:szCs w:val="24"/>
        </w:rPr>
        <w:t>.</w:t>
      </w:r>
      <w:r w:rsidRPr="49F0B053">
        <w:rPr>
          <w:rFonts w:ascii="Arial" w:hAnsi="Arial" w:cs="Arial"/>
          <w:sz w:val="24"/>
          <w:szCs w:val="24"/>
        </w:rPr>
        <w:t xml:space="preserve"> </w:t>
      </w:r>
      <w:r w:rsidRPr="49F0B053" w:rsidR="00EB04DC">
        <w:rPr>
          <w:rFonts w:ascii="Arial" w:hAnsi="Arial" w:cs="Arial"/>
          <w:sz w:val="24"/>
          <w:szCs w:val="24"/>
        </w:rPr>
        <w:t>The attorneys and agents will provide their registration number</w:t>
      </w:r>
      <w:r w:rsidRPr="49F0B053" w:rsidR="00097E14">
        <w:rPr>
          <w:rFonts w:ascii="Arial" w:hAnsi="Arial" w:cs="Arial"/>
          <w:sz w:val="24"/>
          <w:szCs w:val="24"/>
        </w:rPr>
        <w:t xml:space="preserve"> to</w:t>
      </w:r>
      <w:r w:rsidRPr="49F0B053" w:rsidR="00EB04DC">
        <w:rPr>
          <w:rFonts w:ascii="Arial" w:hAnsi="Arial" w:cs="Arial"/>
          <w:sz w:val="24"/>
          <w:szCs w:val="24"/>
        </w:rPr>
        <w:t xml:space="preserve"> ensur</w:t>
      </w:r>
      <w:r w:rsidRPr="49F0B053" w:rsidR="00097E14">
        <w:rPr>
          <w:rFonts w:ascii="Arial" w:hAnsi="Arial" w:cs="Arial"/>
          <w:sz w:val="24"/>
          <w:szCs w:val="24"/>
        </w:rPr>
        <w:t>e</w:t>
      </w:r>
      <w:r w:rsidRPr="49F0B053" w:rsidR="00EB04DC">
        <w:rPr>
          <w:rFonts w:ascii="Arial" w:hAnsi="Arial" w:cs="Arial"/>
          <w:sz w:val="24"/>
          <w:szCs w:val="24"/>
        </w:rPr>
        <w:t xml:space="preserve"> that only one response is collected</w:t>
      </w:r>
      <w:r w:rsidRPr="49F0B053" w:rsidR="00375943">
        <w:rPr>
          <w:rFonts w:ascii="Arial" w:hAnsi="Arial" w:cs="Arial"/>
          <w:sz w:val="24"/>
          <w:szCs w:val="24"/>
        </w:rPr>
        <w:t xml:space="preserve"> per wave</w:t>
      </w:r>
      <w:r w:rsidRPr="49F0B053" w:rsidR="00EB04DC">
        <w:rPr>
          <w:rFonts w:ascii="Arial" w:hAnsi="Arial" w:cs="Arial"/>
          <w:sz w:val="24"/>
          <w:szCs w:val="24"/>
        </w:rPr>
        <w:t xml:space="preserve">. </w:t>
      </w:r>
      <w:r w:rsidRPr="49F0B053">
        <w:rPr>
          <w:rFonts w:ascii="Arial" w:hAnsi="Arial" w:cs="Arial"/>
          <w:sz w:val="24"/>
          <w:szCs w:val="24"/>
        </w:rPr>
        <w:t xml:space="preserve">The USPTO disseminates information from the surveys on the following website: </w:t>
      </w:r>
      <w:hyperlink r:id="rId10">
        <w:r w:rsidRPr="49F0B053">
          <w:rPr>
            <w:rStyle w:val="Hyperlink"/>
            <w:rFonts w:ascii="Arial" w:hAnsi="Arial" w:cs="Arial"/>
            <w:sz w:val="24"/>
            <w:szCs w:val="24"/>
          </w:rPr>
          <w:t>https://www.uspto.gov/patents/quality-metrics</w:t>
        </w:r>
      </w:hyperlink>
      <w:r w:rsidRPr="49F0B053">
        <w:rPr>
          <w:rStyle w:val="Hyperlink"/>
          <w:rFonts w:ascii="Arial" w:hAnsi="Arial" w:cs="Arial"/>
          <w:sz w:val="24"/>
          <w:szCs w:val="24"/>
          <w:u w:val="none"/>
        </w:rPr>
        <w:t>.</w:t>
      </w:r>
    </w:p>
    <w:p w:rsidR="00C60D2F" w14:paraId="4DEB9722" w14:textId="77777777">
      <w:pPr>
        <w:pStyle w:val="BodyText2"/>
        <w:tabs>
          <w:tab w:val="left" w:pos="720"/>
        </w:tabs>
      </w:pPr>
    </w:p>
    <w:p w:rsidR="005823F2" w:rsidP="4CB60C13" w14:paraId="6211D62E" w14:textId="5CA66305">
      <w:pPr>
        <w:ind w:left="360" w:hanging="360"/>
        <w:jc w:val="both"/>
        <w:rPr>
          <w:rFonts w:ascii="Arial" w:hAnsi="Arial"/>
          <w:sz w:val="24"/>
          <w:szCs w:val="24"/>
        </w:rPr>
      </w:pPr>
      <w:r w:rsidRPr="4CB60C13">
        <w:rPr>
          <w:rFonts w:ascii="Arial" w:hAnsi="Arial"/>
          <w:b/>
          <w:bCs/>
          <w:sz w:val="24"/>
          <w:szCs w:val="24"/>
        </w:rPr>
        <w:t>4.</w:t>
      </w:r>
      <w:r>
        <w:tab/>
      </w:r>
      <w:r w:rsidRPr="4CB60C13" w:rsidR="70BFC524">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5823F2" w14:paraId="615292F4" w14:textId="77777777">
      <w:pPr>
        <w:tabs>
          <w:tab w:val="left" w:pos="720"/>
        </w:tabs>
        <w:jc w:val="both"/>
        <w:rPr>
          <w:rFonts w:ascii="Arial" w:hAnsi="Arial"/>
          <w:sz w:val="24"/>
        </w:rPr>
      </w:pPr>
    </w:p>
    <w:p w:rsidR="005823F2" w:rsidP="49F0B053" w14:paraId="37DC783A" w14:textId="3673877B">
      <w:pPr>
        <w:tabs>
          <w:tab w:val="left" w:pos="720"/>
        </w:tabs>
        <w:spacing w:line="259" w:lineRule="auto"/>
        <w:jc w:val="both"/>
        <w:rPr>
          <w:rFonts w:ascii="Arial" w:hAnsi="Arial" w:cs="Arial"/>
          <w:sz w:val="24"/>
          <w:szCs w:val="24"/>
        </w:rPr>
      </w:pPr>
      <w:r w:rsidRPr="49F0B053">
        <w:rPr>
          <w:rFonts w:ascii="Arial" w:hAnsi="Arial" w:cs="Arial"/>
          <w:sz w:val="24"/>
          <w:szCs w:val="24"/>
        </w:rPr>
        <w:t xml:space="preserve">Currently, there are no </w:t>
      </w:r>
      <w:r w:rsidRPr="49F0B053" w:rsidR="004D50AB">
        <w:rPr>
          <w:rFonts w:ascii="Arial" w:hAnsi="Arial" w:cs="Arial"/>
          <w:sz w:val="24"/>
          <w:szCs w:val="24"/>
        </w:rPr>
        <w:t>other</w:t>
      </w:r>
      <w:r w:rsidRPr="49F0B053">
        <w:rPr>
          <w:rFonts w:ascii="Arial" w:hAnsi="Arial" w:cs="Arial"/>
          <w:sz w:val="24"/>
          <w:szCs w:val="24"/>
        </w:rPr>
        <w:t xml:space="preserve"> methods to gather </w:t>
      </w:r>
      <w:r w:rsidRPr="49F0B053" w:rsidR="38923A98">
        <w:rPr>
          <w:rFonts w:ascii="Arial" w:hAnsi="Arial" w:cs="Arial"/>
          <w:sz w:val="24"/>
          <w:szCs w:val="24"/>
        </w:rPr>
        <w:t xml:space="preserve">this </w:t>
      </w:r>
      <w:r w:rsidRPr="49F0B053">
        <w:rPr>
          <w:rFonts w:ascii="Arial" w:hAnsi="Arial" w:cs="Arial"/>
          <w:sz w:val="24"/>
          <w:szCs w:val="24"/>
        </w:rPr>
        <w:t xml:space="preserve">type of information from USPTO customers. The survey questions relate directly to customers’ perceptions of examination quality, as well as information about the customers’ frequency of contact with the USPTO. This information is not generally available from other sources and is not collected elsewhere. Therefore, this </w:t>
      </w:r>
      <w:r w:rsidRPr="49F0B053" w:rsidR="004A43EC">
        <w:rPr>
          <w:rFonts w:ascii="Arial" w:hAnsi="Arial" w:cs="Arial"/>
          <w:sz w:val="24"/>
          <w:szCs w:val="24"/>
        </w:rPr>
        <w:t xml:space="preserve">information </w:t>
      </w:r>
      <w:r w:rsidRPr="49F0B053">
        <w:rPr>
          <w:rFonts w:ascii="Arial" w:hAnsi="Arial" w:cs="Arial"/>
          <w:sz w:val="24"/>
          <w:szCs w:val="24"/>
        </w:rPr>
        <w:t>collection does not create a duplication of effort.</w:t>
      </w:r>
    </w:p>
    <w:p w:rsidR="00FD2E2F" w14:paraId="1FFD1DE4" w14:textId="77777777">
      <w:pPr>
        <w:tabs>
          <w:tab w:val="left" w:pos="720"/>
        </w:tabs>
        <w:jc w:val="both"/>
        <w:rPr>
          <w:rFonts w:ascii="Arial" w:hAnsi="Arial" w:cs="Arial"/>
          <w:sz w:val="24"/>
          <w:szCs w:val="24"/>
        </w:rPr>
      </w:pPr>
    </w:p>
    <w:p w:rsidR="005823F2" w:rsidP="00A54DB6" w14:paraId="4C707EFB" w14:textId="7631966C">
      <w:pPr>
        <w:ind w:left="360" w:hanging="360"/>
        <w:jc w:val="both"/>
        <w:rPr>
          <w:rFonts w:ascii="Arial" w:hAnsi="Arial"/>
          <w:b/>
          <w:sz w:val="24"/>
        </w:rPr>
      </w:pPr>
      <w:r>
        <w:rPr>
          <w:rFonts w:ascii="Arial" w:hAnsi="Arial"/>
          <w:b/>
          <w:sz w:val="24"/>
        </w:rPr>
        <w:t>5.</w:t>
      </w:r>
      <w:r>
        <w:rPr>
          <w:rFonts w:ascii="Arial" w:hAnsi="Arial"/>
          <w:b/>
          <w:sz w:val="24"/>
        </w:rPr>
        <w:tab/>
      </w:r>
      <w:r w:rsidRPr="009823FC" w:rsidR="0052480A">
        <w:rPr>
          <w:rFonts w:ascii="Arial" w:hAnsi="Arial"/>
          <w:b/>
          <w:sz w:val="24"/>
        </w:rPr>
        <w:t>If the collection of information impacts small businesses or other small entities, describe any methods used to minimize burden.</w:t>
      </w:r>
    </w:p>
    <w:p w:rsidR="005823F2" w14:paraId="12C44425" w14:textId="77777777">
      <w:pPr>
        <w:jc w:val="both"/>
        <w:rPr>
          <w:rFonts w:ascii="Arial" w:hAnsi="Arial"/>
          <w:sz w:val="24"/>
        </w:rPr>
      </w:pPr>
    </w:p>
    <w:p w:rsidR="00C264DB" w:rsidP="49F0B053" w14:paraId="04913034" w14:textId="43E5A7C8">
      <w:pPr>
        <w:pStyle w:val="NoSpacing"/>
        <w:jc w:val="both"/>
        <w:rPr>
          <w:rFonts w:ascii="Arial" w:hAnsi="Arial"/>
          <w:sz w:val="24"/>
          <w:szCs w:val="24"/>
        </w:rPr>
      </w:pPr>
      <w:r w:rsidRPr="49F0B053">
        <w:rPr>
          <w:rFonts w:ascii="Arial" w:eastAsia="Arial" w:hAnsi="Arial" w:cs="Arial"/>
          <w:sz w:val="24"/>
          <w:szCs w:val="24"/>
        </w:rPr>
        <w:t xml:space="preserve">This information collection does not impose a significant economic impact on small entities. </w:t>
      </w:r>
      <w:r w:rsidRPr="49F0B053" w:rsidR="00835EA9">
        <w:rPr>
          <w:rFonts w:ascii="Arial" w:hAnsi="Arial"/>
          <w:sz w:val="24"/>
          <w:szCs w:val="24"/>
        </w:rPr>
        <w:t xml:space="preserve">In an effort to minimize burden, the number of questions </w:t>
      </w:r>
      <w:r w:rsidRPr="49F0B053" w:rsidR="00930013">
        <w:rPr>
          <w:rFonts w:ascii="Arial" w:hAnsi="Arial"/>
          <w:sz w:val="24"/>
          <w:szCs w:val="24"/>
        </w:rPr>
        <w:t>is</w:t>
      </w:r>
      <w:r w:rsidRPr="49F0B053" w:rsidR="00835EA9">
        <w:rPr>
          <w:rFonts w:ascii="Arial" w:hAnsi="Arial"/>
          <w:sz w:val="24"/>
          <w:szCs w:val="24"/>
        </w:rPr>
        <w:t xml:space="preserve"> limited to the minimum required to obtain useful information. </w:t>
      </w:r>
    </w:p>
    <w:p w:rsidR="006C345D" w14:paraId="108776A7" w14:textId="77777777">
      <w:pPr>
        <w:jc w:val="both"/>
        <w:rPr>
          <w:rFonts w:ascii="Arial" w:hAnsi="Arial"/>
          <w:sz w:val="24"/>
        </w:rPr>
      </w:pPr>
    </w:p>
    <w:p w:rsidR="005823F2" w:rsidRPr="00152CCD" w:rsidP="4CB60C13" w14:paraId="37DFAFAC" w14:textId="1ABCF4FB">
      <w:pPr>
        <w:numPr>
          <w:ilvl w:val="0"/>
          <w:numId w:val="17"/>
        </w:numPr>
        <w:tabs>
          <w:tab w:val="clear" w:pos="720"/>
        </w:tabs>
        <w:ind w:left="360" w:hanging="360"/>
        <w:jc w:val="both"/>
        <w:rPr>
          <w:rFonts w:ascii="Arial" w:hAnsi="Arial"/>
          <w:b/>
          <w:bCs/>
          <w:sz w:val="24"/>
          <w:szCs w:val="24"/>
        </w:rPr>
      </w:pPr>
      <w:r w:rsidRPr="4CB60C13">
        <w:rPr>
          <w:rFonts w:ascii="Arial" w:hAnsi="Arial"/>
          <w:b/>
          <w:bCs/>
          <w:sz w:val="24"/>
          <w:szCs w:val="24"/>
        </w:rPr>
        <w:t xml:space="preserve">Describe the consequence to </w:t>
      </w:r>
      <w:r w:rsidRPr="4CB60C13" w:rsidR="3948ADD2">
        <w:rPr>
          <w:rFonts w:ascii="Arial" w:hAnsi="Arial"/>
          <w:b/>
          <w:bCs/>
          <w:sz w:val="24"/>
          <w:szCs w:val="24"/>
        </w:rPr>
        <w:t>f</w:t>
      </w:r>
      <w:r w:rsidRPr="4CB60C13">
        <w:rPr>
          <w:rFonts w:ascii="Arial" w:hAnsi="Arial"/>
          <w:b/>
          <w:bCs/>
          <w:sz w:val="24"/>
          <w:szCs w:val="24"/>
        </w:rPr>
        <w:t>ederal program or policy activities if the information collection is not conducted or is conducted less frequently, as well as any technical or legal obstacles to reducing burden.</w:t>
      </w:r>
    </w:p>
    <w:p w:rsidR="00335BFE" w:rsidP="00335BFE" w14:paraId="1B632C82" w14:textId="77777777">
      <w:pPr>
        <w:jc w:val="both"/>
        <w:rPr>
          <w:rFonts w:ascii="Arial" w:hAnsi="Arial"/>
          <w:b/>
          <w:sz w:val="24"/>
        </w:rPr>
      </w:pPr>
    </w:p>
    <w:p w:rsidR="00335BFE" w:rsidRPr="00335BFE" w:rsidP="49F0B053" w14:paraId="46AF3498" w14:textId="27B894D4">
      <w:pPr>
        <w:jc w:val="both"/>
        <w:rPr>
          <w:rFonts w:ascii="Arial" w:hAnsi="Arial"/>
          <w:sz w:val="24"/>
          <w:szCs w:val="24"/>
        </w:rPr>
      </w:pPr>
      <w:r w:rsidRPr="49F0B053">
        <w:rPr>
          <w:rFonts w:ascii="Arial" w:hAnsi="Arial"/>
          <w:sz w:val="24"/>
          <w:szCs w:val="24"/>
        </w:rPr>
        <w:t xml:space="preserve">The information collected from the </w:t>
      </w:r>
      <w:r w:rsidRPr="49F0B053" w:rsidR="00677D01">
        <w:rPr>
          <w:rFonts w:ascii="Arial" w:hAnsi="Arial"/>
          <w:sz w:val="24"/>
          <w:szCs w:val="24"/>
        </w:rPr>
        <w:t>survey</w:t>
      </w:r>
      <w:r w:rsidRPr="49F0B053">
        <w:rPr>
          <w:rFonts w:ascii="Arial" w:hAnsi="Arial"/>
          <w:sz w:val="24"/>
          <w:szCs w:val="24"/>
        </w:rPr>
        <w:t xml:space="preserve"> is needed on a</w:t>
      </w:r>
      <w:r w:rsidRPr="49F0B053" w:rsidR="00663B88">
        <w:rPr>
          <w:rFonts w:ascii="Arial" w:hAnsi="Arial"/>
          <w:sz w:val="24"/>
          <w:szCs w:val="24"/>
        </w:rPr>
        <w:t xml:space="preserve"> semi-annual </w:t>
      </w:r>
      <w:r w:rsidRPr="49F0B053">
        <w:rPr>
          <w:rFonts w:ascii="Arial" w:hAnsi="Arial"/>
          <w:sz w:val="24"/>
          <w:szCs w:val="24"/>
        </w:rPr>
        <w:t>basis so that the USPTO can identify problems with examination quality and work to resolve these issues in a timely manner. Timely, valid information on customer assessment of the USPTO’s performance is needed in order for the USPTO to accomplish these measures.</w:t>
      </w:r>
      <w:r w:rsidRPr="49F0B053" w:rsidR="00663B88">
        <w:rPr>
          <w:rFonts w:ascii="Arial" w:hAnsi="Arial"/>
          <w:sz w:val="24"/>
          <w:szCs w:val="24"/>
        </w:rPr>
        <w:t xml:space="preserve"> </w:t>
      </w:r>
      <w:r w:rsidRPr="49F0B053">
        <w:rPr>
          <w:rFonts w:ascii="Arial" w:hAnsi="Arial"/>
          <w:sz w:val="24"/>
          <w:szCs w:val="24"/>
        </w:rPr>
        <w:t>The USPTO cannot collect this information less frequently as it</w:t>
      </w:r>
      <w:r w:rsidRPr="49F0B053" w:rsidR="00C264DB">
        <w:rPr>
          <w:rFonts w:ascii="Arial" w:hAnsi="Arial"/>
          <w:sz w:val="24"/>
          <w:szCs w:val="24"/>
        </w:rPr>
        <w:t xml:space="preserve"> would not be able to generate a reliable measure of examinatio</w:t>
      </w:r>
      <w:r w:rsidRPr="49F0B053" w:rsidR="00DE7893">
        <w:rPr>
          <w:rFonts w:ascii="Arial" w:hAnsi="Arial"/>
          <w:sz w:val="24"/>
          <w:szCs w:val="24"/>
        </w:rPr>
        <w:t>n quality on a continuing basis.</w:t>
      </w:r>
      <w:r w:rsidRPr="49F0B053" w:rsidR="4E878EF9">
        <w:rPr>
          <w:rFonts w:ascii="Arial" w:hAnsi="Arial"/>
          <w:sz w:val="24"/>
          <w:szCs w:val="24"/>
        </w:rPr>
        <w:t xml:space="preserve"> </w:t>
      </w:r>
    </w:p>
    <w:p w:rsidR="005823F2" w14:paraId="4A817BFE" w14:textId="77777777">
      <w:pPr>
        <w:jc w:val="both"/>
        <w:rPr>
          <w:rFonts w:ascii="Arial" w:hAnsi="Arial"/>
          <w:sz w:val="24"/>
        </w:rPr>
      </w:pPr>
    </w:p>
    <w:p w:rsidR="00FA7F5C" w:rsidRPr="001D603D" w:rsidP="00A54DB6" w14:paraId="647E91C5" w14:textId="76974E5D">
      <w:pPr>
        <w:keepNext/>
        <w:tabs>
          <w:tab w:val="left" w:pos="-1176"/>
        </w:tabs>
        <w:autoSpaceDE w:val="0"/>
        <w:autoSpaceDN w:val="0"/>
        <w:adjustRightInd w:val="0"/>
        <w:ind w:left="360" w:hanging="360"/>
        <w:contextualSpacing/>
        <w:jc w:val="both"/>
        <w:rPr>
          <w:rFonts w:ascii="Arial" w:hAnsi="Arial" w:cs="Arial"/>
          <w:b/>
          <w:bCs/>
          <w:sz w:val="24"/>
        </w:rPr>
      </w:pPr>
      <w:r>
        <w:rPr>
          <w:rFonts w:ascii="Arial" w:hAnsi="Arial"/>
          <w:b/>
          <w:sz w:val="24"/>
        </w:rPr>
        <w:t>7.</w:t>
      </w:r>
      <w:r>
        <w:rPr>
          <w:rFonts w:ascii="Arial" w:hAnsi="Arial"/>
          <w:b/>
          <w:sz w:val="24"/>
        </w:rPr>
        <w:tab/>
      </w:r>
      <w:bookmarkStart w:id="0" w:name="_Hlk82671862"/>
      <w:r w:rsidRPr="001D603D">
        <w:rPr>
          <w:rFonts w:ascii="Arial" w:hAnsi="Arial" w:cs="Arial"/>
          <w:b/>
          <w:bCs/>
          <w:sz w:val="24"/>
        </w:rPr>
        <w:t>Explain any special circumstances that would cause an information collection to be conducted in a manner:</w:t>
      </w:r>
    </w:p>
    <w:p w:rsidR="00FA7F5C" w:rsidRPr="00C719B2" w:rsidP="00A54DB6" w14:paraId="66AB0BE1"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report information to the agency more often than quarterly;</w:t>
      </w:r>
    </w:p>
    <w:p w:rsidR="00FA7F5C" w:rsidRPr="00C719B2" w:rsidP="00A54DB6" w14:paraId="4AF3A45C"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prepare a written response to a collection of information in fewer than 30 days after receipt of it;</w:t>
      </w:r>
    </w:p>
    <w:p w:rsidR="00FA7F5C" w:rsidRPr="00C719B2" w:rsidP="00A54DB6" w14:paraId="7FF52D4B"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submit more than an original and two copies of any document;</w:t>
      </w:r>
    </w:p>
    <w:p w:rsidR="00FA7F5C" w:rsidRPr="00C719B2" w:rsidP="00A54DB6" w14:paraId="7BD78835"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respondents to retain records, other than health, medical, government contract, grant-in-aid, or tax records, for more than three years;</w:t>
      </w:r>
    </w:p>
    <w:p w:rsidR="00FA7F5C" w:rsidRPr="00C719B2" w:rsidP="00A54DB6" w14:paraId="16916419"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in connection with a statistical survey, that is not designed to produce valid and reliable results that can be generalized to the universe of study;</w:t>
      </w:r>
    </w:p>
    <w:p w:rsidR="00FA7F5C" w:rsidRPr="00C719B2" w:rsidP="00A54DB6" w14:paraId="62B9DCE2"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requiring the use of a statistical data classification that has not been reviewed and approved by OMB;</w:t>
      </w:r>
    </w:p>
    <w:p w:rsidR="00FA7F5C" w:rsidRPr="0031159D" w:rsidP="00A54DB6" w14:paraId="0F5BC716" w14:textId="77777777">
      <w:pPr>
        <w:pStyle w:val="ListParagraph"/>
        <w:keepNext/>
        <w:numPr>
          <w:ilvl w:val="0"/>
          <w:numId w:val="27"/>
        </w:numPr>
        <w:tabs>
          <w:tab w:val="left" w:pos="-1176"/>
          <w:tab w:val="clear" w:pos="360"/>
        </w:tabs>
        <w:autoSpaceDE w:val="0"/>
        <w:autoSpaceDN w:val="0"/>
        <w:adjustRightInd w:val="0"/>
        <w:ind w:left="630" w:hanging="270"/>
        <w:contextualSpacing/>
        <w:jc w:val="both"/>
        <w:rPr>
          <w:rFonts w:ascii="Arial" w:hAnsi="Arial" w:cs="Arial"/>
          <w:b/>
          <w:bCs/>
          <w:sz w:val="24"/>
        </w:rPr>
      </w:pPr>
      <w:r w:rsidRPr="00C719B2">
        <w:rPr>
          <w:rFonts w:ascii="Arial" w:hAnsi="Arial" w:cs="Arial"/>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ascii="Arial" w:hAnsi="Arial" w:cs="Arial"/>
          <w:b/>
          <w:bCs/>
          <w:sz w:val="24"/>
        </w:rPr>
        <w:t xml:space="preserve"> </w:t>
      </w:r>
      <w:r w:rsidRPr="0031159D">
        <w:rPr>
          <w:rFonts w:ascii="Arial" w:hAnsi="Arial" w:cs="Arial"/>
          <w:b/>
          <w:bCs/>
          <w:sz w:val="24"/>
        </w:rPr>
        <w:t>requiring respondents to submit proprietary trade secrets, or other confidential information unless the agency can demonstrate that it has instituted procedures to protect the information's confidentiality to the extent permitted by law.</w:t>
      </w:r>
    </w:p>
    <w:bookmarkEnd w:id="0"/>
    <w:p w:rsidR="005823F2" w14:paraId="19A030D2" w14:textId="77777777">
      <w:pPr>
        <w:jc w:val="both"/>
        <w:rPr>
          <w:rFonts w:ascii="Arial" w:hAnsi="Arial"/>
          <w:sz w:val="24"/>
        </w:rPr>
      </w:pPr>
    </w:p>
    <w:p w:rsidR="005823F2" w14:paraId="317DA668" w14:textId="77777777">
      <w:pPr>
        <w:pStyle w:val="BodyText2"/>
      </w:pPr>
      <w:r>
        <w:t>There are no special circumstances associated with this collection of information.</w:t>
      </w:r>
    </w:p>
    <w:p w:rsidR="00616EC6" w14:paraId="3C65AD83" w14:textId="77777777">
      <w:pPr>
        <w:pStyle w:val="BodyText2"/>
      </w:pPr>
    </w:p>
    <w:p w:rsidR="00C17D32" w:rsidRPr="00C17D32" w:rsidP="00A54DB6" w14:paraId="339AFE1F" w14:textId="3578E14B">
      <w:pPr>
        <w:keepNext/>
        <w:keepLines/>
        <w:widowControl w:val="0"/>
        <w:numPr>
          <w:ilvl w:val="0"/>
          <w:numId w:val="31"/>
        </w:numPr>
        <w:tabs>
          <w:tab w:val="left" w:pos="-984"/>
          <w:tab w:val="left" w:pos="-720"/>
          <w:tab w:val="clear" w:pos="720"/>
        </w:tabs>
        <w:autoSpaceDE w:val="0"/>
        <w:autoSpaceDN w:val="0"/>
        <w:adjustRightInd w:val="0"/>
        <w:ind w:left="360" w:hanging="360"/>
        <w:jc w:val="both"/>
        <w:rPr>
          <w:rFonts w:ascii="Arial" w:hAnsi="Arial" w:cs="Arial"/>
          <w:b/>
          <w:bCs/>
          <w:sz w:val="32"/>
          <w:szCs w:val="24"/>
        </w:rPr>
      </w:pPr>
      <w:bookmarkStart w:id="1" w:name="_Hlk82671994"/>
      <w:r w:rsidRPr="00C17D32">
        <w:rPr>
          <w:rFonts w:ascii="Arial" w:hAnsi="Arial" w:cs="Arial"/>
          <w:b/>
          <w:sz w:val="24"/>
        </w:rPr>
        <w:t xml:space="preserve">If applicable, provide a copy and identify the date and page number of </w:t>
      </w:r>
      <w:r w:rsidRPr="00C17D32" w:rsidR="00EF4275">
        <w:rPr>
          <w:rFonts w:ascii="Arial" w:hAnsi="Arial" w:cs="Arial"/>
          <w:b/>
          <w:sz w:val="24"/>
        </w:rPr>
        <w:t>publications</w:t>
      </w:r>
      <w:r w:rsidRPr="00C17D32">
        <w:rPr>
          <w:rFonts w:ascii="Arial" w:hAnsi="Arial" w:cs="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bookmarkEnd w:id="1"/>
    <w:p w:rsidR="005823F2" w14:paraId="15015B91" w14:textId="77777777">
      <w:pPr>
        <w:jc w:val="both"/>
        <w:rPr>
          <w:rFonts w:ascii="Arial" w:hAnsi="Arial"/>
          <w:b/>
          <w:sz w:val="24"/>
        </w:rPr>
      </w:pPr>
    </w:p>
    <w:p w:rsidR="00DE7893" w:rsidP="006E468E" w14:paraId="70229221" w14:textId="77AA7882">
      <w:pPr>
        <w:jc w:val="both"/>
        <w:rPr>
          <w:rFonts w:ascii="Arial" w:hAnsi="Arial"/>
          <w:sz w:val="24"/>
        </w:rPr>
      </w:pPr>
      <w:r>
        <w:rPr>
          <w:rFonts w:ascii="Arial" w:hAnsi="Arial"/>
          <w:sz w:val="24"/>
        </w:rPr>
        <w:t xml:space="preserve">The 60-Day </w:t>
      </w:r>
      <w:r w:rsidRPr="00F4663C">
        <w:rPr>
          <w:rFonts w:ascii="Arial" w:hAnsi="Arial"/>
          <w:i/>
          <w:sz w:val="24"/>
        </w:rPr>
        <w:t xml:space="preserve">Federal </w:t>
      </w:r>
      <w:r w:rsidRPr="00F4663C" w:rsidR="00EB56BA">
        <w:rPr>
          <w:rFonts w:ascii="Arial" w:hAnsi="Arial"/>
          <w:i/>
          <w:sz w:val="24"/>
        </w:rPr>
        <w:t>Register</w:t>
      </w:r>
      <w:r w:rsidR="00EB56BA">
        <w:rPr>
          <w:rFonts w:ascii="Arial" w:hAnsi="Arial"/>
          <w:sz w:val="24"/>
        </w:rPr>
        <w:t xml:space="preserve"> Notice was published on</w:t>
      </w:r>
      <w:r w:rsidR="00152CCD">
        <w:rPr>
          <w:rFonts w:ascii="Arial" w:hAnsi="Arial"/>
          <w:sz w:val="24"/>
        </w:rPr>
        <w:t xml:space="preserve"> </w:t>
      </w:r>
      <w:r w:rsidR="008F64A5">
        <w:rPr>
          <w:rFonts w:ascii="Arial" w:hAnsi="Arial"/>
          <w:sz w:val="24"/>
        </w:rPr>
        <w:t>May 1, 2025</w:t>
      </w:r>
      <w:r w:rsidR="00152CCD">
        <w:rPr>
          <w:rFonts w:ascii="Arial" w:hAnsi="Arial"/>
          <w:sz w:val="24"/>
        </w:rPr>
        <w:t xml:space="preserve"> </w:t>
      </w:r>
      <w:r w:rsidR="008F64A5">
        <w:rPr>
          <w:rFonts w:ascii="Arial" w:hAnsi="Arial"/>
          <w:sz w:val="24"/>
        </w:rPr>
        <w:t>(90</w:t>
      </w:r>
      <w:r w:rsidR="00400AC3">
        <w:rPr>
          <w:rFonts w:ascii="Arial" w:hAnsi="Arial"/>
          <w:sz w:val="24"/>
        </w:rPr>
        <w:t xml:space="preserve"> </w:t>
      </w:r>
      <w:r w:rsidR="00773778">
        <w:rPr>
          <w:rFonts w:ascii="Arial" w:hAnsi="Arial"/>
          <w:sz w:val="24"/>
        </w:rPr>
        <w:t xml:space="preserve">FR </w:t>
      </w:r>
      <w:r w:rsidR="00F83E87">
        <w:rPr>
          <w:rFonts w:ascii="Arial" w:hAnsi="Arial"/>
          <w:sz w:val="24"/>
        </w:rPr>
        <w:t>18648</w:t>
      </w:r>
      <w:r w:rsidR="00EB56BA">
        <w:rPr>
          <w:rFonts w:ascii="Arial" w:hAnsi="Arial"/>
          <w:sz w:val="24"/>
        </w:rPr>
        <w:t>)</w:t>
      </w:r>
      <w:r>
        <w:rPr>
          <w:rFonts w:ascii="Arial" w:hAnsi="Arial"/>
          <w:sz w:val="24"/>
        </w:rPr>
        <w:t>.</w:t>
      </w:r>
      <w:r>
        <w:rPr>
          <w:rStyle w:val="FootnoteReference"/>
          <w:rFonts w:ascii="Arial" w:hAnsi="Arial"/>
          <w:sz w:val="24"/>
        </w:rPr>
        <w:footnoteReference w:id="3"/>
      </w:r>
      <w:r>
        <w:rPr>
          <w:rFonts w:ascii="Arial" w:hAnsi="Arial"/>
          <w:sz w:val="24"/>
        </w:rPr>
        <w:t xml:space="preserve">  The public comment period ended on</w:t>
      </w:r>
      <w:r w:rsidR="00EB56BA">
        <w:rPr>
          <w:rFonts w:ascii="Arial" w:hAnsi="Arial"/>
          <w:sz w:val="24"/>
        </w:rPr>
        <w:t xml:space="preserve"> </w:t>
      </w:r>
      <w:r w:rsidR="00F83E87">
        <w:rPr>
          <w:rFonts w:ascii="Arial" w:hAnsi="Arial"/>
          <w:sz w:val="24"/>
        </w:rPr>
        <w:t>June 30, 2025</w:t>
      </w:r>
      <w:r>
        <w:rPr>
          <w:rFonts w:ascii="Arial" w:hAnsi="Arial"/>
          <w:sz w:val="24"/>
        </w:rPr>
        <w:t xml:space="preserve">. </w:t>
      </w:r>
      <w:r w:rsidR="006E468E">
        <w:rPr>
          <w:rFonts w:ascii="Arial" w:hAnsi="Arial"/>
          <w:sz w:val="24"/>
        </w:rPr>
        <w:t xml:space="preserve">No </w:t>
      </w:r>
      <w:r w:rsidR="00773778">
        <w:rPr>
          <w:rFonts w:ascii="Arial" w:hAnsi="Arial"/>
          <w:sz w:val="24"/>
        </w:rPr>
        <w:t xml:space="preserve">public comments were received. </w:t>
      </w:r>
      <w:r w:rsidRPr="005E16D9">
        <w:rPr>
          <w:rFonts w:ascii="Arial" w:hAnsi="Arial"/>
          <w:sz w:val="24"/>
        </w:rPr>
        <w:t xml:space="preserve"> </w:t>
      </w:r>
    </w:p>
    <w:p w:rsidR="00FF336A" w:rsidP="006E468E" w14:paraId="1C66C284" w14:textId="77777777">
      <w:pPr>
        <w:jc w:val="both"/>
        <w:rPr>
          <w:rFonts w:ascii="Arial" w:hAnsi="Arial"/>
          <w:sz w:val="24"/>
        </w:rPr>
      </w:pPr>
    </w:p>
    <w:p w:rsidR="00FF336A" w:rsidP="006E468E" w14:paraId="07291A0F" w14:textId="1B4DC5CB">
      <w:pPr>
        <w:jc w:val="both"/>
        <w:rPr>
          <w:rFonts w:ascii="Arial" w:hAnsi="Arial"/>
          <w:sz w:val="24"/>
        </w:rPr>
      </w:pPr>
      <w:r>
        <w:rPr>
          <w:rFonts w:ascii="Arial" w:hAnsi="Arial"/>
          <w:sz w:val="24"/>
        </w:rPr>
        <w:t>The 30-</w:t>
      </w:r>
      <w:r w:rsidR="007E5CBA">
        <w:rPr>
          <w:rFonts w:ascii="Arial" w:hAnsi="Arial"/>
          <w:sz w:val="24"/>
        </w:rPr>
        <w:t>D</w:t>
      </w:r>
      <w:r>
        <w:rPr>
          <w:rFonts w:ascii="Arial" w:hAnsi="Arial"/>
          <w:sz w:val="24"/>
        </w:rPr>
        <w:t xml:space="preserve">ay </w:t>
      </w:r>
      <w:r w:rsidRPr="007E5CBA">
        <w:rPr>
          <w:rFonts w:ascii="Arial" w:hAnsi="Arial"/>
          <w:i/>
          <w:iCs/>
          <w:sz w:val="24"/>
        </w:rPr>
        <w:t>Federal Register</w:t>
      </w:r>
      <w:r>
        <w:rPr>
          <w:rFonts w:ascii="Arial" w:hAnsi="Arial"/>
          <w:sz w:val="24"/>
        </w:rPr>
        <w:t xml:space="preserve"> Notice was published on July 23, 2025 (91 FR  </w:t>
      </w:r>
      <w:r w:rsidR="00E20866">
        <w:rPr>
          <w:rFonts w:ascii="Arial" w:hAnsi="Arial"/>
          <w:sz w:val="24"/>
        </w:rPr>
        <w:t>34643</w:t>
      </w:r>
      <w:r>
        <w:rPr>
          <w:rFonts w:ascii="Arial" w:hAnsi="Arial"/>
          <w:sz w:val="24"/>
        </w:rPr>
        <w:t>)</w:t>
      </w:r>
      <w:r w:rsidR="00E7414E">
        <w:rPr>
          <w:rFonts w:ascii="Arial" w:hAnsi="Arial"/>
          <w:sz w:val="24"/>
        </w:rPr>
        <w:t>.</w:t>
      </w:r>
      <w:r>
        <w:rPr>
          <w:rStyle w:val="FootnoteReference"/>
          <w:rFonts w:ascii="Arial" w:hAnsi="Arial"/>
          <w:sz w:val="24"/>
        </w:rPr>
        <w:footnoteReference w:id="4"/>
      </w:r>
      <w:r>
        <w:rPr>
          <w:rFonts w:ascii="Arial" w:hAnsi="Arial"/>
          <w:sz w:val="24"/>
        </w:rPr>
        <w:t xml:space="preserve"> The public comment period end</w:t>
      </w:r>
      <w:r w:rsidR="007E5CBA">
        <w:rPr>
          <w:rFonts w:ascii="Arial" w:hAnsi="Arial"/>
          <w:sz w:val="24"/>
        </w:rPr>
        <w:t>ed</w:t>
      </w:r>
      <w:r>
        <w:rPr>
          <w:rFonts w:ascii="Arial" w:hAnsi="Arial"/>
          <w:sz w:val="24"/>
        </w:rPr>
        <w:t xml:space="preserve"> on August </w:t>
      </w:r>
      <w:r w:rsidR="00E20866">
        <w:rPr>
          <w:rFonts w:ascii="Arial" w:hAnsi="Arial"/>
          <w:sz w:val="24"/>
        </w:rPr>
        <w:t>23</w:t>
      </w:r>
      <w:r>
        <w:rPr>
          <w:rFonts w:ascii="Arial" w:hAnsi="Arial"/>
          <w:sz w:val="24"/>
        </w:rPr>
        <w:t xml:space="preserve">, 2025. </w:t>
      </w:r>
      <w:r w:rsidR="007E5CBA">
        <w:rPr>
          <w:rFonts w:ascii="Arial" w:hAnsi="Arial"/>
          <w:sz w:val="24"/>
        </w:rPr>
        <w:t>No public comments were received.</w:t>
      </w:r>
    </w:p>
    <w:p w:rsidR="006244DA" w:rsidP="006E468E" w14:paraId="70E1D454" w14:textId="229B988C">
      <w:pPr>
        <w:jc w:val="both"/>
        <w:rPr>
          <w:rFonts w:ascii="Arial" w:hAnsi="Arial"/>
          <w:sz w:val="24"/>
        </w:rPr>
      </w:pPr>
    </w:p>
    <w:p w:rsidR="006244DA" w:rsidRPr="006244DA" w:rsidP="006E468E" w14:paraId="463805CE" w14:textId="5EEC9C4F">
      <w:pPr>
        <w:jc w:val="both"/>
        <w:rPr>
          <w:rFonts w:ascii="Arial" w:hAnsi="Arial" w:cs="Arial"/>
          <w:sz w:val="24"/>
          <w:szCs w:val="24"/>
        </w:rPr>
      </w:pPr>
      <w:r w:rsidRPr="006244DA">
        <w:rPr>
          <w:rFonts w:ascii="Arial" w:hAnsi="Arial" w:cs="Arial"/>
          <w:color w:val="242424"/>
          <w:sz w:val="24"/>
          <w:szCs w:val="24"/>
          <w:shd w:val="clear" w:color="auto" w:fill="FFFFFF"/>
        </w:rPr>
        <w:t>In addition to the request for public comments, the USPTO has long-standing relationships with groups from whom patent application information is collected, such as the Patent Public Advisory Council and the American Intellectual Property Law Association, as well as patent bar associations, independent inventor</w:t>
      </w:r>
      <w:r w:rsidRPr="006244DA" w:rsidR="0D95A6AE">
        <w:rPr>
          <w:rFonts w:ascii="Arial" w:hAnsi="Arial" w:cs="Arial"/>
          <w:color w:val="242424"/>
          <w:sz w:val="24"/>
          <w:szCs w:val="24"/>
          <w:shd w:val="clear" w:color="auto" w:fill="FFFFFF"/>
        </w:rPr>
        <w:t>’</w:t>
      </w:r>
      <w:r w:rsidRPr="006244DA">
        <w:rPr>
          <w:rFonts w:ascii="Arial" w:hAnsi="Arial" w:cs="Arial"/>
          <w:color w:val="242424"/>
          <w:sz w:val="24"/>
          <w:szCs w:val="24"/>
          <w:shd w:val="clear" w:color="auto" w:fill="FFFFFF"/>
        </w:rPr>
        <w:t xml:space="preserve">s groups, and users of </w:t>
      </w:r>
      <w:r w:rsidR="44AB9FB3">
        <w:rPr>
          <w:rFonts w:ascii="Arial" w:hAnsi="Arial" w:cs="Arial"/>
          <w:color w:val="242424"/>
          <w:sz w:val="24"/>
          <w:szCs w:val="24"/>
          <w:shd w:val="clear" w:color="auto" w:fill="FFFFFF"/>
        </w:rPr>
        <w:t>USPTO</w:t>
      </w:r>
      <w:r w:rsidRPr="006244DA">
        <w:rPr>
          <w:rFonts w:ascii="Arial" w:hAnsi="Arial" w:cs="Arial"/>
          <w:color w:val="242424"/>
          <w:sz w:val="24"/>
          <w:szCs w:val="24"/>
          <w:shd w:val="clear" w:color="auto" w:fill="FFFFFF"/>
        </w:rPr>
        <w:t xml:space="preserve"> public search facilities. Views expressed by these groups are considered when evaluating information collection burdens and when developing proposals for information collection requirements.</w:t>
      </w:r>
    </w:p>
    <w:p w:rsidR="00DE7893" w14:paraId="794CEEA0" w14:textId="77777777">
      <w:pPr>
        <w:jc w:val="both"/>
        <w:rPr>
          <w:rFonts w:ascii="Arial" w:hAnsi="Arial"/>
          <w:sz w:val="24"/>
        </w:rPr>
      </w:pPr>
    </w:p>
    <w:p w:rsidR="005823F2" w:rsidRPr="00152CCD" w:rsidP="005C065A" w14:paraId="176B6D09" w14:textId="039880FE">
      <w:pPr>
        <w:numPr>
          <w:ilvl w:val="0"/>
          <w:numId w:val="31"/>
        </w:numPr>
        <w:tabs>
          <w:tab w:val="clear" w:pos="720"/>
        </w:tabs>
        <w:ind w:left="360" w:hanging="360"/>
        <w:jc w:val="both"/>
        <w:rPr>
          <w:rFonts w:ascii="Arial" w:hAnsi="Arial"/>
          <w:b/>
          <w:sz w:val="24"/>
        </w:rPr>
      </w:pPr>
      <w:r w:rsidRPr="00C62EAE">
        <w:rPr>
          <w:rFonts w:ascii="Arial" w:hAnsi="Arial"/>
          <w:b/>
          <w:bCs/>
          <w:sz w:val="24"/>
        </w:rPr>
        <w:t>Explain any decision to provide any payment or gift to respondents, other than remuneration of contractors or grantees.</w:t>
      </w:r>
    </w:p>
    <w:p w:rsidR="005823F2" w14:paraId="0F429DF5" w14:textId="77777777">
      <w:pPr>
        <w:jc w:val="both"/>
        <w:rPr>
          <w:rFonts w:ascii="Arial" w:hAnsi="Arial"/>
          <w:b/>
          <w:sz w:val="24"/>
        </w:rPr>
      </w:pPr>
    </w:p>
    <w:p w:rsidR="005823F2" w14:paraId="09B26F83" w14:textId="3A47F5A5">
      <w:pPr>
        <w:jc w:val="both"/>
        <w:rPr>
          <w:rFonts w:ascii="Arial" w:hAnsi="Arial"/>
          <w:sz w:val="24"/>
        </w:rPr>
      </w:pPr>
      <w:r>
        <w:rPr>
          <w:rFonts w:ascii="Arial" w:hAnsi="Arial"/>
          <w:sz w:val="24"/>
        </w:rPr>
        <w:t>This information collection does not involve a payment or gift to any respondent.</w:t>
      </w:r>
      <w:r w:rsidR="00E93546">
        <w:rPr>
          <w:rFonts w:ascii="Arial" w:hAnsi="Arial"/>
          <w:sz w:val="24"/>
        </w:rPr>
        <w:t xml:space="preserve"> This survey is voluntary, so the respondent is not required to answer the questions.  </w:t>
      </w:r>
      <w:r w:rsidR="004F68A4">
        <w:rPr>
          <w:rFonts w:ascii="Arial" w:hAnsi="Arial"/>
          <w:sz w:val="24"/>
        </w:rPr>
        <w:t xml:space="preserve">  </w:t>
      </w:r>
      <w:r>
        <w:rPr>
          <w:rFonts w:ascii="Arial" w:hAnsi="Arial"/>
          <w:sz w:val="24"/>
        </w:rPr>
        <w:t xml:space="preserve">  </w:t>
      </w:r>
    </w:p>
    <w:p w:rsidR="005823F2" w14:paraId="1D6CAE36" w14:textId="77777777">
      <w:pPr>
        <w:jc w:val="both"/>
        <w:rPr>
          <w:rFonts w:ascii="Arial" w:hAnsi="Arial"/>
          <w:b/>
          <w:sz w:val="24"/>
        </w:rPr>
      </w:pPr>
    </w:p>
    <w:p w:rsidR="005823F2" w:rsidP="00A54DB6" w14:paraId="6D641B3E" w14:textId="6C73BDB1">
      <w:pPr>
        <w:ind w:left="360" w:hanging="360"/>
        <w:jc w:val="both"/>
        <w:rPr>
          <w:rFonts w:ascii="Arial" w:hAnsi="Arial"/>
          <w:b/>
          <w:sz w:val="24"/>
        </w:rPr>
      </w:pPr>
      <w:r w:rsidRPr="00663B88">
        <w:rPr>
          <w:rFonts w:ascii="Arial" w:hAnsi="Arial"/>
          <w:b/>
          <w:sz w:val="24"/>
        </w:rPr>
        <w:t>10.</w:t>
      </w:r>
      <w:r w:rsidRPr="00663B88">
        <w:rPr>
          <w:rFonts w:ascii="Arial" w:hAnsi="Arial"/>
          <w:b/>
          <w:sz w:val="24"/>
        </w:rPr>
        <w:tab/>
      </w:r>
      <w:r w:rsidRPr="001D603D" w:rsidR="00C62EAE">
        <w:rPr>
          <w:rFonts w:ascii="Arial" w:hAnsi="Arial" w:cs="Arial"/>
          <w:b/>
          <w:bCs/>
          <w:sz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CE60CE" w14:paraId="15EDBC1E" w14:textId="77777777">
      <w:pPr>
        <w:jc w:val="both"/>
        <w:rPr>
          <w:rFonts w:ascii="Arial" w:hAnsi="Arial"/>
          <w:sz w:val="24"/>
        </w:rPr>
      </w:pPr>
    </w:p>
    <w:p w:rsidR="00AB4177" w:rsidP="49F0B053" w14:paraId="4D5550C4" w14:textId="0F7204B3">
      <w:pPr>
        <w:jc w:val="both"/>
        <w:rPr>
          <w:rFonts w:ascii="Arial" w:hAnsi="Arial"/>
          <w:sz w:val="24"/>
          <w:szCs w:val="24"/>
        </w:rPr>
      </w:pPr>
      <w:r w:rsidRPr="49F0B053">
        <w:rPr>
          <w:rFonts w:ascii="Arial" w:hAnsi="Arial"/>
          <w:sz w:val="24"/>
          <w:szCs w:val="24"/>
        </w:rPr>
        <w:t xml:space="preserve">Information collected </w:t>
      </w:r>
      <w:r w:rsidRPr="49F0B053" w:rsidR="00C70D1D">
        <w:rPr>
          <w:rFonts w:ascii="Arial" w:hAnsi="Arial"/>
          <w:sz w:val="24"/>
          <w:szCs w:val="24"/>
        </w:rPr>
        <w:t>is</w:t>
      </w:r>
      <w:r w:rsidRPr="49F0B053">
        <w:rPr>
          <w:rFonts w:ascii="Arial" w:hAnsi="Arial"/>
          <w:sz w:val="24"/>
          <w:szCs w:val="24"/>
        </w:rPr>
        <w:t xml:space="preserve"> kept private to the extent of the law. </w:t>
      </w:r>
      <w:r w:rsidRPr="49F0B053" w:rsidR="0BA87521">
        <w:rPr>
          <w:rFonts w:ascii="Arial" w:hAnsi="Arial"/>
          <w:sz w:val="24"/>
          <w:szCs w:val="24"/>
        </w:rPr>
        <w:t xml:space="preserve">Confidentiality is governed by 35 U.S.C. 122 and 37 CFR </w:t>
      </w:r>
      <w:r w:rsidRPr="00D93F5E" w:rsidR="00D93F5E">
        <w:rPr>
          <w:rFonts w:ascii="Arial" w:hAnsi="Arial"/>
          <w:sz w:val="24"/>
          <w:szCs w:val="24"/>
        </w:rPr>
        <w:t>§§</w:t>
      </w:r>
      <w:r w:rsidR="00D93F5E">
        <w:rPr>
          <w:rFonts w:ascii="Arial" w:hAnsi="Arial"/>
          <w:sz w:val="24"/>
          <w:szCs w:val="24"/>
        </w:rPr>
        <w:t xml:space="preserve"> </w:t>
      </w:r>
      <w:r w:rsidRPr="49F0B053" w:rsidR="0BA87521">
        <w:rPr>
          <w:rFonts w:ascii="Arial" w:hAnsi="Arial"/>
          <w:sz w:val="24"/>
          <w:szCs w:val="24"/>
        </w:rPr>
        <w:t xml:space="preserve">1.11 and 1.14.  </w:t>
      </w:r>
    </w:p>
    <w:p w:rsidR="002C3EB9" w14:paraId="70CE9DD8" w14:textId="77777777">
      <w:pPr>
        <w:jc w:val="both"/>
        <w:rPr>
          <w:rFonts w:ascii="Arial" w:hAnsi="Arial"/>
          <w:sz w:val="24"/>
        </w:rPr>
      </w:pPr>
    </w:p>
    <w:p w:rsidR="004C7140" w:rsidRPr="004C7140" w:rsidP="49F0B053" w14:paraId="44FEB749" w14:textId="175FA68C">
      <w:pPr>
        <w:jc w:val="both"/>
        <w:rPr>
          <w:rFonts w:ascii="Arial" w:hAnsi="Arial"/>
          <w:sz w:val="24"/>
          <w:szCs w:val="24"/>
        </w:rPr>
      </w:pPr>
      <w:r w:rsidRPr="49F0B053">
        <w:rPr>
          <w:rFonts w:ascii="Arial" w:hAnsi="Arial"/>
          <w:sz w:val="24"/>
          <w:szCs w:val="24"/>
        </w:rPr>
        <w:t xml:space="preserve">This collection contains information which is subject to the Privacy Act. This information is collected on the survey (form PTO/2535), and a Privacy Act Statement is included on this form. </w:t>
      </w:r>
      <w:r w:rsidRPr="49F0B053" w:rsidR="36E89505">
        <w:rPr>
          <w:rFonts w:ascii="Arial" w:hAnsi="Arial"/>
          <w:sz w:val="24"/>
          <w:szCs w:val="24"/>
        </w:rPr>
        <w:t>Reponses are reported in aggregate summary format only and any data collected is not linked to the actual respondent. The registration number will be used to ensure only one from each agent and attorney. All individual responses will remain anonymous.</w:t>
      </w:r>
      <w:r w:rsidRPr="49F0B053" w:rsidR="36E89505">
        <w:rPr>
          <w:rFonts w:ascii="Arial" w:hAnsi="Arial"/>
          <w:sz w:val="24"/>
          <w:szCs w:val="24"/>
          <w:lang w:val="en"/>
        </w:rPr>
        <w:t xml:space="preserve"> </w:t>
      </w:r>
    </w:p>
    <w:p w:rsidR="004C7140" w:rsidRPr="004C7140" w:rsidP="49F0B053" w14:paraId="69B785E6" w14:textId="0AC0B7C6">
      <w:pPr>
        <w:jc w:val="both"/>
        <w:rPr>
          <w:rFonts w:ascii="Arial" w:hAnsi="Arial"/>
          <w:sz w:val="24"/>
          <w:szCs w:val="24"/>
          <w:lang w:val="en"/>
        </w:rPr>
      </w:pPr>
    </w:p>
    <w:p w:rsidR="004C7140" w:rsidRPr="004C7140" w:rsidP="49F0B053" w14:paraId="7A8A567F" w14:textId="2840A99C">
      <w:pPr>
        <w:jc w:val="both"/>
        <w:rPr>
          <w:rFonts w:ascii="Arial" w:hAnsi="Arial"/>
          <w:sz w:val="24"/>
          <w:szCs w:val="24"/>
        </w:rPr>
      </w:pPr>
      <w:r w:rsidRPr="49F0B053">
        <w:rPr>
          <w:rFonts w:ascii="Arial" w:hAnsi="Arial"/>
          <w:sz w:val="24"/>
          <w:szCs w:val="24"/>
          <w:lang w:val="en"/>
        </w:rPr>
        <w:t xml:space="preserve">The applicable </w:t>
      </w:r>
      <w:r w:rsidR="008801B8">
        <w:rPr>
          <w:rFonts w:ascii="Arial" w:hAnsi="Arial"/>
          <w:sz w:val="24"/>
          <w:szCs w:val="24"/>
          <w:lang w:val="en"/>
        </w:rPr>
        <w:t>SORN</w:t>
      </w:r>
      <w:r w:rsidRPr="49F0B053">
        <w:rPr>
          <w:rFonts w:ascii="Arial" w:hAnsi="Arial"/>
          <w:sz w:val="24"/>
          <w:szCs w:val="24"/>
          <w:lang w:val="en"/>
        </w:rPr>
        <w:t xml:space="preserve"> for this information is COMMERCE/PAT–TM–1</w:t>
      </w:r>
      <w:r w:rsidR="008801B8">
        <w:rPr>
          <w:rFonts w:ascii="Arial" w:hAnsi="Arial"/>
          <w:sz w:val="24"/>
          <w:szCs w:val="24"/>
          <w:lang w:val="en"/>
        </w:rPr>
        <w:t>,</w:t>
      </w:r>
      <w:r w:rsidRPr="49F0B053">
        <w:rPr>
          <w:rFonts w:ascii="Arial" w:hAnsi="Arial"/>
          <w:sz w:val="24"/>
          <w:szCs w:val="24"/>
          <w:lang w:val="en"/>
        </w:rPr>
        <w:t xml:space="preserve"> Attorneys and Agents Registered to Practice Before the Office;  published on March 19, 20</w:t>
      </w:r>
      <w:r w:rsidRPr="49F0B053" w:rsidR="0098558C">
        <w:rPr>
          <w:rFonts w:ascii="Arial" w:hAnsi="Arial"/>
          <w:sz w:val="24"/>
          <w:szCs w:val="24"/>
          <w:lang w:val="en"/>
        </w:rPr>
        <w:t>1</w:t>
      </w:r>
      <w:r w:rsidRPr="49F0B053">
        <w:rPr>
          <w:rFonts w:ascii="Arial" w:hAnsi="Arial"/>
          <w:sz w:val="24"/>
          <w:szCs w:val="24"/>
          <w:lang w:val="en"/>
        </w:rPr>
        <w:t>3 (78 FR 16839)</w:t>
      </w:r>
      <w:r w:rsidRPr="49F0B053" w:rsidR="00E25065">
        <w:rPr>
          <w:rFonts w:ascii="Arial" w:hAnsi="Arial"/>
          <w:sz w:val="24"/>
          <w:szCs w:val="24"/>
          <w:lang w:val="en"/>
        </w:rPr>
        <w:t>.</w:t>
      </w:r>
      <w:r>
        <w:rPr>
          <w:rStyle w:val="FootnoteReference"/>
          <w:rFonts w:ascii="Arial" w:hAnsi="Arial"/>
          <w:sz w:val="24"/>
          <w:szCs w:val="24"/>
          <w:lang w:val="en"/>
        </w:rPr>
        <w:footnoteReference w:id="5"/>
      </w:r>
    </w:p>
    <w:p w:rsidR="004C7140" w:rsidRPr="004C7140" w:rsidP="004C7140" w14:paraId="38E00B2A" w14:textId="77777777">
      <w:pPr>
        <w:jc w:val="both"/>
        <w:rPr>
          <w:rFonts w:ascii="Arial" w:hAnsi="Arial"/>
          <w:sz w:val="24"/>
        </w:rPr>
      </w:pPr>
      <w:r w:rsidRPr="004C7140">
        <w:rPr>
          <w:rFonts w:ascii="Arial" w:hAnsi="Arial"/>
          <w:sz w:val="24"/>
        </w:rPr>
        <w:t> </w:t>
      </w:r>
    </w:p>
    <w:p w:rsidR="004C7140" w:rsidRPr="004C7140" w:rsidP="004C7140" w14:paraId="06191796" w14:textId="77777777">
      <w:pPr>
        <w:jc w:val="both"/>
        <w:rPr>
          <w:rFonts w:ascii="Arial" w:hAnsi="Arial"/>
          <w:sz w:val="24"/>
        </w:rPr>
      </w:pPr>
      <w:r w:rsidRPr="004C7140">
        <w:rPr>
          <w:rFonts w:ascii="Arial" w:hAnsi="Arial"/>
          <w:sz w:val="24"/>
          <w:lang w:val="en"/>
        </w:rPr>
        <w:t>The information in this system of records is used to manage biographical information, personal and professional qualifications, character and fitness reports, investigations of an applicant’s suitability or eligibility for registration to practice before the USPTO, undertakings of former patent examiners, current address, and status information.</w:t>
      </w:r>
      <w:r w:rsidRPr="004C7140">
        <w:rPr>
          <w:rFonts w:ascii="Arial" w:hAnsi="Arial"/>
          <w:sz w:val="24"/>
        </w:rPr>
        <w:t> </w:t>
      </w:r>
    </w:p>
    <w:p w:rsidR="005576A4" w14:paraId="7F4EC29E" w14:textId="77777777">
      <w:pPr>
        <w:jc w:val="both"/>
        <w:rPr>
          <w:rFonts w:ascii="Arial" w:hAnsi="Arial"/>
          <w:b/>
          <w:sz w:val="24"/>
        </w:rPr>
      </w:pPr>
    </w:p>
    <w:p w:rsidR="005823F2" w:rsidP="00A54DB6" w14:paraId="0B8D2C06" w14:textId="068BE19A">
      <w:pPr>
        <w:ind w:left="360" w:hanging="360"/>
        <w:jc w:val="both"/>
        <w:rPr>
          <w:rFonts w:ascii="Arial" w:hAnsi="Arial"/>
          <w:b/>
          <w:sz w:val="24"/>
        </w:rPr>
      </w:pPr>
      <w:r>
        <w:rPr>
          <w:rFonts w:ascii="Arial" w:hAnsi="Arial"/>
          <w:b/>
          <w:sz w:val="24"/>
        </w:rPr>
        <w:t>11.</w:t>
      </w:r>
      <w:r>
        <w:rPr>
          <w:rFonts w:ascii="Arial" w:hAnsi="Arial"/>
          <w:b/>
          <w:sz w:val="24"/>
        </w:rPr>
        <w:tab/>
      </w:r>
      <w:r w:rsidRPr="001D603D" w:rsidR="00C62EAE">
        <w:rPr>
          <w:rFonts w:ascii="Arial" w:hAnsi="Arial" w:cs="Arial"/>
          <w:b/>
          <w:bCs/>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23F2" w14:paraId="41DEA923" w14:textId="77777777">
      <w:pPr>
        <w:jc w:val="both"/>
        <w:rPr>
          <w:rFonts w:ascii="Arial" w:hAnsi="Arial"/>
          <w:sz w:val="24"/>
        </w:rPr>
      </w:pPr>
    </w:p>
    <w:p w:rsidR="005823F2" w14:paraId="160B7E15" w14:textId="41D4B7C4">
      <w:pPr>
        <w:pStyle w:val="BodyText2"/>
      </w:pPr>
      <w:r>
        <w:t>None of the required information</w:t>
      </w:r>
      <w:r w:rsidR="00644440">
        <w:t xml:space="preserve"> in this </w:t>
      </w:r>
      <w:r w:rsidR="006244DA">
        <w:t xml:space="preserve">information </w:t>
      </w:r>
      <w:r w:rsidR="00644440">
        <w:t>collection</w:t>
      </w:r>
      <w:r>
        <w:t xml:space="preserve"> is considered to be of a sensitive nature.</w:t>
      </w:r>
    </w:p>
    <w:p w:rsidR="00CE60CE" w14:paraId="51F0A15A" w14:textId="77777777">
      <w:pPr>
        <w:pStyle w:val="BodyText2"/>
      </w:pPr>
    </w:p>
    <w:p w:rsidR="00C62EAE" w:rsidRPr="001D603D" w:rsidP="00A54DB6" w14:paraId="176ADC9A" w14:textId="2F411E32">
      <w:pPr>
        <w:keepNext/>
        <w:keepLines/>
        <w:tabs>
          <w:tab w:val="left" w:pos="-1176"/>
        </w:tabs>
        <w:autoSpaceDE w:val="0"/>
        <w:autoSpaceDN w:val="0"/>
        <w:adjustRightInd w:val="0"/>
        <w:ind w:left="360" w:hanging="360"/>
        <w:contextualSpacing/>
        <w:jc w:val="both"/>
        <w:rPr>
          <w:rFonts w:ascii="Arial" w:hAnsi="Arial" w:cs="Arial"/>
          <w:b/>
          <w:bCs/>
          <w:sz w:val="24"/>
        </w:rPr>
      </w:pPr>
      <w:r w:rsidRPr="003D2A30">
        <w:rPr>
          <w:rFonts w:ascii="Arial" w:hAnsi="Arial"/>
          <w:b/>
          <w:sz w:val="24"/>
        </w:rPr>
        <w:t>12.</w:t>
      </w:r>
      <w:r w:rsidRPr="003D2A30">
        <w:rPr>
          <w:rFonts w:ascii="Arial" w:hAnsi="Arial"/>
          <w:b/>
          <w:sz w:val="24"/>
        </w:rPr>
        <w:tab/>
      </w:r>
      <w:bookmarkStart w:id="2" w:name="_Hlk82672384"/>
      <w:r w:rsidRPr="001D603D">
        <w:rPr>
          <w:rFonts w:ascii="Arial" w:hAnsi="Arial" w:cs="Arial"/>
          <w:b/>
          <w:bCs/>
          <w:sz w:val="24"/>
        </w:rPr>
        <w:t>Provide estimates of the hour burden of the collection of information. The statement should:</w:t>
      </w:r>
    </w:p>
    <w:p w:rsidR="00C62EAE" w:rsidRPr="00C719B2" w:rsidP="00C62EAE" w14:paraId="799DD0CA"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2EAE" w:rsidP="00C62EAE" w14:paraId="365FD536"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C719B2">
        <w:rPr>
          <w:rFonts w:ascii="Arial" w:hAnsi="Arial" w:cs="Arial"/>
          <w:b/>
          <w:bCs/>
          <w:sz w:val="24"/>
        </w:rPr>
        <w:t>If this request for approval covers more than one form, provide separate hour burden estimates for each form and aggregate the hour burdens.</w:t>
      </w:r>
    </w:p>
    <w:p w:rsidR="00661888" w:rsidRPr="00754F28" w:rsidP="00A54DB6" w14:paraId="0CB519A5" w14:textId="77777777">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632FB6">
        <w:rPr>
          <w:rFonts w:ascii="Arial" w:hAnsi="Arial" w:cs="Arial"/>
          <w:b/>
          <w:bCs/>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bookmarkEnd w:id="2"/>
    </w:p>
    <w:p w:rsidR="005823F2" w:rsidRPr="00A54DB6" w:rsidP="00A54DB6" w14:paraId="15834DF7" w14:textId="0DD3AD89">
      <w:pPr>
        <w:pStyle w:val="ListParagraph"/>
        <w:keepNext/>
        <w:keepLines/>
        <w:numPr>
          <w:ilvl w:val="0"/>
          <w:numId w:val="27"/>
        </w:numPr>
        <w:tabs>
          <w:tab w:val="left" w:pos="-1176"/>
          <w:tab w:val="clear" w:pos="360"/>
          <w:tab w:val="num" w:pos="720"/>
        </w:tabs>
        <w:autoSpaceDE w:val="0"/>
        <w:autoSpaceDN w:val="0"/>
        <w:adjustRightInd w:val="0"/>
        <w:ind w:left="720" w:hanging="270"/>
        <w:contextualSpacing/>
        <w:jc w:val="both"/>
        <w:rPr>
          <w:rFonts w:ascii="Arial" w:hAnsi="Arial" w:cs="Arial"/>
          <w:b/>
          <w:bCs/>
          <w:sz w:val="24"/>
        </w:rPr>
      </w:pPr>
      <w:r w:rsidRPr="00661888">
        <w:rPr>
          <w:rFonts w:ascii="Arial" w:hAnsi="Arial" w:cs="Arial"/>
          <w:b/>
          <w:bCs/>
          <w:sz w:val="24"/>
        </w:rPr>
        <w:t xml:space="preserve">Provide an estimate for the total annual cost burden to respondents or record keepers resulting from the collection of information. </w:t>
      </w:r>
    </w:p>
    <w:p w:rsidR="005823F2" w14:paraId="6952ABEF" w14:textId="77777777">
      <w:pPr>
        <w:jc w:val="both"/>
        <w:rPr>
          <w:rFonts w:ascii="Arial" w:hAnsi="Arial"/>
          <w:sz w:val="24"/>
        </w:rPr>
      </w:pPr>
    </w:p>
    <w:p w:rsidR="005823F2" w14:paraId="239ADA4D" w14:textId="77777777">
      <w:pPr>
        <w:pStyle w:val="BodyText2"/>
      </w:pPr>
      <w:r>
        <w:t xml:space="preserve">Table </w:t>
      </w:r>
      <w:r w:rsidR="003D2A30">
        <w:t>2 displays the burden hours and costs of this information collection to the public for each year of the study, based on the following calculation factors:</w:t>
      </w:r>
    </w:p>
    <w:p w:rsidR="005823F2" w:rsidRPr="002F0312" w14:paraId="06B573B9" w14:textId="77777777">
      <w:pPr>
        <w:jc w:val="both"/>
        <w:rPr>
          <w:rFonts w:ascii="Arial" w:hAnsi="Arial"/>
          <w:sz w:val="22"/>
        </w:rPr>
      </w:pPr>
    </w:p>
    <w:p w:rsidR="005823F2" w:rsidRPr="002F0312" w:rsidP="00A54DB6" w14:paraId="7A253913" w14:textId="5B7461CD">
      <w:pPr>
        <w:numPr>
          <w:ilvl w:val="0"/>
          <w:numId w:val="1"/>
        </w:numPr>
        <w:tabs>
          <w:tab w:val="clear" w:pos="360"/>
          <w:tab w:val="num" w:pos="720"/>
        </w:tabs>
        <w:ind w:left="720" w:hanging="270"/>
        <w:jc w:val="both"/>
        <w:rPr>
          <w:rFonts w:ascii="Arial" w:hAnsi="Arial"/>
          <w:b/>
          <w:sz w:val="24"/>
        </w:rPr>
      </w:pPr>
      <w:r w:rsidRPr="002F0312">
        <w:rPr>
          <w:rFonts w:ascii="Arial" w:hAnsi="Arial"/>
          <w:b/>
          <w:sz w:val="24"/>
        </w:rPr>
        <w:t>Respondent Calculation Factors</w:t>
      </w:r>
    </w:p>
    <w:p w:rsidR="00D67C87" w:rsidRPr="00D67C87" w:rsidP="00D67C87" w14:paraId="4F24FF35" w14:textId="53895C44">
      <w:pPr>
        <w:pStyle w:val="BodyTextIndent"/>
        <w:rPr>
          <w:szCs w:val="22"/>
        </w:rPr>
      </w:pPr>
      <w:r w:rsidRPr="00D67C87">
        <w:rPr>
          <w:szCs w:val="22"/>
        </w:rPr>
        <w:t xml:space="preserve">The USPTO estimates that it will receive approximately </w:t>
      </w:r>
      <w:r>
        <w:rPr>
          <w:szCs w:val="22"/>
        </w:rPr>
        <w:t>1,</w:t>
      </w:r>
      <w:r w:rsidR="00AE06F8">
        <w:rPr>
          <w:szCs w:val="22"/>
        </w:rPr>
        <w:t>250</w:t>
      </w:r>
      <w:r w:rsidRPr="00D67C87" w:rsidR="00AE06F8">
        <w:rPr>
          <w:szCs w:val="22"/>
        </w:rPr>
        <w:t xml:space="preserve"> </w:t>
      </w:r>
      <w:r w:rsidRPr="00D67C87">
        <w:rPr>
          <w:szCs w:val="22"/>
        </w:rPr>
        <w:t xml:space="preserve">responses per year </w:t>
      </w:r>
      <w:r w:rsidRPr="00071583">
        <w:rPr>
          <w:szCs w:val="22"/>
        </w:rPr>
        <w:t xml:space="preserve">from </w:t>
      </w:r>
      <w:r w:rsidR="00AE06F8">
        <w:rPr>
          <w:szCs w:val="22"/>
        </w:rPr>
        <w:t>1,250</w:t>
      </w:r>
      <w:r w:rsidRPr="00071583" w:rsidR="00AE06F8">
        <w:rPr>
          <w:szCs w:val="22"/>
        </w:rPr>
        <w:t xml:space="preserve"> </w:t>
      </w:r>
      <w:r w:rsidRPr="00071583">
        <w:rPr>
          <w:szCs w:val="22"/>
        </w:rPr>
        <w:t>respondents</w:t>
      </w:r>
      <w:r w:rsidRPr="00D67C87">
        <w:rPr>
          <w:szCs w:val="22"/>
        </w:rPr>
        <w:t xml:space="preserve"> for this information collection, with approximately </w:t>
      </w:r>
      <w:r>
        <w:rPr>
          <w:szCs w:val="22"/>
        </w:rPr>
        <w:t>50</w:t>
      </w:r>
      <w:r w:rsidRPr="00D67C87">
        <w:rPr>
          <w:szCs w:val="22"/>
        </w:rPr>
        <w:t xml:space="preserve"> of these responses submitted by small entities. </w:t>
      </w:r>
    </w:p>
    <w:p w:rsidR="00D67C87" w:rsidRPr="00D67C87" w:rsidP="00D67C87" w14:paraId="595F864B" w14:textId="77777777">
      <w:pPr>
        <w:pStyle w:val="BodyTextIndent"/>
        <w:rPr>
          <w:szCs w:val="22"/>
        </w:rPr>
      </w:pPr>
    </w:p>
    <w:p w:rsidR="00FF336A" w:rsidP="00D67C87" w14:paraId="1D803DD7" w14:textId="2A2B9E25">
      <w:pPr>
        <w:pStyle w:val="BodyTextIndent"/>
        <w:rPr>
          <w:szCs w:val="22"/>
        </w:rPr>
      </w:pPr>
      <w:r>
        <w:rPr>
          <w:szCs w:val="22"/>
        </w:rPr>
        <w:t xml:space="preserve">The USPTO estimates that approximately 100% of the response in the collection will be submitted electronically.  </w:t>
      </w:r>
    </w:p>
    <w:p w:rsidR="009474D6" w:rsidRPr="002F0312" w14:paraId="32911C8E" w14:textId="77777777">
      <w:pPr>
        <w:pStyle w:val="BodyTextIndent"/>
        <w:rPr>
          <w:szCs w:val="22"/>
        </w:rPr>
      </w:pPr>
    </w:p>
    <w:p w:rsidR="009474D6" w:rsidRPr="002F0312" w14:paraId="0401445D" w14:textId="04CA896B">
      <w:pPr>
        <w:pStyle w:val="BodyTextIndent"/>
        <w:rPr>
          <w:szCs w:val="22"/>
        </w:rPr>
      </w:pPr>
      <w:r w:rsidRPr="002F0312">
        <w:rPr>
          <w:szCs w:val="22"/>
        </w:rPr>
        <w:t>These estimates are based on</w:t>
      </w:r>
      <w:r w:rsidR="00B848C8">
        <w:rPr>
          <w:szCs w:val="22"/>
        </w:rPr>
        <w:t xml:space="preserve"> responses of previous survey waves that USPTO has conducted as well as</w:t>
      </w:r>
      <w:r w:rsidRPr="002F0312">
        <w:rPr>
          <w:szCs w:val="22"/>
        </w:rPr>
        <w:t xml:space="preserve"> the </w:t>
      </w:r>
      <w:r w:rsidR="00661888">
        <w:rPr>
          <w:szCs w:val="22"/>
        </w:rPr>
        <w:t>USPTO’s</w:t>
      </w:r>
      <w:r w:rsidRPr="002F0312" w:rsidR="00661888">
        <w:rPr>
          <w:szCs w:val="22"/>
        </w:rPr>
        <w:t xml:space="preserve"> </w:t>
      </w:r>
      <w:r w:rsidRPr="002F0312">
        <w:rPr>
          <w:szCs w:val="22"/>
        </w:rPr>
        <w:t>long-standing institutional knowledge of and experience with the type of information collected by these items.</w:t>
      </w:r>
    </w:p>
    <w:p w:rsidR="005823F2" w:rsidRPr="002F0312" w14:paraId="3FA85B6B" w14:textId="77777777">
      <w:pPr>
        <w:jc w:val="both"/>
        <w:rPr>
          <w:rFonts w:ascii="Arial" w:hAnsi="Arial"/>
          <w:b/>
          <w:sz w:val="24"/>
        </w:rPr>
      </w:pPr>
    </w:p>
    <w:p w:rsidR="005823F2" w:rsidRPr="002F0312" w:rsidP="00A54DB6" w14:paraId="38C7FFD6" w14:textId="77777777">
      <w:pPr>
        <w:numPr>
          <w:ilvl w:val="0"/>
          <w:numId w:val="3"/>
        </w:numPr>
        <w:tabs>
          <w:tab w:val="clear" w:pos="360"/>
          <w:tab w:val="num" w:pos="720"/>
        </w:tabs>
        <w:ind w:left="720" w:hanging="270"/>
        <w:jc w:val="both"/>
        <w:rPr>
          <w:rFonts w:ascii="Arial" w:hAnsi="Arial"/>
          <w:b/>
          <w:sz w:val="24"/>
        </w:rPr>
      </w:pPr>
      <w:r w:rsidRPr="002F0312">
        <w:rPr>
          <w:rFonts w:ascii="Arial" w:hAnsi="Arial"/>
          <w:b/>
          <w:sz w:val="24"/>
        </w:rPr>
        <w:t>Burden Hour Calculation Factors</w:t>
      </w:r>
    </w:p>
    <w:p w:rsidR="00013492" w14:paraId="1FE63B3B" w14:textId="0328D402">
      <w:pPr>
        <w:ind w:left="720"/>
        <w:jc w:val="both"/>
        <w:rPr>
          <w:rFonts w:ascii="Arial" w:hAnsi="Arial"/>
          <w:sz w:val="24"/>
        </w:rPr>
      </w:pPr>
      <w:r w:rsidRPr="005D3BB6">
        <w:rPr>
          <w:rFonts w:ascii="Arial" w:hAnsi="Arial"/>
          <w:sz w:val="24"/>
        </w:rPr>
        <w:t xml:space="preserve">The USPTO estimates that the responses in this information collection will take the public 10 minutes (0.17 hours) to complete. This includes the time to gather the necessary information, answer the survey prompts, and submit the completed </w:t>
      </w:r>
      <w:r w:rsidR="00661888">
        <w:rPr>
          <w:rFonts w:ascii="Arial" w:hAnsi="Arial"/>
          <w:sz w:val="24"/>
        </w:rPr>
        <w:t>item</w:t>
      </w:r>
      <w:r w:rsidRPr="005D3BB6" w:rsidR="00661888">
        <w:rPr>
          <w:rFonts w:ascii="Arial" w:hAnsi="Arial"/>
          <w:sz w:val="24"/>
        </w:rPr>
        <w:t xml:space="preserve"> </w:t>
      </w:r>
      <w:r w:rsidRPr="005D3BB6">
        <w:rPr>
          <w:rFonts w:ascii="Arial" w:hAnsi="Arial"/>
          <w:sz w:val="24"/>
        </w:rPr>
        <w:t>to the USPTO.</w:t>
      </w:r>
      <w:r w:rsidR="00661888">
        <w:rPr>
          <w:rFonts w:ascii="Arial" w:hAnsi="Arial"/>
          <w:sz w:val="24"/>
        </w:rPr>
        <w:t xml:space="preserve"> </w:t>
      </w:r>
      <w:r w:rsidRPr="00661888" w:rsidR="00661888">
        <w:rPr>
          <w:rFonts w:ascii="Arial" w:hAnsi="Arial"/>
          <w:sz w:val="24"/>
        </w:rPr>
        <w:t xml:space="preserve">Using these burden factors, USPTO estimates that the total respondent hourly burden for this information collection is </w:t>
      </w:r>
      <w:r w:rsidR="00AE06F8">
        <w:rPr>
          <w:rFonts w:ascii="Arial" w:hAnsi="Arial"/>
          <w:sz w:val="24"/>
        </w:rPr>
        <w:t>208</w:t>
      </w:r>
      <w:r w:rsidRPr="00661888" w:rsidR="00AE06F8">
        <w:rPr>
          <w:rFonts w:ascii="Arial" w:hAnsi="Arial"/>
          <w:sz w:val="24"/>
        </w:rPr>
        <w:t xml:space="preserve"> </w:t>
      </w:r>
      <w:r w:rsidRPr="00661888" w:rsidR="00661888">
        <w:rPr>
          <w:rFonts w:ascii="Arial" w:hAnsi="Arial"/>
          <w:sz w:val="24"/>
        </w:rPr>
        <w:t>hours per year.</w:t>
      </w:r>
    </w:p>
    <w:p w:rsidR="00661888" w14:paraId="3BCFB889" w14:textId="77777777">
      <w:pPr>
        <w:ind w:left="720"/>
        <w:jc w:val="both"/>
        <w:rPr>
          <w:rFonts w:ascii="Arial" w:hAnsi="Arial"/>
          <w:sz w:val="24"/>
        </w:rPr>
      </w:pPr>
    </w:p>
    <w:p w:rsidR="00681D8C" w:rsidRPr="002F0312" w:rsidP="00A54DB6" w14:paraId="7DEEA490" w14:textId="77777777">
      <w:pPr>
        <w:numPr>
          <w:ilvl w:val="0"/>
          <w:numId w:val="4"/>
        </w:numPr>
        <w:ind w:hanging="270"/>
        <w:jc w:val="both"/>
        <w:rPr>
          <w:rFonts w:ascii="Arial" w:hAnsi="Arial" w:cs="Arial"/>
          <w:b/>
          <w:sz w:val="24"/>
          <w:szCs w:val="22"/>
        </w:rPr>
      </w:pPr>
      <w:r w:rsidRPr="002F0312">
        <w:rPr>
          <w:rFonts w:ascii="Arial" w:hAnsi="Arial" w:cs="Arial"/>
          <w:b/>
          <w:sz w:val="24"/>
          <w:szCs w:val="22"/>
        </w:rPr>
        <w:t>Cost Burden Calculation Factors</w:t>
      </w:r>
    </w:p>
    <w:p w:rsidR="00960583" w:rsidRPr="002F0312" w14:paraId="472C2EE2" w14:textId="74461D26">
      <w:pPr>
        <w:pStyle w:val="BodyTextIndent2"/>
        <w:rPr>
          <w:sz w:val="24"/>
        </w:rPr>
      </w:pPr>
      <w:r w:rsidRPr="002F0312">
        <w:rPr>
          <w:sz w:val="24"/>
        </w:rPr>
        <w:t>The USPTO</w:t>
      </w:r>
      <w:r w:rsidRPr="002F0312" w:rsidR="00013492">
        <w:rPr>
          <w:sz w:val="24"/>
        </w:rPr>
        <w:t xml:space="preserve"> expects that </w:t>
      </w:r>
      <w:r w:rsidRPr="002F0312" w:rsidR="00DB101B">
        <w:rPr>
          <w:sz w:val="24"/>
        </w:rPr>
        <w:t>patent</w:t>
      </w:r>
      <w:r w:rsidRPr="002F0312">
        <w:rPr>
          <w:sz w:val="24"/>
        </w:rPr>
        <w:t xml:space="preserve"> attorneys will</w:t>
      </w:r>
      <w:r w:rsidRPr="002F0312" w:rsidR="00013492">
        <w:rPr>
          <w:sz w:val="24"/>
        </w:rPr>
        <w:t xml:space="preserve"> be completing these surveys.  The USPTO uses a professional rate of $</w:t>
      </w:r>
      <w:r w:rsidRPr="002F0312" w:rsidR="00C032BE">
        <w:rPr>
          <w:sz w:val="24"/>
        </w:rPr>
        <w:t>4</w:t>
      </w:r>
      <w:r w:rsidR="00661888">
        <w:rPr>
          <w:sz w:val="24"/>
        </w:rPr>
        <w:t>47</w:t>
      </w:r>
      <w:r w:rsidRPr="002F0312" w:rsidR="00C032BE">
        <w:rPr>
          <w:sz w:val="24"/>
        </w:rPr>
        <w:t xml:space="preserve"> </w:t>
      </w:r>
      <w:r w:rsidRPr="002F0312" w:rsidR="00013492">
        <w:rPr>
          <w:sz w:val="24"/>
        </w:rPr>
        <w:t xml:space="preserve">per hour for the attorney respondent cost </w:t>
      </w:r>
      <w:r w:rsidRPr="002F0312" w:rsidR="00013492">
        <w:rPr>
          <w:sz w:val="24"/>
        </w:rPr>
        <w:t xml:space="preserve">burden calculations, which is the mean rate for attorneys in private firms as shown in the </w:t>
      </w:r>
      <w:r w:rsidRPr="002F0312" w:rsidR="00C032BE">
        <w:rPr>
          <w:i/>
          <w:sz w:val="24"/>
        </w:rPr>
        <w:t>20</w:t>
      </w:r>
      <w:r w:rsidRPr="002F0312" w:rsidR="001944BE">
        <w:rPr>
          <w:i/>
          <w:sz w:val="24"/>
        </w:rPr>
        <w:t>2</w:t>
      </w:r>
      <w:r w:rsidR="00661888">
        <w:rPr>
          <w:i/>
          <w:sz w:val="24"/>
        </w:rPr>
        <w:t>3</w:t>
      </w:r>
      <w:r w:rsidRPr="002F0312" w:rsidR="00C032BE">
        <w:rPr>
          <w:i/>
          <w:sz w:val="24"/>
        </w:rPr>
        <w:t xml:space="preserve"> </w:t>
      </w:r>
      <w:r w:rsidRPr="002F0312" w:rsidR="00013492">
        <w:rPr>
          <w:i/>
          <w:sz w:val="24"/>
        </w:rPr>
        <w:t>Report of the Economic Survey</w:t>
      </w:r>
      <w:r w:rsidRPr="002F0312" w:rsidR="00013492">
        <w:rPr>
          <w:sz w:val="24"/>
        </w:rPr>
        <w:t xml:space="preserve"> published by the American Intellectual Property Law Association (AIPLA).  </w:t>
      </w:r>
    </w:p>
    <w:p w:rsidR="00013492" w:rsidRPr="002F0312" w14:paraId="050F76A3" w14:textId="77777777">
      <w:pPr>
        <w:pStyle w:val="BodyTextIndent2"/>
        <w:rPr>
          <w:sz w:val="24"/>
        </w:rPr>
      </w:pPr>
    </w:p>
    <w:p w:rsidR="00661888" w:rsidRPr="002F0312" w14:paraId="7C658616" w14:textId="25D94DAA">
      <w:pPr>
        <w:pStyle w:val="BodyTextIndent2"/>
        <w:rPr>
          <w:sz w:val="24"/>
        </w:rPr>
      </w:pPr>
      <w:r w:rsidRPr="00661888">
        <w:rPr>
          <w:sz w:val="24"/>
        </w:rPr>
        <w:t>Using these hourly rates, the USPTO estimates that the total respondent cost burden for this information collection is $</w:t>
      </w:r>
      <w:r w:rsidRPr="00AE06F8" w:rsidR="00AE06F8">
        <w:rPr>
          <w:sz w:val="24"/>
        </w:rPr>
        <w:t>92,976</w:t>
      </w:r>
      <w:r w:rsidR="00AE06F8">
        <w:rPr>
          <w:sz w:val="24"/>
        </w:rPr>
        <w:t xml:space="preserve"> </w:t>
      </w:r>
      <w:r w:rsidRPr="00661888">
        <w:rPr>
          <w:sz w:val="24"/>
        </w:rPr>
        <w:t>per year.</w:t>
      </w:r>
      <w:r w:rsidR="00063B06">
        <w:rPr>
          <w:sz w:val="24"/>
        </w:rPr>
        <w:t xml:space="preserve"> </w:t>
      </w:r>
    </w:p>
    <w:p w:rsidR="009A0910" w14:paraId="14207E02" w14:textId="77777777">
      <w:pPr>
        <w:pStyle w:val="BodyTextIndent2"/>
      </w:pPr>
    </w:p>
    <w:p w:rsidR="009A0910" w:rsidRPr="00632FB6" w:rsidP="009A0910" w14:paraId="4CCFFEF2" w14:textId="2FC4CC7C">
      <w:pPr>
        <w:keepNext/>
        <w:jc w:val="both"/>
        <w:outlineLvl w:val="4"/>
        <w:rPr>
          <w:rFonts w:ascii="Arial" w:hAnsi="Arial" w:cs="Arial"/>
          <w:b/>
          <w:bCs/>
        </w:rPr>
      </w:pPr>
      <w:r w:rsidRPr="00632FB6">
        <w:rPr>
          <w:rFonts w:ascii="Arial" w:hAnsi="Arial" w:cs="Arial"/>
          <w:b/>
        </w:rPr>
        <w:t xml:space="preserve">Table </w:t>
      </w:r>
      <w:r w:rsidR="00646FB5">
        <w:rPr>
          <w:rFonts w:ascii="Arial" w:hAnsi="Arial" w:cs="Arial"/>
          <w:b/>
        </w:rPr>
        <w:t>2</w:t>
      </w:r>
      <w:r w:rsidRPr="00632FB6">
        <w:rPr>
          <w:rFonts w:ascii="Arial" w:hAnsi="Arial" w:cs="Arial"/>
          <w:b/>
        </w:rPr>
        <w:t xml:space="preserve">: </w:t>
      </w:r>
      <w:r w:rsidR="00661888">
        <w:rPr>
          <w:rFonts w:ascii="Arial" w:hAnsi="Arial" w:cs="Arial"/>
          <w:b/>
        </w:rPr>
        <w:t>Total Burden Hours and Hourly Costs to</w:t>
      </w:r>
      <w:r w:rsidRPr="00632FB6">
        <w:rPr>
          <w:rFonts w:ascii="Arial" w:hAnsi="Arial" w:cs="Arial"/>
          <w:b/>
        </w:rPr>
        <w:t xml:space="preserve"> Private Sector Respondents </w:t>
      </w:r>
    </w:p>
    <w:tbl>
      <w:tblPr>
        <w:tblStyle w:val="TableGrid11"/>
        <w:tblW w:w="5820" w:type="pct"/>
        <w:tblInd w:w="-815" w:type="dxa"/>
        <w:tblLayout w:type="fixed"/>
        <w:tblLook w:val="04A0"/>
      </w:tblPr>
      <w:tblGrid>
        <w:gridCol w:w="545"/>
        <w:gridCol w:w="2514"/>
        <w:gridCol w:w="1260"/>
        <w:gridCol w:w="1170"/>
        <w:gridCol w:w="1081"/>
        <w:gridCol w:w="1170"/>
        <w:gridCol w:w="1084"/>
        <w:gridCol w:w="787"/>
        <w:gridCol w:w="1272"/>
      </w:tblGrid>
      <w:tr w14:paraId="14151067" w14:textId="77777777" w:rsidTr="00DB192F">
        <w:tblPrEx>
          <w:tblW w:w="5820" w:type="pct"/>
          <w:tblInd w:w="-815" w:type="dxa"/>
          <w:tblLayout w:type="fixed"/>
          <w:tblLook w:val="04A0"/>
        </w:tblPrEx>
        <w:trPr>
          <w:cantSplit/>
        </w:trPr>
        <w:tc>
          <w:tcPr>
            <w:tcW w:w="545" w:type="dxa"/>
            <w:shd w:val="clear" w:color="auto" w:fill="B4C6E7" w:themeFill="accent5" w:themeFillTint="66"/>
          </w:tcPr>
          <w:p w:rsidR="00937526" w:rsidRPr="00937526" w:rsidP="00A54DB6" w14:paraId="4C33D21E" w14:textId="77777777">
            <w:pPr>
              <w:jc w:val="center"/>
              <w:rPr>
                <w:rFonts w:ascii="Arial" w:hAnsi="Arial" w:cs="Arial"/>
                <w:b/>
                <w:sz w:val="16"/>
                <w:szCs w:val="16"/>
              </w:rPr>
            </w:pPr>
            <w:r w:rsidRPr="00937526">
              <w:rPr>
                <w:rFonts w:ascii="Arial" w:hAnsi="Arial" w:cs="Arial"/>
                <w:b/>
                <w:sz w:val="16"/>
                <w:szCs w:val="16"/>
              </w:rPr>
              <w:t>Item No.</w:t>
            </w:r>
          </w:p>
          <w:p w:rsidR="00937526" w:rsidRPr="00937526" w:rsidP="00937526" w14:paraId="7B10B804" w14:textId="77777777">
            <w:pPr>
              <w:jc w:val="center"/>
              <w:rPr>
                <w:rFonts w:ascii="Arial" w:hAnsi="Arial" w:cs="Arial"/>
                <w:b/>
                <w:sz w:val="16"/>
                <w:szCs w:val="16"/>
              </w:rPr>
            </w:pPr>
          </w:p>
        </w:tc>
        <w:tc>
          <w:tcPr>
            <w:tcW w:w="2514" w:type="dxa"/>
            <w:shd w:val="clear" w:color="auto" w:fill="B4C6E7" w:themeFill="accent5" w:themeFillTint="66"/>
          </w:tcPr>
          <w:p w:rsidR="00937526" w:rsidRPr="00937526" w:rsidP="00937526" w14:paraId="4B70599A" w14:textId="77777777">
            <w:pPr>
              <w:jc w:val="center"/>
              <w:rPr>
                <w:rFonts w:ascii="Arial" w:hAnsi="Arial" w:cs="Arial"/>
                <w:b/>
                <w:sz w:val="16"/>
                <w:szCs w:val="16"/>
              </w:rPr>
            </w:pPr>
            <w:r w:rsidRPr="00937526">
              <w:rPr>
                <w:rFonts w:ascii="Arial" w:hAnsi="Arial" w:cs="Arial"/>
                <w:b/>
                <w:sz w:val="16"/>
                <w:szCs w:val="16"/>
              </w:rPr>
              <w:t>Item</w:t>
            </w:r>
          </w:p>
        </w:tc>
        <w:tc>
          <w:tcPr>
            <w:tcW w:w="1260" w:type="dxa"/>
            <w:shd w:val="clear" w:color="auto" w:fill="B4C6E7" w:themeFill="accent5" w:themeFillTint="66"/>
          </w:tcPr>
          <w:p w:rsidR="00937526" w:rsidRPr="00937526" w:rsidP="00937526" w14:paraId="302A555E" w14:textId="77777777">
            <w:pPr>
              <w:jc w:val="center"/>
              <w:rPr>
                <w:rFonts w:ascii="Arial" w:hAnsi="Arial" w:cs="Arial"/>
                <w:b/>
                <w:sz w:val="16"/>
                <w:szCs w:val="16"/>
              </w:rPr>
            </w:pPr>
            <w:r w:rsidRPr="00937526">
              <w:rPr>
                <w:rFonts w:ascii="Arial" w:hAnsi="Arial" w:cs="Arial"/>
                <w:b/>
                <w:sz w:val="16"/>
                <w:szCs w:val="16"/>
              </w:rPr>
              <w:t>Estimated Annual Respondents</w:t>
            </w:r>
          </w:p>
          <w:p w:rsidR="00937526" w:rsidRPr="00937526" w:rsidP="00A54DB6" w14:paraId="6F7EF692" w14:textId="77777777">
            <w:pPr>
              <w:rPr>
                <w:rFonts w:ascii="Arial" w:hAnsi="Arial" w:cs="Arial"/>
                <w:b/>
                <w:sz w:val="16"/>
                <w:szCs w:val="16"/>
              </w:rPr>
            </w:pPr>
          </w:p>
          <w:p w:rsidR="00937526" w:rsidRPr="00937526" w:rsidP="00937526" w14:paraId="74C643CF" w14:textId="77777777">
            <w:pPr>
              <w:jc w:val="center"/>
              <w:rPr>
                <w:rFonts w:ascii="Arial" w:hAnsi="Arial" w:cs="Arial"/>
                <w:b/>
                <w:sz w:val="16"/>
                <w:szCs w:val="16"/>
              </w:rPr>
            </w:pPr>
          </w:p>
          <w:p w:rsidR="00937526" w:rsidRPr="00937526" w:rsidP="00937526" w14:paraId="7524574E" w14:textId="77777777">
            <w:pPr>
              <w:jc w:val="center"/>
              <w:rPr>
                <w:rFonts w:ascii="Arial" w:hAnsi="Arial" w:cs="Arial"/>
                <w:b/>
                <w:sz w:val="16"/>
                <w:szCs w:val="16"/>
              </w:rPr>
            </w:pPr>
            <w:r w:rsidRPr="00937526">
              <w:rPr>
                <w:rFonts w:ascii="Arial" w:hAnsi="Arial" w:cs="Arial"/>
                <w:b/>
                <w:sz w:val="16"/>
                <w:szCs w:val="16"/>
              </w:rPr>
              <w:t>(a)</w:t>
            </w:r>
          </w:p>
        </w:tc>
        <w:tc>
          <w:tcPr>
            <w:tcW w:w="1170" w:type="dxa"/>
            <w:shd w:val="clear" w:color="auto" w:fill="B4C6E7" w:themeFill="accent5" w:themeFillTint="66"/>
          </w:tcPr>
          <w:p w:rsidR="00937526" w:rsidRPr="00937526" w:rsidP="00937526" w14:paraId="0E3635F6" w14:textId="77777777">
            <w:pPr>
              <w:jc w:val="center"/>
              <w:rPr>
                <w:rFonts w:ascii="Arial" w:hAnsi="Arial" w:cs="Arial"/>
                <w:b/>
                <w:sz w:val="16"/>
                <w:szCs w:val="16"/>
              </w:rPr>
            </w:pPr>
            <w:r w:rsidRPr="00937526">
              <w:rPr>
                <w:rFonts w:ascii="Arial" w:hAnsi="Arial" w:cs="Arial"/>
                <w:b/>
                <w:sz w:val="16"/>
                <w:szCs w:val="16"/>
              </w:rPr>
              <w:t>Responses per Respondent</w:t>
            </w:r>
          </w:p>
          <w:p w:rsidR="00937526" w:rsidRPr="00937526" w:rsidP="00A54DB6" w14:paraId="12FC7D97" w14:textId="77777777">
            <w:pPr>
              <w:rPr>
                <w:rFonts w:ascii="Arial" w:hAnsi="Arial" w:cs="Arial"/>
                <w:b/>
                <w:sz w:val="16"/>
                <w:szCs w:val="16"/>
              </w:rPr>
            </w:pPr>
          </w:p>
          <w:p w:rsidR="00937526" w:rsidRPr="00937526" w:rsidP="00937526" w14:paraId="7B6AB4C9" w14:textId="77777777">
            <w:pPr>
              <w:jc w:val="center"/>
              <w:rPr>
                <w:rFonts w:ascii="Arial" w:hAnsi="Arial" w:cs="Arial"/>
                <w:b/>
                <w:sz w:val="16"/>
                <w:szCs w:val="16"/>
              </w:rPr>
            </w:pPr>
          </w:p>
          <w:p w:rsidR="00937526" w:rsidRPr="00937526" w:rsidP="00937526" w14:paraId="47A6864B" w14:textId="77777777">
            <w:pPr>
              <w:jc w:val="center"/>
              <w:rPr>
                <w:rFonts w:ascii="Arial" w:hAnsi="Arial" w:cs="Arial"/>
                <w:b/>
                <w:sz w:val="16"/>
                <w:szCs w:val="16"/>
              </w:rPr>
            </w:pPr>
            <w:r w:rsidRPr="00937526">
              <w:rPr>
                <w:rFonts w:ascii="Arial" w:hAnsi="Arial" w:cs="Arial"/>
                <w:b/>
                <w:sz w:val="16"/>
                <w:szCs w:val="16"/>
              </w:rPr>
              <w:t>(b)</w:t>
            </w:r>
          </w:p>
        </w:tc>
        <w:tc>
          <w:tcPr>
            <w:tcW w:w="1081" w:type="dxa"/>
            <w:shd w:val="clear" w:color="auto" w:fill="B4C6E7" w:themeFill="accent5" w:themeFillTint="66"/>
          </w:tcPr>
          <w:p w:rsidR="00937526" w:rsidRPr="00937526" w:rsidP="00937526" w14:paraId="5A7ACE13" w14:textId="77777777">
            <w:pPr>
              <w:jc w:val="center"/>
              <w:rPr>
                <w:rFonts w:ascii="Arial" w:hAnsi="Arial" w:cs="Arial"/>
                <w:b/>
                <w:sz w:val="16"/>
                <w:szCs w:val="16"/>
              </w:rPr>
            </w:pPr>
            <w:r w:rsidRPr="00937526">
              <w:rPr>
                <w:rFonts w:ascii="Arial" w:hAnsi="Arial" w:cs="Arial"/>
                <w:b/>
                <w:sz w:val="16"/>
                <w:szCs w:val="16"/>
              </w:rPr>
              <w:t>Estimated Annual Responses</w:t>
            </w:r>
          </w:p>
          <w:p w:rsidR="00937526" w:rsidRPr="00937526" w:rsidP="00937526" w14:paraId="34409F25" w14:textId="77777777">
            <w:pPr>
              <w:jc w:val="center"/>
              <w:rPr>
                <w:rFonts w:ascii="Arial" w:hAnsi="Arial" w:cs="Arial"/>
                <w:b/>
                <w:sz w:val="16"/>
                <w:szCs w:val="16"/>
              </w:rPr>
            </w:pPr>
          </w:p>
          <w:p w:rsidR="00937526" w:rsidRPr="00937526" w:rsidP="00A54DB6" w14:paraId="0973DD5E" w14:textId="77777777">
            <w:pPr>
              <w:rPr>
                <w:rFonts w:ascii="Arial" w:hAnsi="Arial" w:cs="Arial"/>
                <w:b/>
                <w:sz w:val="16"/>
                <w:szCs w:val="16"/>
              </w:rPr>
            </w:pPr>
          </w:p>
          <w:p w:rsidR="00937526" w:rsidRPr="00937526" w:rsidP="00937526" w14:paraId="3D0003F0" w14:textId="77777777">
            <w:pPr>
              <w:jc w:val="center"/>
              <w:rPr>
                <w:rFonts w:ascii="Arial" w:hAnsi="Arial" w:cs="Arial"/>
                <w:b/>
                <w:sz w:val="16"/>
                <w:szCs w:val="16"/>
              </w:rPr>
            </w:pPr>
            <w:r w:rsidRPr="00937526">
              <w:rPr>
                <w:rFonts w:ascii="Arial" w:hAnsi="Arial" w:cs="Arial"/>
                <w:b/>
                <w:sz w:val="16"/>
                <w:szCs w:val="16"/>
              </w:rPr>
              <w:t>(a) x (b) = (c)</w:t>
            </w:r>
          </w:p>
        </w:tc>
        <w:tc>
          <w:tcPr>
            <w:tcW w:w="1170" w:type="dxa"/>
            <w:shd w:val="clear" w:color="auto" w:fill="B4C6E7" w:themeFill="accent5" w:themeFillTint="66"/>
          </w:tcPr>
          <w:p w:rsidR="00937526" w:rsidRPr="00937526" w:rsidP="00937526" w14:paraId="44A3EF25" w14:textId="77777777">
            <w:pPr>
              <w:jc w:val="center"/>
              <w:rPr>
                <w:rFonts w:ascii="Arial" w:hAnsi="Arial" w:cs="Arial"/>
                <w:b/>
                <w:sz w:val="16"/>
                <w:szCs w:val="16"/>
              </w:rPr>
            </w:pPr>
            <w:r w:rsidRPr="00937526">
              <w:rPr>
                <w:rFonts w:ascii="Arial" w:hAnsi="Arial" w:cs="Arial"/>
                <w:b/>
                <w:sz w:val="16"/>
                <w:szCs w:val="16"/>
              </w:rPr>
              <w:t>Estimated Time for Response (hours)</w:t>
            </w:r>
          </w:p>
          <w:p w:rsidR="00937526" w:rsidRPr="00937526" w:rsidP="00A54DB6" w14:paraId="692D30FB" w14:textId="77777777">
            <w:pPr>
              <w:rPr>
                <w:rFonts w:ascii="Arial" w:hAnsi="Arial" w:cs="Arial"/>
                <w:b/>
                <w:sz w:val="16"/>
                <w:szCs w:val="16"/>
              </w:rPr>
            </w:pPr>
          </w:p>
          <w:p w:rsidR="00937526" w:rsidRPr="00937526" w:rsidP="00937526" w14:paraId="05BCFF01" w14:textId="77777777">
            <w:pPr>
              <w:jc w:val="center"/>
              <w:rPr>
                <w:rFonts w:ascii="Arial" w:hAnsi="Arial" w:cs="Arial"/>
                <w:b/>
                <w:sz w:val="16"/>
                <w:szCs w:val="16"/>
              </w:rPr>
            </w:pPr>
            <w:r w:rsidRPr="00937526">
              <w:rPr>
                <w:rFonts w:ascii="Arial" w:hAnsi="Arial" w:cs="Arial"/>
                <w:b/>
                <w:sz w:val="16"/>
                <w:szCs w:val="16"/>
              </w:rPr>
              <w:t>(d)</w:t>
            </w:r>
          </w:p>
        </w:tc>
        <w:tc>
          <w:tcPr>
            <w:tcW w:w="1084" w:type="dxa"/>
            <w:shd w:val="clear" w:color="auto" w:fill="B4C6E7" w:themeFill="accent5" w:themeFillTint="66"/>
          </w:tcPr>
          <w:p w:rsidR="00937526" w:rsidRPr="00937526" w:rsidP="00937526" w14:paraId="3E8F7978" w14:textId="77777777">
            <w:pPr>
              <w:jc w:val="center"/>
              <w:rPr>
                <w:rFonts w:ascii="Arial" w:hAnsi="Arial" w:cs="Arial"/>
                <w:b/>
                <w:sz w:val="16"/>
                <w:szCs w:val="16"/>
              </w:rPr>
            </w:pPr>
            <w:r w:rsidRPr="00937526">
              <w:rPr>
                <w:rFonts w:ascii="Arial" w:hAnsi="Arial" w:cs="Arial"/>
                <w:b/>
                <w:sz w:val="16"/>
                <w:szCs w:val="16"/>
              </w:rPr>
              <w:t>Estimated Burden (hour/year)</w:t>
            </w:r>
          </w:p>
          <w:p w:rsidR="00937526" w:rsidRPr="00937526" w:rsidP="00937526" w14:paraId="2133BB99" w14:textId="77777777">
            <w:pPr>
              <w:jc w:val="center"/>
              <w:rPr>
                <w:rFonts w:ascii="Arial" w:hAnsi="Arial" w:cs="Arial"/>
                <w:b/>
                <w:sz w:val="16"/>
                <w:szCs w:val="16"/>
              </w:rPr>
            </w:pPr>
          </w:p>
          <w:p w:rsidR="00937526" w:rsidRPr="00937526" w:rsidP="00A54DB6" w14:paraId="0D4D8AAE" w14:textId="77777777">
            <w:pPr>
              <w:rPr>
                <w:rFonts w:ascii="Arial" w:hAnsi="Arial" w:cs="Arial"/>
                <w:b/>
                <w:sz w:val="16"/>
                <w:szCs w:val="16"/>
              </w:rPr>
            </w:pPr>
          </w:p>
          <w:p w:rsidR="00937526" w:rsidRPr="00937526" w:rsidP="00937526" w14:paraId="72CDDF9E" w14:textId="77777777">
            <w:pPr>
              <w:jc w:val="center"/>
              <w:rPr>
                <w:rFonts w:ascii="Arial" w:hAnsi="Arial" w:cs="Arial"/>
                <w:b/>
                <w:sz w:val="16"/>
                <w:szCs w:val="16"/>
              </w:rPr>
            </w:pPr>
            <w:r w:rsidRPr="00937526">
              <w:rPr>
                <w:rFonts w:ascii="Arial" w:hAnsi="Arial" w:cs="Arial"/>
                <w:b/>
                <w:sz w:val="16"/>
                <w:szCs w:val="16"/>
              </w:rPr>
              <w:t>(c) x (d) = (e)</w:t>
            </w:r>
          </w:p>
        </w:tc>
        <w:tc>
          <w:tcPr>
            <w:tcW w:w="787" w:type="dxa"/>
            <w:shd w:val="clear" w:color="auto" w:fill="B4C6E7" w:themeFill="accent5" w:themeFillTint="66"/>
          </w:tcPr>
          <w:p w:rsidR="00937526" w:rsidRPr="00937526" w:rsidP="00937526" w14:paraId="5F08A942" w14:textId="77777777">
            <w:pPr>
              <w:jc w:val="center"/>
              <w:rPr>
                <w:rFonts w:ascii="Arial" w:hAnsi="Arial" w:cs="Arial"/>
                <w:b/>
                <w:sz w:val="16"/>
                <w:szCs w:val="16"/>
              </w:rPr>
            </w:pPr>
            <w:r w:rsidRPr="00937526">
              <w:rPr>
                <w:rFonts w:ascii="Arial" w:hAnsi="Arial" w:cs="Arial"/>
                <w:b/>
                <w:sz w:val="16"/>
                <w:szCs w:val="16"/>
              </w:rPr>
              <w:t>Rate</w:t>
            </w:r>
            <w:r>
              <w:rPr>
                <w:rFonts w:ascii="Arial" w:hAnsi="Arial" w:cs="Arial"/>
                <w:b/>
                <w:sz w:val="16"/>
                <w:szCs w:val="16"/>
                <w:vertAlign w:val="superscript"/>
              </w:rPr>
              <w:footnoteReference w:id="6"/>
            </w:r>
          </w:p>
          <w:p w:rsidR="00937526" w:rsidRPr="00937526" w:rsidP="00937526" w14:paraId="6A52225D" w14:textId="77777777">
            <w:pPr>
              <w:jc w:val="center"/>
              <w:rPr>
                <w:rFonts w:ascii="Arial" w:hAnsi="Arial" w:cs="Arial"/>
                <w:b/>
                <w:sz w:val="16"/>
                <w:szCs w:val="16"/>
              </w:rPr>
            </w:pPr>
          </w:p>
          <w:p w:rsidR="00937526" w:rsidRPr="00937526" w:rsidP="00937526" w14:paraId="6BFD3E5F" w14:textId="77777777">
            <w:pPr>
              <w:jc w:val="center"/>
              <w:rPr>
                <w:rFonts w:ascii="Arial" w:hAnsi="Arial" w:cs="Arial"/>
                <w:b/>
                <w:sz w:val="16"/>
                <w:szCs w:val="16"/>
              </w:rPr>
            </w:pPr>
          </w:p>
          <w:p w:rsidR="00937526" w:rsidRPr="00937526" w:rsidP="00937526" w14:paraId="6D4EB4A0" w14:textId="77777777">
            <w:pPr>
              <w:jc w:val="center"/>
              <w:rPr>
                <w:rFonts w:ascii="Arial" w:hAnsi="Arial" w:cs="Arial"/>
                <w:b/>
                <w:sz w:val="16"/>
                <w:szCs w:val="16"/>
              </w:rPr>
            </w:pPr>
          </w:p>
          <w:p w:rsidR="00937526" w:rsidRPr="00937526" w:rsidP="00A54DB6" w14:paraId="2C42A60F" w14:textId="77777777">
            <w:pPr>
              <w:rPr>
                <w:rFonts w:ascii="Arial" w:hAnsi="Arial" w:cs="Arial"/>
                <w:b/>
                <w:sz w:val="16"/>
                <w:szCs w:val="16"/>
              </w:rPr>
            </w:pPr>
          </w:p>
          <w:p w:rsidR="00937526" w:rsidRPr="00937526" w:rsidP="00937526" w14:paraId="13E964E5" w14:textId="77777777">
            <w:pPr>
              <w:jc w:val="center"/>
              <w:rPr>
                <w:rFonts w:ascii="Arial" w:hAnsi="Arial" w:cs="Arial"/>
                <w:b/>
                <w:sz w:val="16"/>
                <w:szCs w:val="16"/>
              </w:rPr>
            </w:pPr>
            <w:r w:rsidRPr="00937526">
              <w:rPr>
                <w:rFonts w:ascii="Arial" w:hAnsi="Arial" w:cs="Arial"/>
                <w:b/>
                <w:sz w:val="16"/>
                <w:szCs w:val="16"/>
              </w:rPr>
              <w:t>(f)</w:t>
            </w:r>
          </w:p>
        </w:tc>
        <w:tc>
          <w:tcPr>
            <w:tcW w:w="1272" w:type="dxa"/>
            <w:shd w:val="clear" w:color="auto" w:fill="B4C6E7" w:themeFill="accent5" w:themeFillTint="66"/>
          </w:tcPr>
          <w:p w:rsidR="00937526" w:rsidRPr="00937526" w:rsidP="00937526" w14:paraId="7BD057B1" w14:textId="77777777">
            <w:pPr>
              <w:jc w:val="center"/>
              <w:rPr>
                <w:rFonts w:ascii="Arial" w:hAnsi="Arial" w:cs="Arial"/>
                <w:b/>
                <w:sz w:val="16"/>
                <w:szCs w:val="16"/>
              </w:rPr>
            </w:pPr>
            <w:r w:rsidRPr="00937526">
              <w:rPr>
                <w:rFonts w:ascii="Arial" w:hAnsi="Arial" w:cs="Arial"/>
                <w:b/>
                <w:sz w:val="16"/>
                <w:szCs w:val="16"/>
              </w:rPr>
              <w:t>Estimated Annual Respondent  Cost Burden</w:t>
            </w:r>
          </w:p>
          <w:p w:rsidR="00937526" w:rsidRPr="00937526" w:rsidP="00A54DB6" w14:paraId="42E209A2" w14:textId="77777777">
            <w:pPr>
              <w:rPr>
                <w:rFonts w:ascii="Arial" w:hAnsi="Arial" w:cs="Arial"/>
                <w:b/>
                <w:sz w:val="16"/>
                <w:szCs w:val="16"/>
              </w:rPr>
            </w:pPr>
          </w:p>
          <w:p w:rsidR="00937526" w:rsidRPr="00937526" w:rsidP="00937526" w14:paraId="74985C2D" w14:textId="77777777">
            <w:pPr>
              <w:jc w:val="center"/>
              <w:rPr>
                <w:rFonts w:ascii="Arial" w:hAnsi="Arial" w:cs="Arial"/>
                <w:b/>
                <w:sz w:val="16"/>
                <w:szCs w:val="16"/>
              </w:rPr>
            </w:pPr>
            <w:r w:rsidRPr="00937526">
              <w:rPr>
                <w:rFonts w:ascii="Arial" w:hAnsi="Arial" w:cs="Arial"/>
                <w:b/>
                <w:sz w:val="16"/>
                <w:szCs w:val="16"/>
              </w:rPr>
              <w:t>(e) x (f) = (g)</w:t>
            </w:r>
          </w:p>
        </w:tc>
      </w:tr>
      <w:tr w14:paraId="123029EA" w14:textId="77777777" w:rsidTr="00DB192F">
        <w:tblPrEx>
          <w:tblW w:w="5820" w:type="pct"/>
          <w:tblInd w:w="-815" w:type="dxa"/>
          <w:tblLayout w:type="fixed"/>
          <w:tblLook w:val="04A0"/>
        </w:tblPrEx>
        <w:trPr>
          <w:cantSplit/>
        </w:trPr>
        <w:tc>
          <w:tcPr>
            <w:tcW w:w="545" w:type="dxa"/>
            <w:vAlign w:val="center"/>
          </w:tcPr>
          <w:p w:rsidR="00937526" w:rsidRPr="00937526" w:rsidP="00937526" w14:paraId="0723022F" w14:textId="77777777">
            <w:pPr>
              <w:jc w:val="center"/>
              <w:rPr>
                <w:rFonts w:ascii="Arial" w:hAnsi="Arial" w:cs="Arial"/>
                <w:b/>
                <w:sz w:val="16"/>
                <w:szCs w:val="16"/>
              </w:rPr>
            </w:pPr>
          </w:p>
          <w:p w:rsidR="00937526" w:rsidRPr="00937526" w:rsidP="00937526" w14:paraId="6517727B" w14:textId="77777777">
            <w:pPr>
              <w:jc w:val="center"/>
              <w:rPr>
                <w:rFonts w:ascii="Arial" w:hAnsi="Arial" w:cs="Arial"/>
                <w:b/>
                <w:sz w:val="16"/>
                <w:szCs w:val="16"/>
              </w:rPr>
            </w:pPr>
            <w:r w:rsidRPr="00937526">
              <w:rPr>
                <w:rFonts w:ascii="Arial" w:hAnsi="Arial" w:cs="Arial"/>
                <w:b/>
                <w:sz w:val="16"/>
                <w:szCs w:val="16"/>
              </w:rPr>
              <w:t>1</w:t>
            </w:r>
          </w:p>
          <w:p w:rsidR="00937526" w:rsidRPr="00937526" w:rsidP="00937526" w14:paraId="4F8FB55F" w14:textId="77777777">
            <w:pPr>
              <w:jc w:val="center"/>
              <w:rPr>
                <w:rFonts w:ascii="Arial" w:hAnsi="Arial" w:cs="Arial"/>
                <w:b/>
                <w:sz w:val="16"/>
                <w:szCs w:val="16"/>
              </w:rPr>
            </w:pPr>
          </w:p>
        </w:tc>
        <w:tc>
          <w:tcPr>
            <w:tcW w:w="2514" w:type="dxa"/>
            <w:vAlign w:val="center"/>
          </w:tcPr>
          <w:p w:rsidR="00937526" w:rsidRPr="00937526" w:rsidP="00937526" w14:paraId="572DCB70" w14:textId="0CB114DB">
            <w:pPr>
              <w:rPr>
                <w:rFonts w:ascii="Arial" w:hAnsi="Arial" w:cs="Arial"/>
                <w:sz w:val="16"/>
                <w:szCs w:val="16"/>
              </w:rPr>
            </w:pPr>
            <w:r>
              <w:rPr>
                <w:rFonts w:ascii="Arial" w:hAnsi="Arial" w:cs="Arial"/>
                <w:sz w:val="16"/>
                <w:szCs w:val="16"/>
              </w:rPr>
              <w:t xml:space="preserve">Patents External Quality </w:t>
            </w:r>
            <w:r w:rsidR="00A51A19">
              <w:rPr>
                <w:rFonts w:ascii="Arial" w:hAnsi="Arial" w:cs="Arial"/>
                <w:sz w:val="16"/>
                <w:szCs w:val="16"/>
              </w:rPr>
              <w:t>Survey (includes both waves)</w:t>
            </w:r>
          </w:p>
        </w:tc>
        <w:tc>
          <w:tcPr>
            <w:tcW w:w="1260" w:type="dxa"/>
            <w:vAlign w:val="center"/>
          </w:tcPr>
          <w:p w:rsidR="00937526" w:rsidRPr="00937526" w:rsidP="00937526" w14:paraId="12E25DEF" w14:textId="0079D241">
            <w:pPr>
              <w:jc w:val="right"/>
              <w:rPr>
                <w:rFonts w:ascii="Arial" w:hAnsi="Arial" w:cs="Arial"/>
                <w:sz w:val="16"/>
                <w:szCs w:val="16"/>
              </w:rPr>
            </w:pPr>
            <w:r>
              <w:rPr>
                <w:rFonts w:ascii="Arial" w:hAnsi="Arial" w:cs="Arial"/>
                <w:sz w:val="16"/>
                <w:szCs w:val="16"/>
              </w:rPr>
              <w:t>1,250</w:t>
            </w:r>
          </w:p>
        </w:tc>
        <w:tc>
          <w:tcPr>
            <w:tcW w:w="1170" w:type="dxa"/>
            <w:vAlign w:val="center"/>
          </w:tcPr>
          <w:p w:rsidR="00937526" w:rsidRPr="00937526" w:rsidP="00937526" w14:paraId="113A4FED" w14:textId="77777777">
            <w:pPr>
              <w:jc w:val="right"/>
              <w:rPr>
                <w:rFonts w:ascii="Arial" w:hAnsi="Arial" w:cs="Arial"/>
                <w:sz w:val="16"/>
                <w:szCs w:val="16"/>
              </w:rPr>
            </w:pPr>
            <w:r w:rsidRPr="00937526">
              <w:rPr>
                <w:rFonts w:ascii="Arial" w:hAnsi="Arial" w:cs="Arial"/>
                <w:sz w:val="16"/>
                <w:szCs w:val="16"/>
              </w:rPr>
              <w:t>1</w:t>
            </w:r>
          </w:p>
        </w:tc>
        <w:tc>
          <w:tcPr>
            <w:tcW w:w="1081" w:type="dxa"/>
            <w:vAlign w:val="center"/>
          </w:tcPr>
          <w:p w:rsidR="00937526" w:rsidRPr="00937526" w:rsidP="00937526" w14:paraId="0518F01F" w14:textId="5C83C008">
            <w:pPr>
              <w:jc w:val="right"/>
              <w:rPr>
                <w:rFonts w:ascii="Arial" w:hAnsi="Arial" w:cs="Arial"/>
                <w:sz w:val="16"/>
                <w:szCs w:val="16"/>
              </w:rPr>
            </w:pPr>
            <w:r>
              <w:rPr>
                <w:rFonts w:ascii="Arial" w:hAnsi="Arial" w:cs="Arial"/>
                <w:sz w:val="16"/>
                <w:szCs w:val="16"/>
              </w:rPr>
              <w:t>1,250</w:t>
            </w:r>
          </w:p>
        </w:tc>
        <w:tc>
          <w:tcPr>
            <w:tcW w:w="1170" w:type="dxa"/>
            <w:vAlign w:val="center"/>
          </w:tcPr>
          <w:p w:rsidR="00DB192F" w:rsidP="00937526" w14:paraId="316F44CA" w14:textId="77777777">
            <w:pPr>
              <w:jc w:val="right"/>
              <w:rPr>
                <w:rFonts w:ascii="Arial" w:hAnsi="Arial" w:cs="Arial"/>
                <w:sz w:val="16"/>
                <w:szCs w:val="16"/>
              </w:rPr>
            </w:pPr>
            <w:r w:rsidRPr="49F0B053">
              <w:rPr>
                <w:rFonts w:ascii="Arial" w:hAnsi="Arial" w:cs="Arial"/>
                <w:sz w:val="16"/>
                <w:szCs w:val="16"/>
              </w:rPr>
              <w:t>0.1</w:t>
            </w:r>
            <w:r w:rsidRPr="49F0B053" w:rsidR="5273C7B6">
              <w:rPr>
                <w:rFonts w:ascii="Arial" w:hAnsi="Arial" w:cs="Arial"/>
                <w:sz w:val="16"/>
                <w:szCs w:val="16"/>
              </w:rPr>
              <w:t>6</w:t>
            </w:r>
            <w:r w:rsidRPr="49F0B053">
              <w:rPr>
                <w:rFonts w:ascii="Arial" w:hAnsi="Arial" w:cs="Arial"/>
                <w:sz w:val="16"/>
                <w:szCs w:val="16"/>
              </w:rPr>
              <w:t xml:space="preserve"> </w:t>
            </w:r>
          </w:p>
          <w:p w:rsidR="00937526" w:rsidRPr="00937526" w:rsidP="00937526" w14:paraId="28C09181" w14:textId="1FCA5D70">
            <w:pPr>
              <w:jc w:val="right"/>
              <w:rPr>
                <w:rFonts w:ascii="Arial" w:hAnsi="Arial" w:cs="Arial"/>
                <w:sz w:val="16"/>
                <w:szCs w:val="16"/>
              </w:rPr>
            </w:pPr>
            <w:r w:rsidRPr="49F0B053">
              <w:rPr>
                <w:rFonts w:ascii="Arial" w:hAnsi="Arial" w:cs="Arial"/>
                <w:sz w:val="16"/>
                <w:szCs w:val="16"/>
              </w:rPr>
              <w:t>(10 minutes)</w:t>
            </w:r>
          </w:p>
        </w:tc>
        <w:tc>
          <w:tcPr>
            <w:tcW w:w="1084" w:type="dxa"/>
            <w:vAlign w:val="center"/>
          </w:tcPr>
          <w:p w:rsidR="00937526" w:rsidRPr="00937526" w:rsidP="00937526" w14:paraId="7E9ADD33" w14:textId="456AEA7E">
            <w:pPr>
              <w:jc w:val="right"/>
              <w:rPr>
                <w:rFonts w:ascii="Arial" w:hAnsi="Arial" w:cs="Arial"/>
                <w:sz w:val="16"/>
                <w:szCs w:val="16"/>
              </w:rPr>
            </w:pPr>
            <w:r>
              <w:rPr>
                <w:rFonts w:ascii="Arial" w:hAnsi="Arial" w:cs="Arial"/>
                <w:sz w:val="16"/>
                <w:szCs w:val="16"/>
              </w:rPr>
              <w:t>208</w:t>
            </w:r>
          </w:p>
        </w:tc>
        <w:tc>
          <w:tcPr>
            <w:tcW w:w="787" w:type="dxa"/>
            <w:vAlign w:val="center"/>
          </w:tcPr>
          <w:p w:rsidR="00937526" w:rsidRPr="00937526" w:rsidP="00937526" w14:paraId="1624D77B" w14:textId="50CC4A53">
            <w:pPr>
              <w:jc w:val="right"/>
              <w:rPr>
                <w:rFonts w:ascii="Arial" w:hAnsi="Arial" w:cs="Arial"/>
                <w:sz w:val="16"/>
                <w:szCs w:val="16"/>
              </w:rPr>
            </w:pPr>
            <w:r w:rsidRPr="00937526">
              <w:rPr>
                <w:rFonts w:ascii="Arial" w:hAnsi="Arial" w:cs="Arial"/>
                <w:sz w:val="16"/>
                <w:szCs w:val="16"/>
              </w:rPr>
              <w:t>$</w:t>
            </w:r>
            <w:r w:rsidRPr="00937526" w:rsidR="001968F9">
              <w:rPr>
                <w:rFonts w:ascii="Arial" w:hAnsi="Arial" w:cs="Arial"/>
                <w:sz w:val="16"/>
                <w:szCs w:val="16"/>
              </w:rPr>
              <w:t>4</w:t>
            </w:r>
            <w:r w:rsidR="001968F9">
              <w:rPr>
                <w:rFonts w:ascii="Arial" w:hAnsi="Arial" w:cs="Arial"/>
                <w:sz w:val="16"/>
                <w:szCs w:val="16"/>
              </w:rPr>
              <w:t>47</w:t>
            </w:r>
          </w:p>
        </w:tc>
        <w:tc>
          <w:tcPr>
            <w:tcW w:w="1272" w:type="dxa"/>
            <w:vAlign w:val="center"/>
          </w:tcPr>
          <w:p w:rsidR="00937526" w:rsidRPr="00937526" w:rsidP="00937526" w14:paraId="1E6B372B" w14:textId="31B2C52E">
            <w:pPr>
              <w:jc w:val="right"/>
              <w:rPr>
                <w:rFonts w:ascii="Arial" w:hAnsi="Arial" w:cs="Arial"/>
                <w:sz w:val="16"/>
                <w:szCs w:val="16"/>
              </w:rPr>
            </w:pPr>
            <w:r w:rsidRPr="00937526">
              <w:rPr>
                <w:rFonts w:ascii="Arial" w:hAnsi="Arial" w:cs="Arial"/>
                <w:sz w:val="16"/>
                <w:szCs w:val="16"/>
              </w:rPr>
              <w:t>$</w:t>
            </w:r>
            <w:r w:rsidRPr="00AE06F8" w:rsidR="00AE06F8">
              <w:rPr>
                <w:rFonts w:ascii="Arial" w:hAnsi="Arial" w:cs="Arial"/>
                <w:sz w:val="16"/>
                <w:szCs w:val="16"/>
              </w:rPr>
              <w:t>92,976</w:t>
            </w:r>
          </w:p>
        </w:tc>
      </w:tr>
      <w:tr w14:paraId="4D51208B" w14:textId="77777777" w:rsidTr="00DB192F">
        <w:tblPrEx>
          <w:tblW w:w="5820" w:type="pct"/>
          <w:tblInd w:w="-815" w:type="dxa"/>
          <w:tblLayout w:type="fixed"/>
          <w:tblLook w:val="04A0"/>
        </w:tblPrEx>
        <w:trPr>
          <w:cantSplit/>
          <w:trHeight w:val="314"/>
        </w:trPr>
        <w:tc>
          <w:tcPr>
            <w:tcW w:w="545" w:type="dxa"/>
            <w:vAlign w:val="center"/>
          </w:tcPr>
          <w:p w:rsidR="00A8585A" w:rsidRPr="00937526" w:rsidP="00A8585A" w14:paraId="13318630" w14:textId="77777777">
            <w:pPr>
              <w:jc w:val="center"/>
              <w:rPr>
                <w:rFonts w:ascii="Arial" w:hAnsi="Arial" w:cs="Arial"/>
                <w:b/>
                <w:sz w:val="16"/>
                <w:szCs w:val="16"/>
              </w:rPr>
            </w:pPr>
          </w:p>
          <w:p w:rsidR="00A8585A" w:rsidRPr="00937526" w:rsidP="00A8585A" w14:paraId="6DF59D40" w14:textId="77777777">
            <w:pPr>
              <w:jc w:val="center"/>
              <w:rPr>
                <w:rFonts w:ascii="Arial" w:hAnsi="Arial" w:cs="Arial"/>
                <w:b/>
                <w:sz w:val="16"/>
                <w:szCs w:val="16"/>
              </w:rPr>
            </w:pPr>
          </w:p>
          <w:p w:rsidR="00A8585A" w:rsidRPr="00937526" w:rsidP="00A8585A" w14:paraId="029E9AD6" w14:textId="77777777">
            <w:pPr>
              <w:jc w:val="center"/>
              <w:rPr>
                <w:rFonts w:ascii="Arial" w:hAnsi="Arial" w:cs="Arial"/>
                <w:b/>
                <w:sz w:val="16"/>
                <w:szCs w:val="16"/>
              </w:rPr>
            </w:pPr>
          </w:p>
        </w:tc>
        <w:tc>
          <w:tcPr>
            <w:tcW w:w="2514" w:type="dxa"/>
            <w:vAlign w:val="center"/>
          </w:tcPr>
          <w:p w:rsidR="00A8585A" w:rsidRPr="00937526" w:rsidP="00A8585A" w14:paraId="19A6BD84" w14:textId="52DCA575">
            <w:pPr>
              <w:rPr>
                <w:rFonts w:ascii="Arial" w:hAnsi="Arial" w:cs="Arial"/>
                <w:b/>
                <w:sz w:val="16"/>
                <w:szCs w:val="16"/>
              </w:rPr>
            </w:pPr>
            <w:r w:rsidRPr="00937526">
              <w:rPr>
                <w:rFonts w:ascii="Arial" w:hAnsi="Arial" w:cs="Arial"/>
                <w:b/>
                <w:sz w:val="16"/>
                <w:szCs w:val="16"/>
              </w:rPr>
              <w:t>Total</w:t>
            </w:r>
            <w:r>
              <w:rPr>
                <w:rFonts w:ascii="Arial" w:hAnsi="Arial" w:cs="Arial"/>
                <w:b/>
                <w:sz w:val="16"/>
                <w:szCs w:val="16"/>
              </w:rPr>
              <w:t>s</w:t>
            </w:r>
          </w:p>
        </w:tc>
        <w:tc>
          <w:tcPr>
            <w:tcW w:w="1260" w:type="dxa"/>
            <w:vAlign w:val="center"/>
          </w:tcPr>
          <w:p w:rsidR="00A8585A" w:rsidRPr="00A8585A" w:rsidP="00A8585A" w14:paraId="2CC12628" w14:textId="5C131D19">
            <w:pPr>
              <w:jc w:val="right"/>
              <w:rPr>
                <w:rFonts w:ascii="Arial" w:hAnsi="Arial" w:cs="Arial"/>
                <w:b/>
                <w:sz w:val="16"/>
                <w:szCs w:val="16"/>
              </w:rPr>
            </w:pPr>
            <w:r>
              <w:rPr>
                <w:rFonts w:ascii="Arial" w:hAnsi="Arial" w:cs="Arial"/>
                <w:b/>
                <w:sz w:val="16"/>
                <w:szCs w:val="16"/>
              </w:rPr>
              <w:t>1,250</w:t>
            </w:r>
          </w:p>
        </w:tc>
        <w:tc>
          <w:tcPr>
            <w:tcW w:w="1170" w:type="dxa"/>
            <w:vAlign w:val="center"/>
          </w:tcPr>
          <w:p w:rsidR="00A8585A" w:rsidRPr="00937526" w:rsidP="00A8585A" w14:paraId="08E195AA" w14:textId="0BB1FB1F">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081" w:type="dxa"/>
            <w:vAlign w:val="center"/>
          </w:tcPr>
          <w:p w:rsidR="00A8585A" w:rsidRPr="00937526" w:rsidP="00A8585A" w14:paraId="51375906" w14:textId="64503C25">
            <w:pPr>
              <w:jc w:val="right"/>
              <w:rPr>
                <w:rFonts w:ascii="Arial" w:hAnsi="Arial" w:cs="Arial"/>
                <w:b/>
                <w:sz w:val="16"/>
                <w:szCs w:val="16"/>
              </w:rPr>
            </w:pPr>
            <w:r>
              <w:rPr>
                <w:rFonts w:ascii="Arial" w:hAnsi="Arial" w:cs="Arial"/>
                <w:b/>
                <w:sz w:val="16"/>
                <w:szCs w:val="16"/>
              </w:rPr>
              <w:t>1</w:t>
            </w:r>
            <w:r w:rsidRPr="00937526">
              <w:rPr>
                <w:rFonts w:ascii="Arial" w:hAnsi="Arial" w:cs="Arial"/>
                <w:b/>
                <w:sz w:val="16"/>
                <w:szCs w:val="16"/>
              </w:rPr>
              <w:t>,</w:t>
            </w:r>
            <w:r w:rsidR="00277F7B">
              <w:rPr>
                <w:rFonts w:ascii="Arial" w:hAnsi="Arial" w:cs="Arial"/>
                <w:b/>
                <w:sz w:val="16"/>
                <w:szCs w:val="16"/>
              </w:rPr>
              <w:t>250</w:t>
            </w:r>
          </w:p>
        </w:tc>
        <w:tc>
          <w:tcPr>
            <w:tcW w:w="1170" w:type="dxa"/>
            <w:vAlign w:val="center"/>
          </w:tcPr>
          <w:p w:rsidR="00A8585A" w:rsidRPr="00937526" w:rsidP="00A8585A" w14:paraId="535F12D8" w14:textId="5E9BA36F">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084" w:type="dxa"/>
            <w:vAlign w:val="center"/>
          </w:tcPr>
          <w:p w:rsidR="00A8585A" w:rsidRPr="00937526" w:rsidP="00A8585A" w14:paraId="0162D63E" w14:textId="75203F24">
            <w:pPr>
              <w:jc w:val="right"/>
              <w:rPr>
                <w:rFonts w:ascii="Arial" w:hAnsi="Arial" w:cs="Arial"/>
                <w:b/>
                <w:sz w:val="16"/>
                <w:szCs w:val="16"/>
              </w:rPr>
            </w:pPr>
            <w:r>
              <w:rPr>
                <w:rFonts w:ascii="Arial" w:hAnsi="Arial" w:cs="Arial"/>
                <w:b/>
                <w:sz w:val="16"/>
                <w:szCs w:val="16"/>
              </w:rPr>
              <w:t>208</w:t>
            </w:r>
          </w:p>
        </w:tc>
        <w:tc>
          <w:tcPr>
            <w:tcW w:w="787" w:type="dxa"/>
            <w:vAlign w:val="center"/>
          </w:tcPr>
          <w:p w:rsidR="00A8585A" w:rsidRPr="00937526" w:rsidP="00A8585A" w14:paraId="47C1BFF8" w14:textId="22565CF3">
            <w:pPr>
              <w:jc w:val="right"/>
              <w:rPr>
                <w:rFonts w:ascii="Arial" w:hAnsi="Arial" w:cs="Arial"/>
                <w:b/>
                <w:sz w:val="16"/>
                <w:szCs w:val="16"/>
              </w:rPr>
            </w:pP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r>
              <w:rPr>
                <w:rFonts w:ascii="Arial" w:hAnsi="Arial" w:cs="Arial"/>
                <w:b/>
                <w:sz w:val="16"/>
                <w:szCs w:val="16"/>
              </w:rPr>
              <w:t xml:space="preserve"> </w:t>
            </w:r>
            <w:r w:rsidRPr="00937526">
              <w:rPr>
                <w:rFonts w:ascii="Arial" w:hAnsi="Arial" w:cs="Arial"/>
                <w:b/>
                <w:sz w:val="16"/>
                <w:szCs w:val="16"/>
              </w:rPr>
              <w:t>-</w:t>
            </w:r>
          </w:p>
        </w:tc>
        <w:tc>
          <w:tcPr>
            <w:tcW w:w="1272" w:type="dxa"/>
            <w:vAlign w:val="center"/>
          </w:tcPr>
          <w:p w:rsidR="00A8585A" w:rsidRPr="00937526" w:rsidP="00A8585A" w14:paraId="6EEE76D1" w14:textId="712330E6">
            <w:pPr>
              <w:jc w:val="right"/>
              <w:rPr>
                <w:rFonts w:ascii="Arial" w:hAnsi="Arial" w:cs="Arial"/>
                <w:b/>
                <w:sz w:val="16"/>
                <w:szCs w:val="16"/>
              </w:rPr>
            </w:pPr>
            <w:r w:rsidRPr="00937526">
              <w:rPr>
                <w:rFonts w:ascii="Arial" w:hAnsi="Arial" w:cs="Arial"/>
                <w:b/>
                <w:sz w:val="16"/>
                <w:szCs w:val="16"/>
              </w:rPr>
              <w:t>$</w:t>
            </w:r>
            <w:r w:rsidRPr="00AE06F8" w:rsidR="00AE06F8">
              <w:rPr>
                <w:rFonts w:ascii="Arial" w:hAnsi="Arial" w:cs="Arial"/>
                <w:b/>
                <w:sz w:val="16"/>
                <w:szCs w:val="16"/>
              </w:rPr>
              <w:t>92,976</w:t>
            </w:r>
          </w:p>
        </w:tc>
      </w:tr>
    </w:tbl>
    <w:p w:rsidR="0099732F" w14:paraId="0A7D28B8" w14:textId="77777777">
      <w:pPr>
        <w:rPr>
          <w:rFonts w:ascii="Arial" w:hAnsi="Arial"/>
          <w:sz w:val="24"/>
        </w:rPr>
      </w:pPr>
    </w:p>
    <w:p w:rsidR="00C62EAE" w:rsidRPr="001D603D" w:rsidP="00A54DB6" w14:paraId="7E8FDFA0" w14:textId="76BD37C3">
      <w:pPr>
        <w:ind w:left="360" w:hanging="360"/>
        <w:jc w:val="both"/>
        <w:rPr>
          <w:rFonts w:ascii="Arial" w:hAnsi="Arial" w:cs="Arial"/>
          <w:b/>
          <w:sz w:val="24"/>
          <w:szCs w:val="24"/>
          <w:lang w:val="en-GB"/>
        </w:rPr>
      </w:pPr>
      <w:r>
        <w:rPr>
          <w:rFonts w:ascii="Arial" w:hAnsi="Arial"/>
          <w:b/>
          <w:sz w:val="24"/>
        </w:rPr>
        <w:t>13.</w:t>
      </w:r>
      <w:r>
        <w:rPr>
          <w:rFonts w:ascii="Arial" w:hAnsi="Arial"/>
          <w:b/>
          <w:sz w:val="24"/>
        </w:rPr>
        <w:tab/>
      </w:r>
      <w:bookmarkStart w:id="4" w:name="_Hlk82672492"/>
      <w:r w:rsidRPr="001D603D">
        <w:rPr>
          <w:rFonts w:ascii="Arial" w:hAnsi="Arial" w:cs="Arial"/>
          <w:b/>
          <w:sz w:val="24"/>
          <w:szCs w:val="24"/>
          <w:lang w:val="en-GB"/>
        </w:rPr>
        <w:t>Provide an estimate for the total annual cost burden to respondents or record keepers resulting from the collection of information. (Do not include the cost of any hour burden already reflected on the burden worksheet).</w:t>
      </w:r>
    </w:p>
    <w:p w:rsidR="00C62EAE" w:rsidRPr="001D603D" w:rsidP="00A54DB6" w14:paraId="7082F396" w14:textId="77777777">
      <w:pPr>
        <w:numPr>
          <w:ilvl w:val="0"/>
          <w:numId w:val="28"/>
        </w:numPr>
        <w:tabs>
          <w:tab w:val="clear" w:pos="720"/>
        </w:tabs>
        <w:ind w:left="630" w:hanging="270"/>
        <w:jc w:val="both"/>
        <w:rPr>
          <w:rFonts w:ascii="Arial" w:hAnsi="Arial" w:cs="Arial"/>
          <w:b/>
          <w:sz w:val="24"/>
          <w:szCs w:val="24"/>
        </w:rPr>
      </w:pPr>
      <w:r w:rsidRPr="00E3728A">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w:t>
      </w:r>
      <w:r w:rsidRPr="006009F5">
        <w:rPr>
          <w:rFonts w:ascii="Arial" w:hAnsi="Arial" w:cs="Arial"/>
          <w:b/>
          <w:sz w:val="24"/>
          <w:szCs w:val="24"/>
        </w:rPr>
        <w:t>ponent. The estimates should take into account costs associated with generating, maintaining, and disclosing or providing the information. Include descriptions of methods used to estimate major cost factors including system and technology acquisition, expe</w:t>
      </w:r>
      <w:r w:rsidRPr="001D603D">
        <w:rPr>
          <w:rFonts w:ascii="Arial" w:hAnsi="Arial" w:cs="Arial"/>
          <w:b/>
          <w:sz w:val="24"/>
          <w:szCs w:val="24"/>
        </w:rPr>
        <w:t>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62EAE" w:rsidRPr="001D603D" w:rsidP="00A54DB6" w14:paraId="6AC7A213" w14:textId="77777777">
      <w:pPr>
        <w:numPr>
          <w:ilvl w:val="0"/>
          <w:numId w:val="28"/>
        </w:numPr>
        <w:tabs>
          <w:tab w:val="clear" w:pos="720"/>
        </w:tabs>
        <w:ind w:left="630" w:hanging="270"/>
        <w:jc w:val="both"/>
        <w:rPr>
          <w:rFonts w:ascii="Arial" w:hAnsi="Arial" w:cs="Arial"/>
          <w:b/>
          <w:sz w:val="24"/>
          <w:szCs w:val="24"/>
        </w:rPr>
      </w:pPr>
      <w:r w:rsidRPr="001D603D">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bookmarkEnd w:id="4"/>
    <w:p w:rsidR="005823F2" w14:paraId="779A2844" w14:textId="77777777">
      <w:pPr>
        <w:rPr>
          <w:rFonts w:ascii="Arial" w:hAnsi="Arial"/>
          <w:sz w:val="24"/>
        </w:rPr>
      </w:pPr>
    </w:p>
    <w:p w:rsidR="00F23A46" w14:paraId="7007C365" w14:textId="4EDF87A4">
      <w:pPr>
        <w:pStyle w:val="BodyText2"/>
      </w:pPr>
      <w:r>
        <w:t xml:space="preserve">There are </w:t>
      </w:r>
      <w:r w:rsidR="00DB101B">
        <w:t xml:space="preserve">no </w:t>
      </w:r>
      <w:r w:rsidR="00FD546A">
        <w:t xml:space="preserve">annual non-hour costs associated with this information collection. </w:t>
      </w:r>
      <w:r w:rsidR="00687A8C">
        <w:t>T</w:t>
      </w:r>
      <w:r>
        <w:t>he</w:t>
      </w:r>
      <w:r w:rsidR="00687A8C">
        <w:t xml:space="preserve"> </w:t>
      </w:r>
      <w:r>
        <w:t xml:space="preserve">link to the </w:t>
      </w:r>
      <w:r w:rsidR="00687A8C">
        <w:t>survey</w:t>
      </w:r>
      <w:r>
        <w:t xml:space="preserve"> is </w:t>
      </w:r>
      <w:r w:rsidR="009C4BA7">
        <w:t>posted on the USPTO alerts page</w:t>
      </w:r>
      <w:r w:rsidR="00687A8C">
        <w:t xml:space="preserve"> and the respondents submit the survey electronically</w:t>
      </w:r>
      <w:r>
        <w:t>.</w:t>
      </w:r>
      <w:r w:rsidR="00FD546A">
        <w:t xml:space="preserve"> </w:t>
      </w:r>
    </w:p>
    <w:p w:rsidR="00F23A46" w14:paraId="74DFDBEB" w14:textId="77777777">
      <w:pPr>
        <w:pStyle w:val="BodyText2"/>
      </w:pPr>
    </w:p>
    <w:p w:rsidR="005823F2" w:rsidP="00A54DB6" w14:paraId="4B04CBAB" w14:textId="5F098E17">
      <w:pPr>
        <w:ind w:left="360" w:hanging="360"/>
        <w:jc w:val="both"/>
        <w:rPr>
          <w:rFonts w:ascii="Arial" w:hAnsi="Arial"/>
          <w:sz w:val="24"/>
        </w:rPr>
      </w:pPr>
      <w:r w:rsidRPr="003C4EFB">
        <w:rPr>
          <w:rFonts w:ascii="Arial" w:hAnsi="Arial"/>
          <w:b/>
          <w:sz w:val="24"/>
        </w:rPr>
        <w:t>14.</w:t>
      </w:r>
      <w:r w:rsidRPr="003C4EFB">
        <w:rPr>
          <w:rFonts w:ascii="Arial" w:hAnsi="Arial"/>
          <w:b/>
          <w:sz w:val="24"/>
        </w:rPr>
        <w:tab/>
      </w:r>
      <w:r w:rsidRPr="001D603D" w:rsidR="00C62EAE">
        <w:rPr>
          <w:rFonts w:ascii="Arial" w:hAnsi="Arial" w:cs="Arial"/>
          <w:b/>
          <w:bCs/>
          <w:sz w:val="24"/>
        </w:rPr>
        <w:t xml:space="preserve">Provide estimates of annualized costs to the </w:t>
      </w:r>
      <w:r w:rsidR="00EA1488">
        <w:rPr>
          <w:rFonts w:ascii="Arial" w:hAnsi="Arial" w:cs="Arial"/>
          <w:b/>
          <w:bCs/>
          <w:sz w:val="24"/>
        </w:rPr>
        <w:t>f</w:t>
      </w:r>
      <w:r w:rsidRPr="001D603D" w:rsidR="00C62EAE">
        <w:rPr>
          <w:rFonts w:ascii="Arial" w:hAnsi="Arial" w:cs="Arial"/>
          <w:b/>
          <w:bCs/>
          <w:sz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D1BB9" w14:paraId="7C8EECC9" w14:textId="77777777">
      <w:pPr>
        <w:jc w:val="both"/>
        <w:rPr>
          <w:rFonts w:ascii="Arial" w:hAnsi="Arial"/>
          <w:sz w:val="24"/>
        </w:rPr>
      </w:pPr>
    </w:p>
    <w:p w:rsidR="00ED1BB9" w:rsidP="00ED1BB9" w14:paraId="2D15B539" w14:textId="20912B1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bCs/>
          <w:sz w:val="24"/>
          <w:szCs w:val="24"/>
        </w:rPr>
      </w:pPr>
      <w:r w:rsidRPr="00907C64">
        <w:rPr>
          <w:rFonts w:cs="Arial"/>
          <w:b w:val="0"/>
          <w:bCs/>
          <w:sz w:val="24"/>
          <w:szCs w:val="24"/>
        </w:rPr>
        <w:t xml:space="preserve">The USPTO employs </w:t>
      </w:r>
      <w:r w:rsidR="000669A9">
        <w:rPr>
          <w:rFonts w:cs="Arial"/>
          <w:b w:val="0"/>
          <w:bCs/>
          <w:sz w:val="24"/>
          <w:szCs w:val="24"/>
        </w:rPr>
        <w:t>a</w:t>
      </w:r>
      <w:r w:rsidR="00C6587F">
        <w:rPr>
          <w:rFonts w:cs="Arial"/>
          <w:b w:val="0"/>
          <w:bCs/>
          <w:sz w:val="24"/>
          <w:szCs w:val="24"/>
        </w:rPr>
        <w:t xml:space="preserve"> </w:t>
      </w:r>
      <w:r w:rsidR="00CE7C7E">
        <w:rPr>
          <w:rFonts w:cs="Arial"/>
          <w:b w:val="0"/>
          <w:bCs/>
          <w:sz w:val="24"/>
          <w:szCs w:val="24"/>
        </w:rPr>
        <w:t xml:space="preserve">GS-14 </w:t>
      </w:r>
      <w:r w:rsidR="00C6587F">
        <w:rPr>
          <w:rFonts w:cs="Arial"/>
          <w:b w:val="0"/>
          <w:bCs/>
          <w:sz w:val="24"/>
          <w:szCs w:val="24"/>
        </w:rPr>
        <w:t xml:space="preserve">statistician </w:t>
      </w:r>
      <w:r w:rsidRPr="00907C64">
        <w:rPr>
          <w:rFonts w:cs="Arial"/>
          <w:b w:val="0"/>
          <w:bCs/>
          <w:sz w:val="24"/>
          <w:szCs w:val="24"/>
        </w:rPr>
        <w:t xml:space="preserve">to </w:t>
      </w:r>
      <w:r w:rsidR="007A4C54">
        <w:rPr>
          <w:rFonts w:cs="Arial"/>
          <w:b w:val="0"/>
          <w:bCs/>
          <w:sz w:val="24"/>
          <w:szCs w:val="24"/>
        </w:rPr>
        <w:t>analyze</w:t>
      </w:r>
      <w:r w:rsidR="001125B2">
        <w:rPr>
          <w:rFonts w:cs="Arial"/>
          <w:b w:val="0"/>
          <w:bCs/>
          <w:sz w:val="24"/>
          <w:szCs w:val="24"/>
        </w:rPr>
        <w:t xml:space="preserve"> the surveys</w:t>
      </w:r>
      <w:r w:rsidRPr="00907C64">
        <w:rPr>
          <w:rFonts w:cs="Arial"/>
          <w:b w:val="0"/>
          <w:bCs/>
          <w:sz w:val="24"/>
          <w:szCs w:val="24"/>
        </w:rPr>
        <w:t xml:space="preserve">. </w:t>
      </w:r>
      <w:bookmarkStart w:id="5" w:name="_Hlk167111323"/>
      <w:r w:rsidRPr="00907C64">
        <w:rPr>
          <w:b w:val="0"/>
          <w:bCs/>
          <w:sz w:val="24"/>
          <w:szCs w:val="24"/>
        </w:rPr>
        <w:t>The USPTO estimates that the cost of a GS-</w:t>
      </w:r>
      <w:r w:rsidRPr="00907C64" w:rsidR="00CE7C7E">
        <w:rPr>
          <w:b w:val="0"/>
          <w:bCs/>
          <w:sz w:val="24"/>
          <w:szCs w:val="24"/>
        </w:rPr>
        <w:t>1</w:t>
      </w:r>
      <w:r w:rsidR="00CE7C7E">
        <w:rPr>
          <w:b w:val="0"/>
          <w:bCs/>
          <w:sz w:val="24"/>
          <w:szCs w:val="24"/>
        </w:rPr>
        <w:t>4</w:t>
      </w:r>
      <w:r w:rsidRPr="00907C64">
        <w:rPr>
          <w:b w:val="0"/>
          <w:bCs/>
          <w:sz w:val="24"/>
          <w:szCs w:val="24"/>
        </w:rPr>
        <w:t xml:space="preserve">, step </w:t>
      </w:r>
      <w:r w:rsidR="00890C91">
        <w:rPr>
          <w:b w:val="0"/>
          <w:bCs/>
          <w:sz w:val="24"/>
          <w:szCs w:val="24"/>
        </w:rPr>
        <w:t>7</w:t>
      </w:r>
      <w:r w:rsidRPr="00907C64" w:rsidR="00890C91">
        <w:rPr>
          <w:b w:val="0"/>
          <w:bCs/>
          <w:sz w:val="24"/>
          <w:szCs w:val="24"/>
        </w:rPr>
        <w:t xml:space="preserve"> </w:t>
      </w:r>
      <w:r w:rsidRPr="00907C64">
        <w:rPr>
          <w:b w:val="0"/>
          <w:bCs/>
          <w:sz w:val="24"/>
          <w:szCs w:val="24"/>
        </w:rPr>
        <w:t xml:space="preserve">employee is </w:t>
      </w:r>
      <w:r w:rsidR="00F21C6D">
        <w:rPr>
          <w:b w:val="0"/>
          <w:bCs/>
          <w:sz w:val="24"/>
          <w:szCs w:val="24"/>
        </w:rPr>
        <w:t>$</w:t>
      </w:r>
      <w:r w:rsidR="00B50C6C">
        <w:rPr>
          <w:b w:val="0"/>
          <w:bCs/>
          <w:sz w:val="24"/>
          <w:szCs w:val="24"/>
        </w:rPr>
        <w:t>11</w:t>
      </w:r>
      <w:r w:rsidR="000476AF">
        <w:rPr>
          <w:b w:val="0"/>
          <w:bCs/>
          <w:sz w:val="24"/>
          <w:szCs w:val="24"/>
        </w:rPr>
        <w:t>2.75</w:t>
      </w:r>
      <w:r w:rsidRPr="00907C64">
        <w:rPr>
          <w:b w:val="0"/>
          <w:bCs/>
          <w:sz w:val="24"/>
          <w:szCs w:val="24"/>
        </w:rPr>
        <w:t xml:space="preserve"> per hour </w:t>
      </w:r>
      <w:bookmarkStart w:id="6" w:name="_Hlk136939523"/>
      <w:r w:rsidRPr="00907C64">
        <w:rPr>
          <w:b w:val="0"/>
          <w:bCs/>
          <w:sz w:val="24"/>
          <w:szCs w:val="24"/>
        </w:rPr>
        <w:t>(GS hourly rate of $</w:t>
      </w:r>
      <w:r w:rsidR="00EC2094">
        <w:rPr>
          <w:b w:val="0"/>
          <w:bCs/>
          <w:sz w:val="24"/>
          <w:szCs w:val="24"/>
        </w:rPr>
        <w:t>82.75</w:t>
      </w:r>
      <w:r w:rsidRPr="00907C64">
        <w:rPr>
          <w:b w:val="0"/>
          <w:bCs/>
          <w:sz w:val="24"/>
          <w:szCs w:val="24"/>
        </w:rPr>
        <w:t xml:space="preserve"> with 36.25% ($</w:t>
      </w:r>
      <w:r w:rsidR="007C5B43">
        <w:rPr>
          <w:b w:val="0"/>
          <w:bCs/>
          <w:sz w:val="24"/>
          <w:szCs w:val="24"/>
        </w:rPr>
        <w:t>30</w:t>
      </w:r>
      <w:r w:rsidRPr="00907C64">
        <w:rPr>
          <w:b w:val="0"/>
          <w:bCs/>
          <w:sz w:val="24"/>
          <w:szCs w:val="24"/>
        </w:rPr>
        <w:t>) added for benefits and overhead)</w:t>
      </w:r>
      <w:bookmarkEnd w:id="6"/>
      <w:r w:rsidRPr="00907C64">
        <w:rPr>
          <w:b w:val="0"/>
          <w:bCs/>
          <w:sz w:val="24"/>
          <w:szCs w:val="24"/>
        </w:rPr>
        <w:t>.</w:t>
      </w:r>
    </w:p>
    <w:p w:rsidR="00EE3BAA" w:rsidP="00ED1BB9" w14:paraId="6F2AB523"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bCs/>
          <w:sz w:val="24"/>
          <w:szCs w:val="24"/>
        </w:rPr>
      </w:pPr>
    </w:p>
    <w:p w:rsidR="00EE3BAA" w:rsidRPr="00907C64" w:rsidP="00ED1BB9" w14:paraId="54CC812A" w14:textId="10E8BC20">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l="0"/>
          <w:bCs/>
          <w:sz w:val="24"/>
          <w:szCs w:val="24"/>
        </w:rPr>
      </w:pPr>
      <w:r w:rsidRPr="00EE3BAA">
        <w:rPr>
          <w:b w:val="0"/>
          <w:bCs/>
          <w:sz w:val="24"/>
          <w:szCs w:val="24"/>
        </w:rPr>
        <w:t xml:space="preserve">The USPTO estimates that it takes an employee </w:t>
      </w:r>
      <w:r w:rsidR="00B50C6C">
        <w:rPr>
          <w:b w:val="0"/>
          <w:bCs/>
          <w:sz w:val="24"/>
          <w:szCs w:val="24"/>
        </w:rPr>
        <w:t>4</w:t>
      </w:r>
      <w:r w:rsidRPr="00EE3BAA" w:rsidR="00B50C6C">
        <w:rPr>
          <w:b w:val="0"/>
          <w:bCs/>
          <w:sz w:val="24"/>
          <w:szCs w:val="24"/>
        </w:rPr>
        <w:t xml:space="preserve"> </w:t>
      </w:r>
      <w:r w:rsidRPr="00EE3BAA">
        <w:rPr>
          <w:b w:val="0"/>
          <w:bCs/>
          <w:sz w:val="24"/>
          <w:szCs w:val="24"/>
        </w:rPr>
        <w:t>minutes (0.</w:t>
      </w:r>
      <w:r w:rsidR="00B50C6C">
        <w:rPr>
          <w:b w:val="0"/>
          <w:bCs/>
          <w:sz w:val="24"/>
          <w:szCs w:val="24"/>
        </w:rPr>
        <w:t>06</w:t>
      </w:r>
      <w:r w:rsidRPr="00EE3BAA" w:rsidR="00B50C6C">
        <w:rPr>
          <w:b w:val="0"/>
          <w:bCs/>
          <w:sz w:val="24"/>
          <w:szCs w:val="24"/>
        </w:rPr>
        <w:t xml:space="preserve"> </w:t>
      </w:r>
      <w:r w:rsidRPr="00EE3BAA">
        <w:rPr>
          <w:b w:val="0"/>
          <w:bCs/>
          <w:sz w:val="24"/>
          <w:szCs w:val="24"/>
        </w:rPr>
        <w:t xml:space="preserve">hours) to process a </w:t>
      </w:r>
      <w:r>
        <w:rPr>
          <w:b w:val="0"/>
          <w:bCs/>
          <w:sz w:val="24"/>
          <w:szCs w:val="24"/>
        </w:rPr>
        <w:t>survey response.</w:t>
      </w:r>
    </w:p>
    <w:bookmarkEnd w:id="5"/>
    <w:p w:rsidR="00ED1BB9" w:rsidRPr="00907C64" w:rsidP="00ED1BB9" w14:paraId="09B738C0" w14:textId="77777777">
      <w:pPr>
        <w:tabs>
          <w:tab w:val="left" w:pos="-984"/>
          <w:tab w:val="left" w:pos="-720"/>
          <w:tab w:val="left" w:pos="720"/>
        </w:tabs>
        <w:jc w:val="both"/>
        <w:rPr>
          <w:rFonts w:ascii="Arial" w:hAnsi="Arial" w:cs="Arial"/>
          <w:color w:val="0000FF"/>
          <w:sz w:val="24"/>
          <w:szCs w:val="24"/>
        </w:rPr>
      </w:pPr>
    </w:p>
    <w:p w:rsidR="00ED1BB9" w:rsidP="00ED1BB9" w14:paraId="40B1ECE0" w14:textId="77777777">
      <w:pPr>
        <w:tabs>
          <w:tab w:val="left" w:pos="-984"/>
          <w:tab w:val="left" w:pos="-720"/>
          <w:tab w:val="left" w:pos="720"/>
        </w:tabs>
        <w:jc w:val="both"/>
        <w:rPr>
          <w:rFonts w:ascii="Arial" w:hAnsi="Arial" w:cs="Arial"/>
          <w:sz w:val="24"/>
          <w:szCs w:val="24"/>
        </w:rPr>
      </w:pPr>
      <w:r w:rsidRPr="00907C64">
        <w:rPr>
          <w:rFonts w:ascii="Arial" w:hAnsi="Arial" w:cs="Arial"/>
          <w:sz w:val="24"/>
          <w:szCs w:val="24"/>
        </w:rPr>
        <w:t xml:space="preserve">Table </w:t>
      </w:r>
      <w:r w:rsidR="00646FB5">
        <w:rPr>
          <w:rFonts w:ascii="Arial" w:hAnsi="Arial" w:cs="Arial"/>
          <w:sz w:val="24"/>
          <w:szCs w:val="24"/>
        </w:rPr>
        <w:t>3</w:t>
      </w:r>
      <w:r w:rsidRPr="00907C64">
        <w:rPr>
          <w:rFonts w:ascii="Arial" w:hAnsi="Arial" w:cs="Arial"/>
          <w:sz w:val="24"/>
          <w:szCs w:val="24"/>
        </w:rPr>
        <w:t xml:space="preserve"> calculates the burden hours and costs to the federal government for processing this information collection:</w:t>
      </w:r>
    </w:p>
    <w:p w:rsidR="00B8684C" w:rsidP="00ED1BB9" w14:paraId="25D7C4AB" w14:textId="77777777">
      <w:pPr>
        <w:tabs>
          <w:tab w:val="left" w:pos="-984"/>
          <w:tab w:val="left" w:pos="-720"/>
          <w:tab w:val="left" w:pos="720"/>
        </w:tabs>
        <w:jc w:val="both"/>
        <w:rPr>
          <w:rFonts w:ascii="Arial" w:hAnsi="Arial" w:cs="Arial"/>
          <w:sz w:val="24"/>
          <w:szCs w:val="24"/>
        </w:rPr>
      </w:pPr>
    </w:p>
    <w:p w:rsidR="00B8684C" w:rsidRPr="00614F01" w:rsidP="00B8684C" w14:paraId="61A0ADF5" w14:textId="77777777">
      <w:pPr>
        <w:keepNext/>
        <w:keepLines/>
        <w:tabs>
          <w:tab w:val="left" w:pos="-984"/>
          <w:tab w:val="left" w:pos="-720"/>
          <w:tab w:val="left" w:pos="720"/>
        </w:tabs>
        <w:jc w:val="both"/>
        <w:rPr>
          <w:rFonts w:ascii="Arial" w:hAnsi="Arial" w:cs="Arial"/>
        </w:rPr>
      </w:pPr>
      <w:r w:rsidRPr="00614F01">
        <w:rPr>
          <w:rFonts w:ascii="Arial" w:hAnsi="Arial" w:cs="Arial"/>
          <w:b/>
          <w:bCs/>
        </w:rPr>
        <w:t xml:space="preserve">Table </w:t>
      </w:r>
      <w:r>
        <w:rPr>
          <w:rFonts w:ascii="Arial" w:hAnsi="Arial" w:cs="Arial"/>
          <w:b/>
          <w:bCs/>
        </w:rPr>
        <w:t>3</w:t>
      </w:r>
      <w:r w:rsidRPr="00614F01">
        <w:rPr>
          <w:rFonts w:ascii="Arial" w:hAnsi="Arial" w:cs="Arial"/>
          <w:b/>
          <w:bCs/>
        </w:rPr>
        <w:t>: Burden Hour/Cost to the Federal Government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
        <w:gridCol w:w="2915"/>
        <w:gridCol w:w="1292"/>
        <w:gridCol w:w="1051"/>
        <w:gridCol w:w="1098"/>
        <w:gridCol w:w="1098"/>
        <w:gridCol w:w="1279"/>
      </w:tblGrid>
      <w:tr w14:paraId="3379E131" w14:textId="77777777" w:rsidTr="00B631B1">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617" w:type="dxa"/>
            <w:shd w:val="clear" w:color="auto" w:fill="B4C6E7" w:themeFill="accent5" w:themeFillTint="66"/>
          </w:tcPr>
          <w:p w:rsidR="00B8684C" w:rsidRPr="00C5290A" w:rsidP="00B631B1" w14:paraId="6C3E8809" w14:textId="77777777">
            <w:pPr>
              <w:jc w:val="center"/>
              <w:rPr>
                <w:rFonts w:ascii="Arial" w:hAnsi="Arial"/>
                <w:b/>
                <w:sz w:val="16"/>
              </w:rPr>
            </w:pPr>
            <w:r w:rsidRPr="00C5290A">
              <w:rPr>
                <w:rFonts w:ascii="Arial" w:hAnsi="Arial"/>
                <w:b/>
                <w:sz w:val="16"/>
              </w:rPr>
              <w:t>I</w:t>
            </w:r>
            <w:r>
              <w:rPr>
                <w:rFonts w:ascii="Arial" w:hAnsi="Arial"/>
                <w:b/>
                <w:sz w:val="16"/>
              </w:rPr>
              <w:t>tem</w:t>
            </w:r>
            <w:r w:rsidRPr="00C5290A">
              <w:rPr>
                <w:rFonts w:ascii="Arial" w:hAnsi="Arial"/>
                <w:b/>
                <w:sz w:val="16"/>
              </w:rPr>
              <w:t xml:space="preserve"> N</w:t>
            </w:r>
            <w:r>
              <w:rPr>
                <w:rFonts w:ascii="Arial" w:hAnsi="Arial"/>
                <w:b/>
                <w:sz w:val="16"/>
              </w:rPr>
              <w:t>o.</w:t>
            </w:r>
          </w:p>
        </w:tc>
        <w:tc>
          <w:tcPr>
            <w:tcW w:w="2915" w:type="dxa"/>
            <w:shd w:val="clear" w:color="auto" w:fill="B4C6E7" w:themeFill="accent5" w:themeFillTint="66"/>
          </w:tcPr>
          <w:p w:rsidR="00B8684C" w:rsidRPr="00C5290A" w:rsidP="00B631B1" w14:paraId="35F5C106" w14:textId="77777777">
            <w:pPr>
              <w:jc w:val="center"/>
              <w:rPr>
                <w:rFonts w:ascii="Arial" w:hAnsi="Arial"/>
                <w:b/>
                <w:sz w:val="16"/>
              </w:rPr>
            </w:pPr>
            <w:r w:rsidRPr="00C5290A">
              <w:rPr>
                <w:rFonts w:ascii="Arial" w:hAnsi="Arial"/>
                <w:b/>
                <w:sz w:val="16"/>
              </w:rPr>
              <w:t>Item</w:t>
            </w:r>
          </w:p>
        </w:tc>
        <w:tc>
          <w:tcPr>
            <w:tcW w:w="1292" w:type="dxa"/>
            <w:shd w:val="clear" w:color="auto" w:fill="B4C6E7" w:themeFill="accent5" w:themeFillTint="66"/>
          </w:tcPr>
          <w:p w:rsidR="00B8684C" w:rsidRPr="00C5290A" w:rsidP="00B631B1" w14:paraId="2FFAD17B" w14:textId="77777777">
            <w:pPr>
              <w:jc w:val="center"/>
              <w:rPr>
                <w:rFonts w:ascii="Arial" w:hAnsi="Arial"/>
                <w:b/>
                <w:sz w:val="16"/>
              </w:rPr>
            </w:pPr>
            <w:r>
              <w:rPr>
                <w:rFonts w:ascii="Arial" w:hAnsi="Arial"/>
                <w:b/>
                <w:sz w:val="16"/>
              </w:rPr>
              <w:t xml:space="preserve">Estimated Annual </w:t>
            </w:r>
            <w:r w:rsidRPr="00C5290A">
              <w:rPr>
                <w:rFonts w:ascii="Arial" w:hAnsi="Arial"/>
                <w:b/>
                <w:sz w:val="16"/>
              </w:rPr>
              <w:t>Responses</w:t>
            </w:r>
          </w:p>
          <w:p w:rsidR="00B8684C" w:rsidP="00B631B1" w14:paraId="44432E68" w14:textId="77777777">
            <w:pPr>
              <w:jc w:val="center"/>
              <w:rPr>
                <w:rFonts w:ascii="Arial" w:hAnsi="Arial"/>
                <w:b/>
                <w:sz w:val="16"/>
              </w:rPr>
            </w:pPr>
          </w:p>
          <w:p w:rsidR="00B8684C" w:rsidP="00B631B1" w14:paraId="605813A3" w14:textId="77777777">
            <w:pPr>
              <w:jc w:val="center"/>
              <w:rPr>
                <w:rFonts w:ascii="Arial" w:hAnsi="Arial"/>
                <w:b/>
                <w:sz w:val="16"/>
              </w:rPr>
            </w:pPr>
            <w:r w:rsidRPr="00C5290A">
              <w:rPr>
                <w:rFonts w:ascii="Arial" w:hAnsi="Arial"/>
                <w:b/>
                <w:sz w:val="16"/>
              </w:rPr>
              <w:t>(</w:t>
            </w:r>
            <w:r>
              <w:rPr>
                <w:rFonts w:ascii="Arial" w:hAnsi="Arial"/>
                <w:b/>
                <w:sz w:val="16"/>
              </w:rPr>
              <w:t>a</w:t>
            </w:r>
            <w:r w:rsidRPr="00C5290A">
              <w:rPr>
                <w:rFonts w:ascii="Arial" w:hAnsi="Arial"/>
                <w:b/>
                <w:sz w:val="16"/>
              </w:rPr>
              <w:t>)</w:t>
            </w:r>
          </w:p>
        </w:tc>
        <w:tc>
          <w:tcPr>
            <w:tcW w:w="1051" w:type="dxa"/>
            <w:shd w:val="clear" w:color="auto" w:fill="B4C6E7" w:themeFill="accent5" w:themeFillTint="66"/>
          </w:tcPr>
          <w:p w:rsidR="00B8684C" w:rsidRPr="00C5290A" w:rsidP="00B631B1" w14:paraId="2DF63579" w14:textId="77777777">
            <w:pPr>
              <w:jc w:val="center"/>
              <w:rPr>
                <w:rFonts w:ascii="Arial" w:hAnsi="Arial"/>
                <w:b/>
                <w:sz w:val="16"/>
              </w:rPr>
            </w:pPr>
            <w:r>
              <w:rPr>
                <w:rFonts w:ascii="Arial" w:hAnsi="Arial"/>
                <w:b/>
                <w:sz w:val="16"/>
              </w:rPr>
              <w:t>Estimated Burden Hours</w:t>
            </w:r>
          </w:p>
          <w:p w:rsidR="00B8684C" w:rsidP="00B631B1" w14:paraId="596E33F4" w14:textId="77777777">
            <w:pPr>
              <w:jc w:val="center"/>
              <w:rPr>
                <w:rFonts w:ascii="Arial" w:hAnsi="Arial"/>
                <w:b/>
                <w:sz w:val="16"/>
              </w:rPr>
            </w:pPr>
          </w:p>
          <w:p w:rsidR="00B8684C" w:rsidRPr="00C5290A" w:rsidP="00B631B1" w14:paraId="73CBFF0A" w14:textId="77777777">
            <w:pPr>
              <w:jc w:val="center"/>
              <w:rPr>
                <w:rFonts w:ascii="Arial" w:hAnsi="Arial"/>
                <w:b/>
                <w:sz w:val="16"/>
              </w:rPr>
            </w:pPr>
            <w:r w:rsidRPr="00C5290A">
              <w:rPr>
                <w:rFonts w:ascii="Arial" w:hAnsi="Arial"/>
                <w:b/>
                <w:sz w:val="16"/>
              </w:rPr>
              <w:t>(</w:t>
            </w:r>
            <w:r>
              <w:rPr>
                <w:rFonts w:ascii="Arial" w:hAnsi="Arial"/>
                <w:b/>
                <w:sz w:val="16"/>
              </w:rPr>
              <w:t>b</w:t>
            </w:r>
            <w:r w:rsidRPr="00C5290A">
              <w:rPr>
                <w:rFonts w:ascii="Arial" w:hAnsi="Arial"/>
                <w:b/>
                <w:sz w:val="16"/>
              </w:rPr>
              <w:t>)</w:t>
            </w:r>
          </w:p>
        </w:tc>
        <w:tc>
          <w:tcPr>
            <w:tcW w:w="1098" w:type="dxa"/>
            <w:shd w:val="clear" w:color="auto" w:fill="B4C6E7" w:themeFill="accent5" w:themeFillTint="66"/>
          </w:tcPr>
          <w:p w:rsidR="00B8684C" w:rsidRPr="005158F0" w:rsidP="00B631B1" w14:paraId="740415F2" w14:textId="77777777">
            <w:pPr>
              <w:jc w:val="center"/>
              <w:rPr>
                <w:rFonts w:ascii="Arial" w:hAnsi="Arial"/>
                <w:b/>
                <w:sz w:val="16"/>
              </w:rPr>
            </w:pPr>
            <w:r w:rsidRPr="005158F0">
              <w:rPr>
                <w:rFonts w:ascii="Arial" w:hAnsi="Arial"/>
                <w:b/>
                <w:sz w:val="16"/>
              </w:rPr>
              <w:t>Estimated Hourly Burden</w:t>
            </w:r>
          </w:p>
          <w:p w:rsidR="00B8684C" w:rsidP="00B631B1" w14:paraId="5BCAD3BB" w14:textId="77777777">
            <w:pPr>
              <w:jc w:val="center"/>
              <w:rPr>
                <w:rFonts w:ascii="Arial" w:hAnsi="Arial"/>
                <w:b/>
                <w:sz w:val="16"/>
              </w:rPr>
            </w:pPr>
          </w:p>
          <w:p w:rsidR="00B8684C" w:rsidRPr="00C5290A" w:rsidP="00B631B1" w14:paraId="0F299FA7" w14:textId="77777777">
            <w:pPr>
              <w:jc w:val="center"/>
              <w:rPr>
                <w:rFonts w:ascii="Arial" w:hAnsi="Arial"/>
                <w:b/>
                <w:sz w:val="16"/>
              </w:rPr>
            </w:pPr>
            <w:r w:rsidRPr="005158F0">
              <w:rPr>
                <w:rFonts w:ascii="Arial" w:hAnsi="Arial"/>
                <w:b/>
                <w:sz w:val="16"/>
              </w:rPr>
              <w:t>(a) x (b) = (c)</w:t>
            </w:r>
          </w:p>
        </w:tc>
        <w:tc>
          <w:tcPr>
            <w:tcW w:w="1098" w:type="dxa"/>
            <w:shd w:val="clear" w:color="auto" w:fill="B4C6E7" w:themeFill="accent5" w:themeFillTint="66"/>
          </w:tcPr>
          <w:p w:rsidR="00B8684C" w:rsidRPr="005158F0" w:rsidP="00B631B1" w14:paraId="4ADE80AA" w14:textId="77777777">
            <w:pPr>
              <w:jc w:val="center"/>
              <w:rPr>
                <w:rFonts w:ascii="Arial" w:hAnsi="Arial"/>
                <w:b/>
                <w:sz w:val="16"/>
              </w:rPr>
            </w:pPr>
            <w:r w:rsidRPr="005158F0">
              <w:rPr>
                <w:rFonts w:ascii="Arial" w:hAnsi="Arial"/>
                <w:b/>
                <w:sz w:val="16"/>
              </w:rPr>
              <w:t>Rate</w:t>
            </w:r>
            <w:r>
              <w:rPr>
                <w:rStyle w:val="FootnoteReference"/>
                <w:rFonts w:ascii="Arial" w:hAnsi="Arial"/>
                <w:b/>
                <w:sz w:val="16"/>
              </w:rPr>
              <w:footnoteReference w:id="7"/>
            </w:r>
          </w:p>
          <w:p w:rsidR="00B8684C" w:rsidRPr="005158F0" w:rsidP="00B631B1" w14:paraId="54FAE009" w14:textId="77777777">
            <w:pPr>
              <w:jc w:val="center"/>
              <w:rPr>
                <w:rFonts w:ascii="Arial" w:hAnsi="Arial"/>
                <w:b/>
                <w:sz w:val="16"/>
              </w:rPr>
            </w:pPr>
            <w:r>
              <w:rPr>
                <w:rFonts w:ascii="Arial" w:hAnsi="Arial"/>
                <w:b/>
                <w:sz w:val="16"/>
              </w:rPr>
              <w:t>($/hr)</w:t>
            </w:r>
          </w:p>
          <w:p w:rsidR="00B8684C" w:rsidP="00B631B1" w14:paraId="377190C9" w14:textId="77777777">
            <w:pPr>
              <w:jc w:val="center"/>
              <w:rPr>
                <w:rFonts w:ascii="Arial" w:hAnsi="Arial"/>
                <w:b/>
                <w:sz w:val="16"/>
              </w:rPr>
            </w:pPr>
          </w:p>
          <w:p w:rsidR="00B8684C" w:rsidP="00B631B1" w14:paraId="1ACC4EDB" w14:textId="77777777">
            <w:pPr>
              <w:jc w:val="center"/>
              <w:rPr>
                <w:rFonts w:ascii="Arial" w:hAnsi="Arial"/>
                <w:b/>
                <w:sz w:val="16"/>
              </w:rPr>
            </w:pPr>
          </w:p>
          <w:p w:rsidR="00B8684C" w:rsidRPr="00C5290A" w:rsidP="00B631B1" w14:paraId="2AF9E740" w14:textId="77777777">
            <w:pPr>
              <w:jc w:val="center"/>
              <w:rPr>
                <w:rFonts w:ascii="Arial" w:hAnsi="Arial"/>
                <w:b/>
                <w:sz w:val="16"/>
              </w:rPr>
            </w:pPr>
            <w:r w:rsidRPr="005158F0">
              <w:rPr>
                <w:rFonts w:ascii="Arial" w:hAnsi="Arial"/>
                <w:b/>
                <w:sz w:val="16"/>
              </w:rPr>
              <w:t>(d)</w:t>
            </w:r>
          </w:p>
        </w:tc>
        <w:tc>
          <w:tcPr>
            <w:tcW w:w="1279" w:type="dxa"/>
            <w:shd w:val="clear" w:color="auto" w:fill="B4C6E7" w:themeFill="accent5" w:themeFillTint="66"/>
          </w:tcPr>
          <w:p w:rsidR="00B8684C" w:rsidRPr="005158F0" w:rsidP="00B631B1" w14:paraId="502944DC" w14:textId="77777777">
            <w:pPr>
              <w:jc w:val="center"/>
              <w:rPr>
                <w:rFonts w:ascii="Arial" w:hAnsi="Arial"/>
                <w:b/>
                <w:bCs/>
                <w:sz w:val="16"/>
                <w:szCs w:val="16"/>
              </w:rPr>
            </w:pPr>
            <w:r w:rsidRPr="6A18B787">
              <w:rPr>
                <w:rFonts w:ascii="Arial" w:hAnsi="Arial"/>
                <w:b/>
                <w:bCs/>
                <w:sz w:val="16"/>
                <w:szCs w:val="16"/>
              </w:rPr>
              <w:t>Total Federal Government Cost</w:t>
            </w:r>
          </w:p>
          <w:p w:rsidR="00B8684C" w:rsidP="00B631B1" w14:paraId="5A43981E" w14:textId="77777777">
            <w:pPr>
              <w:jc w:val="center"/>
              <w:rPr>
                <w:rFonts w:ascii="Arial" w:hAnsi="Arial"/>
                <w:b/>
                <w:sz w:val="16"/>
              </w:rPr>
            </w:pPr>
          </w:p>
          <w:p w:rsidR="00B8684C" w:rsidRPr="00C5290A" w:rsidP="00B631B1" w14:paraId="6E2F9BD3" w14:textId="77777777">
            <w:pPr>
              <w:jc w:val="center"/>
              <w:rPr>
                <w:rFonts w:ascii="Arial" w:hAnsi="Arial"/>
                <w:b/>
                <w:sz w:val="16"/>
              </w:rPr>
            </w:pPr>
            <w:r w:rsidRPr="005158F0">
              <w:rPr>
                <w:rFonts w:ascii="Arial" w:hAnsi="Arial"/>
                <w:b/>
                <w:sz w:val="16"/>
              </w:rPr>
              <w:t>(c) x (d) = (e)</w:t>
            </w:r>
          </w:p>
        </w:tc>
      </w:tr>
      <w:tr w14:paraId="1A2A4FDD" w14:textId="77777777" w:rsidTr="00B631B1">
        <w:tblPrEx>
          <w:tblW w:w="9350" w:type="dxa"/>
          <w:tblLook w:val="0000"/>
        </w:tblPrEx>
        <w:trPr>
          <w:cantSplit/>
        </w:trPr>
        <w:tc>
          <w:tcPr>
            <w:tcW w:w="617" w:type="dxa"/>
            <w:vAlign w:val="center"/>
          </w:tcPr>
          <w:p w:rsidR="00B8684C" w:rsidRPr="00C5290A" w:rsidP="00B631B1" w14:paraId="65C0F23C" w14:textId="77777777">
            <w:pPr>
              <w:jc w:val="center"/>
              <w:rPr>
                <w:rFonts w:ascii="Arial" w:hAnsi="Arial"/>
                <w:b/>
                <w:sz w:val="16"/>
              </w:rPr>
            </w:pPr>
            <w:r w:rsidRPr="00C5290A">
              <w:rPr>
                <w:rFonts w:ascii="Arial" w:hAnsi="Arial"/>
                <w:b/>
                <w:sz w:val="16"/>
              </w:rPr>
              <w:t>1</w:t>
            </w:r>
          </w:p>
        </w:tc>
        <w:tc>
          <w:tcPr>
            <w:tcW w:w="2915" w:type="dxa"/>
            <w:vAlign w:val="center"/>
          </w:tcPr>
          <w:p w:rsidR="00B8684C" w:rsidRPr="00C5290A" w:rsidP="00B631B1" w14:paraId="3619D50B" w14:textId="77777777">
            <w:pPr>
              <w:rPr>
                <w:rFonts w:ascii="Arial" w:hAnsi="Arial"/>
                <w:sz w:val="16"/>
              </w:rPr>
            </w:pPr>
            <w:r>
              <w:rPr>
                <w:rFonts w:ascii="Arial" w:hAnsi="Arial" w:cs="Arial"/>
                <w:sz w:val="16"/>
                <w:szCs w:val="16"/>
              </w:rPr>
              <w:t>Patents External Quality Survey</w:t>
            </w:r>
          </w:p>
        </w:tc>
        <w:tc>
          <w:tcPr>
            <w:tcW w:w="1292" w:type="dxa"/>
            <w:vAlign w:val="center"/>
          </w:tcPr>
          <w:p w:rsidR="00B8684C" w:rsidRPr="00C5290A" w:rsidP="00B631B1" w14:paraId="180EDA65" w14:textId="77777777">
            <w:pPr>
              <w:jc w:val="right"/>
              <w:rPr>
                <w:rFonts w:ascii="Arial" w:hAnsi="Arial"/>
                <w:sz w:val="16"/>
                <w:szCs w:val="16"/>
              </w:rPr>
            </w:pPr>
            <w:r>
              <w:rPr>
                <w:rFonts w:ascii="Arial" w:hAnsi="Arial"/>
                <w:sz w:val="16"/>
                <w:szCs w:val="16"/>
              </w:rPr>
              <w:t>1,250</w:t>
            </w:r>
          </w:p>
        </w:tc>
        <w:tc>
          <w:tcPr>
            <w:tcW w:w="1051" w:type="dxa"/>
            <w:vAlign w:val="center"/>
          </w:tcPr>
          <w:p w:rsidR="00B8684C" w:rsidP="00B631B1" w14:paraId="0CDD0E8A" w14:textId="77777777">
            <w:pPr>
              <w:jc w:val="right"/>
              <w:rPr>
                <w:rFonts w:ascii="Arial" w:hAnsi="Arial"/>
                <w:sz w:val="16"/>
              </w:rPr>
            </w:pPr>
            <w:r>
              <w:rPr>
                <w:rFonts w:ascii="Arial" w:hAnsi="Arial"/>
                <w:sz w:val="16"/>
              </w:rPr>
              <w:t>0.06</w:t>
            </w:r>
          </w:p>
          <w:p w:rsidR="00B8684C" w:rsidRPr="00C5290A" w:rsidP="00B631B1" w14:paraId="1783804E" w14:textId="544B98ED">
            <w:pPr>
              <w:jc w:val="right"/>
              <w:rPr>
                <w:rFonts w:ascii="Arial" w:hAnsi="Arial"/>
                <w:sz w:val="16"/>
              </w:rPr>
            </w:pPr>
            <w:r>
              <w:rPr>
                <w:rFonts w:ascii="Arial" w:hAnsi="Arial"/>
                <w:sz w:val="16"/>
              </w:rPr>
              <w:t>(</w:t>
            </w:r>
            <w:r w:rsidR="00C05CAE">
              <w:rPr>
                <w:rFonts w:ascii="Arial" w:hAnsi="Arial"/>
                <w:sz w:val="16"/>
              </w:rPr>
              <w:t>4</w:t>
            </w:r>
            <w:r>
              <w:rPr>
                <w:rFonts w:ascii="Arial" w:hAnsi="Arial"/>
                <w:sz w:val="16"/>
              </w:rPr>
              <w:t xml:space="preserve"> minutes)</w:t>
            </w:r>
          </w:p>
        </w:tc>
        <w:tc>
          <w:tcPr>
            <w:tcW w:w="1098" w:type="dxa"/>
            <w:vAlign w:val="center"/>
          </w:tcPr>
          <w:p w:rsidR="00B8684C" w:rsidRPr="00C5290A" w:rsidP="00B631B1" w14:paraId="2ADDDE58" w14:textId="57134CEE">
            <w:pPr>
              <w:jc w:val="right"/>
              <w:rPr>
                <w:rFonts w:ascii="Arial" w:hAnsi="Arial"/>
                <w:sz w:val="16"/>
                <w:szCs w:val="16"/>
              </w:rPr>
            </w:pPr>
            <w:r w:rsidRPr="49F0B053">
              <w:rPr>
                <w:rFonts w:ascii="Arial" w:hAnsi="Arial"/>
                <w:sz w:val="16"/>
                <w:szCs w:val="16"/>
              </w:rPr>
              <w:t xml:space="preserve"> </w:t>
            </w:r>
            <w:r w:rsidR="000476AF">
              <w:rPr>
                <w:rFonts w:ascii="Arial" w:hAnsi="Arial"/>
                <w:sz w:val="16"/>
                <w:szCs w:val="16"/>
              </w:rPr>
              <w:t>83</w:t>
            </w:r>
          </w:p>
        </w:tc>
        <w:tc>
          <w:tcPr>
            <w:tcW w:w="1098" w:type="dxa"/>
            <w:vAlign w:val="center"/>
          </w:tcPr>
          <w:p w:rsidR="00B8684C" w:rsidRPr="00C5290A" w:rsidP="00B631B1" w14:paraId="1CA79DAD" w14:textId="4123CE73">
            <w:pPr>
              <w:jc w:val="right"/>
              <w:rPr>
                <w:rFonts w:ascii="Arial" w:hAnsi="Arial"/>
                <w:sz w:val="16"/>
              </w:rPr>
            </w:pPr>
            <w:r>
              <w:rPr>
                <w:rFonts w:ascii="Arial" w:hAnsi="Arial"/>
                <w:sz w:val="16"/>
              </w:rPr>
              <w:t>$</w:t>
            </w:r>
            <w:r w:rsidRPr="00B50C6C">
              <w:rPr>
                <w:rFonts w:ascii="Arial" w:hAnsi="Arial"/>
                <w:sz w:val="16"/>
              </w:rPr>
              <w:t>11</w:t>
            </w:r>
            <w:r w:rsidR="000476AF">
              <w:rPr>
                <w:rFonts w:ascii="Arial" w:hAnsi="Arial"/>
                <w:sz w:val="16"/>
              </w:rPr>
              <w:t>2.75</w:t>
            </w:r>
          </w:p>
        </w:tc>
        <w:tc>
          <w:tcPr>
            <w:tcW w:w="1279" w:type="dxa"/>
            <w:vAlign w:val="center"/>
          </w:tcPr>
          <w:p w:rsidR="00B8684C" w:rsidRPr="00C5290A" w:rsidP="00B631B1" w14:paraId="6558C92A" w14:textId="5A09EC09">
            <w:pPr>
              <w:jc w:val="right"/>
              <w:rPr>
                <w:rFonts w:ascii="Arial" w:hAnsi="Arial"/>
                <w:sz w:val="16"/>
                <w:szCs w:val="16"/>
              </w:rPr>
            </w:pPr>
            <w:r w:rsidRPr="49F0B053">
              <w:rPr>
                <w:rFonts w:ascii="Arial" w:hAnsi="Arial"/>
                <w:sz w:val="16"/>
                <w:szCs w:val="16"/>
              </w:rPr>
              <w:t>$</w:t>
            </w:r>
            <w:r w:rsidR="00E35926">
              <w:rPr>
                <w:rFonts w:ascii="Arial" w:hAnsi="Arial"/>
                <w:sz w:val="16"/>
                <w:szCs w:val="16"/>
              </w:rPr>
              <w:t>9,358</w:t>
            </w:r>
          </w:p>
        </w:tc>
      </w:tr>
      <w:tr w14:paraId="7C2390C5" w14:textId="77777777" w:rsidTr="00B631B1">
        <w:tblPrEx>
          <w:tblW w:w="9350" w:type="dxa"/>
          <w:tblLook w:val="0000"/>
        </w:tblPrEx>
        <w:trPr>
          <w:cantSplit/>
          <w:trHeight w:val="377"/>
        </w:trPr>
        <w:tc>
          <w:tcPr>
            <w:tcW w:w="617" w:type="dxa"/>
            <w:vAlign w:val="center"/>
          </w:tcPr>
          <w:p w:rsidR="00B8684C" w:rsidRPr="00C5290A" w:rsidP="00B631B1" w14:paraId="64469192" w14:textId="77777777">
            <w:pPr>
              <w:rPr>
                <w:rFonts w:ascii="Arial" w:hAnsi="Arial"/>
                <w:b/>
                <w:sz w:val="16"/>
              </w:rPr>
            </w:pPr>
          </w:p>
          <w:p w:rsidR="00B8684C" w:rsidRPr="00C5290A" w:rsidP="00B631B1" w14:paraId="024B8867" w14:textId="77777777">
            <w:pPr>
              <w:rPr>
                <w:rFonts w:ascii="Arial" w:hAnsi="Arial"/>
                <w:b/>
                <w:sz w:val="16"/>
              </w:rPr>
            </w:pPr>
          </w:p>
        </w:tc>
        <w:tc>
          <w:tcPr>
            <w:tcW w:w="2915" w:type="dxa"/>
            <w:vAlign w:val="center"/>
          </w:tcPr>
          <w:p w:rsidR="00B8684C" w:rsidRPr="00C5290A" w:rsidP="00B631B1" w14:paraId="26BC7C49" w14:textId="77777777">
            <w:pPr>
              <w:keepNext/>
              <w:outlineLvl w:val="8"/>
              <w:rPr>
                <w:rFonts w:ascii="Arial" w:hAnsi="Arial"/>
                <w:b/>
                <w:sz w:val="16"/>
              </w:rPr>
            </w:pPr>
            <w:r w:rsidRPr="00C5290A">
              <w:rPr>
                <w:rFonts w:ascii="Arial" w:hAnsi="Arial"/>
                <w:b/>
                <w:sz w:val="16"/>
              </w:rPr>
              <w:t>T</w:t>
            </w:r>
            <w:r>
              <w:rPr>
                <w:rFonts w:ascii="Arial" w:hAnsi="Arial"/>
                <w:b/>
                <w:sz w:val="16"/>
              </w:rPr>
              <w:t>otals</w:t>
            </w:r>
          </w:p>
        </w:tc>
        <w:tc>
          <w:tcPr>
            <w:tcW w:w="1292" w:type="dxa"/>
            <w:vAlign w:val="center"/>
          </w:tcPr>
          <w:p w:rsidR="00B8684C" w:rsidRPr="00C5290A" w:rsidP="00B631B1" w14:paraId="27F8BE16" w14:textId="77777777">
            <w:pPr>
              <w:jc w:val="right"/>
              <w:rPr>
                <w:rFonts w:ascii="Arial" w:hAnsi="Arial"/>
                <w:b/>
                <w:bCs/>
                <w:sz w:val="16"/>
                <w:szCs w:val="16"/>
              </w:rPr>
            </w:pPr>
            <w:r>
              <w:rPr>
                <w:rFonts w:ascii="Arial" w:hAnsi="Arial"/>
                <w:b/>
                <w:bCs/>
                <w:sz w:val="16"/>
                <w:szCs w:val="16"/>
              </w:rPr>
              <w:t>1,250</w:t>
            </w:r>
          </w:p>
        </w:tc>
        <w:tc>
          <w:tcPr>
            <w:tcW w:w="1051" w:type="dxa"/>
            <w:vAlign w:val="center"/>
          </w:tcPr>
          <w:p w:rsidR="00B8684C" w:rsidRPr="00C5290A" w:rsidP="00B631B1" w14:paraId="0CA11A00" w14:textId="77777777">
            <w:pPr>
              <w:jc w:val="right"/>
              <w:rPr>
                <w:rFonts w:ascii="Arial" w:hAnsi="Arial"/>
                <w:b/>
                <w:sz w:val="16"/>
              </w:rPr>
            </w:pPr>
            <w:r w:rsidRPr="00C5290A">
              <w:rPr>
                <w:rFonts w:ascii="Arial" w:hAnsi="Arial"/>
                <w:b/>
                <w:sz w:val="16"/>
              </w:rPr>
              <w:t xml:space="preserve">-  -  -  </w:t>
            </w:r>
          </w:p>
        </w:tc>
        <w:tc>
          <w:tcPr>
            <w:tcW w:w="1098" w:type="dxa"/>
            <w:vAlign w:val="center"/>
          </w:tcPr>
          <w:p w:rsidR="00B8684C" w:rsidRPr="00C5290A" w:rsidP="00B631B1" w14:paraId="1B6F3AD5" w14:textId="3D2EC719">
            <w:pPr>
              <w:jc w:val="right"/>
              <w:rPr>
                <w:rFonts w:ascii="Arial" w:hAnsi="Arial"/>
                <w:b/>
                <w:bCs/>
                <w:sz w:val="16"/>
                <w:szCs w:val="16"/>
              </w:rPr>
            </w:pPr>
            <w:r w:rsidRPr="49F0B053">
              <w:rPr>
                <w:rFonts w:ascii="Arial" w:hAnsi="Arial"/>
                <w:b/>
                <w:bCs/>
                <w:sz w:val="16"/>
                <w:szCs w:val="16"/>
              </w:rPr>
              <w:t xml:space="preserve"> </w:t>
            </w:r>
            <w:r w:rsidR="000476AF">
              <w:rPr>
                <w:rFonts w:ascii="Arial" w:hAnsi="Arial"/>
                <w:b/>
                <w:bCs/>
                <w:sz w:val="16"/>
                <w:szCs w:val="16"/>
              </w:rPr>
              <w:t>83</w:t>
            </w:r>
          </w:p>
        </w:tc>
        <w:tc>
          <w:tcPr>
            <w:tcW w:w="1098" w:type="dxa"/>
            <w:vAlign w:val="center"/>
          </w:tcPr>
          <w:p w:rsidR="00B8684C" w:rsidRPr="00C5290A" w:rsidP="00B631B1" w14:paraId="1530C623" w14:textId="77777777">
            <w:pPr>
              <w:jc w:val="right"/>
              <w:rPr>
                <w:rFonts w:ascii="Arial" w:hAnsi="Arial"/>
                <w:b/>
                <w:sz w:val="16"/>
              </w:rPr>
            </w:pPr>
            <w:r w:rsidRPr="00C5290A">
              <w:rPr>
                <w:rFonts w:ascii="Arial" w:hAnsi="Arial"/>
                <w:b/>
                <w:sz w:val="16"/>
              </w:rPr>
              <w:t xml:space="preserve">-  -  -  </w:t>
            </w:r>
          </w:p>
        </w:tc>
        <w:tc>
          <w:tcPr>
            <w:tcW w:w="1279" w:type="dxa"/>
            <w:vAlign w:val="center"/>
          </w:tcPr>
          <w:p w:rsidR="00B8684C" w:rsidRPr="00B50C6C" w:rsidP="00B631B1" w14:paraId="0B2DEE81" w14:textId="36F33757">
            <w:pPr>
              <w:jc w:val="right"/>
              <w:rPr>
                <w:rFonts w:ascii="Arial" w:hAnsi="Arial"/>
                <w:b/>
                <w:bCs/>
                <w:sz w:val="16"/>
                <w:szCs w:val="16"/>
              </w:rPr>
            </w:pPr>
            <w:r w:rsidRPr="49F0B053">
              <w:rPr>
                <w:rFonts w:ascii="Arial" w:hAnsi="Arial"/>
                <w:b/>
                <w:bCs/>
                <w:sz w:val="16"/>
                <w:szCs w:val="16"/>
              </w:rPr>
              <w:t>$</w:t>
            </w:r>
            <w:r w:rsidRPr="00E35926" w:rsidR="00E35926">
              <w:rPr>
                <w:rFonts w:ascii="Arial" w:hAnsi="Arial"/>
                <w:b/>
                <w:bCs/>
                <w:sz w:val="16"/>
                <w:szCs w:val="16"/>
              </w:rPr>
              <w:t>9,358</w:t>
            </w:r>
          </w:p>
        </w:tc>
      </w:tr>
    </w:tbl>
    <w:p w:rsidR="00E35926" w:rsidP="00E35926" w14:paraId="4BB179DC" w14:textId="77777777">
      <w:pPr>
        <w:tabs>
          <w:tab w:val="left" w:pos="-1152"/>
        </w:tabs>
        <w:autoSpaceDE w:val="0"/>
        <w:autoSpaceDN w:val="0"/>
        <w:adjustRightInd w:val="0"/>
        <w:ind w:left="360" w:hanging="360"/>
        <w:contextualSpacing/>
        <w:jc w:val="both"/>
        <w:rPr>
          <w:rFonts w:ascii="Arial" w:hAnsi="Arial"/>
          <w:b/>
          <w:sz w:val="24"/>
        </w:rPr>
      </w:pPr>
    </w:p>
    <w:p w:rsidR="00E35926" w:rsidRPr="00410E7E" w:rsidP="00E35926" w14:paraId="01E78FD3" w14:textId="311347AD">
      <w:pPr>
        <w:tabs>
          <w:tab w:val="left" w:pos="-1152"/>
        </w:tabs>
        <w:autoSpaceDE w:val="0"/>
        <w:autoSpaceDN w:val="0"/>
        <w:adjustRightInd w:val="0"/>
        <w:ind w:left="360" w:hanging="360"/>
        <w:contextualSpacing/>
        <w:jc w:val="both"/>
        <w:rPr>
          <w:rFonts w:ascii="Arial" w:hAnsi="Arial" w:cs="Arial"/>
          <w:b/>
          <w:bCs/>
          <w:sz w:val="24"/>
        </w:rPr>
      </w:pPr>
      <w:r>
        <w:rPr>
          <w:rFonts w:ascii="Arial" w:hAnsi="Arial"/>
          <w:b/>
          <w:sz w:val="24"/>
        </w:rPr>
        <w:t>15.</w:t>
      </w:r>
      <w:r>
        <w:rPr>
          <w:rFonts w:ascii="Arial" w:hAnsi="Arial"/>
          <w:b/>
          <w:sz w:val="24"/>
        </w:rPr>
        <w:tab/>
      </w:r>
      <w:r w:rsidRPr="001D603D">
        <w:rPr>
          <w:rFonts w:ascii="Arial" w:hAnsi="Arial" w:cs="Arial"/>
          <w:b/>
          <w:bCs/>
          <w:sz w:val="24"/>
        </w:rPr>
        <w:t>Explain the reasons for any program changes or adjustments reported on the burden worksheet.</w:t>
      </w:r>
    </w:p>
    <w:p w:rsidR="00B8684C" w:rsidP="00ED1BB9" w14:paraId="23A6A847" w14:textId="77777777">
      <w:pPr>
        <w:tabs>
          <w:tab w:val="left" w:pos="-984"/>
          <w:tab w:val="left" w:pos="-720"/>
          <w:tab w:val="left" w:pos="720"/>
        </w:tabs>
        <w:jc w:val="both"/>
        <w:rPr>
          <w:rFonts w:ascii="Arial" w:hAnsi="Arial" w:cs="Arial"/>
          <w:sz w:val="24"/>
          <w:szCs w:val="24"/>
        </w:rPr>
      </w:pPr>
    </w:p>
    <w:p w:rsidR="00E35926" w:rsidRPr="00164C92" w:rsidP="00E35926" w14:paraId="4B92621E" w14:textId="77777777">
      <w:pPr>
        <w:pStyle w:val="NoSpacing"/>
        <w:jc w:val="both"/>
        <w:rPr>
          <w:rFonts w:ascii="Arial" w:hAnsi="Arial" w:cs="Arial"/>
          <w:b/>
          <w:sz w:val="20"/>
          <w:szCs w:val="20"/>
        </w:rPr>
      </w:pPr>
      <w:r w:rsidRPr="000179EF">
        <w:rPr>
          <w:rFonts w:ascii="Arial" w:hAnsi="Arial" w:cs="Arial"/>
          <w:b/>
          <w:sz w:val="20"/>
          <w:szCs w:val="20"/>
        </w:rPr>
        <w:t xml:space="preserve">Table </w:t>
      </w:r>
      <w:r>
        <w:rPr>
          <w:rFonts w:ascii="Arial" w:hAnsi="Arial" w:cs="Arial"/>
          <w:b/>
          <w:sz w:val="20"/>
          <w:szCs w:val="20"/>
        </w:rPr>
        <w:t>4</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D420324" w14:textId="77777777" w:rsidTr="00B631B1">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cantSplit/>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49CAE6D3"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080602E6"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69A9E7A7"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3628D10D"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56E8C254"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3A73EBDB"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35926" w:rsidRPr="00792B37" w:rsidP="00B631B1" w14:paraId="0C2BF426" w14:textId="77777777">
            <w:pPr>
              <w:spacing w:line="195" w:lineRule="atLeast"/>
              <w:jc w:val="center"/>
              <w:rPr>
                <w:rFonts w:ascii="Arial" w:hAnsi="Arial" w:cs="Arial"/>
                <w:b/>
                <w:bCs/>
                <w:color w:val="FFFFFF"/>
                <w:sz w:val="16"/>
                <w:szCs w:val="16"/>
              </w:rPr>
            </w:pPr>
            <w:r w:rsidRPr="00792B37">
              <w:rPr>
                <w:rFonts w:ascii="Arial" w:hAnsi="Arial" w:cs="Arial"/>
                <w:b/>
                <w:bCs/>
                <w:color w:val="FFFFFF"/>
                <w:sz w:val="16"/>
                <w:szCs w:val="16"/>
              </w:rPr>
              <w:t>Previously Approved</w:t>
            </w:r>
          </w:p>
        </w:tc>
      </w:tr>
      <w:tr w14:paraId="0378576D" w14:textId="77777777" w:rsidTr="00B631B1">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387F2B6F" w14:textId="77777777">
            <w:pPr>
              <w:spacing w:line="225" w:lineRule="atLeast"/>
              <w:rPr>
                <w:rFonts w:ascii="Arial" w:hAnsi="Arial" w:cs="Arial"/>
                <w:color w:val="56606F"/>
                <w:sz w:val="16"/>
                <w:szCs w:val="16"/>
              </w:rPr>
            </w:pPr>
            <w:r w:rsidRPr="00792B37">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01B21360" w14:textId="77777777">
            <w:pPr>
              <w:spacing w:line="225" w:lineRule="atLeast"/>
              <w:rPr>
                <w:rFonts w:ascii="Arial" w:hAnsi="Arial" w:cs="Arial"/>
                <w:sz w:val="16"/>
                <w:szCs w:val="16"/>
              </w:rPr>
            </w:pPr>
            <w:r w:rsidRPr="00792B37">
              <w:rPr>
                <w:rFonts w:ascii="Arial" w:hAnsi="Arial" w:cs="Arial"/>
                <w:sz w:val="16"/>
                <w:szCs w:val="16"/>
              </w:rPr>
              <w:t>1,</w:t>
            </w:r>
            <w:r>
              <w:rPr>
                <w:rFonts w:ascii="Arial" w:hAnsi="Arial" w:cs="Arial"/>
                <w:sz w:val="16"/>
                <w:szCs w:val="16"/>
              </w:rPr>
              <w:t>250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279DF962"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7274DE39" w14:textId="77777777">
            <w:pPr>
              <w:spacing w:line="225" w:lineRule="atLeast"/>
              <w:rPr>
                <w:rFonts w:ascii="Arial" w:hAnsi="Arial" w:cs="Arial"/>
                <w:sz w:val="16"/>
                <w:szCs w:val="16"/>
              </w:rPr>
            </w:pPr>
            <w:r>
              <w:rPr>
                <w:rFonts w:ascii="Arial" w:hAnsi="Arial" w:cs="Arial"/>
                <w:sz w:val="16"/>
                <w:szCs w:val="16"/>
              </w:rPr>
              <w:t>250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087E1557" w14:textId="77777777">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68055BFB"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30A6A0EC" w14:textId="77777777">
            <w:pPr>
              <w:spacing w:line="225" w:lineRule="atLeast"/>
              <w:rPr>
                <w:rFonts w:ascii="Arial" w:hAnsi="Arial" w:cs="Arial"/>
                <w:sz w:val="16"/>
                <w:szCs w:val="16"/>
              </w:rPr>
            </w:pPr>
            <w:r>
              <w:rPr>
                <w:rFonts w:ascii="Arial" w:hAnsi="Arial" w:cs="Arial"/>
                <w:sz w:val="16"/>
                <w:szCs w:val="16"/>
              </w:rPr>
              <w:t>1,000</w:t>
            </w:r>
          </w:p>
        </w:tc>
      </w:tr>
      <w:tr w14:paraId="384B648E" w14:textId="77777777" w:rsidTr="00B631B1">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3ABEB455" w14:textId="77777777">
            <w:pPr>
              <w:spacing w:line="225" w:lineRule="atLeast"/>
              <w:rPr>
                <w:rFonts w:ascii="Arial" w:hAnsi="Arial" w:cs="Arial"/>
                <w:color w:val="56606F"/>
                <w:sz w:val="16"/>
                <w:szCs w:val="16"/>
              </w:rPr>
            </w:pPr>
            <w:r w:rsidRPr="00792B37">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41190283" w14:textId="77777777">
            <w:pPr>
              <w:spacing w:line="225" w:lineRule="atLeast"/>
              <w:rPr>
                <w:rFonts w:ascii="Arial" w:hAnsi="Arial" w:cs="Arial"/>
                <w:sz w:val="16"/>
                <w:szCs w:val="16"/>
              </w:rPr>
            </w:pPr>
            <w:r>
              <w:rPr>
                <w:rFonts w:ascii="Arial" w:hAnsi="Arial" w:cs="Arial"/>
                <w:sz w:val="16"/>
                <w:szCs w:val="16"/>
              </w:rPr>
              <w:t>208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77822910"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576E43F8" w14:textId="77777777">
            <w:pPr>
              <w:spacing w:line="225" w:lineRule="atLeast"/>
              <w:rPr>
                <w:rFonts w:ascii="Arial" w:hAnsi="Arial" w:cs="Arial"/>
                <w:sz w:val="16"/>
                <w:szCs w:val="16"/>
              </w:rPr>
            </w:pPr>
            <w:r>
              <w:rPr>
                <w:rFonts w:ascii="Arial" w:hAnsi="Arial" w:cs="Arial"/>
                <w:sz w:val="16"/>
                <w:szCs w:val="16"/>
              </w:rPr>
              <w:t>37</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3C32765B" w14:textId="77777777">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76F36529"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727CC982" w14:textId="77777777">
            <w:pPr>
              <w:spacing w:line="225" w:lineRule="atLeast"/>
              <w:rPr>
                <w:rFonts w:ascii="Arial" w:hAnsi="Arial" w:cs="Arial"/>
                <w:sz w:val="16"/>
                <w:szCs w:val="16"/>
              </w:rPr>
            </w:pPr>
            <w:r>
              <w:rPr>
                <w:rFonts w:ascii="Arial" w:hAnsi="Arial" w:cs="Arial"/>
                <w:sz w:val="16"/>
                <w:szCs w:val="16"/>
              </w:rPr>
              <w:t>171</w:t>
            </w:r>
          </w:p>
        </w:tc>
      </w:tr>
      <w:tr w14:paraId="45E1AF91" w14:textId="77777777" w:rsidTr="00B631B1">
        <w:tblPrEx>
          <w:tblW w:w="5000" w:type="pct"/>
          <w:tblCellMar>
            <w:left w:w="0" w:type="dxa"/>
            <w:right w:w="0" w:type="dxa"/>
          </w:tblCellMar>
          <w:tblLook w:val="04A0"/>
        </w:tblPrEx>
        <w:trPr>
          <w:cantSplit/>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3F5D7DD1" w14:textId="77777777">
            <w:pPr>
              <w:spacing w:line="225" w:lineRule="atLeast"/>
              <w:rPr>
                <w:rFonts w:ascii="Arial" w:hAnsi="Arial" w:cs="Arial"/>
                <w:sz w:val="16"/>
                <w:szCs w:val="16"/>
              </w:rPr>
            </w:pPr>
            <w:r w:rsidRPr="00792B37">
              <w:rPr>
                <w:rFonts w:ascii="Arial" w:hAnsi="Arial" w:cs="Arial"/>
                <w:color w:val="56606F"/>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00B099CA"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12088C37"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6CF7C570" w14:textId="77777777">
            <w:pPr>
              <w:spacing w:line="225" w:lineRule="atLeast"/>
              <w:rPr>
                <w:rFonts w:ascii="Arial" w:hAnsi="Arial" w:cs="Arial"/>
                <w:sz w:val="16"/>
                <w:szCs w:val="16"/>
              </w:rPr>
            </w:pPr>
            <w:r>
              <w:rPr>
                <w:rFonts w:ascii="Arial" w:hAnsi="Arial" w:cs="Arial"/>
                <w:sz w:val="16"/>
                <w:szCs w:val="16"/>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785E4C83" w14:textId="77777777">
            <w:pPr>
              <w:spacing w:line="225" w:lineRule="atLeast"/>
              <w:rPr>
                <w:rFonts w:ascii="Arial" w:hAnsi="Arial" w:cs="Arial"/>
                <w:sz w:val="16"/>
                <w:szCs w:val="16"/>
              </w:rPr>
            </w:pPr>
            <w:r w:rsidRPr="00792B37">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54AA38B2" w14:textId="77777777">
            <w:pPr>
              <w:spacing w:line="225" w:lineRule="atLeast"/>
              <w:rPr>
                <w:rFonts w:ascii="Arial" w:hAnsi="Arial" w:cs="Arial"/>
                <w:sz w:val="16"/>
                <w:szCs w:val="16"/>
              </w:rPr>
            </w:pPr>
            <w:r w:rsidRPr="00792B37">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35926" w:rsidRPr="00792B37" w:rsidP="00B631B1" w14:paraId="214DEF4A" w14:textId="77777777">
            <w:pPr>
              <w:spacing w:line="225" w:lineRule="atLeast"/>
              <w:rPr>
                <w:rFonts w:ascii="Arial" w:hAnsi="Arial" w:cs="Arial"/>
                <w:sz w:val="16"/>
                <w:szCs w:val="16"/>
              </w:rPr>
            </w:pPr>
            <w:r w:rsidRPr="00792B37">
              <w:rPr>
                <w:rFonts w:ascii="Arial" w:hAnsi="Arial" w:cs="Arial"/>
                <w:sz w:val="16"/>
                <w:szCs w:val="16"/>
              </w:rPr>
              <w:t>0</w:t>
            </w:r>
          </w:p>
        </w:tc>
      </w:tr>
    </w:tbl>
    <w:p w:rsidR="00E35926" w:rsidP="00ED1BB9" w14:paraId="43A93E56" w14:textId="77777777">
      <w:pPr>
        <w:tabs>
          <w:tab w:val="left" w:pos="-984"/>
          <w:tab w:val="left" w:pos="-720"/>
          <w:tab w:val="left" w:pos="720"/>
        </w:tabs>
        <w:jc w:val="both"/>
        <w:rPr>
          <w:rFonts w:ascii="Arial" w:hAnsi="Arial" w:cs="Arial"/>
          <w:sz w:val="24"/>
          <w:szCs w:val="24"/>
        </w:rPr>
      </w:pPr>
    </w:p>
    <w:p w:rsidR="00C6587F" w:rsidRPr="005C2BBE" w:rsidP="00C6587F" w14:paraId="4EC94F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r w:rsidRPr="005C2BBE">
        <w:rPr>
          <w:rFonts w:ascii="Arial" w:hAnsi="Arial" w:cs="Arial"/>
          <w:sz w:val="24"/>
          <w:u w:val="single"/>
        </w:rPr>
        <w:t xml:space="preserve">Change in Responses and </w:t>
      </w:r>
      <w:r>
        <w:rPr>
          <w:rFonts w:ascii="Arial" w:hAnsi="Arial" w:cs="Arial"/>
          <w:sz w:val="24"/>
          <w:u w:val="single"/>
        </w:rPr>
        <w:t>Hourly</w:t>
      </w:r>
      <w:r w:rsidRPr="005C2BBE">
        <w:rPr>
          <w:rFonts w:ascii="Arial" w:hAnsi="Arial" w:cs="Arial"/>
          <w:sz w:val="24"/>
          <w:u w:val="single"/>
        </w:rPr>
        <w:t xml:space="preserve"> Burden due to </w:t>
      </w:r>
      <w:r>
        <w:rPr>
          <w:rFonts w:ascii="Arial" w:hAnsi="Arial" w:cs="Arial"/>
          <w:sz w:val="24"/>
          <w:u w:val="single"/>
        </w:rPr>
        <w:t xml:space="preserve">Adjustment in </w:t>
      </w:r>
      <w:r w:rsidRPr="005C2BBE">
        <w:rPr>
          <w:rFonts w:ascii="Arial" w:hAnsi="Arial" w:cs="Arial"/>
          <w:sz w:val="24"/>
          <w:u w:val="single"/>
        </w:rPr>
        <w:t>Agency Discretion</w:t>
      </w:r>
    </w:p>
    <w:p w:rsidR="00C6587F" w:rsidP="00C6587F" w14:paraId="1C051872" w14:textId="77777777">
      <w:pPr>
        <w:shd w:val="clear" w:color="auto" w:fill="FFFFFF"/>
        <w:spacing w:line="270" w:lineRule="atLeast"/>
        <w:jc w:val="both"/>
        <w:textAlignment w:val="center"/>
        <w:rPr>
          <w:rFonts w:ascii="Arial" w:hAnsi="Arial" w:cs="Arial"/>
          <w:color w:val="000000"/>
          <w:sz w:val="24"/>
          <w:szCs w:val="24"/>
        </w:rPr>
      </w:pPr>
    </w:p>
    <w:p w:rsidR="00C6587F" w:rsidP="00C6587F" w14:paraId="0A87A0E3" w14:textId="43A8869C">
      <w:pPr>
        <w:jc w:val="both"/>
        <w:rPr>
          <w:rFonts w:cs="Arial"/>
          <w:color w:val="000000"/>
        </w:rPr>
      </w:pPr>
      <w:r w:rsidRPr="49F0B053">
        <w:rPr>
          <w:rFonts w:ascii="Arial" w:hAnsi="Arial"/>
          <w:sz w:val="24"/>
          <w:szCs w:val="24"/>
        </w:rPr>
        <w:t>The survey will now utilize an opt-in approach which will allow attorneys/agents to respond to the survey who would otherwise were not selected by the panel design. T</w:t>
      </w:r>
      <w:r w:rsidRPr="49F0B053">
        <w:rPr>
          <w:rFonts w:ascii="Arial" w:hAnsi="Arial" w:cs="Arial"/>
          <w:color w:val="000000" w:themeColor="text1"/>
          <w:sz w:val="24"/>
          <w:szCs w:val="24"/>
        </w:rPr>
        <w:t xml:space="preserve">he total number of estimated responses </w:t>
      </w:r>
      <w:r w:rsidR="001C454E">
        <w:rPr>
          <w:rFonts w:ascii="Arial" w:hAnsi="Arial" w:cs="Arial"/>
          <w:color w:val="000000" w:themeColor="text1"/>
          <w:sz w:val="24"/>
          <w:szCs w:val="24"/>
        </w:rPr>
        <w:t>will</w:t>
      </w:r>
      <w:r w:rsidRPr="49F0B053">
        <w:rPr>
          <w:rFonts w:ascii="Arial" w:hAnsi="Arial" w:cs="Arial"/>
          <w:color w:val="000000" w:themeColor="text1"/>
          <w:sz w:val="24"/>
          <w:szCs w:val="24"/>
        </w:rPr>
        <w:t xml:space="preserve"> increase by 250 due to the USPTO changing the method of collection, and this increase in the number of responses results in a corresponding increase of 37 hours in the annual time burden estimates.  </w:t>
      </w:r>
    </w:p>
    <w:p w:rsidR="00C6587F" w:rsidP="00C6587F" w14:paraId="1033E548" w14:textId="77777777">
      <w:pPr>
        <w:jc w:val="both"/>
        <w:rPr>
          <w:rFonts w:ascii="Arial" w:hAnsi="Arial"/>
          <w:sz w:val="24"/>
        </w:rPr>
      </w:pPr>
    </w:p>
    <w:p w:rsidR="00C6587F" w:rsidP="00C6587F" w14:paraId="31EFB334" w14:textId="77777777">
      <w:pPr>
        <w:ind w:left="360" w:hanging="360"/>
        <w:jc w:val="both"/>
        <w:rPr>
          <w:rFonts w:ascii="Arial" w:hAnsi="Arial"/>
          <w:sz w:val="24"/>
        </w:rPr>
      </w:pPr>
      <w:r w:rsidRPr="003C4EFB">
        <w:rPr>
          <w:rFonts w:ascii="Arial" w:hAnsi="Arial"/>
          <w:b/>
          <w:sz w:val="24"/>
        </w:rPr>
        <w:t>16.</w:t>
      </w:r>
      <w:r w:rsidRPr="003C4EFB">
        <w:rPr>
          <w:rFonts w:ascii="Arial" w:hAnsi="Arial"/>
          <w:b/>
          <w:sz w:val="24"/>
        </w:rPr>
        <w:tab/>
      </w:r>
      <w:r w:rsidRPr="001D603D">
        <w:rPr>
          <w:rFonts w:ascii="Arial" w:hAnsi="Arial" w:cs="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587F" w:rsidP="00C6587F" w14:paraId="53BAA6A2" w14:textId="77777777">
      <w:pPr>
        <w:pStyle w:val="BodyText2"/>
      </w:pPr>
    </w:p>
    <w:p w:rsidR="00C6587F" w:rsidRPr="00C6587F" w:rsidP="00C6587F" w14:paraId="3DD86077" w14:textId="6AC67214">
      <w:pPr>
        <w:pStyle w:val="BodyText2"/>
        <w:tabs>
          <w:tab w:val="left" w:pos="720"/>
        </w:tabs>
        <w:rPr>
          <w:color w:val="0000FF"/>
        </w:rPr>
      </w:pPr>
      <w:r>
        <w:t xml:space="preserve">The USPTO disseminates information from the surveys on the following website: </w:t>
      </w:r>
      <w:hyperlink r:id="rId10" w:history="1">
        <w:r w:rsidRPr="00896FE6">
          <w:rPr>
            <w:rStyle w:val="Hyperlink"/>
          </w:rPr>
          <w:t>https://www.uspto.gov/patents/quality-metrics</w:t>
        </w:r>
      </w:hyperlink>
      <w:r w:rsidRPr="00A54DB6">
        <w:rPr>
          <w:rStyle w:val="Hyperlink"/>
          <w:u w:val="none"/>
        </w:rPr>
        <w:t>.</w:t>
      </w:r>
      <w:r>
        <w:rPr>
          <w:rStyle w:val="Hyperlink"/>
          <w:u w:val="none"/>
        </w:rPr>
        <w:t xml:space="preserve"> </w:t>
      </w:r>
      <w:r>
        <w:t>The primary goal of the survey is to measure change in examination quality over a fixed period of time. Respondents will be asked to evaluate their perceptions of examination quality and their recent interactions with the USPTO. Results will be used as part of USPTO’s overall quality measurement program.</w:t>
      </w:r>
    </w:p>
    <w:p w:rsidR="00C6587F" w:rsidP="00C6587F" w14:paraId="30F98A46" w14:textId="77777777">
      <w:pPr>
        <w:pStyle w:val="BodyText2"/>
      </w:pPr>
    </w:p>
    <w:p w:rsidR="00C6587F" w:rsidP="00C6587F" w14:paraId="703A7F7C" w14:textId="77777777">
      <w:pPr>
        <w:pStyle w:val="BodyText2"/>
      </w:pPr>
      <w:r>
        <w:t>A projected schedule for the next survey under this clearance is provided below:</w:t>
      </w:r>
    </w:p>
    <w:p w:rsidR="00C6587F" w:rsidP="00C6587F" w14:paraId="0F39B302" w14:textId="77777777">
      <w:pPr>
        <w:pStyle w:val="BodyText2"/>
      </w:pPr>
    </w:p>
    <w:p w:rsidR="00C6587F" w:rsidRPr="00A54DB6" w:rsidP="00C6587F" w14:paraId="33950A0D" w14:textId="77777777">
      <w:pPr>
        <w:pStyle w:val="BodyText2"/>
        <w:rPr>
          <w:rFonts w:cs="Arial"/>
          <w:sz w:val="20"/>
        </w:rPr>
      </w:pPr>
      <w:r>
        <w:rPr>
          <w:rFonts w:cs="Arial"/>
          <w:b/>
          <w:sz w:val="20"/>
        </w:rPr>
        <w:t xml:space="preserve">Table 5: </w:t>
      </w:r>
      <w:r w:rsidRPr="00A54DB6">
        <w:rPr>
          <w:rFonts w:cs="Arial"/>
          <w:b/>
          <w:sz w:val="20"/>
        </w:rPr>
        <w:t xml:space="preserve">Wave </w:t>
      </w:r>
      <w:r>
        <w:rPr>
          <w:rFonts w:cs="Arial"/>
          <w:b/>
          <w:sz w:val="20"/>
        </w:rPr>
        <w:t>43 (January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1"/>
        <w:gridCol w:w="3669"/>
      </w:tblGrid>
      <w:tr w14:paraId="22E6E766" w14:textId="77777777" w:rsidTr="00B631B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038" w:type="pct"/>
            <w:shd w:val="clear" w:color="auto" w:fill="B4C6E7" w:themeFill="accent5" w:themeFillTint="66"/>
          </w:tcPr>
          <w:p w:rsidR="00C6587F" w:rsidRPr="00A54DB6" w:rsidP="00B631B1" w14:paraId="77AF62A5" w14:textId="77777777">
            <w:pPr>
              <w:pStyle w:val="BodyText2"/>
              <w:jc w:val="center"/>
              <w:rPr>
                <w:b/>
                <w:sz w:val="16"/>
                <w:szCs w:val="16"/>
              </w:rPr>
            </w:pPr>
            <w:r w:rsidRPr="00A54DB6">
              <w:rPr>
                <w:b/>
                <w:sz w:val="16"/>
                <w:szCs w:val="16"/>
              </w:rPr>
              <w:t>Task</w:t>
            </w:r>
          </w:p>
        </w:tc>
        <w:tc>
          <w:tcPr>
            <w:tcW w:w="1962" w:type="pct"/>
            <w:shd w:val="clear" w:color="auto" w:fill="B4C6E7" w:themeFill="accent5" w:themeFillTint="66"/>
          </w:tcPr>
          <w:p w:rsidR="00C6587F" w:rsidRPr="00A54DB6" w:rsidP="00B631B1" w14:paraId="1E68508D" w14:textId="77777777">
            <w:pPr>
              <w:pStyle w:val="BodyText2"/>
              <w:jc w:val="center"/>
              <w:rPr>
                <w:b/>
                <w:sz w:val="16"/>
                <w:szCs w:val="16"/>
              </w:rPr>
            </w:pPr>
            <w:r w:rsidRPr="00A54DB6">
              <w:rPr>
                <w:b/>
                <w:sz w:val="16"/>
                <w:szCs w:val="16"/>
              </w:rPr>
              <w:t>Due Date</w:t>
            </w:r>
          </w:p>
        </w:tc>
      </w:tr>
      <w:tr w14:paraId="419FD265" w14:textId="77777777" w:rsidTr="00B631B1">
        <w:tblPrEx>
          <w:tblW w:w="5000" w:type="pct"/>
          <w:tblLook w:val="01E0"/>
        </w:tblPrEx>
        <w:tc>
          <w:tcPr>
            <w:tcW w:w="3038" w:type="pct"/>
            <w:shd w:val="clear" w:color="auto" w:fill="auto"/>
            <w:vAlign w:val="center"/>
          </w:tcPr>
          <w:p w:rsidR="00C6587F" w:rsidRPr="00A54DB6" w:rsidP="00B631B1" w14:paraId="0F47F40C" w14:textId="77777777">
            <w:pPr>
              <w:pStyle w:val="BodyText2"/>
              <w:rPr>
                <w:sz w:val="16"/>
                <w:szCs w:val="16"/>
              </w:rPr>
            </w:pPr>
            <w:r w:rsidRPr="00A54DB6">
              <w:rPr>
                <w:rFonts w:cs="Arial"/>
                <w:sz w:val="16"/>
                <w:szCs w:val="16"/>
              </w:rPr>
              <w:t>Launch EQS web survey</w:t>
            </w:r>
          </w:p>
        </w:tc>
        <w:tc>
          <w:tcPr>
            <w:tcW w:w="1962" w:type="pct"/>
            <w:shd w:val="clear" w:color="auto" w:fill="auto"/>
            <w:vAlign w:val="center"/>
          </w:tcPr>
          <w:p w:rsidR="00C6587F" w:rsidRPr="00A54DB6" w:rsidP="00B631B1" w14:paraId="566A287B" w14:textId="77777777">
            <w:pPr>
              <w:pStyle w:val="BodyText2"/>
              <w:jc w:val="center"/>
              <w:rPr>
                <w:sz w:val="16"/>
                <w:szCs w:val="16"/>
              </w:rPr>
            </w:pPr>
            <w:r>
              <w:rPr>
                <w:rFonts w:cs="Arial"/>
                <w:sz w:val="16"/>
                <w:szCs w:val="16"/>
              </w:rPr>
              <w:t xml:space="preserve"> January 26</w:t>
            </w:r>
          </w:p>
        </w:tc>
      </w:tr>
      <w:tr w14:paraId="721AD349" w14:textId="77777777" w:rsidTr="00B631B1">
        <w:tblPrEx>
          <w:tblW w:w="5000" w:type="pct"/>
          <w:tblLook w:val="01E0"/>
        </w:tblPrEx>
        <w:tc>
          <w:tcPr>
            <w:tcW w:w="3038" w:type="pct"/>
            <w:tcBorders>
              <w:bottom w:val="single" w:sz="4" w:space="0" w:color="auto"/>
            </w:tcBorders>
            <w:shd w:val="clear" w:color="auto" w:fill="auto"/>
            <w:vAlign w:val="center"/>
          </w:tcPr>
          <w:p w:rsidR="00C6587F" w:rsidRPr="00A54DB6" w:rsidP="00B631B1" w14:paraId="2B57531F" w14:textId="77777777">
            <w:pPr>
              <w:pStyle w:val="BodyText2"/>
              <w:rPr>
                <w:sz w:val="16"/>
                <w:szCs w:val="16"/>
              </w:rPr>
            </w:pPr>
            <w:r w:rsidRPr="00A54DB6">
              <w:rPr>
                <w:rFonts w:cs="Arial"/>
                <w:sz w:val="16"/>
                <w:szCs w:val="16"/>
              </w:rPr>
              <w:t>Close data collection</w:t>
            </w:r>
          </w:p>
        </w:tc>
        <w:tc>
          <w:tcPr>
            <w:tcW w:w="1962" w:type="pct"/>
            <w:tcBorders>
              <w:bottom w:val="single" w:sz="4" w:space="0" w:color="auto"/>
            </w:tcBorders>
            <w:shd w:val="clear" w:color="auto" w:fill="auto"/>
          </w:tcPr>
          <w:p w:rsidR="00C6587F" w:rsidRPr="00A54DB6" w:rsidP="00B631B1" w14:paraId="501C8B5A" w14:textId="77777777">
            <w:pPr>
              <w:pStyle w:val="BodyText2"/>
              <w:jc w:val="center"/>
              <w:rPr>
                <w:sz w:val="16"/>
                <w:szCs w:val="16"/>
              </w:rPr>
            </w:pPr>
            <w:r>
              <w:rPr>
                <w:rFonts w:cs="Arial"/>
                <w:sz w:val="16"/>
                <w:szCs w:val="16"/>
              </w:rPr>
              <w:t xml:space="preserve"> March 13</w:t>
            </w:r>
          </w:p>
        </w:tc>
      </w:tr>
      <w:tr w14:paraId="10800932" w14:textId="77777777" w:rsidTr="00B631B1">
        <w:tblPrEx>
          <w:tblW w:w="5000" w:type="pct"/>
          <w:tblLook w:val="01E0"/>
        </w:tblPrEx>
        <w:tc>
          <w:tcPr>
            <w:tcW w:w="3038" w:type="pct"/>
            <w:shd w:val="clear" w:color="auto" w:fill="auto"/>
          </w:tcPr>
          <w:p w:rsidR="00C6587F" w:rsidRPr="00A54DB6" w:rsidP="00B631B1" w14:paraId="0A287E53" w14:textId="77777777">
            <w:pPr>
              <w:pStyle w:val="BodyText2"/>
              <w:rPr>
                <w:sz w:val="16"/>
                <w:szCs w:val="16"/>
              </w:rPr>
            </w:pPr>
            <w:r w:rsidRPr="00A54DB6">
              <w:rPr>
                <w:rFonts w:cs="Arial"/>
                <w:sz w:val="16"/>
                <w:szCs w:val="16"/>
              </w:rPr>
              <w:t xml:space="preserve">Deliver </w:t>
            </w:r>
            <w:r>
              <w:rPr>
                <w:rFonts w:cs="Arial"/>
                <w:sz w:val="16"/>
                <w:szCs w:val="16"/>
              </w:rPr>
              <w:t>bi</w:t>
            </w:r>
            <w:r w:rsidRPr="00A54DB6">
              <w:rPr>
                <w:rFonts w:cs="Arial"/>
                <w:sz w:val="16"/>
                <w:szCs w:val="16"/>
              </w:rPr>
              <w:t>annual report to USPTO</w:t>
            </w:r>
          </w:p>
        </w:tc>
        <w:tc>
          <w:tcPr>
            <w:tcW w:w="1962" w:type="pct"/>
            <w:shd w:val="clear" w:color="auto" w:fill="auto"/>
          </w:tcPr>
          <w:p w:rsidR="00C6587F" w:rsidRPr="00A54DB6" w:rsidP="00B631B1" w14:paraId="4E82F1B8" w14:textId="77777777">
            <w:pPr>
              <w:pStyle w:val="BodyText2"/>
              <w:jc w:val="center"/>
              <w:rPr>
                <w:sz w:val="16"/>
                <w:szCs w:val="16"/>
              </w:rPr>
            </w:pPr>
            <w:r>
              <w:rPr>
                <w:rFonts w:cs="Arial"/>
                <w:sz w:val="16"/>
                <w:szCs w:val="16"/>
              </w:rPr>
              <w:t xml:space="preserve"> April 10</w:t>
            </w:r>
          </w:p>
        </w:tc>
      </w:tr>
    </w:tbl>
    <w:p w:rsidR="00C6587F" w:rsidP="00C6587F" w14:paraId="1AED857A" w14:textId="77777777">
      <w:pPr>
        <w:pStyle w:val="BodyText2"/>
      </w:pPr>
    </w:p>
    <w:p w:rsidR="00C6587F" w:rsidP="00C6587F" w14:paraId="252669A5" w14:textId="77777777">
      <w:pPr>
        <w:ind w:left="360" w:hanging="360"/>
        <w:jc w:val="both"/>
        <w:rPr>
          <w:rFonts w:ascii="Arial" w:hAnsi="Arial"/>
          <w:b/>
          <w:sz w:val="24"/>
        </w:rPr>
      </w:pPr>
      <w:r>
        <w:rPr>
          <w:rFonts w:ascii="Arial" w:hAnsi="Arial"/>
          <w:b/>
          <w:sz w:val="24"/>
        </w:rPr>
        <w:t>17.</w:t>
      </w:r>
      <w:r>
        <w:rPr>
          <w:rFonts w:ascii="Arial" w:hAnsi="Arial"/>
          <w:b/>
          <w:sz w:val="24"/>
        </w:rPr>
        <w:tab/>
      </w:r>
      <w:r w:rsidRPr="001D603D">
        <w:rPr>
          <w:rFonts w:ascii="Arial" w:hAnsi="Arial" w:cs="Arial"/>
          <w:b/>
          <w:bCs/>
          <w:sz w:val="24"/>
        </w:rPr>
        <w:t>If seeking approval to not display the expiration date for OMB approval of the information collection, explain the reasons that display would be inappropriate.</w:t>
      </w:r>
    </w:p>
    <w:p w:rsidR="00C6587F" w:rsidP="00C6587F" w14:paraId="4DAFADFE" w14:textId="77777777">
      <w:pPr>
        <w:jc w:val="both"/>
        <w:rPr>
          <w:rFonts w:ascii="Arial" w:hAnsi="Arial"/>
          <w:sz w:val="24"/>
        </w:rPr>
      </w:pPr>
    </w:p>
    <w:p w:rsidR="00C6587F" w:rsidP="00C6587F" w14:paraId="67B2B4F3" w14:textId="77777777">
      <w:pPr>
        <w:jc w:val="both"/>
        <w:rPr>
          <w:rFonts w:ascii="Arial" w:hAnsi="Arial"/>
          <w:sz w:val="24"/>
        </w:rPr>
      </w:pPr>
      <w:r w:rsidRPr="00EA1488">
        <w:rPr>
          <w:rFonts w:ascii="Arial" w:hAnsi="Arial"/>
          <w:sz w:val="24"/>
        </w:rPr>
        <w:t>The forms in this information collection will display the OMB Control Number and the expiration date of OMB approval.</w:t>
      </w:r>
    </w:p>
    <w:p w:rsidR="00C6587F" w:rsidP="00C6587F" w14:paraId="4DD4B9A6" w14:textId="77777777">
      <w:pPr>
        <w:jc w:val="both"/>
        <w:rPr>
          <w:rFonts w:ascii="Arial" w:hAnsi="Arial"/>
          <w:sz w:val="24"/>
        </w:rPr>
      </w:pPr>
    </w:p>
    <w:p w:rsidR="00C6587F" w:rsidP="00C6587F" w14:paraId="74E2FA4E" w14:textId="77777777">
      <w:pPr>
        <w:ind w:left="360" w:hanging="360"/>
        <w:jc w:val="both"/>
        <w:rPr>
          <w:rFonts w:ascii="Arial" w:hAnsi="Arial"/>
          <w:b/>
          <w:sz w:val="24"/>
        </w:rPr>
      </w:pPr>
      <w:r>
        <w:rPr>
          <w:rFonts w:ascii="Arial" w:hAnsi="Arial"/>
          <w:b/>
          <w:sz w:val="24"/>
        </w:rPr>
        <w:t>18.</w:t>
      </w:r>
      <w:r>
        <w:rPr>
          <w:rFonts w:ascii="Arial" w:hAnsi="Arial"/>
          <w:b/>
          <w:sz w:val="24"/>
        </w:rPr>
        <w:tab/>
      </w:r>
      <w:r w:rsidRPr="001D603D">
        <w:rPr>
          <w:rFonts w:ascii="Arial" w:hAnsi="Arial" w:cs="Arial"/>
          <w:b/>
          <w:bCs/>
          <w:sz w:val="24"/>
        </w:rPr>
        <w:t>Explain each exception to the topics of the certification statement identified in “Certification for Paperwork Reduction Act Submissions.”</w:t>
      </w:r>
    </w:p>
    <w:p w:rsidR="00C6587F" w:rsidP="00C6587F" w14:paraId="42A97CD8" w14:textId="77777777">
      <w:pPr>
        <w:jc w:val="both"/>
        <w:rPr>
          <w:rFonts w:ascii="Arial" w:hAnsi="Arial"/>
          <w:sz w:val="24"/>
        </w:rPr>
      </w:pPr>
    </w:p>
    <w:p w:rsidR="00C6587F" w:rsidP="00C6587F" w14:paraId="7B2743B4" w14:textId="77777777">
      <w:pPr>
        <w:jc w:val="both"/>
        <w:rPr>
          <w:rFonts w:ascii="Arial" w:hAnsi="Arial"/>
          <w:sz w:val="24"/>
        </w:rPr>
      </w:pPr>
      <w:r>
        <w:rPr>
          <w:rFonts w:ascii="Arial" w:hAnsi="Arial"/>
          <w:sz w:val="24"/>
        </w:rPr>
        <w:t>This collection of information does not include any exceptions to the certificate statement.</w:t>
      </w:r>
    </w:p>
    <w:p w:rsidR="00C6587F" w:rsidRPr="00756640" w:rsidP="00C6587F" w14:paraId="2C5D5D68" w14:textId="77777777">
      <w:pPr>
        <w:jc w:val="both"/>
        <w:rPr>
          <w:rFonts w:ascii="Arial" w:hAnsi="Arial" w:cs="Arial"/>
          <w:sz w:val="24"/>
          <w:szCs w:val="24"/>
        </w:rPr>
      </w:pPr>
    </w:p>
    <w:p w:rsidR="00C6587F" w:rsidRPr="00907C64" w:rsidP="00C6587F" w14:paraId="14D532EE" w14:textId="77777777">
      <w:pPr>
        <w:keepNext/>
        <w:tabs>
          <w:tab w:val="left" w:pos="-984"/>
          <w:tab w:val="left" w:pos="-720"/>
        </w:tabs>
        <w:jc w:val="both"/>
        <w:rPr>
          <w:rFonts w:ascii="Arial" w:hAnsi="Arial" w:cs="Arial"/>
          <w:sz w:val="24"/>
          <w:szCs w:val="24"/>
        </w:rPr>
      </w:pPr>
      <w:r w:rsidRPr="00907C64">
        <w:rPr>
          <w:rFonts w:ascii="Arial" w:hAnsi="Arial" w:cs="Arial"/>
          <w:b/>
          <w:bCs/>
          <w:sz w:val="24"/>
          <w:szCs w:val="24"/>
        </w:rPr>
        <w:t>B.</w:t>
      </w:r>
      <w:r w:rsidRPr="00907C64">
        <w:rPr>
          <w:rFonts w:ascii="Arial" w:hAnsi="Arial" w:cs="Arial"/>
          <w:b/>
          <w:bCs/>
          <w:sz w:val="24"/>
          <w:szCs w:val="24"/>
        </w:rPr>
        <w:tab/>
        <w:t>COLLECTIONS OF INFORMATION EMPLOYING STATISTICAL METHODS</w:t>
      </w:r>
    </w:p>
    <w:p w:rsidR="00C6587F" w:rsidRPr="00907C64" w:rsidP="00C6587F" w14:paraId="520F8743" w14:textId="77777777">
      <w:pPr>
        <w:keepNext/>
        <w:tabs>
          <w:tab w:val="left" w:pos="-984"/>
          <w:tab w:val="left" w:pos="-720"/>
          <w:tab w:val="left" w:pos="720"/>
        </w:tabs>
        <w:jc w:val="both"/>
        <w:rPr>
          <w:rFonts w:ascii="Arial" w:hAnsi="Arial" w:cs="Arial"/>
          <w:sz w:val="24"/>
          <w:szCs w:val="24"/>
        </w:rPr>
      </w:pPr>
    </w:p>
    <w:p w:rsidR="00756640" w:rsidRPr="00E35926" w:rsidP="00C6587F" w14:paraId="38EE1FD0" w14:textId="33299475">
      <w:pPr>
        <w:tabs>
          <w:tab w:val="left" w:pos="-984"/>
          <w:tab w:val="left" w:pos="-720"/>
          <w:tab w:val="left" w:pos="720"/>
        </w:tabs>
        <w:jc w:val="both"/>
        <w:rPr>
          <w:rFonts w:ascii="Arial" w:hAnsi="Arial" w:cs="Arial"/>
          <w:sz w:val="24"/>
          <w:szCs w:val="24"/>
        </w:rPr>
      </w:pPr>
      <w:r w:rsidRPr="00907C64">
        <w:rPr>
          <w:rFonts w:ascii="Arial" w:hAnsi="Arial" w:cs="Arial"/>
          <w:sz w:val="24"/>
          <w:szCs w:val="24"/>
        </w:rPr>
        <w:t>This collection of information does not employ statistical methods</w:t>
      </w:r>
      <w:r>
        <w:rPr>
          <w:rFonts w:ascii="Arial" w:hAnsi="Arial" w:cs="Arial"/>
          <w:sz w:val="24"/>
          <w:szCs w:val="24"/>
        </w:rPr>
        <w:t>.</w:t>
      </w:r>
      <w:r w:rsidRPr="00E35926">
        <w:rPr>
          <w:rFonts w:ascii="Arial" w:hAnsi="Arial" w:cs="Arial"/>
          <w:sz w:val="24"/>
          <w:szCs w:val="24"/>
        </w:rPr>
        <w:t xml:space="preserve"> </w:t>
      </w:r>
    </w:p>
    <w:sectPr w:rsidSect="009E242F">
      <w:footerReference w:type="even" r:id="rId11"/>
      <w:footerReference w:type="default" r:id="rId12"/>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2B" w14:paraId="14B860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6A652B" w14:paraId="006ABA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52B" w:rsidRPr="00A54DB6" w14:paraId="0AEDADE0" w14:textId="45BB1F38">
    <w:pPr>
      <w:pStyle w:val="Footer"/>
      <w:framePr w:wrap="around" w:vAnchor="text" w:hAnchor="margin" w:xAlign="center" w:y="1"/>
      <w:rPr>
        <w:rStyle w:val="PageNumber"/>
        <w:rFonts w:ascii="Arial" w:hAnsi="Arial" w:cs="Arial"/>
      </w:rPr>
    </w:pPr>
    <w:r w:rsidRPr="00A54DB6">
      <w:rPr>
        <w:rStyle w:val="PageNumber"/>
        <w:rFonts w:ascii="Arial" w:hAnsi="Arial" w:cs="Arial"/>
      </w:rPr>
      <w:fldChar w:fldCharType="begin"/>
    </w:r>
    <w:r w:rsidRPr="00A54DB6">
      <w:rPr>
        <w:rStyle w:val="PageNumber"/>
        <w:rFonts w:ascii="Arial" w:hAnsi="Arial" w:cs="Arial"/>
      </w:rPr>
      <w:instrText xml:space="preserve">PAGE  </w:instrText>
    </w:r>
    <w:r w:rsidRPr="00A54DB6">
      <w:rPr>
        <w:rStyle w:val="PageNumber"/>
        <w:rFonts w:ascii="Arial" w:hAnsi="Arial" w:cs="Arial"/>
      </w:rPr>
      <w:fldChar w:fldCharType="separate"/>
    </w:r>
    <w:r w:rsidRPr="00A54DB6" w:rsidR="007942A5">
      <w:rPr>
        <w:rStyle w:val="PageNumber"/>
        <w:rFonts w:ascii="Arial" w:hAnsi="Arial" w:cs="Arial"/>
        <w:noProof/>
      </w:rPr>
      <w:t>11</w:t>
    </w:r>
    <w:r w:rsidRPr="00A54DB6">
      <w:rPr>
        <w:rStyle w:val="PageNumber"/>
        <w:rFonts w:ascii="Arial" w:hAnsi="Arial" w:cs="Arial"/>
      </w:rPr>
      <w:fldChar w:fldCharType="end"/>
    </w:r>
  </w:p>
  <w:p w:rsidR="006A652B" w14:paraId="5B3419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0B0B" w14:paraId="600E6629" w14:textId="77777777">
      <w:r>
        <w:separator/>
      </w:r>
    </w:p>
  </w:footnote>
  <w:footnote w:type="continuationSeparator" w:id="1">
    <w:p w:rsidR="00BA0B0B" w14:paraId="6C02DB93" w14:textId="77777777">
      <w:r>
        <w:continuationSeparator/>
      </w:r>
    </w:p>
  </w:footnote>
  <w:footnote w:type="continuationNotice" w:id="2">
    <w:p w:rsidR="00BA0B0B" w14:paraId="775BFAEB" w14:textId="77777777"/>
  </w:footnote>
  <w:footnote w:id="3">
    <w:p w:rsidR="00400AC3" w:rsidRPr="00A54DB6" w14:paraId="2F9488B8" w14:textId="2E455E97">
      <w:pPr>
        <w:pStyle w:val="FootnoteText"/>
        <w:rPr>
          <w:rFonts w:ascii="Arial" w:hAnsi="Arial" w:cs="Arial"/>
        </w:rPr>
      </w:pPr>
      <w:r w:rsidRPr="00A54DB6">
        <w:rPr>
          <w:rStyle w:val="FootnoteReference"/>
          <w:rFonts w:ascii="Arial" w:hAnsi="Arial" w:cs="Arial"/>
          <w:sz w:val="16"/>
          <w:szCs w:val="16"/>
        </w:rPr>
        <w:footnoteRef/>
      </w:r>
      <w:r w:rsidRPr="00A54DB6">
        <w:rPr>
          <w:rFonts w:ascii="Arial" w:hAnsi="Arial" w:cs="Arial"/>
          <w:sz w:val="16"/>
          <w:szCs w:val="16"/>
        </w:rPr>
        <w:t xml:space="preserve"> </w:t>
      </w:r>
      <w:hyperlink r:id="rId1" w:history="1">
        <w:r w:rsidRPr="00BF1DE1" w:rsidR="00F83E87">
          <w:rPr>
            <w:rStyle w:val="Hyperlink"/>
            <w:rFonts w:ascii="Arial" w:hAnsi="Arial" w:cs="Arial"/>
            <w:sz w:val="16"/>
            <w:szCs w:val="16"/>
          </w:rPr>
          <w:t>https://www.govinfo.gov/content/pkg/FR-2025-05-01/pdf/2025-07524.pdf</w:t>
        </w:r>
      </w:hyperlink>
      <w:r w:rsidR="00F83E87">
        <w:rPr>
          <w:rFonts w:ascii="Arial" w:hAnsi="Arial" w:cs="Arial"/>
          <w:sz w:val="16"/>
          <w:szCs w:val="16"/>
        </w:rPr>
        <w:t xml:space="preserve">. </w:t>
      </w:r>
    </w:p>
  </w:footnote>
  <w:footnote w:id="4">
    <w:p w:rsidR="00E7414E" w:rsidRPr="00F659B1" w14:paraId="44D14EEA" w14:textId="676DDD96">
      <w:pPr>
        <w:pStyle w:val="FootnoteText"/>
        <w:rPr>
          <w:rFonts w:ascii="Arial" w:hAnsi="Arial" w:cs="Arial"/>
          <w:sz w:val="16"/>
          <w:szCs w:val="16"/>
        </w:rPr>
      </w:pPr>
      <w:r w:rsidRPr="00F659B1">
        <w:rPr>
          <w:rStyle w:val="FootnoteReference"/>
          <w:rFonts w:ascii="Arial" w:hAnsi="Arial" w:cs="Arial"/>
          <w:sz w:val="16"/>
          <w:szCs w:val="16"/>
        </w:rPr>
        <w:footnoteRef/>
      </w:r>
      <w:r w:rsidRPr="00F659B1">
        <w:rPr>
          <w:rFonts w:ascii="Arial" w:hAnsi="Arial" w:cs="Arial"/>
          <w:sz w:val="16"/>
          <w:szCs w:val="16"/>
        </w:rPr>
        <w:t xml:space="preserve"> </w:t>
      </w:r>
      <w:hyperlink r:id="rId2" w:history="1">
        <w:r w:rsidRPr="00F659B1">
          <w:rPr>
            <w:rStyle w:val="Hyperlink"/>
            <w:rFonts w:ascii="Arial" w:hAnsi="Arial" w:cs="Arial"/>
            <w:sz w:val="16"/>
            <w:szCs w:val="16"/>
          </w:rPr>
          <w:t>https://www.govinfo.gov/content/pkg/FR-2025-07-23/pdf/2025-13811.pdf</w:t>
        </w:r>
      </w:hyperlink>
      <w:r w:rsidRPr="00F659B1">
        <w:rPr>
          <w:rFonts w:ascii="Arial" w:hAnsi="Arial" w:cs="Arial"/>
          <w:sz w:val="16"/>
          <w:szCs w:val="16"/>
        </w:rPr>
        <w:t xml:space="preserve">. </w:t>
      </w:r>
    </w:p>
  </w:footnote>
  <w:footnote w:id="5">
    <w:p w:rsidR="00E25065" w:rsidRPr="00907C64" w14:paraId="760BDFDC" w14:textId="2B9F4549">
      <w:pPr>
        <w:pStyle w:val="FootnoteText"/>
        <w:rPr>
          <w:rFonts w:ascii="Arial" w:hAnsi="Arial" w:cs="Arial"/>
          <w:sz w:val="16"/>
          <w:szCs w:val="16"/>
        </w:rPr>
      </w:pPr>
      <w:r w:rsidRPr="00E7414E">
        <w:rPr>
          <w:rStyle w:val="FootnoteReference"/>
          <w:rFonts w:ascii="Arial" w:hAnsi="Arial" w:cs="Arial"/>
          <w:sz w:val="16"/>
          <w:szCs w:val="16"/>
        </w:rPr>
        <w:footnoteRef/>
      </w:r>
      <w:r w:rsidRPr="00E7414E">
        <w:rPr>
          <w:rFonts w:ascii="Arial" w:hAnsi="Arial" w:cs="Arial"/>
          <w:sz w:val="16"/>
          <w:szCs w:val="16"/>
        </w:rPr>
        <w:t xml:space="preserve"> </w:t>
      </w:r>
      <w:hyperlink r:id="rId3" w:history="1">
        <w:r w:rsidRPr="00E7414E" w:rsidR="004A51FC">
          <w:rPr>
            <w:rStyle w:val="Hyperlink"/>
            <w:rFonts w:ascii="Arial" w:hAnsi="Arial" w:cs="Arial"/>
            <w:sz w:val="16"/>
            <w:szCs w:val="16"/>
          </w:rPr>
          <w:t>https://www.govinfo.gov/content/pkg/FR-2013-03-19/pdf/2013-06254.pdf</w:t>
        </w:r>
      </w:hyperlink>
      <w:r w:rsidRPr="00E7414E" w:rsidR="004A51FC">
        <w:rPr>
          <w:rFonts w:ascii="Arial" w:hAnsi="Arial" w:cs="Arial"/>
          <w:sz w:val="16"/>
          <w:szCs w:val="16"/>
        </w:rPr>
        <w:t>.</w:t>
      </w:r>
      <w:r w:rsidRPr="00E7414E">
        <w:rPr>
          <w:rFonts w:ascii="Arial" w:hAnsi="Arial" w:cs="Arial"/>
          <w:sz w:val="16"/>
          <w:szCs w:val="16"/>
        </w:rPr>
        <w:t xml:space="preserve"> </w:t>
      </w:r>
    </w:p>
  </w:footnote>
  <w:footnote w:id="6">
    <w:p w:rsidR="00937526" w:rsidRPr="002F0312" w:rsidP="00A54DB6" w14:paraId="3C5A4EA3" w14:textId="65C76342">
      <w:pPr>
        <w:pStyle w:val="FootnoteText"/>
        <w:jc w:val="both"/>
        <w:rPr>
          <w:rFonts w:ascii="Arial" w:hAnsi="Arial" w:cs="Arial"/>
        </w:rPr>
      </w:pPr>
      <w:r w:rsidRPr="00907C64">
        <w:rPr>
          <w:rStyle w:val="FootnoteReference"/>
          <w:rFonts w:ascii="Arial" w:hAnsi="Arial" w:cs="Arial"/>
          <w:sz w:val="16"/>
          <w:szCs w:val="16"/>
        </w:rPr>
        <w:footnoteRef/>
      </w:r>
      <w:r w:rsidRPr="00907C64">
        <w:rPr>
          <w:rFonts w:ascii="Arial" w:hAnsi="Arial" w:cs="Arial"/>
          <w:sz w:val="16"/>
          <w:szCs w:val="16"/>
        </w:rPr>
        <w:t xml:space="preserve"> </w:t>
      </w:r>
      <w:bookmarkStart w:id="3" w:name="_Hlk153975013"/>
      <w:r w:rsidRPr="00687A8C" w:rsidR="00661888">
        <w:rPr>
          <w:rFonts w:ascii="Arial" w:hAnsi="Arial" w:cs="Arial"/>
          <w:sz w:val="16"/>
          <w:szCs w:val="16"/>
        </w:rPr>
        <w:t>20</w:t>
      </w:r>
      <w:r w:rsidRPr="00A736CE" w:rsidR="00661888">
        <w:rPr>
          <w:rFonts w:ascii="Arial" w:hAnsi="Arial" w:cs="Arial"/>
          <w:sz w:val="16"/>
          <w:szCs w:val="16"/>
        </w:rPr>
        <w:t>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4" w:history="1">
        <w:r w:rsidRPr="00BF5805" w:rsidR="00687A8C">
          <w:rPr>
            <w:rStyle w:val="Hyperlink"/>
            <w:rFonts w:ascii="Arial" w:hAnsi="Arial" w:cs="Arial"/>
            <w:sz w:val="16"/>
            <w:szCs w:val="16"/>
          </w:rPr>
          <w:t>https://www.aipla.org/home/news-publications/economic-survey</w:t>
        </w:r>
      </w:hyperlink>
      <w:bookmarkEnd w:id="3"/>
      <w:r w:rsidR="00687A8C">
        <w:rPr>
          <w:rFonts w:ascii="Arial" w:hAnsi="Arial" w:cs="Arial"/>
          <w:sz w:val="16"/>
          <w:szCs w:val="16"/>
        </w:rPr>
        <w:t>)</w:t>
      </w:r>
      <w:r w:rsidR="0021634B">
        <w:rPr>
          <w:rFonts w:ascii="Arial" w:hAnsi="Arial" w:cs="Arial"/>
          <w:sz w:val="16"/>
        </w:rPr>
        <w:t>.</w:t>
      </w:r>
    </w:p>
  </w:footnote>
  <w:footnote w:id="7">
    <w:p w:rsidR="00B8684C" w:rsidRPr="00E35926" w:rsidP="00B8684C" w14:paraId="7B75C176" w14:textId="3DFB69B9">
      <w:pPr>
        <w:pStyle w:val="FootnoteText"/>
        <w:rPr>
          <w:rFonts w:ascii="Arial" w:hAnsi="Arial" w:cs="Arial"/>
          <w:sz w:val="16"/>
          <w:szCs w:val="16"/>
        </w:rPr>
      </w:pPr>
      <w:r w:rsidRPr="00E35926">
        <w:rPr>
          <w:rStyle w:val="FootnoteReference"/>
          <w:rFonts w:ascii="Arial" w:hAnsi="Arial" w:cs="Arial"/>
          <w:sz w:val="16"/>
          <w:szCs w:val="16"/>
        </w:rPr>
        <w:footnoteRef/>
      </w:r>
      <w:r w:rsidRPr="00E35926">
        <w:rPr>
          <w:rFonts w:ascii="Arial" w:hAnsi="Arial" w:cs="Arial"/>
          <w:sz w:val="16"/>
          <w:szCs w:val="16"/>
        </w:rPr>
        <w:t xml:space="preserve"> </w:t>
      </w:r>
      <w:hyperlink r:id="rId5" w:history="1">
        <w:r w:rsidRPr="00E35926" w:rsidR="00EC2094">
          <w:rPr>
            <w:rStyle w:val="Hyperlink"/>
            <w:rFonts w:ascii="Arial" w:hAnsi="Arial" w:cs="Arial"/>
            <w:sz w:val="16"/>
            <w:szCs w:val="16"/>
          </w:rPr>
          <w:t>https://www.opm.gov/policy-data-oversight/pay-leave/salaries-wages/salary-tables/pdf/2026/DCB_h.pdf</w:t>
        </w:r>
      </w:hyperlink>
      <w:r w:rsidRPr="00E35926" w:rsidR="00EC2094">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4F13"/>
    <w:multiLevelType w:val="hybridMultilevel"/>
    <w:tmpl w:val="612414F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B461C20"/>
    <w:multiLevelType w:val="hybridMultilevel"/>
    <w:tmpl w:val="58DC55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535D7C"/>
    <w:multiLevelType w:val="hybridMultilevel"/>
    <w:tmpl w:val="45C86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B03AFA"/>
    <w:multiLevelType w:val="hybridMultilevel"/>
    <w:tmpl w:val="783C0C7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5432D58"/>
    <w:multiLevelType w:val="hybridMultilevel"/>
    <w:tmpl w:val="0CE053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A7A4955"/>
    <w:multiLevelType w:val="hybridMultilevel"/>
    <w:tmpl w:val="171273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2B0B7554"/>
    <w:multiLevelType w:val="hybridMultilevel"/>
    <w:tmpl w:val="C74E8C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C7A7135"/>
    <w:multiLevelType w:val="hybridMultilevel"/>
    <w:tmpl w:val="A67E9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BF21E4"/>
    <w:multiLevelType w:val="hybridMultilevel"/>
    <w:tmpl w:val="D1A40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2ED8565B"/>
    <w:multiLevelType w:val="hybridMultilevel"/>
    <w:tmpl w:val="5C8CF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E71F1B"/>
    <w:multiLevelType w:val="hybridMultilevel"/>
    <w:tmpl w:val="ACC462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38E90460"/>
    <w:multiLevelType w:val="hybridMultilevel"/>
    <w:tmpl w:val="271A6490"/>
    <w:lvl w:ilvl="0">
      <w:start w:val="8"/>
      <w:numFmt w:val="decimal"/>
      <w:lvlText w:val="%1."/>
      <w:lvlJc w:val="left"/>
      <w:pPr>
        <w:tabs>
          <w:tab w:val="num" w:pos="720"/>
        </w:tabs>
        <w:ind w:left="720" w:hanging="720"/>
      </w:pPr>
      <w:rPr>
        <w:rFonts w:hint="default"/>
        <w:sz w:val="24"/>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3746C51"/>
    <w:multiLevelType w:val="hybridMultilevel"/>
    <w:tmpl w:val="44EA3D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44FC3550"/>
    <w:multiLevelType w:val="hybridMultilevel"/>
    <w:tmpl w:val="BF244E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7024CDD"/>
    <w:multiLevelType w:val="hybridMultilevel"/>
    <w:tmpl w:val="C61218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3335B8"/>
    <w:multiLevelType w:val="hybridMultilevel"/>
    <w:tmpl w:val="36BAC4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BBE0B34"/>
    <w:multiLevelType w:val="hybridMultilevel"/>
    <w:tmpl w:val="EF62143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3">
    <w:nsid w:val="4F2A546C"/>
    <w:multiLevelType w:val="hybridMultilevel"/>
    <w:tmpl w:val="F49A75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04B2608"/>
    <w:multiLevelType w:val="hybridMultilevel"/>
    <w:tmpl w:val="873A5C42"/>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563B6EE7"/>
    <w:multiLevelType w:val="hybridMultilevel"/>
    <w:tmpl w:val="B130F1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83D7159"/>
    <w:multiLevelType w:val="hybridMultilevel"/>
    <w:tmpl w:val="200CE7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9D04395"/>
    <w:multiLevelType w:val="hybridMultilevel"/>
    <w:tmpl w:val="011CD6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14A1A49"/>
    <w:multiLevelType w:val="hybridMultilevel"/>
    <w:tmpl w:val="3A02B36A"/>
    <w:lvl w:ilvl="0">
      <w:start w:val="6"/>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63225553"/>
    <w:multiLevelType w:val="hybridMultilevel"/>
    <w:tmpl w:val="1D42B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593273341">
    <w:abstractNumId w:val="30"/>
  </w:num>
  <w:num w:numId="2" w16cid:durableId="1227958837">
    <w:abstractNumId w:val="21"/>
  </w:num>
  <w:num w:numId="3" w16cid:durableId="514273491">
    <w:abstractNumId w:val="11"/>
  </w:num>
  <w:num w:numId="4" w16cid:durableId="1602103786">
    <w:abstractNumId w:val="32"/>
  </w:num>
  <w:num w:numId="5" w16cid:durableId="1708681750">
    <w:abstractNumId w:val="3"/>
  </w:num>
  <w:num w:numId="6" w16cid:durableId="310452157">
    <w:abstractNumId w:val="27"/>
  </w:num>
  <w:num w:numId="7" w16cid:durableId="235170653">
    <w:abstractNumId w:val="9"/>
  </w:num>
  <w:num w:numId="8" w16cid:durableId="1612735585">
    <w:abstractNumId w:val="17"/>
  </w:num>
  <w:num w:numId="9" w16cid:durableId="246116293">
    <w:abstractNumId w:val="0"/>
  </w:num>
  <w:num w:numId="10" w16cid:durableId="246504727">
    <w:abstractNumId w:val="31"/>
  </w:num>
  <w:num w:numId="11" w16cid:durableId="506361691">
    <w:abstractNumId w:val="16"/>
  </w:num>
  <w:num w:numId="12" w16cid:durableId="865874750">
    <w:abstractNumId w:val="14"/>
  </w:num>
  <w:num w:numId="13" w16cid:durableId="1109660066">
    <w:abstractNumId w:val="6"/>
  </w:num>
  <w:num w:numId="14" w16cid:durableId="1030182142">
    <w:abstractNumId w:val="2"/>
  </w:num>
  <w:num w:numId="15" w16cid:durableId="1961254351">
    <w:abstractNumId w:val="23"/>
  </w:num>
  <w:num w:numId="16" w16cid:durableId="471019916">
    <w:abstractNumId w:val="1"/>
  </w:num>
  <w:num w:numId="17" w16cid:durableId="1412001942">
    <w:abstractNumId w:val="28"/>
  </w:num>
  <w:num w:numId="18" w16cid:durableId="1810591151">
    <w:abstractNumId w:val="26"/>
  </w:num>
  <w:num w:numId="19" w16cid:durableId="1423448610">
    <w:abstractNumId w:val="13"/>
  </w:num>
  <w:num w:numId="20" w16cid:durableId="827287002">
    <w:abstractNumId w:val="20"/>
  </w:num>
  <w:num w:numId="21" w16cid:durableId="1917206227">
    <w:abstractNumId w:val="24"/>
  </w:num>
  <w:num w:numId="22" w16cid:durableId="2023777042">
    <w:abstractNumId w:val="4"/>
  </w:num>
  <w:num w:numId="23" w16cid:durableId="533924962">
    <w:abstractNumId w:val="10"/>
  </w:num>
  <w:num w:numId="24" w16cid:durableId="2079400674">
    <w:abstractNumId w:val="25"/>
  </w:num>
  <w:num w:numId="25" w16cid:durableId="708534752">
    <w:abstractNumId w:val="22"/>
  </w:num>
  <w:num w:numId="26" w16cid:durableId="920874004">
    <w:abstractNumId w:val="29"/>
  </w:num>
  <w:num w:numId="27" w16cid:durableId="1143426615">
    <w:abstractNumId w:val="5"/>
  </w:num>
  <w:num w:numId="28" w16cid:durableId="684331644">
    <w:abstractNumId w:val="18"/>
  </w:num>
  <w:num w:numId="29" w16cid:durableId="29765250">
    <w:abstractNumId w:val="8"/>
  </w:num>
  <w:num w:numId="30" w16cid:durableId="186480456">
    <w:abstractNumId w:val="12"/>
  </w:num>
  <w:num w:numId="31" w16cid:durableId="329721445">
    <w:abstractNumId w:val="15"/>
  </w:num>
  <w:num w:numId="32" w16cid:durableId="380791042">
    <w:abstractNumId w:val="7"/>
  </w:num>
  <w:num w:numId="33" w16cid:durableId="1991012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85"/>
    <w:rsid w:val="00000744"/>
    <w:rsid w:val="000010FF"/>
    <w:rsid w:val="00004E60"/>
    <w:rsid w:val="000061EE"/>
    <w:rsid w:val="000126F5"/>
    <w:rsid w:val="00013492"/>
    <w:rsid w:val="00013BE9"/>
    <w:rsid w:val="00015E05"/>
    <w:rsid w:val="00016017"/>
    <w:rsid w:val="000179EF"/>
    <w:rsid w:val="00021253"/>
    <w:rsid w:val="00022C3D"/>
    <w:rsid w:val="00023019"/>
    <w:rsid w:val="00023DEE"/>
    <w:rsid w:val="00026E75"/>
    <w:rsid w:val="00026EE8"/>
    <w:rsid w:val="00027904"/>
    <w:rsid w:val="000360D8"/>
    <w:rsid w:val="000376C5"/>
    <w:rsid w:val="00040006"/>
    <w:rsid w:val="00043DD7"/>
    <w:rsid w:val="00044A36"/>
    <w:rsid w:val="000452C3"/>
    <w:rsid w:val="000476AF"/>
    <w:rsid w:val="00047C14"/>
    <w:rsid w:val="00050082"/>
    <w:rsid w:val="00051672"/>
    <w:rsid w:val="00052E6A"/>
    <w:rsid w:val="00053A0A"/>
    <w:rsid w:val="000613F0"/>
    <w:rsid w:val="00061B97"/>
    <w:rsid w:val="00063B06"/>
    <w:rsid w:val="00064504"/>
    <w:rsid w:val="000651C5"/>
    <w:rsid w:val="00065540"/>
    <w:rsid w:val="000669A9"/>
    <w:rsid w:val="00067175"/>
    <w:rsid w:val="00071583"/>
    <w:rsid w:val="00071BD6"/>
    <w:rsid w:val="00072F1F"/>
    <w:rsid w:val="000734A3"/>
    <w:rsid w:val="0007354D"/>
    <w:rsid w:val="00074497"/>
    <w:rsid w:val="000754C2"/>
    <w:rsid w:val="00075ADB"/>
    <w:rsid w:val="00082EA6"/>
    <w:rsid w:val="00083F86"/>
    <w:rsid w:val="00084766"/>
    <w:rsid w:val="000872F2"/>
    <w:rsid w:val="00093639"/>
    <w:rsid w:val="00094299"/>
    <w:rsid w:val="00094635"/>
    <w:rsid w:val="00095A3C"/>
    <w:rsid w:val="00096282"/>
    <w:rsid w:val="0009652F"/>
    <w:rsid w:val="00096A94"/>
    <w:rsid w:val="00096B82"/>
    <w:rsid w:val="00096CE6"/>
    <w:rsid w:val="00097D59"/>
    <w:rsid w:val="00097E14"/>
    <w:rsid w:val="000A01A8"/>
    <w:rsid w:val="000A20E1"/>
    <w:rsid w:val="000B0387"/>
    <w:rsid w:val="000B245E"/>
    <w:rsid w:val="000B650D"/>
    <w:rsid w:val="000C10BD"/>
    <w:rsid w:val="000C14D4"/>
    <w:rsid w:val="000C1622"/>
    <w:rsid w:val="000C20A9"/>
    <w:rsid w:val="000C2475"/>
    <w:rsid w:val="000C663F"/>
    <w:rsid w:val="000C7CE5"/>
    <w:rsid w:val="000D14A6"/>
    <w:rsid w:val="000D5B9B"/>
    <w:rsid w:val="000D6D05"/>
    <w:rsid w:val="000D70E5"/>
    <w:rsid w:val="000E31CB"/>
    <w:rsid w:val="000F0E8F"/>
    <w:rsid w:val="000F1649"/>
    <w:rsid w:val="000F1D98"/>
    <w:rsid w:val="000F24DE"/>
    <w:rsid w:val="000F638B"/>
    <w:rsid w:val="000F6D8A"/>
    <w:rsid w:val="0010166B"/>
    <w:rsid w:val="001022B6"/>
    <w:rsid w:val="00104DFA"/>
    <w:rsid w:val="00105A3C"/>
    <w:rsid w:val="001063AF"/>
    <w:rsid w:val="00107177"/>
    <w:rsid w:val="00107288"/>
    <w:rsid w:val="001125B2"/>
    <w:rsid w:val="00113829"/>
    <w:rsid w:val="00113D67"/>
    <w:rsid w:val="00113EF1"/>
    <w:rsid w:val="0011424D"/>
    <w:rsid w:val="0011424F"/>
    <w:rsid w:val="00114635"/>
    <w:rsid w:val="00120FE3"/>
    <w:rsid w:val="00122441"/>
    <w:rsid w:val="0012436B"/>
    <w:rsid w:val="00124631"/>
    <w:rsid w:val="00124964"/>
    <w:rsid w:val="001269C4"/>
    <w:rsid w:val="001276ED"/>
    <w:rsid w:val="00127F24"/>
    <w:rsid w:val="00131D1F"/>
    <w:rsid w:val="001335F5"/>
    <w:rsid w:val="00134CC6"/>
    <w:rsid w:val="0013544E"/>
    <w:rsid w:val="0014618B"/>
    <w:rsid w:val="00151DA3"/>
    <w:rsid w:val="00152CCD"/>
    <w:rsid w:val="00155D73"/>
    <w:rsid w:val="001571A2"/>
    <w:rsid w:val="001640E6"/>
    <w:rsid w:val="00164C92"/>
    <w:rsid w:val="001665A8"/>
    <w:rsid w:val="00166D97"/>
    <w:rsid w:val="00166ED5"/>
    <w:rsid w:val="00167DA9"/>
    <w:rsid w:val="0017227B"/>
    <w:rsid w:val="00172EDB"/>
    <w:rsid w:val="0017598A"/>
    <w:rsid w:val="001766F9"/>
    <w:rsid w:val="00176F36"/>
    <w:rsid w:val="00177513"/>
    <w:rsid w:val="001806F3"/>
    <w:rsid w:val="00181A4C"/>
    <w:rsid w:val="00183B1E"/>
    <w:rsid w:val="00185E73"/>
    <w:rsid w:val="00186ED5"/>
    <w:rsid w:val="00187EEA"/>
    <w:rsid w:val="001907D7"/>
    <w:rsid w:val="00191049"/>
    <w:rsid w:val="001920AB"/>
    <w:rsid w:val="001944BE"/>
    <w:rsid w:val="00195742"/>
    <w:rsid w:val="00195BE3"/>
    <w:rsid w:val="0019614F"/>
    <w:rsid w:val="001968F9"/>
    <w:rsid w:val="00197746"/>
    <w:rsid w:val="001A07AE"/>
    <w:rsid w:val="001A0EDE"/>
    <w:rsid w:val="001A1734"/>
    <w:rsid w:val="001A3904"/>
    <w:rsid w:val="001A3C25"/>
    <w:rsid w:val="001A4189"/>
    <w:rsid w:val="001B2046"/>
    <w:rsid w:val="001B2D92"/>
    <w:rsid w:val="001B622D"/>
    <w:rsid w:val="001C308B"/>
    <w:rsid w:val="001C454E"/>
    <w:rsid w:val="001C567D"/>
    <w:rsid w:val="001C60B0"/>
    <w:rsid w:val="001C6B22"/>
    <w:rsid w:val="001C7310"/>
    <w:rsid w:val="001D0782"/>
    <w:rsid w:val="001D1EE9"/>
    <w:rsid w:val="001D39EC"/>
    <w:rsid w:val="001D5FF6"/>
    <w:rsid w:val="001D603D"/>
    <w:rsid w:val="001D60EE"/>
    <w:rsid w:val="001D68E0"/>
    <w:rsid w:val="001D7CC7"/>
    <w:rsid w:val="001E051A"/>
    <w:rsid w:val="001E0DEE"/>
    <w:rsid w:val="001E198B"/>
    <w:rsid w:val="001E1B25"/>
    <w:rsid w:val="001E5870"/>
    <w:rsid w:val="001E77EE"/>
    <w:rsid w:val="001E7C91"/>
    <w:rsid w:val="001F1358"/>
    <w:rsid w:val="001F2158"/>
    <w:rsid w:val="001F2437"/>
    <w:rsid w:val="001F2818"/>
    <w:rsid w:val="001F2C7A"/>
    <w:rsid w:val="001F3A21"/>
    <w:rsid w:val="001F59D7"/>
    <w:rsid w:val="00202B02"/>
    <w:rsid w:val="0021342F"/>
    <w:rsid w:val="00213E5B"/>
    <w:rsid w:val="00214043"/>
    <w:rsid w:val="0021543E"/>
    <w:rsid w:val="00215B61"/>
    <w:rsid w:val="00215D10"/>
    <w:rsid w:val="0021634B"/>
    <w:rsid w:val="00220678"/>
    <w:rsid w:val="00223C13"/>
    <w:rsid w:val="002313F5"/>
    <w:rsid w:val="00232D19"/>
    <w:rsid w:val="00234754"/>
    <w:rsid w:val="00234DD8"/>
    <w:rsid w:val="002436C1"/>
    <w:rsid w:val="002437DE"/>
    <w:rsid w:val="002457BF"/>
    <w:rsid w:val="00254680"/>
    <w:rsid w:val="00262996"/>
    <w:rsid w:val="002670E7"/>
    <w:rsid w:val="00267C7D"/>
    <w:rsid w:val="00271292"/>
    <w:rsid w:val="002715B1"/>
    <w:rsid w:val="002753C3"/>
    <w:rsid w:val="002756B0"/>
    <w:rsid w:val="002767D1"/>
    <w:rsid w:val="00277F7B"/>
    <w:rsid w:val="0028214E"/>
    <w:rsid w:val="00286CA2"/>
    <w:rsid w:val="00286FCD"/>
    <w:rsid w:val="00287E45"/>
    <w:rsid w:val="00293802"/>
    <w:rsid w:val="00293A16"/>
    <w:rsid w:val="00296986"/>
    <w:rsid w:val="00296A0C"/>
    <w:rsid w:val="00297F8E"/>
    <w:rsid w:val="002A5462"/>
    <w:rsid w:val="002B2627"/>
    <w:rsid w:val="002B3073"/>
    <w:rsid w:val="002B3B15"/>
    <w:rsid w:val="002B4322"/>
    <w:rsid w:val="002B6887"/>
    <w:rsid w:val="002B6E82"/>
    <w:rsid w:val="002B7578"/>
    <w:rsid w:val="002C0340"/>
    <w:rsid w:val="002C206A"/>
    <w:rsid w:val="002C26FC"/>
    <w:rsid w:val="002C3EB9"/>
    <w:rsid w:val="002C7A5F"/>
    <w:rsid w:val="002D1F8B"/>
    <w:rsid w:val="002D6C0B"/>
    <w:rsid w:val="002E12E6"/>
    <w:rsid w:val="002E1DBE"/>
    <w:rsid w:val="002E69CC"/>
    <w:rsid w:val="002F0312"/>
    <w:rsid w:val="002F0361"/>
    <w:rsid w:val="002F0917"/>
    <w:rsid w:val="002F0B15"/>
    <w:rsid w:val="002F1185"/>
    <w:rsid w:val="002F2138"/>
    <w:rsid w:val="002F2262"/>
    <w:rsid w:val="002F590B"/>
    <w:rsid w:val="00305D9F"/>
    <w:rsid w:val="003114B3"/>
    <w:rsid w:val="0031159D"/>
    <w:rsid w:val="00311608"/>
    <w:rsid w:val="00313C58"/>
    <w:rsid w:val="003226AE"/>
    <w:rsid w:val="003265B4"/>
    <w:rsid w:val="00333B58"/>
    <w:rsid w:val="00335BFE"/>
    <w:rsid w:val="0034015E"/>
    <w:rsid w:val="00342051"/>
    <w:rsid w:val="0034216D"/>
    <w:rsid w:val="00342D01"/>
    <w:rsid w:val="00343E2C"/>
    <w:rsid w:val="003467D9"/>
    <w:rsid w:val="00350A7E"/>
    <w:rsid w:val="0035330C"/>
    <w:rsid w:val="00364C9C"/>
    <w:rsid w:val="0036669B"/>
    <w:rsid w:val="00370512"/>
    <w:rsid w:val="00370C97"/>
    <w:rsid w:val="00371EF2"/>
    <w:rsid w:val="00372FBC"/>
    <w:rsid w:val="00374769"/>
    <w:rsid w:val="00375943"/>
    <w:rsid w:val="00377741"/>
    <w:rsid w:val="00380406"/>
    <w:rsid w:val="00382759"/>
    <w:rsid w:val="003867B2"/>
    <w:rsid w:val="00392705"/>
    <w:rsid w:val="00393524"/>
    <w:rsid w:val="00393734"/>
    <w:rsid w:val="003940C1"/>
    <w:rsid w:val="00394479"/>
    <w:rsid w:val="00396E93"/>
    <w:rsid w:val="003975C7"/>
    <w:rsid w:val="00397BAB"/>
    <w:rsid w:val="003A14A9"/>
    <w:rsid w:val="003A2D2A"/>
    <w:rsid w:val="003A4071"/>
    <w:rsid w:val="003A5A52"/>
    <w:rsid w:val="003A65E3"/>
    <w:rsid w:val="003A7763"/>
    <w:rsid w:val="003B30BA"/>
    <w:rsid w:val="003B3274"/>
    <w:rsid w:val="003B3C91"/>
    <w:rsid w:val="003B7407"/>
    <w:rsid w:val="003C106A"/>
    <w:rsid w:val="003C1B01"/>
    <w:rsid w:val="003C47F7"/>
    <w:rsid w:val="003C4EFB"/>
    <w:rsid w:val="003C6C79"/>
    <w:rsid w:val="003C778F"/>
    <w:rsid w:val="003D2A30"/>
    <w:rsid w:val="003D2DCA"/>
    <w:rsid w:val="003D4C85"/>
    <w:rsid w:val="003E0CD3"/>
    <w:rsid w:val="003E2B60"/>
    <w:rsid w:val="003E3718"/>
    <w:rsid w:val="003F1B47"/>
    <w:rsid w:val="003F5B12"/>
    <w:rsid w:val="00400AC3"/>
    <w:rsid w:val="00401477"/>
    <w:rsid w:val="00402099"/>
    <w:rsid w:val="00404D0A"/>
    <w:rsid w:val="00407C23"/>
    <w:rsid w:val="004100B7"/>
    <w:rsid w:val="00410E7E"/>
    <w:rsid w:val="004123B8"/>
    <w:rsid w:val="00414269"/>
    <w:rsid w:val="00416CAD"/>
    <w:rsid w:val="00421C5D"/>
    <w:rsid w:val="0042230D"/>
    <w:rsid w:val="00423FDE"/>
    <w:rsid w:val="004250AB"/>
    <w:rsid w:val="00426538"/>
    <w:rsid w:val="0042781E"/>
    <w:rsid w:val="00431213"/>
    <w:rsid w:val="00431390"/>
    <w:rsid w:val="00431603"/>
    <w:rsid w:val="00431EFB"/>
    <w:rsid w:val="00436E92"/>
    <w:rsid w:val="0044016C"/>
    <w:rsid w:val="004412B8"/>
    <w:rsid w:val="0044246C"/>
    <w:rsid w:val="00442B99"/>
    <w:rsid w:val="00452497"/>
    <w:rsid w:val="00454D1D"/>
    <w:rsid w:val="00456443"/>
    <w:rsid w:val="00460453"/>
    <w:rsid w:val="00461E60"/>
    <w:rsid w:val="0046509A"/>
    <w:rsid w:val="00465A41"/>
    <w:rsid w:val="00471C29"/>
    <w:rsid w:val="00472493"/>
    <w:rsid w:val="00473DA1"/>
    <w:rsid w:val="00474578"/>
    <w:rsid w:val="004746B3"/>
    <w:rsid w:val="00476E0B"/>
    <w:rsid w:val="004813B7"/>
    <w:rsid w:val="004821F0"/>
    <w:rsid w:val="00482FA4"/>
    <w:rsid w:val="0048357C"/>
    <w:rsid w:val="00485301"/>
    <w:rsid w:val="00485F98"/>
    <w:rsid w:val="00486D12"/>
    <w:rsid w:val="00491D35"/>
    <w:rsid w:val="0049410D"/>
    <w:rsid w:val="00495DCE"/>
    <w:rsid w:val="004977CE"/>
    <w:rsid w:val="004A087D"/>
    <w:rsid w:val="004A0A8C"/>
    <w:rsid w:val="004A14AF"/>
    <w:rsid w:val="004A3C42"/>
    <w:rsid w:val="004A42F8"/>
    <w:rsid w:val="004A43EC"/>
    <w:rsid w:val="004A51FC"/>
    <w:rsid w:val="004A62B4"/>
    <w:rsid w:val="004A7778"/>
    <w:rsid w:val="004B1646"/>
    <w:rsid w:val="004B212F"/>
    <w:rsid w:val="004B519A"/>
    <w:rsid w:val="004B7F94"/>
    <w:rsid w:val="004C1E4C"/>
    <w:rsid w:val="004C362F"/>
    <w:rsid w:val="004C4EBC"/>
    <w:rsid w:val="004C57F6"/>
    <w:rsid w:val="004C6081"/>
    <w:rsid w:val="004C7140"/>
    <w:rsid w:val="004D0C89"/>
    <w:rsid w:val="004D3577"/>
    <w:rsid w:val="004D50AB"/>
    <w:rsid w:val="004D6A50"/>
    <w:rsid w:val="004E7394"/>
    <w:rsid w:val="004F353D"/>
    <w:rsid w:val="004F68A4"/>
    <w:rsid w:val="0050249B"/>
    <w:rsid w:val="00503DCF"/>
    <w:rsid w:val="00514B24"/>
    <w:rsid w:val="005158F0"/>
    <w:rsid w:val="00515BFD"/>
    <w:rsid w:val="00517F0D"/>
    <w:rsid w:val="0052480A"/>
    <w:rsid w:val="00531340"/>
    <w:rsid w:val="00531AED"/>
    <w:rsid w:val="00532FFC"/>
    <w:rsid w:val="00533568"/>
    <w:rsid w:val="0053401A"/>
    <w:rsid w:val="005354EE"/>
    <w:rsid w:val="00540D73"/>
    <w:rsid w:val="00541309"/>
    <w:rsid w:val="00541A39"/>
    <w:rsid w:val="00541A76"/>
    <w:rsid w:val="00541EAA"/>
    <w:rsid w:val="00545204"/>
    <w:rsid w:val="005457D4"/>
    <w:rsid w:val="00546209"/>
    <w:rsid w:val="00546953"/>
    <w:rsid w:val="005505D5"/>
    <w:rsid w:val="00551396"/>
    <w:rsid w:val="0055343F"/>
    <w:rsid w:val="0055352A"/>
    <w:rsid w:val="005550BC"/>
    <w:rsid w:val="0055525C"/>
    <w:rsid w:val="00555847"/>
    <w:rsid w:val="00555993"/>
    <w:rsid w:val="005576A4"/>
    <w:rsid w:val="005578B2"/>
    <w:rsid w:val="005578F2"/>
    <w:rsid w:val="005601F3"/>
    <w:rsid w:val="005627BF"/>
    <w:rsid w:val="00563092"/>
    <w:rsid w:val="0056658C"/>
    <w:rsid w:val="00572067"/>
    <w:rsid w:val="00573C37"/>
    <w:rsid w:val="00574172"/>
    <w:rsid w:val="005767AA"/>
    <w:rsid w:val="00581315"/>
    <w:rsid w:val="005823F2"/>
    <w:rsid w:val="00583435"/>
    <w:rsid w:val="00583ABB"/>
    <w:rsid w:val="00584297"/>
    <w:rsid w:val="00587F68"/>
    <w:rsid w:val="00591BBD"/>
    <w:rsid w:val="005942B4"/>
    <w:rsid w:val="00594480"/>
    <w:rsid w:val="005948C7"/>
    <w:rsid w:val="005951E0"/>
    <w:rsid w:val="00595E0B"/>
    <w:rsid w:val="005A34F6"/>
    <w:rsid w:val="005A4A11"/>
    <w:rsid w:val="005A5D46"/>
    <w:rsid w:val="005B4235"/>
    <w:rsid w:val="005B5584"/>
    <w:rsid w:val="005B58D9"/>
    <w:rsid w:val="005B5A2C"/>
    <w:rsid w:val="005C065A"/>
    <w:rsid w:val="005C2BBE"/>
    <w:rsid w:val="005C396C"/>
    <w:rsid w:val="005C47EA"/>
    <w:rsid w:val="005C6655"/>
    <w:rsid w:val="005D0E7B"/>
    <w:rsid w:val="005D37FA"/>
    <w:rsid w:val="005D3BB6"/>
    <w:rsid w:val="005D574E"/>
    <w:rsid w:val="005E16D9"/>
    <w:rsid w:val="005E591E"/>
    <w:rsid w:val="005E7F8B"/>
    <w:rsid w:val="005F2D46"/>
    <w:rsid w:val="005F30A7"/>
    <w:rsid w:val="005F3E65"/>
    <w:rsid w:val="006009F5"/>
    <w:rsid w:val="00610E80"/>
    <w:rsid w:val="0061478D"/>
    <w:rsid w:val="00614F01"/>
    <w:rsid w:val="00616112"/>
    <w:rsid w:val="00616EC6"/>
    <w:rsid w:val="00620068"/>
    <w:rsid w:val="006206A5"/>
    <w:rsid w:val="00621A90"/>
    <w:rsid w:val="006244DA"/>
    <w:rsid w:val="00624C74"/>
    <w:rsid w:val="006270A9"/>
    <w:rsid w:val="006320CB"/>
    <w:rsid w:val="0063287E"/>
    <w:rsid w:val="00632C23"/>
    <w:rsid w:val="00632FB6"/>
    <w:rsid w:val="00643569"/>
    <w:rsid w:val="00644440"/>
    <w:rsid w:val="006451CF"/>
    <w:rsid w:val="00646FB5"/>
    <w:rsid w:val="006506BA"/>
    <w:rsid w:val="00652D30"/>
    <w:rsid w:val="00654E7A"/>
    <w:rsid w:val="006569F2"/>
    <w:rsid w:val="00657CDF"/>
    <w:rsid w:val="006608DB"/>
    <w:rsid w:val="00661888"/>
    <w:rsid w:val="00662D8C"/>
    <w:rsid w:val="00663B88"/>
    <w:rsid w:val="006672E9"/>
    <w:rsid w:val="006723FA"/>
    <w:rsid w:val="00674ED4"/>
    <w:rsid w:val="006772D2"/>
    <w:rsid w:val="00677509"/>
    <w:rsid w:val="00677D01"/>
    <w:rsid w:val="00680C8F"/>
    <w:rsid w:val="00681D8C"/>
    <w:rsid w:val="00681EA6"/>
    <w:rsid w:val="006823DF"/>
    <w:rsid w:val="00682A0B"/>
    <w:rsid w:val="00683F60"/>
    <w:rsid w:val="006848C9"/>
    <w:rsid w:val="00686544"/>
    <w:rsid w:val="00687100"/>
    <w:rsid w:val="00687A8C"/>
    <w:rsid w:val="00692506"/>
    <w:rsid w:val="0069301A"/>
    <w:rsid w:val="0069659B"/>
    <w:rsid w:val="00696931"/>
    <w:rsid w:val="006971DA"/>
    <w:rsid w:val="006A0B37"/>
    <w:rsid w:val="006A1F4F"/>
    <w:rsid w:val="006A47E6"/>
    <w:rsid w:val="006A5E31"/>
    <w:rsid w:val="006A652B"/>
    <w:rsid w:val="006A6BD2"/>
    <w:rsid w:val="006A73AE"/>
    <w:rsid w:val="006B2FA3"/>
    <w:rsid w:val="006C345D"/>
    <w:rsid w:val="006C5100"/>
    <w:rsid w:val="006C57E9"/>
    <w:rsid w:val="006D0D64"/>
    <w:rsid w:val="006D1FCE"/>
    <w:rsid w:val="006D28FB"/>
    <w:rsid w:val="006D3DB0"/>
    <w:rsid w:val="006D4BFE"/>
    <w:rsid w:val="006D5CBC"/>
    <w:rsid w:val="006D6C58"/>
    <w:rsid w:val="006E468E"/>
    <w:rsid w:val="006F1E7B"/>
    <w:rsid w:val="006F25DD"/>
    <w:rsid w:val="006F36F3"/>
    <w:rsid w:val="006F4C24"/>
    <w:rsid w:val="006F56B9"/>
    <w:rsid w:val="006F63D5"/>
    <w:rsid w:val="00700C0F"/>
    <w:rsid w:val="00701240"/>
    <w:rsid w:val="00702019"/>
    <w:rsid w:val="00707712"/>
    <w:rsid w:val="0071052D"/>
    <w:rsid w:val="007131EF"/>
    <w:rsid w:val="007147BA"/>
    <w:rsid w:val="00714C5A"/>
    <w:rsid w:val="00720796"/>
    <w:rsid w:val="00721422"/>
    <w:rsid w:val="00725C07"/>
    <w:rsid w:val="00725CA2"/>
    <w:rsid w:val="00731874"/>
    <w:rsid w:val="00731A50"/>
    <w:rsid w:val="0073449B"/>
    <w:rsid w:val="00734A11"/>
    <w:rsid w:val="00734CC9"/>
    <w:rsid w:val="00735134"/>
    <w:rsid w:val="00735DF8"/>
    <w:rsid w:val="00736AA0"/>
    <w:rsid w:val="00736FEF"/>
    <w:rsid w:val="00741967"/>
    <w:rsid w:val="00744F85"/>
    <w:rsid w:val="00751C75"/>
    <w:rsid w:val="00754F28"/>
    <w:rsid w:val="00756640"/>
    <w:rsid w:val="00757CFC"/>
    <w:rsid w:val="00762525"/>
    <w:rsid w:val="007635BA"/>
    <w:rsid w:val="007639F1"/>
    <w:rsid w:val="00766CDA"/>
    <w:rsid w:val="00767529"/>
    <w:rsid w:val="007718CE"/>
    <w:rsid w:val="00773778"/>
    <w:rsid w:val="0077637E"/>
    <w:rsid w:val="00776677"/>
    <w:rsid w:val="00781800"/>
    <w:rsid w:val="007819EC"/>
    <w:rsid w:val="00792200"/>
    <w:rsid w:val="00792B37"/>
    <w:rsid w:val="007935D3"/>
    <w:rsid w:val="007942A5"/>
    <w:rsid w:val="00796853"/>
    <w:rsid w:val="00797019"/>
    <w:rsid w:val="007A0D71"/>
    <w:rsid w:val="007A15A7"/>
    <w:rsid w:val="007A4C54"/>
    <w:rsid w:val="007A636A"/>
    <w:rsid w:val="007A64D6"/>
    <w:rsid w:val="007A74FC"/>
    <w:rsid w:val="007B111E"/>
    <w:rsid w:val="007B12BE"/>
    <w:rsid w:val="007B3540"/>
    <w:rsid w:val="007C0C3E"/>
    <w:rsid w:val="007C1FCC"/>
    <w:rsid w:val="007C5B43"/>
    <w:rsid w:val="007C5F1F"/>
    <w:rsid w:val="007C6259"/>
    <w:rsid w:val="007C68FB"/>
    <w:rsid w:val="007D0023"/>
    <w:rsid w:val="007D1A82"/>
    <w:rsid w:val="007D55C8"/>
    <w:rsid w:val="007D5B60"/>
    <w:rsid w:val="007D5C72"/>
    <w:rsid w:val="007D6FE1"/>
    <w:rsid w:val="007E1883"/>
    <w:rsid w:val="007E3251"/>
    <w:rsid w:val="007E3C56"/>
    <w:rsid w:val="007E3E06"/>
    <w:rsid w:val="007E5ABF"/>
    <w:rsid w:val="007E5CBA"/>
    <w:rsid w:val="007F079D"/>
    <w:rsid w:val="007F0E9D"/>
    <w:rsid w:val="007F10E5"/>
    <w:rsid w:val="007F1A38"/>
    <w:rsid w:val="007F3F54"/>
    <w:rsid w:val="0080718B"/>
    <w:rsid w:val="00817D06"/>
    <w:rsid w:val="00820020"/>
    <w:rsid w:val="0082095E"/>
    <w:rsid w:val="00822800"/>
    <w:rsid w:val="00824283"/>
    <w:rsid w:val="00835EA9"/>
    <w:rsid w:val="00840A73"/>
    <w:rsid w:val="00853D3F"/>
    <w:rsid w:val="00854ADA"/>
    <w:rsid w:val="008560ED"/>
    <w:rsid w:val="008570F3"/>
    <w:rsid w:val="00857153"/>
    <w:rsid w:val="00861121"/>
    <w:rsid w:val="00861436"/>
    <w:rsid w:val="00861B98"/>
    <w:rsid w:val="0086326A"/>
    <w:rsid w:val="00864A99"/>
    <w:rsid w:val="008660F2"/>
    <w:rsid w:val="0087292C"/>
    <w:rsid w:val="00875E29"/>
    <w:rsid w:val="008768EE"/>
    <w:rsid w:val="008801B8"/>
    <w:rsid w:val="00881FB7"/>
    <w:rsid w:val="008833E0"/>
    <w:rsid w:val="008859D2"/>
    <w:rsid w:val="008866E5"/>
    <w:rsid w:val="008875E8"/>
    <w:rsid w:val="00890C91"/>
    <w:rsid w:val="00890D22"/>
    <w:rsid w:val="00896FE6"/>
    <w:rsid w:val="008979B0"/>
    <w:rsid w:val="008A2450"/>
    <w:rsid w:val="008A3C85"/>
    <w:rsid w:val="008A4091"/>
    <w:rsid w:val="008A4402"/>
    <w:rsid w:val="008A5875"/>
    <w:rsid w:val="008A6B1C"/>
    <w:rsid w:val="008A7CE0"/>
    <w:rsid w:val="008B0100"/>
    <w:rsid w:val="008B15D7"/>
    <w:rsid w:val="008B2667"/>
    <w:rsid w:val="008B5952"/>
    <w:rsid w:val="008B5F88"/>
    <w:rsid w:val="008B662D"/>
    <w:rsid w:val="008B66A2"/>
    <w:rsid w:val="008C0BE8"/>
    <w:rsid w:val="008C12B8"/>
    <w:rsid w:val="008C2DEC"/>
    <w:rsid w:val="008C4052"/>
    <w:rsid w:val="008C5801"/>
    <w:rsid w:val="008C6665"/>
    <w:rsid w:val="008C7046"/>
    <w:rsid w:val="008C7383"/>
    <w:rsid w:val="008D2243"/>
    <w:rsid w:val="008D2B85"/>
    <w:rsid w:val="008D3D05"/>
    <w:rsid w:val="008D4143"/>
    <w:rsid w:val="008D5E13"/>
    <w:rsid w:val="008E5175"/>
    <w:rsid w:val="008E6346"/>
    <w:rsid w:val="008E694D"/>
    <w:rsid w:val="008F15CC"/>
    <w:rsid w:val="008F448B"/>
    <w:rsid w:val="008F64A5"/>
    <w:rsid w:val="0090056A"/>
    <w:rsid w:val="00900747"/>
    <w:rsid w:val="009007B5"/>
    <w:rsid w:val="00900C2C"/>
    <w:rsid w:val="00900ED7"/>
    <w:rsid w:val="009039D0"/>
    <w:rsid w:val="00906BFA"/>
    <w:rsid w:val="009077D2"/>
    <w:rsid w:val="00907C64"/>
    <w:rsid w:val="0092002D"/>
    <w:rsid w:val="00920986"/>
    <w:rsid w:val="00923AC9"/>
    <w:rsid w:val="0092456F"/>
    <w:rsid w:val="009261FF"/>
    <w:rsid w:val="00930013"/>
    <w:rsid w:val="00933485"/>
    <w:rsid w:val="00933761"/>
    <w:rsid w:val="009347C0"/>
    <w:rsid w:val="00934CC9"/>
    <w:rsid w:val="009350E9"/>
    <w:rsid w:val="00935A60"/>
    <w:rsid w:val="00937526"/>
    <w:rsid w:val="00943702"/>
    <w:rsid w:val="00946F84"/>
    <w:rsid w:val="009474D6"/>
    <w:rsid w:val="00947CA9"/>
    <w:rsid w:val="00947CB1"/>
    <w:rsid w:val="00950D54"/>
    <w:rsid w:val="009510AF"/>
    <w:rsid w:val="00951C8E"/>
    <w:rsid w:val="00952224"/>
    <w:rsid w:val="00954771"/>
    <w:rsid w:val="00955ADD"/>
    <w:rsid w:val="00956E92"/>
    <w:rsid w:val="00957459"/>
    <w:rsid w:val="00960583"/>
    <w:rsid w:val="00960EE4"/>
    <w:rsid w:val="009610EE"/>
    <w:rsid w:val="009613DB"/>
    <w:rsid w:val="009613E6"/>
    <w:rsid w:val="00961489"/>
    <w:rsid w:val="009660BE"/>
    <w:rsid w:val="0096748D"/>
    <w:rsid w:val="0096772B"/>
    <w:rsid w:val="00970711"/>
    <w:rsid w:val="009721DC"/>
    <w:rsid w:val="00973841"/>
    <w:rsid w:val="00973D76"/>
    <w:rsid w:val="0097417F"/>
    <w:rsid w:val="00974C73"/>
    <w:rsid w:val="00974E5D"/>
    <w:rsid w:val="00975CAC"/>
    <w:rsid w:val="00977CF1"/>
    <w:rsid w:val="00981E0C"/>
    <w:rsid w:val="00982180"/>
    <w:rsid w:val="009823FC"/>
    <w:rsid w:val="0098558C"/>
    <w:rsid w:val="0099151C"/>
    <w:rsid w:val="0099171F"/>
    <w:rsid w:val="00993B3F"/>
    <w:rsid w:val="009961FE"/>
    <w:rsid w:val="0099732F"/>
    <w:rsid w:val="0099772F"/>
    <w:rsid w:val="009A0910"/>
    <w:rsid w:val="009A31FE"/>
    <w:rsid w:val="009A5703"/>
    <w:rsid w:val="009A59BA"/>
    <w:rsid w:val="009B1766"/>
    <w:rsid w:val="009B4C29"/>
    <w:rsid w:val="009B5ACD"/>
    <w:rsid w:val="009C008D"/>
    <w:rsid w:val="009C1D68"/>
    <w:rsid w:val="009C20B8"/>
    <w:rsid w:val="009C22C1"/>
    <w:rsid w:val="009C3DFD"/>
    <w:rsid w:val="009C4BA7"/>
    <w:rsid w:val="009C647A"/>
    <w:rsid w:val="009D0209"/>
    <w:rsid w:val="009D0299"/>
    <w:rsid w:val="009D19CE"/>
    <w:rsid w:val="009D33EF"/>
    <w:rsid w:val="009D5740"/>
    <w:rsid w:val="009E0397"/>
    <w:rsid w:val="009E086F"/>
    <w:rsid w:val="009E242F"/>
    <w:rsid w:val="009E322E"/>
    <w:rsid w:val="009E34E4"/>
    <w:rsid w:val="009E4329"/>
    <w:rsid w:val="009E5F81"/>
    <w:rsid w:val="009E647E"/>
    <w:rsid w:val="009E7725"/>
    <w:rsid w:val="009F0309"/>
    <w:rsid w:val="009F4171"/>
    <w:rsid w:val="009F471E"/>
    <w:rsid w:val="009F50DE"/>
    <w:rsid w:val="009F5287"/>
    <w:rsid w:val="00A032F8"/>
    <w:rsid w:val="00A051C1"/>
    <w:rsid w:val="00A06147"/>
    <w:rsid w:val="00A0667C"/>
    <w:rsid w:val="00A141E8"/>
    <w:rsid w:val="00A17596"/>
    <w:rsid w:val="00A177FA"/>
    <w:rsid w:val="00A179ED"/>
    <w:rsid w:val="00A20ACC"/>
    <w:rsid w:val="00A21544"/>
    <w:rsid w:val="00A21D84"/>
    <w:rsid w:val="00A24380"/>
    <w:rsid w:val="00A264A8"/>
    <w:rsid w:val="00A30F03"/>
    <w:rsid w:val="00A30FDE"/>
    <w:rsid w:val="00A348B7"/>
    <w:rsid w:val="00A4018F"/>
    <w:rsid w:val="00A4146A"/>
    <w:rsid w:val="00A435A2"/>
    <w:rsid w:val="00A43AF7"/>
    <w:rsid w:val="00A466AD"/>
    <w:rsid w:val="00A51A19"/>
    <w:rsid w:val="00A51EC7"/>
    <w:rsid w:val="00A54B70"/>
    <w:rsid w:val="00A54DB6"/>
    <w:rsid w:val="00A57F37"/>
    <w:rsid w:val="00A6173A"/>
    <w:rsid w:val="00A65FD0"/>
    <w:rsid w:val="00A67763"/>
    <w:rsid w:val="00A7264D"/>
    <w:rsid w:val="00A7308D"/>
    <w:rsid w:val="00A7326B"/>
    <w:rsid w:val="00A736CE"/>
    <w:rsid w:val="00A747FB"/>
    <w:rsid w:val="00A80133"/>
    <w:rsid w:val="00A81A15"/>
    <w:rsid w:val="00A833FF"/>
    <w:rsid w:val="00A84CAC"/>
    <w:rsid w:val="00A857EC"/>
    <w:rsid w:val="00A8585A"/>
    <w:rsid w:val="00A90543"/>
    <w:rsid w:val="00A90C0C"/>
    <w:rsid w:val="00A92E7A"/>
    <w:rsid w:val="00A96A70"/>
    <w:rsid w:val="00A9770D"/>
    <w:rsid w:val="00AA02A5"/>
    <w:rsid w:val="00AA0C18"/>
    <w:rsid w:val="00AA14BD"/>
    <w:rsid w:val="00AA6E00"/>
    <w:rsid w:val="00AB191C"/>
    <w:rsid w:val="00AB3CE7"/>
    <w:rsid w:val="00AB40CE"/>
    <w:rsid w:val="00AB4177"/>
    <w:rsid w:val="00AC3651"/>
    <w:rsid w:val="00AC4B83"/>
    <w:rsid w:val="00AC50A3"/>
    <w:rsid w:val="00AC530A"/>
    <w:rsid w:val="00AC69CA"/>
    <w:rsid w:val="00AC7747"/>
    <w:rsid w:val="00AC7E62"/>
    <w:rsid w:val="00AD1665"/>
    <w:rsid w:val="00AD3419"/>
    <w:rsid w:val="00AD41FA"/>
    <w:rsid w:val="00AE06F8"/>
    <w:rsid w:val="00AE2010"/>
    <w:rsid w:val="00AE7E12"/>
    <w:rsid w:val="00AE7E8E"/>
    <w:rsid w:val="00AF4BFE"/>
    <w:rsid w:val="00AF58FE"/>
    <w:rsid w:val="00AF7F76"/>
    <w:rsid w:val="00B00BEB"/>
    <w:rsid w:val="00B012A8"/>
    <w:rsid w:val="00B01852"/>
    <w:rsid w:val="00B03E35"/>
    <w:rsid w:val="00B049C2"/>
    <w:rsid w:val="00B04BCE"/>
    <w:rsid w:val="00B079B9"/>
    <w:rsid w:val="00B133E3"/>
    <w:rsid w:val="00B150AD"/>
    <w:rsid w:val="00B1539F"/>
    <w:rsid w:val="00B15C1D"/>
    <w:rsid w:val="00B163F5"/>
    <w:rsid w:val="00B22375"/>
    <w:rsid w:val="00B235D8"/>
    <w:rsid w:val="00B23CC9"/>
    <w:rsid w:val="00B24211"/>
    <w:rsid w:val="00B24CDA"/>
    <w:rsid w:val="00B2671C"/>
    <w:rsid w:val="00B3096E"/>
    <w:rsid w:val="00B33023"/>
    <w:rsid w:val="00B34920"/>
    <w:rsid w:val="00B46FDF"/>
    <w:rsid w:val="00B50C6C"/>
    <w:rsid w:val="00B52CB2"/>
    <w:rsid w:val="00B54621"/>
    <w:rsid w:val="00B558C3"/>
    <w:rsid w:val="00B5601E"/>
    <w:rsid w:val="00B5778D"/>
    <w:rsid w:val="00B60645"/>
    <w:rsid w:val="00B610C4"/>
    <w:rsid w:val="00B628EB"/>
    <w:rsid w:val="00B62AB7"/>
    <w:rsid w:val="00B631B1"/>
    <w:rsid w:val="00B637BE"/>
    <w:rsid w:val="00B646F1"/>
    <w:rsid w:val="00B65F0E"/>
    <w:rsid w:val="00B66257"/>
    <w:rsid w:val="00B71F9A"/>
    <w:rsid w:val="00B758E5"/>
    <w:rsid w:val="00B81D55"/>
    <w:rsid w:val="00B8229E"/>
    <w:rsid w:val="00B82318"/>
    <w:rsid w:val="00B848C8"/>
    <w:rsid w:val="00B8684C"/>
    <w:rsid w:val="00B90D94"/>
    <w:rsid w:val="00B910CB"/>
    <w:rsid w:val="00B9284E"/>
    <w:rsid w:val="00BA0B0B"/>
    <w:rsid w:val="00BA43EF"/>
    <w:rsid w:val="00BA5492"/>
    <w:rsid w:val="00BA6045"/>
    <w:rsid w:val="00BA75FA"/>
    <w:rsid w:val="00BB01BC"/>
    <w:rsid w:val="00BB0B72"/>
    <w:rsid w:val="00BB24F7"/>
    <w:rsid w:val="00BB5D09"/>
    <w:rsid w:val="00BC263C"/>
    <w:rsid w:val="00BC41E5"/>
    <w:rsid w:val="00BC5C3A"/>
    <w:rsid w:val="00BC6101"/>
    <w:rsid w:val="00BD324A"/>
    <w:rsid w:val="00BD3E77"/>
    <w:rsid w:val="00BD596D"/>
    <w:rsid w:val="00BE0148"/>
    <w:rsid w:val="00BE1492"/>
    <w:rsid w:val="00BE5CE5"/>
    <w:rsid w:val="00BF1DE1"/>
    <w:rsid w:val="00BF25AB"/>
    <w:rsid w:val="00BF2610"/>
    <w:rsid w:val="00BF3BD8"/>
    <w:rsid w:val="00BF5805"/>
    <w:rsid w:val="00BF5B77"/>
    <w:rsid w:val="00BF650A"/>
    <w:rsid w:val="00C01C4F"/>
    <w:rsid w:val="00C032BE"/>
    <w:rsid w:val="00C047FE"/>
    <w:rsid w:val="00C05CAE"/>
    <w:rsid w:val="00C13D97"/>
    <w:rsid w:val="00C17520"/>
    <w:rsid w:val="00C17D23"/>
    <w:rsid w:val="00C17D32"/>
    <w:rsid w:val="00C215EE"/>
    <w:rsid w:val="00C21B0F"/>
    <w:rsid w:val="00C23299"/>
    <w:rsid w:val="00C23A25"/>
    <w:rsid w:val="00C24032"/>
    <w:rsid w:val="00C2489F"/>
    <w:rsid w:val="00C264DB"/>
    <w:rsid w:val="00C31FC4"/>
    <w:rsid w:val="00C3207D"/>
    <w:rsid w:val="00C33453"/>
    <w:rsid w:val="00C33546"/>
    <w:rsid w:val="00C35E3F"/>
    <w:rsid w:val="00C40090"/>
    <w:rsid w:val="00C43446"/>
    <w:rsid w:val="00C438C1"/>
    <w:rsid w:val="00C5290A"/>
    <w:rsid w:val="00C53637"/>
    <w:rsid w:val="00C56D71"/>
    <w:rsid w:val="00C57C7B"/>
    <w:rsid w:val="00C60576"/>
    <w:rsid w:val="00C60A6D"/>
    <w:rsid w:val="00C60D2F"/>
    <w:rsid w:val="00C629CC"/>
    <w:rsid w:val="00C62EAE"/>
    <w:rsid w:val="00C62F83"/>
    <w:rsid w:val="00C649A9"/>
    <w:rsid w:val="00C6587F"/>
    <w:rsid w:val="00C67D37"/>
    <w:rsid w:val="00C70B94"/>
    <w:rsid w:val="00C70D1D"/>
    <w:rsid w:val="00C719B2"/>
    <w:rsid w:val="00C7208C"/>
    <w:rsid w:val="00C73D98"/>
    <w:rsid w:val="00C94773"/>
    <w:rsid w:val="00C959CC"/>
    <w:rsid w:val="00C95FB6"/>
    <w:rsid w:val="00C96637"/>
    <w:rsid w:val="00C96ACF"/>
    <w:rsid w:val="00CA33D7"/>
    <w:rsid w:val="00CA6C61"/>
    <w:rsid w:val="00CB0F33"/>
    <w:rsid w:val="00CB14CA"/>
    <w:rsid w:val="00CB2872"/>
    <w:rsid w:val="00CB4DBA"/>
    <w:rsid w:val="00CC37D7"/>
    <w:rsid w:val="00CC49FB"/>
    <w:rsid w:val="00CD0468"/>
    <w:rsid w:val="00CD2015"/>
    <w:rsid w:val="00CD4317"/>
    <w:rsid w:val="00CD4EAF"/>
    <w:rsid w:val="00CE136A"/>
    <w:rsid w:val="00CE1828"/>
    <w:rsid w:val="00CE4B97"/>
    <w:rsid w:val="00CE60CE"/>
    <w:rsid w:val="00CE6F5B"/>
    <w:rsid w:val="00CE7C7E"/>
    <w:rsid w:val="00CE7E03"/>
    <w:rsid w:val="00CF03B5"/>
    <w:rsid w:val="00CF23C7"/>
    <w:rsid w:val="00CF680C"/>
    <w:rsid w:val="00CF683F"/>
    <w:rsid w:val="00CF6861"/>
    <w:rsid w:val="00CF6F1D"/>
    <w:rsid w:val="00D02DAD"/>
    <w:rsid w:val="00D030F9"/>
    <w:rsid w:val="00D0597E"/>
    <w:rsid w:val="00D0690E"/>
    <w:rsid w:val="00D2004B"/>
    <w:rsid w:val="00D21778"/>
    <w:rsid w:val="00D24BBA"/>
    <w:rsid w:val="00D24DA5"/>
    <w:rsid w:val="00D25D51"/>
    <w:rsid w:val="00D27508"/>
    <w:rsid w:val="00D277FB"/>
    <w:rsid w:val="00D27AD0"/>
    <w:rsid w:val="00D27FE6"/>
    <w:rsid w:val="00D339FB"/>
    <w:rsid w:val="00D34D6C"/>
    <w:rsid w:val="00D34EA1"/>
    <w:rsid w:val="00D37002"/>
    <w:rsid w:val="00D441E2"/>
    <w:rsid w:val="00D463A2"/>
    <w:rsid w:val="00D46D4D"/>
    <w:rsid w:val="00D471C8"/>
    <w:rsid w:val="00D47B2E"/>
    <w:rsid w:val="00D52CE5"/>
    <w:rsid w:val="00D531E5"/>
    <w:rsid w:val="00D535E1"/>
    <w:rsid w:val="00D57158"/>
    <w:rsid w:val="00D603E1"/>
    <w:rsid w:val="00D60B9D"/>
    <w:rsid w:val="00D6115D"/>
    <w:rsid w:val="00D6339D"/>
    <w:rsid w:val="00D67C87"/>
    <w:rsid w:val="00D70F19"/>
    <w:rsid w:val="00D72526"/>
    <w:rsid w:val="00D726C8"/>
    <w:rsid w:val="00D72916"/>
    <w:rsid w:val="00D7371C"/>
    <w:rsid w:val="00D76740"/>
    <w:rsid w:val="00D81351"/>
    <w:rsid w:val="00D82043"/>
    <w:rsid w:val="00D82199"/>
    <w:rsid w:val="00D84174"/>
    <w:rsid w:val="00D84B4D"/>
    <w:rsid w:val="00D87139"/>
    <w:rsid w:val="00D93F5E"/>
    <w:rsid w:val="00D96385"/>
    <w:rsid w:val="00D97060"/>
    <w:rsid w:val="00D975EA"/>
    <w:rsid w:val="00DA62AA"/>
    <w:rsid w:val="00DA6866"/>
    <w:rsid w:val="00DB101B"/>
    <w:rsid w:val="00DB192F"/>
    <w:rsid w:val="00DB3F92"/>
    <w:rsid w:val="00DB7A06"/>
    <w:rsid w:val="00DC2EDA"/>
    <w:rsid w:val="00DC4100"/>
    <w:rsid w:val="00DD00E6"/>
    <w:rsid w:val="00DD2BBE"/>
    <w:rsid w:val="00DD367B"/>
    <w:rsid w:val="00DD618E"/>
    <w:rsid w:val="00DD730E"/>
    <w:rsid w:val="00DE0CA4"/>
    <w:rsid w:val="00DE1380"/>
    <w:rsid w:val="00DE3EA4"/>
    <w:rsid w:val="00DE6813"/>
    <w:rsid w:val="00DE6CDB"/>
    <w:rsid w:val="00DE7893"/>
    <w:rsid w:val="00DE7FAC"/>
    <w:rsid w:val="00DF1737"/>
    <w:rsid w:val="00DF2628"/>
    <w:rsid w:val="00DF4CFF"/>
    <w:rsid w:val="00DF6034"/>
    <w:rsid w:val="00DF618C"/>
    <w:rsid w:val="00E01FAB"/>
    <w:rsid w:val="00E051BB"/>
    <w:rsid w:val="00E06834"/>
    <w:rsid w:val="00E068B6"/>
    <w:rsid w:val="00E06FB0"/>
    <w:rsid w:val="00E07F0F"/>
    <w:rsid w:val="00E131D8"/>
    <w:rsid w:val="00E13209"/>
    <w:rsid w:val="00E156F0"/>
    <w:rsid w:val="00E15DDA"/>
    <w:rsid w:val="00E168B8"/>
    <w:rsid w:val="00E176E3"/>
    <w:rsid w:val="00E20123"/>
    <w:rsid w:val="00E20866"/>
    <w:rsid w:val="00E20E64"/>
    <w:rsid w:val="00E2218A"/>
    <w:rsid w:val="00E22D4B"/>
    <w:rsid w:val="00E25065"/>
    <w:rsid w:val="00E27291"/>
    <w:rsid w:val="00E308C7"/>
    <w:rsid w:val="00E32C64"/>
    <w:rsid w:val="00E35926"/>
    <w:rsid w:val="00E3728A"/>
    <w:rsid w:val="00E37F6B"/>
    <w:rsid w:val="00E41E9F"/>
    <w:rsid w:val="00E5005C"/>
    <w:rsid w:val="00E50823"/>
    <w:rsid w:val="00E50950"/>
    <w:rsid w:val="00E51D88"/>
    <w:rsid w:val="00E53547"/>
    <w:rsid w:val="00E55277"/>
    <w:rsid w:val="00E55ED1"/>
    <w:rsid w:val="00E56A53"/>
    <w:rsid w:val="00E56BDA"/>
    <w:rsid w:val="00E57EBC"/>
    <w:rsid w:val="00E60504"/>
    <w:rsid w:val="00E61B27"/>
    <w:rsid w:val="00E64A44"/>
    <w:rsid w:val="00E671AE"/>
    <w:rsid w:val="00E70386"/>
    <w:rsid w:val="00E72D7C"/>
    <w:rsid w:val="00E72FE2"/>
    <w:rsid w:val="00E7414E"/>
    <w:rsid w:val="00E82BE6"/>
    <w:rsid w:val="00E86CBA"/>
    <w:rsid w:val="00E870AD"/>
    <w:rsid w:val="00E93379"/>
    <w:rsid w:val="00E93546"/>
    <w:rsid w:val="00E95960"/>
    <w:rsid w:val="00EA1488"/>
    <w:rsid w:val="00EA28C3"/>
    <w:rsid w:val="00EA3928"/>
    <w:rsid w:val="00EA5602"/>
    <w:rsid w:val="00EA675A"/>
    <w:rsid w:val="00EB04DC"/>
    <w:rsid w:val="00EB0506"/>
    <w:rsid w:val="00EB097C"/>
    <w:rsid w:val="00EB1191"/>
    <w:rsid w:val="00EB1718"/>
    <w:rsid w:val="00EB3CB2"/>
    <w:rsid w:val="00EB551B"/>
    <w:rsid w:val="00EB56BA"/>
    <w:rsid w:val="00EB5FEF"/>
    <w:rsid w:val="00EB6B15"/>
    <w:rsid w:val="00EB7FFB"/>
    <w:rsid w:val="00EC1198"/>
    <w:rsid w:val="00EC2094"/>
    <w:rsid w:val="00EC2CFA"/>
    <w:rsid w:val="00EC3934"/>
    <w:rsid w:val="00EC3DB0"/>
    <w:rsid w:val="00EC3ED9"/>
    <w:rsid w:val="00EC4086"/>
    <w:rsid w:val="00EC4CCC"/>
    <w:rsid w:val="00ED0ADF"/>
    <w:rsid w:val="00ED1BB9"/>
    <w:rsid w:val="00ED5B81"/>
    <w:rsid w:val="00ED7A81"/>
    <w:rsid w:val="00EE011F"/>
    <w:rsid w:val="00EE06F3"/>
    <w:rsid w:val="00EE3BAA"/>
    <w:rsid w:val="00EE53C9"/>
    <w:rsid w:val="00EF1090"/>
    <w:rsid w:val="00EF1901"/>
    <w:rsid w:val="00EF1E84"/>
    <w:rsid w:val="00EF4275"/>
    <w:rsid w:val="00EF43B9"/>
    <w:rsid w:val="00EF69CD"/>
    <w:rsid w:val="00F006F5"/>
    <w:rsid w:val="00F01C83"/>
    <w:rsid w:val="00F037CC"/>
    <w:rsid w:val="00F1688B"/>
    <w:rsid w:val="00F17611"/>
    <w:rsid w:val="00F21C6D"/>
    <w:rsid w:val="00F23A46"/>
    <w:rsid w:val="00F27A4D"/>
    <w:rsid w:val="00F30E92"/>
    <w:rsid w:val="00F359C0"/>
    <w:rsid w:val="00F35F86"/>
    <w:rsid w:val="00F40FE7"/>
    <w:rsid w:val="00F42233"/>
    <w:rsid w:val="00F424BB"/>
    <w:rsid w:val="00F437FB"/>
    <w:rsid w:val="00F43FA5"/>
    <w:rsid w:val="00F4663C"/>
    <w:rsid w:val="00F467F1"/>
    <w:rsid w:val="00F47725"/>
    <w:rsid w:val="00F50302"/>
    <w:rsid w:val="00F5333F"/>
    <w:rsid w:val="00F57953"/>
    <w:rsid w:val="00F63DE4"/>
    <w:rsid w:val="00F63E3D"/>
    <w:rsid w:val="00F659B1"/>
    <w:rsid w:val="00F65C42"/>
    <w:rsid w:val="00F67671"/>
    <w:rsid w:val="00F723D4"/>
    <w:rsid w:val="00F77398"/>
    <w:rsid w:val="00F77E3F"/>
    <w:rsid w:val="00F82265"/>
    <w:rsid w:val="00F83E87"/>
    <w:rsid w:val="00F85D7E"/>
    <w:rsid w:val="00F90AD6"/>
    <w:rsid w:val="00F91A1E"/>
    <w:rsid w:val="00F92EEA"/>
    <w:rsid w:val="00F93EB7"/>
    <w:rsid w:val="00F94C02"/>
    <w:rsid w:val="00F96140"/>
    <w:rsid w:val="00FA0E30"/>
    <w:rsid w:val="00FA128E"/>
    <w:rsid w:val="00FA22CA"/>
    <w:rsid w:val="00FA6BEC"/>
    <w:rsid w:val="00FA7F5C"/>
    <w:rsid w:val="00FB3F13"/>
    <w:rsid w:val="00FB48DE"/>
    <w:rsid w:val="00FB684A"/>
    <w:rsid w:val="00FC3CF5"/>
    <w:rsid w:val="00FC41CD"/>
    <w:rsid w:val="00FC680F"/>
    <w:rsid w:val="00FC6C62"/>
    <w:rsid w:val="00FC7B50"/>
    <w:rsid w:val="00FD2E2F"/>
    <w:rsid w:val="00FD4018"/>
    <w:rsid w:val="00FD546A"/>
    <w:rsid w:val="00FD6081"/>
    <w:rsid w:val="00FD68B5"/>
    <w:rsid w:val="00FD71A3"/>
    <w:rsid w:val="00FE2617"/>
    <w:rsid w:val="00FE628A"/>
    <w:rsid w:val="00FE6BCB"/>
    <w:rsid w:val="00FF0995"/>
    <w:rsid w:val="00FF336A"/>
    <w:rsid w:val="00FF4ABE"/>
    <w:rsid w:val="00FF4DF2"/>
    <w:rsid w:val="00FF76AB"/>
    <w:rsid w:val="07336816"/>
    <w:rsid w:val="0AA0C960"/>
    <w:rsid w:val="0BA87521"/>
    <w:rsid w:val="0D95A6AE"/>
    <w:rsid w:val="0E558562"/>
    <w:rsid w:val="12DE8866"/>
    <w:rsid w:val="13358E9A"/>
    <w:rsid w:val="13480E26"/>
    <w:rsid w:val="14CF8B65"/>
    <w:rsid w:val="1EA8B8F9"/>
    <w:rsid w:val="28603054"/>
    <w:rsid w:val="29BC1D6A"/>
    <w:rsid w:val="2A924ED5"/>
    <w:rsid w:val="2B81E366"/>
    <w:rsid w:val="2C0F0086"/>
    <w:rsid w:val="2EAF2462"/>
    <w:rsid w:val="2EB00C9F"/>
    <w:rsid w:val="2ED9B211"/>
    <w:rsid w:val="311E4663"/>
    <w:rsid w:val="31288BD2"/>
    <w:rsid w:val="3271D63C"/>
    <w:rsid w:val="34202595"/>
    <w:rsid w:val="343D8235"/>
    <w:rsid w:val="35B220C6"/>
    <w:rsid w:val="361EA35C"/>
    <w:rsid w:val="36981833"/>
    <w:rsid w:val="36E89505"/>
    <w:rsid w:val="38923A98"/>
    <w:rsid w:val="38E5619A"/>
    <w:rsid w:val="391325B7"/>
    <w:rsid w:val="3948ADD2"/>
    <w:rsid w:val="3959A359"/>
    <w:rsid w:val="39DCD226"/>
    <w:rsid w:val="3D211F8D"/>
    <w:rsid w:val="3E4956E6"/>
    <w:rsid w:val="41625175"/>
    <w:rsid w:val="428B3483"/>
    <w:rsid w:val="43A38AC7"/>
    <w:rsid w:val="44AB9FB3"/>
    <w:rsid w:val="44E09BEE"/>
    <w:rsid w:val="48B46686"/>
    <w:rsid w:val="499081B2"/>
    <w:rsid w:val="49F0B053"/>
    <w:rsid w:val="4A255C04"/>
    <w:rsid w:val="4AD850D8"/>
    <w:rsid w:val="4B221F65"/>
    <w:rsid w:val="4CB60C13"/>
    <w:rsid w:val="4E1DFBF4"/>
    <w:rsid w:val="4E878EF9"/>
    <w:rsid w:val="51A31C3D"/>
    <w:rsid w:val="51D19C75"/>
    <w:rsid w:val="5273C7B6"/>
    <w:rsid w:val="531B1450"/>
    <w:rsid w:val="536866F1"/>
    <w:rsid w:val="5460AE9F"/>
    <w:rsid w:val="5672B298"/>
    <w:rsid w:val="57123FCA"/>
    <w:rsid w:val="5730FA78"/>
    <w:rsid w:val="590C1B26"/>
    <w:rsid w:val="592A5EB6"/>
    <w:rsid w:val="59F71C07"/>
    <w:rsid w:val="5B35F7DB"/>
    <w:rsid w:val="5C4911B6"/>
    <w:rsid w:val="5E3FD7E4"/>
    <w:rsid w:val="60D54DF7"/>
    <w:rsid w:val="61F53D7D"/>
    <w:rsid w:val="6458A62F"/>
    <w:rsid w:val="658DD15E"/>
    <w:rsid w:val="663B8C3D"/>
    <w:rsid w:val="664A95B8"/>
    <w:rsid w:val="671F1C16"/>
    <w:rsid w:val="67498871"/>
    <w:rsid w:val="69FEA83B"/>
    <w:rsid w:val="6A18B787"/>
    <w:rsid w:val="6AC481C2"/>
    <w:rsid w:val="6ADBBF27"/>
    <w:rsid w:val="6B77488E"/>
    <w:rsid w:val="6BB1E8A2"/>
    <w:rsid w:val="6D549670"/>
    <w:rsid w:val="70197877"/>
    <w:rsid w:val="70BFC524"/>
    <w:rsid w:val="72F8E342"/>
    <w:rsid w:val="7384DE57"/>
    <w:rsid w:val="75FCB2FD"/>
    <w:rsid w:val="762C9B8E"/>
    <w:rsid w:val="77014974"/>
    <w:rsid w:val="77457C98"/>
    <w:rsid w:val="7773931E"/>
    <w:rsid w:val="77C9B62A"/>
    <w:rsid w:val="7C4A0347"/>
    <w:rsid w:val="7D1DB111"/>
    <w:rsid w:val="7E3A8656"/>
    <w:rsid w:val="7FF4C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2638E7"/>
  <w15:chartTrackingRefBased/>
  <w15:docId w15:val="{7F59D061-147D-4933-B2C8-CD16ACC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link w:val="FootnoteTextChar"/>
    <w:uiPriority w:val="99"/>
    <w:rsid w:val="00113D67"/>
  </w:style>
  <w:style w:type="character" w:styleId="FootnoteReference">
    <w:name w:val="footnote reference"/>
    <w:uiPriority w:val="99"/>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rsid w:val="009510AF"/>
    <w:rPr>
      <w:sz w:val="16"/>
      <w:szCs w:val="16"/>
    </w:rPr>
  </w:style>
  <w:style w:type="paragraph" w:styleId="CommentText">
    <w:name w:val="annotation text"/>
    <w:basedOn w:val="Normal"/>
    <w:link w:val="CommentTextChar"/>
    <w:uiPriority w:val="99"/>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1907D7"/>
    <w:pPr>
      <w:ind w:left="720"/>
    </w:pPr>
  </w:style>
  <w:style w:type="character" w:customStyle="1" w:styleId="CommentTextChar">
    <w:name w:val="Comment Text Char"/>
    <w:link w:val="CommentText"/>
    <w:uiPriority w:val="99"/>
    <w:rsid w:val="00C62EAE"/>
  </w:style>
  <w:style w:type="table" w:customStyle="1" w:styleId="TableGrid1">
    <w:name w:val="Table Grid1"/>
    <w:basedOn w:val="TableNormal"/>
    <w:next w:val="TableGrid"/>
    <w:uiPriority w:val="39"/>
    <w:rsid w:val="009973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264D"/>
    <w:rPr>
      <w:color w:val="954F72" w:themeColor="followedHyperlink"/>
      <w:u w:val="single"/>
    </w:rPr>
  </w:style>
  <w:style w:type="table" w:customStyle="1" w:styleId="TableGrid11">
    <w:name w:val="Table Grid11"/>
    <w:basedOn w:val="TableNormal"/>
    <w:next w:val="TableGrid"/>
    <w:uiPriority w:val="39"/>
    <w:rsid w:val="009375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6834"/>
    <w:rPr>
      <w:color w:val="605E5C"/>
      <w:shd w:val="clear" w:color="auto" w:fill="E1DFDD"/>
    </w:rPr>
  </w:style>
  <w:style w:type="paragraph" w:styleId="NoSpacing">
    <w:name w:val="No Spacing"/>
    <w:uiPriority w:val="1"/>
    <w:qFormat/>
    <w:rsid w:val="00EA1488"/>
    <w:rPr>
      <w:rFonts w:asciiTheme="minorHAnsi" w:eastAsiaTheme="minorHAnsi" w:hAnsiTheme="minorHAnsi" w:cstheme="minorBidi"/>
      <w:sz w:val="22"/>
      <w:szCs w:val="22"/>
    </w:rPr>
  </w:style>
  <w:style w:type="paragraph" w:styleId="Revision">
    <w:name w:val="Revision"/>
    <w:hidden/>
    <w:uiPriority w:val="99"/>
    <w:semiHidden/>
    <w:rsid w:val="00B8229E"/>
  </w:style>
  <w:style w:type="character" w:customStyle="1" w:styleId="FootnoteTextChar">
    <w:name w:val="Footnote Text Char"/>
    <w:basedOn w:val="DefaultParagraphFont"/>
    <w:link w:val="FootnoteText"/>
    <w:uiPriority w:val="99"/>
    <w:rsid w:val="00ED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pto.gov/patents/quality-metrics"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5-01/pdf/2025-07524.pdf" TargetMode="External" /><Relationship Id="rId2" Type="http://schemas.openxmlformats.org/officeDocument/2006/relationships/hyperlink" Target="https://www.govinfo.gov/content/pkg/FR-2025-07-23/pdf/2025-13811.pdf" TargetMode="External" /><Relationship Id="rId3" Type="http://schemas.openxmlformats.org/officeDocument/2006/relationships/hyperlink" Target="https://www.govinfo.gov/content/pkg/FR-2013-03-19/pdf/2013-06254.pdf"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EC21E-F993-4DC9-8136-5A7F99B6DBAC}">
  <ds:schemaRefs>
    <ds:schemaRef ds:uri="http://schemas.microsoft.com/sharepoint/v3/contenttype/forms"/>
  </ds:schemaRefs>
</ds:datastoreItem>
</file>

<file path=customXml/itemProps2.xml><?xml version="1.0" encoding="utf-8"?>
<ds:datastoreItem xmlns:ds="http://schemas.openxmlformats.org/officeDocument/2006/customXml" ds:itemID="{349AFD20-1945-437C-9D9B-B76845D1BF0E}">
  <ds:schemaRefs>
    <ds:schemaRef ds:uri="http://schemas.microsoft.com/office/2006/metadata/properties"/>
    <ds:schemaRef ds:uri="http://schemas.microsoft.com/office/infopath/2007/PartnerControls"/>
    <ds:schemaRef ds:uri="0f5e2127-2ba4-41f5-b528-d0f9d9208b73"/>
    <ds:schemaRef ds:uri="ebb8c3bc-3ea9-4050-8e17-eb45cd7e46fa"/>
  </ds:schemaRefs>
</ds:datastoreItem>
</file>

<file path=customXml/itemProps3.xml><?xml version="1.0" encoding="utf-8"?>
<ds:datastoreItem xmlns:ds="http://schemas.openxmlformats.org/officeDocument/2006/customXml" ds:itemID="{5EF76F42-C440-49AD-BDBA-7DA35977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54366-3EA4-4F53-8870-6FC537ACCE3F}">
  <ds:schemaRefs>
    <ds:schemaRef ds:uri="http://schemas.microsoft.com/office/2006/metadata/longProperties"/>
  </ds:schemaRefs>
</ds:datastoreItem>
</file>

<file path=customXml/itemProps5.xml><?xml version="1.0" encoding="utf-8"?>
<ds:datastoreItem xmlns:ds="http://schemas.openxmlformats.org/officeDocument/2006/customXml" ds:itemID="{39179965-D36F-489E-860C-F28D0FF3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3220</Words>
  <Characters>18358</Characters>
  <Application>Microsoft Office Word</Application>
  <DocSecurity>0</DocSecurity>
  <Lines>152</Lines>
  <Paragraphs>43</Paragraphs>
  <ScaleCrop>false</ScaleCrop>
  <Company>United States Patent and Trademark Office</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United States Patent and Trademark Office</dc:creator>
  <cp:lastModifiedBy>Hall, Drew</cp:lastModifiedBy>
  <cp:revision>28</cp:revision>
  <cp:lastPrinted>2012-12-20T17:27:00Z</cp:lastPrinted>
  <dcterms:created xsi:type="dcterms:W3CDTF">2025-12-18T14:55:00Z</dcterms:created>
  <dcterms:modified xsi:type="dcterms:W3CDTF">2026-03-03T15:48:00Z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 to0">
    <vt:lpwstr>114</vt:lpwstr>
  </property>
  <property fmtid="{D5CDD505-2E9C-101B-9397-08002B2CF9AE}" pid="3" name="ContentType">
    <vt:lpwstr>Document</vt:lpwstr>
  </property>
  <property fmtid="{D5CDD505-2E9C-101B-9397-08002B2CF9AE}" pid="4" name="ContentTypeId">
    <vt:lpwstr>0x010100B0FF176B9C2D0B489525CF344D663D72</vt:lpwstr>
  </property>
  <property fmtid="{D5CDD505-2E9C-101B-9397-08002B2CF9AE}" pid="5" name="display_urn:schemas-microsoft-com:office:office#Assigned_x0020_to0">
    <vt:lpwstr>Hall, Drew (AMBIT)</vt:lpwstr>
  </property>
  <property fmtid="{D5CDD505-2E9C-101B-9397-08002B2CF9AE}" pid="6" name="display_urn:schemas-microsoft-com:office:office#Author">
    <vt:lpwstr>Hall, Drew (AMBIT)</vt:lpwstr>
  </property>
  <property fmtid="{D5CDD505-2E9C-101B-9397-08002B2CF9AE}" pid="7" name="display_urn:schemas-microsoft-com:office:office#Editor">
    <vt:lpwstr>Hall, Drew (AMBIT)</vt:lpwstr>
  </property>
  <property fmtid="{D5CDD505-2E9C-101B-9397-08002B2CF9AE}" pid="8" name="display_urn:schemas-microsoft-com:office:office#Owner">
    <vt:lpwstr>Fitzpatrick, David</vt:lpwstr>
  </property>
  <property fmtid="{D5CDD505-2E9C-101B-9397-08002B2CF9AE}" pid="9" name="MediaServiceImageTags">
    <vt:lpwstr/>
  </property>
</Properties>
</file>