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0C0C" w14:paraId="2C59BC92" w14:textId="77777777">
      <w:pPr>
        <w:pStyle w:val="Heading1"/>
        <w:ind w:left="0"/>
        <w:jc w:val="center"/>
      </w:pPr>
      <w:r>
        <w:t>SUPPORTING STATEMENT</w:t>
      </w:r>
    </w:p>
    <w:p w:rsidR="00050C0C" w14:paraId="09A401B6" w14:textId="77777777">
      <w:pPr>
        <w:spacing w:before="22" w:line="259" w:lineRule="auto"/>
        <w:ind w:firstLine="14"/>
        <w:jc w:val="center"/>
        <w:rPr>
          <w:b/>
        </w:rPr>
      </w:pPr>
      <w:r>
        <w:rPr>
          <w:b/>
        </w:rPr>
        <w:t>U.S. Department of Commerce</w:t>
      </w:r>
    </w:p>
    <w:p w:rsidR="00050C0C" w14:paraId="73E26055" w14:textId="77777777">
      <w:pPr>
        <w:spacing w:before="22" w:line="259" w:lineRule="auto"/>
        <w:ind w:firstLine="14"/>
        <w:jc w:val="center"/>
        <w:rPr>
          <w:b/>
        </w:rPr>
      </w:pPr>
      <w:r>
        <w:rPr>
          <w:b/>
        </w:rPr>
        <w:t>National Oceanic &amp; Atmospheric Administration</w:t>
      </w:r>
    </w:p>
    <w:p w:rsidR="002171BF" w:rsidRPr="002171BF" w14:paraId="7B043E9C" w14:textId="77777777">
      <w:pPr>
        <w:spacing w:line="259" w:lineRule="auto"/>
        <w:ind w:hanging="6"/>
        <w:jc w:val="center"/>
        <w:rPr>
          <w:b/>
          <w:bCs/>
        </w:rPr>
      </w:pPr>
      <w:bookmarkStart w:id="0" w:name="_Hlk213927006"/>
      <w:r w:rsidRPr="002171BF">
        <w:rPr>
          <w:b/>
          <w:bCs/>
        </w:rPr>
        <w:t>Alaska Community Quota (CQE) Program</w:t>
      </w:r>
      <w:r w:rsidRPr="002171BF">
        <w:rPr>
          <w:b/>
          <w:bCs/>
        </w:rPr>
        <w:t xml:space="preserve"> </w:t>
      </w:r>
    </w:p>
    <w:p w:rsidR="00050C0C" w14:paraId="7FA28800" w14:textId="7F97BB95">
      <w:pPr>
        <w:spacing w:line="259" w:lineRule="auto"/>
        <w:ind w:hanging="6"/>
        <w:jc w:val="center"/>
        <w:rPr>
          <w:b/>
        </w:rPr>
      </w:pPr>
      <w:r>
        <w:rPr>
          <w:b/>
        </w:rPr>
        <w:t>OMB Control No. 0648-</w:t>
      </w:r>
      <w:r w:rsidR="003122C3">
        <w:rPr>
          <w:b/>
        </w:rPr>
        <w:t>0665</w:t>
      </w:r>
    </w:p>
    <w:bookmarkEnd w:id="0"/>
    <w:p w:rsidR="00050C0C" w14:paraId="194866EE" w14:textId="77777777">
      <w:pPr>
        <w:pBdr>
          <w:top w:val="nil"/>
          <w:left w:val="nil"/>
          <w:bottom w:val="nil"/>
          <w:right w:val="nil"/>
          <w:between w:val="nil"/>
        </w:pBdr>
        <w:spacing w:before="1"/>
        <w:jc w:val="center"/>
        <w:rPr>
          <w:b/>
          <w:color w:val="000000"/>
        </w:rPr>
      </w:pPr>
    </w:p>
    <w:p w:rsidR="00050C0C" w:rsidP="004321D0" w14:paraId="14C1794E" w14:textId="5B675567">
      <w:pPr>
        <w:spacing w:before="1" w:line="398" w:lineRule="auto"/>
        <w:rPr>
          <w:b/>
        </w:rPr>
      </w:pPr>
      <w:r>
        <w:rPr>
          <w:b/>
          <w:color w:val="000000"/>
        </w:rPr>
        <w:t>SUPPORTING STATEMENT PART A</w:t>
      </w:r>
      <w:r>
        <w:rPr>
          <w:b/>
          <w:color w:val="1F497D"/>
        </w:rPr>
        <w:t xml:space="preserve"> </w:t>
      </w:r>
    </w:p>
    <w:p w:rsidR="00050C0C" w14:paraId="5D5764F3" w14:textId="77777777">
      <w:pPr>
        <w:pStyle w:val="Heading1"/>
        <w:spacing w:before="199"/>
        <w:ind w:left="0"/>
      </w:pPr>
      <w:r>
        <w:t>Abstract</w:t>
      </w:r>
    </w:p>
    <w:p w:rsidR="00AB42D6" w14:paraId="5CF5BC22" w14:textId="26A3245E">
      <w:pPr>
        <w:spacing w:before="144" w:line="259" w:lineRule="auto"/>
        <w:rPr>
          <w:bCs/>
          <w:color w:val="000000" w:themeColor="text1"/>
        </w:rPr>
      </w:pPr>
      <w:r w:rsidRPr="00AB42D6">
        <w:rPr>
          <w:bCs/>
          <w:color w:val="000000" w:themeColor="text1"/>
        </w:rPr>
        <w:t>The National Marine Fisheries Service (NMFS), Alaska Regional Office</w:t>
      </w:r>
      <w:r>
        <w:rPr>
          <w:bCs/>
          <w:color w:val="000000" w:themeColor="text1"/>
        </w:rPr>
        <w:t xml:space="preserve"> (AKR)</w:t>
      </w:r>
      <w:r w:rsidRPr="00AB42D6">
        <w:rPr>
          <w:bCs/>
          <w:color w:val="000000" w:themeColor="text1"/>
        </w:rPr>
        <w:t xml:space="preserve">, requests </w:t>
      </w:r>
      <w:r>
        <w:rPr>
          <w:bCs/>
          <w:color w:val="000000" w:themeColor="text1"/>
        </w:rPr>
        <w:t xml:space="preserve">a revision and </w:t>
      </w:r>
      <w:r w:rsidRPr="00AB42D6">
        <w:rPr>
          <w:color w:val="000000" w:themeColor="text1"/>
        </w:rPr>
        <w:t>extension</w:t>
      </w:r>
      <w:r w:rsidRPr="00AB42D6">
        <w:rPr>
          <w:bCs/>
          <w:color w:val="000000" w:themeColor="text1"/>
        </w:rPr>
        <w:t xml:space="preserve"> of this currently approved information collection, which </w:t>
      </w:r>
      <w:bookmarkStart w:id="1" w:name="_Hlk217035952"/>
      <w:r w:rsidRPr="00AB42D6">
        <w:rPr>
          <w:bCs/>
          <w:color w:val="000000" w:themeColor="text1"/>
        </w:rPr>
        <w:t xml:space="preserve">incorporates minor </w:t>
      </w:r>
      <w:r>
        <w:rPr>
          <w:bCs/>
          <w:color w:val="000000" w:themeColor="text1"/>
        </w:rPr>
        <w:t>updates</w:t>
      </w:r>
      <w:r w:rsidRPr="00AB42D6">
        <w:rPr>
          <w:bCs/>
          <w:color w:val="000000" w:themeColor="text1"/>
        </w:rPr>
        <w:t xml:space="preserve"> for clarity and regulatory accuracy. </w:t>
      </w:r>
      <w:r w:rsidR="0051346F">
        <w:rPr>
          <w:bCs/>
          <w:color w:val="000000" w:themeColor="text1"/>
        </w:rPr>
        <w:t>These c</w:t>
      </w:r>
      <w:r w:rsidRPr="00AB42D6">
        <w:rPr>
          <w:bCs/>
          <w:color w:val="000000" w:themeColor="text1"/>
        </w:rPr>
        <w:t xml:space="preserve">hanges to the forms </w:t>
      </w:r>
      <w:r>
        <w:rPr>
          <w:bCs/>
          <w:color w:val="000000" w:themeColor="text1"/>
        </w:rPr>
        <w:t>include</w:t>
      </w:r>
      <w:r w:rsidRPr="00AB42D6">
        <w:rPr>
          <w:bCs/>
          <w:color w:val="000000" w:themeColor="text1"/>
        </w:rPr>
        <w:t xml:space="preserve"> updating the Public Reporting Burden Statement to include the form's specific purpose</w:t>
      </w:r>
      <w:r w:rsidR="0051346F">
        <w:rPr>
          <w:bCs/>
          <w:color w:val="000000" w:themeColor="text1"/>
        </w:rPr>
        <w:t xml:space="preserve">, </w:t>
      </w:r>
      <w:r w:rsidR="00250820">
        <w:rPr>
          <w:bCs/>
          <w:color w:val="000000" w:themeColor="text1"/>
        </w:rPr>
        <w:t xml:space="preserve">and </w:t>
      </w:r>
      <w:r w:rsidR="0051346F">
        <w:rPr>
          <w:bCs/>
          <w:color w:val="000000" w:themeColor="text1"/>
        </w:rPr>
        <w:t>updating website links</w:t>
      </w:r>
      <w:r w:rsidRPr="00AB42D6">
        <w:rPr>
          <w:bCs/>
          <w:color w:val="000000" w:themeColor="text1"/>
        </w:rPr>
        <w:t xml:space="preserve">. Additionally, the “Application for Transfer of Quota Share to or from a Community Quota Entity” form was updated to </w:t>
      </w:r>
      <w:r w:rsidR="000E69D9">
        <w:rPr>
          <w:bCs/>
          <w:color w:val="000000" w:themeColor="text1"/>
        </w:rPr>
        <w:t xml:space="preserve">include the </w:t>
      </w:r>
      <w:r>
        <w:rPr>
          <w:bCs/>
          <w:color w:val="000000" w:themeColor="text1"/>
        </w:rPr>
        <w:t>correct</w:t>
      </w:r>
      <w:r w:rsidRPr="00AB42D6">
        <w:rPr>
          <w:bCs/>
          <w:color w:val="000000" w:themeColor="text1"/>
        </w:rPr>
        <w:t xml:space="preserve"> the language from "The party to whom a CQE is seeking to transfer the IFQ must hold a Transfer </w:t>
      </w:r>
      <w:r w:rsidRPr="00AB42D6">
        <w:rPr>
          <w:bCs/>
          <w:color w:val="000000" w:themeColor="text1"/>
        </w:rPr>
        <w:t xml:space="preserve">Eligibility Certificate (TEC) unless they are a resident of the Aleutian Islands (Adak) for at least 12 months" to "The party to whom a CQE is seeking to transfer the IFQ must hold a Transfer Eligibility Certificate (TEC) unless they hold an Aleutian Islands (Adak) TEC." This change accurately reflects current regulations and requirements. No other changes were made to the collection other than </w:t>
      </w:r>
      <w:r>
        <w:rPr>
          <w:bCs/>
          <w:color w:val="000000" w:themeColor="text1"/>
        </w:rPr>
        <w:t>adjustments</w:t>
      </w:r>
      <w:r w:rsidRPr="00AB42D6">
        <w:rPr>
          <w:bCs/>
          <w:color w:val="000000" w:themeColor="text1"/>
        </w:rPr>
        <w:t xml:space="preserve"> to reflect the most current available data.</w:t>
      </w:r>
      <w:bookmarkEnd w:id="1"/>
    </w:p>
    <w:p w:rsidR="00DD27D1" w:rsidRPr="003122C3" w14:paraId="2EBC503B" w14:textId="7AB247AA">
      <w:pPr>
        <w:spacing w:before="144" w:line="259" w:lineRule="auto"/>
        <w:rPr>
          <w:bCs/>
          <w:color w:val="000000" w:themeColor="text1"/>
        </w:rPr>
      </w:pPr>
      <w:r>
        <w:rPr>
          <w:bCs/>
          <w:color w:val="000000" w:themeColor="text1"/>
        </w:rPr>
        <w:t>This information collection is for applications, permits, and reports that are necessary for NMFS to manage the Community Quota Entity (CQE) Program. NMFS requires this information for fisheries management and to evaluate the ability of a specific CQE to represent an eligible community. Without this collection, the cost of making decisions based on inadequate information would adversely affect the viability of the CQE fishing industry and impact the economic health of the participating communities.</w:t>
      </w:r>
    </w:p>
    <w:p w:rsidR="00050C0C" w14:paraId="6FFF3895" w14:textId="77777777">
      <w:pPr>
        <w:pStyle w:val="Heading1"/>
        <w:spacing w:before="124"/>
        <w:ind w:left="0"/>
      </w:pPr>
      <w:r>
        <w:t>Justification</w:t>
      </w:r>
    </w:p>
    <w:p w:rsidR="00050C0C" w14:paraId="2D2AAA29" w14:textId="77777777">
      <w:pPr>
        <w:numPr>
          <w:ilvl w:val="0"/>
          <w:numId w:val="9"/>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or administrative requirements that necessitate the collection. Attach a copy of the appropriate section of each statute and </w:t>
      </w:r>
      <w:r>
        <w:rPr>
          <w:b/>
          <w:color w:val="000000"/>
        </w:rPr>
        <w:t>regulation mandating or authorizing the collection of information.</w:t>
      </w:r>
    </w:p>
    <w:p w:rsidR="00AB42D6" w:rsidP="00AB42D6" w14:paraId="13F9A8ED" w14:textId="77777777">
      <w:pPr>
        <w:widowControl/>
        <w:rPr>
          <w:rFonts w:eastAsia="Calibri"/>
        </w:rPr>
      </w:pPr>
    </w:p>
    <w:p w:rsidR="00AB42D6" w:rsidP="00AB42D6" w14:paraId="54978B06" w14:textId="3052DE75">
      <w:pPr>
        <w:widowControl/>
        <w:rPr>
          <w:rFonts w:eastAsia="Calibri"/>
        </w:rPr>
      </w:pPr>
      <w:r w:rsidRPr="00800509">
        <w:rPr>
          <w:rFonts w:eastAsia="Calibri"/>
        </w:rPr>
        <w:t xml:space="preserve">This information collection contains applications, permits, and reports required under the CQE Program. </w:t>
      </w:r>
      <w:r w:rsidRPr="00393023">
        <w:rPr>
          <w:rFonts w:eastAsia="Calibri"/>
        </w:rPr>
        <w:t xml:space="preserve">This information collection is necessary for NMFS </w:t>
      </w:r>
      <w:r>
        <w:rPr>
          <w:rFonts w:eastAsia="Calibri"/>
        </w:rPr>
        <w:t>AKR</w:t>
      </w:r>
      <w:r w:rsidRPr="00393023">
        <w:rPr>
          <w:rFonts w:eastAsia="Calibri"/>
        </w:rPr>
        <w:t xml:space="preserve"> to manage the CQE Program.</w:t>
      </w:r>
      <w:r>
        <w:rPr>
          <w:rFonts w:eastAsia="Calibri"/>
        </w:rPr>
        <w:t xml:space="preserve"> </w:t>
      </w:r>
      <w:r w:rsidRPr="00800509">
        <w:rPr>
          <w:rFonts w:eastAsia="Calibri"/>
        </w:rPr>
        <w:t xml:space="preserve">The specific regulations for the instruments in this collection are provided in the table </w:t>
      </w:r>
      <w:r>
        <w:rPr>
          <w:rFonts w:eastAsia="Calibri"/>
        </w:rPr>
        <w:t>at</w:t>
      </w:r>
      <w:r w:rsidRPr="00800509">
        <w:rPr>
          <w:rFonts w:eastAsia="Calibri"/>
        </w:rPr>
        <w:t xml:space="preserve"> question #2 below.</w:t>
      </w:r>
    </w:p>
    <w:p w:rsidR="00AB42D6" w:rsidP="00AB42D6" w14:paraId="54BD4A7B" w14:textId="77777777">
      <w:pPr>
        <w:widowControl/>
        <w:rPr>
          <w:rFonts w:eastAsia="Calibri"/>
        </w:rPr>
      </w:pPr>
    </w:p>
    <w:p w:rsidR="00AB42D6" w:rsidRPr="00800509" w:rsidP="00AB42D6" w14:paraId="7CDF40B3" w14:textId="77777777">
      <w:pPr>
        <w:widowControl/>
        <w:rPr>
          <w:rFonts w:eastAsia="Calibri"/>
        </w:rPr>
      </w:pPr>
      <w:r w:rsidRPr="00800509">
        <w:rPr>
          <w:rFonts w:eastAsia="Calibri"/>
        </w:rPr>
        <w:t xml:space="preserve">Under the </w:t>
      </w:r>
      <w:r w:rsidRPr="007A4C99">
        <w:rPr>
          <w:rFonts w:eastAsia="Calibri"/>
        </w:rPr>
        <w:t>Magnuson-Stevens Fishery Conservation and Management Act</w:t>
      </w:r>
      <w:r>
        <w:rPr>
          <w:rFonts w:eastAsia="Calibri"/>
        </w:rPr>
        <w:t>,</w:t>
      </w:r>
      <w:r w:rsidRPr="007A4C99">
        <w:rPr>
          <w:rFonts w:eastAsia="Calibri"/>
        </w:rPr>
        <w:t xml:space="preserve"> </w:t>
      </w:r>
      <w:r w:rsidRPr="00800509">
        <w:rPr>
          <w:rFonts w:eastAsia="Calibri"/>
        </w:rPr>
        <w:t xml:space="preserve">16 U.S.C. 1801 </w:t>
      </w:r>
      <w:r w:rsidRPr="00800509">
        <w:rPr>
          <w:rFonts w:eastAsia="Calibri"/>
          <w:i/>
        </w:rPr>
        <w:t>et seq</w:t>
      </w:r>
      <w:r w:rsidRPr="00800509">
        <w:rPr>
          <w:rFonts w:eastAsia="Calibri"/>
        </w:rPr>
        <w:t>.</w:t>
      </w:r>
      <w:r>
        <w:rPr>
          <w:rFonts w:eastAsia="Calibri"/>
        </w:rPr>
        <w:t>,</w:t>
      </w:r>
      <w:r w:rsidRPr="00800509">
        <w:rPr>
          <w:rFonts w:eastAsia="Calibri"/>
        </w:rPr>
        <w:t xml:space="preserve"> (Magnuson-Stevens Act), the Secretary of Commerce is responsible for the conservation and management of marine fishery resources within the Exclusive Economic Zone (EEZ) of the United States through the National Oceanic and Atmospheric Administration/NMFS.</w:t>
      </w:r>
      <w:r>
        <w:rPr>
          <w:rStyle w:val="FootnoteReference"/>
          <w:rFonts w:eastAsia="Calibri"/>
        </w:rPr>
        <w:footnoteReference w:id="2"/>
      </w:r>
      <w:r w:rsidRPr="00800509">
        <w:rPr>
          <w:rFonts w:eastAsia="Calibri"/>
        </w:rPr>
        <w:t xml:space="preserve"> NMFS Alaska Region manages the groundfish fisheries in the EEZ of the Bering Sea and Aleutian Islands Management Area (BSAI) and Gulf of Alaska (GOA) under fishery management plans (FMPs) developed by the North Pacific Fishery Management Council (Council) for groundfish in the respective areas.</w:t>
      </w:r>
    </w:p>
    <w:p w:rsidR="00AB42D6" w:rsidRPr="00800509" w:rsidP="00AB42D6" w14:paraId="1BC20213" w14:textId="77777777">
      <w:pPr>
        <w:widowControl/>
        <w:rPr>
          <w:rFonts w:eastAsia="SimSun"/>
        </w:rPr>
      </w:pPr>
    </w:p>
    <w:p w:rsidR="00AB42D6" w:rsidRPr="00800509" w:rsidP="00AB42D6" w14:paraId="7CD64DDE" w14:textId="77777777">
      <w:pPr>
        <w:widowControl/>
        <w:autoSpaceDE w:val="0"/>
        <w:autoSpaceDN w:val="0"/>
        <w:adjustRightInd w:val="0"/>
        <w:rPr>
          <w:rFonts w:eastAsia="SimSun"/>
        </w:rPr>
      </w:pPr>
      <w:r w:rsidRPr="00800509">
        <w:rPr>
          <w:rFonts w:eastAsia="SimSun"/>
        </w:rPr>
        <w:t>The International Pacific Halibut Commission (IPHC) and NMFS Alaska Region manage fishing for Pacific halibut (</w:t>
      </w:r>
      <w:r w:rsidRPr="00800509">
        <w:rPr>
          <w:rFonts w:eastAsia="SimSun"/>
          <w:i/>
        </w:rPr>
        <w:t>Hippoglossus stenolepis</w:t>
      </w:r>
      <w:r w:rsidRPr="00800509">
        <w:rPr>
          <w:rFonts w:eastAsia="SimSun"/>
        </w:rPr>
        <w:t xml:space="preserve">) through regulations established under the authority of the </w:t>
      </w:r>
      <w:r w:rsidRPr="007A4C99">
        <w:rPr>
          <w:rFonts w:eastAsia="Calibri"/>
        </w:rPr>
        <w:t>Northern Pacific Halibut Act of 1982, 16 U.S.C. 773c</w:t>
      </w:r>
      <w:r w:rsidRPr="007A4C99">
        <w:rPr>
          <w:rFonts w:eastAsia="SimSun"/>
        </w:rPr>
        <w:t xml:space="preserve"> </w:t>
      </w:r>
      <w:r w:rsidRPr="00800509">
        <w:rPr>
          <w:rFonts w:eastAsia="SimSun"/>
        </w:rPr>
        <w:t>(Halibut Act).</w:t>
      </w:r>
      <w:r>
        <w:rPr>
          <w:rStyle w:val="FootnoteReference"/>
          <w:rFonts w:eastAsia="SimSun"/>
        </w:rPr>
        <w:footnoteReference w:id="3"/>
      </w:r>
      <w:r w:rsidRPr="00800509">
        <w:rPr>
          <w:rFonts w:eastAsia="SimSun"/>
        </w:rPr>
        <w:t xml:space="preserve"> The IPHC promulgates regulations governing the halibut fishery under the </w:t>
      </w:r>
      <w:r w:rsidRPr="00FB469F">
        <w:rPr>
          <w:rFonts w:eastAsia="Calibri"/>
        </w:rPr>
        <w:t xml:space="preserve">Convention between the United States and Canada for the Preservation of the Halibut Fishery of the Northern Pacific Ocean and Bering Sea </w:t>
      </w:r>
      <w:r w:rsidRPr="00800509">
        <w:rPr>
          <w:rFonts w:eastAsia="SimSun"/>
        </w:rPr>
        <w:t>(Convention).</w:t>
      </w:r>
      <w:r>
        <w:rPr>
          <w:rStyle w:val="FootnoteReference"/>
          <w:rFonts w:eastAsia="SimSun"/>
        </w:rPr>
        <w:footnoteReference w:id="4"/>
      </w:r>
      <w:r w:rsidRPr="00800509">
        <w:rPr>
          <w:rFonts w:eastAsia="SimSun"/>
        </w:rPr>
        <w:t xml:space="preserve"> </w:t>
      </w:r>
    </w:p>
    <w:p w:rsidR="00AB42D6" w:rsidRPr="00800509" w:rsidP="00AB42D6" w14:paraId="44763BFA" w14:textId="77777777">
      <w:pPr>
        <w:widowControl/>
        <w:rPr>
          <w:rFonts w:eastAsia="SimSun"/>
        </w:rPr>
      </w:pPr>
    </w:p>
    <w:p w:rsidR="00AB42D6" w:rsidRPr="00800509" w:rsidP="00AB42D6" w14:paraId="06E7C941" w14:textId="6E3B2548">
      <w:pPr>
        <w:widowControl/>
        <w:rPr>
          <w:rFonts w:eastAsia="SimSun"/>
        </w:rPr>
      </w:pPr>
      <w:r w:rsidRPr="00800509">
        <w:rPr>
          <w:rFonts w:eastAsia="SimSun"/>
        </w:rPr>
        <w:t xml:space="preserve">The CQE Program is a Federal program administered by NMFS. The CQE Program allocates to eligible communities in Alaska a portion of the harvest quotas for groundfish, halibut, crab, and prohibited species. The allocations provide these communities the means for starting or supporting commercial fisheries activities that will result in an ongoing, regionally based, fisheries-related economy. </w:t>
      </w:r>
      <w:r w:rsidRPr="0029343C">
        <w:rPr>
          <w:rFonts w:eastAsia="SimSun"/>
        </w:rPr>
        <w:t xml:space="preserve">This information collection is required in Federal regulations at 50 CFR </w:t>
      </w:r>
      <w:r w:rsidRPr="0092273C" w:rsidR="0092273C">
        <w:t>300 Subpart E</w:t>
      </w:r>
      <w:r>
        <w:rPr>
          <w:rStyle w:val="FootnoteReference"/>
        </w:rPr>
        <w:footnoteReference w:id="5"/>
      </w:r>
      <w:r w:rsidRPr="0029343C">
        <w:rPr>
          <w:rFonts w:eastAsia="SimSun"/>
        </w:rPr>
        <w:t xml:space="preserve"> and </w:t>
      </w:r>
      <w:r w:rsidRPr="0092273C" w:rsidR="0092273C">
        <w:t>part 679</w:t>
      </w:r>
      <w:r>
        <w:rPr>
          <w:rStyle w:val="FootnoteReference"/>
        </w:rPr>
        <w:footnoteReference w:id="6"/>
      </w:r>
      <w:r w:rsidRPr="0029343C">
        <w:rPr>
          <w:rFonts w:eastAsia="SimSun"/>
        </w:rPr>
        <w:t>.</w:t>
      </w:r>
    </w:p>
    <w:p w:rsidR="00AB42D6" w:rsidRPr="00800509" w:rsidP="00AB42D6" w14:paraId="05207784" w14:textId="77777777">
      <w:pPr>
        <w:widowControl/>
        <w:rPr>
          <w:rFonts w:eastAsia="SimSun"/>
        </w:rPr>
      </w:pPr>
    </w:p>
    <w:p w:rsidR="00AB42D6" w:rsidRPr="00800509" w:rsidP="00AB42D6" w14:paraId="4995BF92" w14:textId="77777777">
      <w:pPr>
        <w:widowControl/>
        <w:rPr>
          <w:rFonts w:eastAsia="SimSun"/>
        </w:rPr>
      </w:pPr>
      <w:r w:rsidRPr="00800509">
        <w:rPr>
          <w:rFonts w:eastAsia="SimSun"/>
        </w:rPr>
        <w:t xml:space="preserve">Participating communities are represented by a CQE (community quota entity), which is a NMFS-approved non-profit organization. An eligible community must form a CQE in order to participate in the Federal limited access programs that provide eligible Alaska communities special fishery-related privileges. The </w:t>
      </w:r>
      <w:r>
        <w:rPr>
          <w:rFonts w:eastAsia="SimSun"/>
        </w:rPr>
        <w:t xml:space="preserve">CQE loan program administered by the </w:t>
      </w:r>
      <w:r w:rsidRPr="00DB02F2">
        <w:rPr>
          <w:rFonts w:eastAsia="Arial"/>
        </w:rPr>
        <w:t xml:space="preserve">Alaska Department of </w:t>
      </w:r>
      <w:r>
        <w:rPr>
          <w:rFonts w:eastAsia="Arial"/>
        </w:rPr>
        <w:t xml:space="preserve">Commerce, </w:t>
      </w:r>
      <w:r w:rsidRPr="00DB02F2">
        <w:rPr>
          <w:rFonts w:eastAsia="Arial"/>
        </w:rPr>
        <w:t>Community</w:t>
      </w:r>
      <w:r>
        <w:rPr>
          <w:rFonts w:eastAsia="Arial"/>
        </w:rPr>
        <w:t>,</w:t>
      </w:r>
      <w:r w:rsidRPr="00DB02F2">
        <w:rPr>
          <w:rFonts w:eastAsia="Arial"/>
        </w:rPr>
        <w:t xml:space="preserve"> and Economic Development </w:t>
      </w:r>
      <w:r>
        <w:rPr>
          <w:rFonts w:eastAsia="Arial"/>
        </w:rPr>
        <w:t>a</w:t>
      </w:r>
      <w:r w:rsidRPr="00800509">
        <w:rPr>
          <w:rFonts w:eastAsia="SimSun"/>
        </w:rPr>
        <w:t>ssists communities with funding and forming CQEs to participate on their behalf in certain Federal limited access programs.</w:t>
      </w:r>
      <w:r>
        <w:rPr>
          <w:rStyle w:val="FootnoteReference"/>
          <w:rFonts w:eastAsia="SimSun"/>
        </w:rPr>
        <w:footnoteReference w:id="7"/>
      </w:r>
      <w:r w:rsidRPr="00800509">
        <w:rPr>
          <w:rFonts w:eastAsia="SimSun"/>
        </w:rPr>
        <w:t xml:space="preserve"> </w:t>
      </w:r>
    </w:p>
    <w:p w:rsidR="00AB42D6" w:rsidRPr="00800509" w:rsidP="00AB42D6" w14:paraId="10E31BDC" w14:textId="77777777">
      <w:pPr>
        <w:widowControl/>
        <w:rPr>
          <w:rFonts w:eastAsia="SimSun"/>
        </w:rPr>
      </w:pPr>
    </w:p>
    <w:p w:rsidR="00AB42D6" w:rsidRPr="00800509" w:rsidP="00AB42D6" w14:paraId="73B075E6" w14:textId="77777777">
      <w:pPr>
        <w:keepNext/>
        <w:widowControl/>
        <w:rPr>
          <w:rFonts w:eastAsia="SimSun"/>
        </w:rPr>
      </w:pPr>
      <w:r w:rsidRPr="00800509">
        <w:rPr>
          <w:rFonts w:eastAsia="SimSun"/>
        </w:rPr>
        <w:t xml:space="preserve">The CQE Program allows 45 small, coastal communities in the GOA and one community in the Aleutian Islands to form CQEs. The eligible communities and the community governing body that recommends the CQE are listed in </w:t>
      </w:r>
      <w:r w:rsidRPr="00EF2C97">
        <w:rPr>
          <w:rFonts w:eastAsia="Arial"/>
        </w:rPr>
        <w:t>Table 21 to 50 CFR Part 679</w:t>
      </w:r>
      <w:r w:rsidRPr="00EF2C97">
        <w:rPr>
          <w:rFonts w:eastAsia="SimSun"/>
        </w:rPr>
        <w:t>.</w:t>
      </w:r>
      <w:r>
        <w:rPr>
          <w:rStyle w:val="FootnoteReference"/>
          <w:rFonts w:eastAsia="SimSun"/>
        </w:rPr>
        <w:footnoteReference w:id="8"/>
      </w:r>
    </w:p>
    <w:p w:rsidR="00AB42D6" w:rsidRPr="00800509" w:rsidP="00AB42D6" w14:paraId="53A7F47C" w14:textId="77777777">
      <w:pPr>
        <w:widowControl/>
        <w:tabs>
          <w:tab w:val="left" w:pos="720"/>
        </w:tabs>
        <w:rPr>
          <w:rFonts w:eastAsia="SimSun"/>
        </w:rPr>
      </w:pPr>
    </w:p>
    <w:p w:rsidR="00AB42D6" w:rsidRPr="00AB42D6" w:rsidP="00AB42D6" w14:paraId="43433604" w14:textId="7181CC03">
      <w:pPr>
        <w:widowControl/>
        <w:rPr>
          <w:rFonts w:eastAsia="Arial"/>
        </w:rPr>
      </w:pPr>
      <w:r w:rsidRPr="00800509">
        <w:rPr>
          <w:rFonts w:eastAsia="SimSun"/>
        </w:rPr>
        <w:t xml:space="preserve">Under the Pacific Halibut and Sablefish IFQ Program (IFQ Program), a CQE may purchase commercial halibut and sablefish quota share (QS) for lease to residents of the eligible community. Under the Charter Halibut </w:t>
      </w:r>
      <w:r w:rsidRPr="00800509">
        <w:rPr>
          <w:rFonts w:eastAsia="SimSun"/>
        </w:rPr>
        <w:t>Limited Access Program, a CQE may request community charter halibut permits for use in southeast Alaska and the central Gulf of Alaska by charter vessel operators designated by the CQE. Under the License Limitation Program (LLP), a CQE may request non-trawl groundfish LLP licenses endorsed for Pacific cod in the central or western Gulf of Alaska for use on vessels designated by the CQE. More i</w:t>
      </w:r>
      <w:r w:rsidRPr="00800509">
        <w:rPr>
          <w:rFonts w:eastAsia="Calibri"/>
        </w:rPr>
        <w:t xml:space="preserve">nformation on the CQEs and the CQE Program is provided on the </w:t>
      </w:r>
      <w:r w:rsidRPr="00560326">
        <w:rPr>
          <w:rFonts w:eastAsia="Calibri"/>
        </w:rPr>
        <w:t xml:space="preserve">NMFS Alaska </w:t>
      </w:r>
      <w:r>
        <w:rPr>
          <w:rFonts w:eastAsia="Calibri"/>
        </w:rPr>
        <w:t>Region website</w:t>
      </w:r>
      <w:r w:rsidRPr="00560326">
        <w:rPr>
          <w:rFonts w:eastAsia="Calibri"/>
        </w:rPr>
        <w:t>.</w:t>
      </w:r>
      <w:r>
        <w:rPr>
          <w:rStyle w:val="FootnoteReference"/>
          <w:rFonts w:eastAsia="Calibri"/>
        </w:rPr>
        <w:footnoteReference w:id="9"/>
      </w:r>
    </w:p>
    <w:p w:rsidR="00050C0C" w14:paraId="0C075D87" w14:textId="77777777">
      <w:pPr>
        <w:pStyle w:val="Heading1"/>
        <w:numPr>
          <w:ilvl w:val="0"/>
          <w:numId w:val="9"/>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DC507A" w:rsidP="00DC507A" w14:paraId="14C44D10" w14:textId="77777777">
      <w:pPr>
        <w:widowControl/>
        <w:tabs>
          <w:tab w:val="left" w:pos="360"/>
        </w:tabs>
        <w:outlineLvl w:val="0"/>
        <w:rPr>
          <w:rFonts w:eastAsia="SimSun"/>
          <w:bCs/>
        </w:rPr>
      </w:pPr>
    </w:p>
    <w:p w:rsidR="00DE4FD3" w:rsidRPr="0032195E" w:rsidP="0032195E" w14:paraId="20EF71EC" w14:textId="5B30C89E">
      <w:pPr>
        <w:widowControl/>
        <w:tabs>
          <w:tab w:val="left" w:pos="360"/>
        </w:tabs>
        <w:outlineLvl w:val="0"/>
        <w:rPr>
          <w:rFonts w:eastAsia="SimSun"/>
          <w:bCs/>
        </w:rPr>
        <w:sectPr w:rsidSect="002171BF">
          <w:footerReference w:type="default" r:id="rId7"/>
          <w:pgSz w:w="12240" w:h="15840"/>
          <w:pgMar w:top="1080" w:right="1080" w:bottom="1200" w:left="1080" w:header="0" w:footer="714" w:gutter="0"/>
          <w:pgNumType w:start="1"/>
          <w:cols w:space="720"/>
        </w:sectPr>
      </w:pPr>
      <w:r w:rsidRPr="003A0D67">
        <w:rPr>
          <w:rFonts w:eastAsia="SimSun"/>
          <w:bCs/>
        </w:rPr>
        <w:t xml:space="preserve">This information is </w:t>
      </w:r>
      <w:r w:rsidRPr="003A0D67">
        <w:rPr>
          <w:rFonts w:eastAsia="SimSun"/>
          <w:bCs/>
        </w:rPr>
        <w:t>collected from CQE</w:t>
      </w:r>
      <w:r w:rsidRPr="003A0D67" w:rsidR="0032195E">
        <w:rPr>
          <w:rFonts w:eastAsia="SimSun"/>
          <w:bCs/>
        </w:rPr>
        <w:t xml:space="preserve"> representatives and eligible community residents and is used by NMFS. NMFS requires this information for fisheries management and to evaluate the ability of a specific CQE to represent an eligible community. NMFS uses the information collected to establish eligibility of the CQEs; review each CQE’s business operations and fishing activity; monitor participation of the eligible communities in the CQE Program and associated limited access programs; and gather information on distribution and use among these communities of LLP groundfish licenses, </w:t>
      </w:r>
      <w:r w:rsidRPr="003A0D67" w:rsidR="0032195E">
        <w:rPr>
          <w:rFonts w:eastAsia="SimSun"/>
          <w:bCs/>
        </w:rPr>
        <w:t>charter halibut permits, and halibut and sablefish QS and IFQ. These uses will continue.</w:t>
      </w:r>
      <w:r w:rsidRPr="003A0D67" w:rsidR="003A0D67">
        <w:rPr>
          <w:bCs/>
        </w:rPr>
        <w:t xml:space="preserve"> </w:t>
      </w:r>
      <w:r w:rsidRPr="003A0D67" w:rsidR="003A0D67">
        <w:rPr>
          <w:rFonts w:eastAsia="SimSun"/>
          <w:bCs/>
        </w:rPr>
        <w:t xml:space="preserve">The information collected is reported information and is submitted through multiple accepted methods, including mail, delivery, fax, </w:t>
      </w:r>
      <w:r w:rsidR="00A848E3">
        <w:rPr>
          <w:rFonts w:eastAsia="SimSun"/>
          <w:bCs/>
        </w:rPr>
        <w:t xml:space="preserve">and email, </w:t>
      </w:r>
      <w:r w:rsidRPr="003A0D67" w:rsidR="003A0D67">
        <w:rPr>
          <w:rFonts w:eastAsia="SimSun"/>
          <w:bCs/>
        </w:rPr>
        <w:t>with all required forms available as fillable PDFs.</w:t>
      </w:r>
      <w:r w:rsidRPr="003A0D67" w:rsidR="003A0D67">
        <w:t xml:space="preserve"> </w:t>
      </w:r>
      <w:r w:rsidRPr="003A0D67" w:rsidR="003A0D67">
        <w:rPr>
          <w:rFonts w:eastAsia="SimSun"/>
          <w:bCs/>
        </w:rPr>
        <w:t>As an ongoing collection, the requirements have not changed substantially since the last renewal, involving only minor technical updates to forms for clarity and accuracy, as noted in the Abstract.</w:t>
      </w:r>
      <w:r w:rsidR="003A0D67">
        <w:rPr>
          <w:rFonts w:eastAsia="SimSun"/>
          <w:bCs/>
        </w:rPr>
        <w:t xml:space="preserve"> </w:t>
      </w:r>
      <w:r w:rsidRPr="002802FC" w:rsidR="00184FB4">
        <w:rPr>
          <w:rFonts w:eastAsia="SimSun"/>
          <w:bCs/>
        </w:rPr>
        <w:t>Information on the requirements in this information collection is summarized in the table below</w:t>
      </w:r>
      <w:r w:rsidR="00184FB4">
        <w:rPr>
          <w:rFonts w:eastAsia="SimSun"/>
          <w:bCs/>
        </w:rPr>
        <w:t>.</w:t>
      </w:r>
      <w:r w:rsidRPr="002802FC" w:rsidR="00184FB4">
        <w:rPr>
          <w:rFonts w:eastAsia="SimSun"/>
          <w:bCs/>
        </w:rPr>
        <w:t xml:space="preserve"> </w:t>
      </w:r>
    </w:p>
    <w:p w:rsidR="00050C0C" w:rsidP="00DC507A" w14:paraId="4FB727E8" w14:textId="4160281B">
      <w:pPr>
        <w:pBdr>
          <w:top w:val="nil"/>
          <w:left w:val="nil"/>
          <w:bottom w:val="nil"/>
          <w:right w:val="nil"/>
          <w:between w:val="nil"/>
        </w:pBdr>
        <w:tabs>
          <w:tab w:val="left" w:pos="360"/>
        </w:tabs>
        <w:spacing w:before="199"/>
        <w:rPr>
          <w:b/>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080"/>
        <w:gridCol w:w="1687"/>
        <w:gridCol w:w="1553"/>
        <w:gridCol w:w="810"/>
        <w:gridCol w:w="1080"/>
        <w:gridCol w:w="1980"/>
        <w:gridCol w:w="4590"/>
      </w:tblGrid>
      <w:tr w14:paraId="698D0BF9" w14:textId="77777777" w:rsidTr="00A62B97">
        <w:tblPrEx>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4"/>
          <w:jc w:val="center"/>
        </w:trPr>
        <w:tc>
          <w:tcPr>
            <w:tcW w:w="134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5E0AE2AB" w14:textId="77777777">
            <w:pPr>
              <w:widowControl/>
              <w:jc w:val="center"/>
              <w:rPr>
                <w:rFonts w:ascii="Calibri" w:eastAsia="Calibri" w:hAnsi="Calibri"/>
                <w:b/>
                <w:sz w:val="18"/>
                <w:szCs w:val="18"/>
              </w:rPr>
            </w:pPr>
            <w:r w:rsidRPr="00D66F31">
              <w:rPr>
                <w:rFonts w:ascii="Calibri" w:eastAsia="Calibri" w:hAnsi="Calibri"/>
                <w:b/>
                <w:sz w:val="18"/>
                <w:szCs w:val="18"/>
              </w:rPr>
              <w:t>Limited Access Program</w:t>
            </w:r>
          </w:p>
        </w:tc>
        <w:tc>
          <w:tcPr>
            <w:tcW w:w="108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62A6A3C5" w14:textId="77777777">
            <w:pPr>
              <w:widowControl/>
              <w:jc w:val="center"/>
              <w:rPr>
                <w:rFonts w:ascii="Calibri" w:eastAsia="Calibri" w:hAnsi="Calibri"/>
                <w:b/>
                <w:sz w:val="18"/>
                <w:szCs w:val="18"/>
              </w:rPr>
            </w:pPr>
            <w:r w:rsidRPr="00D66F31">
              <w:rPr>
                <w:rFonts w:ascii="Calibri" w:eastAsia="Calibri" w:hAnsi="Calibri"/>
                <w:b/>
                <w:sz w:val="18"/>
                <w:szCs w:val="18"/>
              </w:rPr>
              <w:t>Regulation</w:t>
            </w:r>
          </w:p>
          <w:p w:rsidR="00A62B97" w:rsidRPr="00D66F31" w:rsidP="00484FD1" w14:paraId="2DE59AC1" w14:textId="77777777">
            <w:pPr>
              <w:widowControl/>
              <w:jc w:val="center"/>
              <w:rPr>
                <w:rFonts w:ascii="Calibri" w:eastAsia="Calibri" w:hAnsi="Calibri"/>
                <w:b/>
                <w:sz w:val="18"/>
                <w:szCs w:val="18"/>
              </w:rPr>
            </w:pPr>
            <w:r w:rsidRPr="00D66F31">
              <w:rPr>
                <w:rFonts w:ascii="Calibri" w:eastAsia="Calibri" w:hAnsi="Calibri"/>
                <w:b/>
                <w:sz w:val="18"/>
                <w:szCs w:val="18"/>
              </w:rPr>
              <w:t>50 CFR</w:t>
            </w:r>
          </w:p>
        </w:tc>
        <w:tc>
          <w:tcPr>
            <w:tcW w:w="1687" w:type="dxa"/>
            <w:tcBorders>
              <w:top w:val="single" w:sz="4" w:space="0" w:color="auto"/>
              <w:left w:val="single" w:sz="4" w:space="0" w:color="auto"/>
              <w:bottom w:val="single" w:sz="4" w:space="0" w:color="auto"/>
              <w:right w:val="single" w:sz="4" w:space="0" w:color="auto"/>
            </w:tcBorders>
            <w:shd w:val="clear" w:color="auto" w:fill="DBE5F1"/>
            <w:vAlign w:val="center"/>
          </w:tcPr>
          <w:p w:rsidR="00A62B97" w:rsidRPr="00D66F31" w:rsidP="00484FD1" w14:paraId="5C6E9DF3" w14:textId="77777777">
            <w:pPr>
              <w:widowControl/>
              <w:jc w:val="center"/>
              <w:rPr>
                <w:rFonts w:ascii="Calibri" w:eastAsia="Calibri" w:hAnsi="Calibri"/>
                <w:b/>
                <w:sz w:val="18"/>
                <w:szCs w:val="18"/>
              </w:rPr>
            </w:pPr>
            <w:r w:rsidRPr="00D66F31">
              <w:rPr>
                <w:rFonts w:ascii="Calibri" w:eastAsia="Calibri" w:hAnsi="Calibri"/>
                <w:b/>
                <w:sz w:val="18"/>
                <w:szCs w:val="18"/>
              </w:rPr>
              <w:t>URLs for regulations</w:t>
            </w:r>
          </w:p>
        </w:tc>
        <w:tc>
          <w:tcPr>
            <w:tcW w:w="155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1AAE6A31" w14:textId="77777777">
            <w:pPr>
              <w:widowControl/>
              <w:jc w:val="center"/>
              <w:rPr>
                <w:rFonts w:ascii="Calibri" w:eastAsia="Calibri" w:hAnsi="Calibri"/>
                <w:b/>
                <w:sz w:val="18"/>
                <w:szCs w:val="18"/>
              </w:rPr>
            </w:pPr>
            <w:r>
              <w:rPr>
                <w:rFonts w:ascii="Calibri" w:eastAsia="Calibri" w:hAnsi="Calibri"/>
                <w:b/>
                <w:sz w:val="18"/>
                <w:szCs w:val="18"/>
              </w:rPr>
              <w:t>Who the information is collected from</w:t>
            </w:r>
          </w:p>
        </w:tc>
        <w:tc>
          <w:tcPr>
            <w:tcW w:w="81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302C9765" w14:textId="77777777">
            <w:pPr>
              <w:widowControl/>
              <w:jc w:val="center"/>
              <w:rPr>
                <w:rFonts w:ascii="Calibri" w:eastAsia="Calibri" w:hAnsi="Calibri"/>
                <w:b/>
                <w:sz w:val="18"/>
                <w:szCs w:val="18"/>
              </w:rPr>
            </w:pPr>
            <w:r w:rsidRPr="00D66F31">
              <w:rPr>
                <w:rFonts w:ascii="Calibri" w:eastAsia="Calibri" w:hAnsi="Calibri"/>
                <w:b/>
                <w:sz w:val="18"/>
                <w:szCs w:val="18"/>
              </w:rPr>
              <w:t>Form?</w:t>
            </w:r>
            <w:r w:rsidRPr="00D66F31">
              <w:rPr>
                <w:rFonts w:ascii="Calibri" w:eastAsia="Calibri" w:hAnsi="Calibri"/>
                <w:b/>
                <w:sz w:val="18"/>
                <w:szCs w:val="18"/>
                <w:vertAlign w:val="superscript"/>
              </w:rPr>
              <w:t>1</w:t>
            </w:r>
          </w:p>
        </w:tc>
        <w:tc>
          <w:tcPr>
            <w:tcW w:w="108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39B8BD02" w14:textId="77777777">
            <w:pPr>
              <w:widowControl/>
              <w:jc w:val="center"/>
              <w:rPr>
                <w:rFonts w:ascii="Calibri" w:eastAsia="Calibri" w:hAnsi="Calibri"/>
                <w:b/>
                <w:sz w:val="18"/>
                <w:szCs w:val="18"/>
              </w:rPr>
            </w:pPr>
            <w:r w:rsidRPr="00D66F31">
              <w:rPr>
                <w:rFonts w:ascii="Calibri" w:eastAsia="Calibri" w:hAnsi="Calibri"/>
                <w:b/>
                <w:sz w:val="18"/>
                <w:szCs w:val="18"/>
              </w:rPr>
              <w:t xml:space="preserve">Submission </w:t>
            </w:r>
            <w:r w:rsidRPr="00D66F31">
              <w:rPr>
                <w:rFonts w:ascii="Calibri" w:eastAsia="Calibri" w:hAnsi="Calibri"/>
                <w:b/>
                <w:sz w:val="18"/>
                <w:szCs w:val="18"/>
              </w:rPr>
              <w:t>Method</w:t>
            </w:r>
            <w:r w:rsidRPr="00D66F31">
              <w:rPr>
                <w:rFonts w:ascii="Calibri" w:eastAsia="Calibri" w:hAnsi="Calibri"/>
                <w:b/>
                <w:sz w:val="18"/>
                <w:szCs w:val="18"/>
                <w:vertAlign w:val="superscript"/>
              </w:rPr>
              <w:t>2</w:t>
            </w:r>
          </w:p>
        </w:tc>
        <w:tc>
          <w:tcPr>
            <w:tcW w:w="198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62B97" w:rsidRPr="00D66F31" w:rsidP="00484FD1" w14:paraId="7F37BBDB" w14:textId="77777777">
            <w:pPr>
              <w:widowControl/>
              <w:jc w:val="center"/>
              <w:rPr>
                <w:rFonts w:ascii="Calibri" w:eastAsia="Calibri" w:hAnsi="Calibri"/>
                <w:b/>
                <w:sz w:val="18"/>
                <w:szCs w:val="18"/>
              </w:rPr>
            </w:pPr>
            <w:r>
              <w:rPr>
                <w:rFonts w:ascii="Calibri" w:eastAsia="Calibri" w:hAnsi="Calibri"/>
                <w:b/>
                <w:sz w:val="18"/>
                <w:szCs w:val="18"/>
              </w:rPr>
              <w:t>Frequency of collection</w:t>
            </w:r>
          </w:p>
        </w:tc>
        <w:tc>
          <w:tcPr>
            <w:tcW w:w="4590" w:type="dxa"/>
            <w:tcBorders>
              <w:top w:val="single" w:sz="4" w:space="0" w:color="auto"/>
              <w:left w:val="single" w:sz="4" w:space="0" w:color="auto"/>
              <w:bottom w:val="single" w:sz="4" w:space="0" w:color="auto"/>
              <w:right w:val="single" w:sz="4" w:space="0" w:color="auto"/>
            </w:tcBorders>
            <w:shd w:val="clear" w:color="auto" w:fill="DBE5F1"/>
            <w:vAlign w:val="center"/>
          </w:tcPr>
          <w:p w:rsidR="00A62B97" w:rsidRPr="00D66F31" w:rsidP="00484FD1" w14:paraId="182EC15D" w14:textId="77777777">
            <w:pPr>
              <w:widowControl/>
              <w:jc w:val="center"/>
              <w:rPr>
                <w:rFonts w:ascii="Calibri" w:eastAsia="Calibri" w:hAnsi="Calibri"/>
                <w:b/>
                <w:sz w:val="18"/>
                <w:szCs w:val="18"/>
              </w:rPr>
            </w:pPr>
            <w:r w:rsidRPr="00D66F31">
              <w:rPr>
                <w:rFonts w:ascii="Calibri" w:eastAsia="Calibri" w:hAnsi="Calibri"/>
                <w:b/>
                <w:sz w:val="18"/>
                <w:szCs w:val="18"/>
              </w:rPr>
              <w:t>Needs and Uses</w:t>
            </w:r>
          </w:p>
        </w:tc>
      </w:tr>
      <w:tr w14:paraId="67908C27" w14:textId="77777777" w:rsidTr="00484FD1">
        <w:tblPrEx>
          <w:tblW w:w="14125" w:type="dxa"/>
          <w:jc w:val="center"/>
          <w:tblLayout w:type="fixed"/>
          <w:tblLook w:val="04A0"/>
        </w:tblPrEx>
        <w:trPr>
          <w:trHeight w:val="313"/>
          <w:jc w:val="center"/>
        </w:trPr>
        <w:tc>
          <w:tcPr>
            <w:tcW w:w="1345" w:type="dxa"/>
            <w:tcBorders>
              <w:top w:val="single" w:sz="4" w:space="0" w:color="auto"/>
              <w:left w:val="single" w:sz="4" w:space="0" w:color="auto"/>
              <w:bottom w:val="single" w:sz="4" w:space="0" w:color="auto"/>
              <w:right w:val="nil"/>
            </w:tcBorders>
            <w:shd w:val="clear" w:color="auto" w:fill="FDEADA" w:themeFill="accent6" w:themeFillTint="33"/>
            <w:vAlign w:val="center"/>
            <w:hideMark/>
          </w:tcPr>
          <w:p w:rsidR="00DC507A" w:rsidRPr="009713F1" w:rsidP="00484FD1" w14:paraId="631142EB" w14:textId="77777777">
            <w:pPr>
              <w:widowControl/>
              <w:rPr>
                <w:rFonts w:ascii="Calibri" w:eastAsia="Calibri" w:hAnsi="Calibri"/>
                <w:b/>
                <w:sz w:val="18"/>
                <w:szCs w:val="18"/>
              </w:rPr>
            </w:pPr>
            <w:r w:rsidRPr="009713F1">
              <w:rPr>
                <w:rFonts w:ascii="Calibri" w:eastAsia="Calibri" w:hAnsi="Calibri"/>
                <w:b/>
                <w:sz w:val="18"/>
                <w:szCs w:val="18"/>
              </w:rPr>
              <w:t>All CQEs</w:t>
            </w:r>
          </w:p>
        </w:tc>
        <w:tc>
          <w:tcPr>
            <w:tcW w:w="12780" w:type="dxa"/>
            <w:gridSpan w:val="7"/>
            <w:tcBorders>
              <w:top w:val="single" w:sz="4" w:space="0" w:color="auto"/>
              <w:left w:val="nil"/>
              <w:bottom w:val="single" w:sz="4" w:space="0" w:color="auto"/>
              <w:right w:val="single" w:sz="4" w:space="0" w:color="auto"/>
            </w:tcBorders>
            <w:shd w:val="clear" w:color="auto" w:fill="FDEADA" w:themeFill="accent6" w:themeFillTint="33"/>
            <w:vAlign w:val="center"/>
          </w:tcPr>
          <w:p w:rsidR="00DC507A" w:rsidRPr="009713F1" w:rsidP="00484FD1" w14:paraId="28412E0E" w14:textId="77777777">
            <w:pPr>
              <w:widowControl/>
              <w:jc w:val="center"/>
              <w:rPr>
                <w:rFonts w:ascii="Calibri" w:eastAsia="Calibri" w:hAnsi="Calibri"/>
                <w:sz w:val="18"/>
                <w:szCs w:val="18"/>
              </w:rPr>
            </w:pPr>
          </w:p>
        </w:tc>
      </w:tr>
      <w:tr w14:paraId="3FCE1646"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F5D8F6F" w14:textId="77777777">
            <w:pPr>
              <w:widowControl/>
              <w:rPr>
                <w:rFonts w:ascii="Calibri" w:eastAsia="Calibri" w:hAnsi="Calibri"/>
                <w:sz w:val="18"/>
                <w:szCs w:val="18"/>
              </w:rPr>
            </w:pPr>
            <w:r w:rsidRPr="009713F1">
              <w:rPr>
                <w:rFonts w:ascii="Calibri" w:eastAsia="Calibri" w:hAnsi="Calibri"/>
                <w:sz w:val="18"/>
                <w:szCs w:val="18"/>
              </w:rPr>
              <w:t xml:space="preserve">Application for Nonprofit Corporation to be Designated as a CQE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335451F1" w14:textId="77777777">
            <w:pPr>
              <w:widowControl/>
              <w:rPr>
                <w:rFonts w:ascii="Calibri" w:eastAsia="Calibri" w:hAnsi="Calibri"/>
                <w:sz w:val="18"/>
                <w:szCs w:val="18"/>
              </w:rPr>
            </w:pPr>
            <w:r w:rsidRPr="009713F1">
              <w:rPr>
                <w:rFonts w:ascii="Calibri" w:eastAsia="Calibri" w:hAnsi="Calibri"/>
                <w:sz w:val="18"/>
                <w:szCs w:val="18"/>
              </w:rPr>
              <w:t>679.41(l)(3)</w:t>
            </w:r>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44D8625E" w14:textId="77777777">
            <w:pPr>
              <w:widowControl/>
              <w:rPr>
                <w:rFonts w:ascii="Calibri" w:eastAsia="Calibri" w:hAnsi="Calibri"/>
                <w:sz w:val="18"/>
                <w:szCs w:val="18"/>
              </w:rPr>
            </w:pPr>
            <w:hyperlink r:id="rId8" w:history="1">
              <w:r w:rsidRPr="009713F1">
                <w:rPr>
                  <w:rStyle w:val="Hyperlink"/>
                  <w:rFonts w:ascii="Calibri" w:eastAsia="Calibri" w:hAnsi="Calibri"/>
                  <w:sz w:val="18"/>
                  <w:szCs w:val="18"/>
                </w:rPr>
                <w:t>https://www.ecfr.gov/current/title-50/part-679/section-679.41#p-679.41(l)(3)</w:t>
              </w:r>
            </w:hyperlink>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3C42857E" w14:textId="77777777">
            <w:pPr>
              <w:widowControl/>
              <w:rPr>
                <w:rFonts w:ascii="Calibri" w:eastAsia="Calibri" w:hAnsi="Calibri"/>
                <w:sz w:val="18"/>
                <w:szCs w:val="18"/>
              </w:rPr>
            </w:pPr>
            <w:r>
              <w:rPr>
                <w:rFonts w:ascii="Calibri" w:eastAsia="Calibri" w:hAnsi="Calibri"/>
                <w:sz w:val="18"/>
                <w:szCs w:val="18"/>
              </w:rPr>
              <w:t>Representative of non</w:t>
            </w:r>
            <w:r w:rsidRPr="009713F1">
              <w:rPr>
                <w:rFonts w:ascii="Calibri" w:eastAsia="Calibri" w:hAnsi="Calibri"/>
                <w:sz w:val="18"/>
                <w:szCs w:val="18"/>
              </w:rPr>
              <w:t>profit entity seeking to become a CQE</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F080857"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234DC14" w14:textId="12636A83">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0EBC960" w14:textId="77777777">
            <w:pPr>
              <w:widowControl/>
              <w:rPr>
                <w:rFonts w:ascii="Calibri" w:eastAsia="Calibri" w:hAnsi="Calibri"/>
                <w:sz w:val="18"/>
                <w:szCs w:val="18"/>
              </w:rPr>
            </w:pPr>
            <w:r w:rsidRPr="009713F1">
              <w:rPr>
                <w:rFonts w:ascii="Calibri" w:eastAsia="Calibri" w:hAnsi="Calibri"/>
                <w:sz w:val="18"/>
                <w:szCs w:val="18"/>
              </w:rPr>
              <w:t>Once</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0099471D" w14:textId="68F063BE">
            <w:pPr>
              <w:widowControl/>
              <w:rPr>
                <w:rFonts w:ascii="Calibri" w:eastAsia="Calibri" w:hAnsi="Calibri"/>
                <w:sz w:val="18"/>
                <w:szCs w:val="18"/>
              </w:rPr>
            </w:pPr>
            <w:r>
              <w:rPr>
                <w:rFonts w:ascii="Calibri" w:eastAsia="Calibri" w:hAnsi="Calibri"/>
                <w:sz w:val="18"/>
                <w:szCs w:val="18"/>
              </w:rPr>
              <w:t>Used by a</w:t>
            </w:r>
            <w:r w:rsidRPr="00EA11E5">
              <w:rPr>
                <w:rFonts w:ascii="Calibri" w:eastAsia="Calibri" w:hAnsi="Calibri"/>
                <w:sz w:val="18"/>
                <w:szCs w:val="18"/>
              </w:rPr>
              <w:t xml:space="preserve"> nonprofit entity </w:t>
            </w:r>
            <w:r>
              <w:rPr>
                <w:rFonts w:ascii="Calibri" w:eastAsia="Calibri" w:hAnsi="Calibri"/>
                <w:sz w:val="18"/>
                <w:szCs w:val="18"/>
              </w:rPr>
              <w:t xml:space="preserve">to apply to </w:t>
            </w:r>
            <w:r w:rsidRPr="00EA11E5">
              <w:rPr>
                <w:rFonts w:ascii="Calibri" w:eastAsia="Calibri" w:hAnsi="Calibri"/>
                <w:sz w:val="18"/>
                <w:szCs w:val="18"/>
              </w:rPr>
              <w:t>represent an eligible community as a CQE</w:t>
            </w:r>
            <w:r>
              <w:rPr>
                <w:rFonts w:ascii="Calibri" w:eastAsia="Calibri" w:hAnsi="Calibri"/>
                <w:sz w:val="18"/>
                <w:szCs w:val="18"/>
              </w:rPr>
              <w:t>.</w:t>
            </w:r>
          </w:p>
          <w:p w:rsidR="00A62B97" w:rsidP="00484FD1" w14:paraId="692F54CD" w14:textId="77777777">
            <w:pPr>
              <w:widowControl/>
              <w:rPr>
                <w:rFonts w:ascii="Calibri" w:eastAsia="Calibri" w:hAnsi="Calibri"/>
                <w:sz w:val="18"/>
                <w:szCs w:val="18"/>
              </w:rPr>
            </w:pPr>
          </w:p>
          <w:p w:rsidR="00A62B97" w:rsidP="00484FD1" w14:paraId="61C0B3BC" w14:textId="77777777">
            <w:pPr>
              <w:widowControl/>
              <w:rPr>
                <w:rFonts w:ascii="Calibri" w:eastAsia="Calibri" w:hAnsi="Calibri"/>
                <w:sz w:val="18"/>
                <w:szCs w:val="18"/>
              </w:rPr>
            </w:pPr>
            <w:r w:rsidRPr="00BC0995">
              <w:rPr>
                <w:rFonts w:ascii="Calibri" w:eastAsia="Calibri" w:hAnsi="Calibri"/>
                <w:sz w:val="18"/>
                <w:szCs w:val="18"/>
              </w:rPr>
              <w:t xml:space="preserve">Used by NMFS </w:t>
            </w:r>
            <w:r>
              <w:rPr>
                <w:rFonts w:ascii="Calibri" w:eastAsia="Calibri" w:hAnsi="Calibri"/>
                <w:sz w:val="18"/>
                <w:szCs w:val="18"/>
              </w:rPr>
              <w:t xml:space="preserve">to </w:t>
            </w:r>
            <w:r w:rsidRPr="00BC0995">
              <w:rPr>
                <w:rFonts w:ascii="Calibri" w:eastAsia="Calibri" w:hAnsi="Calibri"/>
                <w:sz w:val="18"/>
                <w:szCs w:val="18"/>
              </w:rPr>
              <w:t>determine</w:t>
            </w:r>
            <w:r>
              <w:rPr>
                <w:rFonts w:ascii="Calibri" w:eastAsia="Calibri" w:hAnsi="Calibri"/>
                <w:sz w:val="18"/>
                <w:szCs w:val="18"/>
              </w:rPr>
              <w:t xml:space="preserve"> eligibility of an entity to be designated as a CQE.</w:t>
            </w:r>
          </w:p>
          <w:p w:rsidR="00A62B97" w:rsidP="00484FD1" w14:paraId="26081312" w14:textId="77777777">
            <w:pPr>
              <w:widowControl/>
              <w:rPr>
                <w:rFonts w:ascii="Calibri" w:eastAsia="Calibri" w:hAnsi="Calibri"/>
                <w:sz w:val="18"/>
                <w:szCs w:val="18"/>
              </w:rPr>
            </w:pPr>
          </w:p>
          <w:p w:rsidR="00A62B97" w:rsidRPr="009713F1" w:rsidP="00484FD1" w14:paraId="1349D1D8" w14:textId="1ED06E6F">
            <w:pPr>
              <w:widowControl/>
              <w:rPr>
                <w:rFonts w:ascii="Calibri" w:eastAsia="Calibri" w:hAnsi="Calibri"/>
                <w:sz w:val="18"/>
                <w:szCs w:val="18"/>
              </w:rPr>
            </w:pPr>
            <w:r w:rsidRPr="00EA11E5">
              <w:rPr>
                <w:rFonts w:ascii="Calibri" w:eastAsia="Calibri" w:hAnsi="Calibri"/>
                <w:sz w:val="18"/>
                <w:szCs w:val="18"/>
              </w:rPr>
              <w:t xml:space="preserve">NMFS provides a copy of the complete application to the Alaska Department of </w:t>
            </w:r>
            <w:r>
              <w:rPr>
                <w:rFonts w:ascii="Calibri" w:eastAsia="Calibri" w:hAnsi="Calibri"/>
                <w:sz w:val="18"/>
                <w:szCs w:val="18"/>
              </w:rPr>
              <w:t xml:space="preserve">Commerce, </w:t>
            </w:r>
            <w:r w:rsidRPr="00EA11E5">
              <w:rPr>
                <w:rFonts w:ascii="Calibri" w:eastAsia="Calibri" w:hAnsi="Calibri"/>
                <w:sz w:val="18"/>
                <w:szCs w:val="18"/>
              </w:rPr>
              <w:t>Community</w:t>
            </w:r>
            <w:r>
              <w:rPr>
                <w:rFonts w:ascii="Calibri" w:eastAsia="Calibri" w:hAnsi="Calibri"/>
                <w:sz w:val="18"/>
                <w:szCs w:val="18"/>
              </w:rPr>
              <w:t>,</w:t>
            </w:r>
            <w:r w:rsidRPr="00EA11E5">
              <w:rPr>
                <w:rFonts w:ascii="Calibri" w:eastAsia="Calibri" w:hAnsi="Calibri"/>
                <w:sz w:val="18"/>
                <w:szCs w:val="18"/>
              </w:rPr>
              <w:t xml:space="preserve"> and Economic Development and considers comments received from it</w:t>
            </w:r>
          </w:p>
        </w:tc>
      </w:tr>
      <w:tr w14:paraId="4C1F2E18"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03964D1" w14:textId="77777777">
            <w:pPr>
              <w:widowControl/>
              <w:rPr>
                <w:rFonts w:ascii="Calibri" w:eastAsia="Calibri" w:hAnsi="Calibri"/>
                <w:sz w:val="18"/>
                <w:szCs w:val="18"/>
              </w:rPr>
            </w:pPr>
            <w:r w:rsidRPr="009713F1">
              <w:rPr>
                <w:rFonts w:ascii="Calibri" w:eastAsia="Calibri" w:hAnsi="Calibri"/>
                <w:sz w:val="18"/>
                <w:szCs w:val="18"/>
              </w:rPr>
              <w:t>CQE Annual Report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14DD7EF2" w14:textId="77777777">
            <w:pPr>
              <w:widowControl/>
              <w:rPr>
                <w:rFonts w:ascii="Calibri" w:eastAsia="Calibri" w:hAnsi="Calibri"/>
                <w:sz w:val="18"/>
                <w:szCs w:val="18"/>
              </w:rPr>
            </w:pPr>
            <w:r w:rsidRPr="009713F1">
              <w:rPr>
                <w:rFonts w:ascii="Calibri" w:eastAsia="Calibri" w:hAnsi="Calibri"/>
                <w:sz w:val="18"/>
                <w:szCs w:val="18"/>
              </w:rPr>
              <w:t>679.5(t)</w:t>
            </w:r>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105BB54D" w14:textId="77777777">
            <w:pPr>
              <w:widowControl/>
              <w:rPr>
                <w:rFonts w:ascii="Calibri" w:eastAsia="Calibri" w:hAnsi="Calibri"/>
                <w:sz w:val="18"/>
                <w:szCs w:val="18"/>
              </w:rPr>
            </w:pPr>
            <w:hyperlink r:id="rId9" w:anchor="p-679.5(t)" w:history="1">
              <w:r w:rsidRPr="009713F1">
                <w:rPr>
                  <w:rStyle w:val="Hyperlink"/>
                  <w:rFonts w:ascii="Calibri" w:eastAsia="Calibri" w:hAnsi="Calibri"/>
                  <w:sz w:val="18"/>
                  <w:szCs w:val="18"/>
                </w:rPr>
                <w:t>https://www.ecfr.gov/current/title-50/chapter-VI/part-679/subpart-A/section-679.5#p-679.5(t)</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94704F8" w14:textId="3C541E75">
            <w:pPr>
              <w:widowControl/>
              <w:rPr>
                <w:rFonts w:ascii="Calibri" w:eastAsia="Calibri" w:hAnsi="Calibri"/>
                <w:sz w:val="18"/>
                <w:szCs w:val="18"/>
              </w:rPr>
            </w:pPr>
            <w:r w:rsidRPr="009713F1">
              <w:rPr>
                <w:rFonts w:ascii="Calibri" w:eastAsia="Calibri" w:hAnsi="Calibri"/>
                <w:sz w:val="18"/>
                <w:szCs w:val="18"/>
              </w:rPr>
              <w:t>CQE</w:t>
            </w:r>
            <w:r>
              <w:rPr>
                <w:rFonts w:ascii="Calibri" w:eastAsia="Calibri" w:hAnsi="Calibri"/>
                <w:sz w:val="18"/>
                <w:szCs w:val="18"/>
              </w:rPr>
              <w:t xml:space="preserve"> </w:t>
            </w:r>
            <w:r w:rsidRPr="009713F1">
              <w:rPr>
                <w:rFonts w:ascii="Calibri" w:eastAsia="Calibri" w:hAnsi="Calibri"/>
                <w:sz w:val="18"/>
                <w:szCs w:val="18"/>
              </w:rPr>
              <w:t>representative</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4966833" w14:textId="77777777">
            <w:pPr>
              <w:widowControl/>
              <w:rPr>
                <w:rFonts w:ascii="Calibri" w:eastAsia="Calibri" w:hAnsi="Calibri"/>
                <w:sz w:val="18"/>
                <w:szCs w:val="18"/>
              </w:rPr>
            </w:pPr>
            <w:r w:rsidRPr="009713F1">
              <w:rPr>
                <w:rFonts w:ascii="Calibri" w:eastAsia="Calibri" w:hAnsi="Calibri"/>
                <w:sz w:val="18"/>
                <w:szCs w:val="18"/>
              </w:rPr>
              <w:t>N</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392838A8" w14:textId="391C6BE1">
            <w:pPr>
              <w:widowControl/>
              <w:rPr>
                <w:rFonts w:ascii="Calibri" w:eastAsia="Calibri" w:hAnsi="Calibri"/>
                <w:sz w:val="18"/>
                <w:szCs w:val="18"/>
              </w:rPr>
            </w:pPr>
            <w:r w:rsidRPr="009713F1">
              <w:rPr>
                <w:rFonts w:ascii="Calibri" w:eastAsia="Calibri" w:hAnsi="Calibri"/>
                <w:sz w:val="18"/>
                <w:szCs w:val="18"/>
              </w:rPr>
              <w:t>mail</w:t>
            </w:r>
            <w:r>
              <w:rPr>
                <w:rFonts w:ascii="Calibri" w:eastAsia="Calibri" w:hAnsi="Calibri"/>
                <w:sz w:val="18"/>
                <w:szCs w:val="18"/>
              </w:rPr>
              <w:t>,</w:t>
            </w:r>
            <w:r w:rsidRPr="009713F1">
              <w:rPr>
                <w:rFonts w:ascii="Calibri" w:eastAsia="Calibri" w:hAnsi="Calibri"/>
                <w:sz w:val="18"/>
                <w:szCs w:val="18"/>
              </w:rPr>
              <w:t xml:space="preserve"> delivery</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7124D7C" w14:textId="77777777">
            <w:pPr>
              <w:widowControl/>
              <w:rPr>
                <w:rFonts w:ascii="Calibri" w:eastAsia="Calibri" w:hAnsi="Calibri"/>
                <w:sz w:val="18"/>
                <w:szCs w:val="18"/>
              </w:rPr>
            </w:pPr>
            <w:r>
              <w:rPr>
                <w:rFonts w:ascii="Calibri" w:eastAsia="Calibri" w:hAnsi="Calibri"/>
                <w:sz w:val="18"/>
                <w:szCs w:val="18"/>
              </w:rPr>
              <w:t>Annually: B</w:t>
            </w:r>
            <w:r w:rsidRPr="0094281C">
              <w:rPr>
                <w:rFonts w:ascii="Calibri" w:eastAsia="Calibri" w:hAnsi="Calibri"/>
                <w:sz w:val="18"/>
                <w:szCs w:val="18"/>
              </w:rPr>
              <w:t xml:space="preserve">y January 31, the CQE must submit a complete annual report for the prior calendar year to </w:t>
            </w:r>
            <w:r>
              <w:rPr>
                <w:rFonts w:ascii="Calibri" w:eastAsia="Calibri" w:hAnsi="Calibri"/>
                <w:sz w:val="18"/>
                <w:szCs w:val="18"/>
              </w:rPr>
              <w:t>NMFS</w:t>
            </w:r>
            <w:r w:rsidRPr="0094281C">
              <w:rPr>
                <w:rFonts w:ascii="Calibri" w:eastAsia="Calibri" w:hAnsi="Calibri"/>
                <w:sz w:val="18"/>
                <w:szCs w:val="18"/>
              </w:rPr>
              <w:t xml:space="preserve"> and to the governing body of each community represented by the CQE</w:t>
            </w:r>
            <w:r w:rsidRPr="009713F1">
              <w:rPr>
                <w:rFonts w:ascii="Calibri" w:eastAsia="Calibri" w:hAnsi="Calibri"/>
                <w:sz w:val="18"/>
                <w:szCs w:val="18"/>
              </w:rPr>
              <w:t xml:space="preserve">. </w:t>
            </w:r>
            <w:r>
              <w:rPr>
                <w:rFonts w:ascii="Calibri" w:eastAsia="Calibri" w:hAnsi="Calibri"/>
                <w:sz w:val="18"/>
                <w:szCs w:val="18"/>
              </w:rPr>
              <w:t xml:space="preserve">A report </w:t>
            </w:r>
            <w:r w:rsidRPr="009713F1">
              <w:rPr>
                <w:rFonts w:ascii="Calibri" w:eastAsia="Calibri" w:hAnsi="Calibri"/>
                <w:sz w:val="18"/>
                <w:szCs w:val="18"/>
              </w:rPr>
              <w:t xml:space="preserve">is not required for </w:t>
            </w:r>
            <w:r>
              <w:rPr>
                <w:rFonts w:ascii="Calibri" w:eastAsia="Calibri" w:hAnsi="Calibri"/>
                <w:sz w:val="18"/>
                <w:szCs w:val="18"/>
              </w:rPr>
              <w:t xml:space="preserve">a </w:t>
            </w:r>
            <w:r w:rsidRPr="009713F1">
              <w:rPr>
                <w:rFonts w:ascii="Calibri" w:eastAsia="Calibri" w:hAnsi="Calibri"/>
                <w:sz w:val="18"/>
                <w:szCs w:val="18"/>
              </w:rPr>
              <w:t xml:space="preserve">calendar year </w:t>
            </w:r>
            <w:r>
              <w:rPr>
                <w:rFonts w:ascii="Calibri" w:eastAsia="Calibri" w:hAnsi="Calibri"/>
                <w:sz w:val="18"/>
                <w:szCs w:val="18"/>
              </w:rPr>
              <w:t>when</w:t>
            </w:r>
            <w:r w:rsidRPr="009713F1">
              <w:rPr>
                <w:rFonts w:ascii="Calibri" w:eastAsia="Calibri" w:hAnsi="Calibri"/>
                <w:sz w:val="18"/>
                <w:szCs w:val="18"/>
              </w:rPr>
              <w:t xml:space="preserve"> </w:t>
            </w:r>
            <w:r>
              <w:rPr>
                <w:rFonts w:ascii="Calibri" w:eastAsia="Calibri" w:hAnsi="Calibri"/>
                <w:sz w:val="18"/>
                <w:szCs w:val="18"/>
              </w:rPr>
              <w:t>the CQE</w:t>
            </w:r>
            <w:r w:rsidRPr="009713F1">
              <w:rPr>
                <w:rFonts w:ascii="Calibri" w:eastAsia="Calibri" w:hAnsi="Calibri"/>
                <w:sz w:val="18"/>
                <w:szCs w:val="18"/>
              </w:rPr>
              <w:t xml:space="preserve"> did not hold IFQ, </w:t>
            </w:r>
            <w:r>
              <w:rPr>
                <w:rFonts w:ascii="Calibri" w:eastAsia="Calibri" w:hAnsi="Calibri"/>
                <w:sz w:val="18"/>
                <w:szCs w:val="18"/>
              </w:rPr>
              <w:t xml:space="preserve">LLP licenses, or </w:t>
            </w:r>
            <w:r w:rsidRPr="009713F1">
              <w:rPr>
                <w:rFonts w:ascii="Calibri" w:eastAsia="Calibri" w:hAnsi="Calibri"/>
                <w:sz w:val="18"/>
                <w:szCs w:val="18"/>
              </w:rPr>
              <w:t>community charter halibut permits</w:t>
            </w:r>
            <w:r>
              <w:rPr>
                <w:rFonts w:ascii="Calibri" w:eastAsia="Calibri" w:hAnsi="Calibri"/>
                <w:sz w:val="18"/>
                <w:szCs w:val="18"/>
              </w:rPr>
              <w:t>.</w:t>
            </w:r>
            <w:r w:rsidRPr="009713F1">
              <w:rPr>
                <w:rFonts w:ascii="Calibri" w:eastAsia="Calibri" w:hAnsi="Calibri"/>
                <w:sz w:val="18"/>
                <w:szCs w:val="18"/>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743380AF" w14:textId="3743123E">
            <w:pPr>
              <w:widowControl/>
              <w:rPr>
                <w:rFonts w:ascii="Calibri" w:eastAsia="Calibri" w:hAnsi="Calibri"/>
                <w:sz w:val="18"/>
                <w:szCs w:val="18"/>
              </w:rPr>
            </w:pPr>
            <w:r w:rsidRPr="00BC0995">
              <w:rPr>
                <w:rFonts w:ascii="Calibri" w:eastAsia="Calibri" w:hAnsi="Calibri"/>
                <w:sz w:val="18"/>
                <w:szCs w:val="18"/>
              </w:rPr>
              <w:t>Used by the CQE to report its administrative activities, business operation, and community fishing activities</w:t>
            </w:r>
            <w:r>
              <w:rPr>
                <w:rFonts w:ascii="Calibri" w:eastAsia="Calibri" w:hAnsi="Calibri"/>
                <w:sz w:val="18"/>
                <w:szCs w:val="18"/>
              </w:rPr>
              <w:t>.</w:t>
            </w:r>
            <w:r w:rsidRPr="00BC0995">
              <w:rPr>
                <w:rFonts w:ascii="Calibri" w:eastAsia="Calibri" w:hAnsi="Calibri"/>
                <w:sz w:val="18"/>
                <w:szCs w:val="18"/>
              </w:rPr>
              <w:t xml:space="preserve"> </w:t>
            </w:r>
          </w:p>
          <w:p w:rsidR="00A62B97" w:rsidP="00484FD1" w14:paraId="231FA3BA" w14:textId="77777777">
            <w:pPr>
              <w:widowControl/>
              <w:rPr>
                <w:rFonts w:ascii="Calibri" w:eastAsia="Calibri" w:hAnsi="Calibri"/>
                <w:sz w:val="18"/>
                <w:szCs w:val="18"/>
              </w:rPr>
            </w:pPr>
          </w:p>
          <w:p w:rsidR="00A62B97" w:rsidRPr="009713F1" w:rsidP="00484FD1" w14:paraId="76DCB654" w14:textId="77777777">
            <w:pPr>
              <w:widowControl/>
              <w:rPr>
                <w:rFonts w:ascii="Calibri" w:eastAsia="Calibri" w:hAnsi="Calibri"/>
                <w:sz w:val="18"/>
                <w:szCs w:val="18"/>
              </w:rPr>
            </w:pPr>
            <w:r>
              <w:rPr>
                <w:rFonts w:ascii="Calibri" w:eastAsia="Calibri" w:hAnsi="Calibri"/>
                <w:sz w:val="18"/>
                <w:szCs w:val="18"/>
              </w:rPr>
              <w:t xml:space="preserve">Used by </w:t>
            </w:r>
            <w:r w:rsidRPr="00CF4864">
              <w:rPr>
                <w:rFonts w:ascii="Calibri" w:eastAsia="Calibri" w:hAnsi="Calibri"/>
                <w:sz w:val="18"/>
                <w:szCs w:val="18"/>
              </w:rPr>
              <w:t xml:space="preserve">NMFS and the Council </w:t>
            </w:r>
            <w:r>
              <w:rPr>
                <w:rFonts w:ascii="Calibri" w:eastAsia="Calibri" w:hAnsi="Calibri"/>
                <w:sz w:val="18"/>
                <w:szCs w:val="18"/>
              </w:rPr>
              <w:t xml:space="preserve">to help </w:t>
            </w:r>
            <w:r w:rsidRPr="00CF4864">
              <w:rPr>
                <w:rFonts w:ascii="Calibri" w:eastAsia="Calibri" w:hAnsi="Calibri"/>
                <w:sz w:val="18"/>
                <w:szCs w:val="18"/>
              </w:rPr>
              <w:t>assess the performance of the CQEs in meeting the objective of</w:t>
            </w:r>
            <w:r>
              <w:rPr>
                <w:rFonts w:ascii="Calibri" w:eastAsia="Calibri" w:hAnsi="Calibri"/>
                <w:sz w:val="18"/>
                <w:szCs w:val="18"/>
              </w:rPr>
              <w:t xml:space="preserve"> providing for community-held quota share.</w:t>
            </w:r>
          </w:p>
        </w:tc>
      </w:tr>
      <w:tr w14:paraId="7E531247" w14:textId="77777777" w:rsidTr="00484FD1">
        <w:tblPrEx>
          <w:tblW w:w="14125" w:type="dxa"/>
          <w:jc w:val="center"/>
          <w:tblLayout w:type="fixed"/>
          <w:tblLook w:val="04A0"/>
        </w:tblPrEx>
        <w:trPr>
          <w:trHeight w:val="307"/>
          <w:jc w:val="center"/>
        </w:trPr>
        <w:tc>
          <w:tcPr>
            <w:tcW w:w="14125" w:type="dxa"/>
            <w:gridSpan w:val="8"/>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DC507A" w:rsidRPr="009713F1" w:rsidP="00484FD1" w14:paraId="633834EB" w14:textId="77777777">
            <w:pPr>
              <w:widowControl/>
              <w:rPr>
                <w:rFonts w:ascii="Calibri" w:eastAsia="Calibri" w:hAnsi="Calibri"/>
                <w:sz w:val="18"/>
                <w:szCs w:val="18"/>
              </w:rPr>
            </w:pPr>
            <w:r w:rsidRPr="009713F1">
              <w:rPr>
                <w:rFonts w:ascii="Calibri" w:eastAsia="Calibri" w:hAnsi="Calibri"/>
                <w:b/>
                <w:sz w:val="18"/>
                <w:szCs w:val="18"/>
              </w:rPr>
              <w:t>Halibut and Sablefish IFQ Program</w:t>
            </w:r>
          </w:p>
        </w:tc>
      </w:tr>
      <w:tr w14:paraId="5EAE78C9"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3F1381C" w14:textId="77777777">
            <w:pPr>
              <w:widowControl/>
              <w:rPr>
                <w:rFonts w:ascii="Calibri" w:eastAsia="Calibri" w:hAnsi="Calibri"/>
                <w:sz w:val="18"/>
                <w:szCs w:val="18"/>
              </w:rPr>
            </w:pPr>
            <w:bookmarkStart w:id="2" w:name="_Hlk207023083"/>
            <w:r w:rsidRPr="009713F1">
              <w:rPr>
                <w:rFonts w:ascii="Calibri" w:eastAsia="Calibri" w:hAnsi="Calibri"/>
                <w:sz w:val="18"/>
                <w:szCs w:val="18"/>
              </w:rPr>
              <w:t xml:space="preserve">Application for </w:t>
            </w:r>
            <w:r w:rsidRPr="009713F1">
              <w:rPr>
                <w:rFonts w:ascii="Calibri" w:eastAsia="Calibri" w:hAnsi="Calibri"/>
                <w:sz w:val="18"/>
                <w:szCs w:val="18"/>
              </w:rPr>
              <w:t>Transfer of Quota Share to or from a Community Quota Entity</w:t>
            </w:r>
            <w:bookmarkEnd w:id="2"/>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8026FFF" w14:textId="77777777">
            <w:pPr>
              <w:widowControl/>
              <w:rPr>
                <w:rFonts w:ascii="Calibri" w:eastAsia="Calibri" w:hAnsi="Calibri"/>
                <w:sz w:val="18"/>
                <w:szCs w:val="18"/>
              </w:rPr>
            </w:pPr>
            <w:r w:rsidRPr="009713F1">
              <w:rPr>
                <w:rFonts w:ascii="Calibri" w:eastAsia="Calibri" w:hAnsi="Calibri"/>
                <w:sz w:val="18"/>
                <w:szCs w:val="18"/>
              </w:rPr>
              <w:t>679.41(b) and (c)</w:t>
            </w:r>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408F8412" w14:textId="77777777">
            <w:pPr>
              <w:widowControl/>
              <w:rPr>
                <w:rFonts w:ascii="Calibri" w:eastAsia="Calibri" w:hAnsi="Calibri"/>
                <w:sz w:val="18"/>
                <w:szCs w:val="18"/>
              </w:rPr>
            </w:pPr>
            <w:hyperlink r:id="rId10" w:anchor="p-679.41(b)" w:history="1">
              <w:r w:rsidRPr="009713F1">
                <w:rPr>
                  <w:rStyle w:val="Hyperlink"/>
                  <w:rFonts w:ascii="Calibri" w:eastAsia="Calibri" w:hAnsi="Calibri"/>
                  <w:sz w:val="18"/>
                  <w:szCs w:val="18"/>
                </w:rPr>
                <w:t>https://www.ecfr.gov/current/title-50/part-679/section-679.41#p-679.41(b)</w:t>
              </w:r>
            </w:hyperlink>
            <w:r w:rsidRPr="009713F1">
              <w:rPr>
                <w:rFonts w:ascii="Calibri" w:eastAsia="Calibri" w:hAnsi="Calibri"/>
                <w:sz w:val="18"/>
                <w:szCs w:val="18"/>
              </w:rPr>
              <w:t xml:space="preserve"> and </w:t>
            </w:r>
            <w:hyperlink r:id="rId10" w:anchor="p-679.41(c)" w:history="1">
              <w:r w:rsidRPr="009713F1">
                <w:rPr>
                  <w:rStyle w:val="Hyperlink"/>
                  <w:rFonts w:ascii="Calibri" w:eastAsia="Calibri" w:hAnsi="Calibri"/>
                  <w:sz w:val="18"/>
                  <w:szCs w:val="18"/>
                </w:rPr>
                <w:t>https://www.ecfr.gov/current/title-50/part-679/section-679.41#p-679.41(c)</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CCA78BC" w14:textId="77777777">
            <w:pPr>
              <w:widowControl/>
              <w:rPr>
                <w:rFonts w:ascii="Calibri" w:eastAsia="Calibri" w:hAnsi="Calibri"/>
                <w:sz w:val="18"/>
                <w:szCs w:val="18"/>
              </w:rPr>
            </w:pPr>
            <w:r w:rsidRPr="009713F1">
              <w:rPr>
                <w:rFonts w:ascii="Calibri" w:eastAsia="Calibri" w:hAnsi="Calibri"/>
                <w:sz w:val="18"/>
                <w:szCs w:val="18"/>
              </w:rPr>
              <w:t>CQE representative and eligible community resident.</w:t>
            </w:r>
          </w:p>
          <w:p w:rsidR="00A62B97" w:rsidRPr="009713F1" w:rsidP="00484FD1" w14:paraId="5E86A81A" w14:textId="77777777">
            <w:pPr>
              <w:widowControl/>
              <w:spacing w:before="120"/>
              <w:rPr>
                <w:rFonts w:ascii="Calibri" w:eastAsia="Calibri" w:hAnsi="Calibri"/>
                <w:sz w:val="18"/>
                <w:szCs w:val="18"/>
              </w:rPr>
            </w:pPr>
            <w:r w:rsidRPr="009713F1">
              <w:rPr>
                <w:rFonts w:ascii="Calibri" w:eastAsia="Calibri" w:hAnsi="Calibri"/>
                <w:sz w:val="18"/>
                <w:szCs w:val="18"/>
              </w:rPr>
              <w:t>Signature of community representative required only when CQE proposes to permanently transfer QS.</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EEBC52F"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5F890CF" w14:textId="2759BFB6">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BD85568" w14:textId="77777777">
            <w:pPr>
              <w:widowControl/>
              <w:rPr>
                <w:rFonts w:ascii="Calibri" w:eastAsia="Calibri" w:hAnsi="Calibri"/>
                <w:sz w:val="18"/>
                <w:szCs w:val="18"/>
              </w:rPr>
            </w:pPr>
            <w:r w:rsidRPr="009713F1">
              <w:rPr>
                <w:rFonts w:ascii="Calibri" w:eastAsia="Calibri" w:hAnsi="Calibri"/>
                <w:sz w:val="18"/>
                <w:szCs w:val="18"/>
              </w:rPr>
              <w:t>As needed</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05512218" w14:textId="7559730A">
            <w:pPr>
              <w:widowControl/>
              <w:rPr>
                <w:rFonts w:ascii="Calibri" w:eastAsia="Calibri" w:hAnsi="Calibri"/>
                <w:sz w:val="18"/>
                <w:szCs w:val="18"/>
              </w:rPr>
            </w:pPr>
            <w:r>
              <w:rPr>
                <w:rFonts w:ascii="Calibri" w:eastAsia="Calibri" w:hAnsi="Calibri"/>
                <w:sz w:val="18"/>
                <w:szCs w:val="18"/>
              </w:rPr>
              <w:t>U</w:t>
            </w:r>
            <w:r w:rsidRPr="00353FC9">
              <w:rPr>
                <w:rFonts w:ascii="Calibri" w:eastAsia="Calibri" w:hAnsi="Calibri"/>
                <w:sz w:val="18"/>
                <w:szCs w:val="18"/>
              </w:rPr>
              <w:t xml:space="preserve">sed </w:t>
            </w:r>
            <w:r>
              <w:rPr>
                <w:rFonts w:ascii="Calibri" w:eastAsia="Calibri" w:hAnsi="Calibri"/>
                <w:sz w:val="18"/>
                <w:szCs w:val="18"/>
              </w:rPr>
              <w:t xml:space="preserve">by a CQE or community resident </w:t>
            </w:r>
            <w:r w:rsidRPr="00353FC9">
              <w:rPr>
                <w:rFonts w:ascii="Calibri" w:eastAsia="Calibri" w:hAnsi="Calibri"/>
                <w:sz w:val="18"/>
                <w:szCs w:val="18"/>
              </w:rPr>
              <w:t xml:space="preserve">to apply </w:t>
            </w:r>
            <w:r>
              <w:rPr>
                <w:rFonts w:ascii="Calibri" w:eastAsia="Calibri" w:hAnsi="Calibri"/>
                <w:sz w:val="18"/>
                <w:szCs w:val="18"/>
              </w:rPr>
              <w:t xml:space="preserve">to </w:t>
            </w:r>
            <w:r w:rsidRPr="00353FC9">
              <w:rPr>
                <w:rFonts w:ascii="Calibri" w:eastAsia="Calibri" w:hAnsi="Calibri"/>
                <w:sz w:val="18"/>
                <w:szCs w:val="18"/>
              </w:rPr>
              <w:t>transfer permanent QS (with or without IFQ) to or from a CQE.</w:t>
            </w:r>
          </w:p>
          <w:p w:rsidR="00A62B97" w:rsidP="00484FD1" w14:paraId="039F3980" w14:textId="77777777">
            <w:pPr>
              <w:widowControl/>
              <w:rPr>
                <w:rFonts w:ascii="Calibri" w:eastAsia="Calibri" w:hAnsi="Calibri"/>
                <w:sz w:val="18"/>
                <w:szCs w:val="18"/>
              </w:rPr>
            </w:pPr>
          </w:p>
          <w:p w:rsidR="00A62B97" w:rsidRPr="009713F1" w:rsidP="00484FD1" w14:paraId="1495A5BF" w14:textId="77777777">
            <w:pPr>
              <w:widowControl/>
              <w:rPr>
                <w:rFonts w:ascii="Calibri" w:eastAsia="Calibri" w:hAnsi="Calibri"/>
                <w:sz w:val="18"/>
                <w:szCs w:val="18"/>
              </w:rPr>
            </w:pPr>
            <w:r w:rsidRPr="0038603A">
              <w:rPr>
                <w:rFonts w:ascii="Calibri" w:eastAsia="Calibri" w:hAnsi="Calibri"/>
                <w:sz w:val="18"/>
                <w:szCs w:val="18"/>
              </w:rPr>
              <w:t xml:space="preserve">Used by NMFS to determine whether the transfer meets regulatory requirements for the transfer of QS. </w:t>
            </w:r>
          </w:p>
        </w:tc>
      </w:tr>
      <w:tr w14:paraId="0F523A15"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65CA95C" w14:textId="77777777">
            <w:pPr>
              <w:widowControl/>
              <w:rPr>
                <w:rFonts w:ascii="Calibri" w:eastAsia="Calibri" w:hAnsi="Calibri"/>
                <w:sz w:val="18"/>
                <w:szCs w:val="18"/>
              </w:rPr>
            </w:pPr>
            <w:r w:rsidRPr="009713F1">
              <w:rPr>
                <w:rFonts w:ascii="Calibri" w:eastAsia="Calibri" w:hAnsi="Calibri"/>
                <w:sz w:val="18"/>
                <w:szCs w:val="18"/>
              </w:rPr>
              <w:t>Application for a CQE to Transfer IFQ to an Eligible Community Resident or Non-resident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BDA0F4F" w14:textId="77777777">
            <w:pPr>
              <w:widowControl/>
              <w:rPr>
                <w:rFonts w:ascii="Calibri" w:eastAsia="Calibri" w:hAnsi="Calibri"/>
                <w:sz w:val="18"/>
                <w:szCs w:val="18"/>
              </w:rPr>
            </w:pPr>
            <w:r w:rsidRPr="009713F1">
              <w:rPr>
                <w:rFonts w:ascii="Calibri" w:eastAsia="Calibri" w:hAnsi="Calibri"/>
                <w:sz w:val="18"/>
                <w:szCs w:val="18"/>
              </w:rPr>
              <w:t>679.41(b) and (c)</w:t>
            </w:r>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4789F7DB" w14:textId="77777777">
            <w:pPr>
              <w:widowControl/>
              <w:rPr>
                <w:rFonts w:ascii="Calibri" w:eastAsia="Calibri" w:hAnsi="Calibri"/>
                <w:sz w:val="18"/>
                <w:szCs w:val="18"/>
              </w:rPr>
            </w:pPr>
            <w:hyperlink r:id="rId10" w:anchor="p-679.41(b)" w:history="1">
              <w:r w:rsidRPr="009713F1">
                <w:rPr>
                  <w:rStyle w:val="Hyperlink"/>
                  <w:rFonts w:ascii="Calibri" w:eastAsia="Calibri" w:hAnsi="Calibri"/>
                  <w:sz w:val="18"/>
                  <w:szCs w:val="18"/>
                </w:rPr>
                <w:t>https://www.ecfr.gov/current/title-50/part-679/section-679.41#p-679.41(b)</w:t>
              </w:r>
            </w:hyperlink>
            <w:r w:rsidRPr="009713F1">
              <w:rPr>
                <w:rFonts w:ascii="Calibri" w:eastAsia="Calibri" w:hAnsi="Calibri"/>
                <w:sz w:val="18"/>
                <w:szCs w:val="18"/>
              </w:rPr>
              <w:t xml:space="preserve"> and </w:t>
            </w:r>
            <w:hyperlink r:id="rId10" w:anchor="p-679.41(c)" w:history="1">
              <w:r w:rsidRPr="009713F1">
                <w:rPr>
                  <w:rStyle w:val="Hyperlink"/>
                  <w:rFonts w:ascii="Calibri" w:eastAsia="Calibri" w:hAnsi="Calibri"/>
                  <w:sz w:val="18"/>
                  <w:szCs w:val="18"/>
                </w:rPr>
                <w:t>https://www.ecfr.gov/current/title-50/part-679/section-679.41#p-679.41(c)</w:t>
              </w:r>
            </w:hyperlink>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12F66234" w14:textId="77777777">
            <w:pPr>
              <w:widowControl/>
              <w:rPr>
                <w:rFonts w:ascii="Calibri" w:eastAsia="Calibri" w:hAnsi="Calibri"/>
                <w:sz w:val="18"/>
                <w:szCs w:val="18"/>
              </w:rPr>
            </w:pPr>
            <w:r w:rsidRPr="009713F1">
              <w:rPr>
                <w:rFonts w:ascii="Calibri" w:eastAsia="Calibri" w:hAnsi="Calibri"/>
                <w:sz w:val="18"/>
                <w:szCs w:val="18"/>
              </w:rPr>
              <w:t>CQE representative and eligible community resident or non-resident</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11222FF9"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7971715" w14:textId="286E37A7">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A5D603D" w14:textId="77777777">
            <w:pPr>
              <w:widowControl/>
              <w:rPr>
                <w:rFonts w:ascii="Calibri" w:eastAsia="Calibri" w:hAnsi="Calibri"/>
                <w:sz w:val="18"/>
                <w:szCs w:val="18"/>
              </w:rPr>
            </w:pPr>
            <w:r w:rsidRPr="009713F1">
              <w:rPr>
                <w:rFonts w:ascii="Calibri" w:eastAsia="Calibri" w:hAnsi="Calibri"/>
                <w:sz w:val="18"/>
                <w:szCs w:val="18"/>
              </w:rPr>
              <w:t xml:space="preserve">As </w:t>
            </w:r>
            <w:r w:rsidRPr="009713F1">
              <w:rPr>
                <w:rFonts w:ascii="Calibri" w:eastAsia="Calibri" w:hAnsi="Calibri"/>
                <w:sz w:val="18"/>
                <w:szCs w:val="18"/>
              </w:rPr>
              <w:t>needed</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5B41D54E" w14:textId="0051F91C">
            <w:pPr>
              <w:widowControl/>
              <w:rPr>
                <w:rFonts w:ascii="Calibri" w:eastAsia="Calibri" w:hAnsi="Calibri"/>
                <w:sz w:val="18"/>
                <w:szCs w:val="18"/>
              </w:rPr>
            </w:pPr>
            <w:r>
              <w:rPr>
                <w:rFonts w:ascii="Calibri" w:eastAsia="Calibri" w:hAnsi="Calibri"/>
                <w:sz w:val="18"/>
                <w:szCs w:val="18"/>
              </w:rPr>
              <w:t>U</w:t>
            </w:r>
            <w:r w:rsidRPr="00B7661B">
              <w:rPr>
                <w:rFonts w:ascii="Calibri" w:eastAsia="Calibri" w:hAnsi="Calibri"/>
                <w:sz w:val="18"/>
                <w:szCs w:val="18"/>
              </w:rPr>
              <w:t>sed by</w:t>
            </w:r>
            <w:r>
              <w:rPr>
                <w:rFonts w:ascii="Calibri" w:eastAsia="Calibri" w:hAnsi="Calibri"/>
                <w:sz w:val="18"/>
                <w:szCs w:val="18"/>
              </w:rPr>
              <w:t xml:space="preserve"> a CQE</w:t>
            </w:r>
            <w:r w:rsidRPr="00B7661B">
              <w:rPr>
                <w:rFonts w:ascii="Calibri" w:eastAsia="Calibri" w:hAnsi="Calibri"/>
                <w:sz w:val="18"/>
                <w:szCs w:val="18"/>
              </w:rPr>
              <w:t xml:space="preserve"> to apply to transfer IFQ to eligible residents and non-residents.</w:t>
            </w:r>
          </w:p>
          <w:p w:rsidR="00A62B97" w:rsidP="00484FD1" w14:paraId="63CE66EF" w14:textId="77777777">
            <w:pPr>
              <w:widowControl/>
              <w:rPr>
                <w:rFonts w:ascii="Calibri" w:eastAsia="Calibri" w:hAnsi="Calibri"/>
                <w:sz w:val="18"/>
                <w:szCs w:val="18"/>
              </w:rPr>
            </w:pPr>
          </w:p>
          <w:p w:rsidR="00A62B97" w:rsidRPr="009713F1" w:rsidP="00484FD1" w14:paraId="07A106AD" w14:textId="77777777">
            <w:pPr>
              <w:widowControl/>
              <w:rPr>
                <w:rFonts w:ascii="Calibri" w:eastAsia="Calibri" w:hAnsi="Calibri"/>
                <w:sz w:val="18"/>
                <w:szCs w:val="18"/>
              </w:rPr>
            </w:pPr>
            <w:r w:rsidRPr="0038603A">
              <w:rPr>
                <w:rFonts w:ascii="Calibri" w:eastAsia="Calibri" w:hAnsi="Calibri"/>
                <w:sz w:val="18"/>
                <w:szCs w:val="18"/>
              </w:rPr>
              <w:t>Used by NMFS to determine whether the transfer meets regulatory req</w:t>
            </w:r>
            <w:r>
              <w:rPr>
                <w:rFonts w:ascii="Calibri" w:eastAsia="Calibri" w:hAnsi="Calibri"/>
                <w:sz w:val="18"/>
                <w:szCs w:val="18"/>
              </w:rPr>
              <w:t>uirements for the transfer of IFQ</w:t>
            </w:r>
            <w:r w:rsidRPr="0038603A">
              <w:rPr>
                <w:rFonts w:ascii="Calibri" w:eastAsia="Calibri" w:hAnsi="Calibri"/>
                <w:sz w:val="18"/>
                <w:szCs w:val="18"/>
              </w:rPr>
              <w:t>.</w:t>
            </w:r>
          </w:p>
        </w:tc>
      </w:tr>
      <w:tr w14:paraId="44B26ACC"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08AF5E5" w14:textId="77777777">
            <w:pPr>
              <w:widowControl/>
              <w:rPr>
                <w:rFonts w:ascii="Calibri" w:eastAsia="Calibri" w:hAnsi="Calibri"/>
                <w:sz w:val="18"/>
                <w:szCs w:val="18"/>
              </w:rPr>
            </w:pPr>
            <w:r w:rsidRPr="009713F1">
              <w:rPr>
                <w:rFonts w:ascii="Calibri" w:eastAsia="Calibri" w:hAnsi="Calibri"/>
                <w:sz w:val="18"/>
                <w:szCs w:val="18"/>
              </w:rPr>
              <w:t xml:space="preserve">Application for Transfer (Lease) Between IFQ and Guided </w:t>
            </w:r>
            <w:r w:rsidRPr="009713F1">
              <w:rPr>
                <w:rFonts w:ascii="Calibri" w:eastAsia="Calibri" w:hAnsi="Calibri"/>
                <w:sz w:val="18"/>
                <w:szCs w:val="18"/>
              </w:rPr>
              <w:t>Angler Fish by a Community Quota Entity (CQE)</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4E0829DB" w14:textId="77777777">
            <w:pPr>
              <w:widowControl/>
              <w:rPr>
                <w:rFonts w:ascii="Calibri" w:eastAsia="Calibri" w:hAnsi="Calibri"/>
                <w:sz w:val="18"/>
                <w:szCs w:val="18"/>
              </w:rPr>
            </w:pPr>
            <w:hyperlink r:id="rId11" w:anchor="p-300.65(c)(5)(ii)" w:history="1">
              <w:r w:rsidRPr="009713F1">
                <w:rPr>
                  <w:rFonts w:ascii="Calibri" w:eastAsia="Calibri" w:hAnsi="Calibri"/>
                  <w:sz w:val="18"/>
                  <w:szCs w:val="18"/>
                </w:rPr>
                <w:t>300.65(c)(5)(ii)</w:t>
              </w:r>
            </w:hyperlink>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2A3AA455" w14:textId="77777777">
            <w:pPr>
              <w:widowControl/>
              <w:rPr>
                <w:rFonts w:ascii="Calibri" w:eastAsia="Calibri" w:hAnsi="Calibri"/>
                <w:sz w:val="18"/>
                <w:szCs w:val="18"/>
              </w:rPr>
            </w:pPr>
            <w:hyperlink r:id="rId12" w:anchor="p-300.65(c)(5)(ii)" w:history="1">
              <w:r w:rsidRPr="009713F1">
                <w:rPr>
                  <w:rStyle w:val="Hyperlink"/>
                  <w:rFonts w:ascii="Calibri" w:eastAsia="Calibri" w:hAnsi="Calibri"/>
                  <w:sz w:val="18"/>
                  <w:szCs w:val="18"/>
                </w:rPr>
                <w:t>https://www.ecfr.gov/current/title-50/part-300/section-300.65#p-300.65(c)(5)(ii)</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6BF0854" w14:textId="77777777">
            <w:pPr>
              <w:widowControl/>
              <w:rPr>
                <w:rFonts w:ascii="Calibri" w:eastAsia="Calibri" w:hAnsi="Calibri"/>
                <w:sz w:val="18"/>
                <w:szCs w:val="18"/>
              </w:rPr>
            </w:pPr>
            <w:r w:rsidRPr="009713F1">
              <w:rPr>
                <w:rFonts w:ascii="Calibri" w:eastAsia="Calibri" w:hAnsi="Calibri"/>
                <w:sz w:val="18"/>
                <w:szCs w:val="18"/>
              </w:rPr>
              <w:t>CQE representative and eligible community resident holding charter halibut permits</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9AF41E1"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37F1388" w14:textId="430EC37C">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D1D041F" w14:textId="77777777">
            <w:pPr>
              <w:widowControl/>
              <w:rPr>
                <w:rFonts w:ascii="Calibri" w:eastAsia="Calibri" w:hAnsi="Calibri"/>
                <w:sz w:val="18"/>
                <w:szCs w:val="18"/>
              </w:rPr>
            </w:pPr>
            <w:r w:rsidRPr="009713F1">
              <w:rPr>
                <w:rFonts w:ascii="Calibri" w:eastAsia="Calibri" w:hAnsi="Calibri"/>
                <w:sz w:val="18"/>
                <w:szCs w:val="18"/>
              </w:rPr>
              <w:t>As needed</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3D34108C" w14:textId="0D4CFFF1">
            <w:pPr>
              <w:widowControl/>
              <w:rPr>
                <w:rFonts w:ascii="Calibri" w:eastAsia="Calibri" w:hAnsi="Calibri"/>
                <w:sz w:val="18"/>
                <w:szCs w:val="18"/>
              </w:rPr>
            </w:pPr>
            <w:r>
              <w:rPr>
                <w:rFonts w:ascii="Calibri" w:eastAsia="Calibri" w:hAnsi="Calibri"/>
                <w:sz w:val="18"/>
                <w:szCs w:val="18"/>
              </w:rPr>
              <w:t>Used by a permit holder to transfer IFQ for use as commercial guided angler fish (GAF) or to return unused GAF to the CQE from which it was obtained.</w:t>
            </w:r>
          </w:p>
          <w:p w:rsidR="00A62B97" w:rsidP="00484FD1" w14:paraId="5E03785F" w14:textId="77777777">
            <w:pPr>
              <w:widowControl/>
              <w:rPr>
                <w:rFonts w:ascii="Calibri" w:eastAsia="Calibri" w:hAnsi="Calibri"/>
                <w:sz w:val="18"/>
                <w:szCs w:val="18"/>
              </w:rPr>
            </w:pPr>
          </w:p>
          <w:p w:rsidR="00A62B97" w:rsidRPr="009713F1" w:rsidP="00484FD1" w14:paraId="116BAB4C" w14:textId="77777777">
            <w:pPr>
              <w:widowControl/>
              <w:rPr>
                <w:rFonts w:ascii="Calibri" w:eastAsia="Calibri" w:hAnsi="Calibri"/>
                <w:sz w:val="18"/>
                <w:szCs w:val="18"/>
              </w:rPr>
            </w:pPr>
            <w:r>
              <w:rPr>
                <w:rFonts w:ascii="Calibri" w:eastAsia="Calibri" w:hAnsi="Calibri"/>
                <w:sz w:val="18"/>
                <w:szCs w:val="18"/>
              </w:rPr>
              <w:t xml:space="preserve">Used by NMFS to determine </w:t>
            </w:r>
            <w:r w:rsidRPr="0038603A">
              <w:rPr>
                <w:rFonts w:ascii="Calibri" w:eastAsia="Calibri" w:hAnsi="Calibri"/>
                <w:sz w:val="18"/>
                <w:szCs w:val="18"/>
              </w:rPr>
              <w:t xml:space="preserve">whether the </w:t>
            </w:r>
            <w:r w:rsidRPr="0038603A">
              <w:rPr>
                <w:rFonts w:ascii="Calibri" w:eastAsia="Calibri" w:hAnsi="Calibri"/>
                <w:sz w:val="18"/>
                <w:szCs w:val="18"/>
              </w:rPr>
              <w:t>transfer meets regulato</w:t>
            </w:r>
            <w:r>
              <w:rPr>
                <w:rFonts w:ascii="Calibri" w:eastAsia="Calibri" w:hAnsi="Calibri"/>
                <w:sz w:val="18"/>
                <w:szCs w:val="18"/>
              </w:rPr>
              <w:t>ry requirements for the transfer</w:t>
            </w:r>
            <w:r w:rsidRPr="0038603A">
              <w:rPr>
                <w:rFonts w:ascii="Calibri" w:eastAsia="Calibri" w:hAnsi="Calibri"/>
                <w:sz w:val="18"/>
                <w:szCs w:val="18"/>
              </w:rPr>
              <w:t>.</w:t>
            </w:r>
          </w:p>
        </w:tc>
      </w:tr>
      <w:tr w14:paraId="27A3D24F" w14:textId="77777777" w:rsidTr="00484FD1">
        <w:tblPrEx>
          <w:tblW w:w="14125" w:type="dxa"/>
          <w:jc w:val="center"/>
          <w:tblLayout w:type="fixed"/>
          <w:tblLook w:val="04A0"/>
        </w:tblPrEx>
        <w:trPr>
          <w:trHeight w:val="307"/>
          <w:jc w:val="center"/>
        </w:trPr>
        <w:tc>
          <w:tcPr>
            <w:tcW w:w="14125" w:type="dxa"/>
            <w:gridSpan w:val="8"/>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DC507A" w:rsidRPr="009713F1" w:rsidP="00484FD1" w14:paraId="0BB7DCF1" w14:textId="77777777">
            <w:pPr>
              <w:widowControl/>
              <w:rPr>
                <w:rFonts w:ascii="Calibri" w:eastAsia="Calibri" w:hAnsi="Calibri"/>
                <w:sz w:val="18"/>
                <w:szCs w:val="18"/>
              </w:rPr>
            </w:pPr>
            <w:r w:rsidRPr="009713F1">
              <w:rPr>
                <w:rFonts w:ascii="Calibri" w:eastAsia="Calibri" w:hAnsi="Calibri"/>
                <w:b/>
                <w:sz w:val="18"/>
                <w:szCs w:val="18"/>
              </w:rPr>
              <w:t>License Limitation Program</w:t>
            </w:r>
          </w:p>
        </w:tc>
      </w:tr>
      <w:tr w14:paraId="6407708A"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2C7E27C" w14:textId="77777777">
            <w:pPr>
              <w:widowControl/>
              <w:rPr>
                <w:rFonts w:ascii="Calibri" w:eastAsia="Calibri" w:hAnsi="Calibri"/>
                <w:sz w:val="18"/>
                <w:szCs w:val="18"/>
              </w:rPr>
            </w:pPr>
            <w:r w:rsidRPr="009713F1">
              <w:rPr>
                <w:rFonts w:ascii="Calibri" w:eastAsia="Calibri" w:hAnsi="Calibri"/>
                <w:sz w:val="18"/>
                <w:szCs w:val="18"/>
              </w:rPr>
              <w:t>Application for a CQE to Receive a Non-trawl Groundfish LLP License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59489B51" w14:textId="77777777">
            <w:pPr>
              <w:widowControl/>
              <w:rPr>
                <w:rFonts w:ascii="Calibri" w:eastAsia="Calibri" w:hAnsi="Calibri"/>
                <w:sz w:val="18"/>
                <w:szCs w:val="18"/>
              </w:rPr>
            </w:pPr>
            <w:hyperlink r:id="rId13" w:anchor="p-679.4(k)(10)(vi)" w:history="1">
              <w:r w:rsidRPr="009713F1">
                <w:rPr>
                  <w:rFonts w:ascii="Calibri" w:eastAsia="Calibri" w:hAnsi="Calibri"/>
                  <w:sz w:val="18"/>
                  <w:szCs w:val="18"/>
                </w:rPr>
                <w:t>679.4(k)(10)(vi)(A) through (C)</w:t>
              </w:r>
            </w:hyperlink>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517B5E52" w14:textId="77777777">
            <w:pPr>
              <w:widowControl/>
              <w:rPr>
                <w:rFonts w:ascii="Calibri" w:eastAsia="Calibri" w:hAnsi="Calibri"/>
                <w:sz w:val="18"/>
                <w:szCs w:val="18"/>
              </w:rPr>
            </w:pPr>
            <w:hyperlink r:id="rId14" w:anchor="p-679.4(k)(10)(vi)" w:history="1">
              <w:r w:rsidRPr="009713F1">
                <w:rPr>
                  <w:rStyle w:val="Hyperlink"/>
                  <w:rFonts w:ascii="Calibri" w:eastAsia="Calibri" w:hAnsi="Calibri"/>
                  <w:sz w:val="18"/>
                  <w:szCs w:val="18"/>
                </w:rPr>
                <w:t>https://www.ecfr.gov/current/title-50/part-679/section-679.4#p-679.4(k)(10)(vi)</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4DE5F36" w14:textId="77777777">
            <w:pPr>
              <w:widowControl/>
              <w:rPr>
                <w:rFonts w:ascii="Calibri" w:eastAsia="Calibri" w:hAnsi="Calibri"/>
                <w:sz w:val="18"/>
                <w:szCs w:val="18"/>
              </w:rPr>
            </w:pPr>
            <w:r w:rsidRPr="009713F1">
              <w:rPr>
                <w:rFonts w:ascii="Calibri" w:eastAsia="Calibri" w:hAnsi="Calibri"/>
                <w:sz w:val="18"/>
                <w:szCs w:val="18"/>
              </w:rPr>
              <w:t>CQE representative</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1F751EA"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80E59CB" w14:textId="2947D04C">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997AE25" w14:textId="77777777">
            <w:pPr>
              <w:widowControl/>
              <w:rPr>
                <w:rFonts w:ascii="Calibri" w:eastAsia="Calibri" w:hAnsi="Calibri"/>
                <w:sz w:val="18"/>
                <w:szCs w:val="18"/>
              </w:rPr>
            </w:pPr>
            <w:r w:rsidRPr="009713F1">
              <w:rPr>
                <w:rFonts w:ascii="Calibri" w:eastAsia="Calibri" w:hAnsi="Calibri"/>
                <w:sz w:val="18"/>
                <w:szCs w:val="18"/>
              </w:rPr>
              <w:t>Once</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1B007C6A" w14:textId="517656EE">
            <w:pPr>
              <w:widowControl/>
              <w:rPr>
                <w:rFonts w:ascii="Calibri" w:eastAsia="Calibri" w:hAnsi="Calibri"/>
                <w:sz w:val="18"/>
                <w:szCs w:val="18"/>
              </w:rPr>
            </w:pPr>
            <w:r>
              <w:rPr>
                <w:rFonts w:ascii="Calibri" w:eastAsia="Calibri" w:hAnsi="Calibri"/>
                <w:sz w:val="18"/>
                <w:szCs w:val="18"/>
              </w:rPr>
              <w:t>U</w:t>
            </w:r>
            <w:r w:rsidRPr="002C4E8F">
              <w:rPr>
                <w:rFonts w:ascii="Calibri" w:eastAsia="Calibri" w:hAnsi="Calibri"/>
                <w:sz w:val="18"/>
                <w:szCs w:val="18"/>
              </w:rPr>
              <w:t>sed by a CQE to request LLP groundfish licenses endorsed for Pacific cod on behalf of the communities it represents.</w:t>
            </w:r>
          </w:p>
          <w:p w:rsidR="00A62B97" w:rsidP="00484FD1" w14:paraId="43F1CBF7" w14:textId="77777777">
            <w:pPr>
              <w:widowControl/>
              <w:rPr>
                <w:rFonts w:ascii="Calibri" w:eastAsia="Calibri" w:hAnsi="Calibri"/>
                <w:sz w:val="18"/>
                <w:szCs w:val="18"/>
              </w:rPr>
            </w:pPr>
          </w:p>
          <w:p w:rsidR="00A62B97" w:rsidRPr="009713F1" w:rsidP="00484FD1" w14:paraId="7CB1A01B" w14:textId="77777777">
            <w:pPr>
              <w:widowControl/>
              <w:rPr>
                <w:rFonts w:ascii="Calibri" w:eastAsia="Calibri" w:hAnsi="Calibri"/>
                <w:sz w:val="18"/>
                <w:szCs w:val="18"/>
              </w:rPr>
            </w:pPr>
            <w:r w:rsidRPr="0099087B">
              <w:rPr>
                <w:rFonts w:ascii="Calibri" w:eastAsia="Calibri" w:hAnsi="Calibri"/>
                <w:sz w:val="18"/>
                <w:szCs w:val="18"/>
              </w:rPr>
              <w:t xml:space="preserve">Used by NMFS to determine the eligibility of the </w:t>
            </w:r>
            <w:r>
              <w:rPr>
                <w:rFonts w:ascii="Calibri" w:eastAsia="Calibri" w:hAnsi="Calibri"/>
                <w:sz w:val="18"/>
                <w:szCs w:val="18"/>
              </w:rPr>
              <w:t>CQE</w:t>
            </w:r>
            <w:r w:rsidRPr="0099087B">
              <w:rPr>
                <w:rFonts w:ascii="Calibri" w:eastAsia="Calibri" w:hAnsi="Calibri"/>
                <w:sz w:val="18"/>
                <w:szCs w:val="18"/>
              </w:rPr>
              <w:t xml:space="preserve"> to receive</w:t>
            </w:r>
            <w:r>
              <w:rPr>
                <w:rFonts w:ascii="Calibri" w:eastAsia="Calibri" w:hAnsi="Calibri"/>
                <w:sz w:val="18"/>
                <w:szCs w:val="18"/>
              </w:rPr>
              <w:t xml:space="preserve"> LLP groundfish licenses</w:t>
            </w:r>
            <w:r w:rsidRPr="0099087B">
              <w:rPr>
                <w:rFonts w:ascii="Calibri" w:eastAsia="Calibri" w:hAnsi="Calibri"/>
                <w:sz w:val="18"/>
                <w:szCs w:val="18"/>
              </w:rPr>
              <w:t>.</w:t>
            </w:r>
          </w:p>
        </w:tc>
      </w:tr>
      <w:tr w14:paraId="3BE099F6"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C755054" w14:textId="1FC98F3F">
            <w:pPr>
              <w:widowControl/>
              <w:rPr>
                <w:rFonts w:ascii="Calibri" w:eastAsia="Calibri" w:hAnsi="Calibri"/>
                <w:sz w:val="18"/>
                <w:szCs w:val="18"/>
              </w:rPr>
            </w:pPr>
            <w:r w:rsidRPr="009713F1">
              <w:rPr>
                <w:rFonts w:ascii="Calibri" w:eastAsia="Calibri" w:hAnsi="Calibri"/>
                <w:sz w:val="18"/>
                <w:szCs w:val="18"/>
              </w:rPr>
              <w:t xml:space="preserve">CQE License Limitation Program Authorization </w:t>
            </w:r>
            <w:r>
              <w:rPr>
                <w:rFonts w:ascii="Calibri" w:eastAsia="Calibri" w:hAnsi="Calibri"/>
                <w:sz w:val="18"/>
                <w:szCs w:val="18"/>
              </w:rPr>
              <w:t>L</w:t>
            </w:r>
            <w:r w:rsidRPr="009713F1">
              <w:rPr>
                <w:rFonts w:ascii="Calibri" w:eastAsia="Calibri" w:hAnsi="Calibri"/>
                <w:sz w:val="18"/>
                <w:szCs w:val="18"/>
              </w:rPr>
              <w:t xml:space="preserve">etter  </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B97531A" w14:textId="77777777">
            <w:pPr>
              <w:widowControl/>
              <w:rPr>
                <w:rFonts w:ascii="Calibri" w:eastAsia="Calibri" w:hAnsi="Calibri"/>
                <w:sz w:val="18"/>
                <w:szCs w:val="18"/>
              </w:rPr>
            </w:pPr>
            <w:r w:rsidRPr="009713F1">
              <w:rPr>
                <w:rFonts w:ascii="Calibri" w:eastAsia="Calibri" w:hAnsi="Calibri"/>
                <w:sz w:val="18"/>
                <w:szCs w:val="18"/>
              </w:rPr>
              <w:t xml:space="preserve">679.4(k)(10)(vi)(D) and </w:t>
            </w:r>
            <w:hyperlink r:id="rId13" w:anchor="p-679.4(k)(10)(vi)(E)" w:history="1">
              <w:r w:rsidRPr="009713F1">
                <w:rPr>
                  <w:rFonts w:ascii="Calibri" w:eastAsia="Calibri" w:hAnsi="Calibri"/>
                  <w:sz w:val="18"/>
                  <w:szCs w:val="18"/>
                </w:rPr>
                <w:t>(E)</w:t>
              </w:r>
            </w:hyperlink>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475BC2D8" w14:textId="77777777">
            <w:pPr>
              <w:widowControl/>
              <w:rPr>
                <w:rFonts w:ascii="Calibri" w:eastAsia="Calibri" w:hAnsi="Calibri"/>
                <w:sz w:val="18"/>
                <w:szCs w:val="18"/>
              </w:rPr>
            </w:pPr>
            <w:hyperlink r:id="rId14" w:anchor="p-679.4(k)(10)(vi)(D)" w:history="1">
              <w:r w:rsidRPr="009713F1">
                <w:rPr>
                  <w:rStyle w:val="Hyperlink"/>
                  <w:rFonts w:ascii="Calibri" w:eastAsia="Calibri" w:hAnsi="Calibri"/>
                  <w:sz w:val="18"/>
                  <w:szCs w:val="18"/>
                </w:rPr>
                <w:t>https://www.ecfr.gov/current/title-50/part-679/section-679.4#p-679.4(k)(10)(vi)(D)</w:t>
              </w:r>
            </w:hyperlink>
            <w:r w:rsidRPr="009713F1">
              <w:rPr>
                <w:rFonts w:ascii="Calibri" w:eastAsia="Calibri" w:hAnsi="Calibri"/>
                <w:sz w:val="18"/>
                <w:szCs w:val="18"/>
              </w:rPr>
              <w:t xml:space="preserve"> and </w:t>
            </w:r>
            <w:hyperlink r:id="rId14" w:anchor="p-679.4(k)(10)(vi)(E)" w:history="1">
              <w:r w:rsidRPr="009713F1">
                <w:rPr>
                  <w:rStyle w:val="Hyperlink"/>
                  <w:rFonts w:ascii="Calibri" w:eastAsia="Calibri" w:hAnsi="Calibri"/>
                  <w:sz w:val="18"/>
                  <w:szCs w:val="18"/>
                </w:rPr>
                <w:t>https://www.ecfr.gov/current/title-50/part-679/section-679.4#p-679.4(k)(10)(vi)(E)</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64EAD5D" w14:textId="77777777">
            <w:pPr>
              <w:widowControl/>
              <w:rPr>
                <w:rFonts w:ascii="Calibri" w:eastAsia="Calibri" w:hAnsi="Calibri"/>
                <w:sz w:val="18"/>
                <w:szCs w:val="18"/>
              </w:rPr>
            </w:pPr>
            <w:r w:rsidRPr="009713F1">
              <w:rPr>
                <w:rFonts w:ascii="Calibri" w:eastAsia="Calibri" w:hAnsi="Calibri"/>
                <w:sz w:val="18"/>
                <w:szCs w:val="18"/>
              </w:rPr>
              <w:t>CQE representative</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335D9AE8" w14:textId="77777777">
            <w:pPr>
              <w:widowControl/>
              <w:rPr>
                <w:rFonts w:ascii="Calibri" w:eastAsia="Calibri" w:hAnsi="Calibri"/>
                <w:sz w:val="18"/>
                <w:szCs w:val="18"/>
              </w:rPr>
            </w:pPr>
            <w:r w:rsidRPr="009713F1">
              <w:rPr>
                <w:rFonts w:ascii="Calibri" w:eastAsia="Calibri" w:hAnsi="Calibri"/>
                <w:sz w:val="18"/>
                <w:szCs w:val="18"/>
              </w:rPr>
              <w:t>N</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90C931E" w14:textId="45174892">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6274C1C2" w14:textId="77777777">
            <w:pPr>
              <w:widowControl/>
              <w:rPr>
                <w:rFonts w:ascii="Calibri" w:eastAsia="Calibri" w:hAnsi="Calibri"/>
                <w:sz w:val="18"/>
                <w:szCs w:val="18"/>
              </w:rPr>
            </w:pPr>
            <w:r w:rsidRPr="009713F1">
              <w:rPr>
                <w:rFonts w:ascii="Calibri" w:eastAsia="Calibri" w:hAnsi="Calibri"/>
                <w:sz w:val="18"/>
                <w:szCs w:val="18"/>
              </w:rPr>
              <w:t>Annually</w:t>
            </w:r>
            <w:r>
              <w:rPr>
                <w:rFonts w:ascii="Calibri" w:eastAsia="Calibri" w:hAnsi="Calibri"/>
                <w:sz w:val="18"/>
                <w:szCs w:val="18"/>
              </w:rPr>
              <w:t>:</w:t>
            </w:r>
            <w:r>
              <w:t xml:space="preserve"> </w:t>
            </w:r>
            <w:r w:rsidRPr="00C94E6A">
              <w:rPr>
                <w:rFonts w:ascii="Calibri" w:eastAsia="Calibri" w:hAnsi="Calibri"/>
                <w:sz w:val="18"/>
                <w:szCs w:val="18"/>
              </w:rPr>
              <w:t>A CQE must provide a copy of the authorization letter, and any subsequent amendment to that authorization letter</w:t>
            </w:r>
            <w:r>
              <w:rPr>
                <w:rFonts w:ascii="Calibri" w:eastAsia="Calibri" w:hAnsi="Calibri"/>
                <w:sz w:val="18"/>
                <w:szCs w:val="18"/>
              </w:rPr>
              <w:t>,</w:t>
            </w:r>
            <w:r w:rsidRPr="00C94E6A">
              <w:rPr>
                <w:rFonts w:ascii="Calibri" w:eastAsia="Calibri" w:hAnsi="Calibri"/>
                <w:sz w:val="18"/>
                <w:szCs w:val="18"/>
              </w:rPr>
              <w:t xml:space="preserve"> to both NMFS and the vessel operator prior to use of the LLP license by the person(s) designated.</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531C1289" w14:textId="77777777">
            <w:pPr>
              <w:widowControl/>
              <w:rPr>
                <w:rFonts w:ascii="Calibri" w:eastAsia="Calibri" w:hAnsi="Calibri"/>
                <w:sz w:val="18"/>
                <w:szCs w:val="18"/>
              </w:rPr>
            </w:pPr>
            <w:r>
              <w:rPr>
                <w:rFonts w:ascii="Calibri" w:eastAsia="Calibri" w:hAnsi="Calibri"/>
                <w:sz w:val="18"/>
                <w:szCs w:val="18"/>
              </w:rPr>
              <w:t>Used by a CQE to assign each community LLP license to a user and vessel.</w:t>
            </w:r>
          </w:p>
          <w:p w:rsidR="00A62B97" w:rsidP="00484FD1" w14:paraId="343A23D7" w14:textId="3E2CAE00">
            <w:pPr>
              <w:widowControl/>
              <w:rPr>
                <w:rFonts w:ascii="Calibri" w:eastAsia="Calibri" w:hAnsi="Calibri"/>
                <w:sz w:val="18"/>
                <w:szCs w:val="18"/>
              </w:rPr>
            </w:pPr>
            <w:r>
              <w:rPr>
                <w:rFonts w:ascii="Calibri" w:eastAsia="Calibri" w:hAnsi="Calibri"/>
                <w:sz w:val="18"/>
                <w:szCs w:val="18"/>
              </w:rPr>
              <w:t xml:space="preserve"> </w:t>
            </w:r>
          </w:p>
          <w:p w:rsidR="00A62B97" w:rsidRPr="009713F1" w:rsidP="00484FD1" w14:paraId="357DCC51" w14:textId="77777777">
            <w:pPr>
              <w:widowControl/>
              <w:rPr>
                <w:rFonts w:ascii="Calibri" w:eastAsia="Calibri" w:hAnsi="Calibri"/>
                <w:sz w:val="18"/>
                <w:szCs w:val="18"/>
              </w:rPr>
            </w:pPr>
            <w:r w:rsidRPr="00786049">
              <w:rPr>
                <w:rFonts w:ascii="Calibri" w:eastAsia="Calibri" w:hAnsi="Calibri"/>
                <w:sz w:val="18"/>
                <w:szCs w:val="18"/>
              </w:rPr>
              <w:t>Used by NMFS and NOAA OLE</w:t>
            </w:r>
            <w:r>
              <w:rPr>
                <w:rFonts w:ascii="Calibri" w:eastAsia="Calibri" w:hAnsi="Calibri"/>
                <w:sz w:val="18"/>
                <w:szCs w:val="18"/>
              </w:rPr>
              <w:t xml:space="preserve"> to </w:t>
            </w:r>
            <w:r w:rsidRPr="00786049">
              <w:rPr>
                <w:rFonts w:ascii="Calibri" w:eastAsia="Calibri" w:hAnsi="Calibri"/>
                <w:sz w:val="18"/>
                <w:szCs w:val="18"/>
              </w:rPr>
              <w:t xml:space="preserve">identify </w:t>
            </w:r>
            <w:r>
              <w:rPr>
                <w:rFonts w:ascii="Calibri" w:eastAsia="Calibri" w:hAnsi="Calibri"/>
                <w:sz w:val="18"/>
                <w:szCs w:val="18"/>
              </w:rPr>
              <w:t xml:space="preserve">the community residents and vessels assigned an LLP license by the CQE. </w:t>
            </w:r>
          </w:p>
        </w:tc>
      </w:tr>
      <w:tr w14:paraId="596495DF" w14:textId="77777777" w:rsidTr="00484FD1">
        <w:tblPrEx>
          <w:tblW w:w="14125" w:type="dxa"/>
          <w:jc w:val="center"/>
          <w:tblLayout w:type="fixed"/>
          <w:tblLook w:val="04A0"/>
        </w:tblPrEx>
        <w:trPr>
          <w:trHeight w:val="307"/>
          <w:jc w:val="center"/>
        </w:trPr>
        <w:tc>
          <w:tcPr>
            <w:tcW w:w="14125" w:type="dxa"/>
            <w:gridSpan w:val="8"/>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tcPr>
          <w:p w:rsidR="00DC507A" w:rsidRPr="009713F1" w:rsidP="00484FD1" w14:paraId="327F5174" w14:textId="77777777">
            <w:pPr>
              <w:widowControl/>
              <w:rPr>
                <w:rFonts w:ascii="Calibri" w:eastAsia="Calibri" w:hAnsi="Calibri"/>
                <w:b/>
                <w:sz w:val="18"/>
                <w:szCs w:val="18"/>
              </w:rPr>
            </w:pPr>
            <w:r w:rsidRPr="009713F1">
              <w:rPr>
                <w:rFonts w:ascii="Calibri" w:eastAsia="Calibri" w:hAnsi="Calibri"/>
                <w:b/>
                <w:sz w:val="18"/>
                <w:szCs w:val="18"/>
              </w:rPr>
              <w:t>Charter Halibut Limited Access Program</w:t>
            </w:r>
          </w:p>
        </w:tc>
      </w:tr>
      <w:tr w14:paraId="17B87025" w14:textId="77777777" w:rsidTr="00A62B97">
        <w:tblPrEx>
          <w:tblW w:w="14125" w:type="dxa"/>
          <w:jc w:val="center"/>
          <w:tblLayout w:type="fixed"/>
          <w:tblLook w:val="04A0"/>
        </w:tblPrEx>
        <w:trPr>
          <w:trHeight w:val="433"/>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2D677D6" w14:textId="77777777">
            <w:pPr>
              <w:widowControl/>
              <w:rPr>
                <w:rFonts w:ascii="Calibri" w:eastAsia="Calibri" w:hAnsi="Calibri"/>
                <w:sz w:val="18"/>
                <w:szCs w:val="18"/>
              </w:rPr>
            </w:pPr>
            <w:r w:rsidRPr="009713F1">
              <w:rPr>
                <w:rFonts w:ascii="Calibri" w:eastAsia="Calibri" w:hAnsi="Calibri"/>
                <w:sz w:val="18"/>
                <w:szCs w:val="18"/>
              </w:rPr>
              <w:t xml:space="preserve">Application for Community Charter Halibut Permit </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78C00ED3" w14:textId="77777777">
            <w:pPr>
              <w:widowControl/>
              <w:rPr>
                <w:rFonts w:ascii="Calibri" w:eastAsia="Calibri" w:hAnsi="Calibri"/>
                <w:sz w:val="18"/>
                <w:szCs w:val="18"/>
              </w:rPr>
            </w:pPr>
            <w:r w:rsidRPr="009713F1">
              <w:rPr>
                <w:rFonts w:ascii="Calibri" w:eastAsia="Calibri" w:hAnsi="Calibri"/>
                <w:sz w:val="18"/>
                <w:szCs w:val="18"/>
              </w:rPr>
              <w:t>300.67(k)</w:t>
            </w:r>
          </w:p>
        </w:tc>
        <w:tc>
          <w:tcPr>
            <w:tcW w:w="1687" w:type="dxa"/>
            <w:tcBorders>
              <w:top w:val="single" w:sz="4" w:space="0" w:color="auto"/>
              <w:left w:val="single" w:sz="4" w:space="0" w:color="auto"/>
              <w:bottom w:val="single" w:sz="4" w:space="0" w:color="auto"/>
              <w:right w:val="single" w:sz="4" w:space="0" w:color="auto"/>
            </w:tcBorders>
            <w:vAlign w:val="center"/>
          </w:tcPr>
          <w:p w:rsidR="00A62B97" w:rsidRPr="009713F1" w:rsidP="00484FD1" w14:paraId="7B05BCCC" w14:textId="77777777">
            <w:pPr>
              <w:widowControl/>
              <w:rPr>
                <w:rFonts w:ascii="Calibri" w:eastAsia="Calibri" w:hAnsi="Calibri"/>
                <w:sz w:val="18"/>
                <w:szCs w:val="18"/>
              </w:rPr>
            </w:pPr>
            <w:hyperlink r:id="rId15" w:anchor="p-300.67(k)" w:history="1">
              <w:r w:rsidRPr="009713F1">
                <w:rPr>
                  <w:rStyle w:val="Hyperlink"/>
                  <w:rFonts w:ascii="Calibri" w:eastAsia="Calibri" w:hAnsi="Calibri"/>
                  <w:sz w:val="18"/>
                  <w:szCs w:val="18"/>
                </w:rPr>
                <w:t>https://www.ecfr.gov/current/title-50/part-300/section-300.67#p-300.67(k)</w:t>
              </w:r>
            </w:hyperlink>
            <w:r w:rsidRPr="009713F1">
              <w:rPr>
                <w:rFonts w:ascii="Calibri" w:eastAsia="Calibri" w:hAnsi="Calibri"/>
                <w:sz w:val="18"/>
                <w:szCs w:val="18"/>
              </w:rPr>
              <w:t xml:space="preserve"> </w:t>
            </w:r>
          </w:p>
        </w:tc>
        <w:tc>
          <w:tcPr>
            <w:tcW w:w="1553"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628D087" w14:textId="77777777">
            <w:pPr>
              <w:widowControl/>
              <w:rPr>
                <w:rFonts w:ascii="Calibri" w:eastAsia="Calibri" w:hAnsi="Calibri"/>
                <w:sz w:val="18"/>
                <w:szCs w:val="18"/>
              </w:rPr>
            </w:pPr>
            <w:r w:rsidRPr="009713F1">
              <w:rPr>
                <w:rFonts w:ascii="Calibri" w:eastAsia="Calibri" w:hAnsi="Calibri"/>
                <w:sz w:val="18"/>
                <w:szCs w:val="18"/>
              </w:rPr>
              <w:t>CQE representative</w:t>
            </w:r>
          </w:p>
        </w:tc>
        <w:tc>
          <w:tcPr>
            <w:tcW w:w="81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6D48C9C" w14:textId="77777777">
            <w:pPr>
              <w:widowControl/>
              <w:rPr>
                <w:rFonts w:ascii="Calibri" w:eastAsia="Calibri" w:hAnsi="Calibri"/>
                <w:sz w:val="18"/>
                <w:szCs w:val="18"/>
              </w:rPr>
            </w:pPr>
            <w:r w:rsidRPr="009713F1">
              <w:rPr>
                <w:rFonts w:ascii="Calibri" w:eastAsia="Calibri" w:hAnsi="Calibri"/>
                <w:sz w:val="18"/>
                <w:szCs w:val="18"/>
              </w:rPr>
              <w: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2322EDAD" w14:textId="19289636">
            <w:pPr>
              <w:widowControl/>
              <w:rPr>
                <w:rFonts w:ascii="Calibri" w:eastAsia="Calibri" w:hAnsi="Calibri"/>
                <w:sz w:val="18"/>
                <w:szCs w:val="18"/>
              </w:rPr>
            </w:pPr>
            <w:r w:rsidRPr="009713F1">
              <w:rPr>
                <w:rFonts w:ascii="Calibri" w:eastAsia="Calibri" w:hAnsi="Calibri"/>
                <w:sz w:val="18"/>
                <w:szCs w:val="18"/>
              </w:rPr>
              <w:t>mail, delivery, fax</w:t>
            </w:r>
            <w:r>
              <w:rPr>
                <w:rFonts w:ascii="Calibri" w:eastAsia="Calibri" w:hAnsi="Calibri"/>
                <w:sz w:val="18"/>
                <w:szCs w:val="18"/>
              </w:rPr>
              <w:t>, or email</w:t>
            </w:r>
          </w:p>
        </w:tc>
        <w:tc>
          <w:tcPr>
            <w:tcW w:w="1980" w:type="dxa"/>
            <w:tcBorders>
              <w:top w:val="single" w:sz="4" w:space="0" w:color="auto"/>
              <w:left w:val="single" w:sz="4" w:space="0" w:color="auto"/>
              <w:bottom w:val="single" w:sz="4" w:space="0" w:color="auto"/>
              <w:right w:val="single" w:sz="4" w:space="0" w:color="auto"/>
            </w:tcBorders>
            <w:vAlign w:val="center"/>
            <w:hideMark/>
          </w:tcPr>
          <w:p w:rsidR="00A62B97" w:rsidRPr="009713F1" w:rsidP="00484FD1" w14:paraId="0E04D7BF" w14:textId="77777777">
            <w:pPr>
              <w:widowControl/>
              <w:rPr>
                <w:rFonts w:ascii="Calibri" w:eastAsia="Calibri" w:hAnsi="Calibri"/>
                <w:sz w:val="18"/>
                <w:szCs w:val="18"/>
              </w:rPr>
            </w:pPr>
            <w:r w:rsidRPr="009713F1">
              <w:rPr>
                <w:rFonts w:ascii="Calibri" w:eastAsia="Calibri" w:hAnsi="Calibri"/>
                <w:sz w:val="18"/>
                <w:szCs w:val="18"/>
              </w:rPr>
              <w:t>As needed</w:t>
            </w:r>
          </w:p>
        </w:tc>
        <w:tc>
          <w:tcPr>
            <w:tcW w:w="4590" w:type="dxa"/>
            <w:tcBorders>
              <w:top w:val="single" w:sz="4" w:space="0" w:color="auto"/>
              <w:left w:val="single" w:sz="4" w:space="0" w:color="auto"/>
              <w:bottom w:val="single" w:sz="4" w:space="0" w:color="auto"/>
              <w:right w:val="single" w:sz="4" w:space="0" w:color="auto"/>
            </w:tcBorders>
            <w:vAlign w:val="center"/>
          </w:tcPr>
          <w:p w:rsidR="00A62B97" w:rsidP="00484FD1" w14:paraId="6AD58251" w14:textId="2C3CF88B">
            <w:pPr>
              <w:widowControl/>
              <w:spacing w:before="60"/>
              <w:rPr>
                <w:rFonts w:ascii="Calibri" w:eastAsia="Calibri" w:hAnsi="Calibri"/>
                <w:sz w:val="18"/>
                <w:szCs w:val="18"/>
              </w:rPr>
            </w:pPr>
            <w:r>
              <w:rPr>
                <w:rFonts w:ascii="Calibri" w:eastAsia="Calibri" w:hAnsi="Calibri"/>
                <w:sz w:val="18"/>
                <w:szCs w:val="18"/>
              </w:rPr>
              <w:t>Used by a</w:t>
            </w:r>
            <w:r w:rsidRPr="00C94E6A">
              <w:rPr>
                <w:rFonts w:ascii="Calibri" w:eastAsia="Calibri" w:hAnsi="Calibri"/>
                <w:sz w:val="18"/>
                <w:szCs w:val="18"/>
              </w:rPr>
              <w:t xml:space="preserve"> CQE </w:t>
            </w:r>
            <w:r>
              <w:rPr>
                <w:rFonts w:ascii="Calibri" w:eastAsia="Calibri" w:hAnsi="Calibri"/>
                <w:sz w:val="18"/>
                <w:szCs w:val="18"/>
              </w:rPr>
              <w:t xml:space="preserve">to apply </w:t>
            </w:r>
            <w:r w:rsidRPr="00C94E6A">
              <w:rPr>
                <w:rFonts w:ascii="Calibri" w:eastAsia="Calibri" w:hAnsi="Calibri"/>
                <w:sz w:val="18"/>
                <w:szCs w:val="18"/>
              </w:rPr>
              <w:t xml:space="preserve">for community charter halibut permits for eligible </w:t>
            </w:r>
            <w:r w:rsidRPr="00304234">
              <w:rPr>
                <w:rFonts w:ascii="Calibri" w:eastAsia="Calibri" w:hAnsi="Calibri"/>
                <w:sz w:val="18"/>
                <w:szCs w:val="18"/>
              </w:rPr>
              <w:t>communities.</w:t>
            </w:r>
          </w:p>
          <w:p w:rsidR="00A62B97" w:rsidRPr="00304234" w:rsidP="00484FD1" w14:paraId="3A17B6E7" w14:textId="77777777">
            <w:pPr>
              <w:widowControl/>
              <w:spacing w:before="60"/>
              <w:rPr>
                <w:rFonts w:ascii="Calibri" w:eastAsia="Calibri" w:hAnsi="Calibri"/>
                <w:sz w:val="18"/>
                <w:szCs w:val="18"/>
              </w:rPr>
            </w:pPr>
          </w:p>
          <w:p w:rsidR="00A62B97" w:rsidRPr="009713F1" w:rsidP="00484FD1" w14:paraId="1BF545A7" w14:textId="77777777">
            <w:pPr>
              <w:widowControl/>
              <w:spacing w:after="60"/>
              <w:rPr>
                <w:rFonts w:ascii="Calibri" w:eastAsia="Calibri" w:hAnsi="Calibri"/>
                <w:sz w:val="18"/>
                <w:szCs w:val="18"/>
              </w:rPr>
            </w:pPr>
            <w:r w:rsidRPr="00304234">
              <w:rPr>
                <w:rFonts w:ascii="Calibri" w:eastAsia="Calibri" w:hAnsi="Calibri"/>
                <w:sz w:val="18"/>
                <w:szCs w:val="18"/>
              </w:rPr>
              <w:t xml:space="preserve">Used by NMFS to </w:t>
            </w:r>
            <w:r>
              <w:rPr>
                <w:rFonts w:ascii="Calibri" w:eastAsia="Calibri" w:hAnsi="Calibri"/>
                <w:sz w:val="18"/>
                <w:szCs w:val="18"/>
              </w:rPr>
              <w:t xml:space="preserve">determine eligibility of the CQE to be issued </w:t>
            </w:r>
            <w:r w:rsidRPr="00304234">
              <w:rPr>
                <w:rFonts w:ascii="Calibri" w:eastAsia="Calibri" w:hAnsi="Calibri"/>
                <w:sz w:val="18"/>
                <w:szCs w:val="18"/>
              </w:rPr>
              <w:t xml:space="preserve">community charter halibut </w:t>
            </w:r>
            <w:r>
              <w:rPr>
                <w:rFonts w:ascii="Calibri" w:eastAsia="Calibri" w:hAnsi="Calibri"/>
                <w:sz w:val="18"/>
                <w:szCs w:val="18"/>
              </w:rPr>
              <w:t>permits.</w:t>
            </w:r>
          </w:p>
        </w:tc>
      </w:tr>
      <w:tr w14:paraId="43FB2218" w14:textId="77777777" w:rsidTr="00484FD1">
        <w:tblPrEx>
          <w:tblW w:w="14125" w:type="dxa"/>
          <w:jc w:val="center"/>
          <w:tblLayout w:type="fixed"/>
          <w:tblLook w:val="04A0"/>
        </w:tblPrEx>
        <w:trPr>
          <w:trHeight w:val="433"/>
          <w:jc w:val="center"/>
        </w:trPr>
        <w:tc>
          <w:tcPr>
            <w:tcW w:w="14125" w:type="dxa"/>
            <w:gridSpan w:val="8"/>
            <w:tcBorders>
              <w:top w:val="single" w:sz="4" w:space="0" w:color="auto"/>
              <w:left w:val="single" w:sz="4" w:space="0" w:color="auto"/>
              <w:bottom w:val="single" w:sz="4" w:space="0" w:color="auto"/>
              <w:right w:val="single" w:sz="4" w:space="0" w:color="auto"/>
            </w:tcBorders>
            <w:vAlign w:val="center"/>
          </w:tcPr>
          <w:p w:rsidR="00DC507A" w:rsidRPr="00DC507A" w:rsidP="00DC507A" w14:paraId="62896117" w14:textId="77777777">
            <w:pPr>
              <w:widowControl/>
              <w:rPr>
                <w:rFonts w:ascii="Calibri" w:eastAsia="Calibri" w:hAnsi="Calibri"/>
                <w:sz w:val="18"/>
                <w:szCs w:val="18"/>
              </w:rPr>
            </w:pPr>
            <w:r w:rsidRPr="00DC507A">
              <w:rPr>
                <w:rFonts w:ascii="Calibri" w:eastAsia="Calibri" w:hAnsi="Calibri"/>
                <w:sz w:val="18"/>
                <w:szCs w:val="18"/>
                <w:vertAlign w:val="superscript"/>
              </w:rPr>
              <w:t>1</w:t>
            </w:r>
            <w:r w:rsidRPr="00DC507A">
              <w:rPr>
                <w:rFonts w:ascii="Calibri" w:eastAsia="Calibri" w:hAnsi="Calibri"/>
                <w:sz w:val="18"/>
                <w:szCs w:val="18"/>
              </w:rPr>
              <w:t xml:space="preserve"> Forms are available as fillable pdfs on the NMFS Alaska Region website at </w:t>
            </w:r>
            <w:hyperlink r:id="rId16" w:history="1">
              <w:r w:rsidRPr="00DC507A">
                <w:rPr>
                  <w:rStyle w:val="Hyperlink"/>
                  <w:rFonts w:ascii="Calibri" w:eastAsia="Calibri" w:hAnsi="Calibri"/>
                  <w:sz w:val="18"/>
                  <w:szCs w:val="18"/>
                </w:rPr>
                <w:t>https://www.fisheries.noaa.gov/permit/alaska-community-quota-entity-applications</w:t>
              </w:r>
            </w:hyperlink>
            <w:r w:rsidRPr="00DC507A">
              <w:rPr>
                <w:rFonts w:ascii="Calibri" w:eastAsia="Calibri" w:hAnsi="Calibri"/>
                <w:sz w:val="18"/>
                <w:szCs w:val="18"/>
              </w:rPr>
              <w:t xml:space="preserve">. </w:t>
            </w:r>
          </w:p>
          <w:p w:rsidR="00DC507A" w:rsidRPr="00DC507A" w:rsidP="00DC507A" w14:paraId="4B5E9F73" w14:textId="77777777">
            <w:pPr>
              <w:widowControl/>
              <w:rPr>
                <w:rFonts w:ascii="Calibri" w:eastAsia="Calibri" w:hAnsi="Calibri"/>
                <w:sz w:val="18"/>
                <w:szCs w:val="18"/>
              </w:rPr>
            </w:pPr>
            <w:r w:rsidRPr="00DC507A">
              <w:rPr>
                <w:rFonts w:ascii="Calibri" w:eastAsia="Calibri" w:hAnsi="Calibri"/>
                <w:sz w:val="18"/>
                <w:szCs w:val="18"/>
                <w:vertAlign w:val="superscript"/>
              </w:rPr>
              <w:t>2</w:t>
            </w:r>
            <w:r w:rsidRPr="00DC507A">
              <w:rPr>
                <w:rFonts w:ascii="Calibri" w:eastAsia="Calibri" w:hAnsi="Calibri"/>
                <w:sz w:val="18"/>
                <w:szCs w:val="18"/>
              </w:rPr>
              <w:t xml:space="preserve"> </w:t>
            </w:r>
            <w:r w:rsidRPr="00DC507A">
              <w:rPr>
                <w:rFonts w:ascii="Calibri" w:eastAsia="Calibri" w:hAnsi="Calibri"/>
                <w:b/>
                <w:sz w:val="18"/>
                <w:szCs w:val="18"/>
              </w:rPr>
              <w:t>Mail</w:t>
            </w:r>
            <w:r w:rsidRPr="00DC507A">
              <w:rPr>
                <w:rFonts w:ascii="Calibri" w:eastAsia="Calibri" w:hAnsi="Calibri"/>
                <w:sz w:val="18"/>
                <w:szCs w:val="18"/>
              </w:rPr>
              <w:t>: NMFS Alaska Region, Restricted Access Management, P.O. Box 21668, Juneau, AK 99802-1668</w:t>
            </w:r>
          </w:p>
          <w:p w:rsidR="00DC507A" w:rsidRPr="00DC507A" w:rsidP="00DC507A" w14:paraId="0817CE6E" w14:textId="77777777">
            <w:pPr>
              <w:widowControl/>
              <w:rPr>
                <w:rFonts w:ascii="Calibri" w:eastAsia="Calibri" w:hAnsi="Calibri"/>
                <w:sz w:val="18"/>
                <w:szCs w:val="18"/>
              </w:rPr>
            </w:pPr>
            <w:r w:rsidRPr="00DC507A">
              <w:rPr>
                <w:rFonts w:ascii="Calibri" w:eastAsia="Calibri" w:hAnsi="Calibri"/>
                <w:sz w:val="18"/>
                <w:szCs w:val="18"/>
              </w:rPr>
              <w:t xml:space="preserve">  </w:t>
            </w:r>
            <w:r w:rsidRPr="00DC507A">
              <w:rPr>
                <w:rFonts w:ascii="Calibri" w:eastAsia="Calibri" w:hAnsi="Calibri"/>
                <w:b/>
                <w:sz w:val="18"/>
                <w:szCs w:val="18"/>
              </w:rPr>
              <w:t>Delivery</w:t>
            </w:r>
            <w:r w:rsidRPr="00DC507A">
              <w:rPr>
                <w:rFonts w:ascii="Calibri" w:eastAsia="Calibri" w:hAnsi="Calibri"/>
                <w:sz w:val="18"/>
                <w:szCs w:val="18"/>
              </w:rPr>
              <w:t>: 709 West 9</w:t>
            </w:r>
            <w:r w:rsidRPr="00DC507A">
              <w:rPr>
                <w:rFonts w:ascii="Calibri" w:eastAsia="Calibri" w:hAnsi="Calibri"/>
                <w:sz w:val="18"/>
                <w:szCs w:val="18"/>
                <w:vertAlign w:val="superscript"/>
              </w:rPr>
              <w:t>th</w:t>
            </w:r>
            <w:r w:rsidRPr="00DC507A">
              <w:rPr>
                <w:rFonts w:ascii="Calibri" w:eastAsia="Calibri" w:hAnsi="Calibri"/>
                <w:sz w:val="18"/>
                <w:szCs w:val="18"/>
              </w:rPr>
              <w:t xml:space="preserve"> Street, Room 713, Juneau, AK, 99801</w:t>
            </w:r>
          </w:p>
          <w:p w:rsidR="00DC507A" w:rsidRPr="00250820" w:rsidP="00DC507A" w14:paraId="145708A9" w14:textId="0A889D24">
            <w:pPr>
              <w:widowControl/>
              <w:rPr>
                <w:rFonts w:ascii="Calibri" w:eastAsia="Calibri" w:hAnsi="Calibri"/>
                <w:sz w:val="18"/>
                <w:szCs w:val="18"/>
              </w:rPr>
            </w:pPr>
            <w:r w:rsidRPr="00DC507A">
              <w:rPr>
                <w:rFonts w:ascii="Calibri" w:eastAsia="Calibri" w:hAnsi="Calibri"/>
                <w:sz w:val="18"/>
                <w:szCs w:val="18"/>
              </w:rPr>
              <w:t xml:space="preserve">  </w:t>
            </w:r>
            <w:r w:rsidRPr="00DC507A">
              <w:rPr>
                <w:rFonts w:ascii="Calibri" w:eastAsia="Calibri" w:hAnsi="Calibri"/>
                <w:b/>
                <w:sz w:val="18"/>
                <w:szCs w:val="18"/>
              </w:rPr>
              <w:t>Fax</w:t>
            </w:r>
            <w:r w:rsidRPr="00DC507A">
              <w:rPr>
                <w:rFonts w:ascii="Calibri" w:eastAsia="Calibri" w:hAnsi="Calibri"/>
                <w:sz w:val="18"/>
                <w:szCs w:val="18"/>
              </w:rPr>
              <w:t>: (907) 586-</w:t>
            </w:r>
            <w:r w:rsidRPr="00250820">
              <w:rPr>
                <w:rFonts w:ascii="Calibri" w:eastAsia="Calibri" w:hAnsi="Calibri"/>
                <w:sz w:val="18"/>
                <w:szCs w:val="18"/>
              </w:rPr>
              <w:t>7354</w:t>
            </w:r>
          </w:p>
          <w:p w:rsidR="00544370" w:rsidRPr="00250820" w:rsidP="00DC507A" w14:paraId="3601369C" w14:textId="2BBFF006">
            <w:pPr>
              <w:widowControl/>
              <w:rPr>
                <w:rFonts w:ascii="Calibri" w:eastAsia="Calibri" w:hAnsi="Calibri"/>
                <w:sz w:val="18"/>
                <w:szCs w:val="18"/>
              </w:rPr>
            </w:pPr>
            <w:r w:rsidRPr="00250820">
              <w:rPr>
                <w:rFonts w:ascii="Calibri" w:eastAsia="Calibri" w:hAnsi="Calibri"/>
                <w:sz w:val="18"/>
                <w:szCs w:val="18"/>
              </w:rPr>
              <w:t xml:space="preserve">  </w:t>
            </w:r>
            <w:r w:rsidRPr="00250820">
              <w:rPr>
                <w:rFonts w:ascii="Calibri" w:eastAsia="Calibri" w:hAnsi="Calibri"/>
                <w:b/>
                <w:bCs/>
                <w:sz w:val="18"/>
                <w:szCs w:val="18"/>
              </w:rPr>
              <w:t>Email</w:t>
            </w:r>
            <w:r w:rsidRPr="00250820">
              <w:rPr>
                <w:rFonts w:ascii="Calibri" w:eastAsia="Calibri" w:hAnsi="Calibri"/>
                <w:sz w:val="18"/>
                <w:szCs w:val="18"/>
              </w:rPr>
              <w:t xml:space="preserve">: </w:t>
            </w:r>
            <w:hyperlink r:id="rId17" w:history="1">
              <w:r w:rsidRPr="00250820">
                <w:rPr>
                  <w:rStyle w:val="Hyperlink"/>
                  <w:rFonts w:asciiTheme="minorHAnsi" w:hAnsiTheme="minorHAnsi" w:cstheme="minorHAnsi"/>
                  <w:sz w:val="18"/>
                  <w:szCs w:val="18"/>
                </w:rPr>
                <w:t>RAM.alaska@noaa.gov</w:t>
              </w:r>
            </w:hyperlink>
          </w:p>
          <w:p w:rsidR="00DC507A" w:rsidRPr="00A330F9" w:rsidP="00484FD1" w14:paraId="41A7231F" w14:textId="77777777">
            <w:pPr>
              <w:widowControl/>
              <w:rPr>
                <w:rFonts w:ascii="Calibri" w:eastAsia="Calibri" w:hAnsi="Calibri"/>
                <w:sz w:val="18"/>
                <w:szCs w:val="18"/>
                <w:highlight w:val="yellow"/>
              </w:rPr>
            </w:pPr>
          </w:p>
        </w:tc>
      </w:tr>
    </w:tbl>
    <w:p w:rsidR="00DC507A" w:rsidP="00184FB4" w14:paraId="104CC5FB" w14:textId="77777777">
      <w:pPr>
        <w:pBdr>
          <w:top w:val="nil"/>
          <w:left w:val="nil"/>
          <w:bottom w:val="nil"/>
          <w:right w:val="nil"/>
          <w:between w:val="nil"/>
        </w:pBdr>
        <w:tabs>
          <w:tab w:val="left" w:pos="360"/>
        </w:tabs>
        <w:spacing w:before="199"/>
        <w:rPr>
          <w:b/>
          <w:color w:val="000000"/>
        </w:rPr>
        <w:sectPr w:rsidSect="00DC507A">
          <w:pgSz w:w="15840" w:h="12240" w:orient="landscape"/>
          <w:pgMar w:top="1080" w:right="640" w:bottom="1080" w:left="1200" w:header="0" w:footer="714" w:gutter="0"/>
          <w:pgNumType w:start="1"/>
          <w:cols w:space="720"/>
          <w:docGrid w:linePitch="326"/>
        </w:sectPr>
      </w:pPr>
    </w:p>
    <w:p w:rsidR="00184FB4" w:rsidRPr="00AD6CD8" w:rsidP="00184FB4" w14:paraId="42ABE86C" w14:textId="77777777">
      <w:pPr>
        <w:keepNext/>
        <w:keepLines/>
        <w:widowControl/>
        <w:pBdr>
          <w:top w:val="nil"/>
          <w:left w:val="nil"/>
          <w:bottom w:val="nil"/>
          <w:right w:val="nil"/>
          <w:between w:val="nil"/>
        </w:pBdr>
        <w:outlineLvl w:val="1"/>
        <w:rPr>
          <w:rFonts w:eastAsia="Arial"/>
          <w:b/>
          <w:lang w:val="en"/>
        </w:rPr>
      </w:pPr>
      <w:r w:rsidRPr="00AD6CD8">
        <w:rPr>
          <w:rFonts w:eastAsia="Arial"/>
          <w:b/>
          <w:lang w:val="en"/>
        </w:rPr>
        <w:t>Changes to this Collection Since the Last Extension</w:t>
      </w:r>
    </w:p>
    <w:p w:rsidR="00184FB4" w:rsidP="00184FB4" w14:paraId="580054E5" w14:textId="77777777">
      <w:pPr>
        <w:keepNext/>
        <w:keepLines/>
        <w:widowControl/>
        <w:pBdr>
          <w:top w:val="nil"/>
          <w:left w:val="nil"/>
          <w:bottom w:val="nil"/>
          <w:right w:val="nil"/>
          <w:between w:val="nil"/>
        </w:pBdr>
        <w:outlineLvl w:val="1"/>
        <w:rPr>
          <w:rFonts w:eastAsia="Arial"/>
          <w:lang w:val="en"/>
        </w:rPr>
      </w:pPr>
    </w:p>
    <w:p w:rsidR="003A0D67" w:rsidP="00184FB4" w14:paraId="226859C0" w14:textId="77777777">
      <w:pPr>
        <w:widowControl/>
        <w:pBdr>
          <w:top w:val="nil"/>
          <w:left w:val="nil"/>
          <w:bottom w:val="nil"/>
          <w:right w:val="nil"/>
          <w:between w:val="nil"/>
        </w:pBdr>
        <w:outlineLvl w:val="1"/>
        <w:rPr>
          <w:rFonts w:eastAsia="Arial"/>
          <w:lang w:val="en"/>
        </w:rPr>
      </w:pPr>
      <w:bookmarkStart w:id="3" w:name="_Hlk210132268"/>
      <w:r>
        <w:rPr>
          <w:rFonts w:eastAsia="Arial"/>
          <w:lang w:val="en"/>
        </w:rPr>
        <w:t>Since</w:t>
      </w:r>
      <w:r w:rsidRPr="00E95CA3">
        <w:rPr>
          <w:rFonts w:eastAsia="Arial"/>
          <w:lang w:val="en"/>
        </w:rPr>
        <w:t xml:space="preserve"> </w:t>
      </w:r>
      <w:r>
        <w:rPr>
          <w:rFonts w:eastAsia="Arial"/>
          <w:lang w:val="en"/>
        </w:rPr>
        <w:t>this information collection</w:t>
      </w:r>
      <w:r w:rsidRPr="00E95CA3">
        <w:rPr>
          <w:rFonts w:eastAsia="Arial"/>
          <w:lang w:val="en"/>
        </w:rPr>
        <w:t xml:space="preserve"> was last revised and extended in 202</w:t>
      </w:r>
      <w:r>
        <w:rPr>
          <w:rFonts w:eastAsia="Arial"/>
          <w:lang w:val="en"/>
        </w:rPr>
        <w:t>1, it has been revised one time.</w:t>
      </w:r>
      <w:r w:rsidRPr="00E95CA3">
        <w:rPr>
          <w:rFonts w:eastAsia="Arial"/>
          <w:lang w:val="en"/>
        </w:rPr>
        <w:t xml:space="preserve"> In 202</w:t>
      </w:r>
      <w:r>
        <w:rPr>
          <w:rFonts w:eastAsia="Arial"/>
          <w:lang w:val="en"/>
        </w:rPr>
        <w:t>3</w:t>
      </w:r>
      <w:r w:rsidRPr="00E95CA3">
        <w:rPr>
          <w:rFonts w:eastAsia="Arial"/>
          <w:lang w:val="en"/>
        </w:rPr>
        <w:t xml:space="preserve">, </w:t>
      </w:r>
      <w:r>
        <w:rPr>
          <w:rFonts w:eastAsia="Arial"/>
          <w:lang w:val="en"/>
        </w:rPr>
        <w:t>a final rule amended</w:t>
      </w:r>
      <w:r w:rsidRPr="00B372BF">
        <w:rPr>
          <w:rFonts w:eastAsia="Arial"/>
          <w:lang w:val="en"/>
        </w:rPr>
        <w:t xml:space="preserve"> regulations for the </w:t>
      </w:r>
      <w:r w:rsidRPr="004A4A46">
        <w:rPr>
          <w:rFonts w:eastAsia="Arial"/>
          <w:lang w:val="en"/>
        </w:rPr>
        <w:t xml:space="preserve">IFQ Program and </w:t>
      </w:r>
      <w:r>
        <w:rPr>
          <w:rFonts w:eastAsia="Arial"/>
          <w:lang w:val="en"/>
        </w:rPr>
        <w:t xml:space="preserve">the </w:t>
      </w:r>
      <w:r w:rsidRPr="004A4A46">
        <w:rPr>
          <w:rFonts w:eastAsia="Arial"/>
          <w:lang w:val="en"/>
        </w:rPr>
        <w:t>Community Development Quota Program</w:t>
      </w:r>
      <w:r w:rsidRPr="00B372BF">
        <w:rPr>
          <w:rFonts w:eastAsia="Arial"/>
          <w:lang w:val="en"/>
        </w:rPr>
        <w:t xml:space="preserve"> to increase operational efficiency and reduce administrative burden for program participants</w:t>
      </w:r>
      <w:r>
        <w:rPr>
          <w:rFonts w:eastAsia="Arial"/>
          <w:lang w:val="en"/>
        </w:rPr>
        <w:t xml:space="preserve"> </w:t>
      </w:r>
      <w:r w:rsidRPr="00E95CA3">
        <w:rPr>
          <w:rFonts w:eastAsia="Arial"/>
          <w:lang w:val="en"/>
        </w:rPr>
        <w:t>(</w:t>
      </w:r>
      <w:r w:rsidRPr="00961A13">
        <w:rPr>
          <w:rFonts w:eastAsia="Arial"/>
          <w:lang w:val="en"/>
        </w:rPr>
        <w:t>88 FR 12259</w:t>
      </w:r>
      <w:r>
        <w:rPr>
          <w:rFonts w:eastAsia="Arial"/>
          <w:lang w:val="en"/>
        </w:rPr>
        <w:t>; February 27, 2023</w:t>
      </w:r>
      <w:r w:rsidRPr="00E95CA3">
        <w:rPr>
          <w:rFonts w:eastAsia="Arial"/>
          <w:lang w:val="en"/>
        </w:rPr>
        <w:t>)</w:t>
      </w:r>
      <w:r w:rsidRPr="00B372BF">
        <w:rPr>
          <w:rFonts w:eastAsia="Arial"/>
          <w:lang w:val="en"/>
        </w:rPr>
        <w:t>.</w:t>
      </w:r>
      <w:r>
        <w:rPr>
          <w:rStyle w:val="FootnoteReference"/>
          <w:rFonts w:eastAsia="Arial"/>
          <w:lang w:val="en"/>
        </w:rPr>
        <w:footnoteReference w:id="10"/>
      </w:r>
      <w:r w:rsidRPr="00E95CA3">
        <w:rPr>
          <w:rFonts w:eastAsia="Arial"/>
          <w:lang w:val="en"/>
        </w:rPr>
        <w:t xml:space="preserve"> </w:t>
      </w:r>
      <w:r>
        <w:rPr>
          <w:rFonts w:eastAsia="Arial"/>
          <w:lang w:val="en"/>
        </w:rPr>
        <w:t xml:space="preserve">This information collection was </w:t>
      </w:r>
      <w:r w:rsidRPr="00B372BF">
        <w:rPr>
          <w:rFonts w:eastAsia="Arial"/>
          <w:lang w:val="en"/>
        </w:rPr>
        <w:t xml:space="preserve">revised to </w:t>
      </w:r>
      <w:r>
        <w:rPr>
          <w:rFonts w:eastAsia="Arial"/>
          <w:lang w:val="en"/>
        </w:rPr>
        <w:t xml:space="preserve">allow for additional </w:t>
      </w:r>
      <w:r w:rsidRPr="00B372BF">
        <w:rPr>
          <w:rFonts w:eastAsia="Arial"/>
          <w:lang w:val="en"/>
        </w:rPr>
        <w:t>submission methods.</w:t>
      </w:r>
      <w:r>
        <w:rPr>
          <w:rFonts w:eastAsia="Arial"/>
          <w:lang w:val="en"/>
        </w:rPr>
        <w:t xml:space="preserve"> This collection was also revised </w:t>
      </w:r>
      <w:r w:rsidRPr="00B372BF">
        <w:rPr>
          <w:rFonts w:eastAsia="Arial"/>
          <w:lang w:val="en"/>
        </w:rPr>
        <w:t xml:space="preserve">to remove </w:t>
      </w:r>
      <w:r>
        <w:rPr>
          <w:rFonts w:eastAsia="Arial"/>
          <w:lang w:val="en"/>
        </w:rPr>
        <w:t xml:space="preserve">for five years </w:t>
      </w:r>
      <w:r w:rsidRPr="00B372BF">
        <w:rPr>
          <w:rFonts w:eastAsia="Arial"/>
          <w:lang w:val="en"/>
        </w:rPr>
        <w:t>the Adak residency requirement for the Application for a CQE to Transfer IFQ to an Eligible Community Resident or Non-resident.</w:t>
      </w:r>
      <w:r w:rsidRPr="00B372BF">
        <w:t xml:space="preserve"> </w:t>
      </w:r>
      <w:r>
        <w:rPr>
          <w:rFonts w:eastAsia="Arial"/>
          <w:lang w:val="en"/>
        </w:rPr>
        <w:t xml:space="preserve">The Adak residency requirement for the person receiving the transfer of IFQ was temporarily removed to provide additional opportunities for the </w:t>
      </w:r>
      <w:r w:rsidRPr="00B372BF">
        <w:rPr>
          <w:rFonts w:eastAsia="Arial"/>
          <w:lang w:val="en"/>
        </w:rPr>
        <w:t>Adak CQE to fully harvest its allocation.</w:t>
      </w:r>
      <w:r>
        <w:rPr>
          <w:rFonts w:eastAsia="Arial"/>
          <w:lang w:val="en"/>
        </w:rPr>
        <w:t xml:space="preserve"> These revisions did not </w:t>
      </w:r>
      <w:r w:rsidRPr="00B91CDA">
        <w:rPr>
          <w:rFonts w:eastAsia="Arial"/>
          <w:lang w:val="en"/>
        </w:rPr>
        <w:t xml:space="preserve">change </w:t>
      </w:r>
      <w:r>
        <w:rPr>
          <w:rFonts w:eastAsia="Arial"/>
          <w:lang w:val="en"/>
        </w:rPr>
        <w:t>t</w:t>
      </w:r>
      <w:r w:rsidRPr="00B91CDA">
        <w:rPr>
          <w:rFonts w:eastAsia="Arial"/>
          <w:lang w:val="en"/>
        </w:rPr>
        <w:t>he burden</w:t>
      </w:r>
      <w:r>
        <w:rPr>
          <w:rFonts w:eastAsia="Arial"/>
          <w:lang w:val="en"/>
        </w:rPr>
        <w:t xml:space="preserve">, </w:t>
      </w:r>
      <w:r w:rsidRPr="00B91CDA">
        <w:rPr>
          <w:rFonts w:eastAsia="Arial"/>
          <w:lang w:val="en"/>
        </w:rPr>
        <w:t>respondents</w:t>
      </w:r>
      <w:r>
        <w:rPr>
          <w:rFonts w:eastAsia="Arial"/>
          <w:lang w:val="en"/>
        </w:rPr>
        <w:t>,</w:t>
      </w:r>
      <w:r w:rsidRPr="00B91CDA">
        <w:rPr>
          <w:rFonts w:eastAsia="Arial"/>
          <w:lang w:val="en"/>
        </w:rPr>
        <w:t xml:space="preserve"> or responses for this </w:t>
      </w:r>
      <w:r>
        <w:rPr>
          <w:rFonts w:eastAsia="Arial"/>
          <w:lang w:val="en"/>
        </w:rPr>
        <w:t>information collection</w:t>
      </w:r>
      <w:r w:rsidRPr="00B91CDA">
        <w:rPr>
          <w:rFonts w:eastAsia="Arial"/>
          <w:lang w:val="en"/>
        </w:rPr>
        <w:t>.</w:t>
      </w:r>
      <w:r>
        <w:rPr>
          <w:rFonts w:eastAsia="Arial"/>
          <w:lang w:val="en"/>
        </w:rPr>
        <w:t xml:space="preserve"> </w:t>
      </w:r>
    </w:p>
    <w:bookmarkEnd w:id="3"/>
    <w:p w:rsidR="003A0D67" w:rsidP="003A0D67" w14:paraId="5A73251C" w14:textId="1A5F33E1">
      <w:pPr>
        <w:spacing w:before="144" w:line="259" w:lineRule="auto"/>
        <w:rPr>
          <w:bCs/>
          <w:color w:val="000000" w:themeColor="text1"/>
        </w:rPr>
      </w:pPr>
      <w:r>
        <w:rPr>
          <w:bCs/>
          <w:color w:val="000000" w:themeColor="text1"/>
        </w:rPr>
        <w:t>C</w:t>
      </w:r>
      <w:r w:rsidRPr="00AB42D6">
        <w:rPr>
          <w:bCs/>
          <w:color w:val="000000" w:themeColor="text1"/>
        </w:rPr>
        <w:t xml:space="preserve">hanges to the forms </w:t>
      </w:r>
      <w:r>
        <w:rPr>
          <w:bCs/>
          <w:color w:val="000000" w:themeColor="text1"/>
        </w:rPr>
        <w:t>include</w:t>
      </w:r>
      <w:r w:rsidRPr="00AB42D6">
        <w:rPr>
          <w:bCs/>
          <w:color w:val="000000" w:themeColor="text1"/>
        </w:rPr>
        <w:t xml:space="preserve"> updating the Public Reporting Burden Statement to include the form's specific purpose</w:t>
      </w:r>
      <w:r>
        <w:rPr>
          <w:bCs/>
          <w:color w:val="000000" w:themeColor="text1"/>
        </w:rPr>
        <w:t xml:space="preserve">, </w:t>
      </w:r>
      <w:r w:rsidR="00250820">
        <w:rPr>
          <w:bCs/>
          <w:color w:val="000000" w:themeColor="text1"/>
        </w:rPr>
        <w:t xml:space="preserve">and </w:t>
      </w:r>
      <w:r>
        <w:rPr>
          <w:bCs/>
          <w:color w:val="000000" w:themeColor="text1"/>
        </w:rPr>
        <w:t xml:space="preserve">updating website links. </w:t>
      </w:r>
      <w:r w:rsidRPr="00AB42D6">
        <w:rPr>
          <w:bCs/>
          <w:color w:val="000000" w:themeColor="text1"/>
        </w:rPr>
        <w:t xml:space="preserve">Additionally, the “Application for Transfer of Quota Share to or from a Community Quota Entity” form was updated to </w:t>
      </w:r>
      <w:r>
        <w:rPr>
          <w:bCs/>
          <w:color w:val="000000" w:themeColor="text1"/>
        </w:rPr>
        <w:t>include the delivery address and correct</w:t>
      </w:r>
      <w:r w:rsidRPr="00AB42D6">
        <w:rPr>
          <w:bCs/>
          <w:color w:val="000000" w:themeColor="text1"/>
        </w:rPr>
        <w:t xml:space="preserve"> the language from "The party to whom a CQE is seeking to transfer the IFQ must hold a Transfer Eligibility Certificate (TEC) unless they are a resident of the Aleutian Islands (Adak) for at least 12 months" to "T</w:t>
      </w:r>
      <w:r w:rsidRPr="00AB42D6">
        <w:rPr>
          <w:bCs/>
          <w:color w:val="000000" w:themeColor="text1"/>
        </w:rPr>
        <w:t xml:space="preserve">he party to whom a CQE is seeking to transfer the IFQ must hold a Transfer Eligibility Certificate (TEC) unless they hold an Aleutian Islands (Adak) TEC." This change accurately reflects current regulations and requirements. No other changes were made to the collection other than </w:t>
      </w:r>
      <w:r>
        <w:rPr>
          <w:bCs/>
          <w:color w:val="000000" w:themeColor="text1"/>
        </w:rPr>
        <w:t>adjustments</w:t>
      </w:r>
      <w:r w:rsidRPr="00AB42D6">
        <w:rPr>
          <w:bCs/>
          <w:color w:val="000000" w:themeColor="text1"/>
        </w:rPr>
        <w:t xml:space="preserve"> to reflect the most current available data.</w:t>
      </w:r>
    </w:p>
    <w:p w:rsidR="00184FB4" w:rsidRPr="002008CC" w:rsidP="00184FB4" w14:paraId="7E235436" w14:textId="77777777">
      <w:pPr>
        <w:widowControl/>
        <w:rPr>
          <w:rFonts w:eastAsia="SimSun"/>
        </w:rPr>
      </w:pPr>
    </w:p>
    <w:p w:rsidR="00184FB4" w:rsidRPr="002008CC" w:rsidP="00184FB4" w14:paraId="2C62A350" w14:textId="77777777">
      <w:pPr>
        <w:widowControl/>
        <w:ind w:left="270" w:hanging="270"/>
        <w:rPr>
          <w:rFonts w:eastAsia="SimSun"/>
          <w:b/>
          <w:bCs/>
          <w:color w:val="C00000"/>
        </w:rPr>
      </w:pPr>
      <w:r w:rsidRPr="002008CC">
        <w:rPr>
          <w:rFonts w:eastAsia="SimSun"/>
          <w:b/>
          <w:bCs/>
        </w:rPr>
        <w:t>Application for a Nonprofit Corporation to be Designated as a Community Quota Entity (CQE)</w:t>
      </w:r>
      <w:r w:rsidRPr="002008CC">
        <w:rPr>
          <w:rFonts w:eastAsia="SimSun"/>
          <w:b/>
          <w:bCs/>
          <w:color w:val="C00000"/>
        </w:rPr>
        <w:t xml:space="preserve"> </w:t>
      </w:r>
    </w:p>
    <w:p w:rsidR="00184FB4" w:rsidRPr="002008CC" w:rsidP="00184FB4" w14:paraId="5F200C1A" w14:textId="77777777">
      <w:pPr>
        <w:widowControl/>
        <w:ind w:left="270" w:hanging="270"/>
        <w:rPr>
          <w:rFonts w:eastAsia="SimSun"/>
          <w:b/>
          <w:sz w:val="23"/>
        </w:rPr>
      </w:pPr>
    </w:p>
    <w:p w:rsidR="00184FB4" w:rsidRPr="002008CC" w:rsidP="00184FB4" w14:paraId="6B7D2BB1" w14:textId="77777777">
      <w:pPr>
        <w:widowControl/>
        <w:tabs>
          <w:tab w:val="left" w:pos="720"/>
        </w:tabs>
        <w:rPr>
          <w:rFonts w:eastAsia="SimSun"/>
        </w:rPr>
      </w:pPr>
      <w:r w:rsidRPr="002008CC">
        <w:rPr>
          <w:rFonts w:eastAsia="SimSun"/>
        </w:rPr>
        <w:t xml:space="preserve">A nonprofit entity that intends to represent an eligible community as a CQE must have approval from the NMFS Regional Administrator. To receive that </w:t>
      </w:r>
      <w:r w:rsidRPr="002008CC">
        <w:rPr>
          <w:rFonts w:eastAsia="SimSun"/>
        </w:rPr>
        <w:t>approval, the nonprofit entity seeking to become a CQE is required to submit a complete Application for a Nonprofit Corporation to be Designated as a Community Quota Entity (CQE).</w:t>
      </w:r>
      <w:r w:rsidRPr="002008CC">
        <w:rPr>
          <w:rFonts w:eastAsia="SimSun"/>
          <w:bCs/>
        </w:rPr>
        <w:t xml:space="preserve"> A </w:t>
      </w:r>
      <w:r w:rsidRPr="002008CC">
        <w:rPr>
          <w:rFonts w:eastAsia="SimSun"/>
        </w:rPr>
        <w:t xml:space="preserve">CQE must be approved by NMFS in order to, on behalf of an eligible community, request charter halibut permits; buy, sell, and hold halibut and sablefish QS; and request Pacific cod. </w:t>
      </w:r>
    </w:p>
    <w:p w:rsidR="00184FB4" w:rsidRPr="002008CC" w:rsidP="00184FB4" w14:paraId="3C0214DF" w14:textId="77777777">
      <w:pPr>
        <w:widowControl/>
        <w:tabs>
          <w:tab w:val="left" w:pos="720"/>
        </w:tabs>
        <w:rPr>
          <w:rFonts w:eastAsia="SimSun"/>
        </w:rPr>
      </w:pPr>
    </w:p>
    <w:p w:rsidR="00184FB4" w:rsidRPr="002008CC" w:rsidP="00184FB4" w14:paraId="36E77452" w14:textId="4AF19323">
      <w:pPr>
        <w:widowControl/>
        <w:tabs>
          <w:tab w:val="left" w:pos="720"/>
        </w:tabs>
        <w:rPr>
          <w:rFonts w:eastAsia="SimSun"/>
        </w:rPr>
      </w:pPr>
      <w:r w:rsidRPr="002008CC">
        <w:rPr>
          <w:rFonts w:eastAsia="SimSun"/>
        </w:rPr>
        <w:t xml:space="preserve">A CQE must be a new nonprofit entity incorporated under the State of Alaska or a new nonprofit entity formed by an aggregation of several eligible communities. A CQE must be incorporated after April 10, 2002 and must </w:t>
      </w:r>
      <w:r w:rsidRPr="002008CC">
        <w:rPr>
          <w:rFonts w:eastAsia="SimSun"/>
          <w:bCs/>
        </w:rPr>
        <w:t xml:space="preserve">represent at least one eligible community listed in </w:t>
      </w:r>
      <w:r w:rsidRPr="00D66F31">
        <w:rPr>
          <w:rFonts w:eastAsia="SimSun"/>
          <w:bCs/>
        </w:rPr>
        <w:t>Table 21 of 50 CFR 679.</w:t>
      </w:r>
      <w:r>
        <w:rPr>
          <w:rStyle w:val="FootnoteReference"/>
          <w:rFonts w:eastAsia="SimSun"/>
          <w:bCs/>
        </w:rPr>
        <w:footnoteReference w:id="11"/>
      </w:r>
      <w:r w:rsidRPr="00FF6334">
        <w:rPr>
          <w:rFonts w:eastAsia="SimSun"/>
          <w:bCs/>
        </w:rPr>
        <w:t xml:space="preserve"> </w:t>
      </w:r>
    </w:p>
    <w:p w:rsidR="00184FB4" w:rsidRPr="002008CC" w:rsidP="00184FB4" w14:paraId="6866484D" w14:textId="77777777">
      <w:pPr>
        <w:widowControl/>
        <w:tabs>
          <w:tab w:val="left" w:pos="720"/>
        </w:tabs>
        <w:rPr>
          <w:rFonts w:eastAsia="SimSun"/>
        </w:rPr>
      </w:pPr>
    </w:p>
    <w:p w:rsidR="00184FB4" w:rsidRPr="002008CC" w:rsidP="00184FB4" w14:paraId="36F09BF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rPr>
      </w:pPr>
      <w:r w:rsidRPr="002008CC">
        <w:rPr>
          <w:rFonts w:eastAsia="SimSun"/>
        </w:rPr>
        <w:t xml:space="preserve">A CQE must have the written approval of each community it represents. A CQE may represent more than one community, but a community may be represented by only one CQE. </w:t>
      </w:r>
    </w:p>
    <w:p w:rsidR="00184FB4" w:rsidRPr="002008CC" w:rsidP="00184FB4" w14:paraId="479D604D"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rPr>
      </w:pPr>
    </w:p>
    <w:p w:rsidR="00184FB4" w:rsidRPr="002008CC" w:rsidP="00184FB4" w14:paraId="7B843B91" w14:textId="77777777">
      <w:pPr>
        <w:widowControl/>
        <w:rPr>
          <w:rFonts w:eastAsia="SimSun"/>
        </w:rPr>
      </w:pPr>
      <w:r w:rsidRPr="002008CC">
        <w:rPr>
          <w:rFonts w:eastAsia="SimSun"/>
        </w:rPr>
        <w:t>This application is submitted only once, unless a community withdraws support from its CQE. A separate application is submitted for each community that the CQE will represent.</w:t>
      </w:r>
      <w:r>
        <w:rPr>
          <w:rFonts w:eastAsia="SimSun"/>
        </w:rPr>
        <w:t xml:space="preserve"> </w:t>
      </w:r>
    </w:p>
    <w:p w:rsidR="00184FB4" w:rsidRPr="002008CC" w:rsidP="00184FB4" w14:paraId="1AEE2276" w14:textId="77777777">
      <w:pPr>
        <w:widowControl/>
        <w:rPr>
          <w:rFonts w:eastAsia="SimSun"/>
        </w:rPr>
      </w:pPr>
    </w:p>
    <w:p w:rsidR="00184FB4" w:rsidRPr="002008CC" w:rsidP="00184FB4" w14:paraId="3CACDB37" w14:textId="24059D31">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rPr>
      </w:pPr>
      <w:r w:rsidRPr="002008CC">
        <w:rPr>
          <w:rFonts w:eastAsia="SimSun"/>
        </w:rPr>
        <w:t xml:space="preserve">As part of the approval process, NMFS provides a copy of the complete application to the Alaska Department of </w:t>
      </w:r>
      <w:r w:rsidR="00DE4D8C">
        <w:rPr>
          <w:rFonts w:eastAsia="SimSun"/>
        </w:rPr>
        <w:t xml:space="preserve">Commerce, </w:t>
      </w:r>
      <w:r w:rsidRPr="002008CC">
        <w:rPr>
          <w:rFonts w:eastAsia="SimSun"/>
        </w:rPr>
        <w:t>Community</w:t>
      </w:r>
      <w:r w:rsidR="00DE4D8C">
        <w:rPr>
          <w:rFonts w:eastAsia="SimSun"/>
        </w:rPr>
        <w:t>,</w:t>
      </w:r>
      <w:r w:rsidRPr="002008CC">
        <w:rPr>
          <w:rFonts w:eastAsia="SimSun"/>
        </w:rPr>
        <w:t xml:space="preserve"> and Economic Development and considers comments received from it. The Alaska Department of </w:t>
      </w:r>
      <w:r w:rsidR="003A0D67">
        <w:rPr>
          <w:rFonts w:eastAsia="SimSun"/>
        </w:rPr>
        <w:t xml:space="preserve">Commerce, </w:t>
      </w:r>
      <w:r w:rsidRPr="002008CC">
        <w:rPr>
          <w:rFonts w:eastAsia="SimSun"/>
        </w:rPr>
        <w:t>Community</w:t>
      </w:r>
      <w:r w:rsidR="003A0D67">
        <w:rPr>
          <w:rFonts w:eastAsia="SimSun"/>
        </w:rPr>
        <w:t>,</w:t>
      </w:r>
      <w:r w:rsidRPr="002008CC">
        <w:rPr>
          <w:rFonts w:eastAsia="SimSun"/>
        </w:rPr>
        <w:t xml:space="preserve"> and Economic Development must submit its comments within 30 days of receipt of the application in order for those comments to be considered by NMFS during the approval process.</w:t>
      </w:r>
    </w:p>
    <w:p w:rsidR="00184FB4" w:rsidRPr="002008CC" w:rsidP="00184FB4" w14:paraId="4E62985C"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rPr>
      </w:pPr>
    </w:p>
    <w:p w:rsidR="00184FB4" w:rsidRPr="002008CC" w:rsidP="00184FB4" w14:paraId="377BD0EC" w14:textId="77777777">
      <w:pPr>
        <w:widowControl/>
        <w:rPr>
          <w:rFonts w:eastAsia="SimSun"/>
        </w:rPr>
      </w:pPr>
      <w:r w:rsidRPr="002008CC">
        <w:rPr>
          <w:rFonts w:eastAsia="SimSun"/>
        </w:rPr>
        <w:t>The information collected on the Application for a Nonprofit Corporation to be Designated as a Community Quota Entity (CQE)</w:t>
      </w:r>
      <w:r>
        <w:rPr>
          <w:rFonts w:eastAsia="SimSun"/>
        </w:rPr>
        <w:t xml:space="preserve"> </w:t>
      </w:r>
      <w:r w:rsidRPr="002008CC">
        <w:rPr>
          <w:rFonts w:eastAsia="SimSun"/>
        </w:rPr>
        <w:t>includes taxpayer identification number, NMFS CQE Person ID, name of non-profit organization, name of representative, and contact information for the nonprofit entity applying to become a CQE; the name of the community represented by the nonprofit entity and contact information for the community governing body; and the signature and printed name of the applicant or authorized representative and date signed. If it is completed by a representative, their authorization must be attached.</w:t>
      </w:r>
    </w:p>
    <w:p w:rsidR="00184FB4" w:rsidRPr="002008CC" w:rsidP="00184FB4" w14:paraId="240ABCDC" w14:textId="77777777">
      <w:pPr>
        <w:widowControl/>
        <w:rPr>
          <w:rFonts w:eastAsia="SimSun"/>
        </w:rPr>
      </w:pPr>
    </w:p>
    <w:p w:rsidR="00184FB4" w:rsidRPr="002008CC" w:rsidP="00184FB4" w14:paraId="4AFC1691" w14:textId="77777777">
      <w:pPr>
        <w:widowControl/>
        <w:rPr>
          <w:rFonts w:eastAsia="SimSun"/>
        </w:rPr>
      </w:pPr>
      <w:r w:rsidRPr="002008CC">
        <w:rPr>
          <w:rFonts w:eastAsia="SimSun"/>
        </w:rPr>
        <w:t xml:space="preserve">The application also requires the following attachments: </w:t>
      </w:r>
    </w:p>
    <w:p w:rsidR="00184FB4" w:rsidRPr="002008CC" w:rsidP="00184FB4" w14:paraId="43FA9FED" w14:textId="1C14C884">
      <w:pPr>
        <w:widowControl/>
        <w:numPr>
          <w:ilvl w:val="0"/>
          <w:numId w:val="14"/>
        </w:numPr>
        <w:rPr>
          <w:rFonts w:eastAsia="SimSun"/>
        </w:rPr>
      </w:pPr>
      <w:r w:rsidRPr="002008CC">
        <w:rPr>
          <w:rFonts w:eastAsia="SimSun"/>
        </w:rPr>
        <w:t>The applicant's Articles of Incorporation</w:t>
      </w:r>
      <w:r w:rsidR="00544370">
        <w:rPr>
          <w:rFonts w:eastAsia="SimSun"/>
        </w:rPr>
        <w:t>.</w:t>
      </w:r>
    </w:p>
    <w:p w:rsidR="00184FB4" w:rsidRPr="002008CC" w:rsidP="00184FB4" w14:paraId="00D62C7B" w14:textId="645D2C45">
      <w:pPr>
        <w:widowControl/>
        <w:numPr>
          <w:ilvl w:val="0"/>
          <w:numId w:val="14"/>
        </w:numPr>
        <w:rPr>
          <w:rFonts w:eastAsia="SimSun"/>
        </w:rPr>
      </w:pPr>
      <w:r w:rsidRPr="002008CC">
        <w:rPr>
          <w:rFonts w:eastAsia="SimSun"/>
        </w:rPr>
        <w:t>The applicant's Corporate By-laws</w:t>
      </w:r>
      <w:r w:rsidR="00544370">
        <w:rPr>
          <w:rFonts w:eastAsia="SimSun"/>
        </w:rPr>
        <w:t>.</w:t>
      </w:r>
    </w:p>
    <w:p w:rsidR="00184FB4" w:rsidRPr="002008CC" w:rsidP="00184FB4" w14:paraId="337514F2" w14:textId="6578355F">
      <w:pPr>
        <w:widowControl/>
        <w:numPr>
          <w:ilvl w:val="0"/>
          <w:numId w:val="14"/>
        </w:numPr>
        <w:rPr>
          <w:rFonts w:eastAsia="SimSun"/>
        </w:rPr>
      </w:pPr>
      <w:r w:rsidRPr="002008CC">
        <w:rPr>
          <w:rFonts w:eastAsia="SimSun"/>
        </w:rPr>
        <w:t>A list of the applicant's key personnel, including its Board of Directors and Officers</w:t>
      </w:r>
      <w:r w:rsidR="00544370">
        <w:rPr>
          <w:rFonts w:eastAsia="SimSun"/>
        </w:rPr>
        <w:t>.</w:t>
      </w:r>
    </w:p>
    <w:p w:rsidR="00184FB4" w:rsidRPr="002008CC" w:rsidP="00184FB4" w14:paraId="2DB14C7A" w14:textId="4FA46357">
      <w:pPr>
        <w:widowControl/>
        <w:numPr>
          <w:ilvl w:val="0"/>
          <w:numId w:val="14"/>
        </w:numPr>
        <w:rPr>
          <w:rFonts w:eastAsia="SimSun"/>
        </w:rPr>
      </w:pPr>
      <w:r w:rsidRPr="002008CC">
        <w:rPr>
          <w:rFonts w:eastAsia="SimSun"/>
        </w:rPr>
        <w:t>The applicant's Organizational Chart or, at a minimum, a written explanation that fully reveals the applicant's line and staff responsibilities and relationships</w:t>
      </w:r>
      <w:r w:rsidR="00544370">
        <w:rPr>
          <w:rFonts w:eastAsia="SimSun"/>
        </w:rPr>
        <w:t>.</w:t>
      </w:r>
    </w:p>
    <w:p w:rsidR="00184FB4" w:rsidRPr="002008CC" w:rsidP="00184FB4" w14:paraId="05CFAB05" w14:textId="7083D4AC">
      <w:pPr>
        <w:widowControl/>
        <w:numPr>
          <w:ilvl w:val="0"/>
          <w:numId w:val="14"/>
        </w:numPr>
        <w:rPr>
          <w:rFonts w:eastAsia="SimSun"/>
        </w:rPr>
      </w:pPr>
      <w:r w:rsidRPr="002008CC">
        <w:rPr>
          <w:rFonts w:eastAsia="SimSun"/>
        </w:rPr>
        <w:t>A statement designating the eligible coastal community(ies) that the entity seeks to represent</w:t>
      </w:r>
      <w:r w:rsidR="00544370">
        <w:rPr>
          <w:rFonts w:eastAsia="SimSun"/>
        </w:rPr>
        <w:t>.</w:t>
      </w:r>
    </w:p>
    <w:p w:rsidR="00184FB4" w:rsidRPr="002008CC" w:rsidP="00184FB4" w14:paraId="0AE08D9D" w14:textId="0C82C30C">
      <w:pPr>
        <w:widowControl/>
        <w:numPr>
          <w:ilvl w:val="0"/>
          <w:numId w:val="14"/>
        </w:numPr>
        <w:rPr>
          <w:rFonts w:eastAsia="SimSun"/>
        </w:rPr>
      </w:pPr>
      <w:r w:rsidRPr="002008CC">
        <w:rPr>
          <w:rFonts w:eastAsia="SimSun"/>
        </w:rPr>
        <w:t>An explanation of how the applicant will manage QS/IFQ on behalf of the community(ies) it seeks to represent</w:t>
      </w:r>
      <w:r w:rsidR="00544370">
        <w:rPr>
          <w:rFonts w:eastAsia="SimSun"/>
        </w:rPr>
        <w:t>.</w:t>
      </w:r>
    </w:p>
    <w:p w:rsidR="00184FB4" w:rsidRPr="002008CC" w:rsidP="00184FB4" w14:paraId="63A57100" w14:textId="77777777">
      <w:pPr>
        <w:widowControl/>
        <w:numPr>
          <w:ilvl w:val="0"/>
          <w:numId w:val="14"/>
        </w:numPr>
        <w:rPr>
          <w:rFonts w:eastAsia="SimSun"/>
        </w:rPr>
      </w:pPr>
      <w:r w:rsidRPr="002008CC">
        <w:rPr>
          <w:rFonts w:eastAsia="SimSun"/>
        </w:rPr>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rsidR="00184FB4" w:rsidRPr="002008CC" w:rsidP="00184FB4" w14:paraId="5CECEE98" w14:textId="77777777">
      <w:pPr>
        <w:widowControl/>
        <w:numPr>
          <w:ilvl w:val="0"/>
          <w:numId w:val="14"/>
        </w:numPr>
        <w:rPr>
          <w:rFonts w:eastAsia="SimSun"/>
        </w:rPr>
      </w:pPr>
      <w:r w:rsidRPr="002008CC">
        <w:rPr>
          <w:rFonts w:eastAsia="SimSun"/>
        </w:rPr>
        <w:t>Formal resolution from the community governing body (i.e., the city council if a municipality, the tribal governing body if not a municipality, or the non-profit community association if neither a municipality nor a tribe) that unambiguously designates the applicant as the community's representative and CQE.</w:t>
      </w:r>
    </w:p>
    <w:p w:rsidR="00184FB4" w:rsidRPr="002008CC" w:rsidP="00184FB4" w14:paraId="088A1A6F" w14:textId="77777777">
      <w:pPr>
        <w:widowControl/>
        <w:rPr>
          <w:rFonts w:eastAsia="SimSun"/>
        </w:rPr>
      </w:pPr>
    </w:p>
    <w:p w:rsidR="00184FB4" w:rsidRPr="002008CC" w:rsidP="00184FB4" w14:paraId="3524C64D" w14:textId="77777777">
      <w:pPr>
        <w:widowControl/>
        <w:rPr>
          <w:rFonts w:eastAsia="SimSun"/>
        </w:rPr>
      </w:pPr>
      <w:r w:rsidRPr="002008CC">
        <w:rPr>
          <w:rFonts w:eastAsia="SimSun"/>
        </w:rPr>
        <w:t>In addition to the above attachments, an entity applying to become an Aleutian Islands CQE, must also attach the following:</w:t>
      </w:r>
    </w:p>
    <w:p w:rsidR="00184FB4" w:rsidRPr="002008CC" w:rsidP="00184FB4" w14:paraId="5ED857BB" w14:textId="77777777">
      <w:pPr>
        <w:widowControl/>
        <w:numPr>
          <w:ilvl w:val="0"/>
          <w:numId w:val="14"/>
        </w:numPr>
        <w:rPr>
          <w:rFonts w:eastAsia="SimSun"/>
        </w:rPr>
      </w:pPr>
      <w:r w:rsidRPr="002008CC">
        <w:rPr>
          <w:rFonts w:eastAsia="SimSun"/>
        </w:rPr>
        <w:t>Procedures to determine the distribution of IFQ to eligible community residents and non-residents of Adak.</w:t>
      </w:r>
    </w:p>
    <w:p w:rsidR="00184FB4" w:rsidRPr="002008CC" w:rsidP="00184FB4" w14:paraId="2CAA8005" w14:textId="77777777">
      <w:pPr>
        <w:widowControl/>
        <w:numPr>
          <w:ilvl w:val="0"/>
          <w:numId w:val="14"/>
        </w:numPr>
        <w:rPr>
          <w:rFonts w:eastAsia="SimSun"/>
        </w:rPr>
      </w:pPr>
      <w:r w:rsidRPr="002008CC">
        <w:rPr>
          <w:rFonts w:eastAsia="SimSun"/>
        </w:rPr>
        <w:t>Procedures to solicit requests from eligible community residents and non-residents to lease IFQ.</w:t>
      </w:r>
    </w:p>
    <w:p w:rsidR="00184FB4" w:rsidRPr="002008CC" w:rsidP="00184FB4" w14:paraId="23FE068D" w14:textId="77777777">
      <w:pPr>
        <w:widowControl/>
        <w:numPr>
          <w:ilvl w:val="0"/>
          <w:numId w:val="14"/>
        </w:numPr>
        <w:rPr>
          <w:rFonts w:eastAsia="SimSun"/>
        </w:rPr>
      </w:pPr>
      <w:r w:rsidRPr="002008CC">
        <w:rPr>
          <w:rFonts w:eastAsia="SimSun"/>
        </w:rPr>
        <w:t>Criteria to determine the distribution of IFQ leases among eligible community residents and nonresidents and the relative weighting of those criteria.</w:t>
      </w:r>
    </w:p>
    <w:p w:rsidR="00184FB4" w:rsidRPr="002008CC" w:rsidP="00184FB4" w14:paraId="634E14AE" w14:textId="77777777">
      <w:pPr>
        <w:widowControl/>
        <w:rPr>
          <w:rFonts w:eastAsia="SimSun"/>
          <w:bCs/>
        </w:rPr>
      </w:pPr>
    </w:p>
    <w:p w:rsidR="00184FB4" w:rsidRPr="002008CC" w:rsidP="00184FB4" w14:paraId="457C3FA9" w14:textId="77777777">
      <w:pPr>
        <w:widowControl/>
        <w:ind w:left="274" w:hanging="274"/>
        <w:rPr>
          <w:rFonts w:eastAsia="SimSun"/>
          <w:b/>
          <w:bCs/>
          <w:color w:val="C00000"/>
        </w:rPr>
      </w:pPr>
      <w:r w:rsidRPr="002008CC">
        <w:rPr>
          <w:rFonts w:eastAsia="SimSun"/>
          <w:b/>
        </w:rPr>
        <w:t xml:space="preserve">Community Quota Entity (CQE) Annual Report </w:t>
      </w:r>
    </w:p>
    <w:p w:rsidR="00184FB4" w:rsidRPr="002008CC" w:rsidP="00184FB4" w14:paraId="4AA3182D" w14:textId="77777777">
      <w:pPr>
        <w:widowControl/>
        <w:ind w:left="270" w:hanging="270"/>
        <w:rPr>
          <w:rFonts w:eastAsia="SimSun"/>
          <w:b/>
          <w:sz w:val="23"/>
        </w:rPr>
      </w:pPr>
    </w:p>
    <w:p w:rsidR="00184FB4" w:rsidRPr="002008CC" w:rsidP="00184FB4" w14:paraId="6DE351C2" w14:textId="4397253B">
      <w:pPr>
        <w:widowControl/>
        <w:tabs>
          <w:tab w:val="left" w:pos="720"/>
        </w:tabs>
        <w:rPr>
          <w:rFonts w:eastAsia="SimSun"/>
        </w:rPr>
      </w:pPr>
      <w:r w:rsidRPr="002008CC">
        <w:rPr>
          <w:rFonts w:eastAsia="SimSun"/>
        </w:rPr>
        <w:t>A CQE must submit annual report data for the IFQ, LLP licenses</w:t>
      </w:r>
      <w:r>
        <w:rPr>
          <w:rFonts w:eastAsia="SimSun"/>
        </w:rPr>
        <w:t xml:space="preserve">, and </w:t>
      </w:r>
      <w:r w:rsidRPr="002008CC">
        <w:rPr>
          <w:rFonts w:eastAsia="SimSun"/>
        </w:rPr>
        <w:t>community charter halibut permit it held during the calendar year. The CQE may combine annual reports about its holdings of IFQ, LLP licenses</w:t>
      </w:r>
      <w:r>
        <w:rPr>
          <w:rFonts w:eastAsia="SimSun"/>
        </w:rPr>
        <w:t>, and</w:t>
      </w:r>
      <w:r w:rsidRPr="002008CC">
        <w:rPr>
          <w:rFonts w:eastAsia="SimSun"/>
        </w:rPr>
        <w:t xml:space="preserve"> co</w:t>
      </w:r>
      <w:r>
        <w:rPr>
          <w:rFonts w:eastAsia="SimSun"/>
        </w:rPr>
        <w:t>mmunity charter halibut permits</w:t>
      </w:r>
      <w:r w:rsidRPr="002008CC">
        <w:rPr>
          <w:rFonts w:eastAsia="SimSun"/>
        </w:rPr>
        <w:t xml:space="preserve"> in one report. A CQE is not required to submit an annual report for any calendar year in which it did not hold any IFQ, LLP licenses</w:t>
      </w:r>
      <w:r>
        <w:rPr>
          <w:rFonts w:eastAsia="SimSun"/>
        </w:rPr>
        <w:t>, or</w:t>
      </w:r>
      <w:r w:rsidRPr="00644379">
        <w:rPr>
          <w:rFonts w:eastAsia="SimSun"/>
        </w:rPr>
        <w:t xml:space="preserve"> </w:t>
      </w:r>
      <w:r w:rsidRPr="002008CC">
        <w:rPr>
          <w:rFonts w:eastAsia="SimSun"/>
        </w:rPr>
        <w:t>community charter halibut permits.</w:t>
      </w:r>
    </w:p>
    <w:p w:rsidR="00184FB4" w:rsidRPr="002008CC" w:rsidP="00184FB4" w14:paraId="44C47065" w14:textId="77777777">
      <w:pPr>
        <w:widowControl/>
        <w:tabs>
          <w:tab w:val="left" w:pos="360"/>
          <w:tab w:val="left" w:pos="720"/>
          <w:tab w:val="left" w:pos="1080"/>
        </w:tabs>
        <w:rPr>
          <w:rFonts w:eastAsia="SimSun"/>
        </w:rPr>
      </w:pPr>
    </w:p>
    <w:p w:rsidR="00184FB4" w:rsidRPr="002008CC" w:rsidP="00184FB4" w14:paraId="3F18A257" w14:textId="77777777">
      <w:pPr>
        <w:widowControl/>
        <w:tabs>
          <w:tab w:val="left" w:pos="360"/>
          <w:tab w:val="left" w:pos="720"/>
          <w:tab w:val="left" w:pos="1080"/>
        </w:tabs>
        <w:rPr>
          <w:rFonts w:eastAsia="SimSun"/>
        </w:rPr>
      </w:pPr>
      <w:r w:rsidRPr="002008CC">
        <w:rPr>
          <w:rFonts w:eastAsia="SimSun"/>
        </w:rPr>
        <w:t xml:space="preserve">By January 31, the CQE must submit a complete annual report for the prior calendar year to NMFS and to the governing body of each community represented by the CQE as identified in </w:t>
      </w:r>
      <w:r w:rsidRPr="00644379">
        <w:rPr>
          <w:rFonts w:eastAsia="Arial"/>
        </w:rPr>
        <w:t>Table 21 to part 679.</w:t>
      </w:r>
      <w:r w:rsidRPr="00644379">
        <w:rPr>
          <w:rFonts w:eastAsia="Arial"/>
          <w:u w:val="single"/>
        </w:rPr>
        <w:t xml:space="preserve"> </w:t>
      </w:r>
    </w:p>
    <w:p w:rsidR="00184FB4" w:rsidRPr="002008CC" w:rsidP="00184FB4" w14:paraId="2F18C0AB" w14:textId="77777777">
      <w:pPr>
        <w:widowControl/>
        <w:tabs>
          <w:tab w:val="left" w:pos="360"/>
          <w:tab w:val="left" w:pos="720"/>
          <w:tab w:val="left" w:pos="1080"/>
        </w:tabs>
        <w:rPr>
          <w:rFonts w:eastAsia="SimSun"/>
          <w:color w:val="000000" w:themeColor="text1"/>
        </w:rPr>
      </w:pPr>
    </w:p>
    <w:p w:rsidR="00184FB4" w:rsidRPr="002008CC" w:rsidP="00184FB4" w14:paraId="63A42A86" w14:textId="5838F5C2">
      <w:pPr>
        <w:widowControl/>
        <w:tabs>
          <w:tab w:val="left" w:pos="360"/>
          <w:tab w:val="left" w:pos="720"/>
          <w:tab w:val="left" w:pos="1080"/>
        </w:tabs>
        <w:rPr>
          <w:rFonts w:eastAsia="SimSun"/>
          <w:color w:val="000000" w:themeColor="text1"/>
        </w:rPr>
      </w:pPr>
      <w:r w:rsidRPr="002008CC">
        <w:rPr>
          <w:rFonts w:eastAsia="SimSun"/>
          <w:color w:val="000000" w:themeColor="text1"/>
        </w:rPr>
        <w:t xml:space="preserve">The purpose of the annual report is to help NMFS and the </w:t>
      </w:r>
      <w:r w:rsidR="005C4CEE">
        <w:rPr>
          <w:rFonts w:eastAsia="SimSun"/>
          <w:color w:val="000000" w:themeColor="text1"/>
        </w:rPr>
        <w:t xml:space="preserve">North Pacific Fishery Management </w:t>
      </w:r>
      <w:r w:rsidRPr="002008CC">
        <w:rPr>
          <w:rFonts w:eastAsia="SimSun"/>
          <w:color w:val="000000" w:themeColor="text1"/>
        </w:rPr>
        <w:t>Council assess the performance of the CQEs in meeting the objectives of providing for community-held QS. The information collected through CQE annual reports provides essential information for the effective and sustainable management of the CQE Program and related fisheries. It is important to have regularly updated information to ensure that program requirements and objectives are consistently met. The CQE annual report describes the CQE’s administrative activities, busines</w:t>
      </w:r>
      <w:r w:rsidRPr="002008CC">
        <w:rPr>
          <w:rFonts w:eastAsia="SimSun"/>
          <w:color w:val="000000" w:themeColor="text1"/>
        </w:rPr>
        <w:t xml:space="preserve">s operations, and community fishing activities for the charter halibut permit, IFQ, and license limitation programs for each eligible community represented by the CQE for that calendar year. </w:t>
      </w:r>
    </w:p>
    <w:p w:rsidR="00184FB4" w:rsidRPr="002008CC" w:rsidP="00184FB4" w14:paraId="2C003EAF" w14:textId="77777777">
      <w:pPr>
        <w:widowControl/>
        <w:tabs>
          <w:tab w:val="left" w:pos="360"/>
          <w:tab w:val="left" w:pos="720"/>
          <w:tab w:val="left" w:pos="1080"/>
        </w:tabs>
        <w:rPr>
          <w:rFonts w:eastAsia="SimSun"/>
          <w:color w:val="000000" w:themeColor="text1"/>
        </w:rPr>
      </w:pPr>
    </w:p>
    <w:p w:rsidR="00184FB4" w:rsidRPr="002008CC" w:rsidP="00184FB4" w14:paraId="2071778C" w14:textId="77777777">
      <w:pPr>
        <w:widowControl/>
        <w:tabs>
          <w:tab w:val="left" w:pos="360"/>
          <w:tab w:val="left" w:pos="720"/>
          <w:tab w:val="left" w:pos="1080"/>
        </w:tabs>
        <w:rPr>
          <w:rFonts w:eastAsia="SimSun"/>
        </w:rPr>
      </w:pPr>
      <w:r w:rsidRPr="002008CC">
        <w:rPr>
          <w:rFonts w:eastAsia="SimSun"/>
          <w:color w:val="000000" w:themeColor="text1"/>
        </w:rPr>
        <w:t>NMFS does not have a form for this report because of the unknown nature of the responses that may come from each CQE that is required to report.</w:t>
      </w:r>
      <w:r>
        <w:rPr>
          <w:rFonts w:eastAsia="SimSun"/>
          <w:color w:val="000000" w:themeColor="text1"/>
        </w:rPr>
        <w:t xml:space="preserve"> </w:t>
      </w:r>
      <w:r w:rsidRPr="002008CC">
        <w:rPr>
          <w:rFonts w:eastAsia="SimSun"/>
          <w:color w:val="000000" w:themeColor="text1"/>
        </w:rPr>
        <w:t>Each CQE holds different permits and has different mechanisms for deciding how to distribute those permits.</w:t>
      </w:r>
      <w:r>
        <w:rPr>
          <w:rFonts w:eastAsia="SimSun"/>
          <w:color w:val="000000" w:themeColor="text1"/>
        </w:rPr>
        <w:t xml:space="preserve"> </w:t>
      </w:r>
      <w:r w:rsidRPr="002008CC">
        <w:rPr>
          <w:rFonts w:eastAsia="SimSun"/>
          <w:color w:val="000000" w:themeColor="text1"/>
        </w:rPr>
        <w:t>Each CQE is free to format their own annual report provided that it covers all the required criteria set out in the regulations at § 679.5(t).</w:t>
      </w:r>
    </w:p>
    <w:p w:rsidR="00184FB4" w:rsidRPr="002008CC" w:rsidP="00184FB4" w14:paraId="3C0403A3" w14:textId="77777777">
      <w:pPr>
        <w:widowControl/>
        <w:tabs>
          <w:tab w:val="left" w:pos="360"/>
          <w:tab w:val="left" w:pos="720"/>
          <w:tab w:val="left" w:pos="1080"/>
        </w:tabs>
        <w:rPr>
          <w:rFonts w:eastAsia="SimSun"/>
        </w:rPr>
      </w:pPr>
    </w:p>
    <w:p w:rsidR="00184FB4" w:rsidRPr="002008CC" w:rsidP="00184FB4" w14:paraId="010C4C86" w14:textId="77777777">
      <w:pPr>
        <w:keepNext/>
        <w:keepLines/>
        <w:widowControl/>
        <w:rPr>
          <w:rFonts w:eastAsia="SimSun"/>
          <w:b/>
        </w:rPr>
      </w:pPr>
      <w:r w:rsidRPr="002008CC">
        <w:rPr>
          <w:rFonts w:eastAsia="SimSun"/>
          <w:b/>
        </w:rPr>
        <w:t>Application for Transfer of</w:t>
      </w:r>
      <w:r>
        <w:rPr>
          <w:rFonts w:eastAsia="SimSun"/>
          <w:b/>
        </w:rPr>
        <w:t xml:space="preserve"> QS to or from a CQE</w:t>
      </w:r>
    </w:p>
    <w:p w:rsidR="00184FB4" w:rsidRPr="002008CC" w:rsidP="00184FB4" w14:paraId="4FE06F05" w14:textId="77777777">
      <w:pPr>
        <w:keepNext/>
        <w:keepLines/>
        <w:widowControl/>
        <w:rPr>
          <w:rFonts w:eastAsia="SimSun"/>
          <w:b/>
        </w:rPr>
      </w:pPr>
    </w:p>
    <w:p w:rsidR="00184FB4" w:rsidRPr="002008CC" w:rsidP="00184FB4" w14:paraId="700FF173" w14:textId="77777777">
      <w:pPr>
        <w:widowControl/>
        <w:rPr>
          <w:rFonts w:eastAsia="SimSun"/>
        </w:rPr>
      </w:pPr>
      <w:r w:rsidRPr="002008CC">
        <w:rPr>
          <w:rFonts w:eastAsia="SimSun"/>
        </w:rPr>
        <w:t xml:space="preserve">To participate in a fishery, an eligible community must first form a CQE and purchase catcher vessel QS through a transfer. Once QS is held, the CQE may lease the annual IFQ resulting from the QS to individual community residents. </w:t>
      </w:r>
    </w:p>
    <w:p w:rsidR="00184FB4" w:rsidRPr="002008CC" w:rsidP="00184FB4" w14:paraId="2EAEBDE4" w14:textId="77777777">
      <w:pPr>
        <w:widowControl/>
        <w:rPr>
          <w:rFonts w:eastAsia="SimSun"/>
        </w:rPr>
      </w:pPr>
    </w:p>
    <w:p w:rsidR="00184FB4" w:rsidRPr="002008CC" w:rsidP="00184FB4" w14:paraId="00B7AA1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rPr>
      </w:pPr>
      <w:r w:rsidRPr="002008CC">
        <w:rPr>
          <w:rFonts w:eastAsia="SimSun"/>
        </w:rPr>
        <w:t xml:space="preserve">The Application for Transfer of QS is used to apply for a transfer of permanent QS (with or without IFQ) to or from a CQE. Persons receiving the QS transfer must hold a Transfer Eligibility Certificate (TEC) (approved under OMB 0648-0272). If the application is to permanently transfer QS from a CQE to another party, the application must be signed by a representative of the community for whom the CQE holds the QS. Transfers of charter halibut permits or LLP licenses are not allowed in the CQE program. </w:t>
      </w:r>
    </w:p>
    <w:p w:rsidR="00184FB4" w:rsidRPr="002008CC" w:rsidP="00184FB4" w14:paraId="21045101" w14:textId="77777777">
      <w:pPr>
        <w:widowControl/>
        <w:rPr>
          <w:rFonts w:eastAsia="SimSun"/>
        </w:rPr>
      </w:pPr>
    </w:p>
    <w:p w:rsidR="00184FB4" w:rsidRPr="002008CC" w:rsidP="00184FB4" w14:paraId="3DA44C63" w14:textId="77777777">
      <w:pPr>
        <w:widowControl/>
        <w:tabs>
          <w:tab w:val="left" w:pos="360"/>
          <w:tab w:val="left" w:pos="720"/>
          <w:tab w:val="left" w:pos="1080"/>
        </w:tabs>
        <w:rPr>
          <w:rFonts w:eastAsia="SimSun"/>
        </w:rPr>
      </w:pPr>
      <w:r w:rsidRPr="002008CC">
        <w:rPr>
          <w:rFonts w:eastAsia="SimSun"/>
        </w:rPr>
        <w:t xml:space="preserve">A CQE may transfer QS for the following reasons (§ 679.41(g)(7)): </w:t>
      </w:r>
    </w:p>
    <w:p w:rsidR="00184FB4" w:rsidRPr="002008CC" w:rsidP="00184FB4" w14:paraId="631339B5" w14:textId="77777777">
      <w:pPr>
        <w:widowControl/>
        <w:numPr>
          <w:ilvl w:val="0"/>
          <w:numId w:val="15"/>
        </w:numPr>
        <w:tabs>
          <w:tab w:val="left" w:pos="360"/>
          <w:tab w:val="left" w:pos="720"/>
          <w:tab w:val="left" w:pos="1080"/>
        </w:tabs>
        <w:contextualSpacing/>
        <w:rPr>
          <w:rFonts w:eastAsia="SimSun"/>
        </w:rPr>
      </w:pPr>
      <w:r w:rsidRPr="002008CC">
        <w:rPr>
          <w:rFonts w:eastAsia="SimSun"/>
        </w:rPr>
        <w:t>to generate revenue to provide funds to meet administrative costs for managing the community QS holdings;</w:t>
      </w:r>
    </w:p>
    <w:p w:rsidR="00184FB4" w:rsidRPr="002008CC" w:rsidP="00184FB4" w14:paraId="7399BEB3" w14:textId="77777777">
      <w:pPr>
        <w:widowControl/>
        <w:numPr>
          <w:ilvl w:val="0"/>
          <w:numId w:val="15"/>
        </w:numPr>
        <w:tabs>
          <w:tab w:val="left" w:pos="360"/>
          <w:tab w:val="left" w:pos="720"/>
          <w:tab w:val="left" w:pos="1080"/>
        </w:tabs>
        <w:contextualSpacing/>
        <w:rPr>
          <w:rFonts w:eastAsia="SimSun"/>
        </w:rPr>
      </w:pPr>
      <w:r w:rsidRPr="002008CC">
        <w:rPr>
          <w:rFonts w:eastAsia="SimSun"/>
        </w:rPr>
        <w:t xml:space="preserve">to generate revenue to improve the ability of residents within the community to participate in the halibut and sablefish IFQ fisheries; </w:t>
      </w:r>
    </w:p>
    <w:p w:rsidR="00184FB4" w:rsidRPr="002008CC" w:rsidP="00184FB4" w14:paraId="6C35D315" w14:textId="77777777">
      <w:pPr>
        <w:widowControl/>
        <w:numPr>
          <w:ilvl w:val="0"/>
          <w:numId w:val="15"/>
        </w:numPr>
        <w:tabs>
          <w:tab w:val="left" w:pos="360"/>
          <w:tab w:val="left" w:pos="720"/>
          <w:tab w:val="left" w:pos="1080"/>
        </w:tabs>
        <w:contextualSpacing/>
        <w:rPr>
          <w:rFonts w:eastAsia="SimSun"/>
        </w:rPr>
      </w:pPr>
      <w:r w:rsidRPr="002008CC">
        <w:rPr>
          <w:rFonts w:eastAsia="SimSun"/>
        </w:rPr>
        <w:t>to generate revenue to purchase QS to yield IFQ for use by community residents</w:t>
      </w:r>
    </w:p>
    <w:p w:rsidR="00184FB4" w:rsidRPr="002008CC" w:rsidP="00184FB4" w14:paraId="67EFC8C8" w14:textId="77777777">
      <w:pPr>
        <w:widowControl/>
        <w:numPr>
          <w:ilvl w:val="0"/>
          <w:numId w:val="15"/>
        </w:numPr>
        <w:tabs>
          <w:tab w:val="left" w:pos="360"/>
          <w:tab w:val="left" w:pos="720"/>
          <w:tab w:val="left" w:pos="1080"/>
        </w:tabs>
        <w:contextualSpacing/>
        <w:rPr>
          <w:rFonts w:eastAsia="SimSun"/>
        </w:rPr>
      </w:pPr>
      <w:r w:rsidRPr="002008CC">
        <w:rPr>
          <w:rFonts w:eastAsia="SimSun"/>
        </w:rPr>
        <w:t xml:space="preserve">to dissolve the CQE; or </w:t>
      </w:r>
    </w:p>
    <w:p w:rsidR="00184FB4" w:rsidRPr="002008CC" w:rsidP="00184FB4" w14:paraId="74F6A01B" w14:textId="77777777">
      <w:pPr>
        <w:widowControl/>
        <w:numPr>
          <w:ilvl w:val="0"/>
          <w:numId w:val="16"/>
        </w:numPr>
        <w:tabs>
          <w:tab w:val="left" w:pos="360"/>
          <w:tab w:val="left" w:pos="720"/>
          <w:tab w:val="left" w:pos="1080"/>
        </w:tabs>
        <w:contextualSpacing/>
        <w:rPr>
          <w:rFonts w:eastAsia="SimSun"/>
        </w:rPr>
      </w:pPr>
      <w:r w:rsidRPr="002008CC">
        <w:rPr>
          <w:rFonts w:eastAsia="SimSun"/>
        </w:rPr>
        <w:t>as a result of a court order, operation of law, or as part of a security agreement.</w:t>
      </w:r>
    </w:p>
    <w:p w:rsidR="00184FB4" w:rsidRPr="002008CC" w:rsidP="00184FB4" w14:paraId="34692AE3" w14:textId="77777777">
      <w:pPr>
        <w:widowControl/>
        <w:tabs>
          <w:tab w:val="left" w:pos="360"/>
          <w:tab w:val="left" w:pos="720"/>
          <w:tab w:val="left" w:pos="1080"/>
          <w:tab w:val="left" w:pos="1440"/>
        </w:tabs>
        <w:rPr>
          <w:rFonts w:eastAsia="SimSun"/>
        </w:rPr>
      </w:pPr>
    </w:p>
    <w:p w:rsidR="00184FB4" w:rsidRPr="002008CC" w:rsidP="00184FB4" w14:paraId="419F22B4" w14:textId="77777777">
      <w:pPr>
        <w:widowControl/>
        <w:tabs>
          <w:tab w:val="left" w:pos="360"/>
          <w:tab w:val="left" w:pos="720"/>
          <w:tab w:val="left" w:pos="1080"/>
          <w:tab w:val="left" w:pos="1440"/>
        </w:tabs>
        <w:rPr>
          <w:rFonts w:eastAsia="SimSun"/>
        </w:rPr>
      </w:pPr>
      <w:r w:rsidRPr="002008CC">
        <w:rPr>
          <w:rFonts w:eastAsia="SimSun"/>
        </w:rPr>
        <w:t xml:space="preserve">The </w:t>
      </w:r>
      <w:r w:rsidRPr="002008CC">
        <w:rPr>
          <w:rFonts w:eastAsia="SimSun"/>
        </w:rPr>
        <w:t xml:space="preserve">information collected on the Application for Transfer of QS includes NMFS Person ID, name, and contact information for the transferor and transferee; name of the community represented by the CQE and contact information for the community governing body; sweep-up information if this QS is a sweep-up; identification information and amount of QS to be transferred; reason for transfer and transaction information; signatures and printed names of the transferor and transferee, or their authorized representatives, </w:t>
      </w:r>
      <w:r w:rsidRPr="002008CC">
        <w:rPr>
          <w:rFonts w:eastAsia="SimSun"/>
        </w:rPr>
        <w:t>and date signed; and signature, printed name, and title of the community representative, which is only required when the CQE is permanently transferring QS, and date signed. If it is a sweep-up, the original QS certificates of both the transferor and the transferee must be attached. If it is completed by a representative, their authorization must be attached.</w:t>
      </w:r>
    </w:p>
    <w:p w:rsidR="00184FB4" w:rsidRPr="002008CC" w:rsidP="00184FB4" w14:paraId="11031DDF" w14:textId="77777777">
      <w:pPr>
        <w:widowControl/>
        <w:autoSpaceDE w:val="0"/>
        <w:autoSpaceDN w:val="0"/>
        <w:adjustRightInd w:val="0"/>
        <w:rPr>
          <w:rFonts w:eastAsia="SimSun"/>
        </w:rPr>
      </w:pPr>
    </w:p>
    <w:p w:rsidR="00184FB4" w:rsidRPr="002008CC" w:rsidP="00184FB4" w14:paraId="3F9DBC9E" w14:textId="77777777">
      <w:pPr>
        <w:keepNext/>
        <w:widowControl/>
        <w:rPr>
          <w:rFonts w:eastAsia="SimSun"/>
          <w:b/>
        </w:rPr>
      </w:pPr>
      <w:r w:rsidRPr="002008CC">
        <w:rPr>
          <w:rFonts w:eastAsia="SimSun"/>
          <w:b/>
        </w:rPr>
        <w:t>Application for a CQE to Transfer IFQ to an Eligible Community Resident or Non-resident</w:t>
      </w:r>
    </w:p>
    <w:p w:rsidR="00184FB4" w:rsidP="00184FB4" w14:paraId="2159D39D" w14:textId="77777777">
      <w:pPr>
        <w:keepNext/>
        <w:widowControl/>
        <w:rPr>
          <w:rFonts w:eastAsia="SimSun"/>
          <w:bCs/>
        </w:rPr>
      </w:pPr>
    </w:p>
    <w:p w:rsidR="00184FB4" w:rsidP="00184FB4" w14:paraId="0E17FC30" w14:textId="77777777">
      <w:pPr>
        <w:keepNext/>
        <w:widowControl/>
        <w:rPr>
          <w:rFonts w:eastAsia="SimSun"/>
        </w:rPr>
      </w:pPr>
      <w:r w:rsidRPr="002008CC">
        <w:rPr>
          <w:rFonts w:eastAsia="SimSun"/>
          <w:bCs/>
        </w:rPr>
        <w:t xml:space="preserve">A CQE that receives transferred halibut or sablefish QS on behalf of an eligible community may lease the resulting IFQ to persons who are residents of the eligible community. </w:t>
      </w:r>
      <w:r w:rsidRPr="002008CC">
        <w:rPr>
          <w:rFonts w:eastAsia="SimSun"/>
        </w:rPr>
        <w:t xml:space="preserve">On NMFS approval of the transfer of QS to a CQE (see </w:t>
      </w:r>
      <w:r>
        <w:rPr>
          <w:rFonts w:eastAsia="SimSun"/>
        </w:rPr>
        <w:t xml:space="preserve">section above for </w:t>
      </w:r>
      <w:r w:rsidRPr="00B7661B">
        <w:rPr>
          <w:rFonts w:eastAsia="SimSun"/>
        </w:rPr>
        <w:t>Application for Transfer of QS to or from a CQE</w:t>
      </w:r>
      <w:r w:rsidRPr="002008CC">
        <w:rPr>
          <w:rFonts w:eastAsia="SimSun"/>
        </w:rPr>
        <w:t xml:space="preserve">), the CQE may transfer halibut and sablefish IFQ to individual, eligible community residents and non-residents. </w:t>
      </w:r>
    </w:p>
    <w:p w:rsidR="00184FB4" w:rsidP="00184FB4" w14:paraId="49328239" w14:textId="77777777">
      <w:pPr>
        <w:keepNext/>
        <w:widowControl/>
        <w:rPr>
          <w:rFonts w:eastAsia="SimSun"/>
        </w:rPr>
      </w:pPr>
    </w:p>
    <w:p w:rsidR="00184FB4" w:rsidRPr="002008CC" w:rsidP="00184FB4" w14:paraId="31BA94CE" w14:textId="77777777">
      <w:pPr>
        <w:keepNext/>
        <w:widowControl/>
        <w:rPr>
          <w:rFonts w:eastAsia="SimSun"/>
        </w:rPr>
      </w:pPr>
      <w:r w:rsidRPr="002008CC">
        <w:rPr>
          <w:rFonts w:eastAsia="SimSun"/>
        </w:rPr>
        <w:t xml:space="preserve">In the case of the city of Adak, since March 17, 2019, the transferee has been required to be an eligible community resident of Adak. </w:t>
      </w:r>
      <w:r>
        <w:rPr>
          <w:rFonts w:eastAsia="SimSun"/>
        </w:rPr>
        <w:t xml:space="preserve">In 2023, a final rule </w:t>
      </w:r>
      <w:r w:rsidRPr="00E95CA3">
        <w:rPr>
          <w:rFonts w:eastAsia="Arial"/>
          <w:lang w:val="en"/>
        </w:rPr>
        <w:t>(</w:t>
      </w:r>
      <w:r w:rsidRPr="00961A13">
        <w:rPr>
          <w:rFonts w:eastAsia="Arial"/>
          <w:lang w:val="en"/>
        </w:rPr>
        <w:t>88 FR 12259</w:t>
      </w:r>
      <w:r>
        <w:rPr>
          <w:rFonts w:eastAsia="Arial"/>
          <w:lang w:val="en"/>
        </w:rPr>
        <w:t>; February 27, 2023</w:t>
      </w:r>
      <w:r w:rsidRPr="00CD3C52">
        <w:rPr>
          <w:rFonts w:eastAsia="Arial"/>
          <w:lang w:val="en"/>
        </w:rPr>
        <w:t>)</w:t>
      </w:r>
      <w:r>
        <w:rPr>
          <w:rStyle w:val="FootnoteReference"/>
          <w:rFonts w:eastAsia="Arial"/>
          <w:lang w:val="en"/>
        </w:rPr>
        <w:footnoteReference w:id="12"/>
      </w:r>
      <w:r w:rsidRPr="00CD3C52">
        <w:rPr>
          <w:rFonts w:eastAsia="SimSun"/>
        </w:rPr>
        <w:t xml:space="preserve"> r</w:t>
      </w:r>
      <w:r>
        <w:rPr>
          <w:rFonts w:eastAsia="SimSun"/>
        </w:rPr>
        <w:t xml:space="preserve">evised </w:t>
      </w:r>
      <w:r w:rsidRPr="00A83BDC">
        <w:rPr>
          <w:rFonts w:eastAsia="SimSun"/>
        </w:rPr>
        <w:t>50 CFR 679.42(e)(8)(ii)</w:t>
      </w:r>
      <w:r>
        <w:rPr>
          <w:rStyle w:val="FootnoteReference"/>
          <w:rFonts w:eastAsia="SimSun"/>
        </w:rPr>
        <w:footnoteReference w:id="13"/>
      </w:r>
      <w:r w:rsidRPr="00A83BDC">
        <w:rPr>
          <w:rFonts w:eastAsia="SimSun"/>
        </w:rPr>
        <w:t xml:space="preserve"> and 679.42(f)(7)(ii)</w:t>
      </w:r>
      <w:r>
        <w:rPr>
          <w:rStyle w:val="FootnoteReference"/>
          <w:rFonts w:eastAsia="SimSun"/>
        </w:rPr>
        <w:footnoteReference w:id="14"/>
      </w:r>
      <w:r>
        <w:rPr>
          <w:rFonts w:eastAsia="SimSun"/>
        </w:rPr>
        <w:t xml:space="preserve"> to remove for five years the </w:t>
      </w:r>
      <w:r w:rsidRPr="00A83BDC">
        <w:rPr>
          <w:rFonts w:eastAsia="SimSun"/>
        </w:rPr>
        <w:t xml:space="preserve">Adak residency requirement for the person receiving the transfer of IFQ. After February 28, 2028, the </w:t>
      </w:r>
      <w:r w:rsidRPr="003B7549">
        <w:rPr>
          <w:rFonts w:eastAsia="SimSun"/>
        </w:rPr>
        <w:t xml:space="preserve">person receiving the transfer of IFQ </w:t>
      </w:r>
      <w:r w:rsidRPr="00A83BDC">
        <w:rPr>
          <w:rFonts w:eastAsia="SimSun"/>
        </w:rPr>
        <w:t>will need to be a community resident. This revision w</w:t>
      </w:r>
      <w:r>
        <w:rPr>
          <w:rFonts w:eastAsia="SimSun"/>
        </w:rPr>
        <w:t>as necessary to</w:t>
      </w:r>
      <w:r w:rsidRPr="00A83BDC">
        <w:rPr>
          <w:rFonts w:eastAsia="SimSun"/>
        </w:rPr>
        <w:t xml:space="preserve"> provide the opportunity for the Adak CQE to fully harvest its allocation</w:t>
      </w:r>
      <w:r>
        <w:rPr>
          <w:rFonts w:eastAsia="SimSun"/>
        </w:rPr>
        <w:t xml:space="preserve">. </w:t>
      </w:r>
    </w:p>
    <w:p w:rsidR="00184FB4" w:rsidRPr="002008CC" w:rsidP="00184FB4" w14:paraId="5DEB8358" w14:textId="77777777">
      <w:pPr>
        <w:widowControl/>
        <w:rPr>
          <w:rFonts w:eastAsia="SimSun"/>
        </w:rPr>
      </w:pPr>
    </w:p>
    <w:p w:rsidR="00184FB4" w:rsidRPr="002008CC" w:rsidP="00184FB4" w14:paraId="2F1A9F03" w14:textId="35CB3F31">
      <w:pPr>
        <w:widowControl/>
        <w:rPr>
          <w:rFonts w:eastAsia="SimSun"/>
        </w:rPr>
      </w:pPr>
      <w:r w:rsidRPr="002008CC">
        <w:rPr>
          <w:rFonts w:eastAsia="SimSun"/>
        </w:rPr>
        <w:t xml:space="preserve">The Application for a CQE to Transfer IFQ to an Eligible Community Resident or Non-resident is used by CQEs to apply to transfer IFQ to these eligible residents and non-residents. Persons receiving the IFQ must hold a TEC (approved under OMB </w:t>
      </w:r>
      <w:r>
        <w:rPr>
          <w:rFonts w:eastAsia="SimSun"/>
        </w:rPr>
        <w:t xml:space="preserve">Control Number </w:t>
      </w:r>
      <w:r w:rsidRPr="002008CC">
        <w:rPr>
          <w:rFonts w:eastAsia="SimSun"/>
        </w:rPr>
        <w:t xml:space="preserve">0648-0272) unless </w:t>
      </w:r>
      <w:r w:rsidRPr="00AB42D6" w:rsidR="005C4CEE">
        <w:rPr>
          <w:bCs/>
          <w:color w:val="000000" w:themeColor="text1"/>
        </w:rPr>
        <w:t>they hold an Aleutian Islands (Adak) TEC.</w:t>
      </w:r>
    </w:p>
    <w:p w:rsidR="00184FB4" w:rsidRPr="002008CC" w:rsidP="00184FB4" w14:paraId="2B52F9FA" w14:textId="77777777">
      <w:pPr>
        <w:widowControl/>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rPr>
          <w:rFonts w:eastAsia="SimSun"/>
        </w:rPr>
      </w:pPr>
    </w:p>
    <w:p w:rsidR="00184FB4" w:rsidRPr="002008CC" w:rsidP="00184FB4" w14:paraId="294CB507" w14:textId="77777777">
      <w:pPr>
        <w:widowControl/>
        <w:tabs>
          <w:tab w:val="left" w:pos="360"/>
          <w:tab w:val="left" w:pos="720"/>
          <w:tab w:val="left" w:pos="1080"/>
          <w:tab w:val="left" w:pos="1440"/>
        </w:tabs>
        <w:rPr>
          <w:rFonts w:eastAsia="SimSun"/>
        </w:rPr>
      </w:pPr>
      <w:r w:rsidRPr="002008CC">
        <w:rPr>
          <w:rFonts w:eastAsia="SimSun"/>
        </w:rPr>
        <w:t xml:space="preserve">The information collected on the Application for a CQE to Transfer IFQ to an Eligible Community Resident or Non-resident includes NMFS Person ID, name, and contact information for the </w:t>
      </w:r>
      <w:r w:rsidRPr="002008CC">
        <w:rPr>
          <w:rFonts w:eastAsia="SimSun"/>
        </w:rPr>
        <w:t xml:space="preserve">transferor and transferee; name of the community represented by the CQE; identification information and amount of IFQ to be transferred; the transferee’s community and state of residence if not a resident of Adak, Alaska; transaction information; signatures and printed names of the transferor and transferee, or their authorized representative, and date signed; and signature and printed name of the non-resident transferee (or their authorized representative), which is applicable to IFQ transferred from Adak </w:t>
      </w:r>
      <w:r w:rsidRPr="002008CC">
        <w:rPr>
          <w:rFonts w:eastAsia="SimSun"/>
        </w:rPr>
        <w:t>CQE only. If it is completed by a representative, their authorization must be attached.</w:t>
      </w:r>
    </w:p>
    <w:p w:rsidR="00184FB4" w:rsidRPr="002008CC" w:rsidP="00184FB4" w14:paraId="7EC992C6" w14:textId="77777777">
      <w:pPr>
        <w:widowControl/>
        <w:tabs>
          <w:tab w:val="left" w:pos="360"/>
          <w:tab w:val="left" w:pos="720"/>
          <w:tab w:val="left" w:pos="1080"/>
          <w:tab w:val="left" w:pos="1440"/>
        </w:tabs>
        <w:rPr>
          <w:rFonts w:eastAsia="SimSun"/>
        </w:rPr>
      </w:pPr>
    </w:p>
    <w:p w:rsidR="00184FB4" w:rsidRPr="002008CC" w:rsidP="00184FB4" w14:paraId="1610AFD7" w14:textId="77777777">
      <w:pPr>
        <w:widowControl/>
        <w:tabs>
          <w:tab w:val="left" w:pos="360"/>
          <w:tab w:val="left" w:pos="720"/>
          <w:tab w:val="left" w:pos="1080"/>
          <w:tab w:val="left" w:pos="1440"/>
        </w:tabs>
        <w:rPr>
          <w:rFonts w:eastAsia="SimSun"/>
          <w:b/>
        </w:rPr>
      </w:pPr>
      <w:r w:rsidRPr="007E09DA">
        <w:rPr>
          <w:rFonts w:eastAsia="SimSun"/>
          <w:b/>
        </w:rPr>
        <w:t>Application for Transfer (Lease) Between IFQ and GAF by a Community Quota Entity (CQE)</w:t>
      </w:r>
    </w:p>
    <w:p w:rsidR="00184FB4" w:rsidRPr="002008CC" w:rsidP="00184FB4" w14:paraId="193692F7" w14:textId="77777777">
      <w:pPr>
        <w:widowControl/>
        <w:rPr>
          <w:rFonts w:eastAsia="SimSun"/>
        </w:rPr>
      </w:pPr>
    </w:p>
    <w:p w:rsidR="00184FB4" w:rsidRPr="002008CC" w:rsidP="00184FB4" w14:paraId="5DB0C89F" w14:textId="77777777">
      <w:pPr>
        <w:widowControl/>
        <w:rPr>
          <w:rFonts w:eastAsia="SimSun"/>
        </w:rPr>
      </w:pPr>
      <w:r w:rsidRPr="002008CC">
        <w:rPr>
          <w:rFonts w:eastAsia="SimSun"/>
        </w:rPr>
        <w:t>The Application for Transfer (Lease) Between IFQ and GAF by a Community Quota Entity (CQE) is used to transfer IPHC Areas 2C (Southeast GOA) and 3A (Central GOA) commercial IFQ for use as guided angler fish (GAF) by a community resident holding one or more charter halibut permits for IPHC Areas 2C or 3A.</w:t>
      </w:r>
      <w:r>
        <w:rPr>
          <w:rFonts w:eastAsia="SimSun"/>
        </w:rPr>
        <w:t xml:space="preserve"> </w:t>
      </w:r>
      <w:r w:rsidRPr="002008CC">
        <w:rPr>
          <w:rFonts w:eastAsia="SimSun"/>
        </w:rPr>
        <w:t>This form is used only if a CQE is the transferor or the transferee of the IFQ.</w:t>
      </w:r>
    </w:p>
    <w:p w:rsidR="00184FB4" w:rsidRPr="002008CC" w:rsidP="00184FB4" w14:paraId="620D731F" w14:textId="77777777">
      <w:pPr>
        <w:widowControl/>
        <w:rPr>
          <w:rFonts w:eastAsia="SimSun"/>
        </w:rPr>
      </w:pPr>
    </w:p>
    <w:p w:rsidR="00184FB4" w:rsidRPr="002008CC" w:rsidP="00184FB4" w14:paraId="390653AA" w14:textId="77777777">
      <w:pPr>
        <w:widowControl/>
        <w:numPr>
          <w:ilvl w:val="0"/>
          <w:numId w:val="16"/>
        </w:numPr>
        <w:tabs>
          <w:tab w:val="left" w:pos="360"/>
          <w:tab w:val="left" w:pos="720"/>
          <w:tab w:val="left" w:pos="1080"/>
          <w:tab w:val="left" w:pos="1440"/>
        </w:tabs>
        <w:contextualSpacing/>
        <w:rPr>
          <w:rFonts w:eastAsia="SimSun"/>
        </w:rPr>
      </w:pPr>
      <w:r w:rsidRPr="002008CC">
        <w:rPr>
          <w:rFonts w:eastAsia="SimSun"/>
        </w:rPr>
        <w:t xml:space="preserve">A CQE applying for a transfer between IFQ and GAF must be eligible to hold IFQ on behalf of an eligible community in Area 2C or Area 3A and have received NMFS’ notification of approval of eligibility to receive IFQ for that community. </w:t>
      </w:r>
    </w:p>
    <w:p w:rsidR="00184FB4" w:rsidRPr="002008CC" w:rsidP="00184FB4" w14:paraId="42C46DB6" w14:textId="77777777">
      <w:pPr>
        <w:widowControl/>
        <w:numPr>
          <w:ilvl w:val="0"/>
          <w:numId w:val="16"/>
        </w:numPr>
        <w:tabs>
          <w:tab w:val="left" w:pos="360"/>
          <w:tab w:val="left" w:pos="720"/>
          <w:tab w:val="left" w:pos="1080"/>
          <w:tab w:val="left" w:pos="1440"/>
        </w:tabs>
        <w:contextualSpacing/>
        <w:rPr>
          <w:rFonts w:eastAsia="SimSun"/>
        </w:rPr>
      </w:pPr>
      <w:r w:rsidRPr="002008CC">
        <w:rPr>
          <w:rFonts w:eastAsia="SimSun"/>
        </w:rPr>
        <w:t>A CQE applying to receive GAF must hold one or more valid community charter halibut permits.</w:t>
      </w:r>
    </w:p>
    <w:p w:rsidR="00184FB4" w:rsidRPr="002008CC" w:rsidP="00184FB4" w14:paraId="04B1A780" w14:textId="77777777">
      <w:pPr>
        <w:widowControl/>
        <w:numPr>
          <w:ilvl w:val="0"/>
          <w:numId w:val="16"/>
        </w:numPr>
        <w:tabs>
          <w:tab w:val="left" w:pos="360"/>
          <w:tab w:val="left" w:pos="720"/>
          <w:tab w:val="left" w:pos="1080"/>
          <w:tab w:val="left" w:pos="1440"/>
        </w:tabs>
        <w:contextualSpacing/>
        <w:rPr>
          <w:rFonts w:eastAsia="SimSun"/>
        </w:rPr>
      </w:pPr>
      <w:r w:rsidRPr="002008CC">
        <w:rPr>
          <w:rFonts w:eastAsia="SimSun"/>
        </w:rPr>
        <w:t>A CQE applying to transfer IFQ to GAF must submit a complete annual report(s) as required by 50 CFR part 679.5(l)(8).</w:t>
      </w:r>
    </w:p>
    <w:p w:rsidR="00184FB4" w:rsidRPr="002008CC" w:rsidP="00184FB4" w14:paraId="2E739ECF" w14:textId="77777777">
      <w:pPr>
        <w:widowControl/>
        <w:numPr>
          <w:ilvl w:val="0"/>
          <w:numId w:val="16"/>
        </w:numPr>
        <w:tabs>
          <w:tab w:val="left" w:pos="360"/>
          <w:tab w:val="left" w:pos="720"/>
          <w:tab w:val="left" w:pos="1080"/>
          <w:tab w:val="left" w:pos="1440"/>
        </w:tabs>
        <w:contextualSpacing/>
        <w:rPr>
          <w:rFonts w:eastAsia="SimSun"/>
        </w:rPr>
      </w:pPr>
      <w:r w:rsidRPr="002008CC">
        <w:rPr>
          <w:rFonts w:eastAsia="SimSun"/>
        </w:rPr>
        <w:t>An individual applying to receive GAF from Area 2C or Area 3A IFQ held by a CQE must be an eligible community resident of the eligible community in whose name the CQE is holding IFQ.</w:t>
      </w:r>
    </w:p>
    <w:p w:rsidR="00184FB4" w:rsidRPr="002008CC" w:rsidP="00184FB4" w14:paraId="24A045B7" w14:textId="77777777">
      <w:pPr>
        <w:widowControl/>
        <w:tabs>
          <w:tab w:val="left" w:pos="360"/>
          <w:tab w:val="left" w:pos="720"/>
          <w:tab w:val="left" w:pos="1080"/>
          <w:tab w:val="left" w:pos="1440"/>
        </w:tabs>
        <w:rPr>
          <w:rFonts w:eastAsia="SimSun"/>
        </w:rPr>
      </w:pPr>
    </w:p>
    <w:p w:rsidR="00184FB4" w:rsidRPr="002008CC" w:rsidP="00184FB4" w14:paraId="339F4124" w14:textId="77777777">
      <w:pPr>
        <w:widowControl/>
        <w:rPr>
          <w:rFonts w:eastAsia="SimSun"/>
        </w:rPr>
      </w:pPr>
      <w:r w:rsidRPr="002008CC">
        <w:rPr>
          <w:rFonts w:eastAsia="SimSun"/>
        </w:rPr>
        <w:t>This form is also used to return unused GAF to the CQE from which it was obtained. NMFS will accept applications to return GAF to IFQ from August 1 to August 31 only. NMFS will return unused GAF to the IFQ permit holder from which they were obtained on or about 15 calendar days prior to the closing of the commercial halibut fishing season.</w:t>
      </w:r>
    </w:p>
    <w:p w:rsidR="00184FB4" w:rsidRPr="002008CC" w:rsidP="00184FB4" w14:paraId="7F92DCBD" w14:textId="77777777">
      <w:pPr>
        <w:widowControl/>
        <w:rPr>
          <w:rFonts w:eastAsia="SimSun"/>
        </w:rPr>
      </w:pPr>
    </w:p>
    <w:p w:rsidR="00184FB4" w:rsidRPr="002008CC" w:rsidP="00184FB4" w14:paraId="402B369F" w14:textId="77777777">
      <w:pPr>
        <w:widowControl/>
        <w:rPr>
          <w:rFonts w:eastAsia="SimSun"/>
        </w:rPr>
      </w:pPr>
      <w:r w:rsidRPr="002008CC">
        <w:rPr>
          <w:rFonts w:eastAsia="SimSun"/>
        </w:rPr>
        <w:t xml:space="preserve">NMFS will not approve an application before the annual IFQ is issued, one month prior to the close of the commercial IFQ fishing season, or after November 1. NMFS will return all unharvested GAF to the CQE on or about November 1 each year. </w:t>
      </w:r>
    </w:p>
    <w:p w:rsidR="00184FB4" w:rsidRPr="002008CC" w:rsidP="00184FB4" w14:paraId="54DB4442" w14:textId="77777777">
      <w:pPr>
        <w:widowControl/>
        <w:tabs>
          <w:tab w:val="left" w:pos="360"/>
          <w:tab w:val="left" w:pos="720"/>
        </w:tabs>
        <w:rPr>
          <w:rFonts w:eastAsia="SimSun"/>
        </w:rPr>
      </w:pPr>
    </w:p>
    <w:p w:rsidR="00184FB4" w:rsidRPr="002008CC" w:rsidP="00184FB4" w14:paraId="7AD6714A" w14:textId="77777777">
      <w:pPr>
        <w:widowControl/>
        <w:rPr>
          <w:rFonts w:eastAsia="SimSun"/>
        </w:rPr>
      </w:pPr>
      <w:r w:rsidRPr="002008CC">
        <w:rPr>
          <w:rFonts w:eastAsia="SimSun"/>
        </w:rPr>
        <w:t>The IFQ permit holder is responsible for all cost recovery fees (approved under OMB Control No. 0648-0711) resulting from the GAF harvested as a result of this transfer. No fees will be assessed for any unused GAF.</w:t>
      </w:r>
    </w:p>
    <w:p w:rsidR="00184FB4" w:rsidRPr="002008CC" w:rsidP="00184FB4" w14:paraId="0FC51182" w14:textId="77777777">
      <w:pPr>
        <w:widowControl/>
        <w:tabs>
          <w:tab w:val="left" w:pos="360"/>
          <w:tab w:val="left" w:pos="720"/>
          <w:tab w:val="left" w:pos="1080"/>
          <w:tab w:val="left" w:pos="1440"/>
        </w:tabs>
        <w:rPr>
          <w:rFonts w:eastAsia="SimSun"/>
        </w:rPr>
      </w:pPr>
    </w:p>
    <w:p w:rsidR="00184FB4" w:rsidRPr="002008CC" w:rsidP="00184FB4" w14:paraId="163D51D1" w14:textId="77777777">
      <w:pPr>
        <w:widowControl/>
        <w:tabs>
          <w:tab w:val="left" w:pos="360"/>
          <w:tab w:val="left" w:pos="720"/>
          <w:tab w:val="left" w:pos="1080"/>
          <w:tab w:val="left" w:pos="1440"/>
        </w:tabs>
        <w:rPr>
          <w:rFonts w:eastAsia="SimSun"/>
        </w:rPr>
      </w:pPr>
      <w:r w:rsidRPr="002008CC">
        <w:rPr>
          <w:rFonts w:eastAsia="SimSun"/>
        </w:rPr>
        <w:t xml:space="preserve">The information collected on the </w:t>
      </w:r>
      <w:r w:rsidRPr="002008CC">
        <w:rPr>
          <w:rFonts w:eastAsia="SimSun"/>
        </w:rPr>
        <w:t xml:space="preserve">Application for Transfer (Lease) Between IFQ and GAF by a Community Quota Entity (CQE) includes NMFS Person ID, name, and contact information for the transferor and transferee; name of the community represented by the CQE; whether the transferee intends to begin or end their charter halibut fishing trip in the community listed by the transferor; identification of IFQ and/or GAF to be transferred; transaction information; and signatures and printed names of the transferor and transferee, or their authorized </w:t>
      </w:r>
      <w:r w:rsidRPr="002008CC">
        <w:rPr>
          <w:rFonts w:eastAsia="SimSun"/>
        </w:rPr>
        <w:t>representative, and date signed. If it is completed by a representative, their authorization must be attached. The application also requires the following attachments: copy of IFQ permit(s); valid Charter Halibut Permit (transferee receiving GAF must have a valid Charter Halibut Permit); and Power of Attorney (if applicable).</w:t>
      </w:r>
    </w:p>
    <w:p w:rsidR="00184FB4" w:rsidRPr="002008CC" w:rsidP="00184FB4" w14:paraId="49786B22" w14:textId="77777777">
      <w:pPr>
        <w:widowControl/>
        <w:tabs>
          <w:tab w:val="left" w:pos="360"/>
          <w:tab w:val="left" w:pos="720"/>
          <w:tab w:val="left" w:pos="1080"/>
          <w:tab w:val="left" w:pos="1440"/>
        </w:tabs>
        <w:rPr>
          <w:rFonts w:eastAsia="SimSun"/>
        </w:rPr>
      </w:pPr>
    </w:p>
    <w:p w:rsidR="00184FB4" w:rsidRPr="002008CC" w:rsidP="00184FB4" w14:paraId="2BB2D7A3" w14:textId="77777777">
      <w:pPr>
        <w:widowControl/>
        <w:ind w:left="274" w:hanging="274"/>
        <w:rPr>
          <w:rFonts w:eastAsia="SimSun"/>
          <w:b/>
          <w:bCs/>
          <w:color w:val="C00000"/>
        </w:rPr>
      </w:pPr>
      <w:r w:rsidRPr="002008CC">
        <w:rPr>
          <w:rFonts w:eastAsia="SimSun"/>
          <w:b/>
        </w:rPr>
        <w:t>Application for a CQE to Receive a</w:t>
      </w:r>
      <w:r w:rsidRPr="002008CC">
        <w:rPr>
          <w:rFonts w:eastAsia="SimSun"/>
        </w:rPr>
        <w:t xml:space="preserve"> </w:t>
      </w:r>
      <w:r w:rsidRPr="002008CC">
        <w:rPr>
          <w:rFonts w:eastAsia="SimSun"/>
          <w:b/>
        </w:rPr>
        <w:t>Non-trawl Groundfish LLP License</w:t>
      </w:r>
    </w:p>
    <w:p w:rsidR="00184FB4" w:rsidRPr="002008CC" w:rsidP="00184FB4" w14:paraId="07074B5B" w14:textId="77777777">
      <w:pPr>
        <w:widowControl/>
        <w:tabs>
          <w:tab w:val="left" w:pos="0"/>
          <w:tab w:val="left" w:pos="360"/>
          <w:tab w:val="left" w:pos="720"/>
          <w:tab w:val="left" w:pos="1080"/>
          <w:tab w:val="left" w:pos="1440"/>
        </w:tabs>
        <w:rPr>
          <w:rFonts w:eastAsia="SimSun"/>
          <w:b/>
        </w:rPr>
      </w:pPr>
    </w:p>
    <w:p w:rsidR="00184FB4" w:rsidRPr="002008CC" w:rsidP="00184FB4" w14:paraId="3DE28BF2" w14:textId="77777777">
      <w:pPr>
        <w:widowControl/>
        <w:tabs>
          <w:tab w:val="left" w:pos="0"/>
          <w:tab w:val="left" w:pos="360"/>
          <w:tab w:val="left" w:pos="720"/>
          <w:tab w:val="left" w:pos="1080"/>
          <w:tab w:val="left" w:pos="1440"/>
        </w:tabs>
        <w:rPr>
          <w:rFonts w:eastAsia="SimSun"/>
        </w:rPr>
      </w:pPr>
      <w:r w:rsidRPr="002008CC">
        <w:rPr>
          <w:rFonts w:eastAsia="SimSun"/>
        </w:rPr>
        <w:t xml:space="preserve">The LLP authorizes CQEs to request non-trawl LLP groundfish licenses endorsed for Pacific cod in the central or western GOA. A license holder must have a Pacific cod endorsement on his or her groundfish license to conduct directed fishing for Pacific cod in the Western Gulf of Alaska (Western GOA) or Central Gulf of Alaska (Central GOA) with hook-and-line gear, pot gear, or jig gear. A license holder may only use the specific non-trawl gear(s) indicated on his or her license to conduct directed fishing for </w:t>
      </w:r>
      <w:r w:rsidRPr="002008CC">
        <w:rPr>
          <w:rFonts w:eastAsia="SimSun"/>
        </w:rPr>
        <w:t>Pacific cod in the Western GOA or Central GOA.</w:t>
      </w:r>
    </w:p>
    <w:p w:rsidR="00184FB4" w:rsidRPr="002008CC" w:rsidP="00184FB4" w14:paraId="371F8AFF" w14:textId="77777777">
      <w:pPr>
        <w:widowControl/>
        <w:tabs>
          <w:tab w:val="left" w:pos="0"/>
          <w:tab w:val="left" w:pos="360"/>
          <w:tab w:val="left" w:pos="720"/>
          <w:tab w:val="left" w:pos="1080"/>
          <w:tab w:val="left" w:pos="1440"/>
        </w:tabs>
        <w:rPr>
          <w:rFonts w:eastAsia="SimSun"/>
        </w:rPr>
      </w:pPr>
    </w:p>
    <w:p w:rsidR="00184FB4" w:rsidRPr="002008CC" w:rsidP="00184FB4" w14:paraId="5024286F" w14:textId="77777777">
      <w:pPr>
        <w:widowControl/>
        <w:tabs>
          <w:tab w:val="left" w:pos="0"/>
          <w:tab w:val="left" w:pos="360"/>
          <w:tab w:val="left" w:pos="720"/>
          <w:tab w:val="left" w:pos="1080"/>
          <w:tab w:val="left" w:pos="1440"/>
        </w:tabs>
        <w:rPr>
          <w:rFonts w:eastAsia="SimSun"/>
        </w:rPr>
      </w:pPr>
      <w:r w:rsidRPr="002008CC">
        <w:rPr>
          <w:rFonts w:eastAsia="SimSun"/>
        </w:rPr>
        <w:t>This application is used by a CQE to request LLP groundfish licenses endorsed for Pacific cod on behalf of the communities it represents. A CQE may apply for and may receive a maximum number of LLP groundfish licenses designated in the regulatory area specified for each community it represents. Licenses will have a maximum length overall designation of 60 ft. Western GOA licenses will be endorsed for pot gear, and Central GOA CQEs may choose either a pot or hook-and-line endorsement. The licenses may only b</w:t>
      </w:r>
      <w:r w:rsidRPr="002008CC">
        <w:rPr>
          <w:rFonts w:eastAsia="SimSun"/>
        </w:rPr>
        <w:t xml:space="preserve">e used on vessels designated by the CQEs representing the communities. </w:t>
      </w:r>
    </w:p>
    <w:p w:rsidR="00184FB4" w:rsidRPr="002008CC" w:rsidP="00184FB4" w14:paraId="16301553" w14:textId="77777777">
      <w:pPr>
        <w:widowControl/>
        <w:tabs>
          <w:tab w:val="left" w:pos="0"/>
          <w:tab w:val="left" w:pos="360"/>
          <w:tab w:val="left" w:pos="720"/>
          <w:tab w:val="left" w:pos="1080"/>
          <w:tab w:val="left" w:pos="1440"/>
        </w:tabs>
        <w:rPr>
          <w:rFonts w:eastAsia="SimSun"/>
        </w:rPr>
      </w:pPr>
    </w:p>
    <w:p w:rsidR="00184FB4" w:rsidRPr="002008CC" w:rsidP="00184FB4" w14:paraId="4DAED350" w14:textId="77777777">
      <w:pPr>
        <w:widowControl/>
        <w:tabs>
          <w:tab w:val="left" w:pos="0"/>
          <w:tab w:val="left" w:pos="360"/>
          <w:tab w:val="left" w:pos="720"/>
          <w:tab w:val="left" w:pos="1080"/>
          <w:tab w:val="left" w:pos="1440"/>
        </w:tabs>
        <w:rPr>
          <w:rFonts w:eastAsia="SimSun"/>
        </w:rPr>
      </w:pPr>
      <w:r w:rsidRPr="002008CC">
        <w:rPr>
          <w:rFonts w:eastAsia="SimSun"/>
        </w:rPr>
        <w:t xml:space="preserve">An application needs to be submitted and approved only once. </w:t>
      </w:r>
    </w:p>
    <w:p w:rsidR="00184FB4" w:rsidRPr="002008CC" w:rsidP="00184FB4" w14:paraId="46ED8CD0" w14:textId="77777777">
      <w:pPr>
        <w:widowControl/>
        <w:tabs>
          <w:tab w:val="left" w:pos="0"/>
          <w:tab w:val="left" w:pos="360"/>
          <w:tab w:val="left" w:pos="720"/>
          <w:tab w:val="left" w:pos="1080"/>
          <w:tab w:val="left" w:pos="1440"/>
        </w:tabs>
        <w:rPr>
          <w:rFonts w:eastAsia="SimSun"/>
        </w:rPr>
      </w:pPr>
    </w:p>
    <w:p w:rsidR="00184FB4" w:rsidRPr="002008CC" w:rsidP="00184FB4" w14:paraId="223FDEDB" w14:textId="77777777">
      <w:pPr>
        <w:widowControl/>
        <w:rPr>
          <w:rFonts w:eastAsia="SimSun"/>
        </w:rPr>
      </w:pPr>
      <w:r w:rsidRPr="002008CC">
        <w:rPr>
          <w:rFonts w:eastAsia="SimSun"/>
        </w:rPr>
        <w:t xml:space="preserve">The information collected on the Application for a CQE to Receive a Non-trawl Groundfish LLP License includes name of CQE, NMFS CQE Person ID, and name and contact information for the CQE representative; number of LLP groundfish licenses being requested; the non-trawl gear type to be designated on each groundfish license requested; and the signature and printed name of the applicant or authorized representative and date signed. If it is completed by a representative, their authorization must be attached. A </w:t>
      </w:r>
      <w:r w:rsidRPr="002008CC">
        <w:rPr>
          <w:rFonts w:eastAsia="SimSun"/>
        </w:rPr>
        <w:t>complete application must include an attachment with a statement describing 1) the procedures the CQE used to determine the distribution of LLP licenses to residents of the community represented by that CQE, 2) the procedures the CQE used to solicit requests from residents to be assigned an LLP license, and 3) the criteria the CQE used to determine the distribution of the use of LLP licenses among qualified community residents and the relative weighting of those criteria.</w:t>
      </w:r>
    </w:p>
    <w:p w:rsidR="00184FB4" w:rsidRPr="002008CC" w:rsidP="00184FB4" w14:paraId="0755427E" w14:textId="77777777">
      <w:pPr>
        <w:widowControl/>
        <w:rPr>
          <w:rFonts w:eastAsia="SimSun"/>
        </w:rPr>
      </w:pPr>
    </w:p>
    <w:p w:rsidR="00184FB4" w:rsidRPr="002008CC" w:rsidP="0039662E" w14:paraId="6CE48176" w14:textId="77777777">
      <w:pPr>
        <w:keepNext/>
        <w:widowControl/>
        <w:ind w:left="274" w:hanging="274"/>
        <w:rPr>
          <w:rFonts w:eastAsia="SimSun"/>
          <w:b/>
          <w:bCs/>
          <w:color w:val="C00000"/>
        </w:rPr>
      </w:pPr>
      <w:r w:rsidRPr="002008CC">
        <w:rPr>
          <w:rFonts w:eastAsia="SimSun"/>
          <w:b/>
        </w:rPr>
        <w:t>CQE LLP Authorization Letter</w:t>
      </w:r>
    </w:p>
    <w:p w:rsidR="00184FB4" w:rsidRPr="002008CC" w:rsidP="00184FB4" w14:paraId="154773B9" w14:textId="77777777">
      <w:pPr>
        <w:widowControl/>
        <w:tabs>
          <w:tab w:val="left" w:pos="360"/>
          <w:tab w:val="left" w:pos="1080"/>
        </w:tabs>
        <w:rPr>
          <w:rFonts w:eastAsia="SimSun"/>
        </w:rPr>
      </w:pPr>
    </w:p>
    <w:p w:rsidR="00184FB4" w:rsidRPr="002008CC" w:rsidP="00184FB4" w14:paraId="712F2A64" w14:textId="77777777">
      <w:pPr>
        <w:widowControl/>
        <w:tabs>
          <w:tab w:val="left" w:pos="0"/>
          <w:tab w:val="left" w:pos="360"/>
          <w:tab w:val="left" w:pos="720"/>
          <w:tab w:val="left" w:pos="1080"/>
          <w:tab w:val="left" w:pos="1440"/>
        </w:tabs>
        <w:rPr>
          <w:rFonts w:eastAsia="SimSun"/>
        </w:rPr>
      </w:pPr>
      <w:r w:rsidRPr="002008CC">
        <w:rPr>
          <w:rFonts w:eastAsia="SimSun"/>
        </w:rPr>
        <w:t xml:space="preserve">A CQE must annually assign each community LLP license to a user and vessel. This is done through the CQE LLP authorization letter. A CQE must provide a copy of the authorization letter, and any subsequent amendment to that authorization letter to both NMFS and the vessel operator prior to use of the LLP license by the person(s) designated. A copy of the authorization letter must be on board the vessel when that vessel is directed fishing for Pacific cod under authority of that license. The person specified </w:t>
      </w:r>
      <w:r w:rsidRPr="002008CC">
        <w:rPr>
          <w:rFonts w:eastAsia="SimSun"/>
        </w:rPr>
        <w:t xml:space="preserve">for the LLP license in the authorization letter must be on board the vessel during directed fishing. </w:t>
      </w:r>
    </w:p>
    <w:p w:rsidR="00184FB4" w:rsidRPr="002008CC" w:rsidP="00184FB4" w14:paraId="397A2249" w14:textId="77777777">
      <w:pPr>
        <w:widowControl/>
        <w:autoSpaceDE w:val="0"/>
        <w:autoSpaceDN w:val="0"/>
        <w:adjustRightInd w:val="0"/>
        <w:rPr>
          <w:rFonts w:eastAsia="SimSun"/>
        </w:rPr>
      </w:pPr>
    </w:p>
    <w:p w:rsidR="00184FB4" w:rsidRPr="002008CC" w:rsidP="00184FB4" w14:paraId="1D8209FC" w14:textId="77777777">
      <w:pPr>
        <w:widowControl/>
        <w:autoSpaceDE w:val="0"/>
        <w:autoSpaceDN w:val="0"/>
        <w:adjustRightInd w:val="0"/>
        <w:rPr>
          <w:rFonts w:eastAsia="SimSun"/>
        </w:rPr>
      </w:pPr>
      <w:r w:rsidRPr="002008CC">
        <w:rPr>
          <w:rFonts w:eastAsia="SimSun"/>
        </w:rPr>
        <w:t xml:space="preserve">The CQE LLP authorization letter includes following information: </w:t>
      </w:r>
    </w:p>
    <w:p w:rsidR="00184FB4" w:rsidRPr="002008CC" w:rsidP="00184FB4" w14:paraId="20C5DC9E" w14:textId="77777777">
      <w:pPr>
        <w:widowControl/>
        <w:numPr>
          <w:ilvl w:val="0"/>
          <w:numId w:val="17"/>
        </w:numPr>
        <w:tabs>
          <w:tab w:val="left" w:pos="360"/>
          <w:tab w:val="left" w:pos="720"/>
          <w:tab w:val="left" w:pos="1080"/>
        </w:tabs>
        <w:autoSpaceDE w:val="0"/>
        <w:autoSpaceDN w:val="0"/>
        <w:adjustRightInd w:val="0"/>
        <w:rPr>
          <w:rFonts w:eastAsia="SimSun"/>
        </w:rPr>
      </w:pPr>
      <w:r w:rsidRPr="002008CC">
        <w:rPr>
          <w:rFonts w:eastAsia="SimSun"/>
        </w:rPr>
        <w:t xml:space="preserve">Assigns each </w:t>
      </w:r>
      <w:r w:rsidRPr="002008CC">
        <w:rPr>
          <w:rFonts w:eastAsia="SimSun"/>
        </w:rPr>
        <w:t>community LLP license to a specific vessel and designates the vessel operator.</w:t>
      </w:r>
    </w:p>
    <w:p w:rsidR="00184FB4" w:rsidRPr="002008CC" w:rsidP="00184FB4" w14:paraId="61AD6B98" w14:textId="77777777">
      <w:pPr>
        <w:widowControl/>
        <w:numPr>
          <w:ilvl w:val="0"/>
          <w:numId w:val="17"/>
        </w:numPr>
        <w:tabs>
          <w:tab w:val="left" w:pos="360"/>
          <w:tab w:val="left" w:pos="720"/>
          <w:tab w:val="left" w:pos="1080"/>
        </w:tabs>
        <w:autoSpaceDE w:val="0"/>
        <w:autoSpaceDN w:val="0"/>
        <w:adjustRightInd w:val="0"/>
        <w:rPr>
          <w:rFonts w:eastAsia="SimSun"/>
        </w:rPr>
      </w:pPr>
      <w:r w:rsidRPr="002008CC">
        <w:rPr>
          <w:rFonts w:eastAsia="SimSun"/>
        </w:rPr>
        <w:t xml:space="preserve">Attests that the authorized representative using a groundfish license issued to a CQE— </w:t>
      </w:r>
    </w:p>
    <w:p w:rsidR="00184FB4" w:rsidRPr="002008CC" w:rsidP="00184FB4" w14:paraId="55058A06" w14:textId="77777777">
      <w:pPr>
        <w:widowControl/>
        <w:numPr>
          <w:ilvl w:val="0"/>
          <w:numId w:val="18"/>
        </w:numPr>
        <w:tabs>
          <w:tab w:val="left" w:pos="360"/>
          <w:tab w:val="left" w:pos="720"/>
          <w:tab w:val="left" w:pos="1080"/>
        </w:tabs>
        <w:autoSpaceDE w:val="0"/>
        <w:autoSpaceDN w:val="0"/>
        <w:adjustRightInd w:val="0"/>
        <w:ind w:left="1080"/>
        <w:rPr>
          <w:rFonts w:eastAsia="SimSun"/>
        </w:rPr>
      </w:pPr>
      <w:r w:rsidRPr="002008CC">
        <w:rPr>
          <w:rFonts w:eastAsia="SimSun"/>
        </w:rPr>
        <w:t xml:space="preserve">Is a citizen of the United States; </w:t>
      </w:r>
    </w:p>
    <w:p w:rsidR="00184FB4" w:rsidRPr="002008CC" w:rsidP="00184FB4" w14:paraId="508CDFEC" w14:textId="77777777">
      <w:pPr>
        <w:widowControl/>
        <w:numPr>
          <w:ilvl w:val="0"/>
          <w:numId w:val="18"/>
        </w:numPr>
        <w:tabs>
          <w:tab w:val="left" w:pos="360"/>
          <w:tab w:val="left" w:pos="720"/>
          <w:tab w:val="left" w:pos="1080"/>
        </w:tabs>
        <w:ind w:left="1080"/>
        <w:rPr>
          <w:rFonts w:eastAsia="SimSun"/>
        </w:rPr>
      </w:pPr>
      <w:r w:rsidRPr="002008CC">
        <w:rPr>
          <w:rFonts w:eastAsia="SimSun"/>
        </w:rPr>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184FB4" w:rsidRPr="002008CC" w:rsidP="00184FB4" w14:paraId="47772F1C" w14:textId="77777777">
      <w:pPr>
        <w:widowControl/>
        <w:numPr>
          <w:ilvl w:val="0"/>
          <w:numId w:val="18"/>
        </w:numPr>
        <w:tabs>
          <w:tab w:val="left" w:pos="360"/>
          <w:tab w:val="left" w:pos="720"/>
          <w:tab w:val="left" w:pos="1080"/>
        </w:tabs>
        <w:autoSpaceDE w:val="0"/>
        <w:autoSpaceDN w:val="0"/>
        <w:adjustRightInd w:val="0"/>
        <w:ind w:left="1080"/>
        <w:rPr>
          <w:rFonts w:eastAsia="SimSun"/>
        </w:rPr>
      </w:pPr>
      <w:r w:rsidRPr="002008CC">
        <w:rPr>
          <w:rFonts w:eastAsia="SimSun"/>
        </w:rPr>
        <w:t>Is not claiming residency in another community, state, territory, or country, except that residents of the Village of Seldovia shall be considered to be eligible community residents of the City of Seldovia for the purposes of eligibility to serve as an authorized vessel operator. The residency requirements for a vessel operator using a CQE license ensures that residents of a specific community actively participate in the Pacific cod fishery consistent with the overall goal the North Pacific Fishery Manageme</w:t>
      </w:r>
      <w:r w:rsidRPr="002008CC">
        <w:rPr>
          <w:rFonts w:eastAsia="SimSun"/>
        </w:rPr>
        <w:t>nt Council established for CQE LLP licenses.</w:t>
      </w:r>
      <w:r>
        <w:rPr>
          <w:rFonts w:eastAsia="SimSun"/>
        </w:rPr>
        <w:t xml:space="preserve"> </w:t>
      </w:r>
    </w:p>
    <w:p w:rsidR="00184FB4" w:rsidRPr="002008CC" w:rsidP="00184FB4" w14:paraId="42571EDC" w14:textId="77777777">
      <w:pPr>
        <w:widowControl/>
        <w:tabs>
          <w:tab w:val="left" w:pos="360"/>
          <w:tab w:val="left" w:pos="720"/>
          <w:tab w:val="left" w:pos="1080"/>
          <w:tab w:val="left" w:pos="1440"/>
        </w:tabs>
        <w:ind w:left="720" w:hanging="720"/>
        <w:rPr>
          <w:rFonts w:eastAsia="SimSun"/>
          <w:sz w:val="20"/>
          <w:szCs w:val="20"/>
        </w:rPr>
      </w:pPr>
    </w:p>
    <w:p w:rsidR="00184FB4" w:rsidRPr="002008CC" w:rsidP="00184FB4" w14:paraId="2347C806" w14:textId="77777777">
      <w:pPr>
        <w:widowControl/>
        <w:tabs>
          <w:tab w:val="left" w:pos="360"/>
          <w:tab w:val="left" w:pos="720"/>
          <w:tab w:val="left" w:pos="1080"/>
        </w:tabs>
        <w:rPr>
          <w:rFonts w:eastAsia="SimSun"/>
          <w:b/>
        </w:rPr>
      </w:pPr>
      <w:r w:rsidRPr="002008CC">
        <w:rPr>
          <w:rFonts w:eastAsia="SimSun"/>
          <w:b/>
        </w:rPr>
        <w:t>Application for Community Charter Halibut Permit (CCHP)</w:t>
      </w:r>
    </w:p>
    <w:p w:rsidR="00184FB4" w:rsidRPr="002008CC" w:rsidP="00184FB4" w14:paraId="13D14973" w14:textId="77777777">
      <w:pPr>
        <w:widowControl/>
        <w:tabs>
          <w:tab w:val="left" w:pos="360"/>
          <w:tab w:val="left" w:pos="720"/>
          <w:tab w:val="left" w:pos="1080"/>
        </w:tabs>
        <w:rPr>
          <w:rFonts w:eastAsia="SimSun"/>
          <w:b/>
        </w:rPr>
      </w:pPr>
    </w:p>
    <w:p w:rsidR="00184FB4" w:rsidRPr="002008CC" w:rsidP="00184FB4" w14:paraId="5EFB8E40" w14:textId="77777777">
      <w:pPr>
        <w:widowControl/>
        <w:tabs>
          <w:tab w:val="left" w:pos="360"/>
          <w:tab w:val="left" w:pos="720"/>
          <w:tab w:val="left" w:pos="1080"/>
        </w:tabs>
        <w:rPr>
          <w:rFonts w:eastAsia="SimSun"/>
        </w:rPr>
      </w:pPr>
      <w:r w:rsidRPr="002008CC">
        <w:rPr>
          <w:rFonts w:eastAsia="SimSun"/>
        </w:rPr>
        <w:t>The Charter Halibut Limited Access Program (CHLAP) established Federal charter halibut permits for operators in the charter halibut fishery in IPHC Areas 2C (Southeast Alaska) and 3A (South Central Alaska). All vessel operators in IPHC Areas 2C and 3A with charter anglers on board must have an original, valid permit on board during every charter vessel fishing trip on which Pacific halibut are caught and retained. Charter halibut permits are endorsed for the appropriate regulatory area and the number of ang</w:t>
      </w:r>
      <w:r w:rsidRPr="002008CC">
        <w:rPr>
          <w:rFonts w:eastAsia="SimSun"/>
        </w:rPr>
        <w:t xml:space="preserve">lers that may catch and retain charter halibut on a trip. </w:t>
      </w:r>
    </w:p>
    <w:p w:rsidR="00184FB4" w:rsidRPr="002008CC" w:rsidP="00184FB4" w14:paraId="738D2668" w14:textId="77777777">
      <w:pPr>
        <w:widowControl/>
        <w:tabs>
          <w:tab w:val="left" w:pos="360"/>
          <w:tab w:val="left" w:pos="720"/>
          <w:tab w:val="left" w:pos="1080"/>
        </w:tabs>
        <w:rPr>
          <w:rFonts w:eastAsia="SimSun"/>
        </w:rPr>
      </w:pPr>
    </w:p>
    <w:p w:rsidR="00184FB4" w:rsidRPr="002008CC" w:rsidP="00184FB4" w14:paraId="090758F9" w14:textId="77777777">
      <w:pPr>
        <w:widowControl/>
        <w:tabs>
          <w:tab w:val="left" w:pos="360"/>
          <w:tab w:val="left" w:pos="720"/>
          <w:tab w:val="left" w:pos="1080"/>
        </w:tabs>
        <w:rPr>
          <w:rFonts w:eastAsia="SimSun"/>
        </w:rPr>
      </w:pPr>
      <w:r w:rsidRPr="002008CC">
        <w:rPr>
          <w:rFonts w:eastAsia="SimSun"/>
        </w:rPr>
        <w:t xml:space="preserve">The CHLAP also provides a limited number of permits issuable on request to CQEs representing specified rural communities to give these communities the opportunity to benefit economically from the charter halibut industry. </w:t>
      </w:r>
    </w:p>
    <w:p w:rsidR="00184FB4" w:rsidRPr="002008CC" w:rsidP="00184FB4" w14:paraId="79ECFF3A" w14:textId="77777777">
      <w:pPr>
        <w:widowControl/>
        <w:tabs>
          <w:tab w:val="left" w:pos="360"/>
          <w:tab w:val="left" w:pos="720"/>
          <w:tab w:val="left" w:pos="1080"/>
        </w:tabs>
        <w:rPr>
          <w:rFonts w:eastAsia="SimSun"/>
        </w:rPr>
      </w:pPr>
    </w:p>
    <w:p w:rsidR="00184FB4" w:rsidRPr="002008CC" w:rsidP="00184FB4" w14:paraId="14084BCF" w14:textId="77777777">
      <w:pPr>
        <w:widowControl/>
        <w:tabs>
          <w:tab w:val="left" w:pos="360"/>
          <w:tab w:val="left" w:pos="720"/>
          <w:tab w:val="left" w:pos="1080"/>
        </w:tabs>
        <w:rPr>
          <w:rFonts w:eastAsia="SimSun"/>
        </w:rPr>
      </w:pPr>
      <w:r>
        <w:rPr>
          <w:rFonts w:eastAsia="SimSun"/>
        </w:rPr>
        <w:t>The Application for Community Charter Halibut Permit is used by a</w:t>
      </w:r>
      <w:r w:rsidRPr="002008CC">
        <w:rPr>
          <w:rFonts w:eastAsia="SimSun"/>
        </w:rPr>
        <w:t xml:space="preserve"> CQE </w:t>
      </w:r>
      <w:r>
        <w:rPr>
          <w:rFonts w:eastAsia="SimSun"/>
        </w:rPr>
        <w:t>to</w:t>
      </w:r>
      <w:r w:rsidRPr="002008CC">
        <w:rPr>
          <w:rFonts w:eastAsia="SimSun"/>
        </w:rPr>
        <w:t xml:space="preserve"> apply for community charter halibut permits (CCHP) for communities</w:t>
      </w:r>
      <w:r>
        <w:rPr>
          <w:rFonts w:eastAsia="SimSun"/>
        </w:rPr>
        <w:t xml:space="preserve"> that </w:t>
      </w:r>
      <w:r w:rsidRPr="002008CC">
        <w:rPr>
          <w:rFonts w:eastAsia="SimSun"/>
        </w:rPr>
        <w:t xml:space="preserve">meet criteria for limited participation in the charter halibut fishery. The communities eligible for a CCHP include those CQE communities in which 10 or fewer active charter vessel businesses terminated charter vessel trips in the community in each of the qualifying years, 2004 and 2005. Eligible communities are listed at </w:t>
      </w:r>
      <w:r w:rsidRPr="008E2D3E">
        <w:rPr>
          <w:rFonts w:eastAsia="SimSun"/>
        </w:rPr>
        <w:t>50 CFR 300.67(k)(2).</w:t>
      </w:r>
      <w:r>
        <w:rPr>
          <w:rStyle w:val="FootnoteReference"/>
          <w:rFonts w:eastAsia="SimSun"/>
        </w:rPr>
        <w:footnoteReference w:id="15"/>
      </w:r>
      <w:r w:rsidRPr="008E2D3E">
        <w:t xml:space="preserve"> </w:t>
      </w:r>
      <w:r>
        <w:t xml:space="preserve">A </w:t>
      </w:r>
      <w:r w:rsidRPr="008E2D3E">
        <w:rPr>
          <w:rFonts w:eastAsia="SimSun"/>
        </w:rPr>
        <w:t>CQE may apply at any time for CCHP</w:t>
      </w:r>
      <w:r>
        <w:rPr>
          <w:rFonts w:eastAsia="SimSun"/>
        </w:rPr>
        <w:t>s. T</w:t>
      </w:r>
      <w:r w:rsidRPr="002008CC">
        <w:rPr>
          <w:rFonts w:eastAsia="SimSun"/>
        </w:rPr>
        <w:t>he CQE must submit a separate application for each community that it represents.</w:t>
      </w:r>
    </w:p>
    <w:p w:rsidR="00184FB4" w:rsidRPr="002008CC" w:rsidP="00184FB4" w14:paraId="1D5101DE" w14:textId="77777777">
      <w:pPr>
        <w:widowControl/>
        <w:rPr>
          <w:rFonts w:eastAsia="SimSun"/>
        </w:rPr>
      </w:pPr>
    </w:p>
    <w:p w:rsidR="00184FB4" w:rsidRPr="002008CC" w:rsidP="00184FB4" w14:paraId="47C167EE" w14:textId="77777777">
      <w:pPr>
        <w:widowControl/>
        <w:tabs>
          <w:tab w:val="left" w:pos="360"/>
          <w:tab w:val="left" w:pos="720"/>
          <w:tab w:val="left" w:pos="1080"/>
        </w:tabs>
        <w:rPr>
          <w:rFonts w:eastAsia="SimSun"/>
        </w:rPr>
      </w:pPr>
      <w:r w:rsidRPr="002008CC">
        <w:rPr>
          <w:rFonts w:eastAsia="SimSun"/>
        </w:rPr>
        <w:t xml:space="preserve">CCHPs are issued at no cost and do not expire as long as the CQE maintains its </w:t>
      </w:r>
      <w:r w:rsidRPr="002008CC">
        <w:rPr>
          <w:rFonts w:eastAsia="SimSun"/>
        </w:rPr>
        <w:t>status. A CCHP has an angler endorsement of six and is nontransferable. A CCHP may not be transferred to a different CQE or to a non-CQE entity.</w:t>
      </w:r>
    </w:p>
    <w:p w:rsidR="00184FB4" w:rsidP="00184FB4" w14:paraId="61BCFDD6" w14:textId="77777777">
      <w:pPr>
        <w:widowControl/>
        <w:rPr>
          <w:rFonts w:eastAsia="SimSun"/>
        </w:rPr>
      </w:pPr>
    </w:p>
    <w:p w:rsidR="00184FB4" w:rsidRPr="002008CC" w:rsidP="00184FB4" w14:paraId="2A62D58F" w14:textId="77777777">
      <w:pPr>
        <w:widowControl/>
        <w:rPr>
          <w:rFonts w:eastAsia="SimSun"/>
        </w:rPr>
      </w:pPr>
      <w:r w:rsidRPr="002008CC">
        <w:rPr>
          <w:rFonts w:eastAsia="SimSun"/>
        </w:rPr>
        <w:t xml:space="preserve">A CQE may receive a maximum of four CCHPs for each eligible community it represents in Area 2C, and a maximum of seven CCHPs for each eligible community it represents in Area 3A. The larger number of community permits allowed in Area 3A reflects the larger resource base in that area. </w:t>
      </w:r>
    </w:p>
    <w:p w:rsidR="00184FB4" w:rsidRPr="002008CC" w:rsidP="00184FB4" w14:paraId="2CA7881F" w14:textId="77777777">
      <w:pPr>
        <w:widowControl/>
        <w:tabs>
          <w:tab w:val="left" w:pos="360"/>
          <w:tab w:val="left" w:pos="720"/>
          <w:tab w:val="left" w:pos="1080"/>
        </w:tabs>
        <w:rPr>
          <w:rFonts w:eastAsia="SimSun"/>
        </w:rPr>
      </w:pPr>
    </w:p>
    <w:p w:rsidR="00184FB4" w:rsidRPr="002008CC" w:rsidP="00184FB4" w14:paraId="321DD771" w14:textId="77777777">
      <w:pPr>
        <w:widowControl/>
        <w:tabs>
          <w:tab w:val="left" w:pos="360"/>
          <w:tab w:val="left" w:pos="720"/>
          <w:tab w:val="left" w:pos="1080"/>
        </w:tabs>
        <w:rPr>
          <w:rFonts w:eastAsia="SimSun"/>
        </w:rPr>
      </w:pPr>
      <w:r w:rsidRPr="002008CC">
        <w:rPr>
          <w:rFonts w:eastAsia="SimSun"/>
        </w:rPr>
        <w:t xml:space="preserve">The CQE designates charter vessel operators to use its CCHPs, although the CCHP itself is retained by the CQE. A charter vessel operator using a CCHP is subject to all charter fishing regulations and must either begin or end the charter vessel fishing trip within the community designated on the permit. The purpose of this requirement is to ensure that the charter vessel anglers on such a fishing trip have an opportunity to use the goods and services of the community. </w:t>
      </w:r>
    </w:p>
    <w:p w:rsidR="00184FB4" w:rsidRPr="002008CC" w:rsidP="00184FB4" w14:paraId="3DDEDD26" w14:textId="77777777">
      <w:pPr>
        <w:widowControl/>
        <w:tabs>
          <w:tab w:val="left" w:pos="360"/>
          <w:tab w:val="left" w:pos="720"/>
          <w:tab w:val="left" w:pos="1080"/>
        </w:tabs>
        <w:rPr>
          <w:rFonts w:eastAsia="SimSun"/>
        </w:rPr>
      </w:pPr>
    </w:p>
    <w:p w:rsidR="00184FB4" w:rsidRPr="00ED53E1" w:rsidP="00ED53E1" w14:paraId="54FB2AF5" w14:textId="4C5390F3">
      <w:pPr>
        <w:widowControl/>
        <w:rPr>
          <w:rFonts w:eastAsia="SimSun"/>
        </w:rPr>
      </w:pPr>
      <w:r w:rsidRPr="002008CC">
        <w:rPr>
          <w:rFonts w:eastAsia="SimSun"/>
        </w:rPr>
        <w:t>The information collected on the Application for a Community Charter Halibut Permit (CCHP) includes the applicant’s name and contact information; the name of the community represented by the CQE and the number of permits requested; the locations, including the latitude and longitude, where all trips will begin or end within the boundaries of this community; and the signature, printed name, and title of the individual completing the application for the CQE and the date signed. The individual signing the appl</w:t>
      </w:r>
      <w:r w:rsidRPr="002008CC">
        <w:rPr>
          <w:rFonts w:eastAsia="SimSun"/>
        </w:rPr>
        <w:t>ication is required to provide documentation of their authority to apply on behalf of the applicant.</w:t>
      </w:r>
    </w:p>
    <w:p w:rsidR="00050C0C" w14:paraId="4082DC4D" w14:textId="3A832A51">
      <w:pPr>
        <w:numPr>
          <w:ilvl w:val="0"/>
          <w:numId w:val="9"/>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D53E1" w:rsidP="00ED53E1" w14:paraId="7478D1BE" w14:textId="77777777">
      <w:pPr>
        <w:widowControl/>
        <w:rPr>
          <w:rFonts w:eastAsia="SimSun"/>
        </w:rPr>
      </w:pPr>
    </w:p>
    <w:p w:rsidR="00ED53E1" w:rsidP="00ED53E1" w14:paraId="09F0FA0F" w14:textId="27032ED9">
      <w:pPr>
        <w:widowControl/>
        <w:rPr>
          <w:rFonts w:eastAsia="SimSun"/>
        </w:rPr>
      </w:pPr>
      <w:r w:rsidRPr="001525DB">
        <w:rPr>
          <w:rFonts w:eastAsia="SimSun"/>
        </w:rPr>
        <w:t xml:space="preserve">The applications are available as fillable pdfs on the NMFS Alaska Region website at </w:t>
      </w:r>
      <w:hyperlink r:id="rId16" w:history="1">
        <w:r w:rsidRPr="00C6029B">
          <w:rPr>
            <w:rStyle w:val="Hyperlink"/>
            <w:rFonts w:eastAsia="SimSun"/>
          </w:rPr>
          <w:t>https://www.fisheries.noaa.gov/permit/alaska-community-quota-entity-applications</w:t>
        </w:r>
      </w:hyperlink>
      <w:r>
        <w:rPr>
          <w:rFonts w:eastAsia="SimSun"/>
        </w:rPr>
        <w:t xml:space="preserve"> </w:t>
      </w:r>
      <w:r w:rsidRPr="001525DB">
        <w:rPr>
          <w:rFonts w:eastAsia="SimSun"/>
        </w:rPr>
        <w:t>and can be printed and submitted by mail</w:t>
      </w:r>
      <w:r>
        <w:rPr>
          <w:rFonts w:eastAsia="SimSun"/>
        </w:rPr>
        <w:t xml:space="preserve">, </w:t>
      </w:r>
      <w:r w:rsidRPr="001525DB">
        <w:rPr>
          <w:rFonts w:eastAsia="SimSun"/>
        </w:rPr>
        <w:t>fax</w:t>
      </w:r>
      <w:r>
        <w:rPr>
          <w:rFonts w:eastAsia="SimSun"/>
        </w:rPr>
        <w:t>, delivery</w:t>
      </w:r>
      <w:r w:rsidR="00544370">
        <w:rPr>
          <w:rFonts w:eastAsia="SimSun"/>
        </w:rPr>
        <w:t>, or email</w:t>
      </w:r>
      <w:r w:rsidRPr="001525DB">
        <w:rPr>
          <w:rFonts w:eastAsia="SimSun"/>
        </w:rPr>
        <w:t>. The CQE annual report is a large report with various sizes of pages that is submitted by mail</w:t>
      </w:r>
      <w:r w:rsidR="002749C7">
        <w:rPr>
          <w:rFonts w:eastAsia="SimSun"/>
        </w:rPr>
        <w:t>, email,</w:t>
      </w:r>
      <w:r w:rsidRPr="001525DB">
        <w:rPr>
          <w:rFonts w:eastAsia="SimSun"/>
        </w:rPr>
        <w:t xml:space="preserve"> or in person. </w:t>
      </w:r>
    </w:p>
    <w:p w:rsidR="00544370" w:rsidP="00ED53E1" w14:paraId="145FD217" w14:textId="3B0B71C8">
      <w:pPr>
        <w:widowControl/>
        <w:rPr>
          <w:rFonts w:eastAsia="SimSun"/>
        </w:rPr>
      </w:pPr>
    </w:p>
    <w:p w:rsidR="00544370" w:rsidP="00ED53E1" w14:paraId="4118CCB0" w14:textId="08CF469C">
      <w:pPr>
        <w:widowControl/>
        <w:rPr>
          <w:rFonts w:eastAsia="SimSun"/>
        </w:rPr>
      </w:pPr>
      <w:r>
        <w:rPr>
          <w:rFonts w:eastAsia="SimSun"/>
        </w:rPr>
        <w:t>The approximate percentage of electronic submissions</w:t>
      </w:r>
      <w:r w:rsidR="00380214">
        <w:rPr>
          <w:rFonts w:eastAsia="SimSun"/>
        </w:rPr>
        <w:t xml:space="preserve"> via email for each collection instrument is as follows: </w:t>
      </w:r>
    </w:p>
    <w:p w:rsidR="00380214" w:rsidRPr="00FB381B" w:rsidP="00380214" w14:paraId="047723B6" w14:textId="5D01E3DB">
      <w:pPr>
        <w:pStyle w:val="ListParagraph"/>
        <w:widowControl/>
        <w:numPr>
          <w:ilvl w:val="0"/>
          <w:numId w:val="21"/>
        </w:numPr>
        <w:spacing w:before="0"/>
        <w:rPr>
          <w:rFonts w:eastAsia="SimSun"/>
        </w:rPr>
      </w:pPr>
      <w:r w:rsidRPr="00FB381B">
        <w:rPr>
          <w:rFonts w:eastAsia="SimSun"/>
        </w:rPr>
        <w:t xml:space="preserve">Application for Nonprofit Corporation to be Designated as a CQE - </w:t>
      </w:r>
      <w:r w:rsidRPr="00FB381B" w:rsidR="00250820">
        <w:rPr>
          <w:rFonts w:eastAsia="SimSun"/>
        </w:rPr>
        <w:t>0</w:t>
      </w:r>
      <w:r w:rsidRPr="00FB381B">
        <w:rPr>
          <w:rFonts w:eastAsia="SimSun"/>
        </w:rPr>
        <w:t>%</w:t>
      </w:r>
    </w:p>
    <w:p w:rsidR="00380214" w:rsidRPr="00FB381B" w:rsidP="00380214" w14:paraId="69A1AC18" w14:textId="28BBDE22">
      <w:pPr>
        <w:pStyle w:val="ListParagraph"/>
        <w:widowControl/>
        <w:numPr>
          <w:ilvl w:val="0"/>
          <w:numId w:val="21"/>
        </w:numPr>
        <w:spacing w:before="0"/>
        <w:rPr>
          <w:rFonts w:eastAsia="SimSun"/>
        </w:rPr>
      </w:pPr>
      <w:r w:rsidRPr="00FB381B">
        <w:rPr>
          <w:rFonts w:eastAsia="SimSun"/>
        </w:rPr>
        <w:t xml:space="preserve">CQE Annual Report - </w:t>
      </w:r>
      <w:r w:rsidRPr="00FB381B" w:rsidR="00250820">
        <w:rPr>
          <w:rFonts w:eastAsia="SimSun"/>
        </w:rPr>
        <w:t>52</w:t>
      </w:r>
      <w:r w:rsidRPr="00FB381B">
        <w:rPr>
          <w:rFonts w:eastAsia="SimSun"/>
        </w:rPr>
        <w:t>%</w:t>
      </w:r>
    </w:p>
    <w:p w:rsidR="00380214" w:rsidRPr="00FB381B" w:rsidP="00380214" w14:paraId="7A5410A6" w14:textId="22D011FA">
      <w:pPr>
        <w:pStyle w:val="ListParagraph"/>
        <w:widowControl/>
        <w:numPr>
          <w:ilvl w:val="0"/>
          <w:numId w:val="21"/>
        </w:numPr>
        <w:spacing w:before="0"/>
        <w:rPr>
          <w:rFonts w:eastAsia="SimSun"/>
        </w:rPr>
      </w:pPr>
      <w:r w:rsidRPr="00FB381B">
        <w:rPr>
          <w:rFonts w:eastAsia="SimSun"/>
        </w:rPr>
        <w:t xml:space="preserve">Application for Transfer of Quota Share to or from a Community Quota Entity - </w:t>
      </w:r>
      <w:r w:rsidRPr="00FB381B" w:rsidR="00250820">
        <w:rPr>
          <w:rFonts w:eastAsia="SimSun"/>
        </w:rPr>
        <w:t>80</w:t>
      </w:r>
      <w:r w:rsidRPr="00FB381B">
        <w:rPr>
          <w:rFonts w:eastAsia="SimSun"/>
        </w:rPr>
        <w:t xml:space="preserve">% </w:t>
      </w:r>
    </w:p>
    <w:p w:rsidR="00380214" w:rsidRPr="00FB381B" w:rsidP="00380214" w14:paraId="060F9AC8" w14:textId="46056E70">
      <w:pPr>
        <w:pStyle w:val="ListParagraph"/>
        <w:widowControl/>
        <w:numPr>
          <w:ilvl w:val="0"/>
          <w:numId w:val="21"/>
        </w:numPr>
        <w:spacing w:before="0"/>
        <w:rPr>
          <w:rFonts w:eastAsia="SimSun"/>
        </w:rPr>
      </w:pPr>
      <w:r w:rsidRPr="00FB381B">
        <w:rPr>
          <w:rFonts w:eastAsia="SimSun"/>
        </w:rPr>
        <w:t xml:space="preserve">Application for a CQE to Transfer IFQ to an Eligible Community Resident or Non-resident - </w:t>
      </w:r>
      <w:r w:rsidRPr="00FB381B" w:rsidR="00250820">
        <w:rPr>
          <w:rFonts w:eastAsia="SimSun"/>
        </w:rPr>
        <w:t>17</w:t>
      </w:r>
      <w:r w:rsidRPr="00FB381B">
        <w:rPr>
          <w:rFonts w:eastAsia="SimSun"/>
        </w:rPr>
        <w:t xml:space="preserve">% </w:t>
      </w:r>
    </w:p>
    <w:p w:rsidR="00380214" w:rsidRPr="00FB381B" w:rsidP="00380214" w14:paraId="1FB1A27B" w14:textId="276487E5">
      <w:pPr>
        <w:pStyle w:val="ListParagraph"/>
        <w:widowControl/>
        <w:numPr>
          <w:ilvl w:val="0"/>
          <w:numId w:val="21"/>
        </w:numPr>
        <w:spacing w:before="0"/>
        <w:rPr>
          <w:rFonts w:eastAsia="SimSun"/>
        </w:rPr>
      </w:pPr>
      <w:r w:rsidRPr="00FB381B">
        <w:rPr>
          <w:rFonts w:eastAsia="SimSun"/>
        </w:rPr>
        <w:t xml:space="preserve">Application for Transfer (Lease) Between IFQ and Guided Angler Fish by a Community Quota Entity (CQE) - </w:t>
      </w:r>
      <w:r w:rsidRPr="00FB381B" w:rsidR="00250820">
        <w:rPr>
          <w:rFonts w:eastAsia="SimSun"/>
        </w:rPr>
        <w:t>47</w:t>
      </w:r>
      <w:r w:rsidRPr="00FB381B">
        <w:rPr>
          <w:rFonts w:eastAsia="SimSun"/>
        </w:rPr>
        <w:t xml:space="preserve">% </w:t>
      </w:r>
    </w:p>
    <w:p w:rsidR="00380214" w:rsidRPr="00FB381B" w:rsidP="00380214" w14:paraId="7CB30885" w14:textId="10BE1A41">
      <w:pPr>
        <w:pStyle w:val="ListParagraph"/>
        <w:widowControl/>
        <w:numPr>
          <w:ilvl w:val="0"/>
          <w:numId w:val="21"/>
        </w:numPr>
        <w:spacing w:before="0"/>
        <w:rPr>
          <w:rFonts w:eastAsia="SimSun"/>
        </w:rPr>
      </w:pPr>
      <w:r w:rsidRPr="00FB381B">
        <w:rPr>
          <w:rFonts w:eastAsia="SimSun"/>
        </w:rPr>
        <w:t xml:space="preserve">Application for a CQE to Receive a Non-trawl Groundfish LLP License - </w:t>
      </w:r>
      <w:r w:rsidRPr="00FB381B" w:rsidR="00250820">
        <w:rPr>
          <w:rFonts w:eastAsia="SimSun"/>
        </w:rPr>
        <w:t>67</w:t>
      </w:r>
      <w:r w:rsidRPr="00FB381B">
        <w:rPr>
          <w:rFonts w:eastAsia="SimSun"/>
        </w:rPr>
        <w:t>%</w:t>
      </w:r>
    </w:p>
    <w:p w:rsidR="00380214" w:rsidRPr="00FB381B" w:rsidP="00380214" w14:paraId="7B5ACD39" w14:textId="5457F571">
      <w:pPr>
        <w:pStyle w:val="ListParagraph"/>
        <w:widowControl/>
        <w:numPr>
          <w:ilvl w:val="0"/>
          <w:numId w:val="21"/>
        </w:numPr>
        <w:spacing w:before="0"/>
        <w:rPr>
          <w:rFonts w:eastAsia="SimSun"/>
        </w:rPr>
      </w:pPr>
      <w:r w:rsidRPr="00FB381B">
        <w:rPr>
          <w:rFonts w:eastAsia="SimSun"/>
        </w:rPr>
        <w:t xml:space="preserve">CQE License Limitation Program Authorization Letter - </w:t>
      </w:r>
      <w:r w:rsidRPr="00FB381B" w:rsidR="00250820">
        <w:rPr>
          <w:rFonts w:eastAsia="SimSun"/>
        </w:rPr>
        <w:t>67</w:t>
      </w:r>
      <w:r w:rsidRPr="00FB381B">
        <w:rPr>
          <w:rFonts w:eastAsia="SimSun"/>
        </w:rPr>
        <w:t xml:space="preserve">% </w:t>
      </w:r>
    </w:p>
    <w:p w:rsidR="00380214" w:rsidRPr="00FB381B" w:rsidP="00380214" w14:paraId="12D48659" w14:textId="578F3FBF">
      <w:pPr>
        <w:pStyle w:val="ListParagraph"/>
        <w:widowControl/>
        <w:numPr>
          <w:ilvl w:val="0"/>
          <w:numId w:val="21"/>
        </w:numPr>
        <w:spacing w:before="0"/>
        <w:rPr>
          <w:rFonts w:eastAsia="SimSun"/>
        </w:rPr>
      </w:pPr>
      <w:r w:rsidRPr="00FB381B">
        <w:rPr>
          <w:rFonts w:eastAsia="SimSun"/>
        </w:rPr>
        <w:t xml:space="preserve">Application for Community Charter Halibut Permit - </w:t>
      </w:r>
      <w:r w:rsidRPr="00FB381B" w:rsidR="00250820">
        <w:rPr>
          <w:rFonts w:eastAsia="SimSun"/>
        </w:rPr>
        <w:t>0</w:t>
      </w:r>
      <w:r w:rsidRPr="00FB381B">
        <w:rPr>
          <w:rFonts w:eastAsia="SimSun"/>
        </w:rPr>
        <w:t>%</w:t>
      </w:r>
    </w:p>
    <w:p w:rsidR="00ED53E1" w:rsidRPr="001525DB" w:rsidP="00ED53E1" w14:paraId="7CB5DA0D" w14:textId="77777777">
      <w:pPr>
        <w:widowControl/>
        <w:rPr>
          <w:rFonts w:eastAsia="SimSun"/>
        </w:rPr>
      </w:pPr>
    </w:p>
    <w:p w:rsidR="00ED53E1" w:rsidRPr="003F0FC7" w:rsidP="00ED53E1" w14:paraId="677B254C" w14:textId="0469E517">
      <w:pPr>
        <w:widowControl/>
        <w:rPr>
          <w:b/>
        </w:rPr>
      </w:pPr>
      <w:r>
        <w:rPr>
          <w:rFonts w:eastAsia="SimSun"/>
        </w:rPr>
        <w:t xml:space="preserve">In 2023, this information collection was revised due to a final rule </w:t>
      </w:r>
      <w:r w:rsidRPr="00E95CA3">
        <w:rPr>
          <w:rFonts w:eastAsia="Arial"/>
          <w:lang w:val="en"/>
        </w:rPr>
        <w:t>(</w:t>
      </w:r>
      <w:r w:rsidRPr="00961A13">
        <w:rPr>
          <w:rFonts w:eastAsia="Arial"/>
          <w:lang w:val="en"/>
        </w:rPr>
        <w:t>88 FR 12259</w:t>
      </w:r>
      <w:r>
        <w:rPr>
          <w:rFonts w:eastAsia="Arial"/>
          <w:lang w:val="en"/>
        </w:rPr>
        <w:t>; February 27, 2023</w:t>
      </w:r>
      <w:r w:rsidRPr="00CD3C52">
        <w:rPr>
          <w:rFonts w:eastAsia="Arial"/>
          <w:lang w:val="en"/>
        </w:rPr>
        <w:t>)</w:t>
      </w:r>
      <w:r w:rsidRPr="00CD3C52">
        <w:rPr>
          <w:rFonts w:eastAsia="SimSun"/>
        </w:rPr>
        <w:t xml:space="preserve"> </w:t>
      </w:r>
      <w:r>
        <w:rPr>
          <w:rFonts w:eastAsia="SimSun"/>
        </w:rPr>
        <w:t xml:space="preserve">that </w:t>
      </w:r>
      <w:r w:rsidRPr="001525DB">
        <w:rPr>
          <w:rFonts w:eastAsia="SimSun"/>
        </w:rPr>
        <w:t>revise</w:t>
      </w:r>
      <w:r>
        <w:rPr>
          <w:rFonts w:eastAsia="SimSun"/>
        </w:rPr>
        <w:t>d</w:t>
      </w:r>
      <w:r w:rsidRPr="001525DB">
        <w:rPr>
          <w:rFonts w:eastAsia="SimSun"/>
        </w:rPr>
        <w:t xml:space="preserve"> regulations to not specify submission methods</w:t>
      </w:r>
      <w:r>
        <w:rPr>
          <w:rFonts w:eastAsia="SimSun"/>
        </w:rPr>
        <w:t xml:space="preserve"> for this collection</w:t>
      </w:r>
      <w:r w:rsidR="002749C7">
        <w:rPr>
          <w:rFonts w:eastAsia="SimSun"/>
        </w:rPr>
        <w:t xml:space="preserve"> in regulation </w:t>
      </w:r>
      <w:r w:rsidR="002749C7">
        <w:t xml:space="preserve">and, instead, NMFS would provide this information on forms and on the NMFS Alaska Region website at </w:t>
      </w:r>
      <w:hyperlink r:id="rId18" w:tgtFrame="_blank" w:history="1">
        <w:r w:rsidR="002749C7">
          <w:rPr>
            <w:rStyle w:val="Hyperlink"/>
            <w:i/>
            <w:iCs/>
          </w:rPr>
          <w:t>https://www.fisheries.noaa.gov/​region/​alaska</w:t>
        </w:r>
      </w:hyperlink>
      <w:r w:rsidRPr="001525DB">
        <w:rPr>
          <w:rFonts w:eastAsia="SimSun"/>
        </w:rPr>
        <w:t>.</w:t>
      </w:r>
      <w:r>
        <w:rPr>
          <w:rStyle w:val="FootnoteReference"/>
          <w:rFonts w:eastAsia="Arial"/>
          <w:lang w:val="en"/>
        </w:rPr>
        <w:footnoteReference w:id="16"/>
      </w:r>
      <w:r w:rsidRPr="001525DB">
        <w:rPr>
          <w:rFonts w:eastAsia="SimSun"/>
        </w:rPr>
        <w:t xml:space="preserve"> This </w:t>
      </w:r>
      <w:r>
        <w:rPr>
          <w:rFonts w:eastAsia="SimSun"/>
        </w:rPr>
        <w:t>was necessary to</w:t>
      </w:r>
      <w:r w:rsidRPr="001525DB">
        <w:rPr>
          <w:rFonts w:eastAsia="SimSun"/>
        </w:rPr>
        <w:t xml:space="preserve"> provide additional methods for the public to submit information as the agency moves toward electronic submissions.</w:t>
      </w:r>
      <w:r>
        <w:rPr>
          <w:rFonts w:eastAsia="SimSun"/>
        </w:rPr>
        <w:t xml:space="preserve"> </w:t>
      </w:r>
      <w:r w:rsidRPr="001525DB">
        <w:rPr>
          <w:rFonts w:eastAsia="SimSun"/>
        </w:rPr>
        <w:t xml:space="preserve">NMFS Alaska Region is working toward offering more online services and is currently developing a system for allowing </w:t>
      </w:r>
      <w:r w:rsidRPr="001525DB">
        <w:rPr>
          <w:rFonts w:eastAsia="SimSun"/>
        </w:rPr>
        <w:t>more information to be submitted electronically.</w:t>
      </w:r>
    </w:p>
    <w:p w:rsidR="0032195E" w:rsidRPr="0032195E" w:rsidP="0032195E" w14:paraId="65BF2D48" w14:textId="77777777">
      <w:pPr>
        <w:widowControl/>
        <w:pBdr>
          <w:top w:val="nil"/>
          <w:left w:val="nil"/>
          <w:bottom w:val="nil"/>
          <w:right w:val="nil"/>
          <w:between w:val="nil"/>
        </w:pBdr>
        <w:outlineLvl w:val="1"/>
        <w:rPr>
          <w:rFonts w:eastAsia="Arial"/>
          <w:lang w:val="en"/>
        </w:rPr>
      </w:pPr>
    </w:p>
    <w:p w:rsidR="00050C0C" w14:paraId="2640386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D53E1" w:rsidRPr="00ED53E1" w:rsidP="00ED53E1" w14:paraId="582CE2C7" w14:textId="4C08B0BD">
      <w:pPr>
        <w:pBdr>
          <w:top w:val="nil"/>
          <w:left w:val="nil"/>
          <w:bottom w:val="nil"/>
          <w:right w:val="nil"/>
          <w:between w:val="nil"/>
        </w:pBdr>
        <w:spacing w:before="161"/>
        <w:rPr>
          <w:color w:val="1F497D"/>
        </w:rPr>
      </w:pPr>
      <w:r w:rsidRPr="00193CE6">
        <w:t>None of the information collected as part of this information collection duplicates other collections.</w:t>
      </w:r>
    </w:p>
    <w:p w:rsidR="00ED53E1" w:rsidP="00ED53E1" w14:paraId="4D04C35C" w14:textId="77777777">
      <w:pPr>
        <w:pBdr>
          <w:top w:val="nil"/>
          <w:left w:val="nil"/>
          <w:bottom w:val="nil"/>
          <w:right w:val="nil"/>
          <w:between w:val="nil"/>
        </w:pBdr>
      </w:pPr>
    </w:p>
    <w:p w:rsidR="00ED53E1" w:rsidP="00ED53E1" w14:paraId="361B80E7" w14:textId="5F610E70">
      <w:pPr>
        <w:pBdr>
          <w:top w:val="nil"/>
          <w:left w:val="nil"/>
          <w:bottom w:val="nil"/>
          <w:right w:val="nil"/>
          <w:between w:val="nil"/>
        </w:pBdr>
      </w:pPr>
      <w:r w:rsidRPr="00193CE6">
        <w:t xml:space="preserve">In general, Alaska Region information collections are prepared and reviewed by staff familiar with all of the information collection requirements for the region. Staff work </w:t>
      </w:r>
      <w:r w:rsidRPr="00193CE6">
        <w:t>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w:t>
      </w:r>
      <w:r w:rsidRPr="00193CE6">
        <w:t>rements that are associated with rulemakings. This process minimizes the potential for duplication of information collection requirements for participants in the Federal fisheries off Alaska.</w:t>
      </w:r>
    </w:p>
    <w:p w:rsidR="00ED53E1" w:rsidRPr="00ED53E1" w:rsidP="00ED53E1" w14:paraId="2973CC29" w14:textId="77777777">
      <w:pPr>
        <w:pBdr>
          <w:top w:val="nil"/>
          <w:left w:val="nil"/>
          <w:bottom w:val="nil"/>
          <w:right w:val="nil"/>
          <w:between w:val="nil"/>
        </w:pBdr>
      </w:pPr>
    </w:p>
    <w:p w:rsidR="00050C0C" w14:paraId="736FBDE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ED53E1" w:rsidRPr="00ED53E1" w:rsidP="00ED53E1" w14:paraId="26F39B40" w14:textId="2DD84E3F">
      <w:pPr>
        <w:pBdr>
          <w:top w:val="nil"/>
          <w:left w:val="nil"/>
          <w:bottom w:val="nil"/>
          <w:right w:val="nil"/>
          <w:between w:val="nil"/>
        </w:pBdr>
        <w:spacing w:before="160"/>
        <w:rPr>
          <w:color w:val="2F5496"/>
        </w:rPr>
      </w:pPr>
      <w:r>
        <w:t xml:space="preserve">NMFS attempts to minimize the burden of this collection on all respondents by collecting only information necessary to manage the CQE Program. All of the applications in this information collection are available online as fillable pdfs. In addition to email, a toll-free phone number is available for participants to contact the NMFS Restricted Access Management Program for help or information on the elements in this information collection. </w:t>
      </w:r>
    </w:p>
    <w:p w:rsidR="00ED53E1" w:rsidP="00ED53E1" w14:paraId="6A97A81C" w14:textId="77777777">
      <w:pPr>
        <w:pBdr>
          <w:top w:val="nil"/>
          <w:left w:val="nil"/>
          <w:bottom w:val="nil"/>
          <w:right w:val="nil"/>
          <w:between w:val="nil"/>
        </w:pBdr>
      </w:pPr>
    </w:p>
    <w:p w:rsidR="00ED53E1" w:rsidP="00ED53E1" w14:paraId="25862985" w14:textId="22F69943">
      <w:pPr>
        <w:pBdr>
          <w:top w:val="nil"/>
          <w:left w:val="nil"/>
          <w:bottom w:val="nil"/>
          <w:right w:val="nil"/>
          <w:between w:val="nil"/>
        </w:pBdr>
      </w:pPr>
      <w:r>
        <w:t xml:space="preserve">NMFS is continually working towards ways to reduce the burden. This </w:t>
      </w:r>
      <w:r>
        <w:rPr>
          <w:rFonts w:eastAsia="SimSun"/>
        </w:rPr>
        <w:t xml:space="preserve">information collection was revised in 2023 due to a final rule </w:t>
      </w:r>
      <w:r w:rsidRPr="00E95CA3">
        <w:rPr>
          <w:rFonts w:eastAsia="Arial"/>
          <w:lang w:val="en"/>
        </w:rPr>
        <w:t>(</w:t>
      </w:r>
      <w:r w:rsidRPr="00961A13">
        <w:rPr>
          <w:rFonts w:eastAsia="Arial"/>
          <w:lang w:val="en"/>
        </w:rPr>
        <w:t>88 FR 12259</w:t>
      </w:r>
      <w:r>
        <w:rPr>
          <w:rFonts w:eastAsia="Arial"/>
          <w:lang w:val="en"/>
        </w:rPr>
        <w:t>; February 27, 2023</w:t>
      </w:r>
      <w:r w:rsidRPr="00CD3C52">
        <w:rPr>
          <w:rFonts w:eastAsia="Arial"/>
          <w:lang w:val="en"/>
        </w:rPr>
        <w:t>)</w:t>
      </w:r>
      <w:r w:rsidRPr="00CD3C52">
        <w:rPr>
          <w:rFonts w:eastAsia="SimSun"/>
        </w:rPr>
        <w:t xml:space="preserve"> </w:t>
      </w:r>
      <w:r>
        <w:rPr>
          <w:rFonts w:eastAsia="SimSun"/>
        </w:rPr>
        <w:t xml:space="preserve">that </w:t>
      </w:r>
      <w:r w:rsidRPr="001525DB">
        <w:rPr>
          <w:rFonts w:eastAsia="SimSun"/>
        </w:rPr>
        <w:t>revise</w:t>
      </w:r>
      <w:r>
        <w:rPr>
          <w:rFonts w:eastAsia="SimSun"/>
        </w:rPr>
        <w:t>d</w:t>
      </w:r>
      <w:r w:rsidRPr="001525DB">
        <w:rPr>
          <w:rFonts w:eastAsia="SimSun"/>
        </w:rPr>
        <w:t xml:space="preserve"> regulations to not specify submission methods</w:t>
      </w:r>
      <w:r>
        <w:rPr>
          <w:rFonts w:eastAsia="SimSun"/>
        </w:rPr>
        <w:t xml:space="preserve"> for this collection</w:t>
      </w:r>
      <w:r w:rsidRPr="001525DB">
        <w:rPr>
          <w:rFonts w:eastAsia="SimSun"/>
        </w:rPr>
        <w:t xml:space="preserve">. This </w:t>
      </w:r>
      <w:r>
        <w:rPr>
          <w:rFonts w:eastAsia="SimSun"/>
        </w:rPr>
        <w:t>was necessary to</w:t>
      </w:r>
      <w:r w:rsidRPr="001525DB">
        <w:rPr>
          <w:rFonts w:eastAsia="SimSun"/>
        </w:rPr>
        <w:t xml:space="preserve"> provide additional methods for the public to submit information</w:t>
      </w:r>
      <w:r>
        <w:rPr>
          <w:rFonts w:eastAsia="SimSun"/>
        </w:rPr>
        <w:t>, which i</w:t>
      </w:r>
      <w:r>
        <w:t>ncreases efficiency and flexibility for program participants.</w:t>
      </w:r>
    </w:p>
    <w:p w:rsidR="00ED53E1" w:rsidRPr="00ED53E1" w:rsidP="00ED53E1" w14:paraId="69626BB1" w14:textId="77777777">
      <w:pPr>
        <w:pBdr>
          <w:top w:val="nil"/>
          <w:left w:val="nil"/>
          <w:bottom w:val="nil"/>
          <w:right w:val="nil"/>
          <w:between w:val="nil"/>
        </w:pBdr>
      </w:pPr>
    </w:p>
    <w:p w:rsidR="00050C0C" w14:paraId="32B14F97"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80214" w:rsidP="00ED53E1" w14:paraId="42E628A9" w14:textId="77777777">
      <w:pPr>
        <w:widowControl/>
        <w:autoSpaceDE w:val="0"/>
        <w:autoSpaceDN w:val="0"/>
        <w:contextualSpacing/>
        <w:rPr>
          <w:rFonts w:eastAsia="SimSun"/>
        </w:rPr>
      </w:pPr>
    </w:p>
    <w:p w:rsidR="00ED53E1" w:rsidRPr="00D25408" w:rsidP="00ED53E1" w14:paraId="0E817224" w14:textId="7DD3D6D8">
      <w:pPr>
        <w:widowControl/>
        <w:autoSpaceDE w:val="0"/>
        <w:autoSpaceDN w:val="0"/>
        <w:contextualSpacing/>
        <w:rPr>
          <w:rFonts w:eastAsia="SimSun"/>
        </w:rPr>
      </w:pPr>
      <w:r w:rsidRPr="00D25408">
        <w:rPr>
          <w:rFonts w:eastAsia="SimSun"/>
        </w:rPr>
        <w:t xml:space="preserve">It would not be possible to effectively manage the CQE Program or carry out the mandates of the Magnuson-Stevens Act and Halibut Act if this collection were not conducted or </w:t>
      </w:r>
      <w:r w:rsidR="0012508A">
        <w:rPr>
          <w:rFonts w:eastAsia="SimSun"/>
        </w:rPr>
        <w:t xml:space="preserve">if were </w:t>
      </w:r>
      <w:r w:rsidRPr="00D25408">
        <w:rPr>
          <w:rFonts w:eastAsia="SimSun"/>
        </w:rPr>
        <w:t>conducted less frequently.</w:t>
      </w:r>
    </w:p>
    <w:p w:rsidR="00ED53E1" w:rsidRPr="00D25408" w:rsidP="00ED53E1" w14:paraId="17049164" w14:textId="77777777">
      <w:pPr>
        <w:widowControl/>
        <w:autoSpaceDE w:val="0"/>
        <w:autoSpaceDN w:val="0"/>
        <w:contextualSpacing/>
        <w:rPr>
          <w:rFonts w:eastAsia="SimSun"/>
        </w:rPr>
      </w:pPr>
    </w:p>
    <w:p w:rsidR="00ED53E1" w:rsidP="00ED53E1" w14:paraId="50274B52" w14:textId="4604D9F1">
      <w:pPr>
        <w:widowControl/>
        <w:rPr>
          <w:rFonts w:eastAsia="SimSun"/>
        </w:rPr>
      </w:pPr>
      <w:r w:rsidRPr="00D25408">
        <w:rPr>
          <w:rFonts w:eastAsia="SimSun"/>
        </w:rPr>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 and impact the economic health of the participatin</w:t>
      </w:r>
      <w:r w:rsidRPr="00D25408">
        <w:rPr>
          <w:rFonts w:eastAsia="SimSun"/>
        </w:rPr>
        <w:t>g communities.</w:t>
      </w:r>
    </w:p>
    <w:p w:rsidR="00ED53E1" w:rsidRPr="00ED53E1" w:rsidP="00ED53E1" w14:paraId="4329C6B2" w14:textId="77777777">
      <w:pPr>
        <w:widowControl/>
        <w:rPr>
          <w:rFonts w:eastAsia="SimSun"/>
        </w:rPr>
      </w:pPr>
    </w:p>
    <w:p w:rsidR="00050C0C" w14:paraId="60A277F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w:t>
      </w:r>
      <w:r>
        <w:rPr>
          <w:b/>
          <w:color w:val="000000"/>
        </w:rPr>
        <w:t>circumstances that would cause an information collection to be conducted in a manner inconsistent with OMB guidelines.</w:t>
      </w:r>
    </w:p>
    <w:p w:rsidR="0012508A" w14:paraId="5F0ADCE0" w14:textId="77777777">
      <w:pPr>
        <w:pBdr>
          <w:top w:val="nil"/>
          <w:left w:val="nil"/>
          <w:bottom w:val="nil"/>
          <w:right w:val="nil"/>
          <w:between w:val="nil"/>
        </w:pBdr>
        <w:spacing w:before="80"/>
        <w:rPr>
          <w:color w:val="2F5496"/>
        </w:rPr>
      </w:pPr>
    </w:p>
    <w:p w:rsidR="0012508A" w:rsidRPr="008C4AC1" w:rsidP="0012508A" w14:paraId="2311CD88" w14:textId="77777777">
      <w:pPr>
        <w:pBdr>
          <w:top w:val="nil"/>
          <w:left w:val="nil"/>
          <w:bottom w:val="nil"/>
          <w:right w:val="nil"/>
          <w:between w:val="nil"/>
        </w:pBdr>
        <w:tabs>
          <w:tab w:val="left" w:pos="360"/>
        </w:tabs>
      </w:pPr>
      <w:r w:rsidRPr="008C4AC1">
        <w:t>This collection is conducted in a manner that is consistent with OMB guidelines.</w:t>
      </w:r>
    </w:p>
    <w:p w:rsidR="0012508A" w:rsidP="0012508A" w14:paraId="7D06A601" w14:textId="77777777">
      <w:pPr>
        <w:pStyle w:val="ListParagraph"/>
        <w:numPr>
          <w:ilvl w:val="0"/>
          <w:numId w:val="19"/>
        </w:numPr>
        <w:pBdr>
          <w:top w:val="nil"/>
          <w:left w:val="nil"/>
          <w:bottom w:val="nil"/>
          <w:right w:val="nil"/>
          <w:between w:val="nil"/>
        </w:pBdr>
      </w:pPr>
      <w:r>
        <w:t xml:space="preserve">This collection does not </w:t>
      </w:r>
      <w:r w:rsidRPr="00445B7B">
        <w:t>requir</w:t>
      </w:r>
      <w:r>
        <w:t>e</w:t>
      </w:r>
      <w:r w:rsidRPr="00445B7B">
        <w:t xml:space="preserve"> respondents to report information to the agency more often than quarterly</w:t>
      </w:r>
      <w:r>
        <w:t>.</w:t>
      </w:r>
    </w:p>
    <w:p w:rsidR="0012508A" w:rsidP="0012508A" w14:paraId="031B7F22" w14:textId="77777777">
      <w:pPr>
        <w:pStyle w:val="ListParagraph"/>
        <w:numPr>
          <w:ilvl w:val="0"/>
          <w:numId w:val="19"/>
        </w:numPr>
        <w:pBdr>
          <w:top w:val="nil"/>
          <w:left w:val="nil"/>
          <w:bottom w:val="nil"/>
          <w:right w:val="nil"/>
          <w:between w:val="nil"/>
        </w:pBdr>
      </w:pPr>
      <w:r>
        <w:t>This collection does not require respondents to prepare a written response to a collection of information in fewer than 30 days after receipt of it.</w:t>
      </w:r>
    </w:p>
    <w:p w:rsidR="0012508A" w:rsidP="0012508A" w14:paraId="50E8FE1D" w14:textId="77777777">
      <w:pPr>
        <w:pStyle w:val="ListParagraph"/>
        <w:numPr>
          <w:ilvl w:val="0"/>
          <w:numId w:val="19"/>
        </w:numPr>
        <w:pBdr>
          <w:top w:val="nil"/>
          <w:left w:val="nil"/>
          <w:bottom w:val="nil"/>
          <w:right w:val="nil"/>
          <w:between w:val="nil"/>
        </w:pBdr>
      </w:pPr>
      <w:r>
        <w:t>This collection does not require respondents to submit more than an original and two copies of any document.</w:t>
      </w:r>
    </w:p>
    <w:p w:rsidR="0012508A" w:rsidP="0012508A" w14:paraId="1569724F" w14:textId="77777777">
      <w:pPr>
        <w:pStyle w:val="ListParagraph"/>
        <w:numPr>
          <w:ilvl w:val="0"/>
          <w:numId w:val="19"/>
        </w:numPr>
        <w:pBdr>
          <w:top w:val="nil"/>
          <w:left w:val="nil"/>
          <w:bottom w:val="nil"/>
          <w:right w:val="nil"/>
          <w:between w:val="nil"/>
        </w:pBdr>
      </w:pPr>
      <w:r>
        <w:t>This collection does not require respondents to retain records, other than health, medical, government contract, grant-in-aid, or tax records for more than three years.</w:t>
      </w:r>
    </w:p>
    <w:p w:rsidR="0012508A" w:rsidP="0012508A" w14:paraId="09530E07" w14:textId="77777777">
      <w:pPr>
        <w:pStyle w:val="ListParagraph"/>
        <w:numPr>
          <w:ilvl w:val="0"/>
          <w:numId w:val="19"/>
        </w:numPr>
        <w:pBdr>
          <w:top w:val="nil"/>
          <w:left w:val="nil"/>
          <w:bottom w:val="nil"/>
          <w:right w:val="nil"/>
          <w:between w:val="nil"/>
        </w:pBdr>
      </w:pPr>
      <w:r>
        <w:t>This collection is not in connection with a statistical survey, that is not designed to produce valid and reliable results that can be generalized to the universe of study.</w:t>
      </w:r>
      <w:r>
        <w:tab/>
      </w:r>
    </w:p>
    <w:p w:rsidR="0012508A" w:rsidP="0012508A" w14:paraId="524DE767" w14:textId="77777777">
      <w:pPr>
        <w:pStyle w:val="ListParagraph"/>
        <w:numPr>
          <w:ilvl w:val="0"/>
          <w:numId w:val="19"/>
        </w:numPr>
        <w:pBdr>
          <w:top w:val="nil"/>
          <w:left w:val="nil"/>
          <w:bottom w:val="nil"/>
          <w:right w:val="nil"/>
          <w:between w:val="nil"/>
        </w:pBdr>
      </w:pPr>
      <w:r>
        <w:t>This collection does not require the use of a statistical data classification that has not been reviewed and approved by OMB.</w:t>
      </w:r>
    </w:p>
    <w:p w:rsidR="0012508A" w:rsidP="0012508A" w14:paraId="11B3317D" w14:textId="77777777">
      <w:pPr>
        <w:pStyle w:val="ListParagraph"/>
        <w:numPr>
          <w:ilvl w:val="0"/>
          <w:numId w:val="19"/>
        </w:numPr>
        <w:pBdr>
          <w:top w:val="nil"/>
          <w:left w:val="nil"/>
          <w:bottom w:val="nil"/>
          <w:right w:val="nil"/>
          <w:between w:val="nil"/>
        </w:pBdr>
      </w:pPr>
      <w: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2508A" w:rsidP="0012508A" w14:paraId="227E3E70" w14:textId="77777777">
      <w:pPr>
        <w:pStyle w:val="ListParagraph"/>
        <w:numPr>
          <w:ilvl w:val="0"/>
          <w:numId w:val="19"/>
        </w:numPr>
        <w:pBdr>
          <w:top w:val="nil"/>
          <w:left w:val="nil"/>
          <w:bottom w:val="nil"/>
          <w:right w:val="nil"/>
          <w:between w:val="nil"/>
        </w:pBdr>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12508A" w14:paraId="6468C9C7" w14:textId="77777777">
      <w:pPr>
        <w:pBdr>
          <w:top w:val="nil"/>
          <w:left w:val="nil"/>
          <w:bottom w:val="nil"/>
          <w:right w:val="nil"/>
          <w:between w:val="nil"/>
        </w:pBdr>
        <w:spacing w:before="80"/>
        <w:rPr>
          <w:color w:val="000000"/>
        </w:rPr>
      </w:pPr>
    </w:p>
    <w:p w:rsidR="00050C0C" w14:paraId="2EB587F3"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508A" w14:paraId="720B5ECE" w14:textId="57CFA02F">
      <w:pPr>
        <w:pBdr>
          <w:top w:val="nil"/>
          <w:left w:val="nil"/>
          <w:bottom w:val="nil"/>
          <w:right w:val="nil"/>
          <w:between w:val="nil"/>
        </w:pBdr>
        <w:spacing w:before="160"/>
        <w:rPr>
          <w:color w:val="000000"/>
        </w:rPr>
      </w:pPr>
      <w:r w:rsidRPr="0012508A">
        <w:rPr>
          <w:color w:val="000000"/>
        </w:rPr>
        <w:t xml:space="preserve">A Federal Register Notice published on </w:t>
      </w:r>
      <w:r>
        <w:rPr>
          <w:color w:val="000000"/>
        </w:rPr>
        <w:t>July 15, 2025</w:t>
      </w:r>
      <w:r w:rsidRPr="0012508A">
        <w:rPr>
          <w:color w:val="000000"/>
        </w:rPr>
        <w:t xml:space="preserve"> (90 FR 31624) solicited public comment.</w:t>
      </w:r>
      <w:r>
        <w:rPr>
          <w:rStyle w:val="FootnoteReference"/>
          <w:color w:val="000000"/>
        </w:rPr>
        <w:footnoteReference w:id="17"/>
      </w:r>
      <w:r w:rsidRPr="0012508A">
        <w:rPr>
          <w:color w:val="000000"/>
        </w:rPr>
        <w:t xml:space="preserve"> </w:t>
      </w:r>
      <w:r w:rsidR="002749C7">
        <w:rPr>
          <w:color w:val="000000"/>
        </w:rPr>
        <w:t xml:space="preserve">The comment period ended on </w:t>
      </w:r>
      <w:r w:rsidR="00315833">
        <w:rPr>
          <w:color w:val="000000"/>
        </w:rPr>
        <w:t>September 15, 2025</w:t>
      </w:r>
      <w:r w:rsidR="002749C7">
        <w:rPr>
          <w:color w:val="000000"/>
        </w:rPr>
        <w:t xml:space="preserve">. </w:t>
      </w:r>
      <w:r>
        <w:rPr>
          <w:color w:val="000000"/>
        </w:rPr>
        <w:t>No comments were received.</w:t>
      </w:r>
    </w:p>
    <w:p w:rsidR="0012508A" w14:paraId="4DA10708" w14:textId="63EC068C">
      <w:pPr>
        <w:pBdr>
          <w:top w:val="nil"/>
          <w:left w:val="nil"/>
          <w:bottom w:val="nil"/>
          <w:right w:val="nil"/>
          <w:between w:val="nil"/>
        </w:pBdr>
        <w:spacing w:before="160"/>
        <w:rPr>
          <w:color w:val="000000"/>
        </w:rPr>
      </w:pPr>
      <w:r>
        <w:rPr>
          <w:color w:val="000000"/>
        </w:rPr>
        <w:t xml:space="preserve">In addition, </w:t>
      </w:r>
      <w:r>
        <w:rPr>
          <w:color w:val="000000"/>
        </w:rPr>
        <w:t xml:space="preserve">NOAA consulted with six stakeholders </w:t>
      </w:r>
      <w:r w:rsidR="00EF2960">
        <w:rPr>
          <w:color w:val="000000"/>
        </w:rPr>
        <w:t xml:space="preserve">via email </w:t>
      </w:r>
      <w:r>
        <w:rPr>
          <w:color w:val="000000"/>
        </w:rPr>
        <w:t>to obtain their views on the need for and practical utility of the data collected, the accuracy of the burden and frequency of collection, suggestions to minimize the burden, and ways to improve the clarity of instructions and forms. No comments were received.</w:t>
      </w:r>
    </w:p>
    <w:p w:rsidR="00050C0C" w14:paraId="259D8F10" w14:textId="37E81167">
      <w:pPr>
        <w:pBdr>
          <w:top w:val="nil"/>
          <w:left w:val="nil"/>
          <w:bottom w:val="nil"/>
          <w:right w:val="nil"/>
          <w:between w:val="nil"/>
        </w:pBdr>
        <w:spacing w:before="159"/>
        <w:rPr>
          <w:color w:val="000000"/>
        </w:rPr>
      </w:pPr>
    </w:p>
    <w:p w:rsidR="00050C0C" w14:paraId="28861236"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4321D0" w:rsidP="00EF2960" w14:paraId="3325C841" w14:textId="77777777">
      <w:pPr>
        <w:pBdr>
          <w:top w:val="nil"/>
          <w:left w:val="nil"/>
          <w:bottom w:val="nil"/>
          <w:right w:val="nil"/>
          <w:between w:val="nil"/>
        </w:pBdr>
        <w:rPr>
          <w:color w:val="2F5496"/>
        </w:rPr>
      </w:pPr>
    </w:p>
    <w:p w:rsidR="00EF2960" w:rsidRPr="003F0FC7" w:rsidP="00EF2960" w14:paraId="2B86FBCB" w14:textId="35FC8276">
      <w:pPr>
        <w:pBdr>
          <w:top w:val="nil"/>
          <w:left w:val="nil"/>
          <w:bottom w:val="nil"/>
          <w:right w:val="nil"/>
          <w:between w:val="nil"/>
        </w:pBdr>
      </w:pPr>
      <w:r w:rsidRPr="00E95092">
        <w:t>No payment or gift is provided under this program.</w:t>
      </w:r>
    </w:p>
    <w:p w:rsidR="00EF2960" w14:paraId="1B2D14E3" w14:textId="77777777">
      <w:pPr>
        <w:pBdr>
          <w:top w:val="nil"/>
          <w:left w:val="nil"/>
          <w:bottom w:val="nil"/>
          <w:right w:val="nil"/>
          <w:between w:val="nil"/>
        </w:pBdr>
        <w:spacing w:before="161"/>
        <w:rPr>
          <w:color w:val="000000"/>
        </w:rPr>
      </w:pPr>
    </w:p>
    <w:p w:rsidR="00050C0C" w14:paraId="07D47DE1"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46F55" w:rsidP="00EF2960" w14:paraId="03B9F112" w14:textId="77777777">
      <w:pPr>
        <w:keepNext/>
        <w:widowControl/>
        <w:rPr>
          <w:rFonts w:eastAsia="SimSun"/>
        </w:rPr>
      </w:pPr>
    </w:p>
    <w:p w:rsidR="00EF2960" w:rsidRPr="00087674" w:rsidP="00EF2960" w14:paraId="3C9CF98F" w14:textId="0DCCC54E">
      <w:pPr>
        <w:keepNext/>
        <w:widowControl/>
        <w:rPr>
          <w:rFonts w:eastAsia="SimSun"/>
        </w:rPr>
      </w:pPr>
      <w:r w:rsidRPr="00087674">
        <w:rPr>
          <w:rFonts w:eastAsia="SimSun"/>
        </w:rPr>
        <w:t xml:space="preserve">All information collections by NMFS, Alaska Region, are protected under confidentiality provisions of section 402(b) of the Magnuson-Stevens Act as amended in 2006 (16 U.S.C. 1801, </w:t>
      </w:r>
      <w:r w:rsidRPr="00087674">
        <w:rPr>
          <w:rFonts w:eastAsia="SimSun"/>
          <w:i/>
        </w:rPr>
        <w:t>et seq</w:t>
      </w:r>
      <w:r w:rsidRPr="00087674">
        <w:rPr>
          <w:rFonts w:eastAsia="SimSun"/>
        </w:rPr>
        <w:t xml:space="preserve">.) and </w:t>
      </w:r>
      <w:r w:rsidRPr="00C52428">
        <w:rPr>
          <w:rFonts w:eastAsia="SimSun"/>
        </w:rPr>
        <w:t>under NOAA Administrative Order 216-100</w:t>
      </w:r>
      <w:r w:rsidRPr="00087674">
        <w:rPr>
          <w:rFonts w:eastAsia="SimSun"/>
        </w:rPr>
        <w:t>, which sets forth procedures to protect confidentiality of fishery statistics.</w:t>
      </w:r>
    </w:p>
    <w:p w:rsidR="00EF2960" w:rsidRPr="00087674" w:rsidP="00EF2960" w14:paraId="6D1EA675" w14:textId="77777777">
      <w:pPr>
        <w:widowControl/>
        <w:autoSpaceDE w:val="0"/>
        <w:autoSpaceDN w:val="0"/>
        <w:adjustRightInd w:val="0"/>
        <w:rPr>
          <w:rFonts w:eastAsia="SimSun"/>
        </w:rPr>
      </w:pPr>
    </w:p>
    <w:p w:rsidR="00EF2960" w:rsidRPr="00087674" w:rsidP="00EF2960" w14:paraId="4BE4C998" w14:textId="77777777">
      <w:pPr>
        <w:widowControl/>
        <w:autoSpaceDE w:val="0"/>
        <w:autoSpaceDN w:val="0"/>
        <w:adjustRightInd w:val="0"/>
        <w:rPr>
          <w:rFonts w:eastAsia="SimSun"/>
        </w:rPr>
      </w:pPr>
      <w:r w:rsidRPr="00087674">
        <w:rPr>
          <w:rFonts w:eastAsia="SimSun"/>
        </w:rPr>
        <w:t xml:space="preserve">The System of Records Notice that covers this information collection is </w:t>
      </w:r>
      <w:hyperlink r:id="rId19" w:history="1">
        <w:r w:rsidRPr="0051519A">
          <w:rPr>
            <w:rFonts w:eastAsia="SimSun"/>
            <w:color w:val="0000FF"/>
            <w:u w:val="single"/>
          </w:rPr>
          <w:t>COMMERCE/NOAA-19, Permits and Registrations for United States Federally Regulated Fisheries</w:t>
        </w:r>
      </w:hyperlink>
      <w:r w:rsidRPr="0051519A">
        <w:rPr>
          <w:rFonts w:eastAsia="SimSun"/>
        </w:rPr>
        <w:t>.</w:t>
      </w:r>
      <w:r>
        <w:rPr>
          <w:rFonts w:eastAsia="SimSun"/>
          <w:vertAlign w:val="superscript"/>
        </w:rPr>
        <w:footnoteReference w:id="18"/>
      </w:r>
      <w:r w:rsidRPr="0051519A">
        <w:rPr>
          <w:rFonts w:eastAsia="SimSun"/>
        </w:rPr>
        <w:t xml:space="preserve"> </w:t>
      </w:r>
      <w:r w:rsidRPr="00087674">
        <w:rPr>
          <w:rFonts w:eastAsia="SimSun"/>
        </w:rPr>
        <w:t xml:space="preserve">An amended Privacy Act system of records notice was published in the </w:t>
      </w:r>
      <w:r w:rsidRPr="00087674">
        <w:rPr>
          <w:rFonts w:eastAsia="SimSun"/>
          <w:i/>
        </w:rPr>
        <w:t>Federal Register</w:t>
      </w:r>
      <w:r w:rsidRPr="00087674">
        <w:rPr>
          <w:rFonts w:eastAsia="SimSun"/>
        </w:rPr>
        <w:t xml:space="preserve"> on August 7, 2015 (80 FR 47457), and became effective September 15, 2015 (80 FR 55327). </w:t>
      </w:r>
    </w:p>
    <w:p w:rsidR="00EF2960" w:rsidRPr="00087674" w:rsidP="00EF2960" w14:paraId="2316A60F" w14:textId="77777777">
      <w:pPr>
        <w:widowControl/>
        <w:autoSpaceDE w:val="0"/>
        <w:autoSpaceDN w:val="0"/>
        <w:rPr>
          <w:rFonts w:eastAsiaTheme="minorHAnsi"/>
          <w:color w:val="2F5496"/>
        </w:rPr>
      </w:pPr>
    </w:p>
    <w:p w:rsidR="00EF2960" w:rsidP="00EF2960" w14:paraId="1D1152AA" w14:textId="33989F6F">
      <w:pPr>
        <w:widowControl/>
        <w:rPr>
          <w:rFonts w:eastAsia="SimSun"/>
        </w:rPr>
      </w:pPr>
      <w:r w:rsidRPr="003207AD">
        <w:rPr>
          <w:rFonts w:eastAsia="SimSun"/>
        </w:rPr>
        <w:t xml:space="preserve">The Privacy Impact Assessment that covers this information collection is </w:t>
      </w:r>
      <w:hyperlink r:id="rId20" w:history="1">
        <w:r w:rsidRPr="003207AD">
          <w:rPr>
            <w:rFonts w:eastAsia="SimSun"/>
            <w:color w:val="0000FF" w:themeColor="hyperlink"/>
            <w:u w:val="single"/>
          </w:rPr>
          <w:t>NOAA NMFS Alaska Region Local Area Network (NOAA4700)</w:t>
        </w:r>
      </w:hyperlink>
      <w:r w:rsidRPr="003207AD">
        <w:rPr>
          <w:rFonts w:eastAsia="SimSun"/>
        </w:rPr>
        <w:t>.</w:t>
      </w:r>
      <w:r>
        <w:rPr>
          <w:rFonts w:eastAsia="SimSun"/>
          <w:vertAlign w:val="superscript"/>
        </w:rPr>
        <w:footnoteReference w:id="19"/>
      </w:r>
    </w:p>
    <w:p w:rsidR="00EF2960" w:rsidRPr="00EF2960" w:rsidP="00EF2960" w14:paraId="0129265E" w14:textId="77777777">
      <w:pPr>
        <w:widowControl/>
        <w:rPr>
          <w:rFonts w:eastAsia="SimSun"/>
        </w:rPr>
      </w:pPr>
    </w:p>
    <w:p w:rsidR="00050C0C" w14:paraId="6987C70F"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2960" w14:paraId="28CA677E" w14:textId="77777777">
      <w:pPr>
        <w:spacing w:line="259" w:lineRule="auto"/>
        <w:rPr>
          <w:color w:val="2F5496"/>
        </w:rPr>
      </w:pPr>
    </w:p>
    <w:p w:rsidR="0083300C" w:rsidP="0083300C" w14:paraId="70A372C8" w14:textId="0D16FBA3">
      <w:pPr>
        <w:widowControl/>
        <w:rPr>
          <w:color w:val="2F5496"/>
        </w:rPr>
      </w:pPr>
      <w:r w:rsidRPr="00DA1867">
        <w:rPr>
          <w:rFonts w:eastAsia="SimSun"/>
        </w:rPr>
        <w:t>This information collection does not involve information of a sensitive nature.</w:t>
      </w:r>
    </w:p>
    <w:p w:rsidR="0083300C" w14:paraId="03188F42" w14:textId="45C05FE0">
      <w:pPr>
        <w:spacing w:line="259" w:lineRule="auto"/>
        <w:rPr>
          <w:color w:val="2F5496"/>
        </w:rPr>
      </w:pPr>
    </w:p>
    <w:p w:rsidR="00050C0C" w:rsidRPr="004321D0" w:rsidP="004321D0" w14:paraId="26542557" w14:textId="14D93F85">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Provide </w:t>
      </w:r>
      <w:r>
        <w:rPr>
          <w:b/>
          <w:color w:val="000000"/>
        </w:rPr>
        <w:t>estimates of the hour burden of the collection of information.</w:t>
      </w:r>
    </w:p>
    <w:p w:rsidR="00493813" w14:paraId="1A2CB288" w14:textId="77777777">
      <w:pPr>
        <w:spacing w:line="259" w:lineRule="auto"/>
        <w:ind w:hanging="43"/>
        <w:rPr>
          <w:b/>
          <w:highlight w:val="yellow"/>
        </w:rPr>
      </w:pPr>
    </w:p>
    <w:p w:rsidR="00493813" w:rsidP="00493813" w14:paraId="3FC9DBBB" w14:textId="02B79454">
      <w:pPr>
        <w:widowControl/>
        <w:rPr>
          <w:rFonts w:eastAsia="SimSun"/>
        </w:rPr>
      </w:pPr>
      <w:r w:rsidRPr="004D6DD3">
        <w:rPr>
          <w:rFonts w:eastAsia="SimSun"/>
        </w:rPr>
        <w:t xml:space="preserve">The hourly wage rate </w:t>
      </w:r>
      <w:r>
        <w:rPr>
          <w:rFonts w:eastAsia="SimSun"/>
        </w:rPr>
        <w:t>was</w:t>
      </w:r>
      <w:r w:rsidRPr="004D6DD3">
        <w:rPr>
          <w:rFonts w:eastAsia="SimSun"/>
        </w:rPr>
        <w:t xml:space="preserve"> updated to use the most current rate available (May 202</w:t>
      </w:r>
      <w:r>
        <w:rPr>
          <w:rFonts w:eastAsia="SimSun"/>
        </w:rPr>
        <w:t>4</w:t>
      </w:r>
      <w:r w:rsidRPr="004D6DD3">
        <w:rPr>
          <w:rFonts w:eastAsia="SimSun"/>
        </w:rPr>
        <w:t>)</w:t>
      </w:r>
      <w:r>
        <w:rPr>
          <w:rFonts w:eastAsia="SimSun"/>
        </w:rPr>
        <w:t xml:space="preserve"> from the</w:t>
      </w:r>
      <w:r w:rsidRPr="00BD0FA6">
        <w:t xml:space="preserve"> U. S. Bureau of Labor Statistics (BLS) </w:t>
      </w:r>
      <w:r>
        <w:rPr>
          <w:rFonts w:eastAsia="SimSun"/>
        </w:rPr>
        <w:t xml:space="preserve">and to </w:t>
      </w:r>
      <w:r w:rsidRPr="0079308C">
        <w:rPr>
          <w:rFonts w:eastAsia="SimSun"/>
        </w:rPr>
        <w:t xml:space="preserve">improve consistency in the rates used for the same </w:t>
      </w:r>
      <w:r w:rsidRPr="0079308C">
        <w:rPr>
          <w:rFonts w:eastAsia="SimSun"/>
        </w:rPr>
        <w:t>respondent types in NMFS Alaska</w:t>
      </w:r>
      <w:r>
        <w:rPr>
          <w:rFonts w:eastAsia="SimSun"/>
        </w:rPr>
        <w:t xml:space="preserve"> Region information collections</w:t>
      </w:r>
      <w:r w:rsidRPr="004D6DD3">
        <w:rPr>
          <w:rFonts w:eastAsia="SimSun"/>
        </w:rPr>
        <w:t>. The hourly wage rate estimate of $</w:t>
      </w:r>
      <w:r w:rsidRPr="00BD0FA6">
        <w:rPr>
          <w:rFonts w:eastAsia="SimSun"/>
        </w:rPr>
        <w:t>4</w:t>
      </w:r>
      <w:r>
        <w:rPr>
          <w:rFonts w:eastAsia="SimSun"/>
        </w:rPr>
        <w:t>9.44</w:t>
      </w:r>
      <w:r w:rsidRPr="00BD0FA6">
        <w:rPr>
          <w:rFonts w:eastAsia="SimSun"/>
        </w:rPr>
        <w:t xml:space="preserve"> </w:t>
      </w:r>
      <w:r w:rsidRPr="004D6DD3">
        <w:rPr>
          <w:rFonts w:eastAsia="SimSun"/>
        </w:rPr>
        <w:t xml:space="preserve">is the BLS mean hourly wage for Alaska for Occupation Code </w:t>
      </w:r>
      <w:r>
        <w:rPr>
          <w:rFonts w:eastAsia="SimSun"/>
        </w:rPr>
        <w:t>15-2031</w:t>
      </w:r>
      <w:r w:rsidRPr="00BD0FA6">
        <w:rPr>
          <w:rFonts w:eastAsia="SimSun"/>
        </w:rPr>
        <w:t xml:space="preserve"> </w:t>
      </w:r>
      <w:r>
        <w:rPr>
          <w:rFonts w:eastAsia="SimSun"/>
        </w:rPr>
        <w:t>(</w:t>
      </w:r>
      <w:r w:rsidRPr="00BD0FA6">
        <w:rPr>
          <w:rFonts w:eastAsia="SimSun"/>
        </w:rPr>
        <w:t>Operations Research Analysts</w:t>
      </w:r>
      <w:r>
        <w:rPr>
          <w:rFonts w:eastAsia="SimSun"/>
        </w:rPr>
        <w:t xml:space="preserve">; </w:t>
      </w:r>
      <w:hyperlink r:id="rId21" w:history="1">
        <w:r w:rsidRPr="006367C6">
          <w:rPr>
            <w:rStyle w:val="Hyperlink"/>
            <w:rFonts w:eastAsia="SimSun"/>
          </w:rPr>
          <w:t>https://www.bls.gov/oes/current/oes_ak.htm</w:t>
        </w:r>
      </w:hyperlink>
      <w:r>
        <w:rPr>
          <w:rFonts w:eastAsia="SimSun"/>
        </w:rPr>
        <w:t>)</w:t>
      </w:r>
      <w:r w:rsidRPr="004D6DD3">
        <w:rPr>
          <w:rFonts w:eastAsia="SimSun"/>
        </w:rPr>
        <w:t xml:space="preserve">. </w:t>
      </w:r>
      <w:r w:rsidRPr="00BD0FA6">
        <w:rPr>
          <w:rFonts w:eastAsia="SimSun"/>
        </w:rPr>
        <w:t xml:space="preserve">The hourly wage rate of $150 </w:t>
      </w:r>
      <w:r w:rsidR="00F15DBA">
        <w:rPr>
          <w:rFonts w:eastAsia="SimSun"/>
        </w:rPr>
        <w:t xml:space="preserve">for non-profit representatives </w:t>
      </w:r>
      <w:r w:rsidRPr="00BD0FA6">
        <w:rPr>
          <w:rFonts w:eastAsia="SimSun"/>
        </w:rPr>
        <w:t>is based on previous comment received from industry. NMFS updates and revises wage rate estimates when public comment supports doing so.</w:t>
      </w:r>
    </w:p>
    <w:p w:rsidR="00FE5BEF" w:rsidP="00493813" w14:paraId="4B1F0A4B" w14:textId="00DAC8AD">
      <w:pPr>
        <w:widowControl/>
        <w:rPr>
          <w:rFonts w:eastAsia="SimSun"/>
        </w:rPr>
      </w:pPr>
    </w:p>
    <w:p w:rsidR="00FE5BEF" w:rsidP="00493813" w14:paraId="7E2F3EAA" w14:textId="77777777">
      <w:pPr>
        <w:widowControl/>
        <w:rPr>
          <w:rFonts w:eastAsia="SimSun"/>
        </w:rPr>
        <w:sectPr w:rsidSect="00FE5BEF">
          <w:pgSz w:w="12240" w:h="15840"/>
          <w:pgMar w:top="640" w:right="1080" w:bottom="1200" w:left="1080" w:header="0" w:footer="714" w:gutter="0"/>
          <w:cols w:space="720"/>
          <w:docGrid w:linePitch="326"/>
        </w:sectPr>
      </w:pPr>
    </w:p>
    <w:p w:rsidR="00FE5BEF" w:rsidP="00493813" w14:paraId="645137C3" w14:textId="1AD52669">
      <w:pPr>
        <w:widowControl/>
        <w:rPr>
          <w:rFonts w:eastAsia="SimSun"/>
        </w:rPr>
      </w:pPr>
    </w:p>
    <w:p w:rsidR="00CA57C9" w:rsidP="00493813" w14:paraId="6A954C86" w14:textId="7CA5A6B0">
      <w:pPr>
        <w:widowControl/>
        <w:rPr>
          <w:rFonts w:eastAsia="SimSun"/>
        </w:rPr>
      </w:pPr>
    </w:p>
    <w:tbl>
      <w:tblPr>
        <w:tblW w:w="5000" w:type="pct"/>
        <w:tblLayout w:type="fixed"/>
        <w:tblLook w:val="04A0"/>
      </w:tblPr>
      <w:tblGrid>
        <w:gridCol w:w="2245"/>
        <w:gridCol w:w="1467"/>
        <w:gridCol w:w="1284"/>
        <w:gridCol w:w="1284"/>
        <w:gridCol w:w="1284"/>
        <w:gridCol w:w="1284"/>
        <w:gridCol w:w="1284"/>
        <w:gridCol w:w="1284"/>
        <w:gridCol w:w="1284"/>
        <w:gridCol w:w="1290"/>
      </w:tblGrid>
      <w:tr w14:paraId="1588D77E" w14:textId="77777777" w:rsidTr="001723F8">
        <w:tblPrEx>
          <w:tblW w:w="5000" w:type="pct"/>
          <w:tblLayout w:type="fixed"/>
          <w:tblLook w:val="04A0"/>
        </w:tblPrEx>
        <w:trPr>
          <w:trHeight w:val="1440"/>
        </w:trPr>
        <w:tc>
          <w:tcPr>
            <w:tcW w:w="802"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83300C" w:rsidRPr="0083300C" w:rsidP="0083300C" w14:paraId="255C7DC4"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Information Collection</w:t>
            </w:r>
          </w:p>
        </w:tc>
        <w:tc>
          <w:tcPr>
            <w:tcW w:w="524"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68518DBC"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Type of Respondent (e.g., Occupational Title)</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1BB754B8"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 of Respondents / year </w:t>
            </w:r>
            <w:r w:rsidRPr="0083300C">
              <w:rPr>
                <w:rFonts w:ascii="Calibri" w:hAnsi="Calibri" w:cs="Calibri"/>
                <w:b/>
                <w:bCs/>
                <w:color w:val="000000"/>
                <w:sz w:val="18"/>
                <w:szCs w:val="18"/>
              </w:rPr>
              <w:br/>
              <w:t>(a)</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6339CE24"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 of Respondents / Information Collection </w:t>
            </w:r>
            <w:r w:rsidRPr="0083300C">
              <w:rPr>
                <w:rFonts w:ascii="Calibri" w:hAnsi="Calibri" w:cs="Calibri"/>
                <w:b/>
                <w:bCs/>
                <w:color w:val="000000"/>
                <w:sz w:val="18"/>
                <w:szCs w:val="18"/>
              </w:rPr>
              <w:br/>
              <w:t>(b)</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3BA616DE"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Annual # of Responses / Respondent </w:t>
            </w:r>
            <w:r w:rsidRPr="0083300C">
              <w:rPr>
                <w:rFonts w:ascii="Calibri" w:hAnsi="Calibri" w:cs="Calibri"/>
                <w:b/>
                <w:bCs/>
                <w:color w:val="000000"/>
                <w:sz w:val="18"/>
                <w:szCs w:val="18"/>
              </w:rPr>
              <w:br/>
              <w:t>(c)</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6DC809AE" w14:textId="64882F16">
            <w:pPr>
              <w:widowControl/>
              <w:jc w:val="center"/>
              <w:rPr>
                <w:rFonts w:ascii="Calibri" w:hAnsi="Calibri" w:cs="Calibri"/>
                <w:b/>
                <w:bCs/>
                <w:color w:val="000000"/>
                <w:sz w:val="18"/>
                <w:szCs w:val="18"/>
              </w:rPr>
            </w:pPr>
            <w:r w:rsidRPr="0083300C">
              <w:rPr>
                <w:rFonts w:ascii="Calibri" w:hAnsi="Calibri" w:cs="Calibri"/>
                <w:b/>
                <w:bCs/>
                <w:color w:val="000000"/>
                <w:sz w:val="18"/>
                <w:szCs w:val="18"/>
              </w:rPr>
              <w:t>Total # of Annual Responses</w:t>
            </w:r>
            <w:r w:rsidRPr="0083300C">
              <w:rPr>
                <w:rFonts w:ascii="Calibri" w:hAnsi="Calibri" w:cs="Calibri"/>
                <w:b/>
                <w:bCs/>
                <w:color w:val="000000"/>
                <w:sz w:val="18"/>
                <w:szCs w:val="18"/>
              </w:rPr>
              <w:br/>
              <w:t xml:space="preserve">(d) = </w:t>
            </w:r>
            <w:r w:rsidRPr="0083300C">
              <w:rPr>
                <w:rFonts w:ascii="Calibri" w:hAnsi="Calibri" w:cs="Calibri"/>
                <w:b/>
                <w:bCs/>
                <w:color w:val="000000"/>
                <w:sz w:val="18"/>
                <w:szCs w:val="18"/>
              </w:rPr>
              <w:t>[(a)/(b)] x [c]</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2E28398B"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Burden Hrs / Response </w:t>
            </w:r>
            <w:r w:rsidRPr="0083300C">
              <w:rPr>
                <w:rFonts w:ascii="Calibri" w:hAnsi="Calibri" w:cs="Calibri"/>
                <w:b/>
                <w:bCs/>
                <w:color w:val="000000"/>
                <w:sz w:val="18"/>
                <w:szCs w:val="18"/>
              </w:rPr>
              <w:br/>
              <w:t>(e)</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58346189" w14:textId="24649456">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Total Annual Burden Hrs </w:t>
            </w:r>
            <w:r w:rsidRPr="0083300C">
              <w:rPr>
                <w:rFonts w:ascii="Calibri" w:hAnsi="Calibri" w:cs="Calibri"/>
                <w:b/>
                <w:bCs/>
                <w:color w:val="000000"/>
                <w:sz w:val="18"/>
                <w:szCs w:val="18"/>
              </w:rPr>
              <w:br/>
              <w:t>(f) = (d) x (e)</w:t>
            </w:r>
          </w:p>
        </w:tc>
        <w:tc>
          <w:tcPr>
            <w:tcW w:w="459"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6C8EAF04"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 xml:space="preserve">Hourly Wage Rate  (for Type of Respondent) </w:t>
            </w:r>
            <w:r w:rsidRPr="0083300C">
              <w:rPr>
                <w:rFonts w:ascii="Calibri" w:hAnsi="Calibri" w:cs="Calibri"/>
                <w:b/>
                <w:bCs/>
                <w:color w:val="000000"/>
                <w:sz w:val="18"/>
                <w:szCs w:val="18"/>
              </w:rPr>
              <w:br/>
              <w:t>(g)</w:t>
            </w:r>
          </w:p>
        </w:tc>
        <w:tc>
          <w:tcPr>
            <w:tcW w:w="461" w:type="pct"/>
            <w:tcBorders>
              <w:top w:val="single" w:sz="4" w:space="0" w:color="auto"/>
              <w:left w:val="nil"/>
              <w:bottom w:val="single" w:sz="4" w:space="0" w:color="auto"/>
              <w:right w:val="single" w:sz="4" w:space="0" w:color="auto"/>
            </w:tcBorders>
            <w:shd w:val="clear" w:color="000000" w:fill="BDD7EE"/>
            <w:vAlign w:val="center"/>
            <w:hideMark/>
          </w:tcPr>
          <w:p w:rsidR="0083300C" w:rsidRPr="0083300C" w:rsidP="0083300C" w14:paraId="38DD1C06" w14:textId="77777777">
            <w:pPr>
              <w:widowControl/>
              <w:jc w:val="center"/>
              <w:rPr>
                <w:rFonts w:ascii="Calibri" w:hAnsi="Calibri" w:cs="Calibri"/>
                <w:b/>
                <w:bCs/>
                <w:color w:val="000000"/>
                <w:sz w:val="18"/>
                <w:szCs w:val="18"/>
              </w:rPr>
            </w:pPr>
            <w:r w:rsidRPr="0083300C">
              <w:rPr>
                <w:rFonts w:ascii="Calibri" w:hAnsi="Calibri" w:cs="Calibri"/>
                <w:b/>
                <w:bCs/>
                <w:color w:val="000000"/>
                <w:sz w:val="18"/>
                <w:szCs w:val="18"/>
              </w:rPr>
              <w:t>Total Annual Wage Burden Costs ($)</w:t>
            </w:r>
            <w:r w:rsidRPr="0083300C">
              <w:rPr>
                <w:rFonts w:ascii="Calibri" w:hAnsi="Calibri" w:cs="Calibri"/>
                <w:b/>
                <w:bCs/>
                <w:color w:val="000000"/>
                <w:sz w:val="18"/>
                <w:szCs w:val="18"/>
              </w:rPr>
              <w:br/>
              <w:t>(h) = (f) x (g)</w:t>
            </w:r>
          </w:p>
        </w:tc>
      </w:tr>
      <w:tr w14:paraId="7C91904A" w14:textId="77777777" w:rsidTr="001723F8">
        <w:tblPrEx>
          <w:tblW w:w="5000" w:type="pct"/>
          <w:tblLayout w:type="fixed"/>
          <w:tblLook w:val="04A0"/>
        </w:tblPrEx>
        <w:trPr>
          <w:trHeight w:val="480"/>
        </w:trPr>
        <w:tc>
          <w:tcPr>
            <w:tcW w:w="802" w:type="pct"/>
            <w:tcBorders>
              <w:top w:val="nil"/>
              <w:left w:val="single" w:sz="4" w:space="0" w:color="auto"/>
              <w:bottom w:val="single" w:sz="4" w:space="0" w:color="auto"/>
              <w:right w:val="single" w:sz="4" w:space="0" w:color="auto"/>
            </w:tcBorders>
            <w:shd w:val="clear" w:color="auto" w:fill="auto"/>
            <w:vAlign w:val="center"/>
            <w:hideMark/>
          </w:tcPr>
          <w:p w:rsidR="0083300C" w:rsidRPr="0083300C" w:rsidP="0083300C" w14:paraId="3DBFB0ED" w14:textId="77777777">
            <w:pPr>
              <w:widowControl/>
              <w:rPr>
                <w:rFonts w:ascii="Calibri" w:hAnsi="Calibri" w:cs="Calibri"/>
                <w:color w:val="000000"/>
                <w:sz w:val="18"/>
                <w:szCs w:val="18"/>
              </w:rPr>
            </w:pPr>
            <w:r w:rsidRPr="0083300C">
              <w:rPr>
                <w:rFonts w:ascii="Calibri" w:hAnsi="Calibri" w:cs="Calibri"/>
                <w:color w:val="000000"/>
                <w:sz w:val="18"/>
                <w:szCs w:val="18"/>
              </w:rPr>
              <w:t xml:space="preserve">Application for Nonprofit Corporation to be Designated as a CQE </w:t>
            </w:r>
          </w:p>
        </w:tc>
        <w:tc>
          <w:tcPr>
            <w:tcW w:w="524" w:type="pct"/>
            <w:tcBorders>
              <w:top w:val="nil"/>
              <w:left w:val="nil"/>
              <w:bottom w:val="single" w:sz="4" w:space="0" w:color="auto"/>
              <w:right w:val="single" w:sz="4" w:space="0" w:color="auto"/>
            </w:tcBorders>
            <w:shd w:val="clear" w:color="auto" w:fill="auto"/>
            <w:vAlign w:val="center"/>
            <w:hideMark/>
          </w:tcPr>
          <w:p w:rsidR="0083300C" w:rsidRPr="0083300C" w:rsidP="0083300C" w14:paraId="7DF337C1" w14:textId="77777777">
            <w:pPr>
              <w:widowControl/>
              <w:rPr>
                <w:rFonts w:ascii="Calibri" w:hAnsi="Calibri" w:cs="Calibri"/>
                <w:color w:val="000000"/>
                <w:sz w:val="18"/>
                <w:szCs w:val="18"/>
              </w:rPr>
            </w:pPr>
            <w:r w:rsidRPr="0083300C">
              <w:rPr>
                <w:rFonts w:ascii="Calibri" w:hAnsi="Calibri" w:cs="Calibri"/>
                <w:color w:val="000000"/>
                <w:sz w:val="18"/>
                <w:szCs w:val="18"/>
              </w:rPr>
              <w:t>Non-profit representatives</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76AEE823"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2F0C7ED4"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0D6A4517"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0E92E11"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C990A2E" w14:textId="77777777">
            <w:pPr>
              <w:widowControl/>
              <w:rPr>
                <w:rFonts w:ascii="Calibri" w:hAnsi="Calibri" w:cs="Calibri"/>
                <w:color w:val="000000"/>
                <w:sz w:val="18"/>
                <w:szCs w:val="18"/>
              </w:rPr>
            </w:pPr>
            <w:r w:rsidRPr="0083300C">
              <w:rPr>
                <w:rFonts w:ascii="Calibri" w:hAnsi="Calibri" w:cs="Calibri"/>
                <w:color w:val="000000"/>
                <w:sz w:val="18"/>
                <w:szCs w:val="18"/>
              </w:rPr>
              <w:t>200</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262875E8" w14:textId="77777777">
            <w:pPr>
              <w:widowControl/>
              <w:rPr>
                <w:rFonts w:ascii="Calibri" w:hAnsi="Calibri" w:cs="Calibri"/>
                <w:color w:val="000000"/>
                <w:sz w:val="18"/>
                <w:szCs w:val="18"/>
              </w:rPr>
            </w:pPr>
            <w:r w:rsidRPr="0083300C">
              <w:rPr>
                <w:rFonts w:ascii="Calibri" w:hAnsi="Calibri" w:cs="Calibri"/>
                <w:color w:val="000000"/>
                <w:sz w:val="18"/>
                <w:szCs w:val="18"/>
              </w:rPr>
              <w:t>200</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79400E09" w14:textId="77777777">
            <w:pPr>
              <w:widowControl/>
              <w:rPr>
                <w:rFonts w:ascii="Calibri" w:hAnsi="Calibri" w:cs="Calibri"/>
                <w:color w:val="000000"/>
                <w:sz w:val="18"/>
                <w:szCs w:val="18"/>
              </w:rPr>
            </w:pPr>
            <w:r w:rsidRPr="0083300C">
              <w:rPr>
                <w:rFonts w:ascii="Calibri" w:hAnsi="Calibri" w:cs="Calibri"/>
                <w:color w:val="000000"/>
                <w:sz w:val="18"/>
                <w:szCs w:val="18"/>
              </w:rPr>
              <w:t>150</w:t>
            </w:r>
          </w:p>
        </w:tc>
        <w:tc>
          <w:tcPr>
            <w:tcW w:w="461" w:type="pct"/>
            <w:tcBorders>
              <w:top w:val="nil"/>
              <w:left w:val="nil"/>
              <w:bottom w:val="single" w:sz="4" w:space="0" w:color="auto"/>
              <w:right w:val="single" w:sz="4" w:space="0" w:color="auto"/>
            </w:tcBorders>
            <w:shd w:val="clear" w:color="auto" w:fill="auto"/>
            <w:vAlign w:val="center"/>
            <w:hideMark/>
          </w:tcPr>
          <w:p w:rsidR="0083300C" w:rsidRPr="0083300C" w:rsidP="0083300C" w14:paraId="2967576C" w14:textId="77777777">
            <w:pPr>
              <w:widowControl/>
              <w:rPr>
                <w:rFonts w:ascii="Calibri" w:hAnsi="Calibri" w:cs="Calibri"/>
                <w:color w:val="000000"/>
                <w:sz w:val="18"/>
                <w:szCs w:val="18"/>
              </w:rPr>
            </w:pPr>
            <w:r w:rsidRPr="0083300C">
              <w:rPr>
                <w:rFonts w:ascii="Calibri" w:hAnsi="Calibri" w:cs="Calibri"/>
                <w:color w:val="000000"/>
                <w:sz w:val="18"/>
                <w:szCs w:val="18"/>
              </w:rPr>
              <w:t>30,000.00</w:t>
            </w:r>
          </w:p>
        </w:tc>
      </w:tr>
      <w:tr w14:paraId="055DDDD6" w14:textId="77777777" w:rsidTr="001723F8">
        <w:tblPrEx>
          <w:tblW w:w="5000" w:type="pct"/>
          <w:tblLayout w:type="fixed"/>
          <w:tblLook w:val="04A0"/>
        </w:tblPrEx>
        <w:trPr>
          <w:trHeight w:val="480"/>
        </w:trPr>
        <w:tc>
          <w:tcPr>
            <w:tcW w:w="802" w:type="pct"/>
            <w:tcBorders>
              <w:top w:val="nil"/>
              <w:left w:val="single" w:sz="4" w:space="0" w:color="auto"/>
              <w:bottom w:val="single" w:sz="4" w:space="0" w:color="auto"/>
              <w:right w:val="single" w:sz="4" w:space="0" w:color="auto"/>
            </w:tcBorders>
            <w:shd w:val="clear" w:color="auto" w:fill="auto"/>
            <w:vAlign w:val="center"/>
          </w:tcPr>
          <w:p w:rsidR="00484FD1" w:rsidRPr="0083300C" w:rsidP="00484FD1" w14:paraId="023DB581" w14:textId="3475E8B9">
            <w:pPr>
              <w:widowControl/>
              <w:rPr>
                <w:rFonts w:ascii="Calibri" w:hAnsi="Calibri" w:cs="Calibri"/>
                <w:color w:val="000000"/>
                <w:sz w:val="18"/>
                <w:szCs w:val="18"/>
              </w:rPr>
            </w:pPr>
            <w:r w:rsidRPr="0083300C">
              <w:rPr>
                <w:rFonts w:ascii="Calibri" w:hAnsi="Calibri" w:cs="Calibri"/>
                <w:color w:val="000000"/>
                <w:sz w:val="18"/>
                <w:szCs w:val="18"/>
              </w:rPr>
              <w:t>Application for Transfer of Quota Share to or from a Community Quota Entity*</w:t>
            </w:r>
          </w:p>
        </w:tc>
        <w:tc>
          <w:tcPr>
            <w:tcW w:w="524" w:type="pct"/>
            <w:tcBorders>
              <w:top w:val="nil"/>
              <w:left w:val="nil"/>
              <w:bottom w:val="single" w:sz="4" w:space="0" w:color="auto"/>
              <w:right w:val="single" w:sz="4" w:space="0" w:color="auto"/>
            </w:tcBorders>
            <w:shd w:val="clear" w:color="auto" w:fill="auto"/>
            <w:vAlign w:val="center"/>
          </w:tcPr>
          <w:p w:rsidR="00484FD1" w:rsidRPr="0083300C" w:rsidP="00484FD1" w14:paraId="1468BD35" w14:textId="2A6DD3A1">
            <w:pPr>
              <w:widowControl/>
              <w:rPr>
                <w:rFonts w:ascii="Calibri" w:hAnsi="Calibri" w:cs="Calibri"/>
                <w:color w:val="000000"/>
                <w:sz w:val="18"/>
                <w:szCs w:val="18"/>
              </w:rPr>
            </w:pPr>
            <w:r w:rsidRPr="0083300C">
              <w:rPr>
                <w:rFonts w:ascii="Calibri" w:hAnsi="Calibri" w:cs="Calibri"/>
                <w:color w:val="000000"/>
                <w:sz w:val="18"/>
                <w:szCs w:val="18"/>
              </w:rPr>
              <w:t>CQE representative and QS holder</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112F4C3B" w14:textId="525C99D5">
            <w:pPr>
              <w:widowControl/>
              <w:rPr>
                <w:rFonts w:ascii="Calibri" w:hAnsi="Calibri" w:cs="Calibri"/>
                <w:color w:val="000000"/>
                <w:sz w:val="18"/>
                <w:szCs w:val="18"/>
              </w:rPr>
            </w:pPr>
            <w:r w:rsidRPr="0083300C">
              <w:rPr>
                <w:rFonts w:ascii="Calibri" w:hAnsi="Calibri" w:cs="Calibri"/>
                <w:color w:val="000000"/>
                <w:sz w:val="18"/>
                <w:szCs w:val="18"/>
              </w:rPr>
              <w:t>10</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5E8C2534" w14:textId="4586721F">
            <w:pPr>
              <w:widowControl/>
              <w:rPr>
                <w:rFonts w:ascii="Calibri" w:hAnsi="Calibri" w:cs="Calibri"/>
                <w:color w:val="000000"/>
                <w:sz w:val="18"/>
                <w:szCs w:val="18"/>
              </w:rPr>
            </w:pPr>
            <w:r w:rsidRPr="0083300C">
              <w:rPr>
                <w:rFonts w:ascii="Calibri" w:hAnsi="Calibri" w:cs="Calibri"/>
                <w:color w:val="000000"/>
                <w:sz w:val="18"/>
                <w:szCs w:val="18"/>
              </w:rPr>
              <w:t>2</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417C2542" w14:textId="51D4DEC3">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52AE35C8" w14:textId="6E72ADF6">
            <w:pPr>
              <w:widowControl/>
              <w:rPr>
                <w:rFonts w:ascii="Calibri" w:hAnsi="Calibri" w:cs="Calibri"/>
                <w:color w:val="000000"/>
                <w:sz w:val="18"/>
                <w:szCs w:val="18"/>
              </w:rPr>
            </w:pPr>
            <w:r w:rsidRPr="0083300C">
              <w:rPr>
                <w:rFonts w:ascii="Calibri" w:hAnsi="Calibri" w:cs="Calibri"/>
                <w:color w:val="000000"/>
                <w:sz w:val="18"/>
                <w:szCs w:val="18"/>
              </w:rPr>
              <w:t>5</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00522D93" w14:textId="4088AF60">
            <w:pPr>
              <w:widowControl/>
              <w:rPr>
                <w:rFonts w:ascii="Calibri" w:hAnsi="Calibri" w:cs="Calibri"/>
                <w:color w:val="000000"/>
                <w:sz w:val="18"/>
                <w:szCs w:val="18"/>
              </w:rPr>
            </w:pPr>
            <w:r w:rsidRPr="0083300C">
              <w:rPr>
                <w:rFonts w:ascii="Calibri" w:hAnsi="Calibri" w:cs="Calibri"/>
                <w:color w:val="000000"/>
                <w:sz w:val="18"/>
                <w:szCs w:val="18"/>
              </w:rPr>
              <w:t>4</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6BAB13CD" w14:textId="56BCDD33">
            <w:pPr>
              <w:widowControl/>
              <w:rPr>
                <w:rFonts w:ascii="Calibri" w:hAnsi="Calibri" w:cs="Calibri"/>
                <w:color w:val="000000"/>
                <w:sz w:val="18"/>
                <w:szCs w:val="18"/>
              </w:rPr>
            </w:pPr>
            <w:r w:rsidRPr="0083300C">
              <w:rPr>
                <w:rFonts w:ascii="Calibri" w:hAnsi="Calibri" w:cs="Calibri"/>
                <w:color w:val="000000"/>
                <w:sz w:val="18"/>
                <w:szCs w:val="18"/>
              </w:rPr>
              <w:t>20</w:t>
            </w:r>
          </w:p>
        </w:tc>
        <w:tc>
          <w:tcPr>
            <w:tcW w:w="459" w:type="pct"/>
            <w:tcBorders>
              <w:top w:val="nil"/>
              <w:left w:val="nil"/>
              <w:bottom w:val="single" w:sz="4" w:space="0" w:color="auto"/>
              <w:right w:val="single" w:sz="4" w:space="0" w:color="auto"/>
            </w:tcBorders>
            <w:shd w:val="clear" w:color="auto" w:fill="auto"/>
            <w:vAlign w:val="center"/>
          </w:tcPr>
          <w:p w:rsidR="00484FD1" w:rsidRPr="0083300C" w:rsidP="00484FD1" w14:paraId="1D23908B" w14:textId="267ED9E0">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tcPr>
          <w:p w:rsidR="00484FD1" w:rsidRPr="0083300C" w:rsidP="00484FD1" w14:paraId="786CEA1A" w14:textId="6B7932E0">
            <w:pPr>
              <w:widowControl/>
              <w:rPr>
                <w:rFonts w:ascii="Calibri" w:hAnsi="Calibri" w:cs="Calibri"/>
                <w:color w:val="000000"/>
                <w:sz w:val="18"/>
                <w:szCs w:val="18"/>
              </w:rPr>
            </w:pPr>
            <w:r w:rsidRPr="0083300C">
              <w:rPr>
                <w:rFonts w:ascii="Calibri" w:hAnsi="Calibri" w:cs="Calibri"/>
                <w:color w:val="000000"/>
                <w:sz w:val="18"/>
                <w:szCs w:val="18"/>
              </w:rPr>
              <w:t>988.80</w:t>
            </w:r>
          </w:p>
        </w:tc>
      </w:tr>
      <w:tr w14:paraId="434F5999" w14:textId="77777777" w:rsidTr="001723F8">
        <w:tblPrEx>
          <w:tblW w:w="5000" w:type="pct"/>
          <w:tblLayout w:type="fixed"/>
          <w:tblLook w:val="04A0"/>
        </w:tblPrEx>
        <w:trPr>
          <w:trHeight w:val="480"/>
        </w:trPr>
        <w:tc>
          <w:tcPr>
            <w:tcW w:w="802" w:type="pct"/>
            <w:tcBorders>
              <w:top w:val="nil"/>
              <w:left w:val="single" w:sz="4" w:space="0" w:color="auto"/>
              <w:bottom w:val="single" w:sz="4" w:space="0" w:color="auto"/>
              <w:right w:val="single" w:sz="4" w:space="0" w:color="auto"/>
            </w:tcBorders>
            <w:shd w:val="clear" w:color="auto" w:fill="auto"/>
            <w:vAlign w:val="center"/>
          </w:tcPr>
          <w:p w:rsidR="00A10B83" w:rsidRPr="0083300C" w:rsidP="00A10B83" w14:paraId="3D678C77" w14:textId="3CEC5798">
            <w:pPr>
              <w:widowControl/>
              <w:rPr>
                <w:rFonts w:ascii="Calibri" w:hAnsi="Calibri" w:cs="Calibri"/>
                <w:color w:val="000000"/>
                <w:sz w:val="18"/>
                <w:szCs w:val="18"/>
              </w:rPr>
            </w:pPr>
            <w:r w:rsidRPr="0083300C">
              <w:rPr>
                <w:rFonts w:ascii="Calibri" w:hAnsi="Calibri" w:cs="Calibri"/>
                <w:color w:val="000000"/>
                <w:sz w:val="18"/>
                <w:szCs w:val="18"/>
              </w:rPr>
              <w:t>Application for a CQE to Receive a Non-trawl Groundfish LLP License</w:t>
            </w:r>
          </w:p>
        </w:tc>
        <w:tc>
          <w:tcPr>
            <w:tcW w:w="524" w:type="pct"/>
            <w:tcBorders>
              <w:top w:val="nil"/>
              <w:left w:val="nil"/>
              <w:bottom w:val="single" w:sz="4" w:space="0" w:color="auto"/>
              <w:right w:val="single" w:sz="4" w:space="0" w:color="auto"/>
            </w:tcBorders>
            <w:shd w:val="clear" w:color="auto" w:fill="auto"/>
            <w:vAlign w:val="center"/>
          </w:tcPr>
          <w:p w:rsidR="00A10B83" w:rsidRPr="0083300C" w:rsidP="00A10B83" w14:paraId="48849556" w14:textId="51E94413">
            <w:pPr>
              <w:widowControl/>
              <w:rPr>
                <w:rFonts w:ascii="Calibri" w:hAnsi="Calibri" w:cs="Calibri"/>
                <w:color w:val="000000"/>
                <w:sz w:val="18"/>
                <w:szCs w:val="18"/>
              </w:rPr>
            </w:pPr>
            <w:r w:rsidRPr="0083300C">
              <w:rPr>
                <w:rFonts w:ascii="Calibri" w:hAnsi="Calibri" w:cs="Calibri"/>
                <w:color w:val="000000"/>
                <w:sz w:val="18"/>
                <w:szCs w:val="18"/>
              </w:rPr>
              <w:t>CQE representative</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2161D17F" w14:textId="7CE56F48">
            <w:pPr>
              <w:widowControl/>
              <w:rPr>
                <w:rFonts w:ascii="Calibri" w:hAnsi="Calibri" w:cs="Calibri"/>
                <w:color w:val="000000"/>
                <w:sz w:val="18"/>
                <w:szCs w:val="18"/>
              </w:rPr>
            </w:pPr>
            <w:r w:rsidRPr="0083300C">
              <w:rPr>
                <w:rFonts w:ascii="Calibri" w:hAnsi="Calibri" w:cs="Calibri"/>
                <w:color w:val="000000"/>
                <w:sz w:val="18"/>
                <w:szCs w:val="18"/>
              </w:rPr>
              <w:t>3</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40AEB307" w14:textId="08EB09F5">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0916EEBC" w14:textId="3BE9A59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4FD157F2" w14:textId="0D82646E">
            <w:pPr>
              <w:widowControl/>
              <w:rPr>
                <w:rFonts w:ascii="Calibri" w:hAnsi="Calibri" w:cs="Calibri"/>
                <w:color w:val="000000"/>
                <w:sz w:val="18"/>
                <w:szCs w:val="18"/>
              </w:rPr>
            </w:pPr>
            <w:r w:rsidRPr="0083300C">
              <w:rPr>
                <w:rFonts w:ascii="Calibri" w:hAnsi="Calibri" w:cs="Calibri"/>
                <w:color w:val="000000"/>
                <w:sz w:val="18"/>
                <w:szCs w:val="18"/>
              </w:rPr>
              <w:t>3</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2D27BADA" w14:textId="5E5389E1">
            <w:pPr>
              <w:widowControl/>
              <w:rPr>
                <w:rFonts w:ascii="Calibri" w:hAnsi="Calibri" w:cs="Calibri"/>
                <w:color w:val="000000"/>
                <w:sz w:val="18"/>
                <w:szCs w:val="18"/>
              </w:rPr>
            </w:pPr>
            <w:r w:rsidRPr="0083300C">
              <w:rPr>
                <w:rFonts w:ascii="Calibri" w:hAnsi="Calibri" w:cs="Calibri"/>
                <w:color w:val="000000"/>
                <w:sz w:val="18"/>
                <w:szCs w:val="18"/>
              </w:rPr>
              <w:t>20</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68381229" w14:textId="45DD663D">
            <w:pPr>
              <w:widowControl/>
              <w:rPr>
                <w:rFonts w:ascii="Calibri" w:hAnsi="Calibri" w:cs="Calibri"/>
                <w:color w:val="000000"/>
                <w:sz w:val="18"/>
                <w:szCs w:val="18"/>
              </w:rPr>
            </w:pPr>
            <w:r w:rsidRPr="0083300C">
              <w:rPr>
                <w:rFonts w:ascii="Calibri" w:hAnsi="Calibri" w:cs="Calibri"/>
                <w:color w:val="000000"/>
                <w:sz w:val="18"/>
                <w:szCs w:val="18"/>
              </w:rPr>
              <w:t>60</w:t>
            </w:r>
          </w:p>
        </w:tc>
        <w:tc>
          <w:tcPr>
            <w:tcW w:w="459" w:type="pct"/>
            <w:tcBorders>
              <w:top w:val="nil"/>
              <w:left w:val="nil"/>
              <w:bottom w:val="single" w:sz="4" w:space="0" w:color="auto"/>
              <w:right w:val="single" w:sz="4" w:space="0" w:color="auto"/>
            </w:tcBorders>
            <w:shd w:val="clear" w:color="auto" w:fill="auto"/>
            <w:vAlign w:val="center"/>
          </w:tcPr>
          <w:p w:rsidR="00A10B83" w:rsidRPr="0083300C" w:rsidP="00A10B83" w14:paraId="4A1DAE59" w14:textId="59A80268">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tcPr>
          <w:p w:rsidR="00A10B83" w:rsidRPr="0083300C" w:rsidP="00A10B83" w14:paraId="6FB6650B" w14:textId="1D713E3A">
            <w:pPr>
              <w:widowControl/>
              <w:rPr>
                <w:rFonts w:ascii="Calibri" w:hAnsi="Calibri" w:cs="Calibri"/>
                <w:color w:val="000000"/>
                <w:sz w:val="18"/>
                <w:szCs w:val="18"/>
              </w:rPr>
            </w:pPr>
            <w:r w:rsidRPr="0083300C">
              <w:rPr>
                <w:rFonts w:ascii="Calibri" w:hAnsi="Calibri" w:cs="Calibri"/>
                <w:color w:val="000000"/>
                <w:sz w:val="18"/>
                <w:szCs w:val="18"/>
              </w:rPr>
              <w:t>2,966.40</w:t>
            </w:r>
          </w:p>
        </w:tc>
      </w:tr>
      <w:tr w14:paraId="78406615" w14:textId="77777777" w:rsidTr="001723F8">
        <w:tblPrEx>
          <w:tblW w:w="5000" w:type="pct"/>
          <w:tblLayout w:type="fixed"/>
          <w:tblLook w:val="04A0"/>
        </w:tblPrEx>
        <w:trPr>
          <w:trHeight w:val="480"/>
        </w:trPr>
        <w:tc>
          <w:tcPr>
            <w:tcW w:w="802" w:type="pct"/>
            <w:tcBorders>
              <w:top w:val="nil"/>
              <w:left w:val="single" w:sz="4" w:space="0" w:color="auto"/>
              <w:bottom w:val="single" w:sz="4" w:space="0" w:color="auto"/>
              <w:right w:val="single" w:sz="4" w:space="0" w:color="auto"/>
            </w:tcBorders>
            <w:shd w:val="clear" w:color="auto" w:fill="auto"/>
            <w:vAlign w:val="center"/>
            <w:hideMark/>
          </w:tcPr>
          <w:p w:rsidR="0083300C" w:rsidRPr="0083300C" w:rsidP="0083300C" w14:paraId="775960B7" w14:textId="77777777">
            <w:pPr>
              <w:widowControl/>
              <w:rPr>
                <w:rFonts w:ascii="Calibri" w:hAnsi="Calibri" w:cs="Calibri"/>
                <w:color w:val="000000"/>
                <w:sz w:val="18"/>
                <w:szCs w:val="18"/>
              </w:rPr>
            </w:pPr>
            <w:r w:rsidRPr="0083300C">
              <w:rPr>
                <w:rFonts w:ascii="Calibri" w:hAnsi="Calibri" w:cs="Calibri"/>
                <w:color w:val="000000"/>
                <w:sz w:val="18"/>
                <w:szCs w:val="18"/>
              </w:rPr>
              <w:t>CQE Annual Report</w:t>
            </w:r>
          </w:p>
        </w:tc>
        <w:tc>
          <w:tcPr>
            <w:tcW w:w="524" w:type="pct"/>
            <w:tcBorders>
              <w:top w:val="nil"/>
              <w:left w:val="nil"/>
              <w:bottom w:val="single" w:sz="4" w:space="0" w:color="auto"/>
              <w:right w:val="single" w:sz="4" w:space="0" w:color="auto"/>
            </w:tcBorders>
            <w:shd w:val="clear" w:color="auto" w:fill="auto"/>
            <w:vAlign w:val="center"/>
            <w:hideMark/>
          </w:tcPr>
          <w:p w:rsidR="0083300C" w:rsidRPr="0083300C" w:rsidP="0083300C" w14:paraId="3AE033CF" w14:textId="77777777">
            <w:pPr>
              <w:widowControl/>
              <w:rPr>
                <w:rFonts w:ascii="Calibri" w:hAnsi="Calibri" w:cs="Calibri"/>
                <w:color w:val="000000"/>
                <w:sz w:val="18"/>
                <w:szCs w:val="18"/>
              </w:rPr>
            </w:pPr>
            <w:r w:rsidRPr="0083300C">
              <w:rPr>
                <w:rFonts w:ascii="Calibri" w:hAnsi="Calibri" w:cs="Calibri"/>
                <w:color w:val="000000"/>
                <w:sz w:val="18"/>
                <w:szCs w:val="18"/>
              </w:rPr>
              <w:t>CQE representative</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6305242" w14:textId="77777777">
            <w:pPr>
              <w:widowControl/>
              <w:rPr>
                <w:rFonts w:ascii="Calibri" w:hAnsi="Calibri" w:cs="Calibri"/>
                <w:color w:val="000000"/>
                <w:sz w:val="18"/>
                <w:szCs w:val="18"/>
              </w:rPr>
            </w:pPr>
            <w:r w:rsidRPr="0083300C">
              <w:rPr>
                <w:rFonts w:ascii="Calibri" w:hAnsi="Calibri" w:cs="Calibri"/>
                <w:color w:val="000000"/>
                <w:sz w:val="18"/>
                <w:szCs w:val="18"/>
              </w:rPr>
              <w:t>23</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6D08172"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802D997"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30625444" w14:textId="77777777">
            <w:pPr>
              <w:widowControl/>
              <w:rPr>
                <w:rFonts w:ascii="Calibri" w:hAnsi="Calibri" w:cs="Calibri"/>
                <w:color w:val="000000"/>
                <w:sz w:val="18"/>
                <w:szCs w:val="18"/>
              </w:rPr>
            </w:pPr>
            <w:r w:rsidRPr="0083300C">
              <w:rPr>
                <w:rFonts w:ascii="Calibri" w:hAnsi="Calibri" w:cs="Calibri"/>
                <w:color w:val="000000"/>
                <w:sz w:val="18"/>
                <w:szCs w:val="18"/>
              </w:rPr>
              <w:t>23</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7478972" w14:textId="77777777">
            <w:pPr>
              <w:widowControl/>
              <w:rPr>
                <w:rFonts w:ascii="Calibri" w:hAnsi="Calibri" w:cs="Calibri"/>
                <w:color w:val="000000"/>
                <w:sz w:val="18"/>
                <w:szCs w:val="18"/>
              </w:rPr>
            </w:pPr>
            <w:r w:rsidRPr="0083300C">
              <w:rPr>
                <w:rFonts w:ascii="Calibri" w:hAnsi="Calibri" w:cs="Calibri"/>
                <w:color w:val="000000"/>
                <w:sz w:val="18"/>
                <w:szCs w:val="18"/>
              </w:rPr>
              <w:t>40</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1E70C4F7" w14:textId="77777777">
            <w:pPr>
              <w:widowControl/>
              <w:rPr>
                <w:rFonts w:ascii="Calibri" w:hAnsi="Calibri" w:cs="Calibri"/>
                <w:color w:val="000000"/>
                <w:sz w:val="18"/>
                <w:szCs w:val="18"/>
              </w:rPr>
            </w:pPr>
            <w:r w:rsidRPr="0083300C">
              <w:rPr>
                <w:rFonts w:ascii="Calibri" w:hAnsi="Calibri" w:cs="Calibri"/>
                <w:color w:val="000000"/>
                <w:sz w:val="18"/>
                <w:szCs w:val="18"/>
              </w:rPr>
              <w:t>920</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6740F672" w14:textId="77777777">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hideMark/>
          </w:tcPr>
          <w:p w:rsidR="0083300C" w:rsidRPr="0083300C" w:rsidP="0083300C" w14:paraId="423B4E87" w14:textId="77777777">
            <w:pPr>
              <w:widowControl/>
              <w:rPr>
                <w:rFonts w:ascii="Calibri" w:hAnsi="Calibri" w:cs="Calibri"/>
                <w:color w:val="000000"/>
                <w:sz w:val="18"/>
                <w:szCs w:val="18"/>
              </w:rPr>
            </w:pPr>
            <w:r w:rsidRPr="0083300C">
              <w:rPr>
                <w:rFonts w:ascii="Calibri" w:hAnsi="Calibri" w:cs="Calibri"/>
                <w:color w:val="000000"/>
                <w:sz w:val="18"/>
                <w:szCs w:val="18"/>
              </w:rPr>
              <w:t>45,484.80</w:t>
            </w:r>
          </w:p>
        </w:tc>
      </w:tr>
      <w:tr w14:paraId="6F3CEA0B" w14:textId="77777777" w:rsidTr="001723F8">
        <w:tblPrEx>
          <w:tblW w:w="5000" w:type="pct"/>
          <w:tblLayout w:type="fixed"/>
          <w:tblLook w:val="04A0"/>
        </w:tblPrEx>
        <w:trPr>
          <w:trHeight w:val="480"/>
        </w:trPr>
        <w:tc>
          <w:tcPr>
            <w:tcW w:w="802" w:type="pct"/>
            <w:tcBorders>
              <w:top w:val="nil"/>
              <w:left w:val="single" w:sz="4" w:space="0" w:color="auto"/>
              <w:bottom w:val="single" w:sz="4" w:space="0" w:color="auto"/>
              <w:right w:val="single" w:sz="4" w:space="0" w:color="auto"/>
            </w:tcBorders>
            <w:shd w:val="clear" w:color="auto" w:fill="auto"/>
            <w:vAlign w:val="center"/>
          </w:tcPr>
          <w:p w:rsidR="00600024" w:rsidRPr="0083300C" w:rsidP="00600024" w14:paraId="2C460B98" w14:textId="7538FC9B">
            <w:pPr>
              <w:widowControl/>
              <w:rPr>
                <w:rFonts w:ascii="Calibri" w:hAnsi="Calibri" w:cs="Calibri"/>
                <w:color w:val="000000"/>
                <w:sz w:val="18"/>
                <w:szCs w:val="18"/>
              </w:rPr>
            </w:pPr>
            <w:r w:rsidRPr="0083300C">
              <w:rPr>
                <w:rFonts w:ascii="Calibri" w:hAnsi="Calibri" w:cs="Calibri"/>
                <w:color w:val="000000"/>
                <w:sz w:val="18"/>
                <w:szCs w:val="18"/>
              </w:rPr>
              <w:t xml:space="preserve">CQE License Limitation Program </w:t>
            </w:r>
            <w:r>
              <w:rPr>
                <w:rFonts w:ascii="Calibri" w:hAnsi="Calibri" w:cs="Calibri"/>
                <w:color w:val="000000"/>
                <w:sz w:val="18"/>
                <w:szCs w:val="18"/>
              </w:rPr>
              <w:t xml:space="preserve">(LLP) </w:t>
            </w:r>
            <w:r w:rsidRPr="0083300C">
              <w:rPr>
                <w:rFonts w:ascii="Calibri" w:hAnsi="Calibri" w:cs="Calibri"/>
                <w:color w:val="000000"/>
                <w:sz w:val="18"/>
                <w:szCs w:val="18"/>
              </w:rPr>
              <w:t xml:space="preserve">Authorization letter </w:t>
            </w:r>
          </w:p>
        </w:tc>
        <w:tc>
          <w:tcPr>
            <w:tcW w:w="524" w:type="pct"/>
            <w:tcBorders>
              <w:top w:val="nil"/>
              <w:left w:val="nil"/>
              <w:bottom w:val="single" w:sz="4" w:space="0" w:color="auto"/>
              <w:right w:val="single" w:sz="4" w:space="0" w:color="auto"/>
            </w:tcBorders>
            <w:shd w:val="clear" w:color="auto" w:fill="auto"/>
            <w:vAlign w:val="center"/>
          </w:tcPr>
          <w:p w:rsidR="00600024" w:rsidRPr="0083300C" w:rsidP="00600024" w14:paraId="163782B0" w14:textId="513F7AD7">
            <w:pPr>
              <w:widowControl/>
              <w:rPr>
                <w:rFonts w:ascii="Calibri" w:hAnsi="Calibri" w:cs="Calibri"/>
                <w:color w:val="000000"/>
                <w:sz w:val="18"/>
                <w:szCs w:val="18"/>
              </w:rPr>
            </w:pPr>
            <w:r w:rsidRPr="0083300C">
              <w:rPr>
                <w:rFonts w:ascii="Calibri" w:hAnsi="Calibri" w:cs="Calibri"/>
                <w:color w:val="000000"/>
                <w:sz w:val="18"/>
                <w:szCs w:val="18"/>
              </w:rPr>
              <w:t>CQE representative</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6A9D63D1" w14:textId="0B585B42">
            <w:pPr>
              <w:widowControl/>
              <w:rPr>
                <w:rFonts w:ascii="Calibri" w:hAnsi="Calibri" w:cs="Calibri"/>
                <w:color w:val="000000"/>
                <w:sz w:val="18"/>
                <w:szCs w:val="18"/>
              </w:rPr>
            </w:pPr>
            <w:r w:rsidRPr="0083300C">
              <w:rPr>
                <w:rFonts w:ascii="Calibri" w:hAnsi="Calibri" w:cs="Calibri"/>
                <w:color w:val="000000"/>
                <w:sz w:val="18"/>
                <w:szCs w:val="18"/>
              </w:rPr>
              <w:t>3</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330B2683" w14:textId="57B19B96">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4DD14468" w14:textId="53AAB490">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703A3B4C" w14:textId="56DDE7CE">
            <w:pPr>
              <w:widowControl/>
              <w:rPr>
                <w:rFonts w:ascii="Calibri" w:hAnsi="Calibri" w:cs="Calibri"/>
                <w:color w:val="000000"/>
                <w:sz w:val="18"/>
                <w:szCs w:val="18"/>
              </w:rPr>
            </w:pPr>
            <w:r w:rsidRPr="0083300C">
              <w:rPr>
                <w:rFonts w:ascii="Calibri" w:hAnsi="Calibri" w:cs="Calibri"/>
                <w:color w:val="000000"/>
                <w:sz w:val="18"/>
                <w:szCs w:val="18"/>
              </w:rPr>
              <w:t>3</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0501B392" w14:textId="1A12AE78">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2D529D51" w14:textId="59BBE2E5">
            <w:pPr>
              <w:widowControl/>
              <w:rPr>
                <w:rFonts w:ascii="Calibri" w:hAnsi="Calibri" w:cs="Calibri"/>
                <w:color w:val="000000"/>
                <w:sz w:val="18"/>
                <w:szCs w:val="18"/>
              </w:rPr>
            </w:pPr>
            <w:r w:rsidRPr="0083300C">
              <w:rPr>
                <w:rFonts w:ascii="Calibri" w:hAnsi="Calibri" w:cs="Calibri"/>
                <w:color w:val="000000"/>
                <w:sz w:val="18"/>
                <w:szCs w:val="18"/>
              </w:rPr>
              <w:t>3</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5569E585" w14:textId="17FC58F7">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tcPr>
          <w:p w:rsidR="00600024" w:rsidRPr="0083300C" w:rsidP="00600024" w14:paraId="5A9708E4" w14:textId="46EDB32D">
            <w:pPr>
              <w:widowControl/>
              <w:rPr>
                <w:rFonts w:ascii="Calibri" w:hAnsi="Calibri" w:cs="Calibri"/>
                <w:color w:val="000000"/>
                <w:sz w:val="18"/>
                <w:szCs w:val="18"/>
              </w:rPr>
            </w:pPr>
            <w:r w:rsidRPr="0083300C">
              <w:rPr>
                <w:rFonts w:ascii="Calibri" w:hAnsi="Calibri" w:cs="Calibri"/>
                <w:color w:val="000000"/>
                <w:sz w:val="18"/>
                <w:szCs w:val="18"/>
              </w:rPr>
              <w:t>148.32</w:t>
            </w:r>
          </w:p>
        </w:tc>
      </w:tr>
      <w:tr w14:paraId="068D3A02" w14:textId="77777777" w:rsidTr="001723F8">
        <w:tblPrEx>
          <w:tblW w:w="5000" w:type="pct"/>
          <w:tblLayout w:type="fixed"/>
          <w:tblLook w:val="04A0"/>
        </w:tblPrEx>
        <w:trPr>
          <w:trHeight w:val="720"/>
        </w:trPr>
        <w:tc>
          <w:tcPr>
            <w:tcW w:w="802" w:type="pct"/>
            <w:tcBorders>
              <w:top w:val="nil"/>
              <w:left w:val="single" w:sz="4" w:space="0" w:color="auto"/>
              <w:bottom w:val="single" w:sz="4" w:space="0" w:color="auto"/>
              <w:right w:val="single" w:sz="4" w:space="0" w:color="auto"/>
            </w:tcBorders>
            <w:shd w:val="clear" w:color="auto" w:fill="auto"/>
            <w:vAlign w:val="center"/>
          </w:tcPr>
          <w:p w:rsidR="00600024" w:rsidRPr="0083300C" w:rsidP="00600024" w14:paraId="6EAD4929" w14:textId="40A7CDD2">
            <w:pPr>
              <w:widowControl/>
              <w:rPr>
                <w:rFonts w:ascii="Calibri" w:hAnsi="Calibri" w:cs="Calibri"/>
                <w:color w:val="000000"/>
                <w:sz w:val="18"/>
                <w:szCs w:val="18"/>
              </w:rPr>
            </w:pPr>
            <w:r w:rsidRPr="0083300C">
              <w:rPr>
                <w:rFonts w:ascii="Calibri" w:hAnsi="Calibri" w:cs="Calibri"/>
                <w:color w:val="000000"/>
                <w:sz w:val="18"/>
                <w:szCs w:val="18"/>
              </w:rPr>
              <w:t>Application for Community Charter Halibut Permit</w:t>
            </w:r>
            <w:r>
              <w:rPr>
                <w:rFonts w:ascii="Calibri" w:hAnsi="Calibri" w:cs="Calibri"/>
                <w:color w:val="000000"/>
                <w:sz w:val="18"/>
                <w:szCs w:val="18"/>
              </w:rPr>
              <w:t xml:space="preserve"> (CCHP)</w:t>
            </w:r>
          </w:p>
        </w:tc>
        <w:tc>
          <w:tcPr>
            <w:tcW w:w="524" w:type="pct"/>
            <w:tcBorders>
              <w:top w:val="nil"/>
              <w:left w:val="nil"/>
              <w:bottom w:val="single" w:sz="4" w:space="0" w:color="auto"/>
              <w:right w:val="single" w:sz="4" w:space="0" w:color="auto"/>
            </w:tcBorders>
            <w:shd w:val="clear" w:color="auto" w:fill="auto"/>
            <w:vAlign w:val="center"/>
          </w:tcPr>
          <w:p w:rsidR="00600024" w:rsidRPr="0083300C" w:rsidP="00600024" w14:paraId="08DCAA07" w14:textId="008FD28D">
            <w:pPr>
              <w:widowControl/>
              <w:rPr>
                <w:rFonts w:ascii="Calibri" w:hAnsi="Calibri" w:cs="Calibri"/>
                <w:color w:val="000000"/>
                <w:sz w:val="18"/>
                <w:szCs w:val="18"/>
              </w:rPr>
            </w:pPr>
            <w:r w:rsidRPr="0083300C">
              <w:rPr>
                <w:rFonts w:ascii="Calibri" w:hAnsi="Calibri" w:cs="Calibri"/>
                <w:color w:val="000000"/>
                <w:sz w:val="18"/>
                <w:szCs w:val="18"/>
              </w:rPr>
              <w:t>CQE representative</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14737309" w14:textId="288D15DC">
            <w:pPr>
              <w:widowControl/>
              <w:rPr>
                <w:rFonts w:ascii="Calibri" w:hAnsi="Calibri" w:cs="Calibri"/>
                <w:color w:val="000000"/>
                <w:sz w:val="18"/>
                <w:szCs w:val="18"/>
              </w:rPr>
            </w:pPr>
            <w:r w:rsidRPr="0083300C">
              <w:rPr>
                <w:rFonts w:ascii="Calibri" w:hAnsi="Calibri" w:cs="Calibri"/>
                <w:color w:val="000000"/>
                <w:sz w:val="18"/>
                <w:szCs w:val="18"/>
              </w:rPr>
              <w:t>0</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2C10E55B" w14:textId="478C59F6">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1F3B99AB" w14:textId="6E640AD1">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4C830525" w14:textId="0EFFF15C">
            <w:pPr>
              <w:widowControl/>
              <w:rPr>
                <w:rFonts w:ascii="Calibri" w:hAnsi="Calibri" w:cs="Calibri"/>
                <w:color w:val="000000"/>
                <w:sz w:val="18"/>
                <w:szCs w:val="18"/>
              </w:rPr>
            </w:pPr>
            <w:r w:rsidRPr="0083300C">
              <w:rPr>
                <w:rFonts w:ascii="Calibri" w:hAnsi="Calibri" w:cs="Calibri"/>
                <w:color w:val="000000"/>
                <w:sz w:val="18"/>
                <w:szCs w:val="18"/>
              </w:rPr>
              <w:t>0</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596935FB" w14:textId="0BDB0C99">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3448BA59" w14:textId="6D7F0991">
            <w:pPr>
              <w:widowControl/>
              <w:rPr>
                <w:rFonts w:ascii="Calibri" w:hAnsi="Calibri" w:cs="Calibri"/>
                <w:color w:val="000000"/>
                <w:sz w:val="18"/>
                <w:szCs w:val="18"/>
              </w:rPr>
            </w:pPr>
            <w:r w:rsidRPr="0083300C">
              <w:rPr>
                <w:rFonts w:ascii="Calibri" w:hAnsi="Calibri" w:cs="Calibri"/>
                <w:color w:val="000000"/>
                <w:sz w:val="18"/>
                <w:szCs w:val="18"/>
              </w:rPr>
              <w:t>0</w:t>
            </w:r>
          </w:p>
        </w:tc>
        <w:tc>
          <w:tcPr>
            <w:tcW w:w="459" w:type="pct"/>
            <w:tcBorders>
              <w:top w:val="nil"/>
              <w:left w:val="nil"/>
              <w:bottom w:val="single" w:sz="4" w:space="0" w:color="auto"/>
              <w:right w:val="single" w:sz="4" w:space="0" w:color="auto"/>
            </w:tcBorders>
            <w:shd w:val="clear" w:color="auto" w:fill="auto"/>
            <w:vAlign w:val="center"/>
          </w:tcPr>
          <w:p w:rsidR="00600024" w:rsidRPr="0083300C" w:rsidP="00600024" w14:paraId="6521ABD7" w14:textId="3D9F0486">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tcPr>
          <w:p w:rsidR="00600024" w:rsidRPr="0083300C" w:rsidP="00600024" w14:paraId="57CA4A32" w14:textId="187D6478">
            <w:pPr>
              <w:widowControl/>
              <w:rPr>
                <w:rFonts w:ascii="Calibri" w:hAnsi="Calibri" w:cs="Calibri"/>
                <w:color w:val="000000"/>
                <w:sz w:val="18"/>
                <w:szCs w:val="18"/>
              </w:rPr>
            </w:pPr>
            <w:r w:rsidRPr="0083300C">
              <w:rPr>
                <w:rFonts w:ascii="Calibri" w:hAnsi="Calibri" w:cs="Calibri"/>
                <w:color w:val="000000"/>
                <w:sz w:val="18"/>
                <w:szCs w:val="18"/>
              </w:rPr>
              <w:t>0.00</w:t>
            </w:r>
          </w:p>
        </w:tc>
      </w:tr>
      <w:tr w14:paraId="7E38834B" w14:textId="77777777" w:rsidTr="001723F8">
        <w:tblPrEx>
          <w:tblW w:w="5000" w:type="pct"/>
          <w:tblLayout w:type="fixed"/>
          <w:tblLook w:val="04A0"/>
        </w:tblPrEx>
        <w:trPr>
          <w:trHeight w:val="720"/>
        </w:trPr>
        <w:tc>
          <w:tcPr>
            <w:tcW w:w="802" w:type="pct"/>
            <w:tcBorders>
              <w:top w:val="nil"/>
              <w:left w:val="single" w:sz="4" w:space="0" w:color="auto"/>
              <w:bottom w:val="single" w:sz="4" w:space="0" w:color="auto"/>
              <w:right w:val="single" w:sz="4" w:space="0" w:color="auto"/>
            </w:tcBorders>
            <w:shd w:val="clear" w:color="auto" w:fill="auto"/>
            <w:vAlign w:val="center"/>
          </w:tcPr>
          <w:p w:rsidR="00D23753" w:rsidRPr="0083300C" w:rsidP="00D23753" w14:paraId="5AB14119" w14:textId="503F4D51">
            <w:pPr>
              <w:widowControl/>
              <w:rPr>
                <w:rFonts w:ascii="Calibri" w:hAnsi="Calibri" w:cs="Calibri"/>
                <w:color w:val="000000"/>
                <w:sz w:val="18"/>
                <w:szCs w:val="18"/>
              </w:rPr>
            </w:pPr>
            <w:r w:rsidRPr="0083300C">
              <w:rPr>
                <w:rFonts w:ascii="Calibri" w:hAnsi="Calibri" w:cs="Calibri"/>
                <w:color w:val="000000"/>
                <w:sz w:val="18"/>
                <w:szCs w:val="18"/>
              </w:rPr>
              <w:t xml:space="preserve">Application for Transfer (Lease) Between IFQ and </w:t>
            </w:r>
            <w:r w:rsidRPr="0083300C">
              <w:rPr>
                <w:rFonts w:ascii="Calibri" w:hAnsi="Calibri" w:cs="Calibri"/>
                <w:color w:val="000000"/>
                <w:sz w:val="18"/>
                <w:szCs w:val="18"/>
              </w:rPr>
              <w:t>Guided Angler Fish by a Community Quota Entity (CQE)*</w:t>
            </w:r>
          </w:p>
        </w:tc>
        <w:tc>
          <w:tcPr>
            <w:tcW w:w="524" w:type="pct"/>
            <w:tcBorders>
              <w:top w:val="nil"/>
              <w:left w:val="nil"/>
              <w:bottom w:val="single" w:sz="4" w:space="0" w:color="auto"/>
              <w:right w:val="single" w:sz="4" w:space="0" w:color="auto"/>
            </w:tcBorders>
            <w:shd w:val="clear" w:color="auto" w:fill="auto"/>
            <w:vAlign w:val="center"/>
          </w:tcPr>
          <w:p w:rsidR="00D23753" w:rsidRPr="0083300C" w:rsidP="00D23753" w14:paraId="5D1B534B" w14:textId="2785EF13">
            <w:pPr>
              <w:widowControl/>
              <w:rPr>
                <w:rFonts w:ascii="Calibri" w:hAnsi="Calibri" w:cs="Calibri"/>
                <w:color w:val="000000"/>
                <w:sz w:val="18"/>
                <w:szCs w:val="18"/>
              </w:rPr>
            </w:pPr>
            <w:r w:rsidRPr="0083300C">
              <w:rPr>
                <w:rFonts w:ascii="Calibri" w:hAnsi="Calibri" w:cs="Calibri"/>
                <w:color w:val="000000"/>
                <w:sz w:val="18"/>
                <w:szCs w:val="18"/>
              </w:rPr>
              <w:t>CQE representative and CHP holder</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7C573DB5" w14:textId="58316CCA">
            <w:pPr>
              <w:widowControl/>
              <w:rPr>
                <w:rFonts w:ascii="Calibri" w:hAnsi="Calibri" w:cs="Calibri"/>
                <w:color w:val="000000"/>
                <w:sz w:val="18"/>
                <w:szCs w:val="18"/>
              </w:rPr>
            </w:pPr>
            <w:r w:rsidRPr="0083300C">
              <w:rPr>
                <w:rFonts w:ascii="Calibri" w:hAnsi="Calibri" w:cs="Calibri"/>
                <w:color w:val="000000"/>
                <w:sz w:val="18"/>
                <w:szCs w:val="18"/>
              </w:rPr>
              <w:t>30</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39E74450" w14:textId="7B2766C2">
            <w:pPr>
              <w:widowControl/>
              <w:rPr>
                <w:rFonts w:ascii="Calibri" w:hAnsi="Calibri" w:cs="Calibri"/>
                <w:color w:val="000000"/>
                <w:sz w:val="18"/>
                <w:szCs w:val="18"/>
              </w:rPr>
            </w:pPr>
            <w:r w:rsidRPr="0083300C">
              <w:rPr>
                <w:rFonts w:ascii="Calibri" w:hAnsi="Calibri" w:cs="Calibri"/>
                <w:color w:val="000000"/>
                <w:sz w:val="18"/>
                <w:szCs w:val="18"/>
              </w:rPr>
              <w:t>2</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783478C4" w14:textId="319E1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1009F0E4" w14:textId="18F6F4CB">
            <w:pPr>
              <w:widowControl/>
              <w:rPr>
                <w:rFonts w:ascii="Calibri" w:hAnsi="Calibri" w:cs="Calibri"/>
                <w:color w:val="000000"/>
                <w:sz w:val="18"/>
                <w:szCs w:val="18"/>
              </w:rPr>
            </w:pPr>
            <w:r w:rsidRPr="0083300C">
              <w:rPr>
                <w:rFonts w:ascii="Calibri" w:hAnsi="Calibri" w:cs="Calibri"/>
                <w:color w:val="000000"/>
                <w:sz w:val="18"/>
                <w:szCs w:val="18"/>
              </w:rPr>
              <w:t>15</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686B0DB4" w14:textId="5519CAF0">
            <w:pPr>
              <w:widowControl/>
              <w:rPr>
                <w:rFonts w:ascii="Calibri" w:hAnsi="Calibri" w:cs="Calibri"/>
                <w:color w:val="000000"/>
                <w:sz w:val="18"/>
                <w:szCs w:val="18"/>
              </w:rPr>
            </w:pPr>
            <w:r w:rsidRPr="0083300C">
              <w:rPr>
                <w:rFonts w:ascii="Calibri" w:hAnsi="Calibri" w:cs="Calibri"/>
                <w:color w:val="000000"/>
                <w:sz w:val="18"/>
                <w:szCs w:val="18"/>
              </w:rPr>
              <w:t>4</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6DF9990A" w14:textId="598B460F">
            <w:pPr>
              <w:widowControl/>
              <w:rPr>
                <w:rFonts w:ascii="Calibri" w:hAnsi="Calibri" w:cs="Calibri"/>
                <w:color w:val="000000"/>
                <w:sz w:val="18"/>
                <w:szCs w:val="18"/>
              </w:rPr>
            </w:pPr>
            <w:r w:rsidRPr="0083300C">
              <w:rPr>
                <w:rFonts w:ascii="Calibri" w:hAnsi="Calibri" w:cs="Calibri"/>
                <w:color w:val="000000"/>
                <w:sz w:val="18"/>
                <w:szCs w:val="18"/>
              </w:rPr>
              <w:t>60</w:t>
            </w:r>
          </w:p>
        </w:tc>
        <w:tc>
          <w:tcPr>
            <w:tcW w:w="459" w:type="pct"/>
            <w:tcBorders>
              <w:top w:val="nil"/>
              <w:left w:val="nil"/>
              <w:bottom w:val="single" w:sz="4" w:space="0" w:color="auto"/>
              <w:right w:val="single" w:sz="4" w:space="0" w:color="auto"/>
            </w:tcBorders>
            <w:shd w:val="clear" w:color="auto" w:fill="auto"/>
            <w:vAlign w:val="center"/>
          </w:tcPr>
          <w:p w:rsidR="00D23753" w:rsidRPr="0083300C" w:rsidP="00D23753" w14:paraId="1B710EFE" w14:textId="4F0B845E">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tcPr>
          <w:p w:rsidR="00D23753" w:rsidRPr="0083300C" w:rsidP="00D23753" w14:paraId="5B58F193" w14:textId="07E1D89A">
            <w:pPr>
              <w:widowControl/>
              <w:rPr>
                <w:rFonts w:ascii="Calibri" w:hAnsi="Calibri" w:cs="Calibri"/>
                <w:color w:val="000000"/>
                <w:sz w:val="18"/>
                <w:szCs w:val="18"/>
              </w:rPr>
            </w:pPr>
            <w:r w:rsidRPr="0083300C">
              <w:rPr>
                <w:rFonts w:ascii="Calibri" w:hAnsi="Calibri" w:cs="Calibri"/>
                <w:color w:val="000000"/>
                <w:sz w:val="18"/>
                <w:szCs w:val="18"/>
              </w:rPr>
              <w:t>2,966.40</w:t>
            </w:r>
          </w:p>
        </w:tc>
      </w:tr>
      <w:tr w14:paraId="0DEBCBC0" w14:textId="77777777" w:rsidTr="001723F8">
        <w:tblPrEx>
          <w:tblW w:w="5000" w:type="pct"/>
          <w:tblLayout w:type="fixed"/>
          <w:tblLook w:val="04A0"/>
        </w:tblPrEx>
        <w:trPr>
          <w:trHeight w:val="720"/>
        </w:trPr>
        <w:tc>
          <w:tcPr>
            <w:tcW w:w="802" w:type="pct"/>
            <w:tcBorders>
              <w:top w:val="nil"/>
              <w:left w:val="single" w:sz="4" w:space="0" w:color="auto"/>
              <w:bottom w:val="single" w:sz="4" w:space="0" w:color="auto"/>
              <w:right w:val="single" w:sz="4" w:space="0" w:color="auto"/>
            </w:tcBorders>
            <w:shd w:val="clear" w:color="auto" w:fill="auto"/>
            <w:vAlign w:val="center"/>
            <w:hideMark/>
          </w:tcPr>
          <w:p w:rsidR="0083300C" w:rsidRPr="0083300C" w:rsidP="0083300C" w14:paraId="58F7E263" w14:textId="77777777">
            <w:pPr>
              <w:widowControl/>
              <w:rPr>
                <w:rFonts w:ascii="Calibri" w:hAnsi="Calibri" w:cs="Calibri"/>
                <w:color w:val="000000"/>
                <w:sz w:val="18"/>
                <w:szCs w:val="18"/>
              </w:rPr>
            </w:pPr>
            <w:r w:rsidRPr="0083300C">
              <w:rPr>
                <w:rFonts w:ascii="Calibri" w:hAnsi="Calibri" w:cs="Calibri"/>
                <w:color w:val="000000"/>
                <w:sz w:val="18"/>
                <w:szCs w:val="18"/>
              </w:rPr>
              <w:t>Application for a CQE to Transfer IFQ to an Eligible Community Resident or Non-resident*</w:t>
            </w:r>
          </w:p>
        </w:tc>
        <w:tc>
          <w:tcPr>
            <w:tcW w:w="524" w:type="pct"/>
            <w:tcBorders>
              <w:top w:val="nil"/>
              <w:left w:val="nil"/>
              <w:bottom w:val="single" w:sz="4" w:space="0" w:color="auto"/>
              <w:right w:val="single" w:sz="4" w:space="0" w:color="auto"/>
            </w:tcBorders>
            <w:shd w:val="clear" w:color="auto" w:fill="auto"/>
            <w:vAlign w:val="center"/>
            <w:hideMark/>
          </w:tcPr>
          <w:p w:rsidR="0083300C" w:rsidRPr="0083300C" w:rsidP="0083300C" w14:paraId="38B4D4BF" w14:textId="77777777">
            <w:pPr>
              <w:widowControl/>
              <w:rPr>
                <w:rFonts w:ascii="Calibri" w:hAnsi="Calibri" w:cs="Calibri"/>
                <w:color w:val="000000"/>
                <w:sz w:val="18"/>
                <w:szCs w:val="18"/>
              </w:rPr>
            </w:pPr>
            <w:r w:rsidRPr="0083300C">
              <w:rPr>
                <w:rFonts w:ascii="Calibri" w:hAnsi="Calibri" w:cs="Calibri"/>
                <w:color w:val="000000"/>
                <w:sz w:val="18"/>
                <w:szCs w:val="18"/>
              </w:rPr>
              <w:t>CQE representative and Transferee</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0C5262A1" w14:textId="77777777">
            <w:pPr>
              <w:widowControl/>
              <w:rPr>
                <w:rFonts w:ascii="Calibri" w:hAnsi="Calibri" w:cs="Calibri"/>
                <w:color w:val="000000"/>
                <w:sz w:val="18"/>
                <w:szCs w:val="18"/>
              </w:rPr>
            </w:pPr>
            <w:r w:rsidRPr="0083300C">
              <w:rPr>
                <w:rFonts w:ascii="Calibri" w:hAnsi="Calibri" w:cs="Calibri"/>
                <w:color w:val="000000"/>
                <w:sz w:val="18"/>
                <w:szCs w:val="18"/>
              </w:rPr>
              <w:t>46</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F9E79A7" w14:textId="77777777">
            <w:pPr>
              <w:widowControl/>
              <w:rPr>
                <w:rFonts w:ascii="Calibri" w:hAnsi="Calibri" w:cs="Calibri"/>
                <w:color w:val="000000"/>
                <w:sz w:val="18"/>
                <w:szCs w:val="18"/>
              </w:rPr>
            </w:pPr>
            <w:r w:rsidRPr="0083300C">
              <w:rPr>
                <w:rFonts w:ascii="Calibri" w:hAnsi="Calibri" w:cs="Calibri"/>
                <w:color w:val="000000"/>
                <w:sz w:val="18"/>
                <w:szCs w:val="18"/>
              </w:rPr>
              <w:t>2</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0DADDA3B" w14:textId="77777777">
            <w:pPr>
              <w:widowControl/>
              <w:rPr>
                <w:rFonts w:ascii="Calibri" w:hAnsi="Calibri" w:cs="Calibri"/>
                <w:color w:val="000000"/>
                <w:sz w:val="18"/>
                <w:szCs w:val="18"/>
              </w:rPr>
            </w:pPr>
            <w:r w:rsidRPr="0083300C">
              <w:rPr>
                <w:rFonts w:ascii="Calibri" w:hAnsi="Calibri" w:cs="Calibri"/>
                <w:color w:val="000000"/>
                <w:sz w:val="18"/>
                <w:szCs w:val="18"/>
              </w:rPr>
              <w:t>1</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6199C5C0" w14:textId="77777777">
            <w:pPr>
              <w:widowControl/>
              <w:rPr>
                <w:rFonts w:ascii="Calibri" w:hAnsi="Calibri" w:cs="Calibri"/>
                <w:color w:val="000000"/>
                <w:sz w:val="18"/>
                <w:szCs w:val="18"/>
              </w:rPr>
            </w:pPr>
            <w:r w:rsidRPr="0083300C">
              <w:rPr>
                <w:rFonts w:ascii="Calibri" w:hAnsi="Calibri" w:cs="Calibri"/>
                <w:color w:val="000000"/>
                <w:sz w:val="18"/>
                <w:szCs w:val="18"/>
              </w:rPr>
              <w:t>23</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6344390E" w14:textId="77777777">
            <w:pPr>
              <w:widowControl/>
              <w:rPr>
                <w:rFonts w:ascii="Calibri" w:hAnsi="Calibri" w:cs="Calibri"/>
                <w:color w:val="000000"/>
                <w:sz w:val="18"/>
                <w:szCs w:val="18"/>
              </w:rPr>
            </w:pPr>
            <w:r w:rsidRPr="0083300C">
              <w:rPr>
                <w:rFonts w:ascii="Calibri" w:hAnsi="Calibri" w:cs="Calibri"/>
                <w:color w:val="000000"/>
                <w:sz w:val="18"/>
                <w:szCs w:val="18"/>
              </w:rPr>
              <w:t>4</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4B4DB3EA" w14:textId="77777777">
            <w:pPr>
              <w:widowControl/>
              <w:rPr>
                <w:rFonts w:ascii="Calibri" w:hAnsi="Calibri" w:cs="Calibri"/>
                <w:color w:val="000000"/>
                <w:sz w:val="18"/>
                <w:szCs w:val="18"/>
              </w:rPr>
            </w:pPr>
            <w:r w:rsidRPr="0083300C">
              <w:rPr>
                <w:rFonts w:ascii="Calibri" w:hAnsi="Calibri" w:cs="Calibri"/>
                <w:color w:val="000000"/>
                <w:sz w:val="18"/>
                <w:szCs w:val="18"/>
              </w:rPr>
              <w:t>92</w:t>
            </w:r>
          </w:p>
        </w:tc>
        <w:tc>
          <w:tcPr>
            <w:tcW w:w="459" w:type="pct"/>
            <w:tcBorders>
              <w:top w:val="nil"/>
              <w:left w:val="nil"/>
              <w:bottom w:val="single" w:sz="4" w:space="0" w:color="auto"/>
              <w:right w:val="single" w:sz="4" w:space="0" w:color="auto"/>
            </w:tcBorders>
            <w:shd w:val="clear" w:color="auto" w:fill="auto"/>
            <w:vAlign w:val="center"/>
            <w:hideMark/>
          </w:tcPr>
          <w:p w:rsidR="0083300C" w:rsidRPr="0083300C" w:rsidP="0083300C" w14:paraId="7EFBEC13" w14:textId="77777777">
            <w:pPr>
              <w:widowControl/>
              <w:rPr>
                <w:rFonts w:ascii="Calibri" w:hAnsi="Calibri" w:cs="Calibri"/>
                <w:color w:val="000000"/>
                <w:sz w:val="18"/>
                <w:szCs w:val="18"/>
              </w:rPr>
            </w:pPr>
            <w:r w:rsidRPr="0083300C">
              <w:rPr>
                <w:rFonts w:ascii="Calibri" w:hAnsi="Calibri" w:cs="Calibri"/>
                <w:color w:val="000000"/>
                <w:sz w:val="18"/>
                <w:szCs w:val="18"/>
              </w:rPr>
              <w:t>49.44</w:t>
            </w:r>
          </w:p>
        </w:tc>
        <w:tc>
          <w:tcPr>
            <w:tcW w:w="461" w:type="pct"/>
            <w:tcBorders>
              <w:top w:val="nil"/>
              <w:left w:val="nil"/>
              <w:bottom w:val="single" w:sz="4" w:space="0" w:color="auto"/>
              <w:right w:val="single" w:sz="4" w:space="0" w:color="auto"/>
            </w:tcBorders>
            <w:shd w:val="clear" w:color="auto" w:fill="auto"/>
            <w:vAlign w:val="center"/>
            <w:hideMark/>
          </w:tcPr>
          <w:p w:rsidR="0083300C" w:rsidRPr="0083300C" w:rsidP="0083300C" w14:paraId="219C8D77" w14:textId="77777777">
            <w:pPr>
              <w:widowControl/>
              <w:rPr>
                <w:rFonts w:ascii="Calibri" w:hAnsi="Calibri" w:cs="Calibri"/>
                <w:color w:val="000000"/>
                <w:sz w:val="18"/>
                <w:szCs w:val="18"/>
              </w:rPr>
            </w:pPr>
            <w:r w:rsidRPr="0083300C">
              <w:rPr>
                <w:rFonts w:ascii="Calibri" w:hAnsi="Calibri" w:cs="Calibri"/>
                <w:color w:val="000000"/>
                <w:sz w:val="18"/>
                <w:szCs w:val="18"/>
              </w:rPr>
              <w:t>4,548.48</w:t>
            </w:r>
          </w:p>
        </w:tc>
      </w:tr>
      <w:tr w14:paraId="4AF9F5FB" w14:textId="77777777" w:rsidTr="001723F8">
        <w:tblPrEx>
          <w:tblW w:w="5000" w:type="pct"/>
          <w:tblLayout w:type="fixed"/>
          <w:tblLook w:val="04A0"/>
        </w:tblPrEx>
        <w:trPr>
          <w:trHeight w:val="288"/>
        </w:trPr>
        <w:tc>
          <w:tcPr>
            <w:tcW w:w="802" w:type="pct"/>
            <w:tcBorders>
              <w:top w:val="nil"/>
              <w:left w:val="single" w:sz="4" w:space="0" w:color="auto"/>
              <w:bottom w:val="single" w:sz="4" w:space="0" w:color="auto"/>
              <w:right w:val="single" w:sz="4" w:space="0" w:color="auto"/>
            </w:tcBorders>
            <w:shd w:val="clear" w:color="000000" w:fill="DDEBF7"/>
            <w:vAlign w:val="center"/>
            <w:hideMark/>
          </w:tcPr>
          <w:p w:rsidR="0083300C" w:rsidRPr="0083300C" w:rsidP="0083300C" w14:paraId="55DA4D6B" w14:textId="77777777">
            <w:pPr>
              <w:widowControl/>
              <w:rPr>
                <w:rFonts w:ascii="Calibri" w:hAnsi="Calibri" w:cs="Calibri"/>
                <w:b/>
                <w:bCs/>
                <w:color w:val="000000"/>
                <w:sz w:val="18"/>
                <w:szCs w:val="18"/>
              </w:rPr>
            </w:pPr>
            <w:r w:rsidRPr="0083300C">
              <w:rPr>
                <w:rFonts w:ascii="Calibri" w:hAnsi="Calibri" w:cs="Calibri"/>
                <w:b/>
                <w:bCs/>
                <w:color w:val="000000"/>
                <w:sz w:val="18"/>
                <w:szCs w:val="18"/>
              </w:rPr>
              <w:t>TOTALS</w:t>
            </w:r>
          </w:p>
        </w:tc>
        <w:tc>
          <w:tcPr>
            <w:tcW w:w="524" w:type="pct"/>
            <w:tcBorders>
              <w:top w:val="nil"/>
              <w:left w:val="nil"/>
              <w:bottom w:val="single" w:sz="4" w:space="0" w:color="auto"/>
              <w:right w:val="single" w:sz="4" w:space="0" w:color="auto"/>
            </w:tcBorders>
            <w:shd w:val="clear" w:color="000000" w:fill="000000"/>
            <w:vAlign w:val="center"/>
            <w:hideMark/>
          </w:tcPr>
          <w:p w:rsidR="0083300C" w:rsidRPr="0083300C" w:rsidP="0083300C" w14:paraId="32D8D831"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59" w:type="pct"/>
            <w:tcBorders>
              <w:top w:val="nil"/>
              <w:left w:val="nil"/>
              <w:bottom w:val="single" w:sz="4" w:space="0" w:color="auto"/>
              <w:right w:val="single" w:sz="4" w:space="0" w:color="auto"/>
            </w:tcBorders>
            <w:shd w:val="clear" w:color="000000" w:fill="000000"/>
            <w:vAlign w:val="center"/>
            <w:hideMark/>
          </w:tcPr>
          <w:p w:rsidR="0083300C" w:rsidRPr="0083300C" w:rsidP="0083300C" w14:paraId="43EA8CDE"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59" w:type="pct"/>
            <w:tcBorders>
              <w:top w:val="nil"/>
              <w:left w:val="nil"/>
              <w:bottom w:val="single" w:sz="4" w:space="0" w:color="auto"/>
              <w:right w:val="single" w:sz="4" w:space="0" w:color="auto"/>
            </w:tcBorders>
            <w:shd w:val="clear" w:color="000000" w:fill="000000"/>
            <w:vAlign w:val="center"/>
            <w:hideMark/>
          </w:tcPr>
          <w:p w:rsidR="0083300C" w:rsidRPr="0083300C" w:rsidP="0083300C" w14:paraId="182AFBEA"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59" w:type="pct"/>
            <w:tcBorders>
              <w:top w:val="nil"/>
              <w:left w:val="nil"/>
              <w:bottom w:val="single" w:sz="4" w:space="0" w:color="auto"/>
              <w:right w:val="single" w:sz="4" w:space="0" w:color="auto"/>
            </w:tcBorders>
            <w:shd w:val="clear" w:color="000000" w:fill="000000"/>
            <w:vAlign w:val="center"/>
            <w:hideMark/>
          </w:tcPr>
          <w:p w:rsidR="0083300C" w:rsidRPr="0083300C" w:rsidP="0083300C" w14:paraId="440EFCA0"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59" w:type="pct"/>
            <w:tcBorders>
              <w:top w:val="nil"/>
              <w:left w:val="nil"/>
              <w:bottom w:val="single" w:sz="4" w:space="0" w:color="auto"/>
              <w:right w:val="single" w:sz="4" w:space="0" w:color="auto"/>
            </w:tcBorders>
            <w:shd w:val="clear" w:color="000000" w:fill="DBE5F1"/>
            <w:vAlign w:val="center"/>
            <w:hideMark/>
          </w:tcPr>
          <w:p w:rsidR="0083300C" w:rsidRPr="0083300C" w:rsidP="0083300C" w14:paraId="0DFE5DF2" w14:textId="77777777">
            <w:pPr>
              <w:widowControl/>
              <w:rPr>
                <w:rFonts w:ascii="Calibri" w:hAnsi="Calibri" w:cs="Calibri"/>
                <w:b/>
                <w:bCs/>
                <w:color w:val="000000"/>
                <w:sz w:val="18"/>
                <w:szCs w:val="18"/>
              </w:rPr>
            </w:pPr>
            <w:r w:rsidRPr="0083300C">
              <w:rPr>
                <w:rFonts w:ascii="Calibri" w:hAnsi="Calibri" w:cs="Calibri"/>
                <w:b/>
                <w:bCs/>
                <w:color w:val="000000"/>
                <w:sz w:val="18"/>
                <w:szCs w:val="18"/>
              </w:rPr>
              <w:t>73</w:t>
            </w:r>
          </w:p>
        </w:tc>
        <w:tc>
          <w:tcPr>
            <w:tcW w:w="459" w:type="pct"/>
            <w:tcBorders>
              <w:top w:val="nil"/>
              <w:left w:val="nil"/>
              <w:bottom w:val="single" w:sz="4" w:space="0" w:color="auto"/>
              <w:right w:val="single" w:sz="4" w:space="0" w:color="auto"/>
            </w:tcBorders>
            <w:shd w:val="clear" w:color="000000" w:fill="000000"/>
            <w:vAlign w:val="center"/>
            <w:hideMark/>
          </w:tcPr>
          <w:p w:rsidR="0083300C" w:rsidRPr="0083300C" w:rsidP="0083300C" w14:paraId="7266BBE4"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59" w:type="pct"/>
            <w:tcBorders>
              <w:top w:val="nil"/>
              <w:left w:val="nil"/>
              <w:bottom w:val="single" w:sz="4" w:space="0" w:color="auto"/>
              <w:right w:val="single" w:sz="4" w:space="0" w:color="auto"/>
            </w:tcBorders>
            <w:shd w:val="clear" w:color="000000" w:fill="DDEBF7"/>
            <w:vAlign w:val="center"/>
            <w:hideMark/>
          </w:tcPr>
          <w:p w:rsidR="0083300C" w:rsidRPr="0083300C" w:rsidP="0083300C" w14:paraId="6A4315C2" w14:textId="77777777">
            <w:pPr>
              <w:widowControl/>
              <w:rPr>
                <w:rFonts w:ascii="Calibri" w:hAnsi="Calibri" w:cs="Calibri"/>
                <w:b/>
                <w:bCs/>
                <w:color w:val="000000"/>
                <w:sz w:val="18"/>
                <w:szCs w:val="18"/>
              </w:rPr>
            </w:pPr>
            <w:r w:rsidRPr="0083300C">
              <w:rPr>
                <w:rFonts w:ascii="Calibri" w:hAnsi="Calibri" w:cs="Calibri"/>
                <w:b/>
                <w:bCs/>
                <w:color w:val="000000"/>
                <w:sz w:val="18"/>
                <w:szCs w:val="18"/>
              </w:rPr>
              <w:t>1,355</w:t>
            </w:r>
          </w:p>
        </w:tc>
        <w:tc>
          <w:tcPr>
            <w:tcW w:w="459" w:type="pct"/>
            <w:tcBorders>
              <w:top w:val="nil"/>
              <w:left w:val="nil"/>
              <w:bottom w:val="single" w:sz="4" w:space="0" w:color="auto"/>
              <w:right w:val="single" w:sz="4" w:space="0" w:color="auto"/>
            </w:tcBorders>
            <w:shd w:val="clear" w:color="000000" w:fill="000000"/>
            <w:vAlign w:val="center"/>
            <w:hideMark/>
          </w:tcPr>
          <w:p w:rsidR="0083300C" w:rsidRPr="0083300C" w:rsidP="0083300C" w14:paraId="2AA69E1A" w14:textId="77777777">
            <w:pPr>
              <w:widowControl/>
              <w:rPr>
                <w:rFonts w:ascii="Calibri" w:hAnsi="Calibri" w:cs="Calibri"/>
                <w:b/>
                <w:bCs/>
                <w:color w:val="000000"/>
                <w:sz w:val="18"/>
                <w:szCs w:val="18"/>
              </w:rPr>
            </w:pPr>
            <w:r w:rsidRPr="0083300C">
              <w:rPr>
                <w:rFonts w:ascii="Calibri" w:hAnsi="Calibri" w:cs="Calibri"/>
                <w:b/>
                <w:bCs/>
                <w:color w:val="000000"/>
                <w:sz w:val="18"/>
                <w:szCs w:val="18"/>
              </w:rPr>
              <w:t> </w:t>
            </w:r>
          </w:p>
        </w:tc>
        <w:tc>
          <w:tcPr>
            <w:tcW w:w="461" w:type="pct"/>
            <w:tcBorders>
              <w:top w:val="nil"/>
              <w:left w:val="nil"/>
              <w:bottom w:val="single" w:sz="4" w:space="0" w:color="auto"/>
              <w:right w:val="single" w:sz="4" w:space="0" w:color="auto"/>
            </w:tcBorders>
            <w:shd w:val="clear" w:color="000000" w:fill="DDEBF7"/>
            <w:vAlign w:val="center"/>
            <w:hideMark/>
          </w:tcPr>
          <w:p w:rsidR="0083300C" w:rsidRPr="0083300C" w:rsidP="0083300C" w14:paraId="550C1121" w14:textId="77777777">
            <w:pPr>
              <w:widowControl/>
              <w:rPr>
                <w:rFonts w:ascii="Calibri" w:hAnsi="Calibri" w:cs="Calibri"/>
                <w:b/>
                <w:bCs/>
                <w:color w:val="000000"/>
                <w:sz w:val="18"/>
                <w:szCs w:val="18"/>
              </w:rPr>
            </w:pPr>
            <w:r w:rsidRPr="0083300C">
              <w:rPr>
                <w:rFonts w:ascii="Calibri" w:hAnsi="Calibri" w:cs="Calibri"/>
                <w:b/>
                <w:bCs/>
                <w:color w:val="000000"/>
                <w:sz w:val="18"/>
                <w:szCs w:val="18"/>
              </w:rPr>
              <w:t>87,103.20</w:t>
            </w:r>
          </w:p>
        </w:tc>
      </w:tr>
      <w:tr w14:paraId="2C85B77C" w14:textId="77777777" w:rsidTr="001723F8">
        <w:tblPrEx>
          <w:tblW w:w="5000" w:type="pct"/>
          <w:tblLayout w:type="fixed"/>
          <w:tblLook w:val="04A0"/>
        </w:tblPrEx>
        <w:trPr>
          <w:trHeight w:val="55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83300C" w:rsidRPr="0083300C" w:rsidP="0083300C" w14:paraId="725E7399" w14:textId="77777777">
            <w:pPr>
              <w:widowControl/>
              <w:rPr>
                <w:rFonts w:ascii="Calibri" w:hAnsi="Calibri" w:cs="Calibri"/>
                <w:color w:val="000000"/>
                <w:sz w:val="18"/>
                <w:szCs w:val="18"/>
              </w:rPr>
            </w:pPr>
            <w:r w:rsidRPr="0083300C">
              <w:rPr>
                <w:rFonts w:ascii="Calibri" w:hAnsi="Calibri" w:cs="Calibri"/>
                <w:color w:val="000000"/>
                <w:sz w:val="18"/>
                <w:szCs w:val="18"/>
              </w:rPr>
              <w:t xml:space="preserve">* Each application is completed by two respondents: the transferor and the transferee. For these items, the Total # of Annual Responses (d) is calculated on a per-application basis, and the </w:t>
            </w:r>
            <w:r w:rsidRPr="0083300C">
              <w:rPr>
                <w:rFonts w:ascii="Calibri" w:hAnsi="Calibri" w:cs="Calibri"/>
                <w:color w:val="000000"/>
                <w:sz w:val="18"/>
                <w:szCs w:val="18"/>
              </w:rPr>
              <w:t>Burden Hrs / Response (e) represents the combined time of both the transferor (2 hours) and the transferee (2 hours).</w:t>
            </w:r>
          </w:p>
        </w:tc>
      </w:tr>
    </w:tbl>
    <w:p w:rsidR="00CA57C9" w:rsidRPr="004D6DD3" w:rsidP="00493813" w14:paraId="79F8B15C" w14:textId="77777777">
      <w:pPr>
        <w:widowControl/>
        <w:rPr>
          <w:rFonts w:eastAsia="SimSun"/>
        </w:rPr>
      </w:pPr>
    </w:p>
    <w:p w:rsidR="00493813" w14:paraId="14052E42" w14:textId="1943104F">
      <w:pPr>
        <w:spacing w:line="259" w:lineRule="auto"/>
        <w:ind w:hanging="43"/>
        <w:rPr>
          <w:b/>
          <w:highlight w:val="yellow"/>
        </w:rPr>
      </w:pPr>
    </w:p>
    <w:p w:rsidR="007770BA" w14:paraId="3CD55D9F" w14:textId="60757C12">
      <w:pPr>
        <w:spacing w:line="259" w:lineRule="auto"/>
        <w:ind w:hanging="43"/>
        <w:rPr>
          <w:b/>
          <w:highlight w:val="yellow"/>
        </w:rPr>
      </w:pPr>
    </w:p>
    <w:p w:rsidR="007770BA" w14:paraId="16259A2E" w14:textId="3B988FCF">
      <w:pPr>
        <w:spacing w:line="259" w:lineRule="auto"/>
        <w:ind w:hanging="43"/>
        <w:rPr>
          <w:b/>
          <w:highlight w:val="yellow"/>
        </w:rPr>
      </w:pPr>
    </w:p>
    <w:p w:rsidR="007770BA" w14:paraId="66D1BB68" w14:textId="170F825D">
      <w:pPr>
        <w:spacing w:line="259" w:lineRule="auto"/>
        <w:ind w:hanging="43"/>
        <w:rPr>
          <w:b/>
          <w:highlight w:val="yellow"/>
        </w:rPr>
      </w:pPr>
    </w:p>
    <w:p w:rsidR="007770BA" w14:paraId="4908EDBF" w14:textId="77777777">
      <w:pPr>
        <w:spacing w:line="259" w:lineRule="auto"/>
        <w:ind w:hanging="43"/>
        <w:rPr>
          <w:b/>
          <w:highlight w:val="yellow"/>
        </w:rPr>
      </w:pPr>
    </w:p>
    <w:p w:rsidR="00050C0C" w14:paraId="2958C7E1" w14:textId="5EA9B6DA">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Provide an estimate for the total annual cost burden to respondents or record keepers resulting from the collection of </w:t>
      </w:r>
      <w:r>
        <w:rPr>
          <w:b/>
          <w:color w:val="000000"/>
        </w:rPr>
        <w:t>information. (Do not include the cost of any hour burden already reflected on the burden worksheet).</w:t>
      </w:r>
    </w:p>
    <w:p w:rsidR="007770BA" w:rsidP="007770BA" w14:paraId="2FD8BBC3" w14:textId="28A7F744">
      <w:pPr>
        <w:pBdr>
          <w:top w:val="nil"/>
          <w:left w:val="nil"/>
          <w:bottom w:val="nil"/>
          <w:right w:val="nil"/>
          <w:between w:val="nil"/>
        </w:pBdr>
        <w:tabs>
          <w:tab w:val="left" w:pos="360"/>
        </w:tabs>
        <w:spacing w:before="80"/>
        <w:rPr>
          <w:b/>
          <w:color w:val="000000"/>
        </w:rPr>
      </w:pPr>
    </w:p>
    <w:tbl>
      <w:tblPr>
        <w:tblW w:w="14235" w:type="dxa"/>
        <w:tblLook w:val="04A0"/>
      </w:tblPr>
      <w:tblGrid>
        <w:gridCol w:w="2785"/>
        <w:gridCol w:w="1906"/>
        <w:gridCol w:w="1907"/>
        <w:gridCol w:w="1907"/>
        <w:gridCol w:w="1907"/>
        <w:gridCol w:w="1907"/>
        <w:gridCol w:w="1907"/>
        <w:gridCol w:w="9"/>
      </w:tblGrid>
      <w:tr w14:paraId="13FC512E" w14:textId="77777777" w:rsidTr="001723F8">
        <w:tblPrEx>
          <w:tblW w:w="14235" w:type="dxa"/>
          <w:tblLook w:val="04A0"/>
        </w:tblPrEx>
        <w:trPr>
          <w:gridAfter w:val="1"/>
          <w:wAfter w:w="9" w:type="dxa"/>
          <w:trHeight w:val="720"/>
        </w:trPr>
        <w:tc>
          <w:tcPr>
            <w:tcW w:w="278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7770BA" w:rsidRPr="007770BA" w:rsidP="007770BA" w14:paraId="7C95068E"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Information Collection</w:t>
            </w:r>
          </w:p>
        </w:tc>
        <w:tc>
          <w:tcPr>
            <w:tcW w:w="1906"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7C297DF4"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 xml:space="preserve"># of Respondents/ year </w:t>
            </w:r>
            <w:r w:rsidRPr="007770BA">
              <w:rPr>
                <w:rFonts w:ascii="Calibri" w:hAnsi="Calibri" w:cs="Calibri"/>
                <w:b/>
                <w:bCs/>
                <w:color w:val="000000"/>
                <w:sz w:val="18"/>
                <w:szCs w:val="18"/>
              </w:rPr>
              <w:br/>
              <w:t>(a)</w:t>
            </w:r>
          </w:p>
        </w:tc>
        <w:tc>
          <w:tcPr>
            <w:tcW w:w="1907"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5ED1E9F5"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 xml:space="preserve"># of Respondents / Information Collection </w:t>
            </w:r>
            <w:r w:rsidRPr="007770BA">
              <w:rPr>
                <w:rFonts w:ascii="Calibri" w:hAnsi="Calibri" w:cs="Calibri"/>
                <w:b/>
                <w:bCs/>
                <w:color w:val="000000"/>
                <w:sz w:val="18"/>
                <w:szCs w:val="18"/>
              </w:rPr>
              <w:br/>
              <w:t>(b)</w:t>
            </w:r>
          </w:p>
        </w:tc>
        <w:tc>
          <w:tcPr>
            <w:tcW w:w="1907"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360940A2"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 xml:space="preserve">Annual # of Responses / Respondent </w:t>
            </w:r>
            <w:r w:rsidRPr="007770BA">
              <w:rPr>
                <w:rFonts w:ascii="Calibri" w:hAnsi="Calibri" w:cs="Calibri"/>
                <w:b/>
                <w:bCs/>
                <w:color w:val="000000"/>
                <w:sz w:val="18"/>
                <w:szCs w:val="18"/>
              </w:rPr>
              <w:br/>
              <w:t>(c)</w:t>
            </w:r>
          </w:p>
        </w:tc>
        <w:tc>
          <w:tcPr>
            <w:tcW w:w="1907"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1C015E85" w14:textId="1AEE1365">
            <w:pPr>
              <w:widowControl/>
              <w:jc w:val="center"/>
              <w:rPr>
                <w:rFonts w:ascii="Calibri" w:hAnsi="Calibri" w:cs="Calibri"/>
                <w:b/>
                <w:bCs/>
                <w:color w:val="000000"/>
                <w:sz w:val="18"/>
                <w:szCs w:val="18"/>
              </w:rPr>
            </w:pPr>
            <w:r w:rsidRPr="007770BA">
              <w:rPr>
                <w:rFonts w:ascii="Calibri" w:hAnsi="Calibri" w:cs="Calibri"/>
                <w:b/>
                <w:bCs/>
                <w:color w:val="000000"/>
                <w:sz w:val="18"/>
                <w:szCs w:val="18"/>
              </w:rPr>
              <w:t>Total # of Annual Responses</w:t>
            </w:r>
            <w:r w:rsidRPr="007770BA">
              <w:rPr>
                <w:rFonts w:ascii="Calibri" w:hAnsi="Calibri" w:cs="Calibri"/>
                <w:b/>
                <w:bCs/>
                <w:color w:val="000000"/>
                <w:sz w:val="18"/>
                <w:szCs w:val="18"/>
              </w:rPr>
              <w:br/>
              <w:t>(d) = [(a)/(b)] x [c]</w:t>
            </w:r>
          </w:p>
        </w:tc>
        <w:tc>
          <w:tcPr>
            <w:tcW w:w="1907"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7B93DBB8" w14:textId="0EE8C8BE">
            <w:pPr>
              <w:widowControl/>
              <w:jc w:val="center"/>
              <w:rPr>
                <w:rFonts w:ascii="Calibri" w:hAnsi="Calibri" w:cs="Calibri"/>
                <w:b/>
                <w:bCs/>
                <w:color w:val="000000"/>
                <w:sz w:val="18"/>
                <w:szCs w:val="18"/>
              </w:rPr>
            </w:pPr>
            <w:r w:rsidRPr="007770BA">
              <w:rPr>
                <w:rFonts w:ascii="Calibri" w:hAnsi="Calibri" w:cs="Calibri"/>
                <w:b/>
                <w:bCs/>
                <w:color w:val="000000"/>
                <w:sz w:val="18"/>
                <w:szCs w:val="18"/>
              </w:rPr>
              <w:t xml:space="preserve">Cost Burden ($) / Response </w:t>
            </w:r>
            <w:r w:rsidRPr="007770BA">
              <w:rPr>
                <w:rFonts w:ascii="Calibri" w:hAnsi="Calibri" w:cs="Calibri"/>
                <w:b/>
                <w:bCs/>
                <w:color w:val="000000"/>
                <w:sz w:val="18"/>
                <w:szCs w:val="18"/>
              </w:rPr>
              <w:br/>
              <w:t>(i)</w:t>
            </w:r>
            <w:r w:rsidR="00235675">
              <w:rPr>
                <w:rFonts w:ascii="Calibri" w:hAnsi="Calibri" w:cs="Calibri"/>
                <w:b/>
                <w:bCs/>
                <w:color w:val="000000"/>
                <w:sz w:val="18"/>
                <w:szCs w:val="18"/>
              </w:rPr>
              <w:t xml:space="preserve"> *</w:t>
            </w:r>
          </w:p>
        </w:tc>
        <w:tc>
          <w:tcPr>
            <w:tcW w:w="1907" w:type="dxa"/>
            <w:tcBorders>
              <w:top w:val="single" w:sz="4" w:space="0" w:color="auto"/>
              <w:left w:val="nil"/>
              <w:bottom w:val="single" w:sz="4" w:space="0" w:color="auto"/>
              <w:right w:val="single" w:sz="4" w:space="0" w:color="auto"/>
            </w:tcBorders>
            <w:shd w:val="clear" w:color="000000" w:fill="BDD7EE"/>
            <w:vAlign w:val="center"/>
            <w:hideMark/>
          </w:tcPr>
          <w:p w:rsidR="007770BA" w:rsidRPr="007770BA" w:rsidP="007770BA" w14:paraId="72612604"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Total Annual Cost Burden ($)</w:t>
            </w:r>
            <w:r w:rsidRPr="007770BA">
              <w:rPr>
                <w:rFonts w:ascii="Calibri" w:hAnsi="Calibri" w:cs="Calibri"/>
                <w:b/>
                <w:bCs/>
                <w:color w:val="000000"/>
                <w:sz w:val="18"/>
                <w:szCs w:val="18"/>
              </w:rPr>
              <w:br/>
              <w:t>(j) = (d) x (i)</w:t>
            </w:r>
          </w:p>
        </w:tc>
      </w:tr>
      <w:tr w14:paraId="16D816BC" w14:textId="77777777" w:rsidTr="001723F8">
        <w:tblPrEx>
          <w:tblW w:w="14235" w:type="dxa"/>
          <w:tblLook w:val="04A0"/>
        </w:tblPrEx>
        <w:trPr>
          <w:gridAfter w:val="1"/>
          <w:wAfter w:w="9" w:type="dxa"/>
          <w:trHeight w:val="7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7770BA" w:rsidRPr="007770BA" w:rsidP="007770BA" w14:paraId="51C31093" w14:textId="77777777">
            <w:pPr>
              <w:widowControl/>
              <w:rPr>
                <w:rFonts w:ascii="Calibri" w:hAnsi="Calibri" w:cs="Calibri"/>
                <w:color w:val="000000"/>
                <w:sz w:val="18"/>
                <w:szCs w:val="18"/>
              </w:rPr>
            </w:pPr>
            <w:r w:rsidRPr="007770BA">
              <w:rPr>
                <w:rFonts w:ascii="Calibri" w:hAnsi="Calibri" w:cs="Calibri"/>
                <w:color w:val="000000"/>
                <w:sz w:val="18"/>
                <w:szCs w:val="18"/>
              </w:rPr>
              <w:t xml:space="preserve">Application for Nonprofit Corporation to be Designated as a CQE </w:t>
            </w:r>
          </w:p>
        </w:tc>
        <w:tc>
          <w:tcPr>
            <w:tcW w:w="1906" w:type="dxa"/>
            <w:tcBorders>
              <w:top w:val="nil"/>
              <w:left w:val="nil"/>
              <w:bottom w:val="single" w:sz="4" w:space="0" w:color="auto"/>
              <w:right w:val="single" w:sz="4" w:space="0" w:color="auto"/>
            </w:tcBorders>
            <w:shd w:val="clear" w:color="auto" w:fill="auto"/>
            <w:vAlign w:val="center"/>
            <w:hideMark/>
          </w:tcPr>
          <w:p w:rsidR="007770BA" w:rsidRPr="007770BA" w:rsidP="007770BA" w14:paraId="435FC074" w14:textId="77777777">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4B66EEF1" w14:textId="77777777">
            <w:pPr>
              <w:widowControl/>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46E9745C" w14:textId="77777777">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0521BAFA" w14:textId="77777777">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7A0EBC38" w14:textId="77777777">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2257A16A" w14:textId="77777777">
            <w:pPr>
              <w:widowControl/>
              <w:jc w:val="center"/>
              <w:rPr>
                <w:rFonts w:ascii="Calibri" w:hAnsi="Calibri" w:cs="Calibri"/>
                <w:color w:val="000000"/>
                <w:sz w:val="18"/>
                <w:szCs w:val="18"/>
              </w:rPr>
            </w:pPr>
            <w:r w:rsidRPr="007770BA">
              <w:rPr>
                <w:rFonts w:ascii="Calibri" w:hAnsi="Calibri" w:cs="Calibri"/>
                <w:color w:val="000000"/>
                <w:sz w:val="18"/>
                <w:szCs w:val="18"/>
              </w:rPr>
              <w:t>5</w:t>
            </w:r>
          </w:p>
        </w:tc>
      </w:tr>
      <w:tr w14:paraId="1A680CA2"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auto" w:fill="auto"/>
            <w:vAlign w:val="center"/>
          </w:tcPr>
          <w:p w:rsidR="00A10B83" w:rsidRPr="007770BA" w:rsidP="00A10B83" w14:paraId="212A18AB" w14:textId="2537C322">
            <w:pPr>
              <w:widowControl/>
              <w:rPr>
                <w:rFonts w:ascii="Calibri" w:hAnsi="Calibri" w:cs="Calibri"/>
                <w:color w:val="000000"/>
                <w:sz w:val="18"/>
                <w:szCs w:val="18"/>
              </w:rPr>
            </w:pPr>
            <w:r w:rsidRPr="007770BA">
              <w:rPr>
                <w:rFonts w:ascii="Calibri" w:hAnsi="Calibri" w:cs="Calibri"/>
                <w:color w:val="000000"/>
                <w:sz w:val="18"/>
                <w:szCs w:val="18"/>
              </w:rPr>
              <w:t>Application for Transfer of Quota Share to or from a Community Quota Entity **</w:t>
            </w:r>
          </w:p>
        </w:tc>
        <w:tc>
          <w:tcPr>
            <w:tcW w:w="1906" w:type="dxa"/>
            <w:tcBorders>
              <w:top w:val="nil"/>
              <w:left w:val="nil"/>
              <w:bottom w:val="single" w:sz="4" w:space="0" w:color="auto"/>
              <w:right w:val="single" w:sz="4" w:space="0" w:color="auto"/>
            </w:tcBorders>
            <w:shd w:val="clear" w:color="auto" w:fill="auto"/>
            <w:vAlign w:val="center"/>
          </w:tcPr>
          <w:p w:rsidR="00A10B83" w:rsidRPr="007770BA" w:rsidP="00A10B83" w14:paraId="67010959" w14:textId="6745AA2B">
            <w:pPr>
              <w:widowControl/>
              <w:jc w:val="center"/>
              <w:rPr>
                <w:rFonts w:ascii="Calibri" w:hAnsi="Calibri" w:cs="Calibri"/>
                <w:color w:val="000000"/>
                <w:sz w:val="18"/>
                <w:szCs w:val="18"/>
              </w:rPr>
            </w:pPr>
            <w:r w:rsidRPr="007770BA">
              <w:rPr>
                <w:rFonts w:ascii="Calibri" w:hAnsi="Calibri" w:cs="Calibri"/>
                <w:color w:val="000000"/>
                <w:sz w:val="18"/>
                <w:szCs w:val="18"/>
              </w:rPr>
              <w:t>10</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2DD08223" w14:textId="769E2403">
            <w:pPr>
              <w:widowControl/>
              <w:rPr>
                <w:rFonts w:ascii="Calibri" w:hAnsi="Calibri" w:cs="Calibri"/>
                <w:color w:val="000000"/>
                <w:sz w:val="18"/>
                <w:szCs w:val="18"/>
              </w:rPr>
            </w:pPr>
            <w:r w:rsidRPr="007770BA">
              <w:rPr>
                <w:rFonts w:ascii="Calibri" w:hAnsi="Calibri" w:cs="Calibri"/>
                <w:color w:val="000000"/>
                <w:sz w:val="18"/>
                <w:szCs w:val="18"/>
              </w:rPr>
              <w:t>2</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331D3449" w14:textId="2BD8729D">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026B9782" w14:textId="29B1BDB0">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74A01889" w14:textId="22C6DBCF">
            <w:pPr>
              <w:widowControl/>
              <w:jc w:val="center"/>
              <w:rPr>
                <w:rFonts w:ascii="Calibri" w:hAnsi="Calibri" w:cs="Calibri"/>
                <w:color w:val="000000"/>
                <w:sz w:val="18"/>
                <w:szCs w:val="18"/>
              </w:rPr>
            </w:pPr>
            <w:r w:rsidRPr="007770BA">
              <w:rPr>
                <w:rFonts w:ascii="Calibri" w:hAnsi="Calibri" w:cs="Calibri"/>
                <w:color w:val="000000"/>
                <w:sz w:val="18"/>
                <w:szCs w:val="18"/>
              </w:rPr>
              <w:t>10</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3CDA3675" w14:textId="41EB69FE">
            <w:pPr>
              <w:widowControl/>
              <w:jc w:val="center"/>
              <w:rPr>
                <w:rFonts w:ascii="Calibri" w:hAnsi="Calibri" w:cs="Calibri"/>
                <w:color w:val="000000"/>
                <w:sz w:val="18"/>
                <w:szCs w:val="18"/>
              </w:rPr>
            </w:pPr>
            <w:r w:rsidRPr="007770BA">
              <w:rPr>
                <w:rFonts w:ascii="Calibri" w:hAnsi="Calibri" w:cs="Calibri"/>
                <w:color w:val="000000"/>
                <w:sz w:val="18"/>
                <w:szCs w:val="18"/>
              </w:rPr>
              <w:t>50</w:t>
            </w:r>
          </w:p>
        </w:tc>
      </w:tr>
      <w:tr w14:paraId="4A161374"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auto" w:fill="auto"/>
            <w:vAlign w:val="center"/>
          </w:tcPr>
          <w:p w:rsidR="00A10B83" w:rsidRPr="007770BA" w:rsidP="00A10B83" w14:paraId="1A5FA0BF" w14:textId="1BDA5580">
            <w:pPr>
              <w:widowControl/>
              <w:rPr>
                <w:rFonts w:ascii="Calibri" w:hAnsi="Calibri" w:cs="Calibri"/>
                <w:color w:val="000000"/>
                <w:sz w:val="18"/>
                <w:szCs w:val="18"/>
              </w:rPr>
            </w:pPr>
            <w:r w:rsidRPr="007770BA">
              <w:rPr>
                <w:rFonts w:ascii="Calibri" w:hAnsi="Calibri" w:cs="Calibri"/>
                <w:color w:val="000000"/>
                <w:sz w:val="18"/>
                <w:szCs w:val="18"/>
              </w:rPr>
              <w:t>Application for a CQE to Receive a Non-trawl Groundfish LLP License</w:t>
            </w:r>
          </w:p>
        </w:tc>
        <w:tc>
          <w:tcPr>
            <w:tcW w:w="1906" w:type="dxa"/>
            <w:tcBorders>
              <w:top w:val="nil"/>
              <w:left w:val="nil"/>
              <w:bottom w:val="single" w:sz="4" w:space="0" w:color="auto"/>
              <w:right w:val="single" w:sz="4" w:space="0" w:color="auto"/>
            </w:tcBorders>
            <w:shd w:val="clear" w:color="auto" w:fill="auto"/>
            <w:vAlign w:val="center"/>
          </w:tcPr>
          <w:p w:rsidR="00A10B83" w:rsidRPr="007770BA" w:rsidP="00A10B83" w14:paraId="61A67496" w14:textId="220EBF15">
            <w:pPr>
              <w:widowControl/>
              <w:jc w:val="center"/>
              <w:rPr>
                <w:rFonts w:ascii="Calibri" w:hAnsi="Calibri" w:cs="Calibri"/>
                <w:color w:val="000000"/>
                <w:sz w:val="18"/>
                <w:szCs w:val="18"/>
              </w:rPr>
            </w:pPr>
            <w:r w:rsidRPr="007770BA">
              <w:rPr>
                <w:rFonts w:ascii="Calibri" w:hAnsi="Calibri" w:cs="Calibri"/>
                <w:color w:val="000000"/>
                <w:sz w:val="18"/>
                <w:szCs w:val="18"/>
              </w:rPr>
              <w:t>3</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49D376FB" w14:textId="2AC54938">
            <w:pPr>
              <w:widowControl/>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508868E1" w14:textId="6D96B2D9">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1C2C5695" w14:textId="49580FF0">
            <w:pPr>
              <w:widowControl/>
              <w:jc w:val="center"/>
              <w:rPr>
                <w:rFonts w:ascii="Calibri" w:hAnsi="Calibri" w:cs="Calibri"/>
                <w:color w:val="000000"/>
                <w:sz w:val="18"/>
                <w:szCs w:val="18"/>
              </w:rPr>
            </w:pPr>
            <w:r w:rsidRPr="007770BA">
              <w:rPr>
                <w:rFonts w:ascii="Calibri" w:hAnsi="Calibri" w:cs="Calibri"/>
                <w:color w:val="000000"/>
                <w:sz w:val="18"/>
                <w:szCs w:val="18"/>
              </w:rPr>
              <w:t>3</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6C02599C" w14:textId="5268539C">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tcPr>
          <w:p w:rsidR="00A10B83" w:rsidRPr="007770BA" w:rsidP="00A10B83" w14:paraId="31349A74" w14:textId="075C7752">
            <w:pPr>
              <w:widowControl/>
              <w:jc w:val="center"/>
              <w:rPr>
                <w:rFonts w:ascii="Calibri" w:hAnsi="Calibri" w:cs="Calibri"/>
                <w:color w:val="000000"/>
                <w:sz w:val="18"/>
                <w:szCs w:val="18"/>
              </w:rPr>
            </w:pPr>
            <w:r w:rsidRPr="007770BA">
              <w:rPr>
                <w:rFonts w:ascii="Calibri" w:hAnsi="Calibri" w:cs="Calibri"/>
                <w:color w:val="000000"/>
                <w:sz w:val="18"/>
                <w:szCs w:val="18"/>
              </w:rPr>
              <w:t>15</w:t>
            </w:r>
          </w:p>
        </w:tc>
      </w:tr>
      <w:tr w14:paraId="274824DC"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7770BA" w:rsidRPr="007770BA" w:rsidP="007770BA" w14:paraId="7AECD8C0" w14:textId="77777777">
            <w:pPr>
              <w:widowControl/>
              <w:rPr>
                <w:rFonts w:ascii="Calibri" w:hAnsi="Calibri" w:cs="Calibri"/>
                <w:color w:val="000000"/>
                <w:sz w:val="18"/>
                <w:szCs w:val="18"/>
              </w:rPr>
            </w:pPr>
            <w:r w:rsidRPr="007770BA">
              <w:rPr>
                <w:rFonts w:ascii="Calibri" w:hAnsi="Calibri" w:cs="Calibri"/>
                <w:color w:val="000000"/>
                <w:sz w:val="18"/>
                <w:szCs w:val="18"/>
              </w:rPr>
              <w:t>CQE Annual Report</w:t>
            </w:r>
          </w:p>
        </w:tc>
        <w:tc>
          <w:tcPr>
            <w:tcW w:w="1906" w:type="dxa"/>
            <w:tcBorders>
              <w:top w:val="nil"/>
              <w:left w:val="nil"/>
              <w:bottom w:val="single" w:sz="4" w:space="0" w:color="auto"/>
              <w:right w:val="single" w:sz="4" w:space="0" w:color="auto"/>
            </w:tcBorders>
            <w:shd w:val="clear" w:color="auto" w:fill="auto"/>
            <w:vAlign w:val="center"/>
            <w:hideMark/>
          </w:tcPr>
          <w:p w:rsidR="007770BA" w:rsidRPr="007770BA" w:rsidP="007770BA" w14:paraId="6B442F44" w14:textId="77777777">
            <w:pPr>
              <w:widowControl/>
              <w:jc w:val="center"/>
              <w:rPr>
                <w:rFonts w:ascii="Calibri" w:hAnsi="Calibri" w:cs="Calibri"/>
                <w:color w:val="000000"/>
                <w:sz w:val="18"/>
                <w:szCs w:val="18"/>
              </w:rPr>
            </w:pPr>
            <w:r w:rsidRPr="007770BA">
              <w:rPr>
                <w:rFonts w:ascii="Calibri" w:hAnsi="Calibri" w:cs="Calibri"/>
                <w:color w:val="000000"/>
                <w:sz w:val="18"/>
                <w:szCs w:val="18"/>
              </w:rPr>
              <w:t>23</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31D624BD" w14:textId="77777777">
            <w:pPr>
              <w:widowControl/>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7F4C22D3" w14:textId="77777777">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26E0F363" w14:textId="77777777">
            <w:pPr>
              <w:widowControl/>
              <w:jc w:val="center"/>
              <w:rPr>
                <w:rFonts w:ascii="Calibri" w:hAnsi="Calibri" w:cs="Calibri"/>
                <w:color w:val="000000"/>
                <w:sz w:val="18"/>
                <w:szCs w:val="18"/>
              </w:rPr>
            </w:pPr>
            <w:r w:rsidRPr="007770BA">
              <w:rPr>
                <w:rFonts w:ascii="Calibri" w:hAnsi="Calibri" w:cs="Calibri"/>
                <w:color w:val="000000"/>
                <w:sz w:val="18"/>
                <w:szCs w:val="18"/>
              </w:rPr>
              <w:t>23</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1EE5E4D3" w14:textId="77777777">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74882D8B" w14:textId="77777777">
            <w:pPr>
              <w:widowControl/>
              <w:jc w:val="center"/>
              <w:rPr>
                <w:rFonts w:ascii="Calibri" w:hAnsi="Calibri" w:cs="Calibri"/>
                <w:color w:val="000000"/>
                <w:sz w:val="18"/>
                <w:szCs w:val="18"/>
              </w:rPr>
            </w:pPr>
            <w:r w:rsidRPr="007770BA">
              <w:rPr>
                <w:rFonts w:ascii="Calibri" w:hAnsi="Calibri" w:cs="Calibri"/>
                <w:color w:val="000000"/>
                <w:sz w:val="18"/>
                <w:szCs w:val="18"/>
              </w:rPr>
              <w:t>115</w:t>
            </w:r>
          </w:p>
        </w:tc>
      </w:tr>
      <w:tr w14:paraId="35318071"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auto" w:fill="auto"/>
            <w:vAlign w:val="center"/>
          </w:tcPr>
          <w:p w:rsidR="00600024" w:rsidRPr="007770BA" w:rsidP="00600024" w14:paraId="4DA81D5C" w14:textId="3ADA540D">
            <w:pPr>
              <w:widowControl/>
              <w:rPr>
                <w:rFonts w:ascii="Calibri" w:hAnsi="Calibri" w:cs="Calibri"/>
                <w:color w:val="000000"/>
                <w:sz w:val="18"/>
                <w:szCs w:val="18"/>
              </w:rPr>
            </w:pPr>
            <w:r>
              <w:rPr>
                <w:rFonts w:ascii="Calibri" w:hAnsi="Calibri" w:cs="Calibri"/>
                <w:color w:val="000000"/>
                <w:sz w:val="18"/>
                <w:szCs w:val="18"/>
              </w:rPr>
              <w:t xml:space="preserve">CQE License Limitation Program (LLP) </w:t>
            </w:r>
            <w:r w:rsidRPr="007770BA">
              <w:rPr>
                <w:rFonts w:ascii="Calibri" w:hAnsi="Calibri" w:cs="Calibri"/>
                <w:color w:val="000000"/>
                <w:sz w:val="18"/>
                <w:szCs w:val="18"/>
              </w:rPr>
              <w:t xml:space="preserve">Authorization letter </w:t>
            </w:r>
          </w:p>
        </w:tc>
        <w:tc>
          <w:tcPr>
            <w:tcW w:w="1906" w:type="dxa"/>
            <w:tcBorders>
              <w:top w:val="nil"/>
              <w:left w:val="nil"/>
              <w:bottom w:val="single" w:sz="4" w:space="0" w:color="auto"/>
              <w:right w:val="single" w:sz="4" w:space="0" w:color="auto"/>
            </w:tcBorders>
            <w:shd w:val="clear" w:color="auto" w:fill="auto"/>
            <w:vAlign w:val="center"/>
          </w:tcPr>
          <w:p w:rsidR="00600024" w:rsidRPr="007770BA" w:rsidP="00600024" w14:paraId="457B273E" w14:textId="312C209C">
            <w:pPr>
              <w:widowControl/>
              <w:jc w:val="center"/>
              <w:rPr>
                <w:rFonts w:ascii="Calibri" w:hAnsi="Calibri" w:cs="Calibri"/>
                <w:color w:val="000000"/>
                <w:sz w:val="18"/>
                <w:szCs w:val="18"/>
              </w:rPr>
            </w:pPr>
            <w:r w:rsidRPr="007770BA">
              <w:rPr>
                <w:rFonts w:ascii="Calibri" w:hAnsi="Calibri" w:cs="Calibri"/>
                <w:color w:val="000000"/>
                <w:sz w:val="18"/>
                <w:szCs w:val="18"/>
              </w:rPr>
              <w:t>3</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209D40AE" w14:textId="04EBC7EF">
            <w:pPr>
              <w:widowControl/>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4BC70DCE" w14:textId="6461C555">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2E697353" w14:textId="15DC3FD9">
            <w:pPr>
              <w:widowControl/>
              <w:jc w:val="center"/>
              <w:rPr>
                <w:rFonts w:ascii="Calibri" w:hAnsi="Calibri" w:cs="Calibri"/>
                <w:color w:val="000000"/>
                <w:sz w:val="18"/>
                <w:szCs w:val="18"/>
              </w:rPr>
            </w:pPr>
            <w:r w:rsidRPr="007770BA">
              <w:rPr>
                <w:rFonts w:ascii="Calibri" w:hAnsi="Calibri" w:cs="Calibri"/>
                <w:color w:val="000000"/>
                <w:sz w:val="18"/>
                <w:szCs w:val="18"/>
              </w:rPr>
              <w:t>3</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1E7A08AD" w14:textId="3D8A25E0">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4AABA04D" w14:textId="77DBC522">
            <w:pPr>
              <w:widowControl/>
              <w:jc w:val="center"/>
              <w:rPr>
                <w:rFonts w:ascii="Calibri" w:hAnsi="Calibri" w:cs="Calibri"/>
                <w:color w:val="000000"/>
                <w:sz w:val="18"/>
                <w:szCs w:val="18"/>
              </w:rPr>
            </w:pPr>
            <w:r w:rsidRPr="007770BA">
              <w:rPr>
                <w:rFonts w:ascii="Calibri" w:hAnsi="Calibri" w:cs="Calibri"/>
                <w:color w:val="000000"/>
                <w:sz w:val="18"/>
                <w:szCs w:val="18"/>
              </w:rPr>
              <w:t>15</w:t>
            </w:r>
          </w:p>
        </w:tc>
      </w:tr>
      <w:tr w14:paraId="3D6ABE55"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auto" w:fill="auto"/>
            <w:vAlign w:val="center"/>
          </w:tcPr>
          <w:p w:rsidR="00600024" w:rsidP="00600024" w14:paraId="5CBD301F" w14:textId="6049AFD9">
            <w:pPr>
              <w:widowControl/>
              <w:rPr>
                <w:rFonts w:ascii="Calibri" w:hAnsi="Calibri" w:cs="Calibri"/>
                <w:color w:val="000000"/>
                <w:sz w:val="18"/>
                <w:szCs w:val="18"/>
              </w:rPr>
            </w:pPr>
            <w:r w:rsidRPr="007770BA">
              <w:rPr>
                <w:rFonts w:ascii="Calibri" w:hAnsi="Calibri" w:cs="Calibri"/>
                <w:color w:val="000000"/>
                <w:sz w:val="18"/>
                <w:szCs w:val="18"/>
              </w:rPr>
              <w:t xml:space="preserve"> Application for Community Charter Halibut Permit</w:t>
            </w:r>
            <w:r w:rsidR="00D23753">
              <w:rPr>
                <w:rFonts w:ascii="Calibri" w:hAnsi="Calibri" w:cs="Calibri"/>
                <w:color w:val="000000"/>
                <w:sz w:val="18"/>
                <w:szCs w:val="18"/>
              </w:rPr>
              <w:t xml:space="preserve"> (CCHP)</w:t>
            </w:r>
          </w:p>
        </w:tc>
        <w:tc>
          <w:tcPr>
            <w:tcW w:w="1906" w:type="dxa"/>
            <w:tcBorders>
              <w:top w:val="nil"/>
              <w:left w:val="nil"/>
              <w:bottom w:val="single" w:sz="4" w:space="0" w:color="auto"/>
              <w:right w:val="single" w:sz="4" w:space="0" w:color="auto"/>
            </w:tcBorders>
            <w:shd w:val="clear" w:color="auto" w:fill="auto"/>
            <w:vAlign w:val="center"/>
          </w:tcPr>
          <w:p w:rsidR="00600024" w:rsidRPr="007770BA" w:rsidP="00600024" w14:paraId="60EC0C79" w14:textId="13361140">
            <w:pPr>
              <w:widowControl/>
              <w:jc w:val="center"/>
              <w:rPr>
                <w:rFonts w:ascii="Calibri" w:hAnsi="Calibri" w:cs="Calibri"/>
                <w:color w:val="000000"/>
                <w:sz w:val="18"/>
                <w:szCs w:val="18"/>
              </w:rPr>
            </w:pPr>
            <w:r w:rsidRPr="007770BA">
              <w:rPr>
                <w:rFonts w:ascii="Calibri" w:hAnsi="Calibri" w:cs="Calibri"/>
                <w:color w:val="000000"/>
                <w:sz w:val="18"/>
                <w:szCs w:val="18"/>
              </w:rPr>
              <w:t>0</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5AA7576C" w14:textId="1C40916E">
            <w:pPr>
              <w:widowControl/>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60D19F6D" w14:textId="7417DFE1">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64DE0697" w14:textId="52F4C069">
            <w:pPr>
              <w:widowControl/>
              <w:jc w:val="center"/>
              <w:rPr>
                <w:rFonts w:ascii="Calibri" w:hAnsi="Calibri" w:cs="Calibri"/>
                <w:color w:val="000000"/>
                <w:sz w:val="18"/>
                <w:szCs w:val="18"/>
              </w:rPr>
            </w:pPr>
            <w:r w:rsidRPr="007770BA">
              <w:rPr>
                <w:rFonts w:ascii="Calibri" w:hAnsi="Calibri" w:cs="Calibri"/>
                <w:color w:val="000000"/>
                <w:sz w:val="18"/>
                <w:szCs w:val="18"/>
              </w:rPr>
              <w:t>0</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34AFC192" w14:textId="128657C9">
            <w:pPr>
              <w:widowControl/>
              <w:jc w:val="center"/>
              <w:rPr>
                <w:rFonts w:ascii="Calibri" w:hAnsi="Calibri" w:cs="Calibri"/>
                <w:color w:val="000000"/>
                <w:sz w:val="18"/>
                <w:szCs w:val="18"/>
              </w:rPr>
            </w:pPr>
            <w:r w:rsidRPr="007770BA">
              <w:rPr>
                <w:rFonts w:ascii="Calibri" w:hAnsi="Calibri" w:cs="Calibri"/>
                <w:color w:val="000000"/>
                <w:sz w:val="18"/>
                <w:szCs w:val="18"/>
              </w:rPr>
              <w:t>5</w:t>
            </w:r>
          </w:p>
        </w:tc>
        <w:tc>
          <w:tcPr>
            <w:tcW w:w="1907" w:type="dxa"/>
            <w:tcBorders>
              <w:top w:val="nil"/>
              <w:left w:val="nil"/>
              <w:bottom w:val="single" w:sz="4" w:space="0" w:color="auto"/>
              <w:right w:val="single" w:sz="4" w:space="0" w:color="auto"/>
            </w:tcBorders>
            <w:shd w:val="clear" w:color="auto" w:fill="auto"/>
            <w:vAlign w:val="center"/>
          </w:tcPr>
          <w:p w:rsidR="00600024" w:rsidRPr="007770BA" w:rsidP="00600024" w14:paraId="55A1DB66" w14:textId="46E2731D">
            <w:pPr>
              <w:widowControl/>
              <w:jc w:val="center"/>
              <w:rPr>
                <w:rFonts w:ascii="Calibri" w:hAnsi="Calibri" w:cs="Calibri"/>
                <w:color w:val="000000"/>
                <w:sz w:val="18"/>
                <w:szCs w:val="18"/>
              </w:rPr>
            </w:pPr>
            <w:r w:rsidRPr="007770BA">
              <w:rPr>
                <w:rFonts w:ascii="Calibri" w:hAnsi="Calibri" w:cs="Calibri"/>
                <w:color w:val="000000"/>
                <w:sz w:val="18"/>
                <w:szCs w:val="18"/>
              </w:rPr>
              <w:t>0</w:t>
            </w:r>
          </w:p>
        </w:tc>
      </w:tr>
      <w:tr w14:paraId="68AB8CAD" w14:textId="77777777" w:rsidTr="001723F8">
        <w:tblPrEx>
          <w:tblW w:w="14235" w:type="dxa"/>
          <w:tblLook w:val="04A0"/>
        </w:tblPrEx>
        <w:trPr>
          <w:gridAfter w:val="1"/>
          <w:wAfter w:w="9" w:type="dxa"/>
          <w:trHeight w:val="720"/>
        </w:trPr>
        <w:tc>
          <w:tcPr>
            <w:tcW w:w="2785" w:type="dxa"/>
            <w:tcBorders>
              <w:top w:val="nil"/>
              <w:left w:val="single" w:sz="4" w:space="0" w:color="auto"/>
              <w:bottom w:val="single" w:sz="4" w:space="0" w:color="auto"/>
              <w:right w:val="single" w:sz="4" w:space="0" w:color="auto"/>
            </w:tcBorders>
            <w:shd w:val="clear" w:color="auto" w:fill="auto"/>
            <w:vAlign w:val="center"/>
          </w:tcPr>
          <w:p w:rsidR="00D23753" w:rsidRPr="007770BA" w:rsidP="00D23753" w14:paraId="7E38A83C" w14:textId="1F32B4CC">
            <w:pPr>
              <w:widowControl/>
              <w:rPr>
                <w:rFonts w:ascii="Calibri" w:hAnsi="Calibri" w:cs="Calibri"/>
                <w:color w:val="000000"/>
                <w:sz w:val="18"/>
                <w:szCs w:val="18"/>
              </w:rPr>
            </w:pPr>
            <w:r w:rsidRPr="007770BA">
              <w:rPr>
                <w:rFonts w:ascii="Calibri" w:hAnsi="Calibri" w:cs="Calibri"/>
                <w:color w:val="000000"/>
                <w:sz w:val="18"/>
                <w:szCs w:val="18"/>
              </w:rPr>
              <w:t xml:space="preserve">Application for Transfer (Lease) Between IFQ and Guided Angler Fish by a </w:t>
            </w:r>
            <w:r w:rsidRPr="007770BA">
              <w:rPr>
                <w:rFonts w:ascii="Calibri" w:hAnsi="Calibri" w:cs="Calibri"/>
                <w:color w:val="000000"/>
                <w:sz w:val="18"/>
                <w:szCs w:val="18"/>
              </w:rPr>
              <w:t>Community Quota Entity (CQE) **</w:t>
            </w:r>
          </w:p>
        </w:tc>
        <w:tc>
          <w:tcPr>
            <w:tcW w:w="1906" w:type="dxa"/>
            <w:tcBorders>
              <w:top w:val="nil"/>
              <w:left w:val="nil"/>
              <w:bottom w:val="single" w:sz="4" w:space="0" w:color="auto"/>
              <w:right w:val="single" w:sz="4" w:space="0" w:color="auto"/>
            </w:tcBorders>
            <w:shd w:val="clear" w:color="auto" w:fill="auto"/>
            <w:vAlign w:val="center"/>
          </w:tcPr>
          <w:p w:rsidR="00D23753" w:rsidRPr="007770BA" w:rsidP="00D23753" w14:paraId="5E9B0B64" w14:textId="774EC561">
            <w:pPr>
              <w:widowControl/>
              <w:jc w:val="center"/>
              <w:rPr>
                <w:rFonts w:ascii="Calibri" w:hAnsi="Calibri" w:cs="Calibri"/>
                <w:color w:val="000000"/>
                <w:sz w:val="18"/>
                <w:szCs w:val="18"/>
              </w:rPr>
            </w:pPr>
            <w:r w:rsidRPr="007770BA">
              <w:rPr>
                <w:rFonts w:ascii="Calibri" w:hAnsi="Calibri" w:cs="Calibri"/>
                <w:color w:val="000000"/>
                <w:sz w:val="18"/>
                <w:szCs w:val="18"/>
              </w:rPr>
              <w:t>30</w:t>
            </w:r>
          </w:p>
        </w:tc>
        <w:tc>
          <w:tcPr>
            <w:tcW w:w="1907" w:type="dxa"/>
            <w:tcBorders>
              <w:top w:val="nil"/>
              <w:left w:val="nil"/>
              <w:bottom w:val="single" w:sz="4" w:space="0" w:color="auto"/>
              <w:right w:val="single" w:sz="4" w:space="0" w:color="auto"/>
            </w:tcBorders>
            <w:shd w:val="clear" w:color="auto" w:fill="auto"/>
            <w:vAlign w:val="center"/>
          </w:tcPr>
          <w:p w:rsidR="00D23753" w:rsidRPr="007770BA" w:rsidP="00D23753" w14:paraId="7D10F66F" w14:textId="23F72130">
            <w:pPr>
              <w:widowControl/>
              <w:rPr>
                <w:rFonts w:ascii="Calibri" w:hAnsi="Calibri" w:cs="Calibri"/>
                <w:color w:val="000000"/>
                <w:sz w:val="18"/>
                <w:szCs w:val="18"/>
              </w:rPr>
            </w:pPr>
            <w:r w:rsidRPr="007770BA">
              <w:rPr>
                <w:rFonts w:ascii="Calibri" w:hAnsi="Calibri" w:cs="Calibri"/>
                <w:color w:val="000000"/>
                <w:sz w:val="18"/>
                <w:szCs w:val="18"/>
              </w:rPr>
              <w:t>2</w:t>
            </w:r>
          </w:p>
        </w:tc>
        <w:tc>
          <w:tcPr>
            <w:tcW w:w="1907" w:type="dxa"/>
            <w:tcBorders>
              <w:top w:val="nil"/>
              <w:left w:val="nil"/>
              <w:bottom w:val="single" w:sz="4" w:space="0" w:color="auto"/>
              <w:right w:val="single" w:sz="4" w:space="0" w:color="auto"/>
            </w:tcBorders>
            <w:shd w:val="clear" w:color="auto" w:fill="auto"/>
            <w:vAlign w:val="center"/>
          </w:tcPr>
          <w:p w:rsidR="00D23753" w:rsidRPr="007770BA" w:rsidP="00D23753" w14:paraId="0ECAEAE0" w14:textId="5AC0E728">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tcPr>
          <w:p w:rsidR="00D23753" w:rsidRPr="007770BA" w:rsidP="00D23753" w14:paraId="19A1523E" w14:textId="3570D6A1">
            <w:pPr>
              <w:widowControl/>
              <w:jc w:val="center"/>
              <w:rPr>
                <w:rFonts w:ascii="Calibri" w:hAnsi="Calibri" w:cs="Calibri"/>
                <w:color w:val="000000"/>
                <w:sz w:val="18"/>
                <w:szCs w:val="18"/>
              </w:rPr>
            </w:pPr>
            <w:r w:rsidRPr="007770BA">
              <w:rPr>
                <w:rFonts w:ascii="Calibri" w:hAnsi="Calibri" w:cs="Calibri"/>
                <w:color w:val="000000"/>
                <w:sz w:val="18"/>
                <w:szCs w:val="18"/>
              </w:rPr>
              <w:t>15</w:t>
            </w:r>
          </w:p>
        </w:tc>
        <w:tc>
          <w:tcPr>
            <w:tcW w:w="1907" w:type="dxa"/>
            <w:tcBorders>
              <w:top w:val="nil"/>
              <w:left w:val="nil"/>
              <w:bottom w:val="single" w:sz="4" w:space="0" w:color="auto"/>
              <w:right w:val="single" w:sz="4" w:space="0" w:color="auto"/>
            </w:tcBorders>
            <w:shd w:val="clear" w:color="auto" w:fill="auto"/>
            <w:vAlign w:val="center"/>
          </w:tcPr>
          <w:p w:rsidR="00D23753" w:rsidRPr="007770BA" w:rsidP="00D23753" w14:paraId="5CDCD735" w14:textId="44E6A3F2">
            <w:pPr>
              <w:widowControl/>
              <w:jc w:val="center"/>
              <w:rPr>
                <w:rFonts w:ascii="Calibri" w:hAnsi="Calibri" w:cs="Calibri"/>
                <w:color w:val="000000"/>
                <w:sz w:val="18"/>
                <w:szCs w:val="18"/>
              </w:rPr>
            </w:pPr>
            <w:r w:rsidRPr="007770BA">
              <w:rPr>
                <w:rFonts w:ascii="Calibri" w:hAnsi="Calibri" w:cs="Calibri"/>
                <w:color w:val="000000"/>
                <w:sz w:val="18"/>
                <w:szCs w:val="18"/>
              </w:rPr>
              <w:t>10</w:t>
            </w:r>
          </w:p>
        </w:tc>
        <w:tc>
          <w:tcPr>
            <w:tcW w:w="1907" w:type="dxa"/>
            <w:tcBorders>
              <w:top w:val="nil"/>
              <w:left w:val="nil"/>
              <w:bottom w:val="single" w:sz="4" w:space="0" w:color="auto"/>
              <w:right w:val="single" w:sz="4" w:space="0" w:color="auto"/>
            </w:tcBorders>
            <w:shd w:val="clear" w:color="auto" w:fill="auto"/>
            <w:vAlign w:val="center"/>
          </w:tcPr>
          <w:p w:rsidR="00D23753" w:rsidRPr="007770BA" w:rsidP="00D23753" w14:paraId="1F38FF6C" w14:textId="5F2C635D">
            <w:pPr>
              <w:widowControl/>
              <w:jc w:val="center"/>
              <w:rPr>
                <w:rFonts w:ascii="Calibri" w:hAnsi="Calibri" w:cs="Calibri"/>
                <w:color w:val="000000"/>
                <w:sz w:val="18"/>
                <w:szCs w:val="18"/>
              </w:rPr>
            </w:pPr>
            <w:r w:rsidRPr="007770BA">
              <w:rPr>
                <w:rFonts w:ascii="Calibri" w:hAnsi="Calibri" w:cs="Calibri"/>
                <w:color w:val="000000"/>
                <w:sz w:val="18"/>
                <w:szCs w:val="18"/>
              </w:rPr>
              <w:t>150</w:t>
            </w:r>
          </w:p>
        </w:tc>
      </w:tr>
      <w:tr w14:paraId="35F07E48" w14:textId="77777777" w:rsidTr="001723F8">
        <w:tblPrEx>
          <w:tblW w:w="14235" w:type="dxa"/>
          <w:tblLook w:val="04A0"/>
        </w:tblPrEx>
        <w:trPr>
          <w:gridAfter w:val="1"/>
          <w:wAfter w:w="9" w:type="dxa"/>
          <w:trHeight w:val="7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7770BA" w:rsidRPr="007770BA" w:rsidP="007770BA" w14:paraId="6DBE4183" w14:textId="77777777">
            <w:pPr>
              <w:widowControl/>
              <w:rPr>
                <w:rFonts w:ascii="Calibri" w:hAnsi="Calibri" w:cs="Calibri"/>
                <w:color w:val="000000"/>
                <w:sz w:val="18"/>
                <w:szCs w:val="18"/>
              </w:rPr>
            </w:pPr>
            <w:r w:rsidRPr="007770BA">
              <w:rPr>
                <w:rFonts w:ascii="Calibri" w:hAnsi="Calibri" w:cs="Calibri"/>
                <w:color w:val="000000"/>
                <w:sz w:val="18"/>
                <w:szCs w:val="18"/>
              </w:rPr>
              <w:t>Application for a CQE to Transfer IFQ to an Eligible Community Resident or Non-resident **</w:t>
            </w:r>
          </w:p>
        </w:tc>
        <w:tc>
          <w:tcPr>
            <w:tcW w:w="1906" w:type="dxa"/>
            <w:tcBorders>
              <w:top w:val="nil"/>
              <w:left w:val="nil"/>
              <w:bottom w:val="single" w:sz="4" w:space="0" w:color="auto"/>
              <w:right w:val="single" w:sz="4" w:space="0" w:color="auto"/>
            </w:tcBorders>
            <w:shd w:val="clear" w:color="auto" w:fill="auto"/>
            <w:vAlign w:val="center"/>
            <w:hideMark/>
          </w:tcPr>
          <w:p w:rsidR="007770BA" w:rsidRPr="007770BA" w:rsidP="007770BA" w14:paraId="36E43DD2" w14:textId="77777777">
            <w:pPr>
              <w:widowControl/>
              <w:jc w:val="center"/>
              <w:rPr>
                <w:rFonts w:ascii="Calibri" w:hAnsi="Calibri" w:cs="Calibri"/>
                <w:color w:val="000000"/>
                <w:sz w:val="18"/>
                <w:szCs w:val="18"/>
              </w:rPr>
            </w:pPr>
            <w:r w:rsidRPr="007770BA">
              <w:rPr>
                <w:rFonts w:ascii="Calibri" w:hAnsi="Calibri" w:cs="Calibri"/>
                <w:color w:val="000000"/>
                <w:sz w:val="18"/>
                <w:szCs w:val="18"/>
              </w:rPr>
              <w:t>46</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6D24653F" w14:textId="77777777">
            <w:pPr>
              <w:widowControl/>
              <w:rPr>
                <w:rFonts w:ascii="Calibri" w:hAnsi="Calibri" w:cs="Calibri"/>
                <w:color w:val="000000"/>
                <w:sz w:val="18"/>
                <w:szCs w:val="18"/>
              </w:rPr>
            </w:pPr>
            <w:r w:rsidRPr="007770BA">
              <w:rPr>
                <w:rFonts w:ascii="Calibri" w:hAnsi="Calibri" w:cs="Calibri"/>
                <w:color w:val="000000"/>
                <w:sz w:val="18"/>
                <w:szCs w:val="18"/>
              </w:rPr>
              <w:t>2</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284D186D" w14:textId="77777777">
            <w:pPr>
              <w:widowControl/>
              <w:jc w:val="center"/>
              <w:rPr>
                <w:rFonts w:ascii="Calibri" w:hAnsi="Calibri" w:cs="Calibri"/>
                <w:color w:val="000000"/>
                <w:sz w:val="18"/>
                <w:szCs w:val="18"/>
              </w:rPr>
            </w:pPr>
            <w:r w:rsidRPr="007770BA">
              <w:rPr>
                <w:rFonts w:ascii="Calibri" w:hAnsi="Calibri" w:cs="Calibri"/>
                <w:color w:val="000000"/>
                <w:sz w:val="18"/>
                <w:szCs w:val="18"/>
              </w:rPr>
              <w:t>1</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30AECEDD" w14:textId="77777777">
            <w:pPr>
              <w:widowControl/>
              <w:jc w:val="center"/>
              <w:rPr>
                <w:rFonts w:ascii="Calibri" w:hAnsi="Calibri" w:cs="Calibri"/>
                <w:color w:val="000000"/>
                <w:sz w:val="18"/>
                <w:szCs w:val="18"/>
              </w:rPr>
            </w:pPr>
            <w:r w:rsidRPr="007770BA">
              <w:rPr>
                <w:rFonts w:ascii="Calibri" w:hAnsi="Calibri" w:cs="Calibri"/>
                <w:color w:val="000000"/>
                <w:sz w:val="18"/>
                <w:szCs w:val="18"/>
              </w:rPr>
              <w:t>23</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3D42AFC7" w14:textId="77777777">
            <w:pPr>
              <w:widowControl/>
              <w:jc w:val="center"/>
              <w:rPr>
                <w:rFonts w:ascii="Calibri" w:hAnsi="Calibri" w:cs="Calibri"/>
                <w:color w:val="000000"/>
                <w:sz w:val="18"/>
                <w:szCs w:val="18"/>
              </w:rPr>
            </w:pPr>
            <w:r w:rsidRPr="007770BA">
              <w:rPr>
                <w:rFonts w:ascii="Calibri" w:hAnsi="Calibri" w:cs="Calibri"/>
                <w:color w:val="000000"/>
                <w:sz w:val="18"/>
                <w:szCs w:val="18"/>
              </w:rPr>
              <w:t>10</w:t>
            </w:r>
          </w:p>
        </w:tc>
        <w:tc>
          <w:tcPr>
            <w:tcW w:w="1907" w:type="dxa"/>
            <w:tcBorders>
              <w:top w:val="nil"/>
              <w:left w:val="nil"/>
              <w:bottom w:val="single" w:sz="4" w:space="0" w:color="auto"/>
              <w:right w:val="single" w:sz="4" w:space="0" w:color="auto"/>
            </w:tcBorders>
            <w:shd w:val="clear" w:color="auto" w:fill="auto"/>
            <w:vAlign w:val="center"/>
            <w:hideMark/>
          </w:tcPr>
          <w:p w:rsidR="007770BA" w:rsidRPr="007770BA" w:rsidP="007770BA" w14:paraId="425E47AD" w14:textId="77777777">
            <w:pPr>
              <w:widowControl/>
              <w:jc w:val="center"/>
              <w:rPr>
                <w:rFonts w:ascii="Calibri" w:hAnsi="Calibri" w:cs="Calibri"/>
                <w:color w:val="000000"/>
                <w:sz w:val="18"/>
                <w:szCs w:val="18"/>
              </w:rPr>
            </w:pPr>
            <w:r w:rsidRPr="007770BA">
              <w:rPr>
                <w:rFonts w:ascii="Calibri" w:hAnsi="Calibri" w:cs="Calibri"/>
                <w:color w:val="000000"/>
                <w:sz w:val="18"/>
                <w:szCs w:val="18"/>
              </w:rPr>
              <w:t>230</w:t>
            </w:r>
          </w:p>
        </w:tc>
      </w:tr>
      <w:tr w14:paraId="0108A65D" w14:textId="77777777" w:rsidTr="001723F8">
        <w:tblPrEx>
          <w:tblW w:w="14235" w:type="dxa"/>
          <w:tblLook w:val="04A0"/>
        </w:tblPrEx>
        <w:trPr>
          <w:gridAfter w:val="1"/>
          <w:wAfter w:w="9" w:type="dxa"/>
          <w:trHeight w:val="288"/>
        </w:trPr>
        <w:tc>
          <w:tcPr>
            <w:tcW w:w="2785" w:type="dxa"/>
            <w:tcBorders>
              <w:top w:val="nil"/>
              <w:left w:val="single" w:sz="4" w:space="0" w:color="auto"/>
              <w:bottom w:val="single" w:sz="4" w:space="0" w:color="auto"/>
              <w:right w:val="single" w:sz="4" w:space="0" w:color="auto"/>
            </w:tcBorders>
            <w:shd w:val="clear" w:color="000000" w:fill="DDEBF7"/>
            <w:vAlign w:val="center"/>
            <w:hideMark/>
          </w:tcPr>
          <w:p w:rsidR="007770BA" w:rsidRPr="007770BA" w:rsidP="007770BA" w14:paraId="508C4E76" w14:textId="77777777">
            <w:pPr>
              <w:widowControl/>
              <w:jc w:val="right"/>
              <w:rPr>
                <w:rFonts w:ascii="Calibri" w:hAnsi="Calibri" w:cs="Calibri"/>
                <w:b/>
                <w:bCs/>
                <w:color w:val="000000"/>
                <w:sz w:val="18"/>
                <w:szCs w:val="18"/>
              </w:rPr>
            </w:pPr>
            <w:r w:rsidRPr="007770BA">
              <w:rPr>
                <w:rFonts w:ascii="Calibri" w:hAnsi="Calibri" w:cs="Calibri"/>
                <w:b/>
                <w:bCs/>
                <w:color w:val="000000"/>
                <w:sz w:val="18"/>
                <w:szCs w:val="18"/>
              </w:rPr>
              <w:t xml:space="preserve"> TOTALS</w:t>
            </w:r>
          </w:p>
        </w:tc>
        <w:tc>
          <w:tcPr>
            <w:tcW w:w="1906" w:type="dxa"/>
            <w:tcBorders>
              <w:top w:val="nil"/>
              <w:left w:val="nil"/>
              <w:bottom w:val="single" w:sz="4" w:space="0" w:color="auto"/>
              <w:right w:val="single" w:sz="4" w:space="0" w:color="auto"/>
            </w:tcBorders>
            <w:shd w:val="clear" w:color="000000" w:fill="DDEBF7"/>
            <w:vAlign w:val="center"/>
            <w:hideMark/>
          </w:tcPr>
          <w:p w:rsidR="007770BA" w:rsidRPr="007770BA" w:rsidP="007770BA" w14:paraId="31AAE5AD"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62 ***</w:t>
            </w:r>
          </w:p>
        </w:tc>
        <w:tc>
          <w:tcPr>
            <w:tcW w:w="1907" w:type="dxa"/>
            <w:tcBorders>
              <w:top w:val="nil"/>
              <w:left w:val="nil"/>
              <w:bottom w:val="single" w:sz="4" w:space="0" w:color="auto"/>
              <w:right w:val="single" w:sz="4" w:space="0" w:color="auto"/>
            </w:tcBorders>
            <w:shd w:val="clear" w:color="000000" w:fill="DDEBF7"/>
            <w:vAlign w:val="center"/>
            <w:hideMark/>
          </w:tcPr>
          <w:p w:rsidR="007770BA" w:rsidRPr="007770BA" w:rsidP="007770BA" w14:paraId="0439EB67"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 </w:t>
            </w:r>
          </w:p>
        </w:tc>
        <w:tc>
          <w:tcPr>
            <w:tcW w:w="1907" w:type="dxa"/>
            <w:tcBorders>
              <w:top w:val="nil"/>
              <w:left w:val="nil"/>
              <w:bottom w:val="single" w:sz="4" w:space="0" w:color="auto"/>
              <w:right w:val="single" w:sz="4" w:space="0" w:color="auto"/>
            </w:tcBorders>
            <w:shd w:val="clear" w:color="000000" w:fill="000000"/>
            <w:vAlign w:val="center"/>
            <w:hideMark/>
          </w:tcPr>
          <w:p w:rsidR="007770BA" w:rsidRPr="007770BA" w:rsidP="007770BA" w14:paraId="3D0881D2" w14:textId="77777777">
            <w:pPr>
              <w:widowControl/>
              <w:jc w:val="right"/>
              <w:rPr>
                <w:rFonts w:ascii="Calibri" w:hAnsi="Calibri" w:cs="Calibri"/>
                <w:b/>
                <w:bCs/>
                <w:color w:val="000000"/>
                <w:sz w:val="18"/>
                <w:szCs w:val="18"/>
              </w:rPr>
            </w:pPr>
            <w:r w:rsidRPr="007770BA">
              <w:rPr>
                <w:rFonts w:ascii="Calibri" w:hAnsi="Calibri" w:cs="Calibri"/>
                <w:b/>
                <w:bCs/>
                <w:color w:val="000000"/>
                <w:sz w:val="18"/>
                <w:szCs w:val="18"/>
              </w:rPr>
              <w:t> </w:t>
            </w:r>
          </w:p>
        </w:tc>
        <w:tc>
          <w:tcPr>
            <w:tcW w:w="1907" w:type="dxa"/>
            <w:tcBorders>
              <w:top w:val="nil"/>
              <w:left w:val="nil"/>
              <w:bottom w:val="single" w:sz="4" w:space="0" w:color="auto"/>
              <w:right w:val="single" w:sz="4" w:space="0" w:color="auto"/>
            </w:tcBorders>
            <w:shd w:val="clear" w:color="000000" w:fill="DDEBF7"/>
            <w:vAlign w:val="center"/>
            <w:hideMark/>
          </w:tcPr>
          <w:p w:rsidR="007770BA" w:rsidRPr="007770BA" w:rsidP="007770BA" w14:paraId="0A691FFF"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73</w:t>
            </w:r>
          </w:p>
        </w:tc>
        <w:tc>
          <w:tcPr>
            <w:tcW w:w="1907" w:type="dxa"/>
            <w:tcBorders>
              <w:top w:val="nil"/>
              <w:left w:val="nil"/>
              <w:bottom w:val="single" w:sz="4" w:space="0" w:color="auto"/>
              <w:right w:val="single" w:sz="4" w:space="0" w:color="auto"/>
            </w:tcBorders>
            <w:shd w:val="clear" w:color="000000" w:fill="000000"/>
            <w:vAlign w:val="center"/>
            <w:hideMark/>
          </w:tcPr>
          <w:p w:rsidR="007770BA" w:rsidRPr="007770BA" w:rsidP="007770BA" w14:paraId="7DFD30C8" w14:textId="77777777">
            <w:pPr>
              <w:widowControl/>
              <w:jc w:val="right"/>
              <w:rPr>
                <w:rFonts w:ascii="Calibri" w:hAnsi="Calibri" w:cs="Calibri"/>
                <w:b/>
                <w:bCs/>
                <w:color w:val="000000"/>
                <w:sz w:val="18"/>
                <w:szCs w:val="18"/>
              </w:rPr>
            </w:pPr>
            <w:r w:rsidRPr="007770BA">
              <w:rPr>
                <w:rFonts w:ascii="Calibri" w:hAnsi="Calibri" w:cs="Calibri"/>
                <w:b/>
                <w:bCs/>
                <w:color w:val="000000"/>
                <w:sz w:val="18"/>
                <w:szCs w:val="18"/>
              </w:rPr>
              <w:t> </w:t>
            </w:r>
          </w:p>
        </w:tc>
        <w:tc>
          <w:tcPr>
            <w:tcW w:w="1907" w:type="dxa"/>
            <w:tcBorders>
              <w:top w:val="nil"/>
              <w:left w:val="nil"/>
              <w:bottom w:val="single" w:sz="4" w:space="0" w:color="auto"/>
              <w:right w:val="single" w:sz="4" w:space="0" w:color="auto"/>
            </w:tcBorders>
            <w:shd w:val="clear" w:color="000000" w:fill="DDEBF7"/>
            <w:vAlign w:val="center"/>
            <w:hideMark/>
          </w:tcPr>
          <w:p w:rsidR="007770BA" w:rsidRPr="007770BA" w:rsidP="007770BA" w14:paraId="75455CDE" w14:textId="77777777">
            <w:pPr>
              <w:widowControl/>
              <w:jc w:val="center"/>
              <w:rPr>
                <w:rFonts w:ascii="Calibri" w:hAnsi="Calibri" w:cs="Calibri"/>
                <w:b/>
                <w:bCs/>
                <w:color w:val="000000"/>
                <w:sz w:val="18"/>
                <w:szCs w:val="18"/>
              </w:rPr>
            </w:pPr>
            <w:r w:rsidRPr="007770BA">
              <w:rPr>
                <w:rFonts w:ascii="Calibri" w:hAnsi="Calibri" w:cs="Calibri"/>
                <w:b/>
                <w:bCs/>
                <w:color w:val="000000"/>
                <w:sz w:val="18"/>
                <w:szCs w:val="18"/>
              </w:rPr>
              <w:t xml:space="preserve">$580 </w:t>
            </w:r>
          </w:p>
        </w:tc>
      </w:tr>
      <w:tr w14:paraId="765F5137" w14:textId="77777777" w:rsidTr="001723F8">
        <w:tblPrEx>
          <w:tblW w:w="14235" w:type="dxa"/>
          <w:tblLook w:val="04A0"/>
        </w:tblPrEx>
        <w:trPr>
          <w:trHeight w:val="1632"/>
        </w:trPr>
        <w:tc>
          <w:tcPr>
            <w:tcW w:w="1423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770BA" w:rsidRPr="007770BA" w:rsidP="007770BA" w14:paraId="43E2FF0C" w14:textId="3711C26A">
            <w:pPr>
              <w:widowControl/>
              <w:rPr>
                <w:rFonts w:ascii="Calibri" w:hAnsi="Calibri" w:cs="Calibri"/>
                <w:color w:val="000000"/>
                <w:sz w:val="18"/>
                <w:szCs w:val="18"/>
              </w:rPr>
            </w:pPr>
            <w:r w:rsidRPr="007770BA">
              <w:rPr>
                <w:rFonts w:ascii="Calibri" w:hAnsi="Calibri" w:cs="Calibri"/>
                <w:color w:val="000000"/>
                <w:sz w:val="18"/>
                <w:szCs w:val="18"/>
              </w:rPr>
              <w:t xml:space="preserve">* Operating costs account for the typical inclusive general </w:t>
            </w:r>
            <w:r w:rsidRPr="007770BA">
              <w:rPr>
                <w:rFonts w:ascii="Calibri" w:hAnsi="Calibri" w:cs="Calibri"/>
                <w:color w:val="000000"/>
                <w:sz w:val="18"/>
                <w:szCs w:val="18"/>
              </w:rPr>
              <w:t>office services packages that include expenses for email, fax, copying, mailing, printing, and internet.</w:t>
            </w:r>
            <w:r w:rsidRPr="007770BA">
              <w:rPr>
                <w:rFonts w:ascii="Calibri" w:hAnsi="Calibri" w:cs="Calibri"/>
                <w:color w:val="000000"/>
                <w:sz w:val="18"/>
                <w:szCs w:val="18"/>
              </w:rPr>
              <w:br/>
              <w:t>** Each application is completed by two respondents: the transferor and the transferee. For these items, the Total # of Annual Responses (d) is calculated on a per-application basis, and the Cost Burden ($) / Response (i) represents the combined cost of both the transferor ($5) and the transferee ($5).</w:t>
            </w:r>
            <w:r w:rsidRPr="007770BA">
              <w:rPr>
                <w:rFonts w:ascii="Calibri" w:hAnsi="Calibri" w:cs="Calibri"/>
                <w:color w:val="000000"/>
                <w:sz w:val="18"/>
                <w:szCs w:val="18"/>
              </w:rPr>
              <w:br/>
              <w:t>*** Unique respondents. Some participants in the CQE Program submit more than one instrument in this in</w:t>
            </w:r>
            <w:r w:rsidRPr="007770BA">
              <w:rPr>
                <w:rFonts w:ascii="Calibri" w:hAnsi="Calibri" w:cs="Calibri"/>
                <w:color w:val="000000"/>
                <w:sz w:val="18"/>
                <w:szCs w:val="18"/>
              </w:rPr>
              <w:t xml:space="preserve">formation collection. Therefore, the total number of unique respondents is used to show the estimated number of individual participants who are expected to annually submit information during the renewal period for this information collection. The estimated number of unique respondents consist of the following: </w:t>
            </w:r>
            <w:r w:rsidRPr="00235675" w:rsidR="00235675">
              <w:rPr>
                <w:rFonts w:ascii="Calibri" w:hAnsi="Calibri" w:cs="Calibri"/>
                <w:color w:val="000000"/>
                <w:sz w:val="18"/>
                <w:szCs w:val="18"/>
              </w:rPr>
              <w:t>1 CQE applicant, 23 CQES, 26 IFQ holders (33 QS/IFQ holders), 5 CHP holders, 7 To/From CQE.</w:t>
            </w:r>
          </w:p>
        </w:tc>
      </w:tr>
    </w:tbl>
    <w:p w:rsidR="00050C0C" w14:paraId="6C8ECCD3" w14:textId="09BFE958">
      <w:pPr>
        <w:pBdr>
          <w:top w:val="nil"/>
          <w:left w:val="nil"/>
          <w:bottom w:val="nil"/>
          <w:right w:val="nil"/>
          <w:between w:val="nil"/>
        </w:pBdr>
        <w:spacing w:before="7"/>
        <w:rPr>
          <w:b/>
          <w:color w:val="000000"/>
        </w:rPr>
      </w:pPr>
    </w:p>
    <w:p w:rsidR="000315B2" w14:paraId="226785F9" w14:textId="788B735A">
      <w:pPr>
        <w:pBdr>
          <w:top w:val="nil"/>
          <w:left w:val="nil"/>
          <w:bottom w:val="nil"/>
          <w:right w:val="nil"/>
          <w:between w:val="nil"/>
        </w:pBdr>
        <w:spacing w:before="7"/>
        <w:rPr>
          <w:b/>
          <w:color w:val="000000"/>
        </w:rPr>
      </w:pPr>
    </w:p>
    <w:p w:rsidR="00FE5BEF" w14:paraId="65E51C2E" w14:textId="77777777">
      <w:pPr>
        <w:pBdr>
          <w:top w:val="nil"/>
          <w:left w:val="nil"/>
          <w:bottom w:val="nil"/>
          <w:right w:val="nil"/>
          <w:between w:val="nil"/>
        </w:pBdr>
        <w:spacing w:before="7"/>
        <w:rPr>
          <w:b/>
          <w:color w:val="000000"/>
        </w:rPr>
        <w:sectPr w:rsidSect="00FE5BEF">
          <w:pgSz w:w="15840" w:h="12240" w:orient="landscape"/>
          <w:pgMar w:top="1080" w:right="640" w:bottom="1080" w:left="1200" w:header="0" w:footer="714" w:gutter="0"/>
          <w:cols w:space="720"/>
          <w:docGrid w:linePitch="326"/>
        </w:sectPr>
      </w:pPr>
    </w:p>
    <w:p w:rsidR="000315B2" w14:paraId="7B44CE97" w14:textId="77777777">
      <w:pPr>
        <w:pBdr>
          <w:top w:val="nil"/>
          <w:left w:val="nil"/>
          <w:bottom w:val="nil"/>
          <w:right w:val="nil"/>
          <w:between w:val="nil"/>
        </w:pBdr>
        <w:spacing w:before="7"/>
        <w:rPr>
          <w:b/>
          <w:color w:val="000000"/>
        </w:rPr>
      </w:pPr>
    </w:p>
    <w:p w:rsidR="00715C05" w:rsidRPr="004321D0" w:rsidP="004321D0" w14:paraId="531016F0" w14:textId="04DA16F3">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w:t>
      </w:r>
      <w:r>
        <w:rPr>
          <w:b/>
          <w:color w:val="000000"/>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15C05" w14:paraId="3CB7B0D4" w14:textId="6E07820A">
      <w:pPr>
        <w:spacing w:before="9" w:after="1"/>
        <w:rPr>
          <w:b/>
        </w:rPr>
      </w:pPr>
    </w:p>
    <w:p w:rsidR="00715C05" w:rsidP="00715C05" w14:paraId="0197AA99" w14:textId="1BA328FA">
      <w:pPr>
        <w:widowControl/>
        <w:pBdr>
          <w:top w:val="nil"/>
          <w:left w:val="nil"/>
          <w:bottom w:val="nil"/>
          <w:right w:val="nil"/>
          <w:between w:val="nil"/>
        </w:pBdr>
      </w:pPr>
      <w:r w:rsidRPr="00C30CB7">
        <w:rPr>
          <w:rFonts w:eastAsia="SimSun"/>
          <w:color w:val="000000"/>
        </w:rPr>
        <w:t xml:space="preserve">Federal government costs are based on </w:t>
      </w:r>
      <w:r>
        <w:rPr>
          <w:rFonts w:eastAsia="SimSun"/>
          <w:color w:val="000000"/>
        </w:rPr>
        <w:t xml:space="preserve">the </w:t>
      </w:r>
      <w:r>
        <w:rPr>
          <w:rFonts w:eastAsia="SimSun"/>
          <w:color w:val="000000"/>
        </w:rPr>
        <w:t>salary of one employee at ZP-3 s</w:t>
      </w:r>
      <w:r w:rsidRPr="00C30CB7">
        <w:rPr>
          <w:rFonts w:eastAsia="SimSun"/>
          <w:color w:val="000000"/>
        </w:rPr>
        <w:t>tep 3 in Juneau, Alaska</w:t>
      </w:r>
      <w:r w:rsidRPr="00345E1A">
        <w:rPr>
          <w:rFonts w:eastAsia="SimSun"/>
          <w:color w:val="000000"/>
        </w:rPr>
        <w:t>. The fully loaded salary cost includes 52 percent of the salary to account for benefits and other overhead costs.</w:t>
      </w:r>
      <w:r w:rsidRPr="00345E1A">
        <w:t xml:space="preserve"> The grade and step are from the 2025 pay tables for the Department of Commerce Alternative Personnel System (CAPS)</w:t>
      </w:r>
      <w:r>
        <w:rPr>
          <w:rStyle w:val="FootnoteReference"/>
        </w:rPr>
        <w:footnoteReference w:id="20"/>
      </w:r>
      <w:r w:rsidRPr="00F16D16">
        <w:t>. The general schedule grade equivalent for CAPS is included in parentheses.</w:t>
      </w:r>
    </w:p>
    <w:p w:rsidR="004A2DB3" w:rsidP="00715C05" w14:paraId="741A6E12" w14:textId="5C3D27A8">
      <w:pPr>
        <w:widowControl/>
        <w:pBdr>
          <w:top w:val="nil"/>
          <w:left w:val="nil"/>
          <w:bottom w:val="nil"/>
          <w:right w:val="nil"/>
          <w:between w:val="nil"/>
        </w:pBdr>
      </w:pPr>
    </w:p>
    <w:p w:rsidR="004A2DB3" w:rsidP="00715C05" w14:paraId="31273E62" w14:textId="01C905AB">
      <w:pPr>
        <w:widowControl/>
        <w:pBdr>
          <w:top w:val="nil"/>
          <w:left w:val="nil"/>
          <w:bottom w:val="nil"/>
          <w:right w:val="nil"/>
          <w:between w:val="nil"/>
        </w:pBdr>
      </w:pPr>
      <w:r w:rsidRPr="004A2DB3">
        <w:t xml:space="preserve">The calculated Federal labor hours are incurred by Restricted Access Management (RAM) staff, whose responsibilities include </w:t>
      </w:r>
      <w:r>
        <w:t>reviewing and processing applications and forms</w:t>
      </w:r>
      <w:r w:rsidRPr="004A2DB3">
        <w:t xml:space="preserve"> under the CQE Program</w:t>
      </w:r>
      <w:r>
        <w:t>.</w:t>
      </w:r>
    </w:p>
    <w:p w:rsidR="00130145" w:rsidP="00130145" w14:paraId="0B8098E6" w14:textId="77777777">
      <w:pPr>
        <w:pStyle w:val="NormalWeb"/>
      </w:pPr>
      <w:r>
        <w:t>The loaded salary cost was determined as follows:</w:t>
      </w:r>
    </w:p>
    <w:p w:rsidR="00130145" w:rsidRPr="00130145" w:rsidP="00130145" w14:paraId="5F7662CE" w14:textId="76F97183">
      <w:pPr>
        <w:pStyle w:val="NormalWeb"/>
        <w:numPr>
          <w:ilvl w:val="0"/>
          <w:numId w:val="20"/>
        </w:numPr>
      </w:pPr>
      <w:r>
        <w:t xml:space="preserve">2025 </w:t>
      </w:r>
      <w:r>
        <w:t xml:space="preserve">ZP-3 </w:t>
      </w:r>
      <w:r w:rsidRPr="00130145">
        <w:t xml:space="preserve">step 3 in Juneau, Alaska (Base Salary) = </w:t>
      </w:r>
      <w:r w:rsidRPr="00130145">
        <w:t>$130,271</w:t>
      </w:r>
    </w:p>
    <w:p w:rsidR="00130145" w:rsidRPr="00130145" w:rsidP="00130145" w14:paraId="5BB95BF7" w14:textId="77777777">
      <w:pPr>
        <w:pStyle w:val="NormalWeb"/>
        <w:numPr>
          <w:ilvl w:val="0"/>
          <w:numId w:val="20"/>
        </w:numPr>
      </w:pPr>
      <w:r w:rsidRPr="00130145">
        <w:t xml:space="preserve">Loaded Salary Calculation ($130,271 </w:t>
      </w:r>
      <w:r w:rsidRPr="00130145">
        <w:rPr>
          <w:rStyle w:val="mord"/>
          <w:rFonts w:eastAsia="Arial"/>
        </w:rPr>
        <w:t>×</w:t>
      </w:r>
      <w:r w:rsidRPr="00130145">
        <w:t xml:space="preserve"> 1.52) = $198,012</w:t>
      </w:r>
    </w:p>
    <w:p w:rsidR="00715C05" w:rsidRPr="00130145" w:rsidP="00130145" w14:paraId="7E533046" w14:textId="2A3F3A70">
      <w:pPr>
        <w:pStyle w:val="NormalWeb"/>
        <w:numPr>
          <w:ilvl w:val="0"/>
          <w:numId w:val="20"/>
        </w:numPr>
      </w:pPr>
      <w:r w:rsidRPr="00130145">
        <w:t>Percent of Effort Calculation (253 annual hours / 2,087 work hours) = 0.121 or about 12.1% of effort.</w:t>
      </w:r>
    </w:p>
    <w:p w:rsidR="00715C05" w:rsidRPr="0090332B" w:rsidP="00715C05" w14:paraId="586FE7DD" w14:textId="4A1A3C99">
      <w:pPr>
        <w:widowControl/>
        <w:pBdr>
          <w:top w:val="nil"/>
          <w:left w:val="nil"/>
          <w:bottom w:val="nil"/>
          <w:right w:val="nil"/>
          <w:between w:val="nil"/>
        </w:pBdr>
        <w:rPr>
          <w:rFonts w:eastAsia="SimSun"/>
          <w:color w:val="000000"/>
        </w:rPr>
      </w:pPr>
      <w:r>
        <w:rPr>
          <w:rFonts w:eastAsia="SimSun"/>
          <w:color w:val="000000"/>
        </w:rPr>
        <w:t>The t</w:t>
      </w:r>
      <w:r w:rsidRPr="0090332B">
        <w:rPr>
          <w:rFonts w:eastAsia="SimSun"/>
          <w:color w:val="000000"/>
        </w:rPr>
        <w:t xml:space="preserve">otal cost to </w:t>
      </w:r>
      <w:r>
        <w:rPr>
          <w:rFonts w:eastAsia="SimSun"/>
          <w:color w:val="000000"/>
        </w:rPr>
        <w:t xml:space="preserve">Federal </w:t>
      </w:r>
      <w:r w:rsidRPr="0090332B">
        <w:rPr>
          <w:rFonts w:eastAsia="SimSun"/>
          <w:color w:val="000000"/>
        </w:rPr>
        <w:t>government = $1</w:t>
      </w:r>
      <w:r>
        <w:rPr>
          <w:rFonts w:eastAsia="SimSun"/>
          <w:color w:val="000000"/>
        </w:rPr>
        <w:t>98,012</w:t>
      </w:r>
      <w:r w:rsidRPr="0090332B">
        <w:rPr>
          <w:rFonts w:eastAsia="SimSun"/>
          <w:color w:val="000000"/>
        </w:rPr>
        <w:t xml:space="preserve"> x 0.12</w:t>
      </w:r>
      <w:r>
        <w:rPr>
          <w:rFonts w:eastAsia="SimSun"/>
          <w:color w:val="000000"/>
        </w:rPr>
        <w:t>1</w:t>
      </w:r>
      <w:r w:rsidRPr="0090332B">
        <w:rPr>
          <w:rFonts w:eastAsia="SimSun"/>
          <w:color w:val="000000"/>
        </w:rPr>
        <w:t xml:space="preserve"> = $23,</w:t>
      </w:r>
      <w:r>
        <w:rPr>
          <w:rFonts w:eastAsia="SimSun"/>
          <w:color w:val="000000"/>
        </w:rPr>
        <w:t>959.45</w:t>
      </w:r>
      <w:r w:rsidRPr="0090332B">
        <w:rPr>
          <w:rFonts w:eastAsia="SimSun"/>
          <w:color w:val="000000"/>
        </w:rPr>
        <w:t>.</w:t>
      </w:r>
      <w:r>
        <w:rPr>
          <w:rFonts w:eastAsia="SimSun"/>
          <w:color w:val="000000"/>
        </w:rPr>
        <w:t xml:space="preserve"> </w:t>
      </w:r>
      <w:r w:rsidRPr="0090332B">
        <w:rPr>
          <w:rFonts w:eastAsia="SimSun"/>
          <w:color w:val="000000"/>
        </w:rPr>
        <w:t xml:space="preserve"> </w:t>
      </w:r>
    </w:p>
    <w:p w:rsidR="00715C05" w:rsidRPr="0090332B" w:rsidP="00715C05" w14:paraId="581EDBA1" w14:textId="77777777">
      <w:pPr>
        <w:widowControl/>
        <w:pBdr>
          <w:top w:val="nil"/>
          <w:left w:val="nil"/>
          <w:bottom w:val="nil"/>
          <w:right w:val="nil"/>
          <w:between w:val="nil"/>
        </w:pBdr>
        <w:ind w:left="288"/>
      </w:pPr>
    </w:p>
    <w:tbl>
      <w:tblPr>
        <w:tblStyle w:val="4"/>
        <w:tblW w:w="10084" w:type="dxa"/>
        <w:jc w:val="center"/>
        <w:tblLayout w:type="fixed"/>
        <w:tblLook w:val="0400"/>
      </w:tblPr>
      <w:tblGrid>
        <w:gridCol w:w="2632"/>
        <w:gridCol w:w="1530"/>
        <w:gridCol w:w="1395"/>
        <w:gridCol w:w="1370"/>
        <w:gridCol w:w="1568"/>
        <w:gridCol w:w="1589"/>
      </w:tblGrid>
      <w:tr w14:paraId="7A7022B8" w14:textId="77777777" w:rsidTr="00484FD1">
        <w:tblPrEx>
          <w:tblW w:w="10084" w:type="dxa"/>
          <w:jc w:val="center"/>
          <w:tblLayout w:type="fixed"/>
          <w:tblLook w:val="0400"/>
        </w:tblPrEx>
        <w:trPr>
          <w:trHeight w:val="495"/>
          <w:jc w:val="center"/>
        </w:trPr>
        <w:tc>
          <w:tcPr>
            <w:tcW w:w="2632" w:type="dxa"/>
            <w:tcBorders>
              <w:top w:val="single" w:sz="8" w:space="0" w:color="000000"/>
              <w:left w:val="single" w:sz="8" w:space="0" w:color="000000"/>
              <w:bottom w:val="nil"/>
              <w:right w:val="single" w:sz="8" w:space="0" w:color="000000"/>
            </w:tcBorders>
            <w:shd w:val="clear" w:color="auto" w:fill="BDD7EE"/>
            <w:vAlign w:val="center"/>
          </w:tcPr>
          <w:p w:rsidR="00715C05" w:rsidRPr="00C30CB7" w:rsidP="00484FD1" w14:paraId="32DCA13B"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Cost Descriptions</w:t>
            </w:r>
          </w:p>
        </w:tc>
        <w:tc>
          <w:tcPr>
            <w:tcW w:w="1530" w:type="dxa"/>
            <w:tcBorders>
              <w:top w:val="single" w:sz="8" w:space="0" w:color="000000"/>
              <w:left w:val="nil"/>
              <w:bottom w:val="nil"/>
              <w:right w:val="single" w:sz="8" w:space="0" w:color="000000"/>
            </w:tcBorders>
            <w:shd w:val="clear" w:color="auto" w:fill="BDD7EE"/>
            <w:vAlign w:val="center"/>
          </w:tcPr>
          <w:p w:rsidR="00715C05" w:rsidRPr="00C30CB7" w:rsidP="00484FD1" w14:paraId="552223EE"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Grade/Step</w:t>
            </w:r>
          </w:p>
        </w:tc>
        <w:tc>
          <w:tcPr>
            <w:tcW w:w="1395" w:type="dxa"/>
            <w:tcBorders>
              <w:top w:val="single" w:sz="8" w:space="0" w:color="000000"/>
              <w:left w:val="nil"/>
              <w:bottom w:val="nil"/>
              <w:right w:val="single" w:sz="8" w:space="0" w:color="000000"/>
            </w:tcBorders>
            <w:shd w:val="clear" w:color="auto" w:fill="BDD7EE"/>
            <w:vAlign w:val="center"/>
          </w:tcPr>
          <w:p w:rsidR="00715C05" w:rsidRPr="00C30CB7" w:rsidP="00484FD1" w14:paraId="19C956F3"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Loaded Salary /Cost</w:t>
            </w:r>
          </w:p>
        </w:tc>
        <w:tc>
          <w:tcPr>
            <w:tcW w:w="1370" w:type="dxa"/>
            <w:tcBorders>
              <w:top w:val="single" w:sz="8" w:space="0" w:color="000000"/>
              <w:left w:val="nil"/>
              <w:bottom w:val="nil"/>
              <w:right w:val="single" w:sz="8" w:space="0" w:color="000000"/>
            </w:tcBorders>
            <w:shd w:val="clear" w:color="auto" w:fill="BDD7EE"/>
            <w:vAlign w:val="center"/>
          </w:tcPr>
          <w:p w:rsidR="00715C05" w:rsidRPr="00C30CB7" w:rsidP="00484FD1" w14:paraId="5C197AEC"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 of Effort</w:t>
            </w:r>
          </w:p>
        </w:tc>
        <w:tc>
          <w:tcPr>
            <w:tcW w:w="1568" w:type="dxa"/>
            <w:tcBorders>
              <w:top w:val="single" w:sz="8" w:space="0" w:color="000000"/>
              <w:left w:val="nil"/>
              <w:bottom w:val="nil"/>
              <w:right w:val="single" w:sz="8" w:space="0" w:color="000000"/>
            </w:tcBorders>
            <w:shd w:val="clear" w:color="auto" w:fill="BDD7EE"/>
            <w:vAlign w:val="center"/>
          </w:tcPr>
          <w:p w:rsidR="00715C05" w:rsidRPr="00C30CB7" w:rsidP="00484FD1" w14:paraId="588D96FC"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Fringe (if Applicable)</w:t>
            </w:r>
          </w:p>
        </w:tc>
        <w:tc>
          <w:tcPr>
            <w:tcW w:w="1589" w:type="dxa"/>
            <w:tcBorders>
              <w:top w:val="single" w:sz="8" w:space="0" w:color="000000"/>
              <w:left w:val="nil"/>
              <w:bottom w:val="nil"/>
              <w:right w:val="single" w:sz="8" w:space="0" w:color="000000"/>
            </w:tcBorders>
            <w:shd w:val="clear" w:color="auto" w:fill="BDD7EE"/>
            <w:vAlign w:val="center"/>
          </w:tcPr>
          <w:p w:rsidR="00715C05" w:rsidRPr="00C30CB7" w:rsidP="00484FD1" w14:paraId="4AE626ED"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Total Cost to Government</w:t>
            </w:r>
          </w:p>
        </w:tc>
      </w:tr>
      <w:tr w14:paraId="308B3D62" w14:textId="77777777" w:rsidTr="00484FD1">
        <w:tblPrEx>
          <w:tblW w:w="10084" w:type="dxa"/>
          <w:jc w:val="center"/>
          <w:tblLayout w:type="fixed"/>
          <w:tblLook w:val="0400"/>
        </w:tblPrEx>
        <w:trPr>
          <w:trHeight w:val="484"/>
          <w:jc w:val="center"/>
        </w:trPr>
        <w:tc>
          <w:tcPr>
            <w:tcW w:w="2632" w:type="dxa"/>
            <w:tcBorders>
              <w:top w:val="single" w:sz="4" w:space="0" w:color="000000"/>
              <w:left w:val="single" w:sz="8" w:space="0" w:color="000000"/>
              <w:bottom w:val="single" w:sz="4" w:space="0" w:color="000000"/>
              <w:right w:val="single" w:sz="8" w:space="0" w:color="000000"/>
            </w:tcBorders>
            <w:shd w:val="clear" w:color="auto" w:fill="auto"/>
            <w:vAlign w:val="center"/>
          </w:tcPr>
          <w:p w:rsidR="00715C05" w:rsidRPr="00C30CB7" w:rsidP="00484FD1" w14:paraId="3AF0D7C4" w14:textId="77777777">
            <w:pPr>
              <w:widowControl/>
              <w:rPr>
                <w:rFonts w:ascii="Calibri" w:hAnsi="Calibri" w:cs="Calibri"/>
                <w:b/>
                <w:color w:val="000000"/>
                <w:sz w:val="18"/>
                <w:szCs w:val="18"/>
              </w:rPr>
            </w:pPr>
            <w:r w:rsidRPr="00C30CB7">
              <w:rPr>
                <w:rFonts w:ascii="Calibri" w:hAnsi="Calibri" w:cs="Calibri"/>
                <w:b/>
                <w:color w:val="000000"/>
                <w:sz w:val="18"/>
                <w:szCs w:val="18"/>
              </w:rPr>
              <w:t>Federal Oversight</w:t>
            </w:r>
          </w:p>
        </w:tc>
        <w:tc>
          <w:tcPr>
            <w:tcW w:w="1530" w:type="dxa"/>
            <w:tcBorders>
              <w:top w:val="single" w:sz="4" w:space="0" w:color="000000"/>
              <w:left w:val="nil"/>
              <w:bottom w:val="single" w:sz="4" w:space="0" w:color="000000"/>
              <w:right w:val="single" w:sz="4" w:space="0" w:color="000000"/>
            </w:tcBorders>
            <w:shd w:val="clear" w:color="auto" w:fill="auto"/>
            <w:vAlign w:val="center"/>
          </w:tcPr>
          <w:p w:rsidR="00715C05" w:rsidP="00484FD1" w14:paraId="44925BD6" w14:textId="77777777">
            <w:pPr>
              <w:widowControl/>
              <w:jc w:val="center"/>
              <w:rPr>
                <w:rFonts w:ascii="Calibri" w:hAnsi="Calibri" w:cs="Calibri"/>
                <w:color w:val="000000"/>
                <w:sz w:val="18"/>
                <w:szCs w:val="18"/>
              </w:rPr>
            </w:pPr>
            <w:r>
              <w:rPr>
                <w:rFonts w:ascii="Calibri" w:hAnsi="Calibri" w:cs="Calibri"/>
                <w:color w:val="000000"/>
                <w:sz w:val="18"/>
                <w:szCs w:val="18"/>
              </w:rPr>
              <w:t>ZP-3 step 3</w:t>
            </w:r>
          </w:p>
          <w:p w:rsidR="00715C05" w:rsidRPr="00C30CB7" w:rsidP="00484FD1" w14:paraId="3DD9EE38" w14:textId="77777777">
            <w:pPr>
              <w:widowControl/>
              <w:jc w:val="center"/>
              <w:rPr>
                <w:rFonts w:ascii="Calibri" w:hAnsi="Calibri" w:cs="Calibri"/>
                <w:color w:val="000000"/>
                <w:sz w:val="18"/>
                <w:szCs w:val="18"/>
              </w:rPr>
            </w:pPr>
            <w:r>
              <w:rPr>
                <w:rFonts w:ascii="Calibri" w:hAnsi="Calibri" w:cs="Calibri"/>
                <w:color w:val="000000"/>
                <w:sz w:val="18"/>
                <w:szCs w:val="18"/>
              </w:rPr>
              <w:t>(</w:t>
            </w:r>
            <w:r w:rsidRPr="00C30CB7">
              <w:rPr>
                <w:rFonts w:ascii="Calibri" w:hAnsi="Calibri" w:cs="Calibri"/>
                <w:color w:val="000000"/>
                <w:sz w:val="18"/>
                <w:szCs w:val="18"/>
              </w:rPr>
              <w:t>GS 11-12</w:t>
            </w:r>
            <w:r>
              <w:rPr>
                <w:rFonts w:ascii="Calibri" w:hAnsi="Calibri" w:cs="Calibri"/>
                <w:color w:val="000000"/>
                <w:sz w:val="18"/>
                <w:szCs w:val="18"/>
              </w:rPr>
              <w:t>)</w:t>
            </w:r>
          </w:p>
        </w:tc>
        <w:tc>
          <w:tcPr>
            <w:tcW w:w="1395" w:type="dxa"/>
            <w:tcBorders>
              <w:top w:val="single" w:sz="4" w:space="0" w:color="000000"/>
              <w:left w:val="nil"/>
              <w:bottom w:val="single" w:sz="4" w:space="0" w:color="000000"/>
              <w:right w:val="single" w:sz="4" w:space="0" w:color="000000"/>
            </w:tcBorders>
            <w:shd w:val="clear" w:color="auto" w:fill="auto"/>
            <w:vAlign w:val="center"/>
          </w:tcPr>
          <w:p w:rsidR="00715C05" w:rsidRPr="00C30CB7" w:rsidP="00484FD1" w14:paraId="6C94AD23" w14:textId="77777777">
            <w:pPr>
              <w:widowControl/>
              <w:jc w:val="center"/>
              <w:rPr>
                <w:rFonts w:ascii="Calibri" w:hAnsi="Calibri" w:cs="Calibri"/>
                <w:color w:val="000000"/>
                <w:sz w:val="18"/>
                <w:szCs w:val="18"/>
              </w:rPr>
            </w:pPr>
            <w:r w:rsidRPr="00C30CB7">
              <w:rPr>
                <w:rFonts w:ascii="Calibri" w:hAnsi="Calibri" w:cs="Calibri"/>
                <w:color w:val="000000"/>
                <w:sz w:val="18"/>
                <w:szCs w:val="18"/>
              </w:rPr>
              <w:t>$</w:t>
            </w:r>
            <w:r>
              <w:rPr>
                <w:rFonts w:ascii="Calibri" w:hAnsi="Calibri" w:cs="Calibri"/>
                <w:color w:val="000000"/>
                <w:sz w:val="18"/>
                <w:szCs w:val="18"/>
              </w:rPr>
              <w:t>198,012</w:t>
            </w:r>
          </w:p>
        </w:tc>
        <w:tc>
          <w:tcPr>
            <w:tcW w:w="1370" w:type="dxa"/>
            <w:tcBorders>
              <w:top w:val="single" w:sz="4" w:space="0" w:color="000000"/>
              <w:left w:val="nil"/>
              <w:bottom w:val="single" w:sz="4" w:space="0" w:color="000000"/>
              <w:right w:val="single" w:sz="4" w:space="0" w:color="000000"/>
            </w:tcBorders>
            <w:shd w:val="clear" w:color="auto" w:fill="auto"/>
            <w:vAlign w:val="center"/>
          </w:tcPr>
          <w:p w:rsidR="00715C05" w:rsidRPr="00C30CB7" w:rsidP="00484FD1" w14:paraId="1EC30CE8" w14:textId="3125A2BA">
            <w:pPr>
              <w:widowControl/>
              <w:jc w:val="center"/>
              <w:rPr>
                <w:rFonts w:ascii="Calibri" w:hAnsi="Calibri" w:cs="Calibri"/>
                <w:color w:val="000000"/>
                <w:sz w:val="18"/>
                <w:szCs w:val="18"/>
              </w:rPr>
            </w:pPr>
            <w:r w:rsidRPr="00C30CB7">
              <w:rPr>
                <w:rFonts w:ascii="Calibri" w:hAnsi="Calibri" w:cs="Calibri"/>
                <w:color w:val="000000"/>
                <w:sz w:val="18"/>
                <w:szCs w:val="18"/>
              </w:rPr>
              <w:t>12</w:t>
            </w:r>
            <w:r w:rsidR="00130145">
              <w:rPr>
                <w:rFonts w:ascii="Calibri" w:hAnsi="Calibri" w:cs="Calibri"/>
                <w:color w:val="000000"/>
                <w:sz w:val="18"/>
                <w:szCs w:val="18"/>
              </w:rPr>
              <w:t>.1</w:t>
            </w:r>
            <w:r w:rsidRPr="00C30CB7">
              <w:rPr>
                <w:rFonts w:ascii="Calibri" w:hAnsi="Calibri" w:cs="Calibri"/>
                <w:color w:val="000000"/>
                <w:sz w:val="18"/>
                <w:szCs w:val="18"/>
              </w:rPr>
              <w:t>%</w:t>
            </w:r>
          </w:p>
        </w:tc>
        <w:tc>
          <w:tcPr>
            <w:tcW w:w="1568" w:type="dxa"/>
            <w:tcBorders>
              <w:top w:val="single" w:sz="4" w:space="0" w:color="000000"/>
              <w:left w:val="nil"/>
              <w:bottom w:val="single" w:sz="4" w:space="0" w:color="000000"/>
              <w:right w:val="single" w:sz="4" w:space="0" w:color="000000"/>
            </w:tcBorders>
            <w:shd w:val="clear" w:color="auto" w:fill="808080"/>
            <w:vAlign w:val="center"/>
          </w:tcPr>
          <w:p w:rsidR="00715C05" w:rsidRPr="00C30CB7" w:rsidP="00484FD1" w14:paraId="3BD2D70E" w14:textId="77777777">
            <w:pPr>
              <w:widowControl/>
              <w:jc w:val="center"/>
              <w:rPr>
                <w:rFonts w:ascii="Calibri" w:hAnsi="Calibri" w:cs="Calibri"/>
                <w:color w:val="000000"/>
                <w:sz w:val="18"/>
                <w:szCs w:val="18"/>
              </w:rPr>
            </w:pPr>
          </w:p>
        </w:tc>
        <w:tc>
          <w:tcPr>
            <w:tcW w:w="1589" w:type="dxa"/>
            <w:tcBorders>
              <w:top w:val="single" w:sz="4" w:space="0" w:color="000000"/>
              <w:left w:val="nil"/>
              <w:bottom w:val="single" w:sz="4" w:space="0" w:color="000000"/>
              <w:right w:val="single" w:sz="8" w:space="0" w:color="000000"/>
            </w:tcBorders>
            <w:shd w:val="clear" w:color="auto" w:fill="auto"/>
            <w:vAlign w:val="center"/>
          </w:tcPr>
          <w:p w:rsidR="00715C05" w:rsidRPr="00C30CB7" w:rsidP="00484FD1" w14:paraId="22910576" w14:textId="028DF037">
            <w:pPr>
              <w:widowControl/>
              <w:jc w:val="center"/>
              <w:rPr>
                <w:rFonts w:ascii="Calibri" w:hAnsi="Calibri" w:cs="Calibri"/>
                <w:color w:val="000000"/>
                <w:sz w:val="18"/>
                <w:szCs w:val="18"/>
              </w:rPr>
            </w:pPr>
            <w:r w:rsidRPr="00C30CB7">
              <w:rPr>
                <w:rFonts w:ascii="Calibri" w:hAnsi="Calibri" w:cs="Calibri"/>
                <w:color w:val="000000"/>
                <w:sz w:val="18"/>
                <w:szCs w:val="18"/>
              </w:rPr>
              <w:t>$2</w:t>
            </w:r>
            <w:r>
              <w:rPr>
                <w:rFonts w:ascii="Calibri" w:hAnsi="Calibri" w:cs="Calibri"/>
                <w:color w:val="000000"/>
                <w:sz w:val="18"/>
                <w:szCs w:val="18"/>
              </w:rPr>
              <w:t>3,</w:t>
            </w:r>
            <w:r w:rsidR="00130145">
              <w:rPr>
                <w:rFonts w:ascii="Calibri" w:hAnsi="Calibri" w:cs="Calibri"/>
                <w:color w:val="000000"/>
                <w:sz w:val="18"/>
                <w:szCs w:val="18"/>
              </w:rPr>
              <w:t>9</w:t>
            </w:r>
            <w:r w:rsidR="0009442D">
              <w:rPr>
                <w:rFonts w:ascii="Calibri" w:hAnsi="Calibri" w:cs="Calibri"/>
                <w:color w:val="000000"/>
                <w:sz w:val="18"/>
                <w:szCs w:val="18"/>
              </w:rPr>
              <w:t>5</w:t>
            </w:r>
            <w:r w:rsidR="00130145">
              <w:rPr>
                <w:rFonts w:ascii="Calibri" w:hAnsi="Calibri" w:cs="Calibri"/>
                <w:color w:val="000000"/>
                <w:sz w:val="18"/>
                <w:szCs w:val="18"/>
              </w:rPr>
              <w:t>9.45</w:t>
            </w:r>
          </w:p>
        </w:tc>
      </w:tr>
      <w:tr w14:paraId="5F00AFB9" w14:textId="77777777" w:rsidTr="00484FD1">
        <w:tblPrEx>
          <w:tblW w:w="10084" w:type="dxa"/>
          <w:jc w:val="center"/>
          <w:tblLayout w:type="fixed"/>
          <w:tblLook w:val="0400"/>
        </w:tblPrEx>
        <w:trPr>
          <w:trHeight w:val="354"/>
          <w:jc w:val="center"/>
        </w:trPr>
        <w:tc>
          <w:tcPr>
            <w:tcW w:w="2632" w:type="dxa"/>
            <w:tcBorders>
              <w:top w:val="nil"/>
              <w:left w:val="single" w:sz="8" w:space="0" w:color="000000"/>
              <w:bottom w:val="single" w:sz="4" w:space="0" w:color="000000"/>
              <w:right w:val="single" w:sz="8" w:space="0" w:color="000000"/>
            </w:tcBorders>
            <w:shd w:val="clear" w:color="auto" w:fill="auto"/>
            <w:vAlign w:val="center"/>
          </w:tcPr>
          <w:p w:rsidR="00715C05" w:rsidRPr="00C30CB7" w:rsidP="00484FD1" w14:paraId="68BEB74F" w14:textId="77777777">
            <w:pPr>
              <w:widowControl/>
              <w:jc w:val="center"/>
              <w:rPr>
                <w:rFonts w:ascii="Calibri" w:hAnsi="Calibri" w:cs="Calibri"/>
                <w:b/>
                <w:color w:val="000000"/>
                <w:sz w:val="18"/>
                <w:szCs w:val="18"/>
              </w:rPr>
            </w:pPr>
            <w:r w:rsidRPr="00C30CB7">
              <w:rPr>
                <w:rFonts w:ascii="Calibri" w:hAnsi="Calibri" w:cs="Calibri"/>
                <w:b/>
                <w:color w:val="000000"/>
                <w:sz w:val="18"/>
                <w:szCs w:val="18"/>
              </w:rPr>
              <w:t>Contractor Cost</w:t>
            </w:r>
          </w:p>
        </w:tc>
        <w:tc>
          <w:tcPr>
            <w:tcW w:w="1530" w:type="dxa"/>
            <w:tcBorders>
              <w:top w:val="nil"/>
              <w:left w:val="nil"/>
              <w:bottom w:val="single" w:sz="4" w:space="0" w:color="000000"/>
              <w:right w:val="single" w:sz="4" w:space="0" w:color="000000"/>
            </w:tcBorders>
            <w:shd w:val="clear" w:color="auto" w:fill="808080"/>
            <w:vAlign w:val="center"/>
          </w:tcPr>
          <w:p w:rsidR="00715C05" w:rsidRPr="00C30CB7" w:rsidP="00484FD1" w14:paraId="778B4250" w14:textId="77777777">
            <w:pPr>
              <w:widowControl/>
              <w:jc w:val="center"/>
              <w:rPr>
                <w:rFonts w:ascii="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auto"/>
            <w:vAlign w:val="center"/>
          </w:tcPr>
          <w:p w:rsidR="00715C05" w:rsidRPr="00C30CB7" w:rsidP="00484FD1" w14:paraId="347BF77E" w14:textId="77777777">
            <w:pPr>
              <w:widowControl/>
              <w:jc w:val="center"/>
              <w:rPr>
                <w:rFonts w:ascii="Calibri" w:hAnsi="Calibri" w:cs="Calibri"/>
                <w:color w:val="000000"/>
                <w:sz w:val="18"/>
                <w:szCs w:val="18"/>
              </w:rPr>
            </w:pPr>
          </w:p>
        </w:tc>
        <w:tc>
          <w:tcPr>
            <w:tcW w:w="1370" w:type="dxa"/>
            <w:tcBorders>
              <w:top w:val="nil"/>
              <w:left w:val="nil"/>
              <w:bottom w:val="single" w:sz="4" w:space="0" w:color="000000"/>
              <w:right w:val="single" w:sz="4" w:space="0" w:color="000000"/>
            </w:tcBorders>
            <w:shd w:val="clear" w:color="auto" w:fill="auto"/>
            <w:vAlign w:val="center"/>
          </w:tcPr>
          <w:p w:rsidR="00715C05" w:rsidRPr="00C30CB7" w:rsidP="00484FD1" w14:paraId="12D25D24" w14:textId="77777777">
            <w:pPr>
              <w:widowControl/>
              <w:jc w:val="center"/>
              <w:rPr>
                <w:rFonts w:ascii="Calibri" w:hAnsi="Calibri" w:cs="Calibri"/>
                <w:color w:val="000000"/>
                <w:sz w:val="18"/>
                <w:szCs w:val="18"/>
              </w:rPr>
            </w:pPr>
          </w:p>
        </w:tc>
        <w:tc>
          <w:tcPr>
            <w:tcW w:w="1568" w:type="dxa"/>
            <w:tcBorders>
              <w:top w:val="nil"/>
              <w:left w:val="nil"/>
              <w:bottom w:val="single" w:sz="4" w:space="0" w:color="000000"/>
              <w:right w:val="single" w:sz="4" w:space="0" w:color="000000"/>
            </w:tcBorders>
            <w:shd w:val="clear" w:color="auto" w:fill="auto"/>
            <w:vAlign w:val="center"/>
          </w:tcPr>
          <w:p w:rsidR="00715C05" w:rsidRPr="00C30CB7" w:rsidP="00484FD1" w14:paraId="2B4BE2AE" w14:textId="77777777">
            <w:pPr>
              <w:widowControl/>
              <w:jc w:val="center"/>
              <w:rPr>
                <w:rFonts w:ascii="Calibri" w:hAnsi="Calibri" w:cs="Calibri"/>
                <w:color w:val="000000"/>
                <w:sz w:val="18"/>
                <w:szCs w:val="18"/>
              </w:rPr>
            </w:pPr>
          </w:p>
        </w:tc>
        <w:tc>
          <w:tcPr>
            <w:tcW w:w="1589" w:type="dxa"/>
            <w:tcBorders>
              <w:top w:val="nil"/>
              <w:left w:val="nil"/>
              <w:bottom w:val="single" w:sz="4" w:space="0" w:color="000000"/>
              <w:right w:val="single" w:sz="8" w:space="0" w:color="000000"/>
            </w:tcBorders>
            <w:shd w:val="clear" w:color="auto" w:fill="auto"/>
            <w:vAlign w:val="center"/>
          </w:tcPr>
          <w:p w:rsidR="00715C05" w:rsidRPr="00C30CB7" w:rsidP="00484FD1" w14:paraId="1943F452" w14:textId="77777777">
            <w:pPr>
              <w:widowControl/>
              <w:jc w:val="center"/>
              <w:rPr>
                <w:rFonts w:ascii="Calibri" w:hAnsi="Calibri" w:cs="Calibri"/>
                <w:color w:val="000000"/>
                <w:sz w:val="18"/>
                <w:szCs w:val="18"/>
              </w:rPr>
            </w:pPr>
            <w:r w:rsidRPr="00C30CB7">
              <w:rPr>
                <w:rFonts w:ascii="Calibri" w:hAnsi="Calibri" w:cs="Calibri"/>
                <w:color w:val="000000"/>
                <w:sz w:val="18"/>
                <w:szCs w:val="18"/>
              </w:rPr>
              <w:t>—</w:t>
            </w:r>
          </w:p>
        </w:tc>
      </w:tr>
      <w:tr w14:paraId="7392C224" w14:textId="77777777" w:rsidTr="00484FD1">
        <w:tblPrEx>
          <w:tblW w:w="10084" w:type="dxa"/>
          <w:jc w:val="center"/>
          <w:tblLayout w:type="fixed"/>
          <w:tblLook w:val="0400"/>
        </w:tblPrEx>
        <w:trPr>
          <w:trHeight w:val="330"/>
          <w:jc w:val="center"/>
        </w:trPr>
        <w:tc>
          <w:tcPr>
            <w:tcW w:w="2632" w:type="dxa"/>
            <w:tcBorders>
              <w:top w:val="nil"/>
              <w:left w:val="single" w:sz="8" w:space="0" w:color="000000"/>
              <w:bottom w:val="single" w:sz="4" w:space="0" w:color="000000"/>
              <w:right w:val="single" w:sz="8" w:space="0" w:color="000000"/>
            </w:tcBorders>
            <w:shd w:val="clear" w:color="auto" w:fill="auto"/>
            <w:vAlign w:val="center"/>
          </w:tcPr>
          <w:p w:rsidR="00715C05" w:rsidRPr="00C30CB7" w:rsidP="00484FD1" w14:paraId="3862466A" w14:textId="77777777">
            <w:pPr>
              <w:widowControl/>
              <w:rPr>
                <w:rFonts w:ascii="Calibri" w:hAnsi="Calibri" w:cs="Calibri"/>
                <w:b/>
                <w:color w:val="000000"/>
                <w:sz w:val="18"/>
                <w:szCs w:val="18"/>
              </w:rPr>
            </w:pPr>
            <w:r w:rsidRPr="00C30CB7">
              <w:rPr>
                <w:rFonts w:ascii="Calibri" w:hAnsi="Calibri" w:cs="Calibri"/>
                <w:b/>
                <w:color w:val="000000"/>
                <w:sz w:val="18"/>
                <w:szCs w:val="18"/>
              </w:rPr>
              <w:t>Travel</w:t>
            </w:r>
          </w:p>
        </w:tc>
        <w:tc>
          <w:tcPr>
            <w:tcW w:w="1530" w:type="dxa"/>
            <w:tcBorders>
              <w:top w:val="nil"/>
              <w:left w:val="nil"/>
              <w:bottom w:val="single" w:sz="4" w:space="0" w:color="000000"/>
              <w:right w:val="single" w:sz="4" w:space="0" w:color="000000"/>
            </w:tcBorders>
            <w:shd w:val="clear" w:color="auto" w:fill="808080"/>
            <w:vAlign w:val="center"/>
          </w:tcPr>
          <w:p w:rsidR="00715C05" w:rsidRPr="00C30CB7" w:rsidP="00484FD1" w14:paraId="2D34342A" w14:textId="77777777">
            <w:pPr>
              <w:widowControl/>
              <w:jc w:val="center"/>
              <w:rPr>
                <w:rFonts w:ascii="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715C05" w:rsidRPr="00C30CB7" w:rsidP="00484FD1" w14:paraId="46C1F910" w14:textId="77777777">
            <w:pPr>
              <w:widowControl/>
              <w:jc w:val="center"/>
              <w:rPr>
                <w:rFonts w:ascii="Calibri" w:hAnsi="Calibri" w:cs="Calibri"/>
                <w:color w:val="000000"/>
                <w:sz w:val="18"/>
                <w:szCs w:val="18"/>
              </w:rPr>
            </w:pPr>
          </w:p>
        </w:tc>
        <w:tc>
          <w:tcPr>
            <w:tcW w:w="1370" w:type="dxa"/>
            <w:tcBorders>
              <w:top w:val="nil"/>
              <w:left w:val="nil"/>
              <w:bottom w:val="single" w:sz="4" w:space="0" w:color="000000"/>
              <w:right w:val="single" w:sz="4" w:space="0" w:color="000000"/>
            </w:tcBorders>
            <w:shd w:val="clear" w:color="auto" w:fill="808080"/>
            <w:vAlign w:val="center"/>
          </w:tcPr>
          <w:p w:rsidR="00715C05" w:rsidRPr="00C30CB7" w:rsidP="00484FD1" w14:paraId="1A7CB16F" w14:textId="77777777">
            <w:pPr>
              <w:widowControl/>
              <w:jc w:val="center"/>
              <w:rPr>
                <w:rFonts w:ascii="Calibri" w:hAnsi="Calibri" w:cs="Calibri"/>
                <w:color w:val="000000"/>
                <w:sz w:val="18"/>
                <w:szCs w:val="18"/>
              </w:rPr>
            </w:pPr>
          </w:p>
        </w:tc>
        <w:tc>
          <w:tcPr>
            <w:tcW w:w="1568" w:type="dxa"/>
            <w:tcBorders>
              <w:top w:val="nil"/>
              <w:left w:val="nil"/>
              <w:bottom w:val="single" w:sz="4" w:space="0" w:color="000000"/>
              <w:right w:val="single" w:sz="4" w:space="0" w:color="000000"/>
            </w:tcBorders>
            <w:shd w:val="clear" w:color="auto" w:fill="808080"/>
            <w:vAlign w:val="center"/>
          </w:tcPr>
          <w:p w:rsidR="00715C05" w:rsidRPr="00C30CB7" w:rsidP="00484FD1" w14:paraId="3CAFA1E7" w14:textId="77777777">
            <w:pPr>
              <w:widowControl/>
              <w:jc w:val="center"/>
              <w:rPr>
                <w:rFonts w:ascii="Calibri" w:hAnsi="Calibri" w:cs="Calibri"/>
                <w:color w:val="000000"/>
                <w:sz w:val="18"/>
                <w:szCs w:val="18"/>
              </w:rPr>
            </w:pPr>
          </w:p>
        </w:tc>
        <w:tc>
          <w:tcPr>
            <w:tcW w:w="1589" w:type="dxa"/>
            <w:tcBorders>
              <w:top w:val="nil"/>
              <w:left w:val="nil"/>
              <w:bottom w:val="single" w:sz="4" w:space="0" w:color="000000"/>
              <w:right w:val="single" w:sz="8" w:space="0" w:color="000000"/>
            </w:tcBorders>
            <w:shd w:val="clear" w:color="auto" w:fill="auto"/>
            <w:vAlign w:val="center"/>
          </w:tcPr>
          <w:p w:rsidR="00715C05" w:rsidRPr="00C30CB7" w:rsidP="00484FD1" w14:paraId="38E2E5B2" w14:textId="77777777">
            <w:pPr>
              <w:widowControl/>
              <w:jc w:val="center"/>
              <w:rPr>
                <w:rFonts w:ascii="Calibri" w:hAnsi="Calibri" w:cs="Calibri"/>
                <w:color w:val="000000"/>
                <w:sz w:val="18"/>
                <w:szCs w:val="18"/>
              </w:rPr>
            </w:pPr>
            <w:r w:rsidRPr="00C30CB7">
              <w:rPr>
                <w:rFonts w:ascii="Calibri" w:hAnsi="Calibri" w:cs="Calibri"/>
                <w:color w:val="000000"/>
                <w:sz w:val="18"/>
                <w:szCs w:val="18"/>
              </w:rPr>
              <w:t>—</w:t>
            </w:r>
          </w:p>
        </w:tc>
      </w:tr>
      <w:tr w14:paraId="2E6A5538" w14:textId="77777777" w:rsidTr="00484FD1">
        <w:tblPrEx>
          <w:tblW w:w="10084" w:type="dxa"/>
          <w:jc w:val="center"/>
          <w:tblLayout w:type="fixed"/>
          <w:tblLook w:val="0400"/>
        </w:tblPrEx>
        <w:trPr>
          <w:trHeight w:val="412"/>
          <w:jc w:val="center"/>
        </w:trPr>
        <w:tc>
          <w:tcPr>
            <w:tcW w:w="2632" w:type="dxa"/>
            <w:tcBorders>
              <w:top w:val="nil"/>
              <w:left w:val="single" w:sz="8" w:space="0" w:color="000000"/>
              <w:bottom w:val="nil"/>
              <w:right w:val="single" w:sz="8" w:space="0" w:color="000000"/>
            </w:tcBorders>
            <w:shd w:val="clear" w:color="auto" w:fill="auto"/>
            <w:vAlign w:val="center"/>
          </w:tcPr>
          <w:p w:rsidR="00715C05" w:rsidRPr="00C30CB7" w:rsidP="00484FD1" w14:paraId="602ECF2B" w14:textId="77777777">
            <w:pPr>
              <w:widowControl/>
              <w:rPr>
                <w:rFonts w:ascii="Calibri" w:hAnsi="Calibri" w:cs="Calibri"/>
                <w:b/>
                <w:color w:val="000000"/>
                <w:sz w:val="18"/>
                <w:szCs w:val="18"/>
              </w:rPr>
            </w:pPr>
            <w:r w:rsidRPr="00C30CB7">
              <w:rPr>
                <w:rFonts w:ascii="Calibri" w:hAnsi="Calibri" w:cs="Calibri"/>
                <w:b/>
                <w:color w:val="000000"/>
                <w:sz w:val="18"/>
                <w:szCs w:val="18"/>
              </w:rPr>
              <w:t xml:space="preserve">Other Costs: </w:t>
            </w:r>
          </w:p>
        </w:tc>
        <w:tc>
          <w:tcPr>
            <w:tcW w:w="1530" w:type="dxa"/>
            <w:tcBorders>
              <w:top w:val="nil"/>
              <w:left w:val="nil"/>
              <w:bottom w:val="single" w:sz="4" w:space="0" w:color="000000"/>
              <w:right w:val="single" w:sz="4" w:space="0" w:color="000000"/>
            </w:tcBorders>
            <w:shd w:val="clear" w:color="auto" w:fill="808080"/>
            <w:vAlign w:val="center"/>
          </w:tcPr>
          <w:p w:rsidR="00715C05" w:rsidRPr="00C30CB7" w:rsidP="00484FD1" w14:paraId="7ECE9AA1" w14:textId="77777777">
            <w:pPr>
              <w:widowControl/>
              <w:jc w:val="center"/>
              <w:rPr>
                <w:rFonts w:ascii="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715C05" w:rsidRPr="00C30CB7" w:rsidP="00484FD1" w14:paraId="570F15E9" w14:textId="77777777">
            <w:pPr>
              <w:widowControl/>
              <w:jc w:val="center"/>
              <w:rPr>
                <w:rFonts w:ascii="Calibri" w:hAnsi="Calibri" w:cs="Calibri"/>
                <w:color w:val="000000"/>
                <w:sz w:val="18"/>
                <w:szCs w:val="18"/>
              </w:rPr>
            </w:pPr>
          </w:p>
        </w:tc>
        <w:tc>
          <w:tcPr>
            <w:tcW w:w="1370" w:type="dxa"/>
            <w:tcBorders>
              <w:top w:val="nil"/>
              <w:left w:val="nil"/>
              <w:bottom w:val="single" w:sz="4" w:space="0" w:color="000000"/>
              <w:right w:val="single" w:sz="4" w:space="0" w:color="000000"/>
            </w:tcBorders>
            <w:shd w:val="clear" w:color="auto" w:fill="808080"/>
            <w:vAlign w:val="center"/>
          </w:tcPr>
          <w:p w:rsidR="00715C05" w:rsidRPr="00C30CB7" w:rsidP="00484FD1" w14:paraId="78C87C8F" w14:textId="77777777">
            <w:pPr>
              <w:widowControl/>
              <w:jc w:val="center"/>
              <w:rPr>
                <w:rFonts w:ascii="Calibri" w:hAnsi="Calibri" w:cs="Calibri"/>
                <w:color w:val="000000"/>
                <w:sz w:val="18"/>
                <w:szCs w:val="18"/>
              </w:rPr>
            </w:pPr>
          </w:p>
        </w:tc>
        <w:tc>
          <w:tcPr>
            <w:tcW w:w="1568" w:type="dxa"/>
            <w:tcBorders>
              <w:top w:val="nil"/>
              <w:left w:val="nil"/>
              <w:bottom w:val="single" w:sz="4" w:space="0" w:color="000000"/>
              <w:right w:val="single" w:sz="4" w:space="0" w:color="000000"/>
            </w:tcBorders>
            <w:shd w:val="clear" w:color="auto" w:fill="808080"/>
            <w:vAlign w:val="center"/>
          </w:tcPr>
          <w:p w:rsidR="00715C05" w:rsidRPr="00C30CB7" w:rsidP="00484FD1" w14:paraId="3E5F6FE3" w14:textId="77777777">
            <w:pPr>
              <w:widowControl/>
              <w:jc w:val="center"/>
              <w:rPr>
                <w:rFonts w:ascii="Calibri" w:hAnsi="Calibri" w:cs="Calibri"/>
                <w:color w:val="000000"/>
                <w:sz w:val="18"/>
                <w:szCs w:val="18"/>
              </w:rPr>
            </w:pPr>
          </w:p>
        </w:tc>
        <w:tc>
          <w:tcPr>
            <w:tcW w:w="1589" w:type="dxa"/>
            <w:tcBorders>
              <w:top w:val="nil"/>
              <w:left w:val="nil"/>
              <w:bottom w:val="single" w:sz="4" w:space="0" w:color="000000"/>
              <w:right w:val="single" w:sz="8" w:space="0" w:color="000000"/>
            </w:tcBorders>
            <w:shd w:val="clear" w:color="auto" w:fill="auto"/>
            <w:vAlign w:val="center"/>
          </w:tcPr>
          <w:p w:rsidR="00715C05" w:rsidRPr="00C30CB7" w:rsidP="00484FD1" w14:paraId="6E542DB4" w14:textId="77777777">
            <w:pPr>
              <w:widowControl/>
              <w:jc w:val="center"/>
              <w:rPr>
                <w:rFonts w:ascii="Calibri" w:hAnsi="Calibri" w:cs="Calibri"/>
                <w:color w:val="000000"/>
                <w:sz w:val="18"/>
                <w:szCs w:val="18"/>
              </w:rPr>
            </w:pPr>
            <w:r w:rsidRPr="00C30CB7">
              <w:rPr>
                <w:rFonts w:ascii="Calibri" w:hAnsi="Calibri" w:cs="Calibri"/>
                <w:color w:val="000000"/>
                <w:sz w:val="18"/>
                <w:szCs w:val="18"/>
              </w:rPr>
              <w:t>—</w:t>
            </w:r>
          </w:p>
        </w:tc>
      </w:tr>
      <w:tr w14:paraId="58C050B2" w14:textId="77777777" w:rsidTr="00484FD1">
        <w:tblPrEx>
          <w:tblW w:w="10084" w:type="dxa"/>
          <w:jc w:val="center"/>
          <w:tblLayout w:type="fixed"/>
          <w:tblLook w:val="0400"/>
        </w:tblPrEx>
        <w:trPr>
          <w:trHeight w:val="345"/>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715C05" w:rsidRPr="00C30CB7" w:rsidP="00484FD1" w14:paraId="4053FE84" w14:textId="77777777">
            <w:pPr>
              <w:widowControl/>
              <w:rPr>
                <w:rFonts w:ascii="Calibri" w:hAnsi="Calibri" w:cs="Calibri"/>
                <w:b/>
                <w:color w:val="000000"/>
                <w:sz w:val="18"/>
                <w:szCs w:val="18"/>
              </w:rPr>
            </w:pPr>
            <w:r w:rsidRPr="00C30CB7">
              <w:rPr>
                <w:rFonts w:ascii="Calibri" w:hAnsi="Calibri" w:cs="Calibri"/>
                <w:b/>
                <w:color w:val="000000"/>
                <w:sz w:val="18"/>
                <w:szCs w:val="18"/>
              </w:rPr>
              <w:t>TOTAL</w:t>
            </w:r>
          </w:p>
        </w:tc>
        <w:tc>
          <w:tcPr>
            <w:tcW w:w="1530" w:type="dxa"/>
            <w:tcBorders>
              <w:top w:val="single" w:sz="8" w:space="0" w:color="000000"/>
              <w:left w:val="nil"/>
              <w:bottom w:val="single" w:sz="8" w:space="0" w:color="000000"/>
              <w:right w:val="single" w:sz="8" w:space="0" w:color="000000"/>
            </w:tcBorders>
            <w:shd w:val="clear" w:color="auto" w:fill="808080"/>
            <w:vAlign w:val="center"/>
          </w:tcPr>
          <w:p w:rsidR="00715C05" w:rsidRPr="00C30CB7" w:rsidP="00484FD1" w14:paraId="7157D821" w14:textId="77777777">
            <w:pPr>
              <w:widowControl/>
              <w:jc w:val="center"/>
              <w:rPr>
                <w:rFonts w:ascii="Calibri" w:hAnsi="Calibri" w:cs="Calibri"/>
                <w:color w:val="000000"/>
                <w:sz w:val="18"/>
                <w:szCs w:val="18"/>
              </w:rPr>
            </w:pPr>
          </w:p>
        </w:tc>
        <w:tc>
          <w:tcPr>
            <w:tcW w:w="1395" w:type="dxa"/>
            <w:tcBorders>
              <w:top w:val="single" w:sz="8" w:space="0" w:color="000000"/>
              <w:left w:val="nil"/>
              <w:bottom w:val="single" w:sz="8" w:space="0" w:color="000000"/>
              <w:right w:val="single" w:sz="8" w:space="0" w:color="000000"/>
            </w:tcBorders>
            <w:shd w:val="clear" w:color="auto" w:fill="808080"/>
            <w:vAlign w:val="center"/>
          </w:tcPr>
          <w:p w:rsidR="00715C05" w:rsidRPr="00C30CB7" w:rsidP="00484FD1" w14:paraId="520B6372" w14:textId="77777777">
            <w:pPr>
              <w:widowControl/>
              <w:jc w:val="center"/>
              <w:rPr>
                <w:rFonts w:ascii="Calibri" w:hAnsi="Calibri" w:cs="Calibri"/>
                <w:color w:val="000000"/>
                <w:sz w:val="18"/>
                <w:szCs w:val="18"/>
              </w:rPr>
            </w:pPr>
          </w:p>
        </w:tc>
        <w:tc>
          <w:tcPr>
            <w:tcW w:w="1370" w:type="dxa"/>
            <w:tcBorders>
              <w:top w:val="single" w:sz="8" w:space="0" w:color="000000"/>
              <w:left w:val="nil"/>
              <w:bottom w:val="single" w:sz="8" w:space="0" w:color="000000"/>
              <w:right w:val="single" w:sz="8" w:space="0" w:color="000000"/>
            </w:tcBorders>
            <w:shd w:val="clear" w:color="auto" w:fill="757171"/>
            <w:vAlign w:val="center"/>
          </w:tcPr>
          <w:p w:rsidR="00715C05" w:rsidRPr="00C30CB7" w:rsidP="00484FD1" w14:paraId="19F2F731" w14:textId="77777777">
            <w:pPr>
              <w:widowControl/>
              <w:jc w:val="center"/>
              <w:rPr>
                <w:rFonts w:ascii="Calibri" w:hAnsi="Calibri" w:cs="Calibri"/>
                <w:color w:val="000000"/>
                <w:sz w:val="18"/>
                <w:szCs w:val="18"/>
              </w:rPr>
            </w:pPr>
          </w:p>
        </w:tc>
        <w:tc>
          <w:tcPr>
            <w:tcW w:w="1568" w:type="dxa"/>
            <w:tcBorders>
              <w:top w:val="single" w:sz="8" w:space="0" w:color="000000"/>
              <w:left w:val="nil"/>
              <w:bottom w:val="single" w:sz="8" w:space="0" w:color="000000"/>
              <w:right w:val="single" w:sz="8" w:space="0" w:color="000000"/>
            </w:tcBorders>
            <w:shd w:val="clear" w:color="auto" w:fill="DDEBF7"/>
            <w:vAlign w:val="center"/>
          </w:tcPr>
          <w:p w:rsidR="00715C05" w:rsidRPr="00C30CB7" w:rsidP="00484FD1" w14:paraId="1901C00F" w14:textId="77777777">
            <w:pPr>
              <w:widowControl/>
              <w:jc w:val="center"/>
              <w:rPr>
                <w:rFonts w:ascii="Calibri" w:hAnsi="Calibri" w:cs="Calibri"/>
                <w:color w:val="000000"/>
                <w:sz w:val="18"/>
                <w:szCs w:val="18"/>
              </w:rPr>
            </w:pPr>
          </w:p>
        </w:tc>
        <w:tc>
          <w:tcPr>
            <w:tcW w:w="1589" w:type="dxa"/>
            <w:tcBorders>
              <w:top w:val="single" w:sz="8" w:space="0" w:color="000000"/>
              <w:left w:val="nil"/>
              <w:bottom w:val="single" w:sz="8" w:space="0" w:color="000000"/>
              <w:right w:val="single" w:sz="8" w:space="0" w:color="000000"/>
            </w:tcBorders>
            <w:shd w:val="clear" w:color="auto" w:fill="DDEBF7"/>
            <w:vAlign w:val="center"/>
          </w:tcPr>
          <w:p w:rsidR="00715C05" w:rsidRPr="00C30CB7" w:rsidP="00484FD1" w14:paraId="7331CE32" w14:textId="07C9823C">
            <w:pPr>
              <w:widowControl/>
              <w:jc w:val="center"/>
              <w:rPr>
                <w:rFonts w:ascii="Calibri" w:hAnsi="Calibri" w:cs="Calibri"/>
                <w:b/>
                <w:color w:val="000000"/>
                <w:sz w:val="18"/>
                <w:szCs w:val="18"/>
              </w:rPr>
            </w:pPr>
            <w:r w:rsidRPr="00C30CB7">
              <w:rPr>
                <w:rFonts w:ascii="Calibri" w:hAnsi="Calibri" w:cs="Calibri"/>
                <w:b/>
                <w:color w:val="000000"/>
                <w:sz w:val="18"/>
                <w:szCs w:val="18"/>
              </w:rPr>
              <w:t>$</w:t>
            </w:r>
            <w:r>
              <w:rPr>
                <w:rFonts w:ascii="Calibri" w:hAnsi="Calibri" w:cs="Calibri"/>
                <w:b/>
                <w:color w:val="000000"/>
                <w:sz w:val="18"/>
                <w:szCs w:val="18"/>
              </w:rPr>
              <w:t>23,</w:t>
            </w:r>
            <w:r w:rsidR="00130145">
              <w:rPr>
                <w:rFonts w:ascii="Calibri" w:hAnsi="Calibri" w:cs="Calibri"/>
                <w:b/>
                <w:color w:val="000000"/>
                <w:sz w:val="18"/>
                <w:szCs w:val="18"/>
              </w:rPr>
              <w:t>949.45</w:t>
            </w:r>
          </w:p>
        </w:tc>
      </w:tr>
    </w:tbl>
    <w:p w:rsidR="00715C05" w14:paraId="3114AF59" w14:textId="19B65EA2">
      <w:pPr>
        <w:spacing w:before="9" w:after="1"/>
        <w:rPr>
          <w:b/>
        </w:rPr>
      </w:pPr>
    </w:p>
    <w:p w:rsidR="00FE5BEF" w14:paraId="568B0F36" w14:textId="77777777">
      <w:pPr>
        <w:spacing w:before="9" w:after="1"/>
        <w:rPr>
          <w:b/>
        </w:rPr>
        <w:sectPr w:rsidSect="00FE5BEF">
          <w:pgSz w:w="12240" w:h="15840"/>
          <w:pgMar w:top="640" w:right="1080" w:bottom="1200" w:left="1080" w:header="0" w:footer="714" w:gutter="0"/>
          <w:cols w:space="720"/>
          <w:docGrid w:linePitch="326"/>
        </w:sectPr>
      </w:pPr>
    </w:p>
    <w:p w:rsidR="000315B2" w14:paraId="13964C4C" w14:textId="77777777">
      <w:pPr>
        <w:spacing w:before="9" w:after="1"/>
        <w:rPr>
          <w:b/>
        </w:rPr>
      </w:pPr>
    </w:p>
    <w:p w:rsidR="00050C0C" w14:paraId="230FB23F"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D417B3" w:rsidP="002735B7" w14:paraId="0D10B4C8" w14:textId="5E3EA59E">
      <w:pPr>
        <w:pBdr>
          <w:top w:val="nil"/>
          <w:left w:val="nil"/>
          <w:bottom w:val="nil"/>
          <w:right w:val="nil"/>
          <w:between w:val="nil"/>
        </w:pBdr>
        <w:spacing w:before="159"/>
        <w:rPr>
          <w:color w:val="000000" w:themeColor="text1"/>
        </w:rPr>
      </w:pPr>
      <w:r>
        <w:rPr>
          <w:color w:val="000000" w:themeColor="text1"/>
        </w:rPr>
        <w:t>Adjustments to numbers due to changes in number of respondents.</w:t>
      </w:r>
    </w:p>
    <w:p w:rsidR="00D417B3" w:rsidRPr="00D417B3" w:rsidP="002735B7" w14:paraId="2FF3FEFD" w14:textId="77777777">
      <w:pPr>
        <w:pBdr>
          <w:top w:val="nil"/>
          <w:left w:val="nil"/>
          <w:bottom w:val="nil"/>
          <w:right w:val="nil"/>
          <w:between w:val="nil"/>
        </w:pBdr>
        <w:spacing w:before="159"/>
        <w:rPr>
          <w:color w:val="000000" w:themeColor="text1"/>
        </w:rPr>
      </w:pPr>
    </w:p>
    <w:tbl>
      <w:tblPr>
        <w:tblW w:w="11495" w:type="dxa"/>
        <w:jc w:val="center"/>
        <w:tblLook w:val="04A0"/>
      </w:tblPr>
      <w:tblGrid>
        <w:gridCol w:w="2120"/>
        <w:gridCol w:w="1180"/>
        <w:gridCol w:w="1180"/>
        <w:gridCol w:w="1180"/>
        <w:gridCol w:w="1180"/>
        <w:gridCol w:w="1180"/>
        <w:gridCol w:w="1180"/>
        <w:gridCol w:w="2295"/>
      </w:tblGrid>
      <w:tr w14:paraId="5BE282A0" w14:textId="77777777" w:rsidTr="00EB69DE">
        <w:tblPrEx>
          <w:tblW w:w="11495" w:type="dxa"/>
          <w:jc w:val="center"/>
          <w:tblLook w:val="04A0"/>
        </w:tblPrEx>
        <w:trPr>
          <w:trHeight w:val="288"/>
          <w:jc w:val="center"/>
        </w:trPr>
        <w:tc>
          <w:tcPr>
            <w:tcW w:w="212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EB69DE" w:rsidRPr="00D417B3" w:rsidP="00D417B3" w14:paraId="22C376B3"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Information Collection</w:t>
            </w:r>
          </w:p>
        </w:tc>
        <w:tc>
          <w:tcPr>
            <w:tcW w:w="2360" w:type="dxa"/>
            <w:gridSpan w:val="2"/>
            <w:tcBorders>
              <w:top w:val="single" w:sz="4" w:space="0" w:color="auto"/>
              <w:left w:val="nil"/>
              <w:bottom w:val="single" w:sz="4" w:space="0" w:color="auto"/>
              <w:right w:val="single" w:sz="4" w:space="0" w:color="auto"/>
            </w:tcBorders>
            <w:shd w:val="clear" w:color="000000" w:fill="5B9BD5"/>
            <w:vAlign w:val="center"/>
            <w:hideMark/>
          </w:tcPr>
          <w:p w:rsidR="00EB69DE" w:rsidRPr="00D417B3" w:rsidP="00D417B3" w14:paraId="3FAD7AAF"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Respondents</w:t>
            </w:r>
          </w:p>
        </w:tc>
        <w:tc>
          <w:tcPr>
            <w:tcW w:w="2360" w:type="dxa"/>
            <w:gridSpan w:val="2"/>
            <w:tcBorders>
              <w:top w:val="single" w:sz="4" w:space="0" w:color="auto"/>
              <w:left w:val="nil"/>
              <w:bottom w:val="single" w:sz="4" w:space="0" w:color="auto"/>
              <w:right w:val="single" w:sz="4" w:space="0" w:color="auto"/>
            </w:tcBorders>
            <w:shd w:val="clear" w:color="000000" w:fill="5B9BD5"/>
            <w:vAlign w:val="center"/>
            <w:hideMark/>
          </w:tcPr>
          <w:p w:rsidR="00EB69DE" w:rsidRPr="00D417B3" w:rsidP="00D417B3" w14:paraId="7D485440"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Responses</w:t>
            </w:r>
          </w:p>
        </w:tc>
        <w:tc>
          <w:tcPr>
            <w:tcW w:w="2360" w:type="dxa"/>
            <w:gridSpan w:val="2"/>
            <w:tcBorders>
              <w:top w:val="single" w:sz="4" w:space="0" w:color="auto"/>
              <w:left w:val="nil"/>
              <w:bottom w:val="single" w:sz="4" w:space="0" w:color="auto"/>
              <w:right w:val="single" w:sz="4" w:space="0" w:color="auto"/>
            </w:tcBorders>
            <w:shd w:val="clear" w:color="000000" w:fill="5B9BD5"/>
            <w:vAlign w:val="center"/>
            <w:hideMark/>
          </w:tcPr>
          <w:p w:rsidR="00EB69DE" w:rsidRPr="00D417B3" w:rsidP="00D417B3" w14:paraId="3DA4B637"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Burden Hours</w:t>
            </w:r>
          </w:p>
        </w:tc>
        <w:tc>
          <w:tcPr>
            <w:tcW w:w="2295"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EB69DE" w:rsidRPr="00D417B3" w:rsidP="00D417B3" w14:paraId="72EF281B"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 xml:space="preserve">Reason for change or </w:t>
            </w:r>
            <w:r w:rsidRPr="00D417B3">
              <w:rPr>
                <w:rFonts w:ascii="Calibri" w:hAnsi="Calibri" w:cs="Calibri"/>
                <w:b/>
                <w:bCs/>
                <w:color w:val="000000"/>
                <w:sz w:val="18"/>
                <w:szCs w:val="18"/>
              </w:rPr>
              <w:t>adjustment</w:t>
            </w:r>
          </w:p>
        </w:tc>
      </w:tr>
      <w:tr w14:paraId="0976C80F" w14:textId="77777777" w:rsidTr="00EB69DE">
        <w:tblPrEx>
          <w:tblW w:w="11495" w:type="dxa"/>
          <w:jc w:val="center"/>
          <w:tblLook w:val="04A0"/>
        </w:tblPrEx>
        <w:trPr>
          <w:trHeight w:val="720"/>
          <w:jc w:val="center"/>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EB69DE" w:rsidRPr="00D417B3" w:rsidP="00D417B3" w14:paraId="1BBA26D8" w14:textId="77777777">
            <w:pPr>
              <w:widowControl/>
              <w:rPr>
                <w:rFonts w:ascii="Calibri" w:hAnsi="Calibri" w:cs="Calibri"/>
                <w:b/>
                <w:bCs/>
                <w:color w:val="000000"/>
                <w:sz w:val="18"/>
                <w:szCs w:val="18"/>
              </w:rPr>
            </w:pP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4F70E377" w14:textId="77777777">
            <w:pPr>
              <w:widowControl/>
              <w:jc w:val="center"/>
              <w:rPr>
                <w:rFonts w:ascii="Calibri" w:hAnsi="Calibri" w:cs="Calibri"/>
                <w:color w:val="000000"/>
                <w:sz w:val="18"/>
                <w:szCs w:val="18"/>
              </w:rPr>
            </w:pPr>
            <w:r w:rsidRPr="00D417B3">
              <w:rPr>
                <w:rFonts w:ascii="Calibri" w:hAnsi="Calibri" w:cs="Calibri"/>
                <w:color w:val="000000"/>
                <w:sz w:val="18"/>
                <w:szCs w:val="18"/>
              </w:rPr>
              <w:t>Current Renewal / Revision</w:t>
            </w: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38D33282" w14:textId="77777777">
            <w:pPr>
              <w:widowControl/>
              <w:jc w:val="center"/>
              <w:rPr>
                <w:rFonts w:ascii="Calibri" w:hAnsi="Calibri" w:cs="Calibri"/>
                <w:color w:val="000000"/>
                <w:sz w:val="18"/>
                <w:szCs w:val="18"/>
              </w:rPr>
            </w:pPr>
            <w:r w:rsidRPr="00D417B3">
              <w:rPr>
                <w:rFonts w:ascii="Calibri" w:hAnsi="Calibri" w:cs="Calibri"/>
                <w:color w:val="000000"/>
                <w:sz w:val="18"/>
                <w:szCs w:val="18"/>
              </w:rPr>
              <w:t>Previous Renewal / Revision</w:t>
            </w: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19457CBF" w14:textId="77777777">
            <w:pPr>
              <w:widowControl/>
              <w:jc w:val="center"/>
              <w:rPr>
                <w:rFonts w:ascii="Calibri" w:hAnsi="Calibri" w:cs="Calibri"/>
                <w:color w:val="000000"/>
                <w:sz w:val="18"/>
                <w:szCs w:val="18"/>
              </w:rPr>
            </w:pPr>
            <w:r w:rsidRPr="00D417B3">
              <w:rPr>
                <w:rFonts w:ascii="Calibri" w:hAnsi="Calibri" w:cs="Calibri"/>
                <w:color w:val="000000"/>
                <w:sz w:val="18"/>
                <w:szCs w:val="18"/>
              </w:rPr>
              <w:t>Current Renewal / Revision</w:t>
            </w: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19CF64DC" w14:textId="77777777">
            <w:pPr>
              <w:widowControl/>
              <w:jc w:val="center"/>
              <w:rPr>
                <w:rFonts w:ascii="Calibri" w:hAnsi="Calibri" w:cs="Calibri"/>
                <w:color w:val="000000"/>
                <w:sz w:val="18"/>
                <w:szCs w:val="18"/>
              </w:rPr>
            </w:pPr>
            <w:r w:rsidRPr="00D417B3">
              <w:rPr>
                <w:rFonts w:ascii="Calibri" w:hAnsi="Calibri" w:cs="Calibri"/>
                <w:color w:val="000000"/>
                <w:sz w:val="18"/>
                <w:szCs w:val="18"/>
              </w:rPr>
              <w:t>Previous Renewal / Revision</w:t>
            </w: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6D56CE23" w14:textId="77777777">
            <w:pPr>
              <w:widowControl/>
              <w:jc w:val="center"/>
              <w:rPr>
                <w:rFonts w:ascii="Calibri" w:hAnsi="Calibri" w:cs="Calibri"/>
                <w:color w:val="000000"/>
                <w:sz w:val="18"/>
                <w:szCs w:val="18"/>
              </w:rPr>
            </w:pPr>
            <w:r w:rsidRPr="00D417B3">
              <w:rPr>
                <w:rFonts w:ascii="Calibri" w:hAnsi="Calibri" w:cs="Calibri"/>
                <w:color w:val="000000"/>
                <w:sz w:val="18"/>
                <w:szCs w:val="18"/>
              </w:rPr>
              <w:t>Current Renewal / Revision</w:t>
            </w:r>
          </w:p>
        </w:tc>
        <w:tc>
          <w:tcPr>
            <w:tcW w:w="1180" w:type="dxa"/>
            <w:tcBorders>
              <w:top w:val="nil"/>
              <w:left w:val="nil"/>
              <w:bottom w:val="single" w:sz="4" w:space="0" w:color="auto"/>
              <w:right w:val="single" w:sz="4" w:space="0" w:color="auto"/>
            </w:tcBorders>
            <w:shd w:val="clear" w:color="000000" w:fill="FBE4D5"/>
            <w:vAlign w:val="center"/>
            <w:hideMark/>
          </w:tcPr>
          <w:p w:rsidR="00EB69DE" w:rsidRPr="00D417B3" w:rsidP="00D417B3" w14:paraId="362EF9A5" w14:textId="77777777">
            <w:pPr>
              <w:widowControl/>
              <w:jc w:val="center"/>
              <w:rPr>
                <w:rFonts w:ascii="Calibri" w:hAnsi="Calibri" w:cs="Calibri"/>
                <w:color w:val="000000"/>
                <w:sz w:val="18"/>
                <w:szCs w:val="18"/>
              </w:rPr>
            </w:pPr>
            <w:r w:rsidRPr="00D417B3">
              <w:rPr>
                <w:rFonts w:ascii="Calibri" w:hAnsi="Calibri" w:cs="Calibri"/>
                <w:color w:val="000000"/>
                <w:sz w:val="18"/>
                <w:szCs w:val="18"/>
              </w:rPr>
              <w:t>Previous Renewal / Revision</w:t>
            </w: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EB69DE" w:rsidRPr="00D417B3" w:rsidP="00D417B3" w14:paraId="432BFC31" w14:textId="77777777">
            <w:pPr>
              <w:widowControl/>
              <w:rPr>
                <w:rFonts w:ascii="Calibri" w:hAnsi="Calibri" w:cs="Calibri"/>
                <w:b/>
                <w:bCs/>
                <w:color w:val="000000"/>
                <w:sz w:val="18"/>
                <w:szCs w:val="18"/>
              </w:rPr>
            </w:pPr>
          </w:p>
        </w:tc>
      </w:tr>
      <w:tr w14:paraId="2D42BC27" w14:textId="77777777" w:rsidTr="00EB69DE">
        <w:tblPrEx>
          <w:tblW w:w="11495" w:type="dxa"/>
          <w:jc w:val="center"/>
          <w:tblLook w:val="04A0"/>
        </w:tblPrEx>
        <w:trPr>
          <w:trHeight w:val="72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2CE59C46" w14:textId="77777777">
            <w:pPr>
              <w:widowControl/>
              <w:rPr>
                <w:rFonts w:ascii="Calibri" w:hAnsi="Calibri" w:cs="Calibri"/>
                <w:color w:val="000000"/>
                <w:sz w:val="18"/>
                <w:szCs w:val="18"/>
              </w:rPr>
            </w:pPr>
            <w:r w:rsidRPr="00D417B3">
              <w:rPr>
                <w:rFonts w:ascii="Calibri" w:hAnsi="Calibri" w:cs="Calibri"/>
                <w:color w:val="000000"/>
                <w:sz w:val="18"/>
                <w:szCs w:val="18"/>
              </w:rPr>
              <w:t xml:space="preserve">Application for Nonprofit Corporation to be Designated as a CQE </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7FA90570" w14:textId="77777777">
            <w:pPr>
              <w:widowControl/>
              <w:jc w:val="center"/>
              <w:rPr>
                <w:rFonts w:ascii="Calibri" w:hAnsi="Calibri" w:cs="Calibri"/>
                <w:color w:val="000000"/>
                <w:sz w:val="18"/>
                <w:szCs w:val="18"/>
              </w:rPr>
            </w:pPr>
            <w:r w:rsidRPr="00D417B3">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2429BFE" w14:textId="77777777">
            <w:pPr>
              <w:widowControl/>
              <w:jc w:val="center"/>
              <w:rPr>
                <w:rFonts w:ascii="Calibri" w:hAnsi="Calibri" w:cs="Calibri"/>
                <w:color w:val="000000"/>
                <w:sz w:val="18"/>
                <w:szCs w:val="18"/>
              </w:rPr>
            </w:pPr>
            <w:r w:rsidRPr="00D417B3">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0670DF5" w14:textId="77777777">
            <w:pPr>
              <w:widowControl/>
              <w:jc w:val="center"/>
              <w:rPr>
                <w:rFonts w:ascii="Calibri" w:hAnsi="Calibri" w:cs="Calibri"/>
                <w:color w:val="000000"/>
                <w:sz w:val="18"/>
                <w:szCs w:val="18"/>
              </w:rPr>
            </w:pPr>
            <w:r w:rsidRPr="00D417B3">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C8F29B3" w14:textId="77777777">
            <w:pPr>
              <w:widowControl/>
              <w:jc w:val="center"/>
              <w:rPr>
                <w:rFonts w:ascii="Calibri" w:hAnsi="Calibri" w:cs="Calibri"/>
                <w:color w:val="000000"/>
                <w:sz w:val="18"/>
                <w:szCs w:val="18"/>
              </w:rPr>
            </w:pPr>
            <w:r w:rsidRPr="00D417B3">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CD005D6" w14:textId="77777777">
            <w:pPr>
              <w:widowControl/>
              <w:jc w:val="center"/>
              <w:rPr>
                <w:rFonts w:ascii="Calibri" w:hAnsi="Calibri" w:cs="Calibri"/>
                <w:color w:val="000000"/>
                <w:sz w:val="18"/>
                <w:szCs w:val="18"/>
              </w:rPr>
            </w:pPr>
            <w:r w:rsidRPr="00D417B3">
              <w:rPr>
                <w:rFonts w:ascii="Calibri" w:hAnsi="Calibri" w:cs="Calibri"/>
                <w:color w:val="000000"/>
                <w:sz w:val="18"/>
                <w:szCs w:val="18"/>
              </w:rPr>
              <w:t>200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737C96BD" w14:textId="77777777">
            <w:pPr>
              <w:widowControl/>
              <w:jc w:val="center"/>
              <w:rPr>
                <w:rFonts w:ascii="Calibri" w:hAnsi="Calibri" w:cs="Calibri"/>
                <w:color w:val="000000"/>
                <w:sz w:val="18"/>
                <w:szCs w:val="18"/>
              </w:rPr>
            </w:pPr>
            <w:r w:rsidRPr="00D417B3">
              <w:rPr>
                <w:rFonts w:ascii="Calibri" w:hAnsi="Calibri" w:cs="Calibri"/>
                <w:color w:val="000000"/>
                <w:sz w:val="18"/>
                <w:szCs w:val="18"/>
              </w:rPr>
              <w:t>200</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0DAFD31D" w14:textId="77777777">
            <w:pPr>
              <w:widowControl/>
              <w:rPr>
                <w:rFonts w:ascii="Calibri" w:hAnsi="Calibri" w:cs="Calibri"/>
                <w:color w:val="000000"/>
                <w:sz w:val="18"/>
                <w:szCs w:val="18"/>
              </w:rPr>
            </w:pPr>
            <w:r w:rsidRPr="00D417B3">
              <w:rPr>
                <w:rFonts w:ascii="Calibri" w:hAnsi="Calibri" w:cs="Calibri"/>
                <w:color w:val="000000"/>
                <w:sz w:val="18"/>
                <w:szCs w:val="18"/>
              </w:rPr>
              <w:t>No change</w:t>
            </w:r>
          </w:p>
        </w:tc>
      </w:tr>
      <w:tr w14:paraId="32CEB612" w14:textId="77777777" w:rsidTr="00EB69DE">
        <w:tblPrEx>
          <w:tblW w:w="11495" w:type="dxa"/>
          <w:jc w:val="center"/>
          <w:tblLook w:val="04A0"/>
        </w:tblPrEx>
        <w:trPr>
          <w:trHeight w:val="48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7438FBFB" w14:textId="77777777">
            <w:pPr>
              <w:widowControl/>
              <w:rPr>
                <w:rFonts w:ascii="Calibri" w:hAnsi="Calibri" w:cs="Calibri"/>
                <w:color w:val="000000"/>
                <w:sz w:val="18"/>
                <w:szCs w:val="18"/>
              </w:rPr>
            </w:pPr>
            <w:r w:rsidRPr="00D417B3">
              <w:rPr>
                <w:rFonts w:ascii="Calibri" w:hAnsi="Calibri" w:cs="Calibri"/>
                <w:color w:val="000000"/>
                <w:sz w:val="18"/>
                <w:szCs w:val="18"/>
              </w:rPr>
              <w:t>CQE Annual Report</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4927C7E4" w14:textId="77777777">
            <w:pPr>
              <w:widowControl/>
              <w:jc w:val="center"/>
              <w:rPr>
                <w:rFonts w:ascii="Calibri" w:hAnsi="Calibri" w:cs="Calibri"/>
                <w:color w:val="000000"/>
                <w:sz w:val="18"/>
                <w:szCs w:val="18"/>
              </w:rPr>
            </w:pPr>
            <w:r w:rsidRPr="00D417B3">
              <w:rPr>
                <w:rFonts w:ascii="Calibri" w:hAnsi="Calibri" w:cs="Calibri"/>
                <w:color w:val="000000"/>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62C4B79" w14:textId="77777777">
            <w:pPr>
              <w:widowControl/>
              <w:jc w:val="center"/>
              <w:rPr>
                <w:rFonts w:ascii="Calibri" w:hAnsi="Calibri" w:cs="Calibri"/>
                <w:color w:val="000000"/>
                <w:sz w:val="18"/>
                <w:szCs w:val="18"/>
              </w:rPr>
            </w:pPr>
            <w:r w:rsidRPr="00D417B3">
              <w:rPr>
                <w:rFonts w:ascii="Calibri" w:hAnsi="Calibri" w:cs="Calibri"/>
                <w:color w:val="000000"/>
                <w:sz w:val="18"/>
                <w:szCs w:val="18"/>
              </w:rPr>
              <w:t>27</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3C582C09" w14:textId="77777777">
            <w:pPr>
              <w:widowControl/>
              <w:jc w:val="center"/>
              <w:rPr>
                <w:rFonts w:ascii="Calibri" w:hAnsi="Calibri" w:cs="Calibri"/>
                <w:color w:val="000000"/>
                <w:sz w:val="18"/>
                <w:szCs w:val="18"/>
              </w:rPr>
            </w:pPr>
            <w:r w:rsidRPr="00D417B3">
              <w:rPr>
                <w:rFonts w:ascii="Calibri" w:hAnsi="Calibri" w:cs="Calibri"/>
                <w:color w:val="000000"/>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D9E2F43" w14:textId="77777777">
            <w:pPr>
              <w:widowControl/>
              <w:jc w:val="center"/>
              <w:rPr>
                <w:rFonts w:ascii="Calibri" w:hAnsi="Calibri" w:cs="Calibri"/>
                <w:color w:val="000000"/>
                <w:sz w:val="18"/>
                <w:szCs w:val="18"/>
              </w:rPr>
            </w:pPr>
            <w:r w:rsidRPr="00D417B3">
              <w:rPr>
                <w:rFonts w:ascii="Calibri" w:hAnsi="Calibri" w:cs="Calibri"/>
                <w:color w:val="000000"/>
                <w:sz w:val="18"/>
                <w:szCs w:val="18"/>
              </w:rPr>
              <w:t>27</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9BEA78E" w14:textId="77777777">
            <w:pPr>
              <w:widowControl/>
              <w:jc w:val="center"/>
              <w:rPr>
                <w:rFonts w:ascii="Calibri" w:hAnsi="Calibri" w:cs="Calibri"/>
                <w:color w:val="000000"/>
                <w:sz w:val="18"/>
                <w:szCs w:val="18"/>
              </w:rPr>
            </w:pPr>
            <w:r w:rsidRPr="00D417B3">
              <w:rPr>
                <w:rFonts w:ascii="Calibri" w:hAnsi="Calibri" w:cs="Calibri"/>
                <w:color w:val="000000"/>
                <w:sz w:val="18"/>
                <w:szCs w:val="18"/>
              </w:rPr>
              <w:t>920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22EB773" w14:textId="77777777">
            <w:pPr>
              <w:widowControl/>
              <w:jc w:val="center"/>
              <w:rPr>
                <w:rFonts w:ascii="Calibri" w:hAnsi="Calibri" w:cs="Calibri"/>
                <w:color w:val="000000"/>
                <w:sz w:val="18"/>
                <w:szCs w:val="18"/>
              </w:rPr>
            </w:pPr>
            <w:r w:rsidRPr="00D417B3">
              <w:rPr>
                <w:rFonts w:ascii="Calibri" w:hAnsi="Calibri" w:cs="Calibri"/>
                <w:color w:val="000000"/>
                <w:sz w:val="18"/>
                <w:szCs w:val="18"/>
              </w:rPr>
              <w:t>1080</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2540677C"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4A7B71A0" w14:textId="77777777" w:rsidTr="00EB69DE">
        <w:tblPrEx>
          <w:tblW w:w="11495" w:type="dxa"/>
          <w:jc w:val="center"/>
          <w:tblLook w:val="04A0"/>
        </w:tblPrEx>
        <w:trPr>
          <w:trHeight w:val="72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3F2BA8F4" w14:textId="77777777">
            <w:pPr>
              <w:widowControl/>
              <w:rPr>
                <w:rFonts w:ascii="Calibri" w:hAnsi="Calibri" w:cs="Calibri"/>
                <w:color w:val="000000"/>
                <w:sz w:val="18"/>
                <w:szCs w:val="18"/>
              </w:rPr>
            </w:pPr>
            <w:r w:rsidRPr="00D417B3">
              <w:rPr>
                <w:rFonts w:ascii="Calibri" w:hAnsi="Calibri" w:cs="Calibri"/>
                <w:color w:val="000000"/>
                <w:sz w:val="18"/>
                <w:szCs w:val="18"/>
              </w:rPr>
              <w:t xml:space="preserve">Application for Transfer of Quota Share to or from a Community Quota </w:t>
            </w:r>
            <w:r w:rsidRPr="00D417B3">
              <w:rPr>
                <w:rFonts w:ascii="Calibri" w:hAnsi="Calibri" w:cs="Calibri"/>
                <w:color w:val="000000"/>
                <w:sz w:val="18"/>
                <w:szCs w:val="18"/>
              </w:rPr>
              <w:t>Entity *</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8FD7F5F" w14:textId="77777777">
            <w:pPr>
              <w:widowControl/>
              <w:jc w:val="center"/>
              <w:rPr>
                <w:rFonts w:ascii="Calibri" w:hAnsi="Calibri" w:cs="Calibri"/>
                <w:color w:val="000000"/>
                <w:sz w:val="18"/>
                <w:szCs w:val="18"/>
              </w:rPr>
            </w:pPr>
            <w:r w:rsidRPr="00D417B3">
              <w:rPr>
                <w:rFonts w:ascii="Calibri" w:hAnsi="Calibri" w:cs="Calibri"/>
                <w:color w:val="000000"/>
                <w:sz w:val="18"/>
                <w:szCs w:val="18"/>
              </w:rPr>
              <w:t>10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00C141E" w14:textId="77777777">
            <w:pPr>
              <w:widowControl/>
              <w:jc w:val="center"/>
              <w:rPr>
                <w:rFonts w:ascii="Calibri" w:hAnsi="Calibri" w:cs="Calibri"/>
                <w:color w:val="000000"/>
                <w:sz w:val="18"/>
                <w:szCs w:val="18"/>
              </w:rPr>
            </w:pPr>
            <w:r w:rsidRPr="00D417B3">
              <w:rPr>
                <w:rFonts w:ascii="Calibri" w:hAnsi="Calibri" w:cs="Calibri"/>
                <w:color w:val="000000"/>
                <w:sz w:val="18"/>
                <w:szCs w:val="18"/>
              </w:rPr>
              <w:t>34</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A6C63A4" w14:textId="77777777">
            <w:pPr>
              <w:widowControl/>
              <w:jc w:val="center"/>
              <w:rPr>
                <w:rFonts w:ascii="Calibri" w:hAnsi="Calibri" w:cs="Calibri"/>
                <w:color w:val="000000"/>
                <w:sz w:val="18"/>
                <w:szCs w:val="18"/>
              </w:rPr>
            </w:pPr>
            <w:r w:rsidRPr="00D417B3">
              <w:rPr>
                <w:rFonts w:ascii="Calibri" w:hAnsi="Calibri" w:cs="Calibri"/>
                <w:color w:val="000000"/>
                <w:sz w:val="18"/>
                <w:szCs w:val="18"/>
              </w:rPr>
              <w:t>5</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B3772E1" w14:textId="77777777">
            <w:pPr>
              <w:widowControl/>
              <w:jc w:val="center"/>
              <w:rPr>
                <w:rFonts w:ascii="Calibri" w:hAnsi="Calibri" w:cs="Calibri"/>
                <w:color w:val="000000"/>
                <w:sz w:val="18"/>
                <w:szCs w:val="18"/>
              </w:rPr>
            </w:pPr>
            <w:r w:rsidRPr="00D417B3">
              <w:rPr>
                <w:rFonts w:ascii="Calibri" w:hAnsi="Calibri" w:cs="Calibri"/>
                <w:color w:val="000000"/>
                <w:sz w:val="18"/>
                <w:szCs w:val="18"/>
              </w:rPr>
              <w:t>17</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F7E88EE" w14:textId="77777777">
            <w:pPr>
              <w:widowControl/>
              <w:jc w:val="center"/>
              <w:rPr>
                <w:rFonts w:ascii="Calibri" w:hAnsi="Calibri" w:cs="Calibri"/>
                <w:color w:val="000000"/>
                <w:sz w:val="18"/>
                <w:szCs w:val="18"/>
              </w:rPr>
            </w:pPr>
            <w:r w:rsidRPr="00D417B3">
              <w:rPr>
                <w:rFonts w:ascii="Calibri" w:hAnsi="Calibri" w:cs="Calibri"/>
                <w:color w:val="000000"/>
                <w:sz w:val="18"/>
                <w:szCs w:val="18"/>
              </w:rPr>
              <w:t>20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457BA2E" w14:textId="77777777">
            <w:pPr>
              <w:widowControl/>
              <w:jc w:val="center"/>
              <w:rPr>
                <w:rFonts w:ascii="Calibri" w:hAnsi="Calibri" w:cs="Calibri"/>
                <w:color w:val="000000"/>
                <w:sz w:val="18"/>
                <w:szCs w:val="18"/>
              </w:rPr>
            </w:pPr>
            <w:r w:rsidRPr="00D417B3">
              <w:rPr>
                <w:rFonts w:ascii="Calibri" w:hAnsi="Calibri" w:cs="Calibri"/>
                <w:color w:val="000000"/>
                <w:sz w:val="18"/>
                <w:szCs w:val="18"/>
              </w:rPr>
              <w:t>68</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348E19AB"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622BA53B" w14:textId="77777777" w:rsidTr="00EB69DE">
        <w:tblPrEx>
          <w:tblW w:w="11495" w:type="dxa"/>
          <w:jc w:val="center"/>
          <w:tblLook w:val="04A0"/>
        </w:tblPrEx>
        <w:trPr>
          <w:trHeight w:val="96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7CC2E7AB" w14:textId="77777777">
            <w:pPr>
              <w:widowControl/>
              <w:rPr>
                <w:rFonts w:ascii="Calibri" w:hAnsi="Calibri" w:cs="Calibri"/>
                <w:color w:val="000000"/>
                <w:sz w:val="18"/>
                <w:szCs w:val="18"/>
              </w:rPr>
            </w:pPr>
            <w:r w:rsidRPr="00D417B3">
              <w:rPr>
                <w:rFonts w:ascii="Calibri" w:hAnsi="Calibri" w:cs="Calibri"/>
                <w:color w:val="000000"/>
                <w:sz w:val="18"/>
                <w:szCs w:val="18"/>
              </w:rPr>
              <w:t>Application for a CQE to Transfer IFQ to an Eligible Community Resident or Non-resident *</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C3E79DD" w14:textId="77777777">
            <w:pPr>
              <w:widowControl/>
              <w:jc w:val="center"/>
              <w:rPr>
                <w:rFonts w:ascii="Calibri" w:hAnsi="Calibri" w:cs="Calibri"/>
                <w:color w:val="000000"/>
                <w:sz w:val="18"/>
                <w:szCs w:val="18"/>
              </w:rPr>
            </w:pPr>
            <w:r w:rsidRPr="00D417B3">
              <w:rPr>
                <w:rFonts w:ascii="Calibri" w:hAnsi="Calibri" w:cs="Calibri"/>
                <w:color w:val="000000"/>
                <w:sz w:val="18"/>
                <w:szCs w:val="18"/>
              </w:rPr>
              <w:t>46</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3D5FF1B" w14:textId="77777777">
            <w:pPr>
              <w:widowControl/>
              <w:jc w:val="center"/>
              <w:rPr>
                <w:rFonts w:ascii="Calibri" w:hAnsi="Calibri" w:cs="Calibri"/>
                <w:color w:val="000000"/>
                <w:sz w:val="18"/>
                <w:szCs w:val="18"/>
              </w:rPr>
            </w:pPr>
            <w:r w:rsidRPr="00D417B3">
              <w:rPr>
                <w:rFonts w:ascii="Calibri" w:hAnsi="Calibri" w:cs="Calibri"/>
                <w:color w:val="000000"/>
                <w:sz w:val="18"/>
                <w:szCs w:val="18"/>
              </w:rPr>
              <w:t>8</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3A89743" w14:textId="77777777">
            <w:pPr>
              <w:widowControl/>
              <w:jc w:val="center"/>
              <w:rPr>
                <w:rFonts w:ascii="Calibri" w:hAnsi="Calibri" w:cs="Calibri"/>
                <w:color w:val="000000"/>
                <w:sz w:val="18"/>
                <w:szCs w:val="18"/>
              </w:rPr>
            </w:pPr>
            <w:r w:rsidRPr="00D417B3">
              <w:rPr>
                <w:rFonts w:ascii="Calibri" w:hAnsi="Calibri" w:cs="Calibri"/>
                <w:color w:val="000000"/>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5BFA0C3" w14:textId="77777777">
            <w:pPr>
              <w:widowControl/>
              <w:jc w:val="center"/>
              <w:rPr>
                <w:rFonts w:ascii="Calibri" w:hAnsi="Calibri" w:cs="Calibri"/>
                <w:color w:val="000000"/>
                <w:sz w:val="18"/>
                <w:szCs w:val="18"/>
              </w:rPr>
            </w:pPr>
            <w:r w:rsidRPr="00D417B3">
              <w:rPr>
                <w:rFonts w:ascii="Calibri" w:hAnsi="Calibri" w:cs="Calibri"/>
                <w:color w:val="000000"/>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02AB541" w14:textId="77777777">
            <w:pPr>
              <w:widowControl/>
              <w:jc w:val="center"/>
              <w:rPr>
                <w:rFonts w:ascii="Calibri" w:hAnsi="Calibri" w:cs="Calibri"/>
                <w:color w:val="000000"/>
                <w:sz w:val="18"/>
                <w:szCs w:val="18"/>
              </w:rPr>
            </w:pPr>
            <w:r w:rsidRPr="00D417B3">
              <w:rPr>
                <w:rFonts w:ascii="Calibri" w:hAnsi="Calibri" w:cs="Calibri"/>
                <w:color w:val="000000"/>
                <w:sz w:val="18"/>
                <w:szCs w:val="18"/>
              </w:rPr>
              <w:t>92</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178354F" w14:textId="77777777">
            <w:pPr>
              <w:widowControl/>
              <w:jc w:val="center"/>
              <w:rPr>
                <w:rFonts w:ascii="Calibri" w:hAnsi="Calibri" w:cs="Calibri"/>
                <w:color w:val="000000"/>
                <w:sz w:val="18"/>
                <w:szCs w:val="18"/>
              </w:rPr>
            </w:pPr>
            <w:r w:rsidRPr="00D417B3">
              <w:rPr>
                <w:rFonts w:ascii="Calibri" w:hAnsi="Calibri" w:cs="Calibri"/>
                <w:color w:val="000000"/>
                <w:sz w:val="18"/>
                <w:szCs w:val="18"/>
              </w:rPr>
              <w:t>16</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0BA20878"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05E6D6A8" w14:textId="77777777" w:rsidTr="00EB69DE">
        <w:tblPrEx>
          <w:tblW w:w="11495" w:type="dxa"/>
          <w:jc w:val="center"/>
          <w:tblLook w:val="04A0"/>
        </w:tblPrEx>
        <w:trPr>
          <w:trHeight w:val="120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3F6EA6C5" w14:textId="77777777">
            <w:pPr>
              <w:widowControl/>
              <w:rPr>
                <w:rFonts w:ascii="Calibri" w:hAnsi="Calibri" w:cs="Calibri"/>
                <w:color w:val="000000"/>
                <w:sz w:val="18"/>
                <w:szCs w:val="18"/>
              </w:rPr>
            </w:pPr>
            <w:r w:rsidRPr="00D417B3">
              <w:rPr>
                <w:rFonts w:ascii="Calibri" w:hAnsi="Calibri" w:cs="Calibri"/>
                <w:color w:val="000000"/>
                <w:sz w:val="18"/>
                <w:szCs w:val="18"/>
              </w:rPr>
              <w:t xml:space="preserve">Application for </w:t>
            </w:r>
            <w:r w:rsidRPr="00D417B3">
              <w:rPr>
                <w:rFonts w:ascii="Calibri" w:hAnsi="Calibri" w:cs="Calibri"/>
                <w:color w:val="000000"/>
                <w:sz w:val="18"/>
                <w:szCs w:val="18"/>
              </w:rPr>
              <w:t>Transfer (Lease) Between IFQ and Guided Angler Fish by a Community Quota Entity (CQE) *</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300A158" w14:textId="77777777">
            <w:pPr>
              <w:widowControl/>
              <w:jc w:val="center"/>
              <w:rPr>
                <w:rFonts w:ascii="Calibri" w:hAnsi="Calibri" w:cs="Calibri"/>
                <w:color w:val="000000"/>
                <w:sz w:val="18"/>
                <w:szCs w:val="18"/>
              </w:rPr>
            </w:pPr>
            <w:r w:rsidRPr="00D417B3">
              <w:rPr>
                <w:rFonts w:ascii="Calibri" w:hAnsi="Calibri" w:cs="Calibri"/>
                <w:color w:val="000000"/>
                <w:sz w:val="18"/>
                <w:szCs w:val="18"/>
              </w:rPr>
              <w:t>30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A3A7547" w14:textId="77777777">
            <w:pPr>
              <w:widowControl/>
              <w:jc w:val="center"/>
              <w:rPr>
                <w:rFonts w:ascii="Calibri" w:hAnsi="Calibri" w:cs="Calibri"/>
                <w:color w:val="000000"/>
                <w:sz w:val="18"/>
                <w:szCs w:val="18"/>
              </w:rPr>
            </w:pPr>
            <w:r w:rsidRPr="00D417B3">
              <w:rPr>
                <w:rFonts w:ascii="Calibri" w:hAnsi="Calibri" w:cs="Calibri"/>
                <w:color w:val="000000"/>
                <w:sz w:val="18"/>
                <w:szCs w:val="18"/>
              </w:rPr>
              <w:t>90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4FB1E322" w14:textId="77777777">
            <w:pPr>
              <w:widowControl/>
              <w:jc w:val="center"/>
              <w:rPr>
                <w:rFonts w:ascii="Calibri" w:hAnsi="Calibri" w:cs="Calibri"/>
                <w:color w:val="000000"/>
                <w:sz w:val="18"/>
                <w:szCs w:val="18"/>
              </w:rPr>
            </w:pPr>
            <w:r w:rsidRPr="00D417B3">
              <w:rPr>
                <w:rFonts w:ascii="Calibri" w:hAnsi="Calibri" w:cs="Calibri"/>
                <w:color w:val="000000"/>
                <w:sz w:val="18"/>
                <w:szCs w:val="18"/>
              </w:rPr>
              <w:t>15</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76636DFC" w14:textId="77777777">
            <w:pPr>
              <w:widowControl/>
              <w:jc w:val="center"/>
              <w:rPr>
                <w:rFonts w:ascii="Calibri" w:hAnsi="Calibri" w:cs="Calibri"/>
                <w:color w:val="000000"/>
                <w:sz w:val="18"/>
                <w:szCs w:val="18"/>
              </w:rPr>
            </w:pPr>
            <w:r w:rsidRPr="00D417B3">
              <w:rPr>
                <w:rFonts w:ascii="Calibri" w:hAnsi="Calibri" w:cs="Calibri"/>
                <w:color w:val="000000"/>
                <w:sz w:val="18"/>
                <w:szCs w:val="18"/>
              </w:rPr>
              <w:t>45</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2C95E47" w14:textId="77777777">
            <w:pPr>
              <w:widowControl/>
              <w:jc w:val="center"/>
              <w:rPr>
                <w:rFonts w:ascii="Calibri" w:hAnsi="Calibri" w:cs="Calibri"/>
                <w:color w:val="000000"/>
                <w:sz w:val="18"/>
                <w:szCs w:val="18"/>
              </w:rPr>
            </w:pPr>
            <w:r w:rsidRPr="00D417B3">
              <w:rPr>
                <w:rFonts w:ascii="Calibri" w:hAnsi="Calibri" w:cs="Calibri"/>
                <w:color w:val="000000"/>
                <w:sz w:val="18"/>
                <w:szCs w:val="18"/>
              </w:rPr>
              <w:t>60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232921A" w14:textId="77777777">
            <w:pPr>
              <w:widowControl/>
              <w:jc w:val="center"/>
              <w:rPr>
                <w:rFonts w:ascii="Calibri" w:hAnsi="Calibri" w:cs="Calibri"/>
                <w:color w:val="000000"/>
                <w:sz w:val="18"/>
                <w:szCs w:val="18"/>
              </w:rPr>
            </w:pPr>
            <w:r w:rsidRPr="00D417B3">
              <w:rPr>
                <w:rFonts w:ascii="Calibri" w:hAnsi="Calibri" w:cs="Calibri"/>
                <w:color w:val="000000"/>
                <w:sz w:val="18"/>
                <w:szCs w:val="18"/>
              </w:rPr>
              <w:t>180</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091BADCA"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5F49E7D2" w14:textId="77777777" w:rsidTr="00EB69DE">
        <w:tblPrEx>
          <w:tblW w:w="11495" w:type="dxa"/>
          <w:jc w:val="center"/>
          <w:tblLook w:val="04A0"/>
        </w:tblPrEx>
        <w:trPr>
          <w:trHeight w:val="72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03C5AE52" w14:textId="77777777">
            <w:pPr>
              <w:widowControl/>
              <w:rPr>
                <w:rFonts w:ascii="Calibri" w:hAnsi="Calibri" w:cs="Calibri"/>
                <w:color w:val="000000"/>
                <w:sz w:val="18"/>
                <w:szCs w:val="18"/>
              </w:rPr>
            </w:pPr>
            <w:r w:rsidRPr="00D417B3">
              <w:rPr>
                <w:rFonts w:ascii="Calibri" w:hAnsi="Calibri" w:cs="Calibri"/>
                <w:color w:val="000000"/>
                <w:sz w:val="18"/>
                <w:szCs w:val="18"/>
              </w:rPr>
              <w:t>Application for a CQE to Receive a Non-trawl Groundfish LLP License</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1BD379C"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30B41DF"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41EAFEEC"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F4287B0"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15FEB2B8" w14:textId="77777777">
            <w:pPr>
              <w:widowControl/>
              <w:jc w:val="center"/>
              <w:rPr>
                <w:rFonts w:ascii="Calibri" w:hAnsi="Calibri" w:cs="Calibri"/>
                <w:color w:val="000000"/>
                <w:sz w:val="18"/>
                <w:szCs w:val="18"/>
              </w:rPr>
            </w:pPr>
            <w:r w:rsidRPr="00D417B3">
              <w:rPr>
                <w:rFonts w:ascii="Calibri" w:hAnsi="Calibri" w:cs="Calibri"/>
                <w:color w:val="000000"/>
                <w:sz w:val="18"/>
                <w:szCs w:val="18"/>
              </w:rPr>
              <w:t>60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71AF56A" w14:textId="77777777">
            <w:pPr>
              <w:widowControl/>
              <w:jc w:val="center"/>
              <w:rPr>
                <w:rFonts w:ascii="Calibri" w:hAnsi="Calibri" w:cs="Calibri"/>
                <w:color w:val="000000"/>
                <w:sz w:val="18"/>
                <w:szCs w:val="18"/>
              </w:rPr>
            </w:pPr>
            <w:r w:rsidRPr="00D417B3">
              <w:rPr>
                <w:rFonts w:ascii="Calibri" w:hAnsi="Calibri" w:cs="Calibri"/>
                <w:color w:val="000000"/>
                <w:sz w:val="18"/>
                <w:szCs w:val="18"/>
              </w:rPr>
              <w:t>60</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1045C2AC" w14:textId="77777777">
            <w:pPr>
              <w:widowControl/>
              <w:rPr>
                <w:rFonts w:ascii="Calibri" w:hAnsi="Calibri" w:cs="Calibri"/>
                <w:color w:val="000000"/>
                <w:sz w:val="18"/>
                <w:szCs w:val="18"/>
              </w:rPr>
            </w:pPr>
            <w:r w:rsidRPr="00D417B3">
              <w:rPr>
                <w:rFonts w:ascii="Calibri" w:hAnsi="Calibri" w:cs="Calibri"/>
                <w:color w:val="000000"/>
                <w:sz w:val="18"/>
                <w:szCs w:val="18"/>
              </w:rPr>
              <w:t>No change</w:t>
            </w:r>
          </w:p>
        </w:tc>
      </w:tr>
      <w:tr w14:paraId="0243D29C" w14:textId="77777777" w:rsidTr="00EB69DE">
        <w:tblPrEx>
          <w:tblW w:w="11495" w:type="dxa"/>
          <w:jc w:val="center"/>
          <w:tblLook w:val="04A0"/>
        </w:tblPrEx>
        <w:trPr>
          <w:trHeight w:val="72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314F4AFE" w14:textId="77777777">
            <w:pPr>
              <w:widowControl/>
              <w:rPr>
                <w:rFonts w:ascii="Calibri" w:hAnsi="Calibri" w:cs="Calibri"/>
                <w:color w:val="000000"/>
                <w:sz w:val="18"/>
                <w:szCs w:val="18"/>
              </w:rPr>
            </w:pPr>
            <w:r w:rsidRPr="00D417B3">
              <w:rPr>
                <w:rFonts w:ascii="Calibri" w:hAnsi="Calibri" w:cs="Calibri"/>
                <w:color w:val="000000"/>
                <w:sz w:val="18"/>
                <w:szCs w:val="18"/>
              </w:rPr>
              <w:t xml:space="preserve">CQE License Limitation Program Authorization letter </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49FCB4BC"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7EAE6E8E" w14:textId="77777777">
            <w:pPr>
              <w:widowControl/>
              <w:jc w:val="center"/>
              <w:rPr>
                <w:rFonts w:ascii="Calibri" w:hAnsi="Calibri" w:cs="Calibri"/>
                <w:color w:val="000000"/>
                <w:sz w:val="18"/>
                <w:szCs w:val="18"/>
              </w:rPr>
            </w:pPr>
            <w:r w:rsidRPr="00D417B3">
              <w:rPr>
                <w:rFonts w:ascii="Calibri" w:hAnsi="Calibri" w:cs="Calibri"/>
                <w:color w:val="000000"/>
                <w:sz w:val="18"/>
                <w:szCs w:val="18"/>
              </w:rPr>
              <w:t>5</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4D42AC3"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A7920FA" w14:textId="77777777">
            <w:pPr>
              <w:widowControl/>
              <w:jc w:val="center"/>
              <w:rPr>
                <w:rFonts w:ascii="Calibri" w:hAnsi="Calibri" w:cs="Calibri"/>
                <w:color w:val="000000"/>
                <w:sz w:val="18"/>
                <w:szCs w:val="18"/>
              </w:rPr>
            </w:pPr>
            <w:r w:rsidRPr="00D417B3">
              <w:rPr>
                <w:rFonts w:ascii="Calibri" w:hAnsi="Calibri" w:cs="Calibri"/>
                <w:color w:val="000000"/>
                <w:sz w:val="18"/>
                <w:szCs w:val="18"/>
              </w:rPr>
              <w:t>5</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746DA729" w14:textId="77777777">
            <w:pPr>
              <w:widowControl/>
              <w:jc w:val="center"/>
              <w:rPr>
                <w:rFonts w:ascii="Calibri" w:hAnsi="Calibri" w:cs="Calibri"/>
                <w:color w:val="000000"/>
                <w:sz w:val="18"/>
                <w:szCs w:val="18"/>
              </w:rPr>
            </w:pPr>
            <w:r w:rsidRPr="00D417B3">
              <w:rPr>
                <w:rFonts w:ascii="Calibri" w:hAnsi="Calibri" w:cs="Calibri"/>
                <w:color w:val="000000"/>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DB2D605" w14:textId="77777777">
            <w:pPr>
              <w:widowControl/>
              <w:jc w:val="center"/>
              <w:rPr>
                <w:rFonts w:ascii="Calibri" w:hAnsi="Calibri" w:cs="Calibri"/>
                <w:color w:val="000000"/>
                <w:sz w:val="18"/>
                <w:szCs w:val="18"/>
              </w:rPr>
            </w:pPr>
            <w:r w:rsidRPr="00D417B3">
              <w:rPr>
                <w:rFonts w:ascii="Calibri" w:hAnsi="Calibri" w:cs="Calibri"/>
                <w:color w:val="000000"/>
                <w:sz w:val="18"/>
                <w:szCs w:val="18"/>
              </w:rPr>
              <w:t>5</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40C936B0"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2ACD610C" w14:textId="77777777" w:rsidTr="00EB69DE">
        <w:tblPrEx>
          <w:tblW w:w="11495" w:type="dxa"/>
          <w:jc w:val="center"/>
          <w:tblLook w:val="04A0"/>
        </w:tblPrEx>
        <w:trPr>
          <w:trHeight w:val="48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EB69DE" w:rsidRPr="00D417B3" w:rsidP="00D417B3" w14:paraId="7EF367E3" w14:textId="77777777">
            <w:pPr>
              <w:widowControl/>
              <w:rPr>
                <w:rFonts w:ascii="Calibri" w:hAnsi="Calibri" w:cs="Calibri"/>
                <w:color w:val="000000"/>
                <w:sz w:val="18"/>
                <w:szCs w:val="18"/>
              </w:rPr>
            </w:pPr>
            <w:r w:rsidRPr="00D417B3">
              <w:rPr>
                <w:rFonts w:ascii="Calibri" w:hAnsi="Calibri" w:cs="Calibri"/>
                <w:color w:val="000000"/>
                <w:sz w:val="18"/>
                <w:szCs w:val="18"/>
              </w:rPr>
              <w:t>Application for Community Charter Halibut Permit</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5AE558AA" w14:textId="77777777">
            <w:pPr>
              <w:widowControl/>
              <w:jc w:val="center"/>
              <w:rPr>
                <w:rFonts w:ascii="Calibri" w:hAnsi="Calibri" w:cs="Calibri"/>
                <w:color w:val="000000"/>
                <w:sz w:val="18"/>
                <w:szCs w:val="18"/>
              </w:rPr>
            </w:pPr>
            <w:r w:rsidRPr="00D417B3">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B876393" w14:textId="77777777">
            <w:pPr>
              <w:widowControl/>
              <w:jc w:val="center"/>
              <w:rPr>
                <w:rFonts w:ascii="Calibri" w:hAnsi="Calibri" w:cs="Calibri"/>
                <w:color w:val="000000"/>
                <w:sz w:val="18"/>
                <w:szCs w:val="18"/>
              </w:rPr>
            </w:pPr>
            <w:r w:rsidRPr="00D417B3">
              <w:rPr>
                <w:rFonts w:ascii="Calibri" w:hAnsi="Calibri" w:cs="Calibri"/>
                <w:color w:val="000000"/>
                <w:sz w:val="18"/>
                <w:szCs w:val="18"/>
              </w:rPr>
              <w:t>11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0403D4E0" w14:textId="77777777">
            <w:pPr>
              <w:widowControl/>
              <w:jc w:val="center"/>
              <w:rPr>
                <w:rFonts w:ascii="Calibri" w:hAnsi="Calibri" w:cs="Calibri"/>
                <w:color w:val="000000"/>
                <w:sz w:val="18"/>
                <w:szCs w:val="18"/>
              </w:rPr>
            </w:pPr>
            <w:r w:rsidRPr="00D417B3">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220A3A04" w14:textId="77777777">
            <w:pPr>
              <w:widowControl/>
              <w:jc w:val="center"/>
              <w:rPr>
                <w:rFonts w:ascii="Calibri" w:hAnsi="Calibri" w:cs="Calibri"/>
                <w:color w:val="000000"/>
                <w:sz w:val="18"/>
                <w:szCs w:val="18"/>
              </w:rPr>
            </w:pPr>
            <w:r w:rsidRPr="00D417B3">
              <w:rPr>
                <w:rFonts w:ascii="Calibri" w:hAnsi="Calibri" w:cs="Calibri"/>
                <w:color w:val="000000"/>
                <w:sz w:val="18"/>
                <w:szCs w:val="18"/>
              </w:rPr>
              <w:t>11</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3FF2EFC9" w14:textId="77777777">
            <w:pPr>
              <w:widowControl/>
              <w:jc w:val="center"/>
              <w:rPr>
                <w:rFonts w:ascii="Calibri" w:hAnsi="Calibri" w:cs="Calibri"/>
                <w:color w:val="000000"/>
                <w:sz w:val="18"/>
                <w:szCs w:val="18"/>
              </w:rPr>
            </w:pPr>
            <w:r w:rsidRPr="00D417B3">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rsidR="00EB69DE" w:rsidRPr="00D417B3" w:rsidP="00D417B3" w14:paraId="65E5CB8F" w14:textId="77777777">
            <w:pPr>
              <w:widowControl/>
              <w:jc w:val="center"/>
              <w:rPr>
                <w:rFonts w:ascii="Calibri" w:hAnsi="Calibri" w:cs="Calibri"/>
                <w:color w:val="000000"/>
                <w:sz w:val="18"/>
                <w:szCs w:val="18"/>
              </w:rPr>
            </w:pPr>
            <w:r w:rsidRPr="00D417B3">
              <w:rPr>
                <w:rFonts w:ascii="Calibri" w:hAnsi="Calibri" w:cs="Calibri"/>
                <w:color w:val="000000"/>
                <w:sz w:val="18"/>
                <w:szCs w:val="18"/>
              </w:rPr>
              <w:t>11</w:t>
            </w:r>
          </w:p>
        </w:tc>
        <w:tc>
          <w:tcPr>
            <w:tcW w:w="2295" w:type="dxa"/>
            <w:tcBorders>
              <w:top w:val="nil"/>
              <w:left w:val="nil"/>
              <w:bottom w:val="single" w:sz="4" w:space="0" w:color="auto"/>
              <w:right w:val="single" w:sz="4" w:space="0" w:color="auto"/>
            </w:tcBorders>
            <w:shd w:val="clear" w:color="auto" w:fill="auto"/>
            <w:vAlign w:val="center"/>
            <w:hideMark/>
          </w:tcPr>
          <w:p w:rsidR="00EB69DE" w:rsidRPr="00D417B3" w:rsidP="00D417B3" w14:paraId="3BBF091D" w14:textId="77777777">
            <w:pPr>
              <w:widowControl/>
              <w:rPr>
                <w:rFonts w:ascii="Calibri" w:hAnsi="Calibri" w:cs="Calibri"/>
                <w:color w:val="000000"/>
                <w:sz w:val="18"/>
                <w:szCs w:val="18"/>
              </w:rPr>
            </w:pPr>
            <w:r w:rsidRPr="00D417B3">
              <w:rPr>
                <w:rFonts w:ascii="Calibri" w:hAnsi="Calibri" w:cs="Calibri"/>
                <w:color w:val="000000"/>
                <w:sz w:val="18"/>
                <w:szCs w:val="18"/>
              </w:rPr>
              <w:t>Adjustment due to change in number of respondents</w:t>
            </w:r>
          </w:p>
        </w:tc>
      </w:tr>
      <w:tr w14:paraId="2CB15571" w14:textId="77777777" w:rsidTr="00EB69DE">
        <w:tblPrEx>
          <w:tblW w:w="11495" w:type="dxa"/>
          <w:jc w:val="center"/>
          <w:tblLook w:val="04A0"/>
        </w:tblPrEx>
        <w:trPr>
          <w:trHeight w:val="288"/>
          <w:jc w:val="center"/>
        </w:trPr>
        <w:tc>
          <w:tcPr>
            <w:tcW w:w="2120" w:type="dxa"/>
            <w:tcBorders>
              <w:top w:val="nil"/>
              <w:left w:val="single" w:sz="4" w:space="0" w:color="auto"/>
              <w:bottom w:val="single" w:sz="4" w:space="0" w:color="auto"/>
              <w:right w:val="single" w:sz="4" w:space="0" w:color="auto"/>
            </w:tcBorders>
            <w:shd w:val="clear" w:color="000000" w:fill="BDD6EE"/>
            <w:vAlign w:val="center"/>
            <w:hideMark/>
          </w:tcPr>
          <w:p w:rsidR="00EB69DE" w:rsidRPr="00D417B3" w:rsidP="00D417B3" w14:paraId="2410D617"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 xml:space="preserve">Total for </w:t>
            </w:r>
            <w:r w:rsidRPr="00D417B3">
              <w:rPr>
                <w:rFonts w:ascii="Calibri" w:hAnsi="Calibri" w:cs="Calibri"/>
                <w:b/>
                <w:bCs/>
                <w:color w:val="000000"/>
                <w:sz w:val="18"/>
                <w:szCs w:val="18"/>
              </w:rPr>
              <w:t>Collection</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34F1E3D5"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62 **</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3EBE340D"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94 ***</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21DFB01D"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73</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1D7416C3"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113</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7A38580B"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1,355</w:t>
            </w:r>
          </w:p>
        </w:tc>
        <w:tc>
          <w:tcPr>
            <w:tcW w:w="1180" w:type="dxa"/>
            <w:tcBorders>
              <w:top w:val="nil"/>
              <w:left w:val="nil"/>
              <w:bottom w:val="single" w:sz="4" w:space="0" w:color="auto"/>
              <w:right w:val="single" w:sz="4" w:space="0" w:color="auto"/>
            </w:tcBorders>
            <w:shd w:val="clear" w:color="000000" w:fill="BDD6EE"/>
            <w:vAlign w:val="center"/>
            <w:hideMark/>
          </w:tcPr>
          <w:p w:rsidR="00EB69DE" w:rsidRPr="00D417B3" w:rsidP="00D417B3" w14:paraId="5E9698F4" w14:textId="68539557">
            <w:pPr>
              <w:widowControl/>
              <w:jc w:val="center"/>
              <w:rPr>
                <w:rFonts w:ascii="Calibri" w:hAnsi="Calibri" w:cs="Calibri"/>
                <w:b/>
                <w:bCs/>
                <w:color w:val="000000"/>
                <w:sz w:val="18"/>
                <w:szCs w:val="18"/>
              </w:rPr>
            </w:pPr>
            <w:r w:rsidRPr="00D417B3">
              <w:rPr>
                <w:rFonts w:ascii="Calibri" w:hAnsi="Calibri" w:cs="Calibri"/>
                <w:b/>
                <w:bCs/>
                <w:color w:val="000000"/>
                <w:sz w:val="18"/>
                <w:szCs w:val="18"/>
              </w:rPr>
              <w:t>1</w:t>
            </w:r>
            <w:r>
              <w:rPr>
                <w:rFonts w:ascii="Calibri" w:hAnsi="Calibri" w:cs="Calibri"/>
                <w:b/>
                <w:bCs/>
                <w:color w:val="000000"/>
                <w:sz w:val="18"/>
                <w:szCs w:val="18"/>
              </w:rPr>
              <w:t>,</w:t>
            </w:r>
            <w:r w:rsidRPr="00D417B3">
              <w:rPr>
                <w:rFonts w:ascii="Calibri" w:hAnsi="Calibri" w:cs="Calibri"/>
                <w:b/>
                <w:bCs/>
                <w:color w:val="000000"/>
                <w:sz w:val="18"/>
                <w:szCs w:val="18"/>
              </w:rPr>
              <w:t>620</w:t>
            </w:r>
          </w:p>
        </w:tc>
        <w:tc>
          <w:tcPr>
            <w:tcW w:w="2295" w:type="dxa"/>
            <w:tcBorders>
              <w:top w:val="nil"/>
              <w:left w:val="nil"/>
              <w:bottom w:val="single" w:sz="4" w:space="0" w:color="auto"/>
              <w:right w:val="single" w:sz="4" w:space="0" w:color="auto"/>
            </w:tcBorders>
            <w:shd w:val="clear" w:color="000000" w:fill="000000"/>
            <w:vAlign w:val="center"/>
            <w:hideMark/>
          </w:tcPr>
          <w:p w:rsidR="00EB69DE" w:rsidRPr="00D417B3" w:rsidP="00D417B3" w14:paraId="5276A553"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 </w:t>
            </w:r>
          </w:p>
        </w:tc>
      </w:tr>
      <w:tr w14:paraId="634BD818" w14:textId="77777777" w:rsidTr="00EB69DE">
        <w:tblPrEx>
          <w:tblW w:w="11495" w:type="dxa"/>
          <w:jc w:val="center"/>
          <w:tblLook w:val="04A0"/>
        </w:tblPrEx>
        <w:trPr>
          <w:trHeight w:val="288"/>
          <w:jc w:val="center"/>
        </w:trPr>
        <w:tc>
          <w:tcPr>
            <w:tcW w:w="2120" w:type="dxa"/>
            <w:tcBorders>
              <w:top w:val="nil"/>
              <w:left w:val="single" w:sz="4" w:space="0" w:color="auto"/>
              <w:bottom w:val="single" w:sz="4" w:space="0" w:color="auto"/>
              <w:right w:val="single" w:sz="4" w:space="0" w:color="auto"/>
            </w:tcBorders>
            <w:shd w:val="clear" w:color="000000" w:fill="FCE4D6"/>
            <w:vAlign w:val="center"/>
            <w:hideMark/>
          </w:tcPr>
          <w:p w:rsidR="00EB69DE" w:rsidRPr="00D417B3" w:rsidP="00D417B3" w14:paraId="2A27A64B" w14:textId="77777777">
            <w:pPr>
              <w:widowControl/>
              <w:jc w:val="center"/>
              <w:rPr>
                <w:rFonts w:ascii="Calibri" w:hAnsi="Calibri" w:cs="Calibri"/>
                <w:b/>
                <w:bCs/>
                <w:color w:val="000000"/>
                <w:sz w:val="18"/>
                <w:szCs w:val="18"/>
              </w:rPr>
            </w:pPr>
            <w:r w:rsidRPr="00D417B3">
              <w:rPr>
                <w:rFonts w:ascii="Calibri" w:hAnsi="Calibri" w:cs="Calibri"/>
                <w:b/>
                <w:bCs/>
                <w:color w:val="000000"/>
                <w:sz w:val="18"/>
                <w:szCs w:val="18"/>
              </w:rPr>
              <w:t>Difference</w:t>
            </w:r>
          </w:p>
        </w:tc>
        <w:tc>
          <w:tcPr>
            <w:tcW w:w="2360" w:type="dxa"/>
            <w:gridSpan w:val="2"/>
            <w:tcBorders>
              <w:top w:val="single" w:sz="4" w:space="0" w:color="auto"/>
              <w:left w:val="nil"/>
              <w:bottom w:val="single" w:sz="4" w:space="0" w:color="auto"/>
              <w:right w:val="single" w:sz="4" w:space="0" w:color="auto"/>
            </w:tcBorders>
            <w:shd w:val="clear" w:color="000000" w:fill="FCE4D6"/>
            <w:vAlign w:val="center"/>
            <w:hideMark/>
          </w:tcPr>
          <w:p w:rsidR="00EB69DE" w:rsidRPr="00D417B3" w:rsidP="00D417B3" w14:paraId="4E2367B5" w14:textId="77777777">
            <w:pPr>
              <w:widowControl/>
              <w:jc w:val="center"/>
              <w:rPr>
                <w:rFonts w:ascii="Calibri" w:hAnsi="Calibri" w:cs="Calibri"/>
                <w:color w:val="000000"/>
                <w:sz w:val="18"/>
                <w:szCs w:val="18"/>
              </w:rPr>
            </w:pPr>
            <w:r w:rsidRPr="00D417B3">
              <w:rPr>
                <w:rFonts w:ascii="Calibri" w:hAnsi="Calibri" w:cs="Calibri"/>
                <w:color w:val="000000"/>
                <w:sz w:val="18"/>
                <w:szCs w:val="18"/>
              </w:rPr>
              <w:t>-32</w:t>
            </w:r>
          </w:p>
        </w:tc>
        <w:tc>
          <w:tcPr>
            <w:tcW w:w="2360" w:type="dxa"/>
            <w:gridSpan w:val="2"/>
            <w:tcBorders>
              <w:top w:val="single" w:sz="4" w:space="0" w:color="auto"/>
              <w:left w:val="nil"/>
              <w:bottom w:val="single" w:sz="4" w:space="0" w:color="auto"/>
              <w:right w:val="single" w:sz="4" w:space="0" w:color="auto"/>
            </w:tcBorders>
            <w:shd w:val="clear" w:color="000000" w:fill="FCE4D6"/>
            <w:vAlign w:val="center"/>
            <w:hideMark/>
          </w:tcPr>
          <w:p w:rsidR="00EB69DE" w:rsidRPr="00D417B3" w:rsidP="00D417B3" w14:paraId="3F4E6A23" w14:textId="77777777">
            <w:pPr>
              <w:widowControl/>
              <w:jc w:val="center"/>
              <w:rPr>
                <w:rFonts w:ascii="Calibri" w:hAnsi="Calibri" w:cs="Calibri"/>
                <w:color w:val="000000"/>
                <w:sz w:val="18"/>
                <w:szCs w:val="18"/>
              </w:rPr>
            </w:pPr>
            <w:r w:rsidRPr="00D417B3">
              <w:rPr>
                <w:rFonts w:ascii="Calibri" w:hAnsi="Calibri" w:cs="Calibri"/>
                <w:color w:val="000000"/>
                <w:sz w:val="18"/>
                <w:szCs w:val="18"/>
              </w:rPr>
              <w:t>-40</w:t>
            </w:r>
          </w:p>
        </w:tc>
        <w:tc>
          <w:tcPr>
            <w:tcW w:w="2360" w:type="dxa"/>
            <w:gridSpan w:val="2"/>
            <w:tcBorders>
              <w:top w:val="single" w:sz="4" w:space="0" w:color="auto"/>
              <w:left w:val="nil"/>
              <w:bottom w:val="single" w:sz="4" w:space="0" w:color="auto"/>
              <w:right w:val="single" w:sz="4" w:space="0" w:color="auto"/>
            </w:tcBorders>
            <w:shd w:val="clear" w:color="000000" w:fill="FCE4D6"/>
            <w:vAlign w:val="center"/>
            <w:hideMark/>
          </w:tcPr>
          <w:p w:rsidR="00EB69DE" w:rsidRPr="00D417B3" w:rsidP="00D417B3" w14:paraId="50685C20" w14:textId="77777777">
            <w:pPr>
              <w:widowControl/>
              <w:jc w:val="center"/>
              <w:rPr>
                <w:rFonts w:ascii="Calibri" w:hAnsi="Calibri" w:cs="Calibri"/>
                <w:color w:val="000000"/>
                <w:sz w:val="18"/>
                <w:szCs w:val="18"/>
              </w:rPr>
            </w:pPr>
            <w:r w:rsidRPr="00D417B3">
              <w:rPr>
                <w:rFonts w:ascii="Calibri" w:hAnsi="Calibri" w:cs="Calibri"/>
                <w:color w:val="000000"/>
                <w:sz w:val="18"/>
                <w:szCs w:val="18"/>
              </w:rPr>
              <w:t>-265</w:t>
            </w:r>
          </w:p>
        </w:tc>
        <w:tc>
          <w:tcPr>
            <w:tcW w:w="2295" w:type="dxa"/>
            <w:tcBorders>
              <w:top w:val="nil"/>
              <w:left w:val="nil"/>
              <w:bottom w:val="single" w:sz="4" w:space="0" w:color="auto"/>
              <w:right w:val="single" w:sz="4" w:space="0" w:color="auto"/>
            </w:tcBorders>
            <w:shd w:val="clear" w:color="000000" w:fill="000000"/>
            <w:vAlign w:val="center"/>
            <w:hideMark/>
          </w:tcPr>
          <w:p w:rsidR="00EB69DE" w:rsidRPr="00D417B3" w:rsidP="00D417B3" w14:paraId="4EA32193" w14:textId="77777777">
            <w:pPr>
              <w:widowControl/>
              <w:rPr>
                <w:rFonts w:ascii="Calibri" w:hAnsi="Calibri" w:cs="Calibri"/>
                <w:color w:val="000000"/>
                <w:sz w:val="18"/>
                <w:szCs w:val="18"/>
              </w:rPr>
            </w:pPr>
            <w:r w:rsidRPr="00D417B3">
              <w:rPr>
                <w:rFonts w:ascii="Calibri" w:hAnsi="Calibri" w:cs="Calibri"/>
                <w:color w:val="000000"/>
                <w:sz w:val="18"/>
                <w:szCs w:val="18"/>
              </w:rPr>
              <w:t> </w:t>
            </w:r>
          </w:p>
        </w:tc>
      </w:tr>
    </w:tbl>
    <w:p w:rsidR="008F38F3" w:rsidP="008F38F3" w14:paraId="33C610A1" w14:textId="77777777">
      <w:pPr>
        <w:pBdr>
          <w:top w:val="nil"/>
          <w:left w:val="nil"/>
          <w:bottom w:val="nil"/>
          <w:right w:val="nil"/>
          <w:between w:val="nil"/>
        </w:pBdr>
        <w:spacing w:before="7"/>
        <w:rPr>
          <w:b/>
          <w:color w:val="000000"/>
        </w:rPr>
      </w:pPr>
    </w:p>
    <w:p w:rsidR="00EB69DE" w:rsidP="008F38F3" w14:paraId="2D42E923" w14:textId="77777777">
      <w:pPr>
        <w:pBdr>
          <w:top w:val="nil"/>
          <w:left w:val="nil"/>
          <w:bottom w:val="nil"/>
          <w:right w:val="nil"/>
          <w:between w:val="nil"/>
        </w:pBdr>
        <w:spacing w:before="7"/>
        <w:rPr>
          <w:rFonts w:ascii="Calibri" w:hAnsi="Calibri" w:cs="Calibri"/>
          <w:color w:val="000000"/>
          <w:sz w:val="18"/>
          <w:szCs w:val="18"/>
        </w:rPr>
      </w:pPr>
    </w:p>
    <w:p w:rsidR="008F38F3" w:rsidP="008F38F3" w14:paraId="5078C90E" w14:textId="73D1991C">
      <w:pPr>
        <w:pBdr>
          <w:top w:val="nil"/>
          <w:left w:val="nil"/>
          <w:bottom w:val="nil"/>
          <w:right w:val="nil"/>
          <w:between w:val="nil"/>
        </w:pBdr>
        <w:spacing w:before="7"/>
        <w:rPr>
          <w:rFonts w:ascii="Calibri" w:hAnsi="Calibri" w:cs="Calibri"/>
          <w:color w:val="000000"/>
          <w:sz w:val="18"/>
          <w:szCs w:val="18"/>
        </w:rPr>
      </w:pPr>
      <w:r w:rsidRPr="00D417B3">
        <w:rPr>
          <w:rFonts w:ascii="Calibri" w:hAnsi="Calibri" w:cs="Calibri"/>
          <w:color w:val="000000"/>
          <w:sz w:val="18"/>
          <w:szCs w:val="18"/>
        </w:rPr>
        <w:t xml:space="preserve">* Each application is completed by two respondents: the transferor and the transferee. For these items, the Responses represent a per-application basis, and the Burden Hrs </w:t>
      </w:r>
      <w:r w:rsidRPr="00D417B3">
        <w:rPr>
          <w:rFonts w:ascii="Calibri" w:hAnsi="Calibri" w:cs="Calibri"/>
          <w:color w:val="000000"/>
          <w:sz w:val="18"/>
          <w:szCs w:val="18"/>
        </w:rPr>
        <w:t>represent the combined time of both the transferor (2 hours each) and the transferee (2 hours each).</w:t>
      </w:r>
      <w:r w:rsidRPr="00D417B3">
        <w:rPr>
          <w:rFonts w:ascii="Calibri" w:hAnsi="Calibri" w:cs="Calibri"/>
          <w:color w:val="000000"/>
          <w:sz w:val="18"/>
          <w:szCs w:val="18"/>
        </w:rPr>
        <w:br/>
        <w:t>** 62 unique respondents currently. Some participants in the CQE Program submit more than one instrument in this information collection. Therefore, the total number of unique respondents is used to show the estimated number of individual participants who are expected to annually submit information during the renewal period for this information collection. The current estimated number of unique respondents co</w:t>
      </w:r>
      <w:r w:rsidRPr="00D417B3">
        <w:rPr>
          <w:rFonts w:ascii="Calibri" w:hAnsi="Calibri" w:cs="Calibri"/>
          <w:color w:val="000000"/>
          <w:sz w:val="18"/>
          <w:szCs w:val="18"/>
        </w:rPr>
        <w:t xml:space="preserve">nsist of the following: </w:t>
      </w:r>
      <w:r w:rsidRPr="00235675">
        <w:rPr>
          <w:rFonts w:ascii="Calibri" w:hAnsi="Calibri" w:cs="Calibri"/>
          <w:color w:val="000000"/>
          <w:sz w:val="18"/>
          <w:szCs w:val="18"/>
        </w:rPr>
        <w:t>1 CQE applicant, 23 CQES, 26 IFQ holders (33 QS/IFQ holders), 5 CHP holders, 7 To/From CQE.</w:t>
      </w:r>
      <w:r w:rsidRPr="00D417B3">
        <w:rPr>
          <w:rFonts w:ascii="Calibri" w:hAnsi="Calibri" w:cs="Calibri"/>
          <w:color w:val="000000"/>
          <w:sz w:val="18"/>
          <w:szCs w:val="18"/>
        </w:rPr>
        <w:br/>
        <w:t>*** 94 unique respondents previously. Some participants in the CQE Program submit more than one instrument in this information collection. Therefore, the total number of unique respondents is used to show the estimated number of individual participants who were expected to annually submit information during the renewal period for this information collection. The previous estimated number of un</w:t>
      </w:r>
      <w:r w:rsidRPr="00D417B3">
        <w:rPr>
          <w:rFonts w:ascii="Calibri" w:hAnsi="Calibri" w:cs="Calibri"/>
          <w:color w:val="000000"/>
          <w:sz w:val="18"/>
          <w:szCs w:val="18"/>
        </w:rPr>
        <w:t>ique respondents consist of the following: 1 CQE applicant, 27 CQES, 21 QS/IFQ holders, and 45 CHP holders.</w:t>
      </w:r>
    </w:p>
    <w:p w:rsidR="00A9445F" w:rsidP="008F38F3" w14:paraId="4AEBC86D" w14:textId="5274C959">
      <w:pPr>
        <w:pBdr>
          <w:top w:val="nil"/>
          <w:left w:val="nil"/>
          <w:bottom w:val="nil"/>
          <w:right w:val="nil"/>
          <w:between w:val="nil"/>
        </w:pBdr>
        <w:spacing w:before="7"/>
        <w:rPr>
          <w:rFonts w:ascii="Calibri" w:hAnsi="Calibri" w:cs="Calibri"/>
          <w:color w:val="000000"/>
          <w:sz w:val="18"/>
          <w:szCs w:val="18"/>
        </w:rPr>
      </w:pPr>
    </w:p>
    <w:p w:rsidR="00A9445F" w:rsidP="008F38F3" w14:paraId="655D4DAC" w14:textId="4779A05E">
      <w:pPr>
        <w:pBdr>
          <w:top w:val="nil"/>
          <w:left w:val="nil"/>
          <w:bottom w:val="nil"/>
          <w:right w:val="nil"/>
          <w:between w:val="nil"/>
        </w:pBdr>
        <w:spacing w:before="7"/>
        <w:rPr>
          <w:rFonts w:ascii="Calibri" w:hAnsi="Calibri" w:cs="Calibri"/>
          <w:color w:val="000000"/>
          <w:sz w:val="18"/>
          <w:szCs w:val="18"/>
        </w:rPr>
      </w:pPr>
    </w:p>
    <w:tbl>
      <w:tblPr>
        <w:tblW w:w="0" w:type="auto"/>
        <w:tblInd w:w="3315" w:type="dxa"/>
        <w:tblCellMar>
          <w:top w:w="15" w:type="dxa"/>
          <w:left w:w="15" w:type="dxa"/>
          <w:bottom w:w="15" w:type="dxa"/>
          <w:right w:w="15" w:type="dxa"/>
        </w:tblCellMar>
        <w:tblLook w:val="04A0"/>
      </w:tblPr>
      <w:tblGrid>
        <w:gridCol w:w="2877"/>
        <w:gridCol w:w="1083"/>
        <w:gridCol w:w="1080"/>
        <w:gridCol w:w="2430"/>
      </w:tblGrid>
      <w:tr w14:paraId="160B13C0" w14:textId="77777777" w:rsidTr="00A9445F">
        <w:tblPrEx>
          <w:tblW w:w="0" w:type="auto"/>
          <w:tblInd w:w="3315" w:type="dxa"/>
          <w:tblCellMar>
            <w:top w:w="15" w:type="dxa"/>
            <w:left w:w="15" w:type="dxa"/>
            <w:bottom w:w="15" w:type="dxa"/>
            <w:right w:w="15" w:type="dxa"/>
          </w:tblCellMar>
          <w:tblLook w:val="04A0"/>
        </w:tblPrEx>
        <w:trPr>
          <w:trHeight w:val="300"/>
        </w:trPr>
        <w:tc>
          <w:tcPr>
            <w:tcW w:w="2877"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A9445F" w:rsidRPr="00A9445F" w:rsidP="00A9445F" w14:paraId="725A9CDC" w14:textId="77777777">
            <w:pPr>
              <w:widowControl/>
              <w:jc w:val="center"/>
            </w:pPr>
            <w:r w:rsidRPr="00A9445F">
              <w:rPr>
                <w:rFonts w:ascii="Calibri" w:hAnsi="Calibri" w:cs="Calibri"/>
                <w:b/>
                <w:bCs/>
                <w:color w:val="000000"/>
                <w:sz w:val="16"/>
                <w:szCs w:val="16"/>
              </w:rPr>
              <w:t>Information Collection</w:t>
            </w:r>
          </w:p>
        </w:tc>
        <w:tc>
          <w:tcPr>
            <w:tcW w:w="2163" w:type="dxa"/>
            <w:gridSpan w:val="2"/>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A9445F" w:rsidRPr="00A9445F" w:rsidP="00A9445F" w14:paraId="1940A853" w14:textId="77777777">
            <w:pPr>
              <w:widowControl/>
              <w:jc w:val="center"/>
            </w:pPr>
            <w:r w:rsidRPr="00A9445F">
              <w:rPr>
                <w:rFonts w:ascii="Calibri" w:hAnsi="Calibri" w:cs="Calibri"/>
                <w:b/>
                <w:bCs/>
                <w:color w:val="000000"/>
                <w:sz w:val="16"/>
                <w:szCs w:val="16"/>
              </w:rPr>
              <w:t>Miscellaneous Costs</w:t>
            </w:r>
          </w:p>
        </w:tc>
        <w:tc>
          <w:tcPr>
            <w:tcW w:w="2430"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hideMark/>
          </w:tcPr>
          <w:p w:rsidR="00A9445F" w:rsidRPr="00A9445F" w:rsidP="00A9445F" w14:paraId="60862A21" w14:textId="77777777">
            <w:pPr>
              <w:widowControl/>
              <w:jc w:val="center"/>
            </w:pPr>
            <w:r w:rsidRPr="00A9445F">
              <w:rPr>
                <w:rFonts w:ascii="Calibri" w:hAnsi="Calibri" w:cs="Calibri"/>
                <w:b/>
                <w:bCs/>
                <w:color w:val="000000"/>
                <w:sz w:val="16"/>
                <w:szCs w:val="16"/>
              </w:rPr>
              <w:t>Reason for change or adjustment</w:t>
            </w:r>
          </w:p>
        </w:tc>
      </w:tr>
      <w:tr w14:paraId="756617E0" w14:textId="77777777" w:rsidTr="00A9445F">
        <w:tblPrEx>
          <w:tblW w:w="0" w:type="auto"/>
          <w:tblInd w:w="3315" w:type="dxa"/>
          <w:tblCellMar>
            <w:top w:w="15" w:type="dxa"/>
            <w:left w:w="15" w:type="dxa"/>
            <w:bottom w:w="15" w:type="dxa"/>
            <w:right w:w="15" w:type="dxa"/>
          </w:tblCellMar>
          <w:tblLook w:val="04A0"/>
        </w:tblPrEx>
        <w:trPr>
          <w:trHeight w:val="300"/>
        </w:trPr>
        <w:tc>
          <w:tcPr>
            <w:tcW w:w="2877" w:type="dxa"/>
            <w:vMerge/>
            <w:tcBorders>
              <w:top w:val="single" w:sz="12" w:space="0" w:color="000000"/>
              <w:left w:val="single" w:sz="12" w:space="0" w:color="000000"/>
              <w:bottom w:val="single" w:sz="12" w:space="0" w:color="000000"/>
              <w:right w:val="single" w:sz="12" w:space="0" w:color="000000"/>
            </w:tcBorders>
            <w:vAlign w:val="center"/>
            <w:hideMark/>
          </w:tcPr>
          <w:p w:rsidR="00A9445F" w:rsidRPr="00A9445F" w:rsidP="00A9445F" w14:paraId="42016579" w14:textId="77777777">
            <w:pPr>
              <w:widowControl/>
            </w:pPr>
          </w:p>
        </w:tc>
        <w:tc>
          <w:tcPr>
            <w:tcW w:w="1083" w:type="dxa"/>
            <w:tcBorders>
              <w:top w:val="single" w:sz="12" w:space="0" w:color="000000"/>
              <w:left w:val="single" w:sz="12" w:space="0" w:color="000000"/>
              <w:bottom w:val="single" w:sz="12" w:space="0" w:color="000000"/>
              <w:right w:val="single" w:sz="6" w:space="0" w:color="CCCCCC"/>
            </w:tcBorders>
            <w:shd w:val="clear" w:color="auto" w:fill="FBE4D5"/>
            <w:tcMar>
              <w:top w:w="0" w:type="dxa"/>
              <w:left w:w="40" w:type="dxa"/>
              <w:bottom w:w="0" w:type="dxa"/>
              <w:right w:w="40" w:type="dxa"/>
            </w:tcMar>
            <w:vAlign w:val="center"/>
            <w:hideMark/>
          </w:tcPr>
          <w:p w:rsidR="00A9445F" w:rsidRPr="00A9445F" w:rsidP="00A9445F" w14:paraId="4A9E99B0" w14:textId="77777777">
            <w:pPr>
              <w:widowControl/>
              <w:jc w:val="center"/>
            </w:pPr>
            <w:r w:rsidRPr="00A9445F">
              <w:rPr>
                <w:rFonts w:ascii="Calibri" w:hAnsi="Calibri" w:cs="Calibri"/>
                <w:color w:val="000000"/>
                <w:sz w:val="16"/>
                <w:szCs w:val="16"/>
              </w:rPr>
              <w:t>Current</w:t>
            </w:r>
          </w:p>
        </w:tc>
        <w:tc>
          <w:tcPr>
            <w:tcW w:w="1080" w:type="dxa"/>
            <w:tcBorders>
              <w:top w:val="single" w:sz="12" w:space="0" w:color="000000"/>
              <w:left w:val="single" w:sz="6" w:space="0" w:color="CCCCCC"/>
              <w:bottom w:val="single" w:sz="12" w:space="0" w:color="000000"/>
              <w:right w:val="single" w:sz="12" w:space="0" w:color="000000"/>
            </w:tcBorders>
            <w:shd w:val="clear" w:color="auto" w:fill="FBE4D5"/>
            <w:tcMar>
              <w:top w:w="0" w:type="dxa"/>
              <w:left w:w="40" w:type="dxa"/>
              <w:bottom w:w="0" w:type="dxa"/>
              <w:right w:w="40" w:type="dxa"/>
            </w:tcMar>
            <w:vAlign w:val="center"/>
            <w:hideMark/>
          </w:tcPr>
          <w:p w:rsidR="00A9445F" w:rsidRPr="00A9445F" w:rsidP="00A9445F" w14:paraId="417AE0C2" w14:textId="77777777">
            <w:pPr>
              <w:widowControl/>
              <w:jc w:val="center"/>
            </w:pPr>
            <w:r w:rsidRPr="00A9445F">
              <w:rPr>
                <w:rFonts w:ascii="Calibri" w:hAnsi="Calibri" w:cs="Calibri"/>
                <w:color w:val="000000"/>
                <w:sz w:val="16"/>
                <w:szCs w:val="16"/>
              </w:rPr>
              <w:t>Previous</w:t>
            </w:r>
          </w:p>
        </w:tc>
        <w:tc>
          <w:tcPr>
            <w:tcW w:w="2430" w:type="dxa"/>
            <w:vMerge/>
            <w:tcBorders>
              <w:top w:val="single" w:sz="12" w:space="0" w:color="000000"/>
              <w:left w:val="single" w:sz="12" w:space="0" w:color="000000"/>
              <w:bottom w:val="single" w:sz="12" w:space="0" w:color="000000"/>
              <w:right w:val="single" w:sz="12" w:space="0" w:color="000000"/>
            </w:tcBorders>
            <w:vAlign w:val="center"/>
            <w:hideMark/>
          </w:tcPr>
          <w:p w:rsidR="00A9445F" w:rsidRPr="00A9445F" w:rsidP="00A9445F" w14:paraId="220D5AEE" w14:textId="77777777">
            <w:pPr>
              <w:widowControl/>
            </w:pPr>
          </w:p>
        </w:tc>
      </w:tr>
      <w:tr w14:paraId="4004AA46"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hideMark/>
          </w:tcPr>
          <w:p w:rsidR="00DB7AC4" w:rsidRPr="00A9445F" w:rsidP="00A9445F" w14:paraId="68AEEE26" w14:textId="42DF8FA7">
            <w:pPr>
              <w:widowControl/>
            </w:pPr>
            <w:r w:rsidRPr="00A9445F">
              <w:rPr>
                <w:sz w:val="16"/>
              </w:rPr>
              <w:t xml:space="preserve">Application for a Non-profit </w:t>
            </w:r>
            <w:r w:rsidRPr="00A9445F">
              <w:rPr>
                <w:sz w:val="16"/>
              </w:rPr>
              <w:t>Corporation to be Designated as a Community Quota</w:t>
            </w:r>
          </w:p>
        </w:tc>
        <w:tc>
          <w:tcPr>
            <w:tcW w:w="1083" w:type="dxa"/>
            <w:tcBorders>
              <w:top w:val="single" w:sz="12" w:space="0" w:color="000000"/>
              <w:left w:val="single" w:sz="12" w:space="0" w:color="000000"/>
              <w:bottom w:val="single" w:sz="6" w:space="0" w:color="CCCCCC"/>
              <w:right w:val="single" w:sz="6" w:space="0" w:color="CCCCCC"/>
            </w:tcBorders>
            <w:tcMar>
              <w:top w:w="0" w:type="dxa"/>
              <w:left w:w="40" w:type="dxa"/>
              <w:bottom w:w="0" w:type="dxa"/>
              <w:right w:w="40" w:type="dxa"/>
            </w:tcMar>
            <w:vAlign w:val="center"/>
            <w:hideMark/>
          </w:tcPr>
          <w:p w:rsidR="00DB7AC4" w:rsidRPr="00A9445F" w:rsidP="004946BE" w14:paraId="19F318B9" w14:textId="201D0746">
            <w:pPr>
              <w:widowControl/>
              <w:jc w:val="center"/>
              <w:rPr>
                <w:sz w:val="16"/>
              </w:rPr>
            </w:pPr>
            <w:r w:rsidRPr="004946BE">
              <w:rPr>
                <w:sz w:val="16"/>
              </w:rPr>
              <w:t>5</w:t>
            </w:r>
          </w:p>
        </w:tc>
        <w:tc>
          <w:tcPr>
            <w:tcW w:w="1080" w:type="dxa"/>
            <w:tcBorders>
              <w:top w:val="single" w:sz="12" w:space="0" w:color="000000"/>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DB7AC4" w:rsidRPr="00A9445F" w:rsidP="004946BE" w14:paraId="1E0840C9" w14:textId="14ACC8F2">
            <w:pPr>
              <w:widowControl/>
              <w:jc w:val="center"/>
              <w:rPr>
                <w:sz w:val="16"/>
              </w:rPr>
            </w:pPr>
            <w:r w:rsidRPr="004946BE">
              <w:rPr>
                <w:sz w:val="16"/>
              </w:rPr>
              <w:t>5</w:t>
            </w:r>
          </w:p>
        </w:tc>
        <w:tc>
          <w:tcPr>
            <w:tcW w:w="2430" w:type="dxa"/>
            <w:vMerge w:val="restart"/>
            <w:tcBorders>
              <w:top w:val="single" w:sz="12" w:space="0" w:color="000000"/>
              <w:left w:val="single" w:sz="12" w:space="0" w:color="000000"/>
              <w:right w:val="single" w:sz="12" w:space="0" w:color="000000"/>
            </w:tcBorders>
            <w:tcMar>
              <w:top w:w="0" w:type="dxa"/>
              <w:left w:w="40" w:type="dxa"/>
              <w:bottom w:w="0" w:type="dxa"/>
              <w:right w:w="40" w:type="dxa"/>
            </w:tcMar>
            <w:vAlign w:val="center"/>
            <w:hideMark/>
          </w:tcPr>
          <w:p w:rsidR="00DB7AC4" w:rsidRPr="00A9445F" w:rsidP="00DB7AC4" w14:paraId="3DAA0EC0" w14:textId="347066E3">
            <w:pPr>
              <w:widowControl/>
            </w:pPr>
            <w:r w:rsidRPr="00DB7AC4">
              <w:rPr>
                <w:sz w:val="18"/>
              </w:rPr>
              <w:t>While some instances no changes occurred, in others the decrease of respondents was reflected in the cost per respondent.</w:t>
            </w:r>
          </w:p>
        </w:tc>
      </w:tr>
      <w:tr w14:paraId="26665ECC"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hideMark/>
          </w:tcPr>
          <w:p w:rsidR="00DB7AC4" w:rsidRPr="00A9445F" w:rsidP="00A9445F" w14:paraId="0E05270F" w14:textId="46225701">
            <w:pPr>
              <w:widowControl/>
              <w:rPr>
                <w:sz w:val="16"/>
              </w:rPr>
            </w:pPr>
            <w:r w:rsidRPr="004946BE">
              <w:rPr>
                <w:sz w:val="16"/>
              </w:rPr>
              <w:t>Application for Transfer of QS/IFQ to or from a CQE</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hideMark/>
          </w:tcPr>
          <w:p w:rsidR="00DB7AC4" w:rsidRPr="00A9445F" w:rsidP="004946BE" w14:paraId="76B825F0" w14:textId="3346714F">
            <w:pPr>
              <w:widowControl/>
              <w:jc w:val="center"/>
              <w:rPr>
                <w:sz w:val="16"/>
              </w:rPr>
            </w:pPr>
            <w:r>
              <w:rPr>
                <w:sz w:val="16"/>
              </w:rPr>
              <w:t>50</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DB7AC4" w:rsidRPr="00A9445F" w:rsidP="004946BE" w14:paraId="119470EF" w14:textId="7ABFB80E">
            <w:pPr>
              <w:widowControl/>
              <w:jc w:val="center"/>
              <w:rPr>
                <w:sz w:val="16"/>
              </w:rPr>
            </w:pPr>
            <w:r>
              <w:rPr>
                <w:sz w:val="16"/>
              </w:rPr>
              <w:t>170</w:t>
            </w:r>
          </w:p>
        </w:tc>
        <w:tc>
          <w:tcPr>
            <w:tcW w:w="2430" w:type="dxa"/>
            <w:vMerge/>
            <w:tcBorders>
              <w:left w:val="single" w:sz="12" w:space="0" w:color="000000"/>
              <w:right w:val="single" w:sz="12" w:space="0" w:color="000000"/>
            </w:tcBorders>
            <w:tcMar>
              <w:top w:w="0" w:type="dxa"/>
              <w:left w:w="40" w:type="dxa"/>
              <w:bottom w:w="0" w:type="dxa"/>
              <w:right w:w="40" w:type="dxa"/>
            </w:tcMar>
            <w:vAlign w:val="center"/>
            <w:hideMark/>
          </w:tcPr>
          <w:p w:rsidR="00DB7AC4" w:rsidRPr="00A9445F" w:rsidP="00A9445F" w14:paraId="06BD4756" w14:textId="77777777">
            <w:pPr>
              <w:widowControl/>
            </w:pPr>
          </w:p>
        </w:tc>
      </w:tr>
      <w:tr w14:paraId="19C1DC78"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DB7AC4" w:rsidRPr="00A9445F" w:rsidP="00A9445F" w14:paraId="59101860" w14:textId="747ED863">
            <w:pPr>
              <w:widowControl/>
              <w:rPr>
                <w:sz w:val="16"/>
              </w:rPr>
            </w:pPr>
            <w:r w:rsidRPr="004946BE">
              <w:rPr>
                <w:sz w:val="16"/>
              </w:rPr>
              <w:t>Application for a CQE to Receive a Non-trawl Groundfish LLP License</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tcPr>
          <w:p w:rsidR="00DB7AC4" w:rsidRPr="004946BE" w:rsidP="004946BE" w14:paraId="59840CD7" w14:textId="5C56CA1B">
            <w:pPr>
              <w:widowControl/>
              <w:jc w:val="center"/>
              <w:rPr>
                <w:sz w:val="16"/>
              </w:rPr>
            </w:pPr>
            <w:r>
              <w:rPr>
                <w:sz w:val="16"/>
              </w:rPr>
              <w:t>15</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DB7AC4" w:rsidRPr="004946BE" w:rsidP="004946BE" w14:paraId="39ED7883" w14:textId="3E64BC42">
            <w:pPr>
              <w:widowControl/>
              <w:jc w:val="center"/>
              <w:rPr>
                <w:sz w:val="16"/>
              </w:rPr>
            </w:pPr>
            <w:r>
              <w:rPr>
                <w:sz w:val="16"/>
              </w:rPr>
              <w:t>15</w:t>
            </w:r>
          </w:p>
        </w:tc>
        <w:tc>
          <w:tcPr>
            <w:tcW w:w="2430" w:type="dxa"/>
            <w:vMerge/>
            <w:tcBorders>
              <w:left w:val="single" w:sz="12" w:space="0" w:color="000000"/>
              <w:right w:val="single" w:sz="12" w:space="0" w:color="000000"/>
            </w:tcBorders>
            <w:tcMar>
              <w:top w:w="0" w:type="dxa"/>
              <w:left w:w="40" w:type="dxa"/>
              <w:bottom w:w="0" w:type="dxa"/>
              <w:right w:w="40" w:type="dxa"/>
            </w:tcMar>
            <w:vAlign w:val="center"/>
          </w:tcPr>
          <w:p w:rsidR="00DB7AC4" w:rsidRPr="00A9445F" w:rsidP="00A9445F" w14:paraId="6634FC59" w14:textId="77777777">
            <w:pPr>
              <w:widowControl/>
            </w:pPr>
          </w:p>
        </w:tc>
      </w:tr>
      <w:tr w14:paraId="48DF2F29"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DB7AC4" w:rsidRPr="00A9445F" w:rsidP="00A9445F" w14:paraId="5378C0F9" w14:textId="1FEAF503">
            <w:pPr>
              <w:widowControl/>
              <w:rPr>
                <w:sz w:val="16"/>
              </w:rPr>
            </w:pPr>
            <w:r w:rsidRPr="004946BE">
              <w:rPr>
                <w:sz w:val="16"/>
              </w:rPr>
              <w:t>Community Quota Entity (CQE) Annual Report</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tcPr>
          <w:p w:rsidR="00DB7AC4" w:rsidRPr="004946BE" w:rsidP="004946BE" w14:paraId="5A9001F9" w14:textId="3A8AFAF7">
            <w:pPr>
              <w:widowControl/>
              <w:jc w:val="center"/>
              <w:rPr>
                <w:sz w:val="16"/>
              </w:rPr>
            </w:pPr>
            <w:r>
              <w:rPr>
                <w:sz w:val="16"/>
              </w:rPr>
              <w:t>115</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DB7AC4" w:rsidRPr="004946BE" w:rsidP="004946BE" w14:paraId="61A88E6A" w14:textId="144DBD70">
            <w:pPr>
              <w:widowControl/>
              <w:jc w:val="center"/>
              <w:rPr>
                <w:sz w:val="16"/>
              </w:rPr>
            </w:pPr>
            <w:r>
              <w:rPr>
                <w:sz w:val="16"/>
              </w:rPr>
              <w:t>135</w:t>
            </w:r>
          </w:p>
        </w:tc>
        <w:tc>
          <w:tcPr>
            <w:tcW w:w="2430" w:type="dxa"/>
            <w:vMerge/>
            <w:tcBorders>
              <w:left w:val="single" w:sz="12" w:space="0" w:color="000000"/>
              <w:right w:val="single" w:sz="12" w:space="0" w:color="000000"/>
            </w:tcBorders>
            <w:tcMar>
              <w:top w:w="0" w:type="dxa"/>
              <w:left w:w="40" w:type="dxa"/>
              <w:bottom w:w="0" w:type="dxa"/>
              <w:right w:w="40" w:type="dxa"/>
            </w:tcMar>
            <w:vAlign w:val="center"/>
          </w:tcPr>
          <w:p w:rsidR="00DB7AC4" w:rsidRPr="00A9445F" w:rsidP="00A9445F" w14:paraId="1A6C53FF" w14:textId="77777777">
            <w:pPr>
              <w:widowControl/>
            </w:pPr>
          </w:p>
        </w:tc>
      </w:tr>
      <w:tr w14:paraId="12AF6E62"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DB7AC4" w:rsidRPr="004946BE" w:rsidP="00A9445F" w14:paraId="760D1674" w14:textId="6EF59363">
            <w:pPr>
              <w:widowControl/>
              <w:rPr>
                <w:sz w:val="16"/>
              </w:rPr>
            </w:pPr>
            <w:r w:rsidRPr="005832A8">
              <w:rPr>
                <w:sz w:val="16"/>
              </w:rPr>
              <w:t xml:space="preserve">CQE LLP Authorization letter  </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tcPr>
          <w:p w:rsidR="00DB7AC4" w:rsidP="004946BE" w14:paraId="6F23630A" w14:textId="2C321010">
            <w:pPr>
              <w:widowControl/>
              <w:jc w:val="center"/>
              <w:rPr>
                <w:sz w:val="16"/>
              </w:rPr>
            </w:pPr>
            <w:r>
              <w:rPr>
                <w:sz w:val="16"/>
              </w:rPr>
              <w:t>15</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DB7AC4" w:rsidP="004946BE" w14:paraId="3B9B5D0F" w14:textId="706E09B8">
            <w:pPr>
              <w:widowControl/>
              <w:jc w:val="center"/>
              <w:rPr>
                <w:sz w:val="16"/>
              </w:rPr>
            </w:pPr>
            <w:r>
              <w:rPr>
                <w:sz w:val="16"/>
              </w:rPr>
              <w:t>25</w:t>
            </w:r>
          </w:p>
        </w:tc>
        <w:tc>
          <w:tcPr>
            <w:tcW w:w="2430" w:type="dxa"/>
            <w:vMerge/>
            <w:tcBorders>
              <w:left w:val="single" w:sz="12" w:space="0" w:color="000000"/>
              <w:right w:val="single" w:sz="12" w:space="0" w:color="000000"/>
            </w:tcBorders>
            <w:tcMar>
              <w:top w:w="0" w:type="dxa"/>
              <w:left w:w="40" w:type="dxa"/>
              <w:bottom w:w="0" w:type="dxa"/>
              <w:right w:w="40" w:type="dxa"/>
            </w:tcMar>
            <w:vAlign w:val="center"/>
          </w:tcPr>
          <w:p w:rsidR="00DB7AC4" w:rsidRPr="00A9445F" w:rsidP="00A9445F" w14:paraId="524DEDFA" w14:textId="77777777">
            <w:pPr>
              <w:widowControl/>
            </w:pPr>
          </w:p>
        </w:tc>
      </w:tr>
      <w:tr w14:paraId="677D3279"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DB7AC4" w:rsidRPr="00A9445F" w:rsidP="00A9445F" w14:paraId="0B54E657" w14:textId="6AD420D5">
            <w:pPr>
              <w:widowControl/>
              <w:rPr>
                <w:sz w:val="16"/>
              </w:rPr>
            </w:pPr>
            <w:r w:rsidRPr="004946BE">
              <w:rPr>
                <w:sz w:val="16"/>
              </w:rPr>
              <w:t>Application for Community Charter Halibut Permit (CCHP)</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tcPr>
          <w:p w:rsidR="00DB7AC4" w:rsidRPr="004946BE" w:rsidP="004946BE" w14:paraId="53154204" w14:textId="66FC6FA2">
            <w:pPr>
              <w:widowControl/>
              <w:jc w:val="center"/>
              <w:rPr>
                <w:sz w:val="16"/>
              </w:rPr>
            </w:pPr>
            <w:r>
              <w:rPr>
                <w:sz w:val="16"/>
              </w:rPr>
              <w:t>0</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DB7AC4" w:rsidRPr="004946BE" w:rsidP="004946BE" w14:paraId="719265F2" w14:textId="05C39C64">
            <w:pPr>
              <w:widowControl/>
              <w:jc w:val="center"/>
              <w:rPr>
                <w:sz w:val="16"/>
              </w:rPr>
            </w:pPr>
            <w:r>
              <w:rPr>
                <w:sz w:val="16"/>
              </w:rPr>
              <w:t>55</w:t>
            </w:r>
          </w:p>
        </w:tc>
        <w:tc>
          <w:tcPr>
            <w:tcW w:w="2430" w:type="dxa"/>
            <w:vMerge/>
            <w:tcBorders>
              <w:left w:val="single" w:sz="12" w:space="0" w:color="000000"/>
              <w:right w:val="single" w:sz="12" w:space="0" w:color="000000"/>
            </w:tcBorders>
            <w:tcMar>
              <w:top w:w="0" w:type="dxa"/>
              <w:left w:w="40" w:type="dxa"/>
              <w:bottom w:w="0" w:type="dxa"/>
              <w:right w:w="40" w:type="dxa"/>
            </w:tcMar>
            <w:vAlign w:val="center"/>
          </w:tcPr>
          <w:p w:rsidR="00DB7AC4" w:rsidRPr="00A9445F" w:rsidP="00A9445F" w14:paraId="185DF498" w14:textId="77777777">
            <w:pPr>
              <w:widowControl/>
            </w:pPr>
          </w:p>
        </w:tc>
      </w:tr>
      <w:tr w14:paraId="7440DF18"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DB7AC4" w:rsidRPr="00A9445F" w:rsidP="00A9445F" w14:paraId="472D1718" w14:textId="4CBFA05D">
            <w:pPr>
              <w:widowControl/>
              <w:rPr>
                <w:sz w:val="16"/>
              </w:rPr>
            </w:pPr>
            <w:r w:rsidRPr="004946BE">
              <w:rPr>
                <w:sz w:val="16"/>
              </w:rPr>
              <w:t xml:space="preserve">Application for </w:t>
            </w:r>
            <w:r w:rsidRPr="004946BE">
              <w:rPr>
                <w:sz w:val="16"/>
              </w:rPr>
              <w:t>Transfer (Lease) Between IFQ and Guided Angler Fish by a Community Quota Entity (CQE)</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tcPr>
          <w:p w:rsidR="00DB7AC4" w:rsidRPr="004946BE" w:rsidP="004946BE" w14:paraId="27DBD068" w14:textId="02025248">
            <w:pPr>
              <w:widowControl/>
              <w:jc w:val="center"/>
              <w:rPr>
                <w:sz w:val="16"/>
              </w:rPr>
            </w:pPr>
            <w:r>
              <w:rPr>
                <w:sz w:val="16"/>
              </w:rPr>
              <w:t>150</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tcPr>
          <w:p w:rsidR="00DB7AC4" w:rsidRPr="004946BE" w:rsidP="004946BE" w14:paraId="36D6F3B5" w14:textId="76CFE85B">
            <w:pPr>
              <w:widowControl/>
              <w:jc w:val="center"/>
              <w:rPr>
                <w:sz w:val="16"/>
              </w:rPr>
            </w:pPr>
            <w:r>
              <w:rPr>
                <w:sz w:val="16"/>
              </w:rPr>
              <w:t>450</w:t>
            </w:r>
          </w:p>
        </w:tc>
        <w:tc>
          <w:tcPr>
            <w:tcW w:w="2430" w:type="dxa"/>
            <w:vMerge/>
            <w:tcBorders>
              <w:left w:val="single" w:sz="12" w:space="0" w:color="000000"/>
              <w:right w:val="single" w:sz="12" w:space="0" w:color="000000"/>
            </w:tcBorders>
            <w:tcMar>
              <w:top w:w="0" w:type="dxa"/>
              <w:left w:w="40" w:type="dxa"/>
              <w:bottom w:w="0" w:type="dxa"/>
              <w:right w:w="40" w:type="dxa"/>
            </w:tcMar>
            <w:vAlign w:val="center"/>
          </w:tcPr>
          <w:p w:rsidR="00DB7AC4" w:rsidRPr="00A9445F" w:rsidP="00A9445F" w14:paraId="6F503CFE" w14:textId="77777777">
            <w:pPr>
              <w:widowControl/>
            </w:pPr>
          </w:p>
        </w:tc>
      </w:tr>
      <w:tr w14:paraId="35635B00" w14:textId="77777777" w:rsidTr="00AF3745">
        <w:tblPrEx>
          <w:tblW w:w="0" w:type="auto"/>
          <w:tblInd w:w="3315" w:type="dxa"/>
          <w:tblCellMar>
            <w:top w:w="15" w:type="dxa"/>
            <w:left w:w="15" w:type="dxa"/>
            <w:bottom w:w="15" w:type="dxa"/>
            <w:right w:w="15" w:type="dxa"/>
          </w:tblCellMar>
          <w:tblLook w:val="04A0"/>
        </w:tblPrEx>
        <w:trPr>
          <w:trHeight w:val="300"/>
        </w:trPr>
        <w:tc>
          <w:tcPr>
            <w:tcW w:w="2877" w:type="dxa"/>
            <w:tcBorders>
              <w:top w:val="single" w:sz="12"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hideMark/>
          </w:tcPr>
          <w:p w:rsidR="00DB7AC4" w:rsidRPr="00A9445F" w:rsidP="00A9445F" w14:paraId="404F868F" w14:textId="407FE7F6">
            <w:pPr>
              <w:widowControl/>
              <w:rPr>
                <w:sz w:val="16"/>
              </w:rPr>
            </w:pPr>
            <w:r w:rsidRPr="005832A8">
              <w:rPr>
                <w:sz w:val="16"/>
              </w:rPr>
              <w:t>Application for a CQE to Transfer IFQ to an Eligible Community Resident or Non-resident</w:t>
            </w:r>
          </w:p>
        </w:tc>
        <w:tc>
          <w:tcPr>
            <w:tcW w:w="1083" w:type="dxa"/>
            <w:tcBorders>
              <w:top w:val="single" w:sz="6" w:space="0" w:color="CCCCCC"/>
              <w:left w:val="single" w:sz="12" w:space="0" w:color="000000"/>
              <w:bottom w:val="single" w:sz="6" w:space="0" w:color="CCCCCC"/>
              <w:right w:val="single" w:sz="6" w:space="0" w:color="CCCCCC"/>
            </w:tcBorders>
            <w:tcMar>
              <w:top w:w="0" w:type="dxa"/>
              <w:left w:w="40" w:type="dxa"/>
              <w:bottom w:w="0" w:type="dxa"/>
              <w:right w:w="40" w:type="dxa"/>
            </w:tcMar>
            <w:vAlign w:val="center"/>
            <w:hideMark/>
          </w:tcPr>
          <w:p w:rsidR="00DB7AC4" w:rsidRPr="00A9445F" w:rsidP="004946BE" w14:paraId="45E9FC9B" w14:textId="0A803240">
            <w:pPr>
              <w:widowControl/>
              <w:jc w:val="center"/>
              <w:rPr>
                <w:sz w:val="16"/>
              </w:rPr>
            </w:pPr>
            <w:r>
              <w:rPr>
                <w:sz w:val="16"/>
              </w:rPr>
              <w:t>230</w:t>
            </w:r>
          </w:p>
        </w:tc>
        <w:tc>
          <w:tcPr>
            <w:tcW w:w="1080" w:type="dxa"/>
            <w:tcBorders>
              <w:top w:val="single" w:sz="6" w:space="0" w:color="CCCCCC"/>
              <w:left w:val="single" w:sz="6" w:space="0" w:color="CCCCCC"/>
              <w:bottom w:val="single" w:sz="6" w:space="0" w:color="CCCCCC"/>
              <w:right w:val="single" w:sz="12" w:space="0" w:color="000000"/>
            </w:tcBorders>
            <w:tcMar>
              <w:top w:w="0" w:type="dxa"/>
              <w:left w:w="40" w:type="dxa"/>
              <w:bottom w:w="0" w:type="dxa"/>
              <w:right w:w="40" w:type="dxa"/>
            </w:tcMar>
            <w:vAlign w:val="center"/>
            <w:hideMark/>
          </w:tcPr>
          <w:p w:rsidR="00DB7AC4" w:rsidRPr="00A9445F" w:rsidP="004946BE" w14:paraId="3C8CAC49" w14:textId="74FC7C26">
            <w:pPr>
              <w:widowControl/>
              <w:jc w:val="center"/>
              <w:rPr>
                <w:sz w:val="16"/>
              </w:rPr>
            </w:pPr>
            <w:r>
              <w:rPr>
                <w:sz w:val="16"/>
              </w:rPr>
              <w:t>40</w:t>
            </w:r>
          </w:p>
        </w:tc>
        <w:tc>
          <w:tcPr>
            <w:tcW w:w="2430" w:type="dxa"/>
            <w:vMerge/>
            <w:tcBorders>
              <w:left w:val="single" w:sz="12" w:space="0" w:color="000000"/>
              <w:bottom w:val="single" w:sz="6" w:space="0" w:color="CCCCCC"/>
              <w:right w:val="single" w:sz="12" w:space="0" w:color="000000"/>
            </w:tcBorders>
            <w:tcMar>
              <w:top w:w="0" w:type="dxa"/>
              <w:left w:w="40" w:type="dxa"/>
              <w:bottom w:w="0" w:type="dxa"/>
              <w:right w:w="40" w:type="dxa"/>
            </w:tcMar>
            <w:vAlign w:val="center"/>
            <w:hideMark/>
          </w:tcPr>
          <w:p w:rsidR="00DB7AC4" w:rsidRPr="00A9445F" w:rsidP="00A9445F" w14:paraId="7BBA4E86" w14:textId="77777777">
            <w:pPr>
              <w:widowControl/>
            </w:pPr>
          </w:p>
        </w:tc>
      </w:tr>
      <w:tr w14:paraId="15DFC1C5" w14:textId="77777777" w:rsidTr="00DB7AC4">
        <w:tblPrEx>
          <w:tblW w:w="0" w:type="auto"/>
          <w:tblInd w:w="3315" w:type="dxa"/>
          <w:tblCellMar>
            <w:top w:w="15" w:type="dxa"/>
            <w:left w:w="15" w:type="dxa"/>
            <w:bottom w:w="15" w:type="dxa"/>
            <w:right w:w="15" w:type="dxa"/>
          </w:tblCellMar>
          <w:tblLook w:val="04A0"/>
        </w:tblPrEx>
        <w:trPr>
          <w:trHeight w:val="339"/>
        </w:trPr>
        <w:tc>
          <w:tcPr>
            <w:tcW w:w="2877"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A9445F" w:rsidRPr="00A9445F" w:rsidP="00A9445F" w14:paraId="124A843E" w14:textId="77777777">
            <w:pPr>
              <w:widowControl/>
              <w:jc w:val="center"/>
            </w:pPr>
            <w:r w:rsidRPr="00A9445F">
              <w:rPr>
                <w:rFonts w:ascii="Calibri" w:hAnsi="Calibri" w:cs="Calibri"/>
                <w:b/>
                <w:bCs/>
                <w:color w:val="000000"/>
                <w:sz w:val="16"/>
                <w:szCs w:val="16"/>
              </w:rPr>
              <w:t>Total for Collection</w:t>
            </w:r>
          </w:p>
        </w:tc>
        <w:tc>
          <w:tcPr>
            <w:tcW w:w="1083" w:type="dxa"/>
            <w:tcBorders>
              <w:top w:val="single" w:sz="6" w:space="0" w:color="000000"/>
              <w:left w:val="single" w:sz="12" w:space="0" w:color="000000"/>
              <w:bottom w:val="single" w:sz="12" w:space="0" w:color="000000"/>
              <w:right w:val="single" w:sz="6" w:space="0" w:color="CCCCCC"/>
            </w:tcBorders>
            <w:shd w:val="clear" w:color="auto" w:fill="BDD6EE"/>
            <w:tcMar>
              <w:top w:w="0" w:type="dxa"/>
              <w:left w:w="40" w:type="dxa"/>
              <w:bottom w:w="0" w:type="dxa"/>
              <w:right w:w="40" w:type="dxa"/>
            </w:tcMar>
            <w:vAlign w:val="center"/>
            <w:hideMark/>
          </w:tcPr>
          <w:p w:rsidR="00A9445F" w:rsidRPr="00A9445F" w:rsidP="0061654F" w14:paraId="4FBFF67F" w14:textId="2AA664C1">
            <w:pPr>
              <w:widowControl/>
              <w:jc w:val="center"/>
              <w:rPr>
                <w:b/>
                <w:sz w:val="18"/>
              </w:rPr>
            </w:pPr>
            <w:r w:rsidRPr="00DB7AC4">
              <w:rPr>
                <w:b/>
                <w:sz w:val="18"/>
              </w:rPr>
              <w:t>580</w:t>
            </w:r>
          </w:p>
        </w:tc>
        <w:tc>
          <w:tcPr>
            <w:tcW w:w="1080" w:type="dxa"/>
            <w:tcBorders>
              <w:top w:val="single" w:sz="6" w:space="0" w:color="000000"/>
              <w:left w:val="single" w:sz="6" w:space="0" w:color="CCCCCC"/>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A9445F" w:rsidRPr="00A9445F" w:rsidP="0061654F" w14:paraId="126033EA" w14:textId="23B6B58F">
            <w:pPr>
              <w:widowControl/>
              <w:jc w:val="center"/>
              <w:rPr>
                <w:b/>
                <w:sz w:val="18"/>
              </w:rPr>
            </w:pPr>
            <w:r w:rsidRPr="00DB7AC4">
              <w:rPr>
                <w:b/>
                <w:sz w:val="18"/>
              </w:rPr>
              <w:t>895</w:t>
            </w:r>
          </w:p>
        </w:tc>
        <w:tc>
          <w:tcPr>
            <w:tcW w:w="2430" w:type="dxa"/>
            <w:tcBorders>
              <w:top w:val="single" w:sz="6"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center"/>
            <w:hideMark/>
          </w:tcPr>
          <w:p w:rsidR="00A9445F" w:rsidRPr="00A9445F" w:rsidP="00A9445F" w14:paraId="0FB46051" w14:textId="77777777">
            <w:pPr>
              <w:widowControl/>
            </w:pPr>
          </w:p>
        </w:tc>
      </w:tr>
      <w:tr w14:paraId="38098ECB" w14:textId="77777777" w:rsidTr="00DB7AC4">
        <w:tblPrEx>
          <w:tblW w:w="0" w:type="auto"/>
          <w:tblInd w:w="3315" w:type="dxa"/>
          <w:tblCellMar>
            <w:top w:w="15" w:type="dxa"/>
            <w:left w:w="15" w:type="dxa"/>
            <w:bottom w:w="15" w:type="dxa"/>
            <w:right w:w="15" w:type="dxa"/>
          </w:tblCellMar>
          <w:tblLook w:val="04A0"/>
        </w:tblPrEx>
        <w:trPr>
          <w:trHeight w:val="330"/>
        </w:trPr>
        <w:tc>
          <w:tcPr>
            <w:tcW w:w="2877" w:type="dxa"/>
            <w:tcBorders>
              <w:top w:val="single" w:sz="12" w:space="0" w:color="000000"/>
              <w:left w:val="single" w:sz="12"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A9445F" w:rsidRPr="00A9445F" w:rsidP="00A9445F" w14:paraId="44195AD6" w14:textId="77777777">
            <w:pPr>
              <w:widowControl/>
              <w:jc w:val="center"/>
            </w:pPr>
            <w:r w:rsidRPr="00A9445F">
              <w:rPr>
                <w:rFonts w:ascii="Calibri" w:hAnsi="Calibri" w:cs="Calibri"/>
                <w:b/>
                <w:bCs/>
                <w:color w:val="000000"/>
                <w:sz w:val="16"/>
                <w:szCs w:val="16"/>
              </w:rPr>
              <w:t>Difference</w:t>
            </w:r>
          </w:p>
        </w:tc>
        <w:tc>
          <w:tcPr>
            <w:tcW w:w="2163" w:type="dxa"/>
            <w:gridSpan w:val="2"/>
            <w:tcBorders>
              <w:top w:val="single" w:sz="12" w:space="0" w:color="000000"/>
              <w:left w:val="single" w:sz="6" w:space="0" w:color="000000"/>
              <w:bottom w:val="single" w:sz="12" w:space="0" w:color="000000"/>
              <w:right w:val="single" w:sz="6" w:space="0" w:color="000000"/>
            </w:tcBorders>
            <w:shd w:val="clear" w:color="auto" w:fill="FBE4D5"/>
            <w:tcMar>
              <w:top w:w="0" w:type="dxa"/>
              <w:left w:w="40" w:type="dxa"/>
              <w:bottom w:w="0" w:type="dxa"/>
              <w:right w:w="40" w:type="dxa"/>
            </w:tcMar>
            <w:vAlign w:val="bottom"/>
            <w:hideMark/>
          </w:tcPr>
          <w:p w:rsidR="00A9445F" w:rsidRPr="00A9445F" w:rsidP="0061654F" w14:paraId="1BBEAD65" w14:textId="5E8EFD26">
            <w:pPr>
              <w:widowControl/>
              <w:jc w:val="center"/>
              <w:rPr>
                <w:b/>
                <w:sz w:val="18"/>
              </w:rPr>
            </w:pPr>
            <w:r w:rsidRPr="00DB7AC4">
              <w:rPr>
                <w:b/>
                <w:sz w:val="18"/>
              </w:rPr>
              <w:t>-315</w:t>
            </w:r>
          </w:p>
        </w:tc>
        <w:tc>
          <w:tcPr>
            <w:tcW w:w="2430" w:type="dxa"/>
            <w:tcBorders>
              <w:top w:val="single" w:sz="12" w:space="0" w:color="000000"/>
              <w:left w:val="single" w:sz="6"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A9445F" w:rsidRPr="00A9445F" w:rsidP="00A9445F" w14:paraId="7D0EB382" w14:textId="77777777">
            <w:pPr>
              <w:widowControl/>
            </w:pPr>
          </w:p>
        </w:tc>
      </w:tr>
    </w:tbl>
    <w:p w:rsidR="00A9445F" w:rsidP="00DB7AC4" w14:paraId="200A0AAB" w14:textId="77777777">
      <w:pPr>
        <w:pBdr>
          <w:top w:val="nil"/>
          <w:left w:val="nil"/>
          <w:bottom w:val="nil"/>
          <w:right w:val="nil"/>
          <w:between w:val="nil"/>
        </w:pBdr>
        <w:spacing w:before="7"/>
        <w:rPr>
          <w:b/>
        </w:rPr>
      </w:pPr>
    </w:p>
    <w:p w:rsidR="008F38F3" w:rsidP="00DB7AC4" w14:paraId="55E0D034" w14:textId="77777777">
      <w:pPr>
        <w:pBdr>
          <w:top w:val="nil"/>
          <w:left w:val="nil"/>
          <w:bottom w:val="nil"/>
          <w:right w:val="nil"/>
          <w:between w:val="nil"/>
        </w:pBdr>
        <w:spacing w:before="159"/>
        <w:rPr>
          <w:color w:val="2F5496"/>
        </w:rPr>
      </w:pPr>
    </w:p>
    <w:p w:rsidR="008F38F3" w:rsidP="00DB7AC4" w14:paraId="065E8EF9" w14:textId="749FACBD">
      <w:pPr>
        <w:pBdr>
          <w:top w:val="nil"/>
          <w:left w:val="nil"/>
          <w:bottom w:val="nil"/>
          <w:right w:val="nil"/>
          <w:between w:val="nil"/>
        </w:pBdr>
        <w:spacing w:before="7"/>
        <w:rPr>
          <w:b/>
        </w:rPr>
      </w:pPr>
    </w:p>
    <w:p w:rsidR="00130145" w14:paraId="6FF9634F" w14:textId="77777777">
      <w:pPr>
        <w:pBdr>
          <w:top w:val="nil"/>
          <w:left w:val="nil"/>
          <w:bottom w:val="nil"/>
          <w:right w:val="nil"/>
          <w:between w:val="nil"/>
        </w:pBdr>
        <w:spacing w:before="7"/>
        <w:rPr>
          <w:b/>
          <w:color w:val="000000"/>
        </w:rPr>
        <w:sectPr w:rsidSect="00FE5BEF">
          <w:pgSz w:w="15840" w:h="12240" w:orient="landscape"/>
          <w:pgMar w:top="1080" w:right="640" w:bottom="1080" w:left="1200" w:header="0" w:footer="714" w:gutter="0"/>
          <w:cols w:space="720"/>
          <w:docGrid w:linePitch="326"/>
        </w:sectPr>
      </w:pPr>
    </w:p>
    <w:p w:rsidR="00050C0C" w14:paraId="2F23F301" w14:textId="31E31716">
      <w:pPr>
        <w:pBdr>
          <w:top w:val="nil"/>
          <w:left w:val="nil"/>
          <w:bottom w:val="nil"/>
          <w:right w:val="nil"/>
          <w:between w:val="nil"/>
        </w:pBdr>
        <w:spacing w:before="7"/>
        <w:rPr>
          <w:b/>
          <w:color w:val="000000"/>
        </w:rPr>
      </w:pPr>
    </w:p>
    <w:p w:rsidR="00050C0C" w14:paraId="112E38F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used. Provide the time schedule for the entire project, </w:t>
      </w:r>
      <w:r>
        <w:rPr>
          <w:b/>
          <w:color w:val="000000"/>
        </w:rPr>
        <w:t>including beginning and ending dates of the collection of information, completion of report, publication dates, and other actions.</w:t>
      </w:r>
    </w:p>
    <w:p w:rsidR="00BE1A00" w:rsidP="008F38F3" w14:paraId="5EB856B0" w14:textId="77777777">
      <w:pPr>
        <w:tabs>
          <w:tab w:val="left" w:pos="360"/>
          <w:tab w:val="left" w:pos="720"/>
          <w:tab w:val="left" w:pos="1080"/>
        </w:tabs>
        <w:adjustRightInd w:val="0"/>
        <w:rPr>
          <w:rFonts w:eastAsia="SimSun"/>
        </w:rPr>
      </w:pPr>
    </w:p>
    <w:p w:rsidR="008F38F3" w:rsidRPr="00BC15E8" w:rsidP="008F38F3" w14:paraId="784AF83F" w14:textId="0CFCADD5">
      <w:pPr>
        <w:tabs>
          <w:tab w:val="left" w:pos="360"/>
          <w:tab w:val="left" w:pos="720"/>
          <w:tab w:val="left" w:pos="1080"/>
        </w:tabs>
        <w:adjustRightInd w:val="0"/>
        <w:rPr>
          <w:rFonts w:eastAsia="SimSun"/>
        </w:rPr>
      </w:pPr>
      <w:r w:rsidRPr="00BC15E8">
        <w:rPr>
          <w:rFonts w:eastAsia="SimSun"/>
        </w:rPr>
        <w:t xml:space="preserve">It is anticipated that some of the information collected will be disseminated to the public or used to support publicly disseminated information. </w:t>
      </w:r>
      <w:r w:rsidRPr="00BC15E8">
        <w:rPr>
          <w:rFonts w:eastAsiaTheme="minorHAnsi" w:cstheme="minorBidi"/>
        </w:rPr>
        <w:t xml:space="preserve">NMFS Alaska Regional Office and the National Appeals Office will retain control over the information and safeguard it from improper access, modification, and destruction, consistent with NOAA standards for confidentiality, privacy, and electronic information. </w:t>
      </w:r>
      <w:r w:rsidRPr="00BC15E8">
        <w:rPr>
          <w:rFonts w:eastAsia="SimSun"/>
        </w:rPr>
        <w:t xml:space="preserve">See response to Question 10 of this Supporting Statement for more information on confidentiality and privacy. </w:t>
      </w:r>
      <w:r w:rsidRPr="00BC15E8">
        <w:rPr>
          <w:rFonts w:eastAsiaTheme="minorHAnsi" w:cstheme="minorBidi"/>
        </w:rPr>
        <w:t>This information collection is designed to yield data that meet all applicable information quality guidelines. Prior to dissemination, the inf</w:t>
      </w:r>
      <w:r w:rsidRPr="00BC15E8">
        <w:rPr>
          <w:rFonts w:eastAsiaTheme="minorHAnsi" w:cstheme="minorBidi"/>
        </w:rPr>
        <w:t xml:space="preserve">ormation will be subjected to quality control measures and a pre-dissemination review pursuant to </w:t>
      </w:r>
      <w:r w:rsidRPr="00BC15E8">
        <w:t>Section 515 of Public Law 106-554</w:t>
      </w:r>
      <w:r w:rsidRPr="00BC15E8">
        <w:rPr>
          <w:rFonts w:eastAsiaTheme="minorHAnsi" w:cstheme="minorBidi"/>
        </w:rPr>
        <w:t xml:space="preserve"> </w:t>
      </w:r>
      <w:r w:rsidRPr="00BC15E8">
        <w:rPr>
          <w:rFonts w:eastAsia="Calibri"/>
        </w:rPr>
        <w:t>(</w:t>
      </w:r>
      <w:r w:rsidRPr="00BC15E8">
        <w:rPr>
          <w:rFonts w:eastAsia="Calibri"/>
          <w:color w:val="000000"/>
        </w:rPr>
        <w:t>the Information Quality Act)</w:t>
      </w:r>
      <w:r w:rsidRPr="00BC15E8">
        <w:rPr>
          <w:rFonts w:eastAsiaTheme="minorHAnsi" w:cstheme="minorBidi"/>
        </w:rPr>
        <w:t xml:space="preserve">, which requires </w:t>
      </w:r>
      <w:r w:rsidRPr="00BC15E8">
        <w:rPr>
          <w:rFonts w:eastAsia="Calibri"/>
          <w:color w:val="000000"/>
        </w:rPr>
        <w:t xml:space="preserve">NMFS to ensure the quality, objectivity, utility, and integrity of information it publicly disseminates. Public dissemination of data collected by this information collection is governed by </w:t>
      </w:r>
      <w:r w:rsidRPr="00BC15E8">
        <w:rPr>
          <w:rFonts w:eastAsia="Calibri"/>
        </w:rPr>
        <w:t>NOAA's information quality guidelines</w:t>
      </w:r>
      <w:r w:rsidR="008C0DAF">
        <w:rPr>
          <w:rFonts w:eastAsia="Calibri"/>
        </w:rPr>
        <w:t>.</w:t>
      </w:r>
    </w:p>
    <w:p w:rsidR="008F38F3" w:rsidRPr="00011688" w:rsidP="008F38F3" w14:paraId="6F227A1A" w14:textId="77777777">
      <w:pPr>
        <w:widowControl/>
      </w:pPr>
    </w:p>
    <w:p w:rsidR="008F38F3" w:rsidRPr="008F38F3" w:rsidP="008F38F3" w14:paraId="7EEA299A" w14:textId="495916E0">
      <w:pPr>
        <w:widowControl/>
        <w:rPr>
          <w:rFonts w:eastAsia="SimSun"/>
        </w:rPr>
      </w:pPr>
      <w:r w:rsidRPr="00644379">
        <w:rPr>
          <w:rFonts w:eastAsia="SimSun"/>
        </w:rPr>
        <w:t xml:space="preserve">A list of </w:t>
      </w:r>
      <w:r>
        <w:rPr>
          <w:rFonts w:eastAsia="SimSun"/>
        </w:rPr>
        <w:t xml:space="preserve">the currently approved </w:t>
      </w:r>
      <w:r w:rsidRPr="00644379">
        <w:rPr>
          <w:rFonts w:eastAsia="SimSun"/>
        </w:rPr>
        <w:t xml:space="preserve">CQEs and the community represented by each is posted on the NMFS Alaska Region website </w:t>
      </w:r>
      <w:r>
        <w:rPr>
          <w:rFonts w:eastAsia="SimSun"/>
        </w:rPr>
        <w:t xml:space="preserve">at </w:t>
      </w:r>
      <w:hyperlink r:id="rId22" w:anchor="community-quota-entities" w:history="1">
        <w:r w:rsidRPr="00B81869">
          <w:rPr>
            <w:rStyle w:val="Hyperlink"/>
            <w:rFonts w:eastAsia="SimSun"/>
          </w:rPr>
          <w:t>https://www.fisheries.noaa.gov/alaska/commercial-fishing/permits-and-licenses-issued-alaska#community-quota-entities</w:t>
        </w:r>
      </w:hyperlink>
      <w:r>
        <w:rPr>
          <w:rFonts w:eastAsia="SimSun"/>
        </w:rPr>
        <w:t>. This</w:t>
      </w:r>
      <w:r w:rsidRPr="00094EB4">
        <w:rPr>
          <w:rFonts w:eastAsia="SimSun"/>
        </w:rPr>
        <w:t xml:space="preserve"> </w:t>
      </w:r>
      <w:r w:rsidRPr="00BC15E8">
        <w:rPr>
          <w:rFonts w:eastAsia="SimSun"/>
        </w:rPr>
        <w:t xml:space="preserve">NMFS Alaska Region website </w:t>
      </w:r>
      <w:r>
        <w:rPr>
          <w:rFonts w:eastAsia="SimSun"/>
        </w:rPr>
        <w:t xml:space="preserve">includes </w:t>
      </w:r>
      <w:r w:rsidRPr="00BC15E8">
        <w:rPr>
          <w:rFonts w:eastAsia="SimSun"/>
        </w:rPr>
        <w:t xml:space="preserve">the name and contact information of </w:t>
      </w:r>
      <w:r>
        <w:rPr>
          <w:rFonts w:eastAsia="SimSun"/>
        </w:rPr>
        <w:t>the</w:t>
      </w:r>
      <w:r w:rsidRPr="00BC15E8">
        <w:rPr>
          <w:rFonts w:eastAsia="SimSun"/>
        </w:rPr>
        <w:t xml:space="preserve"> CQEs, and information on their charter halibut permits, LLP licenses, </w:t>
      </w:r>
      <w:r>
        <w:rPr>
          <w:rFonts w:eastAsia="SimSun"/>
        </w:rPr>
        <w:t>and quota share</w:t>
      </w:r>
      <w:r w:rsidRPr="00BC15E8">
        <w:rPr>
          <w:rFonts w:eastAsia="SimSun"/>
        </w:rPr>
        <w:t xml:space="preserve"> held.</w:t>
      </w:r>
      <w:r w:rsidRPr="00094EB4">
        <w:rPr>
          <w:rFonts w:eastAsia="SimSun"/>
        </w:rPr>
        <w:t xml:space="preserve"> </w:t>
      </w:r>
    </w:p>
    <w:p w:rsidR="00050C0C" w14:paraId="71B425C2" w14:textId="77777777">
      <w:pPr>
        <w:pBdr>
          <w:top w:val="nil"/>
          <w:left w:val="nil"/>
          <w:bottom w:val="nil"/>
          <w:right w:val="nil"/>
          <w:between w:val="nil"/>
        </w:pBdr>
        <w:spacing w:before="160"/>
        <w:rPr>
          <w:color w:val="2F5496"/>
        </w:rPr>
      </w:pPr>
    </w:p>
    <w:p w:rsidR="00050C0C" w14:paraId="2719837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8F38F3" w:rsidP="008F38F3" w14:paraId="281A2335" w14:textId="77777777">
      <w:pPr>
        <w:widowControl/>
        <w:rPr>
          <w:rFonts w:eastAsia="SimSun"/>
        </w:rPr>
      </w:pPr>
    </w:p>
    <w:p w:rsidR="008F38F3" w:rsidRPr="001E4AD7" w:rsidP="008F38F3" w14:paraId="666A6D98" w14:textId="29AE8B13">
      <w:pPr>
        <w:widowControl/>
      </w:pPr>
      <w:r w:rsidRPr="00826CCC">
        <w:rPr>
          <w:rFonts w:eastAsia="SimSun"/>
        </w:rPr>
        <w:t xml:space="preserve">The agency plans to display the expiration date for OMB </w:t>
      </w:r>
      <w:r w:rsidRPr="00826CCC">
        <w:rPr>
          <w:rFonts w:eastAsia="SimSun"/>
        </w:rPr>
        <w:t>approval of the information collection on all instruments.</w:t>
      </w:r>
    </w:p>
    <w:p w:rsidR="00050C0C" w14:paraId="587603C6" w14:textId="77777777">
      <w:pPr>
        <w:spacing w:before="161"/>
        <w:rPr>
          <w:i/>
        </w:rPr>
      </w:pPr>
    </w:p>
    <w:p w:rsidR="00050C0C" w14:paraId="427BA5E9"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50C0C" w:rsidP="008C0DAF" w14:paraId="5D34EDB4" w14:textId="77777777">
      <w:pPr>
        <w:spacing w:before="221" w:line="259" w:lineRule="auto"/>
      </w:pPr>
      <w:r>
        <w:t xml:space="preserve">The agency certifies compliance with </w:t>
      </w:r>
      <w:hyperlink r:id="rId23">
        <w:r>
          <w:rPr>
            <w:color w:val="0563C1"/>
            <w:u w:val="single"/>
          </w:rPr>
          <w:t>5 CFR 1320.9</w:t>
        </w:r>
      </w:hyperlink>
      <w:hyperlink r:id="rId23">
        <w:r>
          <w:rPr>
            <w:color w:val="0563C1"/>
          </w:rPr>
          <w:t xml:space="preserve"> </w:t>
        </w:r>
      </w:hyperlink>
      <w:r>
        <w:t xml:space="preserve">and the related provisions of </w:t>
      </w:r>
      <w:hyperlink r:id="rId24">
        <w:r>
          <w:rPr>
            <w:color w:val="0563C1"/>
            <w:u w:val="single"/>
          </w:rPr>
          <w:t>5 CFR</w:t>
        </w:r>
      </w:hyperlink>
      <w:r>
        <w:rPr>
          <w:color w:val="0563C1"/>
        </w:rPr>
        <w:t xml:space="preserve"> </w:t>
      </w:r>
      <w:hyperlink r:id="rId24">
        <w:r>
          <w:rPr>
            <w:color w:val="0563C1"/>
            <w:u w:val="single"/>
          </w:rPr>
          <w:t>1320.8(b)(3)</w:t>
        </w:r>
      </w:hyperlink>
      <w:r>
        <w:t>.</w:t>
      </w:r>
    </w:p>
    <w:p w:rsidR="00050C0C" w:rsidP="008C0DAF" w14:paraId="5290010F" w14:textId="77777777">
      <w:pPr>
        <w:spacing w:before="221" w:line="259" w:lineRule="auto"/>
      </w:pPr>
    </w:p>
    <w:p w:rsidR="00050C0C" w14:paraId="79858126" w14:textId="77777777">
      <w:pPr>
        <w:spacing w:before="221" w:line="259" w:lineRule="auto"/>
        <w:jc w:val="both"/>
      </w:pPr>
    </w:p>
    <w:p w:rsidR="00050C0C" w14:paraId="11B893CE" w14:textId="41B26BCB">
      <w:pPr>
        <w:spacing w:before="221" w:line="259" w:lineRule="auto"/>
        <w:jc w:val="both"/>
        <w:rPr>
          <w:color w:val="1F497D"/>
        </w:rPr>
      </w:pPr>
      <w:bookmarkStart w:id="4" w:name="_heading=h.gjdgxs" w:colFirst="0" w:colLast="0"/>
      <w:bookmarkEnd w:id="4"/>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FD1" w14:paraId="7CC62479"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B35" w14:paraId="7B69942A" w14:textId="77777777">
      <w:r>
        <w:separator/>
      </w:r>
    </w:p>
  </w:footnote>
  <w:footnote w:type="continuationSeparator" w:id="1">
    <w:p w:rsidR="00471B35" w14:paraId="11637F84" w14:textId="77777777">
      <w:r>
        <w:continuationSeparator/>
      </w:r>
    </w:p>
  </w:footnote>
  <w:footnote w:id="2">
    <w:p w:rsidR="00484FD1" w:rsidP="00AB42D6" w14:paraId="73419FC3" w14:textId="77777777">
      <w:pPr>
        <w:pStyle w:val="FootnoteText"/>
      </w:pPr>
      <w:r>
        <w:rPr>
          <w:rStyle w:val="FootnoteReference"/>
        </w:rPr>
        <w:footnoteRef/>
      </w:r>
      <w:r>
        <w:t xml:space="preserve"> </w:t>
      </w:r>
      <w:hyperlink r:id="rId1" w:history="1">
        <w:r w:rsidRPr="007A4C99">
          <w:rPr>
            <w:rStyle w:val="Hyperlink"/>
          </w:rPr>
          <w:t>https://www.fisheries.noaa.gov/resource/document/magnuson-stevens-fishery-conservation-and-management-act</w:t>
        </w:r>
      </w:hyperlink>
    </w:p>
  </w:footnote>
  <w:footnote w:id="3">
    <w:p w:rsidR="00484FD1" w:rsidP="00AB42D6" w14:paraId="379ADF32" w14:textId="77777777">
      <w:pPr>
        <w:pStyle w:val="FootnoteText"/>
      </w:pPr>
      <w:r>
        <w:rPr>
          <w:rStyle w:val="FootnoteReference"/>
        </w:rPr>
        <w:footnoteRef/>
      </w:r>
      <w:r>
        <w:t xml:space="preserve"> </w:t>
      </w:r>
      <w:hyperlink r:id="rId2" w:history="1">
        <w:r w:rsidRPr="00210A4A">
          <w:rPr>
            <w:rStyle w:val="Hyperlink"/>
          </w:rPr>
          <w:t>https://uscode.house.gov/view.xhtml?hl=false&amp;edition=prelim&amp;req=granuleid%3AUSC-prelim-title16-section773c&amp;f=treesort&amp;num=0&amp;saved=%7CKHRpdGxlOjE2IHNlY3Rpb246NzczIGVkaXRpb246cHJlbGltKSBPUiAoZ3JhbnVsZWlkOlVTQy1wcmVsaW0tdGl0bGUxNi1zZWN0aW9uNzczKQ%3D%3D%7CdHJlZXNvcnQ%3D%7C%7C0%7Cfalse%7Cprelim</w:t>
        </w:r>
      </w:hyperlink>
    </w:p>
  </w:footnote>
  <w:footnote w:id="4">
    <w:p w:rsidR="00484FD1" w:rsidP="00AB42D6" w14:paraId="4B71559C" w14:textId="77777777">
      <w:pPr>
        <w:pStyle w:val="FootnoteText"/>
      </w:pPr>
      <w:r>
        <w:rPr>
          <w:rStyle w:val="FootnoteReference"/>
        </w:rPr>
        <w:footnoteRef/>
      </w:r>
      <w:r>
        <w:t xml:space="preserve"> </w:t>
      </w:r>
      <w:hyperlink r:id="rId3" w:history="1">
        <w:r w:rsidRPr="007A4C99">
          <w:rPr>
            <w:rStyle w:val="Hyperlink"/>
          </w:rPr>
          <w:t>https://iphc.int/uploads/pdf/basic-texts/iphc-1979-pacific-halibut-convention.pdf</w:t>
        </w:r>
      </w:hyperlink>
    </w:p>
  </w:footnote>
  <w:footnote w:id="5">
    <w:p w:rsidR="00484FD1" w14:paraId="2B346D94" w14:textId="514F0492">
      <w:pPr>
        <w:pStyle w:val="FootnoteText"/>
      </w:pPr>
      <w:r>
        <w:rPr>
          <w:rStyle w:val="FootnoteReference"/>
        </w:rPr>
        <w:footnoteRef/>
      </w:r>
      <w:r>
        <w:t xml:space="preserve"> </w:t>
      </w:r>
      <w:hyperlink r:id="rId4" w:history="1">
        <w:r w:rsidRPr="008B5B3B">
          <w:rPr>
            <w:rStyle w:val="Hyperlink"/>
          </w:rPr>
          <w:t>https://www.ecfr.gov/current/title-50/chapter-III/part-300/subpart-E</w:t>
        </w:r>
      </w:hyperlink>
    </w:p>
  </w:footnote>
  <w:footnote w:id="6">
    <w:p w:rsidR="00484FD1" w14:paraId="7E885717" w14:textId="4EAF306F">
      <w:pPr>
        <w:pStyle w:val="FootnoteText"/>
      </w:pPr>
      <w:r>
        <w:rPr>
          <w:rStyle w:val="FootnoteReference"/>
        </w:rPr>
        <w:footnoteRef/>
      </w:r>
      <w:r>
        <w:t xml:space="preserve"> </w:t>
      </w:r>
      <w:hyperlink r:id="rId5" w:history="1">
        <w:r w:rsidRPr="008B5B3B">
          <w:rPr>
            <w:rStyle w:val="Hyperlink"/>
          </w:rPr>
          <w:t>https://www.ecfr.gov/current/title-50/chapter-VI/part-679</w:t>
        </w:r>
      </w:hyperlink>
    </w:p>
  </w:footnote>
  <w:footnote w:id="7">
    <w:p w:rsidR="00484FD1" w:rsidP="00AB42D6" w14:paraId="55EE1058" w14:textId="4F46F509">
      <w:pPr>
        <w:pStyle w:val="FootnoteText"/>
      </w:pPr>
      <w:r>
        <w:rPr>
          <w:rStyle w:val="FootnoteReference"/>
        </w:rPr>
        <w:footnoteRef/>
      </w:r>
      <w:r>
        <w:t xml:space="preserve"> </w:t>
      </w:r>
      <w:hyperlink r:id="rId6" w:history="1">
        <w:r w:rsidRPr="00DB02F2">
          <w:rPr>
            <w:rStyle w:val="Hyperlink"/>
          </w:rPr>
          <w:t>https://www.commerce.alaska.gov/web/inv/LoanPrograms/CommunityQuotaEntity.aspx</w:t>
        </w:r>
      </w:hyperlink>
    </w:p>
  </w:footnote>
  <w:footnote w:id="8">
    <w:p w:rsidR="00484FD1" w:rsidP="00AB42D6" w14:paraId="28F5F588" w14:textId="77777777">
      <w:pPr>
        <w:pStyle w:val="FootnoteText"/>
      </w:pPr>
      <w:r>
        <w:rPr>
          <w:rStyle w:val="FootnoteReference"/>
        </w:rPr>
        <w:footnoteRef/>
      </w:r>
      <w:r>
        <w:t xml:space="preserve"> </w:t>
      </w:r>
      <w:hyperlink r:id="rId7" w:history="1">
        <w:r w:rsidRPr="00EF2C97">
          <w:rPr>
            <w:rStyle w:val="Hyperlink"/>
          </w:rPr>
          <w:t>https://www.ecfr.gov/current/title-50/chapter-VI/part-679/appendix-Table%2021%20to%20Part%20679</w:t>
        </w:r>
      </w:hyperlink>
    </w:p>
  </w:footnote>
  <w:footnote w:id="9">
    <w:p w:rsidR="00484FD1" w:rsidP="00AB42D6" w14:paraId="7ED93C04" w14:textId="77777777">
      <w:pPr>
        <w:pStyle w:val="FootnoteText"/>
      </w:pPr>
      <w:r>
        <w:rPr>
          <w:rStyle w:val="FootnoteReference"/>
        </w:rPr>
        <w:footnoteRef/>
      </w:r>
      <w:r>
        <w:t xml:space="preserve"> </w:t>
      </w:r>
      <w:hyperlink r:id="rId8" w:history="1">
        <w:r w:rsidRPr="00560326">
          <w:rPr>
            <w:rStyle w:val="Hyperlink"/>
          </w:rPr>
          <w:t>https://www.fisheries.noaa.gov/alaska/sustainable-fisheries/community-quota-and-license-programs-community-quota-entities</w:t>
        </w:r>
      </w:hyperlink>
    </w:p>
  </w:footnote>
  <w:footnote w:id="10">
    <w:p w:rsidR="00484FD1" w:rsidP="00184FB4" w14:paraId="09A99CCF" w14:textId="77777777">
      <w:pPr>
        <w:pStyle w:val="FootnoteText"/>
      </w:pPr>
      <w:r>
        <w:rPr>
          <w:rStyle w:val="FootnoteReference"/>
        </w:rPr>
        <w:footnoteRef/>
      </w:r>
      <w:r>
        <w:t xml:space="preserve"> </w:t>
      </w:r>
      <w:hyperlink r:id="rId9" w:history="1">
        <w:r w:rsidRPr="004A4A46">
          <w:rPr>
            <w:rStyle w:val="Hyperlink"/>
          </w:rPr>
          <w:t>https://www.federalregister.gov/documents/2023/02/27/2023-03669/fisheries-of-the-exclusive-economic-zone-off-alaska-amendment-124-to-the-bsai-fmp-for-groundfish-and</w:t>
        </w:r>
      </w:hyperlink>
    </w:p>
  </w:footnote>
  <w:footnote w:id="11">
    <w:p w:rsidR="00484FD1" w:rsidP="00184FB4" w14:paraId="4AF160A1" w14:textId="77777777">
      <w:pPr>
        <w:pStyle w:val="FootnoteText"/>
      </w:pPr>
      <w:r>
        <w:rPr>
          <w:rStyle w:val="FootnoteReference"/>
        </w:rPr>
        <w:footnoteRef/>
      </w:r>
      <w:r>
        <w:t xml:space="preserve"> </w:t>
      </w:r>
      <w:hyperlink r:id="rId7" w:history="1">
        <w:r w:rsidRPr="000E3DBF">
          <w:rPr>
            <w:rStyle w:val="Hyperlink"/>
          </w:rPr>
          <w:t>https://www.ecfr.gov/current/title-50/chapter-VI/part-679/appendix-Table%2021%20to%20Part%20679</w:t>
        </w:r>
      </w:hyperlink>
      <w:r>
        <w:t xml:space="preserve"> </w:t>
      </w:r>
    </w:p>
  </w:footnote>
  <w:footnote w:id="12">
    <w:p w:rsidR="00484FD1" w:rsidP="00184FB4" w14:paraId="2914D981" w14:textId="77777777">
      <w:pPr>
        <w:pStyle w:val="FootnoteText"/>
      </w:pPr>
      <w:r>
        <w:rPr>
          <w:rStyle w:val="FootnoteReference"/>
        </w:rPr>
        <w:footnoteRef/>
      </w:r>
      <w:r>
        <w:t xml:space="preserve"> </w:t>
      </w:r>
      <w:hyperlink r:id="rId9" w:history="1">
        <w:r w:rsidRPr="004A4A46">
          <w:rPr>
            <w:rStyle w:val="Hyperlink"/>
          </w:rPr>
          <w:t>https://www.federalregister.gov/documents/2023/02/27/2023-03669/fisheries-of-the-exclusive-economic-zone-off-alaska-amendment-124-to-the-bsai-fmp-for-groundfish-and</w:t>
        </w:r>
      </w:hyperlink>
    </w:p>
  </w:footnote>
  <w:footnote w:id="13">
    <w:p w:rsidR="00484FD1" w:rsidP="00184FB4" w14:paraId="1FE8FB9D" w14:textId="77777777">
      <w:pPr>
        <w:pStyle w:val="FootnoteText"/>
      </w:pPr>
      <w:r>
        <w:rPr>
          <w:rStyle w:val="FootnoteReference"/>
        </w:rPr>
        <w:footnoteRef/>
      </w:r>
      <w:r>
        <w:t xml:space="preserve"> </w:t>
      </w:r>
      <w:hyperlink r:id="rId10" w:anchor="p-679.42(e)(8)(ii)" w:history="1">
        <w:r w:rsidRPr="00C6029B">
          <w:rPr>
            <w:rStyle w:val="Hyperlink"/>
          </w:rPr>
          <w:t>https://www.ecfr.gov/current/title-50/part-679/section-679.42#p-679.42(e)(8)(ii)</w:t>
        </w:r>
      </w:hyperlink>
      <w:r>
        <w:t xml:space="preserve"> </w:t>
      </w:r>
    </w:p>
  </w:footnote>
  <w:footnote w:id="14">
    <w:p w:rsidR="00484FD1" w:rsidP="00184FB4" w14:paraId="48097008" w14:textId="77777777">
      <w:pPr>
        <w:pStyle w:val="FootnoteText"/>
      </w:pPr>
      <w:r>
        <w:rPr>
          <w:rStyle w:val="FootnoteReference"/>
        </w:rPr>
        <w:footnoteRef/>
      </w:r>
      <w:r>
        <w:t xml:space="preserve"> </w:t>
      </w:r>
      <w:hyperlink r:id="rId10" w:anchor="p-679.42(f)(7)(ii)" w:history="1">
        <w:r w:rsidRPr="00C6029B">
          <w:rPr>
            <w:rStyle w:val="Hyperlink"/>
          </w:rPr>
          <w:t>https://www.ecfr.gov/current/title-50/part-679/section-679.42#p-679.42(f)(7)(ii)</w:t>
        </w:r>
      </w:hyperlink>
      <w:r>
        <w:t xml:space="preserve"> </w:t>
      </w:r>
    </w:p>
  </w:footnote>
  <w:footnote w:id="15">
    <w:p w:rsidR="00484FD1" w:rsidP="00184FB4" w14:paraId="2D1BAD03" w14:textId="77777777">
      <w:pPr>
        <w:pStyle w:val="FootnoteText"/>
      </w:pPr>
      <w:r>
        <w:rPr>
          <w:rStyle w:val="FootnoteReference"/>
        </w:rPr>
        <w:footnoteRef/>
      </w:r>
      <w:r>
        <w:t xml:space="preserve"> </w:t>
      </w:r>
      <w:hyperlink r:id="rId11" w:anchor="p-300.67(k)(2)" w:history="1">
        <w:r w:rsidRPr="008E2D3E">
          <w:rPr>
            <w:rStyle w:val="Hyperlink"/>
            <w:rFonts w:eastAsia="SimSun"/>
          </w:rPr>
          <w:t>https://www.ecfr.gov/current/title-50/part-300/section-300.67#p-300.67(k)(2)</w:t>
        </w:r>
      </w:hyperlink>
    </w:p>
  </w:footnote>
  <w:footnote w:id="16">
    <w:p w:rsidR="00484FD1" w:rsidP="00ED53E1" w14:paraId="1502C3C6" w14:textId="77777777">
      <w:pPr>
        <w:pStyle w:val="FootnoteText"/>
      </w:pPr>
      <w:r>
        <w:rPr>
          <w:rStyle w:val="FootnoteReference"/>
        </w:rPr>
        <w:footnoteRef/>
      </w:r>
      <w:r>
        <w:t xml:space="preserve"> </w:t>
      </w:r>
      <w:hyperlink r:id="rId9" w:history="1">
        <w:r w:rsidRPr="004A4A46">
          <w:rPr>
            <w:rStyle w:val="Hyperlink"/>
          </w:rPr>
          <w:t>https://www.federalregister.gov/documents/2023/02/27/2023-03669/fisheries-of-the-exclusive-economic-zone-off-alaska-amendment-124-to-the-bsai-fmp-for-groundfish-and</w:t>
        </w:r>
      </w:hyperlink>
    </w:p>
  </w:footnote>
  <w:footnote w:id="17">
    <w:p w:rsidR="00484FD1" w14:paraId="1B05CD2E" w14:textId="146A33A4">
      <w:pPr>
        <w:pStyle w:val="FootnoteText"/>
      </w:pPr>
      <w:r>
        <w:rPr>
          <w:rStyle w:val="FootnoteReference"/>
        </w:rPr>
        <w:footnoteRef/>
      </w:r>
      <w:r>
        <w:t xml:space="preserve"> </w:t>
      </w:r>
      <w:r w:rsidRPr="0012508A">
        <w:t>https://www.federalregister.gov/documents/2025/07/15/2025-13171/agency-information-collection-activities-submission-to-the-office-of-management-and-budget-omb-for</w:t>
      </w:r>
    </w:p>
  </w:footnote>
  <w:footnote w:id="18">
    <w:p w:rsidR="00484FD1" w:rsidP="00EF2960" w14:paraId="4B6701A7" w14:textId="77777777">
      <w:pPr>
        <w:pStyle w:val="FootnoteText"/>
      </w:pPr>
      <w:r>
        <w:rPr>
          <w:rStyle w:val="FootnoteReference"/>
        </w:rPr>
        <w:footnoteRef/>
      </w:r>
      <w:r>
        <w:t xml:space="preserve"> </w:t>
      </w:r>
      <w:hyperlink r:id="rId12" w:history="1">
        <w:r w:rsidRPr="00DB0DF5">
          <w:rPr>
            <w:rStyle w:val="Hyperlink"/>
          </w:rPr>
          <w:t>https://www.commerce.gov/opog/privacy-privacy-act/system-records-notices/system-records-notices-commerce-noaa-19</w:t>
        </w:r>
      </w:hyperlink>
    </w:p>
  </w:footnote>
  <w:footnote w:id="19">
    <w:p w:rsidR="00484FD1" w:rsidP="00EF2960" w14:paraId="49B731E5" w14:textId="77777777">
      <w:pPr>
        <w:pStyle w:val="FootnoteText"/>
      </w:pPr>
      <w:r>
        <w:rPr>
          <w:rStyle w:val="FootnoteReference"/>
        </w:rPr>
        <w:footnoteRef/>
      </w:r>
      <w:r>
        <w:t xml:space="preserve"> </w:t>
      </w:r>
      <w:hyperlink r:id="rId13" w:history="1">
        <w:r w:rsidRPr="00DB0DF5">
          <w:rPr>
            <w:rStyle w:val="Hyperlink"/>
          </w:rPr>
          <w:t>https://www.commerce.gov/sites/default/files/2024-03/NOAA4700-PIA-FY24_SAOP_Approved_Delegated.pdf</w:t>
        </w:r>
      </w:hyperlink>
    </w:p>
  </w:footnote>
  <w:footnote w:id="20">
    <w:p w:rsidR="00484FD1" w14:paraId="3B467442" w14:textId="345D2B9A">
      <w:pPr>
        <w:pStyle w:val="FootnoteText"/>
      </w:pPr>
      <w:r>
        <w:rPr>
          <w:rStyle w:val="FootnoteReference"/>
        </w:rPr>
        <w:footnoteRef/>
      </w:r>
      <w:r>
        <w:t xml:space="preserve"> </w:t>
      </w:r>
      <w:hyperlink r:id="rId14" w:history="1">
        <w:r w:rsidRPr="0090332B">
          <w:rPr>
            <w:rStyle w:val="Hyperlink"/>
          </w:rPr>
          <w:t>https://www.commerce.gov/hr/practitioners/caps/pay-administration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36F5"/>
    <w:multiLevelType w:val="multilevel"/>
    <w:tmpl w:val="3956021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CB07743"/>
    <w:multiLevelType w:val="multilevel"/>
    <w:tmpl w:val="4F641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55D5528"/>
    <w:multiLevelType w:val="hybridMultilevel"/>
    <w:tmpl w:val="1F52E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E11BF3"/>
    <w:multiLevelType w:val="multilevel"/>
    <w:tmpl w:val="CB82F3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EC76713"/>
    <w:multiLevelType w:val="hybridMultilevel"/>
    <w:tmpl w:val="136C9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9326E8"/>
    <w:multiLevelType w:val="multilevel"/>
    <w:tmpl w:val="9D60EAE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271508EC"/>
    <w:multiLevelType w:val="multilevel"/>
    <w:tmpl w:val="CCD238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AD4339B"/>
    <w:multiLevelType w:val="hybridMultilevel"/>
    <w:tmpl w:val="0032F0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18392E"/>
    <w:multiLevelType w:val="multilevel"/>
    <w:tmpl w:val="ACEA2378"/>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3340613D"/>
    <w:multiLevelType w:val="multilevel"/>
    <w:tmpl w:val="3C64123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39E70A13"/>
    <w:multiLevelType w:val="multilevel"/>
    <w:tmpl w:val="5876FF6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417141E5"/>
    <w:multiLevelType w:val="multilevel"/>
    <w:tmpl w:val="72D605B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2">
    <w:nsid w:val="505D348D"/>
    <w:multiLevelType w:val="multilevel"/>
    <w:tmpl w:val="626A1C0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nsid w:val="543701B8"/>
    <w:multiLevelType w:val="multilevel"/>
    <w:tmpl w:val="3EFA50B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545162D3"/>
    <w:multiLevelType w:val="multilevel"/>
    <w:tmpl w:val="F13C4F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54C254EA"/>
    <w:multiLevelType w:val="multilevel"/>
    <w:tmpl w:val="C1F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F276E"/>
    <w:multiLevelType w:val="multilevel"/>
    <w:tmpl w:val="B076130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nsid w:val="6BA56A38"/>
    <w:multiLevelType w:val="hybridMultilevel"/>
    <w:tmpl w:val="8D289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31565D"/>
    <w:multiLevelType w:val="hybridMultilevel"/>
    <w:tmpl w:val="C320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5146198"/>
    <w:multiLevelType w:val="hybridMultilevel"/>
    <w:tmpl w:val="B1B60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4F1D43"/>
    <w:multiLevelType w:val="hybridMultilevel"/>
    <w:tmpl w:val="977E5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7256444">
    <w:abstractNumId w:val="6"/>
  </w:num>
  <w:num w:numId="2" w16cid:durableId="25562468">
    <w:abstractNumId w:val="10"/>
  </w:num>
  <w:num w:numId="3" w16cid:durableId="737947463">
    <w:abstractNumId w:val="12"/>
  </w:num>
  <w:num w:numId="4" w16cid:durableId="1581674661">
    <w:abstractNumId w:val="11"/>
  </w:num>
  <w:num w:numId="5" w16cid:durableId="1827748542">
    <w:abstractNumId w:val="3"/>
  </w:num>
  <w:num w:numId="6" w16cid:durableId="1660881885">
    <w:abstractNumId w:val="16"/>
  </w:num>
  <w:num w:numId="7" w16cid:durableId="336080085">
    <w:abstractNumId w:val="9"/>
  </w:num>
  <w:num w:numId="8" w16cid:durableId="1728413049">
    <w:abstractNumId w:val="13"/>
  </w:num>
  <w:num w:numId="9" w16cid:durableId="408310780">
    <w:abstractNumId w:val="14"/>
  </w:num>
  <w:num w:numId="10" w16cid:durableId="1478109984">
    <w:abstractNumId w:val="0"/>
  </w:num>
  <w:num w:numId="11" w16cid:durableId="546457048">
    <w:abstractNumId w:val="5"/>
  </w:num>
  <w:num w:numId="12" w16cid:durableId="1261909261">
    <w:abstractNumId w:val="8"/>
  </w:num>
  <w:num w:numId="13" w16cid:durableId="1044871331">
    <w:abstractNumId w:val="1"/>
  </w:num>
  <w:num w:numId="14" w16cid:durableId="942758855">
    <w:abstractNumId w:val="20"/>
  </w:num>
  <w:num w:numId="15" w16cid:durableId="196822296">
    <w:abstractNumId w:val="18"/>
  </w:num>
  <w:num w:numId="16" w16cid:durableId="1489177662">
    <w:abstractNumId w:val="2"/>
  </w:num>
  <w:num w:numId="17" w16cid:durableId="1925873257">
    <w:abstractNumId w:val="19"/>
  </w:num>
  <w:num w:numId="18" w16cid:durableId="378864738">
    <w:abstractNumId w:val="7"/>
  </w:num>
  <w:num w:numId="19" w16cid:durableId="946501037">
    <w:abstractNumId w:val="17"/>
  </w:num>
  <w:num w:numId="20" w16cid:durableId="2053915332">
    <w:abstractNumId w:val="15"/>
  </w:num>
  <w:num w:numId="21" w16cid:durableId="376010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0C"/>
    <w:rsid w:val="0000706A"/>
    <w:rsid w:val="00011688"/>
    <w:rsid w:val="00021A2A"/>
    <w:rsid w:val="0003137A"/>
    <w:rsid w:val="000315B2"/>
    <w:rsid w:val="00050C0C"/>
    <w:rsid w:val="00076181"/>
    <w:rsid w:val="00083A98"/>
    <w:rsid w:val="00087674"/>
    <w:rsid w:val="0009442D"/>
    <w:rsid w:val="00094EB4"/>
    <w:rsid w:val="000E3DBF"/>
    <w:rsid w:val="000E69D9"/>
    <w:rsid w:val="0012508A"/>
    <w:rsid w:val="00130145"/>
    <w:rsid w:val="001327C0"/>
    <w:rsid w:val="00140AAE"/>
    <w:rsid w:val="001525DB"/>
    <w:rsid w:val="001723F8"/>
    <w:rsid w:val="00184FB4"/>
    <w:rsid w:val="00193CE6"/>
    <w:rsid w:val="001A2D65"/>
    <w:rsid w:val="001E4AD7"/>
    <w:rsid w:val="001F5E3E"/>
    <w:rsid w:val="002008CC"/>
    <w:rsid w:val="00210A4A"/>
    <w:rsid w:val="002171BF"/>
    <w:rsid w:val="00235675"/>
    <w:rsid w:val="00246AD3"/>
    <w:rsid w:val="00250820"/>
    <w:rsid w:val="002735B7"/>
    <w:rsid w:val="002749C7"/>
    <w:rsid w:val="002802FC"/>
    <w:rsid w:val="0029010B"/>
    <w:rsid w:val="0029343C"/>
    <w:rsid w:val="002C4E8F"/>
    <w:rsid w:val="00304234"/>
    <w:rsid w:val="003122C3"/>
    <w:rsid w:val="00315833"/>
    <w:rsid w:val="003207AD"/>
    <w:rsid w:val="0032195E"/>
    <w:rsid w:val="00345E1A"/>
    <w:rsid w:val="00353FC9"/>
    <w:rsid w:val="00380214"/>
    <w:rsid w:val="0038603A"/>
    <w:rsid w:val="00393023"/>
    <w:rsid w:val="0039662E"/>
    <w:rsid w:val="003A0D67"/>
    <w:rsid w:val="003B7549"/>
    <w:rsid w:val="003E7DA6"/>
    <w:rsid w:val="003F0FC7"/>
    <w:rsid w:val="004321D0"/>
    <w:rsid w:val="00445B7B"/>
    <w:rsid w:val="00471B35"/>
    <w:rsid w:val="00484FD1"/>
    <w:rsid w:val="00493813"/>
    <w:rsid w:val="004946BE"/>
    <w:rsid w:val="004A2DB3"/>
    <w:rsid w:val="004A4A46"/>
    <w:rsid w:val="004D6DD3"/>
    <w:rsid w:val="0051346F"/>
    <w:rsid w:val="0051519A"/>
    <w:rsid w:val="00521466"/>
    <w:rsid w:val="00533265"/>
    <w:rsid w:val="00544370"/>
    <w:rsid w:val="00560326"/>
    <w:rsid w:val="005832A8"/>
    <w:rsid w:val="005C4CEE"/>
    <w:rsid w:val="005F42F4"/>
    <w:rsid w:val="005F6968"/>
    <w:rsid w:val="00600024"/>
    <w:rsid w:val="0061654F"/>
    <w:rsid w:val="006367C6"/>
    <w:rsid w:val="00644379"/>
    <w:rsid w:val="0065019E"/>
    <w:rsid w:val="006604B8"/>
    <w:rsid w:val="006B5490"/>
    <w:rsid w:val="00715C05"/>
    <w:rsid w:val="007233CB"/>
    <w:rsid w:val="007770BA"/>
    <w:rsid w:val="00786049"/>
    <w:rsid w:val="0079308C"/>
    <w:rsid w:val="007A4C99"/>
    <w:rsid w:val="007E09DA"/>
    <w:rsid w:val="007E65AC"/>
    <w:rsid w:val="00800509"/>
    <w:rsid w:val="00821F5A"/>
    <w:rsid w:val="00826CCC"/>
    <w:rsid w:val="0083300C"/>
    <w:rsid w:val="008B5B3B"/>
    <w:rsid w:val="008C0DAF"/>
    <w:rsid w:val="008C4AC1"/>
    <w:rsid w:val="008E2D3E"/>
    <w:rsid w:val="008F38F3"/>
    <w:rsid w:val="0090332B"/>
    <w:rsid w:val="0092273C"/>
    <w:rsid w:val="0094281C"/>
    <w:rsid w:val="00961A13"/>
    <w:rsid w:val="009713F1"/>
    <w:rsid w:val="0099087B"/>
    <w:rsid w:val="009A1207"/>
    <w:rsid w:val="00A10B83"/>
    <w:rsid w:val="00A330F9"/>
    <w:rsid w:val="00A35084"/>
    <w:rsid w:val="00A62B97"/>
    <w:rsid w:val="00A64884"/>
    <w:rsid w:val="00A83BDC"/>
    <w:rsid w:val="00A848E3"/>
    <w:rsid w:val="00A9445F"/>
    <w:rsid w:val="00AB42D6"/>
    <w:rsid w:val="00AB4F4B"/>
    <w:rsid w:val="00AD6CD8"/>
    <w:rsid w:val="00B372BF"/>
    <w:rsid w:val="00B7661B"/>
    <w:rsid w:val="00B81869"/>
    <w:rsid w:val="00B87C61"/>
    <w:rsid w:val="00B91CDA"/>
    <w:rsid w:val="00BC0995"/>
    <w:rsid w:val="00BC15E8"/>
    <w:rsid w:val="00BD0FA6"/>
    <w:rsid w:val="00BE1A00"/>
    <w:rsid w:val="00BF02E9"/>
    <w:rsid w:val="00C30CB7"/>
    <w:rsid w:val="00C52428"/>
    <w:rsid w:val="00C6029B"/>
    <w:rsid w:val="00C94E6A"/>
    <w:rsid w:val="00CA57C9"/>
    <w:rsid w:val="00CB3D6B"/>
    <w:rsid w:val="00CC1947"/>
    <w:rsid w:val="00CD3C52"/>
    <w:rsid w:val="00CE422D"/>
    <w:rsid w:val="00CF4864"/>
    <w:rsid w:val="00D23753"/>
    <w:rsid w:val="00D25408"/>
    <w:rsid w:val="00D353CF"/>
    <w:rsid w:val="00D417B3"/>
    <w:rsid w:val="00D46F55"/>
    <w:rsid w:val="00D5494D"/>
    <w:rsid w:val="00D601C1"/>
    <w:rsid w:val="00D66F31"/>
    <w:rsid w:val="00D81A72"/>
    <w:rsid w:val="00DA1867"/>
    <w:rsid w:val="00DB02F2"/>
    <w:rsid w:val="00DB0DF5"/>
    <w:rsid w:val="00DB7AC4"/>
    <w:rsid w:val="00DC507A"/>
    <w:rsid w:val="00DD27D1"/>
    <w:rsid w:val="00DE2B8D"/>
    <w:rsid w:val="00DE4D8C"/>
    <w:rsid w:val="00DE4FD3"/>
    <w:rsid w:val="00E95092"/>
    <w:rsid w:val="00E95CA3"/>
    <w:rsid w:val="00EA11E5"/>
    <w:rsid w:val="00EB69DE"/>
    <w:rsid w:val="00ED2615"/>
    <w:rsid w:val="00ED53E1"/>
    <w:rsid w:val="00EF2960"/>
    <w:rsid w:val="00EF2C97"/>
    <w:rsid w:val="00F073FF"/>
    <w:rsid w:val="00F15DBA"/>
    <w:rsid w:val="00F16D16"/>
    <w:rsid w:val="00F87B1B"/>
    <w:rsid w:val="00FB381B"/>
    <w:rsid w:val="00FB469F"/>
    <w:rsid w:val="00FE5BEF"/>
    <w:rsid w:val="00FF63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ACC50"/>
  <w15:docId w15:val="{B13DC140-00EA-4080-9540-B71F5F3E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B42D6"/>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B42D6"/>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AB42D6"/>
    <w:rPr>
      <w:sz w:val="20"/>
      <w:szCs w:val="20"/>
    </w:rPr>
  </w:style>
  <w:style w:type="character" w:customStyle="1" w:styleId="FootnoteTextChar">
    <w:name w:val="Footnote Text Char"/>
    <w:basedOn w:val="DefaultParagraphFont"/>
    <w:link w:val="FootnoteText"/>
    <w:uiPriority w:val="99"/>
    <w:semiHidden/>
    <w:rsid w:val="00AB42D6"/>
    <w:rPr>
      <w:sz w:val="20"/>
      <w:szCs w:val="20"/>
    </w:rPr>
  </w:style>
  <w:style w:type="character" w:styleId="FootnoteReference">
    <w:name w:val="footnote reference"/>
    <w:basedOn w:val="DefaultParagraphFont"/>
    <w:uiPriority w:val="99"/>
    <w:semiHidden/>
    <w:unhideWhenUsed/>
    <w:rsid w:val="00AB42D6"/>
    <w:rPr>
      <w:vertAlign w:val="superscript"/>
    </w:rPr>
  </w:style>
  <w:style w:type="character" w:customStyle="1" w:styleId="UnresolvedMention1">
    <w:name w:val="Unresolved Mention1"/>
    <w:basedOn w:val="DefaultParagraphFont"/>
    <w:uiPriority w:val="99"/>
    <w:semiHidden/>
    <w:unhideWhenUsed/>
    <w:rsid w:val="00DC507A"/>
    <w:rPr>
      <w:color w:val="605E5C"/>
      <w:shd w:val="clear" w:color="auto" w:fill="E1DFDD"/>
    </w:rPr>
  </w:style>
  <w:style w:type="table" w:customStyle="1" w:styleId="6">
    <w:name w:val="6"/>
    <w:basedOn w:val="TableNormal"/>
    <w:rsid w:val="00493813"/>
    <w:rPr>
      <w:rFonts w:eastAsia="SimSun"/>
    </w:rPr>
    <w:tblPr>
      <w:tblStyleRowBandSize w:val="1"/>
      <w:tblStyleColBandSize w:val="1"/>
      <w:tblCellMar>
        <w:left w:w="115" w:type="dxa"/>
        <w:right w:w="115" w:type="dxa"/>
      </w:tblCellMar>
    </w:tblPr>
  </w:style>
  <w:style w:type="table" w:customStyle="1" w:styleId="5">
    <w:name w:val="5"/>
    <w:basedOn w:val="TableNormal"/>
    <w:rsid w:val="00715C05"/>
    <w:rPr>
      <w:rFonts w:eastAsia="SimSun"/>
    </w:rPr>
    <w:tblPr>
      <w:tblStyleRowBandSize w:val="1"/>
      <w:tblStyleColBandSize w:val="1"/>
      <w:tblCellMar>
        <w:left w:w="115" w:type="dxa"/>
        <w:right w:w="115" w:type="dxa"/>
      </w:tblCellMar>
    </w:tblPr>
  </w:style>
  <w:style w:type="table" w:customStyle="1" w:styleId="4">
    <w:name w:val="4"/>
    <w:basedOn w:val="TableNormal"/>
    <w:rsid w:val="00715C05"/>
    <w:rPr>
      <w:rFonts w:eastAsia="SimSun"/>
    </w:rPr>
    <w:tblPr>
      <w:tblStyleRowBandSize w:val="1"/>
      <w:tblStyleColBandSize w:val="1"/>
      <w:tblCellMar>
        <w:left w:w="115" w:type="dxa"/>
        <w:right w:w="115" w:type="dxa"/>
      </w:tblCellMar>
    </w:tblPr>
  </w:style>
  <w:style w:type="paragraph" w:styleId="NormalWeb">
    <w:name w:val="Normal (Web)"/>
    <w:basedOn w:val="Normal"/>
    <w:uiPriority w:val="99"/>
    <w:unhideWhenUsed/>
    <w:rsid w:val="00130145"/>
    <w:pPr>
      <w:widowControl/>
      <w:spacing w:before="100" w:beforeAutospacing="1" w:after="100" w:afterAutospacing="1"/>
    </w:pPr>
  </w:style>
  <w:style w:type="character" w:customStyle="1" w:styleId="mord">
    <w:name w:val="mord"/>
    <w:basedOn w:val="DefaultParagraphFont"/>
    <w:rsid w:val="00130145"/>
  </w:style>
  <w:style w:type="character" w:styleId="Emphasis">
    <w:name w:val="Emphasis"/>
    <w:basedOn w:val="DefaultParagraphFont"/>
    <w:uiPriority w:val="20"/>
    <w:qFormat/>
    <w:rsid w:val="002749C7"/>
    <w:rPr>
      <w:i/>
      <w:iCs/>
    </w:rPr>
  </w:style>
  <w:style w:type="paragraph" w:styleId="Revision">
    <w:name w:val="Revision"/>
    <w:hidden/>
    <w:uiPriority w:val="99"/>
    <w:semiHidden/>
    <w:rsid w:val="005F696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part-679/section-679.41" TargetMode="External" /><Relationship Id="rId11" Type="http://schemas.openxmlformats.org/officeDocument/2006/relationships/hyperlink" Target="https://ecfr.federalregister.gov/current/title-50/chapter-III/part-300/subpart-E/section-300.65" TargetMode="External" /><Relationship Id="rId12" Type="http://schemas.openxmlformats.org/officeDocument/2006/relationships/hyperlink" Target="https://www.ecfr.gov/current/title-50/part-300/section-300.65" TargetMode="External" /><Relationship Id="rId13" Type="http://schemas.openxmlformats.org/officeDocument/2006/relationships/hyperlink" Target="https://ecfr.federalregister.gov/current/title-50/chapter-VI/part-679/subpart-A/section-679.4" TargetMode="External" /><Relationship Id="rId14" Type="http://schemas.openxmlformats.org/officeDocument/2006/relationships/hyperlink" Target="https://www.ecfr.gov/current/title-50/part-679/section-679.4" TargetMode="External" /><Relationship Id="rId15" Type="http://schemas.openxmlformats.org/officeDocument/2006/relationships/hyperlink" Target="https://www.ecfr.gov/current/title-50/part-300/section-300.67" TargetMode="External" /><Relationship Id="rId16" Type="http://schemas.openxmlformats.org/officeDocument/2006/relationships/hyperlink" Target="https://www.fisheries.noaa.gov/permit/alaska-community-quota-entity-applications" TargetMode="External" /><Relationship Id="rId17" Type="http://schemas.openxmlformats.org/officeDocument/2006/relationships/hyperlink" Target="mailto:RAM.alaska@noaa.gov" TargetMode="External" /><Relationship Id="rId18" Type="http://schemas.openxmlformats.org/officeDocument/2006/relationships/hyperlink" Target="https://www.fisheries.noaa.gov/region/alaska" TargetMode="External" /><Relationship Id="rId19" Type="http://schemas.openxmlformats.org/officeDocument/2006/relationships/hyperlink" Target="https://www.commerce.gov/opog/privacy-privacy-act/system-records-notices/system-records-notices-commerce-noaa-19" TargetMode="External" /><Relationship Id="rId2" Type="http://schemas.openxmlformats.org/officeDocument/2006/relationships/settings" Target="settings.xml" /><Relationship Id="rId20" Type="http://schemas.openxmlformats.org/officeDocument/2006/relationships/hyperlink" Target="https://www.commerce.gov/sites/default/files/2024-03/NOAA4700-PIA-FY24_SAOP_Approved_Delegated.pdf" TargetMode="External" /><Relationship Id="rId21" Type="http://schemas.openxmlformats.org/officeDocument/2006/relationships/hyperlink" Target="https://www.bls.gov/oes/current/oes_ak.htm" TargetMode="External" /><Relationship Id="rId22" Type="http://schemas.openxmlformats.org/officeDocument/2006/relationships/hyperlink" Target="https://www.fisheries.noaa.gov/alaska/commercial-fishing/permits-and-licenses-issued-alaska"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hyperlink" Target="https://www.ecfr.gov/current/title-50/part-679/section-679.41%23p-679.41(l)(3)" TargetMode="External" /><Relationship Id="rId9" Type="http://schemas.openxmlformats.org/officeDocument/2006/relationships/hyperlink" Target="https://www.ecfr.gov/current/title-50/chapter-VI/part-679/subpart-A/section-679.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resource/document/magnuson-stevens-fishery-conservation-and-management-act" TargetMode="External" /><Relationship Id="rId10" Type="http://schemas.openxmlformats.org/officeDocument/2006/relationships/hyperlink" Target="https://www.ecfr.gov/current/title-50/part-679/section-679.42" TargetMode="External" /><Relationship Id="rId11" Type="http://schemas.openxmlformats.org/officeDocument/2006/relationships/hyperlink" Target="https://www.ecfr.gov/current/title-50/part-300/section-300.67" TargetMode="External" /><Relationship Id="rId12" Type="http://schemas.openxmlformats.org/officeDocument/2006/relationships/hyperlink" Target="https://www.commerce.gov/opog/privacy-privacy-act/system-records-notices/system-records-notices-commerce-noaa-19" TargetMode="External" /><Relationship Id="rId13" Type="http://schemas.openxmlformats.org/officeDocument/2006/relationships/hyperlink" Target="https://www.commerce.gov/sites/default/files/2024-03/NOAA4700-PIA-FY24_SAOP_Approved_Delegated.pdf" TargetMode="External" /><Relationship Id="rId14" Type="http://schemas.openxmlformats.org/officeDocument/2006/relationships/hyperlink" Target="https://www.commerce.gov/hr/practitioners/caps/pay-administration" TargetMode="External" /><Relationship Id="rId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3" Type="http://schemas.openxmlformats.org/officeDocument/2006/relationships/hyperlink" Target="https://iphc.int/uploads/pdf/basic-texts/iphc-1979-pacific-halibut-convention.pdf" TargetMode="External" /><Relationship Id="rId4" Type="http://schemas.openxmlformats.org/officeDocument/2006/relationships/hyperlink" Target="https://www.ecfr.gov/current/title-50/chapter-III/part-300/subpart-E?toc=" TargetMode="External" /><Relationship Id="rId5" Type="http://schemas.openxmlformats.org/officeDocument/2006/relationships/hyperlink" Target="https://www.ecfr.gov/current/title-50/chapter-VI/part-679" TargetMode="External" /><Relationship Id="rId6" Type="http://schemas.openxmlformats.org/officeDocument/2006/relationships/hyperlink" Target="https://www.commerce.alaska.gov/web/inv/LoanPrograms/CommunityQuotaEntity.aspx" TargetMode="External" /><Relationship Id="rId7" Type="http://schemas.openxmlformats.org/officeDocument/2006/relationships/hyperlink" Target="https://www.ecfr.gov/current/title-50/chapter-VI/part-679/appendix-Table%2021%20to%20Part%20679" TargetMode="External" /><Relationship Id="rId8" Type="http://schemas.openxmlformats.org/officeDocument/2006/relationships/hyperlink" Target="https://www.fisheries.noaa.gov/alaska/sustainable-fisheries/community-quota-and-license-programs-community-quota-entities" TargetMode="External" /><Relationship Id="rId9" Type="http://schemas.openxmlformats.org/officeDocument/2006/relationships/hyperlink" Target="https://www.federalregister.gov/documents/2023/02/27/2023-03669/fisheries-of-the-exclusive-economic-zone-off-alaska-amendment-124-to-the-bsai-fmp-for-groundfish-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4F3E12B1-DF5F-4931-B5B9-E393662A2D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8688</Words>
  <Characters>49527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cp:lastPrinted>2025-11-17T19:52:00Z</cp:lastPrinted>
  <dcterms:created xsi:type="dcterms:W3CDTF">2025-12-19T17:03:00Z</dcterms:created>
  <dcterms:modified xsi:type="dcterms:W3CDTF">2025-12-19T17:28:00Z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