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672E" w:rsidP="00BD683D" w14:paraId="3AB0D675" w14:textId="77777777">
      <w:pPr>
        <w:rPr>
          <w:b/>
          <w:bCs/>
        </w:rPr>
      </w:pPr>
    </w:p>
    <w:p w:rsidR="00B9672E" w:rsidP="00B9672E" w14:paraId="060B8B79" w14:textId="77777777">
      <w:pPr>
        <w:jc w:val="center"/>
        <w:rPr>
          <w:b/>
          <w:bCs/>
          <w:color w:val="000000"/>
        </w:rPr>
      </w:pPr>
      <w:r>
        <w:rPr>
          <w:b/>
          <w:bCs/>
          <w:color w:val="000000"/>
        </w:rPr>
        <w:t>Consumer Response Intake Form</w:t>
      </w:r>
    </w:p>
    <w:p w:rsidR="00B9672E" w:rsidP="00B9672E" w14:paraId="1EBB9640" w14:textId="39DE872A">
      <w:pPr>
        <w:jc w:val="center"/>
        <w:rPr>
          <w:b/>
          <w:bCs/>
        </w:rPr>
      </w:pPr>
      <w:r w:rsidRPr="00FC328C">
        <w:rPr>
          <w:b/>
          <w:bCs/>
        </w:rPr>
        <w:t>OMB C</w:t>
      </w:r>
      <w:r w:rsidR="004A0B76">
        <w:rPr>
          <w:b/>
          <w:bCs/>
        </w:rPr>
        <w:t>ontrol Number</w:t>
      </w:r>
      <w:r w:rsidRPr="00FC328C">
        <w:rPr>
          <w:b/>
          <w:bCs/>
        </w:rPr>
        <w:t>: 3170-</w:t>
      </w:r>
      <w:r>
        <w:rPr>
          <w:b/>
          <w:bCs/>
        </w:rPr>
        <w:t>0011</w:t>
      </w:r>
    </w:p>
    <w:p w:rsidR="00B9672E" w:rsidP="00B9672E" w14:paraId="70E6A042" w14:textId="5E1F52DB">
      <w:pPr>
        <w:jc w:val="center"/>
        <w:rPr>
          <w:b/>
          <w:bCs/>
        </w:rPr>
      </w:pPr>
      <w:r>
        <w:rPr>
          <w:b/>
          <w:bCs/>
        </w:rPr>
        <w:t>Supporting Statement</w:t>
      </w:r>
    </w:p>
    <w:p w:rsidR="00B9672E" w:rsidP="00BD683D" w14:paraId="150DEFF1" w14:textId="77777777">
      <w:pPr>
        <w:rPr>
          <w:b/>
          <w:bCs/>
        </w:rPr>
      </w:pPr>
    </w:p>
    <w:p w:rsidR="008D7E20" w:rsidRPr="00BD683D" w:rsidP="00BD683D" w14:paraId="4011619C" w14:textId="641F04F4">
      <w:pPr>
        <w:rPr>
          <w:b/>
          <w:bCs/>
        </w:rPr>
      </w:pPr>
      <w:r>
        <w:rPr>
          <w:b/>
          <w:bCs/>
        </w:rPr>
        <w:t xml:space="preserve">1. </w:t>
      </w:r>
      <w:r w:rsidRPr="00BD683D" w:rsidR="00BD683D">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683D" w:rsidP="00BD683D" w14:paraId="1CD82869" w14:textId="77777777"/>
    <w:p w:rsidR="00D87650" w:rsidP="0042539B" w14:paraId="53FC660B" w14:textId="77F796BA">
      <w:r>
        <w:t xml:space="preserve">One of the primary </w:t>
      </w:r>
      <w:r w:rsidR="00E0378E">
        <w:t xml:space="preserve">statutorily-mandated </w:t>
      </w:r>
      <w:r>
        <w:t xml:space="preserve">functions of the </w:t>
      </w:r>
      <w:r w:rsidR="00F10391">
        <w:t>Consumer Financial Protection Bureau (</w:t>
      </w:r>
      <w:r>
        <w:t>CFPB</w:t>
      </w:r>
      <w:r w:rsidR="00F10391">
        <w:t xml:space="preserve"> or Bureau)</w:t>
      </w:r>
      <w:r>
        <w:t xml:space="preserve"> is collecting, investigating, and responding to</w:t>
      </w:r>
      <w:r w:rsidR="00F10391">
        <w:t xml:space="preserve"> </w:t>
      </w:r>
      <w:r>
        <w:t>consumer complaints.</w:t>
      </w:r>
      <w:r>
        <w:rPr>
          <w:rStyle w:val="FootnoteReference"/>
        </w:rPr>
        <w:footnoteReference w:id="2"/>
      </w:r>
      <w:r>
        <w:t xml:space="preserve"> The </w:t>
      </w:r>
      <w:r w:rsidR="004E3A5D">
        <w:t>CFPB centralizes the collection of complaints about consumer financial products or services</w:t>
      </w:r>
      <w:r>
        <w:rPr>
          <w:rStyle w:val="FootnoteReference"/>
        </w:rPr>
        <w:footnoteReference w:id="3"/>
      </w:r>
      <w:r w:rsidR="004E3A5D">
        <w:t xml:space="preserve">, collecting </w:t>
      </w:r>
      <w:r w:rsidR="00C5638E">
        <w:t xml:space="preserve">and tracking </w:t>
      </w:r>
      <w:r>
        <w:t>complaints</w:t>
      </w:r>
      <w:r w:rsidR="00DE5F0F">
        <w:t xml:space="preserve"> </w:t>
      </w:r>
      <w:r w:rsidR="00F10391">
        <w:t>from consumers</w:t>
      </w:r>
      <w:r>
        <w:rPr>
          <w:rStyle w:val="FootnoteReference"/>
        </w:rPr>
        <w:footnoteReference w:id="4"/>
      </w:r>
      <w:r w:rsidR="00F10391">
        <w:t xml:space="preserve"> using the Consumer Response Intake Form, which is the subject of this information collection request. </w:t>
      </w:r>
    </w:p>
    <w:p w:rsidR="00D87650" w:rsidP="0042539B" w14:paraId="77804B06" w14:textId="77777777"/>
    <w:p w:rsidR="00D87650" w:rsidP="0042539B" w14:paraId="0020C9DF" w14:textId="53DDA361">
      <w:r w:rsidRPr="002930FC">
        <w:t>The CFPB accepts complaints from consumers through its website, by telephone, mail</w:t>
      </w:r>
      <w:r>
        <w:t xml:space="preserve">, and by referral </w:t>
      </w:r>
      <w:r w:rsidRPr="002930FC">
        <w:t>from the White House, congressional offices, and other federal and state agencies.</w:t>
      </w:r>
      <w:r>
        <w:t xml:space="preserve"> </w:t>
      </w:r>
      <w:r w:rsidR="004210C7">
        <w:t xml:space="preserve">The CFPB also addresses inquiries by telephone. </w:t>
      </w:r>
      <w:r w:rsidR="0006556D">
        <w:t xml:space="preserve">The CFPB </w:t>
      </w:r>
      <w:r w:rsidR="00E2279E">
        <w:t>plans to</w:t>
      </w:r>
      <w:r w:rsidR="0006556D">
        <w:t xml:space="preserve"> maintain the fields and values previously approved by the OMB.</w:t>
      </w:r>
      <w:r>
        <w:rPr>
          <w:rStyle w:val="FootnoteReference"/>
        </w:rPr>
        <w:footnoteReference w:id="5"/>
      </w:r>
      <w:r w:rsidR="0006556D">
        <w:t xml:space="preserve"> </w:t>
      </w:r>
      <w:r>
        <w:t>The CFPB refers complaints about depositories with $10 billion or less in assets to the appropriate prudential regulator</w:t>
      </w:r>
      <w:r>
        <w:rPr>
          <w:rStyle w:val="FootnoteReference"/>
        </w:rPr>
        <w:footnoteReference w:id="6"/>
      </w:r>
      <w:r>
        <w:t xml:space="preserve"> </w:t>
      </w:r>
      <w:r w:rsidR="003D30C1">
        <w:t xml:space="preserve">and </w:t>
      </w:r>
      <w:r>
        <w:t>prudential regulators refer complaints about depositories with more than $10 billion in assets and non-depositories to the CFPB.</w:t>
      </w:r>
      <w:r w:rsidR="00C16417">
        <w:t xml:space="preserve"> </w:t>
      </w:r>
      <w:r w:rsidR="008A78F7">
        <w:t>The CFPB’s Office of Consumer Response (Consumer Response) works to provide timely responses</w:t>
      </w:r>
      <w:r w:rsidR="003D30C1">
        <w:t>, in writing,</w:t>
      </w:r>
      <w:r w:rsidR="008A78F7">
        <w:t xml:space="preserve"> to consumers to complaints </w:t>
      </w:r>
      <w:r w:rsidR="00CD4217">
        <w:t xml:space="preserve">about companies offering </w:t>
      </w:r>
      <w:r w:rsidR="003B0979">
        <w:t xml:space="preserve">or providing </w:t>
      </w:r>
      <w:r w:rsidR="00CD4217">
        <w:t>consumer financial products or services</w:t>
      </w:r>
      <w:r w:rsidR="003B0979">
        <w:t xml:space="preserve"> (including </w:t>
      </w:r>
      <w:r w:rsidR="008F026F">
        <w:t xml:space="preserve">their </w:t>
      </w:r>
      <w:r w:rsidR="000E17CD">
        <w:t xml:space="preserve">subsidiaries as well as </w:t>
      </w:r>
      <w:r w:rsidR="003B0979">
        <w:t>affiliate</w:t>
      </w:r>
      <w:r w:rsidR="000E17CD">
        <w:t>s</w:t>
      </w:r>
      <w:r w:rsidR="003B0979">
        <w:t xml:space="preserve"> </w:t>
      </w:r>
      <w:r w:rsidR="000E17CD">
        <w:t>acting</w:t>
      </w:r>
      <w:r w:rsidR="003B0979">
        <w:t xml:space="preserve"> as service provider</w:t>
      </w:r>
      <w:r w:rsidR="000E17CD">
        <w:t>s</w:t>
      </w:r>
      <w:r w:rsidR="003B0979">
        <w:t>)</w:t>
      </w:r>
      <w:r w:rsidR="00CD4217">
        <w:t xml:space="preserve"> </w:t>
      </w:r>
      <w:r w:rsidR="003D30C1">
        <w:t xml:space="preserve">including </w:t>
      </w:r>
      <w:r w:rsidRPr="003D30C1" w:rsidR="003D30C1">
        <w:t xml:space="preserve">steps taken by the </w:t>
      </w:r>
      <w:r w:rsidR="003A65AF">
        <w:t>CFPB</w:t>
      </w:r>
      <w:r w:rsidRPr="003D30C1" w:rsidR="003A65AF">
        <w:t xml:space="preserve"> </w:t>
      </w:r>
      <w:r w:rsidRPr="003D30C1" w:rsidR="003D30C1">
        <w:t>in response to the complaint</w:t>
      </w:r>
      <w:r w:rsidR="00CD4217">
        <w:t xml:space="preserve">; </w:t>
      </w:r>
      <w:r w:rsidRPr="003D30C1" w:rsidR="003D30C1">
        <w:t xml:space="preserve">any responses received from the </w:t>
      </w:r>
      <w:r w:rsidR="00CD4217">
        <w:t>company</w:t>
      </w:r>
      <w:r w:rsidRPr="003D30C1" w:rsidR="003D30C1">
        <w:t>; and</w:t>
      </w:r>
      <w:r w:rsidR="003D30C1">
        <w:t xml:space="preserve"> </w:t>
      </w:r>
      <w:r w:rsidRPr="003D30C1" w:rsidR="003D30C1">
        <w:t xml:space="preserve">any follow-up actions or planned follow-up actions by the </w:t>
      </w:r>
      <w:r w:rsidR="00CD4217">
        <w:t>CFPB</w:t>
      </w:r>
      <w:r w:rsidR="008A78F7">
        <w:t>.</w:t>
      </w:r>
      <w:r>
        <w:rPr>
          <w:rStyle w:val="FootnoteReference"/>
        </w:rPr>
        <w:footnoteReference w:id="7"/>
      </w:r>
      <w:r w:rsidR="003D30C1">
        <w:t xml:space="preserve"> In turn, </w:t>
      </w:r>
      <w:r w:rsidR="00CD4217">
        <w:t>these companies</w:t>
      </w:r>
      <w:r w:rsidR="003D30C1">
        <w:t xml:space="preserve"> </w:t>
      </w:r>
      <w:r>
        <w:t xml:space="preserve">provide timely responses to the CFPB including </w:t>
      </w:r>
      <w:r w:rsidRPr="00D87650">
        <w:t xml:space="preserve">steps taken by the </w:t>
      </w:r>
      <w:r w:rsidR="00CD4217">
        <w:t>company</w:t>
      </w:r>
      <w:r w:rsidRPr="00D87650">
        <w:t xml:space="preserve"> to respond to the complaint;</w:t>
      </w:r>
      <w:r>
        <w:t xml:space="preserve"> </w:t>
      </w:r>
      <w:r w:rsidRPr="00D87650">
        <w:t>responses received from the consumer; and</w:t>
      </w:r>
      <w:r>
        <w:t xml:space="preserve"> </w:t>
      </w:r>
      <w:r w:rsidRPr="00D87650">
        <w:t xml:space="preserve">follow-up actions or planned follow-up actions by the </w:t>
      </w:r>
      <w:r w:rsidR="006010D0">
        <w:t>company</w:t>
      </w:r>
      <w:r w:rsidRPr="00D87650">
        <w:t>.</w:t>
      </w:r>
      <w:r>
        <w:rPr>
          <w:rStyle w:val="FootnoteReference"/>
        </w:rPr>
        <w:footnoteReference w:id="8"/>
      </w:r>
      <w:r>
        <w:t xml:space="preserve"> </w:t>
      </w:r>
    </w:p>
    <w:p w:rsidR="00D87650" w:rsidP="0042539B" w14:paraId="187FE3B3" w14:textId="77777777"/>
    <w:p w:rsidR="00BD683D" w:rsidP="0042539B" w14:paraId="5360DBE9" w14:textId="27D561A0">
      <w:r>
        <w:t xml:space="preserve">In addition to </w:t>
      </w:r>
      <w:r w:rsidR="005B4D34">
        <w:t>helping the CFPB perform one of its primary functions, c</w:t>
      </w:r>
      <w:bookmarkStart w:id="0" w:name="_Hlk208998565"/>
      <w:r w:rsidR="005B4D34">
        <w:t>omplaints received via this information collection help the CFPB fulfill its obligations</w:t>
      </w:r>
      <w:r w:rsidR="0042539B">
        <w:t>, including the obligation</w:t>
      </w:r>
      <w:r w:rsidR="005B4D34">
        <w:t xml:space="preserve"> to: </w:t>
      </w:r>
      <w:r w:rsidR="00E0378E">
        <w:rPr>
          <w:bCs/>
          <w:iCs/>
          <w:color w:val="000000"/>
        </w:rPr>
        <w:t xml:space="preserve">(1) </w:t>
      </w:r>
      <w:r w:rsidRPr="00987C14" w:rsidR="005B4D34">
        <w:rPr>
          <w:bCs/>
          <w:iCs/>
          <w:color w:val="000000"/>
        </w:rPr>
        <w:t xml:space="preserve">monitor </w:t>
      </w:r>
      <w:r w:rsidRPr="00147546" w:rsidR="00147546">
        <w:rPr>
          <w:bCs/>
          <w:iCs/>
          <w:color w:val="000000"/>
        </w:rPr>
        <w:t>information relevant to the functioning of markets for consumer financial products and services to identify risks to consumers and the proper functioning of such markets</w:t>
      </w:r>
      <w:r w:rsidR="00147546">
        <w:rPr>
          <w:bCs/>
          <w:iCs/>
          <w:color w:val="000000"/>
        </w:rPr>
        <w:t>;</w:t>
      </w:r>
      <w:r>
        <w:rPr>
          <w:rStyle w:val="FootnoteReference"/>
          <w:bCs/>
          <w:iCs/>
          <w:color w:val="000000"/>
        </w:rPr>
        <w:footnoteReference w:id="9"/>
      </w:r>
      <w:r w:rsidRPr="00987C14" w:rsidR="005B4D34">
        <w:rPr>
          <w:bCs/>
          <w:iCs/>
          <w:color w:val="000000"/>
        </w:rPr>
        <w:t xml:space="preserve"> (2) provide </w:t>
      </w:r>
      <w:r w:rsidR="00FE75CF">
        <w:rPr>
          <w:bCs/>
          <w:iCs/>
          <w:color w:val="000000"/>
        </w:rPr>
        <w:t xml:space="preserve">semi-annual reports and </w:t>
      </w:r>
      <w:r w:rsidRPr="00987C14" w:rsidR="005B4D34">
        <w:rPr>
          <w:bCs/>
          <w:iCs/>
          <w:color w:val="000000"/>
        </w:rPr>
        <w:t xml:space="preserve">an annual report to Congress on complaints received in the prior year </w:t>
      </w:r>
      <w:r w:rsidRPr="00987C14" w:rsidR="005B4D34">
        <w:rPr>
          <w:bCs/>
          <w:iCs/>
          <w:color w:val="000000"/>
        </w:rPr>
        <w:t xml:space="preserve">regarding such products and services, including information </w:t>
      </w:r>
      <w:r w:rsidR="00DC4045">
        <w:rPr>
          <w:bCs/>
          <w:iCs/>
          <w:color w:val="000000"/>
        </w:rPr>
        <w:t xml:space="preserve">and analysis </w:t>
      </w:r>
      <w:r w:rsidRPr="00987C14" w:rsidR="005B4D34">
        <w:rPr>
          <w:bCs/>
          <w:iCs/>
          <w:color w:val="000000"/>
        </w:rPr>
        <w:t>about complaint numbers, types, and resolution</w:t>
      </w:r>
      <w:r w:rsidR="0042539B">
        <w:rPr>
          <w:bCs/>
          <w:iCs/>
          <w:color w:val="000000"/>
        </w:rPr>
        <w:t>;</w:t>
      </w:r>
      <w:r>
        <w:rPr>
          <w:bCs/>
          <w:iCs/>
          <w:color w:val="000000"/>
          <w:vertAlign w:val="superscript"/>
        </w:rPr>
        <w:footnoteReference w:id="10"/>
      </w:r>
      <w:r w:rsidR="0042539B">
        <w:rPr>
          <w:bCs/>
          <w:iCs/>
          <w:color w:val="000000"/>
        </w:rPr>
        <w:t xml:space="preserve"> and (3) share complaint data t</w:t>
      </w:r>
      <w:r w:rsidRPr="0042539B" w:rsidR="0042539B">
        <w:rPr>
          <w:bCs/>
          <w:iCs/>
          <w:color w:val="000000"/>
        </w:rPr>
        <w:t>o facilitate</w:t>
      </w:r>
      <w:r w:rsidR="0042539B">
        <w:rPr>
          <w:bCs/>
          <w:iCs/>
          <w:color w:val="000000"/>
        </w:rPr>
        <w:t xml:space="preserve"> </w:t>
      </w:r>
      <w:r w:rsidRPr="0042539B" w:rsidR="0042539B">
        <w:rPr>
          <w:bCs/>
          <w:iCs/>
          <w:color w:val="000000"/>
        </w:rPr>
        <w:t>supervision</w:t>
      </w:r>
      <w:r w:rsidR="008A78F7">
        <w:rPr>
          <w:bCs/>
          <w:iCs/>
          <w:color w:val="000000"/>
        </w:rPr>
        <w:t xml:space="preserve"> </w:t>
      </w:r>
      <w:r w:rsidRPr="0042539B" w:rsidR="0042539B">
        <w:rPr>
          <w:bCs/>
          <w:iCs/>
          <w:color w:val="000000"/>
        </w:rPr>
        <w:t>and enforcement activities and monitoring of the market</w:t>
      </w:r>
      <w:r w:rsidR="0042539B">
        <w:rPr>
          <w:bCs/>
          <w:iCs/>
          <w:color w:val="000000"/>
        </w:rPr>
        <w:t xml:space="preserve"> </w:t>
      </w:r>
      <w:r w:rsidRPr="0042539B" w:rsidR="0042539B">
        <w:rPr>
          <w:bCs/>
          <w:iCs/>
          <w:color w:val="000000"/>
        </w:rPr>
        <w:t>for consumer financial products and services</w:t>
      </w:r>
      <w:r w:rsidR="0042539B">
        <w:rPr>
          <w:bCs/>
          <w:iCs/>
          <w:color w:val="000000"/>
        </w:rPr>
        <w:t>.</w:t>
      </w:r>
      <w:r>
        <w:rPr>
          <w:rStyle w:val="FootnoteReference"/>
          <w:bCs/>
          <w:iCs/>
          <w:color w:val="000000"/>
        </w:rPr>
        <w:footnoteReference w:id="11"/>
      </w:r>
      <w:r w:rsidR="0042539B">
        <w:rPr>
          <w:bCs/>
          <w:iCs/>
          <w:color w:val="000000"/>
        </w:rPr>
        <w:t xml:space="preserve"> </w:t>
      </w:r>
      <w:r w:rsidR="00F353B2">
        <w:rPr>
          <w:bCs/>
          <w:iCs/>
          <w:color w:val="000000"/>
        </w:rPr>
        <w:t>Complaints received via this information collection also support the CFPB’s obligations to monitor complaints received by service members and</w:t>
      </w:r>
      <w:r w:rsidR="00482AF8">
        <w:rPr>
          <w:bCs/>
          <w:iCs/>
          <w:color w:val="000000"/>
        </w:rPr>
        <w:t xml:space="preserve"> their families and</w:t>
      </w:r>
      <w:r w:rsidR="00F353B2">
        <w:rPr>
          <w:bCs/>
          <w:iCs/>
          <w:color w:val="000000"/>
        </w:rPr>
        <w:t xml:space="preserve"> private student loan borrowers.</w:t>
      </w:r>
      <w:r>
        <w:rPr>
          <w:rStyle w:val="FootnoteReference"/>
          <w:bCs/>
          <w:iCs/>
          <w:color w:val="000000"/>
        </w:rPr>
        <w:footnoteReference w:id="12"/>
      </w:r>
    </w:p>
    <w:bookmarkEnd w:id="0"/>
    <w:p w:rsidR="00BD683D" w:rsidP="00BD683D" w14:paraId="4B1B635A" w14:textId="77777777"/>
    <w:p w:rsidR="00641A2B" w:rsidP="00856FBB" w14:paraId="42583D3B" w14:textId="0BCE968D">
      <w:r>
        <w:t xml:space="preserve">The Consumer Response Intake Form is </w:t>
      </w:r>
      <w:r w:rsidR="00116931">
        <w:t>fundamental</w:t>
      </w:r>
      <w:r>
        <w:t xml:space="preserve"> to </w:t>
      </w:r>
      <w:r w:rsidR="00116931">
        <w:t>co</w:t>
      </w:r>
      <w:r>
        <w:t>llect</w:t>
      </w:r>
      <w:r w:rsidR="00116931">
        <w:t>ing</w:t>
      </w:r>
      <w:r>
        <w:t>, investiga</w:t>
      </w:r>
      <w:r w:rsidR="00116931">
        <w:t>ting,</w:t>
      </w:r>
      <w:r>
        <w:t xml:space="preserve"> and respond</w:t>
      </w:r>
      <w:r w:rsidR="00116931">
        <w:t>ing</w:t>
      </w:r>
      <w:r>
        <w:t xml:space="preserve"> to consumer complaints submitted </w:t>
      </w:r>
      <w:r w:rsidRPr="003C1CE2" w:rsidR="003C1CE2">
        <w:t>by web, telephone, mail</w:t>
      </w:r>
      <w:r w:rsidR="003C1CE2">
        <w:t>, and referral</w:t>
      </w:r>
      <w:r w:rsidRPr="003C1CE2" w:rsidR="003C1CE2">
        <w:t>.</w:t>
      </w:r>
      <w:r>
        <w:t xml:space="preserve"> </w:t>
      </w:r>
      <w:r w:rsidR="00116931">
        <w:t>Particularly given the volume of complaints handled and the obligation to provide responses to consumers complaints, it is essential that consumers provide information in a consistent form</w:t>
      </w:r>
      <w:r>
        <w:t xml:space="preserve"> to facilitate the processing needed </w:t>
      </w:r>
      <w:r w:rsidR="007570A1">
        <w:t xml:space="preserve">for the </w:t>
      </w:r>
      <w:r>
        <w:t>CFPB</w:t>
      </w:r>
      <w:r w:rsidR="007570A1">
        <w:t xml:space="preserve"> and companies to meet their respective</w:t>
      </w:r>
      <w:r>
        <w:t xml:space="preserve"> obligations</w:t>
      </w:r>
      <w:r w:rsidR="00116931">
        <w:t xml:space="preserve">. </w:t>
      </w:r>
    </w:p>
    <w:p w:rsidR="00641A2B" w:rsidP="00856FBB" w14:paraId="6B0AF007" w14:textId="77777777"/>
    <w:p w:rsidR="00641A2B" w:rsidRPr="00641A2B" w:rsidP="00856FBB" w14:paraId="32B889CF" w14:textId="41C857EC">
      <w:pPr>
        <w:rPr>
          <w:b/>
          <w:bCs/>
        </w:rPr>
      </w:pPr>
      <w:r w:rsidRPr="00641A2B">
        <w:rPr>
          <w:b/>
          <w:bCs/>
        </w:rPr>
        <w:t>2.  Indicate how, by whom, and for what purpose the information is to be used.  Except for a new collection, indicate the actual use the agency has made of the information received from the current collection.</w:t>
      </w:r>
    </w:p>
    <w:p w:rsidR="00641A2B" w:rsidP="00856FBB" w14:paraId="4263595A" w14:textId="77777777"/>
    <w:p w:rsidR="000420A4" w:rsidP="00856FBB" w14:paraId="42D6BC12" w14:textId="6451F861">
      <w:r>
        <w:t xml:space="preserve">Information collected using the Consumer Response Intake Form </w:t>
      </w:r>
      <w:r w:rsidR="0038052D">
        <w:t>forms</w:t>
      </w:r>
      <w:r>
        <w:t xml:space="preserve"> the backbone of the</w:t>
      </w:r>
      <w:r w:rsidR="00DE5F0F">
        <w:t xml:space="preserve"> collection of, tracking of, and response to </w:t>
      </w:r>
      <w:r>
        <w:t>complaint</w:t>
      </w:r>
      <w:r w:rsidR="00DE5F0F">
        <w:t>s via the complaint process</w:t>
      </w:r>
      <w:r>
        <w:t>.</w:t>
      </w:r>
      <w:r>
        <w:rPr>
          <w:rStyle w:val="FootnoteReference"/>
        </w:rPr>
        <w:footnoteReference w:id="13"/>
      </w:r>
      <w:r>
        <w:t xml:space="preserve"> </w:t>
      </w:r>
      <w:r>
        <w:t>The Consumer Response Intake Form is used by consumers to submit complaints, and the information collected is used by the CFPB, companies</w:t>
      </w:r>
      <w:r w:rsidR="00875457">
        <w:t xml:space="preserve"> that offer </w:t>
      </w:r>
      <w:r w:rsidR="006019AC">
        <w:t xml:space="preserve">or provide </w:t>
      </w:r>
      <w:r w:rsidR="00875457">
        <w:t>consumer financial products and services</w:t>
      </w:r>
      <w:r>
        <w:t xml:space="preserve">, and federal and state agencies to meet their obligations. </w:t>
      </w:r>
    </w:p>
    <w:p w:rsidR="000420A4" w:rsidP="00856FBB" w14:paraId="078CC04A" w14:textId="77777777"/>
    <w:p w:rsidR="000420A4" w:rsidP="00856FBB" w14:paraId="76DFDAC9" w14:textId="77777777">
      <w:r w:rsidRPr="00756CE3">
        <w:t>When consumers submit complaints</w:t>
      </w:r>
      <w:r w:rsidR="00484AB6">
        <w:t xml:space="preserve"> using this form</w:t>
      </w:r>
      <w:r w:rsidRPr="00756CE3">
        <w:t>, the</w:t>
      </w:r>
      <w:r w:rsidR="00E62C77">
        <w:t xml:space="preserve">y </w:t>
      </w:r>
      <w:r w:rsidRPr="00756CE3">
        <w:t>identify the consumer financial product or service with which they have a problem, the issue that best describes the problem, and the company to which they want to direct their complaint</w:t>
      </w:r>
      <w:r w:rsidR="00484AB6">
        <w:t xml:space="preserve"> for response</w:t>
      </w:r>
      <w:r w:rsidRPr="00756CE3">
        <w:t>.</w:t>
      </w:r>
      <w:r>
        <w:rPr>
          <w:rStyle w:val="FootnoteReference"/>
        </w:rPr>
        <w:footnoteReference w:id="14"/>
      </w:r>
      <w:r>
        <w:t xml:space="preserve"> </w:t>
      </w:r>
      <w:r w:rsidRPr="00756CE3">
        <w:t xml:space="preserve">Consumers describe what happened and their desired resolution using free-form text fields. </w:t>
      </w:r>
      <w:r w:rsidR="00116931">
        <w:t xml:space="preserve">When submitting complaints online, consumers </w:t>
      </w:r>
      <w:r w:rsidR="00484AB6">
        <w:t xml:space="preserve">also </w:t>
      </w:r>
      <w:r w:rsidR="00116931">
        <w:t>have the option to attach supporting document. Additionally, t</w:t>
      </w:r>
      <w:r w:rsidRPr="00756CE3">
        <w:t>he form requires users to identify whether they are submitting the complaint for themselves or on behalf of someone else, provide relevant contact information, and affirm the information provided in their complaint is true to the best of their knowledge and belief.</w:t>
      </w:r>
      <w:r w:rsidR="00F439B1">
        <w:t xml:space="preserve"> </w:t>
      </w:r>
    </w:p>
    <w:p w:rsidR="000420A4" w:rsidP="00856FBB" w14:paraId="1FC02CDF" w14:textId="77777777"/>
    <w:p w:rsidR="002A0962" w:rsidP="002A0962" w14:paraId="277A2CDC" w14:textId="3B42BCAD">
      <w:r>
        <w:t xml:space="preserve">The </w:t>
      </w:r>
      <w:r w:rsidR="00116931">
        <w:t>information</w:t>
      </w:r>
      <w:r>
        <w:t xml:space="preserve"> from the current collection</w:t>
      </w:r>
      <w:r w:rsidR="00116931">
        <w:t xml:space="preserve"> enables </w:t>
      </w:r>
      <w:r w:rsidR="00F439B1">
        <w:t xml:space="preserve">the CFPB to route complaints </w:t>
      </w:r>
      <w:r w:rsidR="00856FBB">
        <w:t xml:space="preserve">directly </w:t>
      </w:r>
      <w:r w:rsidR="00F439B1">
        <w:t xml:space="preserve">to </w:t>
      </w:r>
      <w:r w:rsidR="006010D0">
        <w:t xml:space="preserve">companies that offer </w:t>
      </w:r>
      <w:r w:rsidR="00022473">
        <w:t xml:space="preserve">or provide </w:t>
      </w:r>
      <w:r w:rsidR="006010D0">
        <w:t>consumer financial products or services</w:t>
      </w:r>
      <w:r w:rsidR="00F439B1">
        <w:t xml:space="preserve"> for response accurately and efficiently</w:t>
      </w:r>
      <w:r w:rsidR="00856FBB">
        <w:t xml:space="preserve"> and </w:t>
      </w:r>
      <w:r w:rsidR="00484AB6">
        <w:t xml:space="preserve">provides </w:t>
      </w:r>
      <w:r w:rsidR="00330010">
        <w:t xml:space="preserve">these companies </w:t>
      </w:r>
      <w:r w:rsidR="00484AB6">
        <w:t>with the i</w:t>
      </w:r>
      <w:r w:rsidR="000B2112">
        <w:t xml:space="preserve">nformation needed </w:t>
      </w:r>
      <w:r w:rsidR="00E62C77">
        <w:t>to</w:t>
      </w:r>
      <w:r w:rsidR="00484AB6">
        <w:t xml:space="preserve"> </w:t>
      </w:r>
      <w:r w:rsidR="00E62C77">
        <w:t>identify the consumer in their records,</w:t>
      </w:r>
      <w:r w:rsidR="000B2112">
        <w:t xml:space="preserve"> understand each consumer’s issue(s), </w:t>
      </w:r>
      <w:r w:rsidR="00E62C77">
        <w:t xml:space="preserve">determine what action to take in response, and </w:t>
      </w:r>
      <w:r w:rsidR="000B2112">
        <w:t xml:space="preserve">provide a </w:t>
      </w:r>
      <w:r w:rsidR="00E62C77">
        <w:t xml:space="preserve">written response to the CFPB and the consumer </w:t>
      </w:r>
      <w:r w:rsidR="008D4196">
        <w:t>tailored to the issues in each consumer’s complaint</w:t>
      </w:r>
      <w:r w:rsidR="00856FBB">
        <w:t>.</w:t>
      </w:r>
      <w:r>
        <w:rPr>
          <w:rStyle w:val="FootnoteReference"/>
        </w:rPr>
        <w:footnoteReference w:id="15"/>
      </w:r>
      <w:r w:rsidR="00875457">
        <w:t xml:space="preserve"> </w:t>
      </w:r>
      <w:r w:rsidR="0038052D">
        <w:t xml:space="preserve">Information collected using the Consumer Response Intake Form </w:t>
      </w:r>
      <w:r>
        <w:t xml:space="preserve">also help the CFPB fulfill its </w:t>
      </w:r>
      <w:r w:rsidR="00E0378E">
        <w:t xml:space="preserve">statutory </w:t>
      </w:r>
      <w:r>
        <w:t xml:space="preserve">obligations, including the obligation to: </w:t>
      </w:r>
      <w:r w:rsidRPr="00987C14">
        <w:rPr>
          <w:bCs/>
          <w:iCs/>
          <w:color w:val="000000"/>
        </w:rPr>
        <w:t xml:space="preserve">(1) </w:t>
      </w:r>
      <w:r w:rsidRPr="00987C14" w:rsidR="00705E75">
        <w:rPr>
          <w:bCs/>
          <w:iCs/>
          <w:color w:val="000000"/>
        </w:rPr>
        <w:t xml:space="preserve">monitor </w:t>
      </w:r>
      <w:r w:rsidRPr="00147546" w:rsidR="00705E75">
        <w:rPr>
          <w:bCs/>
          <w:iCs/>
          <w:color w:val="000000"/>
        </w:rPr>
        <w:t>information relevant to the functioning of markets for consumer financial products and services to identify risks to consumers and the proper functioning of such markets</w:t>
      </w:r>
      <w:r w:rsidRPr="00987C14">
        <w:rPr>
          <w:bCs/>
          <w:iCs/>
          <w:color w:val="000000"/>
        </w:rPr>
        <w:t>;</w:t>
      </w:r>
      <w:r>
        <w:rPr>
          <w:rStyle w:val="FootnoteReference"/>
          <w:bCs/>
          <w:iCs/>
          <w:color w:val="000000"/>
        </w:rPr>
        <w:footnoteReference w:id="16"/>
      </w:r>
      <w:r w:rsidRPr="00987C14">
        <w:rPr>
          <w:bCs/>
          <w:iCs/>
          <w:color w:val="000000"/>
        </w:rPr>
        <w:t xml:space="preserve"> (2) provide an annual report to Congress on complaints received in the prior year regarding such products and services, including information </w:t>
      </w:r>
      <w:r w:rsidR="00157958">
        <w:rPr>
          <w:bCs/>
          <w:iCs/>
          <w:color w:val="000000"/>
        </w:rPr>
        <w:t xml:space="preserve">and analysis </w:t>
      </w:r>
      <w:r w:rsidRPr="00987C14">
        <w:rPr>
          <w:bCs/>
          <w:iCs/>
          <w:color w:val="000000"/>
        </w:rPr>
        <w:t>about complaint numbers, types, and resolution</w:t>
      </w:r>
      <w:r>
        <w:rPr>
          <w:bCs/>
          <w:iCs/>
          <w:color w:val="000000"/>
        </w:rPr>
        <w:t>;</w:t>
      </w:r>
      <w:r>
        <w:rPr>
          <w:bCs/>
          <w:iCs/>
          <w:color w:val="000000"/>
          <w:vertAlign w:val="superscript"/>
        </w:rPr>
        <w:footnoteReference w:id="17"/>
      </w:r>
      <w:r>
        <w:rPr>
          <w:bCs/>
          <w:iCs/>
          <w:color w:val="000000"/>
        </w:rPr>
        <w:t xml:space="preserve"> and (3) share complaint data t</w:t>
      </w:r>
      <w:r w:rsidRPr="0042539B">
        <w:rPr>
          <w:bCs/>
          <w:iCs/>
          <w:color w:val="000000"/>
        </w:rPr>
        <w:t>o facilitate</w:t>
      </w:r>
      <w:r>
        <w:rPr>
          <w:bCs/>
          <w:iCs/>
          <w:color w:val="000000"/>
        </w:rPr>
        <w:t xml:space="preserve"> </w:t>
      </w:r>
      <w:r w:rsidRPr="0042539B">
        <w:rPr>
          <w:bCs/>
          <w:iCs/>
          <w:color w:val="000000"/>
        </w:rPr>
        <w:t>supervision</w:t>
      </w:r>
      <w:r>
        <w:rPr>
          <w:bCs/>
          <w:iCs/>
          <w:color w:val="000000"/>
        </w:rPr>
        <w:t xml:space="preserve"> </w:t>
      </w:r>
      <w:r w:rsidRPr="0042539B">
        <w:rPr>
          <w:bCs/>
          <w:iCs/>
          <w:color w:val="000000"/>
        </w:rPr>
        <w:t>and enforcement activities and monitoring of the market</w:t>
      </w:r>
      <w:r>
        <w:rPr>
          <w:bCs/>
          <w:iCs/>
          <w:color w:val="000000"/>
        </w:rPr>
        <w:t xml:space="preserve"> </w:t>
      </w:r>
      <w:r w:rsidRPr="0042539B">
        <w:rPr>
          <w:bCs/>
          <w:iCs/>
          <w:color w:val="000000"/>
        </w:rPr>
        <w:t>for consumer financial products and services</w:t>
      </w:r>
      <w:r>
        <w:rPr>
          <w:bCs/>
          <w:iCs/>
          <w:color w:val="000000"/>
        </w:rPr>
        <w:t>.</w:t>
      </w:r>
      <w:r>
        <w:rPr>
          <w:rStyle w:val="FootnoteReference"/>
          <w:bCs/>
          <w:iCs/>
          <w:color w:val="000000"/>
        </w:rPr>
        <w:footnoteReference w:id="18"/>
      </w:r>
      <w:r>
        <w:rPr>
          <w:bCs/>
          <w:iCs/>
          <w:color w:val="000000"/>
        </w:rPr>
        <w:t xml:space="preserve"> </w:t>
      </w:r>
    </w:p>
    <w:p w:rsidR="002A0962" w:rsidP="00856FBB" w14:paraId="18C4D119" w14:textId="1517BE54"/>
    <w:p w:rsidR="002A0962" w:rsidP="002A0962" w14:paraId="7E467D34" w14:textId="23B01ACE">
      <w:pPr>
        <w:rPr>
          <w:b/>
          <w:bCs/>
        </w:rPr>
      </w:pPr>
      <w:r w:rsidRPr="00BF6D43">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0962" w:rsidP="00856FBB" w14:paraId="10304A62" w14:textId="77777777"/>
    <w:p w:rsidR="002A0962" w:rsidP="00856FBB" w14:paraId="19BF053B" w14:textId="1DF3AD37">
      <w:r>
        <w:t>As required by law, t</w:t>
      </w:r>
      <w:r w:rsidR="007A210F">
        <w:t>he CFPB established a single, toll</w:t>
      </w:r>
      <w:r w:rsidR="003E4D4C">
        <w:t>-</w:t>
      </w:r>
      <w:r w:rsidR="007A210F">
        <w:t>free telephone number, a website, and a database to facilitate the centralized collection of, monitoring of, and response to consumer complaints about consumer financial products or services</w:t>
      </w:r>
      <w:r>
        <w:rPr>
          <w:rStyle w:val="FootnoteReference"/>
        </w:rPr>
        <w:footnoteReference w:id="19"/>
      </w:r>
      <w:r w:rsidR="007A210F">
        <w:t xml:space="preserve"> in 2011</w:t>
      </w:r>
      <w:r w:rsidR="00BC254F">
        <w:t xml:space="preserve"> and has enhanced these offerings over time. </w:t>
      </w:r>
      <w:r w:rsidR="00BC254F">
        <w:t>The vast majority of</w:t>
      </w:r>
      <w:r w:rsidR="00BC254F">
        <w:t xml:space="preserve"> consumers opt to submit their complaints online with 98% of consumers submitting online in 2024 and consumers also have the option to monitor the status of their complaints and provide feedback about complaint responses online. </w:t>
      </w:r>
      <w:r w:rsidRPr="00C11505" w:rsidR="00C11505">
        <w:t xml:space="preserve">The CFPB </w:t>
      </w:r>
      <w:r w:rsidR="00C11505">
        <w:t xml:space="preserve">also </w:t>
      </w:r>
      <w:r w:rsidRPr="00C11505" w:rsidR="00C11505">
        <w:t>accepts complaints from consumers by telephone, mail, and referral from the White House, congressional offices, and other federal and state agencies</w:t>
      </w:r>
      <w:r w:rsidR="00C11505">
        <w:t xml:space="preserve">, where appropriate. </w:t>
      </w:r>
      <w:r w:rsidR="00342BB9">
        <w:t xml:space="preserve">The CFPB provides consumers with status updates, answering questions, and accepts feedback online and by telephone. </w:t>
      </w:r>
      <w:r w:rsidRPr="007A210F" w:rsidR="007A210F">
        <w:t>The CFPB’s U.S.-based contact centers provide services to consumers who are deaf, have hearing loss, or have speech disabilities via a toll-free telephone number.</w:t>
      </w:r>
    </w:p>
    <w:p w:rsidR="007A210F" w:rsidP="00856FBB" w14:paraId="25AE34CE" w14:textId="77777777"/>
    <w:p w:rsidR="00C11505" w:rsidP="00C11505" w14:paraId="1877719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F6D43">
        <w:rPr>
          <w:b/>
        </w:rPr>
        <w:t xml:space="preserve">4.  </w:t>
      </w:r>
      <w:r w:rsidRPr="00BF6D43">
        <w:rPr>
          <w:b/>
          <w:bCs/>
        </w:rPr>
        <w:t>Describe efforts to identify duplication.  Show specifically why any similar information already available cannot be used or modified for use for the purposes described in Item A.2 above.</w:t>
      </w:r>
    </w:p>
    <w:p w:rsidR="00C11505" w:rsidP="00856FBB" w14:paraId="7F7A78C1" w14:textId="77777777"/>
    <w:p w:rsidR="009C3B47" w:rsidP="00856FBB" w14:paraId="2526D1EE" w14:textId="0B3B3FCD">
      <w:r w:rsidRPr="009C3B47">
        <w:t>This information collection renewal request does not seek to duplicate any other complaint system being developed by other federal or state agencies.  Th</w:t>
      </w:r>
      <w:r>
        <w:t xml:space="preserve">is information collection facilitates the collection, tracking, monitoring, </w:t>
      </w:r>
      <w:r w:rsidR="00191EAA">
        <w:t xml:space="preserve">and </w:t>
      </w:r>
      <w:r>
        <w:t>investigation</w:t>
      </w:r>
      <w:r w:rsidR="00191EAA">
        <w:t xml:space="preserve"> of</w:t>
      </w:r>
      <w:r>
        <w:t>, and response to complaints. Potential for d</w:t>
      </w:r>
      <w:r w:rsidRPr="009C3B47">
        <w:t>uplication is further minimized as all CFPB information collections are considered and reviewed through an internal clearance process which includes several offices within the agency, including the CFPB’s Office of the Chief Information Officer</w:t>
      </w:r>
      <w:r w:rsidR="00B916B1">
        <w:t xml:space="preserve"> and the Office of the Chief Data Officer</w:t>
      </w:r>
      <w:r w:rsidRPr="009C3B47">
        <w:t xml:space="preserve">. </w:t>
      </w:r>
    </w:p>
    <w:p w:rsidR="00756CE3" w:rsidP="00BD683D" w14:paraId="737E2096" w14:textId="77777777"/>
    <w:p w:rsidR="009C3B47" w:rsidP="009C3B47" w14:paraId="443149A0" w14:textId="77777777">
      <w:pPr>
        <w:pStyle w:val="BodyText"/>
        <w:rPr>
          <w:b/>
          <w:bCs/>
        </w:rPr>
      </w:pPr>
      <w:r w:rsidRPr="00BF6D43">
        <w:rPr>
          <w:b/>
        </w:rPr>
        <w:t xml:space="preserve">5.  </w:t>
      </w:r>
      <w:r w:rsidRPr="00BF6D43">
        <w:rPr>
          <w:b/>
          <w:bCs/>
        </w:rPr>
        <w:t>If the collection of information impacts small businesses or other small entities, describe any methods used to minimize burden.</w:t>
      </w:r>
    </w:p>
    <w:p w:rsidR="009C3B47" w:rsidP="00BD683D" w14:paraId="608064E3" w14:textId="77777777"/>
    <w:p w:rsidR="009C3B47" w:rsidP="00BD683D" w14:paraId="7AC5155F" w14:textId="33F4B938">
      <w:r w:rsidRPr="009C3B47">
        <w:t>Th</w:t>
      </w:r>
      <w:r>
        <w:t>is</w:t>
      </w:r>
      <w:r w:rsidRPr="009C3B47">
        <w:t xml:space="preserve"> information collection is voluntary </w:t>
      </w:r>
      <w:r w:rsidRPr="009C3B47">
        <w:t>and  does</w:t>
      </w:r>
      <w:r w:rsidRPr="009C3B47">
        <w:t xml:space="preserve"> not require </w:t>
      </w:r>
      <w:r>
        <w:t xml:space="preserve">or seek to collect </w:t>
      </w:r>
      <w:r w:rsidRPr="009C3B47">
        <w:t>information from small businesses or other small entities</w:t>
      </w:r>
      <w:r w:rsidRPr="009C3B47">
        <w:t xml:space="preserve">.  </w:t>
      </w:r>
      <w:r w:rsidR="00DA2D3F">
        <w:t>T</w:t>
      </w:r>
      <w:r w:rsidRPr="009C3B47">
        <w:t xml:space="preserve">he CFPB, as required by law, </w:t>
      </w:r>
      <w:r w:rsidR="001218CC">
        <w:t>may use</w:t>
      </w:r>
      <w:r w:rsidRPr="009C3B47">
        <w:t xml:space="preserve"> the information obtained from consumers to </w:t>
      </w:r>
      <w:r w:rsidR="001218CC">
        <w:t>seek</w:t>
      </w:r>
      <w:r w:rsidRPr="009C3B47">
        <w:t xml:space="preserve"> responses from, and potentially initiate investigations of, </w:t>
      </w:r>
      <w:r w:rsidR="00330010">
        <w:t xml:space="preserve">companies </w:t>
      </w:r>
      <w:r w:rsidRPr="009C3B47" w:rsidR="00330010">
        <w:t>named in the complaints</w:t>
      </w:r>
      <w:r w:rsidR="00330010">
        <w:t xml:space="preserve"> that offer</w:t>
      </w:r>
      <w:r w:rsidR="00E30B01">
        <w:t xml:space="preserve"> or provide</w:t>
      </w:r>
      <w:r w:rsidR="00330010">
        <w:t xml:space="preserve"> consumer financial products or services</w:t>
      </w:r>
      <w:r w:rsidRPr="009C3B47">
        <w:t xml:space="preserve">, some of which may be </w:t>
      </w:r>
      <w:r w:rsidR="00DA2D3F">
        <w:t xml:space="preserve">small businesses or other </w:t>
      </w:r>
      <w:r w:rsidRPr="009C3B47">
        <w:t xml:space="preserve">small entities.  The CFPB </w:t>
      </w:r>
      <w:r w:rsidR="00E2279E">
        <w:t xml:space="preserve">aims to </w:t>
      </w:r>
      <w:r w:rsidRPr="009C3B47">
        <w:t xml:space="preserve">minimize any burden by </w:t>
      </w:r>
      <w:r w:rsidR="00E2279E">
        <w:t>requesting</w:t>
      </w:r>
      <w:r w:rsidRPr="009C3B47">
        <w:t xml:space="preserve"> readily available information using plain, short, </w:t>
      </w:r>
      <w:r w:rsidR="00191EAA">
        <w:t xml:space="preserve">and </w:t>
      </w:r>
      <w:r w:rsidRPr="009C3B47">
        <w:t xml:space="preserve">easy-to-complete </w:t>
      </w:r>
      <w:r w:rsidR="001218CC">
        <w:t>requests</w:t>
      </w:r>
      <w:r w:rsidRPr="009C3B47">
        <w:t>.</w:t>
      </w:r>
    </w:p>
    <w:p w:rsidR="009C3B47" w:rsidP="00BD683D" w14:paraId="1D398F0B" w14:textId="77777777"/>
    <w:p w:rsidR="001218CC" w:rsidP="001218CC" w14:paraId="048AEA62" w14:textId="77777777">
      <w:pPr>
        <w:rPr>
          <w:b/>
          <w:bCs/>
        </w:rPr>
      </w:pPr>
      <w:r w:rsidRPr="00BF6D43">
        <w:rPr>
          <w:b/>
        </w:rPr>
        <w:t xml:space="preserve">6.  </w:t>
      </w:r>
      <w:r w:rsidRPr="00BF6D43">
        <w:rPr>
          <w:b/>
          <w:bCs/>
        </w:rPr>
        <w:t xml:space="preserve">Describe the consequence to federal program or policy activities if the collection is not conducted or is conducted less frequently, as well as any technical or legal obstacles to reducing burden. </w:t>
      </w:r>
    </w:p>
    <w:p w:rsidR="001218CC" w:rsidP="00BD683D" w14:paraId="206602EC" w14:textId="77777777"/>
    <w:p w:rsidR="001218CC" w:rsidP="00BD683D" w14:paraId="5F8842A2" w14:textId="3182D18D">
      <w:r>
        <w:t>Under the Consumer Financial Protection Act, one of the primary functions of the CFPB is collecting, investigating, and responding to consumer complaints. The CFPB centralizes the collection of complaints about consumer financial products or services, collecting and tracking complaints from consumers using the Consumer Response Intake Form.</w:t>
      </w:r>
      <w:r w:rsidRPr="00226E4A">
        <w:t xml:space="preserve"> </w:t>
      </w:r>
      <w:bookmarkStart w:id="1" w:name="_Hlk210644944"/>
      <w:r w:rsidRPr="00226E4A">
        <w:t xml:space="preserve">The proposed collection is voluntary, and if the proposed collection is not conducted, the CFPB would not be able to fulfill its </w:t>
      </w:r>
      <w:r w:rsidR="00945772">
        <w:t xml:space="preserve">statutory </w:t>
      </w:r>
      <w:r>
        <w:t>obligations</w:t>
      </w:r>
      <w:r w:rsidR="0093433B">
        <w:t xml:space="preserve"> as set forth in Item A1 above</w:t>
      </w:r>
      <w:bookmarkEnd w:id="1"/>
      <w:r w:rsidRPr="00226E4A">
        <w:t>.</w:t>
      </w:r>
    </w:p>
    <w:p w:rsidR="00226E4A" w:rsidP="00BD683D" w14:paraId="768C6BAC" w14:textId="77777777"/>
    <w:p w:rsidR="00226E4A" w:rsidRPr="00BF6D43" w:rsidP="00226E4A" w14:paraId="23D1E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rPr>
        <w:t xml:space="preserve">7.  </w:t>
      </w:r>
      <w:r w:rsidRPr="00BF6D43">
        <w:rPr>
          <w:b/>
          <w:bCs/>
        </w:rPr>
        <w:t>Explain any special circumstances that would cause an information collection to be conducted in a manner:</w:t>
      </w:r>
    </w:p>
    <w:p w:rsidR="00226E4A" w:rsidRPr="00BF6D43" w:rsidP="00226E4A" w14:paraId="4592328E"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requiring respondents to report information to the agency more often than quarterly;</w:t>
      </w:r>
    </w:p>
    <w:p w:rsidR="00226E4A" w:rsidRPr="00BF6D43" w:rsidP="00226E4A" w14:paraId="14AA565E"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requiring respondents to prepare a written response to a collection of information in fewer than 30 days after receipt of it;</w:t>
      </w:r>
    </w:p>
    <w:p w:rsidR="00226E4A" w:rsidRPr="00BF6D43" w:rsidP="00226E4A" w14:paraId="65C01363"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requiring respondents to submit more than an original and two copies of any document;</w:t>
      </w:r>
    </w:p>
    <w:p w:rsidR="00226E4A" w:rsidRPr="00BF6D43" w:rsidP="00226E4A" w14:paraId="14B4A27F"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requiring respondents to retain records, other than health, medical, government contract, grant-in-aid, or tax records for more than three years;</w:t>
      </w:r>
    </w:p>
    <w:p w:rsidR="00226E4A" w:rsidRPr="00BF6D43" w:rsidP="00226E4A" w14:paraId="70CA9A55"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226E4A" w:rsidRPr="00BF6D43" w:rsidP="00226E4A" w14:paraId="278F9190"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226E4A" w:rsidRPr="00BF6D43" w:rsidP="00226E4A" w14:paraId="49CFFD54"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26E4A" w:rsidRPr="000769CC" w:rsidP="00226E4A" w14:paraId="4B366C50" w14:textId="77777777">
      <w:pPr>
        <w:pStyle w:val="Level1"/>
        <w:widowControl/>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69CC">
        <w:rPr>
          <w:b/>
          <w:bCs/>
        </w:rPr>
        <w:t>requiring respondents to submit proprietary trade secret, or other confidential information unless the agency can demonstrate that it has instituted procedures to protect the information's confidentially to the extent permitted by law.</w:t>
      </w:r>
    </w:p>
    <w:p w:rsidR="00226E4A" w:rsidRPr="00987C14" w:rsidP="00226E4A" w14:paraId="01E60904" w14:textId="77777777">
      <w:pPr>
        <w:keepNext/>
        <w:spacing w:before="240" w:after="60"/>
        <w:outlineLvl w:val="1"/>
        <w:rPr>
          <w:b/>
          <w:bCs/>
          <w:iCs/>
          <w:color w:val="000000"/>
        </w:rPr>
      </w:pPr>
      <w:r w:rsidRPr="00987C14">
        <w:rPr>
          <w:bCs/>
          <w:iCs/>
          <w:color w:val="000000"/>
        </w:rPr>
        <w:t>There are no special circumstances.  The collection of information is conducted in a manner consistent with the guidelines in 5 C</w:t>
      </w:r>
      <w:r>
        <w:rPr>
          <w:bCs/>
          <w:iCs/>
          <w:color w:val="000000"/>
        </w:rPr>
        <w:t>.</w:t>
      </w:r>
      <w:r w:rsidRPr="00987C14">
        <w:rPr>
          <w:bCs/>
          <w:iCs/>
          <w:color w:val="000000"/>
        </w:rPr>
        <w:t>F</w:t>
      </w:r>
      <w:r>
        <w:rPr>
          <w:bCs/>
          <w:iCs/>
          <w:color w:val="000000"/>
        </w:rPr>
        <w:t>.</w:t>
      </w:r>
      <w:r w:rsidRPr="00987C14">
        <w:rPr>
          <w:bCs/>
          <w:iCs/>
          <w:color w:val="000000"/>
        </w:rPr>
        <w:t>R</w:t>
      </w:r>
      <w:r>
        <w:rPr>
          <w:bCs/>
          <w:iCs/>
          <w:color w:val="000000"/>
        </w:rPr>
        <w:t>.</w:t>
      </w:r>
      <w:r w:rsidRPr="00987C14">
        <w:rPr>
          <w:bCs/>
          <w:iCs/>
          <w:color w:val="000000"/>
        </w:rPr>
        <w:t xml:space="preserve"> § 1320.5(d)(2).</w:t>
      </w:r>
    </w:p>
    <w:p w:rsidR="00226E4A" w:rsidP="00BD683D" w14:paraId="68190B42" w14:textId="77777777"/>
    <w:p w:rsidR="00226E4A" w:rsidRPr="00BF6D43" w:rsidP="00226E4A" w14:paraId="797A932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F6D43">
        <w:rPr>
          <w:b/>
        </w:rPr>
        <w:t xml:space="preserve">8.  </w:t>
      </w:r>
      <w:r w:rsidRPr="00BF6D43">
        <w:rPr>
          <w:b/>
          <w:bCs/>
        </w:rPr>
        <w:t xml:space="preserve">If applicable, provide a copy and identify the date and page number of </w:t>
      </w:r>
      <w:r w:rsidRPr="00BF6D43">
        <w:rPr>
          <w:b/>
          <w:bCs/>
        </w:rPr>
        <w:t>publication</w:t>
      </w:r>
      <w:r w:rsidRPr="00BF6D43">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26E4A" w:rsidRPr="00BF6D43" w:rsidP="00226E4A" w14:paraId="6E6C68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26E4A" w:rsidRPr="00BF6D43" w:rsidP="00226E4A" w14:paraId="4FEC4A9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F6D43">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26E4A" w:rsidRPr="00BF6D43" w:rsidP="00226E4A" w14:paraId="36F6737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26E4A" w:rsidRPr="00BF6D43" w:rsidP="00226E4A" w14:paraId="27B8C3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F6D43">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26E4A" w:rsidRPr="00BF6D43" w:rsidP="00226E4A" w14:paraId="761E7D64" w14:textId="77777777"/>
    <w:p w:rsidR="00B9672E" w:rsidRPr="00927795" w:rsidP="00B9672E" w14:paraId="37BFB4C7" w14:textId="44D618DF">
      <w:pPr>
        <w:rPr>
          <w:bCs/>
          <w:color w:val="000000" w:themeColor="text1"/>
        </w:rPr>
      </w:pPr>
      <w:r w:rsidRPr="00927795">
        <w:rPr>
          <w:bCs/>
          <w:color w:val="000000" w:themeColor="text1"/>
        </w:rPr>
        <w:t>The CFPB published a 60-day Federal Register notice for this information collection on 11/28/2025 (90 FR 54643).  The CFPB received three comments from the 60-day comment period.  Those three comments were submitted b</w:t>
      </w:r>
      <w:r w:rsidRPr="00927795" w:rsidR="00655926">
        <w:rPr>
          <w:bCs/>
          <w:color w:val="000000" w:themeColor="text1"/>
        </w:rPr>
        <w:t>y</w:t>
      </w:r>
      <w:r w:rsidRPr="00927795">
        <w:rPr>
          <w:bCs/>
          <w:color w:val="000000" w:themeColor="text1"/>
        </w:rPr>
        <w:t>:</w:t>
      </w:r>
    </w:p>
    <w:p w:rsidR="00EF2F30" w:rsidRPr="00927795" w:rsidP="00B9672E" w14:paraId="40C5B184" w14:textId="3C93BB7D">
      <w:pPr>
        <w:pStyle w:val="ListParagraph"/>
        <w:numPr>
          <w:ilvl w:val="0"/>
          <w:numId w:val="6"/>
        </w:numPr>
        <w:rPr>
          <w:bCs/>
          <w:color w:val="000000" w:themeColor="text1"/>
        </w:rPr>
      </w:pPr>
      <w:r w:rsidRPr="00927795">
        <w:rPr>
          <w:bCs/>
          <w:color w:val="000000" w:themeColor="text1"/>
        </w:rPr>
        <w:t>American Financial Services Association (AFSA),</w:t>
      </w:r>
    </w:p>
    <w:p w:rsidR="00B9672E" w:rsidRPr="00927795" w:rsidP="00927795" w14:paraId="3D8E4DAC" w14:textId="0EBA8131">
      <w:pPr>
        <w:pStyle w:val="ListParagraph"/>
        <w:numPr>
          <w:ilvl w:val="0"/>
          <w:numId w:val="6"/>
        </w:numPr>
        <w:rPr>
          <w:bCs/>
          <w:color w:val="000000" w:themeColor="text1"/>
        </w:rPr>
      </w:pPr>
      <w:r w:rsidRPr="00927795">
        <w:rPr>
          <w:bCs/>
          <w:color w:val="000000" w:themeColor="text1"/>
        </w:rPr>
        <w:t xml:space="preserve">Consumer Bankers Association (CBA), </w:t>
      </w:r>
      <w:r w:rsidRPr="00927795" w:rsidR="00EF2F30">
        <w:rPr>
          <w:bCs/>
          <w:color w:val="000000" w:themeColor="text1"/>
        </w:rPr>
        <w:t>and</w:t>
      </w:r>
    </w:p>
    <w:p w:rsidR="00B9672E" w:rsidRPr="00927795" w:rsidP="00B9672E" w14:paraId="081C11DB" w14:textId="4A5BACB3">
      <w:pPr>
        <w:pStyle w:val="ListParagraph"/>
        <w:numPr>
          <w:ilvl w:val="0"/>
          <w:numId w:val="6"/>
        </w:numPr>
        <w:rPr>
          <w:bCs/>
          <w:color w:val="000000" w:themeColor="text1"/>
        </w:rPr>
      </w:pPr>
      <w:r w:rsidRPr="00927795">
        <w:rPr>
          <w:bCs/>
          <w:color w:val="000000" w:themeColor="text1"/>
        </w:rPr>
        <w:t xml:space="preserve">Consumer Data Industry Association (CDIA). </w:t>
      </w:r>
    </w:p>
    <w:p w:rsidR="00B9672E" w:rsidRPr="00927795" w:rsidP="00B9672E" w14:paraId="3FFF8AD8" w14:textId="77777777">
      <w:pPr>
        <w:rPr>
          <w:bCs/>
          <w:color w:val="000000" w:themeColor="text1"/>
        </w:rPr>
      </w:pPr>
    </w:p>
    <w:p w:rsidR="00B9672E" w:rsidRPr="00927795" w:rsidP="00B9672E" w14:paraId="1F0F2E27" w14:textId="39FD2C77">
      <w:pPr>
        <w:rPr>
          <w:bCs/>
          <w:color w:val="000000" w:themeColor="text1"/>
        </w:rPr>
      </w:pPr>
      <w:r w:rsidRPr="00927795">
        <w:rPr>
          <w:bCs/>
          <w:color w:val="000000" w:themeColor="text1"/>
        </w:rPr>
        <w:t>These</w:t>
      </w:r>
      <w:r w:rsidRPr="00927795">
        <w:rPr>
          <w:bCs/>
          <w:color w:val="000000" w:themeColor="text1"/>
        </w:rPr>
        <w:t xml:space="preserve"> commenters raised concerns that the Consumer Complaint Form has limited utility due to the submission of potentially unverified, duplicative, and illegitimate complaints.  Commenters also identified what they perceived as misuses of the complaint process while providing recommendations for improvement. </w:t>
      </w:r>
    </w:p>
    <w:p w:rsidR="00B9672E" w:rsidRPr="00927795" w:rsidP="00B9672E" w14:paraId="1FC07670" w14:textId="77777777">
      <w:pPr>
        <w:rPr>
          <w:bCs/>
          <w:color w:val="000000" w:themeColor="text1"/>
        </w:rPr>
      </w:pPr>
    </w:p>
    <w:p w:rsidR="00B9672E" w:rsidRPr="00E433AE" w:rsidP="00B9672E" w14:paraId="58477033" w14:textId="398ABFB0">
      <w:pPr>
        <w:rPr>
          <w:bCs/>
          <w:color w:val="000000" w:themeColor="text1"/>
        </w:rPr>
      </w:pPr>
      <w:r w:rsidRPr="00927795">
        <w:rPr>
          <w:bCs/>
          <w:color w:val="000000" w:themeColor="text1"/>
        </w:rPr>
        <w:t xml:space="preserve">CBA recognized the value of the complaint form for consumer feedback and financial literacy while also suggesting improvements </w:t>
      </w:r>
      <w:r w:rsidRPr="00927795">
        <w:rPr>
          <w:bCs/>
          <w:color w:val="000000" w:themeColor="text1"/>
        </w:rPr>
        <w:t xml:space="preserve">and </w:t>
      </w:r>
      <w:r w:rsidRPr="00927795">
        <w:rPr>
          <w:bCs/>
          <w:color w:val="000000" w:themeColor="text1"/>
        </w:rPr>
        <w:t xml:space="preserve"> AFSA</w:t>
      </w:r>
      <w:r w:rsidRPr="00927795">
        <w:rPr>
          <w:bCs/>
          <w:color w:val="000000" w:themeColor="text1"/>
        </w:rPr>
        <w:t xml:space="preserve"> and CDIA focused on statutory limits and </w:t>
      </w:r>
      <w:r w:rsidRPr="00927795">
        <w:rPr>
          <w:bCs/>
          <w:color w:val="000000" w:themeColor="text1"/>
        </w:rPr>
        <w:t xml:space="preserve">company </w:t>
      </w:r>
      <w:r w:rsidRPr="00927795">
        <w:rPr>
          <w:bCs/>
          <w:color w:val="000000" w:themeColor="text1"/>
        </w:rPr>
        <w:t>burden. The Bureau acknowledges the organizations</w:t>
      </w:r>
      <w:r w:rsidRPr="00927795" w:rsidR="00655926">
        <w:rPr>
          <w:bCs/>
          <w:color w:val="000000" w:themeColor="text1"/>
        </w:rPr>
        <w:t>’</w:t>
      </w:r>
      <w:r w:rsidRPr="00927795">
        <w:rPr>
          <w:bCs/>
          <w:color w:val="000000" w:themeColor="text1"/>
        </w:rPr>
        <w:t xml:space="preserve"> comments</w:t>
      </w:r>
      <w:r w:rsidRPr="00927795">
        <w:rPr>
          <w:bCs/>
          <w:color w:val="000000" w:themeColor="text1"/>
        </w:rPr>
        <w:t>,</w:t>
      </w:r>
      <w:r w:rsidRPr="00927795">
        <w:rPr>
          <w:bCs/>
          <w:color w:val="000000" w:themeColor="text1"/>
        </w:rPr>
        <w:t xml:space="preserve"> has determined the current</w:t>
      </w:r>
      <w:r w:rsidRPr="00927795" w:rsidR="00655926">
        <w:rPr>
          <w:bCs/>
          <w:color w:val="000000" w:themeColor="text1"/>
        </w:rPr>
        <w:t xml:space="preserve"> information collection continues to function properly</w:t>
      </w:r>
      <w:r w:rsidRPr="00927795">
        <w:rPr>
          <w:bCs/>
          <w:color w:val="000000" w:themeColor="text1"/>
        </w:rPr>
        <w:t xml:space="preserve"> and meet statutory requirements</w:t>
      </w:r>
      <w:r w:rsidRPr="00927795">
        <w:rPr>
          <w:bCs/>
          <w:color w:val="000000" w:themeColor="text1"/>
        </w:rPr>
        <w:t xml:space="preserve">, and continues to </w:t>
      </w:r>
      <w:r w:rsidRPr="00927795" w:rsidR="00F11B0F">
        <w:rPr>
          <w:bCs/>
          <w:color w:val="000000" w:themeColor="text1"/>
        </w:rPr>
        <w:t>enhance the complaint process to mitigate the risk of potential misuse</w:t>
      </w:r>
      <w:r w:rsidRPr="00927795">
        <w:rPr>
          <w:bCs/>
          <w:color w:val="000000" w:themeColor="text1"/>
        </w:rPr>
        <w:t>.</w:t>
      </w:r>
    </w:p>
    <w:p w:rsidR="00226E4A" w:rsidRPr="00BC56A2" w:rsidP="00226E4A" w14:paraId="1D015A32" w14:textId="77777777">
      <w:pPr>
        <w:rPr>
          <w:bCs/>
        </w:rPr>
      </w:pPr>
    </w:p>
    <w:p w:rsidR="00226E4A" w:rsidP="00BD683D" w14:paraId="63191B14" w14:textId="495454E7">
      <w:pPr>
        <w:rPr>
          <w:b/>
          <w:bCs/>
        </w:rPr>
      </w:pPr>
      <w:r w:rsidRPr="00BF6D43">
        <w:rPr>
          <w:b/>
        </w:rPr>
        <w:t xml:space="preserve">9.  </w:t>
      </w:r>
      <w:r w:rsidRPr="00BF6D43">
        <w:rPr>
          <w:b/>
          <w:bCs/>
        </w:rPr>
        <w:t>Explain any decision to provide any payments or gifts to respondents, other than remuneration of contractors or grantees.</w:t>
      </w:r>
    </w:p>
    <w:p w:rsidR="0006556D" w:rsidP="00BD683D" w14:paraId="6A1A7D5F" w14:textId="77777777"/>
    <w:p w:rsidR="0006556D" w:rsidP="00BD683D" w14:paraId="1DC112DF" w14:textId="1B90C55F">
      <w:r w:rsidRPr="0006556D">
        <w:t>The proposed information collections do not provide any payment or gift to respondents.</w:t>
      </w:r>
    </w:p>
    <w:p w:rsidR="0006556D" w:rsidP="00BD683D" w14:paraId="081E0E80" w14:textId="77777777"/>
    <w:p w:rsidR="0006556D" w:rsidRPr="00BF6D43" w:rsidP="0006556D" w14:paraId="5F2525EA" w14:textId="77777777">
      <w:pPr>
        <w:rPr>
          <w:b/>
        </w:rPr>
      </w:pPr>
      <w:r w:rsidRPr="00BF6D43">
        <w:rPr>
          <w:b/>
        </w:rPr>
        <w:t xml:space="preserve">10.  </w:t>
      </w:r>
      <w:r w:rsidRPr="00BF6D43">
        <w:rPr>
          <w:b/>
          <w:bCs/>
        </w:rPr>
        <w:t>Describe any assurance of confidentiality provided to respondents and the basis for the assurance in statute, regulation, or agency policy.</w:t>
      </w:r>
    </w:p>
    <w:p w:rsidR="0006556D" w:rsidRPr="00987C14" w:rsidP="0006556D" w14:paraId="021761D7" w14:textId="53158036">
      <w:pPr>
        <w:keepNext/>
        <w:spacing w:before="240" w:after="60"/>
        <w:outlineLvl w:val="1"/>
        <w:rPr>
          <w:bCs/>
          <w:iCs/>
          <w:color w:val="000000"/>
        </w:rPr>
      </w:pPr>
      <w:r w:rsidRPr="00987C14">
        <w:rPr>
          <w:bCs/>
          <w:iCs/>
          <w:color w:val="000000"/>
        </w:rPr>
        <w:t xml:space="preserve">All information collection activities will be conducted in full compliance with the requirements for the protection of nonpublic information and personally identifiable information and for data security and integrity set forth in the federal privacy laws, including the CFPB’s rules (12 C.F.R. § 1070 et seq.) </w:t>
      </w:r>
      <w:r>
        <w:rPr>
          <w:bCs/>
          <w:iCs/>
          <w:color w:val="000000"/>
        </w:rPr>
        <w:t xml:space="preserve">and </w:t>
      </w:r>
      <w:r w:rsidRPr="00987C14">
        <w:rPr>
          <w:bCs/>
          <w:iCs/>
          <w:color w:val="000000"/>
        </w:rPr>
        <w:t>pursuant to the Privacy Act (5 U.S.C. § 552a).</w:t>
      </w:r>
      <w:r>
        <w:rPr>
          <w:bCs/>
          <w:iCs/>
          <w:color w:val="000000"/>
          <w:vertAlign w:val="superscript"/>
        </w:rPr>
        <w:footnoteReference w:id="20"/>
      </w:r>
      <w:r w:rsidRPr="00987C14">
        <w:rPr>
          <w:bCs/>
          <w:iCs/>
          <w:color w:val="000000"/>
        </w:rPr>
        <w:t xml:space="preserve">  At the point of information collection, the CFPB’s website explains that personally identifiable information will be kept </w:t>
      </w:r>
      <w:r>
        <w:rPr>
          <w:bCs/>
          <w:iCs/>
          <w:color w:val="000000"/>
        </w:rPr>
        <w:t>private</w:t>
      </w:r>
      <w:r w:rsidRPr="00987C14">
        <w:rPr>
          <w:bCs/>
          <w:iCs/>
          <w:color w:val="000000"/>
        </w:rPr>
        <w:t xml:space="preserve"> to the extent permitted by law and CFPB rules.  The CFPB website privacy policy</w:t>
      </w:r>
      <w:r>
        <w:rPr>
          <w:bCs/>
          <w:iCs/>
          <w:color w:val="000000"/>
        </w:rPr>
        <w:t>, available at the bottom of the landing page for submitting complaints,</w:t>
      </w:r>
      <w:r w:rsidRPr="00987C14">
        <w:rPr>
          <w:bCs/>
          <w:iCs/>
          <w:color w:val="000000"/>
        </w:rPr>
        <w:t xml:space="preserve"> further explains the CFPB’s privacy practices.</w:t>
      </w:r>
      <w:r>
        <w:rPr>
          <w:bCs/>
          <w:iCs/>
          <w:color w:val="000000"/>
          <w:vertAlign w:val="superscript"/>
        </w:rPr>
        <w:footnoteReference w:id="21"/>
      </w:r>
      <w:r w:rsidRPr="00987C14">
        <w:rPr>
          <w:bCs/>
          <w:iCs/>
          <w:color w:val="000000"/>
        </w:rPr>
        <w:t xml:space="preserve">  </w:t>
      </w:r>
      <w:r w:rsidRPr="00F34DB7">
        <w:rPr>
          <w:bCs/>
          <w:iCs/>
          <w:color w:val="000000"/>
        </w:rPr>
        <w:t xml:space="preserve">The </w:t>
      </w:r>
      <w:r w:rsidR="00C154F7">
        <w:rPr>
          <w:bCs/>
          <w:iCs/>
          <w:color w:val="000000"/>
        </w:rPr>
        <w:t>online form</w:t>
      </w:r>
      <w:r w:rsidRPr="00F34DB7">
        <w:rPr>
          <w:bCs/>
          <w:iCs/>
          <w:color w:val="000000"/>
        </w:rPr>
        <w:t xml:space="preserve"> has been updated to have the Privacy Act Statement at the point of collection</w:t>
      </w:r>
      <w:r w:rsidR="00C154F7">
        <w:rPr>
          <w:bCs/>
          <w:iCs/>
          <w:color w:val="000000"/>
        </w:rPr>
        <w:t>.</w:t>
      </w:r>
      <w:r>
        <w:rPr>
          <w:rStyle w:val="FootnoteReference"/>
          <w:bCs/>
          <w:iCs/>
          <w:color w:val="000000"/>
        </w:rPr>
        <w:footnoteReference w:id="22"/>
      </w:r>
      <w:r w:rsidRPr="00987C14">
        <w:rPr>
          <w:bCs/>
          <w:iCs/>
          <w:color w:val="000000"/>
        </w:rPr>
        <w:t xml:space="preserve">  Consumers who submit complaints via telephone </w:t>
      </w:r>
      <w:r>
        <w:rPr>
          <w:bCs/>
          <w:iCs/>
          <w:color w:val="000000"/>
        </w:rPr>
        <w:t xml:space="preserve">are </w:t>
      </w:r>
      <w:r w:rsidRPr="00093AA4">
        <w:rPr>
          <w:bCs/>
          <w:iCs/>
          <w:color w:val="000000"/>
        </w:rPr>
        <w:t xml:space="preserve">notified of </w:t>
      </w:r>
      <w:r w:rsidRPr="00987C14">
        <w:rPr>
          <w:bCs/>
          <w:iCs/>
          <w:color w:val="000000"/>
        </w:rPr>
        <w:t>the CFPB’s</w:t>
      </w:r>
      <w:r>
        <w:rPr>
          <w:bCs/>
          <w:iCs/>
          <w:color w:val="000000"/>
        </w:rPr>
        <w:t xml:space="preserve"> </w:t>
      </w:r>
      <w:r w:rsidRPr="00987C14">
        <w:rPr>
          <w:bCs/>
          <w:iCs/>
          <w:color w:val="000000"/>
        </w:rPr>
        <w:t xml:space="preserve">Privacy Act </w:t>
      </w:r>
      <w:r>
        <w:rPr>
          <w:bCs/>
          <w:iCs/>
          <w:color w:val="000000"/>
        </w:rPr>
        <w:t>S</w:t>
      </w:r>
      <w:r w:rsidRPr="00987C14">
        <w:rPr>
          <w:bCs/>
          <w:iCs/>
          <w:color w:val="000000"/>
        </w:rPr>
        <w:t>tatement</w:t>
      </w:r>
      <w:r>
        <w:rPr>
          <w:bCs/>
          <w:iCs/>
          <w:color w:val="000000"/>
        </w:rPr>
        <w:t>.</w:t>
      </w:r>
      <w:r w:rsidRPr="00987C14">
        <w:rPr>
          <w:bCs/>
          <w:iCs/>
          <w:color w:val="000000"/>
        </w:rPr>
        <w:t xml:space="preserve">  </w:t>
      </w:r>
    </w:p>
    <w:p w:rsidR="0006556D" w:rsidRPr="00987C14" w:rsidP="0006556D" w14:paraId="5611194B" w14:textId="2ED212E4">
      <w:pPr>
        <w:keepNext/>
        <w:spacing w:before="240" w:after="60"/>
        <w:outlineLvl w:val="1"/>
        <w:rPr>
          <w:bCs/>
          <w:iCs/>
          <w:color w:val="000000"/>
        </w:rPr>
      </w:pPr>
      <w:r w:rsidRPr="00987C14">
        <w:rPr>
          <w:bCs/>
          <w:iCs/>
          <w:color w:val="000000"/>
        </w:rPr>
        <w:t>The CFPB has in place the appropriate security measures to ensure data is safeguarded, including the use of locked file storage, confidentiality stamping, restricted system access, data encryption, restricted print options, and disposal by cross-cut shredding.  The information system is fully compliant with the Federal Information Security Management Act of 2002</w:t>
      </w:r>
      <w:r w:rsidR="00DF2090">
        <w:rPr>
          <w:bCs/>
          <w:iCs/>
          <w:color w:val="000000"/>
        </w:rPr>
        <w:t>:</w:t>
      </w:r>
      <w:r w:rsidR="00516071">
        <w:rPr>
          <w:bCs/>
          <w:iCs/>
          <w:color w:val="000000"/>
        </w:rPr>
        <w:t xml:space="preserve"> overall</w:t>
      </w:r>
      <w:r w:rsidRPr="00987C14">
        <w:rPr>
          <w:bCs/>
          <w:iCs/>
          <w:color w:val="000000"/>
        </w:rPr>
        <w:t xml:space="preserve"> </w:t>
      </w:r>
      <w:r w:rsidR="00516071">
        <w:rPr>
          <w:bCs/>
          <w:iCs/>
          <w:color w:val="000000"/>
        </w:rPr>
        <w:t xml:space="preserve">system </w:t>
      </w:r>
      <w:r w:rsidRPr="00987C14">
        <w:rPr>
          <w:bCs/>
          <w:iCs/>
          <w:color w:val="000000"/>
        </w:rPr>
        <w:t xml:space="preserve">security category </w:t>
      </w:r>
      <w:r w:rsidR="005E1C5B">
        <w:rPr>
          <w:bCs/>
          <w:iCs/>
          <w:color w:val="000000"/>
        </w:rPr>
        <w:t>“Moderate</w:t>
      </w:r>
      <w:r w:rsidR="00632E50">
        <w:rPr>
          <w:bCs/>
          <w:iCs/>
          <w:color w:val="000000"/>
        </w:rPr>
        <w:t>;</w:t>
      </w:r>
      <w:r w:rsidR="005E1C5B">
        <w:rPr>
          <w:bCs/>
          <w:iCs/>
          <w:color w:val="000000"/>
        </w:rPr>
        <w:t>”</w:t>
      </w:r>
      <w:r w:rsidR="0041191E">
        <w:rPr>
          <w:bCs/>
          <w:iCs/>
          <w:color w:val="000000"/>
        </w:rPr>
        <w:t xml:space="preserve"> impact levels</w:t>
      </w:r>
      <w:r w:rsidR="00462B41">
        <w:rPr>
          <w:bCs/>
          <w:iCs/>
          <w:color w:val="000000"/>
        </w:rPr>
        <w:t xml:space="preserve"> in specific categories being Low (</w:t>
      </w:r>
      <w:r w:rsidR="00632E50">
        <w:rPr>
          <w:bCs/>
          <w:iCs/>
          <w:color w:val="000000"/>
        </w:rPr>
        <w:t>confidentiality</w:t>
      </w:r>
      <w:r w:rsidR="00462B41">
        <w:rPr>
          <w:bCs/>
          <w:iCs/>
          <w:color w:val="000000"/>
        </w:rPr>
        <w:t>), Moderate (integrity), and Moderate (availability).</w:t>
      </w:r>
      <w:r>
        <w:rPr>
          <w:rStyle w:val="FootnoteReference"/>
          <w:bCs/>
          <w:color w:val="000000"/>
        </w:rPr>
        <w:footnoteReference w:id="23"/>
      </w:r>
    </w:p>
    <w:p w:rsidR="0006556D" w:rsidRPr="0027469C" w:rsidP="0006556D" w14:paraId="6904482F" w14:textId="6C3003B8">
      <w:pPr>
        <w:keepNext/>
        <w:spacing w:before="240" w:after="60"/>
        <w:outlineLvl w:val="1"/>
        <w:rPr>
          <w:bCs/>
          <w:iCs/>
          <w:color w:val="000000"/>
        </w:rPr>
      </w:pPr>
      <w:r w:rsidRPr="001727A9">
        <w:rPr>
          <w:color w:val="000000"/>
        </w:rPr>
        <w:t>Pursuant to</w:t>
      </w:r>
      <w:r>
        <w:rPr>
          <w:color w:val="000000"/>
        </w:rPr>
        <w:t xml:space="preserve"> the E-Government Act of 2002</w:t>
      </w:r>
      <w:r w:rsidRPr="0027469C">
        <w:rPr>
          <w:bCs/>
          <w:iCs/>
          <w:color w:val="000000"/>
        </w:rPr>
        <w:t xml:space="preserve">, </w:t>
      </w:r>
      <w:r w:rsidRPr="00093AA4">
        <w:rPr>
          <w:bCs/>
          <w:iCs/>
          <w:color w:val="000000"/>
        </w:rPr>
        <w:t xml:space="preserve">the </w:t>
      </w:r>
      <w:r w:rsidRPr="0027469C">
        <w:rPr>
          <w:bCs/>
          <w:iCs/>
          <w:color w:val="000000"/>
        </w:rPr>
        <w:t xml:space="preserve">CFPB uses PIAs to document how the personally identifiable information (PII) it collects is used, secured, and destroyed in a way that protects </w:t>
      </w:r>
      <w:r w:rsidRPr="0027469C">
        <w:rPr>
          <w:bCs/>
          <w:iCs/>
          <w:color w:val="000000"/>
        </w:rPr>
        <w:t>each individual’s</w:t>
      </w:r>
      <w:r w:rsidRPr="0027469C">
        <w:rPr>
          <w:bCs/>
          <w:iCs/>
          <w:color w:val="000000"/>
        </w:rPr>
        <w:t xml:space="preserve"> privacy. </w:t>
      </w:r>
      <w:r w:rsidRPr="0027469C">
        <w:rPr>
          <w:color w:val="000000"/>
        </w:rPr>
        <w:t xml:space="preserve">Additionally, PIAs identify privacy risks associated with the system and information collection and mitigations CFPB takes to address these risks. </w:t>
      </w:r>
      <w:r w:rsidR="00184472">
        <w:rPr>
          <w:bCs/>
          <w:iCs/>
          <w:color w:val="000000"/>
        </w:rPr>
        <w:t>In August 2024, the CFPB published an updated Privacy Impact Assessment (PIA) for the Consumer Response System.</w:t>
      </w:r>
      <w:r>
        <w:rPr>
          <w:rStyle w:val="FootnoteReference"/>
          <w:bCs/>
          <w:iCs/>
          <w:color w:val="000000"/>
        </w:rPr>
        <w:footnoteReference w:id="24"/>
      </w:r>
      <w:r w:rsidR="00184472">
        <w:rPr>
          <w:bCs/>
          <w:iCs/>
          <w:color w:val="000000"/>
        </w:rPr>
        <w:t xml:space="preserve">  In December 2021, the CFPB published a PIA for the Consumer Resource Center (CRC).</w:t>
      </w:r>
      <w:r>
        <w:rPr>
          <w:rStyle w:val="FootnoteReference"/>
          <w:bCs/>
          <w:iCs/>
          <w:color w:val="000000"/>
        </w:rPr>
        <w:footnoteReference w:id="25"/>
      </w:r>
      <w:r w:rsidR="00184472">
        <w:rPr>
          <w:bCs/>
          <w:iCs/>
          <w:color w:val="000000"/>
        </w:rPr>
        <w:t xml:space="preserve">  </w:t>
      </w:r>
    </w:p>
    <w:p w:rsidR="0006556D" w:rsidRPr="00E25D07" w:rsidP="0006556D" w14:paraId="6452202B" w14:textId="7FDC9321">
      <w:pPr>
        <w:keepNext/>
        <w:spacing w:before="240" w:after="60"/>
        <w:outlineLvl w:val="1"/>
        <w:rPr>
          <w:bCs/>
          <w:iCs/>
          <w:color w:val="000000"/>
        </w:rPr>
      </w:pPr>
      <w:r w:rsidRPr="0027469C">
        <w:rPr>
          <w:bCs/>
          <w:iCs/>
          <w:color w:val="000000"/>
        </w:rPr>
        <w:t xml:space="preserve">Additionally, in accordance with the Privacy Act of 1974, as amended, the CFPB published a Systems of Records Notice (SORN) in the Federal Register (79 FR 21440, April 16, 2014).  The title for the SORN is CFPB.005—Consumer Response System. The SORN is </w:t>
      </w:r>
      <w:r w:rsidR="0093433B">
        <w:rPr>
          <w:bCs/>
          <w:iCs/>
          <w:color w:val="000000"/>
        </w:rPr>
        <w:t>published on the CFPB’</w:t>
      </w:r>
      <w:r w:rsidR="00D275A1">
        <w:rPr>
          <w:bCs/>
          <w:iCs/>
          <w:color w:val="000000"/>
        </w:rPr>
        <w:t>s</w:t>
      </w:r>
      <w:r w:rsidR="0093433B">
        <w:rPr>
          <w:bCs/>
          <w:iCs/>
          <w:color w:val="000000"/>
        </w:rPr>
        <w:t xml:space="preserve"> website</w:t>
      </w:r>
      <w:r w:rsidRPr="0027469C">
        <w:rPr>
          <w:bCs/>
          <w:iCs/>
          <w:color w:val="000000"/>
        </w:rPr>
        <w:t>.</w:t>
      </w:r>
      <w:r>
        <w:rPr>
          <w:rStyle w:val="FootnoteReference"/>
          <w:bCs/>
          <w:color w:val="000000"/>
        </w:rPr>
        <w:footnoteReference w:id="26"/>
      </w:r>
    </w:p>
    <w:p w:rsidR="0006556D" w:rsidRPr="00987C14" w:rsidP="0006556D" w14:paraId="3DA8FD72" w14:textId="4E72640D">
      <w:pPr>
        <w:keepNext/>
        <w:spacing w:before="240" w:after="60"/>
        <w:outlineLvl w:val="1"/>
        <w:rPr>
          <w:bCs/>
          <w:iCs/>
          <w:color w:val="000000"/>
        </w:rPr>
      </w:pPr>
      <w:r>
        <w:rPr>
          <w:bCs/>
          <w:iCs/>
          <w:color w:val="000000"/>
        </w:rPr>
        <w:t>The CFPB t</w:t>
      </w:r>
      <w:r w:rsidRPr="00987C14">
        <w:rPr>
          <w:bCs/>
          <w:iCs/>
          <w:color w:val="000000"/>
        </w:rPr>
        <w:t>ake</w:t>
      </w:r>
      <w:r>
        <w:rPr>
          <w:bCs/>
          <w:iCs/>
          <w:color w:val="000000"/>
        </w:rPr>
        <w:t>s</w:t>
      </w:r>
      <w:r w:rsidRPr="00987C14">
        <w:rPr>
          <w:bCs/>
          <w:iCs/>
          <w:color w:val="000000"/>
        </w:rPr>
        <w:t xml:space="preserve"> all reasonable steps as permitted by law to provide </w:t>
      </w:r>
      <w:r>
        <w:rPr>
          <w:bCs/>
          <w:iCs/>
          <w:color w:val="000000"/>
        </w:rPr>
        <w:t xml:space="preserve">a </w:t>
      </w:r>
      <w:r w:rsidRPr="00987C14">
        <w:rPr>
          <w:bCs/>
          <w:iCs/>
          <w:color w:val="000000"/>
        </w:rPr>
        <w:t xml:space="preserve">distinct, alternative </w:t>
      </w:r>
      <w:r>
        <w:rPr>
          <w:bCs/>
          <w:iCs/>
          <w:color w:val="000000"/>
        </w:rPr>
        <w:t>process</w:t>
      </w:r>
      <w:r w:rsidRPr="00987C14">
        <w:rPr>
          <w:bCs/>
          <w:iCs/>
          <w:color w:val="000000"/>
        </w:rPr>
        <w:t xml:space="preserve"> for “whistleblowers” who work for c</w:t>
      </w:r>
      <w:r>
        <w:rPr>
          <w:bCs/>
          <w:iCs/>
          <w:color w:val="000000"/>
        </w:rPr>
        <w:t xml:space="preserve">ompanies and </w:t>
      </w:r>
      <w:r w:rsidR="00DA2D3F">
        <w:rPr>
          <w:bCs/>
          <w:iCs/>
          <w:color w:val="000000"/>
        </w:rPr>
        <w:t xml:space="preserve">or </w:t>
      </w:r>
      <w:r>
        <w:rPr>
          <w:bCs/>
          <w:iCs/>
          <w:color w:val="000000"/>
        </w:rPr>
        <w:t>their</w:t>
      </w:r>
      <w:r w:rsidRPr="00987C14">
        <w:rPr>
          <w:bCs/>
          <w:iCs/>
          <w:color w:val="000000"/>
        </w:rPr>
        <w:t xml:space="preserve"> service providers </w:t>
      </w:r>
      <w:r w:rsidR="00697251">
        <w:rPr>
          <w:bCs/>
          <w:iCs/>
          <w:color w:val="000000"/>
        </w:rPr>
        <w:t xml:space="preserve">to report tips to the </w:t>
      </w:r>
      <w:r w:rsidRPr="00987C14">
        <w:rPr>
          <w:bCs/>
          <w:iCs/>
          <w:color w:val="000000"/>
        </w:rPr>
        <w:t>CFPB.</w:t>
      </w:r>
      <w:r>
        <w:rPr>
          <w:bCs/>
          <w:iCs/>
          <w:color w:val="000000"/>
        </w:rPr>
        <w:t xml:space="preserve"> </w:t>
      </w:r>
      <w:r w:rsidRPr="00987C14" w:rsidR="0071755E">
        <w:rPr>
          <w:bCs/>
          <w:iCs/>
          <w:color w:val="101820"/>
        </w:rPr>
        <w:t xml:space="preserve">By </w:t>
      </w:r>
      <w:r w:rsidR="0071755E">
        <w:rPr>
          <w:bCs/>
          <w:iCs/>
          <w:color w:val="101820"/>
        </w:rPr>
        <w:t xml:space="preserve">reporting tips through a </w:t>
      </w:r>
      <w:r w:rsidRPr="00987C14" w:rsidR="0071755E">
        <w:rPr>
          <w:bCs/>
          <w:iCs/>
          <w:color w:val="101820"/>
        </w:rPr>
        <w:t>separate process</w:t>
      </w:r>
      <w:r w:rsidR="00697251">
        <w:rPr>
          <w:bCs/>
          <w:iCs/>
          <w:color w:val="101820"/>
        </w:rPr>
        <w:t>,</w:t>
      </w:r>
      <w:r w:rsidR="0071755E">
        <w:rPr>
          <w:bCs/>
          <w:iCs/>
          <w:color w:val="101820"/>
        </w:rPr>
        <w:t xml:space="preserve"> whistleblower ti</w:t>
      </w:r>
      <w:r w:rsidRPr="00987C14" w:rsidR="0071755E">
        <w:rPr>
          <w:bCs/>
          <w:iCs/>
          <w:color w:val="101820"/>
        </w:rPr>
        <w:t xml:space="preserve">ps </w:t>
      </w:r>
      <w:r w:rsidR="00B200D6">
        <w:rPr>
          <w:bCs/>
          <w:iCs/>
          <w:color w:val="101820"/>
        </w:rPr>
        <w:t xml:space="preserve">are not </w:t>
      </w:r>
      <w:r w:rsidRPr="00987C14" w:rsidR="0071755E">
        <w:rPr>
          <w:bCs/>
          <w:iCs/>
          <w:color w:val="101820"/>
        </w:rPr>
        <w:t xml:space="preserve">sent to </w:t>
      </w:r>
      <w:r w:rsidR="00B200D6">
        <w:rPr>
          <w:bCs/>
          <w:iCs/>
          <w:color w:val="101820"/>
        </w:rPr>
        <w:t xml:space="preserve">a </w:t>
      </w:r>
      <w:r w:rsidRPr="00987C14" w:rsidR="0071755E">
        <w:rPr>
          <w:bCs/>
          <w:iCs/>
          <w:color w:val="101820"/>
        </w:rPr>
        <w:t>company</w:t>
      </w:r>
      <w:r w:rsidR="0071755E">
        <w:rPr>
          <w:bCs/>
          <w:iCs/>
          <w:color w:val="101820"/>
        </w:rPr>
        <w:t xml:space="preserve"> or its service provider</w:t>
      </w:r>
      <w:r w:rsidR="00B200D6">
        <w:rPr>
          <w:bCs/>
          <w:iCs/>
          <w:color w:val="101820"/>
        </w:rPr>
        <w:t>s</w:t>
      </w:r>
      <w:r w:rsidRPr="00987C14" w:rsidR="0071755E">
        <w:rPr>
          <w:bCs/>
          <w:iCs/>
          <w:color w:val="000000"/>
        </w:rPr>
        <w:t>.</w:t>
      </w:r>
      <w:r>
        <w:rPr>
          <w:rStyle w:val="FootnoteReference"/>
          <w:bCs/>
          <w:iCs/>
          <w:color w:val="000000"/>
        </w:rPr>
        <w:footnoteReference w:id="27"/>
      </w:r>
      <w:r w:rsidRPr="00987C14">
        <w:rPr>
          <w:bCs/>
          <w:iCs/>
          <w:color w:val="000000"/>
        </w:rPr>
        <w:t xml:space="preserve">  </w:t>
      </w:r>
    </w:p>
    <w:p w:rsidR="0006556D" w:rsidP="00BD683D" w14:paraId="0306E449" w14:textId="77777777"/>
    <w:p w:rsidR="009A726B" w:rsidP="009A726B" w14:paraId="106F42CB" w14:textId="77777777">
      <w:pPr>
        <w:rPr>
          <w:b/>
          <w:bCs/>
        </w:rPr>
      </w:pPr>
      <w:r w:rsidRPr="00BF6D43">
        <w:rPr>
          <w:b/>
        </w:rPr>
        <w:t xml:space="preserve">11.  </w:t>
      </w:r>
      <w:r w:rsidRPr="00BF6D43">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726B" w:rsidP="00BD683D" w14:paraId="35F103D9" w14:textId="77777777"/>
    <w:p w:rsidR="00BB47E7" w:rsidP="009A726B" w14:paraId="487DCB71" w14:textId="72801758">
      <w:r>
        <w:t xml:space="preserve">Questions on the </w:t>
      </w:r>
      <w:r w:rsidR="009A726B">
        <w:t xml:space="preserve">Consumer Response Intake Form </w:t>
      </w:r>
      <w:r>
        <w:t>provide consumers with the option to provide</w:t>
      </w:r>
      <w:r w:rsidR="009A726B">
        <w:t xml:space="preserve"> </w:t>
      </w:r>
      <w:r w:rsidR="00D71E3C">
        <w:t xml:space="preserve">demographic information and </w:t>
      </w:r>
      <w:r w:rsidR="00C5638E">
        <w:t>financial account information and social security numbers</w:t>
      </w:r>
      <w:r w:rsidR="007379A3">
        <w:t xml:space="preserve"> (SSNs)</w:t>
      </w:r>
      <w:r w:rsidR="00C5638E">
        <w:t xml:space="preserve">, where applicable. </w:t>
      </w:r>
    </w:p>
    <w:p w:rsidR="00BB47E7" w:rsidP="009A726B" w14:paraId="1F2329B3" w14:textId="17EFD799"/>
    <w:p w:rsidR="002D04C8" w:rsidP="00C5638E" w14:paraId="5A16BC42" w14:textId="63848204">
      <w:r w:rsidRPr="00C5638E">
        <w:t>Financial account numbers</w:t>
      </w:r>
      <w:r>
        <w:t xml:space="preserve"> and SSNs</w:t>
      </w:r>
      <w:r>
        <w:t xml:space="preserve"> are </w:t>
      </w:r>
      <w:r w:rsidR="00FC3232">
        <w:t xml:space="preserve">generally not </w:t>
      </w:r>
      <w:r>
        <w:t>required</w:t>
      </w:r>
      <w:r w:rsidR="00F016B0">
        <w:t>,</w:t>
      </w:r>
      <w:r>
        <w:t xml:space="preserve"> and</w:t>
      </w:r>
      <w:r>
        <w:t xml:space="preserve"> only used to facilitate complaint routing and response and to minimize the burden of follow-up contact with </w:t>
      </w:r>
      <w:r w:rsidR="00147212">
        <w:t>consumers</w:t>
      </w:r>
      <w:r>
        <w:t xml:space="preserve">. For instance, for credit card inquiries or complaints, certain account information such as a credit card number may be the most effective way to accurately identify the credit card issuer and for that </w:t>
      </w:r>
      <w:r w:rsidR="007762C2">
        <w:t>issuer</w:t>
      </w:r>
      <w:r>
        <w:t xml:space="preserve"> to identify the consumer’s account to support efficient investigation and response</w:t>
      </w:r>
      <w:r>
        <w:t xml:space="preserve"> and for products and services offered </w:t>
      </w:r>
      <w:r w:rsidR="00BE5AAE">
        <w:t xml:space="preserve">or provided </w:t>
      </w:r>
      <w:r>
        <w:t xml:space="preserve">by </w:t>
      </w:r>
      <w:r w:rsidR="007762C2">
        <w:t>companies</w:t>
      </w:r>
      <w:r w:rsidRPr="007379A3">
        <w:t xml:space="preserve"> that use social security </w:t>
      </w:r>
      <w:r w:rsidRPr="007379A3">
        <w:t>numbers (SSNs) as primary identifiers, con</w:t>
      </w:r>
      <w:r>
        <w:t xml:space="preserve">sumers </w:t>
      </w:r>
      <w:r w:rsidR="00E2279E">
        <w:t>are asked</w:t>
      </w:r>
      <w:r>
        <w:t xml:space="preserve"> to provide the last four digits of their SSNs</w:t>
      </w:r>
      <w:r w:rsidRPr="007379A3">
        <w:t xml:space="preserve"> </w:t>
      </w:r>
      <w:r>
        <w:t>or, where necessary for companies to respond, their full SSNs. Oftentimes, the full or partial SSN is the only effective way for certain companies to accurately locate the consumer’s relevant financial information. B</w:t>
      </w:r>
      <w:r w:rsidR="007379A3">
        <w:t xml:space="preserve">efore </w:t>
      </w:r>
      <w:r>
        <w:t xml:space="preserve">being offered the option to provide </w:t>
      </w:r>
      <w:r w:rsidR="007379A3">
        <w:t xml:space="preserve">this information, consumers are informed that this information is needed to help the company find them in its system and respond to their complaint. </w:t>
      </w:r>
      <w:r w:rsidR="00EC5C44">
        <w:t xml:space="preserve">For certain credit reporting </w:t>
      </w:r>
      <w:r w:rsidR="00284547">
        <w:t>complai</w:t>
      </w:r>
      <w:r w:rsidR="00C87C1C">
        <w:t xml:space="preserve">nts </w:t>
      </w:r>
      <w:r w:rsidR="003156D3">
        <w:t>consumer</w:t>
      </w:r>
      <w:r w:rsidR="00EC5C44">
        <w:t>s</w:t>
      </w:r>
      <w:r w:rsidR="003156D3">
        <w:t xml:space="preserve"> may be required to provide </w:t>
      </w:r>
      <w:r w:rsidR="009D5942">
        <w:t xml:space="preserve">confirmation number(s) to </w:t>
      </w:r>
      <w:r w:rsidR="00EC5C44">
        <w:t>support companies in identifying prior dispute(s) to inform their complaint response</w:t>
      </w:r>
      <w:r w:rsidR="00897523">
        <w:t xml:space="preserve">. </w:t>
      </w:r>
      <w:r>
        <w:t>Consumers’ SSNs, along with other sensitive financial account identifiers, are held in an encrypted system for their protection</w:t>
      </w:r>
      <w:r w:rsidR="00B916B1">
        <w:t xml:space="preserve"> until </w:t>
      </w:r>
      <w:r w:rsidR="0096005E">
        <w:t xml:space="preserve">they can </w:t>
      </w:r>
      <w:r w:rsidR="002C1792">
        <w:t xml:space="preserve">be </w:t>
      </w:r>
      <w:r w:rsidR="0096005E">
        <w:t>permanently deleted per the relevant records schedule</w:t>
      </w:r>
      <w:r>
        <w:t>.</w:t>
      </w:r>
    </w:p>
    <w:p w:rsidR="005103C2" w:rsidP="00BB47E7" w14:paraId="2F9EC1F8" w14:textId="57167EC8">
      <w:pPr>
        <w:keepNext/>
        <w:spacing w:before="240" w:after="60"/>
        <w:outlineLvl w:val="1"/>
        <w:rPr>
          <w:color w:val="000000"/>
          <w:lang w:val="x-none" w:eastAsia="x-none"/>
        </w:rPr>
      </w:pPr>
      <w:r>
        <w:rPr>
          <w:color w:val="000000"/>
          <w:lang w:val="x-none" w:eastAsia="x-none"/>
        </w:rPr>
        <w:t xml:space="preserve">Consumers are given the option to </w:t>
      </w:r>
      <w:r w:rsidR="00BA4430">
        <w:rPr>
          <w:color w:val="000000"/>
          <w:lang w:val="x-none" w:eastAsia="x-none"/>
        </w:rPr>
        <w:t xml:space="preserve">answer </w:t>
      </w:r>
      <w:r>
        <w:rPr>
          <w:color w:val="000000"/>
          <w:lang w:val="x-none" w:eastAsia="x-none"/>
        </w:rPr>
        <w:t>d</w:t>
      </w:r>
      <w:r w:rsidR="001C2882">
        <w:rPr>
          <w:color w:val="000000"/>
          <w:lang w:val="x-none" w:eastAsia="x-none"/>
        </w:rPr>
        <w:t xml:space="preserve">emographic </w:t>
      </w:r>
      <w:r w:rsidR="00BA4430">
        <w:rPr>
          <w:color w:val="000000"/>
          <w:lang w:val="x-none" w:eastAsia="x-none"/>
        </w:rPr>
        <w:t>questions via</w:t>
      </w:r>
      <w:r>
        <w:rPr>
          <w:color w:val="000000"/>
          <w:lang w:val="x-none" w:eastAsia="x-none"/>
        </w:rPr>
        <w:t xml:space="preserve"> the Consumer Response Intake Form. </w:t>
      </w:r>
      <w:r w:rsidR="00BD3C38">
        <w:rPr>
          <w:color w:val="000000"/>
          <w:lang w:val="x-none" w:eastAsia="x-none"/>
        </w:rPr>
        <w:t xml:space="preserve">For example, consumers have the option to provide information about </w:t>
      </w:r>
      <w:r w:rsidR="000522D1">
        <w:rPr>
          <w:color w:val="000000"/>
          <w:lang w:val="x-none" w:eastAsia="x-none"/>
        </w:rPr>
        <w:t>whether the consumer is a service</w:t>
      </w:r>
      <w:r w:rsidR="002F5430">
        <w:rPr>
          <w:color w:val="000000"/>
          <w:lang w:val="x-none" w:eastAsia="x-none"/>
        </w:rPr>
        <w:t xml:space="preserve"> </w:t>
      </w:r>
      <w:r w:rsidR="000522D1">
        <w:rPr>
          <w:color w:val="000000"/>
          <w:lang w:val="x-none" w:eastAsia="x-none"/>
        </w:rPr>
        <w:t>member, veteran, or spouse or dependent of a service</w:t>
      </w:r>
      <w:r w:rsidR="002F5430">
        <w:rPr>
          <w:color w:val="000000"/>
          <w:lang w:val="x-none" w:eastAsia="x-none"/>
        </w:rPr>
        <w:t xml:space="preserve"> </w:t>
      </w:r>
      <w:r w:rsidR="000522D1">
        <w:rPr>
          <w:color w:val="000000"/>
          <w:lang w:val="x-none" w:eastAsia="x-none"/>
        </w:rPr>
        <w:t xml:space="preserve">member of veteran, which the </w:t>
      </w:r>
      <w:r w:rsidR="00BD3C38">
        <w:t xml:space="preserve">CFPB </w:t>
      </w:r>
      <w:r w:rsidR="000522D1">
        <w:t xml:space="preserve">uses to meet its </w:t>
      </w:r>
      <w:r w:rsidR="00BD3C38">
        <w:t>obligations to mo</w:t>
      </w:r>
      <w:r w:rsidRPr="00BA4430" w:rsidR="00BD3C38">
        <w:t>nitor complaints and responses to complaints submitted by service</w:t>
      </w:r>
      <w:r w:rsidR="002F5430">
        <w:t xml:space="preserve"> </w:t>
      </w:r>
      <w:r w:rsidRPr="00BA4430" w:rsidR="00BD3C38">
        <w:t>members and their families</w:t>
      </w:r>
      <w:r w:rsidRPr="00BA4430" w:rsidR="000522D1">
        <w:t>.</w:t>
      </w:r>
      <w:r>
        <w:rPr>
          <w:rStyle w:val="FootnoteReference"/>
        </w:rPr>
        <w:footnoteReference w:id="28"/>
      </w:r>
      <w:r w:rsidRPr="00BA4430" w:rsidR="000522D1">
        <w:rPr>
          <w:color w:val="000000"/>
          <w:lang w:val="x-none" w:eastAsia="x-none"/>
        </w:rPr>
        <w:t xml:space="preserve">  </w:t>
      </w:r>
      <w:r w:rsidR="00BA4430">
        <w:rPr>
          <w:color w:val="000000"/>
          <w:lang w:val="x-none" w:eastAsia="x-none"/>
        </w:rPr>
        <w:t>T</w:t>
      </w:r>
      <w:r w:rsidRPr="00BA4430" w:rsidR="00BA4430">
        <w:rPr>
          <w:color w:val="000000"/>
          <w:lang w:val="x-none" w:eastAsia="x-none"/>
        </w:rPr>
        <w:t xml:space="preserve">he </w:t>
      </w:r>
      <w:r w:rsidR="002F5430">
        <w:rPr>
          <w:color w:val="000000"/>
          <w:lang w:val="x-none" w:eastAsia="x-none"/>
        </w:rPr>
        <w:t xml:space="preserve">remaining </w:t>
      </w:r>
      <w:r w:rsidRPr="00BA4430" w:rsidR="00BA4430">
        <w:rPr>
          <w:color w:val="000000"/>
          <w:lang w:val="x-none" w:eastAsia="x-none"/>
        </w:rPr>
        <w:t xml:space="preserve">optional demographic questions are related to the consumer’s age, </w:t>
      </w:r>
      <w:r w:rsidRPr="00BA4430" w:rsidR="00BA4430">
        <w:rPr>
          <w:color w:val="000000"/>
          <w:lang w:eastAsia="x-none"/>
        </w:rPr>
        <w:t>sex</w:t>
      </w:r>
      <w:r w:rsidRPr="00BA4430" w:rsidR="00BA4430">
        <w:rPr>
          <w:color w:val="000000"/>
          <w:lang w:val="x-none" w:eastAsia="x-none"/>
        </w:rPr>
        <w:t>,</w:t>
      </w:r>
      <w:r w:rsidRPr="00BA4430" w:rsidR="00BA4430">
        <w:rPr>
          <w:color w:val="000000"/>
          <w:lang w:eastAsia="x-none"/>
        </w:rPr>
        <w:t xml:space="preserve"> race; Hispanic, Latino, or Spanish origin; household size and income</w:t>
      </w:r>
      <w:r w:rsidRPr="00BA4430" w:rsidR="00BA4430">
        <w:rPr>
          <w:color w:val="000000"/>
          <w:lang w:val="x-none" w:eastAsia="x-none"/>
        </w:rPr>
        <w:t>.</w:t>
      </w:r>
      <w:r w:rsidRPr="00987C14" w:rsidR="00BA4430">
        <w:rPr>
          <w:b/>
          <w:color w:val="000000"/>
          <w:lang w:val="x-none" w:eastAsia="x-none"/>
        </w:rPr>
        <w:t xml:space="preserve"> </w:t>
      </w:r>
      <w:r w:rsidRPr="00D71E3C" w:rsidR="00FF5D2C">
        <w:rPr>
          <w:color w:val="000000"/>
          <w:lang w:val="x-none" w:eastAsia="x-none"/>
        </w:rPr>
        <w:t>Before being offered the option to provide this information</w:t>
      </w:r>
      <w:r w:rsidR="00FF5D2C">
        <w:rPr>
          <w:color w:val="000000"/>
          <w:lang w:val="x-none" w:eastAsia="x-none"/>
        </w:rPr>
        <w:t xml:space="preserve">, </w:t>
      </w:r>
      <w:r w:rsidRPr="00D71E3C" w:rsidR="00FF5D2C">
        <w:rPr>
          <w:color w:val="000000"/>
          <w:lang w:val="x-none" w:eastAsia="x-none"/>
        </w:rPr>
        <w:t xml:space="preserve">consumers are informed that </w:t>
      </w:r>
      <w:r w:rsidR="00FF5D2C">
        <w:rPr>
          <w:color w:val="000000"/>
          <w:lang w:val="x-none" w:eastAsia="x-none"/>
        </w:rPr>
        <w:t xml:space="preserve">the CFPB uses demographic information to compare complaint patterns with the U.S. population, to understand the problems different consumers have with financial products and services, and to monitor compliance with federal law. </w:t>
      </w:r>
      <w:r w:rsidR="00273AF6">
        <w:rPr>
          <w:bCs/>
          <w:color w:val="000000"/>
          <w:lang w:val="x-none" w:eastAsia="x-none"/>
        </w:rPr>
        <w:t>Indeed, t</w:t>
      </w:r>
      <w:r w:rsidR="00BA4430">
        <w:rPr>
          <w:color w:val="000000"/>
          <w:lang w:val="x-none" w:eastAsia="x-none"/>
        </w:rPr>
        <w:t>hese</w:t>
      </w:r>
      <w:r w:rsidRPr="00987C14" w:rsidR="00BA4430">
        <w:rPr>
          <w:color w:val="000000"/>
          <w:lang w:val="x-none" w:eastAsia="x-none"/>
        </w:rPr>
        <w:t xml:space="preserve"> data help the Bureau gain insights about the populations they serve, identify emerging issues, and pinpoint what areas may benefit from new or revised educational tools. These questions are based on best practices in the field and similar in content and structure to those widely used in nationally representative surveys in many other government information collections</w:t>
      </w:r>
      <w:r w:rsidR="00BA4430">
        <w:rPr>
          <w:color w:val="000000"/>
          <w:lang w:eastAsia="x-none"/>
        </w:rPr>
        <w:t>, including the most recent U.S. Census</w:t>
      </w:r>
      <w:r w:rsidRPr="00987C14" w:rsidR="00BA4430">
        <w:rPr>
          <w:color w:val="000000"/>
          <w:lang w:val="x-none" w:eastAsia="x-none"/>
        </w:rPr>
        <w:t xml:space="preserve">. </w:t>
      </w:r>
      <w:r w:rsidR="00BA5009">
        <w:rPr>
          <w:color w:val="000000"/>
          <w:lang w:val="x-none" w:eastAsia="x-none"/>
        </w:rPr>
        <w:t xml:space="preserve">This information supports the CFPB in executing </w:t>
      </w:r>
      <w:r w:rsidRPr="00987C14" w:rsidR="00BB47E7">
        <w:rPr>
          <w:color w:val="000000"/>
          <w:lang w:val="x-none" w:eastAsia="x-none"/>
        </w:rPr>
        <w:t>its statutory mandates</w:t>
      </w:r>
      <w:r w:rsidRPr="00A002B3" w:rsidR="00A002B3">
        <w:t xml:space="preserve"> </w:t>
      </w:r>
      <w:r w:rsidRPr="00A002B3" w:rsidR="00A002B3">
        <w:rPr>
          <w:color w:val="000000"/>
          <w:lang w:val="x-none" w:eastAsia="x-none"/>
        </w:rPr>
        <w:t>set forth in Item A1 above</w:t>
      </w:r>
      <w:r w:rsidR="00402710">
        <w:rPr>
          <w:color w:val="000000"/>
          <w:lang w:val="x-none" w:eastAsia="x-none"/>
        </w:rPr>
        <w:t xml:space="preserve">, which includes, for example, work </w:t>
      </w:r>
      <w:r w:rsidRPr="00987C14" w:rsidR="00BB47E7">
        <w:rPr>
          <w:color w:val="000000"/>
          <w:lang w:val="x-none" w:eastAsia="x-none"/>
        </w:rPr>
        <w:t xml:space="preserve"> </w:t>
      </w:r>
      <w:r w:rsidRPr="00987C14" w:rsidR="00BB47E7">
        <w:rPr>
          <w:color w:val="000000"/>
          <w:lang w:eastAsia="x-none"/>
        </w:rPr>
        <w:t>researching</w:t>
      </w:r>
      <w:r w:rsidRPr="00987C14" w:rsidR="00BB47E7">
        <w:rPr>
          <w:color w:val="000000"/>
          <w:lang w:val="x-none" w:eastAsia="x-none"/>
        </w:rPr>
        <w:t xml:space="preserve">, analyzing and reporting on access to credit; providing information, guidance, and technical assistance regarding the offering and provision of consumer financial products or services; </w:t>
      </w:r>
      <w:r w:rsidRPr="00987C14" w:rsidR="00BB47E7">
        <w:rPr>
          <w:color w:val="000000"/>
          <w:lang w:val="en" w:eastAsia="x-none"/>
        </w:rPr>
        <w:t xml:space="preserve">collecting, researching, monitoring, and publishing information relevant to the functioning of markets for consumer financial products and services to identify risks to consumers and the proper functioning of such markets; </w:t>
      </w:r>
      <w:r w:rsidRPr="00987C14" w:rsidR="00BB47E7">
        <w:rPr>
          <w:color w:val="000000"/>
          <w:lang w:val="x-none" w:eastAsia="x-none"/>
        </w:rPr>
        <w:t xml:space="preserve">and educating and empowering consumers to make </w:t>
      </w:r>
      <w:r w:rsidRPr="00987C14" w:rsidR="00BB47E7">
        <w:rPr>
          <w:color w:val="000000"/>
          <w:lang w:eastAsia="x-none"/>
        </w:rPr>
        <w:t>better</w:t>
      </w:r>
      <w:r w:rsidRPr="00987C14" w:rsidR="00BB47E7">
        <w:rPr>
          <w:color w:val="000000"/>
          <w:lang w:val="x-none" w:eastAsia="x-none"/>
        </w:rPr>
        <w:t xml:space="preserve"> informed financial decisions. </w:t>
      </w:r>
    </w:p>
    <w:p w:rsidR="00763543" w:rsidP="00763543" w14:paraId="05E30958" w14:textId="77777777">
      <w:pPr>
        <w:rPr>
          <w:bCs/>
        </w:rPr>
      </w:pPr>
    </w:p>
    <w:p w:rsidR="00162509" w:rsidRPr="00BF6D43" w:rsidP="00162509" w14:paraId="7B150B30" w14:textId="77777777">
      <w:pPr>
        <w:contextualSpacing/>
        <w:rPr>
          <w:b/>
        </w:rPr>
      </w:pPr>
      <w:r w:rsidRPr="00BF6D43">
        <w:rPr>
          <w:b/>
        </w:rPr>
        <w:t>12.  Provide estimates of the hour burden of the collection of information.  The statement should:</w:t>
      </w:r>
    </w:p>
    <w:p w:rsidR="00162509" w:rsidRPr="00BF6D43" w:rsidP="00162509" w14:paraId="715B3B5A"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BF6D43">
        <w:rPr>
          <w:b/>
          <w:bCs/>
        </w:rPr>
        <w:t>estimated hour burden, and explain the reasons for the variance.  General, estimates should not include burden hours for customary and usual business practices.</w:t>
      </w:r>
    </w:p>
    <w:p w:rsidR="00162509" w:rsidRPr="00BF6D43" w:rsidP="00162509" w14:paraId="5400E2E8"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If this request for approval covers more than one form, provide separate hour burden estimates for each form.</w:t>
      </w:r>
    </w:p>
    <w:p w:rsidR="00162509" w:rsidRPr="00BF6D43" w:rsidP="00162509" w14:paraId="410DB7D2" w14:textId="77777777">
      <w:pPr>
        <w:numPr>
          <w:ilvl w:val="0"/>
          <w:numId w:val="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BF6D43">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62509" w:rsidP="00763543" w14:paraId="25D51861" w14:textId="77777777">
      <w:pPr>
        <w:rPr>
          <w:bCs/>
        </w:rPr>
      </w:pPr>
    </w:p>
    <w:p w:rsidR="00763543" w:rsidP="00763543" w14:paraId="62DC639D" w14:textId="2ED744F1">
      <w:pPr>
        <w:rPr>
          <w:bCs/>
        </w:rPr>
      </w:pPr>
      <w:r w:rsidRPr="00B53080">
        <w:rPr>
          <w:bCs/>
        </w:rPr>
        <w:t xml:space="preserve">The </w:t>
      </w:r>
      <w:r w:rsidR="00191BE3">
        <w:rPr>
          <w:bCs/>
        </w:rPr>
        <w:t xml:space="preserve">following </w:t>
      </w:r>
      <w:r w:rsidRPr="00B53080">
        <w:rPr>
          <w:bCs/>
        </w:rPr>
        <w:t xml:space="preserve">estimates </w:t>
      </w:r>
      <w:r w:rsidR="00191BE3">
        <w:rPr>
          <w:bCs/>
        </w:rPr>
        <w:t xml:space="preserve">of </w:t>
      </w:r>
      <w:r w:rsidRPr="00B53080">
        <w:rPr>
          <w:bCs/>
        </w:rPr>
        <w:t xml:space="preserve">the burden of this information collection </w:t>
      </w:r>
      <w:r w:rsidR="00191BE3">
        <w:rPr>
          <w:bCs/>
        </w:rPr>
        <w:t xml:space="preserve">are based on </w:t>
      </w:r>
      <w:r w:rsidR="00471D5E">
        <w:rPr>
          <w:bCs/>
        </w:rPr>
        <w:t xml:space="preserve">volume and distribution of </w:t>
      </w:r>
      <w:r w:rsidR="00191BE3">
        <w:rPr>
          <w:bCs/>
        </w:rPr>
        <w:t xml:space="preserve">complaints received in </w:t>
      </w:r>
      <w:r w:rsidR="00D003AB">
        <w:rPr>
          <w:bCs/>
        </w:rPr>
        <w:t>2024</w:t>
      </w:r>
      <w:r w:rsidR="00471D5E">
        <w:rPr>
          <w:bCs/>
        </w:rPr>
        <w:t xml:space="preserve"> and </w:t>
      </w:r>
      <w:r w:rsidR="00317E92">
        <w:rPr>
          <w:bCs/>
        </w:rPr>
        <w:t xml:space="preserve">volume </w:t>
      </w:r>
      <w:r w:rsidR="00471D5E">
        <w:rPr>
          <w:bCs/>
        </w:rPr>
        <w:t>increases</w:t>
      </w:r>
      <w:r w:rsidR="00244006">
        <w:rPr>
          <w:bCs/>
        </w:rPr>
        <w:t xml:space="preserve"> experienc</w:t>
      </w:r>
      <w:r w:rsidR="00317E92">
        <w:rPr>
          <w:bCs/>
        </w:rPr>
        <w:t>e</w:t>
      </w:r>
      <w:r w:rsidR="00244006">
        <w:rPr>
          <w:bCs/>
        </w:rPr>
        <w:t>d</w:t>
      </w:r>
      <w:r w:rsidR="00471D5E">
        <w:rPr>
          <w:bCs/>
        </w:rPr>
        <w:t xml:space="preserve"> to date in 2025</w:t>
      </w:r>
      <w:r w:rsidR="00191BE3">
        <w:rPr>
          <w:bCs/>
        </w:rPr>
        <w:t>:</w:t>
      </w:r>
    </w:p>
    <w:tbl>
      <w:tblPr>
        <w:tblStyle w:val="TableGrid"/>
        <w:tblpPr w:leftFromText="180" w:rightFromText="180" w:vertAnchor="text" w:tblpY="190"/>
        <w:tblW w:w="8885" w:type="dxa"/>
        <w:tblLook w:val="04A0"/>
      </w:tblPr>
      <w:tblGrid>
        <w:gridCol w:w="1494"/>
        <w:gridCol w:w="1306"/>
        <w:gridCol w:w="1228"/>
        <w:gridCol w:w="1094"/>
        <w:gridCol w:w="927"/>
        <w:gridCol w:w="1016"/>
        <w:gridCol w:w="766"/>
        <w:gridCol w:w="1216"/>
      </w:tblGrid>
      <w:tr w14:paraId="16564E7D" w14:textId="72F54EE3" w:rsidTr="00CD20C4">
        <w:tblPrEx>
          <w:tblW w:w="8885" w:type="dxa"/>
          <w:tblLook w:val="04A0"/>
        </w:tblPrEx>
        <w:tc>
          <w:tcPr>
            <w:tcW w:w="1495" w:type="dxa"/>
            <w:shd w:val="clear" w:color="auto" w:fill="D9D9D9" w:themeFill="background1" w:themeFillShade="D9"/>
          </w:tcPr>
          <w:p w:rsidR="00CD20C4" w:rsidRPr="00B53080" w:rsidP="00970FF0" w14:paraId="4450C8BE" w14:textId="77777777">
            <w:pPr>
              <w:rPr>
                <w:b/>
                <w:bCs/>
              </w:rPr>
            </w:pPr>
            <w:r w:rsidRPr="00B53080">
              <w:rPr>
                <w:b/>
                <w:bCs/>
              </w:rPr>
              <w:t>Information Collection Requirement</w:t>
            </w:r>
          </w:p>
        </w:tc>
        <w:tc>
          <w:tcPr>
            <w:tcW w:w="1306" w:type="dxa"/>
            <w:shd w:val="clear" w:color="auto" w:fill="D9D9D9" w:themeFill="background1" w:themeFillShade="D9"/>
          </w:tcPr>
          <w:p w:rsidR="00CD20C4" w:rsidRPr="00B53080" w:rsidP="00970FF0" w14:paraId="6A31F158" w14:textId="77777777">
            <w:pPr>
              <w:rPr>
                <w:b/>
                <w:bCs/>
              </w:rPr>
            </w:pPr>
            <w:r>
              <w:rPr>
                <w:b/>
                <w:bCs/>
              </w:rPr>
              <w:t xml:space="preserve">Annual </w:t>
            </w:r>
            <w:r w:rsidRPr="00B53080">
              <w:rPr>
                <w:b/>
                <w:bCs/>
              </w:rPr>
              <w:t>Number of Respondent</w:t>
            </w:r>
            <w:r>
              <w:rPr>
                <w:b/>
                <w:bCs/>
              </w:rPr>
              <w:t>s</w:t>
            </w:r>
          </w:p>
        </w:tc>
        <w:tc>
          <w:tcPr>
            <w:tcW w:w="1333" w:type="dxa"/>
            <w:shd w:val="clear" w:color="auto" w:fill="D9D9D9" w:themeFill="background1" w:themeFillShade="D9"/>
          </w:tcPr>
          <w:p w:rsidR="00CD20C4" w:rsidRPr="00B53080" w:rsidP="00970FF0" w14:paraId="1904B262" w14:textId="77777777">
            <w:pPr>
              <w:rPr>
                <w:b/>
                <w:bCs/>
              </w:rPr>
            </w:pPr>
            <w:r w:rsidRPr="00B53080">
              <w:rPr>
                <w:b/>
                <w:bCs/>
              </w:rPr>
              <w:t>Number of Responses per Respondent</w:t>
            </w:r>
          </w:p>
        </w:tc>
        <w:tc>
          <w:tcPr>
            <w:tcW w:w="1169" w:type="dxa"/>
            <w:shd w:val="clear" w:color="auto" w:fill="D9D9D9" w:themeFill="background1" w:themeFillShade="D9"/>
          </w:tcPr>
          <w:p w:rsidR="00CD20C4" w:rsidRPr="00B53080" w:rsidP="00970FF0" w14:paraId="643C2547" w14:textId="77777777">
            <w:pPr>
              <w:rPr>
                <w:b/>
                <w:bCs/>
              </w:rPr>
            </w:pPr>
            <w:r>
              <w:rPr>
                <w:b/>
                <w:bCs/>
              </w:rPr>
              <w:t xml:space="preserve">Annual </w:t>
            </w:r>
            <w:r w:rsidRPr="00B53080">
              <w:rPr>
                <w:b/>
                <w:bCs/>
              </w:rPr>
              <w:t>Total Responses</w:t>
            </w:r>
          </w:p>
        </w:tc>
        <w:tc>
          <w:tcPr>
            <w:tcW w:w="1166" w:type="dxa"/>
            <w:shd w:val="clear" w:color="auto" w:fill="D9D9D9" w:themeFill="background1" w:themeFillShade="D9"/>
          </w:tcPr>
          <w:p w:rsidR="00CD20C4" w:rsidRPr="00B53080" w:rsidP="00970FF0" w14:paraId="726F002A" w14:textId="77777777">
            <w:pPr>
              <w:rPr>
                <w:b/>
                <w:bCs/>
              </w:rPr>
            </w:pPr>
            <w:r w:rsidRPr="00B53080">
              <w:rPr>
                <w:b/>
                <w:bCs/>
              </w:rPr>
              <w:t>Average Burden Hours</w:t>
            </w:r>
          </w:p>
        </w:tc>
        <w:tc>
          <w:tcPr>
            <w:tcW w:w="1016" w:type="dxa"/>
            <w:shd w:val="clear" w:color="auto" w:fill="D9D9D9" w:themeFill="background1" w:themeFillShade="D9"/>
          </w:tcPr>
          <w:p w:rsidR="00CD20C4" w:rsidRPr="00B53080" w:rsidP="00970FF0" w14:paraId="27663043" w14:textId="77777777">
            <w:pPr>
              <w:rPr>
                <w:b/>
                <w:bCs/>
              </w:rPr>
            </w:pPr>
            <w:r w:rsidRPr="00B53080">
              <w:rPr>
                <w:b/>
                <w:bCs/>
              </w:rPr>
              <w:t>Annual Burden Hours</w:t>
            </w:r>
          </w:p>
        </w:tc>
        <w:tc>
          <w:tcPr>
            <w:tcW w:w="700" w:type="dxa"/>
            <w:shd w:val="clear" w:color="auto" w:fill="D9D9D9" w:themeFill="background1" w:themeFillShade="D9"/>
          </w:tcPr>
          <w:p w:rsidR="00CD20C4" w:rsidRPr="00B53080" w:rsidP="00970FF0" w14:paraId="6F9722D4" w14:textId="14DE66B5">
            <w:pPr>
              <w:rPr>
                <w:b/>
                <w:bCs/>
              </w:rPr>
            </w:pPr>
            <w:r>
              <w:rPr>
                <w:b/>
                <w:bCs/>
              </w:rPr>
              <w:t>Wage Rate</w:t>
            </w:r>
            <w:r>
              <w:rPr>
                <w:rStyle w:val="FootnoteReference"/>
                <w:b/>
                <w:bCs/>
              </w:rPr>
              <w:footnoteReference w:id="29"/>
            </w:r>
          </w:p>
        </w:tc>
        <w:tc>
          <w:tcPr>
            <w:tcW w:w="700" w:type="dxa"/>
            <w:shd w:val="clear" w:color="auto" w:fill="D9D9D9" w:themeFill="background1" w:themeFillShade="D9"/>
          </w:tcPr>
          <w:p w:rsidR="00CD20C4" w:rsidRPr="00B53080" w:rsidP="00970FF0" w14:paraId="47E04DB4" w14:textId="0BE01447">
            <w:pPr>
              <w:rPr>
                <w:b/>
                <w:bCs/>
              </w:rPr>
            </w:pPr>
            <w:r>
              <w:rPr>
                <w:b/>
                <w:bCs/>
              </w:rPr>
              <w:t>Total Cost Burden</w:t>
            </w:r>
          </w:p>
        </w:tc>
      </w:tr>
      <w:tr w14:paraId="7F57F105" w14:textId="655039A5" w:rsidTr="00CD20C4">
        <w:tblPrEx>
          <w:tblW w:w="8885" w:type="dxa"/>
          <w:tblLook w:val="04A0"/>
        </w:tblPrEx>
        <w:tc>
          <w:tcPr>
            <w:tcW w:w="1495" w:type="dxa"/>
          </w:tcPr>
          <w:p w:rsidR="00CD20C4" w:rsidRPr="00B53080" w:rsidP="00970FF0" w14:paraId="080DC437" w14:textId="2771633D">
            <w:r>
              <w:t>Web/Referral</w:t>
            </w:r>
          </w:p>
        </w:tc>
        <w:tc>
          <w:tcPr>
            <w:tcW w:w="1306" w:type="dxa"/>
          </w:tcPr>
          <w:p w:rsidR="00CD20C4" w:rsidRPr="00B53080" w:rsidP="00970FF0" w14:paraId="132D2B4E" w14:textId="77777777">
            <w:pPr>
              <w:jc w:val="right"/>
            </w:pPr>
            <w:r>
              <w:t>5,900,000</w:t>
            </w:r>
          </w:p>
        </w:tc>
        <w:tc>
          <w:tcPr>
            <w:tcW w:w="1333" w:type="dxa"/>
          </w:tcPr>
          <w:p w:rsidR="00CD20C4" w:rsidRPr="00B53080" w:rsidP="00970FF0" w14:paraId="46E30117" w14:textId="77777777">
            <w:pPr>
              <w:jc w:val="right"/>
            </w:pPr>
            <w:r>
              <w:t>1</w:t>
            </w:r>
          </w:p>
        </w:tc>
        <w:tc>
          <w:tcPr>
            <w:tcW w:w="1169" w:type="dxa"/>
          </w:tcPr>
          <w:p w:rsidR="00CD20C4" w:rsidRPr="00B53080" w:rsidP="00970FF0" w14:paraId="0DAD9A36" w14:textId="24E3492C">
            <w:pPr>
              <w:jc w:val="right"/>
            </w:pPr>
            <w:r>
              <w:t>5,900,000</w:t>
            </w:r>
          </w:p>
        </w:tc>
        <w:tc>
          <w:tcPr>
            <w:tcW w:w="1166" w:type="dxa"/>
          </w:tcPr>
          <w:p w:rsidR="00CD20C4" w:rsidRPr="00B53080" w:rsidP="00970FF0" w14:paraId="5801CEB3" w14:textId="7FC19DC8">
            <w:pPr>
              <w:jc w:val="right"/>
            </w:pPr>
            <w:r>
              <w:t>11</w:t>
            </w:r>
            <w:r w:rsidRPr="00B53080">
              <w:t xml:space="preserve"> minutes</w:t>
            </w:r>
          </w:p>
        </w:tc>
        <w:tc>
          <w:tcPr>
            <w:tcW w:w="1016" w:type="dxa"/>
          </w:tcPr>
          <w:p w:rsidR="00CD20C4" w:rsidRPr="00B53080" w:rsidP="00970FF0" w14:paraId="586394FF" w14:textId="4713855B">
            <w:pPr>
              <w:jc w:val="right"/>
            </w:pPr>
            <w:r>
              <w:t>1,081,667</w:t>
            </w:r>
          </w:p>
        </w:tc>
        <w:tc>
          <w:tcPr>
            <w:tcW w:w="700" w:type="dxa"/>
          </w:tcPr>
          <w:p w:rsidR="00CD20C4" w:rsidP="00970FF0" w14:paraId="564EEEF9" w14:textId="112DD84C">
            <w:pPr>
              <w:jc w:val="right"/>
            </w:pPr>
            <w:r>
              <w:t>$31.48</w:t>
            </w:r>
          </w:p>
        </w:tc>
        <w:tc>
          <w:tcPr>
            <w:tcW w:w="700" w:type="dxa"/>
          </w:tcPr>
          <w:p w:rsidR="00CD20C4" w:rsidP="00970FF0" w14:paraId="51C04DE0" w14:textId="0F21ACA5">
            <w:pPr>
              <w:jc w:val="right"/>
            </w:pPr>
            <w:r>
              <w:t>$34,050,877</w:t>
            </w:r>
          </w:p>
        </w:tc>
      </w:tr>
      <w:tr w14:paraId="33149743" w14:textId="64E8354B" w:rsidTr="00CD20C4">
        <w:tblPrEx>
          <w:tblW w:w="8885" w:type="dxa"/>
          <w:tblLook w:val="04A0"/>
        </w:tblPrEx>
        <w:tc>
          <w:tcPr>
            <w:tcW w:w="1495" w:type="dxa"/>
          </w:tcPr>
          <w:p w:rsidR="00CD20C4" w:rsidRPr="00B53080" w:rsidP="00970FF0" w14:paraId="6BC64CB7" w14:textId="77777777">
            <w:r w:rsidRPr="00B53080">
              <w:t>Telephone</w:t>
            </w:r>
            <w:r>
              <w:t>/Mail</w:t>
            </w:r>
          </w:p>
        </w:tc>
        <w:tc>
          <w:tcPr>
            <w:tcW w:w="1306" w:type="dxa"/>
          </w:tcPr>
          <w:p w:rsidR="00CD20C4" w:rsidRPr="00B53080" w:rsidP="00970FF0" w14:paraId="317A0B15" w14:textId="77777777">
            <w:pPr>
              <w:jc w:val="right"/>
            </w:pPr>
            <w:r>
              <w:t>100,000</w:t>
            </w:r>
          </w:p>
        </w:tc>
        <w:tc>
          <w:tcPr>
            <w:tcW w:w="1333" w:type="dxa"/>
          </w:tcPr>
          <w:p w:rsidR="00CD20C4" w:rsidRPr="00B53080" w:rsidP="00970FF0" w14:paraId="3207EF2F" w14:textId="77777777">
            <w:pPr>
              <w:jc w:val="right"/>
            </w:pPr>
            <w:r>
              <w:t>1</w:t>
            </w:r>
          </w:p>
        </w:tc>
        <w:tc>
          <w:tcPr>
            <w:tcW w:w="1169" w:type="dxa"/>
          </w:tcPr>
          <w:p w:rsidR="00CD20C4" w:rsidRPr="00B53080" w:rsidP="00970FF0" w14:paraId="756FADA5" w14:textId="6D0FB6A4">
            <w:pPr>
              <w:jc w:val="right"/>
            </w:pPr>
            <w:r>
              <w:t>100,000</w:t>
            </w:r>
          </w:p>
        </w:tc>
        <w:tc>
          <w:tcPr>
            <w:tcW w:w="1166" w:type="dxa"/>
          </w:tcPr>
          <w:p w:rsidR="00CD20C4" w:rsidRPr="00B53080" w:rsidP="00970FF0" w14:paraId="58658F65" w14:textId="6586F3AF">
            <w:pPr>
              <w:jc w:val="right"/>
            </w:pPr>
            <w:r>
              <w:t>25</w:t>
            </w:r>
            <w:r w:rsidRPr="00B53080">
              <w:t xml:space="preserve"> minutes</w:t>
            </w:r>
          </w:p>
        </w:tc>
        <w:tc>
          <w:tcPr>
            <w:tcW w:w="1016" w:type="dxa"/>
          </w:tcPr>
          <w:p w:rsidR="00CD20C4" w:rsidRPr="00B53080" w:rsidP="00970FF0" w14:paraId="4B3B0AA7" w14:textId="5801DC8F">
            <w:pPr>
              <w:jc w:val="right"/>
            </w:pPr>
            <w:r>
              <w:t>41,667</w:t>
            </w:r>
          </w:p>
        </w:tc>
        <w:tc>
          <w:tcPr>
            <w:tcW w:w="700" w:type="dxa"/>
          </w:tcPr>
          <w:p w:rsidR="00CD20C4" w:rsidP="00970FF0" w14:paraId="7CAE3DE0" w14:textId="64F86164">
            <w:pPr>
              <w:jc w:val="right"/>
            </w:pPr>
            <w:r>
              <w:t>$31.48</w:t>
            </w:r>
          </w:p>
        </w:tc>
        <w:tc>
          <w:tcPr>
            <w:tcW w:w="700" w:type="dxa"/>
          </w:tcPr>
          <w:p w:rsidR="00CD20C4" w:rsidP="00970FF0" w14:paraId="3B516712" w14:textId="15F14CFF">
            <w:pPr>
              <w:jc w:val="right"/>
            </w:pPr>
            <w:r>
              <w:t>$</w:t>
            </w:r>
            <w:r w:rsidR="00CB642B">
              <w:t>1</w:t>
            </w:r>
            <w:r w:rsidR="001A5DA4">
              <w:t>,311,677</w:t>
            </w:r>
          </w:p>
        </w:tc>
      </w:tr>
      <w:tr w14:paraId="29DB32C6" w14:textId="4155CC95" w:rsidTr="00CD20C4">
        <w:tblPrEx>
          <w:tblW w:w="8885" w:type="dxa"/>
          <w:tblLook w:val="04A0"/>
        </w:tblPrEx>
        <w:tc>
          <w:tcPr>
            <w:tcW w:w="1495" w:type="dxa"/>
          </w:tcPr>
          <w:p w:rsidR="00CD20C4" w:rsidRPr="000331D8" w:rsidP="00970FF0" w14:paraId="37FBC313" w14:textId="77777777">
            <w:pPr>
              <w:rPr>
                <w:b/>
                <w:bCs/>
              </w:rPr>
            </w:pPr>
            <w:r w:rsidRPr="000331D8">
              <w:rPr>
                <w:b/>
                <w:bCs/>
              </w:rPr>
              <w:t>TOTAL</w:t>
            </w:r>
          </w:p>
        </w:tc>
        <w:tc>
          <w:tcPr>
            <w:tcW w:w="1306" w:type="dxa"/>
          </w:tcPr>
          <w:p w:rsidR="00CD20C4" w:rsidP="00970FF0" w14:paraId="507792A8" w14:textId="77777777">
            <w:pPr>
              <w:jc w:val="right"/>
            </w:pPr>
            <w:r>
              <w:t>6,000,000</w:t>
            </w:r>
          </w:p>
        </w:tc>
        <w:tc>
          <w:tcPr>
            <w:tcW w:w="1333" w:type="dxa"/>
            <w:shd w:val="clear" w:color="auto" w:fill="D9D9D9" w:themeFill="background1" w:themeFillShade="D9"/>
          </w:tcPr>
          <w:p w:rsidR="00CD20C4" w:rsidP="00970FF0" w14:paraId="1642204F" w14:textId="77777777">
            <w:pPr>
              <w:jc w:val="right"/>
            </w:pPr>
          </w:p>
        </w:tc>
        <w:tc>
          <w:tcPr>
            <w:tcW w:w="1169" w:type="dxa"/>
          </w:tcPr>
          <w:p w:rsidR="00CD20C4" w:rsidP="00970FF0" w14:paraId="01DE320C" w14:textId="5D9AFD79">
            <w:pPr>
              <w:jc w:val="right"/>
            </w:pPr>
            <w:r>
              <w:t>6,000,000</w:t>
            </w:r>
          </w:p>
        </w:tc>
        <w:tc>
          <w:tcPr>
            <w:tcW w:w="1166" w:type="dxa"/>
            <w:shd w:val="clear" w:color="auto" w:fill="D9D9D9" w:themeFill="background1" w:themeFillShade="D9"/>
          </w:tcPr>
          <w:p w:rsidR="00CD20C4" w:rsidP="00970FF0" w14:paraId="4432A471" w14:textId="77777777">
            <w:pPr>
              <w:jc w:val="right"/>
            </w:pPr>
          </w:p>
        </w:tc>
        <w:tc>
          <w:tcPr>
            <w:tcW w:w="1016" w:type="dxa"/>
          </w:tcPr>
          <w:p w:rsidR="00CD20C4" w:rsidP="00970FF0" w14:paraId="65DB51BA" w14:textId="210FF3AD">
            <w:pPr>
              <w:jc w:val="right"/>
            </w:pPr>
            <w:r>
              <w:t>1,123,334</w:t>
            </w:r>
          </w:p>
        </w:tc>
        <w:tc>
          <w:tcPr>
            <w:tcW w:w="700" w:type="dxa"/>
          </w:tcPr>
          <w:p w:rsidR="00CD20C4" w:rsidP="00970FF0" w14:paraId="7489D87F" w14:textId="77777777">
            <w:pPr>
              <w:jc w:val="right"/>
            </w:pPr>
          </w:p>
        </w:tc>
        <w:tc>
          <w:tcPr>
            <w:tcW w:w="700" w:type="dxa"/>
          </w:tcPr>
          <w:p w:rsidR="00CD20C4" w:rsidP="00970FF0" w14:paraId="13965476" w14:textId="1B6CB42E">
            <w:pPr>
              <w:jc w:val="right"/>
            </w:pPr>
            <w:r>
              <w:t>$35</w:t>
            </w:r>
            <w:r w:rsidR="00742213">
              <w:t>,362,554</w:t>
            </w:r>
          </w:p>
        </w:tc>
      </w:tr>
    </w:tbl>
    <w:p w:rsidR="00970FF0" w:rsidP="00763543" w14:paraId="407B27F1" w14:textId="77777777">
      <w:pPr>
        <w:rPr>
          <w:bCs/>
        </w:rPr>
      </w:pPr>
    </w:p>
    <w:p w:rsidR="00970FF0" w:rsidRPr="00ED794B" w:rsidP="00970FF0" w14:paraId="6B44643D" w14:textId="77777777">
      <w:pPr>
        <w:rPr>
          <w:b/>
        </w:rPr>
      </w:pPr>
      <w:r w:rsidRPr="00ED794B">
        <w:rPr>
          <w:b/>
        </w:rPr>
        <w:t>13.  Provide an estimate of the total annual cost burden to respondents or record keepers resulting from the collection of information.  (Do not include the cost of any hour burden shown in Items 12 and 14).</w:t>
      </w:r>
    </w:p>
    <w:p w:rsidR="00ED794B" w:rsidP="00970FF0" w14:paraId="02C77BAA" w14:textId="77777777">
      <w:pPr>
        <w:rPr>
          <w:bCs/>
        </w:rPr>
      </w:pPr>
    </w:p>
    <w:p w:rsidR="00970FF0" w:rsidRPr="00970FF0" w:rsidP="00970FF0" w14:paraId="39C671C5" w14:textId="50590952">
      <w:pPr>
        <w:rPr>
          <w:bCs/>
        </w:rPr>
      </w:pPr>
      <w:r w:rsidRPr="00970FF0">
        <w:rPr>
          <w:bCs/>
        </w:rPr>
        <w:t>There will be no annualized capital or start-up costs for the respondents to collect and submit this information.</w:t>
      </w:r>
    </w:p>
    <w:p w:rsidR="00970FF0" w:rsidRPr="00970FF0" w:rsidP="00970FF0" w14:paraId="0D0764EB" w14:textId="77777777">
      <w:pPr>
        <w:rPr>
          <w:bCs/>
        </w:rPr>
      </w:pPr>
    </w:p>
    <w:p w:rsidR="00970FF0" w:rsidRPr="00ED794B" w:rsidP="00970FF0" w14:paraId="6FB73062" w14:textId="77777777">
      <w:pPr>
        <w:rPr>
          <w:b/>
        </w:rPr>
      </w:pPr>
      <w:r w:rsidRPr="00ED794B">
        <w:rPr>
          <w:b/>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ED794B" w:rsidP="00970FF0" w14:paraId="5BA0A083" w14:textId="77777777">
      <w:pPr>
        <w:rPr>
          <w:bCs/>
        </w:rPr>
      </w:pPr>
    </w:p>
    <w:p w:rsidR="00970FF0" w:rsidRPr="00B53080" w:rsidP="00970FF0" w14:paraId="0D7DD47A" w14:textId="7442101D">
      <w:pPr>
        <w:rPr>
          <w:bCs/>
        </w:rPr>
      </w:pPr>
      <w:r w:rsidRPr="00970FF0">
        <w:rPr>
          <w:bCs/>
        </w:rPr>
        <w:t xml:space="preserve">Based </w:t>
      </w:r>
      <w:r w:rsidR="00B249E7">
        <w:rPr>
          <w:bCs/>
        </w:rPr>
        <w:t xml:space="preserve">estimated </w:t>
      </w:r>
      <w:r w:rsidR="004629C5">
        <w:rPr>
          <w:bCs/>
        </w:rPr>
        <w:t>FY25 actuals</w:t>
      </w:r>
      <w:r w:rsidRPr="00970FF0" w:rsidR="004629C5">
        <w:rPr>
          <w:bCs/>
        </w:rPr>
        <w:t xml:space="preserve">, including the cost of </w:t>
      </w:r>
      <w:r w:rsidR="004629C5">
        <w:rPr>
          <w:bCs/>
        </w:rPr>
        <w:t>contact</w:t>
      </w:r>
      <w:r w:rsidRPr="00970FF0" w:rsidR="004629C5">
        <w:rPr>
          <w:bCs/>
        </w:rPr>
        <w:t xml:space="preserve"> center operations, software, and hardware, </w:t>
      </w:r>
      <w:r w:rsidR="004629C5">
        <w:rPr>
          <w:bCs/>
        </w:rPr>
        <w:t xml:space="preserve">and </w:t>
      </w:r>
      <w:r w:rsidRPr="00970FF0">
        <w:rPr>
          <w:bCs/>
        </w:rPr>
        <w:t>independent government cost estimate</w:t>
      </w:r>
      <w:r w:rsidR="004629C5">
        <w:rPr>
          <w:bCs/>
        </w:rPr>
        <w:t xml:space="preserve">s, </w:t>
      </w:r>
      <w:r w:rsidRPr="00970FF0">
        <w:rPr>
          <w:bCs/>
        </w:rPr>
        <w:t>the estimated annualized cost for this information collection is $16.8 million.</w:t>
      </w:r>
    </w:p>
    <w:p w:rsidR="00763543" w:rsidP="00763543" w14:paraId="3BE66895" w14:textId="77777777">
      <w:pPr>
        <w:rPr>
          <w:bCs/>
        </w:rPr>
      </w:pPr>
    </w:p>
    <w:p w:rsidR="00BF1FAD" w:rsidRPr="00BF6D43" w:rsidP="00BF1FAD" w14:paraId="79FA36CB" w14:textId="77777777">
      <w:pPr>
        <w:rPr>
          <w:b/>
        </w:rPr>
      </w:pPr>
      <w:r w:rsidRPr="00BF6D43">
        <w:rPr>
          <w:b/>
        </w:rPr>
        <w:t xml:space="preserve">15.  </w:t>
      </w:r>
      <w:r w:rsidRPr="00BF6D43">
        <w:rPr>
          <w:b/>
          <w:bCs/>
        </w:rPr>
        <w:t>Explain the reasons for any program changes or adjustments.</w:t>
      </w:r>
    </w:p>
    <w:p w:rsidR="004629C5" w:rsidP="00763543" w14:paraId="5F2913C7" w14:textId="77777777">
      <w:pPr>
        <w:rPr>
          <w:bCs/>
        </w:rPr>
      </w:pPr>
    </w:p>
    <w:p w:rsidR="008D5AC2" w:rsidP="00763543" w14:paraId="3597C9FD" w14:textId="4AAE3ED6">
      <w:pPr>
        <w:rPr>
          <w:bCs/>
        </w:rPr>
      </w:pPr>
      <w:r w:rsidRPr="008D5AC2">
        <w:rPr>
          <w:bCs/>
        </w:rPr>
        <w:t xml:space="preserve">The Bureau is </w:t>
      </w:r>
      <w:r w:rsidR="00E02528">
        <w:rPr>
          <w:bCs/>
        </w:rPr>
        <w:t xml:space="preserve">considering </w:t>
      </w:r>
      <w:r w:rsidRPr="008D5AC2">
        <w:rPr>
          <w:bCs/>
        </w:rPr>
        <w:t>adding four questions to improve complaint intake. Item 13 adds a 'Whistleblower' option for individuals submitting complaints about company practices that should not be forwarded to the company.</w:t>
      </w:r>
      <w:r w:rsidR="00E02528">
        <w:rPr>
          <w:bCs/>
        </w:rPr>
        <w:t xml:space="preserve"> This change will enhance the Bureau’s ability to safeguard protected disclosures.</w:t>
      </w:r>
      <w:r w:rsidRPr="008D5AC2">
        <w:rPr>
          <w:bCs/>
        </w:rPr>
        <w:t xml:space="preserve"> Item 19 adds </w:t>
      </w:r>
      <w:r w:rsidR="00F8364D">
        <w:rPr>
          <w:bCs/>
        </w:rPr>
        <w:t>four</w:t>
      </w:r>
      <w:r w:rsidRPr="008D5AC2">
        <w:rPr>
          <w:bCs/>
        </w:rPr>
        <w:t xml:space="preserve"> questions capturing whether consumers contacted </w:t>
      </w:r>
      <w:r w:rsidR="00E02528">
        <w:rPr>
          <w:bCs/>
        </w:rPr>
        <w:t>consumer</w:t>
      </w:r>
      <w:r w:rsidRPr="008D5AC2">
        <w:rPr>
          <w:bCs/>
        </w:rPr>
        <w:t xml:space="preserve"> reporting agencies and what</w:t>
      </w:r>
      <w:r w:rsidR="00E02528">
        <w:rPr>
          <w:bCs/>
        </w:rPr>
        <w:t>, if any,</w:t>
      </w:r>
      <w:r w:rsidRPr="008D5AC2">
        <w:rPr>
          <w:bCs/>
        </w:rPr>
        <w:t xml:space="preserve"> responses they received. These changes will enhance the Bureau</w:t>
      </w:r>
      <w:r w:rsidR="00E02528">
        <w:rPr>
          <w:bCs/>
        </w:rPr>
        <w:t>’</w:t>
      </w:r>
      <w:r w:rsidRPr="008D5AC2">
        <w:rPr>
          <w:bCs/>
        </w:rPr>
        <w:t xml:space="preserve">s ability to </w:t>
      </w:r>
      <w:r w:rsidR="00E02528">
        <w:rPr>
          <w:bCs/>
        </w:rPr>
        <w:t>implement Section 611(e) of the Fair Credit Reporting Act</w:t>
      </w:r>
      <w:r w:rsidR="00F8364D">
        <w:rPr>
          <w:bCs/>
        </w:rPr>
        <w:t xml:space="preserve"> (FCRA)</w:t>
      </w:r>
      <w:r w:rsidR="00E02528">
        <w:rPr>
          <w:bCs/>
        </w:rPr>
        <w:t>, which requires the Bureau to collect information about certain complaints</w:t>
      </w:r>
      <w:r w:rsidRPr="008D5AC2">
        <w:rPr>
          <w:bCs/>
        </w:rPr>
        <w:t>.</w:t>
      </w:r>
      <w:r w:rsidR="00F8364D">
        <w:rPr>
          <w:bCs/>
        </w:rPr>
        <w:t xml:space="preserve"> </w:t>
      </w:r>
      <w:r w:rsidRPr="00F8364D" w:rsidR="00F8364D">
        <w:rPr>
          <w:bCs/>
        </w:rPr>
        <w:t xml:space="preserve">In addition, they are intended to enhance the efficiency of the complaint system by enabling better </w:t>
      </w:r>
      <w:r w:rsidRPr="00F8364D" w:rsidR="00F8364D">
        <w:rPr>
          <w:bCs/>
        </w:rPr>
        <w:t>idenfication</w:t>
      </w:r>
      <w:r w:rsidRPr="00F8364D" w:rsidR="00F8364D">
        <w:rPr>
          <w:bCs/>
        </w:rPr>
        <w:t xml:space="preserve"> of prior </w:t>
      </w:r>
      <w:r w:rsidR="00F8364D">
        <w:rPr>
          <w:bCs/>
        </w:rPr>
        <w:t xml:space="preserve">FCRA </w:t>
      </w:r>
      <w:r w:rsidRPr="00F8364D" w:rsidR="00F8364D">
        <w:rPr>
          <w:bCs/>
        </w:rPr>
        <w:t>disputes</w:t>
      </w:r>
      <w:r w:rsidR="00F8364D">
        <w:rPr>
          <w:bCs/>
        </w:rPr>
        <w:t>.</w:t>
      </w:r>
    </w:p>
    <w:p w:rsidR="008D5AC2" w:rsidP="00763543" w14:paraId="2839F596" w14:textId="77777777">
      <w:pPr>
        <w:rPr>
          <w:bCs/>
        </w:rPr>
      </w:pPr>
    </w:p>
    <w:p w:rsidR="00BF1FAD" w:rsidP="00763543" w14:paraId="790EE94B" w14:textId="7BE59B12">
      <w:pPr>
        <w:rPr>
          <w:bCs/>
        </w:rPr>
      </w:pPr>
      <w:r>
        <w:rPr>
          <w:bCs/>
        </w:rPr>
        <w:t>Beginning in early 2020</w:t>
      </w:r>
      <w:r w:rsidR="00666D2C">
        <w:rPr>
          <w:bCs/>
        </w:rPr>
        <w:t xml:space="preserve">, the CFPB has experienced </w:t>
      </w:r>
      <w:r w:rsidR="006B0206">
        <w:rPr>
          <w:bCs/>
        </w:rPr>
        <w:t xml:space="preserve">a </w:t>
      </w:r>
      <w:r w:rsidR="00666D2C">
        <w:rPr>
          <w:bCs/>
        </w:rPr>
        <w:t>precipitous increase in consumer complaint</w:t>
      </w:r>
      <w:r w:rsidR="00A30973">
        <w:rPr>
          <w:bCs/>
        </w:rPr>
        <w:t xml:space="preserve">s—from </w:t>
      </w:r>
      <w:r w:rsidR="00165DE1">
        <w:rPr>
          <w:bCs/>
        </w:rPr>
        <w:t xml:space="preserve">approximately 540,000 complaints </w:t>
      </w:r>
      <w:r w:rsidR="00A30973">
        <w:rPr>
          <w:bCs/>
        </w:rPr>
        <w:t xml:space="preserve">in 2020 to </w:t>
      </w:r>
      <w:r w:rsidR="00170549">
        <w:rPr>
          <w:bCs/>
        </w:rPr>
        <w:t>3.</w:t>
      </w:r>
      <w:r w:rsidR="00DE7AB0">
        <w:rPr>
          <w:bCs/>
        </w:rPr>
        <w:t>18</w:t>
      </w:r>
      <w:r w:rsidR="0044218C">
        <w:rPr>
          <w:bCs/>
        </w:rPr>
        <w:t>M</w:t>
      </w:r>
      <w:r w:rsidR="00A30973">
        <w:rPr>
          <w:bCs/>
        </w:rPr>
        <w:t xml:space="preserve"> in 202</w:t>
      </w:r>
      <w:r w:rsidR="00B50F07">
        <w:rPr>
          <w:bCs/>
        </w:rPr>
        <w:t>4.</w:t>
      </w:r>
      <w:r w:rsidR="0087724E">
        <w:rPr>
          <w:bCs/>
        </w:rPr>
        <w:t xml:space="preserve">  </w:t>
      </w:r>
      <w:r w:rsidR="008E1357">
        <w:rPr>
          <w:bCs/>
        </w:rPr>
        <w:t>While the program itself is unchanged</w:t>
      </w:r>
      <w:r w:rsidR="0036210B">
        <w:rPr>
          <w:bCs/>
        </w:rPr>
        <w:t xml:space="preserve"> and in anticipation of continued year over year increases in line with recent years, the program expects to see significant</w:t>
      </w:r>
      <w:r w:rsidR="0076313F">
        <w:rPr>
          <w:bCs/>
        </w:rPr>
        <w:t xml:space="preserve"> increases in the number of respondents.</w:t>
      </w:r>
      <w:r w:rsidR="00B249E7">
        <w:rPr>
          <w:bCs/>
        </w:rPr>
        <w:t xml:space="preserve"> </w:t>
      </w:r>
    </w:p>
    <w:p w:rsidR="00F9241F" w:rsidP="00763543" w14:paraId="260DF4E7" w14:textId="77777777">
      <w:pPr>
        <w:rPr>
          <w:bCs/>
        </w:rPr>
      </w:pPr>
    </w:p>
    <w:tbl>
      <w:tblPr>
        <w:tblStyle w:val="TableGrid"/>
        <w:tblW w:w="9355" w:type="dxa"/>
        <w:tblLook w:val="04A0"/>
      </w:tblPr>
      <w:tblGrid>
        <w:gridCol w:w="2049"/>
        <w:gridCol w:w="1116"/>
        <w:gridCol w:w="1542"/>
        <w:gridCol w:w="1740"/>
        <w:gridCol w:w="1888"/>
        <w:gridCol w:w="1020"/>
      </w:tblGrid>
      <w:tr w14:paraId="17FE4BF8" w14:textId="77777777" w:rsidTr="00101796">
        <w:tblPrEx>
          <w:tblW w:w="9355" w:type="dxa"/>
          <w:tblLook w:val="04A0"/>
        </w:tblPrEx>
        <w:tc>
          <w:tcPr>
            <w:tcW w:w="9355" w:type="dxa"/>
            <w:gridSpan w:val="6"/>
            <w:shd w:val="clear" w:color="auto" w:fill="D9D9D9" w:themeFill="background1" w:themeFillShade="D9"/>
            <w:vAlign w:val="center"/>
          </w:tcPr>
          <w:p w:rsidR="009C23CD" w:rsidRPr="00524EE0" w:rsidP="009C23CD" w14:paraId="7C8F13FA" w14:textId="7D748170">
            <w:pPr>
              <w:numPr>
                <w:ilvl w:val="12"/>
                <w:numId w:val="0"/>
              </w:numPr>
              <w:jc w:val="center"/>
              <w:rPr>
                <w:b/>
                <w:bCs/>
              </w:rPr>
            </w:pPr>
            <w:r>
              <w:rPr>
                <w:b/>
                <w:bCs/>
              </w:rPr>
              <w:t>Annual Burden Summary</w:t>
            </w:r>
          </w:p>
        </w:tc>
      </w:tr>
      <w:tr w14:paraId="43913CE1" w14:textId="6C164FFF" w:rsidTr="009C23CD">
        <w:tblPrEx>
          <w:tblW w:w="9355" w:type="dxa"/>
          <w:tblLook w:val="04A0"/>
        </w:tblPrEx>
        <w:tc>
          <w:tcPr>
            <w:tcW w:w="2049" w:type="dxa"/>
            <w:shd w:val="clear" w:color="auto" w:fill="D9D9D9" w:themeFill="background1" w:themeFillShade="D9"/>
            <w:vAlign w:val="center"/>
          </w:tcPr>
          <w:p w:rsidR="000E3DEB" w:rsidRPr="00524EE0" w:rsidP="000E3DEB" w14:paraId="1DA02B4A" w14:textId="77777777">
            <w:pPr>
              <w:numPr>
                <w:ilvl w:val="12"/>
                <w:numId w:val="0"/>
              </w:numPr>
              <w:rPr>
                <w:b/>
                <w:bCs/>
              </w:rPr>
            </w:pPr>
          </w:p>
        </w:tc>
        <w:tc>
          <w:tcPr>
            <w:tcW w:w="1116" w:type="dxa"/>
            <w:shd w:val="clear" w:color="auto" w:fill="D9D9D9" w:themeFill="background1" w:themeFillShade="D9"/>
            <w:vAlign w:val="center"/>
          </w:tcPr>
          <w:p w:rsidR="000E3DEB" w:rsidRPr="00524EE0" w:rsidP="009C23CD" w14:paraId="0696AF6B" w14:textId="25222A11">
            <w:pPr>
              <w:numPr>
                <w:ilvl w:val="12"/>
                <w:numId w:val="0"/>
              </w:numPr>
              <w:rPr>
                <w:b/>
                <w:bCs/>
              </w:rPr>
            </w:pPr>
            <w:r w:rsidRPr="00524EE0">
              <w:rPr>
                <w:b/>
                <w:bCs/>
              </w:rPr>
              <w:t>Previously Approved</w:t>
            </w:r>
          </w:p>
        </w:tc>
        <w:tc>
          <w:tcPr>
            <w:tcW w:w="1542" w:type="dxa"/>
            <w:shd w:val="clear" w:color="auto" w:fill="D9D9D9" w:themeFill="background1" w:themeFillShade="D9"/>
            <w:vAlign w:val="center"/>
          </w:tcPr>
          <w:p w:rsidR="000E3DEB" w:rsidRPr="00524EE0" w:rsidP="009C23CD" w14:paraId="13955C57" w14:textId="66C0AA4A">
            <w:pPr>
              <w:numPr>
                <w:ilvl w:val="12"/>
                <w:numId w:val="0"/>
              </w:numPr>
              <w:rPr>
                <w:b/>
                <w:bCs/>
              </w:rPr>
            </w:pPr>
            <w:r w:rsidRPr="00524EE0">
              <w:rPr>
                <w:b/>
                <w:bCs/>
              </w:rPr>
              <w:t>Change Due to New Statute</w:t>
            </w:r>
          </w:p>
        </w:tc>
        <w:tc>
          <w:tcPr>
            <w:tcW w:w="1740" w:type="dxa"/>
            <w:shd w:val="clear" w:color="auto" w:fill="D9D9D9" w:themeFill="background1" w:themeFillShade="D9"/>
            <w:vAlign w:val="center"/>
          </w:tcPr>
          <w:p w:rsidR="000E3DEB" w:rsidRPr="00524EE0" w:rsidP="009C23CD" w14:paraId="64042ABA" w14:textId="0851C42F">
            <w:pPr>
              <w:numPr>
                <w:ilvl w:val="12"/>
                <w:numId w:val="0"/>
              </w:numPr>
              <w:rPr>
                <w:b/>
                <w:bCs/>
              </w:rPr>
            </w:pPr>
            <w:r w:rsidRPr="00524EE0">
              <w:rPr>
                <w:b/>
                <w:bCs/>
              </w:rPr>
              <w:t>Change Due to Agency Discretion</w:t>
            </w:r>
          </w:p>
        </w:tc>
        <w:tc>
          <w:tcPr>
            <w:tcW w:w="1888" w:type="dxa"/>
            <w:shd w:val="clear" w:color="auto" w:fill="D9D9D9" w:themeFill="background1" w:themeFillShade="D9"/>
            <w:vAlign w:val="center"/>
          </w:tcPr>
          <w:p w:rsidR="000E3DEB" w:rsidRPr="00524EE0" w:rsidP="009C23CD" w14:paraId="6E5D60AD" w14:textId="41494925">
            <w:pPr>
              <w:numPr>
                <w:ilvl w:val="12"/>
                <w:numId w:val="0"/>
              </w:numPr>
              <w:rPr>
                <w:b/>
                <w:bCs/>
              </w:rPr>
            </w:pPr>
            <w:r w:rsidRPr="00524EE0">
              <w:rPr>
                <w:b/>
                <w:bCs/>
              </w:rPr>
              <w:t>Change Due to Agency Estimate</w:t>
            </w:r>
            <w:r>
              <w:rPr>
                <w:b/>
                <w:bCs/>
              </w:rPr>
              <w:t xml:space="preserve"> Adjustment</w:t>
            </w:r>
          </w:p>
        </w:tc>
        <w:tc>
          <w:tcPr>
            <w:tcW w:w="1020" w:type="dxa"/>
            <w:shd w:val="clear" w:color="auto" w:fill="D9D9D9" w:themeFill="background1" w:themeFillShade="D9"/>
            <w:vAlign w:val="center"/>
          </w:tcPr>
          <w:p w:rsidR="000E3DEB" w:rsidRPr="00524EE0" w:rsidP="009C23CD" w14:paraId="2F07D78F" w14:textId="68F10D4C">
            <w:pPr>
              <w:numPr>
                <w:ilvl w:val="12"/>
                <w:numId w:val="0"/>
              </w:numPr>
              <w:rPr>
                <w:b/>
                <w:bCs/>
              </w:rPr>
            </w:pPr>
            <w:r>
              <w:rPr>
                <w:b/>
                <w:bCs/>
              </w:rPr>
              <w:t xml:space="preserve">Current </w:t>
            </w:r>
            <w:r w:rsidRPr="00524EE0">
              <w:rPr>
                <w:b/>
                <w:bCs/>
              </w:rPr>
              <w:t>Request</w:t>
            </w:r>
          </w:p>
        </w:tc>
      </w:tr>
      <w:tr w14:paraId="0806CC96" w14:textId="5AE54E68" w:rsidTr="009C23CD">
        <w:tblPrEx>
          <w:tblW w:w="9355" w:type="dxa"/>
          <w:tblLook w:val="04A0"/>
        </w:tblPrEx>
        <w:tc>
          <w:tcPr>
            <w:tcW w:w="2049" w:type="dxa"/>
          </w:tcPr>
          <w:p w:rsidR="000E3DEB" w:rsidRPr="00524EE0" w:rsidP="000E3DEB" w14:paraId="35D965AC" w14:textId="00AC270B">
            <w:pPr>
              <w:numPr>
                <w:ilvl w:val="12"/>
                <w:numId w:val="0"/>
              </w:numPr>
            </w:pPr>
            <w:r w:rsidRPr="00524EE0">
              <w:t>Number of Responses</w:t>
            </w:r>
          </w:p>
        </w:tc>
        <w:tc>
          <w:tcPr>
            <w:tcW w:w="1116" w:type="dxa"/>
          </w:tcPr>
          <w:p w:rsidR="000E3DEB" w:rsidRPr="00524EE0" w:rsidP="000E3DEB" w14:paraId="35D7F0CA" w14:textId="2AB4A791">
            <w:pPr>
              <w:numPr>
                <w:ilvl w:val="12"/>
                <w:numId w:val="0"/>
              </w:numPr>
              <w:jc w:val="right"/>
            </w:pPr>
            <w:r>
              <w:t>2,150,000</w:t>
            </w:r>
          </w:p>
        </w:tc>
        <w:tc>
          <w:tcPr>
            <w:tcW w:w="1542" w:type="dxa"/>
          </w:tcPr>
          <w:p w:rsidR="000E3DEB" w:rsidP="000E3DEB" w14:paraId="792568F4" w14:textId="43DFF6BF">
            <w:pPr>
              <w:numPr>
                <w:ilvl w:val="12"/>
                <w:numId w:val="0"/>
              </w:numPr>
              <w:jc w:val="right"/>
            </w:pPr>
            <w:r w:rsidRPr="00524EE0">
              <w:t>0</w:t>
            </w:r>
          </w:p>
        </w:tc>
        <w:tc>
          <w:tcPr>
            <w:tcW w:w="1740" w:type="dxa"/>
          </w:tcPr>
          <w:p w:rsidR="000E3DEB" w:rsidP="000E3DEB" w14:paraId="2B385579" w14:textId="0209D5A8">
            <w:pPr>
              <w:numPr>
                <w:ilvl w:val="12"/>
                <w:numId w:val="0"/>
              </w:numPr>
              <w:jc w:val="right"/>
            </w:pPr>
            <w:r>
              <w:t>0</w:t>
            </w:r>
          </w:p>
        </w:tc>
        <w:tc>
          <w:tcPr>
            <w:tcW w:w="1888" w:type="dxa"/>
          </w:tcPr>
          <w:p w:rsidR="000E3DEB" w:rsidP="000E3DEB" w14:paraId="7512EEBE" w14:textId="76E605D2">
            <w:pPr>
              <w:numPr>
                <w:ilvl w:val="12"/>
                <w:numId w:val="0"/>
              </w:numPr>
              <w:jc w:val="right"/>
            </w:pPr>
            <w:r>
              <w:t>3,850,000</w:t>
            </w:r>
          </w:p>
        </w:tc>
        <w:tc>
          <w:tcPr>
            <w:tcW w:w="1020" w:type="dxa"/>
          </w:tcPr>
          <w:p w:rsidR="000E3DEB" w:rsidP="000E3DEB" w14:paraId="29FDD43C" w14:textId="674A5EB4">
            <w:pPr>
              <w:numPr>
                <w:ilvl w:val="12"/>
                <w:numId w:val="0"/>
              </w:numPr>
              <w:jc w:val="right"/>
            </w:pPr>
            <w:r>
              <w:t>6,000,000</w:t>
            </w:r>
          </w:p>
        </w:tc>
      </w:tr>
      <w:tr w14:paraId="294A40EB" w14:textId="09C3BD38" w:rsidTr="009C23CD">
        <w:tblPrEx>
          <w:tblW w:w="9355" w:type="dxa"/>
          <w:tblLook w:val="04A0"/>
        </w:tblPrEx>
        <w:tc>
          <w:tcPr>
            <w:tcW w:w="2049" w:type="dxa"/>
          </w:tcPr>
          <w:p w:rsidR="000E3DEB" w:rsidRPr="00524EE0" w:rsidP="000E3DEB" w14:paraId="07E3519E" w14:textId="44756980">
            <w:pPr>
              <w:numPr>
                <w:ilvl w:val="12"/>
                <w:numId w:val="0"/>
              </w:numPr>
            </w:pPr>
            <w:r w:rsidRPr="00524EE0">
              <w:t>Time Burden (Hours)</w:t>
            </w:r>
          </w:p>
        </w:tc>
        <w:tc>
          <w:tcPr>
            <w:tcW w:w="1116" w:type="dxa"/>
          </w:tcPr>
          <w:p w:rsidR="000E3DEB" w:rsidRPr="00524EE0" w:rsidP="000E3DEB" w14:paraId="2038105C" w14:textId="6F8D33E6">
            <w:pPr>
              <w:numPr>
                <w:ilvl w:val="12"/>
                <w:numId w:val="0"/>
              </w:numPr>
              <w:jc w:val="right"/>
            </w:pPr>
            <w:r>
              <w:t>415,000</w:t>
            </w:r>
          </w:p>
        </w:tc>
        <w:tc>
          <w:tcPr>
            <w:tcW w:w="1542" w:type="dxa"/>
          </w:tcPr>
          <w:p w:rsidR="000E3DEB" w:rsidP="000E3DEB" w14:paraId="7D76E920" w14:textId="4E564075">
            <w:pPr>
              <w:numPr>
                <w:ilvl w:val="12"/>
                <w:numId w:val="0"/>
              </w:numPr>
              <w:jc w:val="right"/>
            </w:pPr>
            <w:r w:rsidRPr="00524EE0">
              <w:t>0</w:t>
            </w:r>
          </w:p>
        </w:tc>
        <w:tc>
          <w:tcPr>
            <w:tcW w:w="1740" w:type="dxa"/>
          </w:tcPr>
          <w:p w:rsidR="000E3DEB" w:rsidP="000E3DEB" w14:paraId="55DA727A" w14:textId="5DF3ABB6">
            <w:pPr>
              <w:numPr>
                <w:ilvl w:val="12"/>
                <w:numId w:val="0"/>
              </w:numPr>
              <w:jc w:val="right"/>
            </w:pPr>
            <w:r>
              <w:t>0</w:t>
            </w:r>
          </w:p>
        </w:tc>
        <w:tc>
          <w:tcPr>
            <w:tcW w:w="1888" w:type="dxa"/>
          </w:tcPr>
          <w:p w:rsidR="000E3DEB" w:rsidP="000E3DEB" w14:paraId="169B8DD2" w14:textId="7C033146">
            <w:pPr>
              <w:numPr>
                <w:ilvl w:val="12"/>
                <w:numId w:val="0"/>
              </w:numPr>
              <w:jc w:val="right"/>
            </w:pPr>
            <w:r>
              <w:t>708,334</w:t>
            </w:r>
          </w:p>
        </w:tc>
        <w:tc>
          <w:tcPr>
            <w:tcW w:w="1020" w:type="dxa"/>
          </w:tcPr>
          <w:p w:rsidR="000E3DEB" w:rsidP="000E3DEB" w14:paraId="353EC265" w14:textId="2B200778">
            <w:pPr>
              <w:numPr>
                <w:ilvl w:val="12"/>
                <w:numId w:val="0"/>
              </w:numPr>
              <w:jc w:val="right"/>
            </w:pPr>
            <w:r>
              <w:t>1,123,334</w:t>
            </w:r>
          </w:p>
        </w:tc>
      </w:tr>
      <w:tr w14:paraId="1D584ECC" w14:textId="43B4673F" w:rsidTr="009C23CD">
        <w:tblPrEx>
          <w:tblW w:w="9355" w:type="dxa"/>
          <w:tblLook w:val="04A0"/>
        </w:tblPrEx>
        <w:tc>
          <w:tcPr>
            <w:tcW w:w="2049" w:type="dxa"/>
          </w:tcPr>
          <w:p w:rsidR="000E3DEB" w:rsidRPr="00524EE0" w:rsidP="000E3DEB" w14:paraId="20A94D77" w14:textId="675D3B6C">
            <w:pPr>
              <w:numPr>
                <w:ilvl w:val="12"/>
                <w:numId w:val="0"/>
              </w:numPr>
            </w:pPr>
            <w:r w:rsidRPr="00524EE0">
              <w:t>Cost Burden ($)</w:t>
            </w:r>
          </w:p>
        </w:tc>
        <w:tc>
          <w:tcPr>
            <w:tcW w:w="1116" w:type="dxa"/>
          </w:tcPr>
          <w:p w:rsidR="000E3DEB" w:rsidRPr="00524EE0" w:rsidP="000E3DEB" w14:paraId="043B6C03" w14:textId="170CF0AC">
            <w:pPr>
              <w:numPr>
                <w:ilvl w:val="12"/>
                <w:numId w:val="0"/>
              </w:numPr>
              <w:jc w:val="right"/>
            </w:pPr>
            <w:r>
              <w:t>0</w:t>
            </w:r>
          </w:p>
        </w:tc>
        <w:tc>
          <w:tcPr>
            <w:tcW w:w="1542" w:type="dxa"/>
          </w:tcPr>
          <w:p w:rsidR="000E3DEB" w:rsidP="000E3DEB" w14:paraId="4FDFA0CB" w14:textId="680F427A">
            <w:pPr>
              <w:numPr>
                <w:ilvl w:val="12"/>
                <w:numId w:val="0"/>
              </w:numPr>
              <w:jc w:val="right"/>
            </w:pPr>
            <w:r w:rsidRPr="00524EE0">
              <w:t>0</w:t>
            </w:r>
          </w:p>
        </w:tc>
        <w:tc>
          <w:tcPr>
            <w:tcW w:w="1740" w:type="dxa"/>
          </w:tcPr>
          <w:p w:rsidR="000E3DEB" w:rsidP="000E3DEB" w14:paraId="51285E17" w14:textId="2C762899">
            <w:pPr>
              <w:numPr>
                <w:ilvl w:val="12"/>
                <w:numId w:val="0"/>
              </w:numPr>
              <w:jc w:val="right"/>
            </w:pPr>
            <w:r w:rsidRPr="00524EE0">
              <w:t>0</w:t>
            </w:r>
          </w:p>
        </w:tc>
        <w:tc>
          <w:tcPr>
            <w:tcW w:w="1888" w:type="dxa"/>
          </w:tcPr>
          <w:p w:rsidR="000E3DEB" w:rsidRPr="00524EE0" w:rsidP="000E3DEB" w14:paraId="541FF5DF" w14:textId="38CFF041">
            <w:pPr>
              <w:numPr>
                <w:ilvl w:val="12"/>
                <w:numId w:val="0"/>
              </w:numPr>
              <w:jc w:val="right"/>
            </w:pPr>
            <w:r>
              <w:t>0</w:t>
            </w:r>
          </w:p>
        </w:tc>
        <w:tc>
          <w:tcPr>
            <w:tcW w:w="1020" w:type="dxa"/>
          </w:tcPr>
          <w:p w:rsidR="000E3DEB" w:rsidRPr="00524EE0" w:rsidP="000E3DEB" w14:paraId="7AE9AB75" w14:textId="06CB458A">
            <w:pPr>
              <w:numPr>
                <w:ilvl w:val="12"/>
                <w:numId w:val="0"/>
              </w:numPr>
              <w:jc w:val="right"/>
            </w:pPr>
            <w:r>
              <w:t>0</w:t>
            </w:r>
          </w:p>
        </w:tc>
      </w:tr>
    </w:tbl>
    <w:p w:rsidR="00F9241F" w:rsidP="00763543" w14:paraId="4002A078" w14:textId="77777777">
      <w:pPr>
        <w:rPr>
          <w:bCs/>
        </w:rPr>
      </w:pPr>
    </w:p>
    <w:p w:rsidR="00234C44" w:rsidP="00234C44" w14:paraId="15A9FD55" w14:textId="77777777">
      <w:r w:rsidRPr="00BF6D43">
        <w:rPr>
          <w:b/>
        </w:rPr>
        <w:t>16.  F</w:t>
      </w:r>
      <w:r w:rsidRPr="00BF6D43">
        <w:rPr>
          <w:b/>
          <w:bCs/>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t>.</w:t>
      </w:r>
    </w:p>
    <w:p w:rsidR="00E90C9C" w:rsidP="00763543" w14:paraId="3517E759" w14:textId="77777777">
      <w:pPr>
        <w:rPr>
          <w:bCs/>
        </w:rPr>
      </w:pPr>
    </w:p>
    <w:p w:rsidR="00B529B6" w:rsidP="008330BB" w14:paraId="75F23A07" w14:textId="30F6A4FB">
      <w:r>
        <w:t>The CFPB tabulate</w:t>
      </w:r>
      <w:r w:rsidR="002A0B95">
        <w:t>s</w:t>
      </w:r>
      <w:r>
        <w:t xml:space="preserve"> and analyze</w:t>
      </w:r>
      <w:r w:rsidR="002A0B95">
        <w:t>s</w:t>
      </w:r>
      <w:r>
        <w:t xml:space="preserve"> </w:t>
      </w:r>
      <w:r w:rsidR="0009274D">
        <w:t>data</w:t>
      </w:r>
      <w:r>
        <w:t xml:space="preserve"> received via this information collection </w:t>
      </w:r>
      <w:r w:rsidR="00342BB9">
        <w:t xml:space="preserve">to </w:t>
      </w:r>
      <w:r>
        <w:t xml:space="preserve">help the CFPB fulfill its </w:t>
      </w:r>
      <w:r w:rsidR="00D275A1">
        <w:t xml:space="preserve">various reporting </w:t>
      </w:r>
      <w:r>
        <w:t>obligations</w:t>
      </w:r>
      <w:r w:rsidR="00D275A1">
        <w:t xml:space="preserve">. For example, the </w:t>
      </w:r>
      <w:r w:rsidR="004A2AD9">
        <w:t>CFPB</w:t>
      </w:r>
      <w:r>
        <w:t xml:space="preserve"> </w:t>
      </w:r>
      <w:r w:rsidR="004A2AD9">
        <w:t>must</w:t>
      </w:r>
      <w:r w:rsidR="0009274D">
        <w:t xml:space="preserve"> </w:t>
      </w:r>
      <w:r w:rsidR="00E75653">
        <w:t xml:space="preserve">present </w:t>
      </w:r>
      <w:r w:rsidR="00E75653">
        <w:rPr>
          <w:bCs/>
          <w:iCs/>
          <w:color w:val="000000"/>
        </w:rPr>
        <w:t xml:space="preserve">semi-annual reports to the President and Congress that include an </w:t>
      </w:r>
      <w:r w:rsidRPr="00A276C1" w:rsidR="00E75653">
        <w:rPr>
          <w:bCs/>
          <w:iCs/>
          <w:color w:val="000000"/>
        </w:rPr>
        <w:t>analysis of complaints about consumer financial</w:t>
      </w:r>
      <w:r w:rsidR="00E75653">
        <w:rPr>
          <w:bCs/>
          <w:iCs/>
          <w:color w:val="000000"/>
        </w:rPr>
        <w:t xml:space="preserve"> </w:t>
      </w:r>
      <w:r w:rsidRPr="00A276C1" w:rsidR="00E75653">
        <w:rPr>
          <w:bCs/>
          <w:iCs/>
          <w:color w:val="000000"/>
        </w:rPr>
        <w:t>products or services collected during the preceding</w:t>
      </w:r>
      <w:r w:rsidR="007F7018">
        <w:rPr>
          <w:bCs/>
          <w:iCs/>
          <w:color w:val="000000"/>
        </w:rPr>
        <w:t xml:space="preserve"> fiscal year</w:t>
      </w:r>
      <w:r w:rsidR="003C53D8">
        <w:rPr>
          <w:bCs/>
          <w:iCs/>
          <w:color w:val="000000"/>
        </w:rPr>
        <w:t xml:space="preserve"> in advance the Director’s appears before </w:t>
      </w:r>
      <w:r w:rsidR="008330BB">
        <w:rPr>
          <w:bCs/>
          <w:iCs/>
          <w:color w:val="000000"/>
        </w:rPr>
        <w:t>Congress</w:t>
      </w:r>
      <w:r w:rsidR="004A2AD9">
        <w:rPr>
          <w:bCs/>
          <w:iCs/>
          <w:color w:val="000000"/>
        </w:rPr>
        <w:t>,</w:t>
      </w:r>
      <w:r>
        <w:rPr>
          <w:rStyle w:val="FootnoteReference"/>
          <w:bCs/>
          <w:iCs/>
          <w:color w:val="000000"/>
        </w:rPr>
        <w:footnoteReference w:id="30"/>
      </w:r>
      <w:r w:rsidR="00E75653">
        <w:rPr>
          <w:bCs/>
          <w:iCs/>
          <w:color w:val="000000"/>
        </w:rPr>
        <w:t xml:space="preserve"> and </w:t>
      </w:r>
      <w:r w:rsidR="004A2AD9">
        <w:rPr>
          <w:bCs/>
          <w:iCs/>
          <w:color w:val="000000"/>
        </w:rPr>
        <w:t xml:space="preserve">the Director must present </w:t>
      </w:r>
      <w:r w:rsidR="00E16E42">
        <w:rPr>
          <w:bCs/>
          <w:iCs/>
          <w:color w:val="000000"/>
        </w:rPr>
        <w:t xml:space="preserve">an annual </w:t>
      </w:r>
      <w:r w:rsidRPr="00987C14">
        <w:rPr>
          <w:bCs/>
          <w:iCs/>
          <w:color w:val="000000"/>
        </w:rPr>
        <w:t xml:space="preserve">report </w:t>
      </w:r>
      <w:r w:rsidR="008330BB">
        <w:rPr>
          <w:bCs/>
          <w:iCs/>
          <w:color w:val="000000"/>
        </w:rPr>
        <w:t xml:space="preserve">to </w:t>
      </w:r>
      <w:r w:rsidRPr="00987C14">
        <w:rPr>
          <w:bCs/>
          <w:iCs/>
          <w:color w:val="000000"/>
        </w:rPr>
        <w:t xml:space="preserve">Congress </w:t>
      </w:r>
      <w:r w:rsidR="008330BB">
        <w:rPr>
          <w:bCs/>
          <w:iCs/>
          <w:color w:val="000000"/>
        </w:rPr>
        <w:t>by March 31</w:t>
      </w:r>
      <w:r w:rsidRPr="008330BB" w:rsidR="008330BB">
        <w:rPr>
          <w:bCs/>
          <w:iCs/>
          <w:color w:val="000000"/>
          <w:vertAlign w:val="superscript"/>
        </w:rPr>
        <w:t>st</w:t>
      </w:r>
      <w:r w:rsidR="008330BB">
        <w:rPr>
          <w:bCs/>
          <w:iCs/>
          <w:color w:val="000000"/>
        </w:rPr>
        <w:t xml:space="preserve"> each year</w:t>
      </w:r>
      <w:r w:rsidRPr="00987C14">
        <w:rPr>
          <w:bCs/>
          <w:iCs/>
          <w:color w:val="000000"/>
        </w:rPr>
        <w:t xml:space="preserve"> </w:t>
      </w:r>
      <w:r w:rsidR="00E16E42">
        <w:rPr>
          <w:bCs/>
          <w:iCs/>
          <w:color w:val="000000"/>
        </w:rPr>
        <w:t xml:space="preserve">focused on </w:t>
      </w:r>
      <w:r w:rsidRPr="00987C14">
        <w:rPr>
          <w:bCs/>
          <w:iCs/>
          <w:color w:val="000000"/>
        </w:rPr>
        <w:t xml:space="preserve">complaints </w:t>
      </w:r>
      <w:r w:rsidRPr="00A276C1" w:rsidR="00714CF2">
        <w:rPr>
          <w:bCs/>
          <w:iCs/>
          <w:color w:val="000000"/>
        </w:rPr>
        <w:t>about consumer financial</w:t>
      </w:r>
      <w:r w:rsidR="00714CF2">
        <w:rPr>
          <w:bCs/>
          <w:iCs/>
          <w:color w:val="000000"/>
        </w:rPr>
        <w:t xml:space="preserve"> </w:t>
      </w:r>
      <w:r w:rsidRPr="00A276C1" w:rsidR="00714CF2">
        <w:rPr>
          <w:bCs/>
          <w:iCs/>
          <w:color w:val="000000"/>
        </w:rPr>
        <w:t xml:space="preserve">products </w:t>
      </w:r>
      <w:r w:rsidR="000722C6">
        <w:rPr>
          <w:bCs/>
          <w:iCs/>
          <w:color w:val="000000"/>
        </w:rPr>
        <w:t>and</w:t>
      </w:r>
      <w:r w:rsidRPr="00A276C1" w:rsidR="00714CF2">
        <w:rPr>
          <w:bCs/>
          <w:iCs/>
          <w:color w:val="000000"/>
        </w:rPr>
        <w:t xml:space="preserve"> services</w:t>
      </w:r>
      <w:r w:rsidR="00714CF2">
        <w:rPr>
          <w:bCs/>
          <w:iCs/>
          <w:color w:val="000000"/>
        </w:rPr>
        <w:t xml:space="preserve"> </w:t>
      </w:r>
      <w:r w:rsidR="00E16E42">
        <w:rPr>
          <w:bCs/>
          <w:iCs/>
          <w:color w:val="000000"/>
        </w:rPr>
        <w:t xml:space="preserve">collected </w:t>
      </w:r>
      <w:r w:rsidR="007F7018">
        <w:rPr>
          <w:bCs/>
          <w:iCs/>
          <w:color w:val="000000"/>
        </w:rPr>
        <w:t>during the pr</w:t>
      </w:r>
      <w:r w:rsidR="00B36807">
        <w:rPr>
          <w:bCs/>
          <w:iCs/>
          <w:color w:val="000000"/>
        </w:rPr>
        <w:t>ior</w:t>
      </w:r>
      <w:r w:rsidR="007F7018">
        <w:rPr>
          <w:bCs/>
          <w:iCs/>
          <w:color w:val="000000"/>
        </w:rPr>
        <w:t xml:space="preserve"> year</w:t>
      </w:r>
      <w:r w:rsidR="00E42E3D">
        <w:rPr>
          <w:bCs/>
          <w:iCs/>
          <w:color w:val="000000"/>
        </w:rPr>
        <w:t>,</w:t>
      </w:r>
      <w:r w:rsidR="003247E6">
        <w:rPr>
          <w:bCs/>
          <w:iCs/>
          <w:color w:val="000000"/>
        </w:rPr>
        <w:t xml:space="preserve"> including</w:t>
      </w:r>
      <w:r w:rsidR="007F7018">
        <w:rPr>
          <w:bCs/>
          <w:iCs/>
          <w:color w:val="000000"/>
        </w:rPr>
        <w:t xml:space="preserve"> </w:t>
      </w:r>
      <w:r w:rsidRPr="00987C14">
        <w:rPr>
          <w:bCs/>
          <w:iCs/>
          <w:color w:val="000000"/>
        </w:rPr>
        <w:t xml:space="preserve">information </w:t>
      </w:r>
      <w:r w:rsidR="00FE124E">
        <w:rPr>
          <w:bCs/>
          <w:iCs/>
          <w:color w:val="000000"/>
        </w:rPr>
        <w:t xml:space="preserve">and analysis </w:t>
      </w:r>
      <w:r w:rsidRPr="00987C14">
        <w:rPr>
          <w:bCs/>
          <w:iCs/>
          <w:color w:val="000000"/>
        </w:rPr>
        <w:t>about complaint numbers, types, and resolution</w:t>
      </w:r>
      <w:r w:rsidR="007F7018">
        <w:rPr>
          <w:bCs/>
          <w:iCs/>
          <w:color w:val="000000"/>
        </w:rPr>
        <w:t>.</w:t>
      </w:r>
      <w:r>
        <w:rPr>
          <w:bCs/>
          <w:iCs/>
          <w:color w:val="000000"/>
          <w:vertAlign w:val="superscript"/>
        </w:rPr>
        <w:footnoteReference w:id="31"/>
      </w:r>
      <w:r>
        <w:rPr>
          <w:bCs/>
          <w:iCs/>
          <w:color w:val="000000"/>
        </w:rPr>
        <w:t xml:space="preserve"> </w:t>
      </w:r>
      <w:r w:rsidR="00156668">
        <w:rPr>
          <w:bCs/>
          <w:iCs/>
          <w:color w:val="000000"/>
        </w:rPr>
        <w:t xml:space="preserve">Similar reports </w:t>
      </w:r>
      <w:r w:rsidR="00E90C17">
        <w:rPr>
          <w:bCs/>
          <w:iCs/>
          <w:color w:val="000000"/>
        </w:rPr>
        <w:t xml:space="preserve">may be published </w:t>
      </w:r>
      <w:r w:rsidRPr="005D29F3" w:rsidR="005D29F3">
        <w:rPr>
          <w:bCs/>
          <w:iCs/>
          <w:color w:val="000000"/>
        </w:rPr>
        <w:t>based on aggregate data in summaries, reports, and briefings</w:t>
      </w:r>
      <w:r w:rsidRPr="00231236" w:rsidR="00231236">
        <w:rPr>
          <w:bCs/>
          <w:iCs/>
          <w:color w:val="000000"/>
        </w:rPr>
        <w:t xml:space="preserve"> </w:t>
      </w:r>
      <w:r w:rsidR="00231236">
        <w:rPr>
          <w:bCs/>
          <w:iCs/>
          <w:color w:val="000000"/>
        </w:rPr>
        <w:t>to reflect emerging issues and other Director priorities.</w:t>
      </w:r>
      <w:r w:rsidRPr="005D29F3" w:rsidR="005D29F3">
        <w:rPr>
          <w:bCs/>
          <w:iCs/>
          <w:color w:val="000000"/>
        </w:rPr>
        <w:t xml:space="preserve"> Presentations of analyses may include frequency, classification, and cross-tabulation across consumer financial products or services, demographic and economic characteristics, and financial management behavio</w:t>
      </w:r>
      <w:r w:rsidR="00231236">
        <w:rPr>
          <w:bCs/>
          <w:iCs/>
          <w:color w:val="000000"/>
        </w:rPr>
        <w:t xml:space="preserve">r. </w:t>
      </w:r>
      <w:r w:rsidR="00746FE3">
        <w:rPr>
          <w:bCs/>
          <w:iCs/>
          <w:color w:val="000000"/>
        </w:rPr>
        <w:t xml:space="preserve">A subset of complaint information </w:t>
      </w:r>
      <w:r w:rsidR="00425CAB">
        <w:rPr>
          <w:bCs/>
          <w:iCs/>
          <w:color w:val="000000"/>
        </w:rPr>
        <w:t>may</w:t>
      </w:r>
      <w:r w:rsidR="00746FE3">
        <w:rPr>
          <w:bCs/>
          <w:iCs/>
          <w:color w:val="000000"/>
        </w:rPr>
        <w:t xml:space="preserve"> be disclosed in the Consumer Complaint Database after </w:t>
      </w:r>
      <w:r w:rsidR="00425CAB">
        <w:rPr>
          <w:bCs/>
          <w:iCs/>
          <w:color w:val="000000"/>
        </w:rPr>
        <w:t xml:space="preserve">a </w:t>
      </w:r>
      <w:r w:rsidR="00746FE3">
        <w:rPr>
          <w:bCs/>
          <w:iCs/>
          <w:color w:val="000000"/>
        </w:rPr>
        <w:t>compan</w:t>
      </w:r>
      <w:r w:rsidR="00425CAB">
        <w:rPr>
          <w:bCs/>
          <w:iCs/>
          <w:color w:val="000000"/>
        </w:rPr>
        <w:t>y</w:t>
      </w:r>
      <w:r w:rsidRPr="00425CAB" w:rsidR="00425CAB">
        <w:rPr>
          <w:bCs/>
          <w:iCs/>
          <w:color w:val="000000"/>
        </w:rPr>
        <w:t xml:space="preserve"> responds, confirming a commercial relationship with the consumer, or after 15 days, whichever comes first</w:t>
      </w:r>
      <w:r w:rsidR="00927126">
        <w:rPr>
          <w:bCs/>
          <w:iCs/>
          <w:color w:val="000000"/>
        </w:rPr>
        <w:t>.</w:t>
      </w:r>
    </w:p>
    <w:p w:rsidR="00234C44" w:rsidP="00763543" w14:paraId="2534E74F" w14:textId="77777777">
      <w:pPr>
        <w:rPr>
          <w:bCs/>
        </w:rPr>
      </w:pPr>
    </w:p>
    <w:p w:rsidR="004A12E1" w:rsidRPr="00BF6D43" w:rsidP="004A12E1" w14:paraId="4BC14C68" w14:textId="77777777">
      <w:pPr>
        <w:rPr>
          <w:b/>
        </w:rPr>
      </w:pPr>
      <w:r w:rsidRPr="00BF6D43">
        <w:rPr>
          <w:b/>
        </w:rPr>
        <w:t>17.  I</w:t>
      </w:r>
      <w:r w:rsidRPr="00BF6D43">
        <w:rPr>
          <w:b/>
          <w:bCs/>
        </w:rPr>
        <w:t>f seeking approval to not display the expiration date for OMB approval of the information collection, explain the reasons that display would be inappropriate</w:t>
      </w:r>
      <w:r w:rsidRPr="00BF6D43">
        <w:rPr>
          <w:b/>
        </w:rPr>
        <w:t>.</w:t>
      </w:r>
    </w:p>
    <w:p w:rsidR="004A12E1" w:rsidRPr="00BF6D43" w:rsidP="004A12E1" w14:paraId="519D1A28" w14:textId="77777777"/>
    <w:p w:rsidR="004A12E1" w:rsidRPr="00425CAB" w:rsidP="004A12E1" w14:paraId="13014B59" w14:textId="6B57C109">
      <w:r w:rsidRPr="00BF6D43">
        <w:t xml:space="preserve">The information collection </w:t>
      </w:r>
      <w:r w:rsidRPr="00425CAB">
        <w:t>is not collected in a manner that allows the display of the current expiration date.  However, the expiration date can be found under the “Information Collections under Review” section of</w:t>
      </w:r>
      <w:r w:rsidR="001970D9">
        <w:t xml:space="preserve"> </w:t>
      </w:r>
      <w:r w:rsidRPr="001970D9" w:rsidR="001970D9">
        <w:t>www.reginfo.gov (https://www.reginfo.gov/public/do/PRAMain).</w:t>
      </w:r>
      <w:r w:rsidRPr="00425CAB">
        <w:t xml:space="preserve"> </w:t>
      </w:r>
    </w:p>
    <w:p w:rsidR="004A12E1" w:rsidRPr="00BF6D43" w:rsidP="004A12E1" w14:paraId="33B44E81" w14:textId="77777777"/>
    <w:p w:rsidR="004A12E1" w:rsidP="004A12E1" w14:paraId="2734750B" w14:textId="77777777">
      <w:pPr>
        <w:rPr>
          <w:b/>
        </w:rPr>
      </w:pPr>
      <w:r w:rsidRPr="00BF6D43">
        <w:rPr>
          <w:b/>
        </w:rPr>
        <w:t>18.  Explain each exception to the certification statement.</w:t>
      </w:r>
    </w:p>
    <w:p w:rsidR="004A12E1" w:rsidP="004A12E1" w14:paraId="227AFA18" w14:textId="77777777">
      <w:pPr>
        <w:keepNext/>
        <w:spacing w:before="240" w:after="60"/>
        <w:outlineLvl w:val="1"/>
        <w:rPr>
          <w:bCs/>
          <w:iCs/>
          <w:color w:val="000000"/>
        </w:rPr>
      </w:pPr>
      <w:r w:rsidRPr="00987C14">
        <w:rPr>
          <w:bCs/>
          <w:iCs/>
          <w:color w:val="000000"/>
        </w:rPr>
        <w:t>The Bureau certifies that this collection of information is consistent with the requirements of 5 C</w:t>
      </w:r>
      <w:r>
        <w:rPr>
          <w:bCs/>
          <w:iCs/>
          <w:color w:val="000000"/>
        </w:rPr>
        <w:t>.</w:t>
      </w:r>
      <w:r w:rsidRPr="00987C14">
        <w:rPr>
          <w:bCs/>
          <w:iCs/>
          <w:color w:val="000000"/>
        </w:rPr>
        <w:t>F</w:t>
      </w:r>
      <w:r>
        <w:rPr>
          <w:bCs/>
          <w:iCs/>
          <w:color w:val="000000"/>
        </w:rPr>
        <w:t>.</w:t>
      </w:r>
      <w:r w:rsidRPr="00987C14">
        <w:rPr>
          <w:bCs/>
          <w:iCs/>
          <w:color w:val="000000"/>
        </w:rPr>
        <w:t>R</w:t>
      </w:r>
      <w:r>
        <w:rPr>
          <w:bCs/>
          <w:iCs/>
          <w:color w:val="000000"/>
        </w:rPr>
        <w:t>.</w:t>
      </w:r>
      <w:r w:rsidRPr="00987C14">
        <w:rPr>
          <w:bCs/>
          <w:iCs/>
          <w:color w:val="000000"/>
        </w:rPr>
        <w:t xml:space="preserve"> § 1320.9, and the related provisions of 5 C</w:t>
      </w:r>
      <w:r>
        <w:rPr>
          <w:bCs/>
          <w:iCs/>
          <w:color w:val="000000"/>
        </w:rPr>
        <w:t>.</w:t>
      </w:r>
      <w:r w:rsidRPr="00987C14">
        <w:rPr>
          <w:bCs/>
          <w:iCs/>
          <w:color w:val="000000"/>
        </w:rPr>
        <w:t>F</w:t>
      </w:r>
      <w:r>
        <w:rPr>
          <w:bCs/>
          <w:iCs/>
          <w:color w:val="000000"/>
        </w:rPr>
        <w:t>.</w:t>
      </w:r>
      <w:r w:rsidRPr="00987C14">
        <w:rPr>
          <w:bCs/>
          <w:iCs/>
          <w:color w:val="000000"/>
        </w:rPr>
        <w:t>R</w:t>
      </w:r>
      <w:r>
        <w:rPr>
          <w:bCs/>
          <w:iCs/>
          <w:color w:val="000000"/>
        </w:rPr>
        <w:t>.</w:t>
      </w:r>
      <w:r w:rsidRPr="00987C14">
        <w:rPr>
          <w:bCs/>
          <w:iCs/>
          <w:color w:val="000000"/>
        </w:rPr>
        <w:t xml:space="preserve"> § 1320.8(b)(3) and is not seeking an exemption to these certification requirements.</w:t>
      </w:r>
    </w:p>
    <w:p w:rsidR="004A12E1" w:rsidRPr="00987C14" w:rsidP="004A12E1" w14:paraId="62D92F0D" w14:textId="77777777">
      <w:pPr>
        <w:keepNext/>
        <w:spacing w:before="240" w:after="60"/>
        <w:outlineLvl w:val="0"/>
        <w:rPr>
          <w:b/>
          <w:iCs/>
          <w:caps/>
          <w:color w:val="000000"/>
          <w:kern w:val="32"/>
          <w:lang w:val="x-none" w:eastAsia="x-none"/>
        </w:rPr>
      </w:pPr>
      <w:r w:rsidRPr="00987C14">
        <w:rPr>
          <w:b/>
          <w:iCs/>
          <w:caps/>
          <w:color w:val="000000"/>
          <w:kern w:val="32"/>
          <w:lang w:val="x-none" w:eastAsia="x-none"/>
        </w:rPr>
        <w:t>B. Collections of Information Employing Statistical Methods</w:t>
      </w:r>
    </w:p>
    <w:p w:rsidR="003A619B" w:rsidP="006C7ED5" w14:paraId="72D10BF7" w14:textId="3BE46671">
      <w:pPr>
        <w:keepNext/>
        <w:spacing w:before="240" w:after="60"/>
        <w:outlineLvl w:val="1"/>
      </w:pPr>
      <w:r w:rsidRPr="00987C14">
        <w:rPr>
          <w:bCs/>
          <w:iCs/>
          <w:color w:val="000000"/>
        </w:rPr>
        <w:t>This information collection does not employ statistical methods.  Due to the limitations of the proposed voluntary information collections, most importantly the absence of randomized sample selections, the responses will not be representative of any larger group.  Because any aggregate results of the proposed information collections will not be statistically valid representations of a larger group, and are not meant to be, statistical methods cannot reduce or improve the accuracy of results.</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5CF7" w:rsidP="00BD683D" w14:paraId="45976A6F" w14:textId="77777777">
      <w:r>
        <w:separator/>
      </w:r>
    </w:p>
  </w:footnote>
  <w:footnote w:type="continuationSeparator" w:id="1">
    <w:p w:rsidR="00505CF7" w:rsidP="00BD683D" w14:paraId="59FBEFEB" w14:textId="77777777">
      <w:r>
        <w:continuationSeparator/>
      </w:r>
    </w:p>
  </w:footnote>
  <w:footnote w:id="2">
    <w:p w:rsidR="00BD683D" w:rsidRPr="00C72061" w:rsidP="00C72061" w14:paraId="1B605F20" w14:textId="11B1C641">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sidR="00072846">
        <w:rPr>
          <w:bCs/>
          <w:iCs/>
          <w:color w:val="000000"/>
          <w:sz w:val="20"/>
        </w:rPr>
        <w:t xml:space="preserve">§ </w:t>
      </w:r>
      <w:r w:rsidRPr="00C72061">
        <w:rPr>
          <w:sz w:val="20"/>
        </w:rPr>
        <w:t>5511(c)(2).</w:t>
      </w:r>
    </w:p>
  </w:footnote>
  <w:footnote w:id="3">
    <w:p w:rsidR="004E3A5D" w:rsidRPr="00C72061" w:rsidP="00C72061" w14:paraId="0CCC56BB" w14:textId="27938041">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 xml:space="preserve">§ </w:t>
      </w:r>
      <w:r w:rsidRPr="00C72061">
        <w:rPr>
          <w:sz w:val="20"/>
        </w:rPr>
        <w:t>5493(b)</w:t>
      </w:r>
      <w:r w:rsidRPr="00C72061" w:rsidR="00C16417">
        <w:rPr>
          <w:sz w:val="20"/>
        </w:rPr>
        <w:t>(3)(A).</w:t>
      </w:r>
    </w:p>
  </w:footnote>
  <w:footnote w:id="4">
    <w:p w:rsidR="00F10391" w:rsidRPr="00C72061" w:rsidP="00C72061" w14:paraId="794B6187" w14:textId="60AC09F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 xml:space="preserve">§ </w:t>
      </w:r>
      <w:r w:rsidRPr="00C72061">
        <w:rPr>
          <w:sz w:val="20"/>
        </w:rPr>
        <w:t>5481(4) (“The term ‘consumer’ means an individual or an agent, trustee, or representative acting on behalf of an individual.”).</w:t>
      </w:r>
    </w:p>
  </w:footnote>
  <w:footnote w:id="5">
    <w:p w:rsidR="0006556D" w:rsidRPr="00C72061" w:rsidP="00C72061" w14:paraId="7D3DB634" w14:textId="04BDF973">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sidR="002C1792">
        <w:rPr>
          <w:i/>
          <w:iCs/>
          <w:sz w:val="20"/>
        </w:rPr>
        <w:t xml:space="preserve">See </w:t>
      </w:r>
      <w:r w:rsidRPr="00C72061" w:rsidR="00B916B1">
        <w:rPr>
          <w:sz w:val="20"/>
        </w:rPr>
        <w:t>https://www.reginfo.gov/public/do/PRAViewICR?ref_nbr=202304-3170-001#</w:t>
      </w:r>
    </w:p>
  </w:footnote>
  <w:footnote w:id="6">
    <w:p w:rsidR="00C16417" w:rsidRPr="00C72061" w:rsidP="00C72061" w14:paraId="5F9B43D9" w14:textId="4307261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w:t>
      </w:r>
      <w:r w:rsidRPr="00C72061">
        <w:rPr>
          <w:sz w:val="20"/>
        </w:rPr>
        <w:t xml:space="preserve"> 5493(b)(3)(A).</w:t>
      </w:r>
    </w:p>
  </w:footnote>
  <w:footnote w:id="7">
    <w:p w:rsidR="008A78F7" w:rsidRPr="00C72061" w:rsidP="00C72061" w14:paraId="4C4EFCDC" w14:textId="044D26A3">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 xml:space="preserve">§ </w:t>
      </w:r>
      <w:r w:rsidRPr="00C72061">
        <w:rPr>
          <w:sz w:val="20"/>
        </w:rPr>
        <w:t>5534(a).</w:t>
      </w:r>
    </w:p>
  </w:footnote>
  <w:footnote w:id="8">
    <w:p w:rsidR="00484AB6" w:rsidRPr="00C72061" w:rsidP="00C72061" w14:paraId="3C6D8C25" w14:textId="1ECFEC5F">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 xml:space="preserve">§ </w:t>
      </w:r>
      <w:r w:rsidRPr="00C72061">
        <w:rPr>
          <w:sz w:val="20"/>
        </w:rPr>
        <w:t>5534(</w:t>
      </w:r>
      <w:r w:rsidRPr="00C72061" w:rsidR="0038052D">
        <w:rPr>
          <w:sz w:val="20"/>
        </w:rPr>
        <w:t>b).</w:t>
      </w:r>
    </w:p>
  </w:footnote>
  <w:footnote w:id="9">
    <w:p w:rsidR="005B4D34" w:rsidRPr="00C72061" w:rsidP="00C72061" w14:paraId="6C4E6952" w14:textId="4E57EB3B">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 xml:space="preserve">§ </w:t>
      </w:r>
      <w:r w:rsidRPr="00C72061" w:rsidR="00147546">
        <w:rPr>
          <w:sz w:val="20"/>
        </w:rPr>
        <w:t>5511</w:t>
      </w:r>
      <w:r w:rsidRPr="00C72061">
        <w:rPr>
          <w:sz w:val="20"/>
        </w:rPr>
        <w:t>(c)</w:t>
      </w:r>
      <w:r w:rsidRPr="00C72061" w:rsidR="00147546">
        <w:rPr>
          <w:sz w:val="20"/>
        </w:rPr>
        <w:t>(3)</w:t>
      </w:r>
      <w:r w:rsidRPr="00C72061">
        <w:rPr>
          <w:sz w:val="20"/>
        </w:rPr>
        <w:t>.</w:t>
      </w:r>
    </w:p>
  </w:footnote>
  <w:footnote w:id="10">
    <w:p w:rsidR="0042539B" w:rsidRPr="00C72061" w:rsidP="00C72061" w14:paraId="7BFCEE25" w14:textId="29DB9ED9">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sidR="00FE75CF">
        <w:rPr>
          <w:sz w:val="20"/>
        </w:rPr>
        <w:t xml:space="preserve">12 U.S.C. </w:t>
      </w:r>
      <w:r w:rsidRPr="00C72061" w:rsidR="00FE75CF">
        <w:rPr>
          <w:bCs/>
          <w:iCs/>
          <w:color w:val="000000"/>
          <w:sz w:val="20"/>
        </w:rPr>
        <w:t xml:space="preserve">§5496; </w:t>
      </w:r>
      <w:r w:rsidRPr="00C72061">
        <w:rPr>
          <w:sz w:val="20"/>
        </w:rPr>
        <w:t>12 U.S.C.</w:t>
      </w:r>
      <w:r w:rsidRPr="00C72061" w:rsidR="00072846">
        <w:rPr>
          <w:sz w:val="20"/>
        </w:rPr>
        <w:t xml:space="preserve"> </w:t>
      </w:r>
      <w:r w:rsidRPr="00C72061" w:rsidR="00072846">
        <w:rPr>
          <w:bCs/>
          <w:iCs/>
          <w:color w:val="000000"/>
          <w:sz w:val="20"/>
        </w:rPr>
        <w:t xml:space="preserve">§ </w:t>
      </w:r>
      <w:r w:rsidRPr="00C72061">
        <w:rPr>
          <w:sz w:val="20"/>
        </w:rPr>
        <w:t xml:space="preserve">5493(b)(3)(C). </w:t>
      </w:r>
    </w:p>
  </w:footnote>
  <w:footnote w:id="11">
    <w:p w:rsidR="0042539B" w:rsidRPr="00C72061" w:rsidP="00C72061" w14:paraId="1D1ED9C5" w14:textId="045C76C6">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 xml:space="preserve">§ </w:t>
      </w:r>
      <w:r w:rsidRPr="00C72061">
        <w:rPr>
          <w:sz w:val="20"/>
        </w:rPr>
        <w:t>5493(b)(3)(D).</w:t>
      </w:r>
    </w:p>
  </w:footnote>
  <w:footnote w:id="12">
    <w:p w:rsidR="002F5430" w:rsidRPr="00C72061" w:rsidP="00C72061" w14:paraId="63ADA971" w14:textId="5F661F3D">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 5493(e)(1)(B)</w:t>
      </w:r>
      <w:r w:rsidRPr="00C72061" w:rsidR="00FE75CF">
        <w:rPr>
          <w:sz w:val="20"/>
        </w:rPr>
        <w:t>; 12 U.S.C. § 5535(c).</w:t>
      </w:r>
    </w:p>
  </w:footnote>
  <w:footnote w:id="13">
    <w:p w:rsidR="00DE5F0F" w:rsidRPr="00C72061" w:rsidP="00C72061" w14:paraId="5838D5F4" w14:textId="6A454FC3">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w:t>
      </w:r>
      <w:r w:rsidRPr="00C72061" w:rsidR="00072846">
        <w:rPr>
          <w:sz w:val="20"/>
        </w:rPr>
        <w:t xml:space="preserve"> </w:t>
      </w:r>
      <w:r w:rsidRPr="00C72061" w:rsidR="00072846">
        <w:rPr>
          <w:bCs/>
          <w:iCs/>
          <w:color w:val="000000"/>
          <w:sz w:val="20"/>
        </w:rPr>
        <w:t>§</w:t>
      </w:r>
      <w:r w:rsidRPr="00C72061">
        <w:rPr>
          <w:sz w:val="20"/>
        </w:rPr>
        <w:t xml:space="preserve"> 5493(b)(3)(A).</w:t>
      </w:r>
    </w:p>
  </w:footnote>
  <w:footnote w:id="14">
    <w:p w:rsidR="00756CE3" w:rsidRPr="00C72061" w:rsidP="00C72061" w14:paraId="22D09FDA" w14:textId="29EC2ECA">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Pr>
          <w:i/>
          <w:iCs/>
          <w:sz w:val="20"/>
        </w:rPr>
        <w:t>See generally</w:t>
      </w:r>
      <w:r w:rsidRPr="00C72061">
        <w:rPr>
          <w:sz w:val="20"/>
        </w:rPr>
        <w:t xml:space="preserve">, Consumer Fin. Prot. Bureau, </w:t>
      </w:r>
      <w:r w:rsidRPr="00C72061">
        <w:rPr>
          <w:i/>
          <w:iCs/>
          <w:sz w:val="20"/>
        </w:rPr>
        <w:t>Learn</w:t>
      </w:r>
      <w:r w:rsidRPr="00C72061">
        <w:rPr>
          <w:i/>
          <w:iCs/>
          <w:sz w:val="20"/>
        </w:rPr>
        <w:t xml:space="preserve"> how the complaint process works</w:t>
      </w:r>
      <w:r w:rsidRPr="00C72061">
        <w:rPr>
          <w:sz w:val="20"/>
        </w:rPr>
        <w:t>, https://www.consumerfinance.gov/complaint/process/.</w:t>
      </w:r>
    </w:p>
  </w:footnote>
  <w:footnote w:id="15">
    <w:p w:rsidR="00484AB6" w:rsidRPr="00C72061" w:rsidP="00C72061" w14:paraId="6D885E33" w14:textId="5C16041D">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sidR="00072846">
        <w:rPr>
          <w:bCs/>
          <w:iCs/>
          <w:color w:val="000000"/>
          <w:sz w:val="20"/>
        </w:rPr>
        <w:t xml:space="preserve">§ </w:t>
      </w:r>
      <w:r w:rsidRPr="00C72061">
        <w:rPr>
          <w:sz w:val="20"/>
        </w:rPr>
        <w:t xml:space="preserve">5493(b)(3) and 12 U.S.C. </w:t>
      </w:r>
      <w:r w:rsidRPr="00C72061" w:rsidR="00072846">
        <w:rPr>
          <w:bCs/>
          <w:iCs/>
          <w:color w:val="000000"/>
          <w:sz w:val="20"/>
        </w:rPr>
        <w:t xml:space="preserve">§ </w:t>
      </w:r>
      <w:r w:rsidRPr="00C72061">
        <w:rPr>
          <w:sz w:val="20"/>
        </w:rPr>
        <w:t>5534(a)</w:t>
      </w:r>
      <w:r w:rsidRPr="00C72061" w:rsidR="0038052D">
        <w:rPr>
          <w:sz w:val="20"/>
        </w:rPr>
        <w:t>-(b)</w:t>
      </w:r>
      <w:r w:rsidRPr="00C72061">
        <w:rPr>
          <w:sz w:val="20"/>
        </w:rPr>
        <w:t>.</w:t>
      </w:r>
    </w:p>
  </w:footnote>
  <w:footnote w:id="16">
    <w:p w:rsidR="002A0962" w:rsidRPr="00C72061" w:rsidP="00C72061" w14:paraId="4AED5E27" w14:textId="59C3524F">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sidR="00072846">
        <w:rPr>
          <w:bCs/>
          <w:iCs/>
          <w:color w:val="000000"/>
          <w:sz w:val="20"/>
        </w:rPr>
        <w:t xml:space="preserve">§ </w:t>
      </w:r>
      <w:r w:rsidRPr="00C72061">
        <w:rPr>
          <w:sz w:val="20"/>
        </w:rPr>
        <w:t>551</w:t>
      </w:r>
      <w:r w:rsidRPr="00C72061" w:rsidR="004B75CF">
        <w:rPr>
          <w:sz w:val="20"/>
        </w:rPr>
        <w:t>1</w:t>
      </w:r>
      <w:r w:rsidRPr="00C72061" w:rsidR="00705E75">
        <w:rPr>
          <w:sz w:val="20"/>
        </w:rPr>
        <w:t>(c)(3</w:t>
      </w:r>
      <w:r w:rsidRPr="00C72061" w:rsidR="00705E75">
        <w:rPr>
          <w:sz w:val="20"/>
        </w:rPr>
        <w:t>).</w:t>
      </w:r>
      <w:r w:rsidRPr="00C72061">
        <w:rPr>
          <w:sz w:val="20"/>
        </w:rPr>
        <w:t>.</w:t>
      </w:r>
    </w:p>
  </w:footnote>
  <w:footnote w:id="17">
    <w:p w:rsidR="002A0962" w:rsidRPr="00C72061" w:rsidP="00C72061" w14:paraId="0F41DC82" w14:textId="083FDFD6">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sidR="00072846">
        <w:rPr>
          <w:bCs/>
          <w:iCs/>
          <w:color w:val="000000"/>
          <w:sz w:val="20"/>
        </w:rPr>
        <w:t xml:space="preserve">§ </w:t>
      </w:r>
      <w:r w:rsidRPr="00C72061">
        <w:rPr>
          <w:sz w:val="20"/>
        </w:rPr>
        <w:t xml:space="preserve">5493(b)(3)(C). </w:t>
      </w:r>
      <w:r w:rsidRPr="00C72061">
        <w:rPr>
          <w:i/>
          <w:iCs/>
          <w:sz w:val="20"/>
        </w:rPr>
        <w:t>See</w:t>
      </w:r>
      <w:r w:rsidRPr="00C72061">
        <w:rPr>
          <w:sz w:val="20"/>
        </w:rPr>
        <w:t xml:space="preserve"> </w:t>
      </w:r>
      <w:hyperlink r:id="rId1" w:history="1">
        <w:r w:rsidRPr="00C72061">
          <w:rPr>
            <w:rStyle w:val="Hyperlink"/>
            <w:sz w:val="20"/>
            <w:szCs w:val="20"/>
          </w:rPr>
          <w:t>https://files.consumerfinance.gov/f/documents/cfpb_cr-annual-report_2025-05.pdf</w:t>
        </w:r>
      </w:hyperlink>
      <w:r w:rsidRPr="00C72061">
        <w:rPr>
          <w:sz w:val="20"/>
        </w:rPr>
        <w:t xml:space="preserve">. </w:t>
      </w:r>
    </w:p>
  </w:footnote>
  <w:footnote w:id="18">
    <w:p w:rsidR="002A0962" w:rsidRPr="00C72061" w:rsidP="00C72061" w14:paraId="6CB50EA3" w14:textId="157ABDF5">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sidR="00072846">
        <w:rPr>
          <w:bCs/>
          <w:iCs/>
          <w:color w:val="000000"/>
          <w:sz w:val="20"/>
        </w:rPr>
        <w:t xml:space="preserve">§ </w:t>
      </w:r>
      <w:r w:rsidRPr="00C72061">
        <w:rPr>
          <w:sz w:val="20"/>
        </w:rPr>
        <w:t>5493(b)(3)(D).</w:t>
      </w:r>
    </w:p>
  </w:footnote>
  <w:footnote w:id="19">
    <w:p w:rsidR="00A55C33" w:rsidRPr="00C72061" w:rsidP="00C72061" w14:paraId="653D5AA3" w14:textId="20D60FBC">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sidR="00072846">
        <w:rPr>
          <w:bCs/>
          <w:iCs/>
          <w:color w:val="000000"/>
          <w:sz w:val="20"/>
        </w:rPr>
        <w:t xml:space="preserve">§ </w:t>
      </w:r>
      <w:r w:rsidRPr="00C72061">
        <w:rPr>
          <w:sz w:val="20"/>
        </w:rPr>
        <w:t>5493(b)(3)(A).</w:t>
      </w:r>
    </w:p>
  </w:footnote>
  <w:footnote w:id="20">
    <w:p w:rsidR="0006556D" w:rsidRPr="00C72061" w:rsidP="00C72061" w14:paraId="170FC081" w14:textId="4708AD08">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For the related System of Record Notice (SORN), see </w:t>
      </w:r>
      <w:r w:rsidRPr="00C72061" w:rsidR="00A002B3">
        <w:rPr>
          <w:sz w:val="20"/>
        </w:rPr>
        <w:t>https://www.consumerfinance.gov/privacy/system-records-notices/consumer-response-system/; https://www.federalregister.gov/articles/2014/04/16/2014-08555/privacy-act-of-1974-as-amended; https://www.federalregister.gov/documents/2018/07/13/2018-14990/privacy-act-of-1974-system-of-records.</w:t>
      </w:r>
    </w:p>
  </w:footnote>
  <w:footnote w:id="21">
    <w:p w:rsidR="0006556D" w:rsidRPr="00C72061" w:rsidP="00C72061" w14:paraId="5258D048" w14:textId="7777777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Pr>
          <w:i/>
          <w:sz w:val="20"/>
        </w:rPr>
        <w:t>See</w:t>
      </w:r>
      <w:r w:rsidRPr="00C72061">
        <w:rPr>
          <w:sz w:val="20"/>
        </w:rPr>
        <w:t xml:space="preserve"> https://www.consumerfinance.gov/privacy/website-privacy-policy/.</w:t>
      </w:r>
    </w:p>
  </w:footnote>
  <w:footnote w:id="22">
    <w:p w:rsidR="009A0739" w:rsidRPr="00C72061" w:rsidP="00C72061" w14:paraId="2CD8419B" w14:textId="5E473D42">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Privacy Act Statement quote:</w:t>
      </w:r>
    </w:p>
    <w:p w:rsidR="009A0739" w:rsidRPr="00C72061" w:rsidP="00C72061" w14:paraId="49C4082D" w14:textId="77777777">
      <w:pPr>
        <w:rPr>
          <w:sz w:val="20"/>
          <w:szCs w:val="20"/>
        </w:rPr>
      </w:pPr>
    </w:p>
    <w:p w:rsidR="009A0739" w:rsidRPr="00C72061" w:rsidP="00C72061" w14:paraId="239B13DD" w14:textId="239FEFEC">
      <w:pPr>
        <w:rPr>
          <w:sz w:val="20"/>
          <w:szCs w:val="20"/>
        </w:rPr>
      </w:pPr>
      <w:r w:rsidRPr="00C72061">
        <w:rPr>
          <w:sz w:val="20"/>
          <w:szCs w:val="20"/>
        </w:rPr>
        <w:t>The information you provide will permit the Consumer Financial Protection Bureau (CFPB) to respond to your complaint or inquiry about companies and services we regulate. Information about your complaint or inquiry (including your personally identifiable information (PII)) may be shared:</w:t>
      </w:r>
    </w:p>
    <w:p w:rsidR="009A0739" w:rsidRPr="00C72061" w:rsidP="00C72061" w14:paraId="0F55C80D" w14:textId="77777777">
      <w:pPr>
        <w:numPr>
          <w:ilvl w:val="0"/>
          <w:numId w:val="3"/>
        </w:numPr>
        <w:ind w:left="0" w:firstLine="0"/>
        <w:rPr>
          <w:sz w:val="20"/>
          <w:szCs w:val="20"/>
        </w:rPr>
      </w:pPr>
      <w:r w:rsidRPr="00C72061">
        <w:rPr>
          <w:sz w:val="20"/>
          <w:szCs w:val="20"/>
        </w:rPr>
        <w:t>with the entity that is the subject of your complaint;</w:t>
      </w:r>
    </w:p>
    <w:p w:rsidR="009A0739" w:rsidRPr="00C72061" w:rsidP="00C72061" w14:paraId="68E84821" w14:textId="77777777">
      <w:pPr>
        <w:numPr>
          <w:ilvl w:val="0"/>
          <w:numId w:val="3"/>
        </w:numPr>
        <w:ind w:left="0" w:firstLine="0"/>
        <w:rPr>
          <w:sz w:val="20"/>
          <w:szCs w:val="20"/>
        </w:rPr>
      </w:pPr>
      <w:r w:rsidRPr="00C72061">
        <w:rPr>
          <w:sz w:val="20"/>
          <w:szCs w:val="20"/>
        </w:rPr>
        <w:t>with third parties as necessary to get information relevant to responding to your complaint;</w:t>
      </w:r>
    </w:p>
    <w:p w:rsidR="009A0739" w:rsidRPr="00C72061" w:rsidP="00C72061" w14:paraId="3223F6AD" w14:textId="77777777">
      <w:pPr>
        <w:numPr>
          <w:ilvl w:val="0"/>
          <w:numId w:val="3"/>
        </w:numPr>
        <w:ind w:left="0" w:firstLine="0"/>
        <w:rPr>
          <w:sz w:val="20"/>
          <w:szCs w:val="20"/>
        </w:rPr>
      </w:pPr>
      <w:r w:rsidRPr="00C72061">
        <w:rPr>
          <w:sz w:val="20"/>
          <w:szCs w:val="20"/>
        </w:rPr>
        <w:t xml:space="preserve">with a court, a party in litigation, a magistrate, an adjudicative body or administrative tribunal </w:t>
      </w:r>
      <w:r w:rsidRPr="00C72061">
        <w:rPr>
          <w:sz w:val="20"/>
          <w:szCs w:val="20"/>
        </w:rPr>
        <w:t>in the course of</w:t>
      </w:r>
      <w:r w:rsidRPr="00C72061">
        <w:rPr>
          <w:sz w:val="20"/>
          <w:szCs w:val="20"/>
        </w:rPr>
        <w:t xml:space="preserve"> a proceeding, or the Department of Justice; and</w:t>
      </w:r>
    </w:p>
    <w:p w:rsidR="009A0739" w:rsidRPr="00C72061" w:rsidP="00C72061" w14:paraId="28BB18C6" w14:textId="77777777">
      <w:pPr>
        <w:numPr>
          <w:ilvl w:val="0"/>
          <w:numId w:val="3"/>
        </w:numPr>
        <w:ind w:left="0" w:firstLine="0"/>
        <w:rPr>
          <w:sz w:val="20"/>
          <w:szCs w:val="20"/>
        </w:rPr>
      </w:pPr>
      <w:r w:rsidRPr="00C72061">
        <w:rPr>
          <w:sz w:val="20"/>
          <w:szCs w:val="20"/>
        </w:rPr>
        <w:t>with other federal or state agencies or regulatory authorities for enforcement and statutory purposes.</w:t>
      </w:r>
    </w:p>
    <w:p w:rsidR="009A0739" w:rsidRPr="00C72061" w:rsidP="00C72061" w14:paraId="4C6E8672" w14:textId="77777777">
      <w:pPr>
        <w:rPr>
          <w:sz w:val="20"/>
          <w:szCs w:val="20"/>
        </w:rPr>
      </w:pPr>
      <w:r w:rsidRPr="00C72061">
        <w:rPr>
          <w:sz w:val="20"/>
          <w:szCs w:val="20"/>
        </w:rPr>
        <w:t>We may also share your complaint or inquiry (but not your PII) with the public through the public Consumer Complaint Database.</w:t>
      </w:r>
    </w:p>
    <w:p w:rsidR="009A0739" w:rsidRPr="00C72061" w:rsidP="00C72061" w14:paraId="7CFA4EB6" w14:textId="77777777">
      <w:pPr>
        <w:rPr>
          <w:sz w:val="20"/>
          <w:szCs w:val="20"/>
        </w:rPr>
      </w:pPr>
      <w:r w:rsidRPr="00C72061">
        <w:rPr>
          <w:sz w:val="20"/>
          <w:szCs w:val="20"/>
        </w:rPr>
        <w:t>Although the Bureau does not otherwise anticipate further disclosing the information provided, it may also be disclosed as indicated in the Routine Uses described in the System of Records Notice CFPB.005 – Consumer Response System.</w:t>
      </w:r>
    </w:p>
    <w:p w:rsidR="009A0739" w:rsidRPr="00C72061" w:rsidP="00C72061" w14:paraId="117544F4" w14:textId="77777777">
      <w:pPr>
        <w:rPr>
          <w:sz w:val="20"/>
          <w:szCs w:val="20"/>
        </w:rPr>
      </w:pPr>
      <w:r w:rsidRPr="00C72061">
        <w:rPr>
          <w:sz w:val="20"/>
          <w:szCs w:val="20"/>
        </w:rPr>
        <w:t>The collection of information is authorized by Pub. L. No. 111-203, Title X, Sections 1011, 1012, 1013(b)(3), 1021, 1034, codified at 12 U.S.C. 5491, 5492, 5493(b)(3), 5511, 5534.</w:t>
      </w:r>
    </w:p>
    <w:p w:rsidR="009A0739" w:rsidRPr="00C72061" w:rsidP="00C72061" w14:paraId="758879AB" w14:textId="4F14DD1B">
      <w:pPr>
        <w:rPr>
          <w:sz w:val="20"/>
          <w:szCs w:val="20"/>
        </w:rPr>
      </w:pPr>
      <w:r w:rsidRPr="00C72061">
        <w:rPr>
          <w:sz w:val="20"/>
          <w:szCs w:val="20"/>
        </w:rPr>
        <w:t>Submitting a complaint is voluntary. You are not required to submit a complaint or share any PII, including your Social Security number, and you may withdraw your complaint at any time. However, if you do not include the requested information, the CFPB may not be able to process your complaint.</w:t>
      </w:r>
    </w:p>
  </w:footnote>
  <w:footnote w:id="23">
    <w:p w:rsidR="0006556D" w:rsidRPr="00C72061" w:rsidP="00C72061" w14:paraId="5AE4F88E" w14:textId="7777777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Pr>
          <w:i/>
          <w:sz w:val="20"/>
        </w:rPr>
        <w:t>See</w:t>
      </w:r>
      <w:r w:rsidRPr="00C72061">
        <w:rPr>
          <w:sz w:val="20"/>
        </w:rPr>
        <w:t xml:space="preserve"> https://csrc.nist.gov/publications/detail/fips/199/final.</w:t>
      </w:r>
    </w:p>
  </w:footnote>
  <w:footnote w:id="24">
    <w:p w:rsidR="00184472" w:rsidRPr="00C72061" w:rsidP="00C72061" w14:paraId="0562C84F" w14:textId="7777777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Pr>
          <w:i/>
          <w:iCs/>
          <w:sz w:val="20"/>
        </w:rPr>
        <w:t>See</w:t>
      </w:r>
      <w:r w:rsidRPr="00C72061">
        <w:rPr>
          <w:sz w:val="20"/>
        </w:rPr>
        <w:t xml:space="preserve"> https://files.consumerfinance.gov/f/documents/cfpb_consumer-response-system-pia-v2_2024-08.pdf.</w:t>
      </w:r>
    </w:p>
  </w:footnote>
  <w:footnote w:id="25">
    <w:p w:rsidR="00184472" w:rsidRPr="00C72061" w:rsidP="00C72061" w14:paraId="39AB23B7" w14:textId="7777777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Pr>
          <w:i/>
          <w:iCs/>
          <w:sz w:val="20"/>
        </w:rPr>
        <w:t xml:space="preserve">See </w:t>
      </w:r>
      <w:r w:rsidRPr="00C72061">
        <w:rPr>
          <w:sz w:val="20"/>
        </w:rPr>
        <w:t>https://files.consumerfinance.gov/f/documents/cfpb_consumer-resource-center_pia.pdf</w:t>
      </w:r>
      <w:r w:rsidRPr="00C72061">
        <w:rPr>
          <w:i/>
          <w:iCs/>
          <w:sz w:val="20"/>
        </w:rPr>
        <w:t>.</w:t>
      </w:r>
    </w:p>
  </w:footnote>
  <w:footnote w:id="26">
    <w:p w:rsidR="0006556D" w:rsidRPr="00C72061" w:rsidP="00C72061" w14:paraId="1D203FDF" w14:textId="6611C30A">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w:t>
      </w:r>
      <w:r w:rsidRPr="00C72061" w:rsidR="0093433B">
        <w:rPr>
          <w:i/>
          <w:iCs/>
          <w:sz w:val="20"/>
        </w:rPr>
        <w:t>See</w:t>
      </w:r>
      <w:r w:rsidRPr="00C72061" w:rsidR="002C1792">
        <w:rPr>
          <w:i/>
          <w:iCs/>
          <w:sz w:val="20"/>
        </w:rPr>
        <w:t xml:space="preserve"> </w:t>
      </w:r>
      <w:r w:rsidRPr="00C72061" w:rsidR="002C1792">
        <w:rPr>
          <w:sz w:val="20"/>
        </w:rPr>
        <w:t>https://www.consumerfinance.gov/privacy/system-records-notices/consumer-response-system</w:t>
      </w:r>
      <w:r w:rsidRPr="00C72061" w:rsidR="0093433B">
        <w:rPr>
          <w:sz w:val="20"/>
        </w:rPr>
        <w:t xml:space="preserve">. </w:t>
      </w:r>
      <w:r w:rsidRPr="00C72061">
        <w:rPr>
          <w:i/>
          <w:sz w:val="20"/>
        </w:rPr>
        <w:t>See also</w:t>
      </w:r>
      <w:r w:rsidRPr="00C72061" w:rsidR="00A002B3">
        <w:rPr>
          <w:i/>
          <w:sz w:val="20"/>
        </w:rPr>
        <w:t xml:space="preserve"> </w:t>
      </w:r>
      <w:r w:rsidRPr="00C72061" w:rsidR="00A002B3">
        <w:rPr>
          <w:iCs/>
          <w:sz w:val="20"/>
        </w:rPr>
        <w:t>https://www.federalregister.gov/articles/2014/04/16/2014-08555/privacy-act-of-1974-as-amended</w:t>
      </w:r>
      <w:r w:rsidRPr="00C72061">
        <w:rPr>
          <w:iCs/>
          <w:sz w:val="20"/>
        </w:rPr>
        <w:t xml:space="preserve">; </w:t>
      </w:r>
      <w:r w:rsidRPr="00C72061">
        <w:rPr>
          <w:sz w:val="20"/>
        </w:rPr>
        <w:t>https://www.federalregister.gov/documents/2018/07/13/2018-14990/privacy-act-of-1974-system-of-records.</w:t>
      </w:r>
    </w:p>
  </w:footnote>
  <w:footnote w:id="27">
    <w:p w:rsidR="009D2D30" w:rsidRPr="00C72061" w:rsidP="00C72061" w14:paraId="53A8AB14" w14:textId="358F1966">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Pr>
          <w:bCs/>
          <w:iCs/>
          <w:color w:val="000000"/>
          <w:sz w:val="20"/>
        </w:rPr>
        <w:t xml:space="preserve">§ </w:t>
      </w:r>
      <w:r w:rsidRPr="00C72061">
        <w:rPr>
          <w:sz w:val="20"/>
        </w:rPr>
        <w:t>5567</w:t>
      </w:r>
      <w:r w:rsidRPr="00C72061">
        <w:rPr>
          <w:sz w:val="20"/>
        </w:rPr>
        <w:t>.</w:t>
      </w:r>
    </w:p>
  </w:footnote>
  <w:footnote w:id="28">
    <w:p w:rsidR="00BD3C38" w:rsidRPr="00C72061" w:rsidP="00C72061" w14:paraId="2F749CF3" w14:textId="7777777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Pr>
          <w:bCs/>
          <w:iCs/>
          <w:color w:val="000000"/>
          <w:sz w:val="20"/>
        </w:rPr>
        <w:t xml:space="preserve">§ </w:t>
      </w:r>
      <w:r w:rsidRPr="00C72061">
        <w:rPr>
          <w:sz w:val="20"/>
        </w:rPr>
        <w:t>5493(e)(1)(B).</w:t>
      </w:r>
    </w:p>
  </w:footnote>
  <w:footnote w:id="29">
    <w:p w:rsidR="00770B6A" w14:paraId="3316F490" w14:textId="494FD710">
      <w:pPr>
        <w:pStyle w:val="FootnoteText"/>
      </w:pPr>
      <w:r>
        <w:rPr>
          <w:rStyle w:val="FootnoteReference"/>
        </w:rPr>
        <w:footnoteRef/>
      </w:r>
      <w:r>
        <w:t xml:space="preserve"> </w:t>
      </w:r>
      <w:r w:rsidRPr="00BB6868" w:rsidR="00BB6868">
        <w:rPr>
          <w:rFonts w:eastAsia="Times New Roman"/>
          <w:color w:val="auto"/>
          <w:kern w:val="0"/>
          <w:sz w:val="20"/>
          <w:lang w:eastAsia="en-US"/>
          <w14:ligatures w14:val="none"/>
        </w:rPr>
        <w:t>Bureau of Labor Statistics, https://www.bls.gov/oes/2023/may/oes_nat.htm#00-0000, May 2023 National Occupational Employment and Wage Estimates (Occupation code: 00-0000).</w:t>
      </w:r>
    </w:p>
  </w:footnote>
  <w:footnote w:id="30">
    <w:p w:rsidR="007F7018" w:rsidRPr="00C72061" w:rsidP="00C72061" w14:paraId="398ED43F" w14:textId="5CA2C116">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Pr>
          <w:bCs/>
          <w:iCs/>
          <w:color w:val="000000"/>
          <w:sz w:val="20"/>
        </w:rPr>
        <w:t xml:space="preserve">§ </w:t>
      </w:r>
      <w:r w:rsidRPr="00C72061">
        <w:rPr>
          <w:sz w:val="20"/>
        </w:rPr>
        <w:t>5496.</w:t>
      </w:r>
    </w:p>
  </w:footnote>
  <w:footnote w:id="31">
    <w:p w:rsidR="00B529B6" w:rsidRPr="00C72061" w:rsidP="00C72061" w14:paraId="37F9BA92" w14:textId="77777777">
      <w:pPr>
        <w:pStyle w:val="FootnoteText"/>
        <w:spacing w:before="0" w:line="240" w:lineRule="auto"/>
        <w:ind w:left="0" w:firstLine="0"/>
        <w:rPr>
          <w:sz w:val="20"/>
        </w:rPr>
      </w:pPr>
      <w:r w:rsidRPr="00C72061">
        <w:rPr>
          <w:rStyle w:val="FootnoteReference"/>
          <w:sz w:val="20"/>
          <w:szCs w:val="20"/>
        </w:rPr>
        <w:footnoteRef/>
      </w:r>
      <w:r w:rsidRPr="00C72061">
        <w:rPr>
          <w:sz w:val="20"/>
        </w:rPr>
        <w:t xml:space="preserve"> 12 U.S.C. </w:t>
      </w:r>
      <w:r w:rsidRPr="00C72061">
        <w:rPr>
          <w:bCs/>
          <w:iCs/>
          <w:color w:val="000000"/>
          <w:sz w:val="20"/>
        </w:rPr>
        <w:t xml:space="preserve">§ </w:t>
      </w:r>
      <w:r w:rsidRPr="00C72061">
        <w:rPr>
          <w:sz w:val="20"/>
        </w:rPr>
        <w:t xml:space="preserve">5493(b)(3)(C).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72E" w:rsidRPr="00B9672E" w:rsidP="00B9672E" w14:paraId="05C9A92C" w14:textId="2ED95B2A">
    <w:pPr>
      <w:tabs>
        <w:tab w:val="center" w:pos="4680"/>
        <w:tab w:val="right" w:pos="9360"/>
      </w:tabs>
      <w:rPr>
        <w:rFonts w:eastAsia="Times New Roman" w:cs="Times New Roman"/>
        <w:kern w:val="0"/>
        <w:sz w:val="20"/>
        <w:szCs w:val="20"/>
        <w14:ligatures w14:val="none"/>
      </w:rPr>
    </w:pPr>
    <w:r>
      <w:rPr>
        <w:rFonts w:eastAsia="Times New Roman" w:cs="Times New Roman"/>
        <w:kern w:val="0"/>
        <w:sz w:val="20"/>
        <w:szCs w:val="20"/>
        <w14:ligatures w14:val="none"/>
      </w:rPr>
      <w:t>Consumer Response Intake Form</w:t>
    </w:r>
  </w:p>
  <w:p w:rsidR="00B9672E" w:rsidRPr="00B9672E" w:rsidP="00C42BCB" w14:paraId="246BB868" w14:textId="6C356D74">
    <w:pPr>
      <w:tabs>
        <w:tab w:val="left" w:pos="3347"/>
      </w:tabs>
      <w:rPr>
        <w:rFonts w:eastAsia="Times New Roman" w:cs="Times New Roman"/>
        <w:kern w:val="0"/>
        <w:sz w:val="20"/>
        <w:szCs w:val="20"/>
        <w14:ligatures w14:val="none"/>
      </w:rPr>
    </w:pPr>
    <w:r w:rsidRPr="00B9672E">
      <w:rPr>
        <w:rFonts w:eastAsia="Times New Roman" w:cs="Times New Roman"/>
        <w:kern w:val="0"/>
        <w:sz w:val="20"/>
        <w:szCs w:val="20"/>
        <w14:ligatures w14:val="none"/>
      </w:rPr>
      <w:t>OMB Control Number: 3170-</w:t>
    </w:r>
    <w:r>
      <w:rPr>
        <w:rFonts w:eastAsia="Times New Roman" w:cs="Times New Roman"/>
        <w:kern w:val="0"/>
        <w:sz w:val="20"/>
        <w:szCs w:val="20"/>
        <w14:ligatures w14:val="none"/>
      </w:rPr>
      <w:t>0011</w:t>
    </w:r>
  </w:p>
  <w:p w:rsidR="00B9672E" w:rsidRPr="00B9672E" w:rsidP="00B9672E" w14:paraId="538E22D4" w14:textId="235B4597">
    <w:pPr>
      <w:tabs>
        <w:tab w:val="center" w:pos="4680"/>
        <w:tab w:val="right" w:pos="9360"/>
      </w:tabs>
      <w:rPr>
        <w:rFonts w:eastAsia="Times New Roman" w:cs="Times New Roman"/>
        <w:kern w:val="0"/>
        <w:sz w:val="20"/>
        <w:szCs w:val="20"/>
        <w14:ligatures w14:val="none"/>
      </w:rPr>
    </w:pPr>
    <w:r w:rsidRPr="00B9672E">
      <w:rPr>
        <w:rFonts w:eastAsia="Times New Roman" w:cs="Times New Roman"/>
        <w:kern w:val="0"/>
        <w:sz w:val="20"/>
        <w:szCs w:val="20"/>
        <w14:ligatures w14:val="none"/>
      </w:rPr>
      <w:t xml:space="preserve">OMB Expiration Date: </w:t>
    </w:r>
    <w:r w:rsidR="004A0B76">
      <w:rPr>
        <w:rFonts w:eastAsia="Times New Roman" w:cs="Times New Roman"/>
        <w:kern w:val="0"/>
        <w:sz w:val="20"/>
        <w:szCs w:val="20"/>
        <w14:ligatures w14:val="none"/>
      </w:rPr>
      <w:t>2</w:t>
    </w:r>
    <w:r>
      <w:rPr>
        <w:rFonts w:eastAsia="Times New Roman" w:cs="Times New Roman"/>
        <w:kern w:val="0"/>
        <w:sz w:val="20"/>
        <w:szCs w:val="20"/>
        <w14:ligatures w14:val="none"/>
      </w:rPr>
      <w:t>/28/2026</w:t>
    </w:r>
  </w:p>
  <w:p w:rsidR="00B9672E" w:rsidRPr="00B9672E" w:rsidP="00B9672E" w14:paraId="0EDB0FF0" w14:textId="77777777">
    <w:pPr>
      <w:tabs>
        <w:tab w:val="left" w:pos="6526"/>
      </w:tabs>
      <w:rPr>
        <w:rFonts w:eastAsia="Times New Roman" w:cs="Times New Roman"/>
        <w:kern w:val="0"/>
        <w:sz w:val="20"/>
        <w:szCs w:val="20"/>
        <w14:ligatures w14:val="none"/>
      </w:rPr>
    </w:pPr>
    <w:r w:rsidRPr="00B9672E">
      <w:rPr>
        <w:rFonts w:eastAsia="Times New Roman" w:cs="Times New Roman"/>
        <w:kern w:val="0"/>
        <w:sz w:val="20"/>
        <w:szCs w:val="20"/>
        <w14:ligatures w14:val="none"/>
      </w:rPr>
      <w:tab/>
    </w:r>
  </w:p>
  <w:p w:rsidR="00B9672E" w14:paraId="36EAAD30" w14:textId="22BB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304C3"/>
    <w:multiLevelType w:val="hybridMultilevel"/>
    <w:tmpl w:val="BE08B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5B5596"/>
    <w:multiLevelType w:val="hybridMultilevel"/>
    <w:tmpl w:val="2B3AD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B63850"/>
    <w:multiLevelType w:val="hybridMultilevel"/>
    <w:tmpl w:val="15721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CA591E"/>
    <w:multiLevelType w:val="hybridMultilevel"/>
    <w:tmpl w:val="5DC26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C96734F"/>
    <w:multiLevelType w:val="multilevel"/>
    <w:tmpl w:val="BA70E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836403">
    <w:abstractNumId w:val="3"/>
  </w:num>
  <w:num w:numId="2" w16cid:durableId="1490052998">
    <w:abstractNumId w:val="1"/>
  </w:num>
  <w:num w:numId="3" w16cid:durableId="26764165">
    <w:abstractNumId w:val="5"/>
  </w:num>
  <w:num w:numId="4" w16cid:durableId="1790202258">
    <w:abstractNumId w:val="2"/>
  </w:num>
  <w:num w:numId="5" w16cid:durableId="603459773">
    <w:abstractNumId w:val="4"/>
  </w:num>
  <w:num w:numId="6" w16cid:durableId="205261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SortMethod w:val="na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3D"/>
    <w:rsid w:val="000038EE"/>
    <w:rsid w:val="000071F6"/>
    <w:rsid w:val="00011599"/>
    <w:rsid w:val="00011DDB"/>
    <w:rsid w:val="00022473"/>
    <w:rsid w:val="00027EC6"/>
    <w:rsid w:val="000322D7"/>
    <w:rsid w:val="000331D8"/>
    <w:rsid w:val="000420A4"/>
    <w:rsid w:val="00050AC6"/>
    <w:rsid w:val="00052276"/>
    <w:rsid w:val="000522D1"/>
    <w:rsid w:val="000558BC"/>
    <w:rsid w:val="0006556D"/>
    <w:rsid w:val="00071863"/>
    <w:rsid w:val="000722C6"/>
    <w:rsid w:val="00072846"/>
    <w:rsid w:val="000769CC"/>
    <w:rsid w:val="00076AA5"/>
    <w:rsid w:val="0009274D"/>
    <w:rsid w:val="00093AA4"/>
    <w:rsid w:val="000A561E"/>
    <w:rsid w:val="000B2112"/>
    <w:rsid w:val="000B6507"/>
    <w:rsid w:val="000D1CB1"/>
    <w:rsid w:val="000D30F4"/>
    <w:rsid w:val="000D7175"/>
    <w:rsid w:val="000E17CD"/>
    <w:rsid w:val="000E3DEB"/>
    <w:rsid w:val="000E5D6C"/>
    <w:rsid w:val="000E79B0"/>
    <w:rsid w:val="000E7CFD"/>
    <w:rsid w:val="000F39A5"/>
    <w:rsid w:val="000F4019"/>
    <w:rsid w:val="000F6992"/>
    <w:rsid w:val="00100E32"/>
    <w:rsid w:val="001027CB"/>
    <w:rsid w:val="0010604E"/>
    <w:rsid w:val="00106ABD"/>
    <w:rsid w:val="00107644"/>
    <w:rsid w:val="00116931"/>
    <w:rsid w:val="001218CC"/>
    <w:rsid w:val="001272C6"/>
    <w:rsid w:val="001312CB"/>
    <w:rsid w:val="00135F77"/>
    <w:rsid w:val="0014432A"/>
    <w:rsid w:val="00147212"/>
    <w:rsid w:val="00147546"/>
    <w:rsid w:val="00155A54"/>
    <w:rsid w:val="00156668"/>
    <w:rsid w:val="00157958"/>
    <w:rsid w:val="0016075E"/>
    <w:rsid w:val="00162509"/>
    <w:rsid w:val="00165DE1"/>
    <w:rsid w:val="00170549"/>
    <w:rsid w:val="001727A9"/>
    <w:rsid w:val="0017652B"/>
    <w:rsid w:val="00182DCE"/>
    <w:rsid w:val="00184472"/>
    <w:rsid w:val="00191BE3"/>
    <w:rsid w:val="00191EAA"/>
    <w:rsid w:val="001953F1"/>
    <w:rsid w:val="001970D9"/>
    <w:rsid w:val="001A5DA4"/>
    <w:rsid w:val="001B06CB"/>
    <w:rsid w:val="001B3240"/>
    <w:rsid w:val="001B35AB"/>
    <w:rsid w:val="001B5131"/>
    <w:rsid w:val="001C1DE3"/>
    <w:rsid w:val="001C2882"/>
    <w:rsid w:val="001C79A6"/>
    <w:rsid w:val="001D2439"/>
    <w:rsid w:val="001D6090"/>
    <w:rsid w:val="001F0071"/>
    <w:rsid w:val="001F0B38"/>
    <w:rsid w:val="00200C84"/>
    <w:rsid w:val="0021676B"/>
    <w:rsid w:val="00226E4A"/>
    <w:rsid w:val="00231236"/>
    <w:rsid w:val="00232AB0"/>
    <w:rsid w:val="00234C44"/>
    <w:rsid w:val="002408DD"/>
    <w:rsid w:val="00240B0D"/>
    <w:rsid w:val="00244006"/>
    <w:rsid w:val="0024706D"/>
    <w:rsid w:val="00273AF6"/>
    <w:rsid w:val="0027469C"/>
    <w:rsid w:val="00282DF7"/>
    <w:rsid w:val="00284547"/>
    <w:rsid w:val="002930FC"/>
    <w:rsid w:val="002939EB"/>
    <w:rsid w:val="002A0962"/>
    <w:rsid w:val="002A0B95"/>
    <w:rsid w:val="002B7753"/>
    <w:rsid w:val="002C1792"/>
    <w:rsid w:val="002D04C8"/>
    <w:rsid w:val="002D262C"/>
    <w:rsid w:val="002E354F"/>
    <w:rsid w:val="002F5430"/>
    <w:rsid w:val="003015AE"/>
    <w:rsid w:val="00310C57"/>
    <w:rsid w:val="003156D3"/>
    <w:rsid w:val="00317E92"/>
    <w:rsid w:val="003247E6"/>
    <w:rsid w:val="003266E2"/>
    <w:rsid w:val="0032721F"/>
    <w:rsid w:val="00330010"/>
    <w:rsid w:val="00336064"/>
    <w:rsid w:val="003379C2"/>
    <w:rsid w:val="00342BB9"/>
    <w:rsid w:val="0034551D"/>
    <w:rsid w:val="0035319E"/>
    <w:rsid w:val="00354D51"/>
    <w:rsid w:val="003610EF"/>
    <w:rsid w:val="0036210B"/>
    <w:rsid w:val="0038052D"/>
    <w:rsid w:val="00384D0D"/>
    <w:rsid w:val="003940A0"/>
    <w:rsid w:val="003A20B1"/>
    <w:rsid w:val="003A619B"/>
    <w:rsid w:val="003A65AF"/>
    <w:rsid w:val="003B0979"/>
    <w:rsid w:val="003B56B1"/>
    <w:rsid w:val="003C1CE2"/>
    <w:rsid w:val="003C53D8"/>
    <w:rsid w:val="003D30C1"/>
    <w:rsid w:val="003D423F"/>
    <w:rsid w:val="003E4D4C"/>
    <w:rsid w:val="003F67DD"/>
    <w:rsid w:val="00402710"/>
    <w:rsid w:val="0041191E"/>
    <w:rsid w:val="00420034"/>
    <w:rsid w:val="0042109C"/>
    <w:rsid w:val="004210C7"/>
    <w:rsid w:val="0042539B"/>
    <w:rsid w:val="00425CAB"/>
    <w:rsid w:val="00426518"/>
    <w:rsid w:val="004323B4"/>
    <w:rsid w:val="00433368"/>
    <w:rsid w:val="004336B9"/>
    <w:rsid w:val="0044218C"/>
    <w:rsid w:val="00446550"/>
    <w:rsid w:val="0045672B"/>
    <w:rsid w:val="004629C5"/>
    <w:rsid w:val="00462B41"/>
    <w:rsid w:val="00471D5E"/>
    <w:rsid w:val="00482AF8"/>
    <w:rsid w:val="00484AB6"/>
    <w:rsid w:val="004858FC"/>
    <w:rsid w:val="004A0B76"/>
    <w:rsid w:val="004A12E1"/>
    <w:rsid w:val="004A2AD9"/>
    <w:rsid w:val="004B62AC"/>
    <w:rsid w:val="004B75CF"/>
    <w:rsid w:val="004C09A7"/>
    <w:rsid w:val="004C356D"/>
    <w:rsid w:val="004E06D8"/>
    <w:rsid w:val="004E1AFA"/>
    <w:rsid w:val="004E3A5D"/>
    <w:rsid w:val="00505CF7"/>
    <w:rsid w:val="005103C2"/>
    <w:rsid w:val="005108E8"/>
    <w:rsid w:val="00516071"/>
    <w:rsid w:val="00524EE0"/>
    <w:rsid w:val="00543812"/>
    <w:rsid w:val="00555E6A"/>
    <w:rsid w:val="005A00CA"/>
    <w:rsid w:val="005A3328"/>
    <w:rsid w:val="005B2F13"/>
    <w:rsid w:val="005B4335"/>
    <w:rsid w:val="005B4D34"/>
    <w:rsid w:val="005D29F3"/>
    <w:rsid w:val="005D7A43"/>
    <w:rsid w:val="005E0E7C"/>
    <w:rsid w:val="005E1C5B"/>
    <w:rsid w:val="006010D0"/>
    <w:rsid w:val="006019AC"/>
    <w:rsid w:val="00612A63"/>
    <w:rsid w:val="00615C9C"/>
    <w:rsid w:val="00632E50"/>
    <w:rsid w:val="00641A2B"/>
    <w:rsid w:val="0064779E"/>
    <w:rsid w:val="006503FA"/>
    <w:rsid w:val="00655926"/>
    <w:rsid w:val="0066159D"/>
    <w:rsid w:val="0066204A"/>
    <w:rsid w:val="00666D2C"/>
    <w:rsid w:val="00697251"/>
    <w:rsid w:val="006B0206"/>
    <w:rsid w:val="006C31F5"/>
    <w:rsid w:val="006C7ED5"/>
    <w:rsid w:val="006D0E1C"/>
    <w:rsid w:val="00701348"/>
    <w:rsid w:val="00705E75"/>
    <w:rsid w:val="00714CF2"/>
    <w:rsid w:val="00715F73"/>
    <w:rsid w:val="0071755E"/>
    <w:rsid w:val="00724E94"/>
    <w:rsid w:val="00736224"/>
    <w:rsid w:val="007379A3"/>
    <w:rsid w:val="00742213"/>
    <w:rsid w:val="00746FE3"/>
    <w:rsid w:val="00751CBB"/>
    <w:rsid w:val="00751E1D"/>
    <w:rsid w:val="007536FC"/>
    <w:rsid w:val="00756CE3"/>
    <w:rsid w:val="007570A1"/>
    <w:rsid w:val="00760A07"/>
    <w:rsid w:val="0076313F"/>
    <w:rsid w:val="00763543"/>
    <w:rsid w:val="007660E5"/>
    <w:rsid w:val="00770B6A"/>
    <w:rsid w:val="007762C2"/>
    <w:rsid w:val="00787F2A"/>
    <w:rsid w:val="00797681"/>
    <w:rsid w:val="007A210F"/>
    <w:rsid w:val="007A7CE1"/>
    <w:rsid w:val="007E7894"/>
    <w:rsid w:val="007F7018"/>
    <w:rsid w:val="00800974"/>
    <w:rsid w:val="00814126"/>
    <w:rsid w:val="00820BB2"/>
    <w:rsid w:val="008330BB"/>
    <w:rsid w:val="008412BC"/>
    <w:rsid w:val="00856FBB"/>
    <w:rsid w:val="00875457"/>
    <w:rsid w:val="0087724E"/>
    <w:rsid w:val="0088371B"/>
    <w:rsid w:val="00894851"/>
    <w:rsid w:val="00896E09"/>
    <w:rsid w:val="00897523"/>
    <w:rsid w:val="008A78F7"/>
    <w:rsid w:val="008B2532"/>
    <w:rsid w:val="008B3680"/>
    <w:rsid w:val="008D4196"/>
    <w:rsid w:val="008D5AC2"/>
    <w:rsid w:val="008D7E20"/>
    <w:rsid w:val="008E1143"/>
    <w:rsid w:val="008E1357"/>
    <w:rsid w:val="008F026F"/>
    <w:rsid w:val="008F7C9C"/>
    <w:rsid w:val="0091587C"/>
    <w:rsid w:val="00917425"/>
    <w:rsid w:val="00926514"/>
    <w:rsid w:val="00927126"/>
    <w:rsid w:val="00927795"/>
    <w:rsid w:val="0093433B"/>
    <w:rsid w:val="00935466"/>
    <w:rsid w:val="00945772"/>
    <w:rsid w:val="00945D9D"/>
    <w:rsid w:val="0096005E"/>
    <w:rsid w:val="00961B3E"/>
    <w:rsid w:val="00970FF0"/>
    <w:rsid w:val="00973808"/>
    <w:rsid w:val="009858CF"/>
    <w:rsid w:val="00987C14"/>
    <w:rsid w:val="0099788A"/>
    <w:rsid w:val="009A0739"/>
    <w:rsid w:val="009A726B"/>
    <w:rsid w:val="009C23CD"/>
    <w:rsid w:val="009C3B47"/>
    <w:rsid w:val="009D2D30"/>
    <w:rsid w:val="009D5942"/>
    <w:rsid w:val="009F7426"/>
    <w:rsid w:val="00A002B3"/>
    <w:rsid w:val="00A227EF"/>
    <w:rsid w:val="00A22F20"/>
    <w:rsid w:val="00A244FF"/>
    <w:rsid w:val="00A2696C"/>
    <w:rsid w:val="00A276C1"/>
    <w:rsid w:val="00A30973"/>
    <w:rsid w:val="00A36A82"/>
    <w:rsid w:val="00A55C33"/>
    <w:rsid w:val="00A62CD8"/>
    <w:rsid w:val="00A6714E"/>
    <w:rsid w:val="00A67513"/>
    <w:rsid w:val="00A6781F"/>
    <w:rsid w:val="00A90705"/>
    <w:rsid w:val="00A9136E"/>
    <w:rsid w:val="00AB32B1"/>
    <w:rsid w:val="00AB39C9"/>
    <w:rsid w:val="00AB4EFC"/>
    <w:rsid w:val="00AC3E88"/>
    <w:rsid w:val="00AD6745"/>
    <w:rsid w:val="00AF6B30"/>
    <w:rsid w:val="00B120A4"/>
    <w:rsid w:val="00B12712"/>
    <w:rsid w:val="00B13E71"/>
    <w:rsid w:val="00B200D6"/>
    <w:rsid w:val="00B249E7"/>
    <w:rsid w:val="00B27695"/>
    <w:rsid w:val="00B33091"/>
    <w:rsid w:val="00B36807"/>
    <w:rsid w:val="00B43D13"/>
    <w:rsid w:val="00B50F07"/>
    <w:rsid w:val="00B529B6"/>
    <w:rsid w:val="00B53080"/>
    <w:rsid w:val="00B538EB"/>
    <w:rsid w:val="00B55902"/>
    <w:rsid w:val="00B57355"/>
    <w:rsid w:val="00B61EDE"/>
    <w:rsid w:val="00B67183"/>
    <w:rsid w:val="00B74BFD"/>
    <w:rsid w:val="00B74DDB"/>
    <w:rsid w:val="00B916B1"/>
    <w:rsid w:val="00B9672E"/>
    <w:rsid w:val="00BA4430"/>
    <w:rsid w:val="00BA5009"/>
    <w:rsid w:val="00BB47E7"/>
    <w:rsid w:val="00BB500B"/>
    <w:rsid w:val="00BB6868"/>
    <w:rsid w:val="00BC19CD"/>
    <w:rsid w:val="00BC254F"/>
    <w:rsid w:val="00BC424A"/>
    <w:rsid w:val="00BC56A2"/>
    <w:rsid w:val="00BD24D1"/>
    <w:rsid w:val="00BD3C38"/>
    <w:rsid w:val="00BD683D"/>
    <w:rsid w:val="00BD7EF8"/>
    <w:rsid w:val="00BE404E"/>
    <w:rsid w:val="00BE5AAE"/>
    <w:rsid w:val="00BE5D0C"/>
    <w:rsid w:val="00BF1FAD"/>
    <w:rsid w:val="00BF6D43"/>
    <w:rsid w:val="00C016EB"/>
    <w:rsid w:val="00C06283"/>
    <w:rsid w:val="00C11505"/>
    <w:rsid w:val="00C154F7"/>
    <w:rsid w:val="00C15B4C"/>
    <w:rsid w:val="00C16124"/>
    <w:rsid w:val="00C16417"/>
    <w:rsid w:val="00C17844"/>
    <w:rsid w:val="00C42BCB"/>
    <w:rsid w:val="00C5638E"/>
    <w:rsid w:val="00C72061"/>
    <w:rsid w:val="00C87C1C"/>
    <w:rsid w:val="00CA21B1"/>
    <w:rsid w:val="00CB642B"/>
    <w:rsid w:val="00CD20C4"/>
    <w:rsid w:val="00CD4217"/>
    <w:rsid w:val="00CD7285"/>
    <w:rsid w:val="00CE19CA"/>
    <w:rsid w:val="00CF5658"/>
    <w:rsid w:val="00D003AB"/>
    <w:rsid w:val="00D10189"/>
    <w:rsid w:val="00D11B48"/>
    <w:rsid w:val="00D275A1"/>
    <w:rsid w:val="00D44491"/>
    <w:rsid w:val="00D464DC"/>
    <w:rsid w:val="00D618B9"/>
    <w:rsid w:val="00D63A8C"/>
    <w:rsid w:val="00D64A7D"/>
    <w:rsid w:val="00D711B1"/>
    <w:rsid w:val="00D71E3C"/>
    <w:rsid w:val="00D73F19"/>
    <w:rsid w:val="00D7502E"/>
    <w:rsid w:val="00D768D5"/>
    <w:rsid w:val="00D8661B"/>
    <w:rsid w:val="00D86ADB"/>
    <w:rsid w:val="00D87650"/>
    <w:rsid w:val="00D97822"/>
    <w:rsid w:val="00DA1A24"/>
    <w:rsid w:val="00DA2D3F"/>
    <w:rsid w:val="00DA3335"/>
    <w:rsid w:val="00DA5692"/>
    <w:rsid w:val="00DB3CBE"/>
    <w:rsid w:val="00DB58D0"/>
    <w:rsid w:val="00DC4045"/>
    <w:rsid w:val="00DD2724"/>
    <w:rsid w:val="00DD63D5"/>
    <w:rsid w:val="00DE5F0F"/>
    <w:rsid w:val="00DE7AB0"/>
    <w:rsid w:val="00DF2090"/>
    <w:rsid w:val="00E02528"/>
    <w:rsid w:val="00E0378E"/>
    <w:rsid w:val="00E05D03"/>
    <w:rsid w:val="00E07F59"/>
    <w:rsid w:val="00E130C0"/>
    <w:rsid w:val="00E15003"/>
    <w:rsid w:val="00E16E42"/>
    <w:rsid w:val="00E2279E"/>
    <w:rsid w:val="00E25D07"/>
    <w:rsid w:val="00E30B01"/>
    <w:rsid w:val="00E3199F"/>
    <w:rsid w:val="00E4237E"/>
    <w:rsid w:val="00E42E3D"/>
    <w:rsid w:val="00E433AE"/>
    <w:rsid w:val="00E4544D"/>
    <w:rsid w:val="00E61CA2"/>
    <w:rsid w:val="00E62C77"/>
    <w:rsid w:val="00E75653"/>
    <w:rsid w:val="00E90C17"/>
    <w:rsid w:val="00E90C9C"/>
    <w:rsid w:val="00EA0001"/>
    <w:rsid w:val="00EA6000"/>
    <w:rsid w:val="00EC5C44"/>
    <w:rsid w:val="00EC6E22"/>
    <w:rsid w:val="00ED44B1"/>
    <w:rsid w:val="00ED794B"/>
    <w:rsid w:val="00EE1584"/>
    <w:rsid w:val="00EE5AE2"/>
    <w:rsid w:val="00EF2F30"/>
    <w:rsid w:val="00F016B0"/>
    <w:rsid w:val="00F10391"/>
    <w:rsid w:val="00F11B0F"/>
    <w:rsid w:val="00F34DB7"/>
    <w:rsid w:val="00F353B2"/>
    <w:rsid w:val="00F439B1"/>
    <w:rsid w:val="00F61F53"/>
    <w:rsid w:val="00F64F3D"/>
    <w:rsid w:val="00F74DDD"/>
    <w:rsid w:val="00F8364D"/>
    <w:rsid w:val="00F9241F"/>
    <w:rsid w:val="00F95445"/>
    <w:rsid w:val="00FB5245"/>
    <w:rsid w:val="00FC3232"/>
    <w:rsid w:val="00FC328C"/>
    <w:rsid w:val="00FD0B33"/>
    <w:rsid w:val="00FD199F"/>
    <w:rsid w:val="00FD7F9E"/>
    <w:rsid w:val="00FE124E"/>
    <w:rsid w:val="00FE3821"/>
    <w:rsid w:val="00FE75CF"/>
    <w:rsid w:val="00FF4B66"/>
    <w:rsid w:val="00FF5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D1E8F"/>
  <w15:chartTrackingRefBased/>
  <w15:docId w15:val="{47065AD0-6269-4A10-B46A-5E560CF3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962"/>
  </w:style>
  <w:style w:type="paragraph" w:styleId="Heading1">
    <w:name w:val="heading 1"/>
    <w:basedOn w:val="Normal"/>
    <w:next w:val="Normal"/>
    <w:link w:val="Heading1Char"/>
    <w:uiPriority w:val="9"/>
    <w:qFormat/>
    <w:rsid w:val="00BD68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68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683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683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D683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D68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68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68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68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qFormat/>
    <w:rsid w:val="009A0739"/>
    <w:pPr>
      <w:spacing w:before="240" w:line="240" w:lineRule="exact"/>
      <w:ind w:left="144" w:hanging="144"/>
    </w:pPr>
    <w:rPr>
      <w:rFonts w:eastAsia="Calibri" w:cs="Times New Roman"/>
      <w:color w:val="212121"/>
      <w:szCs w:val="20"/>
      <w:lang w:eastAsia="ja-JP"/>
    </w:rPr>
  </w:style>
  <w:style w:type="character" w:customStyle="1" w:styleId="FootnoteTextChar">
    <w:name w:val="Footnote Text Char"/>
    <w:basedOn w:val="DefaultParagraphFont"/>
    <w:link w:val="FootnoteText"/>
    <w:uiPriority w:val="99"/>
    <w:rsid w:val="009A0739"/>
    <w:rPr>
      <w:rFonts w:eastAsia="Calibri" w:cs="Times New Roman"/>
      <w:color w:val="212121"/>
      <w:szCs w:val="20"/>
      <w:lang w:eastAsia="ja-JP"/>
    </w:rPr>
  </w:style>
  <w:style w:type="paragraph" w:styleId="CommentText">
    <w:name w:val="annotation text"/>
    <w:basedOn w:val="Normal"/>
    <w:link w:val="CommentTextChar"/>
    <w:unhideWhenUsed/>
    <w:rsid w:val="004323B4"/>
    <w:pPr>
      <w:spacing w:after="120"/>
    </w:pPr>
    <w:rPr>
      <w:rFonts w:eastAsiaTheme="minorEastAsia"/>
      <w:sz w:val="20"/>
      <w:szCs w:val="20"/>
    </w:rPr>
  </w:style>
  <w:style w:type="character" w:customStyle="1" w:styleId="CommentTextChar">
    <w:name w:val="Comment Text Char"/>
    <w:basedOn w:val="DefaultParagraphFont"/>
    <w:link w:val="CommentText"/>
    <w:rsid w:val="004323B4"/>
    <w:rPr>
      <w:rFonts w:ascii="Times New Roman" w:hAnsi="Times New Roman" w:eastAsiaTheme="minorEastAsia"/>
      <w:sz w:val="20"/>
      <w:szCs w:val="20"/>
    </w:rPr>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basedOn w:val="DefaultParagraphFont"/>
    <w:uiPriority w:val="99"/>
    <w:qFormat/>
    <w:rsid w:val="004323B4"/>
    <w:rPr>
      <w:rFonts w:ascii="Times New Roman" w:hAnsi="Times New Roman" w:cs="Times New Roman"/>
      <w:sz w:val="22"/>
      <w:szCs w:val="22"/>
      <w:vertAlign w:val="superscript"/>
    </w:rPr>
  </w:style>
  <w:style w:type="character" w:styleId="CommentReference">
    <w:name w:val="annotation reference"/>
    <w:basedOn w:val="DefaultParagraphFont"/>
    <w:semiHidden/>
    <w:unhideWhenUsed/>
    <w:rsid w:val="004323B4"/>
    <w:rPr>
      <w:sz w:val="16"/>
      <w:szCs w:val="16"/>
    </w:rPr>
  </w:style>
  <w:style w:type="character" w:styleId="Hyperlink">
    <w:name w:val="Hyperlink"/>
    <w:basedOn w:val="DefaultParagraphFont"/>
    <w:uiPriority w:val="99"/>
    <w:unhideWhenUsed/>
    <w:qFormat/>
    <w:rsid w:val="004323B4"/>
    <w:rPr>
      <w:rFonts w:ascii="Times New Roman" w:hAnsi="Times New Roman"/>
      <w:color w:val="4BACC6" w:themeColor="accent5"/>
      <w:sz w:val="28"/>
      <w:szCs w:val="22"/>
      <w:u w:val="dotted"/>
    </w:rPr>
  </w:style>
  <w:style w:type="paragraph" w:styleId="CommentSubject">
    <w:name w:val="annotation subject"/>
    <w:basedOn w:val="CommentText"/>
    <w:next w:val="CommentText"/>
    <w:link w:val="CommentSubjectChar"/>
    <w:uiPriority w:val="99"/>
    <w:semiHidden/>
    <w:unhideWhenUsed/>
    <w:rsid w:val="004323B4"/>
    <w:pPr>
      <w:spacing w:after="0"/>
    </w:pPr>
    <w:rPr>
      <w:b/>
      <w:bCs/>
    </w:rPr>
  </w:style>
  <w:style w:type="character" w:customStyle="1" w:styleId="CommentSubjectChar">
    <w:name w:val="Comment Subject Char"/>
    <w:basedOn w:val="CommentTextChar"/>
    <w:link w:val="CommentSubject"/>
    <w:uiPriority w:val="99"/>
    <w:semiHidden/>
    <w:rsid w:val="004323B4"/>
    <w:rPr>
      <w:rFonts w:ascii="Times New Roman" w:hAnsi="Times New Roman" w:eastAsiaTheme="minorEastAsia"/>
      <w:b/>
      <w:bCs/>
      <w:sz w:val="20"/>
      <w:szCs w:val="20"/>
    </w:rPr>
  </w:style>
  <w:style w:type="paragraph" w:styleId="BalloonText">
    <w:name w:val="Balloon Text"/>
    <w:basedOn w:val="Normal"/>
    <w:link w:val="BalloonTextChar"/>
    <w:uiPriority w:val="99"/>
    <w:semiHidden/>
    <w:unhideWhenUsed/>
    <w:rsid w:val="004323B4"/>
    <w:rPr>
      <w:rFonts w:ascii="Calibri" w:hAnsi="Calibri" w:cs="Segoe UI"/>
      <w:sz w:val="28"/>
      <w:szCs w:val="18"/>
    </w:rPr>
  </w:style>
  <w:style w:type="character" w:customStyle="1" w:styleId="BalloonTextChar">
    <w:name w:val="Balloon Text Char"/>
    <w:basedOn w:val="DefaultParagraphFont"/>
    <w:link w:val="BalloonText"/>
    <w:uiPriority w:val="99"/>
    <w:semiHidden/>
    <w:rsid w:val="004323B4"/>
    <w:rPr>
      <w:rFonts w:ascii="Calibri" w:hAnsi="Calibri" w:cs="Segoe UI"/>
      <w:sz w:val="28"/>
      <w:szCs w:val="18"/>
    </w:rPr>
  </w:style>
  <w:style w:type="paragraph" w:styleId="ListParagraph">
    <w:name w:val="List Paragraph"/>
    <w:basedOn w:val="Normal"/>
    <w:uiPriority w:val="34"/>
    <w:qFormat/>
    <w:rsid w:val="004323B4"/>
    <w:pPr>
      <w:ind w:left="720"/>
      <w:contextualSpacing/>
    </w:pPr>
  </w:style>
  <w:style w:type="character" w:customStyle="1" w:styleId="Heading1Char">
    <w:name w:val="Heading 1 Char"/>
    <w:basedOn w:val="DefaultParagraphFont"/>
    <w:link w:val="Heading1"/>
    <w:uiPriority w:val="9"/>
    <w:rsid w:val="00BD68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68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683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683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D683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D68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68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68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68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68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8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8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68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83D"/>
    <w:rPr>
      <w:i/>
      <w:iCs/>
      <w:color w:val="404040" w:themeColor="text1" w:themeTint="BF"/>
    </w:rPr>
  </w:style>
  <w:style w:type="character" w:styleId="IntenseEmphasis">
    <w:name w:val="Intense Emphasis"/>
    <w:basedOn w:val="DefaultParagraphFont"/>
    <w:uiPriority w:val="21"/>
    <w:qFormat/>
    <w:rsid w:val="00BD683D"/>
    <w:rPr>
      <w:i/>
      <w:iCs/>
      <w:color w:val="365F91" w:themeColor="accent1" w:themeShade="BF"/>
    </w:rPr>
  </w:style>
  <w:style w:type="paragraph" w:styleId="IntenseQuote">
    <w:name w:val="Intense Quote"/>
    <w:basedOn w:val="Normal"/>
    <w:next w:val="Normal"/>
    <w:link w:val="IntenseQuoteChar"/>
    <w:uiPriority w:val="30"/>
    <w:qFormat/>
    <w:rsid w:val="00BD68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683D"/>
    <w:rPr>
      <w:i/>
      <w:iCs/>
      <w:color w:val="365F91" w:themeColor="accent1" w:themeShade="BF"/>
    </w:rPr>
  </w:style>
  <w:style w:type="character" w:styleId="IntenseReference">
    <w:name w:val="Intense Reference"/>
    <w:basedOn w:val="DefaultParagraphFont"/>
    <w:uiPriority w:val="32"/>
    <w:qFormat/>
    <w:rsid w:val="00BD683D"/>
    <w:rPr>
      <w:b/>
      <w:bCs/>
      <w:smallCaps/>
      <w:color w:val="365F91" w:themeColor="accent1" w:themeShade="BF"/>
      <w:spacing w:val="5"/>
    </w:rPr>
  </w:style>
  <w:style w:type="character" w:styleId="UnresolvedMention">
    <w:name w:val="Unresolved Mention"/>
    <w:basedOn w:val="DefaultParagraphFont"/>
    <w:uiPriority w:val="99"/>
    <w:semiHidden/>
    <w:unhideWhenUsed/>
    <w:rsid w:val="002A0962"/>
    <w:rPr>
      <w:color w:val="605E5C"/>
      <w:shd w:val="clear" w:color="auto" w:fill="E1DFDD"/>
    </w:rPr>
  </w:style>
  <w:style w:type="paragraph" w:styleId="BodyText">
    <w:name w:val="Body Text"/>
    <w:basedOn w:val="Normal"/>
    <w:link w:val="BodyTextChar"/>
    <w:rsid w:val="009C3B47"/>
    <w:rPr>
      <w:rFonts w:eastAsia="Times New Roman" w:cs="Times New Roman"/>
      <w:kern w:val="0"/>
      <w:szCs w:val="20"/>
      <w14:ligatures w14:val="none"/>
    </w:rPr>
  </w:style>
  <w:style w:type="character" w:customStyle="1" w:styleId="BodyTextChar">
    <w:name w:val="Body Text Char"/>
    <w:basedOn w:val="DefaultParagraphFont"/>
    <w:link w:val="BodyText"/>
    <w:rsid w:val="009C3B47"/>
    <w:rPr>
      <w:rFonts w:eastAsia="Times New Roman" w:cs="Times New Roman"/>
      <w:kern w:val="0"/>
      <w:szCs w:val="20"/>
      <w14:ligatures w14:val="none"/>
    </w:rPr>
  </w:style>
  <w:style w:type="paragraph" w:customStyle="1" w:styleId="Level1">
    <w:name w:val="Level 1"/>
    <w:basedOn w:val="Normal"/>
    <w:rsid w:val="00226E4A"/>
    <w:pPr>
      <w:widowControl w:val="0"/>
      <w:autoSpaceDE w:val="0"/>
      <w:autoSpaceDN w:val="0"/>
      <w:adjustRightInd w:val="0"/>
      <w:ind w:left="360" w:hanging="360"/>
    </w:pPr>
    <w:rPr>
      <w:rFonts w:eastAsia="Times New Roman" w:cs="Times New Roman"/>
      <w:kern w:val="0"/>
      <w14:ligatures w14:val="none"/>
    </w:rPr>
  </w:style>
  <w:style w:type="paragraph" w:styleId="EndnoteText">
    <w:name w:val="endnote text"/>
    <w:basedOn w:val="Normal"/>
    <w:link w:val="EndnoteTextChar"/>
    <w:uiPriority w:val="99"/>
    <w:semiHidden/>
    <w:unhideWhenUsed/>
    <w:rsid w:val="00BA4430"/>
    <w:rPr>
      <w:sz w:val="20"/>
      <w:szCs w:val="20"/>
    </w:rPr>
  </w:style>
  <w:style w:type="character" w:customStyle="1" w:styleId="EndnoteTextChar">
    <w:name w:val="Endnote Text Char"/>
    <w:basedOn w:val="DefaultParagraphFont"/>
    <w:link w:val="EndnoteText"/>
    <w:uiPriority w:val="99"/>
    <w:semiHidden/>
    <w:rsid w:val="00BA4430"/>
    <w:rPr>
      <w:sz w:val="20"/>
      <w:szCs w:val="20"/>
    </w:rPr>
  </w:style>
  <w:style w:type="character" w:styleId="EndnoteReference">
    <w:name w:val="endnote reference"/>
    <w:basedOn w:val="DefaultParagraphFont"/>
    <w:uiPriority w:val="99"/>
    <w:semiHidden/>
    <w:unhideWhenUsed/>
    <w:rsid w:val="00BA4430"/>
    <w:rPr>
      <w:vertAlign w:val="superscript"/>
    </w:rPr>
  </w:style>
  <w:style w:type="table" w:styleId="TableGrid">
    <w:name w:val="Table Grid"/>
    <w:basedOn w:val="TableNormal"/>
    <w:rsid w:val="00763543"/>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0E1C"/>
  </w:style>
  <w:style w:type="character" w:styleId="FollowedHyperlink">
    <w:name w:val="FollowedHyperlink"/>
    <w:basedOn w:val="DefaultParagraphFont"/>
    <w:uiPriority w:val="99"/>
    <w:semiHidden/>
    <w:unhideWhenUsed/>
    <w:rsid w:val="004C356D"/>
    <w:rPr>
      <w:color w:val="800080" w:themeColor="followedHyperlink"/>
      <w:u w:val="single"/>
    </w:rPr>
  </w:style>
  <w:style w:type="paragraph" w:styleId="Header">
    <w:name w:val="header"/>
    <w:basedOn w:val="Normal"/>
    <w:link w:val="HeaderChar"/>
    <w:uiPriority w:val="99"/>
    <w:unhideWhenUsed/>
    <w:rsid w:val="00B9672E"/>
    <w:pPr>
      <w:tabs>
        <w:tab w:val="center" w:pos="4680"/>
        <w:tab w:val="right" w:pos="9360"/>
      </w:tabs>
    </w:pPr>
  </w:style>
  <w:style w:type="character" w:customStyle="1" w:styleId="HeaderChar">
    <w:name w:val="Header Char"/>
    <w:basedOn w:val="DefaultParagraphFont"/>
    <w:link w:val="Header"/>
    <w:uiPriority w:val="99"/>
    <w:rsid w:val="00B9672E"/>
  </w:style>
  <w:style w:type="paragraph" w:styleId="Footer">
    <w:name w:val="footer"/>
    <w:basedOn w:val="Normal"/>
    <w:link w:val="FooterChar"/>
    <w:uiPriority w:val="99"/>
    <w:unhideWhenUsed/>
    <w:rsid w:val="00B9672E"/>
    <w:pPr>
      <w:tabs>
        <w:tab w:val="center" w:pos="4680"/>
        <w:tab w:val="right" w:pos="9360"/>
      </w:tabs>
    </w:pPr>
  </w:style>
  <w:style w:type="character" w:customStyle="1" w:styleId="FooterChar">
    <w:name w:val="Footer Char"/>
    <w:basedOn w:val="DefaultParagraphFont"/>
    <w:link w:val="Footer"/>
    <w:uiPriority w:val="99"/>
    <w:rsid w:val="00B96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files.consumerfinance.gov/f/documents/cfpb_cr-annual-report_2025-0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_dlc_DocId xmlns="8097749c-35e3-4292-9c41-d352b303d2cf">OPSOCDOPRA-2116056712-2137336</_dlc_DocId>
    <_dlc_DocIdUrl xmlns="8097749c-35e3-4292-9c41-d352b303d2cf">
      <Url>https://bcfp365.sharepoint.com/sites/ops-ocdo-pra/_layouts/15/DocIdRedir.aspx?ID=OPSOCDOPRA-2116056712-2137336</Url>
      <Description>OPSOCDOPRA-2116056712-2137336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cf0b502434c91beab762fbe7d1749f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f9f3f65cff125e9cf89cea205f54916"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0CA-071C-4415-9EBA-050FBBE48BA9}">
  <ds:schemaRefs>
    <ds:schemaRef ds:uri="http://schemas.openxmlformats.org/package/2006/metadata/core-properties"/>
    <ds:schemaRef ds:uri="3c358492-2927-472d-85d8-14627d068203"/>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8097749c-35e3-4292-9c41-d352b303d2c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8AFEC8F-544F-4CD2-8F57-CF977A7237CC}">
  <ds:schemaRefs>
    <ds:schemaRef ds:uri="http://schemas.openxmlformats.org/officeDocument/2006/bibliography"/>
  </ds:schemaRefs>
</ds:datastoreItem>
</file>

<file path=customXml/itemProps3.xml><?xml version="1.0" encoding="utf-8"?>
<ds:datastoreItem xmlns:ds="http://schemas.openxmlformats.org/officeDocument/2006/customXml" ds:itemID="{ADB4BEC4-EDC0-4A22-B305-5DA1D364F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F8B5E-03FE-4D82-B208-1D6166BB35DA}">
  <ds:schemaRefs>
    <ds:schemaRef ds:uri="http://schemas.microsoft.com/sharepoint/events"/>
  </ds:schemaRefs>
</ds:datastoreItem>
</file>

<file path=customXml/itemProps5.xml><?xml version="1.0" encoding="utf-8"?>
<ds:datastoreItem xmlns:ds="http://schemas.openxmlformats.org/officeDocument/2006/customXml" ds:itemID="{EF6AB63E-D671-4353-A4EE-D9F219461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Dorsey, Darian (CFPB)</dc:creator>
  <cp:lastModifiedBy>May, Anthony (CFPB)</cp:lastModifiedBy>
  <cp:revision>2</cp:revision>
  <dcterms:created xsi:type="dcterms:W3CDTF">2026-02-17T15:42:00Z</dcterms:created>
  <dcterms:modified xsi:type="dcterms:W3CDTF">2026-02-17T15:42:00Z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_dlc_DocIdItemGuid">
    <vt:lpwstr>c6ea547e-1676-4c01-8378-f1d17db273c5</vt:lpwstr>
  </property>
</Properties>
</file>