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6210" w:rsidRPr="008E3517" w:rsidP="00C90B6F" w14:paraId="11632587" w14:textId="77777777">
      <w:pPr>
        <w:pStyle w:val="Default"/>
        <w:jc w:val="center"/>
        <w:rPr>
          <w:b/>
          <w:bCs/>
          <w:u w:val="single"/>
        </w:rPr>
      </w:pPr>
      <w:r w:rsidRPr="008E3517">
        <w:rPr>
          <w:b/>
          <w:bCs/>
          <w:u w:val="single"/>
        </w:rPr>
        <w:t>SUPPORTING STATEMENT</w:t>
      </w:r>
    </w:p>
    <w:p w:rsidR="000C0563" w:rsidRPr="008E3517" w:rsidP="00C90B6F" w14:paraId="23A36D3C" w14:textId="77777777">
      <w:pPr>
        <w:pStyle w:val="Default"/>
        <w:jc w:val="center"/>
        <w:rPr>
          <w:u w:val="single"/>
        </w:rPr>
      </w:pPr>
      <w:r w:rsidRPr="008E3517">
        <w:rPr>
          <w:b/>
          <w:bCs/>
          <w:u w:val="single"/>
        </w:rPr>
        <w:t>FOR RECORDKEEPING</w:t>
      </w:r>
      <w:r w:rsidRPr="008E3517" w:rsidR="00896210">
        <w:rPr>
          <w:b/>
          <w:bCs/>
          <w:u w:val="single"/>
        </w:rPr>
        <w:t xml:space="preserve"> </w:t>
      </w:r>
      <w:r w:rsidRPr="008E3517">
        <w:rPr>
          <w:b/>
          <w:bCs/>
          <w:u w:val="single"/>
        </w:rPr>
        <w:t>AND REPORTING REQUIREMENTS</w:t>
      </w:r>
    </w:p>
    <w:p w:rsidR="000C0563" w:rsidRPr="008E3517" w:rsidP="000C0563" w14:paraId="4FA24B52" w14:textId="77777777">
      <w:pPr>
        <w:pStyle w:val="Default"/>
        <w:jc w:val="center"/>
      </w:pPr>
      <w:r w:rsidRPr="008E3517">
        <w:rPr>
          <w:b/>
          <w:bCs/>
          <w:u w:val="single"/>
        </w:rPr>
        <w:t xml:space="preserve">FOR </w:t>
      </w:r>
      <w:r w:rsidRPr="008E3517" w:rsidR="00A03532">
        <w:rPr>
          <w:b/>
          <w:bCs/>
          <w:u w:val="single"/>
        </w:rPr>
        <w:t>25 CFR PART</w:t>
      </w:r>
      <w:r w:rsidRPr="008E3517">
        <w:rPr>
          <w:b/>
          <w:bCs/>
          <w:u w:val="single"/>
        </w:rPr>
        <w:t xml:space="preserve"> 559</w:t>
      </w:r>
      <w:r w:rsidRPr="008E3517">
        <w:rPr>
          <w:b/>
          <w:bCs/>
        </w:rPr>
        <w:t xml:space="preserve"> </w:t>
      </w:r>
    </w:p>
    <w:p w:rsidR="00C90B6F" w:rsidRPr="008E3517" w:rsidP="000C0563" w14:paraId="20306F4B" w14:textId="77777777">
      <w:pPr>
        <w:pStyle w:val="Default"/>
        <w:rPr>
          <w:b/>
          <w:bCs/>
        </w:rPr>
      </w:pPr>
    </w:p>
    <w:p w:rsidR="000C0563" w:rsidRPr="008E3517" w:rsidP="000C0563" w14:paraId="7D2A564D" w14:textId="77777777">
      <w:pPr>
        <w:pStyle w:val="Default"/>
      </w:pPr>
      <w:r w:rsidRPr="008E3517">
        <w:rPr>
          <w:b/>
          <w:bCs/>
        </w:rPr>
        <w:t xml:space="preserve">A. </w:t>
      </w:r>
      <w:r w:rsidRPr="008E3517" w:rsidR="00C90B6F">
        <w:rPr>
          <w:b/>
          <w:bCs/>
        </w:rPr>
        <w:tab/>
      </w:r>
      <w:r w:rsidRPr="008E3517">
        <w:rPr>
          <w:b/>
          <w:bCs/>
        </w:rPr>
        <w:t xml:space="preserve">Justification </w:t>
      </w:r>
    </w:p>
    <w:p w:rsidR="00C90B6F" w:rsidRPr="008E3517" w:rsidP="000C0563" w14:paraId="5C3DC1CE" w14:textId="77777777">
      <w:pPr>
        <w:pStyle w:val="Default"/>
        <w:ind w:left="360" w:hanging="360"/>
        <w:rPr>
          <w:b/>
          <w:bCs/>
        </w:rPr>
      </w:pPr>
    </w:p>
    <w:p w:rsidR="000C0563" w:rsidRPr="008E3517" w:rsidP="00C90B6F" w14:paraId="4840E329" w14:textId="77777777">
      <w:pPr>
        <w:pStyle w:val="Default"/>
        <w:ind w:left="1440" w:hanging="720"/>
      </w:pPr>
      <w:r w:rsidRPr="008E3517">
        <w:rPr>
          <w:b/>
          <w:bCs/>
        </w:rPr>
        <w:t xml:space="preserve">1. </w:t>
      </w:r>
      <w:r w:rsidRPr="008E3517" w:rsidR="00C90B6F">
        <w:rPr>
          <w:b/>
          <w:bCs/>
        </w:rPr>
        <w:tab/>
      </w:r>
      <w:r w:rsidRPr="008E3517" w:rsidR="00EC500E">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E3517">
        <w:rPr>
          <w:b/>
          <w:bCs/>
        </w:rPr>
        <w:t xml:space="preserve"> </w:t>
      </w:r>
    </w:p>
    <w:p w:rsidR="00C90B6F" w:rsidRPr="008E3517" w:rsidP="000C0563" w14:paraId="7C57883D" w14:textId="77777777">
      <w:pPr>
        <w:pStyle w:val="Default"/>
        <w:ind w:firstLine="720"/>
      </w:pPr>
    </w:p>
    <w:p w:rsidR="000C0563" w:rsidRPr="008E3517" w:rsidP="00896210" w14:paraId="45127F06" w14:textId="77777777">
      <w:pPr>
        <w:pStyle w:val="Default"/>
        <w:spacing w:line="480" w:lineRule="auto"/>
        <w:ind w:firstLine="720"/>
      </w:pPr>
      <w:r w:rsidRPr="008E3517">
        <w:t xml:space="preserve">The Indian Gaming Regulatory Act (IGRA or the Act), Public Law 100–497, 25 U.S.C. 2701, </w:t>
      </w:r>
      <w:r w:rsidRPr="008E3517">
        <w:rPr>
          <w:i/>
          <w:iCs/>
        </w:rPr>
        <w:t>et seq.</w:t>
      </w:r>
      <w:r w:rsidRPr="008E3517">
        <w:rPr>
          <w:iCs/>
        </w:rPr>
        <w:t>,</w:t>
      </w:r>
      <w:r w:rsidRPr="008E3517">
        <w:t xml:space="preserve"> was signed into law on </w:t>
      </w:r>
      <w:smartTag w:uri="urn:schemas-microsoft-com:office:smarttags" w:element="date">
        <w:smartTagPr>
          <w:attr w:name="Day" w:val="17"/>
          <w:attr w:name="Month" w:val="10"/>
          <w:attr w:name="Year" w:val="1988"/>
          <w:attr w:name="ls" w:val="trans"/>
        </w:smartTagPr>
        <w:r w:rsidRPr="008E3517">
          <w:t>October 17, 1988</w:t>
        </w:r>
      </w:smartTag>
      <w:r w:rsidRPr="008E3517">
        <w:t>. The Act established the National Indian Gaming Commission (NIGC or Commission) and set out a comprehensive framework for the regulation of gaming on Indian lands. The Act sets standards for the regulation of Indian gaming, including</w:t>
      </w:r>
      <w:r w:rsidRPr="008E3517">
        <w:t xml:space="preserve"> </w:t>
      </w:r>
      <w:r w:rsidRPr="008E3517">
        <w:t>the requirement that Indian tribes that conduct clas</w:t>
      </w:r>
      <w:r w:rsidRPr="008E3517" w:rsidR="00037B9D">
        <w:t xml:space="preserve">s II and/or class III gaming </w:t>
      </w:r>
      <w:r w:rsidRPr="008E3517">
        <w:t xml:space="preserve">issue “a separate license … for each place, facility, or location on Indian lands at which class II [and class III] gaming is conducted,” </w:t>
      </w:r>
      <w:r w:rsidRPr="008E3517">
        <w:rPr>
          <w:iCs/>
        </w:rPr>
        <w:t xml:space="preserve">25 U.S.C. 2710(b)(1), </w:t>
      </w:r>
      <w:r w:rsidRPr="008E3517" w:rsidR="00037B9D">
        <w:t xml:space="preserve">(d)(1), and </w:t>
      </w:r>
      <w:r w:rsidRPr="008E3517">
        <w:t xml:space="preserve">ensure that “the construction and maintenance of the gaming facilities, and the operation of that gaming is conducted in a manner which adequately protects the environment and public health and safety.” </w:t>
      </w:r>
      <w:r w:rsidRPr="008E3517">
        <w:rPr>
          <w:iCs/>
        </w:rPr>
        <w:t>25 U.S.C. 2710(b)(2)(E)</w:t>
      </w:r>
      <w:r w:rsidRPr="008E3517">
        <w:t>. The Commission is authorized to “promulgate such regulations and guidelines as it deems appropriate to implement” IGRA. 25 U.S.C. 2706(b)(10). The Commission has promulgated part 559 of title 25, Code of Federal Regulations, to implement these requirements.</w:t>
      </w:r>
    </w:p>
    <w:p w:rsidR="001E3352" w:rsidRPr="008E3517" w:rsidP="001E3352" w14:paraId="719FF48D" w14:textId="77777777">
      <w:pPr>
        <w:pStyle w:val="Default"/>
        <w:spacing w:line="480" w:lineRule="auto"/>
        <w:jc w:val="center"/>
      </w:pPr>
      <w:r w:rsidRPr="008E3517">
        <w:rPr>
          <w:b/>
          <w:bCs/>
        </w:rPr>
        <w:t>25 CFR § 559.2</w:t>
      </w:r>
    </w:p>
    <w:p w:rsidR="001E3352" w:rsidRPr="008E3517" w:rsidP="001E3352" w14:paraId="2075AA3A" w14:textId="77777777">
      <w:pPr>
        <w:pStyle w:val="Default"/>
        <w:spacing w:line="480" w:lineRule="auto"/>
        <w:ind w:firstLine="720"/>
      </w:pPr>
      <w:r w:rsidRPr="008E3517">
        <w:t>Section 559.2 of title 25, Code of Federal Regulations, requires a tribe</w:t>
      </w:r>
      <w:r w:rsidRPr="008E3517" w:rsidR="002724E7">
        <w:t xml:space="preserve"> or a tribal gaming regulatory authority (TGRA)</w:t>
      </w:r>
      <w:r w:rsidRPr="008E3517">
        <w:t xml:space="preserve"> to submit a notice to the Commission that a facility license is under consideration for issuance</w:t>
      </w:r>
      <w:r w:rsidR="0054264F">
        <w:t>,</w:t>
      </w:r>
      <w:r w:rsidRPr="008E3517">
        <w:t xml:space="preserve"> at least 120 days before opening any new facility on Indian lands where class II and</w:t>
      </w:r>
      <w:r w:rsidR="0054264F">
        <w:t>/or class III gaming will occur. The tribe or TGRA</w:t>
      </w:r>
      <w:r w:rsidRPr="008E3517">
        <w:t xml:space="preserve"> </w:t>
      </w:r>
      <w:r w:rsidR="0054264F">
        <w:t xml:space="preserve">must </w:t>
      </w:r>
      <w:r w:rsidRPr="008E3517">
        <w:t>includ</w:t>
      </w:r>
      <w:r w:rsidR="0054264F">
        <w:t>e</w:t>
      </w:r>
      <w:r w:rsidRPr="008E3517">
        <w:t xml:space="preserve"> the following information in the notice: (i) the name and address of the property; (ii) a legal description of the </w:t>
      </w:r>
      <w:r w:rsidRPr="008E3517">
        <w:t>property; (iii) the tract number for the property as assigned by the Bureau of Indian Affairs (BIA), Land Title and Records Offices</w:t>
      </w:r>
      <w:r w:rsidRPr="008E3517" w:rsidR="00CD7E94">
        <w:t xml:space="preserve"> (LTRO)</w:t>
      </w:r>
      <w:r w:rsidRPr="008E3517">
        <w:t>, if any; (iv) if not maintained by the BIA</w:t>
      </w:r>
      <w:r w:rsidRPr="008E3517" w:rsidR="00CD7E94">
        <w:t xml:space="preserve"> LTRO</w:t>
      </w:r>
      <w:r w:rsidRPr="008E3517">
        <w:t>, a copy of the trust or other deed(s) to the property or an explanation as to why such documentation does not exist; and (v) if not maintained by the BIA</w:t>
      </w:r>
      <w:r w:rsidRPr="008E3517" w:rsidR="00CD7E94">
        <w:t xml:space="preserve"> LTRO</w:t>
      </w:r>
      <w:r w:rsidRPr="008E3517">
        <w:t xml:space="preserve">, documentation of the property’s ownership. </w:t>
      </w:r>
    </w:p>
    <w:p w:rsidR="00234EA9" w:rsidRPr="008E3517" w:rsidP="00234EA9" w14:paraId="5D104737" w14:textId="77777777">
      <w:pPr>
        <w:pStyle w:val="Default"/>
        <w:spacing w:line="480" w:lineRule="auto"/>
        <w:jc w:val="center"/>
      </w:pPr>
      <w:r>
        <w:rPr>
          <w:b/>
          <w:bCs/>
        </w:rPr>
        <w:t>25 CFR §§ 559.3</w:t>
      </w:r>
      <w:r w:rsidRPr="008E3517">
        <w:rPr>
          <w:b/>
          <w:bCs/>
        </w:rPr>
        <w:t xml:space="preserve"> – 559.5</w:t>
      </w:r>
    </w:p>
    <w:p w:rsidR="00234EA9" w:rsidRPr="008E3517" w:rsidP="001E3352" w14:paraId="5488E225" w14:textId="77777777">
      <w:pPr>
        <w:pStyle w:val="Default"/>
        <w:spacing w:line="480" w:lineRule="auto"/>
        <w:ind w:firstLine="720"/>
      </w:pPr>
      <w:r w:rsidRPr="008E3517">
        <w:t xml:space="preserve">Section 559.3 requires a tribe </w:t>
      </w:r>
      <w:r w:rsidR="0054264F">
        <w:t xml:space="preserve">or TGRA </w:t>
      </w:r>
      <w:r w:rsidRPr="008E3517">
        <w:t xml:space="preserve">to submit a copy of each newly issued or renewed facility license within 30 days of issuance. </w:t>
      </w:r>
      <w:r w:rsidRPr="008E3517">
        <w:t>With each copy of a newly issued or renewed facility license, §</w:t>
      </w:r>
      <w:r w:rsidRPr="008E3517">
        <w:t xml:space="preserve"> 559.4 requires a tribe </w:t>
      </w:r>
      <w:r w:rsidR="0054264F">
        <w:t xml:space="preserve">or TGRA </w:t>
      </w:r>
      <w:r w:rsidRPr="008E3517">
        <w:t>to submit an attestation certifying that by issuing the facility license, the tribe has determined that the construction, maintenance, and operation of that gaming facility is conducted in a manner that adequately protects the environment and the public health an</w:t>
      </w:r>
      <w:r w:rsidRPr="008E3517" w:rsidR="00E852A5">
        <w:t>d safety</w:t>
      </w:r>
      <w:r w:rsidRPr="008E3517" w:rsidR="00987806">
        <w:t xml:space="preserve"> (EPHS)</w:t>
      </w:r>
      <w:r w:rsidRPr="008E3517" w:rsidR="00E852A5">
        <w:t>, meaning that the tribe has identified and enforces laws, resolutions, codes, policies, standards, or procedures applicable to each gaming place, facility, or location that protect the environment and the public health and safety, including standards under a tribal-state compact or Secretarial procedures.</w:t>
      </w:r>
      <w:r w:rsidRPr="008E3517">
        <w:t xml:space="preserve"> Section 559.5 requires a tribe </w:t>
      </w:r>
      <w:r w:rsidR="0054264F">
        <w:t xml:space="preserve">or TGRA </w:t>
      </w:r>
      <w:r w:rsidRPr="008E3517">
        <w:t xml:space="preserve">to submit a notice </w:t>
      </w:r>
      <w:r w:rsidR="0054264F">
        <w:t xml:space="preserve">to the Commission </w:t>
      </w:r>
      <w:r w:rsidRPr="008E3517">
        <w:t>within 30 days if a facility license is terminated or expires</w:t>
      </w:r>
      <w:r w:rsidR="0054264F">
        <w:t>,</w:t>
      </w:r>
      <w:r w:rsidRPr="008E3517">
        <w:t xml:space="preserve"> or if a gaming operation closes or reopens. </w:t>
      </w:r>
    </w:p>
    <w:p w:rsidR="00234EA9" w:rsidRPr="008E3517" w:rsidP="00234EA9" w14:paraId="22588521" w14:textId="77777777">
      <w:pPr>
        <w:pStyle w:val="Default"/>
        <w:spacing w:line="480" w:lineRule="auto"/>
        <w:jc w:val="center"/>
      </w:pPr>
      <w:r w:rsidRPr="008E3517">
        <w:rPr>
          <w:b/>
          <w:bCs/>
        </w:rPr>
        <w:t>25 CFR § 559.6</w:t>
      </w:r>
    </w:p>
    <w:p w:rsidR="001E3352" w:rsidRPr="008E3517" w:rsidP="001E3352" w14:paraId="38F7F4BE" w14:textId="77777777">
      <w:pPr>
        <w:pStyle w:val="Default"/>
        <w:spacing w:line="480" w:lineRule="auto"/>
        <w:ind w:firstLine="720"/>
      </w:pPr>
      <w:r w:rsidRPr="008E3517">
        <w:t>Section 559.6 requires a tribe</w:t>
      </w:r>
      <w:r w:rsidR="0054264F">
        <w:t xml:space="preserve"> or TGRA</w:t>
      </w:r>
      <w:r w:rsidRPr="008E3517">
        <w:t xml:space="preserve"> to maintain and provide applicable Indian lands or </w:t>
      </w:r>
      <w:r w:rsidR="0054264F">
        <w:t>EPHS</w:t>
      </w:r>
      <w:r w:rsidRPr="008E3517">
        <w:t xml:space="preserve"> documentation, if requested by the </w:t>
      </w:r>
      <w:r w:rsidRPr="008E3517" w:rsidR="00234EA9">
        <w:t>Commission</w:t>
      </w:r>
      <w:r w:rsidRPr="008E3517">
        <w:t>.</w:t>
      </w:r>
    </w:p>
    <w:p w:rsidR="000C0563" w:rsidRPr="008E3517" w:rsidP="002A61B7" w14:paraId="1B74E7E1" w14:textId="77777777">
      <w:pPr>
        <w:pStyle w:val="Default"/>
        <w:ind w:left="1440" w:hanging="720"/>
        <w:rPr>
          <w:color w:val="auto"/>
        </w:rPr>
      </w:pPr>
      <w:r w:rsidRPr="008E3517">
        <w:rPr>
          <w:b/>
          <w:bCs/>
          <w:color w:val="auto"/>
        </w:rPr>
        <w:t xml:space="preserve">2. </w:t>
      </w:r>
      <w:r w:rsidRPr="008E3517" w:rsidR="002A61B7">
        <w:rPr>
          <w:b/>
          <w:bCs/>
          <w:color w:val="auto"/>
        </w:rPr>
        <w:tab/>
      </w:r>
      <w:r w:rsidRPr="008E3517" w:rsidR="00EC500E">
        <w:rPr>
          <w:b/>
          <w:bCs/>
        </w:rPr>
        <w:t>Indicate how, by whom, and for what purpose the information is to be used. Except for a new collection, indicate the actual use the agency has made of the information received from the current collection.</w:t>
      </w:r>
      <w:r w:rsidRPr="008E3517">
        <w:rPr>
          <w:b/>
          <w:bCs/>
          <w:color w:val="auto"/>
        </w:rPr>
        <w:t xml:space="preserve"> </w:t>
      </w:r>
    </w:p>
    <w:p w:rsidR="00C90B6F" w:rsidRPr="008E3517" w:rsidP="000C0563" w14:paraId="6EF067D2" w14:textId="77777777">
      <w:pPr>
        <w:pStyle w:val="Default"/>
        <w:ind w:firstLine="720"/>
        <w:rPr>
          <w:color w:val="auto"/>
        </w:rPr>
      </w:pPr>
    </w:p>
    <w:p w:rsidR="00A93E24" w:rsidRPr="00F25B93" w:rsidP="00F25B93" w14:paraId="17CBCF43" w14:textId="77777777">
      <w:pPr>
        <w:pStyle w:val="Default"/>
        <w:spacing w:line="480" w:lineRule="auto"/>
        <w:ind w:firstLine="720"/>
      </w:pPr>
      <w:r w:rsidRPr="008E3517">
        <w:t xml:space="preserve">To carry out its statutory mandates, the Commission must have up-to-date information on the statuses of </w:t>
      </w:r>
      <w:r w:rsidR="00E06E17">
        <w:t xml:space="preserve">all </w:t>
      </w:r>
      <w:r w:rsidRPr="008E3517">
        <w:t xml:space="preserve">lands where tribal gaming is proposed or </w:t>
      </w:r>
      <w:r w:rsidR="00E06E17">
        <w:t xml:space="preserve">is </w:t>
      </w:r>
      <w:r w:rsidRPr="008E3517">
        <w:t>operating</w:t>
      </w:r>
      <w:r w:rsidR="00E06E17">
        <w:t xml:space="preserve"> in order</w:t>
      </w:r>
      <w:r w:rsidRPr="008E3517">
        <w:t xml:space="preserve"> to assess whether the NIGC has jurisdiction over a particular parcel and gaming facility. </w:t>
      </w:r>
      <w:r w:rsidRPr="008E3517">
        <w:t>A September 2005 report by the Office of Inspector General, U.S. Department of the Interior, recommended that the Commission establish a process by which tribes whose lands have been taken into trust since 1988 certify the statuses of their trust lands, and that the NIGC establish and maintain a database containing Indian lands eligibility information and/or determinations for all Indian gaming operations. The Commission established an Indian lands database and populates the database with information submitted by the tribes on new gaming facilities.</w:t>
      </w:r>
      <w:r w:rsidRPr="008E3517">
        <w:t xml:space="preserve"> </w:t>
      </w:r>
      <w:r w:rsidRPr="008E3517" w:rsidR="00075E17">
        <w:rPr>
          <w:color w:val="auto"/>
        </w:rPr>
        <w:t xml:space="preserve">The Commission uses </w:t>
      </w:r>
      <w:r w:rsidRPr="008E3517">
        <w:rPr>
          <w:color w:val="auto"/>
        </w:rPr>
        <w:t xml:space="preserve">the </w:t>
      </w:r>
      <w:r w:rsidR="00475AED">
        <w:rPr>
          <w:color w:val="auto"/>
        </w:rPr>
        <w:t>notice</w:t>
      </w:r>
      <w:r w:rsidRPr="008E3517">
        <w:rPr>
          <w:color w:val="auto"/>
        </w:rPr>
        <w:t xml:space="preserve"> </w:t>
      </w:r>
      <w:r w:rsidR="00475AED">
        <w:rPr>
          <w:color w:val="auto"/>
        </w:rPr>
        <w:t>(</w:t>
      </w:r>
      <w:r w:rsidRPr="008E3517" w:rsidR="000C0563">
        <w:rPr>
          <w:color w:val="auto"/>
        </w:rPr>
        <w:t>that</w:t>
      </w:r>
      <w:r w:rsidRPr="008E3517">
        <w:rPr>
          <w:color w:val="auto"/>
        </w:rPr>
        <w:t xml:space="preserve"> a</w:t>
      </w:r>
      <w:r w:rsidRPr="008E3517" w:rsidR="000C0563">
        <w:rPr>
          <w:color w:val="auto"/>
        </w:rPr>
        <w:t xml:space="preserve"> facility license</w:t>
      </w:r>
      <w:r w:rsidRPr="008E3517">
        <w:rPr>
          <w:color w:val="auto"/>
        </w:rPr>
        <w:t xml:space="preserve"> i</w:t>
      </w:r>
      <w:r w:rsidRPr="008E3517" w:rsidR="000C0563">
        <w:rPr>
          <w:color w:val="auto"/>
        </w:rPr>
        <w:t>s under consideration for issuance</w:t>
      </w:r>
      <w:r w:rsidR="00475AED">
        <w:rPr>
          <w:color w:val="auto"/>
        </w:rPr>
        <w:t>) and the Indian lands information</w:t>
      </w:r>
      <w:r w:rsidRPr="008E3517" w:rsidR="000C0563">
        <w:rPr>
          <w:color w:val="auto"/>
        </w:rPr>
        <w:t xml:space="preserve"> to ensure that its database records are complete as to the statuses of lands where tribal gaming is proposed or is occurring. </w:t>
      </w:r>
    </w:p>
    <w:p w:rsidR="000C0563" w:rsidRPr="008E3517" w:rsidP="0099105B" w14:paraId="00DB0D71" w14:textId="77777777">
      <w:pPr>
        <w:pStyle w:val="Default"/>
        <w:spacing w:line="480" w:lineRule="auto"/>
        <w:ind w:firstLine="720"/>
        <w:rPr>
          <w:color w:val="auto"/>
        </w:rPr>
      </w:pPr>
      <w:r w:rsidRPr="008E3517">
        <w:rPr>
          <w:color w:val="auto"/>
        </w:rPr>
        <w:t xml:space="preserve">In addition, tribal submissions of copies of each newly issued or renewed facility license, or information regarding facility closings or license expirations, allow the </w:t>
      </w:r>
      <w:r w:rsidRPr="008E3517" w:rsidR="0099105B">
        <w:rPr>
          <w:color w:val="auto"/>
        </w:rPr>
        <w:t>Commission</w:t>
      </w:r>
      <w:r w:rsidRPr="008E3517">
        <w:rPr>
          <w:color w:val="auto"/>
        </w:rPr>
        <w:t xml:space="preserve"> to maintain an accurate record of the Indian gaming facilities that are currently operating within Indian lands in the United States. </w:t>
      </w:r>
      <w:r w:rsidRPr="008E3517" w:rsidR="00534666">
        <w:rPr>
          <w:color w:val="auto"/>
        </w:rPr>
        <w:t xml:space="preserve">This information collection </w:t>
      </w:r>
      <w:r w:rsidRPr="008E3517">
        <w:rPr>
          <w:color w:val="auto"/>
        </w:rPr>
        <w:t>continue</w:t>
      </w:r>
      <w:r w:rsidRPr="008E3517" w:rsidR="00534666">
        <w:rPr>
          <w:color w:val="auto"/>
        </w:rPr>
        <w:t>s</w:t>
      </w:r>
      <w:r w:rsidRPr="008E3517">
        <w:rPr>
          <w:color w:val="auto"/>
        </w:rPr>
        <w:t xml:space="preserve"> to be utilized:</w:t>
      </w:r>
      <w:r w:rsidRPr="008E3517" w:rsidR="00534666">
        <w:rPr>
          <w:color w:val="auto"/>
        </w:rPr>
        <w:t xml:space="preserve"> (i)</w:t>
      </w:r>
      <w:r w:rsidRPr="008E3517">
        <w:rPr>
          <w:color w:val="auto"/>
        </w:rPr>
        <w:t xml:space="preserve"> for internal reporting and recordkeeping purposes; </w:t>
      </w:r>
      <w:r w:rsidRPr="008E3517" w:rsidR="00534666">
        <w:rPr>
          <w:color w:val="auto"/>
        </w:rPr>
        <w:t xml:space="preserve">(ii) </w:t>
      </w:r>
      <w:r w:rsidRPr="008E3517">
        <w:rPr>
          <w:color w:val="auto"/>
        </w:rPr>
        <w:t xml:space="preserve">to assess the NIGC’s jurisdiction; and </w:t>
      </w:r>
      <w:r w:rsidRPr="008E3517" w:rsidR="00534666">
        <w:rPr>
          <w:color w:val="auto"/>
        </w:rPr>
        <w:t xml:space="preserve">(iii) </w:t>
      </w:r>
      <w:r w:rsidRPr="008E3517">
        <w:rPr>
          <w:color w:val="auto"/>
        </w:rPr>
        <w:t>to respond to inquiries from other government agencies and</w:t>
      </w:r>
      <w:r w:rsidR="003C6309">
        <w:rPr>
          <w:color w:val="auto"/>
        </w:rPr>
        <w:t xml:space="preserve"> from</w:t>
      </w:r>
      <w:r w:rsidRPr="008E3517">
        <w:rPr>
          <w:color w:val="auto"/>
        </w:rPr>
        <w:t xml:space="preserve"> Congress regarding where Indian gaming is proposed or occurring. </w:t>
      </w:r>
    </w:p>
    <w:p w:rsidR="000C0563" w:rsidRPr="008E3517" w:rsidP="00534666" w14:paraId="6E9F6231" w14:textId="77777777">
      <w:pPr>
        <w:pStyle w:val="Default"/>
        <w:spacing w:line="480" w:lineRule="auto"/>
        <w:ind w:firstLine="720"/>
        <w:rPr>
          <w:color w:val="auto"/>
        </w:rPr>
      </w:pPr>
      <w:r w:rsidRPr="008E3517">
        <w:rPr>
          <w:color w:val="auto"/>
        </w:rPr>
        <w:t xml:space="preserve">The </w:t>
      </w:r>
      <w:r w:rsidRPr="008E3517" w:rsidR="000A71DD">
        <w:rPr>
          <w:color w:val="auto"/>
        </w:rPr>
        <w:t>Commission uses a</w:t>
      </w:r>
      <w:r w:rsidRPr="008E3517" w:rsidR="00727F7B">
        <w:rPr>
          <w:color w:val="auto"/>
        </w:rPr>
        <w:t>n</w:t>
      </w:r>
      <w:r w:rsidRPr="008E3517" w:rsidR="000A71DD">
        <w:rPr>
          <w:color w:val="auto"/>
        </w:rPr>
        <w:t xml:space="preserve"> </w:t>
      </w:r>
      <w:r w:rsidRPr="008E3517">
        <w:rPr>
          <w:color w:val="auto"/>
        </w:rPr>
        <w:t xml:space="preserve">EPHS </w:t>
      </w:r>
      <w:r w:rsidRPr="008E3517" w:rsidR="00987806">
        <w:rPr>
          <w:color w:val="auto"/>
        </w:rPr>
        <w:t xml:space="preserve">certification submission </w:t>
      </w:r>
      <w:r w:rsidR="003C6309">
        <w:rPr>
          <w:color w:val="auto"/>
        </w:rPr>
        <w:t>to rely</w:t>
      </w:r>
      <w:r w:rsidRPr="008E3517" w:rsidR="000A71DD">
        <w:rPr>
          <w:color w:val="auto"/>
        </w:rPr>
        <w:t xml:space="preserve"> </w:t>
      </w:r>
      <w:r w:rsidRPr="008E3517" w:rsidR="00987806">
        <w:rPr>
          <w:color w:val="auto"/>
        </w:rPr>
        <w:t>on a tribe’s assertion that it is in compliance with applicable EPHS laws.</w:t>
      </w:r>
      <w:r w:rsidRPr="008E3517" w:rsidR="00987806">
        <w:t xml:space="preserve"> </w:t>
      </w:r>
      <w:r w:rsidRPr="008E3517" w:rsidR="000A71DD">
        <w:t>However, NIGC regulations also provide the Chairman with</w:t>
      </w:r>
      <w:r w:rsidRPr="008E3517" w:rsidR="000A71DD">
        <w:rPr>
          <w:color w:val="auto"/>
        </w:rPr>
        <w:t xml:space="preserve"> the discretion to request EPHS and Indian lands documentation, if necessary – a discretion that is not utilized without an identified substantial concern. </w:t>
      </w:r>
    </w:p>
    <w:p w:rsidR="000C0563" w:rsidRPr="008E3517" w:rsidP="002A61B7" w14:paraId="7386F034" w14:textId="77777777">
      <w:pPr>
        <w:pStyle w:val="Default"/>
        <w:ind w:left="1440" w:hanging="720"/>
        <w:rPr>
          <w:color w:val="auto"/>
        </w:rPr>
      </w:pPr>
      <w:r w:rsidRPr="008E3517">
        <w:rPr>
          <w:b/>
          <w:bCs/>
          <w:color w:val="auto"/>
        </w:rPr>
        <w:t xml:space="preserve">3. </w:t>
      </w:r>
      <w:r w:rsidRPr="008E3517" w:rsidR="002A61B7">
        <w:rPr>
          <w:b/>
          <w:bCs/>
          <w:color w:val="auto"/>
        </w:rPr>
        <w:tab/>
      </w:r>
      <w:r w:rsidRPr="008E3517" w:rsidR="00EC500E">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E3517">
        <w:rPr>
          <w:b/>
          <w:bCs/>
          <w:color w:val="auto"/>
        </w:rPr>
        <w:t xml:space="preserve"> </w:t>
      </w:r>
    </w:p>
    <w:p w:rsidR="00C90B6F" w:rsidRPr="008E3517" w:rsidP="000C0563" w14:paraId="1AB9F0C1" w14:textId="77777777">
      <w:pPr>
        <w:pStyle w:val="Default"/>
        <w:ind w:firstLine="720"/>
        <w:rPr>
          <w:color w:val="auto"/>
        </w:rPr>
      </w:pPr>
    </w:p>
    <w:p w:rsidR="000C0563" w:rsidRPr="008E3517" w:rsidP="00123DAD" w14:paraId="6A55EB4F" w14:textId="77777777">
      <w:pPr>
        <w:pStyle w:val="Default"/>
        <w:spacing w:line="480" w:lineRule="auto"/>
        <w:ind w:firstLine="720"/>
        <w:rPr>
          <w:color w:val="auto"/>
        </w:rPr>
      </w:pPr>
      <w:r w:rsidRPr="008E3517">
        <w:rPr>
          <w:color w:val="auto"/>
        </w:rPr>
        <w:t>Under NIGC regulations, tribes and/or TGRAs can submit and/or maintain information via compatible automated, electronic, and/or mechanical means.</w:t>
      </w:r>
    </w:p>
    <w:p w:rsidR="000C0563" w:rsidRPr="008E3517" w:rsidP="002A61B7" w14:paraId="7D3135AC" w14:textId="77777777">
      <w:pPr>
        <w:pStyle w:val="Default"/>
        <w:ind w:left="1440" w:hanging="720"/>
        <w:rPr>
          <w:color w:val="auto"/>
        </w:rPr>
      </w:pPr>
      <w:r w:rsidRPr="008E3517">
        <w:rPr>
          <w:b/>
          <w:bCs/>
          <w:color w:val="auto"/>
        </w:rPr>
        <w:t xml:space="preserve">4. </w:t>
      </w:r>
      <w:r w:rsidRPr="008E3517" w:rsidR="002A61B7">
        <w:rPr>
          <w:b/>
          <w:bCs/>
          <w:color w:val="auto"/>
        </w:rPr>
        <w:tab/>
      </w:r>
      <w:r w:rsidRPr="008E3517" w:rsidR="00EC500E">
        <w:rPr>
          <w:b/>
          <w:bCs/>
        </w:rPr>
        <w:t>Describe efforts to identify duplication. Show specifically why any similar information already available cannot be used or modified for use for the purposes described in Item 2 above.</w:t>
      </w:r>
      <w:r w:rsidRPr="008E3517">
        <w:rPr>
          <w:b/>
          <w:bCs/>
          <w:color w:val="auto"/>
        </w:rPr>
        <w:t xml:space="preserve"> </w:t>
      </w:r>
    </w:p>
    <w:p w:rsidR="00C90B6F" w:rsidRPr="008E3517" w:rsidP="000C0563" w14:paraId="63E510FA" w14:textId="77777777">
      <w:pPr>
        <w:pStyle w:val="Default"/>
        <w:ind w:firstLine="720"/>
        <w:rPr>
          <w:color w:val="auto"/>
        </w:rPr>
      </w:pPr>
    </w:p>
    <w:p w:rsidR="000C0563" w:rsidRPr="008E3517" w:rsidP="00454B12" w14:paraId="65C92CA5" w14:textId="77777777">
      <w:pPr>
        <w:pStyle w:val="Default"/>
        <w:spacing w:line="480" w:lineRule="auto"/>
        <w:ind w:firstLine="720"/>
      </w:pPr>
      <w:r w:rsidRPr="008E3517">
        <w:rPr>
          <w:color w:val="auto"/>
        </w:rPr>
        <w:t>The BIA LTROs maintain deeds and track ownership of lands held in trust for the tribes by the United States</w:t>
      </w:r>
      <w:r w:rsidRPr="008E3517" w:rsidR="00727F7B">
        <w:rPr>
          <w:color w:val="auto"/>
        </w:rPr>
        <w:t xml:space="preserve">, and the </w:t>
      </w:r>
      <w:r w:rsidR="003C6309">
        <w:rPr>
          <w:color w:val="auto"/>
        </w:rPr>
        <w:t>Commission</w:t>
      </w:r>
      <w:r w:rsidRPr="008E3517">
        <w:rPr>
          <w:color w:val="auto"/>
        </w:rPr>
        <w:t xml:space="preserve"> utilize</w:t>
      </w:r>
      <w:r w:rsidRPr="008E3517" w:rsidR="00727F7B">
        <w:rPr>
          <w:color w:val="auto"/>
        </w:rPr>
        <w:t>s</w:t>
      </w:r>
      <w:r w:rsidRPr="008E3517">
        <w:rPr>
          <w:color w:val="auto"/>
        </w:rPr>
        <w:t xml:space="preserve"> the BIA</w:t>
      </w:r>
      <w:r w:rsidRPr="008E3517" w:rsidR="00727F7B">
        <w:rPr>
          <w:color w:val="auto"/>
        </w:rPr>
        <w:t xml:space="preserve"> LTROs</w:t>
      </w:r>
      <w:r w:rsidRPr="008E3517">
        <w:rPr>
          <w:color w:val="auto"/>
        </w:rPr>
        <w:t xml:space="preserve"> to obtain </w:t>
      </w:r>
      <w:r w:rsidRPr="008E3517" w:rsidR="00A25E9F">
        <w:rPr>
          <w:color w:val="auto"/>
        </w:rPr>
        <w:t>such information</w:t>
      </w:r>
      <w:r w:rsidRPr="008E3517">
        <w:rPr>
          <w:color w:val="auto"/>
        </w:rPr>
        <w:t xml:space="preserve"> whenever possible. However, the BIA</w:t>
      </w:r>
      <w:r w:rsidRPr="008E3517" w:rsidR="00727F7B">
        <w:rPr>
          <w:color w:val="auto"/>
        </w:rPr>
        <w:t xml:space="preserve"> LTROs track</w:t>
      </w:r>
      <w:r w:rsidR="00F25B93">
        <w:rPr>
          <w:color w:val="auto"/>
        </w:rPr>
        <w:t xml:space="preserve"> their</w:t>
      </w:r>
      <w:r w:rsidRPr="008E3517">
        <w:rPr>
          <w:color w:val="auto"/>
        </w:rPr>
        <w:t xml:space="preserve"> tr</w:t>
      </w:r>
      <w:r w:rsidRPr="008E3517" w:rsidR="00C90B6F">
        <w:rPr>
          <w:color w:val="auto"/>
        </w:rPr>
        <w:t xml:space="preserve">ust lands by legal description </w:t>
      </w:r>
      <w:r w:rsidRPr="008E3517">
        <w:rPr>
          <w:color w:val="auto"/>
        </w:rPr>
        <w:t xml:space="preserve">and tract number. Without information from a tribe regarding the legal </w:t>
      </w:r>
      <w:r w:rsidR="00F25B93">
        <w:rPr>
          <w:color w:val="auto"/>
        </w:rPr>
        <w:t>site description</w:t>
      </w:r>
      <w:r w:rsidRPr="008E3517">
        <w:rPr>
          <w:color w:val="auto"/>
        </w:rPr>
        <w:t xml:space="preserve"> where gaming is to be conducted, along with the </w:t>
      </w:r>
      <w:r w:rsidRPr="008E3517">
        <w:t>tract number assigned by the BIA LTRO</w:t>
      </w:r>
      <w:r w:rsidRPr="008E3517" w:rsidR="00A25E9F">
        <w:t>s</w:t>
      </w:r>
      <w:r w:rsidRPr="008E3517">
        <w:t xml:space="preserve">, the NIGC cannot reliably or efficiently </w:t>
      </w:r>
      <w:r w:rsidRPr="008E3517" w:rsidR="00A25E9F">
        <w:t>determine</w:t>
      </w:r>
      <w:r w:rsidRPr="008E3517">
        <w:t xml:space="preserve"> which deeds to request </w:t>
      </w:r>
      <w:r w:rsidR="003C6309">
        <w:t xml:space="preserve">from the BIA LTROs, </w:t>
      </w:r>
      <w:r w:rsidRPr="008E3517">
        <w:t>and the BIA</w:t>
      </w:r>
      <w:r w:rsidRPr="008E3517" w:rsidR="00454B12">
        <w:t xml:space="preserve"> LTRO</w:t>
      </w:r>
      <w:r w:rsidRPr="008E3517" w:rsidR="00A25E9F">
        <w:t>s</w:t>
      </w:r>
      <w:r w:rsidRPr="008E3517">
        <w:t xml:space="preserve"> often cannot match </w:t>
      </w:r>
      <w:r w:rsidRPr="008E3517" w:rsidR="00A25E9F">
        <w:t>a</w:t>
      </w:r>
      <w:r w:rsidRPr="008E3517">
        <w:t xml:space="preserve"> gaming operation’s mailing address with a legal site description. In addition, as a result of agreements between </w:t>
      </w:r>
      <w:r w:rsidRPr="008E3517" w:rsidR="00454B12">
        <w:t xml:space="preserve">the </w:t>
      </w:r>
      <w:r w:rsidRPr="008E3517">
        <w:t>tribes and the BIA</w:t>
      </w:r>
      <w:r w:rsidRPr="008E3517" w:rsidR="00454B12">
        <w:t xml:space="preserve"> LTROs</w:t>
      </w:r>
      <w:r w:rsidRPr="008E3517">
        <w:t xml:space="preserve">, tribes often operate their own real estate offices and maintain their </w:t>
      </w:r>
      <w:r w:rsidR="00F25B93">
        <w:t xml:space="preserve">own </w:t>
      </w:r>
      <w:r w:rsidRPr="008E3517">
        <w:t xml:space="preserve">trust deeds </w:t>
      </w:r>
      <w:r w:rsidRPr="008E3517" w:rsidR="00454B12">
        <w:t xml:space="preserve">and </w:t>
      </w:r>
      <w:r w:rsidRPr="008E3517" w:rsidR="00A25E9F">
        <w:t xml:space="preserve">ownership </w:t>
      </w:r>
      <w:r w:rsidRPr="008E3517" w:rsidR="00454B12">
        <w:t>documentation</w:t>
      </w:r>
      <w:r w:rsidRPr="008E3517">
        <w:t xml:space="preserve">. </w:t>
      </w:r>
      <w:r w:rsidRPr="008E3517" w:rsidR="00A25E9F">
        <w:t>Under those circumstances</w:t>
      </w:r>
      <w:r w:rsidRPr="008E3517" w:rsidR="00454B12">
        <w:t>, the proper entities</w:t>
      </w:r>
      <w:r w:rsidRPr="008E3517">
        <w:t xml:space="preserve"> </w:t>
      </w:r>
      <w:r w:rsidRPr="008E3517" w:rsidR="00454B12">
        <w:t xml:space="preserve">from whom </w:t>
      </w:r>
      <w:r w:rsidRPr="008E3517">
        <w:t xml:space="preserve">to </w:t>
      </w:r>
      <w:r w:rsidRPr="008E3517" w:rsidR="00454B12">
        <w:t>request</w:t>
      </w:r>
      <w:r w:rsidRPr="008E3517">
        <w:t xml:space="preserve"> </w:t>
      </w:r>
      <w:r w:rsidRPr="008E3517" w:rsidR="00454B12">
        <w:t>such information</w:t>
      </w:r>
      <w:r w:rsidRPr="008E3517">
        <w:t xml:space="preserve"> is the tribe itself. If no deed or other trust document</w:t>
      </w:r>
      <w:r w:rsidR="003C6309">
        <w:t>s</w:t>
      </w:r>
      <w:r w:rsidRPr="008E3517">
        <w:t xml:space="preserve"> </w:t>
      </w:r>
      <w:r w:rsidR="003C6309">
        <w:t>exist</w:t>
      </w:r>
      <w:r w:rsidRPr="008E3517">
        <w:t xml:space="preserve">, the tribe is often in the best position to explain why </w:t>
      </w:r>
      <w:r w:rsidR="003C6309">
        <w:t>that is the case</w:t>
      </w:r>
      <w:r w:rsidRPr="008E3517">
        <w:t xml:space="preserve">. </w:t>
      </w:r>
    </w:p>
    <w:p w:rsidR="000C0563" w:rsidRPr="008E3517" w:rsidP="00454B12" w14:paraId="71C2B05F" w14:textId="77777777">
      <w:pPr>
        <w:pStyle w:val="Default"/>
        <w:spacing w:line="480" w:lineRule="auto"/>
        <w:ind w:firstLine="720"/>
        <w:rPr>
          <w:color w:val="auto"/>
        </w:rPr>
      </w:pPr>
      <w:r w:rsidRPr="008E3517">
        <w:t>With regard to the remainder of the information</w:t>
      </w:r>
      <w:r w:rsidRPr="008E3517">
        <w:rPr>
          <w:color w:val="auto"/>
        </w:rPr>
        <w:t xml:space="preserve"> collection, the required information is unique to each Indian tribe and/or gaming operation. No similar information pertaining to gaming on Indian lands is collected by the Commission or by other federal agencies.</w:t>
      </w:r>
      <w:r w:rsidRPr="008E3517">
        <w:rPr>
          <w:color w:val="auto"/>
        </w:rPr>
        <w:t xml:space="preserve"> </w:t>
      </w:r>
    </w:p>
    <w:p w:rsidR="000C0563" w:rsidRPr="008E3517" w:rsidP="002A61B7" w14:paraId="54F52512" w14:textId="77777777">
      <w:pPr>
        <w:pStyle w:val="Default"/>
        <w:ind w:left="1440" w:hanging="720"/>
        <w:rPr>
          <w:color w:val="auto"/>
        </w:rPr>
      </w:pPr>
      <w:r w:rsidRPr="008E3517">
        <w:rPr>
          <w:b/>
          <w:bCs/>
          <w:color w:val="auto"/>
        </w:rPr>
        <w:t xml:space="preserve">5. </w:t>
      </w:r>
      <w:r w:rsidRPr="008E3517" w:rsidR="002A61B7">
        <w:rPr>
          <w:b/>
          <w:bCs/>
          <w:color w:val="auto"/>
        </w:rPr>
        <w:tab/>
      </w:r>
      <w:r w:rsidRPr="008E3517" w:rsidR="00EC500E">
        <w:rPr>
          <w:b/>
          <w:bCs/>
        </w:rPr>
        <w:t>If the collection of information impacts small businesses or other small entities (Item 5 of OMB Form 83-I), describe any methods used to minimize burden.</w:t>
      </w:r>
      <w:r w:rsidRPr="008E3517">
        <w:rPr>
          <w:b/>
          <w:bCs/>
          <w:color w:val="auto"/>
        </w:rPr>
        <w:t xml:space="preserve"> </w:t>
      </w:r>
    </w:p>
    <w:p w:rsidR="00C90B6F" w:rsidRPr="008E3517" w:rsidP="000C0563" w14:paraId="5B9C076B" w14:textId="77777777">
      <w:pPr>
        <w:pStyle w:val="Default"/>
        <w:ind w:firstLine="720"/>
        <w:rPr>
          <w:color w:val="auto"/>
        </w:rPr>
      </w:pPr>
    </w:p>
    <w:p w:rsidR="000C0563" w:rsidRPr="008E3517" w:rsidP="007F6061" w14:paraId="0BD57295" w14:textId="77777777">
      <w:pPr>
        <w:pStyle w:val="Default"/>
        <w:spacing w:line="480" w:lineRule="auto"/>
        <w:ind w:firstLine="720"/>
        <w:rPr>
          <w:color w:val="auto"/>
        </w:rPr>
      </w:pPr>
      <w:r w:rsidRPr="00D57810">
        <w:rPr>
          <w:color w:val="auto"/>
        </w:rPr>
        <w:t>None of the respondents meet the Small Business Administration’s definition of a small business. Nonetheless, the Commission’s regulations require operations to submit the minimum amount of information that the Commission requires to fulfill its statutory responsibilities. The</w:t>
      </w:r>
      <w:r>
        <w:rPr>
          <w:color w:val="auto"/>
        </w:rPr>
        <w:t>se requ</w:t>
      </w:r>
      <w:r w:rsidRPr="00D57810">
        <w:rPr>
          <w:color w:val="auto"/>
        </w:rPr>
        <w:t>irements apply to all Indian gaming operations, regardless of size. The burden is directly proportional to the economic activity conducted.</w:t>
      </w:r>
    </w:p>
    <w:p w:rsidR="00C90B6F" w:rsidRPr="008E3517" w:rsidP="000C0563" w14:paraId="16998863" w14:textId="77777777">
      <w:pPr>
        <w:pStyle w:val="Default"/>
        <w:ind w:left="360" w:hanging="360"/>
        <w:rPr>
          <w:b/>
          <w:bCs/>
          <w:color w:val="auto"/>
        </w:rPr>
      </w:pPr>
    </w:p>
    <w:p w:rsidR="000C0563" w:rsidRPr="008E3517" w:rsidP="002A61B7" w14:paraId="1B11F1AB" w14:textId="77777777">
      <w:pPr>
        <w:pStyle w:val="Default"/>
        <w:ind w:left="1440" w:hanging="720"/>
        <w:rPr>
          <w:color w:val="auto"/>
        </w:rPr>
      </w:pPr>
      <w:r w:rsidRPr="008E3517">
        <w:rPr>
          <w:b/>
          <w:bCs/>
          <w:color w:val="auto"/>
        </w:rPr>
        <w:t xml:space="preserve">6. </w:t>
      </w:r>
      <w:r w:rsidRPr="008E3517" w:rsidR="002A61B7">
        <w:rPr>
          <w:b/>
          <w:bCs/>
          <w:color w:val="auto"/>
        </w:rPr>
        <w:tab/>
      </w:r>
      <w:r w:rsidRPr="008E3517" w:rsidR="00EC500E">
        <w:rPr>
          <w:b/>
          <w:bCs/>
        </w:rPr>
        <w:t>Describe the consequence to Federal program or policy activities if the collection is not conducted or is conducted less frequently, as well as any technical or legal obstacles to reducing burden.</w:t>
      </w:r>
      <w:r w:rsidRPr="008E3517">
        <w:rPr>
          <w:b/>
          <w:bCs/>
          <w:color w:val="auto"/>
        </w:rPr>
        <w:t xml:space="preserve"> </w:t>
      </w:r>
    </w:p>
    <w:p w:rsidR="00C90B6F" w:rsidRPr="008E3517" w:rsidP="000C0563" w14:paraId="1A70ED56" w14:textId="77777777">
      <w:pPr>
        <w:pStyle w:val="Default"/>
        <w:ind w:firstLine="720"/>
        <w:rPr>
          <w:color w:val="auto"/>
        </w:rPr>
      </w:pPr>
    </w:p>
    <w:p w:rsidR="000C0563" w:rsidRPr="008E3517" w:rsidP="00527D88" w14:paraId="794DC944" w14:textId="77777777">
      <w:pPr>
        <w:pStyle w:val="Default"/>
        <w:spacing w:line="480" w:lineRule="auto"/>
        <w:ind w:firstLine="720"/>
        <w:rPr>
          <w:color w:val="auto"/>
        </w:rPr>
      </w:pPr>
      <w:r w:rsidRPr="008E3517">
        <w:rPr>
          <w:color w:val="auto"/>
        </w:rPr>
        <w:t xml:space="preserve">Without this information collection, </w:t>
      </w:r>
      <w:r w:rsidRPr="008E3517" w:rsidR="00527D88">
        <w:rPr>
          <w:color w:val="auto"/>
        </w:rPr>
        <w:t>IGRA’s mandate</w:t>
      </w:r>
      <w:r w:rsidR="00492112">
        <w:rPr>
          <w:color w:val="auto"/>
        </w:rPr>
        <w:t xml:space="preserve"> (</w:t>
      </w:r>
      <w:r w:rsidRPr="008E3517" w:rsidR="00527D88">
        <w:rPr>
          <w:color w:val="auto"/>
        </w:rPr>
        <w:t>that each facility be separately licensed and that a tribe determine that the construction, m</w:t>
      </w:r>
      <w:r w:rsidR="00492112">
        <w:rPr>
          <w:color w:val="auto"/>
        </w:rPr>
        <w:t>aintenance, and operation of a</w:t>
      </w:r>
      <w:r w:rsidRPr="008E3517" w:rsidR="00527D88">
        <w:rPr>
          <w:color w:val="auto"/>
        </w:rPr>
        <w:t xml:space="preserve"> gaming facility is conducted in a manner that adequately protects the environment a</w:t>
      </w:r>
      <w:r w:rsidR="00492112">
        <w:rPr>
          <w:color w:val="auto"/>
        </w:rPr>
        <w:t>nd the public health and safety)</w:t>
      </w:r>
      <w:r w:rsidRPr="008E3517" w:rsidR="00527D88">
        <w:rPr>
          <w:color w:val="auto"/>
        </w:rPr>
        <w:t xml:space="preserve"> would be violated. In addition, t</w:t>
      </w:r>
      <w:r w:rsidRPr="008E3517">
        <w:rPr>
          <w:color w:val="auto"/>
        </w:rPr>
        <w:t>he Commission would be</w:t>
      </w:r>
      <w:r w:rsidRPr="008E3517" w:rsidR="000A71DD">
        <w:rPr>
          <w:color w:val="auto"/>
        </w:rPr>
        <w:t xml:space="preserve"> unable to </w:t>
      </w:r>
      <w:r w:rsidRPr="008E3517" w:rsidR="00527D88">
        <w:rPr>
          <w:color w:val="auto"/>
        </w:rPr>
        <w:t>efficiently</w:t>
      </w:r>
      <w:r w:rsidRPr="008E3517" w:rsidR="000A71DD">
        <w:rPr>
          <w:color w:val="auto"/>
        </w:rPr>
        <w:t xml:space="preserve"> identify the property </w:t>
      </w:r>
      <w:r w:rsidRPr="008E3517">
        <w:rPr>
          <w:color w:val="auto"/>
        </w:rPr>
        <w:t>where gaming is being proposed or is occurring and thereafter determine</w:t>
      </w:r>
      <w:r w:rsidRPr="008E3517" w:rsidR="000A71DD">
        <w:rPr>
          <w:color w:val="auto"/>
        </w:rPr>
        <w:t xml:space="preserve"> its jurisdiction</w:t>
      </w:r>
      <w:r w:rsidR="00492112">
        <w:rPr>
          <w:color w:val="auto"/>
        </w:rPr>
        <w:t xml:space="preserve"> over the</w:t>
      </w:r>
      <w:r w:rsidRPr="008E3517" w:rsidR="00527D88">
        <w:rPr>
          <w:color w:val="auto"/>
        </w:rPr>
        <w:t xml:space="preserve"> gaming operation</w:t>
      </w:r>
      <w:r w:rsidRPr="008E3517" w:rsidR="000A71DD">
        <w:rPr>
          <w:color w:val="auto"/>
        </w:rPr>
        <w:t xml:space="preserve">. </w:t>
      </w:r>
      <w:r w:rsidRPr="008E3517" w:rsidR="00527D88">
        <w:rPr>
          <w:color w:val="auto"/>
        </w:rPr>
        <w:t>This would result in t</w:t>
      </w:r>
      <w:r w:rsidRPr="008E3517" w:rsidR="00F34B8F">
        <w:rPr>
          <w:color w:val="auto"/>
        </w:rPr>
        <w:t xml:space="preserve">he Commission </w:t>
      </w:r>
      <w:r w:rsidRPr="008E3517" w:rsidR="00527D88">
        <w:rPr>
          <w:color w:val="auto"/>
        </w:rPr>
        <w:t>being</w:t>
      </w:r>
      <w:r w:rsidRPr="008E3517" w:rsidR="00F34B8F">
        <w:rPr>
          <w:color w:val="auto"/>
        </w:rPr>
        <w:t xml:space="preserve"> unable to </w:t>
      </w:r>
      <w:r w:rsidRPr="008E3517">
        <w:rPr>
          <w:color w:val="auto"/>
        </w:rPr>
        <w:t>accurately track Indian gaming operations</w:t>
      </w:r>
      <w:r w:rsidRPr="008E3517" w:rsidR="00F34B8F">
        <w:rPr>
          <w:color w:val="auto"/>
        </w:rPr>
        <w:t xml:space="preserve"> currently operating on Indian lands</w:t>
      </w:r>
      <w:r w:rsidRPr="008E3517">
        <w:rPr>
          <w:color w:val="auto"/>
        </w:rPr>
        <w:t>,</w:t>
      </w:r>
      <w:r w:rsidRPr="008E3517" w:rsidR="00527D88">
        <w:rPr>
          <w:color w:val="auto"/>
        </w:rPr>
        <w:t xml:space="preserve"> and</w:t>
      </w:r>
      <w:r w:rsidRPr="008E3517">
        <w:rPr>
          <w:color w:val="auto"/>
        </w:rPr>
        <w:t xml:space="preserve"> </w:t>
      </w:r>
      <w:r w:rsidRPr="008E3517" w:rsidR="00527D88">
        <w:rPr>
          <w:color w:val="auto"/>
        </w:rPr>
        <w:t>being</w:t>
      </w:r>
      <w:r w:rsidRPr="008E3517">
        <w:rPr>
          <w:color w:val="auto"/>
        </w:rPr>
        <w:t xml:space="preserve"> hindered or delayed in its ability to carry out core agency functions. </w:t>
      </w:r>
    </w:p>
    <w:p w:rsidR="00EC500E" w:rsidP="00EC500E" w14:paraId="382F2B6B" w14:textId="77777777">
      <w:pPr>
        <w:ind w:left="1440" w:hanging="720"/>
        <w:rPr>
          <w:b/>
          <w:bCs/>
          <w:color w:val="000000"/>
        </w:rPr>
      </w:pPr>
      <w:r w:rsidRPr="008E3517">
        <w:rPr>
          <w:b/>
          <w:bCs/>
        </w:rPr>
        <w:t xml:space="preserve">7. </w:t>
      </w:r>
      <w:r w:rsidRPr="008E3517" w:rsidR="002A61B7">
        <w:rPr>
          <w:b/>
          <w:bCs/>
        </w:rPr>
        <w:tab/>
      </w:r>
      <w:r w:rsidRPr="008E3517">
        <w:rPr>
          <w:b/>
          <w:bCs/>
          <w:color w:val="000000"/>
        </w:rPr>
        <w:t xml:space="preserve">Explain any special circumstances that would cause an information collection to be conducted in a manner: </w:t>
      </w:r>
    </w:p>
    <w:p w:rsidR="007F10BC" w:rsidRPr="008E3517" w:rsidP="00EC500E" w14:paraId="04A16923" w14:textId="77777777">
      <w:pPr>
        <w:ind w:left="1440" w:hanging="720"/>
        <w:rPr>
          <w:b/>
          <w:bCs/>
          <w:color w:val="000000"/>
        </w:rPr>
      </w:pPr>
    </w:p>
    <w:p w:rsidR="00EC500E" w:rsidP="00EC500E" w14:paraId="3F4B1F35"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 xml:space="preserve">requiring respondents to report information to the agency more often than quarterly; </w:t>
      </w:r>
    </w:p>
    <w:p w:rsidR="007F10BC" w:rsidP="007F10BC" w14:paraId="3FF916A3" w14:textId="77777777">
      <w:pPr>
        <w:pStyle w:val="ListParagraph"/>
        <w:ind w:left="1800"/>
        <w:rPr>
          <w:rFonts w:ascii="Times New Roman" w:hAnsi="Times New Roman" w:cs="Times New Roman"/>
          <w:b/>
          <w:sz w:val="24"/>
          <w:szCs w:val="24"/>
        </w:rPr>
      </w:pPr>
    </w:p>
    <w:p w:rsidR="007F10BC" w:rsidRPr="007F10BC" w:rsidP="007F10BC" w14:paraId="51E631A6" w14:textId="77777777">
      <w:pPr>
        <w:pStyle w:val="ListParagraph"/>
        <w:ind w:left="1800"/>
        <w:rPr>
          <w:rFonts w:ascii="Times New Roman" w:hAnsi="Times New Roman" w:cs="Times New Roman"/>
          <w:sz w:val="24"/>
          <w:szCs w:val="24"/>
        </w:rPr>
      </w:pPr>
      <w:r w:rsidRPr="007F10BC">
        <w:rPr>
          <w:rFonts w:ascii="Times New Roman" w:hAnsi="Times New Roman" w:cs="Times New Roman"/>
          <w:sz w:val="24"/>
          <w:szCs w:val="24"/>
        </w:rPr>
        <w:t>N/A</w:t>
      </w:r>
    </w:p>
    <w:p w:rsidR="007F10BC" w:rsidRPr="008E3517" w:rsidP="007F10BC" w14:paraId="070B7D42" w14:textId="77777777">
      <w:pPr>
        <w:pStyle w:val="ListParagraph"/>
        <w:ind w:left="1800"/>
        <w:rPr>
          <w:rFonts w:ascii="Times New Roman" w:hAnsi="Times New Roman" w:cs="Times New Roman"/>
          <w:b/>
          <w:sz w:val="24"/>
          <w:szCs w:val="24"/>
        </w:rPr>
      </w:pPr>
    </w:p>
    <w:p w:rsidR="00EC500E" w:rsidP="00EC500E" w14:paraId="5ED0F92F"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 xml:space="preserve">requiring respondents to prepare a written response to a collection of information in fewer than 30 days after receipt of it; </w:t>
      </w:r>
    </w:p>
    <w:p w:rsidR="007F10BC" w:rsidP="007F10BC" w14:paraId="11F4605C" w14:textId="77777777">
      <w:pPr>
        <w:pStyle w:val="ListParagraph"/>
        <w:ind w:left="1800"/>
        <w:rPr>
          <w:rFonts w:ascii="Times New Roman" w:hAnsi="Times New Roman" w:cs="Times New Roman"/>
          <w:b/>
          <w:sz w:val="24"/>
          <w:szCs w:val="24"/>
        </w:rPr>
      </w:pPr>
    </w:p>
    <w:p w:rsidR="007F10BC" w:rsidP="007F10BC" w14:paraId="67216C8E" w14:textId="77777777">
      <w:pPr>
        <w:pStyle w:val="ListParagraph"/>
        <w:ind w:left="1800"/>
        <w:rPr>
          <w:rFonts w:ascii="Times New Roman" w:hAnsi="Times New Roman" w:cs="Times New Roman"/>
          <w:sz w:val="24"/>
          <w:szCs w:val="24"/>
        </w:rPr>
      </w:pPr>
      <w:r w:rsidRPr="007F10BC">
        <w:rPr>
          <w:rFonts w:ascii="Times New Roman" w:hAnsi="Times New Roman" w:cs="Times New Roman"/>
          <w:sz w:val="24"/>
          <w:szCs w:val="24"/>
        </w:rPr>
        <w:t>N/A</w:t>
      </w:r>
    </w:p>
    <w:p w:rsidR="007F10BC" w:rsidRPr="008E3517" w:rsidP="007F10BC" w14:paraId="084E7A33" w14:textId="77777777">
      <w:pPr>
        <w:pStyle w:val="ListParagraph"/>
        <w:ind w:left="1800"/>
        <w:rPr>
          <w:rFonts w:ascii="Times New Roman" w:hAnsi="Times New Roman" w:cs="Times New Roman"/>
          <w:b/>
          <w:sz w:val="24"/>
          <w:szCs w:val="24"/>
        </w:rPr>
      </w:pPr>
    </w:p>
    <w:p w:rsidR="00EC500E" w:rsidP="00EC500E" w14:paraId="45B2BE9C"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 xml:space="preserve">requiring respondents to submit more than an original and two copies of any document; </w:t>
      </w:r>
    </w:p>
    <w:p w:rsidR="007F10BC" w:rsidP="007F10BC" w14:paraId="75473678" w14:textId="77777777">
      <w:pPr>
        <w:pStyle w:val="ListParagraph"/>
        <w:ind w:left="1800"/>
        <w:rPr>
          <w:rFonts w:ascii="Times New Roman" w:hAnsi="Times New Roman" w:cs="Times New Roman"/>
          <w:b/>
          <w:sz w:val="24"/>
          <w:szCs w:val="24"/>
        </w:rPr>
      </w:pPr>
    </w:p>
    <w:p w:rsidR="007F10BC" w:rsidP="007F10BC" w14:paraId="48018497" w14:textId="77777777">
      <w:pPr>
        <w:pStyle w:val="ListParagraph"/>
        <w:ind w:left="1800"/>
        <w:rPr>
          <w:rFonts w:ascii="Times New Roman" w:hAnsi="Times New Roman" w:cs="Times New Roman"/>
          <w:sz w:val="24"/>
          <w:szCs w:val="24"/>
        </w:rPr>
      </w:pPr>
      <w:r w:rsidRPr="007F10BC">
        <w:rPr>
          <w:rFonts w:ascii="Times New Roman" w:hAnsi="Times New Roman" w:cs="Times New Roman"/>
          <w:sz w:val="24"/>
          <w:szCs w:val="24"/>
        </w:rPr>
        <w:t>N/A</w:t>
      </w:r>
    </w:p>
    <w:p w:rsidR="007F10BC" w:rsidRPr="008E3517" w:rsidP="007F10BC" w14:paraId="7D487D61" w14:textId="77777777">
      <w:pPr>
        <w:pStyle w:val="ListParagraph"/>
        <w:ind w:left="1800"/>
        <w:rPr>
          <w:rFonts w:ascii="Times New Roman" w:hAnsi="Times New Roman" w:cs="Times New Roman"/>
          <w:b/>
          <w:sz w:val="24"/>
          <w:szCs w:val="24"/>
        </w:rPr>
      </w:pPr>
    </w:p>
    <w:p w:rsidR="00EC500E" w:rsidP="00EC500E" w14:paraId="60FEDAFD"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7F10BC" w:rsidP="007F10BC" w14:paraId="2C23F35A" w14:textId="77777777">
      <w:pPr>
        <w:pStyle w:val="ListParagraph"/>
        <w:ind w:left="1800"/>
        <w:rPr>
          <w:rFonts w:ascii="Times New Roman" w:hAnsi="Times New Roman" w:cs="Times New Roman"/>
          <w:b/>
          <w:sz w:val="24"/>
          <w:szCs w:val="24"/>
        </w:rPr>
      </w:pPr>
    </w:p>
    <w:p w:rsidR="007F10BC" w:rsidP="007F10BC" w14:paraId="7A3B9C8F" w14:textId="77777777">
      <w:pPr>
        <w:pStyle w:val="ListParagraph"/>
        <w:ind w:left="1800"/>
        <w:rPr>
          <w:rFonts w:ascii="Times New Roman" w:hAnsi="Times New Roman" w:cs="Times New Roman"/>
          <w:sz w:val="24"/>
          <w:szCs w:val="24"/>
        </w:rPr>
      </w:pPr>
      <w:r w:rsidRPr="007F10BC">
        <w:rPr>
          <w:rFonts w:ascii="Times New Roman" w:hAnsi="Times New Roman" w:cs="Times New Roman"/>
          <w:sz w:val="24"/>
          <w:szCs w:val="24"/>
        </w:rPr>
        <w:t>N/A</w:t>
      </w:r>
    </w:p>
    <w:p w:rsidR="007F10BC" w:rsidRPr="008E3517" w:rsidP="007F10BC" w14:paraId="5BF2041F" w14:textId="77777777">
      <w:pPr>
        <w:pStyle w:val="ListParagraph"/>
        <w:ind w:left="1800"/>
        <w:rPr>
          <w:rFonts w:ascii="Times New Roman" w:hAnsi="Times New Roman" w:cs="Times New Roman"/>
          <w:b/>
          <w:sz w:val="24"/>
          <w:szCs w:val="24"/>
        </w:rPr>
      </w:pPr>
    </w:p>
    <w:p w:rsidR="00EC500E" w:rsidP="00EC500E" w14:paraId="6E9501EF"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 xml:space="preserve">in connection with a statistical survey, that is not designed to produce valid and reliable results that can be generalized to the universe of study; </w:t>
      </w:r>
    </w:p>
    <w:p w:rsidR="007F10BC" w:rsidP="007F10BC" w14:paraId="65782482" w14:textId="77777777">
      <w:pPr>
        <w:pStyle w:val="ListParagraph"/>
        <w:ind w:left="1800"/>
        <w:rPr>
          <w:rFonts w:ascii="Times New Roman" w:hAnsi="Times New Roman" w:cs="Times New Roman"/>
          <w:b/>
          <w:sz w:val="24"/>
          <w:szCs w:val="24"/>
        </w:rPr>
      </w:pPr>
    </w:p>
    <w:p w:rsidR="007F10BC" w:rsidP="007F10BC" w14:paraId="4D1D84A4" w14:textId="77777777">
      <w:pPr>
        <w:pStyle w:val="ListParagraph"/>
        <w:ind w:left="1800"/>
        <w:rPr>
          <w:rFonts w:ascii="Times New Roman" w:hAnsi="Times New Roman" w:cs="Times New Roman"/>
          <w:sz w:val="24"/>
          <w:szCs w:val="24"/>
        </w:rPr>
      </w:pPr>
      <w:r w:rsidRPr="007F10BC">
        <w:rPr>
          <w:rFonts w:ascii="Times New Roman" w:hAnsi="Times New Roman" w:cs="Times New Roman"/>
          <w:sz w:val="24"/>
          <w:szCs w:val="24"/>
        </w:rPr>
        <w:t>N/A</w:t>
      </w:r>
    </w:p>
    <w:p w:rsidR="007F10BC" w:rsidRPr="008E3517" w:rsidP="007F10BC" w14:paraId="00765343" w14:textId="77777777">
      <w:pPr>
        <w:pStyle w:val="ListParagraph"/>
        <w:ind w:left="1800"/>
        <w:rPr>
          <w:rFonts w:ascii="Times New Roman" w:hAnsi="Times New Roman" w:cs="Times New Roman"/>
          <w:b/>
          <w:sz w:val="24"/>
          <w:szCs w:val="24"/>
        </w:rPr>
      </w:pPr>
    </w:p>
    <w:p w:rsidR="00EC500E" w:rsidP="00EC500E" w14:paraId="5664CFFC"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 xml:space="preserve">requiring the use of a statistical data classification that has not been reviewed and approved by OMB; </w:t>
      </w:r>
    </w:p>
    <w:p w:rsidR="007F10BC" w:rsidP="007F10BC" w14:paraId="748BDB8C" w14:textId="77777777">
      <w:pPr>
        <w:pStyle w:val="ListParagraph"/>
        <w:ind w:left="1800"/>
        <w:rPr>
          <w:rFonts w:ascii="Times New Roman" w:hAnsi="Times New Roman" w:cs="Times New Roman"/>
          <w:b/>
          <w:sz w:val="24"/>
          <w:szCs w:val="24"/>
        </w:rPr>
      </w:pPr>
    </w:p>
    <w:p w:rsidR="007F10BC" w:rsidP="007F10BC" w14:paraId="34728FD5" w14:textId="77777777">
      <w:pPr>
        <w:pStyle w:val="ListParagraph"/>
        <w:ind w:left="1800"/>
        <w:rPr>
          <w:rFonts w:ascii="Times New Roman" w:hAnsi="Times New Roman" w:cs="Times New Roman"/>
          <w:sz w:val="24"/>
          <w:szCs w:val="24"/>
        </w:rPr>
      </w:pPr>
      <w:r w:rsidRPr="007F10BC">
        <w:rPr>
          <w:rFonts w:ascii="Times New Roman" w:hAnsi="Times New Roman" w:cs="Times New Roman"/>
          <w:sz w:val="24"/>
          <w:szCs w:val="24"/>
        </w:rPr>
        <w:t>N/A</w:t>
      </w:r>
    </w:p>
    <w:p w:rsidR="007F10BC" w:rsidRPr="008E3517" w:rsidP="007F10BC" w14:paraId="2A04AF87" w14:textId="77777777">
      <w:pPr>
        <w:pStyle w:val="ListParagraph"/>
        <w:ind w:left="1800"/>
        <w:rPr>
          <w:rFonts w:ascii="Times New Roman" w:hAnsi="Times New Roman" w:cs="Times New Roman"/>
          <w:b/>
          <w:sz w:val="24"/>
          <w:szCs w:val="24"/>
        </w:rPr>
      </w:pPr>
    </w:p>
    <w:p w:rsidR="00EC500E" w:rsidP="00EC500E" w14:paraId="10CE9D05"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F10BC" w:rsidP="007F10BC" w14:paraId="616A8D86" w14:textId="77777777">
      <w:pPr>
        <w:pStyle w:val="ListParagraph"/>
        <w:ind w:left="1800"/>
        <w:rPr>
          <w:rFonts w:ascii="Times New Roman" w:hAnsi="Times New Roman" w:cs="Times New Roman"/>
          <w:b/>
          <w:sz w:val="24"/>
          <w:szCs w:val="24"/>
        </w:rPr>
      </w:pPr>
    </w:p>
    <w:p w:rsidR="007F10BC" w:rsidP="007F10BC" w14:paraId="4FC43D2C" w14:textId="77777777">
      <w:pPr>
        <w:pStyle w:val="ListParagraph"/>
        <w:ind w:left="1800"/>
        <w:rPr>
          <w:rFonts w:ascii="Times New Roman" w:hAnsi="Times New Roman" w:cs="Times New Roman"/>
          <w:sz w:val="24"/>
          <w:szCs w:val="24"/>
        </w:rPr>
      </w:pPr>
      <w:r w:rsidRPr="007F10BC">
        <w:rPr>
          <w:rFonts w:ascii="Times New Roman" w:hAnsi="Times New Roman" w:cs="Times New Roman"/>
          <w:sz w:val="24"/>
          <w:szCs w:val="24"/>
        </w:rPr>
        <w:t>N/A</w:t>
      </w:r>
    </w:p>
    <w:p w:rsidR="007F10BC" w:rsidRPr="008E3517" w:rsidP="007F10BC" w14:paraId="366BA59D" w14:textId="77777777">
      <w:pPr>
        <w:pStyle w:val="ListParagraph"/>
        <w:ind w:left="1800"/>
        <w:rPr>
          <w:rFonts w:ascii="Times New Roman" w:hAnsi="Times New Roman" w:cs="Times New Roman"/>
          <w:b/>
          <w:sz w:val="24"/>
          <w:szCs w:val="24"/>
        </w:rPr>
      </w:pPr>
    </w:p>
    <w:p w:rsidR="000C0563" w:rsidRPr="007F10BC" w:rsidP="00EC500E" w14:paraId="5ABD4FB3"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8E3517">
        <w:rPr>
          <w:rFonts w:ascii="Times New Roman" w:hAnsi="Times New Roman" w:cs="Times New Roman"/>
          <w:b/>
          <w:bCs/>
          <w:sz w:val="24"/>
          <w:szCs w:val="24"/>
        </w:rPr>
        <w:t xml:space="preserve"> </w:t>
      </w:r>
    </w:p>
    <w:p w:rsidR="007F10BC" w:rsidP="007F10BC" w14:paraId="2BA773CD" w14:textId="77777777">
      <w:pPr>
        <w:pStyle w:val="ListParagraph"/>
        <w:ind w:left="1800"/>
        <w:rPr>
          <w:rFonts w:ascii="Times New Roman" w:hAnsi="Times New Roman" w:cs="Times New Roman"/>
          <w:b/>
          <w:bCs/>
          <w:sz w:val="24"/>
          <w:szCs w:val="24"/>
        </w:rPr>
      </w:pPr>
    </w:p>
    <w:p w:rsidR="000C0563" w:rsidRPr="008E3517" w:rsidP="007F10BC" w14:paraId="521236EB" w14:textId="77777777">
      <w:pPr>
        <w:pStyle w:val="ListParagraph"/>
        <w:ind w:left="1800"/>
      </w:pPr>
      <w:r w:rsidRPr="007F10BC">
        <w:rPr>
          <w:rFonts w:ascii="Times New Roman" w:hAnsi="Times New Roman" w:cs="Times New Roman"/>
          <w:sz w:val="24"/>
          <w:szCs w:val="24"/>
        </w:rPr>
        <w:t>N/A</w:t>
      </w:r>
    </w:p>
    <w:p w:rsidR="00C90B6F" w:rsidRPr="008E3517" w:rsidP="000C0563" w14:paraId="1FD1BF19" w14:textId="77777777">
      <w:pPr>
        <w:pStyle w:val="Default"/>
        <w:ind w:left="360" w:hanging="360"/>
        <w:rPr>
          <w:b/>
          <w:bCs/>
          <w:color w:val="auto"/>
        </w:rPr>
      </w:pPr>
    </w:p>
    <w:p w:rsidR="00EC500E" w:rsidRPr="008E3517" w:rsidP="00EC500E" w14:paraId="4C9CE0DF" w14:textId="77777777">
      <w:pPr>
        <w:ind w:left="1440" w:hanging="720"/>
        <w:rPr>
          <w:b/>
          <w:bCs/>
          <w:color w:val="000000"/>
        </w:rPr>
      </w:pPr>
      <w:r w:rsidRPr="008E3517">
        <w:rPr>
          <w:b/>
          <w:bCs/>
        </w:rPr>
        <w:t xml:space="preserve">8. </w:t>
      </w:r>
      <w:r w:rsidRPr="008E3517" w:rsidR="002A61B7">
        <w:rPr>
          <w:b/>
          <w:bCs/>
        </w:rPr>
        <w:tab/>
      </w:r>
      <w:r w:rsidRPr="008E3517">
        <w:rPr>
          <w:b/>
          <w:bCs/>
          <w:color w:val="00000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C500E" w:rsidRPr="008E3517" w:rsidP="00EC500E" w14:paraId="396BAD18" w14:textId="77777777">
      <w:pPr>
        <w:ind w:left="1440" w:hanging="720"/>
        <w:rPr>
          <w:b/>
          <w:bCs/>
          <w:color w:val="000000"/>
        </w:rPr>
      </w:pPr>
    </w:p>
    <w:p w:rsidR="00EC500E" w:rsidRPr="008E3517" w:rsidP="00EC500E" w14:paraId="72DC42A3" w14:textId="77777777">
      <w:pPr>
        <w:ind w:left="1440"/>
        <w:rPr>
          <w:b/>
          <w:bCs/>
          <w:color w:val="000000"/>
        </w:rPr>
      </w:pPr>
      <w:r w:rsidRPr="008E3517">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C500E" w:rsidRPr="008E3517" w:rsidP="00EC500E" w14:paraId="06F56E04" w14:textId="77777777">
      <w:pPr>
        <w:ind w:left="1440" w:hanging="720"/>
        <w:rPr>
          <w:b/>
          <w:bCs/>
          <w:color w:val="000000"/>
        </w:rPr>
      </w:pPr>
    </w:p>
    <w:p w:rsidR="000C0563" w:rsidRPr="008E3517" w:rsidP="00EC500E" w14:paraId="108A3A3E" w14:textId="77777777">
      <w:pPr>
        <w:pStyle w:val="Default"/>
        <w:ind w:left="1440"/>
        <w:rPr>
          <w:color w:val="auto"/>
        </w:rPr>
      </w:pPr>
      <w:r w:rsidRPr="008E3517">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E3517">
        <w:rPr>
          <w:b/>
          <w:bCs/>
          <w:color w:val="auto"/>
        </w:rPr>
        <w:t xml:space="preserve"> </w:t>
      </w:r>
    </w:p>
    <w:p w:rsidR="00C90B6F" w:rsidRPr="008E3517" w:rsidP="000C0563" w14:paraId="21E90523" w14:textId="77777777">
      <w:pPr>
        <w:pStyle w:val="Default"/>
        <w:ind w:firstLine="720"/>
        <w:rPr>
          <w:color w:val="auto"/>
        </w:rPr>
      </w:pPr>
    </w:p>
    <w:p w:rsidR="00AD30AD" w:rsidRPr="008E3517" w:rsidP="00AD30AD" w14:paraId="0376D46E" w14:textId="1477F1F1">
      <w:pPr>
        <w:pStyle w:val="Default"/>
        <w:spacing w:line="480" w:lineRule="auto"/>
        <w:ind w:firstLine="720"/>
        <w:rPr>
          <w:color w:val="auto"/>
        </w:rPr>
      </w:pPr>
      <w:r w:rsidRPr="00435172">
        <w:rPr>
          <w:color w:val="auto"/>
        </w:rPr>
        <w:t xml:space="preserve">On </w:t>
      </w:r>
      <w:r w:rsidR="00341B80">
        <w:rPr>
          <w:color w:val="auto"/>
        </w:rPr>
        <w:t>September 23, 2025</w:t>
      </w:r>
      <w:r w:rsidRPr="00435172">
        <w:rPr>
          <w:color w:val="auto"/>
        </w:rPr>
        <w:t xml:space="preserve">, a </w:t>
      </w:r>
      <w:r w:rsidRPr="00435172" w:rsidR="00592278">
        <w:rPr>
          <w:color w:val="auto"/>
        </w:rPr>
        <w:t xml:space="preserve">60-day </w:t>
      </w:r>
      <w:r w:rsidRPr="00435172">
        <w:rPr>
          <w:color w:val="auto"/>
        </w:rPr>
        <w:t>notice</w:t>
      </w:r>
      <w:r w:rsidRPr="008E3517">
        <w:rPr>
          <w:color w:val="auto"/>
        </w:rPr>
        <w:t xml:space="preserve"> contai</w:t>
      </w:r>
      <w:r w:rsidR="00492112">
        <w:rPr>
          <w:color w:val="auto"/>
        </w:rPr>
        <w:t>ning the information collection</w:t>
      </w:r>
      <w:r w:rsidRPr="008E3517">
        <w:rPr>
          <w:color w:val="auto"/>
        </w:rPr>
        <w:t xml:space="preserve"> requirement</w:t>
      </w:r>
      <w:r w:rsidR="00492112">
        <w:rPr>
          <w:color w:val="auto"/>
        </w:rPr>
        <w:t>s</w:t>
      </w:r>
      <w:r w:rsidRPr="008E3517">
        <w:rPr>
          <w:color w:val="auto"/>
        </w:rPr>
        <w:t xml:space="preserve"> was published in the Federal Register allowing the public an opportunity to comment on the requirements.</w:t>
      </w:r>
      <w:r w:rsidRPr="008E3517" w:rsidR="00592278">
        <w:rPr>
          <w:color w:val="auto"/>
        </w:rPr>
        <w:t xml:space="preserve"> </w:t>
      </w:r>
      <w:r w:rsidRPr="008E3517" w:rsidR="00592278">
        <w:rPr>
          <w:i/>
          <w:color w:val="auto"/>
        </w:rPr>
        <w:t>See</w:t>
      </w:r>
      <w:r w:rsidRPr="008E3517">
        <w:rPr>
          <w:color w:val="auto"/>
        </w:rPr>
        <w:t xml:space="preserve"> </w:t>
      </w:r>
      <w:r w:rsidR="00BC07F2">
        <w:rPr>
          <w:color w:val="auto"/>
        </w:rPr>
        <w:t>90</w:t>
      </w:r>
      <w:r w:rsidRPr="008974BC" w:rsidR="00BC07F2">
        <w:rPr>
          <w:color w:val="auto"/>
        </w:rPr>
        <w:t xml:space="preserve"> FR </w:t>
      </w:r>
      <w:r w:rsidR="00BC07F2">
        <w:rPr>
          <w:color w:val="auto"/>
        </w:rPr>
        <w:t>45205</w:t>
      </w:r>
      <w:r w:rsidRPr="008974BC" w:rsidR="00BC07F2">
        <w:rPr>
          <w:color w:val="auto"/>
        </w:rPr>
        <w:t xml:space="preserve"> (</w:t>
      </w:r>
      <w:r w:rsidR="00BC07F2">
        <w:rPr>
          <w:color w:val="auto"/>
        </w:rPr>
        <w:t>September 23, 2025</w:t>
      </w:r>
      <w:r w:rsidRPr="00DB15ED" w:rsidR="00435172">
        <w:rPr>
          <w:color w:val="auto"/>
        </w:rPr>
        <w:t xml:space="preserve">). </w:t>
      </w:r>
      <w:r w:rsidRPr="008E3517">
        <w:rPr>
          <w:color w:val="auto"/>
        </w:rPr>
        <w:t>The public comment p</w:t>
      </w:r>
      <w:r w:rsidRPr="00435172">
        <w:rPr>
          <w:color w:val="auto"/>
        </w:rPr>
        <w:t xml:space="preserve">eriod closed on </w:t>
      </w:r>
      <w:r w:rsidR="00C4557F">
        <w:rPr>
          <w:color w:val="auto"/>
        </w:rPr>
        <w:t>November 24, 2025</w:t>
      </w:r>
      <w:r w:rsidRPr="008E3517">
        <w:rPr>
          <w:color w:val="auto"/>
        </w:rPr>
        <w:t>. No public comments were received.</w:t>
      </w:r>
    </w:p>
    <w:p w:rsidR="000C0563" w:rsidRPr="008E3517" w:rsidP="00AD30AD" w14:paraId="00C022BB" w14:textId="77777777">
      <w:pPr>
        <w:pStyle w:val="Default"/>
        <w:spacing w:line="480" w:lineRule="auto"/>
        <w:ind w:firstLine="720"/>
        <w:rPr>
          <w:color w:val="auto"/>
        </w:rPr>
      </w:pPr>
      <w:r w:rsidRPr="008E3517">
        <w:t xml:space="preserve">In addition, the Commission </w:t>
      </w:r>
      <w:r w:rsidR="00163DEF">
        <w:t xml:space="preserve">consulted with various </w:t>
      </w:r>
      <w:r w:rsidRPr="008E3517">
        <w:rPr>
          <w:color w:val="auto"/>
        </w:rPr>
        <w:t>tribal</w:t>
      </w:r>
      <w:r w:rsidRPr="008E3517">
        <w:t xml:space="preserve"> gaming operators and/or TGRAs regarding the submission and recordkeeping requirements contained in </w:t>
      </w:r>
      <w:r w:rsidR="0008411D">
        <w:t>the</w:t>
      </w:r>
      <w:r w:rsidRPr="008E3517">
        <w:t xml:space="preserve"> regulations. The Commission asked the tribal gaming operators and/or TGRAs to provide </w:t>
      </w:r>
      <w:r w:rsidRPr="008E3517">
        <w:rPr>
          <w:color w:val="auto"/>
        </w:rPr>
        <w:t>annual</w:t>
      </w:r>
      <w:r w:rsidRPr="008E3517">
        <w:t xml:space="preserve"> hourly estimates required to perform </w:t>
      </w:r>
      <w:r w:rsidR="00492112">
        <w:t xml:space="preserve">each of </w:t>
      </w:r>
      <w:r w:rsidRPr="008B3660" w:rsidR="00492112">
        <w:t xml:space="preserve">the </w:t>
      </w:r>
      <w:r w:rsidR="00492112">
        <w:t>activities</w:t>
      </w:r>
      <w:r w:rsidRPr="008E3517">
        <w:t>, as well as any cost estimates. The Commission has adjusted its previous estimates accordingly.</w:t>
      </w:r>
    </w:p>
    <w:p w:rsidR="000C0563" w:rsidRPr="008E3517" w:rsidP="002A61B7" w14:paraId="66011E32" w14:textId="77777777">
      <w:pPr>
        <w:pStyle w:val="Default"/>
        <w:ind w:left="1440" w:hanging="720"/>
        <w:rPr>
          <w:color w:val="auto"/>
        </w:rPr>
      </w:pPr>
      <w:r w:rsidRPr="008E3517">
        <w:rPr>
          <w:b/>
          <w:bCs/>
          <w:color w:val="auto"/>
        </w:rPr>
        <w:t xml:space="preserve">9. </w:t>
      </w:r>
      <w:r w:rsidRPr="008E3517" w:rsidR="002A61B7">
        <w:rPr>
          <w:b/>
          <w:bCs/>
          <w:color w:val="auto"/>
        </w:rPr>
        <w:tab/>
      </w:r>
      <w:r w:rsidRPr="008E3517" w:rsidR="00EC500E">
        <w:rPr>
          <w:b/>
          <w:bCs/>
        </w:rPr>
        <w:t>Explain any decision to provide any payment or gift</w:t>
      </w:r>
      <w:r w:rsidRPr="008E3517" w:rsidR="00592278">
        <w:rPr>
          <w:b/>
          <w:bCs/>
        </w:rPr>
        <w:t xml:space="preserve"> to respondents, other than remun</w:t>
      </w:r>
      <w:r w:rsidRPr="008E3517" w:rsidR="00EC500E">
        <w:rPr>
          <w:b/>
          <w:bCs/>
        </w:rPr>
        <w:t>eration of contractors or grantees.</w:t>
      </w:r>
    </w:p>
    <w:p w:rsidR="00C90B6F" w:rsidRPr="008E3517" w:rsidP="000C0563" w14:paraId="53F06232" w14:textId="77777777">
      <w:pPr>
        <w:pStyle w:val="Default"/>
        <w:ind w:firstLine="720"/>
        <w:rPr>
          <w:color w:val="auto"/>
        </w:rPr>
      </w:pPr>
    </w:p>
    <w:p w:rsidR="000C0563" w:rsidRPr="008E3517" w:rsidP="000C0563" w14:paraId="47F3EB09" w14:textId="77777777">
      <w:pPr>
        <w:pStyle w:val="Default"/>
        <w:ind w:firstLine="720"/>
        <w:rPr>
          <w:color w:val="auto"/>
        </w:rPr>
      </w:pPr>
      <w:r w:rsidRPr="008E3517">
        <w:rPr>
          <w:color w:val="auto"/>
        </w:rPr>
        <w:t>Not applicable. The Commission does not provide any payment or gifts to respondents.</w:t>
      </w:r>
    </w:p>
    <w:p w:rsidR="00C90B6F" w:rsidRPr="008E3517" w:rsidP="000C0563" w14:paraId="738C8E0F" w14:textId="77777777">
      <w:pPr>
        <w:pStyle w:val="Default"/>
        <w:ind w:left="360" w:hanging="360"/>
        <w:rPr>
          <w:b/>
          <w:bCs/>
          <w:color w:val="auto"/>
        </w:rPr>
      </w:pPr>
    </w:p>
    <w:p w:rsidR="00C90B6F" w:rsidRPr="008E3517" w:rsidP="002A61B7" w14:paraId="7232D4D3" w14:textId="77777777">
      <w:pPr>
        <w:pStyle w:val="Default"/>
        <w:ind w:left="1440" w:hanging="720"/>
        <w:rPr>
          <w:b/>
          <w:bCs/>
          <w:color w:val="auto"/>
        </w:rPr>
      </w:pPr>
      <w:r w:rsidRPr="008E3517">
        <w:rPr>
          <w:b/>
          <w:bCs/>
          <w:color w:val="auto"/>
        </w:rPr>
        <w:t xml:space="preserve">10. </w:t>
      </w:r>
      <w:r w:rsidRPr="008E3517" w:rsidR="002A61B7">
        <w:rPr>
          <w:b/>
          <w:bCs/>
          <w:color w:val="auto"/>
        </w:rPr>
        <w:tab/>
      </w:r>
      <w:r w:rsidRPr="008E3517" w:rsidR="00EC500E">
        <w:rPr>
          <w:b/>
          <w:bCs/>
        </w:rPr>
        <w:t>Describe any assurance of confidentiality provided to respondents and the basis for the assurance in statute, regulation, or agency policy.</w:t>
      </w:r>
      <w:r w:rsidRPr="008E3517">
        <w:rPr>
          <w:b/>
          <w:bCs/>
          <w:color w:val="auto"/>
        </w:rPr>
        <w:t xml:space="preserve"> </w:t>
      </w:r>
    </w:p>
    <w:p w:rsidR="00C90B6F" w:rsidRPr="008E3517" w:rsidP="00C90B6F" w14:paraId="231B9AC4" w14:textId="77777777">
      <w:pPr>
        <w:pStyle w:val="Default"/>
        <w:rPr>
          <w:b/>
          <w:bCs/>
          <w:color w:val="auto"/>
        </w:rPr>
      </w:pPr>
    </w:p>
    <w:p w:rsidR="000C0563" w:rsidRPr="008E3517" w:rsidP="00425D81" w14:paraId="750D0B45" w14:textId="77777777">
      <w:pPr>
        <w:pStyle w:val="Default"/>
        <w:spacing w:line="480" w:lineRule="auto"/>
        <w:ind w:firstLine="720"/>
        <w:rPr>
          <w:color w:val="auto"/>
        </w:rPr>
      </w:pPr>
      <w:r w:rsidRPr="008E3517">
        <w:rPr>
          <w:color w:val="auto"/>
        </w:rPr>
        <w:t xml:space="preserve">The Act mandates the Commission to preserve any and all information received pursuant to IGRA as </w:t>
      </w:r>
      <w:r w:rsidRPr="008E3517">
        <w:t>confidential</w:t>
      </w:r>
      <w:r w:rsidR="00EB63A2">
        <w:t>,</w:t>
      </w:r>
      <w:r w:rsidRPr="008E3517">
        <w:rPr>
          <w:color w:val="auto"/>
        </w:rPr>
        <w:t xml:space="preserve"> and removes </w:t>
      </w:r>
      <w:r w:rsidRPr="008E3517">
        <w:t>from</w:t>
      </w:r>
      <w:r w:rsidRPr="008E3517">
        <w:rPr>
          <w:color w:val="auto"/>
        </w:rPr>
        <w:t xml:space="preserve"> the Commission any discretion that it would otherwise have to disclose any information that falls within FOIA exemptions 4 and 7. 25 U.S.C. 2716(a). The Commission may disclose such information only to other law enforcement agencies for law enforcement purposes. 25 U.S.C. 2716(b).</w:t>
      </w:r>
    </w:p>
    <w:p w:rsidR="000C0563" w:rsidRPr="008E3517" w:rsidP="002A61B7" w14:paraId="10764D81" w14:textId="77777777">
      <w:pPr>
        <w:pStyle w:val="Default"/>
        <w:ind w:left="1440" w:hanging="720"/>
        <w:rPr>
          <w:color w:val="auto"/>
        </w:rPr>
      </w:pPr>
      <w:r w:rsidRPr="008E3517">
        <w:rPr>
          <w:b/>
          <w:bCs/>
          <w:color w:val="auto"/>
        </w:rPr>
        <w:t xml:space="preserve">11. </w:t>
      </w:r>
      <w:r w:rsidRPr="008E3517" w:rsidR="002A61B7">
        <w:rPr>
          <w:b/>
          <w:bCs/>
          <w:color w:val="auto"/>
        </w:rPr>
        <w:tab/>
      </w:r>
      <w:r w:rsidRPr="008E3517" w:rsidR="00EC500E">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E3517">
        <w:rPr>
          <w:b/>
          <w:bCs/>
          <w:color w:val="auto"/>
        </w:rPr>
        <w:t xml:space="preserve"> </w:t>
      </w:r>
    </w:p>
    <w:p w:rsidR="00C90B6F" w:rsidRPr="008E3517" w:rsidP="000C0563" w14:paraId="25881605" w14:textId="77777777">
      <w:pPr>
        <w:pStyle w:val="Default"/>
        <w:ind w:firstLine="720"/>
        <w:rPr>
          <w:color w:val="auto"/>
        </w:rPr>
      </w:pPr>
    </w:p>
    <w:p w:rsidR="000C0563" w:rsidRPr="008E3517" w:rsidP="000C0563" w14:paraId="70C19495" w14:textId="77777777">
      <w:pPr>
        <w:pStyle w:val="Default"/>
        <w:ind w:firstLine="720"/>
        <w:rPr>
          <w:color w:val="auto"/>
        </w:rPr>
      </w:pPr>
      <w:r w:rsidRPr="008E3517">
        <w:rPr>
          <w:color w:val="auto"/>
        </w:rPr>
        <w:t xml:space="preserve">Not applicable. No sensitive questions are asked. </w:t>
      </w:r>
    </w:p>
    <w:p w:rsidR="00C90B6F" w:rsidRPr="008E3517" w:rsidP="000C0563" w14:paraId="4D6DFF01" w14:textId="77777777">
      <w:pPr>
        <w:pStyle w:val="Default"/>
        <w:ind w:left="360" w:hanging="360"/>
        <w:rPr>
          <w:b/>
          <w:bCs/>
          <w:color w:val="auto"/>
        </w:rPr>
      </w:pPr>
    </w:p>
    <w:p w:rsidR="00EC500E" w:rsidRPr="008E3517" w:rsidP="00EC500E" w14:paraId="0FDCB257" w14:textId="77777777">
      <w:pPr>
        <w:ind w:left="1440" w:hanging="720"/>
        <w:rPr>
          <w:b/>
          <w:bCs/>
          <w:color w:val="000000"/>
        </w:rPr>
      </w:pPr>
      <w:r w:rsidRPr="008E3517">
        <w:rPr>
          <w:b/>
          <w:bCs/>
        </w:rPr>
        <w:t xml:space="preserve">12. </w:t>
      </w:r>
      <w:r w:rsidRPr="008E3517" w:rsidR="002A61B7">
        <w:rPr>
          <w:b/>
          <w:bCs/>
        </w:rPr>
        <w:tab/>
      </w:r>
      <w:r w:rsidRPr="008E3517">
        <w:rPr>
          <w:b/>
          <w:bCs/>
          <w:color w:val="000000"/>
        </w:rPr>
        <w:t xml:space="preserve">Provide estimates of the hour burden of the collection of information. The statement should: </w:t>
      </w:r>
    </w:p>
    <w:p w:rsidR="00EC500E" w:rsidRPr="008E3517" w:rsidP="00EC500E" w14:paraId="20B27971"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C500E" w:rsidRPr="008E3517" w:rsidP="00EC500E" w14:paraId="79E9A29D"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rsidR="000C0563" w:rsidRPr="008E3517" w:rsidP="00EC500E" w14:paraId="13105494"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8E3517">
        <w:rPr>
          <w:rFonts w:ascii="Times New Roman" w:hAnsi="Times New Roman" w:cs="Times New Roman"/>
          <w:b/>
          <w:bCs/>
          <w:sz w:val="24"/>
          <w:szCs w:val="24"/>
        </w:rPr>
        <w:t xml:space="preserve"> </w:t>
      </w:r>
    </w:p>
    <w:p w:rsidR="000C0563" w:rsidRPr="008E3517" w:rsidP="000C0563" w14:paraId="748968D6" w14:textId="77777777">
      <w:pPr>
        <w:pStyle w:val="Default"/>
        <w:rPr>
          <w:color w:val="auto"/>
        </w:rPr>
      </w:pPr>
    </w:p>
    <w:p w:rsidR="006A3379" w:rsidP="00141B03" w14:paraId="5687C6FD" w14:textId="3490BDE4">
      <w:pPr>
        <w:pStyle w:val="Default"/>
        <w:tabs>
          <w:tab w:val="left" w:pos="378"/>
        </w:tabs>
        <w:spacing w:line="480" w:lineRule="auto"/>
        <w:ind w:firstLine="720"/>
      </w:pPr>
      <w:r w:rsidRPr="008E3517">
        <w:t>The Commission tracks the number of proposed facility license issuance notices, copies of newly issued or renewed licenses, EPHS attestations,</w:t>
      </w:r>
      <w:r w:rsidRPr="008E3517" w:rsidR="008F79D0">
        <w:t xml:space="preserve"> and</w:t>
      </w:r>
      <w:r w:rsidRPr="008E3517">
        <w:t xml:space="preserve"> license expirations or closure notices that it receives per calendar year. To arrive at the </w:t>
      </w:r>
      <w:r>
        <w:t>estimates</w:t>
      </w:r>
      <w:r w:rsidRPr="008E3517">
        <w:t xml:space="preserve"> below, the Commission averaged the number of </w:t>
      </w:r>
      <w:r w:rsidR="00EA11DF">
        <w:t xml:space="preserve">annual </w:t>
      </w:r>
      <w:r w:rsidRPr="008E3517">
        <w:t xml:space="preserve">submissions that it received from </w:t>
      </w:r>
      <w:r w:rsidRPr="00435172">
        <w:t xml:space="preserve">calendar years </w:t>
      </w:r>
      <w:r w:rsidR="00C5718F">
        <w:t>20</w:t>
      </w:r>
      <w:r w:rsidR="00C4557F">
        <w:t>22</w:t>
      </w:r>
      <w:r w:rsidR="00C5718F">
        <w:t xml:space="preserve"> – 2012</w:t>
      </w:r>
      <w:r w:rsidR="000B0168">
        <w:t>4</w:t>
      </w:r>
      <w:r w:rsidRPr="00435172">
        <w:t xml:space="preserve"> in</w:t>
      </w:r>
      <w:r w:rsidRPr="008E3517">
        <w:t xml:space="preserve"> order to determine the </w:t>
      </w:r>
      <w:r w:rsidRPr="008E3517" w:rsidR="00DD6EF9">
        <w:t>estimated</w:t>
      </w:r>
      <w:r w:rsidRPr="008E3517">
        <w:t xml:space="preserve"> </w:t>
      </w:r>
      <w:r w:rsidR="002D4102">
        <w:t xml:space="preserve">total </w:t>
      </w:r>
      <w:r w:rsidRPr="008E3517">
        <w:t xml:space="preserve">number of annual respondents and </w:t>
      </w:r>
      <w:r w:rsidR="00EA11DF">
        <w:t xml:space="preserve">estimated </w:t>
      </w:r>
      <w:r w:rsidR="002D4102">
        <w:t xml:space="preserve">total </w:t>
      </w:r>
      <w:r w:rsidRPr="008E3517">
        <w:t>annual responses.</w:t>
      </w:r>
      <w:r>
        <w:t xml:space="preserve"> </w:t>
      </w:r>
    </w:p>
    <w:p w:rsidR="00165C75" w:rsidP="00165C75" w14:paraId="525676FD" w14:textId="77777777">
      <w:pPr>
        <w:pStyle w:val="Default"/>
        <w:tabs>
          <w:tab w:val="left" w:pos="378"/>
        </w:tabs>
        <w:spacing w:line="480" w:lineRule="auto"/>
        <w:ind w:firstLine="720"/>
      </w:pPr>
      <w:r w:rsidRPr="008E3517">
        <w:t xml:space="preserve">As mentioned in Item 8 above, the Commission consulted </w:t>
      </w:r>
      <w:r w:rsidRPr="008E3517" w:rsidR="00592278">
        <w:t>with</w:t>
      </w:r>
      <w:r w:rsidRPr="008E3517">
        <w:t xml:space="preserve"> tribal gaming operators and/or TGRAs </w:t>
      </w:r>
      <w:r w:rsidRPr="008B3660">
        <w:t>to gather the burden estimates for these information collection</w:t>
      </w:r>
      <w:r>
        <w:t xml:space="preserve"> activitie</w:t>
      </w:r>
      <w:r w:rsidRPr="008B3660">
        <w:t xml:space="preserve">s. </w:t>
      </w:r>
      <w:r>
        <w:t xml:space="preserve">Based </w:t>
      </w:r>
      <w:r>
        <w:t>on these consultations, the Commission was able to establish average time and wage expenditures for each type of response. The Commission was then able to calculate the total annual time and wage expenditure estimates by multiplying these averages by the average number of annual responses.</w:t>
      </w:r>
    </w:p>
    <w:p w:rsidR="00113A36" w:rsidRPr="008E3517" w:rsidP="00165C75" w14:paraId="6C636F48" w14:textId="1D61F73C">
      <w:pPr>
        <w:pStyle w:val="Default"/>
        <w:tabs>
          <w:tab w:val="left" w:pos="378"/>
        </w:tabs>
        <w:spacing w:line="480" w:lineRule="auto"/>
        <w:ind w:firstLine="720"/>
      </w:pPr>
      <w:r w:rsidRPr="008E3517">
        <w:rPr>
          <w:b/>
          <w:bCs/>
          <w:u w:val="single"/>
        </w:rPr>
        <w:t>ESTIMATED ANNUAL BURDEN TOTALS</w:t>
      </w:r>
    </w:p>
    <w:p w:rsidR="00113A36" w:rsidRPr="008E3517" w:rsidP="00113A36" w14:paraId="3DB11DCF" w14:textId="77777777">
      <w:pPr>
        <w:pStyle w:val="Default"/>
      </w:pPr>
    </w:p>
    <w:tbl>
      <w:tblPr>
        <w:tblW w:w="9450" w:type="dxa"/>
        <w:tblInd w:w="108" w:type="dxa"/>
        <w:tblLayout w:type="fixed"/>
        <w:tblLook w:val="04A0"/>
      </w:tblPr>
      <w:tblGrid>
        <w:gridCol w:w="1260"/>
        <w:gridCol w:w="1350"/>
        <w:gridCol w:w="1350"/>
        <w:gridCol w:w="1080"/>
        <w:gridCol w:w="990"/>
        <w:gridCol w:w="900"/>
        <w:gridCol w:w="1170"/>
        <w:gridCol w:w="1350"/>
      </w:tblGrid>
      <w:tr w14:paraId="37C1A9FD" w14:textId="77777777" w:rsidTr="008306E3">
        <w:tblPrEx>
          <w:tblW w:w="9450" w:type="dxa"/>
          <w:tblInd w:w="108" w:type="dxa"/>
          <w:tblLayout w:type="fixed"/>
          <w:tblLook w:val="04A0"/>
        </w:tblPrEx>
        <w:trPr>
          <w:trHeight w:val="745"/>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center"/>
            <w:hideMark/>
          </w:tcPr>
          <w:p w:rsidR="008306E3" w:rsidRPr="008E3517" w:rsidP="00A43F92" w14:paraId="4ED16364" w14:textId="77777777">
            <w:pPr>
              <w:spacing w:before="60" w:after="60"/>
              <w:ind w:left="-93" w:right="-108"/>
              <w:jc w:val="center"/>
              <w:rPr>
                <w:b/>
                <w:bCs/>
                <w:color w:val="000000"/>
                <w:sz w:val="18"/>
                <w:szCs w:val="18"/>
              </w:rPr>
            </w:pPr>
            <w:r w:rsidRPr="008E3517">
              <w:rPr>
                <w:b/>
                <w:bCs/>
                <w:color w:val="000000"/>
                <w:sz w:val="18"/>
                <w:szCs w:val="18"/>
              </w:rPr>
              <w:t>CFR CITE/ COLLECTION</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8306E3" w:rsidRPr="008E3517" w:rsidP="00A43F92" w14:paraId="51DEE152" w14:textId="77777777">
            <w:pPr>
              <w:spacing w:before="60" w:after="60"/>
              <w:ind w:left="-108" w:right="-108"/>
              <w:jc w:val="center"/>
              <w:rPr>
                <w:b/>
                <w:bCs/>
                <w:sz w:val="18"/>
                <w:szCs w:val="18"/>
              </w:rPr>
            </w:pPr>
            <w:r w:rsidRPr="008E3517">
              <w:rPr>
                <w:b/>
                <w:bCs/>
                <w:sz w:val="18"/>
                <w:szCs w:val="18"/>
              </w:rPr>
              <w:t>NUMBER OF ANNUAL RESPONDENTS</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8306E3" w:rsidRPr="008E3517" w:rsidP="00A43F92" w14:paraId="6E76F980" w14:textId="77777777">
            <w:pPr>
              <w:spacing w:before="60" w:after="60"/>
              <w:ind w:left="-108" w:right="-108"/>
              <w:jc w:val="center"/>
              <w:rPr>
                <w:b/>
                <w:bCs/>
                <w:sz w:val="18"/>
                <w:szCs w:val="18"/>
              </w:rPr>
            </w:pPr>
            <w:r w:rsidRPr="008E3517">
              <w:rPr>
                <w:b/>
                <w:bCs/>
                <w:sz w:val="18"/>
                <w:szCs w:val="18"/>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center"/>
            <w:hideMark/>
          </w:tcPr>
          <w:p w:rsidR="008306E3" w:rsidRPr="008E3517" w:rsidP="00A43F92" w14:paraId="654EA739" w14:textId="77777777">
            <w:pPr>
              <w:spacing w:before="60" w:after="60"/>
              <w:ind w:left="-108" w:right="-108"/>
              <w:jc w:val="center"/>
              <w:rPr>
                <w:b/>
                <w:bCs/>
                <w:sz w:val="18"/>
                <w:szCs w:val="18"/>
              </w:rPr>
            </w:pPr>
            <w:r w:rsidRPr="008E3517">
              <w:rPr>
                <w:b/>
                <w:bCs/>
                <w:sz w:val="18"/>
                <w:szCs w:val="18"/>
              </w:rPr>
              <w:t>TOTAL ANNUAL RESPONSES</w:t>
            </w:r>
          </w:p>
        </w:tc>
        <w:tc>
          <w:tcPr>
            <w:tcW w:w="990" w:type="dxa"/>
            <w:tcBorders>
              <w:top w:val="single" w:sz="8" w:space="0" w:color="auto"/>
              <w:left w:val="nil"/>
              <w:bottom w:val="single" w:sz="8" w:space="0" w:color="auto"/>
              <w:right w:val="single" w:sz="4" w:space="0" w:color="auto"/>
            </w:tcBorders>
            <w:shd w:val="clear" w:color="000000" w:fill="BFBFBF" w:themeFill="background1" w:themeFillShade="BF"/>
            <w:vAlign w:val="center"/>
            <w:hideMark/>
          </w:tcPr>
          <w:p w:rsidR="008306E3" w:rsidRPr="008E3517" w:rsidP="00A43F92" w14:paraId="15721C23" w14:textId="77777777">
            <w:pPr>
              <w:spacing w:before="60" w:after="60"/>
              <w:ind w:left="-108" w:right="-108"/>
              <w:jc w:val="center"/>
              <w:rPr>
                <w:b/>
                <w:bCs/>
                <w:sz w:val="18"/>
                <w:szCs w:val="18"/>
              </w:rPr>
            </w:pPr>
            <w:r w:rsidRPr="008E3517">
              <w:rPr>
                <w:b/>
                <w:bCs/>
                <w:sz w:val="18"/>
                <w:szCs w:val="18"/>
              </w:rPr>
              <w:t>AVERAGE HOURS  PER RESPONSE</w:t>
            </w:r>
          </w:p>
        </w:tc>
        <w:tc>
          <w:tcPr>
            <w:tcW w:w="90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vAlign w:val="center"/>
            <w:hideMark/>
          </w:tcPr>
          <w:p w:rsidR="008306E3" w:rsidRPr="008E3517" w:rsidP="00A43F92" w14:paraId="55AE29CE" w14:textId="77777777">
            <w:pPr>
              <w:spacing w:before="60" w:after="60"/>
              <w:jc w:val="center"/>
              <w:rPr>
                <w:b/>
                <w:bCs/>
                <w:sz w:val="18"/>
                <w:szCs w:val="18"/>
              </w:rPr>
            </w:pPr>
            <w:r w:rsidRPr="008E3517">
              <w:rPr>
                <w:b/>
                <w:bCs/>
                <w:sz w:val="18"/>
                <w:szCs w:val="18"/>
              </w:rPr>
              <w:t>TOTAL HOURS</w:t>
            </w:r>
          </w:p>
        </w:tc>
        <w:tc>
          <w:tcPr>
            <w:tcW w:w="11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8306E3" w:rsidRPr="008E3517" w:rsidP="008306E3" w14:paraId="15869B6E" w14:textId="6B6AE82A">
            <w:pPr>
              <w:spacing w:before="60" w:after="60"/>
              <w:jc w:val="center"/>
              <w:rPr>
                <w:b/>
                <w:bCs/>
                <w:sz w:val="18"/>
                <w:szCs w:val="18"/>
              </w:rPr>
            </w:pPr>
            <w:r>
              <w:rPr>
                <w:b/>
                <w:bCs/>
                <w:sz w:val="18"/>
                <w:szCs w:val="18"/>
              </w:rPr>
              <w:t>AVERAGE WAGE COST</w:t>
            </w:r>
            <w:r w:rsidR="008C07BE">
              <w:rPr>
                <w:b/>
                <w:bCs/>
                <w:sz w:val="18"/>
                <w:szCs w:val="18"/>
              </w:rPr>
              <w:t>/</w:t>
            </w:r>
            <w:r w:rsidR="006931E4">
              <w:rPr>
                <w:b/>
                <w:bCs/>
                <w:sz w:val="18"/>
                <w:szCs w:val="18"/>
              </w:rPr>
              <w:t>Resp</w:t>
            </w:r>
          </w:p>
        </w:tc>
        <w:tc>
          <w:tcPr>
            <w:tcW w:w="135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vAlign w:val="center"/>
          </w:tcPr>
          <w:p w:rsidR="008306E3" w:rsidRPr="008E3517" w:rsidP="008306E3" w14:paraId="68058B66" w14:textId="77777777">
            <w:pPr>
              <w:spacing w:before="60" w:after="60"/>
              <w:jc w:val="center"/>
              <w:rPr>
                <w:b/>
                <w:bCs/>
                <w:sz w:val="18"/>
                <w:szCs w:val="18"/>
              </w:rPr>
            </w:pPr>
            <w:r w:rsidRPr="008E3517">
              <w:rPr>
                <w:b/>
                <w:bCs/>
                <w:sz w:val="18"/>
                <w:szCs w:val="18"/>
              </w:rPr>
              <w:t xml:space="preserve">TOTAL </w:t>
            </w:r>
            <w:r>
              <w:rPr>
                <w:b/>
                <w:bCs/>
                <w:sz w:val="18"/>
                <w:szCs w:val="18"/>
              </w:rPr>
              <w:t>WAGE</w:t>
            </w:r>
            <w:r w:rsidRPr="008E3517">
              <w:rPr>
                <w:b/>
                <w:bCs/>
                <w:sz w:val="18"/>
                <w:szCs w:val="18"/>
              </w:rPr>
              <w:t xml:space="preserve"> COST</w:t>
            </w:r>
          </w:p>
        </w:tc>
      </w:tr>
      <w:tr w14:paraId="4633C60E" w14:textId="77777777" w:rsidTr="008306E3">
        <w:tblPrEx>
          <w:tblW w:w="945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vAlign w:val="bottom"/>
            <w:hideMark/>
          </w:tcPr>
          <w:p w:rsidR="008306E3" w:rsidRPr="008E3517" w:rsidP="00A43F92" w14:paraId="1BA311E6" w14:textId="77777777">
            <w:pPr>
              <w:spacing w:after="60"/>
              <w:rPr>
                <w:b/>
                <w:bCs/>
              </w:rPr>
            </w:pPr>
            <w:r w:rsidRPr="008E3517">
              <w:rPr>
                <w:b/>
                <w:bCs/>
              </w:rPr>
              <w:t>559.2</w:t>
            </w:r>
          </w:p>
        </w:tc>
        <w:tc>
          <w:tcPr>
            <w:tcW w:w="1350" w:type="dxa"/>
            <w:tcBorders>
              <w:top w:val="single" w:sz="8" w:space="0" w:color="auto"/>
              <w:left w:val="single" w:sz="4" w:space="0" w:color="auto"/>
              <w:bottom w:val="single" w:sz="8" w:space="0" w:color="auto"/>
              <w:right w:val="single" w:sz="8" w:space="0" w:color="auto"/>
            </w:tcBorders>
          </w:tcPr>
          <w:p w:rsidR="008306E3" w:rsidRPr="007B2C64" w:rsidP="00A40D34" w14:paraId="59F266DD" w14:textId="2B194AE6">
            <w:pPr>
              <w:spacing w:after="60"/>
              <w:jc w:val="center"/>
            </w:pPr>
            <w:r>
              <w:t>7</w:t>
            </w:r>
          </w:p>
        </w:tc>
        <w:tc>
          <w:tcPr>
            <w:tcW w:w="1350" w:type="dxa"/>
            <w:tcBorders>
              <w:top w:val="single" w:sz="8" w:space="0" w:color="auto"/>
              <w:left w:val="nil"/>
              <w:bottom w:val="single" w:sz="8" w:space="0" w:color="auto"/>
              <w:right w:val="single" w:sz="8" w:space="0" w:color="auto"/>
            </w:tcBorders>
          </w:tcPr>
          <w:p w:rsidR="008306E3" w:rsidRPr="007B2C64" w:rsidP="00A40D34" w14:paraId="436122F9" w14:textId="77777777">
            <w:pPr>
              <w:spacing w:after="60"/>
              <w:jc w:val="center"/>
            </w:pPr>
            <w:r w:rsidRPr="007B2C64">
              <w:t>Varies</w:t>
            </w:r>
          </w:p>
        </w:tc>
        <w:tc>
          <w:tcPr>
            <w:tcW w:w="1080" w:type="dxa"/>
            <w:tcBorders>
              <w:top w:val="single" w:sz="8" w:space="0" w:color="auto"/>
              <w:left w:val="nil"/>
              <w:bottom w:val="single" w:sz="8" w:space="0" w:color="auto"/>
              <w:right w:val="single" w:sz="8" w:space="0" w:color="auto"/>
            </w:tcBorders>
          </w:tcPr>
          <w:p w:rsidR="008306E3" w:rsidRPr="007B2C64" w:rsidP="00A40D34" w14:paraId="00877983" w14:textId="045B284F">
            <w:pPr>
              <w:spacing w:after="60"/>
              <w:jc w:val="center"/>
            </w:pPr>
            <w:r>
              <w:t>7</w:t>
            </w:r>
          </w:p>
        </w:tc>
        <w:tc>
          <w:tcPr>
            <w:tcW w:w="990" w:type="dxa"/>
            <w:tcBorders>
              <w:top w:val="single" w:sz="8" w:space="0" w:color="auto"/>
              <w:left w:val="nil"/>
              <w:bottom w:val="single" w:sz="8" w:space="0" w:color="auto"/>
              <w:right w:val="single" w:sz="4" w:space="0" w:color="auto"/>
            </w:tcBorders>
          </w:tcPr>
          <w:p w:rsidR="008306E3" w:rsidRPr="007B2C64" w:rsidP="00A40D34" w14:paraId="684D3BE7" w14:textId="38260E81">
            <w:pPr>
              <w:spacing w:after="60"/>
              <w:jc w:val="center"/>
            </w:pPr>
            <w:r>
              <w:t>3</w:t>
            </w:r>
          </w:p>
        </w:tc>
        <w:tc>
          <w:tcPr>
            <w:tcW w:w="900" w:type="dxa"/>
            <w:tcBorders>
              <w:top w:val="single" w:sz="8" w:space="0" w:color="auto"/>
              <w:left w:val="single" w:sz="4" w:space="0" w:color="auto"/>
              <w:bottom w:val="single" w:sz="8" w:space="0" w:color="auto"/>
              <w:right w:val="single" w:sz="8" w:space="0" w:color="auto"/>
            </w:tcBorders>
          </w:tcPr>
          <w:p w:rsidR="008306E3" w:rsidRPr="007B2C64" w:rsidP="00A40D34" w14:paraId="75FFF84A" w14:textId="2707405C">
            <w:pPr>
              <w:spacing w:after="60"/>
              <w:jc w:val="center"/>
            </w:pPr>
            <w:r>
              <w:t>21</w:t>
            </w:r>
          </w:p>
        </w:tc>
        <w:tc>
          <w:tcPr>
            <w:tcW w:w="1170" w:type="dxa"/>
            <w:tcBorders>
              <w:top w:val="single" w:sz="8" w:space="0" w:color="auto"/>
              <w:left w:val="single" w:sz="4" w:space="0" w:color="auto"/>
              <w:bottom w:val="single" w:sz="8" w:space="0" w:color="auto"/>
              <w:right w:val="single" w:sz="4" w:space="0" w:color="auto"/>
            </w:tcBorders>
          </w:tcPr>
          <w:p w:rsidR="008306E3" w:rsidRPr="007B2C64" w:rsidP="00A40D34" w14:paraId="77E51F59" w14:textId="5C3CC690">
            <w:pPr>
              <w:spacing w:after="60"/>
              <w:jc w:val="center"/>
            </w:pPr>
            <w:r>
              <w:t>$</w:t>
            </w:r>
            <w:r w:rsidR="006931E4">
              <w:t>59</w:t>
            </w:r>
          </w:p>
        </w:tc>
        <w:tc>
          <w:tcPr>
            <w:tcW w:w="1350" w:type="dxa"/>
            <w:tcBorders>
              <w:top w:val="single" w:sz="8" w:space="0" w:color="auto"/>
              <w:left w:val="single" w:sz="4" w:space="0" w:color="auto"/>
              <w:bottom w:val="single" w:sz="8" w:space="0" w:color="auto"/>
              <w:right w:val="single" w:sz="8" w:space="0" w:color="auto"/>
            </w:tcBorders>
          </w:tcPr>
          <w:p w:rsidR="008306E3" w:rsidRPr="007B2C64" w:rsidP="00A40D34" w14:paraId="2BF08BE6" w14:textId="2E30531C">
            <w:pPr>
              <w:spacing w:after="60"/>
              <w:jc w:val="center"/>
            </w:pPr>
            <w:r>
              <w:t>$</w:t>
            </w:r>
            <w:r w:rsidR="00E91BC1">
              <w:t>413</w:t>
            </w:r>
          </w:p>
        </w:tc>
      </w:tr>
      <w:tr w14:paraId="21C1D464" w14:textId="77777777" w:rsidTr="008306E3">
        <w:tblPrEx>
          <w:tblW w:w="945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8306E3" w:rsidRPr="008E3517" w:rsidP="00A43F92" w14:paraId="4B41D636" w14:textId="77777777">
            <w:r w:rsidRPr="008E3517">
              <w:rPr>
                <w:b/>
                <w:bCs/>
              </w:rPr>
              <w:t>559.3</w:t>
            </w:r>
          </w:p>
        </w:tc>
        <w:tc>
          <w:tcPr>
            <w:tcW w:w="1350" w:type="dxa"/>
            <w:tcBorders>
              <w:top w:val="nil"/>
              <w:left w:val="single" w:sz="4" w:space="0" w:color="auto"/>
              <w:bottom w:val="single" w:sz="8" w:space="0" w:color="auto"/>
              <w:right w:val="single" w:sz="8" w:space="0" w:color="auto"/>
            </w:tcBorders>
          </w:tcPr>
          <w:p w:rsidR="008306E3" w:rsidRPr="007B2C64" w:rsidP="00A40D34" w14:paraId="37C3A844" w14:textId="1810075C">
            <w:pPr>
              <w:spacing w:after="60"/>
              <w:jc w:val="center"/>
            </w:pPr>
            <w:r>
              <w:t>33</w:t>
            </w:r>
          </w:p>
        </w:tc>
        <w:tc>
          <w:tcPr>
            <w:tcW w:w="1350" w:type="dxa"/>
            <w:tcBorders>
              <w:top w:val="nil"/>
              <w:left w:val="nil"/>
              <w:bottom w:val="single" w:sz="8" w:space="0" w:color="auto"/>
              <w:right w:val="single" w:sz="8" w:space="0" w:color="auto"/>
            </w:tcBorders>
          </w:tcPr>
          <w:p w:rsidR="008306E3" w:rsidRPr="007B2C64" w:rsidP="00A40D34" w14:paraId="681AF997" w14:textId="77777777">
            <w:pPr>
              <w:spacing w:after="60"/>
              <w:jc w:val="center"/>
            </w:pPr>
            <w:r w:rsidRPr="007B2C64">
              <w:t>Varies</w:t>
            </w:r>
          </w:p>
        </w:tc>
        <w:tc>
          <w:tcPr>
            <w:tcW w:w="1080" w:type="dxa"/>
            <w:tcBorders>
              <w:top w:val="nil"/>
              <w:left w:val="nil"/>
              <w:bottom w:val="single" w:sz="8" w:space="0" w:color="auto"/>
              <w:right w:val="single" w:sz="8" w:space="0" w:color="auto"/>
            </w:tcBorders>
          </w:tcPr>
          <w:p w:rsidR="008306E3" w:rsidRPr="007B2C64" w:rsidP="00A40D34" w14:paraId="6DE5FB3B" w14:textId="39F70640">
            <w:pPr>
              <w:spacing w:after="60"/>
              <w:jc w:val="center"/>
            </w:pPr>
            <w:r>
              <w:t>70</w:t>
            </w:r>
          </w:p>
        </w:tc>
        <w:tc>
          <w:tcPr>
            <w:tcW w:w="990" w:type="dxa"/>
            <w:tcBorders>
              <w:top w:val="nil"/>
              <w:left w:val="nil"/>
              <w:bottom w:val="single" w:sz="8" w:space="0" w:color="auto"/>
              <w:right w:val="single" w:sz="4" w:space="0" w:color="auto"/>
            </w:tcBorders>
          </w:tcPr>
          <w:p w:rsidR="008306E3" w:rsidRPr="007B2C64" w:rsidP="00A40D34" w14:paraId="2AE3FD6C" w14:textId="54B79712">
            <w:pPr>
              <w:spacing w:after="60"/>
              <w:jc w:val="center"/>
            </w:pPr>
            <w:r>
              <w:t>3</w:t>
            </w:r>
          </w:p>
        </w:tc>
        <w:tc>
          <w:tcPr>
            <w:tcW w:w="900" w:type="dxa"/>
            <w:tcBorders>
              <w:top w:val="nil"/>
              <w:left w:val="single" w:sz="4" w:space="0" w:color="auto"/>
              <w:bottom w:val="single" w:sz="8" w:space="0" w:color="auto"/>
              <w:right w:val="single" w:sz="8" w:space="0" w:color="auto"/>
            </w:tcBorders>
          </w:tcPr>
          <w:p w:rsidR="008306E3" w:rsidRPr="007B2C64" w:rsidP="00A40D34" w14:paraId="077DDCCC" w14:textId="222B74DE">
            <w:pPr>
              <w:spacing w:after="60"/>
              <w:jc w:val="center"/>
            </w:pPr>
            <w:r>
              <w:t>210</w:t>
            </w:r>
          </w:p>
        </w:tc>
        <w:tc>
          <w:tcPr>
            <w:tcW w:w="1170" w:type="dxa"/>
            <w:tcBorders>
              <w:top w:val="nil"/>
              <w:left w:val="single" w:sz="4" w:space="0" w:color="auto"/>
              <w:bottom w:val="single" w:sz="8" w:space="0" w:color="auto"/>
              <w:right w:val="single" w:sz="4" w:space="0" w:color="auto"/>
            </w:tcBorders>
          </w:tcPr>
          <w:p w:rsidR="008306E3" w:rsidRPr="007B2C64" w:rsidP="00A40D34" w14:paraId="028C394F" w14:textId="782F2EA1">
            <w:pPr>
              <w:spacing w:after="60"/>
              <w:jc w:val="center"/>
            </w:pPr>
            <w:r>
              <w:t>$</w:t>
            </w:r>
            <w:r w:rsidR="006931E4">
              <w:t>73</w:t>
            </w:r>
          </w:p>
        </w:tc>
        <w:tc>
          <w:tcPr>
            <w:tcW w:w="1350" w:type="dxa"/>
            <w:tcBorders>
              <w:top w:val="nil"/>
              <w:left w:val="single" w:sz="4" w:space="0" w:color="auto"/>
              <w:bottom w:val="single" w:sz="8" w:space="0" w:color="auto"/>
              <w:right w:val="single" w:sz="8" w:space="0" w:color="auto"/>
            </w:tcBorders>
          </w:tcPr>
          <w:p w:rsidR="008306E3" w:rsidRPr="007B2C64" w:rsidP="00A40D34" w14:paraId="587F2BD8" w14:textId="25586130">
            <w:pPr>
              <w:spacing w:after="60"/>
              <w:jc w:val="center"/>
            </w:pPr>
            <w:r>
              <w:t>$</w:t>
            </w:r>
            <w:r w:rsidR="003C68FF">
              <w:t>5,110</w:t>
            </w:r>
          </w:p>
        </w:tc>
      </w:tr>
      <w:tr w14:paraId="552BCBA4" w14:textId="77777777" w:rsidTr="008306E3">
        <w:tblPrEx>
          <w:tblW w:w="945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8306E3" w:rsidRPr="008E3517" w:rsidP="00A43F92" w14:paraId="23FDBF6B" w14:textId="77777777">
            <w:r w:rsidRPr="008E3517">
              <w:rPr>
                <w:b/>
                <w:bCs/>
              </w:rPr>
              <w:t>559.4</w:t>
            </w:r>
          </w:p>
        </w:tc>
        <w:tc>
          <w:tcPr>
            <w:tcW w:w="1350" w:type="dxa"/>
            <w:tcBorders>
              <w:top w:val="nil"/>
              <w:left w:val="single" w:sz="4" w:space="0" w:color="auto"/>
              <w:bottom w:val="single" w:sz="8" w:space="0" w:color="auto"/>
              <w:right w:val="single" w:sz="8" w:space="0" w:color="auto"/>
            </w:tcBorders>
          </w:tcPr>
          <w:p w:rsidR="008306E3" w:rsidRPr="007B2C64" w:rsidP="00A40D34" w14:paraId="58A54376" w14:textId="1A915ADC">
            <w:pPr>
              <w:spacing w:after="60"/>
              <w:jc w:val="center"/>
            </w:pPr>
            <w:r>
              <w:t>33</w:t>
            </w:r>
          </w:p>
        </w:tc>
        <w:tc>
          <w:tcPr>
            <w:tcW w:w="1350" w:type="dxa"/>
            <w:tcBorders>
              <w:top w:val="nil"/>
              <w:left w:val="nil"/>
              <w:bottom w:val="single" w:sz="8" w:space="0" w:color="auto"/>
              <w:right w:val="single" w:sz="8" w:space="0" w:color="auto"/>
            </w:tcBorders>
          </w:tcPr>
          <w:p w:rsidR="008306E3" w:rsidRPr="007B2C64" w:rsidP="00A40D34" w14:paraId="5719ECAB" w14:textId="77777777">
            <w:pPr>
              <w:spacing w:after="60"/>
              <w:jc w:val="center"/>
            </w:pPr>
            <w:r w:rsidRPr="007B2C64">
              <w:t>Varies</w:t>
            </w:r>
          </w:p>
        </w:tc>
        <w:tc>
          <w:tcPr>
            <w:tcW w:w="1080" w:type="dxa"/>
            <w:tcBorders>
              <w:top w:val="nil"/>
              <w:left w:val="nil"/>
              <w:bottom w:val="single" w:sz="8" w:space="0" w:color="auto"/>
              <w:right w:val="single" w:sz="8" w:space="0" w:color="auto"/>
            </w:tcBorders>
          </w:tcPr>
          <w:p w:rsidR="008306E3" w:rsidRPr="007B2C64" w:rsidP="00A40D34" w14:paraId="18993E0E" w14:textId="55575CB9">
            <w:pPr>
              <w:spacing w:after="60"/>
              <w:jc w:val="center"/>
            </w:pPr>
            <w:r>
              <w:t>70</w:t>
            </w:r>
          </w:p>
        </w:tc>
        <w:tc>
          <w:tcPr>
            <w:tcW w:w="990" w:type="dxa"/>
            <w:tcBorders>
              <w:top w:val="nil"/>
              <w:left w:val="nil"/>
              <w:bottom w:val="single" w:sz="8" w:space="0" w:color="auto"/>
              <w:right w:val="single" w:sz="4" w:space="0" w:color="auto"/>
            </w:tcBorders>
          </w:tcPr>
          <w:p w:rsidR="008306E3" w:rsidRPr="007B2C64" w:rsidP="00A40D34" w14:paraId="49EE6212" w14:textId="138D04E5">
            <w:pPr>
              <w:spacing w:after="60"/>
              <w:jc w:val="center"/>
            </w:pPr>
            <w:r>
              <w:t>2</w:t>
            </w:r>
          </w:p>
        </w:tc>
        <w:tc>
          <w:tcPr>
            <w:tcW w:w="900" w:type="dxa"/>
            <w:tcBorders>
              <w:top w:val="nil"/>
              <w:left w:val="single" w:sz="4" w:space="0" w:color="auto"/>
              <w:bottom w:val="single" w:sz="8" w:space="0" w:color="auto"/>
              <w:right w:val="single" w:sz="8" w:space="0" w:color="auto"/>
            </w:tcBorders>
          </w:tcPr>
          <w:p w:rsidR="008306E3" w:rsidRPr="007B2C64" w:rsidP="00A40D34" w14:paraId="59353536" w14:textId="240176F2">
            <w:pPr>
              <w:spacing w:after="60"/>
              <w:jc w:val="center"/>
            </w:pPr>
            <w:r>
              <w:t>140</w:t>
            </w:r>
          </w:p>
        </w:tc>
        <w:tc>
          <w:tcPr>
            <w:tcW w:w="1170" w:type="dxa"/>
            <w:tcBorders>
              <w:top w:val="nil"/>
              <w:left w:val="single" w:sz="4" w:space="0" w:color="auto"/>
              <w:bottom w:val="single" w:sz="8" w:space="0" w:color="auto"/>
              <w:right w:val="single" w:sz="4" w:space="0" w:color="auto"/>
            </w:tcBorders>
          </w:tcPr>
          <w:p w:rsidR="008306E3" w:rsidRPr="007B2C64" w:rsidP="00A40D34" w14:paraId="69474F4D" w14:textId="673CECC4">
            <w:pPr>
              <w:spacing w:after="60"/>
              <w:jc w:val="center"/>
            </w:pPr>
            <w:r>
              <w:t>$</w:t>
            </w:r>
            <w:r w:rsidR="006931E4">
              <w:t>55</w:t>
            </w:r>
          </w:p>
        </w:tc>
        <w:tc>
          <w:tcPr>
            <w:tcW w:w="1350" w:type="dxa"/>
            <w:tcBorders>
              <w:top w:val="nil"/>
              <w:left w:val="single" w:sz="4" w:space="0" w:color="auto"/>
              <w:bottom w:val="single" w:sz="8" w:space="0" w:color="auto"/>
              <w:right w:val="single" w:sz="8" w:space="0" w:color="auto"/>
            </w:tcBorders>
          </w:tcPr>
          <w:p w:rsidR="008306E3" w:rsidRPr="007B2C64" w:rsidP="00A40D34" w14:paraId="6FBA3262" w14:textId="5DC4AD53">
            <w:pPr>
              <w:spacing w:after="60"/>
              <w:jc w:val="center"/>
            </w:pPr>
            <w:r>
              <w:t>$</w:t>
            </w:r>
            <w:r w:rsidR="005A54A6">
              <w:t>3.850</w:t>
            </w:r>
          </w:p>
        </w:tc>
      </w:tr>
      <w:tr w14:paraId="19A7D402" w14:textId="77777777" w:rsidTr="008306E3">
        <w:tblPrEx>
          <w:tblW w:w="945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8306E3" w:rsidRPr="008E3517" w:rsidP="00A43F92" w14:paraId="0C303E1B" w14:textId="77777777">
            <w:pPr>
              <w:rPr>
                <w:b/>
                <w:bCs/>
              </w:rPr>
            </w:pPr>
            <w:r w:rsidRPr="008E3517">
              <w:rPr>
                <w:b/>
                <w:bCs/>
              </w:rPr>
              <w:t>559.5</w:t>
            </w:r>
          </w:p>
        </w:tc>
        <w:tc>
          <w:tcPr>
            <w:tcW w:w="1350" w:type="dxa"/>
            <w:tcBorders>
              <w:top w:val="nil"/>
              <w:left w:val="single" w:sz="4" w:space="0" w:color="auto"/>
              <w:bottom w:val="single" w:sz="8" w:space="0" w:color="auto"/>
              <w:right w:val="single" w:sz="8" w:space="0" w:color="auto"/>
            </w:tcBorders>
          </w:tcPr>
          <w:p w:rsidR="008306E3" w:rsidRPr="007B2C64" w:rsidP="00A40D34" w14:paraId="31CB3806" w14:textId="35603C77">
            <w:pPr>
              <w:spacing w:after="60"/>
              <w:jc w:val="center"/>
            </w:pPr>
            <w:r>
              <w:t>5</w:t>
            </w:r>
          </w:p>
        </w:tc>
        <w:tc>
          <w:tcPr>
            <w:tcW w:w="1350" w:type="dxa"/>
            <w:tcBorders>
              <w:top w:val="nil"/>
              <w:left w:val="nil"/>
              <w:bottom w:val="single" w:sz="8" w:space="0" w:color="auto"/>
              <w:right w:val="single" w:sz="8" w:space="0" w:color="auto"/>
            </w:tcBorders>
          </w:tcPr>
          <w:p w:rsidR="008306E3" w:rsidRPr="007B2C64" w:rsidP="00A40D34" w14:paraId="5C310A15" w14:textId="77777777">
            <w:pPr>
              <w:spacing w:after="60"/>
              <w:jc w:val="center"/>
            </w:pPr>
            <w:r w:rsidRPr="007B2C64">
              <w:t>Varies</w:t>
            </w:r>
          </w:p>
        </w:tc>
        <w:tc>
          <w:tcPr>
            <w:tcW w:w="1080" w:type="dxa"/>
            <w:tcBorders>
              <w:top w:val="nil"/>
              <w:left w:val="nil"/>
              <w:bottom w:val="single" w:sz="8" w:space="0" w:color="auto"/>
              <w:right w:val="single" w:sz="8" w:space="0" w:color="auto"/>
            </w:tcBorders>
          </w:tcPr>
          <w:p w:rsidR="008306E3" w:rsidRPr="007B2C64" w:rsidP="00A40D34" w14:paraId="605CA18B" w14:textId="47FC7D78">
            <w:pPr>
              <w:spacing w:after="60"/>
              <w:jc w:val="center"/>
            </w:pPr>
            <w:r>
              <w:t>6</w:t>
            </w:r>
          </w:p>
        </w:tc>
        <w:tc>
          <w:tcPr>
            <w:tcW w:w="990" w:type="dxa"/>
            <w:tcBorders>
              <w:top w:val="nil"/>
              <w:left w:val="nil"/>
              <w:bottom w:val="single" w:sz="8" w:space="0" w:color="auto"/>
              <w:right w:val="single" w:sz="4" w:space="0" w:color="auto"/>
            </w:tcBorders>
          </w:tcPr>
          <w:p w:rsidR="008306E3" w:rsidRPr="007B2C64" w:rsidP="00A40D34" w14:paraId="5CAE2A23" w14:textId="3C662F13">
            <w:pPr>
              <w:spacing w:after="60"/>
              <w:jc w:val="center"/>
            </w:pPr>
            <w:r>
              <w:t>1</w:t>
            </w:r>
          </w:p>
        </w:tc>
        <w:tc>
          <w:tcPr>
            <w:tcW w:w="900" w:type="dxa"/>
            <w:tcBorders>
              <w:top w:val="nil"/>
              <w:left w:val="single" w:sz="4" w:space="0" w:color="auto"/>
              <w:bottom w:val="single" w:sz="8" w:space="0" w:color="auto"/>
              <w:right w:val="single" w:sz="8" w:space="0" w:color="auto"/>
            </w:tcBorders>
          </w:tcPr>
          <w:p w:rsidR="008306E3" w:rsidRPr="007B2C64" w:rsidP="00A40D34" w14:paraId="209355FC" w14:textId="77777777">
            <w:pPr>
              <w:spacing w:after="60"/>
              <w:jc w:val="center"/>
            </w:pPr>
            <w:r>
              <w:t>6</w:t>
            </w:r>
          </w:p>
        </w:tc>
        <w:tc>
          <w:tcPr>
            <w:tcW w:w="1170" w:type="dxa"/>
            <w:tcBorders>
              <w:top w:val="nil"/>
              <w:left w:val="single" w:sz="4" w:space="0" w:color="auto"/>
              <w:bottom w:val="single" w:sz="8" w:space="0" w:color="auto"/>
              <w:right w:val="single" w:sz="4" w:space="0" w:color="auto"/>
            </w:tcBorders>
          </w:tcPr>
          <w:p w:rsidR="008306E3" w:rsidRPr="007B2C64" w:rsidP="00A40D34" w14:paraId="4F567325" w14:textId="3728B482">
            <w:pPr>
              <w:spacing w:after="60"/>
              <w:jc w:val="center"/>
            </w:pPr>
            <w:r>
              <w:t>$</w:t>
            </w:r>
            <w:r w:rsidR="001876AF">
              <w:t>24</w:t>
            </w:r>
          </w:p>
        </w:tc>
        <w:tc>
          <w:tcPr>
            <w:tcW w:w="1350" w:type="dxa"/>
            <w:tcBorders>
              <w:top w:val="nil"/>
              <w:left w:val="single" w:sz="4" w:space="0" w:color="auto"/>
              <w:bottom w:val="single" w:sz="8" w:space="0" w:color="auto"/>
              <w:right w:val="single" w:sz="8" w:space="0" w:color="auto"/>
            </w:tcBorders>
          </w:tcPr>
          <w:p w:rsidR="008306E3" w:rsidRPr="007B2C64" w:rsidP="00A40D34" w14:paraId="428C4109" w14:textId="22180BE6">
            <w:pPr>
              <w:spacing w:after="60"/>
              <w:jc w:val="center"/>
            </w:pPr>
            <w:r>
              <w:t>$</w:t>
            </w:r>
            <w:r w:rsidR="0050765C">
              <w:t>144</w:t>
            </w:r>
          </w:p>
        </w:tc>
      </w:tr>
      <w:tr w14:paraId="6A1CD262" w14:textId="77777777" w:rsidTr="008306E3">
        <w:tblPrEx>
          <w:tblW w:w="9450" w:type="dxa"/>
          <w:tblInd w:w="108"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8306E3" w:rsidRPr="008E3517" w:rsidP="00A43F92" w14:paraId="567D0D1E" w14:textId="77777777">
            <w:pPr>
              <w:rPr>
                <w:b/>
                <w:bCs/>
              </w:rPr>
            </w:pPr>
            <w:r w:rsidRPr="008E3517">
              <w:rPr>
                <w:b/>
                <w:bCs/>
              </w:rPr>
              <w:t>559.6</w:t>
            </w:r>
          </w:p>
        </w:tc>
        <w:tc>
          <w:tcPr>
            <w:tcW w:w="1350" w:type="dxa"/>
            <w:tcBorders>
              <w:top w:val="nil"/>
              <w:left w:val="single" w:sz="4" w:space="0" w:color="auto"/>
              <w:bottom w:val="single" w:sz="8" w:space="0" w:color="auto"/>
              <w:right w:val="single" w:sz="8" w:space="0" w:color="auto"/>
            </w:tcBorders>
          </w:tcPr>
          <w:p w:rsidR="008306E3" w:rsidRPr="007B2C64" w:rsidP="00A40D34" w14:paraId="166D212D" w14:textId="6A53F233">
            <w:pPr>
              <w:spacing w:after="60"/>
              <w:jc w:val="center"/>
            </w:pPr>
            <w:r>
              <w:t>258</w:t>
            </w:r>
          </w:p>
        </w:tc>
        <w:tc>
          <w:tcPr>
            <w:tcW w:w="1350" w:type="dxa"/>
            <w:tcBorders>
              <w:top w:val="nil"/>
              <w:left w:val="nil"/>
              <w:bottom w:val="single" w:sz="8" w:space="0" w:color="auto"/>
              <w:right w:val="single" w:sz="8" w:space="0" w:color="auto"/>
            </w:tcBorders>
          </w:tcPr>
          <w:p w:rsidR="008306E3" w:rsidRPr="007B2C64" w:rsidP="00A40D34" w14:paraId="739E76B0" w14:textId="77777777">
            <w:pPr>
              <w:spacing w:after="60"/>
              <w:jc w:val="center"/>
            </w:pPr>
            <w:r w:rsidRPr="007B2C64">
              <w:t>Varies</w:t>
            </w:r>
          </w:p>
        </w:tc>
        <w:tc>
          <w:tcPr>
            <w:tcW w:w="1080" w:type="dxa"/>
            <w:tcBorders>
              <w:top w:val="nil"/>
              <w:left w:val="nil"/>
              <w:bottom w:val="single" w:sz="8" w:space="0" w:color="auto"/>
              <w:right w:val="single" w:sz="8" w:space="0" w:color="auto"/>
            </w:tcBorders>
          </w:tcPr>
          <w:p w:rsidR="008306E3" w:rsidRPr="007B2C64" w:rsidP="00A40D34" w14:paraId="213C38BF" w14:textId="317F79AD">
            <w:pPr>
              <w:spacing w:after="60"/>
              <w:jc w:val="center"/>
            </w:pPr>
            <w:r>
              <w:t>526</w:t>
            </w:r>
          </w:p>
        </w:tc>
        <w:tc>
          <w:tcPr>
            <w:tcW w:w="990" w:type="dxa"/>
            <w:tcBorders>
              <w:top w:val="nil"/>
              <w:left w:val="nil"/>
              <w:bottom w:val="single" w:sz="8" w:space="0" w:color="auto"/>
              <w:right w:val="single" w:sz="4" w:space="0" w:color="auto"/>
            </w:tcBorders>
          </w:tcPr>
          <w:p w:rsidR="008306E3" w:rsidRPr="007B2C64" w:rsidP="00A40D34" w14:paraId="1E59C624" w14:textId="026BB1F3">
            <w:pPr>
              <w:spacing w:after="60"/>
              <w:jc w:val="center"/>
            </w:pPr>
            <w:r>
              <w:t>2</w:t>
            </w:r>
          </w:p>
        </w:tc>
        <w:tc>
          <w:tcPr>
            <w:tcW w:w="900" w:type="dxa"/>
            <w:tcBorders>
              <w:top w:val="nil"/>
              <w:left w:val="single" w:sz="4" w:space="0" w:color="auto"/>
              <w:bottom w:val="single" w:sz="8" w:space="0" w:color="auto"/>
              <w:right w:val="single" w:sz="8" w:space="0" w:color="auto"/>
            </w:tcBorders>
          </w:tcPr>
          <w:p w:rsidR="008306E3" w:rsidRPr="007B2C64" w:rsidP="00A40D34" w14:paraId="751302E1" w14:textId="6C52AE3D">
            <w:pPr>
              <w:spacing w:after="60"/>
              <w:jc w:val="center"/>
            </w:pPr>
            <w:r>
              <w:t>1</w:t>
            </w:r>
            <w:r w:rsidR="00FF2F34">
              <w:t>,</w:t>
            </w:r>
            <w:r>
              <w:t>052</w:t>
            </w:r>
          </w:p>
        </w:tc>
        <w:tc>
          <w:tcPr>
            <w:tcW w:w="1170" w:type="dxa"/>
            <w:tcBorders>
              <w:top w:val="nil"/>
              <w:left w:val="single" w:sz="4" w:space="0" w:color="auto"/>
              <w:bottom w:val="single" w:sz="8" w:space="0" w:color="auto"/>
              <w:right w:val="single" w:sz="4" w:space="0" w:color="auto"/>
            </w:tcBorders>
          </w:tcPr>
          <w:p w:rsidR="008306E3" w:rsidRPr="007B2C64" w:rsidP="00A40D34" w14:paraId="75626D98" w14:textId="3E8A1447">
            <w:pPr>
              <w:spacing w:after="60"/>
              <w:jc w:val="center"/>
            </w:pPr>
            <w:r>
              <w:t>$</w:t>
            </w:r>
            <w:r w:rsidR="001876AF">
              <w:t>46</w:t>
            </w:r>
          </w:p>
        </w:tc>
        <w:tc>
          <w:tcPr>
            <w:tcW w:w="1350" w:type="dxa"/>
            <w:tcBorders>
              <w:top w:val="nil"/>
              <w:left w:val="single" w:sz="4" w:space="0" w:color="auto"/>
              <w:bottom w:val="single" w:sz="8" w:space="0" w:color="auto"/>
              <w:right w:val="single" w:sz="8" w:space="0" w:color="auto"/>
            </w:tcBorders>
          </w:tcPr>
          <w:p w:rsidR="008306E3" w:rsidRPr="007B2C64" w:rsidP="00A40D34" w14:paraId="5C1343CC" w14:textId="322489C9">
            <w:pPr>
              <w:spacing w:after="60"/>
              <w:jc w:val="center"/>
            </w:pPr>
            <w:r>
              <w:t>$</w:t>
            </w:r>
            <w:r w:rsidR="00192C6D">
              <w:t>24,</w:t>
            </w:r>
            <w:r w:rsidR="0050765C">
              <w:t>196</w:t>
            </w:r>
          </w:p>
        </w:tc>
      </w:tr>
      <w:tr w14:paraId="198E176B" w14:textId="77777777" w:rsidTr="008306E3">
        <w:tblPrEx>
          <w:tblW w:w="9450" w:type="dxa"/>
          <w:tblInd w:w="108"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8306E3" w:rsidRPr="008E3517" w:rsidP="00A43F92" w14:paraId="6EBFDB4E" w14:textId="77777777">
            <w:pPr>
              <w:spacing w:after="60"/>
              <w:rPr>
                <w:b/>
                <w:bCs/>
              </w:rPr>
            </w:pPr>
            <w:r w:rsidRPr="008E3517">
              <w:rPr>
                <w:b/>
                <w:bCs/>
              </w:rPr>
              <w:t>TOTAL</w:t>
            </w:r>
          </w:p>
        </w:tc>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8306E3" w:rsidRPr="007B2C64" w:rsidP="00A40D34" w14:paraId="514D3A25" w14:textId="2741F69B">
            <w:pPr>
              <w:spacing w:after="60"/>
              <w:jc w:val="center"/>
              <w:rPr>
                <w:b/>
              </w:rPr>
            </w:pPr>
            <w:r>
              <w:rPr>
                <w:b/>
              </w:rPr>
              <w:t>336</w:t>
            </w:r>
          </w:p>
        </w:tc>
        <w:tc>
          <w:tcPr>
            <w:tcW w:w="1350" w:type="dxa"/>
            <w:tcBorders>
              <w:top w:val="single" w:sz="4" w:space="0" w:color="auto"/>
              <w:left w:val="single" w:sz="4" w:space="0" w:color="auto"/>
              <w:bottom w:val="single" w:sz="4" w:space="0" w:color="auto"/>
              <w:right w:val="single" w:sz="4" w:space="0" w:color="auto"/>
            </w:tcBorders>
            <w:shd w:val="clear" w:color="000000" w:fill="C0C0C0"/>
            <w:hideMark/>
          </w:tcPr>
          <w:p w:rsidR="008306E3" w:rsidRPr="007B2C64" w:rsidP="00A40D34" w14:paraId="1ABC6C32" w14:textId="77777777">
            <w:pPr>
              <w:spacing w:after="60"/>
              <w:jc w:val="center"/>
              <w:rPr>
                <w:b/>
              </w:rPr>
            </w:pPr>
          </w:p>
        </w:tc>
        <w:tc>
          <w:tcPr>
            <w:tcW w:w="108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8306E3" w:rsidRPr="007B2C64" w:rsidP="00A40D34" w14:paraId="498F69F8" w14:textId="289E5946">
            <w:pPr>
              <w:spacing w:after="60"/>
              <w:jc w:val="center"/>
              <w:rPr>
                <w:b/>
              </w:rPr>
            </w:pPr>
            <w:r>
              <w:rPr>
                <w:b/>
              </w:rPr>
              <w:t>679</w:t>
            </w:r>
          </w:p>
        </w:tc>
        <w:tc>
          <w:tcPr>
            <w:tcW w:w="99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8306E3" w:rsidRPr="007B2C64" w:rsidP="00A40D34" w14:paraId="1DE12497" w14:textId="77777777">
            <w:pPr>
              <w:spacing w:after="60"/>
              <w:jc w:val="center"/>
              <w:rPr>
                <w:b/>
              </w:rPr>
            </w:pPr>
          </w:p>
        </w:tc>
        <w:tc>
          <w:tcPr>
            <w:tcW w:w="900" w:type="dxa"/>
            <w:tcBorders>
              <w:top w:val="single" w:sz="4" w:space="0" w:color="auto"/>
              <w:left w:val="single" w:sz="4" w:space="0" w:color="auto"/>
              <w:bottom w:val="single" w:sz="4" w:space="0" w:color="auto"/>
              <w:right w:val="single" w:sz="4" w:space="0" w:color="auto"/>
            </w:tcBorders>
            <w:shd w:val="clear" w:color="000000" w:fill="C0C0C0"/>
            <w:vAlign w:val="bottom"/>
          </w:tcPr>
          <w:p w:rsidR="008306E3" w:rsidRPr="007B2C64" w:rsidP="00A40D34" w14:paraId="614571FF" w14:textId="2FAF9D0C">
            <w:pPr>
              <w:spacing w:after="60"/>
              <w:ind w:left="-108" w:right="-18"/>
              <w:jc w:val="center"/>
              <w:rPr>
                <w:b/>
              </w:rPr>
            </w:pPr>
            <w:r>
              <w:rPr>
                <w:b/>
              </w:rPr>
              <w:t>1</w:t>
            </w:r>
            <w:r w:rsidR="003F7635">
              <w:rPr>
                <w:b/>
              </w:rPr>
              <w:t>,</w:t>
            </w:r>
            <w:r>
              <w:rPr>
                <w:b/>
              </w:rPr>
              <w:t>429</w:t>
            </w:r>
          </w:p>
        </w:tc>
        <w:tc>
          <w:tcPr>
            <w:tcW w:w="1170" w:type="dxa"/>
            <w:tcBorders>
              <w:top w:val="single" w:sz="4" w:space="0" w:color="auto"/>
              <w:left w:val="single" w:sz="4" w:space="0" w:color="auto"/>
              <w:bottom w:val="single" w:sz="4" w:space="0" w:color="auto"/>
              <w:right w:val="single" w:sz="4" w:space="0" w:color="auto"/>
            </w:tcBorders>
            <w:shd w:val="clear" w:color="000000" w:fill="C0C0C0"/>
          </w:tcPr>
          <w:p w:rsidR="008306E3" w:rsidRPr="007B2C64" w:rsidP="00A40D34" w14:paraId="403325DE" w14:textId="77777777">
            <w:pPr>
              <w:spacing w:after="60"/>
              <w:ind w:left="-108" w:right="-18"/>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000000" w:fill="C0C0C0"/>
          </w:tcPr>
          <w:p w:rsidR="008306E3" w:rsidRPr="007B2C64" w:rsidP="00A40D34" w14:paraId="05409483" w14:textId="739FD3E6">
            <w:pPr>
              <w:spacing w:after="60"/>
              <w:ind w:left="-108" w:right="-18"/>
              <w:jc w:val="center"/>
              <w:rPr>
                <w:b/>
              </w:rPr>
            </w:pPr>
            <w:r>
              <w:rPr>
                <w:b/>
              </w:rPr>
              <w:t>$</w:t>
            </w:r>
            <w:r w:rsidR="00DD0164">
              <w:rPr>
                <w:b/>
              </w:rPr>
              <w:t>33,716</w:t>
            </w:r>
          </w:p>
        </w:tc>
      </w:tr>
    </w:tbl>
    <w:p w:rsidR="00113A36" w:rsidRPr="008E3517" w:rsidP="00113A36" w14:paraId="7B2535B1" w14:textId="77777777">
      <w:pPr>
        <w:pStyle w:val="Default"/>
        <w:rPr>
          <w:color w:val="auto"/>
        </w:rPr>
      </w:pPr>
    </w:p>
    <w:p w:rsidR="00EC500E" w:rsidRPr="008E3517" w:rsidP="00EC500E" w14:paraId="5D89AEA0" w14:textId="77777777">
      <w:pPr>
        <w:ind w:left="1440" w:hanging="720"/>
        <w:rPr>
          <w:b/>
          <w:bCs/>
          <w:color w:val="000000"/>
        </w:rPr>
      </w:pPr>
      <w:r w:rsidRPr="008E3517">
        <w:rPr>
          <w:b/>
          <w:bCs/>
        </w:rPr>
        <w:t xml:space="preserve">13. </w:t>
      </w:r>
      <w:r w:rsidRPr="008E3517" w:rsidR="002A61B7">
        <w:rPr>
          <w:b/>
          <w:bCs/>
        </w:rPr>
        <w:tab/>
      </w:r>
      <w:r w:rsidRPr="008E3517">
        <w:rPr>
          <w:b/>
          <w:bCs/>
          <w:color w:val="000000"/>
        </w:rPr>
        <w:t xml:space="preserve">Provide an estimate for the total annual cost burden to respondents or recordkeepers resulting from the collection of information. (Do not include the cost of any hour burden shown in Items 12 and 14). </w:t>
      </w:r>
    </w:p>
    <w:p w:rsidR="00EC500E" w:rsidRPr="008E3517" w:rsidP="00EC500E" w14:paraId="05FD1C8D"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EC500E" w:rsidRPr="008E3517" w:rsidP="00EC500E" w14:paraId="5A3CFA54"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10/95 existing economic or regulatory impact analysis associated with the rulemaking containing the information collection, as appropriate.</w:t>
      </w:r>
    </w:p>
    <w:p w:rsidR="000C0563" w:rsidRPr="008E3517" w:rsidP="00EC500E" w14:paraId="705C4FB0" w14:textId="77777777">
      <w:pPr>
        <w:pStyle w:val="ListParagraph"/>
        <w:numPr>
          <w:ilvl w:val="0"/>
          <w:numId w:val="1"/>
        </w:numPr>
        <w:ind w:left="1800"/>
        <w:rPr>
          <w:rFonts w:ascii="Times New Roman" w:hAnsi="Times New Roman" w:cs="Times New Roman"/>
          <w:b/>
          <w:sz w:val="24"/>
          <w:szCs w:val="24"/>
        </w:rPr>
      </w:pPr>
      <w:r w:rsidRPr="008E3517">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8E3517">
        <w:rPr>
          <w:rFonts w:ascii="Times New Roman" w:hAnsi="Times New Roman" w:cs="Times New Roman"/>
          <w:b/>
          <w:bCs/>
          <w:sz w:val="24"/>
          <w:szCs w:val="24"/>
        </w:rPr>
        <w:t xml:space="preserve"> </w:t>
      </w:r>
    </w:p>
    <w:p w:rsidR="000C0563" w:rsidRPr="008E3517" w:rsidP="000C0563" w14:paraId="206A17B6" w14:textId="77777777">
      <w:pPr>
        <w:pStyle w:val="Default"/>
        <w:rPr>
          <w:color w:val="auto"/>
        </w:rPr>
      </w:pPr>
    </w:p>
    <w:p w:rsidR="00474DF0" w:rsidP="00474DF0" w14:paraId="211C75DD" w14:textId="77777777">
      <w:pPr>
        <w:pStyle w:val="Default"/>
        <w:ind w:right="-720" w:firstLine="720"/>
        <w:jc w:val="center"/>
        <w:rPr>
          <w:color w:val="auto"/>
        </w:rPr>
      </w:pPr>
      <w:r>
        <w:rPr>
          <w:b/>
          <w:bCs/>
          <w:u w:val="single"/>
        </w:rPr>
        <w:t>ESTIMATED ANNUAL COST TOTALS</w:t>
      </w:r>
    </w:p>
    <w:p w:rsidR="000C0563" w:rsidP="000C0563" w14:paraId="5BE26378" w14:textId="77777777">
      <w:pPr>
        <w:pStyle w:val="Default"/>
        <w:ind w:firstLine="720"/>
        <w:rPr>
          <w:color w:val="auto"/>
        </w:rPr>
      </w:pPr>
    </w:p>
    <w:p w:rsidR="00EF6214" w:rsidP="00EF6214" w14:paraId="170ED7AD" w14:textId="4E0A7364">
      <w:pPr>
        <w:pStyle w:val="Default"/>
        <w:spacing w:line="480" w:lineRule="auto"/>
        <w:ind w:firstLine="720"/>
        <w:rPr>
          <w:color w:val="auto"/>
        </w:rPr>
      </w:pPr>
      <w:r>
        <w:rPr>
          <w:color w:val="auto"/>
        </w:rPr>
        <w:t xml:space="preserve">As in item </w:t>
      </w:r>
      <w:r w:rsidRPr="00EF6214">
        <w:rPr>
          <w:color w:val="auto"/>
        </w:rPr>
        <w:t>12, non-wage annual cost estimates were determined by stake-holder based estimates</w:t>
      </w:r>
      <w:r w:rsidR="00C93E95">
        <w:rPr>
          <w:color w:val="auto"/>
        </w:rPr>
        <w:t xml:space="preserve">.  In this case, there were no reported non-wage costs associated with these activities.  This is likely due to the fact that these activities </w:t>
      </w:r>
      <w:r w:rsidR="00CD1F67">
        <w:rPr>
          <w:color w:val="auto"/>
        </w:rPr>
        <w:t xml:space="preserve">generally </w:t>
      </w:r>
      <w:r w:rsidR="00C93E95">
        <w:rPr>
          <w:color w:val="auto"/>
        </w:rPr>
        <w:t>involve creating notifications that are easily managed by tribal administrators.</w:t>
      </w:r>
    </w:p>
    <w:p w:rsidR="00474DF0" w:rsidP="000C0563" w14:paraId="2F74BC99" w14:textId="77777777">
      <w:pPr>
        <w:pStyle w:val="Default"/>
        <w:ind w:firstLine="720"/>
        <w:rPr>
          <w:color w:val="auto"/>
        </w:rPr>
      </w:pPr>
    </w:p>
    <w:tbl>
      <w:tblPr>
        <w:tblW w:w="7790" w:type="dxa"/>
        <w:tblInd w:w="930" w:type="dxa"/>
        <w:tblLayout w:type="fixed"/>
        <w:tblLook w:val="04A0"/>
      </w:tblPr>
      <w:tblGrid>
        <w:gridCol w:w="1260"/>
        <w:gridCol w:w="1340"/>
        <w:gridCol w:w="1170"/>
        <w:gridCol w:w="1080"/>
        <w:gridCol w:w="1270"/>
        <w:gridCol w:w="1670"/>
      </w:tblGrid>
      <w:tr w14:paraId="266F5E01" w14:textId="77777777" w:rsidTr="00EA60A1">
        <w:tblPrEx>
          <w:tblW w:w="7790" w:type="dxa"/>
          <w:tblInd w:w="930" w:type="dxa"/>
          <w:tblLayout w:type="fixed"/>
          <w:tblLook w:val="04A0"/>
        </w:tblPrEx>
        <w:trPr>
          <w:trHeight w:val="745"/>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hideMark/>
          </w:tcPr>
          <w:p w:rsidR="00474DF0" w:rsidP="00EA60A1" w14:paraId="2C740EA1" w14:textId="77777777">
            <w:pPr>
              <w:spacing w:before="60" w:after="60"/>
              <w:ind w:left="-93" w:right="-108"/>
              <w:jc w:val="center"/>
              <w:rPr>
                <w:b/>
                <w:bCs/>
                <w:color w:val="000000"/>
                <w:sz w:val="18"/>
                <w:szCs w:val="18"/>
              </w:rPr>
            </w:pPr>
            <w:r>
              <w:rPr>
                <w:b/>
                <w:bCs/>
                <w:color w:val="000000"/>
                <w:sz w:val="18"/>
                <w:szCs w:val="18"/>
              </w:rPr>
              <w:t>CFR CITE/ COLLECTION</w:t>
            </w:r>
          </w:p>
        </w:tc>
        <w:tc>
          <w:tcPr>
            <w:tcW w:w="1340" w:type="dxa"/>
            <w:tcBorders>
              <w:top w:val="single" w:sz="8" w:space="0" w:color="auto"/>
              <w:left w:val="nil"/>
              <w:bottom w:val="single" w:sz="8" w:space="0" w:color="auto"/>
              <w:right w:val="single" w:sz="8" w:space="0" w:color="auto"/>
            </w:tcBorders>
            <w:shd w:val="clear" w:color="000000" w:fill="BFBFBF" w:themeFill="background1" w:themeFillShade="BF"/>
            <w:hideMark/>
          </w:tcPr>
          <w:p w:rsidR="00474DF0" w:rsidP="00EA60A1" w14:paraId="7B61F02E" w14:textId="77777777">
            <w:pPr>
              <w:spacing w:before="60" w:after="60"/>
              <w:ind w:left="-108" w:right="-108"/>
              <w:jc w:val="center"/>
              <w:rPr>
                <w:b/>
                <w:bCs/>
                <w:sz w:val="18"/>
                <w:szCs w:val="18"/>
              </w:rPr>
            </w:pPr>
            <w:r>
              <w:rPr>
                <w:b/>
                <w:bCs/>
                <w:sz w:val="18"/>
                <w:szCs w:val="18"/>
              </w:rPr>
              <w:t>NUMBER OF ANNUAL RESPONDENTS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hideMark/>
          </w:tcPr>
          <w:p w:rsidR="00474DF0" w:rsidP="00EA60A1" w14:paraId="77480FAA" w14:textId="77777777">
            <w:pPr>
              <w:spacing w:before="60" w:after="60"/>
              <w:ind w:left="-108" w:right="-108"/>
              <w:jc w:val="center"/>
              <w:rPr>
                <w:b/>
                <w:bCs/>
                <w:sz w:val="18"/>
                <w:szCs w:val="18"/>
              </w:rPr>
            </w:pPr>
            <w:r>
              <w:rPr>
                <w:b/>
                <w:bCs/>
                <w:sz w:val="18"/>
                <w:szCs w:val="18"/>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hideMark/>
          </w:tcPr>
          <w:p w:rsidR="00474DF0" w:rsidP="00EA60A1" w14:paraId="228DEFCF" w14:textId="77777777">
            <w:pPr>
              <w:spacing w:before="60" w:after="60"/>
              <w:ind w:left="-108" w:right="-108"/>
              <w:jc w:val="center"/>
              <w:rPr>
                <w:b/>
                <w:bCs/>
                <w:sz w:val="18"/>
                <w:szCs w:val="18"/>
              </w:rPr>
            </w:pPr>
            <w:r>
              <w:rPr>
                <w:b/>
                <w:bCs/>
                <w:sz w:val="18"/>
                <w:szCs w:val="18"/>
              </w:rPr>
              <w:t>TOTAL ANNUAL RESPONSES</w:t>
            </w:r>
          </w:p>
        </w:tc>
        <w:tc>
          <w:tcPr>
            <w:tcW w:w="12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rsidR="00474DF0" w:rsidP="00EA60A1" w14:paraId="3A35A633" w14:textId="77777777">
            <w:pPr>
              <w:spacing w:before="60" w:after="60"/>
              <w:jc w:val="center"/>
              <w:rPr>
                <w:b/>
                <w:bCs/>
                <w:sz w:val="18"/>
                <w:szCs w:val="18"/>
              </w:rPr>
            </w:pPr>
            <w:r>
              <w:rPr>
                <w:b/>
                <w:bCs/>
                <w:sz w:val="18"/>
                <w:szCs w:val="18"/>
              </w:rPr>
              <w:t>AVERAGE ANNUAL COSTS</w:t>
            </w:r>
          </w:p>
        </w:tc>
        <w:tc>
          <w:tcPr>
            <w:tcW w:w="167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hideMark/>
          </w:tcPr>
          <w:p w:rsidR="00474DF0" w:rsidP="00EA60A1" w14:paraId="3735CFBD" w14:textId="77777777">
            <w:pPr>
              <w:spacing w:before="60" w:after="60"/>
              <w:jc w:val="center"/>
              <w:rPr>
                <w:b/>
                <w:bCs/>
                <w:sz w:val="18"/>
                <w:szCs w:val="18"/>
              </w:rPr>
            </w:pPr>
            <w:r>
              <w:rPr>
                <w:b/>
                <w:bCs/>
                <w:sz w:val="18"/>
                <w:szCs w:val="18"/>
              </w:rPr>
              <w:t>TOTAL COSTS</w:t>
            </w:r>
          </w:p>
        </w:tc>
      </w:tr>
      <w:tr w14:paraId="4257C043"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2D5B47" w:rsidP="002D5B47" w14:paraId="197605C3" w14:textId="77777777">
            <w:pPr>
              <w:spacing w:after="60"/>
              <w:jc w:val="center"/>
              <w:rPr>
                <w:b/>
                <w:bCs/>
              </w:rPr>
            </w:pPr>
            <w:r w:rsidRPr="008E3517">
              <w:rPr>
                <w:b/>
                <w:bCs/>
              </w:rPr>
              <w:t>559.2</w:t>
            </w:r>
          </w:p>
        </w:tc>
        <w:tc>
          <w:tcPr>
            <w:tcW w:w="1340" w:type="dxa"/>
            <w:tcBorders>
              <w:top w:val="single" w:sz="8" w:space="0" w:color="auto"/>
              <w:left w:val="single" w:sz="4" w:space="0" w:color="auto"/>
              <w:bottom w:val="single" w:sz="8" w:space="0" w:color="auto"/>
              <w:right w:val="single" w:sz="8" w:space="0" w:color="auto"/>
            </w:tcBorders>
          </w:tcPr>
          <w:p w:rsidR="002D5B47" w:rsidP="002D5B47" w14:paraId="5FC7C28F" w14:textId="00CD2307">
            <w:pPr>
              <w:spacing w:after="60"/>
              <w:jc w:val="center"/>
            </w:pPr>
            <w:r>
              <w:t>7</w:t>
            </w:r>
          </w:p>
        </w:tc>
        <w:tc>
          <w:tcPr>
            <w:tcW w:w="1170" w:type="dxa"/>
            <w:tcBorders>
              <w:top w:val="single" w:sz="8" w:space="0" w:color="auto"/>
              <w:left w:val="nil"/>
              <w:bottom w:val="single" w:sz="8" w:space="0" w:color="auto"/>
              <w:right w:val="single" w:sz="8" w:space="0" w:color="auto"/>
            </w:tcBorders>
            <w:hideMark/>
          </w:tcPr>
          <w:p w:rsidR="002D5B47" w:rsidP="002D5B47" w14:paraId="0D7FD50C" w14:textId="77777777">
            <w:pPr>
              <w:spacing w:after="60"/>
              <w:jc w:val="center"/>
            </w:pPr>
            <w:r>
              <w:t>Varies</w:t>
            </w:r>
          </w:p>
        </w:tc>
        <w:tc>
          <w:tcPr>
            <w:tcW w:w="1080" w:type="dxa"/>
            <w:tcBorders>
              <w:top w:val="single" w:sz="8" w:space="0" w:color="auto"/>
              <w:left w:val="nil"/>
              <w:bottom w:val="single" w:sz="8" w:space="0" w:color="auto"/>
              <w:right w:val="single" w:sz="8" w:space="0" w:color="auto"/>
            </w:tcBorders>
            <w:hideMark/>
          </w:tcPr>
          <w:p w:rsidR="002D5B47" w:rsidP="002D5B47" w14:paraId="7C1CF2D1" w14:textId="58C57B37">
            <w:pPr>
              <w:spacing w:after="60"/>
              <w:jc w:val="center"/>
            </w:pPr>
            <w:r>
              <w:t>7</w:t>
            </w:r>
          </w:p>
        </w:tc>
        <w:tc>
          <w:tcPr>
            <w:tcW w:w="1270" w:type="dxa"/>
            <w:tcBorders>
              <w:top w:val="single" w:sz="8" w:space="0" w:color="auto"/>
              <w:left w:val="single" w:sz="4" w:space="0" w:color="auto"/>
              <w:bottom w:val="single" w:sz="8" w:space="0" w:color="auto"/>
              <w:right w:val="single" w:sz="4" w:space="0" w:color="auto"/>
            </w:tcBorders>
          </w:tcPr>
          <w:p w:rsidR="002D5B47" w:rsidP="002D5B47" w14:paraId="7D9C245F" w14:textId="77777777">
            <w:pPr>
              <w:spacing w:after="60"/>
            </w:pPr>
            <w:r>
              <w:t>0</w:t>
            </w:r>
          </w:p>
        </w:tc>
        <w:tc>
          <w:tcPr>
            <w:tcW w:w="1670" w:type="dxa"/>
            <w:tcBorders>
              <w:top w:val="single" w:sz="8" w:space="0" w:color="auto"/>
              <w:left w:val="single" w:sz="4" w:space="0" w:color="auto"/>
              <w:bottom w:val="single" w:sz="8" w:space="0" w:color="auto"/>
              <w:right w:val="single" w:sz="8" w:space="0" w:color="auto"/>
            </w:tcBorders>
            <w:hideMark/>
          </w:tcPr>
          <w:p w:rsidR="002D5B47" w:rsidP="002D5B47" w14:paraId="6A2C58CE" w14:textId="2B14C540">
            <w:pPr>
              <w:spacing w:after="60"/>
            </w:pPr>
            <w:r>
              <w:t>0</w:t>
            </w:r>
          </w:p>
        </w:tc>
      </w:tr>
      <w:tr w14:paraId="62E38E9A"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2D5B47" w:rsidP="002D5B47" w14:paraId="3B77939F" w14:textId="77777777">
            <w:pPr>
              <w:spacing w:after="60"/>
              <w:jc w:val="center"/>
              <w:rPr>
                <w:b/>
                <w:bCs/>
              </w:rPr>
            </w:pPr>
            <w:r w:rsidRPr="008E3517">
              <w:rPr>
                <w:b/>
                <w:bCs/>
              </w:rPr>
              <w:t>559.3</w:t>
            </w:r>
          </w:p>
        </w:tc>
        <w:tc>
          <w:tcPr>
            <w:tcW w:w="1340" w:type="dxa"/>
            <w:tcBorders>
              <w:top w:val="nil"/>
              <w:left w:val="single" w:sz="4" w:space="0" w:color="auto"/>
              <w:bottom w:val="single" w:sz="8" w:space="0" w:color="auto"/>
              <w:right w:val="single" w:sz="8" w:space="0" w:color="auto"/>
            </w:tcBorders>
            <w:hideMark/>
          </w:tcPr>
          <w:p w:rsidR="002D5B47" w:rsidP="002D5B47" w14:paraId="756706F6" w14:textId="56DFE624">
            <w:pPr>
              <w:spacing w:after="60"/>
              <w:jc w:val="center"/>
            </w:pPr>
            <w:r>
              <w:t>33</w:t>
            </w:r>
          </w:p>
        </w:tc>
        <w:tc>
          <w:tcPr>
            <w:tcW w:w="1170" w:type="dxa"/>
            <w:tcBorders>
              <w:top w:val="nil"/>
              <w:left w:val="nil"/>
              <w:bottom w:val="single" w:sz="8" w:space="0" w:color="auto"/>
              <w:right w:val="single" w:sz="8" w:space="0" w:color="auto"/>
            </w:tcBorders>
            <w:hideMark/>
          </w:tcPr>
          <w:p w:rsidR="002D5B47" w:rsidP="002D5B47" w14:paraId="0C830128" w14:textId="77777777">
            <w:pPr>
              <w:spacing w:after="60"/>
              <w:jc w:val="center"/>
            </w:pPr>
            <w:r>
              <w:t>Varies</w:t>
            </w:r>
          </w:p>
        </w:tc>
        <w:tc>
          <w:tcPr>
            <w:tcW w:w="1080" w:type="dxa"/>
            <w:tcBorders>
              <w:top w:val="nil"/>
              <w:left w:val="nil"/>
              <w:bottom w:val="single" w:sz="8" w:space="0" w:color="auto"/>
              <w:right w:val="single" w:sz="8" w:space="0" w:color="auto"/>
            </w:tcBorders>
            <w:hideMark/>
          </w:tcPr>
          <w:p w:rsidR="002D5B47" w:rsidP="002D5B47" w14:paraId="18D023B1" w14:textId="668CCE44">
            <w:pPr>
              <w:spacing w:after="60"/>
              <w:jc w:val="center"/>
            </w:pPr>
            <w:r>
              <w:t>70</w:t>
            </w:r>
          </w:p>
        </w:tc>
        <w:tc>
          <w:tcPr>
            <w:tcW w:w="1270" w:type="dxa"/>
            <w:tcBorders>
              <w:top w:val="nil"/>
              <w:left w:val="single" w:sz="4" w:space="0" w:color="auto"/>
              <w:bottom w:val="single" w:sz="8" w:space="0" w:color="auto"/>
              <w:right w:val="single" w:sz="4" w:space="0" w:color="auto"/>
            </w:tcBorders>
          </w:tcPr>
          <w:p w:rsidR="002D5B47" w:rsidP="002D5B47" w14:paraId="03F5EDB5" w14:textId="77777777">
            <w:pPr>
              <w:spacing w:after="60"/>
            </w:pPr>
            <w:r>
              <w:t>0</w:t>
            </w:r>
          </w:p>
        </w:tc>
        <w:tc>
          <w:tcPr>
            <w:tcW w:w="1670" w:type="dxa"/>
            <w:tcBorders>
              <w:top w:val="nil"/>
              <w:left w:val="single" w:sz="4" w:space="0" w:color="auto"/>
              <w:bottom w:val="single" w:sz="8" w:space="0" w:color="auto"/>
              <w:right w:val="single" w:sz="8" w:space="0" w:color="auto"/>
            </w:tcBorders>
            <w:hideMark/>
          </w:tcPr>
          <w:p w:rsidR="002D5B47" w:rsidP="002D5B47" w14:paraId="0CACF945" w14:textId="42D1E2B7">
            <w:pPr>
              <w:spacing w:after="60"/>
            </w:pPr>
            <w:r>
              <w:t>0</w:t>
            </w:r>
          </w:p>
        </w:tc>
      </w:tr>
      <w:tr w14:paraId="22C44E5B"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hideMark/>
          </w:tcPr>
          <w:p w:rsidR="002D5B47" w:rsidP="002D5B47" w14:paraId="4EE28F2C" w14:textId="77777777">
            <w:pPr>
              <w:spacing w:after="60"/>
              <w:jc w:val="center"/>
              <w:rPr>
                <w:b/>
                <w:bCs/>
              </w:rPr>
            </w:pPr>
            <w:r w:rsidRPr="008E3517">
              <w:rPr>
                <w:b/>
                <w:bCs/>
              </w:rPr>
              <w:t>559.4</w:t>
            </w:r>
          </w:p>
        </w:tc>
        <w:tc>
          <w:tcPr>
            <w:tcW w:w="1340" w:type="dxa"/>
            <w:tcBorders>
              <w:top w:val="nil"/>
              <w:left w:val="single" w:sz="4" w:space="0" w:color="auto"/>
              <w:bottom w:val="single" w:sz="8" w:space="0" w:color="auto"/>
              <w:right w:val="single" w:sz="8" w:space="0" w:color="auto"/>
            </w:tcBorders>
            <w:hideMark/>
          </w:tcPr>
          <w:p w:rsidR="002D5B47" w:rsidP="002D5B47" w14:paraId="649B7408" w14:textId="08F3626C">
            <w:pPr>
              <w:spacing w:after="60"/>
              <w:jc w:val="center"/>
            </w:pPr>
            <w:r>
              <w:t>33</w:t>
            </w:r>
          </w:p>
        </w:tc>
        <w:tc>
          <w:tcPr>
            <w:tcW w:w="1170" w:type="dxa"/>
            <w:tcBorders>
              <w:top w:val="nil"/>
              <w:left w:val="nil"/>
              <w:bottom w:val="single" w:sz="8" w:space="0" w:color="auto"/>
              <w:right w:val="single" w:sz="8" w:space="0" w:color="auto"/>
            </w:tcBorders>
            <w:hideMark/>
          </w:tcPr>
          <w:p w:rsidR="002D5B47" w:rsidP="002D5B47" w14:paraId="3ABF4A12" w14:textId="77777777">
            <w:pPr>
              <w:spacing w:after="60"/>
              <w:jc w:val="center"/>
            </w:pPr>
            <w:r>
              <w:t>Varies</w:t>
            </w:r>
          </w:p>
        </w:tc>
        <w:tc>
          <w:tcPr>
            <w:tcW w:w="1080" w:type="dxa"/>
            <w:tcBorders>
              <w:top w:val="nil"/>
              <w:left w:val="nil"/>
              <w:bottom w:val="single" w:sz="8" w:space="0" w:color="auto"/>
              <w:right w:val="single" w:sz="8" w:space="0" w:color="auto"/>
            </w:tcBorders>
            <w:hideMark/>
          </w:tcPr>
          <w:p w:rsidR="002D5B47" w:rsidP="002D5B47" w14:paraId="57897558" w14:textId="7C1377D6">
            <w:pPr>
              <w:spacing w:after="60"/>
              <w:jc w:val="center"/>
            </w:pPr>
            <w:r>
              <w:t>70</w:t>
            </w:r>
          </w:p>
        </w:tc>
        <w:tc>
          <w:tcPr>
            <w:tcW w:w="1270" w:type="dxa"/>
            <w:tcBorders>
              <w:top w:val="nil"/>
              <w:left w:val="single" w:sz="4" w:space="0" w:color="auto"/>
              <w:bottom w:val="single" w:sz="8" w:space="0" w:color="auto"/>
              <w:right w:val="single" w:sz="4" w:space="0" w:color="auto"/>
            </w:tcBorders>
          </w:tcPr>
          <w:p w:rsidR="002D5B47" w:rsidP="002D5B47" w14:paraId="4F67A4E2" w14:textId="77777777">
            <w:pPr>
              <w:spacing w:after="60"/>
            </w:pPr>
            <w:r>
              <w:t>0</w:t>
            </w:r>
          </w:p>
        </w:tc>
        <w:tc>
          <w:tcPr>
            <w:tcW w:w="1670" w:type="dxa"/>
            <w:tcBorders>
              <w:top w:val="nil"/>
              <w:left w:val="single" w:sz="4" w:space="0" w:color="auto"/>
              <w:bottom w:val="single" w:sz="8" w:space="0" w:color="auto"/>
              <w:right w:val="single" w:sz="8" w:space="0" w:color="auto"/>
            </w:tcBorders>
            <w:hideMark/>
          </w:tcPr>
          <w:p w:rsidR="002D5B47" w:rsidP="002D5B47" w14:paraId="562D4BDD" w14:textId="11E94C33">
            <w:pPr>
              <w:spacing w:after="60"/>
            </w:pPr>
            <w:r>
              <w:t>0</w:t>
            </w:r>
          </w:p>
        </w:tc>
      </w:tr>
      <w:tr w14:paraId="5606F931"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2D5B47" w:rsidRPr="005852C5" w:rsidP="002D5B47" w14:paraId="5FFEB034" w14:textId="77777777">
            <w:pPr>
              <w:spacing w:after="60"/>
              <w:jc w:val="center"/>
              <w:rPr>
                <w:b/>
                <w:bCs/>
              </w:rPr>
            </w:pPr>
            <w:r w:rsidRPr="008E3517">
              <w:rPr>
                <w:b/>
                <w:bCs/>
              </w:rPr>
              <w:t>559.5</w:t>
            </w:r>
          </w:p>
        </w:tc>
        <w:tc>
          <w:tcPr>
            <w:tcW w:w="1340" w:type="dxa"/>
            <w:tcBorders>
              <w:top w:val="nil"/>
              <w:left w:val="single" w:sz="4" w:space="0" w:color="auto"/>
              <w:bottom w:val="single" w:sz="8" w:space="0" w:color="auto"/>
              <w:right w:val="single" w:sz="8" w:space="0" w:color="auto"/>
            </w:tcBorders>
          </w:tcPr>
          <w:p w:rsidR="002D5B47" w:rsidP="002D5B47" w14:paraId="48BAAF1B" w14:textId="3E1CF2F4">
            <w:pPr>
              <w:spacing w:after="60"/>
              <w:jc w:val="center"/>
            </w:pPr>
            <w:r>
              <w:t>5</w:t>
            </w:r>
          </w:p>
        </w:tc>
        <w:tc>
          <w:tcPr>
            <w:tcW w:w="1170" w:type="dxa"/>
            <w:tcBorders>
              <w:top w:val="nil"/>
              <w:left w:val="nil"/>
              <w:bottom w:val="single" w:sz="8" w:space="0" w:color="auto"/>
              <w:right w:val="single" w:sz="8" w:space="0" w:color="auto"/>
            </w:tcBorders>
          </w:tcPr>
          <w:p w:rsidR="002D5B47" w:rsidP="002D5B47" w14:paraId="3CDC6E15" w14:textId="77777777">
            <w:pPr>
              <w:spacing w:after="60"/>
              <w:jc w:val="center"/>
            </w:pPr>
            <w:r>
              <w:t>Varies</w:t>
            </w:r>
          </w:p>
        </w:tc>
        <w:tc>
          <w:tcPr>
            <w:tcW w:w="1080" w:type="dxa"/>
            <w:tcBorders>
              <w:top w:val="nil"/>
              <w:left w:val="nil"/>
              <w:bottom w:val="single" w:sz="8" w:space="0" w:color="auto"/>
              <w:right w:val="single" w:sz="8" w:space="0" w:color="auto"/>
            </w:tcBorders>
          </w:tcPr>
          <w:p w:rsidR="002D5B47" w:rsidP="002D5B47" w14:paraId="6F77FC35" w14:textId="77A15DD8">
            <w:pPr>
              <w:spacing w:after="60"/>
              <w:jc w:val="center"/>
            </w:pPr>
            <w:r>
              <w:t>6</w:t>
            </w:r>
          </w:p>
        </w:tc>
        <w:tc>
          <w:tcPr>
            <w:tcW w:w="1270" w:type="dxa"/>
            <w:tcBorders>
              <w:top w:val="nil"/>
              <w:left w:val="single" w:sz="4" w:space="0" w:color="auto"/>
              <w:bottom w:val="single" w:sz="8" w:space="0" w:color="auto"/>
              <w:right w:val="single" w:sz="4" w:space="0" w:color="auto"/>
            </w:tcBorders>
          </w:tcPr>
          <w:p w:rsidR="002D5B47" w:rsidP="002D5B47" w14:paraId="691382A0" w14:textId="77777777">
            <w:pPr>
              <w:spacing w:after="60"/>
            </w:pPr>
            <w:r>
              <w:t>0</w:t>
            </w:r>
          </w:p>
        </w:tc>
        <w:tc>
          <w:tcPr>
            <w:tcW w:w="1670" w:type="dxa"/>
            <w:tcBorders>
              <w:top w:val="nil"/>
              <w:left w:val="single" w:sz="4" w:space="0" w:color="auto"/>
              <w:bottom w:val="single" w:sz="8" w:space="0" w:color="auto"/>
              <w:right w:val="single" w:sz="8" w:space="0" w:color="auto"/>
            </w:tcBorders>
          </w:tcPr>
          <w:p w:rsidR="002D5B47" w:rsidP="002D5B47" w14:paraId="2C871A41" w14:textId="049A1432">
            <w:pPr>
              <w:spacing w:after="60"/>
            </w:pPr>
            <w:r>
              <w:t>0</w:t>
            </w:r>
          </w:p>
        </w:tc>
      </w:tr>
      <w:tr w14:paraId="33B7E5B4" w14:textId="77777777" w:rsidTr="00EA60A1">
        <w:tblPrEx>
          <w:tblW w:w="7790" w:type="dxa"/>
          <w:tblInd w:w="930" w:type="dxa"/>
          <w:tblLayout w:type="fixed"/>
          <w:tblLook w:val="04A0"/>
        </w:tblPrEx>
        <w:trPr>
          <w:trHeight w:val="330"/>
        </w:trPr>
        <w:tc>
          <w:tcPr>
            <w:tcW w:w="1260" w:type="dxa"/>
            <w:tcBorders>
              <w:top w:val="single" w:sz="4" w:space="0" w:color="auto"/>
              <w:left w:val="single" w:sz="4" w:space="0" w:color="auto"/>
              <w:bottom w:val="single" w:sz="4" w:space="0" w:color="auto"/>
              <w:right w:val="single" w:sz="4" w:space="0" w:color="auto"/>
            </w:tcBorders>
          </w:tcPr>
          <w:p w:rsidR="002D5B47" w:rsidRPr="008E3517" w:rsidP="002D5B47" w14:paraId="6492B4E0" w14:textId="77777777">
            <w:pPr>
              <w:spacing w:after="60"/>
              <w:jc w:val="center"/>
              <w:rPr>
                <w:b/>
                <w:bCs/>
              </w:rPr>
            </w:pPr>
            <w:r w:rsidRPr="008E3517">
              <w:rPr>
                <w:b/>
                <w:bCs/>
              </w:rPr>
              <w:t>559.6</w:t>
            </w:r>
          </w:p>
        </w:tc>
        <w:tc>
          <w:tcPr>
            <w:tcW w:w="1340" w:type="dxa"/>
            <w:tcBorders>
              <w:top w:val="nil"/>
              <w:left w:val="single" w:sz="4" w:space="0" w:color="auto"/>
              <w:bottom w:val="single" w:sz="8" w:space="0" w:color="auto"/>
              <w:right w:val="single" w:sz="8" w:space="0" w:color="auto"/>
            </w:tcBorders>
          </w:tcPr>
          <w:p w:rsidR="002D5B47" w:rsidP="002D5B47" w14:paraId="6B31DAAD" w14:textId="260564DC">
            <w:pPr>
              <w:spacing w:after="60"/>
              <w:jc w:val="center"/>
            </w:pPr>
            <w:r>
              <w:t>258</w:t>
            </w:r>
          </w:p>
        </w:tc>
        <w:tc>
          <w:tcPr>
            <w:tcW w:w="1170" w:type="dxa"/>
            <w:tcBorders>
              <w:top w:val="nil"/>
              <w:left w:val="nil"/>
              <w:bottom w:val="single" w:sz="8" w:space="0" w:color="auto"/>
              <w:right w:val="single" w:sz="8" w:space="0" w:color="auto"/>
            </w:tcBorders>
          </w:tcPr>
          <w:p w:rsidR="002D5B47" w:rsidP="002D5B47" w14:paraId="729F0EDD" w14:textId="77777777">
            <w:pPr>
              <w:spacing w:after="60"/>
              <w:jc w:val="center"/>
            </w:pPr>
            <w:r>
              <w:t>Varies</w:t>
            </w:r>
          </w:p>
        </w:tc>
        <w:tc>
          <w:tcPr>
            <w:tcW w:w="1080" w:type="dxa"/>
            <w:tcBorders>
              <w:top w:val="nil"/>
              <w:left w:val="nil"/>
              <w:bottom w:val="single" w:sz="8" w:space="0" w:color="auto"/>
              <w:right w:val="single" w:sz="8" w:space="0" w:color="auto"/>
            </w:tcBorders>
          </w:tcPr>
          <w:p w:rsidR="002D5B47" w:rsidP="002D5B47" w14:paraId="5B0A2367" w14:textId="37FB0338">
            <w:pPr>
              <w:spacing w:after="60"/>
              <w:jc w:val="center"/>
            </w:pPr>
            <w:r>
              <w:t>526</w:t>
            </w:r>
          </w:p>
        </w:tc>
        <w:tc>
          <w:tcPr>
            <w:tcW w:w="1270" w:type="dxa"/>
            <w:tcBorders>
              <w:top w:val="nil"/>
              <w:left w:val="single" w:sz="4" w:space="0" w:color="auto"/>
              <w:bottom w:val="single" w:sz="8" w:space="0" w:color="auto"/>
              <w:right w:val="single" w:sz="4" w:space="0" w:color="auto"/>
            </w:tcBorders>
          </w:tcPr>
          <w:p w:rsidR="002D5B47" w:rsidP="002D5B47" w14:paraId="2EFD0EA5" w14:textId="77777777">
            <w:pPr>
              <w:spacing w:after="60"/>
            </w:pPr>
            <w:r>
              <w:t>0</w:t>
            </w:r>
          </w:p>
        </w:tc>
        <w:tc>
          <w:tcPr>
            <w:tcW w:w="1670" w:type="dxa"/>
            <w:tcBorders>
              <w:top w:val="nil"/>
              <w:left w:val="single" w:sz="4" w:space="0" w:color="auto"/>
              <w:bottom w:val="single" w:sz="8" w:space="0" w:color="auto"/>
              <w:right w:val="single" w:sz="8" w:space="0" w:color="auto"/>
            </w:tcBorders>
          </w:tcPr>
          <w:p w:rsidR="002D5B47" w:rsidP="002D5B47" w14:paraId="3D279CD1" w14:textId="33B75722">
            <w:pPr>
              <w:spacing w:after="60"/>
            </w:pPr>
            <w:r>
              <w:t>0</w:t>
            </w:r>
          </w:p>
        </w:tc>
      </w:tr>
      <w:tr w14:paraId="22FE002F" w14:textId="77777777" w:rsidTr="00EA60A1">
        <w:tblPrEx>
          <w:tblW w:w="7790" w:type="dxa"/>
          <w:tblInd w:w="930" w:type="dxa"/>
          <w:tblLayout w:type="fixed"/>
          <w:tblLook w:val="04A0"/>
        </w:tblPrEx>
        <w:trPr>
          <w:trHeight w:val="315"/>
        </w:trPr>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rsidR="00474DF0" w:rsidP="00EA60A1" w14:paraId="30F3F3D2" w14:textId="77777777">
            <w:pPr>
              <w:spacing w:after="60"/>
              <w:jc w:val="center"/>
              <w:rPr>
                <w:b/>
                <w:bCs/>
              </w:rPr>
            </w:pPr>
            <w:r>
              <w:rPr>
                <w:b/>
                <w:bCs/>
              </w:rPr>
              <w:t>TOTAL</w:t>
            </w:r>
          </w:p>
        </w:tc>
        <w:tc>
          <w:tcPr>
            <w:tcW w:w="1340" w:type="dxa"/>
            <w:tcBorders>
              <w:top w:val="single" w:sz="4" w:space="0" w:color="auto"/>
              <w:left w:val="single" w:sz="4" w:space="0" w:color="auto"/>
              <w:bottom w:val="single" w:sz="4" w:space="0" w:color="auto"/>
              <w:right w:val="single" w:sz="4" w:space="0" w:color="auto"/>
            </w:tcBorders>
            <w:shd w:val="clear" w:color="000000" w:fill="C0C0C0"/>
            <w:hideMark/>
          </w:tcPr>
          <w:p w:rsidR="00474DF0" w:rsidP="00EA60A1" w14:paraId="19DD996E" w14:textId="77777777">
            <w:pPr>
              <w:spacing w:after="60"/>
              <w:jc w:val="center"/>
            </w:pPr>
          </w:p>
        </w:tc>
        <w:tc>
          <w:tcPr>
            <w:tcW w:w="1170" w:type="dxa"/>
            <w:tcBorders>
              <w:top w:val="single" w:sz="4" w:space="0" w:color="auto"/>
              <w:left w:val="single" w:sz="4" w:space="0" w:color="auto"/>
              <w:bottom w:val="single" w:sz="4" w:space="0" w:color="auto"/>
              <w:right w:val="single" w:sz="4" w:space="0" w:color="auto"/>
            </w:tcBorders>
            <w:shd w:val="clear" w:color="000000" w:fill="C0C0C0"/>
            <w:hideMark/>
          </w:tcPr>
          <w:p w:rsidR="00474DF0" w:rsidP="00EA60A1" w14:paraId="6553D824" w14:textId="77777777">
            <w:pPr>
              <w:spacing w:after="60"/>
              <w:jc w:val="center"/>
            </w:pPr>
          </w:p>
        </w:tc>
        <w:tc>
          <w:tcPr>
            <w:tcW w:w="1080" w:type="dxa"/>
            <w:tcBorders>
              <w:top w:val="single" w:sz="4" w:space="0" w:color="auto"/>
              <w:left w:val="single" w:sz="4" w:space="0" w:color="auto"/>
              <w:bottom w:val="single" w:sz="4" w:space="0" w:color="auto"/>
              <w:right w:val="single" w:sz="4" w:space="0" w:color="auto"/>
            </w:tcBorders>
            <w:shd w:val="clear" w:color="000000" w:fill="C0C0C0"/>
            <w:hideMark/>
          </w:tcPr>
          <w:p w:rsidR="00474DF0" w:rsidP="00EA60A1" w14:paraId="5C97CC58" w14:textId="77777777">
            <w:pPr>
              <w:spacing w:after="60"/>
              <w:jc w:val="center"/>
            </w:pPr>
          </w:p>
        </w:tc>
        <w:tc>
          <w:tcPr>
            <w:tcW w:w="1270" w:type="dxa"/>
            <w:tcBorders>
              <w:top w:val="single" w:sz="4" w:space="0" w:color="auto"/>
              <w:left w:val="single" w:sz="4" w:space="0" w:color="auto"/>
              <w:bottom w:val="single" w:sz="4" w:space="0" w:color="auto"/>
              <w:right w:val="single" w:sz="4" w:space="0" w:color="auto"/>
            </w:tcBorders>
            <w:shd w:val="clear" w:color="000000" w:fill="C0C0C0"/>
          </w:tcPr>
          <w:p w:rsidR="00474DF0" w:rsidP="00EA60A1" w14:paraId="4687420E" w14:textId="77777777">
            <w:pPr>
              <w:spacing w:after="60"/>
              <w:ind w:left="-108" w:right="-18"/>
              <w:jc w:val="center"/>
            </w:pPr>
          </w:p>
        </w:tc>
        <w:tc>
          <w:tcPr>
            <w:tcW w:w="1670" w:type="dxa"/>
            <w:tcBorders>
              <w:top w:val="single" w:sz="4" w:space="0" w:color="auto"/>
              <w:left w:val="single" w:sz="4" w:space="0" w:color="auto"/>
              <w:bottom w:val="single" w:sz="4" w:space="0" w:color="auto"/>
              <w:right w:val="single" w:sz="4" w:space="0" w:color="auto"/>
            </w:tcBorders>
            <w:shd w:val="clear" w:color="000000" w:fill="C0C0C0"/>
            <w:hideMark/>
          </w:tcPr>
          <w:p w:rsidR="00474DF0" w:rsidP="00EA60A1" w14:paraId="4DFDF71D" w14:textId="77777777">
            <w:pPr>
              <w:spacing w:after="60"/>
              <w:ind w:right="-18"/>
            </w:pPr>
          </w:p>
        </w:tc>
      </w:tr>
    </w:tbl>
    <w:p w:rsidR="00474DF0" w:rsidRPr="008E3517" w:rsidP="000C0563" w14:paraId="0559CD17" w14:textId="77777777">
      <w:pPr>
        <w:pStyle w:val="Default"/>
        <w:ind w:firstLine="720"/>
        <w:rPr>
          <w:color w:val="auto"/>
        </w:rPr>
      </w:pPr>
    </w:p>
    <w:p w:rsidR="00C531AD" w:rsidRPr="008E3517" w:rsidP="000C0563" w14:paraId="611D9FCE" w14:textId="77777777">
      <w:pPr>
        <w:pStyle w:val="Default"/>
        <w:ind w:left="360" w:hanging="360"/>
        <w:rPr>
          <w:b/>
          <w:bCs/>
          <w:color w:val="auto"/>
        </w:rPr>
      </w:pPr>
    </w:p>
    <w:p w:rsidR="000C0563" w:rsidRPr="008E3517" w:rsidP="002A61B7" w14:paraId="4888815F" w14:textId="77777777">
      <w:pPr>
        <w:pStyle w:val="Default"/>
        <w:ind w:left="1440" w:hanging="720"/>
        <w:rPr>
          <w:color w:val="auto"/>
        </w:rPr>
      </w:pPr>
      <w:r w:rsidRPr="008E3517">
        <w:rPr>
          <w:b/>
          <w:bCs/>
          <w:color w:val="auto"/>
        </w:rPr>
        <w:t xml:space="preserve">14. </w:t>
      </w:r>
      <w:r w:rsidRPr="008E3517" w:rsidR="002A61B7">
        <w:rPr>
          <w:b/>
          <w:bCs/>
          <w:color w:val="auto"/>
        </w:rPr>
        <w:tab/>
      </w:r>
      <w:r w:rsidRPr="008E3517" w:rsidR="00EC500E">
        <w:rPr>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8E3517">
        <w:rPr>
          <w:b/>
          <w:bCs/>
          <w:color w:val="auto"/>
        </w:rPr>
        <w:t xml:space="preserve"> </w:t>
      </w:r>
    </w:p>
    <w:p w:rsidR="00C531AD" w:rsidRPr="008E3517" w:rsidP="000C0563" w14:paraId="37D7E3B1" w14:textId="77777777">
      <w:pPr>
        <w:pStyle w:val="Default"/>
        <w:rPr>
          <w:color w:val="auto"/>
        </w:rPr>
      </w:pPr>
    </w:p>
    <w:p w:rsidR="00A86667" w:rsidRPr="008E3517" w:rsidP="00A86667" w14:paraId="7046D065" w14:textId="77777777">
      <w:pPr>
        <w:pStyle w:val="Default"/>
        <w:tabs>
          <w:tab w:val="left" w:pos="378"/>
        </w:tabs>
        <w:spacing w:line="480" w:lineRule="auto"/>
      </w:pPr>
      <w:r w:rsidRPr="008E3517">
        <w:tab/>
      </w:r>
      <w:r w:rsidRPr="008E3517">
        <w:tab/>
      </w:r>
      <w:r w:rsidRPr="008E3517">
        <w:t xml:space="preserve">The Commission determined its cost and burden hour estimates, inclusive of operational expenses, based on the workflows of the agency, and the functions specific to the receipt, recordation, and analysis of the submissions. As a general matter, the cost rate was based upon the hourly rate of personnel assigned to task. Support services are included in cost estimates. </w:t>
      </w:r>
    </w:p>
    <w:p w:rsidR="00E438AF" w:rsidP="00A86667" w14:paraId="67B59D63" w14:textId="77777777">
      <w:pPr>
        <w:pStyle w:val="Default"/>
        <w:tabs>
          <w:tab w:val="left" w:pos="378"/>
        </w:tabs>
        <w:jc w:val="center"/>
        <w:rPr>
          <w:b/>
          <w:bCs/>
          <w:u w:val="single"/>
        </w:rPr>
      </w:pPr>
    </w:p>
    <w:p w:rsidR="00E438AF" w:rsidP="00A86667" w14:paraId="3D63D1FB" w14:textId="77777777">
      <w:pPr>
        <w:pStyle w:val="Default"/>
        <w:tabs>
          <w:tab w:val="left" w:pos="378"/>
        </w:tabs>
        <w:jc w:val="center"/>
        <w:rPr>
          <w:b/>
          <w:bCs/>
          <w:u w:val="single"/>
        </w:rPr>
      </w:pPr>
    </w:p>
    <w:p w:rsidR="00E438AF" w:rsidP="00A86667" w14:paraId="397B5D0E" w14:textId="77777777">
      <w:pPr>
        <w:pStyle w:val="Default"/>
        <w:tabs>
          <w:tab w:val="left" w:pos="378"/>
        </w:tabs>
        <w:jc w:val="center"/>
        <w:rPr>
          <w:b/>
          <w:bCs/>
          <w:u w:val="single"/>
        </w:rPr>
      </w:pPr>
    </w:p>
    <w:p w:rsidR="00E438AF" w:rsidP="00A86667" w14:paraId="4CADB7E1" w14:textId="77777777">
      <w:pPr>
        <w:pStyle w:val="Default"/>
        <w:tabs>
          <w:tab w:val="left" w:pos="378"/>
        </w:tabs>
        <w:jc w:val="center"/>
        <w:rPr>
          <w:b/>
          <w:bCs/>
          <w:u w:val="single"/>
        </w:rPr>
      </w:pPr>
    </w:p>
    <w:p w:rsidR="00E438AF" w:rsidP="00A86667" w14:paraId="3F740BC1" w14:textId="77777777">
      <w:pPr>
        <w:pStyle w:val="Default"/>
        <w:tabs>
          <w:tab w:val="left" w:pos="378"/>
        </w:tabs>
        <w:jc w:val="center"/>
        <w:rPr>
          <w:b/>
          <w:bCs/>
          <w:u w:val="single"/>
        </w:rPr>
      </w:pPr>
    </w:p>
    <w:p w:rsidR="00E438AF" w:rsidP="00A86667" w14:paraId="61F3BCDC" w14:textId="77777777">
      <w:pPr>
        <w:pStyle w:val="Default"/>
        <w:tabs>
          <w:tab w:val="left" w:pos="378"/>
        </w:tabs>
        <w:jc w:val="center"/>
        <w:rPr>
          <w:b/>
          <w:bCs/>
          <w:u w:val="single"/>
        </w:rPr>
      </w:pPr>
    </w:p>
    <w:p w:rsidR="00E438AF" w:rsidP="00A86667" w14:paraId="5EA12447" w14:textId="77777777">
      <w:pPr>
        <w:pStyle w:val="Default"/>
        <w:tabs>
          <w:tab w:val="left" w:pos="378"/>
        </w:tabs>
        <w:jc w:val="center"/>
        <w:rPr>
          <w:b/>
          <w:bCs/>
          <w:u w:val="single"/>
        </w:rPr>
      </w:pPr>
    </w:p>
    <w:p w:rsidR="00E438AF" w:rsidP="00A86667" w14:paraId="66F9A842" w14:textId="77777777">
      <w:pPr>
        <w:pStyle w:val="Default"/>
        <w:tabs>
          <w:tab w:val="left" w:pos="378"/>
        </w:tabs>
        <w:jc w:val="center"/>
        <w:rPr>
          <w:b/>
          <w:bCs/>
          <w:u w:val="single"/>
        </w:rPr>
      </w:pPr>
    </w:p>
    <w:p w:rsidR="00A86667" w:rsidRPr="008E3517" w:rsidP="00A86667" w14:paraId="12B8DE78" w14:textId="77777777">
      <w:pPr>
        <w:pStyle w:val="Default"/>
        <w:tabs>
          <w:tab w:val="left" w:pos="378"/>
        </w:tabs>
        <w:jc w:val="center"/>
      </w:pPr>
      <w:r w:rsidRPr="008E3517">
        <w:rPr>
          <w:b/>
          <w:bCs/>
          <w:u w:val="single"/>
        </w:rPr>
        <w:t xml:space="preserve">ESTIMATED </w:t>
      </w:r>
      <w:r w:rsidR="00E438AF">
        <w:rPr>
          <w:b/>
          <w:bCs/>
          <w:u w:val="single"/>
        </w:rPr>
        <w:t xml:space="preserve">AGENCY </w:t>
      </w:r>
      <w:r w:rsidRPr="008E3517">
        <w:rPr>
          <w:b/>
          <w:bCs/>
          <w:u w:val="single"/>
        </w:rPr>
        <w:t>ANNUAL BURDEN TOTALS</w:t>
      </w:r>
    </w:p>
    <w:p w:rsidR="00A86667" w:rsidRPr="008E3517" w:rsidP="00A86667" w14:paraId="593B6A0C" w14:textId="77777777">
      <w:pPr>
        <w:pStyle w:val="Default"/>
        <w:tabs>
          <w:tab w:val="left" w:pos="378"/>
        </w:tabs>
        <w:rPr>
          <w:b/>
          <w:bCs/>
        </w:rPr>
      </w:pPr>
    </w:p>
    <w:tbl>
      <w:tblPr>
        <w:tblW w:w="9630" w:type="dxa"/>
        <w:tblInd w:w="18" w:type="dxa"/>
        <w:tblLayout w:type="fixed"/>
        <w:tblLook w:val="04A0"/>
      </w:tblPr>
      <w:tblGrid>
        <w:gridCol w:w="1350"/>
        <w:gridCol w:w="1530"/>
        <w:gridCol w:w="1260"/>
        <w:gridCol w:w="1350"/>
        <w:gridCol w:w="1080"/>
        <w:gridCol w:w="810"/>
        <w:gridCol w:w="990"/>
        <w:gridCol w:w="1260"/>
      </w:tblGrid>
      <w:tr w14:paraId="0920D8E5" w14:textId="77777777" w:rsidTr="00802853">
        <w:tblPrEx>
          <w:tblW w:w="9630" w:type="dxa"/>
          <w:tblInd w:w="18" w:type="dxa"/>
          <w:tblLayout w:type="fixed"/>
          <w:tblLook w:val="04A0"/>
        </w:tblPrEx>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A86667" w:rsidRPr="008E3517" w:rsidP="00A43F92" w14:paraId="57604100" w14:textId="77777777">
            <w:pPr>
              <w:spacing w:before="60" w:after="60"/>
              <w:ind w:left="-93" w:right="-108"/>
              <w:jc w:val="center"/>
              <w:rPr>
                <w:b/>
                <w:bCs/>
                <w:color w:val="000000"/>
                <w:sz w:val="18"/>
                <w:szCs w:val="18"/>
              </w:rPr>
            </w:pPr>
            <w:r w:rsidRPr="008E3517">
              <w:rPr>
                <w:b/>
                <w:bCs/>
                <w:color w:val="000000"/>
                <w:sz w:val="18"/>
                <w:szCs w:val="18"/>
              </w:rPr>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A86667" w:rsidRPr="008E3517" w:rsidP="00A43F92" w14:paraId="22AA7365" w14:textId="77777777">
            <w:pPr>
              <w:spacing w:before="60" w:after="60"/>
              <w:ind w:left="-108" w:right="-108"/>
              <w:jc w:val="center"/>
              <w:rPr>
                <w:b/>
                <w:bCs/>
                <w:sz w:val="18"/>
                <w:szCs w:val="18"/>
              </w:rPr>
            </w:pPr>
            <w:r w:rsidRPr="008E3517">
              <w:rPr>
                <w:b/>
                <w:bCs/>
                <w:sz w:val="18"/>
                <w:szCs w:val="18"/>
              </w:rPr>
              <w:t>NUMBER OF ANNUAL RESPONDENTS</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A86667" w:rsidRPr="008E3517" w:rsidP="00A43F92" w14:paraId="0019ADBB" w14:textId="77777777">
            <w:pPr>
              <w:spacing w:before="60" w:after="60"/>
              <w:ind w:left="-108" w:right="-108"/>
              <w:jc w:val="center"/>
              <w:rPr>
                <w:b/>
                <w:bCs/>
                <w:sz w:val="18"/>
                <w:szCs w:val="18"/>
              </w:rPr>
            </w:pPr>
            <w:r w:rsidRPr="008E3517">
              <w:rPr>
                <w:b/>
                <w:bCs/>
                <w:sz w:val="18"/>
                <w:szCs w:val="18"/>
              </w:rPr>
              <w:t>FREQUENCY OF RESPONSES PER YEAR</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A86667" w:rsidRPr="008E3517" w:rsidP="00A43F92" w14:paraId="742A8FB6" w14:textId="77777777">
            <w:pPr>
              <w:spacing w:before="60" w:after="60"/>
              <w:ind w:left="-108" w:right="-108"/>
              <w:jc w:val="center"/>
              <w:rPr>
                <w:b/>
                <w:bCs/>
                <w:sz w:val="18"/>
                <w:szCs w:val="18"/>
              </w:rPr>
            </w:pPr>
            <w:r w:rsidRPr="008E3517">
              <w:rPr>
                <w:b/>
                <w:bCs/>
                <w:sz w:val="18"/>
                <w:szCs w:val="18"/>
              </w:rPr>
              <w:t>TOTAL ANNUAL RESPONSES</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A86667" w:rsidRPr="008E3517" w:rsidP="00A43F92" w14:paraId="1FD81C7A" w14:textId="77777777">
            <w:pPr>
              <w:spacing w:before="60" w:after="60"/>
              <w:ind w:left="-108" w:right="-108"/>
              <w:jc w:val="center"/>
              <w:rPr>
                <w:b/>
                <w:bCs/>
                <w:sz w:val="18"/>
                <w:szCs w:val="18"/>
              </w:rPr>
            </w:pPr>
            <w:r w:rsidRPr="008E3517">
              <w:rPr>
                <w:b/>
                <w:bCs/>
                <w:sz w:val="18"/>
                <w:szCs w:val="18"/>
              </w:rPr>
              <w:t xml:space="preserve">REVIEW HOURS  PER RESPONSE </w:t>
            </w:r>
          </w:p>
        </w:tc>
        <w:tc>
          <w:tcPr>
            <w:tcW w:w="81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A86667" w:rsidRPr="008E3517" w:rsidP="00802853" w14:paraId="40C9300A" w14:textId="77777777">
            <w:pPr>
              <w:spacing w:before="60" w:after="60"/>
              <w:ind w:left="-108" w:right="-108"/>
              <w:jc w:val="center"/>
              <w:rPr>
                <w:b/>
                <w:bCs/>
                <w:sz w:val="18"/>
                <w:szCs w:val="18"/>
              </w:rPr>
            </w:pPr>
            <w:r w:rsidRPr="008E3517">
              <w:rPr>
                <w:b/>
                <w:bCs/>
                <w:sz w:val="18"/>
                <w:szCs w:val="18"/>
              </w:rPr>
              <w:t>TOTAL HOURS</w:t>
            </w:r>
          </w:p>
        </w:tc>
        <w:tc>
          <w:tcPr>
            <w:tcW w:w="99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A86667" w:rsidRPr="008E3517" w:rsidP="00A43F92" w14:paraId="0144C08F" w14:textId="77777777">
            <w:pPr>
              <w:spacing w:before="60" w:after="60"/>
              <w:ind w:left="-105" w:right="-122"/>
              <w:jc w:val="center"/>
              <w:rPr>
                <w:b/>
                <w:bCs/>
                <w:sz w:val="18"/>
                <w:szCs w:val="18"/>
              </w:rPr>
            </w:pPr>
            <w:r w:rsidRPr="008E3517">
              <w:rPr>
                <w:b/>
                <w:bCs/>
                <w:sz w:val="18"/>
                <w:szCs w:val="18"/>
              </w:rPr>
              <w:t xml:space="preserve">HOURLY RATE </w:t>
            </w:r>
          </w:p>
        </w:tc>
        <w:tc>
          <w:tcPr>
            <w:tcW w:w="126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A86667" w:rsidRPr="008E3517" w:rsidP="00A43F92" w14:paraId="459BE805" w14:textId="77777777">
            <w:pPr>
              <w:spacing w:before="60" w:after="60"/>
              <w:ind w:left="-108"/>
              <w:jc w:val="center"/>
              <w:rPr>
                <w:b/>
                <w:bCs/>
                <w:sz w:val="18"/>
                <w:szCs w:val="18"/>
              </w:rPr>
            </w:pPr>
            <w:r w:rsidRPr="008E3517">
              <w:rPr>
                <w:b/>
                <w:bCs/>
                <w:sz w:val="18"/>
                <w:szCs w:val="18"/>
              </w:rPr>
              <w:t>TOTAL AGENCY COST</w:t>
            </w:r>
          </w:p>
        </w:tc>
      </w:tr>
      <w:tr w14:paraId="3411FE86" w14:textId="77777777" w:rsidTr="00802853">
        <w:tblPrEx>
          <w:tblW w:w="9630" w:type="dxa"/>
          <w:tblInd w:w="18" w:type="dxa"/>
          <w:tblLayout w:type="fixed"/>
          <w:tblLook w:val="04A0"/>
        </w:tblPrEx>
        <w:trPr>
          <w:trHeight w:val="330"/>
        </w:trPr>
        <w:tc>
          <w:tcPr>
            <w:tcW w:w="1350" w:type="dxa"/>
            <w:tcBorders>
              <w:top w:val="single" w:sz="4" w:space="0" w:color="auto"/>
              <w:left w:val="single" w:sz="4" w:space="0" w:color="auto"/>
              <w:bottom w:val="single" w:sz="4" w:space="0" w:color="auto"/>
              <w:right w:val="single" w:sz="4" w:space="0" w:color="auto"/>
            </w:tcBorders>
            <w:vAlign w:val="bottom"/>
          </w:tcPr>
          <w:p w:rsidR="00811D39" w:rsidRPr="008E3517" w:rsidP="00811D39" w14:paraId="4C2D764C" w14:textId="77777777">
            <w:pPr>
              <w:spacing w:after="60"/>
              <w:rPr>
                <w:b/>
                <w:bCs/>
              </w:rPr>
            </w:pPr>
            <w:r w:rsidRPr="008E3517">
              <w:rPr>
                <w:b/>
                <w:bCs/>
              </w:rPr>
              <w:t>559.2</w:t>
            </w:r>
          </w:p>
        </w:tc>
        <w:tc>
          <w:tcPr>
            <w:tcW w:w="1530" w:type="dxa"/>
            <w:tcBorders>
              <w:top w:val="single" w:sz="8" w:space="0" w:color="auto"/>
              <w:left w:val="single" w:sz="4" w:space="0" w:color="auto"/>
              <w:bottom w:val="single" w:sz="8" w:space="0" w:color="auto"/>
              <w:right w:val="single" w:sz="8" w:space="0" w:color="auto"/>
            </w:tcBorders>
          </w:tcPr>
          <w:p w:rsidR="00811D39" w:rsidP="00811D39" w14:paraId="072028CA" w14:textId="48A199F3">
            <w:pPr>
              <w:spacing w:after="60"/>
              <w:jc w:val="center"/>
            </w:pPr>
            <w:r>
              <w:t>7</w:t>
            </w:r>
          </w:p>
        </w:tc>
        <w:tc>
          <w:tcPr>
            <w:tcW w:w="1260" w:type="dxa"/>
            <w:tcBorders>
              <w:top w:val="single" w:sz="8" w:space="0" w:color="auto"/>
              <w:left w:val="nil"/>
              <w:bottom w:val="single" w:sz="8" w:space="0" w:color="auto"/>
              <w:right w:val="single" w:sz="8" w:space="0" w:color="auto"/>
            </w:tcBorders>
          </w:tcPr>
          <w:p w:rsidR="00811D39" w:rsidRPr="00435172" w:rsidP="00811D39" w14:paraId="77C9856D" w14:textId="77777777">
            <w:pPr>
              <w:spacing w:after="60"/>
              <w:jc w:val="right"/>
            </w:pPr>
            <w:r w:rsidRPr="00435172">
              <w:t>Varies</w:t>
            </w:r>
          </w:p>
        </w:tc>
        <w:tc>
          <w:tcPr>
            <w:tcW w:w="1350" w:type="dxa"/>
            <w:tcBorders>
              <w:top w:val="single" w:sz="8" w:space="0" w:color="auto"/>
              <w:left w:val="nil"/>
              <w:bottom w:val="single" w:sz="8" w:space="0" w:color="auto"/>
              <w:right w:val="single" w:sz="8" w:space="0" w:color="auto"/>
            </w:tcBorders>
          </w:tcPr>
          <w:p w:rsidR="00811D39" w:rsidP="00811D39" w14:paraId="0910A1B5" w14:textId="7F0D3C47">
            <w:pPr>
              <w:spacing w:after="60"/>
              <w:jc w:val="center"/>
            </w:pPr>
            <w:r>
              <w:t>7</w:t>
            </w:r>
          </w:p>
        </w:tc>
        <w:tc>
          <w:tcPr>
            <w:tcW w:w="1080" w:type="dxa"/>
            <w:tcBorders>
              <w:top w:val="single" w:sz="8" w:space="0" w:color="auto"/>
              <w:left w:val="nil"/>
              <w:bottom w:val="single" w:sz="8" w:space="0" w:color="auto"/>
              <w:right w:val="single" w:sz="8" w:space="0" w:color="auto"/>
            </w:tcBorders>
          </w:tcPr>
          <w:p w:rsidR="00811D39" w:rsidRPr="005E7D1C" w:rsidP="00811D39" w14:paraId="5E186103" w14:textId="77777777">
            <w:pPr>
              <w:spacing w:after="60"/>
              <w:jc w:val="right"/>
            </w:pPr>
            <w:r w:rsidRPr="005E7D1C">
              <w:t>5.0</w:t>
            </w:r>
          </w:p>
        </w:tc>
        <w:tc>
          <w:tcPr>
            <w:tcW w:w="810" w:type="dxa"/>
            <w:tcBorders>
              <w:top w:val="single" w:sz="8" w:space="0" w:color="auto"/>
              <w:left w:val="nil"/>
              <w:bottom w:val="single" w:sz="8" w:space="0" w:color="auto"/>
              <w:right w:val="single" w:sz="8" w:space="0" w:color="auto"/>
            </w:tcBorders>
          </w:tcPr>
          <w:p w:rsidR="00811D39" w:rsidRPr="005E7D1C" w:rsidP="00811D39" w14:paraId="684E9C22" w14:textId="77777777">
            <w:pPr>
              <w:spacing w:after="60"/>
              <w:jc w:val="right"/>
            </w:pPr>
            <w:r>
              <w:t>45</w:t>
            </w:r>
          </w:p>
        </w:tc>
        <w:tc>
          <w:tcPr>
            <w:tcW w:w="990" w:type="dxa"/>
            <w:tcBorders>
              <w:top w:val="single" w:sz="8" w:space="0" w:color="auto"/>
              <w:left w:val="nil"/>
              <w:bottom w:val="single" w:sz="8" w:space="0" w:color="auto"/>
              <w:right w:val="single" w:sz="8" w:space="0" w:color="auto"/>
            </w:tcBorders>
          </w:tcPr>
          <w:p w:rsidR="00811D39" w:rsidRPr="005E7D1C" w:rsidP="00811D39" w14:paraId="2AC8C1B5" w14:textId="341017D9">
            <w:pPr>
              <w:spacing w:after="60"/>
              <w:jc w:val="right"/>
            </w:pPr>
            <w:r w:rsidRPr="005E7D1C">
              <w:t>$</w:t>
            </w:r>
            <w:r w:rsidR="00584A3E">
              <w:t>65</w:t>
            </w:r>
          </w:p>
        </w:tc>
        <w:tc>
          <w:tcPr>
            <w:tcW w:w="1260" w:type="dxa"/>
            <w:tcBorders>
              <w:top w:val="single" w:sz="8" w:space="0" w:color="auto"/>
              <w:left w:val="nil"/>
              <w:bottom w:val="single" w:sz="8" w:space="0" w:color="auto"/>
              <w:right w:val="single" w:sz="8" w:space="0" w:color="auto"/>
            </w:tcBorders>
          </w:tcPr>
          <w:p w:rsidR="00811D39" w:rsidRPr="00435172" w:rsidP="00811D39" w14:paraId="72BC122B" w14:textId="16DB371E">
            <w:pPr>
              <w:spacing w:after="60"/>
              <w:jc w:val="right"/>
            </w:pPr>
            <w:r w:rsidRPr="00435172">
              <w:t>$</w:t>
            </w:r>
            <w:r w:rsidR="005E7D1C">
              <w:t>2,</w:t>
            </w:r>
            <w:r w:rsidR="00BC05A2">
              <w:t>925</w:t>
            </w:r>
          </w:p>
        </w:tc>
      </w:tr>
      <w:tr w14:paraId="1082E00C" w14:textId="77777777" w:rsidTr="00802853">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tcPr>
          <w:p w:rsidR="00811D39" w:rsidRPr="008E3517" w:rsidP="00811D39" w14:paraId="315E1ABF" w14:textId="77777777">
            <w:r w:rsidRPr="008E3517">
              <w:rPr>
                <w:b/>
                <w:bCs/>
              </w:rPr>
              <w:t>559.3</w:t>
            </w:r>
          </w:p>
        </w:tc>
        <w:tc>
          <w:tcPr>
            <w:tcW w:w="1530" w:type="dxa"/>
            <w:tcBorders>
              <w:top w:val="nil"/>
              <w:left w:val="single" w:sz="4" w:space="0" w:color="auto"/>
              <w:bottom w:val="single" w:sz="8" w:space="0" w:color="auto"/>
              <w:right w:val="single" w:sz="8" w:space="0" w:color="auto"/>
            </w:tcBorders>
          </w:tcPr>
          <w:p w:rsidR="00811D39" w:rsidP="00811D39" w14:paraId="0234D07B" w14:textId="6BBBB007">
            <w:pPr>
              <w:spacing w:after="60"/>
              <w:jc w:val="center"/>
            </w:pPr>
            <w:r>
              <w:t>33</w:t>
            </w:r>
          </w:p>
        </w:tc>
        <w:tc>
          <w:tcPr>
            <w:tcW w:w="1260" w:type="dxa"/>
            <w:tcBorders>
              <w:top w:val="nil"/>
              <w:left w:val="nil"/>
              <w:bottom w:val="single" w:sz="8" w:space="0" w:color="auto"/>
              <w:right w:val="single" w:sz="8" w:space="0" w:color="auto"/>
            </w:tcBorders>
          </w:tcPr>
          <w:p w:rsidR="00811D39" w:rsidRPr="00435172" w:rsidP="00811D39" w14:paraId="3F2EAFE9" w14:textId="77777777">
            <w:pPr>
              <w:spacing w:after="60"/>
              <w:jc w:val="right"/>
            </w:pPr>
            <w:r w:rsidRPr="00435172">
              <w:t>Varies</w:t>
            </w:r>
          </w:p>
        </w:tc>
        <w:tc>
          <w:tcPr>
            <w:tcW w:w="1350" w:type="dxa"/>
            <w:tcBorders>
              <w:top w:val="nil"/>
              <w:left w:val="nil"/>
              <w:bottom w:val="single" w:sz="8" w:space="0" w:color="auto"/>
              <w:right w:val="single" w:sz="8" w:space="0" w:color="auto"/>
            </w:tcBorders>
          </w:tcPr>
          <w:p w:rsidR="00811D39" w:rsidP="00811D39" w14:paraId="7D1F6472" w14:textId="185C41E5">
            <w:pPr>
              <w:spacing w:after="60"/>
              <w:jc w:val="center"/>
            </w:pPr>
            <w:r>
              <w:t>70</w:t>
            </w:r>
          </w:p>
        </w:tc>
        <w:tc>
          <w:tcPr>
            <w:tcW w:w="1080" w:type="dxa"/>
            <w:tcBorders>
              <w:top w:val="nil"/>
              <w:left w:val="nil"/>
              <w:bottom w:val="single" w:sz="8" w:space="0" w:color="auto"/>
              <w:right w:val="single" w:sz="8" w:space="0" w:color="auto"/>
            </w:tcBorders>
          </w:tcPr>
          <w:p w:rsidR="00811D39" w:rsidRPr="005E7D1C" w:rsidP="00811D39" w14:paraId="385D6259" w14:textId="77777777">
            <w:pPr>
              <w:spacing w:after="60"/>
              <w:jc w:val="right"/>
            </w:pPr>
            <w:r w:rsidRPr="005E7D1C">
              <w:t>0.5</w:t>
            </w:r>
          </w:p>
        </w:tc>
        <w:tc>
          <w:tcPr>
            <w:tcW w:w="810" w:type="dxa"/>
            <w:tcBorders>
              <w:top w:val="nil"/>
              <w:left w:val="nil"/>
              <w:bottom w:val="single" w:sz="8" w:space="0" w:color="auto"/>
              <w:right w:val="single" w:sz="8" w:space="0" w:color="auto"/>
            </w:tcBorders>
          </w:tcPr>
          <w:p w:rsidR="00811D39" w:rsidRPr="005E7D1C" w:rsidP="00811D39" w14:paraId="7192D0C3" w14:textId="77777777">
            <w:pPr>
              <w:spacing w:after="60"/>
              <w:jc w:val="right"/>
            </w:pPr>
            <w:r>
              <w:t>59</w:t>
            </w:r>
          </w:p>
        </w:tc>
        <w:tc>
          <w:tcPr>
            <w:tcW w:w="990" w:type="dxa"/>
            <w:tcBorders>
              <w:top w:val="nil"/>
              <w:left w:val="nil"/>
              <w:bottom w:val="single" w:sz="8" w:space="0" w:color="auto"/>
              <w:right w:val="single" w:sz="8" w:space="0" w:color="auto"/>
            </w:tcBorders>
          </w:tcPr>
          <w:p w:rsidR="00811D39" w:rsidRPr="005E7D1C" w:rsidP="00811D39" w14:paraId="285FC047" w14:textId="67CC6BB4">
            <w:pPr>
              <w:spacing w:after="60"/>
              <w:jc w:val="right"/>
            </w:pPr>
            <w:r w:rsidRPr="005E7D1C">
              <w:t>$</w:t>
            </w:r>
            <w:r w:rsidR="00EA73EB">
              <w:t>42</w:t>
            </w:r>
          </w:p>
        </w:tc>
        <w:tc>
          <w:tcPr>
            <w:tcW w:w="1260" w:type="dxa"/>
            <w:tcBorders>
              <w:top w:val="nil"/>
              <w:left w:val="nil"/>
              <w:bottom w:val="single" w:sz="8" w:space="0" w:color="auto"/>
              <w:right w:val="single" w:sz="8" w:space="0" w:color="auto"/>
            </w:tcBorders>
          </w:tcPr>
          <w:p w:rsidR="00811D39" w:rsidRPr="00435172" w:rsidP="005E7D1C" w14:paraId="7C602BF2" w14:textId="23272F40">
            <w:pPr>
              <w:spacing w:after="60"/>
              <w:jc w:val="right"/>
            </w:pPr>
            <w:r w:rsidRPr="00435172">
              <w:t>$</w:t>
            </w:r>
            <w:r w:rsidR="005E7D1C">
              <w:t>2,</w:t>
            </w:r>
            <w:r w:rsidR="00BC05A2">
              <w:t>478</w:t>
            </w:r>
          </w:p>
        </w:tc>
      </w:tr>
      <w:tr w14:paraId="317D66A2" w14:textId="77777777" w:rsidTr="00802853">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tcPr>
          <w:p w:rsidR="00811D39" w:rsidRPr="008E3517" w:rsidP="00811D39" w14:paraId="07D9ED07" w14:textId="77777777">
            <w:r w:rsidRPr="008E3517">
              <w:rPr>
                <w:b/>
                <w:bCs/>
              </w:rPr>
              <w:t>559.4</w:t>
            </w:r>
          </w:p>
        </w:tc>
        <w:tc>
          <w:tcPr>
            <w:tcW w:w="1530" w:type="dxa"/>
            <w:tcBorders>
              <w:top w:val="nil"/>
              <w:left w:val="single" w:sz="4" w:space="0" w:color="auto"/>
              <w:bottom w:val="single" w:sz="8" w:space="0" w:color="auto"/>
              <w:right w:val="single" w:sz="8" w:space="0" w:color="auto"/>
            </w:tcBorders>
          </w:tcPr>
          <w:p w:rsidR="00811D39" w:rsidP="00811D39" w14:paraId="4E66CFA7" w14:textId="08FBAB80">
            <w:pPr>
              <w:spacing w:after="60"/>
              <w:jc w:val="center"/>
            </w:pPr>
            <w:r>
              <w:t>33</w:t>
            </w:r>
          </w:p>
        </w:tc>
        <w:tc>
          <w:tcPr>
            <w:tcW w:w="1260" w:type="dxa"/>
            <w:tcBorders>
              <w:top w:val="nil"/>
              <w:left w:val="nil"/>
              <w:bottom w:val="single" w:sz="8" w:space="0" w:color="auto"/>
              <w:right w:val="single" w:sz="8" w:space="0" w:color="auto"/>
            </w:tcBorders>
          </w:tcPr>
          <w:p w:rsidR="00811D39" w:rsidRPr="00435172" w:rsidP="00811D39" w14:paraId="593916A7" w14:textId="77777777">
            <w:pPr>
              <w:spacing w:after="60"/>
              <w:jc w:val="right"/>
            </w:pPr>
            <w:r w:rsidRPr="00435172">
              <w:t>Varies</w:t>
            </w:r>
          </w:p>
        </w:tc>
        <w:tc>
          <w:tcPr>
            <w:tcW w:w="1350" w:type="dxa"/>
            <w:tcBorders>
              <w:top w:val="nil"/>
              <w:left w:val="nil"/>
              <w:bottom w:val="single" w:sz="8" w:space="0" w:color="auto"/>
              <w:right w:val="single" w:sz="8" w:space="0" w:color="auto"/>
            </w:tcBorders>
          </w:tcPr>
          <w:p w:rsidR="00811D39" w:rsidP="00811D39" w14:paraId="7E26EE77" w14:textId="18B99CCE">
            <w:pPr>
              <w:spacing w:after="60"/>
              <w:jc w:val="center"/>
            </w:pPr>
            <w:r>
              <w:t>70</w:t>
            </w:r>
          </w:p>
        </w:tc>
        <w:tc>
          <w:tcPr>
            <w:tcW w:w="1080" w:type="dxa"/>
            <w:tcBorders>
              <w:top w:val="nil"/>
              <w:left w:val="nil"/>
              <w:bottom w:val="single" w:sz="8" w:space="0" w:color="auto"/>
              <w:right w:val="single" w:sz="8" w:space="0" w:color="auto"/>
            </w:tcBorders>
          </w:tcPr>
          <w:p w:rsidR="00811D39" w:rsidRPr="005E7D1C" w:rsidP="00811D39" w14:paraId="3697375A" w14:textId="77777777">
            <w:pPr>
              <w:spacing w:after="60"/>
              <w:jc w:val="right"/>
            </w:pPr>
            <w:r w:rsidRPr="005E7D1C">
              <w:t>0.5</w:t>
            </w:r>
          </w:p>
        </w:tc>
        <w:tc>
          <w:tcPr>
            <w:tcW w:w="810" w:type="dxa"/>
            <w:tcBorders>
              <w:top w:val="nil"/>
              <w:left w:val="nil"/>
              <w:bottom w:val="single" w:sz="8" w:space="0" w:color="auto"/>
              <w:right w:val="single" w:sz="8" w:space="0" w:color="auto"/>
            </w:tcBorders>
          </w:tcPr>
          <w:p w:rsidR="00811D39" w:rsidRPr="005E7D1C" w:rsidP="00811D39" w14:paraId="623355BB" w14:textId="77777777">
            <w:pPr>
              <w:spacing w:after="60"/>
              <w:jc w:val="right"/>
            </w:pPr>
            <w:r>
              <w:t>58</w:t>
            </w:r>
          </w:p>
        </w:tc>
        <w:tc>
          <w:tcPr>
            <w:tcW w:w="990" w:type="dxa"/>
            <w:tcBorders>
              <w:top w:val="nil"/>
              <w:left w:val="nil"/>
              <w:bottom w:val="single" w:sz="8" w:space="0" w:color="auto"/>
              <w:right w:val="single" w:sz="8" w:space="0" w:color="auto"/>
            </w:tcBorders>
          </w:tcPr>
          <w:p w:rsidR="00811D39" w:rsidRPr="005E7D1C" w:rsidP="00811D39" w14:paraId="666CBF32" w14:textId="2039DFE0">
            <w:pPr>
              <w:jc w:val="right"/>
            </w:pPr>
            <w:r w:rsidRPr="005E7D1C">
              <w:t>$</w:t>
            </w:r>
            <w:r w:rsidR="00EA73EB">
              <w:t>42</w:t>
            </w:r>
          </w:p>
        </w:tc>
        <w:tc>
          <w:tcPr>
            <w:tcW w:w="1260" w:type="dxa"/>
            <w:tcBorders>
              <w:top w:val="nil"/>
              <w:left w:val="nil"/>
              <w:bottom w:val="single" w:sz="8" w:space="0" w:color="auto"/>
              <w:right w:val="single" w:sz="8" w:space="0" w:color="auto"/>
            </w:tcBorders>
          </w:tcPr>
          <w:p w:rsidR="00811D39" w:rsidRPr="00435172" w:rsidP="00811D39" w14:paraId="74EFE051" w14:textId="220D218B">
            <w:pPr>
              <w:spacing w:after="60"/>
              <w:jc w:val="right"/>
            </w:pPr>
            <w:r w:rsidRPr="00435172">
              <w:t>$</w:t>
            </w:r>
            <w:r w:rsidR="005E7D1C">
              <w:t>2,</w:t>
            </w:r>
            <w:r w:rsidR="00DC1A5D">
              <w:t>436</w:t>
            </w:r>
          </w:p>
        </w:tc>
      </w:tr>
      <w:tr w14:paraId="5914CDC3" w14:textId="77777777" w:rsidTr="00802853">
        <w:tblPrEx>
          <w:tblW w:w="9630" w:type="dxa"/>
          <w:tblInd w:w="18" w:type="dxa"/>
          <w:tblLayout w:type="fixed"/>
          <w:tblLook w:val="04A0"/>
        </w:tblPrEx>
        <w:trPr>
          <w:trHeight w:val="349"/>
        </w:trPr>
        <w:tc>
          <w:tcPr>
            <w:tcW w:w="1350" w:type="dxa"/>
            <w:tcBorders>
              <w:top w:val="single" w:sz="4" w:space="0" w:color="auto"/>
              <w:left w:val="single" w:sz="4" w:space="0" w:color="auto"/>
              <w:bottom w:val="single" w:sz="4" w:space="0" w:color="auto"/>
              <w:right w:val="single" w:sz="4" w:space="0" w:color="auto"/>
            </w:tcBorders>
          </w:tcPr>
          <w:p w:rsidR="00811D39" w:rsidRPr="008E3517" w:rsidP="00811D39" w14:paraId="32D71B36" w14:textId="77777777">
            <w:pPr>
              <w:rPr>
                <w:b/>
                <w:bCs/>
              </w:rPr>
            </w:pPr>
            <w:r w:rsidRPr="008E3517">
              <w:rPr>
                <w:b/>
                <w:bCs/>
              </w:rPr>
              <w:t>559.5</w:t>
            </w:r>
          </w:p>
        </w:tc>
        <w:tc>
          <w:tcPr>
            <w:tcW w:w="1530" w:type="dxa"/>
            <w:tcBorders>
              <w:top w:val="nil"/>
              <w:left w:val="single" w:sz="4" w:space="0" w:color="auto"/>
              <w:bottom w:val="single" w:sz="8" w:space="0" w:color="auto"/>
              <w:right w:val="single" w:sz="8" w:space="0" w:color="auto"/>
            </w:tcBorders>
          </w:tcPr>
          <w:p w:rsidR="00811D39" w:rsidP="00811D39" w14:paraId="013BAF9A" w14:textId="23722C8F">
            <w:pPr>
              <w:spacing w:after="60"/>
              <w:jc w:val="center"/>
            </w:pPr>
            <w:r>
              <w:t>5</w:t>
            </w:r>
          </w:p>
        </w:tc>
        <w:tc>
          <w:tcPr>
            <w:tcW w:w="1260" w:type="dxa"/>
            <w:tcBorders>
              <w:top w:val="nil"/>
              <w:left w:val="nil"/>
              <w:bottom w:val="single" w:sz="8" w:space="0" w:color="auto"/>
              <w:right w:val="single" w:sz="8" w:space="0" w:color="auto"/>
            </w:tcBorders>
          </w:tcPr>
          <w:p w:rsidR="00811D39" w:rsidRPr="00435172" w:rsidP="00811D39" w14:paraId="69CC5746" w14:textId="77777777">
            <w:pPr>
              <w:spacing w:after="60"/>
              <w:jc w:val="right"/>
            </w:pPr>
            <w:r w:rsidRPr="00435172">
              <w:t>Varies</w:t>
            </w:r>
          </w:p>
        </w:tc>
        <w:tc>
          <w:tcPr>
            <w:tcW w:w="1350" w:type="dxa"/>
            <w:tcBorders>
              <w:top w:val="nil"/>
              <w:left w:val="nil"/>
              <w:bottom w:val="single" w:sz="8" w:space="0" w:color="auto"/>
              <w:right w:val="single" w:sz="8" w:space="0" w:color="auto"/>
            </w:tcBorders>
          </w:tcPr>
          <w:p w:rsidR="00811D39" w:rsidP="00811D39" w14:paraId="5F3CF856" w14:textId="77777777">
            <w:pPr>
              <w:spacing w:after="60"/>
              <w:jc w:val="center"/>
            </w:pPr>
            <w:r>
              <w:t>6</w:t>
            </w:r>
          </w:p>
        </w:tc>
        <w:tc>
          <w:tcPr>
            <w:tcW w:w="1080" w:type="dxa"/>
            <w:tcBorders>
              <w:top w:val="nil"/>
              <w:left w:val="nil"/>
              <w:bottom w:val="single" w:sz="8" w:space="0" w:color="auto"/>
              <w:right w:val="single" w:sz="8" w:space="0" w:color="auto"/>
            </w:tcBorders>
          </w:tcPr>
          <w:p w:rsidR="00811D39" w:rsidRPr="005E7D1C" w:rsidP="00811D39" w14:paraId="410FF3BA" w14:textId="77777777">
            <w:pPr>
              <w:spacing w:after="60"/>
              <w:jc w:val="right"/>
            </w:pPr>
            <w:r w:rsidRPr="005E7D1C">
              <w:t>0.5</w:t>
            </w:r>
          </w:p>
        </w:tc>
        <w:tc>
          <w:tcPr>
            <w:tcW w:w="810" w:type="dxa"/>
            <w:tcBorders>
              <w:top w:val="nil"/>
              <w:left w:val="nil"/>
              <w:bottom w:val="single" w:sz="8" w:space="0" w:color="auto"/>
              <w:right w:val="single" w:sz="8" w:space="0" w:color="auto"/>
            </w:tcBorders>
          </w:tcPr>
          <w:p w:rsidR="00811D39" w:rsidRPr="005E7D1C" w:rsidP="00811D39" w14:paraId="1C060369" w14:textId="77777777">
            <w:pPr>
              <w:spacing w:after="60"/>
              <w:jc w:val="right"/>
            </w:pPr>
            <w:r>
              <w:t>3</w:t>
            </w:r>
          </w:p>
        </w:tc>
        <w:tc>
          <w:tcPr>
            <w:tcW w:w="990" w:type="dxa"/>
            <w:tcBorders>
              <w:top w:val="nil"/>
              <w:left w:val="nil"/>
              <w:bottom w:val="single" w:sz="8" w:space="0" w:color="auto"/>
              <w:right w:val="single" w:sz="8" w:space="0" w:color="auto"/>
            </w:tcBorders>
          </w:tcPr>
          <w:p w:rsidR="00811D39" w:rsidRPr="005E7D1C" w:rsidP="00811D39" w14:paraId="2DBD88A5" w14:textId="1EE9CE46">
            <w:pPr>
              <w:jc w:val="right"/>
            </w:pPr>
            <w:r w:rsidRPr="005E7D1C">
              <w:t>$</w:t>
            </w:r>
            <w:r w:rsidR="00EA73EB">
              <w:t>42</w:t>
            </w:r>
          </w:p>
        </w:tc>
        <w:tc>
          <w:tcPr>
            <w:tcW w:w="1260" w:type="dxa"/>
            <w:tcBorders>
              <w:top w:val="nil"/>
              <w:left w:val="nil"/>
              <w:bottom w:val="single" w:sz="8" w:space="0" w:color="auto"/>
              <w:right w:val="single" w:sz="8" w:space="0" w:color="auto"/>
            </w:tcBorders>
          </w:tcPr>
          <w:p w:rsidR="00811D39" w:rsidRPr="00435172" w:rsidP="00811D39" w14:paraId="5B2FEFF1" w14:textId="07AEC01C">
            <w:pPr>
              <w:spacing w:after="60"/>
              <w:jc w:val="right"/>
            </w:pPr>
            <w:r w:rsidRPr="00435172">
              <w:t>$</w:t>
            </w:r>
            <w:r w:rsidR="005E7D1C">
              <w:t>1</w:t>
            </w:r>
            <w:r w:rsidR="00DC1A5D">
              <w:t>26</w:t>
            </w:r>
          </w:p>
        </w:tc>
      </w:tr>
      <w:tr w14:paraId="5CC5BBE1" w14:textId="77777777" w:rsidTr="00802853">
        <w:tblPrEx>
          <w:tblW w:w="9630" w:type="dxa"/>
          <w:tblInd w:w="18" w:type="dxa"/>
          <w:tblLayout w:type="fixed"/>
          <w:tblLook w:val="04A0"/>
        </w:tblPrEx>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A86667" w:rsidRPr="008E3517" w:rsidP="00A43F92" w14:paraId="0E268A2F" w14:textId="77777777">
            <w:pPr>
              <w:spacing w:after="60"/>
              <w:rPr>
                <w:b/>
                <w:bCs/>
              </w:rPr>
            </w:pPr>
            <w:r w:rsidRPr="008E3517">
              <w:rPr>
                <w:b/>
                <w:bCs/>
              </w:rPr>
              <w:t>TOTAL</w:t>
            </w:r>
          </w:p>
        </w:tc>
        <w:tc>
          <w:tcPr>
            <w:tcW w:w="1530" w:type="dxa"/>
            <w:tcBorders>
              <w:top w:val="single" w:sz="4" w:space="0" w:color="auto"/>
              <w:left w:val="single" w:sz="4" w:space="0" w:color="auto"/>
              <w:bottom w:val="single" w:sz="4" w:space="0" w:color="auto"/>
              <w:right w:val="single" w:sz="4" w:space="0" w:color="auto"/>
            </w:tcBorders>
            <w:shd w:val="clear" w:color="000000" w:fill="C0C0C0"/>
          </w:tcPr>
          <w:p w:rsidR="00A86667" w:rsidRPr="00435172" w:rsidP="00A43F92" w14:paraId="778FE677" w14:textId="77777777">
            <w:pPr>
              <w:spacing w:after="60"/>
              <w:jc w:val="right"/>
              <w:rPr>
                <w:b/>
              </w:rPr>
            </w:pPr>
          </w:p>
        </w:tc>
        <w:tc>
          <w:tcPr>
            <w:tcW w:w="1260" w:type="dxa"/>
            <w:tcBorders>
              <w:top w:val="single" w:sz="4" w:space="0" w:color="auto"/>
              <w:left w:val="single" w:sz="4" w:space="0" w:color="auto"/>
              <w:bottom w:val="single" w:sz="4" w:space="0" w:color="auto"/>
              <w:right w:val="single" w:sz="4" w:space="0" w:color="auto"/>
            </w:tcBorders>
            <w:shd w:val="clear" w:color="000000" w:fill="C0C0C0"/>
          </w:tcPr>
          <w:p w:rsidR="00A86667" w:rsidRPr="00435172" w:rsidP="00A43F92" w14:paraId="668968AD" w14:textId="77777777">
            <w:pPr>
              <w:spacing w:after="60"/>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000000" w:fill="C0C0C0"/>
          </w:tcPr>
          <w:p w:rsidR="00A86667" w:rsidRPr="00435172" w:rsidP="00A43F92" w14:paraId="4081A205" w14:textId="77777777">
            <w:pPr>
              <w:spacing w:after="60"/>
              <w:jc w:val="right"/>
              <w:rPr>
                <w:b/>
              </w:rPr>
            </w:pPr>
          </w:p>
        </w:tc>
        <w:tc>
          <w:tcPr>
            <w:tcW w:w="1080" w:type="dxa"/>
            <w:tcBorders>
              <w:top w:val="single" w:sz="4" w:space="0" w:color="auto"/>
              <w:left w:val="single" w:sz="4" w:space="0" w:color="auto"/>
              <w:bottom w:val="single" w:sz="4" w:space="0" w:color="auto"/>
              <w:right w:val="single" w:sz="4" w:space="0" w:color="auto"/>
            </w:tcBorders>
            <w:shd w:val="clear" w:color="000000" w:fill="C0C0C0"/>
          </w:tcPr>
          <w:p w:rsidR="00A86667" w:rsidRPr="00435172" w:rsidP="00A43F92" w14:paraId="4831663E" w14:textId="77777777">
            <w:pPr>
              <w:spacing w:after="60"/>
              <w:jc w:val="right"/>
              <w:rPr>
                <w:b/>
              </w:rPr>
            </w:pPr>
          </w:p>
        </w:tc>
        <w:tc>
          <w:tcPr>
            <w:tcW w:w="810" w:type="dxa"/>
            <w:tcBorders>
              <w:top w:val="single" w:sz="4" w:space="0" w:color="auto"/>
              <w:left w:val="single" w:sz="4" w:space="0" w:color="auto"/>
              <w:bottom w:val="single" w:sz="4" w:space="0" w:color="auto"/>
              <w:right w:val="single" w:sz="4" w:space="0" w:color="auto"/>
            </w:tcBorders>
            <w:shd w:val="clear" w:color="000000" w:fill="C0C0C0"/>
          </w:tcPr>
          <w:p w:rsidR="00A86667" w:rsidRPr="00435172" w:rsidP="00452A78" w14:paraId="2A2C3CDB" w14:textId="77777777">
            <w:pPr>
              <w:tabs>
                <w:tab w:val="left" w:pos="380"/>
              </w:tabs>
              <w:spacing w:after="60"/>
              <w:jc w:val="right"/>
              <w:rPr>
                <w:b/>
              </w:rPr>
            </w:pPr>
          </w:p>
        </w:tc>
        <w:tc>
          <w:tcPr>
            <w:tcW w:w="990" w:type="dxa"/>
            <w:tcBorders>
              <w:top w:val="single" w:sz="4" w:space="0" w:color="auto"/>
              <w:left w:val="single" w:sz="4" w:space="0" w:color="auto"/>
              <w:bottom w:val="single" w:sz="4" w:space="0" w:color="auto"/>
              <w:right w:val="single" w:sz="4" w:space="0" w:color="auto"/>
            </w:tcBorders>
            <w:shd w:val="clear" w:color="000000" w:fill="C0C0C0"/>
          </w:tcPr>
          <w:p w:rsidR="00A86667" w:rsidRPr="00435172" w:rsidP="00A43F92" w14:paraId="7E275959" w14:textId="77777777">
            <w:pPr>
              <w:spacing w:after="60"/>
              <w:jc w:val="right"/>
              <w:rPr>
                <w:b/>
              </w:rPr>
            </w:pPr>
          </w:p>
        </w:tc>
        <w:tc>
          <w:tcPr>
            <w:tcW w:w="1260" w:type="dxa"/>
            <w:tcBorders>
              <w:top w:val="single" w:sz="4" w:space="0" w:color="auto"/>
              <w:left w:val="single" w:sz="4" w:space="0" w:color="auto"/>
              <w:bottom w:val="single" w:sz="4" w:space="0" w:color="auto"/>
              <w:right w:val="single" w:sz="4" w:space="0" w:color="auto"/>
            </w:tcBorders>
            <w:shd w:val="clear" w:color="000000" w:fill="C0C0C0"/>
          </w:tcPr>
          <w:p w:rsidR="00A86667" w:rsidRPr="00435172" w:rsidP="001A0AA9" w14:paraId="469BA996" w14:textId="5EDC7AD8">
            <w:pPr>
              <w:spacing w:after="60"/>
              <w:jc w:val="right"/>
              <w:rPr>
                <w:b/>
              </w:rPr>
            </w:pPr>
            <w:r>
              <w:rPr>
                <w:b/>
              </w:rPr>
              <w:t>$7,</w:t>
            </w:r>
            <w:r w:rsidR="00B855A3">
              <w:rPr>
                <w:b/>
              </w:rPr>
              <w:t>965</w:t>
            </w:r>
          </w:p>
        </w:tc>
      </w:tr>
    </w:tbl>
    <w:p w:rsidR="00A86667" w:rsidRPr="008E3517" w:rsidP="00A86667" w14:paraId="28C57F28" w14:textId="77777777">
      <w:pPr>
        <w:pStyle w:val="Default"/>
        <w:tabs>
          <w:tab w:val="left" w:pos="378"/>
        </w:tabs>
        <w:rPr>
          <w:b/>
          <w:bCs/>
        </w:rPr>
      </w:pPr>
    </w:p>
    <w:p w:rsidR="000C0563" w:rsidRPr="008E3517" w:rsidP="002A61B7" w14:paraId="3BABE1E5" w14:textId="77777777">
      <w:pPr>
        <w:pStyle w:val="Default"/>
        <w:ind w:left="1440" w:hanging="720"/>
      </w:pPr>
      <w:r w:rsidRPr="008E3517">
        <w:rPr>
          <w:b/>
          <w:bCs/>
        </w:rPr>
        <w:t xml:space="preserve">15. </w:t>
      </w:r>
      <w:r w:rsidRPr="008E3517" w:rsidR="002A61B7">
        <w:rPr>
          <w:b/>
          <w:bCs/>
        </w:rPr>
        <w:tab/>
      </w:r>
      <w:r w:rsidRPr="008E3517" w:rsidR="00EC500E">
        <w:rPr>
          <w:b/>
          <w:bCs/>
        </w:rPr>
        <w:t>Explain the reasons for any program changes or adjustments reported in Items 13 or 14 of the OMB Form 83-I.</w:t>
      </w:r>
      <w:r w:rsidRPr="008E3517">
        <w:rPr>
          <w:b/>
          <w:bCs/>
        </w:rPr>
        <w:t xml:space="preserve"> </w:t>
      </w:r>
    </w:p>
    <w:p w:rsidR="005E7D1C" w:rsidP="005E7D1C" w14:paraId="4C05E927" w14:textId="77777777">
      <w:pPr>
        <w:spacing w:line="480" w:lineRule="auto"/>
      </w:pPr>
    </w:p>
    <w:p w:rsidR="005E7D1C" w:rsidRPr="00805537" w:rsidP="005E7D1C" w14:paraId="19CE6AA4" w14:textId="77777777">
      <w:pPr>
        <w:pStyle w:val="Default"/>
        <w:tabs>
          <w:tab w:val="left" w:pos="378"/>
        </w:tabs>
        <w:spacing w:line="480" w:lineRule="auto"/>
        <w:jc w:val="center"/>
        <w:rPr>
          <w:b/>
          <w:u w:val="single"/>
        </w:rPr>
      </w:pPr>
      <w:r>
        <w:rPr>
          <w:b/>
          <w:u w:val="single"/>
        </w:rPr>
        <w:t>CHANGES FROM THE PREVIOUS COLLECTION</w:t>
      </w:r>
    </w:p>
    <w:tbl>
      <w:tblPr>
        <w:tblStyle w:val="TableGrid"/>
        <w:tblW w:w="0" w:type="auto"/>
        <w:tblLook w:val="04A0"/>
      </w:tblPr>
      <w:tblGrid>
        <w:gridCol w:w="2718"/>
        <w:gridCol w:w="2137"/>
        <w:gridCol w:w="2430"/>
        <w:gridCol w:w="2065"/>
      </w:tblGrid>
      <w:tr w14:paraId="074C7359" w14:textId="77777777" w:rsidTr="00E0042B">
        <w:tblPrEx>
          <w:tblW w:w="0" w:type="auto"/>
          <w:tblLook w:val="04A0"/>
        </w:tblPrEx>
        <w:tc>
          <w:tcPr>
            <w:tcW w:w="2718" w:type="dxa"/>
          </w:tcPr>
          <w:p w:rsidR="005E7D1C" w:rsidP="000B6B4E" w14:paraId="1EDDD784" w14:textId="77777777">
            <w:pPr>
              <w:pStyle w:val="Default"/>
              <w:tabs>
                <w:tab w:val="left" w:pos="378"/>
              </w:tabs>
            </w:pPr>
          </w:p>
        </w:tc>
        <w:tc>
          <w:tcPr>
            <w:tcW w:w="2137" w:type="dxa"/>
          </w:tcPr>
          <w:p w:rsidR="005E7D1C" w:rsidRPr="00805537" w:rsidP="000B6B4E" w14:paraId="3FA1B6CC" w14:textId="77777777">
            <w:pPr>
              <w:pStyle w:val="Default"/>
              <w:tabs>
                <w:tab w:val="left" w:pos="378"/>
              </w:tabs>
              <w:rPr>
                <w:b/>
              </w:rPr>
            </w:pPr>
            <w:r w:rsidRPr="00805537">
              <w:rPr>
                <w:b/>
              </w:rPr>
              <w:t>Requested in this collection</w:t>
            </w:r>
          </w:p>
        </w:tc>
        <w:tc>
          <w:tcPr>
            <w:tcW w:w="2430" w:type="dxa"/>
          </w:tcPr>
          <w:p w:rsidR="005E7D1C" w:rsidRPr="00805537" w:rsidP="000B6B4E" w14:paraId="39EE93C4" w14:textId="77777777">
            <w:pPr>
              <w:pStyle w:val="Default"/>
              <w:tabs>
                <w:tab w:val="left" w:pos="378"/>
              </w:tabs>
              <w:rPr>
                <w:b/>
              </w:rPr>
            </w:pPr>
            <w:r w:rsidRPr="00805537">
              <w:rPr>
                <w:b/>
              </w:rPr>
              <w:t>Previously Approved Collection</w:t>
            </w:r>
          </w:p>
        </w:tc>
        <w:tc>
          <w:tcPr>
            <w:tcW w:w="2065" w:type="dxa"/>
          </w:tcPr>
          <w:p w:rsidR="005E7D1C" w:rsidRPr="00805537" w:rsidP="000B6B4E" w14:paraId="10A79003" w14:textId="77777777">
            <w:pPr>
              <w:pStyle w:val="Default"/>
              <w:tabs>
                <w:tab w:val="left" w:pos="378"/>
              </w:tabs>
              <w:rPr>
                <w:b/>
              </w:rPr>
            </w:pPr>
            <w:r w:rsidRPr="00805537">
              <w:rPr>
                <w:b/>
              </w:rPr>
              <w:t>Net Change</w:t>
            </w:r>
          </w:p>
        </w:tc>
      </w:tr>
      <w:tr w14:paraId="0498F845" w14:textId="77777777" w:rsidTr="00E0042B">
        <w:tblPrEx>
          <w:tblW w:w="0" w:type="auto"/>
          <w:tblLook w:val="04A0"/>
        </w:tblPrEx>
        <w:tc>
          <w:tcPr>
            <w:tcW w:w="2718" w:type="dxa"/>
          </w:tcPr>
          <w:p w:rsidR="005E7D1C" w:rsidP="000B6B4E" w14:paraId="1AF1CFE9" w14:textId="77777777">
            <w:pPr>
              <w:pStyle w:val="Default"/>
              <w:tabs>
                <w:tab w:val="left" w:pos="378"/>
              </w:tabs>
            </w:pPr>
            <w:r>
              <w:t># of Responses</w:t>
            </w:r>
          </w:p>
        </w:tc>
        <w:tc>
          <w:tcPr>
            <w:tcW w:w="2137" w:type="dxa"/>
          </w:tcPr>
          <w:p w:rsidR="005E7D1C" w:rsidP="000B6B4E" w14:paraId="49C1E86C" w14:textId="04402670">
            <w:pPr>
              <w:pStyle w:val="Default"/>
              <w:tabs>
                <w:tab w:val="left" w:pos="378"/>
              </w:tabs>
            </w:pPr>
            <w:r w:rsidRPr="00FF2F34">
              <w:t>679</w:t>
            </w:r>
          </w:p>
        </w:tc>
        <w:tc>
          <w:tcPr>
            <w:tcW w:w="2430" w:type="dxa"/>
          </w:tcPr>
          <w:p w:rsidR="005E7D1C" w:rsidP="000B6B4E" w14:paraId="2EFE5BB7" w14:textId="6F283775">
            <w:pPr>
              <w:pStyle w:val="Default"/>
              <w:tabs>
                <w:tab w:val="left" w:pos="378"/>
              </w:tabs>
            </w:pPr>
            <w:r>
              <w:t>500</w:t>
            </w:r>
          </w:p>
        </w:tc>
        <w:tc>
          <w:tcPr>
            <w:tcW w:w="2065" w:type="dxa"/>
          </w:tcPr>
          <w:p w:rsidR="005E7D1C" w:rsidP="000B6B4E" w14:paraId="6F114535" w14:textId="3D8DCDF4">
            <w:pPr>
              <w:pStyle w:val="Default"/>
              <w:tabs>
                <w:tab w:val="left" w:pos="378"/>
              </w:tabs>
            </w:pPr>
            <w:r>
              <w:t>36</w:t>
            </w:r>
            <w:r w:rsidR="00DE2EB1">
              <w:t>%</w:t>
            </w:r>
          </w:p>
        </w:tc>
      </w:tr>
      <w:tr w14:paraId="4A342711" w14:textId="77777777" w:rsidTr="00E0042B">
        <w:tblPrEx>
          <w:tblW w:w="0" w:type="auto"/>
          <w:tblLook w:val="04A0"/>
        </w:tblPrEx>
        <w:tc>
          <w:tcPr>
            <w:tcW w:w="2718" w:type="dxa"/>
          </w:tcPr>
          <w:p w:rsidR="005E7D1C" w:rsidP="000B6B4E" w14:paraId="7B7925D6" w14:textId="77777777">
            <w:pPr>
              <w:pStyle w:val="Default"/>
              <w:tabs>
                <w:tab w:val="left" w:pos="378"/>
              </w:tabs>
            </w:pPr>
            <w:r>
              <w:t>Annual Burden Hours</w:t>
            </w:r>
          </w:p>
        </w:tc>
        <w:tc>
          <w:tcPr>
            <w:tcW w:w="2137" w:type="dxa"/>
          </w:tcPr>
          <w:p w:rsidR="005E7D1C" w:rsidP="000B6B4E" w14:paraId="71AD7A7A" w14:textId="0657AB48">
            <w:pPr>
              <w:pStyle w:val="Default"/>
              <w:tabs>
                <w:tab w:val="left" w:pos="378"/>
              </w:tabs>
            </w:pPr>
            <w:r w:rsidRPr="00FF2F34">
              <w:t>1,429</w:t>
            </w:r>
          </w:p>
        </w:tc>
        <w:tc>
          <w:tcPr>
            <w:tcW w:w="2430" w:type="dxa"/>
          </w:tcPr>
          <w:p w:rsidR="005E7D1C" w:rsidP="000B6B4E" w14:paraId="27407E5A" w14:textId="6529F46B">
            <w:pPr>
              <w:pStyle w:val="Default"/>
              <w:tabs>
                <w:tab w:val="left" w:pos="378"/>
              </w:tabs>
            </w:pPr>
            <w:r>
              <w:t>966</w:t>
            </w:r>
          </w:p>
        </w:tc>
        <w:tc>
          <w:tcPr>
            <w:tcW w:w="2065" w:type="dxa"/>
          </w:tcPr>
          <w:p w:rsidR="005E7D1C" w:rsidP="000B6B4E" w14:paraId="703C090D" w14:textId="69965F1F">
            <w:pPr>
              <w:pStyle w:val="Default"/>
              <w:tabs>
                <w:tab w:val="left" w:pos="378"/>
              </w:tabs>
            </w:pPr>
            <w:r>
              <w:t>48</w:t>
            </w:r>
            <w:r w:rsidR="00DE2EB1">
              <w:t>%</w:t>
            </w:r>
          </w:p>
        </w:tc>
      </w:tr>
      <w:tr w14:paraId="043CA835" w14:textId="77777777" w:rsidTr="00E0042B">
        <w:tblPrEx>
          <w:tblW w:w="0" w:type="auto"/>
          <w:tblLook w:val="04A0"/>
        </w:tblPrEx>
        <w:tc>
          <w:tcPr>
            <w:tcW w:w="2718" w:type="dxa"/>
          </w:tcPr>
          <w:p w:rsidR="005E7D1C" w:rsidP="000B6B4E" w14:paraId="4DCB8E04" w14:textId="2DF75BD1">
            <w:pPr>
              <w:pStyle w:val="Default"/>
              <w:tabs>
                <w:tab w:val="left" w:pos="378"/>
              </w:tabs>
            </w:pPr>
            <w:r>
              <w:t>Burden Hour Wage Cost</w:t>
            </w:r>
            <w:r w:rsidR="00E0042B">
              <w:t>s</w:t>
            </w:r>
          </w:p>
        </w:tc>
        <w:tc>
          <w:tcPr>
            <w:tcW w:w="2137" w:type="dxa"/>
          </w:tcPr>
          <w:p w:rsidR="005E7D1C" w:rsidP="00F141B5" w14:paraId="15141D4D" w14:textId="4BEBFF84">
            <w:pPr>
              <w:pStyle w:val="Default"/>
              <w:tabs>
                <w:tab w:val="left" w:pos="378"/>
              </w:tabs>
            </w:pPr>
            <w:r w:rsidRPr="00492724">
              <w:t>$33,716</w:t>
            </w:r>
          </w:p>
        </w:tc>
        <w:tc>
          <w:tcPr>
            <w:tcW w:w="2430" w:type="dxa"/>
          </w:tcPr>
          <w:p w:rsidR="005E7D1C" w:rsidP="000B6B4E" w14:paraId="3FB4D163" w14:textId="310FE4FF">
            <w:pPr>
              <w:pStyle w:val="Default"/>
              <w:tabs>
                <w:tab w:val="left" w:pos="378"/>
              </w:tabs>
            </w:pPr>
            <w:r>
              <w:rPr>
                <w:rFonts w:eastAsia="Times New Roman"/>
                <w:color w:val="000000" w:themeColor="text1"/>
              </w:rPr>
              <w:t>$29,177</w:t>
            </w:r>
          </w:p>
        </w:tc>
        <w:tc>
          <w:tcPr>
            <w:tcW w:w="2065" w:type="dxa"/>
          </w:tcPr>
          <w:p w:rsidR="005E7D1C" w:rsidP="000B6B4E" w14:paraId="16D1A892" w14:textId="59D4E120">
            <w:pPr>
              <w:pStyle w:val="Default"/>
              <w:tabs>
                <w:tab w:val="left" w:pos="378"/>
              </w:tabs>
            </w:pPr>
            <w:r>
              <w:t>16</w:t>
            </w:r>
            <w:r w:rsidR="008D75DA">
              <w:t>%</w:t>
            </w:r>
          </w:p>
        </w:tc>
      </w:tr>
      <w:tr w14:paraId="507290B0" w14:textId="77777777" w:rsidTr="00E0042B">
        <w:tblPrEx>
          <w:tblW w:w="0" w:type="auto"/>
          <w:tblLook w:val="04A0"/>
        </w:tblPrEx>
        <w:tc>
          <w:tcPr>
            <w:tcW w:w="2718" w:type="dxa"/>
          </w:tcPr>
          <w:p w:rsidR="005E7D1C" w:rsidP="000B6B4E" w14:paraId="260DB174" w14:textId="058A1980">
            <w:pPr>
              <w:pStyle w:val="Default"/>
              <w:tabs>
                <w:tab w:val="left" w:pos="378"/>
              </w:tabs>
            </w:pPr>
            <w:r>
              <w:t>Non-Burden Hour Cost</w:t>
            </w:r>
            <w:r w:rsidR="00E0042B">
              <w:t>s</w:t>
            </w:r>
          </w:p>
        </w:tc>
        <w:tc>
          <w:tcPr>
            <w:tcW w:w="2137" w:type="dxa"/>
          </w:tcPr>
          <w:p w:rsidR="005E7D1C" w:rsidP="00F141B5" w14:paraId="765D6B74" w14:textId="541F0391">
            <w:pPr>
              <w:pStyle w:val="Default"/>
              <w:tabs>
                <w:tab w:val="left" w:pos="378"/>
              </w:tabs>
            </w:pPr>
            <w:r>
              <w:t>$0</w:t>
            </w:r>
          </w:p>
        </w:tc>
        <w:tc>
          <w:tcPr>
            <w:tcW w:w="2430" w:type="dxa"/>
          </w:tcPr>
          <w:p w:rsidR="005E7D1C" w:rsidP="000B6B4E" w14:paraId="78F049CF" w14:textId="482E825D">
            <w:pPr>
              <w:pStyle w:val="Default"/>
              <w:tabs>
                <w:tab w:val="left" w:pos="378"/>
              </w:tabs>
            </w:pPr>
            <w:r>
              <w:rPr>
                <w:rFonts w:eastAsia="Times New Roman"/>
              </w:rPr>
              <w:t>$0</w:t>
            </w:r>
          </w:p>
        </w:tc>
        <w:tc>
          <w:tcPr>
            <w:tcW w:w="2065" w:type="dxa"/>
          </w:tcPr>
          <w:p w:rsidR="005E7D1C" w:rsidP="000B6B4E" w14:paraId="354C7007" w14:textId="44D8A898">
            <w:pPr>
              <w:pStyle w:val="Default"/>
              <w:tabs>
                <w:tab w:val="left" w:pos="378"/>
              </w:tabs>
            </w:pPr>
            <w:r>
              <w:t>0</w:t>
            </w:r>
            <w:r w:rsidR="008D75DA">
              <w:t>%</w:t>
            </w:r>
          </w:p>
        </w:tc>
      </w:tr>
    </w:tbl>
    <w:p w:rsidR="005E7D1C" w:rsidP="005E7D1C" w14:paraId="5625891A" w14:textId="77777777">
      <w:pPr>
        <w:pStyle w:val="Default"/>
        <w:tabs>
          <w:tab w:val="left" w:pos="378"/>
        </w:tabs>
        <w:spacing w:line="480" w:lineRule="auto"/>
        <w:ind w:firstLine="720"/>
      </w:pPr>
    </w:p>
    <w:p w:rsidR="005E7D1C" w:rsidP="005E7D1C" w14:paraId="79098A20" w14:textId="3AD80A0A">
      <w:pPr>
        <w:pStyle w:val="Default"/>
        <w:tabs>
          <w:tab w:val="left" w:pos="378"/>
        </w:tabs>
        <w:spacing w:line="480" w:lineRule="auto"/>
        <w:ind w:firstLine="720"/>
      </w:pPr>
      <w:r>
        <w:t xml:space="preserve">Updated burden estimates are based upon stakeholder consultations and it </w:t>
      </w:r>
      <w:r>
        <w:t xml:space="preserve">should be cautioned at the outset that tribal gaming operations and their business practices are unique to each gaming Tribe and influenced by many local, state, and regional factors. Tribal gaming facilities vary in size and complexity and range from small truck stops </w:t>
      </w:r>
      <w:r w:rsidR="00F84803">
        <w:t xml:space="preserve">and lotteries </w:t>
      </w:r>
      <w:r>
        <w:t xml:space="preserve">to world-class casino </w:t>
      </w:r>
      <w:r w:rsidR="00F84803">
        <w:t>mega-</w:t>
      </w:r>
      <w:r>
        <w:t xml:space="preserve">resorts. The amount of time and resources that gaming tribes expend fulfilling regulatory requirements can vary dramatically and is further complicated by different Tribal </w:t>
      </w:r>
      <w:r>
        <w:t>governance practices and varying levels of investment in, and adoption of, new technologies and technical expertise. For these reasons, estimates provided by a statistically insignificant group of rotating tribal consultants has limited value and it would be improper to extrapolate from these burden estimates any definitive trends.</w:t>
      </w:r>
    </w:p>
    <w:p w:rsidR="00F84803" w:rsidP="005E7D1C" w14:paraId="3A7F8D95" w14:textId="7DBE42F9">
      <w:pPr>
        <w:pStyle w:val="Default"/>
        <w:tabs>
          <w:tab w:val="left" w:pos="378"/>
        </w:tabs>
        <w:spacing w:line="480" w:lineRule="auto"/>
        <w:ind w:firstLine="720"/>
      </w:pPr>
      <w:r>
        <w:t xml:space="preserve">This collections cycle has seen a marked increase in </w:t>
      </w:r>
      <w:r w:rsidR="00AE4657">
        <w:t>annual responses</w:t>
      </w:r>
      <w:r w:rsidR="003F7170">
        <w:t xml:space="preserve"> and </w:t>
      </w:r>
      <w:r w:rsidR="00AE4657">
        <w:t>t</w:t>
      </w:r>
      <w:r w:rsidR="004A0EA6">
        <w:t xml:space="preserve">his </w:t>
      </w:r>
      <w:r w:rsidR="003F7170">
        <w:t xml:space="preserve">increase in facility licensing activities may be attributable </w:t>
      </w:r>
      <w:r w:rsidR="00205E8C">
        <w:t xml:space="preserve">to the fact that the </w:t>
      </w:r>
      <w:r w:rsidR="001C7361">
        <w:t xml:space="preserve">Tribal </w:t>
      </w:r>
      <w:r w:rsidR="00205E8C">
        <w:t xml:space="preserve">gaming industry has now fully emerged from the </w:t>
      </w:r>
      <w:r w:rsidR="002B2207">
        <w:t xml:space="preserve">detrimental </w:t>
      </w:r>
      <w:r w:rsidR="00205E8C">
        <w:t xml:space="preserve">economic effects </w:t>
      </w:r>
      <w:r w:rsidR="002B2207">
        <w:t xml:space="preserve">wrought by the </w:t>
      </w:r>
      <w:r w:rsidR="00205E8C">
        <w:t>COVID-19</w:t>
      </w:r>
      <w:r w:rsidR="00522B5A">
        <w:t xml:space="preserve"> pandemic.</w:t>
      </w:r>
      <w:r w:rsidR="00E4153F">
        <w:t xml:space="preserve"> </w:t>
      </w:r>
      <w:r w:rsidR="00DD7D68">
        <w:t xml:space="preserve">This </w:t>
      </w:r>
      <w:r w:rsidR="008A2EE2">
        <w:t xml:space="preserve">increased gaming facility licensing </w:t>
      </w:r>
      <w:r w:rsidR="00295BC9">
        <w:t xml:space="preserve">activity and, in general, the business </w:t>
      </w:r>
      <w:r w:rsidR="007E4EC5">
        <w:t xml:space="preserve">resurgence have also contributed to the </w:t>
      </w:r>
      <w:r w:rsidR="008A2EE2">
        <w:t xml:space="preserve">may, in turn, </w:t>
      </w:r>
      <w:r w:rsidR="007E4EC5">
        <w:t xml:space="preserve">contributed to the </w:t>
      </w:r>
      <w:r w:rsidR="00E0042B">
        <w:t>increase in Burden Hour Wage Costs</w:t>
      </w:r>
      <w:r w:rsidR="00E76898">
        <w:t>.</w:t>
      </w:r>
    </w:p>
    <w:p w:rsidR="000C0563" w:rsidRPr="008E3517" w:rsidP="002A61B7" w14:paraId="22C81FA1" w14:textId="77777777">
      <w:pPr>
        <w:pStyle w:val="Default"/>
        <w:ind w:left="1440" w:hanging="720"/>
        <w:rPr>
          <w:color w:val="auto"/>
        </w:rPr>
      </w:pPr>
      <w:r w:rsidRPr="008E3517">
        <w:rPr>
          <w:b/>
          <w:bCs/>
          <w:color w:val="auto"/>
        </w:rPr>
        <w:t xml:space="preserve">16. </w:t>
      </w:r>
      <w:r w:rsidRPr="008E3517" w:rsidR="002A61B7">
        <w:rPr>
          <w:b/>
          <w:bCs/>
          <w:color w:val="auto"/>
        </w:rPr>
        <w:tab/>
      </w:r>
      <w:r w:rsidRPr="008E3517" w:rsidR="00EC500E">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E3517">
        <w:rPr>
          <w:b/>
          <w:bCs/>
          <w:color w:val="auto"/>
        </w:rPr>
        <w:t xml:space="preserve"> </w:t>
      </w:r>
    </w:p>
    <w:p w:rsidR="00BE73FD" w:rsidRPr="008E3517" w:rsidP="000C0563" w14:paraId="727215C3" w14:textId="77777777">
      <w:pPr>
        <w:pStyle w:val="Default"/>
        <w:ind w:firstLine="720"/>
        <w:rPr>
          <w:color w:val="auto"/>
        </w:rPr>
      </w:pPr>
    </w:p>
    <w:p w:rsidR="00BE73FD" w:rsidRPr="008E3517" w:rsidP="00736F74" w14:paraId="1DB9D579" w14:textId="77777777">
      <w:pPr>
        <w:pStyle w:val="Default"/>
        <w:spacing w:line="480" w:lineRule="auto"/>
        <w:ind w:firstLine="720"/>
        <w:rPr>
          <w:color w:val="auto"/>
        </w:rPr>
      </w:pPr>
      <w:r w:rsidRPr="008E3517">
        <w:rPr>
          <w:color w:val="auto"/>
        </w:rPr>
        <w:t>This is an ongoing information collection with no ending date and no plans for publication.</w:t>
      </w:r>
    </w:p>
    <w:p w:rsidR="000C0563" w:rsidRPr="008E3517" w:rsidP="002A61B7" w14:paraId="7D3F51B4" w14:textId="77777777">
      <w:pPr>
        <w:pStyle w:val="Default"/>
        <w:ind w:left="1440" w:hanging="720"/>
        <w:rPr>
          <w:color w:val="auto"/>
        </w:rPr>
      </w:pPr>
      <w:r w:rsidRPr="008E3517">
        <w:rPr>
          <w:b/>
          <w:bCs/>
          <w:color w:val="auto"/>
        </w:rPr>
        <w:t xml:space="preserve">17. </w:t>
      </w:r>
      <w:r w:rsidRPr="008E3517" w:rsidR="002A61B7">
        <w:rPr>
          <w:b/>
          <w:bCs/>
          <w:color w:val="auto"/>
        </w:rPr>
        <w:tab/>
      </w:r>
      <w:r w:rsidRPr="008E3517" w:rsidR="00EC500E">
        <w:rPr>
          <w:b/>
          <w:bCs/>
        </w:rPr>
        <w:t>If seeking approval to not display the expiration date for OMB approval of the information collection, explain the reasons that display would be inappropriate.</w:t>
      </w:r>
      <w:r w:rsidRPr="008E3517">
        <w:rPr>
          <w:b/>
          <w:bCs/>
          <w:color w:val="auto"/>
        </w:rPr>
        <w:t xml:space="preserve"> </w:t>
      </w:r>
    </w:p>
    <w:p w:rsidR="00BE73FD" w:rsidRPr="008E3517" w:rsidP="000C0563" w14:paraId="012E62ED" w14:textId="77777777">
      <w:pPr>
        <w:pStyle w:val="Default"/>
        <w:ind w:firstLine="720"/>
        <w:rPr>
          <w:color w:val="auto"/>
        </w:rPr>
      </w:pPr>
    </w:p>
    <w:p w:rsidR="000C0563" w:rsidRPr="008E3517" w:rsidP="000C0563" w14:paraId="6B95CD60" w14:textId="77777777">
      <w:pPr>
        <w:pStyle w:val="Default"/>
        <w:ind w:firstLine="720"/>
        <w:rPr>
          <w:color w:val="auto"/>
        </w:rPr>
      </w:pPr>
      <w:r w:rsidRPr="008E3517">
        <w:rPr>
          <w:color w:val="auto"/>
        </w:rPr>
        <w:t xml:space="preserve">Not applicable. </w:t>
      </w:r>
    </w:p>
    <w:p w:rsidR="00BE73FD" w:rsidRPr="008E3517" w:rsidP="000C0563" w14:paraId="6CF4CD51" w14:textId="77777777">
      <w:pPr>
        <w:pStyle w:val="Default"/>
        <w:ind w:left="360" w:hanging="360"/>
        <w:rPr>
          <w:b/>
          <w:bCs/>
          <w:color w:val="auto"/>
        </w:rPr>
      </w:pPr>
    </w:p>
    <w:p w:rsidR="000C0563" w:rsidRPr="008E3517" w:rsidP="002A61B7" w14:paraId="067581F5" w14:textId="77777777">
      <w:pPr>
        <w:pStyle w:val="Default"/>
        <w:ind w:left="1440" w:hanging="720"/>
        <w:rPr>
          <w:color w:val="auto"/>
        </w:rPr>
      </w:pPr>
      <w:r w:rsidRPr="008E3517">
        <w:rPr>
          <w:b/>
          <w:bCs/>
          <w:color w:val="auto"/>
        </w:rPr>
        <w:t xml:space="preserve">18. </w:t>
      </w:r>
      <w:r w:rsidRPr="008E3517" w:rsidR="002A61B7">
        <w:rPr>
          <w:b/>
          <w:bCs/>
          <w:color w:val="auto"/>
        </w:rPr>
        <w:tab/>
      </w:r>
      <w:r w:rsidRPr="008E3517" w:rsidR="00EC500E">
        <w:rPr>
          <w:b/>
          <w:bCs/>
        </w:rPr>
        <w:t>Explain each exception to the certification statement identified in Item 19, “Certification for Paperwork Reduction Act Submissions,” of OMB Form 83-I.</w:t>
      </w:r>
      <w:r w:rsidRPr="008E3517">
        <w:rPr>
          <w:b/>
          <w:bCs/>
          <w:color w:val="auto"/>
        </w:rPr>
        <w:t xml:space="preserve"> </w:t>
      </w:r>
    </w:p>
    <w:p w:rsidR="00BE73FD" w:rsidRPr="008E3517" w:rsidP="000C0563" w14:paraId="65074C46" w14:textId="77777777">
      <w:pPr>
        <w:pStyle w:val="Default"/>
        <w:ind w:firstLine="720"/>
        <w:rPr>
          <w:color w:val="auto"/>
        </w:rPr>
      </w:pPr>
    </w:p>
    <w:p w:rsidR="000C0563" w:rsidRPr="008E3517" w:rsidP="000C0563" w14:paraId="64060314" w14:textId="77777777">
      <w:pPr>
        <w:pStyle w:val="Default"/>
        <w:ind w:firstLine="720"/>
        <w:rPr>
          <w:color w:val="auto"/>
        </w:rPr>
      </w:pPr>
      <w:r w:rsidRPr="008E3517">
        <w:rPr>
          <w:color w:val="auto"/>
        </w:rPr>
        <w:t>Not applicable. The Commission certifies compliance with 5 CFR § 1320.9.</w:t>
      </w:r>
    </w:p>
    <w:p w:rsidR="00BE73FD" w:rsidRPr="008E3517" w:rsidP="000C0563" w14:paraId="55B0F473" w14:textId="77777777">
      <w:pPr>
        <w:pStyle w:val="Default"/>
        <w:rPr>
          <w:b/>
          <w:bCs/>
          <w:color w:val="auto"/>
        </w:rPr>
      </w:pPr>
    </w:p>
    <w:p w:rsidR="000C0563" w:rsidRPr="008E3517" w:rsidP="000C0563" w14:paraId="009EC5FC" w14:textId="77777777">
      <w:pPr>
        <w:pStyle w:val="Default"/>
        <w:rPr>
          <w:color w:val="auto"/>
        </w:rPr>
      </w:pPr>
      <w:r w:rsidRPr="008E3517">
        <w:rPr>
          <w:b/>
          <w:bCs/>
          <w:color w:val="auto"/>
        </w:rPr>
        <w:t xml:space="preserve">B. </w:t>
      </w:r>
      <w:r w:rsidRPr="008E3517" w:rsidR="002A61B7">
        <w:rPr>
          <w:b/>
          <w:bCs/>
          <w:color w:val="auto"/>
        </w:rPr>
        <w:tab/>
      </w:r>
      <w:r w:rsidRPr="008E3517">
        <w:rPr>
          <w:b/>
          <w:bCs/>
          <w:color w:val="auto"/>
        </w:rPr>
        <w:t xml:space="preserve">Collection of Information Employing Statistical Methods. </w:t>
      </w:r>
    </w:p>
    <w:p w:rsidR="00BE73FD" w:rsidRPr="008E3517" w:rsidP="000C0563" w14:paraId="661DFEBB" w14:textId="77777777">
      <w:pPr>
        <w:pStyle w:val="Default"/>
        <w:ind w:firstLine="720"/>
        <w:rPr>
          <w:color w:val="auto"/>
        </w:rPr>
      </w:pPr>
    </w:p>
    <w:p w:rsidR="000C0563" w:rsidRPr="008E3517" w:rsidP="00BE73FD" w14:paraId="27C22FE4" w14:textId="77777777">
      <w:pPr>
        <w:pStyle w:val="Default"/>
        <w:ind w:firstLine="720"/>
        <w:rPr>
          <w:color w:val="auto"/>
        </w:rPr>
      </w:pPr>
      <w:r w:rsidRPr="008E3517">
        <w:rPr>
          <w:color w:val="auto"/>
        </w:rPr>
        <w:t>This section is not applicable. Statist</w:t>
      </w:r>
      <w:r w:rsidRPr="008E3517" w:rsidR="00BE73FD">
        <w:rPr>
          <w:color w:val="auto"/>
        </w:rPr>
        <w:t xml:space="preserve">ical methods are not employed.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2378C"/>
    <w:multiLevelType w:val="hybridMultilevel"/>
    <w:tmpl w:val="5FB2853E"/>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86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C0563"/>
    <w:rsid w:val="00033B04"/>
    <w:rsid w:val="0003408B"/>
    <w:rsid w:val="00037B9D"/>
    <w:rsid w:val="00047ED3"/>
    <w:rsid w:val="000508B3"/>
    <w:rsid w:val="00052F72"/>
    <w:rsid w:val="00066536"/>
    <w:rsid w:val="00075E17"/>
    <w:rsid w:val="00081F87"/>
    <w:rsid w:val="0008411D"/>
    <w:rsid w:val="0008426F"/>
    <w:rsid w:val="00085A81"/>
    <w:rsid w:val="000A1405"/>
    <w:rsid w:val="000A4A14"/>
    <w:rsid w:val="000A5F7C"/>
    <w:rsid w:val="000A71DD"/>
    <w:rsid w:val="000B0168"/>
    <w:rsid w:val="000B6B4E"/>
    <w:rsid w:val="000C0563"/>
    <w:rsid w:val="000D03D7"/>
    <w:rsid w:val="000E169D"/>
    <w:rsid w:val="000E4A76"/>
    <w:rsid w:val="001113A9"/>
    <w:rsid w:val="00113A36"/>
    <w:rsid w:val="00123DAD"/>
    <w:rsid w:val="001351E2"/>
    <w:rsid w:val="00141B03"/>
    <w:rsid w:val="00145F6A"/>
    <w:rsid w:val="001631E5"/>
    <w:rsid w:val="00163DEF"/>
    <w:rsid w:val="00165C75"/>
    <w:rsid w:val="00186D68"/>
    <w:rsid w:val="001876AF"/>
    <w:rsid w:val="001904C0"/>
    <w:rsid w:val="00192C6D"/>
    <w:rsid w:val="001A0AA9"/>
    <w:rsid w:val="001A6CDA"/>
    <w:rsid w:val="001B17C9"/>
    <w:rsid w:val="001B76E2"/>
    <w:rsid w:val="001C7361"/>
    <w:rsid w:val="001E1391"/>
    <w:rsid w:val="001E3352"/>
    <w:rsid w:val="001F414F"/>
    <w:rsid w:val="00205DD4"/>
    <w:rsid w:val="00205E8C"/>
    <w:rsid w:val="0021397B"/>
    <w:rsid w:val="00221414"/>
    <w:rsid w:val="002340C2"/>
    <w:rsid w:val="00234EA9"/>
    <w:rsid w:val="0023504D"/>
    <w:rsid w:val="00255745"/>
    <w:rsid w:val="002628D8"/>
    <w:rsid w:val="002724E7"/>
    <w:rsid w:val="00273B73"/>
    <w:rsid w:val="00295BC9"/>
    <w:rsid w:val="002A61B7"/>
    <w:rsid w:val="002B2207"/>
    <w:rsid w:val="002D4102"/>
    <w:rsid w:val="002D52E8"/>
    <w:rsid w:val="002D5B47"/>
    <w:rsid w:val="0031528D"/>
    <w:rsid w:val="0031655B"/>
    <w:rsid w:val="003327F0"/>
    <w:rsid w:val="00335A35"/>
    <w:rsid w:val="00341B80"/>
    <w:rsid w:val="003479D6"/>
    <w:rsid w:val="0036459F"/>
    <w:rsid w:val="00367E6E"/>
    <w:rsid w:val="003B32F0"/>
    <w:rsid w:val="003C6309"/>
    <w:rsid w:val="003C68FF"/>
    <w:rsid w:val="003D133F"/>
    <w:rsid w:val="003D47AC"/>
    <w:rsid w:val="003E661F"/>
    <w:rsid w:val="003F7170"/>
    <w:rsid w:val="003F7635"/>
    <w:rsid w:val="004042F1"/>
    <w:rsid w:val="00405CC5"/>
    <w:rsid w:val="00410AD6"/>
    <w:rsid w:val="00425D81"/>
    <w:rsid w:val="00435172"/>
    <w:rsid w:val="00445339"/>
    <w:rsid w:val="00452A78"/>
    <w:rsid w:val="00454B12"/>
    <w:rsid w:val="004574BB"/>
    <w:rsid w:val="00474DF0"/>
    <w:rsid w:val="00475AED"/>
    <w:rsid w:val="00490592"/>
    <w:rsid w:val="00492112"/>
    <w:rsid w:val="00492192"/>
    <w:rsid w:val="00492724"/>
    <w:rsid w:val="004A0EA6"/>
    <w:rsid w:val="004B5222"/>
    <w:rsid w:val="004F2A6F"/>
    <w:rsid w:val="004F50C7"/>
    <w:rsid w:val="00506632"/>
    <w:rsid w:val="0050765C"/>
    <w:rsid w:val="0051565B"/>
    <w:rsid w:val="00520DCC"/>
    <w:rsid w:val="00521B1E"/>
    <w:rsid w:val="00521CDD"/>
    <w:rsid w:val="00522B5A"/>
    <w:rsid w:val="00527D88"/>
    <w:rsid w:val="00534666"/>
    <w:rsid w:val="0054264F"/>
    <w:rsid w:val="00584A3E"/>
    <w:rsid w:val="005852C5"/>
    <w:rsid w:val="00592278"/>
    <w:rsid w:val="005A54A6"/>
    <w:rsid w:val="005B1C13"/>
    <w:rsid w:val="005E5AED"/>
    <w:rsid w:val="005E7D1C"/>
    <w:rsid w:val="006041B6"/>
    <w:rsid w:val="0062239D"/>
    <w:rsid w:val="006367E2"/>
    <w:rsid w:val="00654045"/>
    <w:rsid w:val="00665012"/>
    <w:rsid w:val="0067532C"/>
    <w:rsid w:val="0068656F"/>
    <w:rsid w:val="006931E4"/>
    <w:rsid w:val="006968B7"/>
    <w:rsid w:val="006A3379"/>
    <w:rsid w:val="006A696D"/>
    <w:rsid w:val="006C78EB"/>
    <w:rsid w:val="006E4441"/>
    <w:rsid w:val="00707AD1"/>
    <w:rsid w:val="00707C33"/>
    <w:rsid w:val="00727F7B"/>
    <w:rsid w:val="00736F74"/>
    <w:rsid w:val="0075363A"/>
    <w:rsid w:val="00770366"/>
    <w:rsid w:val="00772E31"/>
    <w:rsid w:val="0077405B"/>
    <w:rsid w:val="00784597"/>
    <w:rsid w:val="007A6290"/>
    <w:rsid w:val="007B2C64"/>
    <w:rsid w:val="007D5953"/>
    <w:rsid w:val="007D68CF"/>
    <w:rsid w:val="007E4EC5"/>
    <w:rsid w:val="007F10BC"/>
    <w:rsid w:val="007F6061"/>
    <w:rsid w:val="008017AC"/>
    <w:rsid w:val="00802853"/>
    <w:rsid w:val="00805537"/>
    <w:rsid w:val="00811D39"/>
    <w:rsid w:val="0081591B"/>
    <w:rsid w:val="008256BD"/>
    <w:rsid w:val="008306E3"/>
    <w:rsid w:val="00842F6E"/>
    <w:rsid w:val="0085150F"/>
    <w:rsid w:val="00872178"/>
    <w:rsid w:val="008936E1"/>
    <w:rsid w:val="00896210"/>
    <w:rsid w:val="008974BC"/>
    <w:rsid w:val="008A2EE2"/>
    <w:rsid w:val="008B3660"/>
    <w:rsid w:val="008C07BE"/>
    <w:rsid w:val="008C3BAD"/>
    <w:rsid w:val="008D75DA"/>
    <w:rsid w:val="008E3517"/>
    <w:rsid w:val="008E7914"/>
    <w:rsid w:val="008F79D0"/>
    <w:rsid w:val="009065FD"/>
    <w:rsid w:val="00930F6C"/>
    <w:rsid w:val="00932D70"/>
    <w:rsid w:val="00961144"/>
    <w:rsid w:val="009646E1"/>
    <w:rsid w:val="00966619"/>
    <w:rsid w:val="00970ADD"/>
    <w:rsid w:val="00982FFC"/>
    <w:rsid w:val="00987806"/>
    <w:rsid w:val="0099105B"/>
    <w:rsid w:val="00993C55"/>
    <w:rsid w:val="009B114F"/>
    <w:rsid w:val="009B2E9F"/>
    <w:rsid w:val="009D2CE4"/>
    <w:rsid w:val="009D4A8C"/>
    <w:rsid w:val="009E792B"/>
    <w:rsid w:val="009F7C3E"/>
    <w:rsid w:val="009F7F4E"/>
    <w:rsid w:val="00A03532"/>
    <w:rsid w:val="00A25E9F"/>
    <w:rsid w:val="00A40D34"/>
    <w:rsid w:val="00A43059"/>
    <w:rsid w:val="00A43F92"/>
    <w:rsid w:val="00A66EB7"/>
    <w:rsid w:val="00A67833"/>
    <w:rsid w:val="00A86667"/>
    <w:rsid w:val="00A93E24"/>
    <w:rsid w:val="00A94095"/>
    <w:rsid w:val="00A95514"/>
    <w:rsid w:val="00AA33F0"/>
    <w:rsid w:val="00AC2AA7"/>
    <w:rsid w:val="00AD30AD"/>
    <w:rsid w:val="00AD4618"/>
    <w:rsid w:val="00AE1700"/>
    <w:rsid w:val="00AE4657"/>
    <w:rsid w:val="00AF5B9F"/>
    <w:rsid w:val="00B3522C"/>
    <w:rsid w:val="00B61605"/>
    <w:rsid w:val="00B661C0"/>
    <w:rsid w:val="00B66DD9"/>
    <w:rsid w:val="00B855A3"/>
    <w:rsid w:val="00B90A47"/>
    <w:rsid w:val="00B916BC"/>
    <w:rsid w:val="00BB232E"/>
    <w:rsid w:val="00BC05A2"/>
    <w:rsid w:val="00BC07F2"/>
    <w:rsid w:val="00BC2436"/>
    <w:rsid w:val="00BD27EF"/>
    <w:rsid w:val="00BD71E9"/>
    <w:rsid w:val="00BE27E3"/>
    <w:rsid w:val="00BE73FD"/>
    <w:rsid w:val="00C051C0"/>
    <w:rsid w:val="00C078DC"/>
    <w:rsid w:val="00C267DB"/>
    <w:rsid w:val="00C31B47"/>
    <w:rsid w:val="00C4557F"/>
    <w:rsid w:val="00C531AD"/>
    <w:rsid w:val="00C5718F"/>
    <w:rsid w:val="00C87682"/>
    <w:rsid w:val="00C90B6F"/>
    <w:rsid w:val="00C92060"/>
    <w:rsid w:val="00C93E95"/>
    <w:rsid w:val="00CB269C"/>
    <w:rsid w:val="00CB74FC"/>
    <w:rsid w:val="00CC7F76"/>
    <w:rsid w:val="00CD1F67"/>
    <w:rsid w:val="00CD753A"/>
    <w:rsid w:val="00CD7E94"/>
    <w:rsid w:val="00CF0856"/>
    <w:rsid w:val="00D2567C"/>
    <w:rsid w:val="00D33F82"/>
    <w:rsid w:val="00D57810"/>
    <w:rsid w:val="00D71137"/>
    <w:rsid w:val="00D74D24"/>
    <w:rsid w:val="00D759CF"/>
    <w:rsid w:val="00D91599"/>
    <w:rsid w:val="00D92BF1"/>
    <w:rsid w:val="00D94DBE"/>
    <w:rsid w:val="00DA528B"/>
    <w:rsid w:val="00DB15ED"/>
    <w:rsid w:val="00DC1A5D"/>
    <w:rsid w:val="00DD0164"/>
    <w:rsid w:val="00DD0B7C"/>
    <w:rsid w:val="00DD6EF9"/>
    <w:rsid w:val="00DD7D68"/>
    <w:rsid w:val="00DE2EB1"/>
    <w:rsid w:val="00DF7AC7"/>
    <w:rsid w:val="00E0042B"/>
    <w:rsid w:val="00E06E17"/>
    <w:rsid w:val="00E21132"/>
    <w:rsid w:val="00E270E5"/>
    <w:rsid w:val="00E276AE"/>
    <w:rsid w:val="00E4153F"/>
    <w:rsid w:val="00E418F7"/>
    <w:rsid w:val="00E42A5E"/>
    <w:rsid w:val="00E438AF"/>
    <w:rsid w:val="00E46EC5"/>
    <w:rsid w:val="00E7344E"/>
    <w:rsid w:val="00E76898"/>
    <w:rsid w:val="00E852A5"/>
    <w:rsid w:val="00E91BC1"/>
    <w:rsid w:val="00EA11DF"/>
    <w:rsid w:val="00EA60A1"/>
    <w:rsid w:val="00EA73EB"/>
    <w:rsid w:val="00EB63A2"/>
    <w:rsid w:val="00EC27C1"/>
    <w:rsid w:val="00EC4C07"/>
    <w:rsid w:val="00EC500E"/>
    <w:rsid w:val="00EE0678"/>
    <w:rsid w:val="00EF6214"/>
    <w:rsid w:val="00EF7131"/>
    <w:rsid w:val="00F10B3C"/>
    <w:rsid w:val="00F141B5"/>
    <w:rsid w:val="00F25B93"/>
    <w:rsid w:val="00F30B65"/>
    <w:rsid w:val="00F32ADE"/>
    <w:rsid w:val="00F34B8F"/>
    <w:rsid w:val="00F51A13"/>
    <w:rsid w:val="00F51C91"/>
    <w:rsid w:val="00F76B67"/>
    <w:rsid w:val="00F84803"/>
    <w:rsid w:val="00F85EBD"/>
    <w:rsid w:val="00F90EBC"/>
    <w:rsid w:val="00F93824"/>
    <w:rsid w:val="00F97DD2"/>
    <w:rsid w:val="00FA07A3"/>
    <w:rsid w:val="00FA7131"/>
    <w:rsid w:val="00FC6E47"/>
    <w:rsid w:val="00FD3E4C"/>
    <w:rsid w:val="00FE22B4"/>
    <w:rsid w:val="00FE5D80"/>
    <w:rsid w:val="00FF2F34"/>
    <w:rsid w:val="00FF72DD"/>
    <w:rsid w:val="00FF794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7B6A312"/>
  <w15:docId w15:val="{4D88625F-C2EC-4309-A5EB-80F6A37E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A36"/>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B6160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0563"/>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C90B6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0B6F"/>
  </w:style>
  <w:style w:type="paragraph" w:styleId="Footer">
    <w:name w:val="footer"/>
    <w:basedOn w:val="Normal"/>
    <w:link w:val="FooterChar"/>
    <w:uiPriority w:val="99"/>
    <w:unhideWhenUsed/>
    <w:rsid w:val="00C90B6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0B6F"/>
  </w:style>
  <w:style w:type="character" w:styleId="Strong">
    <w:name w:val="Strong"/>
    <w:basedOn w:val="DefaultParagraphFont"/>
    <w:uiPriority w:val="22"/>
    <w:qFormat/>
    <w:rsid w:val="001E3352"/>
    <w:rPr>
      <w:b/>
      <w:bCs/>
    </w:rPr>
  </w:style>
  <w:style w:type="paragraph" w:styleId="ListParagraph">
    <w:name w:val="List Paragraph"/>
    <w:basedOn w:val="Normal"/>
    <w:uiPriority w:val="34"/>
    <w:qFormat/>
    <w:rsid w:val="00EC500E"/>
    <w:pPr>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B61605"/>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5E7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78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5B6E55872CD46A518392FA0FDBD7F" ma:contentTypeVersion="11" ma:contentTypeDescription="Create a new document." ma:contentTypeScope="" ma:versionID="d4b76ad90127f7630fc7dbd64ef761dc">
  <xsd:schema xmlns:xsd="http://www.w3.org/2001/XMLSchema" xmlns:xs="http://www.w3.org/2001/XMLSchema" xmlns:p="http://schemas.microsoft.com/office/2006/metadata/properties" xmlns:ns2="4f895e0c-075a-44dd-ad59-a843b6aa3d3a" xmlns:ns3="237c9626-7634-46f8-996d-14598664297d" targetNamespace="http://schemas.microsoft.com/office/2006/metadata/properties" ma:root="true" ma:fieldsID="476c7f95513bb1e4e270f7f4e7a0e4f6" ns2:_="" ns3:_="">
    <xsd:import namespace="4f895e0c-075a-44dd-ad59-a843b6aa3d3a"/>
    <xsd:import namespace="237c9626-7634-46f8-996d-145986642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95e0c-075a-44dd-ad59-a843b6aa3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4b79f6-fede-4b5c-be03-5ed33a7d65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c9626-7634-46f8-996d-1459866429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6ed4eb-6294-415e-b4ff-5777d139cee1}" ma:internalName="TaxCatchAll" ma:showField="CatchAllData" ma:web="237c9626-7634-46f8-996d-145986642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37c9626-7634-46f8-996d-14598664297d" xsi:nil="true"/>
    <lcf76f155ced4ddcb4097134ff3c332f xmlns="4f895e0c-075a-44dd-ad59-a843b6aa3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EEFA04-34A9-428C-94DB-C1293F83A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95e0c-075a-44dd-ad59-a843b6aa3d3a"/>
    <ds:schemaRef ds:uri="237c9626-7634-46f8-996d-145986642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AAFF2-9447-4B06-AC3C-3DCA4AA5A4B5}">
  <ds:schemaRefs>
    <ds:schemaRef ds:uri="http://schemas.microsoft.com/sharepoint/v3/contenttype/forms"/>
  </ds:schemaRefs>
</ds:datastoreItem>
</file>

<file path=customXml/itemProps3.xml><?xml version="1.0" encoding="utf-8"?>
<ds:datastoreItem xmlns:ds="http://schemas.openxmlformats.org/officeDocument/2006/customXml" ds:itemID="{E50F8126-8888-4132-A8C8-F1B48F2040D4}">
  <ds:schemaRefs>
    <ds:schemaRef ds:uri="http://schemas.openxmlformats.org/officeDocument/2006/bibliography"/>
  </ds:schemaRefs>
</ds:datastoreItem>
</file>

<file path=customXml/itemProps4.xml><?xml version="1.0" encoding="utf-8"?>
<ds:datastoreItem xmlns:ds="http://schemas.openxmlformats.org/officeDocument/2006/customXml" ds:itemID="{D988A59C-96C5-46C7-8690-5507552C4490}">
  <ds:schemaRefs>
    <ds:schemaRef ds:uri="http://schemas.microsoft.com/office/2006/metadata/properties"/>
    <ds:schemaRef ds:uri="http://schemas.microsoft.com/office/infopath/2007/PartnerControls"/>
    <ds:schemaRef ds:uri="237c9626-7634-46f8-996d-14598664297d"/>
    <ds:schemaRef ds:uri="4f895e0c-075a-44dd-ad59-a843b6aa3d3a"/>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12</Pages>
  <Words>3449</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161</cp:revision>
  <dcterms:created xsi:type="dcterms:W3CDTF">2015-08-25T20:07:00Z</dcterms:created>
  <dcterms:modified xsi:type="dcterms:W3CDTF">2025-11-25T20:03:00Z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0x0101005105B6E55872CD46A518392FA0FDBD7F</vt:lpwstr>
  </property>
  <property fmtid="{D5CDD505-2E9C-101B-9397-08002B2CF9AE}" pid="4" name="MediaServiceImageTags">
    <vt:lpwstr/>
  </property>
  <property fmtid="{D5CDD505-2E9C-101B-9397-08002B2CF9AE}" pid="5" name="Order">
    <vt:r8>1164100</vt:r8>
  </property>
  <property fmtid="{D5CDD505-2E9C-101B-9397-08002B2CF9AE}" pid="6" name="SharedWithUsers">
    <vt:lpwstr/>
  </property>
  <property fmtid="{D5CDD505-2E9C-101B-9397-08002B2CF9AE}" pid="7" name="TriggerFlowInfo">
    <vt:lpwstr/>
  </property>
  <property fmtid="{D5CDD505-2E9C-101B-9397-08002B2CF9AE}" pid="8" name="_ExtendedDescription">
    <vt:lpwstr/>
  </property>
</Properties>
</file>