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75A2" w:rsidRPr="00174B20" w:rsidP="00F95D87" w14:paraId="1BC9836B" w14:textId="77777777">
      <w:pPr>
        <w:pStyle w:val="Default"/>
        <w:jc w:val="center"/>
        <w:rPr>
          <w:b/>
          <w:bCs/>
          <w:u w:val="single"/>
        </w:rPr>
      </w:pPr>
      <w:r w:rsidRPr="00174B20">
        <w:rPr>
          <w:b/>
          <w:bCs/>
          <w:u w:val="single"/>
        </w:rPr>
        <w:t>SUPPORTING STATEMENT</w:t>
      </w:r>
    </w:p>
    <w:p w:rsidR="00F95D87" w:rsidRPr="00174B20" w:rsidP="00F95D87" w14:paraId="1CC355F9" w14:textId="77777777">
      <w:pPr>
        <w:pStyle w:val="Default"/>
        <w:jc w:val="center"/>
      </w:pPr>
      <w:r w:rsidRPr="00174B20">
        <w:rPr>
          <w:b/>
          <w:bCs/>
          <w:u w:val="single"/>
        </w:rPr>
        <w:t>FOR RECORDKEEPING</w:t>
      </w:r>
      <w:r w:rsidRPr="00174B20" w:rsidR="00AF75A2">
        <w:rPr>
          <w:b/>
          <w:bCs/>
          <w:u w:val="single"/>
        </w:rPr>
        <w:t xml:space="preserve"> </w:t>
      </w:r>
      <w:r w:rsidRPr="00174B20">
        <w:rPr>
          <w:b/>
          <w:bCs/>
          <w:u w:val="single"/>
        </w:rPr>
        <w:t xml:space="preserve">AND REPORTING REQUIREMENTS </w:t>
      </w:r>
    </w:p>
    <w:p w:rsidR="00AF75A2" w:rsidRPr="00174B20" w:rsidP="00F95D87" w14:paraId="0CC5EA7B" w14:textId="77777777">
      <w:pPr>
        <w:pStyle w:val="Default"/>
        <w:jc w:val="center"/>
        <w:rPr>
          <w:b/>
          <w:bCs/>
          <w:u w:val="single"/>
        </w:rPr>
      </w:pPr>
      <w:r w:rsidRPr="00174B20">
        <w:rPr>
          <w:b/>
          <w:bCs/>
          <w:u w:val="single"/>
        </w:rPr>
        <w:t xml:space="preserve">FOR </w:t>
      </w:r>
      <w:r w:rsidRPr="00174B20" w:rsidR="00920B1B">
        <w:rPr>
          <w:b/>
          <w:bCs/>
          <w:u w:val="single"/>
        </w:rPr>
        <w:t>25 CFR PART</w:t>
      </w:r>
      <w:r w:rsidRPr="00174B20" w:rsidR="00F95D87">
        <w:rPr>
          <w:b/>
          <w:bCs/>
          <w:u w:val="single"/>
        </w:rPr>
        <w:t xml:space="preserve"> 543</w:t>
      </w:r>
    </w:p>
    <w:p w:rsidR="00F95D87" w:rsidRPr="00174B20" w:rsidP="00F95D87" w14:paraId="1FC12CEE" w14:textId="77777777">
      <w:pPr>
        <w:pStyle w:val="Default"/>
        <w:jc w:val="center"/>
      </w:pPr>
      <w:r w:rsidRPr="00174B20">
        <w:rPr>
          <w:b/>
          <w:bCs/>
          <w:u w:val="single"/>
        </w:rPr>
        <w:t xml:space="preserve"> </w:t>
      </w:r>
    </w:p>
    <w:p w:rsidR="00F95D87" w:rsidRPr="00174B20" w:rsidP="00F95D87" w14:paraId="50E55B6F" w14:textId="77777777">
      <w:pPr>
        <w:pStyle w:val="Default"/>
        <w:rPr>
          <w:b/>
          <w:bCs/>
        </w:rPr>
      </w:pPr>
      <w:r w:rsidRPr="00174B20">
        <w:rPr>
          <w:b/>
          <w:bCs/>
        </w:rPr>
        <w:t xml:space="preserve">A. </w:t>
      </w:r>
      <w:r w:rsidRPr="00174B20">
        <w:rPr>
          <w:b/>
          <w:bCs/>
        </w:rPr>
        <w:tab/>
        <w:t>Justification</w:t>
      </w:r>
    </w:p>
    <w:p w:rsidR="00F95D87" w:rsidRPr="00174B20" w:rsidP="00F95D87" w14:paraId="09F19B47" w14:textId="77777777">
      <w:pPr>
        <w:pStyle w:val="Default"/>
      </w:pPr>
      <w:r w:rsidRPr="00174B20">
        <w:rPr>
          <w:b/>
          <w:bCs/>
        </w:rPr>
        <w:t xml:space="preserve"> </w:t>
      </w:r>
    </w:p>
    <w:p w:rsidR="00F95D87" w:rsidRPr="00174B20" w:rsidP="00F95D87" w14:paraId="14DEA021" w14:textId="77777777">
      <w:pPr>
        <w:pStyle w:val="Default"/>
        <w:ind w:left="1440" w:hanging="720"/>
      </w:pPr>
      <w:r w:rsidRPr="00174B20">
        <w:rPr>
          <w:b/>
          <w:bCs/>
        </w:rPr>
        <w:t xml:space="preserve">1. </w:t>
      </w:r>
      <w:r w:rsidRPr="00174B20">
        <w:rPr>
          <w:b/>
          <w:bCs/>
        </w:rPr>
        <w:tab/>
      </w:r>
      <w:r w:rsidRPr="00174B20" w:rsidR="00FE747B">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74B20">
        <w:rPr>
          <w:b/>
          <w:bCs/>
        </w:rPr>
        <w:t xml:space="preserve"> </w:t>
      </w:r>
    </w:p>
    <w:p w:rsidR="00F95D87" w:rsidRPr="00174B20" w:rsidP="00F95D87" w14:paraId="3BB1C158" w14:textId="77777777">
      <w:pPr>
        <w:pStyle w:val="Default"/>
        <w:jc w:val="center"/>
        <w:rPr>
          <w:b/>
          <w:bCs/>
        </w:rPr>
      </w:pPr>
    </w:p>
    <w:p w:rsidR="0007030F" w:rsidRPr="00174B20" w:rsidP="001A35DC" w14:paraId="2D531F04" w14:textId="77777777">
      <w:pPr>
        <w:pStyle w:val="Default"/>
        <w:spacing w:line="480" w:lineRule="auto"/>
        <w:ind w:firstLine="720"/>
        <w:rPr>
          <w:b/>
          <w:bCs/>
        </w:rPr>
      </w:pPr>
      <w:r w:rsidRPr="00174B20">
        <w:t xml:space="preserve">The Indian Gaming Regulatory Act (IGRA or the Act), Public Law 100–497, 25 U.S.C. 2701, </w:t>
      </w:r>
      <w:r w:rsidRPr="00174B20">
        <w:rPr>
          <w:i/>
          <w:iCs/>
        </w:rPr>
        <w:t>et seq.</w:t>
      </w:r>
      <w:r w:rsidRPr="00174B20">
        <w:rPr>
          <w:iCs/>
        </w:rPr>
        <w:t>,</w:t>
      </w:r>
      <w:r w:rsidRPr="00174B20">
        <w:t xml:space="preserve"> was signed into law on </w:t>
      </w:r>
      <w:smartTag w:uri="urn:schemas-microsoft-com:office:smarttags" w:element="date">
        <w:smartTagPr>
          <w:attr w:name="Day" w:val="17"/>
          <w:attr w:name="Month" w:val="10"/>
          <w:attr w:name="Year" w:val="1988"/>
          <w:attr w:name="ls" w:val="trans"/>
        </w:smartTagPr>
        <w:r w:rsidRPr="00174B20">
          <w:t>October 17, 1988</w:t>
        </w:r>
      </w:smartTag>
      <w:r w:rsidRPr="00174B20">
        <w:t xml:space="preserve">. The Act established the National Indian Gaming Commission (NIGC or Commission) and set out a comprehensive framework for the regulation of gaming on Indian lands. The Act sets standards for the regulation of Indian gaming, including the requirement that </w:t>
      </w:r>
      <w:r w:rsidRPr="00174B20" w:rsidR="009E2526">
        <w:t>the Commission</w:t>
      </w:r>
      <w:r w:rsidRPr="00174B20">
        <w:t xml:space="preserve"> monitor class II gaming conducted on Indian lands on a continuing basis in order to ensure that the Indian tribe is the primary beneficiary of the gaming operation</w:t>
      </w:r>
      <w:r w:rsidR="0050094A">
        <w:t xml:space="preserve"> </w:t>
      </w:r>
      <w:r w:rsidRPr="008B3660" w:rsidR="0050094A">
        <w:t xml:space="preserve">and </w:t>
      </w:r>
      <w:r w:rsidRPr="00297673" w:rsidR="0050094A">
        <w:t>to protect such gaming as a means of generating tribal revenue</w:t>
      </w:r>
      <w:r w:rsidRPr="00174B20">
        <w:t>, and to assure that gaming is conducted fairly and honestly by both the operator and players. 25 U.S.C. 2702(2), 2706(b)(1). The Commission is also authorized to “promulgate such regulations and guidelines as it deems appropriate to implement” IGRA. 25 U.S.C. 2706(b)(10). The Commission has promulgated part 543 of title 25, Code of Federal Regulations, to aid it in monitoring class II gaming on a continuing basis.</w:t>
      </w:r>
    </w:p>
    <w:p w:rsidR="00F95D87" w:rsidRPr="00174B20" w:rsidP="00F95D87" w14:paraId="68D9B252" w14:textId="77777777">
      <w:pPr>
        <w:pStyle w:val="Default"/>
        <w:jc w:val="center"/>
      </w:pPr>
      <w:r w:rsidRPr="00174B20">
        <w:rPr>
          <w:b/>
          <w:bCs/>
        </w:rPr>
        <w:t>25 CFR § 543.3</w:t>
      </w:r>
      <w:r w:rsidRPr="00174B20">
        <w:rPr>
          <w:b/>
          <w:bCs/>
        </w:rPr>
        <w:t xml:space="preserve"> </w:t>
      </w:r>
    </w:p>
    <w:p w:rsidR="00F95D87" w:rsidRPr="00174B20" w:rsidP="00F95D87" w14:paraId="029AD3C7" w14:textId="77777777">
      <w:pPr>
        <w:pStyle w:val="Default"/>
      </w:pPr>
    </w:p>
    <w:p w:rsidR="001A35DC" w:rsidRPr="00174B20" w:rsidP="001A35DC" w14:paraId="08BB208F" w14:textId="77777777">
      <w:pPr>
        <w:pStyle w:val="Default"/>
        <w:spacing w:line="480" w:lineRule="auto"/>
        <w:ind w:firstLine="720"/>
      </w:pPr>
      <w:r w:rsidRPr="00174B20">
        <w:t>Section</w:t>
      </w:r>
      <w:r w:rsidRPr="00174B20" w:rsidR="00F95D87">
        <w:t xml:space="preserve"> 543.3</w:t>
      </w:r>
      <w:r w:rsidRPr="00174B20">
        <w:t xml:space="preserve"> </w:t>
      </w:r>
      <w:r w:rsidRPr="00174B20">
        <w:t>of title 25, Code of Federal Regulations,</w:t>
      </w:r>
      <w:r w:rsidRPr="00174B20" w:rsidR="00F95D87">
        <w:t xml:space="preserve"> </w:t>
      </w:r>
      <w:r w:rsidRPr="00174B20">
        <w:t xml:space="preserve">requires a tribal gaming regulatory authority (TGRA) to submit </w:t>
      </w:r>
      <w:r w:rsidRPr="00174B20" w:rsidR="009214E1">
        <w:t xml:space="preserve">a </w:t>
      </w:r>
      <w:r w:rsidRPr="00174B20">
        <w:t xml:space="preserve">notice </w:t>
      </w:r>
      <w:r w:rsidRPr="00174B20" w:rsidR="00121E8B">
        <w:t>to the Commission that it is</w:t>
      </w:r>
      <w:r w:rsidRPr="00174B20">
        <w:t xml:space="preserve"> extend</w:t>
      </w:r>
      <w:r w:rsidRPr="00174B20" w:rsidR="00121E8B">
        <w:t>ing</w:t>
      </w:r>
      <w:r w:rsidRPr="00174B20">
        <w:t xml:space="preserve"> the deadline</w:t>
      </w:r>
      <w:r w:rsidRPr="00174B20" w:rsidR="00844856">
        <w:t>,</w:t>
      </w:r>
      <w:r w:rsidRPr="00174B20">
        <w:t xml:space="preserve"> by an additional six months</w:t>
      </w:r>
      <w:r w:rsidRPr="00174B20" w:rsidR="00844856">
        <w:t>,</w:t>
      </w:r>
      <w:r w:rsidRPr="00174B20">
        <w:t xml:space="preserve"> to achieve compliance with the requirements of the new tier after a gaming operation has moved from one tier to another. </w:t>
      </w:r>
    </w:p>
    <w:p w:rsidR="009E2526" w:rsidRPr="00174B20" w:rsidP="001A35DC" w14:paraId="0DDCC853" w14:textId="77777777">
      <w:pPr>
        <w:pStyle w:val="Default"/>
        <w:jc w:val="center"/>
        <w:rPr>
          <w:b/>
          <w:bCs/>
        </w:rPr>
      </w:pPr>
    </w:p>
    <w:p w:rsidR="001A35DC" w:rsidRPr="00174B20" w:rsidP="001A35DC" w14:paraId="69FDCF5D" w14:textId="77777777">
      <w:pPr>
        <w:pStyle w:val="Default"/>
        <w:jc w:val="center"/>
      </w:pPr>
      <w:r w:rsidRPr="00174B20">
        <w:rPr>
          <w:b/>
          <w:bCs/>
        </w:rPr>
        <w:t>25 CFR § 543.5</w:t>
      </w:r>
    </w:p>
    <w:p w:rsidR="001A35DC" w:rsidRPr="00174B20" w:rsidP="001A35DC" w14:paraId="49090EB8" w14:textId="77777777">
      <w:pPr>
        <w:pStyle w:val="Default"/>
      </w:pPr>
    </w:p>
    <w:p w:rsidR="001A35DC" w:rsidRPr="00174B20" w:rsidP="001A35DC" w14:paraId="7B868899" w14:textId="77777777">
      <w:pPr>
        <w:pStyle w:val="Default"/>
        <w:spacing w:line="480" w:lineRule="auto"/>
        <w:ind w:firstLine="720"/>
      </w:pPr>
      <w:r w:rsidRPr="00174B20">
        <w:t xml:space="preserve">Section 543.5 requires a TGRA to submit </w:t>
      </w:r>
      <w:r w:rsidRPr="00174B20" w:rsidR="009E2526">
        <w:t xml:space="preserve">to the Commission </w:t>
      </w:r>
      <w:r w:rsidRPr="00174B20">
        <w:t xml:space="preserve">a detailed report after the TGRA has approved an alternate standard to any of the NIGC’s minimum internal control standards. The report must include the following information: (i) an explanation of how the alternate standard achieves a level of security and integrity sufficient to accomplish the purpose of the standard </w:t>
      </w:r>
      <w:r w:rsidRPr="00174B20" w:rsidR="00026A77">
        <w:t xml:space="preserve">that </w:t>
      </w:r>
      <w:r w:rsidRPr="00174B20">
        <w:t>it is replac</w:t>
      </w:r>
      <w:r w:rsidRPr="00174B20" w:rsidR="00026A77">
        <w:t>ing</w:t>
      </w:r>
      <w:r w:rsidRPr="00174B20">
        <w:t>; and (ii) the alternate standard as approved</w:t>
      </w:r>
      <w:r w:rsidRPr="00174B20" w:rsidR="00026A77">
        <w:t>,</w:t>
      </w:r>
      <w:r w:rsidRPr="00174B20">
        <w:t xml:space="preserve"> and the record on which it is based.</w:t>
      </w:r>
    </w:p>
    <w:p w:rsidR="001A35DC" w:rsidRPr="00174B20" w:rsidP="001A35DC" w14:paraId="73335B07" w14:textId="77777777">
      <w:pPr>
        <w:pStyle w:val="Default"/>
        <w:jc w:val="center"/>
      </w:pPr>
      <w:r w:rsidRPr="00174B20">
        <w:rPr>
          <w:b/>
          <w:bCs/>
        </w:rPr>
        <w:t>25 CFR § 543.23</w:t>
      </w:r>
    </w:p>
    <w:p w:rsidR="001A35DC" w:rsidRPr="00174B20" w:rsidP="001A35DC" w14:paraId="143808B7" w14:textId="77777777">
      <w:pPr>
        <w:pStyle w:val="Default"/>
      </w:pPr>
    </w:p>
    <w:p w:rsidR="001A35DC" w:rsidRPr="00174B20" w:rsidP="001A35DC" w14:paraId="44B320FB" w14:textId="77777777">
      <w:pPr>
        <w:pStyle w:val="Default"/>
        <w:spacing w:line="480" w:lineRule="auto"/>
        <w:ind w:firstLine="720"/>
      </w:pPr>
      <w:r w:rsidRPr="00174B20">
        <w:t>Section 543.23(c) requires a tribe to maintain and make internal audit reports available to the Commission upon request. The report</w:t>
      </w:r>
      <w:r w:rsidRPr="00174B20" w:rsidR="00026A77">
        <w:t>s</w:t>
      </w:r>
      <w:r w:rsidRPr="00174B20">
        <w:t xml:space="preserve"> must include the following information:</w:t>
      </w:r>
      <w:r w:rsidRPr="00174B20" w:rsidR="009A123E">
        <w:t xml:space="preserve"> </w:t>
      </w:r>
      <w:r w:rsidRPr="00174B20">
        <w:t>(i)</w:t>
      </w:r>
      <w:r w:rsidRPr="00174B20" w:rsidR="009A123E">
        <w:t xml:space="preserve"> a</w:t>
      </w:r>
      <w:r w:rsidRPr="00174B20">
        <w:t>udit objectives;</w:t>
      </w:r>
      <w:r w:rsidRPr="00174B20" w:rsidR="009A123E">
        <w:t xml:space="preserve"> </w:t>
      </w:r>
      <w:r w:rsidRPr="00174B20">
        <w:t>(ii)</w:t>
      </w:r>
      <w:r w:rsidRPr="00174B20" w:rsidR="009A123E">
        <w:t xml:space="preserve"> a</w:t>
      </w:r>
      <w:r w:rsidRPr="00174B20">
        <w:t>udit procedures and scope;</w:t>
      </w:r>
      <w:r w:rsidRPr="00174B20" w:rsidR="009A123E">
        <w:t xml:space="preserve"> </w:t>
      </w:r>
      <w:r w:rsidRPr="00174B20">
        <w:t>(iii)</w:t>
      </w:r>
      <w:r w:rsidRPr="00174B20" w:rsidR="009A123E">
        <w:t xml:space="preserve"> f</w:t>
      </w:r>
      <w:r w:rsidRPr="00174B20">
        <w:t>indings and conclusions;</w:t>
      </w:r>
      <w:r w:rsidRPr="00174B20" w:rsidR="009A123E">
        <w:t xml:space="preserve"> </w:t>
      </w:r>
      <w:r w:rsidRPr="00174B20">
        <w:t>(iv)</w:t>
      </w:r>
      <w:r w:rsidRPr="00174B20" w:rsidR="009A123E">
        <w:t xml:space="preserve"> r</w:t>
      </w:r>
      <w:r w:rsidRPr="00174B20">
        <w:t>ecommendations, if applicable; and</w:t>
      </w:r>
      <w:r w:rsidRPr="00174B20" w:rsidR="009A123E">
        <w:t xml:space="preserve"> </w:t>
      </w:r>
      <w:r w:rsidRPr="00174B20">
        <w:t xml:space="preserve">(v) </w:t>
      </w:r>
      <w:r w:rsidRPr="00174B20" w:rsidR="009A123E">
        <w:t>management’</w:t>
      </w:r>
      <w:r w:rsidRPr="00174B20">
        <w:t>s response.</w:t>
      </w:r>
    </w:p>
    <w:p w:rsidR="00045EA2" w:rsidRPr="00174B20" w:rsidP="001A35DC" w14:paraId="2705287C" w14:textId="77777777">
      <w:pPr>
        <w:pStyle w:val="Default"/>
        <w:spacing w:line="480" w:lineRule="auto"/>
        <w:ind w:firstLine="720"/>
      </w:pPr>
      <w:r w:rsidRPr="00174B20">
        <w:t xml:space="preserve">Section 543.23(d) requires a tribe to </w:t>
      </w:r>
      <w:r w:rsidRPr="00174B20" w:rsidR="00111FF0">
        <w:rPr>
          <w:rFonts w:eastAsia="Times New Roman"/>
        </w:rPr>
        <w:t>hire a</w:t>
      </w:r>
      <w:r w:rsidRPr="00174B20" w:rsidR="0066767D">
        <w:rPr>
          <w:rFonts w:eastAsia="Times New Roman"/>
        </w:rPr>
        <w:t>n independent</w:t>
      </w:r>
      <w:r w:rsidRPr="00174B20" w:rsidR="00111FF0">
        <w:rPr>
          <w:rFonts w:eastAsia="Times New Roman"/>
        </w:rPr>
        <w:t xml:space="preserve"> certified public accountant</w:t>
      </w:r>
      <w:r w:rsidRPr="00174B20" w:rsidR="00121E8B">
        <w:rPr>
          <w:rFonts w:eastAsia="Times New Roman"/>
        </w:rPr>
        <w:t xml:space="preserve"> (CPA)</w:t>
      </w:r>
      <w:r w:rsidRPr="00174B20" w:rsidR="0066767D">
        <w:rPr>
          <w:rFonts w:eastAsia="Times New Roman"/>
        </w:rPr>
        <w:t xml:space="preserve"> </w:t>
      </w:r>
      <w:r w:rsidRPr="00174B20" w:rsidR="00111FF0">
        <w:rPr>
          <w:rFonts w:eastAsia="Times New Roman"/>
        </w:rPr>
        <w:t xml:space="preserve">to perform an assessment, </w:t>
      </w:r>
      <w:r w:rsidRPr="00174B20" w:rsidR="00026A77">
        <w:rPr>
          <w:rFonts w:eastAsia="Times New Roman"/>
        </w:rPr>
        <w:t>in accordance with agreed-</w:t>
      </w:r>
      <w:r w:rsidRPr="00174B20" w:rsidR="00111FF0">
        <w:rPr>
          <w:rFonts w:eastAsia="Times New Roman"/>
        </w:rPr>
        <w:t xml:space="preserve">upon procedures (AUP), to verify whether the gaming operation is in compliance with the </w:t>
      </w:r>
      <w:r w:rsidRPr="00174B20" w:rsidR="00026A77">
        <w:rPr>
          <w:rFonts w:eastAsia="Times New Roman"/>
        </w:rPr>
        <w:t>Commission</w:t>
      </w:r>
      <w:r w:rsidRPr="00174B20" w:rsidR="00111FF0">
        <w:rPr>
          <w:rFonts w:eastAsia="Times New Roman"/>
        </w:rPr>
        <w:t>’s minimum internal control standards (MICS) and/or tribal internal control standards (TICS) established by the TGRA that are at least as stringent as the NIGC MICS</w:t>
      </w:r>
      <w:r w:rsidRPr="00174B20" w:rsidR="00026A77">
        <w:rPr>
          <w:rFonts w:eastAsia="Times New Roman"/>
        </w:rPr>
        <w:t>,</w:t>
      </w:r>
      <w:r w:rsidRPr="00174B20" w:rsidR="00111FF0">
        <w:rPr>
          <w:rFonts w:eastAsia="Times New Roman"/>
        </w:rPr>
        <w:t xml:space="preserve"> or system of internal control standards (SICS) if they provide at least the same level of controls as the </w:t>
      </w:r>
      <w:r w:rsidRPr="00174B20" w:rsidR="00026A77">
        <w:rPr>
          <w:rFonts w:eastAsia="Times New Roman"/>
        </w:rPr>
        <w:t xml:space="preserve">NIGC </w:t>
      </w:r>
      <w:r w:rsidRPr="00174B20" w:rsidR="00111FF0">
        <w:rPr>
          <w:rFonts w:eastAsia="Times New Roman"/>
        </w:rPr>
        <w:t xml:space="preserve">MICS. The tribe must then </w:t>
      </w:r>
      <w:r w:rsidRPr="00174B20">
        <w:t xml:space="preserve">submit two copies of the </w:t>
      </w:r>
      <w:r w:rsidRPr="00174B20" w:rsidR="00111FF0">
        <w:t>AUP</w:t>
      </w:r>
      <w:r w:rsidRPr="00174B20">
        <w:t xml:space="preserve"> </w:t>
      </w:r>
      <w:r w:rsidRPr="00174B20" w:rsidR="00026A77">
        <w:t xml:space="preserve">assessment </w:t>
      </w:r>
      <w:r w:rsidRPr="00174B20">
        <w:t>report within 120 days of the gaming operation’s fiscal year end.</w:t>
      </w:r>
    </w:p>
    <w:p w:rsidR="00F95D87" w:rsidRPr="00174B20" w:rsidP="00DF659A" w14:paraId="0BEED4B9" w14:textId="77777777">
      <w:pPr>
        <w:pStyle w:val="Default"/>
        <w:ind w:left="1440" w:hanging="720"/>
        <w:rPr>
          <w:color w:val="auto"/>
        </w:rPr>
      </w:pPr>
      <w:r w:rsidRPr="00174B20">
        <w:rPr>
          <w:b/>
          <w:bCs/>
          <w:color w:val="auto"/>
        </w:rPr>
        <w:t xml:space="preserve">2. </w:t>
      </w:r>
      <w:r w:rsidRPr="00174B20" w:rsidR="00DF659A">
        <w:rPr>
          <w:b/>
          <w:bCs/>
          <w:color w:val="auto"/>
        </w:rPr>
        <w:tab/>
      </w:r>
      <w:r w:rsidRPr="00174B20" w:rsidR="00FE747B">
        <w:rPr>
          <w:b/>
          <w:bCs/>
        </w:rPr>
        <w:t>Indicate how, by whom, and for what purpose the information is to be used. Except for a new collection, indicate the actual use the agency has made of the information received from the current collection.</w:t>
      </w:r>
      <w:r w:rsidRPr="00174B20">
        <w:rPr>
          <w:b/>
          <w:bCs/>
          <w:color w:val="auto"/>
        </w:rPr>
        <w:t xml:space="preserve"> </w:t>
      </w:r>
    </w:p>
    <w:p w:rsidR="00F95D87" w:rsidRPr="00174B20" w:rsidP="00F95D87" w14:paraId="64636F1B" w14:textId="77777777">
      <w:pPr>
        <w:pStyle w:val="Default"/>
        <w:jc w:val="center"/>
        <w:rPr>
          <w:b/>
          <w:bCs/>
          <w:color w:val="auto"/>
        </w:rPr>
      </w:pPr>
    </w:p>
    <w:p w:rsidR="00D77BF8" w:rsidRPr="00174B20" w:rsidP="005304EE" w14:paraId="55AA5DF6" w14:textId="77777777">
      <w:pPr>
        <w:pStyle w:val="Default"/>
        <w:spacing w:line="480" w:lineRule="auto"/>
        <w:ind w:firstLine="720"/>
        <w:rPr>
          <w:rFonts w:eastAsia="Times New Roman"/>
          <w:color w:val="252525"/>
        </w:rPr>
      </w:pPr>
      <w:r w:rsidRPr="00174B20">
        <w:t>As mentioned above, IGRA mandates the Commission to monitor class II gaming</w:t>
      </w:r>
      <w:r w:rsidRPr="00174B20" w:rsidR="00026A77">
        <w:t xml:space="preserve"> activities</w:t>
      </w:r>
      <w:r w:rsidRPr="00174B20">
        <w:t xml:space="preserve"> </w:t>
      </w:r>
      <w:r w:rsidRPr="00174B20" w:rsidR="00026A77">
        <w:t>(</w:t>
      </w:r>
      <w:r w:rsidRPr="00174B20">
        <w:t>conducted on Indian lands</w:t>
      </w:r>
      <w:r w:rsidRPr="00174B20" w:rsidR="00026A77">
        <w:t>)</w:t>
      </w:r>
      <w:r w:rsidRPr="00174B20">
        <w:t xml:space="preserve"> on a continuing basis in order to ensure that the Indian </w:t>
      </w:r>
      <w:r w:rsidRPr="00174B20">
        <w:t>tribe is the primary beneficiary of the gaming operation</w:t>
      </w:r>
      <w:r w:rsidR="0050094A">
        <w:t xml:space="preserve"> </w:t>
      </w:r>
      <w:r w:rsidRPr="008B3660" w:rsidR="0050094A">
        <w:t xml:space="preserve">and </w:t>
      </w:r>
      <w:r w:rsidRPr="00297673" w:rsidR="0050094A">
        <w:t>to protect such gaming as a means of generating tribal revenue</w:t>
      </w:r>
      <w:r w:rsidRPr="00174B20">
        <w:t>, and to assure that gaming is conducted fairly and honestly by both the operator and players.</w:t>
      </w:r>
      <w:r w:rsidRPr="00174B20" w:rsidR="00026A77">
        <w:t xml:space="preserve"> The Commission uses these</w:t>
      </w:r>
      <w:r w:rsidRPr="00174B20" w:rsidR="00AD0740">
        <w:t xml:space="preserve"> information collection</w:t>
      </w:r>
      <w:r w:rsidRPr="00174B20" w:rsidR="00026A77">
        <w:t xml:space="preserve"> activities</w:t>
      </w:r>
      <w:r w:rsidRPr="00174B20" w:rsidR="00AD0740">
        <w:t xml:space="preserve"> to further IGRA’s purposes.</w:t>
      </w:r>
    </w:p>
    <w:p w:rsidR="005304EE" w:rsidRPr="00174B20" w:rsidP="005304EE" w14:paraId="03E38994" w14:textId="77777777">
      <w:pPr>
        <w:pStyle w:val="Default"/>
        <w:spacing w:line="480" w:lineRule="auto"/>
        <w:ind w:firstLine="720"/>
      </w:pPr>
      <w:r w:rsidRPr="00174B20">
        <w:rPr>
          <w:rFonts w:eastAsia="Times New Roman"/>
          <w:color w:val="252525"/>
        </w:rPr>
        <w:t xml:space="preserve">Under the Commission’s MICS, gaming operations are divided into three tiers based on their annual gross gaming revenues: (i) tier A = more than $3 million but not more than $8 million; (ii) tier B = more than $8 million but not more than $15 million; and (iii) tier C = more than $15 million. Depending on the tier into which it falls, a gaming operation may have less stringent or more stringent MICS requirements than another gaming operation that falls under a different tier. </w:t>
      </w:r>
      <w:r w:rsidRPr="00174B20" w:rsidR="00121E8B">
        <w:rPr>
          <w:rFonts w:eastAsia="Times New Roman"/>
          <w:color w:val="252525"/>
        </w:rPr>
        <w:t>When</w:t>
      </w:r>
      <w:r w:rsidRPr="00174B20">
        <w:rPr>
          <w:rFonts w:eastAsia="Times New Roman"/>
          <w:color w:val="252525"/>
        </w:rPr>
        <w:t xml:space="preserve"> a gaming operation moves from </w:t>
      </w:r>
      <w:r w:rsidRPr="00174B20" w:rsidR="00121E8B">
        <w:rPr>
          <w:rFonts w:eastAsia="Times New Roman"/>
          <w:color w:val="252525"/>
        </w:rPr>
        <w:t xml:space="preserve">one </w:t>
      </w:r>
      <w:r w:rsidRPr="00174B20">
        <w:rPr>
          <w:rFonts w:eastAsia="Times New Roman"/>
          <w:color w:val="252525"/>
        </w:rPr>
        <w:t xml:space="preserve">tier to </w:t>
      </w:r>
      <w:r w:rsidRPr="00174B20" w:rsidR="00121E8B">
        <w:rPr>
          <w:rFonts w:eastAsia="Times New Roman"/>
          <w:color w:val="252525"/>
        </w:rPr>
        <w:t xml:space="preserve">another </w:t>
      </w:r>
      <w:r w:rsidRPr="00174B20">
        <w:rPr>
          <w:rFonts w:eastAsia="Times New Roman"/>
          <w:color w:val="252525"/>
        </w:rPr>
        <w:t>tier,</w:t>
      </w:r>
      <w:r w:rsidRPr="00174B20" w:rsidR="00121E8B">
        <w:rPr>
          <w:rFonts w:eastAsia="Times New Roman"/>
          <w:color w:val="252525"/>
        </w:rPr>
        <w:t xml:space="preserve"> it has </w:t>
      </w:r>
      <w:r w:rsidRPr="00174B20" w:rsidR="00121E8B">
        <w:rPr>
          <w:rFonts w:eastAsia="Times New Roman"/>
        </w:rPr>
        <w:t xml:space="preserve">nine months </w:t>
      </w:r>
      <w:r w:rsidRPr="00174B20" w:rsidR="00FF50CC">
        <w:rPr>
          <w:rFonts w:eastAsia="Times New Roman"/>
        </w:rPr>
        <w:t>(</w:t>
      </w:r>
      <w:r w:rsidRPr="00174B20" w:rsidR="00121E8B">
        <w:rPr>
          <w:rFonts w:eastAsia="Times New Roman"/>
        </w:rPr>
        <w:t>from the date of the independent CPA’s audit report</w:t>
      </w:r>
      <w:r w:rsidRPr="00174B20" w:rsidR="00FF50CC">
        <w:rPr>
          <w:rFonts w:eastAsia="Times New Roman"/>
        </w:rPr>
        <w:t>)</w:t>
      </w:r>
      <w:r w:rsidRPr="00174B20" w:rsidR="00121E8B">
        <w:rPr>
          <w:rFonts w:eastAsia="Times New Roman"/>
        </w:rPr>
        <w:t xml:space="preserve"> to achieve compliance with the requirements of the new tier.</w:t>
      </w:r>
      <w:r w:rsidRPr="00174B20">
        <w:rPr>
          <w:rFonts w:eastAsia="Times New Roman"/>
          <w:color w:val="252525"/>
        </w:rPr>
        <w:t xml:space="preserve"> </w:t>
      </w:r>
      <w:r w:rsidRPr="00174B20" w:rsidR="00121E8B">
        <w:rPr>
          <w:rFonts w:eastAsia="Times New Roman"/>
          <w:color w:val="252525"/>
        </w:rPr>
        <w:t xml:space="preserve">However, </w:t>
      </w:r>
      <w:r w:rsidRPr="00174B20" w:rsidR="00EB6B0F">
        <w:rPr>
          <w:rFonts w:eastAsia="Times New Roman"/>
          <w:color w:val="252525"/>
        </w:rPr>
        <w:t>a</w:t>
      </w:r>
      <w:r w:rsidRPr="00174B20">
        <w:rPr>
          <w:rFonts w:eastAsia="Times New Roman"/>
          <w:color w:val="252525"/>
        </w:rPr>
        <w:t xml:space="preserve"> TGRA</w:t>
      </w:r>
      <w:r w:rsidRPr="00174B20" w:rsidR="00EB6B0F">
        <w:rPr>
          <w:rFonts w:eastAsia="Times New Roman"/>
          <w:color w:val="252525"/>
        </w:rPr>
        <w:t xml:space="preserve"> may extend that</w:t>
      </w:r>
      <w:r w:rsidRPr="00174B20" w:rsidR="009214E1">
        <w:rPr>
          <w:rFonts w:eastAsia="Times New Roman"/>
          <w:color w:val="252525"/>
        </w:rPr>
        <w:t xml:space="preserve"> deadline by an additional six months by submitting a </w:t>
      </w:r>
      <w:r w:rsidRPr="00174B20">
        <w:t xml:space="preserve">notice </w:t>
      </w:r>
      <w:r w:rsidRPr="00174B20" w:rsidR="009214E1">
        <w:t>to the Commission</w:t>
      </w:r>
      <w:r w:rsidRPr="00174B20">
        <w:t xml:space="preserve">. </w:t>
      </w:r>
      <w:r w:rsidRPr="00174B20" w:rsidR="00835A33">
        <w:t xml:space="preserve">The Commission uses these notices when reviewing </w:t>
      </w:r>
      <w:r w:rsidRPr="00174B20" w:rsidR="00C06CF3">
        <w:t xml:space="preserve">AUP reports to ensure that a particular gaming operation is </w:t>
      </w:r>
      <w:r w:rsidRPr="00174B20" w:rsidR="00C06CF3">
        <w:rPr>
          <w:rFonts w:eastAsia="Times New Roman"/>
        </w:rPr>
        <w:t xml:space="preserve">in compliance with </w:t>
      </w:r>
      <w:r w:rsidRPr="00174B20" w:rsidR="00EB6B0F">
        <w:rPr>
          <w:rFonts w:eastAsia="Times New Roman"/>
        </w:rPr>
        <w:t>the NIGC</w:t>
      </w:r>
      <w:r w:rsidRPr="00174B20" w:rsidR="00C06CF3">
        <w:rPr>
          <w:rFonts w:eastAsia="Times New Roman"/>
        </w:rPr>
        <w:t xml:space="preserve"> MICS requirements </w:t>
      </w:r>
      <w:r w:rsidRPr="00174B20" w:rsidR="003A1A9B">
        <w:rPr>
          <w:rFonts w:eastAsia="Times New Roman"/>
        </w:rPr>
        <w:t xml:space="preserve">that are applicable to the tier into which </w:t>
      </w:r>
      <w:r w:rsidRPr="00174B20" w:rsidR="00EB6B0F">
        <w:rPr>
          <w:rFonts w:eastAsia="Times New Roman"/>
        </w:rPr>
        <w:t>the gaming operation</w:t>
      </w:r>
      <w:r w:rsidRPr="00174B20" w:rsidR="003A1A9B">
        <w:rPr>
          <w:rFonts w:eastAsia="Times New Roman"/>
        </w:rPr>
        <w:t xml:space="preserve"> falls.</w:t>
      </w:r>
    </w:p>
    <w:p w:rsidR="002E0C72" w:rsidRPr="00174B20" w:rsidP="007E3864" w14:paraId="4B2192C2" w14:textId="77777777">
      <w:pPr>
        <w:pStyle w:val="Default"/>
        <w:spacing w:line="480" w:lineRule="auto"/>
        <w:ind w:firstLine="720"/>
      </w:pPr>
      <w:r w:rsidRPr="00174B20">
        <w:rPr>
          <w:color w:val="auto"/>
        </w:rPr>
        <w:t xml:space="preserve">With regard to the </w:t>
      </w:r>
      <w:r w:rsidRPr="00174B20">
        <w:t xml:space="preserve">detailed report after </w:t>
      </w:r>
      <w:r w:rsidRPr="00174B20" w:rsidR="00EB6B0F">
        <w:t>a</w:t>
      </w:r>
      <w:r w:rsidRPr="00174B20">
        <w:t xml:space="preserve"> TGRA has approved an alternate standard to any of the NIGC </w:t>
      </w:r>
      <w:r w:rsidRPr="00174B20" w:rsidR="00D77BF8">
        <w:t xml:space="preserve">MICS, </w:t>
      </w:r>
      <w:r w:rsidRPr="00174B20" w:rsidR="00930210">
        <w:t>the Commission uses these reports to ens</w:t>
      </w:r>
      <w:r w:rsidRPr="00174B20" w:rsidR="00EB6B0F">
        <w:t>ure that any alternate standard</w:t>
      </w:r>
      <w:r w:rsidRPr="00174B20" w:rsidR="00930210">
        <w:t xml:space="preserve"> </w:t>
      </w:r>
      <w:r w:rsidRPr="00174B20" w:rsidR="00D77BF8">
        <w:rPr>
          <w:rFonts w:eastAsia="Times New Roman"/>
        </w:rPr>
        <w:t xml:space="preserve">established by the TGRA </w:t>
      </w:r>
      <w:r w:rsidRPr="00174B20" w:rsidR="00EB6B0F">
        <w:rPr>
          <w:rFonts w:eastAsia="Times New Roman"/>
        </w:rPr>
        <w:t>is</w:t>
      </w:r>
      <w:r w:rsidRPr="00174B20" w:rsidR="00D77BF8">
        <w:rPr>
          <w:rFonts w:eastAsia="Times New Roman"/>
        </w:rPr>
        <w:t xml:space="preserve"> at least as stringent as the NIGC MICS</w:t>
      </w:r>
      <w:r w:rsidRPr="00174B20">
        <w:t xml:space="preserve">. </w:t>
      </w:r>
      <w:r w:rsidRPr="00174B20" w:rsidR="007E3864">
        <w:t xml:space="preserve">The requirement that </w:t>
      </w:r>
      <w:r w:rsidRPr="00174B20" w:rsidR="00930210">
        <w:t>tribe</w:t>
      </w:r>
      <w:r w:rsidRPr="00174B20" w:rsidR="007E3864">
        <w:t>s</w:t>
      </w:r>
      <w:r w:rsidRPr="00174B20" w:rsidR="00930210">
        <w:t xml:space="preserve"> maintain and make internal audit reports available to the Commission upon request</w:t>
      </w:r>
      <w:r w:rsidRPr="00174B20" w:rsidR="007E3864">
        <w:t xml:space="preserve"> further</w:t>
      </w:r>
      <w:r w:rsidR="00AF6BD2">
        <w:t>s</w:t>
      </w:r>
      <w:r w:rsidRPr="00174B20" w:rsidR="007E3864">
        <w:t xml:space="preserve"> IGRA’s overall purposes</w:t>
      </w:r>
      <w:r w:rsidRPr="00174B20" w:rsidR="00C00779">
        <w:t>,</w:t>
      </w:r>
      <w:r w:rsidRPr="00174B20" w:rsidR="007E3864">
        <w:t xml:space="preserve"> as set forth above</w:t>
      </w:r>
      <w:r w:rsidRPr="00174B20" w:rsidR="00930210">
        <w:t xml:space="preserve">. </w:t>
      </w:r>
    </w:p>
    <w:p w:rsidR="007E3864" w:rsidRPr="00174B20" w:rsidP="007E3864" w14:paraId="62080BD1" w14:textId="77777777">
      <w:pPr>
        <w:pStyle w:val="Default"/>
        <w:spacing w:line="480" w:lineRule="auto"/>
        <w:ind w:firstLine="720"/>
        <w:rPr>
          <w:color w:val="auto"/>
        </w:rPr>
      </w:pPr>
      <w:r w:rsidRPr="00174B20">
        <w:t xml:space="preserve">Finally, </w:t>
      </w:r>
      <w:r w:rsidRPr="00174B20" w:rsidR="00871950">
        <w:t>the Commission makes use of the AUP</w:t>
      </w:r>
      <w:r w:rsidRPr="00174B20" w:rsidR="00C00779">
        <w:t xml:space="preserve"> assessment</w:t>
      </w:r>
      <w:r w:rsidRPr="00174B20" w:rsidR="00871950">
        <w:t xml:space="preserve"> reports </w:t>
      </w:r>
      <w:r w:rsidRPr="00174B20" w:rsidR="00C00779">
        <w:rPr>
          <w:rFonts w:eastAsia="Times New Roman"/>
        </w:rPr>
        <w:t>to verify whether</w:t>
      </w:r>
      <w:r w:rsidRPr="00174B20" w:rsidR="00871950">
        <w:rPr>
          <w:rFonts w:eastAsia="Times New Roman"/>
        </w:rPr>
        <w:t xml:space="preserve"> gaming operation</w:t>
      </w:r>
      <w:r w:rsidRPr="00174B20" w:rsidR="00C00779">
        <w:rPr>
          <w:rFonts w:eastAsia="Times New Roman"/>
        </w:rPr>
        <w:t>s</w:t>
      </w:r>
      <w:r w:rsidRPr="00174B20" w:rsidR="00871950">
        <w:rPr>
          <w:rFonts w:eastAsia="Times New Roman"/>
        </w:rPr>
        <w:t xml:space="preserve"> </w:t>
      </w:r>
      <w:r w:rsidRPr="00174B20" w:rsidR="00C00779">
        <w:rPr>
          <w:rFonts w:eastAsia="Times New Roman"/>
        </w:rPr>
        <w:t>are</w:t>
      </w:r>
      <w:r w:rsidRPr="00174B20" w:rsidR="00871950">
        <w:rPr>
          <w:rFonts w:eastAsia="Times New Roman"/>
        </w:rPr>
        <w:t xml:space="preserve"> in compliance with the NIGC</w:t>
      </w:r>
      <w:r w:rsidRPr="00174B20" w:rsidR="00AD0740">
        <w:rPr>
          <w:rFonts w:eastAsia="Times New Roman"/>
        </w:rPr>
        <w:t xml:space="preserve"> </w:t>
      </w:r>
      <w:r w:rsidRPr="00174B20" w:rsidR="00C00779">
        <w:rPr>
          <w:rFonts w:eastAsia="Times New Roman"/>
        </w:rPr>
        <w:t>MICS</w:t>
      </w:r>
      <w:r w:rsidRPr="00174B20" w:rsidR="00871950">
        <w:rPr>
          <w:rFonts w:eastAsia="Times New Roman"/>
        </w:rPr>
        <w:t xml:space="preserve"> and/or TICS that are at least as </w:t>
      </w:r>
      <w:r w:rsidRPr="00174B20" w:rsidR="00871950">
        <w:rPr>
          <w:rFonts w:eastAsia="Times New Roman"/>
        </w:rPr>
        <w:t>stringent as the NIGC MICS</w:t>
      </w:r>
      <w:r w:rsidRPr="00174B20" w:rsidR="00C00779">
        <w:rPr>
          <w:rFonts w:eastAsia="Times New Roman"/>
        </w:rPr>
        <w:t>,</w:t>
      </w:r>
      <w:r w:rsidRPr="00174B20" w:rsidR="00871950">
        <w:rPr>
          <w:rFonts w:eastAsia="Times New Roman"/>
        </w:rPr>
        <w:t xml:space="preserve"> or SICS if they provide at least the same level of controls as the </w:t>
      </w:r>
      <w:r w:rsidRPr="00174B20" w:rsidR="00AD0740">
        <w:rPr>
          <w:rFonts w:eastAsia="Times New Roman"/>
        </w:rPr>
        <w:t xml:space="preserve">NIGC </w:t>
      </w:r>
      <w:r w:rsidRPr="00174B20" w:rsidR="00871950">
        <w:rPr>
          <w:rFonts w:eastAsia="Times New Roman"/>
        </w:rPr>
        <w:t>MICS.</w:t>
      </w:r>
    </w:p>
    <w:p w:rsidR="00F95D87" w:rsidRPr="00174B20" w:rsidP="00DF659A" w14:paraId="69BA4DFB" w14:textId="77777777">
      <w:pPr>
        <w:pStyle w:val="Default"/>
        <w:ind w:left="1440" w:hanging="720"/>
        <w:rPr>
          <w:color w:val="auto"/>
        </w:rPr>
      </w:pPr>
      <w:r w:rsidRPr="00174B20">
        <w:rPr>
          <w:b/>
          <w:bCs/>
          <w:color w:val="auto"/>
        </w:rPr>
        <w:t xml:space="preserve">3. </w:t>
      </w:r>
      <w:r w:rsidRPr="00174B20" w:rsidR="00DF659A">
        <w:rPr>
          <w:b/>
          <w:bCs/>
          <w:color w:val="auto"/>
        </w:rPr>
        <w:tab/>
      </w:r>
      <w:r w:rsidRPr="00174B20" w:rsidR="00FE747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74B20">
        <w:rPr>
          <w:b/>
          <w:bCs/>
          <w:color w:val="auto"/>
        </w:rPr>
        <w:t xml:space="preserve"> </w:t>
      </w:r>
    </w:p>
    <w:p w:rsidR="00F95D87" w:rsidRPr="00174B20" w:rsidP="00F95D87" w14:paraId="2B4E7618" w14:textId="77777777">
      <w:pPr>
        <w:pStyle w:val="Default"/>
        <w:jc w:val="center"/>
        <w:rPr>
          <w:b/>
          <w:bCs/>
          <w:color w:val="auto"/>
        </w:rPr>
      </w:pPr>
    </w:p>
    <w:p w:rsidR="00F95D87" w:rsidRPr="00174B20" w:rsidP="002E0C72" w14:paraId="7C153D5F" w14:textId="77777777">
      <w:pPr>
        <w:pStyle w:val="Default"/>
        <w:spacing w:line="480" w:lineRule="auto"/>
        <w:ind w:firstLine="720"/>
        <w:rPr>
          <w:color w:val="auto"/>
        </w:rPr>
      </w:pPr>
      <w:r w:rsidRPr="00174B20">
        <w:rPr>
          <w:color w:val="auto"/>
        </w:rPr>
        <w:t>Under NIGC regulations, tribes and/or TGRAs can submit</w:t>
      </w:r>
      <w:r w:rsidRPr="00174B20" w:rsidR="00BA36C2">
        <w:rPr>
          <w:color w:val="auto"/>
        </w:rPr>
        <w:t xml:space="preserve"> and/</w:t>
      </w:r>
      <w:r w:rsidRPr="00174B20">
        <w:rPr>
          <w:color w:val="auto"/>
        </w:rPr>
        <w:t xml:space="preserve">or maintain information via compatible automated, electronic, and/or mechanical means. </w:t>
      </w:r>
      <w:r w:rsidRPr="00174B20" w:rsidR="002E0C72">
        <w:rPr>
          <w:color w:val="auto"/>
        </w:rPr>
        <w:t xml:space="preserve"> </w:t>
      </w:r>
    </w:p>
    <w:p w:rsidR="00F95D87" w:rsidRPr="00174B20" w:rsidP="00DF659A" w14:paraId="55E070BA" w14:textId="77777777">
      <w:pPr>
        <w:pStyle w:val="Default"/>
        <w:ind w:left="1440" w:hanging="720"/>
        <w:rPr>
          <w:color w:val="auto"/>
        </w:rPr>
      </w:pPr>
      <w:r w:rsidRPr="00174B20">
        <w:rPr>
          <w:b/>
          <w:bCs/>
          <w:color w:val="auto"/>
        </w:rPr>
        <w:t xml:space="preserve">4. </w:t>
      </w:r>
      <w:r w:rsidRPr="00174B20" w:rsidR="00DF659A">
        <w:rPr>
          <w:b/>
          <w:bCs/>
          <w:color w:val="auto"/>
        </w:rPr>
        <w:tab/>
      </w:r>
      <w:r w:rsidRPr="00174B20" w:rsidR="00FE747B">
        <w:rPr>
          <w:b/>
          <w:bCs/>
        </w:rPr>
        <w:t>Describe efforts to identify duplication. Show specifically why any similar information already available cannot be used or modified for use for the purposes described in Item 2 above.</w:t>
      </w:r>
      <w:r w:rsidRPr="00174B20">
        <w:rPr>
          <w:b/>
          <w:bCs/>
          <w:color w:val="auto"/>
        </w:rPr>
        <w:t xml:space="preserve"> </w:t>
      </w:r>
    </w:p>
    <w:p w:rsidR="00F95D87" w:rsidRPr="00174B20" w:rsidP="00F95D87" w14:paraId="1E517C4B" w14:textId="77777777">
      <w:pPr>
        <w:pStyle w:val="Default"/>
        <w:jc w:val="center"/>
        <w:rPr>
          <w:b/>
          <w:bCs/>
          <w:color w:val="auto"/>
        </w:rPr>
      </w:pPr>
    </w:p>
    <w:p w:rsidR="00F95D87" w:rsidRPr="00174B20" w:rsidP="009C3B62" w14:paraId="371A123A" w14:textId="77777777">
      <w:pPr>
        <w:pStyle w:val="Default"/>
        <w:spacing w:line="480" w:lineRule="auto"/>
        <w:ind w:firstLine="720"/>
        <w:rPr>
          <w:color w:val="auto"/>
        </w:rPr>
      </w:pPr>
      <w:r w:rsidRPr="00174B20">
        <w:rPr>
          <w:color w:val="auto"/>
        </w:rPr>
        <w:t>The required information is unique to each Indian tribe and/or gaming operation. No similar information pertaining to gaming on Indian lands is collected by the Commission or by other federal agencies.</w:t>
      </w:r>
      <w:r w:rsidRPr="00174B20">
        <w:rPr>
          <w:color w:val="auto"/>
        </w:rPr>
        <w:t xml:space="preserve"> </w:t>
      </w:r>
    </w:p>
    <w:p w:rsidR="00F95D87" w:rsidRPr="00174B20" w:rsidP="00DF659A" w14:paraId="7E3A11C2" w14:textId="77777777">
      <w:pPr>
        <w:pStyle w:val="Default"/>
        <w:ind w:left="1440" w:hanging="720"/>
        <w:rPr>
          <w:color w:val="auto"/>
        </w:rPr>
      </w:pPr>
      <w:r w:rsidRPr="00174B20">
        <w:rPr>
          <w:b/>
          <w:bCs/>
          <w:color w:val="auto"/>
        </w:rPr>
        <w:t xml:space="preserve">5. </w:t>
      </w:r>
      <w:r w:rsidRPr="00174B20" w:rsidR="00DF659A">
        <w:rPr>
          <w:b/>
          <w:bCs/>
          <w:color w:val="auto"/>
        </w:rPr>
        <w:tab/>
      </w:r>
      <w:r w:rsidRPr="00174B20" w:rsidR="00FE747B">
        <w:rPr>
          <w:b/>
          <w:bCs/>
        </w:rPr>
        <w:t>If the collection of information impacts small businesses or other small entities (Item 5 of OMB Form 83-I), describe any methods used to minimize burden</w:t>
      </w:r>
      <w:r w:rsidRPr="00174B20">
        <w:rPr>
          <w:b/>
          <w:bCs/>
          <w:color w:val="auto"/>
        </w:rPr>
        <w:t xml:space="preserve">. </w:t>
      </w:r>
    </w:p>
    <w:p w:rsidR="00184C46" w:rsidRPr="00174B20" w:rsidP="00F95D87" w14:paraId="14C845C0" w14:textId="77777777">
      <w:pPr>
        <w:pStyle w:val="Default"/>
        <w:jc w:val="center"/>
        <w:rPr>
          <w:b/>
          <w:bCs/>
          <w:color w:val="auto"/>
        </w:rPr>
      </w:pPr>
    </w:p>
    <w:p w:rsidR="00F95D87" w:rsidRPr="00174B20" w:rsidP="00834BBC" w14:paraId="62289D68" w14:textId="77777777">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r w:rsidRPr="00174B20">
        <w:rPr>
          <w:color w:val="auto"/>
        </w:rPr>
        <w:t xml:space="preserve"> </w:t>
      </w:r>
    </w:p>
    <w:p w:rsidR="00184C46" w:rsidRPr="00174B20" w:rsidP="00F95D87" w14:paraId="4B2B83A2" w14:textId="77777777">
      <w:pPr>
        <w:pStyle w:val="Default"/>
        <w:rPr>
          <w:b/>
          <w:bCs/>
          <w:color w:val="auto"/>
        </w:rPr>
      </w:pPr>
    </w:p>
    <w:p w:rsidR="00F95D87" w:rsidRPr="00174B20" w:rsidP="00DF659A" w14:paraId="5F65CA6C" w14:textId="77777777">
      <w:pPr>
        <w:pStyle w:val="Default"/>
        <w:ind w:left="1440" w:hanging="720"/>
        <w:rPr>
          <w:color w:val="auto"/>
        </w:rPr>
      </w:pPr>
      <w:r w:rsidRPr="00174B20">
        <w:rPr>
          <w:b/>
          <w:bCs/>
          <w:color w:val="auto"/>
        </w:rPr>
        <w:t xml:space="preserve">6. </w:t>
      </w:r>
      <w:r w:rsidRPr="00174B20" w:rsidR="00DF659A">
        <w:rPr>
          <w:b/>
          <w:bCs/>
          <w:color w:val="auto"/>
        </w:rPr>
        <w:tab/>
      </w:r>
      <w:r w:rsidRPr="00174B20" w:rsidR="00FE747B">
        <w:rPr>
          <w:b/>
          <w:bCs/>
        </w:rPr>
        <w:t>Describe the consequence to Federal program or policy activities if the collection is not conducted or is conducted less frequently, as well as any technical or legal obstacles to reducing burden.</w:t>
      </w:r>
      <w:r w:rsidRPr="00174B20">
        <w:rPr>
          <w:b/>
          <w:bCs/>
          <w:color w:val="auto"/>
        </w:rPr>
        <w:t xml:space="preserve"> </w:t>
      </w:r>
    </w:p>
    <w:p w:rsidR="00184C46" w:rsidRPr="00174B20" w:rsidP="00F95D87" w14:paraId="5F1372A4" w14:textId="77777777">
      <w:pPr>
        <w:pStyle w:val="Default"/>
        <w:jc w:val="center"/>
        <w:rPr>
          <w:b/>
          <w:bCs/>
          <w:color w:val="auto"/>
        </w:rPr>
      </w:pPr>
    </w:p>
    <w:p w:rsidR="00F95D87" w:rsidRPr="00174B20" w:rsidP="009C3B62" w14:paraId="0821DC84" w14:textId="77777777">
      <w:pPr>
        <w:pStyle w:val="Default"/>
        <w:spacing w:line="480" w:lineRule="auto"/>
        <w:ind w:firstLine="720"/>
        <w:rPr>
          <w:color w:val="auto"/>
        </w:rPr>
      </w:pPr>
      <w:r w:rsidRPr="00174B20">
        <w:rPr>
          <w:color w:val="auto"/>
        </w:rPr>
        <w:t xml:space="preserve">In order for the </w:t>
      </w:r>
      <w:r w:rsidRPr="00174B20">
        <w:t xml:space="preserve">Commission to monitor class </w:t>
      </w:r>
      <w:r w:rsidRPr="00174B20" w:rsidR="007A0191">
        <w:t xml:space="preserve">II gaming on a continuing basis as required by IGRA, </w:t>
      </w:r>
      <w:r w:rsidRPr="00174B20" w:rsidR="009463A0">
        <w:t xml:space="preserve">the NIGC </w:t>
      </w:r>
      <w:r w:rsidRPr="00174B20">
        <w:t xml:space="preserve">established its MICS and set them as the </w:t>
      </w:r>
      <w:r w:rsidRPr="00174B20" w:rsidR="009463A0">
        <w:t>minimum</w:t>
      </w:r>
      <w:r w:rsidRPr="00174B20">
        <w:t xml:space="preserve"> of what Indian gaming operations must do to be in compliance with IGRA. </w:t>
      </w:r>
      <w:r w:rsidRPr="00174B20">
        <w:rPr>
          <w:color w:val="auto"/>
        </w:rPr>
        <w:t>Without th</w:t>
      </w:r>
      <w:r w:rsidRPr="00174B20" w:rsidR="009463A0">
        <w:rPr>
          <w:color w:val="auto"/>
        </w:rPr>
        <w:t>ese</w:t>
      </w:r>
      <w:r w:rsidRPr="00174B20">
        <w:rPr>
          <w:color w:val="auto"/>
        </w:rPr>
        <w:t xml:space="preserve"> information collection</w:t>
      </w:r>
      <w:r w:rsidRPr="00174B20" w:rsidR="009463A0">
        <w:rPr>
          <w:color w:val="auto"/>
        </w:rPr>
        <w:t xml:space="preserve"> activities</w:t>
      </w:r>
      <w:r w:rsidRPr="00174B20" w:rsidR="004663D7">
        <w:rPr>
          <w:color w:val="auto"/>
        </w:rPr>
        <w:t xml:space="preserve"> </w:t>
      </w:r>
      <w:r w:rsidRPr="00174B20" w:rsidR="009463A0">
        <w:rPr>
          <w:color w:val="auto"/>
        </w:rPr>
        <w:t>(</w:t>
      </w:r>
      <w:r w:rsidRPr="00174B20" w:rsidR="004663D7">
        <w:rPr>
          <w:color w:val="auto"/>
        </w:rPr>
        <w:t>as described in Item 2</w:t>
      </w:r>
      <w:r w:rsidRPr="00174B20" w:rsidR="009463A0">
        <w:rPr>
          <w:color w:val="auto"/>
        </w:rPr>
        <w:t>)</w:t>
      </w:r>
      <w:r w:rsidRPr="00174B20">
        <w:rPr>
          <w:color w:val="auto"/>
        </w:rPr>
        <w:t xml:space="preserve">, the </w:t>
      </w:r>
      <w:r w:rsidRPr="00174B20">
        <w:rPr>
          <w:color w:val="auto"/>
        </w:rPr>
        <w:t>Commission</w:t>
      </w:r>
      <w:r w:rsidRPr="00174B20">
        <w:rPr>
          <w:color w:val="auto"/>
        </w:rPr>
        <w:t xml:space="preserve"> would be hampered in the fulfillment of its mission. </w:t>
      </w:r>
    </w:p>
    <w:p w:rsidR="00FE747B" w:rsidP="00FE747B" w14:paraId="16156CC0" w14:textId="77777777">
      <w:pPr>
        <w:ind w:left="1440" w:hanging="720"/>
        <w:rPr>
          <w:b/>
          <w:bCs/>
          <w:color w:val="000000"/>
        </w:rPr>
      </w:pPr>
      <w:r w:rsidRPr="00174B20">
        <w:rPr>
          <w:b/>
          <w:bCs/>
        </w:rPr>
        <w:t xml:space="preserve">7. </w:t>
      </w:r>
      <w:r w:rsidRPr="00174B20" w:rsidR="00DF659A">
        <w:rPr>
          <w:b/>
          <w:bCs/>
        </w:rPr>
        <w:tab/>
      </w:r>
      <w:r w:rsidRPr="00174B20">
        <w:rPr>
          <w:b/>
          <w:bCs/>
          <w:color w:val="000000"/>
        </w:rPr>
        <w:t xml:space="preserve">Explain any special circumstances that would cause an information collection to be conducted in a manner: </w:t>
      </w:r>
    </w:p>
    <w:p w:rsidR="00DD4828" w:rsidRPr="00174B20" w:rsidP="00FE747B" w14:paraId="4EF9CF73" w14:textId="77777777">
      <w:pPr>
        <w:ind w:left="1440" w:hanging="720"/>
        <w:rPr>
          <w:b/>
          <w:bCs/>
          <w:color w:val="000000"/>
        </w:rPr>
      </w:pPr>
    </w:p>
    <w:p w:rsidR="00FE747B" w:rsidP="00FE747B" w14:paraId="6098567A"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report information to the agency more often than quarterly; </w:t>
      </w:r>
    </w:p>
    <w:p w:rsidR="00DD4828" w:rsidP="00DD4828" w14:paraId="4F3A6F25" w14:textId="77777777">
      <w:pPr>
        <w:pStyle w:val="ListParagraph"/>
        <w:ind w:left="1800"/>
        <w:rPr>
          <w:rFonts w:ascii="Times New Roman" w:hAnsi="Times New Roman" w:cs="Times New Roman"/>
          <w:b/>
          <w:sz w:val="24"/>
          <w:szCs w:val="24"/>
        </w:rPr>
      </w:pPr>
    </w:p>
    <w:p w:rsidR="00DD4828" w:rsidRPr="00DD4828" w:rsidP="00DD4828" w14:paraId="0FC6BCB4"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56420C32" w14:textId="77777777">
      <w:pPr>
        <w:pStyle w:val="ListParagraph"/>
        <w:ind w:left="1800"/>
        <w:rPr>
          <w:rFonts w:ascii="Times New Roman" w:hAnsi="Times New Roman" w:cs="Times New Roman"/>
          <w:b/>
          <w:sz w:val="24"/>
          <w:szCs w:val="24"/>
        </w:rPr>
      </w:pPr>
    </w:p>
    <w:p w:rsidR="00FE747B" w:rsidP="00FE747B" w14:paraId="3EDACCF4"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prepare a written response to a collection of information in fewer than 30 days after receipt of it; </w:t>
      </w:r>
    </w:p>
    <w:p w:rsidR="00DD4828" w:rsidP="00DD4828" w14:paraId="6AF590F8" w14:textId="77777777">
      <w:pPr>
        <w:pStyle w:val="ListParagraph"/>
        <w:ind w:left="1800"/>
        <w:rPr>
          <w:rFonts w:ascii="Times New Roman" w:hAnsi="Times New Roman" w:cs="Times New Roman"/>
          <w:b/>
          <w:sz w:val="24"/>
          <w:szCs w:val="24"/>
        </w:rPr>
      </w:pPr>
    </w:p>
    <w:p w:rsidR="00DD4828" w:rsidP="00DD4828" w14:paraId="69C75C3F"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202ADB4B" w14:textId="77777777">
      <w:pPr>
        <w:pStyle w:val="ListParagraph"/>
        <w:ind w:left="1800"/>
        <w:rPr>
          <w:rFonts w:ascii="Times New Roman" w:hAnsi="Times New Roman" w:cs="Times New Roman"/>
          <w:b/>
          <w:sz w:val="24"/>
          <w:szCs w:val="24"/>
        </w:rPr>
      </w:pPr>
    </w:p>
    <w:p w:rsidR="00FE747B" w:rsidP="00FE747B" w14:paraId="272B9022"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submit more than an original and two copies of any document; </w:t>
      </w:r>
    </w:p>
    <w:p w:rsidR="00DD4828" w:rsidP="00DD4828" w14:paraId="4D45318E" w14:textId="77777777">
      <w:pPr>
        <w:pStyle w:val="ListParagraph"/>
        <w:ind w:left="1800"/>
        <w:rPr>
          <w:rFonts w:ascii="Times New Roman" w:hAnsi="Times New Roman" w:cs="Times New Roman"/>
          <w:b/>
          <w:sz w:val="24"/>
          <w:szCs w:val="24"/>
        </w:rPr>
      </w:pPr>
    </w:p>
    <w:p w:rsidR="00DD4828" w:rsidP="00DD4828" w14:paraId="728B002E"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5992DE9E" w14:textId="77777777">
      <w:pPr>
        <w:pStyle w:val="ListParagraph"/>
        <w:ind w:left="1800"/>
        <w:rPr>
          <w:rFonts w:ascii="Times New Roman" w:hAnsi="Times New Roman" w:cs="Times New Roman"/>
          <w:b/>
          <w:sz w:val="24"/>
          <w:szCs w:val="24"/>
        </w:rPr>
      </w:pPr>
    </w:p>
    <w:p w:rsidR="00FE747B" w:rsidP="00FE747B" w14:paraId="7273419D"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DD4828" w:rsidP="00DD4828" w14:paraId="4AA92BA8" w14:textId="77777777">
      <w:pPr>
        <w:pStyle w:val="ListParagraph"/>
        <w:ind w:left="1800"/>
        <w:rPr>
          <w:rFonts w:ascii="Times New Roman" w:hAnsi="Times New Roman" w:cs="Times New Roman"/>
          <w:b/>
          <w:sz w:val="24"/>
          <w:szCs w:val="24"/>
        </w:rPr>
      </w:pPr>
    </w:p>
    <w:p w:rsidR="00DD4828" w:rsidP="00DD4828" w14:paraId="56FC9D2D"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3426BCB0" w14:textId="77777777">
      <w:pPr>
        <w:pStyle w:val="ListParagraph"/>
        <w:ind w:left="1800"/>
        <w:rPr>
          <w:rFonts w:ascii="Times New Roman" w:hAnsi="Times New Roman" w:cs="Times New Roman"/>
          <w:b/>
          <w:sz w:val="24"/>
          <w:szCs w:val="24"/>
        </w:rPr>
      </w:pPr>
    </w:p>
    <w:p w:rsidR="00FE747B" w:rsidP="00FE747B" w14:paraId="4D2170A5"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DD4828" w:rsidP="00DD4828" w14:paraId="16EB5970" w14:textId="77777777">
      <w:pPr>
        <w:pStyle w:val="ListParagraph"/>
        <w:ind w:left="1800"/>
        <w:rPr>
          <w:rFonts w:ascii="Times New Roman" w:hAnsi="Times New Roman" w:cs="Times New Roman"/>
          <w:b/>
          <w:sz w:val="24"/>
          <w:szCs w:val="24"/>
        </w:rPr>
      </w:pPr>
    </w:p>
    <w:p w:rsidR="00DD4828" w:rsidP="00DD4828" w14:paraId="5DD2DBF4"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7D4CF74E" w14:textId="77777777">
      <w:pPr>
        <w:pStyle w:val="ListParagraph"/>
        <w:ind w:left="1800"/>
        <w:rPr>
          <w:rFonts w:ascii="Times New Roman" w:hAnsi="Times New Roman" w:cs="Times New Roman"/>
          <w:b/>
          <w:sz w:val="24"/>
          <w:szCs w:val="24"/>
        </w:rPr>
      </w:pPr>
    </w:p>
    <w:p w:rsidR="00FE747B" w:rsidP="00FE747B" w14:paraId="0CB8591C"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requiring the use of a statistical data classification that has not been reviewed and approved by OMB; </w:t>
      </w:r>
    </w:p>
    <w:p w:rsidR="00DD4828" w:rsidP="00DD4828" w14:paraId="173F3EB2" w14:textId="77777777">
      <w:pPr>
        <w:pStyle w:val="ListParagraph"/>
        <w:ind w:left="1800"/>
        <w:rPr>
          <w:rFonts w:ascii="Times New Roman" w:hAnsi="Times New Roman" w:cs="Times New Roman"/>
          <w:b/>
          <w:sz w:val="24"/>
          <w:szCs w:val="24"/>
        </w:rPr>
      </w:pPr>
    </w:p>
    <w:p w:rsidR="00DD4828" w:rsidP="00DD4828" w14:paraId="7054FCFE"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077A7D4F" w14:textId="77777777">
      <w:pPr>
        <w:pStyle w:val="ListParagraph"/>
        <w:ind w:left="1800"/>
        <w:rPr>
          <w:rFonts w:ascii="Times New Roman" w:hAnsi="Times New Roman" w:cs="Times New Roman"/>
          <w:b/>
          <w:sz w:val="24"/>
          <w:szCs w:val="24"/>
        </w:rPr>
      </w:pPr>
    </w:p>
    <w:p w:rsidR="00FE747B" w:rsidP="00FE747B" w14:paraId="0125FBDF"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that includes a pledge of confidentiality that is not supported by authority established in statute or regulation, that is not supported by disclosure </w:t>
      </w:r>
      <w:r w:rsidRPr="00174B20">
        <w:rPr>
          <w:rFonts w:ascii="Times New Roman" w:hAnsi="Times New Roman" w:cs="Times New Roman"/>
          <w:b/>
          <w:sz w:val="24"/>
          <w:szCs w:val="24"/>
        </w:rPr>
        <w:t xml:space="preserve">and data security policies that are consistent with the pledge, or which unnecessarily impedes sharing of data with other agencies for compatible confidential use; or </w:t>
      </w:r>
    </w:p>
    <w:p w:rsidR="00DD4828" w:rsidP="00DD4828" w14:paraId="293C4805" w14:textId="77777777">
      <w:pPr>
        <w:pStyle w:val="ListParagraph"/>
        <w:ind w:left="1800"/>
        <w:rPr>
          <w:rFonts w:ascii="Times New Roman" w:hAnsi="Times New Roman" w:cs="Times New Roman"/>
          <w:b/>
          <w:sz w:val="24"/>
          <w:szCs w:val="24"/>
        </w:rPr>
      </w:pPr>
    </w:p>
    <w:p w:rsidR="00DD4828" w:rsidP="00DD4828" w14:paraId="08A3AF87" w14:textId="77777777">
      <w:pPr>
        <w:pStyle w:val="ListParagraph"/>
        <w:ind w:left="1800"/>
        <w:rPr>
          <w:rFonts w:ascii="Times New Roman" w:hAnsi="Times New Roman" w:cs="Times New Roman"/>
          <w:sz w:val="24"/>
          <w:szCs w:val="24"/>
        </w:rPr>
      </w:pPr>
      <w:r w:rsidRPr="00DD4828">
        <w:rPr>
          <w:rFonts w:ascii="Times New Roman" w:hAnsi="Times New Roman" w:cs="Times New Roman"/>
          <w:sz w:val="24"/>
          <w:szCs w:val="24"/>
        </w:rPr>
        <w:t>N/A</w:t>
      </w:r>
    </w:p>
    <w:p w:rsidR="00DD4828" w:rsidRPr="00174B20" w:rsidP="00DD4828" w14:paraId="0A918681" w14:textId="77777777">
      <w:pPr>
        <w:pStyle w:val="ListParagraph"/>
        <w:ind w:left="1800"/>
        <w:rPr>
          <w:rFonts w:ascii="Times New Roman" w:hAnsi="Times New Roman" w:cs="Times New Roman"/>
          <w:b/>
          <w:sz w:val="24"/>
          <w:szCs w:val="24"/>
        </w:rPr>
      </w:pPr>
    </w:p>
    <w:p w:rsidR="00F95D87" w:rsidRPr="00174B20" w:rsidP="00FE747B" w14:paraId="0BE1C464"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174B20">
        <w:rPr>
          <w:rFonts w:ascii="Times New Roman" w:hAnsi="Times New Roman" w:cs="Times New Roman"/>
          <w:b/>
          <w:bCs/>
          <w:sz w:val="24"/>
          <w:szCs w:val="24"/>
        </w:rPr>
        <w:t xml:space="preserve"> </w:t>
      </w:r>
    </w:p>
    <w:p w:rsidR="00F95D87" w:rsidRPr="00174B20" w:rsidP="00F95D87" w14:paraId="6F37F107" w14:textId="77777777">
      <w:pPr>
        <w:pStyle w:val="Default"/>
        <w:rPr>
          <w:color w:val="auto"/>
        </w:rPr>
      </w:pPr>
    </w:p>
    <w:p w:rsidR="00F95D87" w:rsidRPr="00174B20" w:rsidP="00ED08A4" w14:paraId="502680AE" w14:textId="77777777">
      <w:pPr>
        <w:pStyle w:val="Default"/>
        <w:spacing w:line="480" w:lineRule="auto"/>
        <w:ind w:firstLine="720"/>
        <w:rPr>
          <w:color w:val="auto"/>
        </w:rPr>
      </w:pPr>
      <w:r w:rsidRPr="00174B20">
        <w:rPr>
          <w:color w:val="auto"/>
        </w:rPr>
        <w:t xml:space="preserve">The Act requires the Commission to ensure that tribes are the primary beneficiaries of their gaming operations and </w:t>
      </w:r>
      <w:r w:rsidRPr="00297673" w:rsidR="0050094A">
        <w:t>to protect such gaming as a means of generating tribal revenue</w:t>
      </w:r>
      <w:r w:rsidRPr="00174B20">
        <w:rPr>
          <w:color w:val="auto"/>
        </w:rPr>
        <w:t xml:space="preserve">. 25 U.S.C. 2703. To that end, </w:t>
      </w:r>
      <w:r w:rsidRPr="00174B20" w:rsidR="00ED08A4">
        <w:rPr>
          <w:color w:val="auto"/>
        </w:rPr>
        <w:t xml:space="preserve">NIGC regulations require tribes </w:t>
      </w:r>
      <w:r w:rsidRPr="00174B20" w:rsidR="009463A0">
        <w:rPr>
          <w:color w:val="auto"/>
        </w:rPr>
        <w:t xml:space="preserve">and/or TGRAs </w:t>
      </w:r>
      <w:r w:rsidRPr="00174B20" w:rsidR="00ED08A4">
        <w:rPr>
          <w:color w:val="auto"/>
        </w:rPr>
        <w:t xml:space="preserve">to maintain and/or submit certain information </w:t>
      </w:r>
      <w:r w:rsidRPr="00174B20" w:rsidR="009463A0">
        <w:rPr>
          <w:color w:val="auto"/>
        </w:rPr>
        <w:t>that</w:t>
      </w:r>
      <w:r w:rsidRPr="00174B20" w:rsidR="00ED08A4">
        <w:rPr>
          <w:color w:val="auto"/>
        </w:rPr>
        <w:t xml:space="preserve"> the Commission treats as </w:t>
      </w:r>
      <w:r w:rsidRPr="00174B20">
        <w:rPr>
          <w:color w:val="auto"/>
        </w:rPr>
        <w:t xml:space="preserve">privileged or confidential in nature, including </w:t>
      </w:r>
      <w:r w:rsidRPr="00174B20" w:rsidR="00E40CD3">
        <w:rPr>
          <w:color w:val="auto"/>
        </w:rPr>
        <w:t>internal audit reports</w:t>
      </w:r>
      <w:r w:rsidRPr="00174B20" w:rsidR="00BB08CF">
        <w:rPr>
          <w:color w:val="auto"/>
        </w:rPr>
        <w:t>, alternate internal control standards,</w:t>
      </w:r>
      <w:r w:rsidRPr="00174B20" w:rsidR="00E40CD3">
        <w:rPr>
          <w:color w:val="auto"/>
        </w:rPr>
        <w:t xml:space="preserve"> and AUP</w:t>
      </w:r>
      <w:r w:rsidRPr="00174B20" w:rsidR="009463A0">
        <w:rPr>
          <w:color w:val="auto"/>
        </w:rPr>
        <w:t xml:space="preserve"> assessment</w:t>
      </w:r>
      <w:r w:rsidRPr="00174B20" w:rsidR="00E40CD3">
        <w:rPr>
          <w:color w:val="auto"/>
        </w:rPr>
        <w:t xml:space="preserve"> reports</w:t>
      </w:r>
      <w:r w:rsidRPr="00174B20">
        <w:rPr>
          <w:color w:val="auto"/>
        </w:rPr>
        <w:t>. The Act removes from the Commission any discretion that it would otherwise have to disclose such information that falls within FOIA exemptions 4 and 7, and requires the Commission to disclose such information only to other law enforcement agencies for law enforcement purposes. 25 U.S.C. 2716.</w:t>
      </w:r>
      <w:r w:rsidRPr="00174B20">
        <w:rPr>
          <w:color w:val="auto"/>
        </w:rPr>
        <w:t xml:space="preserve"> </w:t>
      </w:r>
    </w:p>
    <w:p w:rsidR="00FE747B" w:rsidRPr="00174B20" w:rsidP="00FE747B" w14:paraId="7023816E" w14:textId="77777777">
      <w:pPr>
        <w:ind w:left="1440" w:hanging="720"/>
        <w:rPr>
          <w:b/>
          <w:bCs/>
          <w:color w:val="000000"/>
        </w:rPr>
      </w:pPr>
      <w:r w:rsidRPr="00174B20">
        <w:rPr>
          <w:b/>
          <w:bCs/>
        </w:rPr>
        <w:t xml:space="preserve">8. </w:t>
      </w:r>
      <w:r w:rsidRPr="00174B20" w:rsidR="00B8284F">
        <w:rPr>
          <w:b/>
          <w:bCs/>
        </w:rPr>
        <w:tab/>
      </w:r>
      <w:r w:rsidRPr="00174B20">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E747B" w:rsidRPr="00174B20" w:rsidP="00FE747B" w14:paraId="1D293A38" w14:textId="77777777">
      <w:pPr>
        <w:ind w:left="1440" w:hanging="720"/>
        <w:rPr>
          <w:b/>
          <w:bCs/>
          <w:color w:val="000000"/>
        </w:rPr>
      </w:pPr>
    </w:p>
    <w:p w:rsidR="00FE747B" w:rsidRPr="00174B20" w:rsidP="00FE747B" w14:paraId="51AB477E" w14:textId="77777777">
      <w:pPr>
        <w:ind w:left="1440"/>
        <w:rPr>
          <w:b/>
          <w:bCs/>
          <w:color w:val="000000"/>
        </w:rPr>
      </w:pPr>
      <w:r w:rsidRPr="00174B20">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FE747B" w:rsidRPr="00174B20" w:rsidP="00FE747B" w14:paraId="32E27BC0" w14:textId="77777777">
      <w:pPr>
        <w:ind w:left="1440" w:hanging="720"/>
        <w:rPr>
          <w:b/>
          <w:bCs/>
          <w:color w:val="000000"/>
        </w:rPr>
      </w:pPr>
    </w:p>
    <w:p w:rsidR="00F95D87" w:rsidRPr="00174B20" w:rsidP="00FE747B" w14:paraId="35B23976" w14:textId="77777777">
      <w:pPr>
        <w:pStyle w:val="Default"/>
        <w:ind w:left="1440"/>
        <w:rPr>
          <w:color w:val="auto"/>
        </w:rPr>
      </w:pPr>
      <w:r w:rsidRPr="00174B20">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74B20">
        <w:rPr>
          <w:b/>
          <w:bCs/>
          <w:color w:val="auto"/>
        </w:rPr>
        <w:t xml:space="preserve"> </w:t>
      </w:r>
    </w:p>
    <w:p w:rsidR="00184C46" w:rsidRPr="00174B20" w:rsidP="00F95D87" w14:paraId="11532D00" w14:textId="77777777">
      <w:pPr>
        <w:pStyle w:val="Default"/>
        <w:ind w:firstLine="720"/>
        <w:rPr>
          <w:color w:val="auto"/>
        </w:rPr>
      </w:pPr>
    </w:p>
    <w:p w:rsidR="008E64B7" w:rsidRPr="00174B20" w:rsidP="008E64B7" w14:paraId="3EF21744" w14:textId="1B1AA056">
      <w:pPr>
        <w:pStyle w:val="Default"/>
        <w:spacing w:line="480" w:lineRule="auto"/>
        <w:ind w:firstLine="720"/>
        <w:rPr>
          <w:color w:val="auto"/>
        </w:rPr>
      </w:pPr>
      <w:r w:rsidRPr="00174B20">
        <w:rPr>
          <w:color w:val="auto"/>
        </w:rPr>
        <w:t xml:space="preserve">On </w:t>
      </w:r>
      <w:r w:rsidR="00571A99">
        <w:rPr>
          <w:color w:val="auto"/>
        </w:rPr>
        <w:t>September 23, 2025</w:t>
      </w:r>
      <w:r w:rsidRPr="00DB15ED">
        <w:rPr>
          <w:color w:val="auto"/>
        </w:rPr>
        <w:t>, a</w:t>
      </w:r>
      <w:r w:rsidRPr="00DB15ED" w:rsidR="00624B21">
        <w:rPr>
          <w:color w:val="auto"/>
        </w:rPr>
        <w:t xml:space="preserve"> 60-day</w:t>
      </w:r>
      <w:r w:rsidRPr="00DB15ED">
        <w:rPr>
          <w:color w:val="auto"/>
        </w:rPr>
        <w:t xml:space="preserve"> notice contai</w:t>
      </w:r>
      <w:r w:rsidRPr="00DB15ED" w:rsidR="009463A0">
        <w:rPr>
          <w:color w:val="auto"/>
        </w:rPr>
        <w:t>ning the information collection</w:t>
      </w:r>
      <w:r w:rsidRPr="00DB15ED">
        <w:rPr>
          <w:color w:val="auto"/>
        </w:rPr>
        <w:t xml:space="preserve"> requirement</w:t>
      </w:r>
      <w:r w:rsidRPr="00DB15ED" w:rsidR="009463A0">
        <w:rPr>
          <w:color w:val="auto"/>
        </w:rPr>
        <w:t>s</w:t>
      </w:r>
      <w:r w:rsidRPr="00DB15ED">
        <w:rPr>
          <w:color w:val="auto"/>
        </w:rPr>
        <w:t xml:space="preserve"> was published in the Federal Register allowing the public an opportunity to comment on the requirements. </w:t>
      </w:r>
      <w:r w:rsidRPr="00DB15ED" w:rsidR="00624B21">
        <w:rPr>
          <w:i/>
          <w:color w:val="auto"/>
        </w:rPr>
        <w:t xml:space="preserve">See </w:t>
      </w:r>
      <w:r w:rsidR="002D0BBC">
        <w:rPr>
          <w:color w:val="auto"/>
        </w:rPr>
        <w:t>90</w:t>
      </w:r>
      <w:r w:rsidRPr="008974BC" w:rsidR="002D0BBC">
        <w:rPr>
          <w:color w:val="auto"/>
        </w:rPr>
        <w:t xml:space="preserve"> FR </w:t>
      </w:r>
      <w:r w:rsidR="002D0BBC">
        <w:rPr>
          <w:color w:val="auto"/>
        </w:rPr>
        <w:t>45205</w:t>
      </w:r>
      <w:r w:rsidRPr="008974BC" w:rsidR="002D0BBC">
        <w:rPr>
          <w:color w:val="auto"/>
        </w:rPr>
        <w:t xml:space="preserve"> (</w:t>
      </w:r>
      <w:r w:rsidR="002D0BBC">
        <w:rPr>
          <w:color w:val="auto"/>
        </w:rPr>
        <w:t>September 23, 2025</w:t>
      </w:r>
      <w:r w:rsidRPr="00DB15ED" w:rsidR="00DB15ED">
        <w:rPr>
          <w:color w:val="auto"/>
        </w:rPr>
        <w:t xml:space="preserve">). </w:t>
      </w:r>
      <w:r w:rsidRPr="00DB15ED">
        <w:rPr>
          <w:color w:val="auto"/>
        </w:rPr>
        <w:t xml:space="preserve">The public comment period closed on </w:t>
      </w:r>
      <w:r w:rsidR="001D40ED">
        <w:rPr>
          <w:color w:val="auto"/>
        </w:rPr>
        <w:t>November 24, 2025</w:t>
      </w:r>
      <w:r w:rsidRPr="00DB15ED">
        <w:rPr>
          <w:color w:val="auto"/>
        </w:rPr>
        <w:t>.</w:t>
      </w:r>
      <w:r w:rsidRPr="00174B20">
        <w:rPr>
          <w:color w:val="auto"/>
        </w:rPr>
        <w:t xml:space="preserve"> No public comments were received.</w:t>
      </w:r>
    </w:p>
    <w:p w:rsidR="00F95D87" w:rsidRPr="00174B20" w:rsidP="008E64B7" w14:paraId="6873635E" w14:textId="77777777">
      <w:pPr>
        <w:pStyle w:val="Default"/>
        <w:spacing w:line="480" w:lineRule="auto"/>
        <w:ind w:firstLine="720"/>
        <w:rPr>
          <w:color w:val="auto"/>
        </w:rPr>
      </w:pPr>
      <w:r w:rsidRPr="00174B20">
        <w:t xml:space="preserve">In addition, the Commission </w:t>
      </w:r>
      <w:r w:rsidR="00C06D2C">
        <w:t>consulted with</w:t>
      </w:r>
      <w:r w:rsidRPr="00174B20">
        <w:t xml:space="preserve"> </w:t>
      </w:r>
      <w:r w:rsidR="005C50A5">
        <w:t xml:space="preserve">various </w:t>
      </w:r>
      <w:r w:rsidRPr="00174B20">
        <w:rPr>
          <w:color w:val="auto"/>
        </w:rPr>
        <w:t>tribal</w:t>
      </w:r>
      <w:r w:rsidRPr="00174B20">
        <w:t xml:space="preserve"> gaming operators and/or TGRAs regarding the submission and recordkeeping requirements contained in </w:t>
      </w:r>
      <w:r w:rsidR="006B5F8D">
        <w:t>the</w:t>
      </w:r>
      <w:r w:rsidRPr="00174B20">
        <w:t xml:space="preserve"> regulations. The Commission asked the tribal gaming operators and/or TGRAs to provide annual hourly estim</w:t>
      </w:r>
      <w:r w:rsidRPr="00174B20" w:rsidR="00557042">
        <w:t>ates required to perform each of the activities</w:t>
      </w:r>
      <w:r w:rsidRPr="00174B20">
        <w:t>, as well as any cost estimates. The Commission has adjusted its previous estimates accordingly.</w:t>
      </w:r>
    </w:p>
    <w:p w:rsidR="00F95D87" w:rsidRPr="00174B20" w:rsidP="00B8284F" w14:paraId="2DB7FAEB" w14:textId="77777777">
      <w:pPr>
        <w:pStyle w:val="Default"/>
        <w:ind w:left="1440" w:hanging="720"/>
        <w:rPr>
          <w:color w:val="auto"/>
        </w:rPr>
      </w:pPr>
      <w:r w:rsidRPr="00174B20">
        <w:rPr>
          <w:b/>
          <w:bCs/>
          <w:color w:val="auto"/>
        </w:rPr>
        <w:t xml:space="preserve">9. </w:t>
      </w:r>
      <w:r w:rsidRPr="00174B20" w:rsidR="00B8284F">
        <w:rPr>
          <w:b/>
          <w:bCs/>
          <w:color w:val="auto"/>
        </w:rPr>
        <w:tab/>
      </w:r>
      <w:r w:rsidRPr="00174B20" w:rsidR="00FE747B">
        <w:rPr>
          <w:b/>
          <w:bCs/>
        </w:rPr>
        <w:t>Explain any decision to provide any payment or gift to respondents, other than re</w:t>
      </w:r>
      <w:r w:rsidRPr="00174B20" w:rsidR="009A0C05">
        <w:rPr>
          <w:b/>
          <w:bCs/>
        </w:rPr>
        <w:t>m</w:t>
      </w:r>
      <w:r w:rsidRPr="00174B20" w:rsidR="00FE747B">
        <w:rPr>
          <w:b/>
          <w:bCs/>
        </w:rPr>
        <w:t>u</w:t>
      </w:r>
      <w:r w:rsidRPr="00174B20" w:rsidR="009A0C05">
        <w:rPr>
          <w:b/>
          <w:bCs/>
        </w:rPr>
        <w:t>n</w:t>
      </w:r>
      <w:r w:rsidRPr="00174B20" w:rsidR="00FE747B">
        <w:rPr>
          <w:b/>
          <w:bCs/>
        </w:rPr>
        <w:t>eration of contractors or grantees.</w:t>
      </w:r>
      <w:r w:rsidRPr="00174B20">
        <w:rPr>
          <w:b/>
          <w:bCs/>
          <w:color w:val="auto"/>
        </w:rPr>
        <w:t xml:space="preserve"> </w:t>
      </w:r>
    </w:p>
    <w:p w:rsidR="00184C46" w:rsidRPr="00174B20" w:rsidP="00F95D87" w14:paraId="0621E72F" w14:textId="77777777">
      <w:pPr>
        <w:pStyle w:val="Default"/>
        <w:jc w:val="center"/>
        <w:rPr>
          <w:b/>
          <w:bCs/>
          <w:color w:val="auto"/>
        </w:rPr>
      </w:pPr>
    </w:p>
    <w:p w:rsidR="00F95D87" w:rsidRPr="00174B20" w:rsidP="00EC75FD" w14:paraId="5DAEB96F" w14:textId="77777777">
      <w:pPr>
        <w:pStyle w:val="Default"/>
        <w:ind w:firstLine="720"/>
        <w:rPr>
          <w:color w:val="auto"/>
        </w:rPr>
      </w:pPr>
      <w:r w:rsidRPr="00174B20">
        <w:rPr>
          <w:color w:val="auto"/>
        </w:rPr>
        <w:t>Not applicable. The Commission does not provide any payment or gifts to respondents.</w:t>
      </w:r>
    </w:p>
    <w:p w:rsidR="00184C46" w:rsidRPr="00174B20" w:rsidP="00F95D87" w14:paraId="130CBC7B" w14:textId="77777777">
      <w:pPr>
        <w:pStyle w:val="Default"/>
        <w:rPr>
          <w:b/>
          <w:bCs/>
          <w:color w:val="auto"/>
        </w:rPr>
      </w:pPr>
    </w:p>
    <w:p w:rsidR="00F95D87" w:rsidRPr="00174B20" w:rsidP="00B8284F" w14:paraId="6AA77666" w14:textId="77777777">
      <w:pPr>
        <w:pStyle w:val="Default"/>
        <w:ind w:left="1440" w:hanging="720"/>
        <w:rPr>
          <w:color w:val="auto"/>
        </w:rPr>
      </w:pPr>
      <w:r w:rsidRPr="00174B20">
        <w:rPr>
          <w:b/>
          <w:bCs/>
          <w:color w:val="auto"/>
        </w:rPr>
        <w:t xml:space="preserve">10. </w:t>
      </w:r>
      <w:r w:rsidRPr="00174B20" w:rsidR="00B8284F">
        <w:rPr>
          <w:b/>
          <w:bCs/>
          <w:color w:val="auto"/>
        </w:rPr>
        <w:tab/>
      </w:r>
      <w:r w:rsidRPr="00174B20" w:rsidR="00FE747B">
        <w:rPr>
          <w:b/>
          <w:bCs/>
        </w:rPr>
        <w:t>Describe any assurance of confidentiality provided to respondents and the basis for the assurance in statute, regulation, or agency policy.</w:t>
      </w:r>
      <w:r w:rsidRPr="00174B20">
        <w:rPr>
          <w:b/>
          <w:bCs/>
          <w:color w:val="auto"/>
        </w:rPr>
        <w:t xml:space="preserve"> </w:t>
      </w:r>
    </w:p>
    <w:p w:rsidR="00184C46" w:rsidRPr="00174B20" w:rsidP="00F95D87" w14:paraId="35761E57" w14:textId="77777777">
      <w:pPr>
        <w:pStyle w:val="Default"/>
        <w:jc w:val="center"/>
        <w:rPr>
          <w:b/>
          <w:bCs/>
          <w:color w:val="auto"/>
        </w:rPr>
      </w:pPr>
    </w:p>
    <w:p w:rsidR="00F95D87" w:rsidRPr="00174B20" w:rsidP="00BC50FA" w14:paraId="0F76D00B" w14:textId="77777777">
      <w:pPr>
        <w:pStyle w:val="Default"/>
        <w:spacing w:line="480" w:lineRule="auto"/>
        <w:ind w:firstLine="720"/>
        <w:rPr>
          <w:color w:val="auto"/>
        </w:rPr>
      </w:pPr>
      <w:r w:rsidRPr="00174B20">
        <w:rPr>
          <w:color w:val="auto"/>
        </w:rPr>
        <w:t xml:space="preserve">The Act mandates the Commission to preserve any and all information received pursuant to IGRA as </w:t>
      </w:r>
      <w:r w:rsidRPr="00174B20">
        <w:t>confidential</w:t>
      </w:r>
      <w:r w:rsidR="00C66854">
        <w:t>,</w:t>
      </w:r>
      <w:r w:rsidRPr="00174B20">
        <w:rPr>
          <w:color w:val="auto"/>
        </w:rPr>
        <w:t xml:space="preserve"> and removes </w:t>
      </w:r>
      <w:r w:rsidRPr="00174B20">
        <w:t>from</w:t>
      </w:r>
      <w:r w:rsidRPr="00174B20">
        <w:rPr>
          <w:color w:val="auto"/>
        </w:rPr>
        <w:t xml:space="preserve"> the Commission any discretion that it would otherwise have to disclose any information that falls within FOIA exemptions 4 and 7. 25 U.S.C. 2716(a). The Commission may disclose such information only to other law enforcement agencies for law enforcement purposes. 25 U.S.C. 2716(b).</w:t>
      </w:r>
      <w:r w:rsidRPr="00174B20">
        <w:rPr>
          <w:color w:val="auto"/>
        </w:rPr>
        <w:t xml:space="preserve"> </w:t>
      </w:r>
    </w:p>
    <w:p w:rsidR="00F95D87" w:rsidRPr="00174B20" w:rsidP="00B8284F" w14:paraId="5C17E0B4" w14:textId="77777777">
      <w:pPr>
        <w:pStyle w:val="Default"/>
        <w:ind w:left="1440" w:hanging="720"/>
        <w:rPr>
          <w:color w:val="auto"/>
        </w:rPr>
      </w:pPr>
      <w:r w:rsidRPr="00174B20">
        <w:rPr>
          <w:b/>
          <w:bCs/>
          <w:color w:val="auto"/>
        </w:rPr>
        <w:t xml:space="preserve">11. </w:t>
      </w:r>
      <w:r w:rsidRPr="00174B20" w:rsidR="00B8284F">
        <w:rPr>
          <w:b/>
          <w:bCs/>
          <w:color w:val="auto"/>
        </w:rPr>
        <w:tab/>
      </w:r>
      <w:r w:rsidRPr="00174B20" w:rsidR="00FE747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74B20">
        <w:rPr>
          <w:b/>
          <w:bCs/>
          <w:color w:val="auto"/>
        </w:rPr>
        <w:t xml:space="preserve"> </w:t>
      </w:r>
    </w:p>
    <w:p w:rsidR="00184C46" w:rsidRPr="00174B20" w:rsidP="00F95D87" w14:paraId="1B1447C3" w14:textId="77777777">
      <w:pPr>
        <w:pStyle w:val="Default"/>
        <w:jc w:val="center"/>
        <w:rPr>
          <w:b/>
          <w:bCs/>
          <w:color w:val="auto"/>
        </w:rPr>
      </w:pPr>
    </w:p>
    <w:p w:rsidR="00F95D87" w:rsidRPr="00174B20" w:rsidP="0060503D" w14:paraId="7411CCAB" w14:textId="77777777">
      <w:pPr>
        <w:pStyle w:val="Default"/>
        <w:ind w:firstLine="720"/>
        <w:rPr>
          <w:color w:val="auto"/>
        </w:rPr>
      </w:pPr>
      <w:r w:rsidRPr="00174B20">
        <w:rPr>
          <w:color w:val="auto"/>
        </w:rPr>
        <w:t xml:space="preserve">Not applicable. No sensitive questions are asked. </w:t>
      </w:r>
    </w:p>
    <w:p w:rsidR="00184C46" w:rsidRPr="00174B20" w:rsidP="00F95D87" w14:paraId="69E5AB3D" w14:textId="77777777">
      <w:pPr>
        <w:pStyle w:val="Default"/>
        <w:rPr>
          <w:b/>
          <w:bCs/>
          <w:color w:val="auto"/>
        </w:rPr>
      </w:pPr>
    </w:p>
    <w:p w:rsidR="00FE747B" w:rsidRPr="00174B20" w:rsidP="00FE747B" w14:paraId="2AE72B63" w14:textId="77777777">
      <w:pPr>
        <w:ind w:left="1440" w:hanging="720"/>
        <w:rPr>
          <w:b/>
          <w:bCs/>
          <w:color w:val="000000"/>
        </w:rPr>
      </w:pPr>
      <w:r w:rsidRPr="00174B20">
        <w:rPr>
          <w:b/>
          <w:bCs/>
        </w:rPr>
        <w:t xml:space="preserve">12. </w:t>
      </w:r>
      <w:r w:rsidRPr="00174B20" w:rsidR="00B8284F">
        <w:rPr>
          <w:b/>
          <w:bCs/>
        </w:rPr>
        <w:tab/>
      </w:r>
      <w:r w:rsidRPr="00174B20">
        <w:rPr>
          <w:b/>
          <w:bCs/>
          <w:color w:val="000000"/>
        </w:rPr>
        <w:t xml:space="preserve">Provide estimates of the hour burden of the collection of information. The statement should: </w:t>
      </w:r>
    </w:p>
    <w:p w:rsidR="00FE747B" w:rsidRPr="00174B20" w:rsidP="00FE747B" w14:paraId="017841D8"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E747B" w:rsidRPr="00174B20" w:rsidP="00FE747B" w14:paraId="7D82BCE1"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F95D87" w:rsidRPr="00174B20" w:rsidP="00FE747B" w14:paraId="1B94F389"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174B20">
        <w:rPr>
          <w:rFonts w:ascii="Times New Roman" w:hAnsi="Times New Roman" w:cs="Times New Roman"/>
          <w:b/>
          <w:bCs/>
          <w:sz w:val="24"/>
          <w:szCs w:val="24"/>
        </w:rPr>
        <w:t xml:space="preserve"> </w:t>
      </w:r>
    </w:p>
    <w:p w:rsidR="00F95D87" w:rsidRPr="00174B20" w:rsidP="00F95D87" w14:paraId="3C4F8E16" w14:textId="77777777">
      <w:pPr>
        <w:pStyle w:val="Default"/>
        <w:rPr>
          <w:color w:val="auto"/>
        </w:rPr>
      </w:pPr>
    </w:p>
    <w:p w:rsidR="00BC50FA" w:rsidRPr="00174B20" w:rsidP="00BC50FA" w14:paraId="530AA820" w14:textId="266896BA">
      <w:pPr>
        <w:pStyle w:val="Default"/>
        <w:tabs>
          <w:tab w:val="left" w:pos="378"/>
        </w:tabs>
        <w:spacing w:line="480" w:lineRule="auto"/>
        <w:ind w:firstLine="720"/>
      </w:pPr>
      <w:r w:rsidRPr="00174B20">
        <w:t xml:space="preserve">The Commission tracks the number of tier change notices, alternate standard reports, and AUP </w:t>
      </w:r>
      <w:r w:rsidR="00CD789F">
        <w:t xml:space="preserve">assessment </w:t>
      </w:r>
      <w:r w:rsidRPr="00174B20">
        <w:t>report submissions that it receives per calendar year.</w:t>
      </w:r>
      <w:r w:rsidR="00CD789F">
        <w:t xml:space="preserve"> </w:t>
      </w:r>
      <w:r w:rsidRPr="00174B20">
        <w:t xml:space="preserve">To arrive at the </w:t>
      </w:r>
      <w:r w:rsidR="000D6D7D">
        <w:t>estimates</w:t>
      </w:r>
      <w:r w:rsidRPr="00174B20">
        <w:t xml:space="preserve"> below, the Commission averaged the number of </w:t>
      </w:r>
      <w:r w:rsidR="000D6D7D">
        <w:t xml:space="preserve">annual </w:t>
      </w:r>
      <w:r w:rsidRPr="00174B20">
        <w:t xml:space="preserve">submissions that it received from calendar </w:t>
      </w:r>
      <w:r w:rsidRPr="00DB15ED">
        <w:t xml:space="preserve">years </w:t>
      </w:r>
      <w:r w:rsidRPr="00DB15ED" w:rsidR="0058609A">
        <w:t>20</w:t>
      </w:r>
      <w:r w:rsidR="00F845F5">
        <w:t>22</w:t>
      </w:r>
      <w:r w:rsidR="00C06D2C">
        <w:t xml:space="preserve"> – 202</w:t>
      </w:r>
      <w:r w:rsidR="00F845F5">
        <w:t>4</w:t>
      </w:r>
      <w:r w:rsidRPr="00DB15ED">
        <w:t xml:space="preserve"> in order</w:t>
      </w:r>
      <w:r w:rsidRPr="00174B20">
        <w:t xml:space="preserve"> to determine the </w:t>
      </w:r>
      <w:r w:rsidR="000D6D7D">
        <w:t xml:space="preserve">estimated </w:t>
      </w:r>
      <w:r w:rsidR="00F74B1E">
        <w:t xml:space="preserve">total </w:t>
      </w:r>
      <w:r w:rsidRPr="00174B20">
        <w:t xml:space="preserve">number of annual respondents and </w:t>
      </w:r>
      <w:r w:rsidR="000D6D7D">
        <w:t xml:space="preserve">estimated </w:t>
      </w:r>
      <w:r w:rsidR="00F74B1E">
        <w:t xml:space="preserve">total </w:t>
      </w:r>
      <w:r w:rsidRPr="00174B20">
        <w:t>annual responses.</w:t>
      </w:r>
    </w:p>
    <w:p w:rsidR="0009271A" w:rsidRPr="000F1104" w:rsidP="000F1104" w14:paraId="5AE0AE10" w14:textId="19D92806">
      <w:pPr>
        <w:pStyle w:val="Default"/>
        <w:tabs>
          <w:tab w:val="left" w:pos="378"/>
        </w:tabs>
        <w:spacing w:line="480" w:lineRule="auto"/>
        <w:ind w:firstLine="720"/>
      </w:pPr>
      <w:r w:rsidRPr="008B3660">
        <w:t xml:space="preserve">As mentioned in Item 8 above, the Commission consulted </w:t>
      </w:r>
      <w:r w:rsidR="00C02EA6">
        <w:t xml:space="preserve">with </w:t>
      </w:r>
      <w:r>
        <w:t xml:space="preserve">a number of </w:t>
      </w:r>
      <w:r w:rsidRPr="00696D7C" w:rsidR="00930F8B">
        <w:t>tribal gaming operators and/or TGRAs</w:t>
      </w:r>
      <w:r w:rsidRPr="008B3660">
        <w:t xml:space="preserve"> to gather the burden estimates for these information collection</w:t>
      </w:r>
      <w:r>
        <w:t xml:space="preserve"> activitie</w:t>
      </w:r>
      <w:r w:rsidRPr="008B3660">
        <w:t xml:space="preserve">s. </w:t>
      </w:r>
      <w:r w:rsidR="00D2709E">
        <w:t xml:space="preserve">Based on these consultations, the Commission was able to establish average time and wage </w:t>
      </w:r>
      <w:r w:rsidR="00E17791">
        <w:t xml:space="preserve">rate </w:t>
      </w:r>
      <w:r w:rsidR="00D2709E">
        <w:t xml:space="preserve">expenditures for each type of response. </w:t>
      </w:r>
      <w:r w:rsidR="00AD49B1">
        <w:t>The Commission was then able to calculate the annual time expenditure for each collection by multiplying the averages time expended by the average number of annual responses.</w:t>
      </w:r>
      <w:r w:rsidR="00AA3B21">
        <w:t xml:space="preserve"> </w:t>
      </w:r>
      <w:r w:rsidR="007978AD">
        <w:t xml:space="preserve">Annual wage costs were </w:t>
      </w:r>
      <w:r w:rsidR="00CA032F">
        <w:t xml:space="preserve">then </w:t>
      </w:r>
      <w:r w:rsidR="007978AD">
        <w:t xml:space="preserve">calculated by multiplying the average wage rate by the </w:t>
      </w:r>
      <w:r w:rsidR="00137839">
        <w:t>average</w:t>
      </w:r>
      <w:r w:rsidR="007978AD">
        <w:t xml:space="preserve"> annual hours.</w:t>
      </w:r>
    </w:p>
    <w:p w:rsidR="0009271A" w:rsidRPr="00174B20" w:rsidP="0009271A" w14:paraId="78827EDD" w14:textId="77777777">
      <w:pPr>
        <w:pStyle w:val="Default"/>
        <w:tabs>
          <w:tab w:val="left" w:pos="378"/>
        </w:tabs>
        <w:jc w:val="center"/>
      </w:pPr>
      <w:r w:rsidRPr="00174B20">
        <w:rPr>
          <w:b/>
          <w:bCs/>
          <w:u w:val="single"/>
        </w:rPr>
        <w:t>ESTIMATED ANNUAL BURDEN TOTALS</w:t>
      </w:r>
    </w:p>
    <w:p w:rsidR="0009271A" w:rsidRPr="00174B20" w:rsidP="0009271A" w14:paraId="4149E96F" w14:textId="77777777">
      <w:pPr>
        <w:pStyle w:val="Default"/>
      </w:pPr>
    </w:p>
    <w:tbl>
      <w:tblPr>
        <w:tblW w:w="10350" w:type="dxa"/>
        <w:tblInd w:w="108" w:type="dxa"/>
        <w:tblLayout w:type="fixed"/>
        <w:tblLook w:val="04A0"/>
      </w:tblPr>
      <w:tblGrid>
        <w:gridCol w:w="1350"/>
        <w:gridCol w:w="1350"/>
        <w:gridCol w:w="1350"/>
        <w:gridCol w:w="1170"/>
        <w:gridCol w:w="1260"/>
        <w:gridCol w:w="1080"/>
        <w:gridCol w:w="1170"/>
        <w:gridCol w:w="1620"/>
      </w:tblGrid>
      <w:tr w14:paraId="1269FDCC" w14:textId="77777777" w:rsidTr="00F626A1">
        <w:tblPrEx>
          <w:tblW w:w="10350" w:type="dxa"/>
          <w:tblInd w:w="108" w:type="dxa"/>
          <w:tblLayout w:type="fixed"/>
          <w:tblLook w:val="04A0"/>
        </w:tblPrEx>
        <w:trPr>
          <w:trHeight w:val="961"/>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9C13FB" w:rsidRPr="00174B20" w:rsidP="00EC1C57" w14:paraId="4B8D189F" w14:textId="77777777">
            <w:pPr>
              <w:spacing w:before="60" w:after="60"/>
              <w:ind w:left="-93" w:right="-108"/>
              <w:jc w:val="center"/>
              <w:rPr>
                <w:b/>
                <w:bCs/>
                <w:color w:val="000000"/>
                <w:sz w:val="18"/>
                <w:szCs w:val="18"/>
              </w:rPr>
            </w:pPr>
            <w:bookmarkStart w:id="0" w:name="_Hlk202257906"/>
            <w:r w:rsidRPr="00174B20">
              <w:rPr>
                <w:b/>
                <w:bCs/>
                <w:color w:val="000000"/>
                <w:sz w:val="18"/>
                <w:szCs w:val="18"/>
              </w:rPr>
              <w:t>CFR CITE/ COLLECTION</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C13FB" w:rsidRPr="00174B20" w:rsidP="00EC1C57" w14:paraId="7EF668AB" w14:textId="77777777">
            <w:pPr>
              <w:spacing w:before="60" w:after="60"/>
              <w:ind w:left="-108" w:right="-108"/>
              <w:jc w:val="center"/>
              <w:rPr>
                <w:b/>
                <w:bCs/>
                <w:sz w:val="18"/>
                <w:szCs w:val="18"/>
              </w:rPr>
            </w:pPr>
            <w:r w:rsidRPr="00174B20">
              <w:rPr>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C13FB" w:rsidRPr="00174B20" w:rsidP="00EC1C57" w14:paraId="4E1A7150" w14:textId="77777777">
            <w:pPr>
              <w:spacing w:before="60" w:after="60"/>
              <w:ind w:left="-108" w:right="-108"/>
              <w:jc w:val="center"/>
              <w:rPr>
                <w:b/>
                <w:bCs/>
                <w:sz w:val="18"/>
                <w:szCs w:val="18"/>
              </w:rPr>
            </w:pPr>
            <w:r w:rsidRPr="00174B20">
              <w:rPr>
                <w:b/>
                <w:bCs/>
                <w:sz w:val="18"/>
                <w:szCs w:val="18"/>
              </w:rPr>
              <w:t>FREQUENCY OF RESPONSES PER YEAR</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9C13FB" w:rsidRPr="00174B20" w:rsidP="00EC1C57" w14:paraId="6779FA61" w14:textId="77777777">
            <w:pPr>
              <w:spacing w:before="60" w:after="60"/>
              <w:ind w:left="-108" w:right="-108"/>
              <w:jc w:val="center"/>
              <w:rPr>
                <w:b/>
                <w:bCs/>
                <w:sz w:val="18"/>
                <w:szCs w:val="18"/>
              </w:rPr>
            </w:pPr>
            <w:r w:rsidRPr="00174B20">
              <w:rPr>
                <w:b/>
                <w:bCs/>
                <w:sz w:val="18"/>
                <w:szCs w:val="18"/>
              </w:rPr>
              <w:t>TOTAL ANNUAL RESPONSES</w:t>
            </w:r>
          </w:p>
        </w:tc>
        <w:tc>
          <w:tcPr>
            <w:tcW w:w="1260" w:type="dxa"/>
            <w:tcBorders>
              <w:top w:val="single" w:sz="8" w:space="0" w:color="auto"/>
              <w:left w:val="nil"/>
              <w:bottom w:val="single" w:sz="8" w:space="0" w:color="auto"/>
              <w:right w:val="single" w:sz="4" w:space="0" w:color="auto"/>
            </w:tcBorders>
            <w:shd w:val="clear" w:color="000000" w:fill="BFBFBF" w:themeFill="background1" w:themeFillShade="BF"/>
            <w:vAlign w:val="center"/>
            <w:hideMark/>
          </w:tcPr>
          <w:p w:rsidR="009C13FB" w:rsidRPr="00174B20" w:rsidP="00EC1C57" w14:paraId="4D873FCB" w14:textId="77777777">
            <w:pPr>
              <w:spacing w:before="60" w:after="60"/>
              <w:ind w:left="-108" w:right="-108"/>
              <w:jc w:val="center"/>
              <w:rPr>
                <w:b/>
                <w:bCs/>
                <w:sz w:val="18"/>
                <w:szCs w:val="18"/>
              </w:rPr>
            </w:pPr>
            <w:r w:rsidRPr="00174B20">
              <w:rPr>
                <w:b/>
                <w:bCs/>
                <w:sz w:val="18"/>
                <w:szCs w:val="18"/>
              </w:rPr>
              <w:t>AVERAGE HOURS  PER RESPONSE</w:t>
            </w:r>
          </w:p>
        </w:tc>
        <w:tc>
          <w:tcPr>
            <w:tcW w:w="108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hideMark/>
          </w:tcPr>
          <w:p w:rsidR="009C13FB" w:rsidRPr="00174B20" w:rsidP="00EC1C57" w14:paraId="58A71F71" w14:textId="77777777">
            <w:pPr>
              <w:spacing w:before="60" w:after="60"/>
              <w:jc w:val="center"/>
              <w:rPr>
                <w:b/>
                <w:bCs/>
                <w:sz w:val="18"/>
                <w:szCs w:val="18"/>
              </w:rPr>
            </w:pPr>
            <w:r w:rsidRPr="00174B20">
              <w:rPr>
                <w:b/>
                <w:bCs/>
                <w:sz w:val="18"/>
                <w:szCs w:val="18"/>
              </w:rPr>
              <w:t xml:space="preserve">TOTAL </w:t>
            </w:r>
            <w:r>
              <w:rPr>
                <w:b/>
                <w:bCs/>
                <w:sz w:val="18"/>
                <w:szCs w:val="18"/>
              </w:rPr>
              <w:t xml:space="preserve">ANNUAL </w:t>
            </w:r>
            <w:r w:rsidRPr="00174B20">
              <w:rPr>
                <w:b/>
                <w:bCs/>
                <w:sz w:val="18"/>
                <w:szCs w:val="18"/>
              </w:rPr>
              <w:t>HOURS</w:t>
            </w:r>
          </w:p>
        </w:tc>
        <w:tc>
          <w:tcPr>
            <w:tcW w:w="11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9C13FB" w:rsidRPr="00174B20" w:rsidP="00EC1C57" w14:paraId="1E6E23F2" w14:textId="77777777">
            <w:pPr>
              <w:spacing w:before="60" w:after="60"/>
              <w:jc w:val="center"/>
              <w:rPr>
                <w:b/>
                <w:bCs/>
                <w:sz w:val="18"/>
                <w:szCs w:val="18"/>
              </w:rPr>
            </w:pPr>
            <w:r>
              <w:rPr>
                <w:b/>
                <w:bCs/>
                <w:sz w:val="18"/>
                <w:szCs w:val="18"/>
              </w:rPr>
              <w:t xml:space="preserve">AVERAGE </w:t>
            </w:r>
            <w:r w:rsidR="00F626A1">
              <w:rPr>
                <w:b/>
                <w:bCs/>
                <w:sz w:val="18"/>
                <w:szCs w:val="18"/>
              </w:rPr>
              <w:t xml:space="preserve">HOURLY </w:t>
            </w:r>
            <w:r>
              <w:rPr>
                <w:b/>
                <w:bCs/>
                <w:sz w:val="18"/>
                <w:szCs w:val="18"/>
              </w:rPr>
              <w:t>WAGE COST</w:t>
            </w:r>
          </w:p>
        </w:tc>
        <w:tc>
          <w:tcPr>
            <w:tcW w:w="162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tcPr>
          <w:p w:rsidR="009C13FB" w:rsidRPr="00174B20" w:rsidP="00BC694A" w14:paraId="0265B1FE" w14:textId="77777777">
            <w:pPr>
              <w:spacing w:before="60" w:after="60"/>
              <w:jc w:val="center"/>
              <w:rPr>
                <w:b/>
                <w:bCs/>
                <w:sz w:val="18"/>
                <w:szCs w:val="18"/>
              </w:rPr>
            </w:pPr>
            <w:r w:rsidRPr="00174B20">
              <w:rPr>
                <w:b/>
                <w:bCs/>
                <w:sz w:val="18"/>
                <w:szCs w:val="18"/>
              </w:rPr>
              <w:t xml:space="preserve">TOTAL </w:t>
            </w:r>
            <w:r w:rsidR="00BC694A">
              <w:rPr>
                <w:b/>
                <w:bCs/>
                <w:sz w:val="18"/>
                <w:szCs w:val="18"/>
              </w:rPr>
              <w:t>WAGE</w:t>
            </w:r>
            <w:r w:rsidRPr="00174B20">
              <w:rPr>
                <w:b/>
                <w:bCs/>
                <w:sz w:val="18"/>
                <w:szCs w:val="18"/>
              </w:rPr>
              <w:t xml:space="preserve"> COST</w:t>
            </w:r>
          </w:p>
        </w:tc>
      </w:tr>
      <w:bookmarkEnd w:id="0"/>
      <w:tr w14:paraId="41ADCD8A" w14:textId="77777777" w:rsidTr="00BC694A">
        <w:tblPrEx>
          <w:tblW w:w="10350" w:type="dxa"/>
          <w:tblInd w:w="10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vAlign w:val="bottom"/>
            <w:hideMark/>
          </w:tcPr>
          <w:p w:rsidR="009C13FB" w:rsidRPr="00174B20" w:rsidP="00EC1C57" w14:paraId="073A2826" w14:textId="77777777">
            <w:pPr>
              <w:spacing w:after="60"/>
              <w:rPr>
                <w:b/>
                <w:bCs/>
              </w:rPr>
            </w:pPr>
            <w:r w:rsidRPr="00174B20">
              <w:rPr>
                <w:b/>
                <w:bCs/>
              </w:rPr>
              <w:t>543.3</w:t>
            </w:r>
          </w:p>
        </w:tc>
        <w:tc>
          <w:tcPr>
            <w:tcW w:w="1350" w:type="dxa"/>
            <w:tcBorders>
              <w:top w:val="single" w:sz="8" w:space="0" w:color="auto"/>
              <w:left w:val="single" w:sz="4" w:space="0" w:color="auto"/>
              <w:bottom w:val="single" w:sz="8" w:space="0" w:color="auto"/>
              <w:right w:val="single" w:sz="8" w:space="0" w:color="auto"/>
            </w:tcBorders>
          </w:tcPr>
          <w:p w:rsidR="009C13FB" w:rsidRPr="00DB15ED" w:rsidP="00C552E6" w14:paraId="5D22E44A" w14:textId="03C3B0C6">
            <w:pPr>
              <w:spacing w:after="60"/>
              <w:jc w:val="center"/>
            </w:pPr>
            <w:r>
              <w:t>1</w:t>
            </w:r>
          </w:p>
        </w:tc>
        <w:tc>
          <w:tcPr>
            <w:tcW w:w="1350" w:type="dxa"/>
            <w:tcBorders>
              <w:top w:val="single" w:sz="8" w:space="0" w:color="auto"/>
              <w:left w:val="nil"/>
              <w:bottom w:val="single" w:sz="8" w:space="0" w:color="auto"/>
              <w:right w:val="single" w:sz="8" w:space="0" w:color="auto"/>
            </w:tcBorders>
          </w:tcPr>
          <w:p w:rsidR="009C13FB" w:rsidRPr="00DB15ED" w:rsidP="00C552E6" w14:paraId="1E9CC459" w14:textId="05615E78">
            <w:pPr>
              <w:spacing w:after="60"/>
              <w:jc w:val="center"/>
            </w:pPr>
            <w:r>
              <w:t>1</w:t>
            </w:r>
          </w:p>
        </w:tc>
        <w:tc>
          <w:tcPr>
            <w:tcW w:w="1170" w:type="dxa"/>
            <w:tcBorders>
              <w:top w:val="single" w:sz="8" w:space="0" w:color="auto"/>
              <w:left w:val="nil"/>
              <w:bottom w:val="single" w:sz="8" w:space="0" w:color="auto"/>
              <w:right w:val="single" w:sz="8" w:space="0" w:color="auto"/>
            </w:tcBorders>
          </w:tcPr>
          <w:p w:rsidR="009C13FB" w:rsidRPr="00DB15ED" w:rsidP="00C552E6" w14:paraId="7F255F86" w14:textId="0371E076">
            <w:pPr>
              <w:spacing w:after="60"/>
              <w:jc w:val="center"/>
            </w:pPr>
            <w:r>
              <w:t>1</w:t>
            </w:r>
          </w:p>
        </w:tc>
        <w:tc>
          <w:tcPr>
            <w:tcW w:w="1260" w:type="dxa"/>
            <w:tcBorders>
              <w:top w:val="single" w:sz="8" w:space="0" w:color="auto"/>
              <w:left w:val="nil"/>
              <w:bottom w:val="single" w:sz="8" w:space="0" w:color="auto"/>
              <w:right w:val="single" w:sz="4" w:space="0" w:color="auto"/>
            </w:tcBorders>
          </w:tcPr>
          <w:p w:rsidR="009C13FB" w:rsidRPr="00DB15ED" w:rsidP="00C552E6" w14:paraId="57CE85AC" w14:textId="42BCD18E">
            <w:pPr>
              <w:spacing w:after="60"/>
              <w:jc w:val="center"/>
            </w:pPr>
            <w:r>
              <w:t>2</w:t>
            </w:r>
          </w:p>
        </w:tc>
        <w:tc>
          <w:tcPr>
            <w:tcW w:w="1080" w:type="dxa"/>
            <w:tcBorders>
              <w:top w:val="single" w:sz="8" w:space="0" w:color="auto"/>
              <w:left w:val="single" w:sz="4" w:space="0" w:color="auto"/>
              <w:bottom w:val="single" w:sz="8" w:space="0" w:color="auto"/>
              <w:right w:val="single" w:sz="8" w:space="0" w:color="auto"/>
            </w:tcBorders>
          </w:tcPr>
          <w:p w:rsidR="009C13FB" w:rsidRPr="00DB15ED" w:rsidP="00C552E6" w14:paraId="28EB0A34" w14:textId="60C00163">
            <w:pPr>
              <w:spacing w:after="60"/>
              <w:jc w:val="center"/>
            </w:pPr>
            <w:r>
              <w:t>2</w:t>
            </w:r>
          </w:p>
        </w:tc>
        <w:tc>
          <w:tcPr>
            <w:tcW w:w="1170" w:type="dxa"/>
            <w:tcBorders>
              <w:top w:val="single" w:sz="8" w:space="0" w:color="auto"/>
              <w:left w:val="single" w:sz="4" w:space="0" w:color="auto"/>
              <w:bottom w:val="single" w:sz="8" w:space="0" w:color="auto"/>
              <w:right w:val="single" w:sz="4" w:space="0" w:color="auto"/>
            </w:tcBorders>
          </w:tcPr>
          <w:p w:rsidR="009C13FB" w:rsidRPr="00DB15ED" w:rsidP="00C552E6" w14:paraId="5BF323E3" w14:textId="410213C6">
            <w:pPr>
              <w:spacing w:after="60"/>
              <w:jc w:val="center"/>
            </w:pPr>
            <w:r>
              <w:t>$</w:t>
            </w:r>
            <w:r w:rsidR="00F16201">
              <w:t>122</w:t>
            </w:r>
          </w:p>
        </w:tc>
        <w:tc>
          <w:tcPr>
            <w:tcW w:w="1620" w:type="dxa"/>
            <w:tcBorders>
              <w:top w:val="single" w:sz="8" w:space="0" w:color="auto"/>
              <w:left w:val="single" w:sz="4" w:space="0" w:color="auto"/>
              <w:bottom w:val="single" w:sz="8" w:space="0" w:color="auto"/>
              <w:right w:val="single" w:sz="8" w:space="0" w:color="auto"/>
            </w:tcBorders>
          </w:tcPr>
          <w:p w:rsidR="009C13FB" w:rsidRPr="00DB15ED" w:rsidP="00C552E6" w14:paraId="19B4A1BF" w14:textId="072B2874">
            <w:pPr>
              <w:spacing w:after="60"/>
              <w:jc w:val="center"/>
            </w:pPr>
            <w:r w:rsidRPr="00DB15ED">
              <w:t>$</w:t>
            </w:r>
            <w:r w:rsidR="00F16201">
              <w:t>244</w:t>
            </w:r>
          </w:p>
        </w:tc>
      </w:tr>
      <w:tr w14:paraId="51C0BAAC" w14:textId="77777777" w:rsidTr="00BC694A">
        <w:tblPrEx>
          <w:tblW w:w="10350" w:type="dxa"/>
          <w:tblInd w:w="10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hideMark/>
          </w:tcPr>
          <w:p w:rsidR="009C13FB" w:rsidRPr="00174B20" w:rsidP="00EC1C57" w14:paraId="43B306F7" w14:textId="77777777">
            <w:bookmarkStart w:id="1" w:name="_Hlk202257922"/>
            <w:r w:rsidRPr="00174B20">
              <w:rPr>
                <w:b/>
                <w:bCs/>
              </w:rPr>
              <w:t>543.5</w:t>
            </w:r>
          </w:p>
        </w:tc>
        <w:tc>
          <w:tcPr>
            <w:tcW w:w="1350" w:type="dxa"/>
            <w:tcBorders>
              <w:top w:val="nil"/>
              <w:left w:val="single" w:sz="4" w:space="0" w:color="auto"/>
              <w:bottom w:val="single" w:sz="8" w:space="0" w:color="auto"/>
              <w:right w:val="single" w:sz="8" w:space="0" w:color="auto"/>
            </w:tcBorders>
          </w:tcPr>
          <w:p w:rsidR="009C13FB" w:rsidRPr="00DB15ED" w:rsidP="00C552E6" w14:paraId="461F17C8" w14:textId="1DBB8E7C">
            <w:pPr>
              <w:spacing w:after="60"/>
              <w:jc w:val="center"/>
            </w:pPr>
            <w:r>
              <w:t>3</w:t>
            </w:r>
          </w:p>
        </w:tc>
        <w:tc>
          <w:tcPr>
            <w:tcW w:w="1350" w:type="dxa"/>
            <w:tcBorders>
              <w:top w:val="nil"/>
              <w:left w:val="nil"/>
              <w:bottom w:val="single" w:sz="8" w:space="0" w:color="auto"/>
              <w:right w:val="single" w:sz="8" w:space="0" w:color="auto"/>
            </w:tcBorders>
          </w:tcPr>
          <w:p w:rsidR="009C13FB" w:rsidRPr="00DB15ED" w:rsidP="00C552E6" w14:paraId="31E03CA2" w14:textId="77777777">
            <w:pPr>
              <w:spacing w:after="60"/>
              <w:jc w:val="center"/>
            </w:pPr>
            <w:r w:rsidRPr="00DB15ED">
              <w:t>Varies</w:t>
            </w:r>
          </w:p>
        </w:tc>
        <w:tc>
          <w:tcPr>
            <w:tcW w:w="1170" w:type="dxa"/>
            <w:tcBorders>
              <w:top w:val="nil"/>
              <w:left w:val="nil"/>
              <w:bottom w:val="single" w:sz="8" w:space="0" w:color="auto"/>
              <w:right w:val="single" w:sz="8" w:space="0" w:color="auto"/>
            </w:tcBorders>
          </w:tcPr>
          <w:p w:rsidR="009C13FB" w:rsidRPr="00DB15ED" w:rsidP="00C552E6" w14:paraId="0282D8B0" w14:textId="3F55E232">
            <w:pPr>
              <w:spacing w:after="60"/>
              <w:jc w:val="center"/>
            </w:pPr>
            <w:r>
              <w:t>3</w:t>
            </w:r>
          </w:p>
        </w:tc>
        <w:tc>
          <w:tcPr>
            <w:tcW w:w="1260" w:type="dxa"/>
            <w:tcBorders>
              <w:top w:val="nil"/>
              <w:left w:val="nil"/>
              <w:bottom w:val="single" w:sz="8" w:space="0" w:color="auto"/>
              <w:right w:val="single" w:sz="4" w:space="0" w:color="auto"/>
            </w:tcBorders>
          </w:tcPr>
          <w:p w:rsidR="009C13FB" w:rsidRPr="00DB15ED" w:rsidP="00C552E6" w14:paraId="70BF9680" w14:textId="5CD36603">
            <w:pPr>
              <w:spacing w:after="60"/>
              <w:jc w:val="center"/>
            </w:pPr>
            <w:r>
              <w:t>6.8</w:t>
            </w:r>
          </w:p>
        </w:tc>
        <w:tc>
          <w:tcPr>
            <w:tcW w:w="1080" w:type="dxa"/>
            <w:tcBorders>
              <w:top w:val="nil"/>
              <w:left w:val="single" w:sz="4" w:space="0" w:color="auto"/>
              <w:bottom w:val="single" w:sz="8" w:space="0" w:color="auto"/>
              <w:right w:val="single" w:sz="8" w:space="0" w:color="auto"/>
            </w:tcBorders>
          </w:tcPr>
          <w:p w:rsidR="009C13FB" w:rsidRPr="00DB15ED" w:rsidP="00C552E6" w14:paraId="00FDA00C" w14:textId="34FD76BA">
            <w:pPr>
              <w:spacing w:after="60"/>
              <w:jc w:val="center"/>
            </w:pPr>
            <w:r>
              <w:t>20.4</w:t>
            </w:r>
          </w:p>
        </w:tc>
        <w:tc>
          <w:tcPr>
            <w:tcW w:w="1170" w:type="dxa"/>
            <w:tcBorders>
              <w:top w:val="nil"/>
              <w:left w:val="single" w:sz="4" w:space="0" w:color="auto"/>
              <w:bottom w:val="single" w:sz="8" w:space="0" w:color="auto"/>
              <w:right w:val="single" w:sz="4" w:space="0" w:color="auto"/>
            </w:tcBorders>
          </w:tcPr>
          <w:p w:rsidR="009C13FB" w:rsidRPr="00DB15ED" w:rsidP="00C552E6" w14:paraId="1CF19400" w14:textId="7AC09E26">
            <w:pPr>
              <w:spacing w:after="60"/>
              <w:jc w:val="center"/>
            </w:pPr>
            <w:r>
              <w:t>$</w:t>
            </w:r>
            <w:r w:rsidR="00F16201">
              <w:t>142</w:t>
            </w:r>
          </w:p>
        </w:tc>
        <w:tc>
          <w:tcPr>
            <w:tcW w:w="1620" w:type="dxa"/>
            <w:tcBorders>
              <w:top w:val="nil"/>
              <w:left w:val="single" w:sz="4" w:space="0" w:color="auto"/>
              <w:bottom w:val="single" w:sz="8" w:space="0" w:color="auto"/>
              <w:right w:val="single" w:sz="8" w:space="0" w:color="auto"/>
            </w:tcBorders>
          </w:tcPr>
          <w:p w:rsidR="009C13FB" w:rsidRPr="00DB15ED" w:rsidP="00C552E6" w14:paraId="7AC77AD8" w14:textId="4A801D2D">
            <w:pPr>
              <w:spacing w:after="60"/>
              <w:jc w:val="center"/>
            </w:pPr>
            <w:r>
              <w:t>$</w:t>
            </w:r>
            <w:r w:rsidR="00F16201">
              <w:t>2,900</w:t>
            </w:r>
          </w:p>
        </w:tc>
      </w:tr>
      <w:bookmarkEnd w:id="1"/>
      <w:tr w14:paraId="468F75BB" w14:textId="77777777" w:rsidTr="00BC694A">
        <w:tblPrEx>
          <w:tblW w:w="10350" w:type="dxa"/>
          <w:tblInd w:w="10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tcPr>
          <w:p w:rsidR="009C13FB" w:rsidRPr="00174B20" w:rsidP="00EC1C57" w14:paraId="69C64700" w14:textId="77777777">
            <w:r w:rsidRPr="00174B20">
              <w:rPr>
                <w:b/>
                <w:bCs/>
              </w:rPr>
              <w:t>543.23(c)</w:t>
            </w:r>
          </w:p>
        </w:tc>
        <w:tc>
          <w:tcPr>
            <w:tcW w:w="1350" w:type="dxa"/>
            <w:tcBorders>
              <w:top w:val="nil"/>
              <w:left w:val="single" w:sz="4" w:space="0" w:color="auto"/>
              <w:bottom w:val="single" w:sz="8" w:space="0" w:color="auto"/>
              <w:right w:val="single" w:sz="8" w:space="0" w:color="auto"/>
            </w:tcBorders>
          </w:tcPr>
          <w:p w:rsidR="009C13FB" w:rsidRPr="00DB15ED" w:rsidP="00C552E6" w14:paraId="769EC821" w14:textId="772AC2CA">
            <w:pPr>
              <w:spacing w:after="60"/>
              <w:jc w:val="center"/>
            </w:pPr>
            <w:r>
              <w:t>204</w:t>
            </w:r>
          </w:p>
        </w:tc>
        <w:tc>
          <w:tcPr>
            <w:tcW w:w="1350" w:type="dxa"/>
            <w:tcBorders>
              <w:top w:val="nil"/>
              <w:left w:val="nil"/>
              <w:bottom w:val="single" w:sz="8" w:space="0" w:color="auto"/>
              <w:right w:val="single" w:sz="8" w:space="0" w:color="auto"/>
            </w:tcBorders>
          </w:tcPr>
          <w:p w:rsidR="009C13FB" w:rsidRPr="00DB15ED" w:rsidP="00C552E6" w14:paraId="447080DD" w14:textId="77777777">
            <w:pPr>
              <w:spacing w:after="60"/>
              <w:jc w:val="center"/>
            </w:pPr>
            <w:r w:rsidRPr="00DB15ED">
              <w:t>1</w:t>
            </w:r>
          </w:p>
        </w:tc>
        <w:tc>
          <w:tcPr>
            <w:tcW w:w="1170" w:type="dxa"/>
            <w:tcBorders>
              <w:top w:val="nil"/>
              <w:left w:val="nil"/>
              <w:bottom w:val="single" w:sz="8" w:space="0" w:color="auto"/>
              <w:right w:val="single" w:sz="8" w:space="0" w:color="auto"/>
            </w:tcBorders>
          </w:tcPr>
          <w:p w:rsidR="009C13FB" w:rsidRPr="00DB15ED" w:rsidP="00C552E6" w14:paraId="2B0C8743" w14:textId="3E7FAF67">
            <w:pPr>
              <w:spacing w:after="60"/>
              <w:jc w:val="center"/>
            </w:pPr>
            <w:r>
              <w:t>418</w:t>
            </w:r>
          </w:p>
        </w:tc>
        <w:tc>
          <w:tcPr>
            <w:tcW w:w="1260" w:type="dxa"/>
            <w:tcBorders>
              <w:top w:val="nil"/>
              <w:left w:val="nil"/>
              <w:bottom w:val="single" w:sz="8" w:space="0" w:color="auto"/>
              <w:right w:val="single" w:sz="4" w:space="0" w:color="auto"/>
            </w:tcBorders>
          </w:tcPr>
          <w:p w:rsidR="009C13FB" w:rsidRPr="00DB15ED" w:rsidP="00C552E6" w14:paraId="1AADDB2D" w14:textId="4378CB2C">
            <w:pPr>
              <w:spacing w:after="60"/>
              <w:jc w:val="center"/>
            </w:pPr>
            <w:r>
              <w:t>.</w:t>
            </w:r>
            <w:r w:rsidR="00286BE9">
              <w:t>35</w:t>
            </w:r>
          </w:p>
        </w:tc>
        <w:tc>
          <w:tcPr>
            <w:tcW w:w="1080" w:type="dxa"/>
            <w:tcBorders>
              <w:top w:val="nil"/>
              <w:left w:val="single" w:sz="4" w:space="0" w:color="auto"/>
              <w:bottom w:val="single" w:sz="8" w:space="0" w:color="auto"/>
              <w:right w:val="single" w:sz="8" w:space="0" w:color="auto"/>
            </w:tcBorders>
          </w:tcPr>
          <w:p w:rsidR="009C13FB" w:rsidRPr="00DB15ED" w:rsidP="00C552E6" w14:paraId="1ABE0BEA" w14:textId="0C173F23">
            <w:pPr>
              <w:spacing w:after="60"/>
              <w:jc w:val="center"/>
            </w:pPr>
            <w:r>
              <w:t>146</w:t>
            </w:r>
          </w:p>
        </w:tc>
        <w:tc>
          <w:tcPr>
            <w:tcW w:w="1170" w:type="dxa"/>
            <w:tcBorders>
              <w:top w:val="nil"/>
              <w:left w:val="single" w:sz="4" w:space="0" w:color="auto"/>
              <w:bottom w:val="single" w:sz="8" w:space="0" w:color="auto"/>
              <w:right w:val="single" w:sz="4" w:space="0" w:color="auto"/>
            </w:tcBorders>
          </w:tcPr>
          <w:p w:rsidR="009C13FB" w:rsidRPr="00DB15ED" w:rsidP="00C552E6" w14:paraId="07DBDD30" w14:textId="72DDE79F">
            <w:pPr>
              <w:spacing w:after="60"/>
              <w:jc w:val="center"/>
            </w:pPr>
            <w:r>
              <w:t>$</w:t>
            </w:r>
            <w:r w:rsidR="00286BE9">
              <w:t>80</w:t>
            </w:r>
          </w:p>
        </w:tc>
        <w:tc>
          <w:tcPr>
            <w:tcW w:w="1620" w:type="dxa"/>
            <w:tcBorders>
              <w:top w:val="nil"/>
              <w:left w:val="single" w:sz="4" w:space="0" w:color="auto"/>
              <w:bottom w:val="single" w:sz="8" w:space="0" w:color="auto"/>
              <w:right w:val="single" w:sz="8" w:space="0" w:color="auto"/>
            </w:tcBorders>
          </w:tcPr>
          <w:p w:rsidR="009C13FB" w:rsidRPr="00DB15ED" w:rsidP="00C552E6" w14:paraId="18C1315D" w14:textId="489EDE73">
            <w:pPr>
              <w:spacing w:after="60"/>
              <w:jc w:val="center"/>
            </w:pPr>
            <w:r w:rsidRPr="00DB15ED">
              <w:t>$</w:t>
            </w:r>
            <w:r w:rsidR="00286BE9">
              <w:t>11,716</w:t>
            </w:r>
          </w:p>
        </w:tc>
      </w:tr>
      <w:tr w14:paraId="532DEFBF" w14:textId="77777777" w:rsidTr="00BC694A">
        <w:tblPrEx>
          <w:tblW w:w="10350" w:type="dxa"/>
          <w:tblInd w:w="10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tcPr>
          <w:p w:rsidR="009C13FB" w:rsidRPr="00174B20" w:rsidP="00EC1C57" w14:paraId="08A46293" w14:textId="77777777">
            <w:pPr>
              <w:rPr>
                <w:b/>
                <w:bCs/>
              </w:rPr>
            </w:pPr>
            <w:r w:rsidRPr="00174B20">
              <w:rPr>
                <w:b/>
                <w:bCs/>
              </w:rPr>
              <w:t>543.23(d)</w:t>
            </w:r>
          </w:p>
        </w:tc>
        <w:tc>
          <w:tcPr>
            <w:tcW w:w="1350" w:type="dxa"/>
            <w:tcBorders>
              <w:top w:val="nil"/>
              <w:left w:val="single" w:sz="4" w:space="0" w:color="auto"/>
              <w:bottom w:val="single" w:sz="8" w:space="0" w:color="auto"/>
              <w:right w:val="single" w:sz="8" w:space="0" w:color="auto"/>
            </w:tcBorders>
          </w:tcPr>
          <w:p w:rsidR="009C13FB" w:rsidRPr="00DB15ED" w:rsidP="00C552E6" w14:paraId="25665A80" w14:textId="11C8BF71">
            <w:pPr>
              <w:spacing w:after="60"/>
              <w:jc w:val="center"/>
            </w:pPr>
            <w:r>
              <w:t>204</w:t>
            </w:r>
          </w:p>
        </w:tc>
        <w:tc>
          <w:tcPr>
            <w:tcW w:w="1350" w:type="dxa"/>
            <w:tcBorders>
              <w:top w:val="nil"/>
              <w:left w:val="nil"/>
              <w:bottom w:val="single" w:sz="8" w:space="0" w:color="auto"/>
              <w:right w:val="single" w:sz="8" w:space="0" w:color="auto"/>
            </w:tcBorders>
          </w:tcPr>
          <w:p w:rsidR="009C13FB" w:rsidRPr="00DB15ED" w:rsidP="00C552E6" w14:paraId="62AAA3B5" w14:textId="77777777">
            <w:pPr>
              <w:spacing w:after="60"/>
              <w:jc w:val="center"/>
            </w:pPr>
            <w:r w:rsidRPr="00DB15ED">
              <w:t>1</w:t>
            </w:r>
          </w:p>
        </w:tc>
        <w:tc>
          <w:tcPr>
            <w:tcW w:w="1170" w:type="dxa"/>
            <w:tcBorders>
              <w:top w:val="nil"/>
              <w:left w:val="nil"/>
              <w:bottom w:val="single" w:sz="8" w:space="0" w:color="auto"/>
              <w:right w:val="single" w:sz="8" w:space="0" w:color="auto"/>
            </w:tcBorders>
          </w:tcPr>
          <w:p w:rsidR="009C13FB" w:rsidRPr="00DB15ED" w:rsidP="00C552E6" w14:paraId="47575455" w14:textId="5D650779">
            <w:pPr>
              <w:spacing w:after="60"/>
              <w:jc w:val="center"/>
            </w:pPr>
            <w:r>
              <w:t>418</w:t>
            </w:r>
          </w:p>
        </w:tc>
        <w:tc>
          <w:tcPr>
            <w:tcW w:w="1260" w:type="dxa"/>
            <w:tcBorders>
              <w:top w:val="nil"/>
              <w:left w:val="nil"/>
              <w:bottom w:val="single" w:sz="8" w:space="0" w:color="auto"/>
              <w:right w:val="single" w:sz="4" w:space="0" w:color="auto"/>
            </w:tcBorders>
          </w:tcPr>
          <w:p w:rsidR="009C13FB" w:rsidRPr="00DB15ED" w:rsidP="00C552E6" w14:paraId="7C4B2B33" w14:textId="07DC9A5B">
            <w:pPr>
              <w:spacing w:after="60"/>
              <w:jc w:val="center"/>
            </w:pPr>
            <w:r>
              <w:t>0.20</w:t>
            </w:r>
          </w:p>
        </w:tc>
        <w:tc>
          <w:tcPr>
            <w:tcW w:w="1080" w:type="dxa"/>
            <w:tcBorders>
              <w:top w:val="nil"/>
              <w:left w:val="single" w:sz="4" w:space="0" w:color="auto"/>
              <w:bottom w:val="single" w:sz="8" w:space="0" w:color="auto"/>
              <w:right w:val="single" w:sz="8" w:space="0" w:color="auto"/>
            </w:tcBorders>
          </w:tcPr>
          <w:p w:rsidR="009C13FB" w:rsidRPr="00DB15ED" w:rsidP="00C552E6" w14:paraId="6AC53A10" w14:textId="351A5007">
            <w:pPr>
              <w:spacing w:after="60"/>
              <w:jc w:val="center"/>
            </w:pPr>
            <w:r>
              <w:t>84</w:t>
            </w:r>
          </w:p>
        </w:tc>
        <w:tc>
          <w:tcPr>
            <w:tcW w:w="1170" w:type="dxa"/>
            <w:tcBorders>
              <w:top w:val="nil"/>
              <w:left w:val="single" w:sz="4" w:space="0" w:color="auto"/>
              <w:bottom w:val="single" w:sz="8" w:space="0" w:color="auto"/>
              <w:right w:val="single" w:sz="4" w:space="0" w:color="auto"/>
            </w:tcBorders>
          </w:tcPr>
          <w:p w:rsidR="009C13FB" w:rsidRPr="00DB15ED" w:rsidP="00C552E6" w14:paraId="2B515F71" w14:textId="4D7CF482">
            <w:pPr>
              <w:spacing w:after="60"/>
              <w:jc w:val="center"/>
            </w:pPr>
            <w:r>
              <w:t>$</w:t>
            </w:r>
            <w:r w:rsidR="00B21D77">
              <w:t>56</w:t>
            </w:r>
          </w:p>
        </w:tc>
        <w:tc>
          <w:tcPr>
            <w:tcW w:w="1620" w:type="dxa"/>
            <w:tcBorders>
              <w:top w:val="nil"/>
              <w:left w:val="single" w:sz="4" w:space="0" w:color="auto"/>
              <w:bottom w:val="single" w:sz="8" w:space="0" w:color="auto"/>
              <w:right w:val="single" w:sz="8" w:space="0" w:color="auto"/>
            </w:tcBorders>
          </w:tcPr>
          <w:p w:rsidR="009C13FB" w:rsidRPr="00DB15ED" w:rsidP="00C552E6" w14:paraId="6BC72D9E" w14:textId="526CC672">
            <w:pPr>
              <w:spacing w:after="60"/>
              <w:jc w:val="center"/>
            </w:pPr>
            <w:r w:rsidRPr="00DB15ED">
              <w:t>$</w:t>
            </w:r>
            <w:r w:rsidR="00B21D77">
              <w:t>4,656</w:t>
            </w:r>
          </w:p>
        </w:tc>
      </w:tr>
      <w:tr w14:paraId="12005AB8" w14:textId="77777777" w:rsidTr="00BC694A">
        <w:tblPrEx>
          <w:tblW w:w="10350" w:type="dxa"/>
          <w:tblInd w:w="108" w:type="dxa"/>
          <w:tblLayout w:type="fixed"/>
          <w:tblLook w:val="04A0"/>
        </w:tblPrEx>
        <w:trPr>
          <w:trHeight w:val="46"/>
        </w:trPr>
        <w:tc>
          <w:tcPr>
            <w:tcW w:w="1350" w:type="dxa"/>
            <w:tcBorders>
              <w:top w:val="single" w:sz="4" w:space="0" w:color="auto"/>
              <w:left w:val="nil"/>
              <w:bottom w:val="single" w:sz="4" w:space="0" w:color="auto"/>
              <w:right w:val="nil"/>
            </w:tcBorders>
            <w:vAlign w:val="bottom"/>
            <w:hideMark/>
          </w:tcPr>
          <w:p w:rsidR="009C13FB" w:rsidRPr="00174B20" w:rsidP="00EC1C57" w14:paraId="24535B37" w14:textId="77777777">
            <w:pPr>
              <w:rPr>
                <w:b/>
                <w:bCs/>
                <w:sz w:val="4"/>
                <w:szCs w:val="4"/>
              </w:rPr>
            </w:pPr>
          </w:p>
        </w:tc>
        <w:tc>
          <w:tcPr>
            <w:tcW w:w="1350" w:type="dxa"/>
            <w:tcBorders>
              <w:top w:val="nil"/>
              <w:left w:val="nil"/>
              <w:bottom w:val="single" w:sz="4" w:space="0" w:color="auto"/>
              <w:right w:val="nil"/>
            </w:tcBorders>
            <w:vAlign w:val="bottom"/>
            <w:hideMark/>
          </w:tcPr>
          <w:p w:rsidR="009C13FB" w:rsidRPr="00DB15ED" w:rsidP="00C552E6" w14:paraId="2CDF04E1" w14:textId="77777777">
            <w:pPr>
              <w:jc w:val="center"/>
              <w:rPr>
                <w:sz w:val="4"/>
                <w:szCs w:val="4"/>
              </w:rPr>
            </w:pPr>
          </w:p>
        </w:tc>
        <w:tc>
          <w:tcPr>
            <w:tcW w:w="1350" w:type="dxa"/>
            <w:tcBorders>
              <w:top w:val="nil"/>
              <w:left w:val="nil"/>
              <w:bottom w:val="single" w:sz="4" w:space="0" w:color="auto"/>
              <w:right w:val="nil"/>
            </w:tcBorders>
            <w:vAlign w:val="bottom"/>
            <w:hideMark/>
          </w:tcPr>
          <w:p w:rsidR="009C13FB" w:rsidRPr="00DB15ED" w:rsidP="00C552E6" w14:paraId="02CAF28D" w14:textId="77777777">
            <w:pPr>
              <w:jc w:val="center"/>
              <w:rPr>
                <w:sz w:val="4"/>
                <w:szCs w:val="4"/>
              </w:rPr>
            </w:pPr>
          </w:p>
        </w:tc>
        <w:tc>
          <w:tcPr>
            <w:tcW w:w="1170" w:type="dxa"/>
            <w:tcBorders>
              <w:top w:val="nil"/>
              <w:left w:val="nil"/>
              <w:bottom w:val="single" w:sz="4" w:space="0" w:color="auto"/>
              <w:right w:val="nil"/>
            </w:tcBorders>
            <w:vAlign w:val="bottom"/>
            <w:hideMark/>
          </w:tcPr>
          <w:p w:rsidR="009C13FB" w:rsidRPr="00DB15ED" w:rsidP="00C552E6" w14:paraId="3EC7B149" w14:textId="77777777">
            <w:pPr>
              <w:jc w:val="center"/>
              <w:rPr>
                <w:sz w:val="4"/>
                <w:szCs w:val="4"/>
              </w:rPr>
            </w:pPr>
          </w:p>
        </w:tc>
        <w:tc>
          <w:tcPr>
            <w:tcW w:w="1260" w:type="dxa"/>
            <w:tcBorders>
              <w:top w:val="nil"/>
              <w:left w:val="nil"/>
              <w:bottom w:val="single" w:sz="4" w:space="0" w:color="auto"/>
              <w:right w:val="nil"/>
            </w:tcBorders>
            <w:vAlign w:val="bottom"/>
            <w:hideMark/>
          </w:tcPr>
          <w:p w:rsidR="009C13FB" w:rsidRPr="00DB15ED" w:rsidP="00C552E6" w14:paraId="0DE921DB" w14:textId="77777777">
            <w:pPr>
              <w:jc w:val="center"/>
              <w:rPr>
                <w:sz w:val="4"/>
                <w:szCs w:val="4"/>
              </w:rPr>
            </w:pPr>
          </w:p>
        </w:tc>
        <w:tc>
          <w:tcPr>
            <w:tcW w:w="1080" w:type="dxa"/>
            <w:tcBorders>
              <w:top w:val="nil"/>
              <w:left w:val="nil"/>
              <w:bottom w:val="single" w:sz="4" w:space="0" w:color="auto"/>
              <w:right w:val="nil"/>
            </w:tcBorders>
            <w:vAlign w:val="bottom"/>
            <w:hideMark/>
          </w:tcPr>
          <w:p w:rsidR="009C13FB" w:rsidRPr="00DB15ED" w:rsidP="00C552E6" w14:paraId="43C47AFE" w14:textId="77777777">
            <w:pPr>
              <w:jc w:val="center"/>
              <w:rPr>
                <w:sz w:val="4"/>
                <w:szCs w:val="4"/>
              </w:rPr>
            </w:pPr>
          </w:p>
        </w:tc>
        <w:tc>
          <w:tcPr>
            <w:tcW w:w="1170" w:type="dxa"/>
            <w:tcBorders>
              <w:top w:val="nil"/>
              <w:left w:val="nil"/>
              <w:bottom w:val="single" w:sz="4" w:space="0" w:color="auto"/>
              <w:right w:val="nil"/>
            </w:tcBorders>
          </w:tcPr>
          <w:p w:rsidR="009C13FB" w:rsidRPr="00DB15ED" w:rsidP="00C552E6" w14:paraId="63AF3119" w14:textId="77777777">
            <w:pPr>
              <w:jc w:val="center"/>
              <w:rPr>
                <w:sz w:val="4"/>
                <w:szCs w:val="4"/>
              </w:rPr>
            </w:pPr>
          </w:p>
        </w:tc>
        <w:tc>
          <w:tcPr>
            <w:tcW w:w="1620" w:type="dxa"/>
            <w:tcBorders>
              <w:top w:val="nil"/>
              <w:left w:val="nil"/>
              <w:bottom w:val="single" w:sz="4" w:space="0" w:color="auto"/>
              <w:right w:val="nil"/>
            </w:tcBorders>
          </w:tcPr>
          <w:p w:rsidR="009C13FB" w:rsidRPr="00DB15ED" w:rsidP="00C552E6" w14:paraId="52FB6938" w14:textId="77777777">
            <w:pPr>
              <w:jc w:val="center"/>
              <w:rPr>
                <w:sz w:val="4"/>
                <w:szCs w:val="4"/>
              </w:rPr>
            </w:pPr>
          </w:p>
        </w:tc>
      </w:tr>
      <w:tr w14:paraId="4EC5D362" w14:textId="77777777" w:rsidTr="00BC694A">
        <w:tblPrEx>
          <w:tblW w:w="10350" w:type="dxa"/>
          <w:tblInd w:w="108"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C13FB" w:rsidRPr="00174B20" w:rsidP="00EC1C57" w14:paraId="32A5025C" w14:textId="77777777">
            <w:pPr>
              <w:spacing w:after="60"/>
              <w:rPr>
                <w:b/>
                <w:bCs/>
              </w:rPr>
            </w:pPr>
            <w:r w:rsidRPr="00174B20">
              <w:rPr>
                <w:b/>
                <w:bCs/>
              </w:rPr>
              <w:t>TOTAL</w:t>
            </w:r>
          </w:p>
        </w:tc>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C13FB" w:rsidRPr="00DB15ED" w:rsidP="00C552E6" w14:paraId="7F586221" w14:textId="3205DA7B">
            <w:pPr>
              <w:spacing w:after="60"/>
              <w:jc w:val="center"/>
              <w:rPr>
                <w:b/>
              </w:rPr>
            </w:pPr>
            <w:r>
              <w:rPr>
                <w:b/>
              </w:rPr>
              <w:t>412</w:t>
            </w: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9C13FB" w:rsidRPr="00DB15ED" w:rsidP="00C552E6" w14:paraId="7CB97C9A" w14:textId="77777777">
            <w:pPr>
              <w:spacing w:after="60"/>
              <w:jc w:val="center"/>
              <w:rPr>
                <w:b/>
              </w:rPr>
            </w:pP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C13FB" w:rsidRPr="00DB15ED" w:rsidP="00C552E6" w14:paraId="72EE2072" w14:textId="259B7D12">
            <w:pPr>
              <w:spacing w:after="60"/>
              <w:jc w:val="center"/>
              <w:rPr>
                <w:b/>
              </w:rPr>
            </w:pPr>
            <w:r>
              <w:rPr>
                <w:b/>
              </w:rPr>
              <w:t>840</w:t>
            </w:r>
          </w:p>
        </w:tc>
        <w:tc>
          <w:tcPr>
            <w:tcW w:w="126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9C13FB" w:rsidRPr="00DB15ED" w:rsidP="00C552E6" w14:paraId="345FA309" w14:textId="77777777">
            <w:pPr>
              <w:spacing w:after="60"/>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tcPr>
          <w:p w:rsidR="009C13FB" w:rsidRPr="00DB15ED" w:rsidP="00C552E6" w14:paraId="53FE6038" w14:textId="7178DFC6">
            <w:pPr>
              <w:spacing w:after="60"/>
              <w:ind w:left="-108" w:right="-18"/>
              <w:jc w:val="center"/>
              <w:rPr>
                <w:b/>
              </w:rPr>
            </w:pPr>
            <w:r>
              <w:rPr>
                <w:b/>
              </w:rPr>
              <w:t>252</w:t>
            </w: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9C13FB" w:rsidRPr="00DB15ED" w:rsidP="00C552E6" w14:paraId="60BE16EA" w14:textId="77777777">
            <w:pPr>
              <w:tabs>
                <w:tab w:val="left" w:pos="-108"/>
              </w:tabs>
              <w:spacing w:after="60"/>
              <w:ind w:left="-108" w:right="-18"/>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000000" w:fill="C0C0C0"/>
          </w:tcPr>
          <w:p w:rsidR="009C13FB" w:rsidRPr="00DB15ED" w:rsidP="00C552E6" w14:paraId="7781EF4A" w14:textId="73EE6495">
            <w:pPr>
              <w:tabs>
                <w:tab w:val="left" w:pos="-108"/>
              </w:tabs>
              <w:spacing w:after="60"/>
              <w:ind w:left="-108" w:right="-18"/>
              <w:jc w:val="center"/>
              <w:rPr>
                <w:b/>
              </w:rPr>
            </w:pPr>
            <w:r w:rsidRPr="00DB15ED">
              <w:rPr>
                <w:b/>
              </w:rPr>
              <w:t>$</w:t>
            </w:r>
            <w:r w:rsidR="00B21D77">
              <w:rPr>
                <w:b/>
              </w:rPr>
              <w:t>19,516</w:t>
            </w:r>
          </w:p>
        </w:tc>
      </w:tr>
    </w:tbl>
    <w:p w:rsidR="0009271A" w:rsidRPr="00174B20" w:rsidP="0009271A" w14:paraId="164B26DA" w14:textId="77777777">
      <w:pPr>
        <w:pStyle w:val="Default"/>
        <w:rPr>
          <w:color w:val="auto"/>
        </w:rPr>
      </w:pPr>
    </w:p>
    <w:p w:rsidR="00FE747B" w:rsidRPr="00174B20" w:rsidP="00FE747B" w14:paraId="5C1E4146" w14:textId="77777777">
      <w:pPr>
        <w:ind w:left="1440" w:hanging="720"/>
        <w:rPr>
          <w:b/>
          <w:bCs/>
          <w:color w:val="000000"/>
        </w:rPr>
      </w:pPr>
      <w:r w:rsidRPr="00174B20">
        <w:rPr>
          <w:b/>
          <w:bCs/>
        </w:rPr>
        <w:t xml:space="preserve">13. </w:t>
      </w:r>
      <w:r w:rsidRPr="00174B20" w:rsidR="00B8284F">
        <w:rPr>
          <w:b/>
          <w:bCs/>
        </w:rPr>
        <w:tab/>
      </w:r>
      <w:r w:rsidRPr="00174B20">
        <w:rPr>
          <w:b/>
          <w:bCs/>
          <w:color w:val="000000"/>
        </w:rPr>
        <w:t xml:space="preserve">Provide an estimate for the total annual cost burden to respondents or recordkeepers resulting from the collection of information. (Do not include the cost of any hour burden shown in Items 12 and 14). </w:t>
      </w:r>
    </w:p>
    <w:p w:rsidR="00FE747B" w:rsidRPr="00174B20" w:rsidP="00FE747B" w14:paraId="0FBB1098"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E747B" w:rsidRPr="00174B20" w:rsidP="00FE747B" w14:paraId="16785BDB"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184C46" w:rsidRPr="00174B20" w:rsidP="00FE747B" w14:paraId="2268A2B9" w14:textId="77777777">
      <w:pPr>
        <w:pStyle w:val="ListParagraph"/>
        <w:numPr>
          <w:ilvl w:val="0"/>
          <w:numId w:val="2"/>
        </w:numPr>
        <w:ind w:left="1800"/>
        <w:rPr>
          <w:rFonts w:ascii="Times New Roman" w:hAnsi="Times New Roman" w:cs="Times New Roman"/>
          <w:b/>
          <w:sz w:val="24"/>
          <w:szCs w:val="24"/>
        </w:rPr>
      </w:pPr>
      <w:r w:rsidRPr="00174B20">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74B20">
        <w:rPr>
          <w:rFonts w:ascii="Times New Roman" w:hAnsi="Times New Roman" w:cs="Times New Roman"/>
          <w:b/>
          <w:bCs/>
          <w:sz w:val="24"/>
          <w:szCs w:val="24"/>
        </w:rPr>
        <w:t xml:space="preserve"> </w:t>
      </w:r>
    </w:p>
    <w:p w:rsidR="00184C46" w:rsidP="00184C46" w14:paraId="23375598" w14:textId="77777777">
      <w:pPr>
        <w:pStyle w:val="Default"/>
        <w:rPr>
          <w:color w:val="auto"/>
        </w:rPr>
      </w:pPr>
    </w:p>
    <w:p w:rsidR="000F1104" w:rsidRPr="00174B20" w:rsidP="004A29B0" w14:paraId="1CDB7F83" w14:textId="236B8AB0">
      <w:pPr>
        <w:pStyle w:val="Default"/>
        <w:spacing w:line="480" w:lineRule="auto"/>
        <w:ind w:firstLine="720"/>
        <w:rPr>
          <w:color w:val="auto"/>
        </w:rPr>
      </w:pPr>
      <w:r>
        <w:t xml:space="preserve">As in item </w:t>
      </w:r>
      <w:r w:rsidRPr="00F25C55" w:rsidR="003C011F">
        <w:t xml:space="preserve">12, </w:t>
      </w:r>
      <w:r w:rsidRPr="008B3660" w:rsidR="003C011F">
        <w:t xml:space="preserve">the Commission consulted </w:t>
      </w:r>
      <w:r w:rsidR="003C011F">
        <w:t xml:space="preserve">with a number of </w:t>
      </w:r>
      <w:r w:rsidRPr="00696D7C" w:rsidR="003C011F">
        <w:t>tribal gaming operators and/or TGRAs</w:t>
      </w:r>
      <w:r w:rsidRPr="008B3660" w:rsidR="003C011F">
        <w:t xml:space="preserve"> to gather the </w:t>
      </w:r>
      <w:r w:rsidR="003C011F">
        <w:t xml:space="preserve">non-wage cost estimates. Based on these consultations, the </w:t>
      </w:r>
      <w:r w:rsidR="003C011F">
        <w:t>Commission was able to establish average non-wage cost expenditures for each type of response. The Commission was then able to calculate the total non-wage cost expenditure estimates by multiplying these averages by the average number of annual responses.</w:t>
      </w:r>
      <w:r w:rsidR="00CC721F">
        <w:t xml:space="preserve"> </w:t>
      </w:r>
      <w:r w:rsidR="00CC721F">
        <w:rPr>
          <w:color w:val="auto"/>
        </w:rPr>
        <w:t xml:space="preserve">In this case, non-wage costs were primarily audit </w:t>
      </w:r>
      <w:r w:rsidR="00D31A2D">
        <w:rPr>
          <w:color w:val="auto"/>
        </w:rPr>
        <w:t xml:space="preserve">expenses. </w:t>
      </w:r>
      <w:r w:rsidR="00CC721F">
        <w:rPr>
          <w:color w:val="auto"/>
        </w:rPr>
        <w:t xml:space="preserve"> Specifically, </w:t>
      </w:r>
      <w:r w:rsidRPr="00174B20">
        <w:t xml:space="preserve">Commission regulations require tribes </w:t>
      </w:r>
      <w:r w:rsidRPr="00174B20">
        <w:rPr>
          <w:rFonts w:eastAsia="Times New Roman"/>
        </w:rPr>
        <w:t xml:space="preserve">to hire an independent </w:t>
      </w:r>
      <w:r>
        <w:rPr>
          <w:rFonts w:eastAsia="Times New Roman"/>
        </w:rPr>
        <w:t xml:space="preserve">CPA </w:t>
      </w:r>
      <w:r w:rsidRPr="00174B20">
        <w:rPr>
          <w:rFonts w:eastAsia="Times New Roman"/>
        </w:rPr>
        <w:t>to perform an internal control standards assessment and to produce an AUP report</w:t>
      </w:r>
      <w:r w:rsidRPr="00174B20">
        <w:rPr>
          <w:color w:val="auto"/>
        </w:rPr>
        <w:t>.</w:t>
      </w:r>
      <w:r w:rsidRPr="00174B20">
        <w:t xml:space="preserve"> The majority of the dollar cost</w:t>
      </w:r>
      <w:r w:rsidR="00D41B2D">
        <w:t>s for this</w:t>
      </w:r>
      <w:r w:rsidRPr="00174B20">
        <w:t xml:space="preserve"> information </w:t>
      </w:r>
      <w:r w:rsidRPr="00DB15ED">
        <w:t>collection (</w:t>
      </w:r>
      <w:r w:rsidRPr="00DB15ED">
        <w:rPr>
          <w:rFonts w:eastAsia="Times New Roman"/>
        </w:rPr>
        <w:t>$</w:t>
      </w:r>
      <w:r w:rsidR="000677CB">
        <w:rPr>
          <w:rFonts w:eastAsia="Times New Roman"/>
        </w:rPr>
        <w:t>3,</w:t>
      </w:r>
      <w:r w:rsidR="00D31A2D">
        <w:rPr>
          <w:rFonts w:eastAsia="Times New Roman"/>
        </w:rPr>
        <w:t>8</w:t>
      </w:r>
      <w:r w:rsidR="004F37C3">
        <w:rPr>
          <w:rFonts w:eastAsia="Times New Roman"/>
        </w:rPr>
        <w:t>55,600</w:t>
      </w:r>
      <w:r w:rsidRPr="00DB15ED">
        <w:rPr>
          <w:rFonts w:eastAsia="Times New Roman"/>
        </w:rPr>
        <w:t>) is the</w:t>
      </w:r>
      <w:r w:rsidRPr="00174B20">
        <w:rPr>
          <w:rFonts w:eastAsia="Times New Roman"/>
        </w:rPr>
        <w:t xml:space="preserve"> estimated </w:t>
      </w:r>
      <w:r>
        <w:rPr>
          <w:rFonts w:eastAsia="Times New Roman"/>
        </w:rPr>
        <w:t xml:space="preserve">annual </w:t>
      </w:r>
      <w:r w:rsidRPr="00174B20">
        <w:rPr>
          <w:rFonts w:eastAsia="Times New Roman"/>
        </w:rPr>
        <w:t>total amount that the tribes spend i</w:t>
      </w:r>
      <w:r>
        <w:rPr>
          <w:rFonts w:eastAsia="Times New Roman"/>
        </w:rPr>
        <w:t>n order to engage these CPA</w:t>
      </w:r>
      <w:r w:rsidRPr="00174B20">
        <w:rPr>
          <w:rFonts w:eastAsia="Times New Roman"/>
        </w:rPr>
        <w:t>s</w:t>
      </w:r>
      <w:r w:rsidR="00CC721F">
        <w:rPr>
          <w:rFonts w:eastAsia="Times New Roman"/>
        </w:rPr>
        <w:t xml:space="preserve">.  </w:t>
      </w:r>
      <w:r w:rsidRPr="00174B20">
        <w:t>T</w:t>
      </w:r>
      <w:r>
        <w:t>he remaining</w:t>
      </w:r>
      <w:r w:rsidR="00CC721F">
        <w:t xml:space="preserve"> cost were for </w:t>
      </w:r>
      <w:r w:rsidR="004F78C6">
        <w:t xml:space="preserve">properly maintain audit reports and </w:t>
      </w:r>
      <w:r w:rsidR="003545CF">
        <w:t xml:space="preserve">associated </w:t>
      </w:r>
      <w:r w:rsidR="00CC721F">
        <w:t>administrative tasks such as</w:t>
      </w:r>
      <w:r w:rsidR="003545CF">
        <w:t xml:space="preserve"> data input</w:t>
      </w:r>
      <w:r w:rsidR="00391153">
        <w:t xml:space="preserve">, </w:t>
      </w:r>
      <w:r w:rsidR="00CC721F">
        <w:t>copying and filing.</w:t>
      </w:r>
    </w:p>
    <w:p w:rsidR="00184C46" w:rsidP="003F36B1" w14:paraId="2BB78F85" w14:textId="77777777">
      <w:pPr>
        <w:pStyle w:val="Default"/>
        <w:ind w:firstLine="720"/>
        <w:jc w:val="center"/>
        <w:rPr>
          <w:color w:val="auto"/>
        </w:rPr>
      </w:pPr>
      <w:r>
        <w:rPr>
          <w:b/>
          <w:bCs/>
          <w:u w:val="single"/>
        </w:rPr>
        <w:t>ESTIMATED ANNUAL COST TOTALS</w:t>
      </w:r>
    </w:p>
    <w:p w:rsidR="00BC694A" w:rsidP="00213228" w14:paraId="3C09AD5F" w14:textId="77777777">
      <w:pPr>
        <w:pStyle w:val="Default"/>
        <w:ind w:firstLine="720"/>
        <w:rPr>
          <w:color w:val="auto"/>
        </w:rPr>
      </w:pPr>
    </w:p>
    <w:tbl>
      <w:tblPr>
        <w:tblW w:w="7790" w:type="dxa"/>
        <w:tblInd w:w="930" w:type="dxa"/>
        <w:tblLayout w:type="fixed"/>
        <w:tblLook w:val="04A0"/>
      </w:tblPr>
      <w:tblGrid>
        <w:gridCol w:w="1260"/>
        <w:gridCol w:w="1340"/>
        <w:gridCol w:w="1170"/>
        <w:gridCol w:w="1080"/>
        <w:gridCol w:w="1270"/>
        <w:gridCol w:w="1670"/>
      </w:tblGrid>
      <w:tr w14:paraId="503995E9" w14:textId="77777777" w:rsidTr="00EA60A1">
        <w:tblPrEx>
          <w:tblW w:w="7790" w:type="dxa"/>
          <w:tblInd w:w="930"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BC694A" w:rsidP="00EA60A1" w14:paraId="5A4CD6FF" w14:textId="77777777">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BC694A" w:rsidP="00EA60A1" w14:paraId="50E0EB66" w14:textId="77777777">
            <w:pPr>
              <w:spacing w:before="60" w:after="60"/>
              <w:ind w:left="-108" w:right="-108"/>
              <w:jc w:val="center"/>
              <w:rPr>
                <w:b/>
                <w:bCs/>
                <w:sz w:val="18"/>
                <w:szCs w:val="18"/>
              </w:rPr>
            </w:pPr>
            <w:r>
              <w:rPr>
                <w:b/>
                <w:bCs/>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BC694A" w:rsidP="00EA60A1" w14:paraId="5FB37E12" w14:textId="77777777">
            <w:pPr>
              <w:spacing w:before="60" w:after="60"/>
              <w:ind w:left="-108" w:right="-108"/>
              <w:jc w:val="center"/>
              <w:rPr>
                <w:b/>
                <w:bCs/>
                <w:sz w:val="18"/>
                <w:szCs w:val="18"/>
              </w:rPr>
            </w:pPr>
            <w:r>
              <w:rPr>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BC694A" w:rsidP="00EA60A1" w14:paraId="03F86676" w14:textId="77777777">
            <w:pPr>
              <w:spacing w:before="60" w:after="60"/>
              <w:ind w:left="-108" w:right="-108"/>
              <w:jc w:val="center"/>
              <w:rPr>
                <w:b/>
                <w:bCs/>
                <w:sz w:val="18"/>
                <w:szCs w:val="18"/>
              </w:rPr>
            </w:pPr>
            <w:r>
              <w:rPr>
                <w:b/>
                <w:bCs/>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BC694A" w:rsidP="00EA60A1" w14:paraId="6B7F8240" w14:textId="77777777">
            <w:pPr>
              <w:spacing w:before="60" w:after="60"/>
              <w:jc w:val="center"/>
              <w:rPr>
                <w:b/>
                <w:bCs/>
                <w:sz w:val="18"/>
                <w:szCs w:val="18"/>
              </w:rPr>
            </w:pPr>
            <w:r>
              <w:rPr>
                <w:b/>
                <w:bCs/>
                <w:sz w:val="18"/>
                <w:szCs w:val="18"/>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BC694A" w:rsidP="00EA60A1" w14:paraId="15B4B2BC" w14:textId="77777777">
            <w:pPr>
              <w:spacing w:before="60" w:after="60"/>
              <w:jc w:val="center"/>
              <w:rPr>
                <w:b/>
                <w:bCs/>
                <w:sz w:val="18"/>
                <w:szCs w:val="18"/>
              </w:rPr>
            </w:pPr>
            <w:r>
              <w:rPr>
                <w:b/>
                <w:bCs/>
                <w:sz w:val="18"/>
                <w:szCs w:val="18"/>
              </w:rPr>
              <w:t>TOTAL COSTS</w:t>
            </w:r>
          </w:p>
        </w:tc>
      </w:tr>
      <w:tr w14:paraId="49180231"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BC694A" w:rsidP="00EA60A1" w14:paraId="4C38EDA6" w14:textId="77777777">
            <w:pPr>
              <w:spacing w:after="60"/>
              <w:jc w:val="center"/>
              <w:rPr>
                <w:b/>
                <w:bCs/>
              </w:rPr>
            </w:pPr>
            <w:r w:rsidRPr="00174B20">
              <w:rPr>
                <w:b/>
                <w:bCs/>
              </w:rPr>
              <w:t>543.3</w:t>
            </w:r>
          </w:p>
        </w:tc>
        <w:tc>
          <w:tcPr>
            <w:tcW w:w="1340" w:type="dxa"/>
            <w:tcBorders>
              <w:top w:val="single" w:sz="8" w:space="0" w:color="auto"/>
              <w:left w:val="single" w:sz="4" w:space="0" w:color="auto"/>
              <w:bottom w:val="single" w:sz="8" w:space="0" w:color="auto"/>
              <w:right w:val="single" w:sz="8" w:space="0" w:color="auto"/>
            </w:tcBorders>
          </w:tcPr>
          <w:p w:rsidR="00BC694A" w:rsidP="00D41B2D" w14:paraId="3F01E99F" w14:textId="1B958BC9">
            <w:pPr>
              <w:spacing w:after="60"/>
              <w:jc w:val="center"/>
            </w:pPr>
            <w:r>
              <w:t>1</w:t>
            </w:r>
          </w:p>
        </w:tc>
        <w:tc>
          <w:tcPr>
            <w:tcW w:w="1170" w:type="dxa"/>
            <w:tcBorders>
              <w:top w:val="single" w:sz="8" w:space="0" w:color="auto"/>
              <w:left w:val="nil"/>
              <w:bottom w:val="single" w:sz="8" w:space="0" w:color="auto"/>
              <w:right w:val="single" w:sz="8" w:space="0" w:color="auto"/>
            </w:tcBorders>
            <w:hideMark/>
          </w:tcPr>
          <w:p w:rsidR="00BC694A" w:rsidP="00D41B2D" w14:paraId="476C5D51" w14:textId="532067F9">
            <w:pPr>
              <w:spacing w:after="60"/>
              <w:jc w:val="center"/>
            </w:pPr>
            <w:r>
              <w:t>1</w:t>
            </w:r>
          </w:p>
        </w:tc>
        <w:tc>
          <w:tcPr>
            <w:tcW w:w="1080" w:type="dxa"/>
            <w:tcBorders>
              <w:top w:val="single" w:sz="8" w:space="0" w:color="auto"/>
              <w:left w:val="nil"/>
              <w:bottom w:val="single" w:sz="8" w:space="0" w:color="auto"/>
              <w:right w:val="single" w:sz="8" w:space="0" w:color="auto"/>
            </w:tcBorders>
            <w:hideMark/>
          </w:tcPr>
          <w:p w:rsidR="00BC694A" w:rsidP="00D41B2D" w14:paraId="2344BD20" w14:textId="1D41A003">
            <w:pPr>
              <w:spacing w:after="60"/>
              <w:jc w:val="center"/>
            </w:pPr>
            <w:r>
              <w:t>1</w:t>
            </w:r>
          </w:p>
        </w:tc>
        <w:tc>
          <w:tcPr>
            <w:tcW w:w="1270" w:type="dxa"/>
            <w:tcBorders>
              <w:top w:val="single" w:sz="8" w:space="0" w:color="auto"/>
              <w:left w:val="single" w:sz="4" w:space="0" w:color="auto"/>
              <w:bottom w:val="single" w:sz="8" w:space="0" w:color="auto"/>
              <w:right w:val="single" w:sz="4" w:space="0" w:color="auto"/>
            </w:tcBorders>
          </w:tcPr>
          <w:p w:rsidR="00BC694A" w:rsidP="00D41B2D" w14:paraId="1F184028" w14:textId="79A463C9">
            <w:pPr>
              <w:spacing w:after="60"/>
              <w:jc w:val="center"/>
            </w:pPr>
            <w:r>
              <w:t>$</w:t>
            </w:r>
            <w:r w:rsidR="004E11B7">
              <w:t>65</w:t>
            </w:r>
          </w:p>
        </w:tc>
        <w:tc>
          <w:tcPr>
            <w:tcW w:w="1670" w:type="dxa"/>
            <w:tcBorders>
              <w:top w:val="single" w:sz="8" w:space="0" w:color="auto"/>
              <w:left w:val="single" w:sz="4" w:space="0" w:color="auto"/>
              <w:bottom w:val="single" w:sz="8" w:space="0" w:color="auto"/>
              <w:right w:val="single" w:sz="8" w:space="0" w:color="auto"/>
            </w:tcBorders>
            <w:hideMark/>
          </w:tcPr>
          <w:p w:rsidR="00BC694A" w:rsidP="00D41B2D" w14:paraId="0061F59C" w14:textId="329507E9">
            <w:pPr>
              <w:spacing w:after="60"/>
              <w:jc w:val="center"/>
            </w:pPr>
            <w:r>
              <w:t>$</w:t>
            </w:r>
            <w:r w:rsidR="004E11B7">
              <w:t>65</w:t>
            </w:r>
          </w:p>
        </w:tc>
      </w:tr>
      <w:tr w14:paraId="0EA7CBE3"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BC694A" w:rsidP="00EA60A1" w14:paraId="3918E533" w14:textId="77777777">
            <w:pPr>
              <w:spacing w:after="60"/>
              <w:jc w:val="center"/>
              <w:rPr>
                <w:b/>
                <w:bCs/>
              </w:rPr>
            </w:pPr>
            <w:r w:rsidRPr="00174B20">
              <w:rPr>
                <w:b/>
                <w:bCs/>
              </w:rPr>
              <w:t>543.5</w:t>
            </w:r>
          </w:p>
        </w:tc>
        <w:tc>
          <w:tcPr>
            <w:tcW w:w="1340" w:type="dxa"/>
            <w:tcBorders>
              <w:top w:val="nil"/>
              <w:left w:val="single" w:sz="4" w:space="0" w:color="auto"/>
              <w:bottom w:val="single" w:sz="8" w:space="0" w:color="auto"/>
              <w:right w:val="single" w:sz="8" w:space="0" w:color="auto"/>
            </w:tcBorders>
            <w:hideMark/>
          </w:tcPr>
          <w:p w:rsidR="00BC694A" w:rsidP="00D41B2D" w14:paraId="0B1D9DC3" w14:textId="1A5D5315">
            <w:pPr>
              <w:spacing w:after="60"/>
              <w:jc w:val="center"/>
            </w:pPr>
            <w:r>
              <w:t>3</w:t>
            </w:r>
          </w:p>
        </w:tc>
        <w:tc>
          <w:tcPr>
            <w:tcW w:w="1170" w:type="dxa"/>
            <w:tcBorders>
              <w:top w:val="nil"/>
              <w:left w:val="nil"/>
              <w:bottom w:val="single" w:sz="8" w:space="0" w:color="auto"/>
              <w:right w:val="single" w:sz="8" w:space="0" w:color="auto"/>
            </w:tcBorders>
            <w:hideMark/>
          </w:tcPr>
          <w:p w:rsidR="00BC694A" w:rsidP="00D41B2D" w14:paraId="0A39F937" w14:textId="77777777">
            <w:pPr>
              <w:spacing w:after="60"/>
              <w:jc w:val="center"/>
            </w:pPr>
            <w:r>
              <w:t>Varies</w:t>
            </w:r>
          </w:p>
        </w:tc>
        <w:tc>
          <w:tcPr>
            <w:tcW w:w="1080" w:type="dxa"/>
            <w:tcBorders>
              <w:top w:val="nil"/>
              <w:left w:val="nil"/>
              <w:bottom w:val="single" w:sz="8" w:space="0" w:color="auto"/>
              <w:right w:val="single" w:sz="8" w:space="0" w:color="auto"/>
            </w:tcBorders>
            <w:hideMark/>
          </w:tcPr>
          <w:p w:rsidR="00BC694A" w:rsidP="00D41B2D" w14:paraId="6D1A6F5F" w14:textId="09491384">
            <w:pPr>
              <w:spacing w:after="60"/>
              <w:jc w:val="center"/>
            </w:pPr>
            <w:r>
              <w:t>3</w:t>
            </w:r>
          </w:p>
        </w:tc>
        <w:tc>
          <w:tcPr>
            <w:tcW w:w="1270" w:type="dxa"/>
            <w:tcBorders>
              <w:top w:val="nil"/>
              <w:left w:val="single" w:sz="4" w:space="0" w:color="auto"/>
              <w:bottom w:val="single" w:sz="8" w:space="0" w:color="auto"/>
              <w:right w:val="single" w:sz="4" w:space="0" w:color="auto"/>
            </w:tcBorders>
          </w:tcPr>
          <w:p w:rsidR="00BC694A" w:rsidP="00D41B2D" w14:paraId="2A2F78CA" w14:textId="537E5BFC">
            <w:pPr>
              <w:spacing w:after="60"/>
              <w:jc w:val="center"/>
            </w:pPr>
            <w:r>
              <w:t>$</w:t>
            </w:r>
            <w:r w:rsidR="004E11B7">
              <w:t>65</w:t>
            </w:r>
          </w:p>
        </w:tc>
        <w:tc>
          <w:tcPr>
            <w:tcW w:w="1670" w:type="dxa"/>
            <w:tcBorders>
              <w:top w:val="nil"/>
              <w:left w:val="single" w:sz="4" w:space="0" w:color="auto"/>
              <w:bottom w:val="single" w:sz="8" w:space="0" w:color="auto"/>
              <w:right w:val="single" w:sz="8" w:space="0" w:color="auto"/>
            </w:tcBorders>
            <w:hideMark/>
          </w:tcPr>
          <w:p w:rsidR="00BC694A" w:rsidP="00D41B2D" w14:paraId="7A3998CC" w14:textId="319BB2C2">
            <w:pPr>
              <w:spacing w:after="60"/>
              <w:jc w:val="center"/>
            </w:pPr>
            <w:r>
              <w:t>$</w:t>
            </w:r>
            <w:r w:rsidR="004E11B7">
              <w:t>195</w:t>
            </w:r>
          </w:p>
        </w:tc>
      </w:tr>
      <w:tr w14:paraId="756BA55A"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BC694A" w:rsidP="00EA60A1" w14:paraId="56458E04" w14:textId="77777777">
            <w:pPr>
              <w:spacing w:after="60"/>
              <w:jc w:val="center"/>
              <w:rPr>
                <w:b/>
                <w:bCs/>
              </w:rPr>
            </w:pPr>
            <w:r w:rsidRPr="00174B20">
              <w:rPr>
                <w:b/>
                <w:bCs/>
              </w:rPr>
              <w:t>543.23(c)</w:t>
            </w:r>
          </w:p>
        </w:tc>
        <w:tc>
          <w:tcPr>
            <w:tcW w:w="1340" w:type="dxa"/>
            <w:tcBorders>
              <w:top w:val="nil"/>
              <w:left w:val="single" w:sz="4" w:space="0" w:color="auto"/>
              <w:bottom w:val="single" w:sz="8" w:space="0" w:color="auto"/>
              <w:right w:val="single" w:sz="8" w:space="0" w:color="auto"/>
            </w:tcBorders>
            <w:hideMark/>
          </w:tcPr>
          <w:p w:rsidR="00BC694A" w:rsidP="00D41B2D" w14:paraId="45662564" w14:textId="3D2578A5">
            <w:pPr>
              <w:spacing w:after="60"/>
              <w:jc w:val="center"/>
            </w:pPr>
            <w:r>
              <w:t>204</w:t>
            </w:r>
          </w:p>
        </w:tc>
        <w:tc>
          <w:tcPr>
            <w:tcW w:w="1170" w:type="dxa"/>
            <w:tcBorders>
              <w:top w:val="nil"/>
              <w:left w:val="nil"/>
              <w:bottom w:val="single" w:sz="8" w:space="0" w:color="auto"/>
              <w:right w:val="single" w:sz="8" w:space="0" w:color="auto"/>
            </w:tcBorders>
            <w:hideMark/>
          </w:tcPr>
          <w:p w:rsidR="00BC694A" w:rsidP="00D41B2D" w14:paraId="7AB5436B" w14:textId="6192264F">
            <w:pPr>
              <w:spacing w:after="60"/>
              <w:jc w:val="center"/>
            </w:pPr>
            <w:r>
              <w:t>1</w:t>
            </w:r>
          </w:p>
        </w:tc>
        <w:tc>
          <w:tcPr>
            <w:tcW w:w="1080" w:type="dxa"/>
            <w:tcBorders>
              <w:top w:val="nil"/>
              <w:left w:val="nil"/>
              <w:bottom w:val="single" w:sz="8" w:space="0" w:color="auto"/>
              <w:right w:val="single" w:sz="8" w:space="0" w:color="auto"/>
            </w:tcBorders>
            <w:hideMark/>
          </w:tcPr>
          <w:p w:rsidR="00BC694A" w:rsidP="00D41B2D" w14:paraId="16E854C3" w14:textId="3ED492C5">
            <w:pPr>
              <w:spacing w:after="60"/>
              <w:jc w:val="center"/>
            </w:pPr>
            <w:r>
              <w:t>418</w:t>
            </w:r>
          </w:p>
        </w:tc>
        <w:tc>
          <w:tcPr>
            <w:tcW w:w="1270" w:type="dxa"/>
            <w:tcBorders>
              <w:top w:val="nil"/>
              <w:left w:val="single" w:sz="4" w:space="0" w:color="auto"/>
              <w:bottom w:val="single" w:sz="8" w:space="0" w:color="auto"/>
              <w:right w:val="single" w:sz="4" w:space="0" w:color="auto"/>
            </w:tcBorders>
          </w:tcPr>
          <w:p w:rsidR="00BC694A" w:rsidP="00D41B2D" w14:paraId="6A087E1A" w14:textId="6F5385E1">
            <w:pPr>
              <w:spacing w:after="60"/>
              <w:jc w:val="center"/>
            </w:pPr>
            <w:r>
              <w:t>$</w:t>
            </w:r>
            <w:r w:rsidR="009017A5">
              <w:t>24.40</w:t>
            </w:r>
          </w:p>
        </w:tc>
        <w:tc>
          <w:tcPr>
            <w:tcW w:w="1670" w:type="dxa"/>
            <w:tcBorders>
              <w:top w:val="nil"/>
              <w:left w:val="single" w:sz="4" w:space="0" w:color="auto"/>
              <w:bottom w:val="single" w:sz="8" w:space="0" w:color="auto"/>
              <w:right w:val="single" w:sz="8" w:space="0" w:color="auto"/>
            </w:tcBorders>
            <w:hideMark/>
          </w:tcPr>
          <w:p w:rsidR="00BC694A" w:rsidP="00D41B2D" w14:paraId="62DA8D4D" w14:textId="516A1B1E">
            <w:pPr>
              <w:spacing w:after="60"/>
              <w:jc w:val="center"/>
            </w:pPr>
            <w:r>
              <w:t>$</w:t>
            </w:r>
            <w:r w:rsidR="004E11B7">
              <w:t>10,200</w:t>
            </w:r>
          </w:p>
        </w:tc>
      </w:tr>
      <w:tr w14:paraId="56233BB3"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BC694A" w:rsidRPr="005852C5" w:rsidP="00EA60A1" w14:paraId="3DB35A7E" w14:textId="77777777">
            <w:pPr>
              <w:spacing w:after="60"/>
              <w:jc w:val="center"/>
              <w:rPr>
                <w:b/>
                <w:bCs/>
              </w:rPr>
            </w:pPr>
            <w:r w:rsidRPr="00174B20">
              <w:rPr>
                <w:b/>
                <w:bCs/>
              </w:rPr>
              <w:t>543.23(d)</w:t>
            </w:r>
          </w:p>
        </w:tc>
        <w:tc>
          <w:tcPr>
            <w:tcW w:w="1340" w:type="dxa"/>
            <w:tcBorders>
              <w:top w:val="nil"/>
              <w:left w:val="single" w:sz="4" w:space="0" w:color="auto"/>
              <w:bottom w:val="single" w:sz="8" w:space="0" w:color="auto"/>
              <w:right w:val="single" w:sz="8" w:space="0" w:color="auto"/>
            </w:tcBorders>
          </w:tcPr>
          <w:p w:rsidR="00BC694A" w:rsidP="00D41B2D" w14:paraId="24A363B9" w14:textId="6E9F28EF">
            <w:pPr>
              <w:spacing w:after="60"/>
              <w:jc w:val="center"/>
            </w:pPr>
            <w:r>
              <w:t>204</w:t>
            </w:r>
          </w:p>
        </w:tc>
        <w:tc>
          <w:tcPr>
            <w:tcW w:w="1170" w:type="dxa"/>
            <w:tcBorders>
              <w:top w:val="nil"/>
              <w:left w:val="nil"/>
              <w:bottom w:val="single" w:sz="8" w:space="0" w:color="auto"/>
              <w:right w:val="single" w:sz="8" w:space="0" w:color="auto"/>
            </w:tcBorders>
          </w:tcPr>
          <w:p w:rsidR="00BC694A" w:rsidP="00D41B2D" w14:paraId="2B3582C8" w14:textId="6AF24D43">
            <w:pPr>
              <w:spacing w:after="60"/>
              <w:jc w:val="center"/>
            </w:pPr>
            <w:r>
              <w:t>1</w:t>
            </w:r>
          </w:p>
        </w:tc>
        <w:tc>
          <w:tcPr>
            <w:tcW w:w="1080" w:type="dxa"/>
            <w:tcBorders>
              <w:top w:val="nil"/>
              <w:left w:val="nil"/>
              <w:bottom w:val="single" w:sz="8" w:space="0" w:color="auto"/>
              <w:right w:val="single" w:sz="8" w:space="0" w:color="auto"/>
            </w:tcBorders>
          </w:tcPr>
          <w:p w:rsidR="00BC694A" w:rsidP="00D41B2D" w14:paraId="3EE6EC94" w14:textId="6C8AE7AB">
            <w:pPr>
              <w:spacing w:after="60"/>
              <w:jc w:val="center"/>
            </w:pPr>
            <w:r>
              <w:t>418</w:t>
            </w:r>
          </w:p>
        </w:tc>
        <w:tc>
          <w:tcPr>
            <w:tcW w:w="1270" w:type="dxa"/>
            <w:tcBorders>
              <w:top w:val="nil"/>
              <w:left w:val="single" w:sz="4" w:space="0" w:color="auto"/>
              <w:bottom w:val="single" w:sz="8" w:space="0" w:color="auto"/>
              <w:right w:val="single" w:sz="4" w:space="0" w:color="auto"/>
            </w:tcBorders>
          </w:tcPr>
          <w:p w:rsidR="00BC694A" w:rsidP="00D41B2D" w14:paraId="3C0EACE7" w14:textId="4165283E">
            <w:pPr>
              <w:spacing w:after="60"/>
              <w:jc w:val="center"/>
            </w:pPr>
            <w:r>
              <w:t>$</w:t>
            </w:r>
            <w:r w:rsidR="002639D2">
              <w:t>9,</w:t>
            </w:r>
            <w:r w:rsidR="00F90F8E">
              <w:t>223.92</w:t>
            </w:r>
          </w:p>
        </w:tc>
        <w:tc>
          <w:tcPr>
            <w:tcW w:w="1670" w:type="dxa"/>
            <w:tcBorders>
              <w:top w:val="nil"/>
              <w:left w:val="single" w:sz="4" w:space="0" w:color="auto"/>
              <w:bottom w:val="single" w:sz="8" w:space="0" w:color="auto"/>
              <w:right w:val="single" w:sz="8" w:space="0" w:color="auto"/>
            </w:tcBorders>
          </w:tcPr>
          <w:p w:rsidR="00BC694A" w:rsidP="00D41B2D" w14:paraId="1A0BEA2B" w14:textId="30A0734F">
            <w:pPr>
              <w:spacing w:after="60"/>
              <w:jc w:val="center"/>
            </w:pPr>
            <w:r>
              <w:t>$</w:t>
            </w:r>
            <w:r w:rsidR="004E11B7">
              <w:t>3,855,600</w:t>
            </w:r>
          </w:p>
        </w:tc>
      </w:tr>
      <w:tr w14:paraId="4FC98EF6" w14:textId="77777777" w:rsidTr="00EA60A1">
        <w:tblPrEx>
          <w:tblW w:w="7790" w:type="dxa"/>
          <w:tblInd w:w="93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BC694A" w:rsidP="00EA60A1" w14:paraId="20B63831" w14:textId="77777777">
            <w:pPr>
              <w:spacing w:after="60"/>
              <w:jc w:val="center"/>
              <w:rPr>
                <w:b/>
                <w:bCs/>
              </w:rPr>
            </w:pPr>
            <w:r>
              <w:rPr>
                <w:b/>
                <w:bCs/>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BC694A" w:rsidP="00EA60A1" w14:paraId="09967470" w14:textId="77777777">
            <w:pPr>
              <w:spacing w:after="60"/>
              <w:jc w:val="center"/>
            </w:pP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BC694A" w:rsidP="00EA60A1" w14:paraId="6BFDAED9" w14:textId="77777777">
            <w:pPr>
              <w:spacing w:after="60"/>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BC694A" w:rsidP="00EA60A1" w14:paraId="7E29A394" w14:textId="77777777">
            <w:pPr>
              <w:spacing w:after="60"/>
              <w:jc w:val="center"/>
            </w:pP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BC694A" w:rsidP="00EA60A1" w14:paraId="1E756293" w14:textId="77777777">
            <w:pPr>
              <w:spacing w:after="60"/>
              <w:ind w:left="-108" w:right="-18"/>
              <w:jc w:val="center"/>
            </w:pP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BC694A" w:rsidRPr="009707FC" w:rsidP="0080157E" w14:paraId="185353FB" w14:textId="061C5767">
            <w:pPr>
              <w:spacing w:after="60"/>
              <w:ind w:right="-18"/>
              <w:jc w:val="center"/>
              <w:rPr>
                <w:b/>
              </w:rPr>
            </w:pPr>
            <w:r>
              <w:rPr>
                <w:b/>
              </w:rPr>
              <w:t>$</w:t>
            </w:r>
            <w:r w:rsidRPr="009707FC" w:rsidR="009707FC">
              <w:rPr>
                <w:b/>
              </w:rPr>
              <w:t>3,</w:t>
            </w:r>
            <w:r w:rsidR="004E11B7">
              <w:rPr>
                <w:b/>
              </w:rPr>
              <w:t>866,060</w:t>
            </w:r>
          </w:p>
        </w:tc>
      </w:tr>
    </w:tbl>
    <w:p w:rsidR="00BC694A" w:rsidRPr="00174B20" w:rsidP="00213228" w14:paraId="027E57DA" w14:textId="77777777">
      <w:pPr>
        <w:pStyle w:val="Default"/>
        <w:ind w:firstLine="720"/>
        <w:rPr>
          <w:color w:val="auto"/>
        </w:rPr>
      </w:pPr>
    </w:p>
    <w:p w:rsidR="00213228" w:rsidRPr="00174B20" w:rsidP="00184C46" w14:paraId="43FCE990" w14:textId="77777777">
      <w:pPr>
        <w:pStyle w:val="Default"/>
        <w:rPr>
          <w:b/>
          <w:bCs/>
          <w:color w:val="auto"/>
        </w:rPr>
      </w:pPr>
    </w:p>
    <w:p w:rsidR="00184C46" w:rsidRPr="00174B20" w:rsidP="00B8284F" w14:paraId="589908F6" w14:textId="77777777">
      <w:pPr>
        <w:pStyle w:val="Default"/>
        <w:ind w:left="1440" w:hanging="720"/>
        <w:rPr>
          <w:color w:val="auto"/>
        </w:rPr>
      </w:pPr>
      <w:r w:rsidRPr="00174B20">
        <w:rPr>
          <w:b/>
          <w:bCs/>
          <w:color w:val="auto"/>
        </w:rPr>
        <w:t xml:space="preserve">14. </w:t>
      </w:r>
      <w:r w:rsidRPr="00174B20" w:rsidR="00B8284F">
        <w:rPr>
          <w:b/>
          <w:bCs/>
          <w:color w:val="auto"/>
        </w:rPr>
        <w:tab/>
      </w:r>
      <w:r w:rsidRPr="00174B20" w:rsidR="00FE747B">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174B20">
        <w:rPr>
          <w:b/>
          <w:bCs/>
          <w:color w:val="auto"/>
        </w:rPr>
        <w:t xml:space="preserve"> </w:t>
      </w:r>
    </w:p>
    <w:p w:rsidR="00213228" w:rsidRPr="00174B20" w:rsidP="00184C46" w14:paraId="01F9B96F" w14:textId="77777777">
      <w:pPr>
        <w:pStyle w:val="Default"/>
        <w:jc w:val="center"/>
        <w:rPr>
          <w:b/>
          <w:bCs/>
          <w:color w:val="auto"/>
        </w:rPr>
      </w:pPr>
    </w:p>
    <w:p w:rsidR="006A0392" w:rsidRPr="00174B20" w:rsidP="006A0392" w14:paraId="644B98A9" w14:textId="77777777">
      <w:pPr>
        <w:pStyle w:val="Default"/>
        <w:tabs>
          <w:tab w:val="left" w:pos="378"/>
        </w:tabs>
        <w:spacing w:line="480" w:lineRule="auto"/>
      </w:pPr>
      <w:r w:rsidRPr="00174B20">
        <w:tab/>
      </w:r>
      <w:r w:rsidRPr="00174B20">
        <w:tab/>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task. Support services are included in cost estimates. </w:t>
      </w:r>
    </w:p>
    <w:p w:rsidR="006A0392" w:rsidRPr="00174B20" w:rsidP="006A0392" w14:paraId="432C7439" w14:textId="77777777">
      <w:pPr>
        <w:pStyle w:val="Default"/>
        <w:tabs>
          <w:tab w:val="left" w:pos="378"/>
        </w:tabs>
        <w:jc w:val="center"/>
      </w:pPr>
      <w:r w:rsidRPr="00174B20">
        <w:rPr>
          <w:b/>
          <w:bCs/>
          <w:u w:val="single"/>
        </w:rPr>
        <w:t xml:space="preserve">ESTIMATED </w:t>
      </w:r>
      <w:r w:rsidR="00174B20">
        <w:rPr>
          <w:b/>
          <w:bCs/>
          <w:u w:val="single"/>
        </w:rPr>
        <w:t xml:space="preserve">AGENCY </w:t>
      </w:r>
      <w:r w:rsidRPr="00174B20">
        <w:rPr>
          <w:b/>
          <w:bCs/>
          <w:u w:val="single"/>
        </w:rPr>
        <w:t>ANNUAL BURDEN TOTALS</w:t>
      </w:r>
    </w:p>
    <w:p w:rsidR="006A0392" w:rsidRPr="00174B20" w:rsidP="006A0392" w14:paraId="1B737D9C" w14:textId="77777777">
      <w:pPr>
        <w:pStyle w:val="Default"/>
        <w:tabs>
          <w:tab w:val="left" w:pos="378"/>
        </w:tabs>
        <w:rPr>
          <w:b/>
          <w:bCs/>
        </w:rPr>
      </w:pPr>
    </w:p>
    <w:tbl>
      <w:tblPr>
        <w:tblW w:w="9630" w:type="dxa"/>
        <w:tblInd w:w="18" w:type="dxa"/>
        <w:tblLayout w:type="fixed"/>
        <w:tblLook w:val="04A0"/>
      </w:tblPr>
      <w:tblGrid>
        <w:gridCol w:w="1350"/>
        <w:gridCol w:w="1530"/>
        <w:gridCol w:w="1260"/>
        <w:gridCol w:w="1350"/>
        <w:gridCol w:w="1080"/>
        <w:gridCol w:w="900"/>
        <w:gridCol w:w="990"/>
        <w:gridCol w:w="1170"/>
      </w:tblGrid>
      <w:tr w14:paraId="2E4483A0" w14:textId="77777777" w:rsidTr="00EC1C57">
        <w:tblPrEx>
          <w:tblW w:w="9630" w:type="dxa"/>
          <w:tblInd w:w="18"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6A0392" w:rsidRPr="00174B20" w:rsidP="00EC1C57" w14:paraId="38A6876A" w14:textId="77777777">
            <w:pPr>
              <w:spacing w:before="60" w:after="60"/>
              <w:ind w:left="-93" w:right="-108"/>
              <w:jc w:val="center"/>
              <w:rPr>
                <w:b/>
                <w:bCs/>
                <w:color w:val="000000"/>
                <w:sz w:val="18"/>
                <w:szCs w:val="18"/>
              </w:rPr>
            </w:pPr>
            <w:r w:rsidRPr="00174B20">
              <w:rPr>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67A5BAC2" w14:textId="77777777">
            <w:pPr>
              <w:spacing w:before="60" w:after="60"/>
              <w:ind w:left="-108" w:right="-108"/>
              <w:jc w:val="center"/>
              <w:rPr>
                <w:b/>
                <w:bCs/>
                <w:sz w:val="18"/>
                <w:szCs w:val="18"/>
              </w:rPr>
            </w:pPr>
            <w:r w:rsidRPr="00174B20">
              <w:rPr>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5BFA88BB" w14:textId="77777777">
            <w:pPr>
              <w:spacing w:before="60" w:after="60"/>
              <w:ind w:left="-108" w:right="-108"/>
              <w:jc w:val="center"/>
              <w:rPr>
                <w:b/>
                <w:bCs/>
                <w:sz w:val="18"/>
                <w:szCs w:val="18"/>
              </w:rPr>
            </w:pPr>
            <w:r w:rsidRPr="00174B20">
              <w:rPr>
                <w:b/>
                <w:bCs/>
                <w:sz w:val="18"/>
                <w:szCs w:val="18"/>
              </w:rPr>
              <w:t>FREQUENCY OF RESPONSES PER YEAR</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355C491F" w14:textId="77777777">
            <w:pPr>
              <w:spacing w:before="60" w:after="60"/>
              <w:ind w:left="-108" w:right="-108"/>
              <w:jc w:val="center"/>
              <w:rPr>
                <w:b/>
                <w:bCs/>
                <w:sz w:val="18"/>
                <w:szCs w:val="18"/>
              </w:rPr>
            </w:pPr>
            <w:r w:rsidRPr="00174B20">
              <w:rPr>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306E0646" w14:textId="77777777">
            <w:pPr>
              <w:spacing w:before="60" w:after="60"/>
              <w:ind w:left="-108" w:right="-108"/>
              <w:jc w:val="center"/>
              <w:rPr>
                <w:b/>
                <w:bCs/>
                <w:sz w:val="18"/>
                <w:szCs w:val="18"/>
              </w:rPr>
            </w:pPr>
            <w:r w:rsidRPr="00174B20">
              <w:rPr>
                <w:b/>
                <w:bCs/>
                <w:sz w:val="18"/>
                <w:szCs w:val="18"/>
              </w:rPr>
              <w:t xml:space="preserve">REVIEW HOURS  PER RESPONSE </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07F3875F" w14:textId="77777777">
            <w:pPr>
              <w:spacing w:before="60" w:after="60"/>
              <w:jc w:val="center"/>
              <w:rPr>
                <w:b/>
                <w:bCs/>
                <w:sz w:val="18"/>
                <w:szCs w:val="18"/>
              </w:rPr>
            </w:pPr>
            <w:r w:rsidRPr="00174B20">
              <w:rPr>
                <w:b/>
                <w:bCs/>
                <w:sz w:val="18"/>
                <w:szCs w:val="18"/>
              </w:rPr>
              <w:t>TOTAL HOURS</w:t>
            </w:r>
          </w:p>
        </w:tc>
        <w:tc>
          <w:tcPr>
            <w:tcW w:w="9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249CF61E" w14:textId="77777777">
            <w:pPr>
              <w:spacing w:before="60" w:after="60"/>
              <w:ind w:left="-105" w:right="-122"/>
              <w:jc w:val="center"/>
              <w:rPr>
                <w:b/>
                <w:bCs/>
                <w:sz w:val="18"/>
                <w:szCs w:val="18"/>
              </w:rPr>
            </w:pPr>
            <w:r w:rsidRPr="00174B20">
              <w:rPr>
                <w:b/>
                <w:bCs/>
                <w:sz w:val="18"/>
                <w:szCs w:val="18"/>
              </w:rPr>
              <w:t xml:space="preserve">HOURLY RATE </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6A0392" w:rsidRPr="00174B20" w:rsidP="00EC1C57" w14:paraId="349AB5FD" w14:textId="77777777">
            <w:pPr>
              <w:spacing w:before="60" w:after="60"/>
              <w:ind w:left="-108"/>
              <w:jc w:val="center"/>
              <w:rPr>
                <w:b/>
                <w:bCs/>
                <w:sz w:val="18"/>
                <w:szCs w:val="18"/>
              </w:rPr>
            </w:pPr>
            <w:r w:rsidRPr="00174B20">
              <w:rPr>
                <w:b/>
                <w:bCs/>
                <w:sz w:val="18"/>
                <w:szCs w:val="18"/>
              </w:rPr>
              <w:t>TOTAL AGENCY COST</w:t>
            </w:r>
          </w:p>
        </w:tc>
      </w:tr>
      <w:tr w14:paraId="5EC42B4B" w14:textId="77777777" w:rsidTr="00EC1C57">
        <w:tblPrEx>
          <w:tblW w:w="9630" w:type="dxa"/>
          <w:tblInd w:w="1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vAlign w:val="bottom"/>
            <w:hideMark/>
          </w:tcPr>
          <w:p w:rsidR="00F720A9" w:rsidRPr="00DB15ED" w:rsidP="00EC1C57" w14:paraId="157A6D5D" w14:textId="77777777">
            <w:pPr>
              <w:spacing w:after="60"/>
              <w:rPr>
                <w:b/>
                <w:bCs/>
              </w:rPr>
            </w:pPr>
            <w:r w:rsidRPr="00DB15ED">
              <w:rPr>
                <w:b/>
                <w:bCs/>
              </w:rPr>
              <w:t>543.3</w:t>
            </w:r>
          </w:p>
        </w:tc>
        <w:tc>
          <w:tcPr>
            <w:tcW w:w="1530" w:type="dxa"/>
            <w:tcBorders>
              <w:top w:val="single" w:sz="8" w:space="0" w:color="auto"/>
              <w:left w:val="single" w:sz="4" w:space="0" w:color="auto"/>
              <w:bottom w:val="single" w:sz="8" w:space="0" w:color="auto"/>
              <w:right w:val="single" w:sz="8" w:space="0" w:color="auto"/>
            </w:tcBorders>
            <w:hideMark/>
          </w:tcPr>
          <w:p w:rsidR="00F720A9" w:rsidRPr="00DB15ED" w:rsidP="00A22F64" w14:paraId="14C25344" w14:textId="77777777">
            <w:pPr>
              <w:spacing w:after="60"/>
              <w:jc w:val="center"/>
            </w:pPr>
            <w:r w:rsidRPr="00DB15ED">
              <w:t>1</w:t>
            </w:r>
          </w:p>
        </w:tc>
        <w:tc>
          <w:tcPr>
            <w:tcW w:w="1260" w:type="dxa"/>
            <w:tcBorders>
              <w:top w:val="single" w:sz="8" w:space="0" w:color="auto"/>
              <w:left w:val="nil"/>
              <w:bottom w:val="single" w:sz="8" w:space="0" w:color="auto"/>
              <w:right w:val="single" w:sz="8" w:space="0" w:color="auto"/>
            </w:tcBorders>
            <w:hideMark/>
          </w:tcPr>
          <w:p w:rsidR="00F720A9" w:rsidRPr="00DB15ED" w:rsidP="00A22F64" w14:paraId="7E01204E" w14:textId="08FEAA24">
            <w:pPr>
              <w:spacing w:after="60"/>
              <w:jc w:val="center"/>
            </w:pPr>
            <w:r>
              <w:t>1</w:t>
            </w:r>
          </w:p>
        </w:tc>
        <w:tc>
          <w:tcPr>
            <w:tcW w:w="1350" w:type="dxa"/>
            <w:tcBorders>
              <w:top w:val="single" w:sz="8" w:space="0" w:color="auto"/>
              <w:left w:val="nil"/>
              <w:bottom w:val="single" w:sz="8" w:space="0" w:color="auto"/>
              <w:right w:val="single" w:sz="8" w:space="0" w:color="auto"/>
            </w:tcBorders>
            <w:hideMark/>
          </w:tcPr>
          <w:p w:rsidR="00F720A9" w:rsidRPr="00DB15ED" w:rsidP="00A22F64" w14:paraId="0C4150EB" w14:textId="77777777">
            <w:pPr>
              <w:spacing w:after="60"/>
              <w:jc w:val="center"/>
            </w:pPr>
            <w:r w:rsidRPr="00DB15ED">
              <w:t>1</w:t>
            </w:r>
          </w:p>
        </w:tc>
        <w:tc>
          <w:tcPr>
            <w:tcW w:w="1080" w:type="dxa"/>
            <w:tcBorders>
              <w:top w:val="single" w:sz="8" w:space="0" w:color="auto"/>
              <w:left w:val="nil"/>
              <w:bottom w:val="single" w:sz="8" w:space="0" w:color="auto"/>
              <w:right w:val="single" w:sz="8" w:space="0" w:color="auto"/>
            </w:tcBorders>
          </w:tcPr>
          <w:p w:rsidR="00F720A9" w:rsidRPr="00C806AA" w:rsidP="00A22F64" w14:paraId="40C9EF29" w14:textId="77777777">
            <w:pPr>
              <w:spacing w:after="60"/>
              <w:jc w:val="center"/>
            </w:pPr>
            <w:r w:rsidRPr="00C806AA">
              <w:t>1</w:t>
            </w:r>
          </w:p>
        </w:tc>
        <w:tc>
          <w:tcPr>
            <w:tcW w:w="900" w:type="dxa"/>
            <w:tcBorders>
              <w:top w:val="single" w:sz="8" w:space="0" w:color="auto"/>
              <w:left w:val="nil"/>
              <w:bottom w:val="single" w:sz="8" w:space="0" w:color="auto"/>
              <w:right w:val="single" w:sz="8" w:space="0" w:color="auto"/>
            </w:tcBorders>
          </w:tcPr>
          <w:p w:rsidR="00F720A9" w:rsidRPr="00C806AA" w:rsidP="00A22F64" w14:paraId="1DE8BCAE" w14:textId="77777777">
            <w:pPr>
              <w:spacing w:after="60"/>
              <w:jc w:val="center"/>
            </w:pPr>
            <w:r>
              <w:t>1</w:t>
            </w:r>
          </w:p>
        </w:tc>
        <w:tc>
          <w:tcPr>
            <w:tcW w:w="990" w:type="dxa"/>
            <w:tcBorders>
              <w:top w:val="single" w:sz="8" w:space="0" w:color="auto"/>
              <w:left w:val="nil"/>
              <w:bottom w:val="single" w:sz="8" w:space="0" w:color="auto"/>
              <w:right w:val="single" w:sz="8" w:space="0" w:color="auto"/>
            </w:tcBorders>
          </w:tcPr>
          <w:p w:rsidR="00F720A9" w:rsidRPr="00C806AA" w:rsidP="00A22F64" w14:paraId="049B2F50" w14:textId="77777777">
            <w:pPr>
              <w:spacing w:after="60"/>
              <w:jc w:val="center"/>
            </w:pPr>
            <w:r w:rsidRPr="00C806AA">
              <w:t>$</w:t>
            </w:r>
            <w:r w:rsidRPr="00C806AA" w:rsidR="0050241C">
              <w:t>51</w:t>
            </w:r>
          </w:p>
        </w:tc>
        <w:tc>
          <w:tcPr>
            <w:tcW w:w="1170" w:type="dxa"/>
            <w:tcBorders>
              <w:top w:val="single" w:sz="8" w:space="0" w:color="auto"/>
              <w:left w:val="nil"/>
              <w:bottom w:val="single" w:sz="8" w:space="0" w:color="auto"/>
              <w:right w:val="single" w:sz="8" w:space="0" w:color="auto"/>
            </w:tcBorders>
          </w:tcPr>
          <w:p w:rsidR="00F720A9" w:rsidRPr="00DB15ED" w:rsidP="00A22F64" w14:paraId="5072CA35" w14:textId="77777777">
            <w:pPr>
              <w:spacing w:after="60"/>
              <w:jc w:val="center"/>
            </w:pPr>
            <w:r>
              <w:t>$</w:t>
            </w:r>
            <w:r w:rsidR="00C806AA">
              <w:t>51</w:t>
            </w:r>
          </w:p>
        </w:tc>
      </w:tr>
      <w:tr w14:paraId="32BC455B" w14:textId="77777777" w:rsidTr="00EC1C57">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hideMark/>
          </w:tcPr>
          <w:p w:rsidR="00F720A9" w:rsidRPr="00DB15ED" w:rsidP="00EC1C57" w14:paraId="26BDC67F" w14:textId="77777777">
            <w:r w:rsidRPr="00DB15ED">
              <w:rPr>
                <w:b/>
                <w:bCs/>
              </w:rPr>
              <w:t>543.5</w:t>
            </w:r>
          </w:p>
        </w:tc>
        <w:tc>
          <w:tcPr>
            <w:tcW w:w="1530" w:type="dxa"/>
            <w:tcBorders>
              <w:top w:val="nil"/>
              <w:left w:val="single" w:sz="4" w:space="0" w:color="auto"/>
              <w:bottom w:val="single" w:sz="8" w:space="0" w:color="auto"/>
              <w:right w:val="single" w:sz="8" w:space="0" w:color="auto"/>
            </w:tcBorders>
            <w:hideMark/>
          </w:tcPr>
          <w:p w:rsidR="00F720A9" w:rsidRPr="00DB15ED" w:rsidP="00A22F64" w14:paraId="5974BF57" w14:textId="2CD1E63F">
            <w:pPr>
              <w:spacing w:after="60"/>
              <w:jc w:val="center"/>
            </w:pPr>
            <w:r>
              <w:t>3</w:t>
            </w:r>
          </w:p>
        </w:tc>
        <w:tc>
          <w:tcPr>
            <w:tcW w:w="1260" w:type="dxa"/>
            <w:tcBorders>
              <w:top w:val="nil"/>
              <w:left w:val="nil"/>
              <w:bottom w:val="single" w:sz="8" w:space="0" w:color="auto"/>
              <w:right w:val="single" w:sz="8" w:space="0" w:color="auto"/>
            </w:tcBorders>
            <w:hideMark/>
          </w:tcPr>
          <w:p w:rsidR="00F720A9" w:rsidRPr="00DB15ED" w:rsidP="00A22F64" w14:paraId="6EDD5833" w14:textId="77777777">
            <w:pPr>
              <w:spacing w:after="60"/>
              <w:jc w:val="center"/>
            </w:pPr>
            <w:r w:rsidRPr="00DB15ED">
              <w:t>Varies</w:t>
            </w:r>
          </w:p>
        </w:tc>
        <w:tc>
          <w:tcPr>
            <w:tcW w:w="1350" w:type="dxa"/>
            <w:tcBorders>
              <w:top w:val="nil"/>
              <w:left w:val="nil"/>
              <w:bottom w:val="single" w:sz="8" w:space="0" w:color="auto"/>
              <w:right w:val="single" w:sz="8" w:space="0" w:color="auto"/>
            </w:tcBorders>
            <w:hideMark/>
          </w:tcPr>
          <w:p w:rsidR="00F720A9" w:rsidRPr="00DB15ED" w:rsidP="00A22F64" w14:paraId="3C8D9670" w14:textId="0B7AB716">
            <w:pPr>
              <w:spacing w:after="60"/>
              <w:jc w:val="center"/>
            </w:pPr>
            <w:r>
              <w:t>3</w:t>
            </w:r>
          </w:p>
        </w:tc>
        <w:tc>
          <w:tcPr>
            <w:tcW w:w="1080" w:type="dxa"/>
            <w:tcBorders>
              <w:top w:val="nil"/>
              <w:left w:val="nil"/>
              <w:bottom w:val="single" w:sz="8" w:space="0" w:color="auto"/>
              <w:right w:val="single" w:sz="8" w:space="0" w:color="auto"/>
            </w:tcBorders>
          </w:tcPr>
          <w:p w:rsidR="00F720A9" w:rsidRPr="00C806AA" w:rsidP="00A22F64" w14:paraId="1ED10E8C" w14:textId="77777777">
            <w:pPr>
              <w:spacing w:after="60"/>
              <w:jc w:val="center"/>
            </w:pPr>
            <w:r w:rsidRPr="00C806AA">
              <w:t>10</w:t>
            </w:r>
          </w:p>
        </w:tc>
        <w:tc>
          <w:tcPr>
            <w:tcW w:w="900" w:type="dxa"/>
            <w:tcBorders>
              <w:top w:val="nil"/>
              <w:left w:val="nil"/>
              <w:bottom w:val="single" w:sz="8" w:space="0" w:color="auto"/>
              <w:right w:val="single" w:sz="8" w:space="0" w:color="auto"/>
            </w:tcBorders>
          </w:tcPr>
          <w:p w:rsidR="00F720A9" w:rsidRPr="00C806AA" w:rsidP="00A22F64" w14:paraId="5527CBC1" w14:textId="7DCE834E">
            <w:pPr>
              <w:spacing w:after="60"/>
              <w:jc w:val="center"/>
            </w:pPr>
            <w:r>
              <w:t>30</w:t>
            </w:r>
          </w:p>
        </w:tc>
        <w:tc>
          <w:tcPr>
            <w:tcW w:w="990" w:type="dxa"/>
            <w:tcBorders>
              <w:top w:val="nil"/>
              <w:left w:val="nil"/>
              <w:bottom w:val="single" w:sz="8" w:space="0" w:color="auto"/>
              <w:right w:val="single" w:sz="8" w:space="0" w:color="auto"/>
            </w:tcBorders>
          </w:tcPr>
          <w:p w:rsidR="00F720A9" w:rsidRPr="00C806AA" w:rsidP="00A22F64" w14:paraId="72C07C1C" w14:textId="77777777">
            <w:pPr>
              <w:spacing w:after="60"/>
              <w:jc w:val="center"/>
            </w:pPr>
            <w:r w:rsidRPr="00C806AA">
              <w:t>$6</w:t>
            </w:r>
            <w:r w:rsidRPr="00C806AA" w:rsidR="0050241C">
              <w:t>5</w:t>
            </w:r>
          </w:p>
        </w:tc>
        <w:tc>
          <w:tcPr>
            <w:tcW w:w="1170" w:type="dxa"/>
            <w:tcBorders>
              <w:top w:val="nil"/>
              <w:left w:val="nil"/>
              <w:bottom w:val="single" w:sz="8" w:space="0" w:color="auto"/>
              <w:right w:val="single" w:sz="8" w:space="0" w:color="auto"/>
            </w:tcBorders>
          </w:tcPr>
          <w:p w:rsidR="00F720A9" w:rsidRPr="00DB15ED" w:rsidP="00A22F64" w14:paraId="5D662592" w14:textId="76905001">
            <w:pPr>
              <w:spacing w:after="60"/>
              <w:jc w:val="center"/>
            </w:pPr>
            <w:r w:rsidRPr="00DB15ED">
              <w:t>$</w:t>
            </w:r>
            <w:r w:rsidR="004E11B7">
              <w:t>1,950</w:t>
            </w:r>
          </w:p>
        </w:tc>
      </w:tr>
      <w:tr w14:paraId="3A7DA6F2" w14:textId="77777777" w:rsidTr="00EC1C57">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321106" w:rsidRPr="00DB15ED" w:rsidP="00EC1C57" w14:paraId="51E7DC48" w14:textId="39D2C0E9">
            <w:pPr>
              <w:rPr>
                <w:b/>
                <w:bCs/>
              </w:rPr>
            </w:pPr>
            <w:r w:rsidRPr="00174B20">
              <w:rPr>
                <w:b/>
                <w:bCs/>
              </w:rPr>
              <w:t>543.23(c)</w:t>
            </w:r>
          </w:p>
        </w:tc>
        <w:tc>
          <w:tcPr>
            <w:tcW w:w="1530" w:type="dxa"/>
            <w:tcBorders>
              <w:top w:val="nil"/>
              <w:left w:val="single" w:sz="4" w:space="0" w:color="auto"/>
              <w:bottom w:val="single" w:sz="8" w:space="0" w:color="auto"/>
              <w:right w:val="single" w:sz="8" w:space="0" w:color="auto"/>
            </w:tcBorders>
          </w:tcPr>
          <w:p w:rsidR="00321106" w:rsidRPr="00DB15ED" w:rsidP="00A22F64" w14:paraId="46FA9B16" w14:textId="2503A37A">
            <w:pPr>
              <w:spacing w:after="60"/>
              <w:jc w:val="center"/>
            </w:pPr>
            <w:r>
              <w:t>204</w:t>
            </w:r>
          </w:p>
        </w:tc>
        <w:tc>
          <w:tcPr>
            <w:tcW w:w="1260" w:type="dxa"/>
            <w:tcBorders>
              <w:top w:val="nil"/>
              <w:left w:val="nil"/>
              <w:bottom w:val="single" w:sz="8" w:space="0" w:color="auto"/>
              <w:right w:val="single" w:sz="8" w:space="0" w:color="auto"/>
            </w:tcBorders>
          </w:tcPr>
          <w:p w:rsidR="00321106" w:rsidRPr="00DB15ED" w:rsidP="00A22F64" w14:paraId="171C682C" w14:textId="45D24311">
            <w:pPr>
              <w:spacing w:after="60"/>
              <w:jc w:val="center"/>
            </w:pPr>
            <w:r>
              <w:t>1</w:t>
            </w:r>
          </w:p>
        </w:tc>
        <w:tc>
          <w:tcPr>
            <w:tcW w:w="1350" w:type="dxa"/>
            <w:tcBorders>
              <w:top w:val="nil"/>
              <w:left w:val="nil"/>
              <w:bottom w:val="single" w:sz="8" w:space="0" w:color="auto"/>
              <w:right w:val="single" w:sz="8" w:space="0" w:color="auto"/>
            </w:tcBorders>
          </w:tcPr>
          <w:p w:rsidR="00321106" w:rsidRPr="00DB15ED" w:rsidP="00A22F64" w14:paraId="37D516E8" w14:textId="0577A35B">
            <w:pPr>
              <w:spacing w:after="60"/>
              <w:jc w:val="center"/>
            </w:pPr>
            <w:r>
              <w:t>418</w:t>
            </w:r>
          </w:p>
        </w:tc>
        <w:tc>
          <w:tcPr>
            <w:tcW w:w="1080" w:type="dxa"/>
            <w:tcBorders>
              <w:top w:val="nil"/>
              <w:left w:val="nil"/>
              <w:bottom w:val="single" w:sz="8" w:space="0" w:color="auto"/>
              <w:right w:val="single" w:sz="8" w:space="0" w:color="auto"/>
            </w:tcBorders>
          </w:tcPr>
          <w:p w:rsidR="00321106" w:rsidRPr="00C806AA" w:rsidP="00A22F64" w14:paraId="04DCA198" w14:textId="486386AB">
            <w:pPr>
              <w:spacing w:after="60"/>
              <w:jc w:val="center"/>
            </w:pPr>
            <w:r>
              <w:t>2</w:t>
            </w:r>
          </w:p>
        </w:tc>
        <w:tc>
          <w:tcPr>
            <w:tcW w:w="900" w:type="dxa"/>
            <w:tcBorders>
              <w:top w:val="nil"/>
              <w:left w:val="nil"/>
              <w:bottom w:val="single" w:sz="8" w:space="0" w:color="auto"/>
              <w:right w:val="single" w:sz="8" w:space="0" w:color="auto"/>
            </w:tcBorders>
          </w:tcPr>
          <w:p w:rsidR="00321106" w:rsidP="00A22F64" w14:paraId="1F2FF97F" w14:textId="0DBCF2C0">
            <w:pPr>
              <w:spacing w:after="60"/>
              <w:jc w:val="center"/>
            </w:pPr>
            <w:r>
              <w:t>836</w:t>
            </w:r>
          </w:p>
        </w:tc>
        <w:tc>
          <w:tcPr>
            <w:tcW w:w="990" w:type="dxa"/>
            <w:tcBorders>
              <w:top w:val="nil"/>
              <w:left w:val="nil"/>
              <w:bottom w:val="single" w:sz="8" w:space="0" w:color="auto"/>
              <w:right w:val="single" w:sz="8" w:space="0" w:color="auto"/>
            </w:tcBorders>
          </w:tcPr>
          <w:p w:rsidR="00321106" w:rsidRPr="00C806AA" w:rsidP="00A22F64" w14:paraId="0E83363C" w14:textId="55E0C3A3">
            <w:pPr>
              <w:spacing w:after="60"/>
              <w:jc w:val="center"/>
            </w:pPr>
            <w:r>
              <w:t>$51</w:t>
            </w:r>
          </w:p>
        </w:tc>
        <w:tc>
          <w:tcPr>
            <w:tcW w:w="1170" w:type="dxa"/>
            <w:tcBorders>
              <w:top w:val="nil"/>
              <w:left w:val="nil"/>
              <w:bottom w:val="single" w:sz="8" w:space="0" w:color="auto"/>
              <w:right w:val="single" w:sz="8" w:space="0" w:color="auto"/>
            </w:tcBorders>
          </w:tcPr>
          <w:p w:rsidR="00321106" w:rsidRPr="00DB15ED" w:rsidP="00A22F64" w14:paraId="5AC45F02" w14:textId="47BB89AD">
            <w:pPr>
              <w:spacing w:after="60"/>
              <w:jc w:val="center"/>
            </w:pPr>
            <w:r>
              <w:t>$42,636</w:t>
            </w:r>
          </w:p>
        </w:tc>
      </w:tr>
      <w:tr w14:paraId="2D78AB56" w14:textId="77777777" w:rsidTr="00EC1C57">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F720A9" w:rsidRPr="00DB15ED" w:rsidP="00EC1C57" w14:paraId="7BBD7C70" w14:textId="77777777">
            <w:pPr>
              <w:rPr>
                <w:b/>
                <w:bCs/>
              </w:rPr>
            </w:pPr>
            <w:r w:rsidRPr="00DB15ED">
              <w:rPr>
                <w:b/>
                <w:bCs/>
              </w:rPr>
              <w:t>543.23(d)</w:t>
            </w:r>
          </w:p>
        </w:tc>
        <w:tc>
          <w:tcPr>
            <w:tcW w:w="1530" w:type="dxa"/>
            <w:tcBorders>
              <w:top w:val="nil"/>
              <w:left w:val="single" w:sz="4" w:space="0" w:color="auto"/>
              <w:bottom w:val="single" w:sz="8" w:space="0" w:color="auto"/>
              <w:right w:val="single" w:sz="8" w:space="0" w:color="auto"/>
            </w:tcBorders>
          </w:tcPr>
          <w:p w:rsidR="00F720A9" w:rsidRPr="00DB15ED" w:rsidP="00A22F64" w14:paraId="2F5BC05C" w14:textId="195A1C32">
            <w:pPr>
              <w:spacing w:after="60"/>
              <w:jc w:val="center"/>
            </w:pPr>
            <w:r>
              <w:t>204</w:t>
            </w:r>
          </w:p>
        </w:tc>
        <w:tc>
          <w:tcPr>
            <w:tcW w:w="1260" w:type="dxa"/>
            <w:tcBorders>
              <w:top w:val="nil"/>
              <w:left w:val="nil"/>
              <w:bottom w:val="single" w:sz="8" w:space="0" w:color="auto"/>
              <w:right w:val="single" w:sz="8" w:space="0" w:color="auto"/>
            </w:tcBorders>
          </w:tcPr>
          <w:p w:rsidR="00F720A9" w:rsidRPr="00DB15ED" w:rsidP="00A22F64" w14:paraId="6DEF6402" w14:textId="30F857F2">
            <w:pPr>
              <w:spacing w:after="60"/>
              <w:jc w:val="center"/>
            </w:pPr>
            <w:r>
              <w:t>1</w:t>
            </w:r>
          </w:p>
        </w:tc>
        <w:tc>
          <w:tcPr>
            <w:tcW w:w="1350" w:type="dxa"/>
            <w:tcBorders>
              <w:top w:val="nil"/>
              <w:left w:val="nil"/>
              <w:bottom w:val="single" w:sz="8" w:space="0" w:color="auto"/>
              <w:right w:val="single" w:sz="8" w:space="0" w:color="auto"/>
            </w:tcBorders>
          </w:tcPr>
          <w:p w:rsidR="00F720A9" w:rsidRPr="00DB15ED" w:rsidP="00A22F64" w14:paraId="13DC91B9" w14:textId="4252B814">
            <w:pPr>
              <w:spacing w:after="60"/>
              <w:jc w:val="center"/>
            </w:pPr>
            <w:r>
              <w:t>418</w:t>
            </w:r>
          </w:p>
        </w:tc>
        <w:tc>
          <w:tcPr>
            <w:tcW w:w="1080" w:type="dxa"/>
            <w:tcBorders>
              <w:top w:val="nil"/>
              <w:left w:val="nil"/>
              <w:bottom w:val="single" w:sz="8" w:space="0" w:color="auto"/>
              <w:right w:val="single" w:sz="8" w:space="0" w:color="auto"/>
            </w:tcBorders>
          </w:tcPr>
          <w:p w:rsidR="00F720A9" w:rsidRPr="00C806AA" w:rsidP="00A22F64" w14:paraId="0FCF1664" w14:textId="77777777">
            <w:pPr>
              <w:spacing w:after="60"/>
              <w:jc w:val="center"/>
            </w:pPr>
            <w:r w:rsidRPr="00C806AA">
              <w:t>2</w:t>
            </w:r>
          </w:p>
        </w:tc>
        <w:tc>
          <w:tcPr>
            <w:tcW w:w="900" w:type="dxa"/>
            <w:tcBorders>
              <w:top w:val="nil"/>
              <w:left w:val="nil"/>
              <w:bottom w:val="single" w:sz="8" w:space="0" w:color="auto"/>
              <w:right w:val="single" w:sz="8" w:space="0" w:color="auto"/>
            </w:tcBorders>
          </w:tcPr>
          <w:p w:rsidR="00F720A9" w:rsidRPr="00C806AA" w:rsidP="00A22F64" w14:paraId="169AA5F0" w14:textId="44B6D093">
            <w:pPr>
              <w:spacing w:after="60"/>
              <w:jc w:val="center"/>
            </w:pPr>
            <w:r>
              <w:t>836</w:t>
            </w:r>
          </w:p>
        </w:tc>
        <w:tc>
          <w:tcPr>
            <w:tcW w:w="990" w:type="dxa"/>
            <w:tcBorders>
              <w:top w:val="nil"/>
              <w:left w:val="nil"/>
              <w:bottom w:val="single" w:sz="8" w:space="0" w:color="auto"/>
              <w:right w:val="single" w:sz="8" w:space="0" w:color="auto"/>
            </w:tcBorders>
          </w:tcPr>
          <w:p w:rsidR="00F720A9" w:rsidRPr="00C806AA" w:rsidP="00A22F64" w14:paraId="45DCB716" w14:textId="77777777">
            <w:pPr>
              <w:spacing w:after="60"/>
              <w:jc w:val="center"/>
            </w:pPr>
            <w:r w:rsidRPr="00C806AA">
              <w:t>$</w:t>
            </w:r>
            <w:r w:rsidRPr="00C806AA" w:rsidR="0050241C">
              <w:t>51</w:t>
            </w:r>
          </w:p>
        </w:tc>
        <w:tc>
          <w:tcPr>
            <w:tcW w:w="1170" w:type="dxa"/>
            <w:tcBorders>
              <w:top w:val="nil"/>
              <w:left w:val="nil"/>
              <w:bottom w:val="single" w:sz="8" w:space="0" w:color="auto"/>
              <w:right w:val="single" w:sz="8" w:space="0" w:color="auto"/>
            </w:tcBorders>
          </w:tcPr>
          <w:p w:rsidR="00F720A9" w:rsidRPr="00DB15ED" w:rsidP="00A22F64" w14:paraId="3F68AB19" w14:textId="7A6CB6F2">
            <w:pPr>
              <w:spacing w:after="60"/>
              <w:jc w:val="center"/>
            </w:pPr>
            <w:r w:rsidRPr="00DB15ED">
              <w:t>$</w:t>
            </w:r>
            <w:r w:rsidR="00C806AA">
              <w:t>42,</w:t>
            </w:r>
            <w:r w:rsidR="00624212">
              <w:t>636</w:t>
            </w:r>
          </w:p>
        </w:tc>
      </w:tr>
      <w:tr w14:paraId="6B2A130A" w14:textId="77777777" w:rsidTr="007D626B">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C3403" w:rsidRPr="00DB15ED" w:rsidP="00EC1C57" w14:paraId="0951C023" w14:textId="77777777">
            <w:pPr>
              <w:rPr>
                <w:b/>
                <w:bCs/>
              </w:rPr>
            </w:pPr>
            <w:r>
              <w:rPr>
                <w:b/>
                <w:bCs/>
              </w:rPr>
              <w:t>TOTAL</w:t>
            </w:r>
          </w:p>
        </w:tc>
        <w:tc>
          <w:tcPr>
            <w:tcW w:w="1530" w:type="dxa"/>
            <w:tcBorders>
              <w:top w:val="nil"/>
              <w:left w:val="single" w:sz="4" w:space="0" w:color="auto"/>
              <w:bottom w:val="single" w:sz="8" w:space="0" w:color="auto"/>
              <w:right w:val="single" w:sz="8" w:space="0" w:color="auto"/>
            </w:tcBorders>
            <w:shd w:val="clear" w:color="auto" w:fill="BFBFBF" w:themeFill="background1" w:themeFillShade="BF"/>
          </w:tcPr>
          <w:p w:rsidR="00FC3403" w:rsidP="00FD7E0E" w14:paraId="2044B38B" w14:textId="77777777">
            <w:pPr>
              <w:spacing w:after="60"/>
              <w:jc w:val="right"/>
            </w:pPr>
          </w:p>
        </w:tc>
        <w:tc>
          <w:tcPr>
            <w:tcW w:w="1260" w:type="dxa"/>
            <w:tcBorders>
              <w:top w:val="nil"/>
              <w:left w:val="nil"/>
              <w:bottom w:val="single" w:sz="8" w:space="0" w:color="auto"/>
              <w:right w:val="single" w:sz="8" w:space="0" w:color="auto"/>
            </w:tcBorders>
            <w:shd w:val="clear" w:color="auto" w:fill="BFBFBF" w:themeFill="background1" w:themeFillShade="BF"/>
          </w:tcPr>
          <w:p w:rsidR="00FC3403" w:rsidRPr="00DB15ED" w:rsidP="00FD7E0E" w14:paraId="06A89126" w14:textId="77777777">
            <w:pPr>
              <w:spacing w:after="60"/>
              <w:jc w:val="right"/>
            </w:pPr>
          </w:p>
        </w:tc>
        <w:tc>
          <w:tcPr>
            <w:tcW w:w="1350" w:type="dxa"/>
            <w:tcBorders>
              <w:top w:val="nil"/>
              <w:left w:val="nil"/>
              <w:bottom w:val="single" w:sz="8" w:space="0" w:color="auto"/>
              <w:right w:val="single" w:sz="8" w:space="0" w:color="auto"/>
            </w:tcBorders>
            <w:shd w:val="clear" w:color="auto" w:fill="BFBFBF" w:themeFill="background1" w:themeFillShade="BF"/>
          </w:tcPr>
          <w:p w:rsidR="00FC3403" w:rsidRPr="00DB15ED" w:rsidP="00FD7E0E" w14:paraId="0BD51462" w14:textId="77777777">
            <w:pPr>
              <w:spacing w:after="60"/>
              <w:jc w:val="right"/>
            </w:pPr>
          </w:p>
        </w:tc>
        <w:tc>
          <w:tcPr>
            <w:tcW w:w="1080" w:type="dxa"/>
            <w:tcBorders>
              <w:top w:val="nil"/>
              <w:left w:val="nil"/>
              <w:bottom w:val="single" w:sz="8" w:space="0" w:color="auto"/>
              <w:right w:val="single" w:sz="8" w:space="0" w:color="auto"/>
            </w:tcBorders>
            <w:shd w:val="clear" w:color="auto" w:fill="BFBFBF" w:themeFill="background1" w:themeFillShade="BF"/>
          </w:tcPr>
          <w:p w:rsidR="00FC3403" w:rsidRPr="00DB15ED" w:rsidP="00EC1C57" w14:paraId="087BA236" w14:textId="77777777">
            <w:pPr>
              <w:spacing w:after="60"/>
              <w:jc w:val="right"/>
            </w:pPr>
          </w:p>
        </w:tc>
        <w:tc>
          <w:tcPr>
            <w:tcW w:w="900" w:type="dxa"/>
            <w:tcBorders>
              <w:top w:val="nil"/>
              <w:left w:val="nil"/>
              <w:bottom w:val="single" w:sz="8" w:space="0" w:color="auto"/>
              <w:right w:val="single" w:sz="8" w:space="0" w:color="auto"/>
            </w:tcBorders>
            <w:shd w:val="clear" w:color="auto" w:fill="BFBFBF" w:themeFill="background1" w:themeFillShade="BF"/>
          </w:tcPr>
          <w:p w:rsidR="00FC3403" w:rsidRPr="00DB15ED" w:rsidP="00EC1C57" w14:paraId="0A0AA459" w14:textId="77777777">
            <w:pPr>
              <w:spacing w:after="60"/>
              <w:jc w:val="right"/>
            </w:pPr>
          </w:p>
        </w:tc>
        <w:tc>
          <w:tcPr>
            <w:tcW w:w="990" w:type="dxa"/>
            <w:tcBorders>
              <w:top w:val="nil"/>
              <w:left w:val="nil"/>
              <w:bottom w:val="single" w:sz="8" w:space="0" w:color="auto"/>
              <w:right w:val="single" w:sz="8" w:space="0" w:color="auto"/>
            </w:tcBorders>
            <w:shd w:val="clear" w:color="auto" w:fill="BFBFBF" w:themeFill="background1" w:themeFillShade="BF"/>
          </w:tcPr>
          <w:p w:rsidR="00FC3403" w:rsidRPr="00DB15ED" w:rsidP="0050241C" w14:paraId="554F9CAF" w14:textId="77777777">
            <w:pPr>
              <w:spacing w:after="60"/>
              <w:jc w:val="right"/>
            </w:pPr>
          </w:p>
        </w:tc>
        <w:tc>
          <w:tcPr>
            <w:tcW w:w="1170" w:type="dxa"/>
            <w:tcBorders>
              <w:top w:val="nil"/>
              <w:left w:val="nil"/>
              <w:bottom w:val="single" w:sz="8" w:space="0" w:color="auto"/>
              <w:right w:val="single" w:sz="8" w:space="0" w:color="auto"/>
            </w:tcBorders>
            <w:shd w:val="clear" w:color="auto" w:fill="BFBFBF" w:themeFill="background1" w:themeFillShade="BF"/>
          </w:tcPr>
          <w:p w:rsidR="00FC3403" w:rsidRPr="00DB15ED" w:rsidP="005B14D4" w14:paraId="6A3AC1CF" w14:textId="37B36065">
            <w:pPr>
              <w:spacing w:after="60"/>
              <w:jc w:val="right"/>
            </w:pPr>
            <w:r>
              <w:t>$</w:t>
            </w:r>
            <w:r w:rsidR="00624212">
              <w:t>87,273</w:t>
            </w:r>
          </w:p>
        </w:tc>
      </w:tr>
    </w:tbl>
    <w:p w:rsidR="006A0392" w:rsidRPr="00174B20" w:rsidP="006A0392" w14:paraId="4829559A" w14:textId="77777777">
      <w:pPr>
        <w:pStyle w:val="Default"/>
        <w:tabs>
          <w:tab w:val="left" w:pos="378"/>
        </w:tabs>
        <w:rPr>
          <w:b/>
          <w:bCs/>
        </w:rPr>
      </w:pPr>
    </w:p>
    <w:p w:rsidR="00184C46" w:rsidRPr="00174B20" w:rsidP="00B8284F" w14:paraId="74C5CF3B" w14:textId="77777777">
      <w:pPr>
        <w:pStyle w:val="Default"/>
        <w:ind w:left="1440" w:hanging="720"/>
        <w:rPr>
          <w:color w:val="auto"/>
        </w:rPr>
      </w:pPr>
      <w:r w:rsidRPr="00174B20">
        <w:rPr>
          <w:b/>
          <w:bCs/>
          <w:color w:val="auto"/>
        </w:rPr>
        <w:t xml:space="preserve">15. </w:t>
      </w:r>
      <w:r w:rsidRPr="00174B20" w:rsidR="00B8284F">
        <w:rPr>
          <w:b/>
          <w:bCs/>
          <w:color w:val="auto"/>
        </w:rPr>
        <w:tab/>
      </w:r>
      <w:r w:rsidRPr="00174B20" w:rsidR="00FE747B">
        <w:rPr>
          <w:b/>
          <w:bCs/>
        </w:rPr>
        <w:t>Explain the reasons for any program changes or adjustments reported in Items 13 or 14 of the OMB Form 83-I.</w:t>
      </w:r>
      <w:r w:rsidRPr="00174B20">
        <w:rPr>
          <w:b/>
          <w:bCs/>
          <w:color w:val="auto"/>
        </w:rPr>
        <w:t xml:space="preserve"> </w:t>
      </w:r>
    </w:p>
    <w:p w:rsidR="00213228" w:rsidRPr="00174B20" w:rsidP="00184C46" w14:paraId="63AC05EA" w14:textId="77777777">
      <w:pPr>
        <w:pStyle w:val="Default"/>
        <w:jc w:val="center"/>
        <w:rPr>
          <w:b/>
          <w:bCs/>
          <w:color w:val="auto"/>
        </w:rPr>
      </w:pPr>
    </w:p>
    <w:p w:rsidR="00DE2D79" w:rsidRPr="00805537" w:rsidP="00DE2D79" w14:paraId="596BC908" w14:textId="77777777">
      <w:pPr>
        <w:spacing w:line="480" w:lineRule="auto"/>
        <w:jc w:val="center"/>
        <w:rPr>
          <w:b/>
          <w:u w:val="single"/>
        </w:rPr>
      </w:pPr>
      <w:r>
        <w:rPr>
          <w:b/>
          <w:u w:val="single"/>
        </w:rPr>
        <w:t>CHANGES FROM THE PREVIOUS COLLECTION</w:t>
      </w:r>
    </w:p>
    <w:tbl>
      <w:tblPr>
        <w:tblStyle w:val="TableGrid"/>
        <w:tblW w:w="0" w:type="auto"/>
        <w:tblLook w:val="04A0"/>
      </w:tblPr>
      <w:tblGrid>
        <w:gridCol w:w="2695"/>
        <w:gridCol w:w="2160"/>
        <w:gridCol w:w="2430"/>
        <w:gridCol w:w="2065"/>
      </w:tblGrid>
      <w:tr w14:paraId="50D8386F" w14:textId="77777777" w:rsidTr="00716D2C">
        <w:tblPrEx>
          <w:tblW w:w="0" w:type="auto"/>
          <w:tblLook w:val="04A0"/>
        </w:tblPrEx>
        <w:tc>
          <w:tcPr>
            <w:tcW w:w="2695" w:type="dxa"/>
          </w:tcPr>
          <w:p w:rsidR="00DE2D79" w:rsidP="008C7A3C" w14:paraId="170C2EBF" w14:textId="77777777">
            <w:pPr>
              <w:pStyle w:val="Default"/>
              <w:tabs>
                <w:tab w:val="left" w:pos="378"/>
              </w:tabs>
            </w:pPr>
          </w:p>
        </w:tc>
        <w:tc>
          <w:tcPr>
            <w:tcW w:w="2160" w:type="dxa"/>
          </w:tcPr>
          <w:p w:rsidR="00DE2D79" w:rsidRPr="00805537" w:rsidP="008C7A3C" w14:paraId="496A0C02" w14:textId="77777777">
            <w:pPr>
              <w:pStyle w:val="Default"/>
              <w:tabs>
                <w:tab w:val="left" w:pos="378"/>
              </w:tabs>
              <w:rPr>
                <w:b/>
              </w:rPr>
            </w:pPr>
            <w:r w:rsidRPr="00805537">
              <w:rPr>
                <w:b/>
              </w:rPr>
              <w:t>Requested in this collection</w:t>
            </w:r>
          </w:p>
        </w:tc>
        <w:tc>
          <w:tcPr>
            <w:tcW w:w="2430" w:type="dxa"/>
          </w:tcPr>
          <w:p w:rsidR="00DE2D79" w:rsidRPr="00805537" w:rsidP="008C7A3C" w14:paraId="045B9287" w14:textId="77777777">
            <w:pPr>
              <w:pStyle w:val="Default"/>
              <w:tabs>
                <w:tab w:val="left" w:pos="378"/>
              </w:tabs>
              <w:rPr>
                <w:b/>
              </w:rPr>
            </w:pPr>
            <w:r w:rsidRPr="00805537">
              <w:rPr>
                <w:b/>
              </w:rPr>
              <w:t>Previously Approved Collection</w:t>
            </w:r>
          </w:p>
        </w:tc>
        <w:tc>
          <w:tcPr>
            <w:tcW w:w="2065" w:type="dxa"/>
          </w:tcPr>
          <w:p w:rsidR="00DE2D79" w:rsidRPr="00805537" w:rsidP="008C7A3C" w14:paraId="48110ACD" w14:textId="77777777">
            <w:pPr>
              <w:pStyle w:val="Default"/>
              <w:tabs>
                <w:tab w:val="left" w:pos="378"/>
              </w:tabs>
              <w:rPr>
                <w:b/>
              </w:rPr>
            </w:pPr>
            <w:r w:rsidRPr="00805537">
              <w:rPr>
                <w:b/>
              </w:rPr>
              <w:t>Net Change</w:t>
            </w:r>
          </w:p>
        </w:tc>
      </w:tr>
      <w:tr w14:paraId="684782EB" w14:textId="77777777" w:rsidTr="00716D2C">
        <w:tblPrEx>
          <w:tblW w:w="0" w:type="auto"/>
          <w:tblLook w:val="04A0"/>
        </w:tblPrEx>
        <w:tc>
          <w:tcPr>
            <w:tcW w:w="2695" w:type="dxa"/>
          </w:tcPr>
          <w:p w:rsidR="00DE2D79" w:rsidP="008C7A3C" w14:paraId="11F9CBA0" w14:textId="77777777">
            <w:pPr>
              <w:pStyle w:val="Default"/>
              <w:tabs>
                <w:tab w:val="left" w:pos="378"/>
              </w:tabs>
            </w:pPr>
            <w:r>
              <w:t># of Responses</w:t>
            </w:r>
          </w:p>
        </w:tc>
        <w:tc>
          <w:tcPr>
            <w:tcW w:w="2160" w:type="dxa"/>
          </w:tcPr>
          <w:p w:rsidR="00DE2D79" w:rsidP="008C7A3C" w14:paraId="37056FAC" w14:textId="7785CD8B">
            <w:pPr>
              <w:pStyle w:val="Default"/>
              <w:tabs>
                <w:tab w:val="left" w:pos="378"/>
              </w:tabs>
            </w:pPr>
            <w:r>
              <w:t>840</w:t>
            </w:r>
          </w:p>
        </w:tc>
        <w:tc>
          <w:tcPr>
            <w:tcW w:w="2430" w:type="dxa"/>
          </w:tcPr>
          <w:p w:rsidR="00DE2D79" w:rsidP="008C7A3C" w14:paraId="6699FC50" w14:textId="632B38F1">
            <w:pPr>
              <w:pStyle w:val="Default"/>
              <w:tabs>
                <w:tab w:val="left" w:pos="378"/>
              </w:tabs>
            </w:pPr>
            <w:r>
              <w:t>842</w:t>
            </w:r>
          </w:p>
        </w:tc>
        <w:tc>
          <w:tcPr>
            <w:tcW w:w="2065" w:type="dxa"/>
          </w:tcPr>
          <w:p w:rsidR="00DE2D79" w:rsidP="008C7A3C" w14:paraId="3C71794E" w14:textId="5093E172">
            <w:pPr>
              <w:pStyle w:val="Default"/>
              <w:tabs>
                <w:tab w:val="left" w:pos="378"/>
              </w:tabs>
            </w:pPr>
            <w:r>
              <w:t>-0.24</w:t>
            </w:r>
            <w:r w:rsidR="00FA3D9E">
              <w:t>%</w:t>
            </w:r>
          </w:p>
        </w:tc>
      </w:tr>
      <w:tr w14:paraId="6A80CEFC" w14:textId="77777777" w:rsidTr="00716D2C">
        <w:tblPrEx>
          <w:tblW w:w="0" w:type="auto"/>
          <w:tblLook w:val="04A0"/>
        </w:tblPrEx>
        <w:tc>
          <w:tcPr>
            <w:tcW w:w="2695" w:type="dxa"/>
          </w:tcPr>
          <w:p w:rsidR="00DE2D79" w:rsidP="008C7A3C" w14:paraId="1A766C8E" w14:textId="77777777">
            <w:pPr>
              <w:pStyle w:val="Default"/>
              <w:tabs>
                <w:tab w:val="left" w:pos="378"/>
              </w:tabs>
            </w:pPr>
            <w:r>
              <w:t>Annual Burden Hours</w:t>
            </w:r>
          </w:p>
        </w:tc>
        <w:tc>
          <w:tcPr>
            <w:tcW w:w="2160" w:type="dxa"/>
          </w:tcPr>
          <w:p w:rsidR="00DE2D79" w:rsidP="008C7A3C" w14:paraId="4C2F4EBD" w14:textId="543CA3B6">
            <w:pPr>
              <w:pStyle w:val="Default"/>
              <w:tabs>
                <w:tab w:val="left" w:pos="378"/>
              </w:tabs>
            </w:pPr>
            <w:r>
              <w:t>252.4</w:t>
            </w:r>
          </w:p>
        </w:tc>
        <w:tc>
          <w:tcPr>
            <w:tcW w:w="2430" w:type="dxa"/>
          </w:tcPr>
          <w:p w:rsidR="00DE2D79" w:rsidP="008C7A3C" w14:paraId="4DEC899E" w14:textId="35615A07">
            <w:pPr>
              <w:pStyle w:val="Default"/>
              <w:tabs>
                <w:tab w:val="left" w:pos="378"/>
              </w:tabs>
            </w:pPr>
            <w:r>
              <w:t>1,199</w:t>
            </w:r>
          </w:p>
        </w:tc>
        <w:tc>
          <w:tcPr>
            <w:tcW w:w="2065" w:type="dxa"/>
          </w:tcPr>
          <w:p w:rsidR="00DE2D79" w:rsidP="008C7A3C" w14:paraId="06684DE4" w14:textId="72C7A15F">
            <w:pPr>
              <w:pStyle w:val="Default"/>
              <w:tabs>
                <w:tab w:val="left" w:pos="378"/>
              </w:tabs>
            </w:pPr>
            <w:r>
              <w:t>-</w:t>
            </w:r>
            <w:r w:rsidR="00CE28D0">
              <w:t>79</w:t>
            </w:r>
            <w:r>
              <w:t>%</w:t>
            </w:r>
          </w:p>
        </w:tc>
      </w:tr>
      <w:tr w14:paraId="55706D78" w14:textId="77777777" w:rsidTr="00716D2C">
        <w:tblPrEx>
          <w:tblW w:w="0" w:type="auto"/>
          <w:tblLook w:val="04A0"/>
        </w:tblPrEx>
        <w:tc>
          <w:tcPr>
            <w:tcW w:w="2695" w:type="dxa"/>
          </w:tcPr>
          <w:p w:rsidR="00DE2D79" w:rsidP="008C7A3C" w14:paraId="6A918B5C" w14:textId="0987AF62">
            <w:pPr>
              <w:pStyle w:val="Default"/>
              <w:tabs>
                <w:tab w:val="left" w:pos="378"/>
              </w:tabs>
            </w:pPr>
            <w:r>
              <w:t>Burden Hour Wage Cost</w:t>
            </w:r>
            <w:r w:rsidR="00716D2C">
              <w:t>s</w:t>
            </w:r>
          </w:p>
        </w:tc>
        <w:tc>
          <w:tcPr>
            <w:tcW w:w="2160" w:type="dxa"/>
          </w:tcPr>
          <w:p w:rsidR="00DE2D79" w:rsidP="00034964" w14:paraId="6C9C4540" w14:textId="6F86A9C0">
            <w:pPr>
              <w:pStyle w:val="Default"/>
              <w:tabs>
                <w:tab w:val="left" w:pos="378"/>
              </w:tabs>
            </w:pPr>
            <w:r>
              <w:rPr>
                <w:rFonts w:eastAsia="Times New Roman"/>
                <w:color w:val="000000" w:themeColor="text1"/>
              </w:rPr>
              <w:t>$</w:t>
            </w:r>
            <w:r w:rsidR="00847143">
              <w:rPr>
                <w:rFonts w:eastAsia="Times New Roman"/>
                <w:color w:val="000000" w:themeColor="text1"/>
              </w:rPr>
              <w:t>19,516</w:t>
            </w:r>
          </w:p>
        </w:tc>
        <w:tc>
          <w:tcPr>
            <w:tcW w:w="2430" w:type="dxa"/>
          </w:tcPr>
          <w:p w:rsidR="00DE2D79" w:rsidP="008C7A3C" w14:paraId="4219999E" w14:textId="1C2B2EDA">
            <w:pPr>
              <w:pStyle w:val="Default"/>
              <w:tabs>
                <w:tab w:val="left" w:pos="378"/>
              </w:tabs>
            </w:pPr>
            <w:r>
              <w:rPr>
                <w:rFonts w:eastAsia="Times New Roman"/>
                <w:color w:val="000000" w:themeColor="text1"/>
              </w:rPr>
              <w:t>$86,790</w:t>
            </w:r>
          </w:p>
        </w:tc>
        <w:tc>
          <w:tcPr>
            <w:tcW w:w="2065" w:type="dxa"/>
          </w:tcPr>
          <w:p w:rsidR="00DE2D79" w:rsidP="008C7A3C" w14:paraId="6B27157E" w14:textId="3FB11DAA">
            <w:pPr>
              <w:pStyle w:val="Default"/>
              <w:tabs>
                <w:tab w:val="left" w:pos="378"/>
              </w:tabs>
            </w:pPr>
            <w:r>
              <w:rPr>
                <w:rFonts w:eastAsia="Times New Roman"/>
                <w:color w:val="000000" w:themeColor="text1"/>
              </w:rPr>
              <w:t>-77.5%</w:t>
            </w:r>
          </w:p>
        </w:tc>
      </w:tr>
      <w:tr w14:paraId="6BFEAC2B" w14:textId="77777777" w:rsidTr="00716D2C">
        <w:tblPrEx>
          <w:tblW w:w="0" w:type="auto"/>
          <w:tblLook w:val="04A0"/>
        </w:tblPrEx>
        <w:tc>
          <w:tcPr>
            <w:tcW w:w="2695" w:type="dxa"/>
          </w:tcPr>
          <w:p w:rsidR="00DE2D79" w:rsidP="008C7A3C" w14:paraId="5524879C" w14:textId="355FF135">
            <w:pPr>
              <w:pStyle w:val="Default"/>
              <w:tabs>
                <w:tab w:val="left" w:pos="378"/>
              </w:tabs>
            </w:pPr>
            <w:r>
              <w:t>Non-Burden Hour Cost</w:t>
            </w:r>
            <w:r w:rsidR="00716D2C">
              <w:t>s</w:t>
            </w:r>
          </w:p>
        </w:tc>
        <w:tc>
          <w:tcPr>
            <w:tcW w:w="2160" w:type="dxa"/>
          </w:tcPr>
          <w:p w:rsidR="00DE2D79" w:rsidP="00034964" w14:paraId="75733E8A" w14:textId="08CBCCA4">
            <w:pPr>
              <w:pStyle w:val="Default"/>
              <w:tabs>
                <w:tab w:val="left" w:pos="378"/>
              </w:tabs>
            </w:pPr>
            <w:r>
              <w:rPr>
                <w:rFonts w:eastAsia="Times New Roman"/>
              </w:rPr>
              <w:t>$</w:t>
            </w:r>
            <w:r w:rsidR="00CE28D0">
              <w:rPr>
                <w:rFonts w:eastAsia="Times New Roman"/>
              </w:rPr>
              <w:t>3,866,060</w:t>
            </w:r>
          </w:p>
        </w:tc>
        <w:tc>
          <w:tcPr>
            <w:tcW w:w="2430" w:type="dxa"/>
          </w:tcPr>
          <w:p w:rsidR="00DE2D79" w:rsidP="008C7A3C" w14:paraId="6133304A" w14:textId="0D7666CE">
            <w:pPr>
              <w:pStyle w:val="Default"/>
              <w:tabs>
                <w:tab w:val="left" w:pos="378"/>
              </w:tabs>
            </w:pPr>
            <w:r>
              <w:rPr>
                <w:rFonts w:eastAsia="Times New Roman"/>
              </w:rPr>
              <w:t>$</w:t>
            </w:r>
            <w:r w:rsidRPr="00034964">
              <w:rPr>
                <w:rFonts w:eastAsia="Times New Roman"/>
              </w:rPr>
              <w:t>3,296,800</w:t>
            </w:r>
          </w:p>
        </w:tc>
        <w:tc>
          <w:tcPr>
            <w:tcW w:w="2065" w:type="dxa"/>
          </w:tcPr>
          <w:p w:rsidR="00DE2D79" w:rsidP="008C7A3C" w14:paraId="03D05FFA" w14:textId="65906ADA">
            <w:pPr>
              <w:pStyle w:val="Default"/>
              <w:tabs>
                <w:tab w:val="left" w:pos="378"/>
              </w:tabs>
            </w:pPr>
            <w:r>
              <w:t>17.27%</w:t>
            </w:r>
          </w:p>
        </w:tc>
      </w:tr>
    </w:tbl>
    <w:p w:rsidR="00DE2D79" w:rsidP="00DE2D79" w14:paraId="241FF039" w14:textId="77777777">
      <w:pPr>
        <w:pStyle w:val="Default"/>
        <w:tabs>
          <w:tab w:val="left" w:pos="378"/>
        </w:tabs>
        <w:spacing w:line="480" w:lineRule="auto"/>
        <w:ind w:firstLine="720"/>
      </w:pPr>
    </w:p>
    <w:p w:rsidR="00DE2D79" w:rsidP="00DE2D79" w14:paraId="784F8542" w14:textId="0A94C71C">
      <w:pPr>
        <w:pStyle w:val="Default"/>
        <w:tabs>
          <w:tab w:val="left" w:pos="378"/>
        </w:tabs>
        <w:spacing w:line="480" w:lineRule="auto"/>
        <w:ind w:firstLine="720"/>
      </w:pPr>
      <w:r>
        <w:t>Burden estimate updates are based upon stakeholder consultations and i</w:t>
      </w:r>
      <w:r>
        <w:t xml:space="preserve">t should be cautioned at the outset that tribal gaming operations and their business practices are unique to each gaming Tribe and influenced by many local, state, and regional factors. Tribal gaming facilities vary in size and complexity and range from small truck stops </w:t>
      </w:r>
      <w:r w:rsidR="002331CF">
        <w:t xml:space="preserve">and lotteries </w:t>
      </w:r>
      <w:r>
        <w:t xml:space="preserve">to world-class casino </w:t>
      </w:r>
      <w:r w:rsidR="00FA441E">
        <w:t>mega-</w:t>
      </w:r>
      <w:r>
        <w:t>resorts. The amount of time and resources that gaming tribes expend fulfilling regulatory requirements can vary dramatically and is further complicated by different Tribal governance practices and varying levels of investment in, and adoption of, new technologies and technical expertise. For these reasons, estimates provided by a statistically insignificant group of rotating tribal consultants has limited value and it would be improper to extrapolate from these burden estimates any definitive trends.</w:t>
      </w:r>
    </w:p>
    <w:p w:rsidR="00DE2D79" w:rsidP="00DF6608" w14:paraId="69F21D80" w14:textId="53181661">
      <w:pPr>
        <w:pStyle w:val="Default"/>
        <w:tabs>
          <w:tab w:val="left" w:pos="378"/>
        </w:tabs>
        <w:spacing w:line="480" w:lineRule="auto"/>
        <w:ind w:firstLine="720"/>
      </w:pPr>
      <w:r>
        <w:t xml:space="preserve">In this collection cycle, the number of responses </w:t>
      </w:r>
      <w:r w:rsidR="00716D2C">
        <w:t xml:space="preserve">remained statistically the same, however, </w:t>
      </w:r>
      <w:r w:rsidR="002A1C6C">
        <w:t>both Annual Burden Hours and Burden Hour Wage Costs dropped significantly</w:t>
      </w:r>
      <w:r w:rsidR="00935D47">
        <w:t xml:space="preserve"> and i</w:t>
      </w:r>
      <w:r w:rsidR="00A12549">
        <w:t xml:space="preserve">t appears that these decreases are due to the fact that </w:t>
      </w:r>
      <w:r w:rsidR="00E0600E">
        <w:t xml:space="preserve">tribes are </w:t>
      </w:r>
      <w:r w:rsidR="007D7BC7">
        <w:t xml:space="preserve">increasingly </w:t>
      </w:r>
      <w:r w:rsidR="00E0600E">
        <w:t xml:space="preserve">electing to contract </w:t>
      </w:r>
      <w:r w:rsidR="007D7BC7">
        <w:t xml:space="preserve">the required audit services </w:t>
      </w:r>
      <w:r w:rsidR="00DD35BC">
        <w:t xml:space="preserve">in lieu of performing these </w:t>
      </w:r>
      <w:r w:rsidR="00911621">
        <w:t>functions</w:t>
      </w:r>
      <w:r w:rsidR="00DD35BC">
        <w:t xml:space="preserve"> </w:t>
      </w:r>
      <w:r w:rsidR="009E789D">
        <w:t xml:space="preserve">themselves </w:t>
      </w:r>
      <w:r w:rsidR="00DD35BC">
        <w:t>in-house.</w:t>
      </w:r>
      <w:r w:rsidR="00911621">
        <w:t xml:space="preserve"> </w:t>
      </w:r>
      <w:r w:rsidR="00BC419B">
        <w:t>T</w:t>
      </w:r>
      <w:r w:rsidR="00DF6608">
        <w:t xml:space="preserve">his trend </w:t>
      </w:r>
      <w:r w:rsidR="00935D47">
        <w:t xml:space="preserve">towards contracted services </w:t>
      </w:r>
      <w:r w:rsidR="00DF6608">
        <w:t xml:space="preserve">is </w:t>
      </w:r>
      <w:r w:rsidR="00531C79">
        <w:t xml:space="preserve">thus </w:t>
      </w:r>
      <w:r w:rsidR="00DF6608">
        <w:t xml:space="preserve">reflected in the increase in </w:t>
      </w:r>
      <w:r w:rsidR="000E3FA0">
        <w:t>Non-Burden Hour Costs</w:t>
      </w:r>
      <w:r w:rsidR="00DF6608">
        <w:t>.</w:t>
      </w:r>
    </w:p>
    <w:p w:rsidR="00184C46" w:rsidRPr="00174B20" w:rsidP="006C20B3" w14:paraId="08629A1C" w14:textId="77777777">
      <w:pPr>
        <w:pStyle w:val="Default"/>
        <w:ind w:left="1440" w:hanging="720"/>
        <w:rPr>
          <w:color w:val="auto"/>
        </w:rPr>
      </w:pPr>
      <w:r w:rsidRPr="00174B20">
        <w:rPr>
          <w:b/>
          <w:bCs/>
          <w:color w:val="auto"/>
        </w:rPr>
        <w:t xml:space="preserve">16. </w:t>
      </w:r>
      <w:r w:rsidRPr="00174B20" w:rsidR="00B8284F">
        <w:rPr>
          <w:b/>
          <w:bCs/>
          <w:color w:val="auto"/>
        </w:rPr>
        <w:tab/>
      </w:r>
      <w:r w:rsidRPr="006C20B3" w:rsidR="00FE747B">
        <w:rPr>
          <w:b/>
          <w:bCs/>
          <w:color w:val="auto"/>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74B20">
        <w:rPr>
          <w:b/>
          <w:bCs/>
          <w:color w:val="auto"/>
        </w:rPr>
        <w:t xml:space="preserve"> </w:t>
      </w:r>
    </w:p>
    <w:p w:rsidR="00213228" w:rsidRPr="00174B20" w:rsidP="00184C46" w14:paraId="49BED925" w14:textId="77777777">
      <w:pPr>
        <w:pStyle w:val="Default"/>
        <w:jc w:val="center"/>
        <w:rPr>
          <w:b/>
          <w:bCs/>
          <w:color w:val="auto"/>
        </w:rPr>
      </w:pPr>
    </w:p>
    <w:p w:rsidR="00184C46" w:rsidRPr="00174B20" w:rsidP="00622B4C" w14:paraId="399D4A64" w14:textId="77777777">
      <w:pPr>
        <w:pStyle w:val="Default"/>
        <w:spacing w:line="480" w:lineRule="auto"/>
        <w:ind w:left="720"/>
        <w:rPr>
          <w:color w:val="auto"/>
        </w:rPr>
      </w:pPr>
      <w:r w:rsidRPr="00174B20">
        <w:rPr>
          <w:color w:val="auto"/>
        </w:rPr>
        <w:t>This is an ongoing information collection with no ending date and no plans for publication.</w:t>
      </w:r>
      <w:r w:rsidRPr="00174B20">
        <w:rPr>
          <w:color w:val="auto"/>
        </w:rPr>
        <w:t xml:space="preserve"> </w:t>
      </w:r>
    </w:p>
    <w:p w:rsidR="00184C46" w:rsidRPr="00174B20" w:rsidP="00B8284F" w14:paraId="623BB205" w14:textId="77777777">
      <w:pPr>
        <w:pStyle w:val="Default"/>
        <w:ind w:left="1440" w:hanging="720"/>
        <w:rPr>
          <w:color w:val="auto"/>
        </w:rPr>
      </w:pPr>
      <w:r w:rsidRPr="00174B20">
        <w:rPr>
          <w:b/>
          <w:bCs/>
          <w:color w:val="auto"/>
        </w:rPr>
        <w:t xml:space="preserve">17. </w:t>
      </w:r>
      <w:r w:rsidRPr="00174B20" w:rsidR="00B8284F">
        <w:rPr>
          <w:b/>
          <w:bCs/>
          <w:color w:val="auto"/>
        </w:rPr>
        <w:tab/>
      </w:r>
      <w:r w:rsidRPr="00174B20" w:rsidR="00FE747B">
        <w:rPr>
          <w:b/>
          <w:bCs/>
        </w:rPr>
        <w:t>If seeking approval to not display the expiration date for OMB approval of the information collection, explain the reasons that display would be inappropriate.</w:t>
      </w:r>
      <w:r w:rsidRPr="00174B20">
        <w:rPr>
          <w:b/>
          <w:bCs/>
          <w:color w:val="auto"/>
        </w:rPr>
        <w:t xml:space="preserve"> </w:t>
      </w:r>
    </w:p>
    <w:p w:rsidR="00213228" w:rsidRPr="00174B20" w:rsidP="00184C46" w14:paraId="272965E6" w14:textId="77777777">
      <w:pPr>
        <w:pStyle w:val="Default"/>
        <w:jc w:val="center"/>
        <w:rPr>
          <w:b/>
          <w:bCs/>
          <w:color w:val="auto"/>
        </w:rPr>
      </w:pPr>
    </w:p>
    <w:p w:rsidR="00184C46" w:rsidRPr="00174B20" w:rsidP="00213228" w14:paraId="7A36FA99" w14:textId="77777777">
      <w:pPr>
        <w:pStyle w:val="Default"/>
        <w:ind w:firstLine="720"/>
        <w:rPr>
          <w:color w:val="auto"/>
        </w:rPr>
      </w:pPr>
      <w:r w:rsidRPr="00174B20">
        <w:rPr>
          <w:color w:val="auto"/>
        </w:rPr>
        <w:t xml:space="preserve">Not applicable. </w:t>
      </w:r>
    </w:p>
    <w:p w:rsidR="00213228" w:rsidRPr="00174B20" w:rsidP="00184C46" w14:paraId="2A38BBD1" w14:textId="77777777">
      <w:pPr>
        <w:pStyle w:val="Default"/>
        <w:rPr>
          <w:b/>
          <w:bCs/>
          <w:color w:val="auto"/>
        </w:rPr>
      </w:pPr>
    </w:p>
    <w:p w:rsidR="00184C46" w:rsidRPr="00174B20" w:rsidP="00B8284F" w14:paraId="5D89FAB2" w14:textId="77777777">
      <w:pPr>
        <w:pStyle w:val="Default"/>
        <w:ind w:left="1440" w:hanging="720"/>
        <w:rPr>
          <w:color w:val="auto"/>
        </w:rPr>
      </w:pPr>
      <w:r w:rsidRPr="00174B20">
        <w:rPr>
          <w:b/>
          <w:bCs/>
          <w:color w:val="auto"/>
        </w:rPr>
        <w:t xml:space="preserve">18. </w:t>
      </w:r>
      <w:r w:rsidRPr="00174B20" w:rsidR="00B8284F">
        <w:rPr>
          <w:b/>
          <w:bCs/>
          <w:color w:val="auto"/>
        </w:rPr>
        <w:tab/>
      </w:r>
      <w:r w:rsidRPr="00174B20" w:rsidR="00FE747B">
        <w:rPr>
          <w:b/>
          <w:bCs/>
        </w:rPr>
        <w:t>Explain each exception to the certification statement identified in Item 19, “Certification for Paperwork Reduction Act Submissions,” of OMB Form 83-I.</w:t>
      </w:r>
      <w:r w:rsidRPr="00174B20">
        <w:rPr>
          <w:b/>
          <w:bCs/>
          <w:color w:val="auto"/>
        </w:rPr>
        <w:t xml:space="preserve"> </w:t>
      </w:r>
    </w:p>
    <w:p w:rsidR="00213228" w:rsidRPr="00174B20" w:rsidP="00184C46" w14:paraId="11635A3B" w14:textId="77777777">
      <w:pPr>
        <w:pStyle w:val="Default"/>
        <w:jc w:val="center"/>
        <w:rPr>
          <w:b/>
          <w:bCs/>
          <w:color w:val="auto"/>
        </w:rPr>
      </w:pPr>
    </w:p>
    <w:p w:rsidR="00184C46" w:rsidRPr="00174B20" w:rsidP="00213228" w14:paraId="2B893B90" w14:textId="77777777">
      <w:pPr>
        <w:pStyle w:val="Default"/>
        <w:ind w:firstLine="720"/>
        <w:rPr>
          <w:color w:val="auto"/>
        </w:rPr>
      </w:pPr>
      <w:r w:rsidRPr="00174B20">
        <w:rPr>
          <w:color w:val="auto"/>
        </w:rPr>
        <w:t>Not applicable. The Commission certifies compliance with 5 CFR § 1320.9.</w:t>
      </w:r>
      <w:r w:rsidRPr="00174B20">
        <w:rPr>
          <w:color w:val="auto"/>
        </w:rPr>
        <w:t xml:space="preserve"> </w:t>
      </w:r>
    </w:p>
    <w:p w:rsidR="00213228" w:rsidRPr="00174B20" w:rsidP="00184C46" w14:paraId="4ABECAA5" w14:textId="77777777">
      <w:pPr>
        <w:pStyle w:val="Default"/>
        <w:rPr>
          <w:b/>
          <w:bCs/>
          <w:color w:val="auto"/>
        </w:rPr>
      </w:pPr>
    </w:p>
    <w:p w:rsidR="00184C46" w:rsidRPr="00174B20" w:rsidP="00184C46" w14:paraId="1470F2C9" w14:textId="77777777">
      <w:pPr>
        <w:pStyle w:val="Default"/>
        <w:rPr>
          <w:color w:val="auto"/>
        </w:rPr>
      </w:pPr>
      <w:r w:rsidRPr="00174B20">
        <w:rPr>
          <w:b/>
          <w:bCs/>
          <w:color w:val="auto"/>
        </w:rPr>
        <w:t xml:space="preserve">B. </w:t>
      </w:r>
      <w:r w:rsidRPr="00174B20" w:rsidR="006A0392">
        <w:rPr>
          <w:b/>
          <w:bCs/>
          <w:color w:val="auto"/>
        </w:rPr>
        <w:tab/>
      </w:r>
      <w:r w:rsidRPr="00174B20">
        <w:rPr>
          <w:b/>
          <w:bCs/>
          <w:color w:val="auto"/>
        </w:rPr>
        <w:t xml:space="preserve">Collection of Information Employing Statistical Methods. </w:t>
      </w:r>
    </w:p>
    <w:p w:rsidR="00213228" w:rsidRPr="00174B20" w:rsidP="00184C46" w14:paraId="4C1ED080" w14:textId="77777777">
      <w:pPr>
        <w:pStyle w:val="Default"/>
        <w:jc w:val="center"/>
        <w:rPr>
          <w:b/>
          <w:bCs/>
          <w:color w:val="auto"/>
        </w:rPr>
      </w:pPr>
    </w:p>
    <w:p w:rsidR="00184C46" w:rsidRPr="00174B20" w:rsidP="0060503D" w14:paraId="5531A347" w14:textId="77777777">
      <w:pPr>
        <w:ind w:firstLine="720"/>
      </w:pPr>
      <w:r w:rsidRPr="00174B20">
        <w:t>This section is not applicable. Statistical methods are not employed.</w:t>
      </w:r>
    </w:p>
    <w:sectPr w:rsidSect="00BC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5A4D"/>
    <w:multiLevelType w:val="hybridMultilevel"/>
    <w:tmpl w:val="8CEC9EB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2378C"/>
    <w:multiLevelType w:val="hybridMultilevel"/>
    <w:tmpl w:val="5FB2853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4C75D2"/>
    <w:multiLevelType w:val="hybridMultilevel"/>
    <w:tmpl w:val="83E0C6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D166373"/>
    <w:multiLevelType w:val="hybridMultilevel"/>
    <w:tmpl w:val="FE081C70"/>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
    <w:nsid w:val="7D1C7137"/>
    <w:multiLevelType w:val="hybridMultilevel"/>
    <w:tmpl w:val="10CE0B66"/>
    <w:lvl w:ilvl="0">
      <w:start w:val="7"/>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08493791">
    <w:abstractNumId w:val="4"/>
  </w:num>
  <w:num w:numId="2" w16cid:durableId="1550917991">
    <w:abstractNumId w:val="1"/>
  </w:num>
  <w:num w:numId="3" w16cid:durableId="1796833040">
    <w:abstractNumId w:val="0"/>
  </w:num>
  <w:num w:numId="4" w16cid:durableId="1019697200">
    <w:abstractNumId w:val="3"/>
  </w:num>
  <w:num w:numId="5" w16cid:durableId="286158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87"/>
    <w:rsid w:val="000200BA"/>
    <w:rsid w:val="0002519F"/>
    <w:rsid w:val="00026A77"/>
    <w:rsid w:val="00034964"/>
    <w:rsid w:val="00045EA2"/>
    <w:rsid w:val="00052F72"/>
    <w:rsid w:val="000578F7"/>
    <w:rsid w:val="00062C4B"/>
    <w:rsid w:val="000677CB"/>
    <w:rsid w:val="0007030F"/>
    <w:rsid w:val="0009271A"/>
    <w:rsid w:val="000A57B8"/>
    <w:rsid w:val="000D0BA0"/>
    <w:rsid w:val="000D67CB"/>
    <w:rsid w:val="000D6D7D"/>
    <w:rsid w:val="000E1E30"/>
    <w:rsid w:val="000E3FA0"/>
    <w:rsid w:val="000F1104"/>
    <w:rsid w:val="00101BCE"/>
    <w:rsid w:val="00111FF0"/>
    <w:rsid w:val="00121E8B"/>
    <w:rsid w:val="00123EC8"/>
    <w:rsid w:val="00137839"/>
    <w:rsid w:val="001471D2"/>
    <w:rsid w:val="00150D55"/>
    <w:rsid w:val="00174B20"/>
    <w:rsid w:val="00184C46"/>
    <w:rsid w:val="001855AC"/>
    <w:rsid w:val="00186F1C"/>
    <w:rsid w:val="001904C0"/>
    <w:rsid w:val="001A0089"/>
    <w:rsid w:val="001A35DC"/>
    <w:rsid w:val="001D40ED"/>
    <w:rsid w:val="001E3524"/>
    <w:rsid w:val="00213228"/>
    <w:rsid w:val="00222633"/>
    <w:rsid w:val="00227D84"/>
    <w:rsid w:val="002331CF"/>
    <w:rsid w:val="002628D8"/>
    <w:rsid w:val="002639D2"/>
    <w:rsid w:val="002645B6"/>
    <w:rsid w:val="00286BE9"/>
    <w:rsid w:val="002966BC"/>
    <w:rsid w:val="00297673"/>
    <w:rsid w:val="002A1C6C"/>
    <w:rsid w:val="002D0BBC"/>
    <w:rsid w:val="002E0C72"/>
    <w:rsid w:val="002E1A5C"/>
    <w:rsid w:val="00305721"/>
    <w:rsid w:val="003106F4"/>
    <w:rsid w:val="0032025F"/>
    <w:rsid w:val="00321106"/>
    <w:rsid w:val="00325FE2"/>
    <w:rsid w:val="00337217"/>
    <w:rsid w:val="003545CF"/>
    <w:rsid w:val="00373A4A"/>
    <w:rsid w:val="00391153"/>
    <w:rsid w:val="0039738F"/>
    <w:rsid w:val="0039772C"/>
    <w:rsid w:val="003A086D"/>
    <w:rsid w:val="003A1A9B"/>
    <w:rsid w:val="003B5564"/>
    <w:rsid w:val="003C011F"/>
    <w:rsid w:val="003D5D0F"/>
    <w:rsid w:val="003E4EEE"/>
    <w:rsid w:val="003F36B1"/>
    <w:rsid w:val="00400AC5"/>
    <w:rsid w:val="004042F1"/>
    <w:rsid w:val="00404C7A"/>
    <w:rsid w:val="004077EF"/>
    <w:rsid w:val="004663D7"/>
    <w:rsid w:val="004A29B0"/>
    <w:rsid w:val="004C2D90"/>
    <w:rsid w:val="004D6B1B"/>
    <w:rsid w:val="004E11B7"/>
    <w:rsid w:val="004E3F16"/>
    <w:rsid w:val="004F37C3"/>
    <w:rsid w:val="004F78C6"/>
    <w:rsid w:val="0050094A"/>
    <w:rsid w:val="0050174E"/>
    <w:rsid w:val="0050241C"/>
    <w:rsid w:val="005304EE"/>
    <w:rsid w:val="00531C79"/>
    <w:rsid w:val="00546B15"/>
    <w:rsid w:val="00557042"/>
    <w:rsid w:val="00571A99"/>
    <w:rsid w:val="005852C5"/>
    <w:rsid w:val="0058609A"/>
    <w:rsid w:val="00597FA3"/>
    <w:rsid w:val="005A3E6A"/>
    <w:rsid w:val="005A51EF"/>
    <w:rsid w:val="005B14D4"/>
    <w:rsid w:val="005B22C6"/>
    <w:rsid w:val="005B339B"/>
    <w:rsid w:val="005C0D3B"/>
    <w:rsid w:val="005C50A5"/>
    <w:rsid w:val="0060503D"/>
    <w:rsid w:val="006102D4"/>
    <w:rsid w:val="006155FF"/>
    <w:rsid w:val="00622B4C"/>
    <w:rsid w:val="00624212"/>
    <w:rsid w:val="00624B21"/>
    <w:rsid w:val="006331E0"/>
    <w:rsid w:val="00640B39"/>
    <w:rsid w:val="00653CDB"/>
    <w:rsid w:val="00654045"/>
    <w:rsid w:val="0066767D"/>
    <w:rsid w:val="00696D7C"/>
    <w:rsid w:val="006A0392"/>
    <w:rsid w:val="006B5F8D"/>
    <w:rsid w:val="006C20B3"/>
    <w:rsid w:val="006C31F1"/>
    <w:rsid w:val="006D1DF2"/>
    <w:rsid w:val="006F04D8"/>
    <w:rsid w:val="00716D2C"/>
    <w:rsid w:val="00733C5F"/>
    <w:rsid w:val="00752E97"/>
    <w:rsid w:val="00760D27"/>
    <w:rsid w:val="00762D34"/>
    <w:rsid w:val="007724E4"/>
    <w:rsid w:val="007743B6"/>
    <w:rsid w:val="00782B34"/>
    <w:rsid w:val="007857D7"/>
    <w:rsid w:val="0079779E"/>
    <w:rsid w:val="007978AD"/>
    <w:rsid w:val="007A0191"/>
    <w:rsid w:val="007A022D"/>
    <w:rsid w:val="007B09CD"/>
    <w:rsid w:val="007D6172"/>
    <w:rsid w:val="007D626B"/>
    <w:rsid w:val="007D7BC7"/>
    <w:rsid w:val="007E3864"/>
    <w:rsid w:val="0080157E"/>
    <w:rsid w:val="00805537"/>
    <w:rsid w:val="008256BD"/>
    <w:rsid w:val="00827835"/>
    <w:rsid w:val="00834BBC"/>
    <w:rsid w:val="00835A33"/>
    <w:rsid w:val="00835FD7"/>
    <w:rsid w:val="00844856"/>
    <w:rsid w:val="00847143"/>
    <w:rsid w:val="00853949"/>
    <w:rsid w:val="008676CC"/>
    <w:rsid w:val="00871950"/>
    <w:rsid w:val="0088403E"/>
    <w:rsid w:val="008974BC"/>
    <w:rsid w:val="008B2259"/>
    <w:rsid w:val="008B3660"/>
    <w:rsid w:val="008B42E1"/>
    <w:rsid w:val="008B6E7E"/>
    <w:rsid w:val="008C2911"/>
    <w:rsid w:val="008C7A3C"/>
    <w:rsid w:val="008E64B7"/>
    <w:rsid w:val="008F0DDF"/>
    <w:rsid w:val="009017A5"/>
    <w:rsid w:val="00904E0F"/>
    <w:rsid w:val="00906754"/>
    <w:rsid w:val="00911621"/>
    <w:rsid w:val="00916456"/>
    <w:rsid w:val="00920B1B"/>
    <w:rsid w:val="009214E1"/>
    <w:rsid w:val="00930210"/>
    <w:rsid w:val="00930F8B"/>
    <w:rsid w:val="009310E1"/>
    <w:rsid w:val="00935D47"/>
    <w:rsid w:val="00936256"/>
    <w:rsid w:val="009463A0"/>
    <w:rsid w:val="00953F4E"/>
    <w:rsid w:val="00956E58"/>
    <w:rsid w:val="009707FC"/>
    <w:rsid w:val="00970E37"/>
    <w:rsid w:val="009864DC"/>
    <w:rsid w:val="009A0C05"/>
    <w:rsid w:val="009A123E"/>
    <w:rsid w:val="009B32D8"/>
    <w:rsid w:val="009B68A3"/>
    <w:rsid w:val="009C13FB"/>
    <w:rsid w:val="009C3B62"/>
    <w:rsid w:val="009C47F7"/>
    <w:rsid w:val="009D65D8"/>
    <w:rsid w:val="009E2526"/>
    <w:rsid w:val="009E789D"/>
    <w:rsid w:val="009F0E60"/>
    <w:rsid w:val="00A12549"/>
    <w:rsid w:val="00A22F64"/>
    <w:rsid w:val="00A40FFF"/>
    <w:rsid w:val="00A6295F"/>
    <w:rsid w:val="00A63860"/>
    <w:rsid w:val="00A82870"/>
    <w:rsid w:val="00A9128E"/>
    <w:rsid w:val="00AA3B21"/>
    <w:rsid w:val="00AB6962"/>
    <w:rsid w:val="00AD0740"/>
    <w:rsid w:val="00AD2B6F"/>
    <w:rsid w:val="00AD49B1"/>
    <w:rsid w:val="00AF6BD2"/>
    <w:rsid w:val="00AF75A2"/>
    <w:rsid w:val="00B0091D"/>
    <w:rsid w:val="00B21D77"/>
    <w:rsid w:val="00B26C42"/>
    <w:rsid w:val="00B46FF8"/>
    <w:rsid w:val="00B54790"/>
    <w:rsid w:val="00B75D52"/>
    <w:rsid w:val="00B8284F"/>
    <w:rsid w:val="00BA36C2"/>
    <w:rsid w:val="00BB08CF"/>
    <w:rsid w:val="00BC2436"/>
    <w:rsid w:val="00BC419B"/>
    <w:rsid w:val="00BC50FA"/>
    <w:rsid w:val="00BC694A"/>
    <w:rsid w:val="00BC7591"/>
    <w:rsid w:val="00BE0FD4"/>
    <w:rsid w:val="00C00779"/>
    <w:rsid w:val="00C018BE"/>
    <w:rsid w:val="00C02EA6"/>
    <w:rsid w:val="00C06CF3"/>
    <w:rsid w:val="00C06D2C"/>
    <w:rsid w:val="00C07202"/>
    <w:rsid w:val="00C1667F"/>
    <w:rsid w:val="00C50B08"/>
    <w:rsid w:val="00C552E6"/>
    <w:rsid w:val="00C66854"/>
    <w:rsid w:val="00C70788"/>
    <w:rsid w:val="00C806AA"/>
    <w:rsid w:val="00C905B9"/>
    <w:rsid w:val="00C939F9"/>
    <w:rsid w:val="00CA032F"/>
    <w:rsid w:val="00CB20E3"/>
    <w:rsid w:val="00CC3A8C"/>
    <w:rsid w:val="00CC721F"/>
    <w:rsid w:val="00CD753A"/>
    <w:rsid w:val="00CD789F"/>
    <w:rsid w:val="00CD78FD"/>
    <w:rsid w:val="00CE28D0"/>
    <w:rsid w:val="00D03B36"/>
    <w:rsid w:val="00D0485C"/>
    <w:rsid w:val="00D0686F"/>
    <w:rsid w:val="00D1347E"/>
    <w:rsid w:val="00D15E66"/>
    <w:rsid w:val="00D2709E"/>
    <w:rsid w:val="00D279C1"/>
    <w:rsid w:val="00D31A2D"/>
    <w:rsid w:val="00D41B2D"/>
    <w:rsid w:val="00D57810"/>
    <w:rsid w:val="00D77BF8"/>
    <w:rsid w:val="00DB15ED"/>
    <w:rsid w:val="00DB39FD"/>
    <w:rsid w:val="00DC336D"/>
    <w:rsid w:val="00DC7BBA"/>
    <w:rsid w:val="00DD35BC"/>
    <w:rsid w:val="00DD4828"/>
    <w:rsid w:val="00DE2D79"/>
    <w:rsid w:val="00DF659A"/>
    <w:rsid w:val="00DF6608"/>
    <w:rsid w:val="00E0600E"/>
    <w:rsid w:val="00E17791"/>
    <w:rsid w:val="00E26D7D"/>
    <w:rsid w:val="00E40CD3"/>
    <w:rsid w:val="00E46956"/>
    <w:rsid w:val="00E900C3"/>
    <w:rsid w:val="00E978F2"/>
    <w:rsid w:val="00EA0997"/>
    <w:rsid w:val="00EA60A1"/>
    <w:rsid w:val="00EB6B0F"/>
    <w:rsid w:val="00EC1C57"/>
    <w:rsid w:val="00EC75FD"/>
    <w:rsid w:val="00ED08A4"/>
    <w:rsid w:val="00EE423E"/>
    <w:rsid w:val="00EF4C61"/>
    <w:rsid w:val="00F01EF7"/>
    <w:rsid w:val="00F07314"/>
    <w:rsid w:val="00F14FCD"/>
    <w:rsid w:val="00F16201"/>
    <w:rsid w:val="00F25C55"/>
    <w:rsid w:val="00F5376F"/>
    <w:rsid w:val="00F619ED"/>
    <w:rsid w:val="00F626A1"/>
    <w:rsid w:val="00F720A9"/>
    <w:rsid w:val="00F74B1E"/>
    <w:rsid w:val="00F845F5"/>
    <w:rsid w:val="00F90F8E"/>
    <w:rsid w:val="00F95D87"/>
    <w:rsid w:val="00FA07A3"/>
    <w:rsid w:val="00FA3D9E"/>
    <w:rsid w:val="00FA441E"/>
    <w:rsid w:val="00FA7F18"/>
    <w:rsid w:val="00FC3403"/>
    <w:rsid w:val="00FD2E08"/>
    <w:rsid w:val="00FD7E0E"/>
    <w:rsid w:val="00FE1AFA"/>
    <w:rsid w:val="00FE4957"/>
    <w:rsid w:val="00FE747B"/>
    <w:rsid w:val="00FF50CC"/>
    <w:rsid w:val="00FF72D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F758E40"/>
  <w15:docId w15:val="{93D83518-44A4-4140-9F9C-FCA963BA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71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D87"/>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1A35DC"/>
    <w:rPr>
      <w:b/>
      <w:bCs/>
    </w:rPr>
  </w:style>
  <w:style w:type="paragraph" w:styleId="ListParagraph">
    <w:name w:val="List Paragraph"/>
    <w:basedOn w:val="Normal"/>
    <w:uiPriority w:val="34"/>
    <w:qFormat/>
    <w:rsid w:val="00FE747B"/>
    <w:pPr>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DE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F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5B6E55872CD46A518392FA0FDBD7F" ma:contentTypeVersion="11" ma:contentTypeDescription="Create a new document." ma:contentTypeScope="" ma:versionID="d4b76ad90127f7630fc7dbd64ef761dc">
  <xsd:schema xmlns:xsd="http://www.w3.org/2001/XMLSchema" xmlns:xs="http://www.w3.org/2001/XMLSchema" xmlns:p="http://schemas.microsoft.com/office/2006/metadata/properties" xmlns:ns2="4f895e0c-075a-44dd-ad59-a843b6aa3d3a" xmlns:ns3="237c9626-7634-46f8-996d-14598664297d" targetNamespace="http://schemas.microsoft.com/office/2006/metadata/properties" ma:root="true" ma:fieldsID="476c7f95513bb1e4e270f7f4e7a0e4f6" ns2:_="" ns3:_="">
    <xsd:import namespace="4f895e0c-075a-44dd-ad59-a843b6aa3d3a"/>
    <xsd:import namespace="237c9626-7634-46f8-996d-145986642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95e0c-075a-44dd-ad59-a843b6aa3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4b79f6-fede-4b5c-be03-5ed33a7d65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9626-7634-46f8-996d-145986642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ed4eb-6294-415e-b4ff-5777d139cee1}" ma:internalName="TaxCatchAll" ma:showField="CatchAllData" ma:web="237c9626-7634-46f8-996d-145986642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7c9626-7634-46f8-996d-14598664297d" xsi:nil="true"/>
    <lcf76f155ced4ddcb4097134ff3c332f xmlns="4f895e0c-075a-44dd-ad59-a843b6aa3d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8D39-064C-4383-BC06-4D68AFD5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95e0c-075a-44dd-ad59-a843b6aa3d3a"/>
    <ds:schemaRef ds:uri="237c9626-7634-46f8-996d-145986642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68BF5-78DB-4460-8A31-02C7A216865E}">
  <ds:schemaRefs>
    <ds:schemaRef ds:uri="http://schemas.microsoft.com/sharepoint/v3/contenttype/forms"/>
  </ds:schemaRefs>
</ds:datastoreItem>
</file>

<file path=customXml/itemProps3.xml><?xml version="1.0" encoding="utf-8"?>
<ds:datastoreItem xmlns:ds="http://schemas.openxmlformats.org/officeDocument/2006/customXml" ds:itemID="{29C5EAC2-1C17-4B2F-A8E1-110E3B2207F4}">
  <ds:schemaRefs>
    <ds:schemaRef ds:uri="http://schemas.microsoft.com/office/2006/metadata/properties"/>
    <ds:schemaRef ds:uri="http://schemas.microsoft.com/office/infopath/2007/PartnerControls"/>
    <ds:schemaRef ds:uri="237c9626-7634-46f8-996d-14598664297d"/>
    <ds:schemaRef ds:uri="4f895e0c-075a-44dd-ad59-a843b6aa3d3a"/>
  </ds:schemaRefs>
</ds:datastoreItem>
</file>

<file path=customXml/itemProps4.xml><?xml version="1.0" encoding="utf-8"?>
<ds:datastoreItem xmlns:ds="http://schemas.openxmlformats.org/officeDocument/2006/customXml" ds:itemID="{8214F983-0EDA-49B2-80E8-A8F4EDA2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12</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59</cp:revision>
  <dcterms:created xsi:type="dcterms:W3CDTF">2025-07-02T23:06:00Z</dcterms:created>
  <dcterms:modified xsi:type="dcterms:W3CDTF">2025-11-25T19:12:00Z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0x0101005105B6E55872CD46A518392FA0FDBD7F</vt:lpwstr>
  </property>
  <property fmtid="{D5CDD505-2E9C-101B-9397-08002B2CF9AE}" pid="4" name="MediaServiceImageTags">
    <vt:lpwstr/>
  </property>
  <property fmtid="{D5CDD505-2E9C-101B-9397-08002B2CF9AE}" pid="5" name="SharedWithUsers">
    <vt:lpwstr/>
  </property>
  <property fmtid="{D5CDD505-2E9C-101B-9397-08002B2CF9AE}" pid="6" name="TriggerFlowInfo">
    <vt:lpwstr/>
  </property>
  <property fmtid="{D5CDD505-2E9C-101B-9397-08002B2CF9AE}" pid="7" name="_ExtendedDescription">
    <vt:lpwstr/>
  </property>
</Properties>
</file>