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5BC1" w:rsidRPr="005144C7" w:rsidP="005144C7" w14:paraId="7A8C1443" w14:textId="413E62E1">
      <w:pPr>
        <w:pStyle w:val="Title"/>
        <w:jc w:val="right"/>
        <w:rPr>
          <w:b w:val="0"/>
        </w:rPr>
      </w:pPr>
      <w:r>
        <w:tab/>
      </w:r>
      <w:r>
        <w:tab/>
      </w:r>
    </w:p>
    <w:p w:rsidR="00BF5BC1" w:rsidRPr="00D829CE" w14:paraId="6ABF3335" w14:textId="77777777">
      <w:pPr>
        <w:pStyle w:val="Title"/>
      </w:pPr>
      <w:r w:rsidRPr="00D829CE">
        <w:t>SUPPORTING STATEMENT</w:t>
      </w:r>
    </w:p>
    <w:p w:rsidR="00BF5BC1" w14:paraId="441C602E" w14:textId="77777777">
      <w:pPr>
        <w:rPr>
          <w:rFonts w:ascii="Times New Roman" w:hAnsi="Times New Roman"/>
        </w:rPr>
      </w:pPr>
    </w:p>
    <w:p w:rsidR="00BF5BC1" w:rsidRPr="00D829CE" w:rsidP="00D5612A" w14:paraId="0FA29C15" w14:textId="77777777">
      <w:pPr>
        <w:rPr>
          <w:rFonts w:ascii="Times New Roman" w:hAnsi="Times New Roman"/>
          <w:b/>
          <w:sz w:val="22"/>
          <w:szCs w:val="22"/>
        </w:rPr>
      </w:pPr>
      <w:r w:rsidRPr="00D829CE">
        <w:rPr>
          <w:rFonts w:ascii="Times New Roman" w:hAnsi="Times New Roman"/>
          <w:b/>
          <w:sz w:val="22"/>
          <w:szCs w:val="22"/>
        </w:rPr>
        <w:t>A.  Justification</w:t>
      </w:r>
      <w:r w:rsidRPr="00D829CE" w:rsidR="007C2CA2">
        <w:rPr>
          <w:rFonts w:ascii="Times New Roman" w:hAnsi="Times New Roman"/>
          <w:b/>
          <w:sz w:val="22"/>
          <w:szCs w:val="22"/>
        </w:rPr>
        <w:t>:</w:t>
      </w:r>
    </w:p>
    <w:p w:rsidR="00E02CC0" w:rsidRPr="00D829CE" w:rsidP="00D5612A" w14:paraId="6C4A7D29" w14:textId="77777777">
      <w:pPr>
        <w:rPr>
          <w:rFonts w:ascii="Times New Roman" w:hAnsi="Times New Roman"/>
          <w:b/>
          <w:sz w:val="22"/>
          <w:szCs w:val="22"/>
        </w:rPr>
      </w:pPr>
    </w:p>
    <w:p w:rsidR="003F384F" w:rsidRPr="003F384F" w:rsidP="00D8519A" w14:paraId="00B07C31" w14:textId="77777777">
      <w:pPr>
        <w:pStyle w:val="ParaNum0"/>
        <w:ind w:left="720" w:hanging="720"/>
      </w:pPr>
      <w:r>
        <w:t>1.</w:t>
      </w:r>
      <w:r>
        <w:tab/>
      </w:r>
      <w:r w:rsidRPr="00D829CE" w:rsidR="00BF5BC1">
        <w:rPr>
          <w:i/>
        </w:rPr>
        <w:t>Circumstances that make collection necessary</w:t>
      </w:r>
      <w:r w:rsidRPr="00D829CE" w:rsidR="003D1B01">
        <w:rPr>
          <w:i/>
        </w:rPr>
        <w:t xml:space="preserve">.  </w:t>
      </w:r>
      <w:r w:rsidRPr="00D829CE" w:rsidR="00E93541">
        <w:t>F</w:t>
      </w:r>
      <w:r w:rsidRPr="00D829CE" w:rsidR="00BF5BC1">
        <w:t xml:space="preserve">ollowing the passage of the </w:t>
      </w:r>
      <w:r w:rsidRPr="00D829CE" w:rsidR="00300479">
        <w:t>Telecommunications Act</w:t>
      </w:r>
      <w:r>
        <w:t xml:space="preserve"> o</w:t>
      </w:r>
      <w:r w:rsidR="007025B8">
        <w:t xml:space="preserve">f 1996 </w:t>
      </w:r>
      <w:r w:rsidR="004B52BB">
        <w:t>(1996 Act)</w:t>
      </w:r>
      <w:r w:rsidRPr="00D829CE" w:rsidR="00E93541">
        <w:t>, the Commission adopted interstate access charge and universal service support reforms</w:t>
      </w:r>
      <w:r w:rsidRPr="00D829CE" w:rsidR="00BF5BC1">
        <w:t xml:space="preserve">. </w:t>
      </w:r>
      <w:r w:rsidR="00A963D8">
        <w:t xml:space="preserve"> </w:t>
      </w:r>
      <w:r w:rsidRPr="00D829CE" w:rsidR="00BF5BC1">
        <w:t>T</w:t>
      </w:r>
      <w:r w:rsidRPr="00D829CE" w:rsidR="003D1B01">
        <w:t>he</w:t>
      </w:r>
      <w:r w:rsidR="004F4568">
        <w:t>se</w:t>
      </w:r>
      <w:r w:rsidRPr="00D829CE" w:rsidR="003D1B01">
        <w:t xml:space="preserve"> reforms </w:t>
      </w:r>
      <w:r w:rsidRPr="00D829CE" w:rsidR="00E93541">
        <w:t>were</w:t>
      </w:r>
      <w:r w:rsidRPr="00D829CE" w:rsidR="00BF5BC1">
        <w:t xml:space="preserve"> designed to establish a “pro-competitive, deregulatory national policy framework” for the United States telecommunications industry.  </w:t>
      </w:r>
    </w:p>
    <w:p w:rsidR="00B067AA" w:rsidRPr="00906FA4" w:rsidP="00CF7A16" w14:paraId="0D9925AB" w14:textId="2AE9726A">
      <w:pPr>
        <w:pStyle w:val="ParaNum0"/>
        <w:ind w:left="720" w:firstLine="0"/>
      </w:pPr>
      <w:r w:rsidRPr="0066606E">
        <w:t>Specifically, the Commission aligned the interstate access rate structure more closely with the manner in which costs are incurred, and created a universal service support mechanism for rate-of-return carriers (Interstate Common Line Support (ICLS)) to replace implicit support in interstate access charges with explicit support that is portable to all eligible telecommunications carriers.</w:t>
      </w:r>
      <w:r w:rsidR="001F0D8B">
        <w:t xml:space="preserve">  </w:t>
      </w:r>
      <w:r w:rsidRPr="00906FA4" w:rsidR="001F0D8B">
        <w:t xml:space="preserve">More recently, the Commission reformed this universal service support mechanism, enabling rate-of-return carriers to elect to receive fixed support or </w:t>
      </w:r>
      <w:r w:rsidRPr="00906FA4" w:rsidR="00D755D0">
        <w:t xml:space="preserve">to </w:t>
      </w:r>
      <w:r w:rsidRPr="00906FA4" w:rsidR="001F0D8B">
        <w:t xml:space="preserve">continue to receive cost-based support.  The new cost-based support is known as Connect America Fund Broadband Loop (CAF BLS) support.   </w:t>
      </w:r>
      <w:r w:rsidRPr="00906FA4">
        <w:t xml:space="preserve">  </w:t>
      </w:r>
    </w:p>
    <w:p w:rsidR="00CF1FB5" w:rsidP="001A5792" w14:paraId="4746B7A3" w14:textId="2682B23A">
      <w:pPr>
        <w:pStyle w:val="ParaNum0"/>
        <w:ind w:left="720" w:firstLine="0"/>
      </w:pPr>
      <w:r w:rsidRPr="00906FA4">
        <w:t xml:space="preserve">To administer the </w:t>
      </w:r>
      <w:r w:rsidRPr="00906FA4" w:rsidR="00662CA3">
        <w:t xml:space="preserve">CAF BLS </w:t>
      </w:r>
      <w:r w:rsidRPr="00906FA4" w:rsidR="00D755D0">
        <w:t xml:space="preserve">support </w:t>
      </w:r>
      <w:r w:rsidRPr="00906FA4">
        <w:t xml:space="preserve">mechanism, the </w:t>
      </w:r>
      <w:r w:rsidRPr="00906FA4" w:rsidR="009F41B1">
        <w:t xml:space="preserve">Universal Service Administrative Company </w:t>
      </w:r>
      <w:r w:rsidRPr="00906FA4" w:rsidR="001F0D8B">
        <w:t>collects demand, cost, and revenue data</w:t>
      </w:r>
      <w:r w:rsidRPr="00906FA4" w:rsidR="00C767D2">
        <w:t xml:space="preserve"> </w:t>
      </w:r>
      <w:r w:rsidRPr="00906FA4" w:rsidR="001F0D8B">
        <w:t xml:space="preserve">from </w:t>
      </w:r>
      <w:bookmarkStart w:id="0" w:name="_Hlk199342835"/>
      <w:r w:rsidRPr="00906FA4" w:rsidR="00C767D2">
        <w:t xml:space="preserve">rate-of-return </w:t>
      </w:r>
      <w:bookmarkEnd w:id="0"/>
      <w:r w:rsidRPr="00906FA4" w:rsidR="00C767D2">
        <w:t>carriers</w:t>
      </w:r>
      <w:r w:rsidRPr="00906FA4" w:rsidR="00662CA3">
        <w:t xml:space="preserve"> that did not elect to receive fixed support</w:t>
      </w:r>
      <w:r w:rsidRPr="00906FA4" w:rsidR="001F0D8B">
        <w:t>.</w:t>
      </w:r>
      <w:r w:rsidRPr="00906FA4" w:rsidR="00971176">
        <w:t xml:space="preserve">  </w:t>
      </w:r>
      <w:r w:rsidRPr="00906FA4" w:rsidR="00852FF1">
        <w:t xml:space="preserve">In addition, </w:t>
      </w:r>
      <w:r w:rsidRPr="00906FA4" w:rsidR="001F0D8B">
        <w:t xml:space="preserve">rate-of-return </w:t>
      </w:r>
      <w:r w:rsidRPr="00906FA4" w:rsidR="00852FF1">
        <w:t>c</w:t>
      </w:r>
      <w:r w:rsidRPr="00906FA4" w:rsidR="00971176">
        <w:t xml:space="preserve">arriers </w:t>
      </w:r>
      <w:r w:rsidRPr="00906FA4" w:rsidR="001A5792">
        <w:t xml:space="preserve">are </w:t>
      </w:r>
      <w:r w:rsidRPr="00906FA4" w:rsidR="001904E7">
        <w:t>required to</w:t>
      </w:r>
      <w:r w:rsidRPr="00906FA4" w:rsidR="00852FF1">
        <w:t xml:space="preserve"> </w:t>
      </w:r>
      <w:r w:rsidRPr="00906FA4" w:rsidR="00971176">
        <w:t>submit</w:t>
      </w:r>
      <w:r w:rsidRPr="00906FA4" w:rsidR="001A5792">
        <w:t xml:space="preserve"> </w:t>
      </w:r>
      <w:r w:rsidRPr="00906FA4" w:rsidR="001F0D8B">
        <w:t xml:space="preserve">demand, cost, and revenue data </w:t>
      </w:r>
      <w:r w:rsidRPr="00906FA4" w:rsidR="009F41B1">
        <w:t>to</w:t>
      </w:r>
      <w:r w:rsidRPr="00906FA4" w:rsidR="00CF7A16">
        <w:t xml:space="preserve"> </w:t>
      </w:r>
      <w:r w:rsidRPr="00906FA4" w:rsidR="00D755D0">
        <w:t xml:space="preserve">the Commission to </w:t>
      </w:r>
      <w:r w:rsidRPr="00906FA4" w:rsidR="00CF7A16">
        <w:t>en</w:t>
      </w:r>
      <w:r w:rsidRPr="00906FA4" w:rsidR="00E129D3">
        <w:t xml:space="preserve">sure that </w:t>
      </w:r>
      <w:r w:rsidRPr="00906FA4" w:rsidR="00971176">
        <w:t xml:space="preserve">their </w:t>
      </w:r>
      <w:r w:rsidRPr="00906FA4" w:rsidR="001F0D8B">
        <w:t xml:space="preserve">cost-based </w:t>
      </w:r>
      <w:r w:rsidRPr="00906FA4" w:rsidR="00971176">
        <w:t xml:space="preserve">rates are </w:t>
      </w:r>
      <w:r w:rsidRPr="00906FA4">
        <w:t>just an</w:t>
      </w:r>
      <w:r w:rsidRPr="00906FA4" w:rsidR="00971176">
        <w:t>d reasonable</w:t>
      </w:r>
      <w:r w:rsidRPr="00906FA4" w:rsidR="00132C62">
        <w:t>.</w:t>
      </w:r>
      <w:r>
        <w:t xml:space="preserve"> </w:t>
      </w:r>
    </w:p>
    <w:p w:rsidR="00154669" w:rsidP="001A5792" w14:paraId="7EFFB520" w14:textId="5C1DA4CB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 w:rsidRPr="00196B9F">
        <w:rPr>
          <w:rFonts w:ascii="Times New Roman" w:hAnsi="Times New Roman"/>
          <w:b/>
          <w:sz w:val="22"/>
          <w:szCs w:val="22"/>
          <w:u w:val="single"/>
        </w:rPr>
        <w:t xml:space="preserve">General Support Facilities </w:t>
      </w:r>
      <w:r>
        <w:rPr>
          <w:rFonts w:ascii="Times New Roman" w:hAnsi="Times New Roman"/>
          <w:b/>
          <w:sz w:val="22"/>
          <w:szCs w:val="22"/>
          <w:u w:val="single"/>
        </w:rPr>
        <w:t>(</w:t>
      </w:r>
      <w:r w:rsidR="005C354E">
        <w:rPr>
          <w:rFonts w:ascii="Times New Roman" w:hAnsi="Times New Roman"/>
          <w:b/>
          <w:sz w:val="22"/>
          <w:szCs w:val="22"/>
          <w:u w:val="single"/>
        </w:rPr>
        <w:t>GSF</w:t>
      </w:r>
      <w:r>
        <w:rPr>
          <w:rFonts w:ascii="Times New Roman" w:hAnsi="Times New Roman"/>
          <w:b/>
          <w:sz w:val="22"/>
          <w:szCs w:val="22"/>
          <w:u w:val="single"/>
        </w:rPr>
        <w:t>)</w:t>
      </w:r>
      <w:r w:rsidR="005C354E">
        <w:rPr>
          <w:rFonts w:ascii="Times New Roman" w:hAnsi="Times New Roman"/>
          <w:b/>
          <w:sz w:val="22"/>
          <w:szCs w:val="22"/>
          <w:u w:val="single"/>
        </w:rPr>
        <w:t xml:space="preserve"> Allocation</w:t>
      </w:r>
    </w:p>
    <w:p w:rsidR="00196B9F" w:rsidP="00196B9F" w14:paraId="6F567A5E" w14:textId="2CE15410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 w:rsidRPr="00196B9F">
        <w:rPr>
          <w:rFonts w:ascii="Times New Roman" w:hAnsi="Times New Roman"/>
          <w:sz w:val="22"/>
          <w:szCs w:val="22"/>
        </w:rPr>
        <w:t>The GSF cost category includes assets that support other operations, such as land, buildings, vehicles, and general purpose computer investment.</w:t>
      </w:r>
      <w:r>
        <w:rPr>
          <w:rFonts w:ascii="Times New Roman" w:hAnsi="Times New Roman"/>
          <w:sz w:val="22"/>
          <w:szCs w:val="22"/>
        </w:rPr>
        <w:t xml:space="preserve">  </w:t>
      </w:r>
      <w:r w:rsidR="005C354E">
        <w:rPr>
          <w:rFonts w:ascii="Times New Roman" w:hAnsi="Times New Roman"/>
          <w:sz w:val="22"/>
          <w:szCs w:val="22"/>
        </w:rPr>
        <w:t>R</w:t>
      </w:r>
      <w:r w:rsidRPr="00154669" w:rsidR="00BF5BC1">
        <w:rPr>
          <w:rFonts w:ascii="Times New Roman" w:hAnsi="Times New Roman"/>
          <w:sz w:val="22"/>
          <w:szCs w:val="22"/>
        </w:rPr>
        <w:t>ate</w:t>
      </w:r>
      <w:r w:rsidRPr="00154669" w:rsidR="00BF5BC1">
        <w:rPr>
          <w:rFonts w:ascii="Times New Roman" w:hAnsi="Times New Roman"/>
          <w:sz w:val="22"/>
          <w:szCs w:val="22"/>
        </w:rPr>
        <w:noBreakHyphen/>
        <w:t>of</w:t>
      </w:r>
      <w:r w:rsidRPr="00154669" w:rsidR="00BF5BC1">
        <w:rPr>
          <w:rFonts w:ascii="Times New Roman" w:hAnsi="Times New Roman"/>
          <w:sz w:val="22"/>
          <w:szCs w:val="22"/>
        </w:rPr>
        <w:noBreakHyphen/>
        <w:t>return carriers that use general purpose computers to provide non</w:t>
      </w:r>
      <w:r w:rsidRPr="00154669" w:rsidR="00BF5BC1">
        <w:rPr>
          <w:rFonts w:ascii="Times New Roman" w:hAnsi="Times New Roman"/>
          <w:sz w:val="22"/>
          <w:szCs w:val="22"/>
        </w:rPr>
        <w:noBreakHyphen/>
        <w:t xml:space="preserve">regulated billing and </w:t>
      </w:r>
      <w:r w:rsidRPr="00196B9F" w:rsidR="005C354E">
        <w:rPr>
          <w:rFonts w:ascii="Times New Roman" w:hAnsi="Times New Roman"/>
          <w:sz w:val="22"/>
          <w:szCs w:val="22"/>
        </w:rPr>
        <w:t xml:space="preserve">collection services are required to allocate a portion of their general purpose computer costs to the billing and </w:t>
      </w:r>
      <w:r w:rsidRPr="00196B9F" w:rsidR="003859B9">
        <w:rPr>
          <w:rFonts w:ascii="Times New Roman" w:hAnsi="Times New Roman"/>
          <w:sz w:val="22"/>
          <w:szCs w:val="22"/>
        </w:rPr>
        <w:t>collection category</w:t>
      </w:r>
      <w:r w:rsidRPr="00196B9F" w:rsidR="00844B7B">
        <w:rPr>
          <w:rFonts w:ascii="Times New Roman" w:hAnsi="Times New Roman"/>
          <w:sz w:val="22"/>
          <w:szCs w:val="22"/>
        </w:rPr>
        <w:t>.</w:t>
      </w:r>
      <w:r w:rsidRPr="00196B9F" w:rsidR="005C354E">
        <w:rPr>
          <w:rFonts w:ascii="Times New Roman" w:hAnsi="Times New Roman"/>
          <w:sz w:val="22"/>
          <w:szCs w:val="22"/>
        </w:rPr>
        <w:t xml:space="preserve">  Carriers may use the general</w:t>
      </w:r>
      <w:r w:rsidRPr="00196B9F" w:rsidR="00897121">
        <w:rPr>
          <w:rFonts w:ascii="Times New Roman" w:hAnsi="Times New Roman"/>
          <w:sz w:val="22"/>
          <w:szCs w:val="22"/>
        </w:rPr>
        <w:t xml:space="preserve"> </w:t>
      </w:r>
      <w:r w:rsidRPr="00196B9F" w:rsidR="005C354E">
        <w:rPr>
          <w:rFonts w:ascii="Times New Roman" w:hAnsi="Times New Roman"/>
          <w:sz w:val="22"/>
          <w:szCs w:val="22"/>
        </w:rPr>
        <w:t xml:space="preserve">purpose computer investment amount they develop </w:t>
      </w:r>
      <w:r w:rsidRPr="00196B9F" w:rsidR="00844B7B">
        <w:rPr>
          <w:rFonts w:ascii="Times New Roman" w:hAnsi="Times New Roman"/>
          <w:sz w:val="22"/>
          <w:szCs w:val="22"/>
        </w:rPr>
        <w:t xml:space="preserve">for this purpose </w:t>
      </w:r>
      <w:r w:rsidRPr="00196B9F" w:rsidR="005C354E">
        <w:rPr>
          <w:rFonts w:ascii="Times New Roman" w:hAnsi="Times New Roman"/>
          <w:sz w:val="22"/>
          <w:szCs w:val="22"/>
        </w:rPr>
        <w:t>for a period of three years.</w:t>
      </w:r>
      <w:r w:rsidRPr="00196B9F" w:rsidR="00A72734">
        <w:rPr>
          <w:rFonts w:ascii="Times New Roman" w:hAnsi="Times New Roman"/>
          <w:sz w:val="22"/>
          <w:szCs w:val="22"/>
        </w:rPr>
        <w:t xml:space="preserve"> </w:t>
      </w:r>
    </w:p>
    <w:p w:rsidR="007253D6" w:rsidRPr="00196B9F" w:rsidP="00196B9F" w14:paraId="1EE955AA" w14:textId="24B282F3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 w:rsidRPr="00196B9F">
        <w:rPr>
          <w:rFonts w:ascii="Times New Roman" w:hAnsi="Times New Roman"/>
          <w:sz w:val="22"/>
          <w:szCs w:val="22"/>
        </w:rPr>
        <w:t xml:space="preserve"> </w:t>
      </w:r>
    </w:p>
    <w:p w:rsidR="003578FB" w:rsidP="0093068E" w14:paraId="78881FD7" w14:textId="73E512C6">
      <w:pPr>
        <w:pStyle w:val="ParaNum0"/>
        <w:ind w:left="720" w:firstLine="0"/>
      </w:pPr>
      <w:r>
        <w:t>On Nove</w:t>
      </w:r>
      <w:r w:rsidR="00690044">
        <w:t xml:space="preserve">mber 18, 2011, the Commission </w:t>
      </w:r>
      <w:r>
        <w:t xml:space="preserve">released the </w:t>
      </w:r>
      <w:r w:rsidRPr="00AC2133">
        <w:rPr>
          <w:i/>
        </w:rPr>
        <w:t>USF/ICC Transformation Order</w:t>
      </w:r>
      <w:r>
        <w:t xml:space="preserve"> (FCC 11-161), which </w:t>
      </w:r>
      <w:r>
        <w:rPr>
          <w:snapToGrid/>
          <w:color w:val="16202F"/>
        </w:rPr>
        <w:t>comprehensively reformed and modernized</w:t>
      </w:r>
      <w:r w:rsidRPr="001A5792">
        <w:rPr>
          <w:snapToGrid/>
          <w:color w:val="16202F"/>
        </w:rPr>
        <w:t xml:space="preserve"> the universal service and intercarrier compensation systems to ensure that robust, affordable voice and broadband service</w:t>
      </w:r>
      <w:r w:rsidR="003859B9">
        <w:rPr>
          <w:snapToGrid/>
          <w:color w:val="16202F"/>
        </w:rPr>
        <w:t xml:space="preserve">s are </w:t>
      </w:r>
      <w:r w:rsidRPr="001A5792">
        <w:rPr>
          <w:snapToGrid/>
          <w:color w:val="16202F"/>
        </w:rPr>
        <w:t>available to Americans throughout the nation</w:t>
      </w:r>
      <w:r w:rsidR="0093068E">
        <w:rPr>
          <w:snapToGrid/>
          <w:color w:val="16202F"/>
        </w:rPr>
        <w:t xml:space="preserve">.  The </w:t>
      </w:r>
      <w:r w:rsidRPr="00154669" w:rsidR="009E4D9F">
        <w:rPr>
          <w:i/>
        </w:rPr>
        <w:t>USF/ICC Transformation Order</w:t>
      </w:r>
      <w:r w:rsidRPr="00154669" w:rsidR="009E4D9F">
        <w:t xml:space="preserve"> does not affect the requirement that carriers</w:t>
      </w:r>
      <w:r w:rsidRPr="00154669" w:rsidR="00935F1B">
        <w:t xml:space="preserve"> allocate these costs as part of the</w:t>
      </w:r>
      <w:r w:rsidR="00E31496">
        <w:t xml:space="preserve"> cost-based</w:t>
      </w:r>
      <w:r w:rsidRPr="00154669" w:rsidR="00935F1B">
        <w:t xml:space="preserve"> rate development</w:t>
      </w:r>
      <w:r w:rsidR="0093068E">
        <w:t xml:space="preserve"> </w:t>
      </w:r>
      <w:r w:rsidRPr="00154669" w:rsidR="00935F1B">
        <w:t>process for common line and special access services.</w:t>
      </w:r>
      <w:r w:rsidRPr="00154669" w:rsidR="000D48C4">
        <w:t xml:space="preserve">  </w:t>
      </w:r>
    </w:p>
    <w:p w:rsidR="00D327DA" w:rsidP="007253D6" w14:paraId="193A6714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 w:rsidRPr="00E752DD">
        <w:rPr>
          <w:rFonts w:ascii="Times New Roman" w:hAnsi="Times New Roman"/>
          <w:b/>
          <w:sz w:val="22"/>
          <w:szCs w:val="22"/>
          <w:u w:val="single"/>
        </w:rPr>
        <w:t>Transport and Special Access Deaveragin</w:t>
      </w:r>
      <w:r w:rsidR="007253D6">
        <w:rPr>
          <w:rFonts w:ascii="Times New Roman" w:hAnsi="Times New Roman"/>
          <w:b/>
          <w:sz w:val="22"/>
          <w:szCs w:val="22"/>
          <w:u w:val="single"/>
        </w:rPr>
        <w:t>g</w:t>
      </w:r>
    </w:p>
    <w:p w:rsidR="00893BDC" w:rsidP="00D327DA" w14:paraId="70913A5D" w14:textId="6722CCC2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Rate-of-return carriers may modify their access tariffs to offer transport and special access</w:t>
      </w:r>
      <w:r w:rsidR="003F384F">
        <w:rPr>
          <w:rFonts w:ascii="Times New Roman" w:hAnsi="Times New Roman"/>
          <w:sz w:val="22"/>
          <w:szCs w:val="22"/>
        </w:rPr>
        <w:t xml:space="preserve"> services at deaveraged rates.  </w:t>
      </w:r>
      <w:r>
        <w:rPr>
          <w:rFonts w:ascii="Times New Roman" w:hAnsi="Times New Roman"/>
          <w:sz w:val="22"/>
          <w:szCs w:val="22"/>
        </w:rPr>
        <w:t xml:space="preserve">The carriers must have a tariffed cross-connect element and define </w:t>
      </w:r>
      <w:r>
        <w:rPr>
          <w:rFonts w:ascii="Times New Roman" w:hAnsi="Times New Roman"/>
          <w:sz w:val="22"/>
          <w:szCs w:val="22"/>
        </w:rPr>
        <w:t xml:space="preserve">their applicable zones.  Rate-of-return carriers do not have to file for approval of their zone plans before making a tariff filing.  </w:t>
      </w:r>
      <w:r w:rsidRPr="00E752DD" w:rsidR="001559B0">
        <w:rPr>
          <w:rFonts w:ascii="Times New Roman" w:hAnsi="Times New Roman"/>
          <w:sz w:val="22"/>
          <w:szCs w:val="22"/>
        </w:rPr>
        <w:t>T</w:t>
      </w:r>
      <w:r w:rsidRPr="00E752DD" w:rsidR="00056771">
        <w:rPr>
          <w:rFonts w:ascii="Times New Roman" w:hAnsi="Times New Roman"/>
          <w:sz w:val="22"/>
          <w:szCs w:val="22"/>
        </w:rPr>
        <w:t xml:space="preserve">he </w:t>
      </w:r>
      <w:r w:rsidRPr="00E752DD" w:rsidR="001559B0">
        <w:rPr>
          <w:rFonts w:ascii="Times New Roman" w:hAnsi="Times New Roman"/>
          <w:i/>
          <w:sz w:val="22"/>
          <w:szCs w:val="22"/>
        </w:rPr>
        <w:t>USF/I</w:t>
      </w:r>
      <w:r w:rsidRPr="00E752DD" w:rsidR="00056771">
        <w:rPr>
          <w:rFonts w:ascii="Times New Roman" w:hAnsi="Times New Roman"/>
          <w:i/>
          <w:sz w:val="22"/>
          <w:szCs w:val="22"/>
        </w:rPr>
        <w:t>CC Transformation O</w:t>
      </w:r>
      <w:r w:rsidRPr="00E752DD" w:rsidR="00A71880">
        <w:rPr>
          <w:rFonts w:ascii="Times New Roman" w:hAnsi="Times New Roman"/>
          <w:i/>
          <w:sz w:val="22"/>
          <w:szCs w:val="22"/>
        </w:rPr>
        <w:t>rder</w:t>
      </w:r>
      <w:r w:rsidRPr="00E752DD" w:rsidR="001559B0">
        <w:rPr>
          <w:rFonts w:ascii="Times New Roman" w:hAnsi="Times New Roman"/>
          <w:sz w:val="22"/>
          <w:szCs w:val="22"/>
        </w:rPr>
        <w:t xml:space="preserve"> capped</w:t>
      </w:r>
      <w:r w:rsidRPr="00E752DD" w:rsidR="00056771">
        <w:rPr>
          <w:rFonts w:ascii="Times New Roman" w:hAnsi="Times New Roman"/>
          <w:sz w:val="22"/>
          <w:szCs w:val="22"/>
        </w:rPr>
        <w:t xml:space="preserve"> rate-of-return </w:t>
      </w:r>
      <w:r w:rsidR="009A6B2B">
        <w:rPr>
          <w:rFonts w:ascii="Times New Roman" w:hAnsi="Times New Roman"/>
          <w:sz w:val="22"/>
          <w:szCs w:val="22"/>
        </w:rPr>
        <w:t xml:space="preserve">carrier </w:t>
      </w:r>
      <w:r w:rsidRPr="00E752DD" w:rsidR="001559B0">
        <w:rPr>
          <w:rFonts w:ascii="Times New Roman" w:hAnsi="Times New Roman"/>
          <w:sz w:val="22"/>
          <w:szCs w:val="22"/>
        </w:rPr>
        <w:t>switched access rates</w:t>
      </w:r>
      <w:r w:rsidRPr="00E752DD" w:rsidR="00A71880">
        <w:rPr>
          <w:rFonts w:ascii="Times New Roman" w:hAnsi="Times New Roman"/>
          <w:sz w:val="22"/>
          <w:szCs w:val="22"/>
        </w:rPr>
        <w:t>.  Thus, rate-of-return carriers should no longer incur the costs of studies otherwise needed to establish deaveraged switched access transport rates.  These carriers, however,</w:t>
      </w:r>
      <w:r w:rsidRPr="00E752DD" w:rsidR="005379FB">
        <w:rPr>
          <w:rFonts w:ascii="Times New Roman" w:hAnsi="Times New Roman"/>
          <w:sz w:val="22"/>
          <w:szCs w:val="22"/>
        </w:rPr>
        <w:t xml:space="preserve"> still are able to </w:t>
      </w:r>
      <w:r w:rsidRPr="00E752DD" w:rsidR="00A71880">
        <w:rPr>
          <w:rFonts w:ascii="Times New Roman" w:hAnsi="Times New Roman"/>
          <w:sz w:val="22"/>
          <w:szCs w:val="22"/>
        </w:rPr>
        <w:t>d</w:t>
      </w:r>
      <w:r w:rsidR="003F384F">
        <w:rPr>
          <w:rFonts w:ascii="Times New Roman" w:hAnsi="Times New Roman"/>
          <w:sz w:val="22"/>
          <w:szCs w:val="22"/>
        </w:rPr>
        <w:t>eaverage special access rates because</w:t>
      </w:r>
      <w:r w:rsidRPr="00E752DD" w:rsidR="00A71880">
        <w:rPr>
          <w:rFonts w:ascii="Times New Roman" w:hAnsi="Times New Roman"/>
          <w:sz w:val="22"/>
          <w:szCs w:val="22"/>
        </w:rPr>
        <w:t xml:space="preserve"> the </w:t>
      </w:r>
      <w:r w:rsidRPr="00E752DD" w:rsidR="001559B0">
        <w:rPr>
          <w:rFonts w:ascii="Times New Roman" w:hAnsi="Times New Roman"/>
          <w:i/>
          <w:sz w:val="22"/>
          <w:szCs w:val="22"/>
        </w:rPr>
        <w:t>USF/</w:t>
      </w:r>
      <w:r w:rsidRPr="00E752DD" w:rsidR="00A71880">
        <w:rPr>
          <w:rFonts w:ascii="Times New Roman" w:hAnsi="Times New Roman"/>
          <w:i/>
          <w:sz w:val="22"/>
          <w:szCs w:val="22"/>
        </w:rPr>
        <w:t xml:space="preserve">ICC Transformation </w:t>
      </w:r>
      <w:r w:rsidRPr="00E752DD" w:rsidR="001559B0">
        <w:rPr>
          <w:rFonts w:ascii="Times New Roman" w:hAnsi="Times New Roman"/>
          <w:i/>
          <w:sz w:val="22"/>
          <w:szCs w:val="22"/>
        </w:rPr>
        <w:t>O</w:t>
      </w:r>
      <w:r w:rsidRPr="00E752DD" w:rsidR="00A71880">
        <w:rPr>
          <w:rFonts w:ascii="Times New Roman" w:hAnsi="Times New Roman"/>
          <w:i/>
          <w:sz w:val="22"/>
          <w:szCs w:val="22"/>
        </w:rPr>
        <w:t>rder</w:t>
      </w:r>
      <w:r w:rsidR="007510BC">
        <w:rPr>
          <w:rFonts w:ascii="Times New Roman" w:hAnsi="Times New Roman"/>
          <w:sz w:val="22"/>
          <w:szCs w:val="22"/>
        </w:rPr>
        <w:t xml:space="preserve"> does not affect these rates.  </w:t>
      </w:r>
    </w:p>
    <w:p w:rsidR="001A50AD" w:rsidP="00D327DA" w14:paraId="3D161CB2" w14:textId="2DDCD22B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:rsidR="001A50AD" w:rsidP="001A50AD" w14:paraId="766BEE64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Commission is seeking the Office of Management and Budget (OMB) approval for an extension of this existing information collection in order to obtain the three year approval. </w:t>
      </w:r>
    </w:p>
    <w:p w:rsidR="001A50AD" w:rsidP="001A50AD" w14:paraId="25A567E4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:rsidR="001A50AD" w:rsidP="001A50AD" w14:paraId="558F6F84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This information collection does not affect individuals or households; thus, there are no impacts under the Privacy Act.  </w:t>
      </w:r>
    </w:p>
    <w:p w:rsidR="00AA6D0A" w:rsidRPr="00D829CE" w:rsidP="000E7C41" w14:paraId="0E78E24C" w14:textId="39D1F427">
      <w:pPr>
        <w:tabs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="007413CD" w:rsidP="00F70BF7" w14:paraId="4E8E2F49" w14:textId="77777777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Statutory authority for this collection of information is contained in sections </w:t>
      </w:r>
      <w:r w:rsidRPr="0087135F">
        <w:rPr>
          <w:rFonts w:ascii="Times New Roman" w:hAnsi="Times New Roman"/>
          <w:sz w:val="22"/>
          <w:szCs w:val="22"/>
        </w:rPr>
        <w:t>1-4, 10, 154(i), 154(j), and 201-205 o</w:t>
      </w:r>
      <w:r>
        <w:rPr>
          <w:rFonts w:ascii="Times New Roman" w:hAnsi="Times New Roman"/>
          <w:sz w:val="22"/>
          <w:szCs w:val="22"/>
        </w:rPr>
        <w:t>f the Communications Act of 1934</w:t>
      </w:r>
      <w:r w:rsidRPr="007413CD">
        <w:rPr>
          <w:rFonts w:ascii="Times New Roman" w:hAnsi="Times New Roman"/>
          <w:sz w:val="22"/>
          <w:szCs w:val="22"/>
        </w:rPr>
        <w:t xml:space="preserve"> </w:t>
      </w:r>
      <w:r w:rsidRPr="00CF32C7">
        <w:rPr>
          <w:rFonts w:ascii="Times New Roman" w:hAnsi="Times New Roman"/>
          <w:sz w:val="22"/>
          <w:szCs w:val="22"/>
        </w:rPr>
        <w:t xml:space="preserve">as amended, 47 U.S.C. §§ 1-4, 10, 154(i), 154(j), and 201-205.  </w:t>
      </w:r>
    </w:p>
    <w:p w:rsidR="00870637" w:rsidRPr="00D829CE" w:rsidP="0093068E" w14:paraId="3FB8EDC5" w14:textId="77777777">
      <w:pPr>
        <w:tabs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="00BF5BC1" w:rsidRPr="00D829CE" w:rsidP="00870192" w14:paraId="348667C6" w14:textId="360E1FF4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2.  </w:t>
      </w:r>
      <w:r w:rsidRPr="00D829CE" w:rsidR="005E4C3D">
        <w:rPr>
          <w:rFonts w:ascii="Times New Roman" w:hAnsi="Times New Roman"/>
          <w:sz w:val="22"/>
          <w:szCs w:val="22"/>
        </w:rPr>
        <w:t xml:space="preserve"> </w:t>
      </w:r>
      <w:r w:rsidR="0053705C">
        <w:rPr>
          <w:rFonts w:ascii="Times New Roman" w:hAnsi="Times New Roman"/>
          <w:sz w:val="22"/>
          <w:szCs w:val="22"/>
        </w:rPr>
        <w:t>T</w:t>
      </w:r>
      <w:r w:rsidR="0053705C">
        <w:rPr>
          <w:rFonts w:ascii="Times New Roman" w:hAnsi="Times New Roman"/>
          <w:spacing w:val="-3"/>
          <w:sz w:val="22"/>
          <w:szCs w:val="22"/>
        </w:rPr>
        <w:t xml:space="preserve">he Commission uses 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E31496">
        <w:rPr>
          <w:rFonts w:ascii="Times New Roman" w:hAnsi="Times New Roman"/>
          <w:spacing w:val="-3"/>
          <w:sz w:val="22"/>
          <w:szCs w:val="22"/>
        </w:rPr>
        <w:t xml:space="preserve">demand, cost, and revenue </w:t>
      </w:r>
      <w:r w:rsidRPr="00D829CE">
        <w:rPr>
          <w:rFonts w:ascii="Times New Roman" w:hAnsi="Times New Roman"/>
          <w:spacing w:val="-3"/>
          <w:sz w:val="22"/>
          <w:szCs w:val="22"/>
        </w:rPr>
        <w:t>data to make sure that rates are just and rea</w:t>
      </w:r>
      <w:r w:rsidR="005F4D28">
        <w:rPr>
          <w:rFonts w:ascii="Times New Roman" w:hAnsi="Times New Roman"/>
          <w:spacing w:val="-3"/>
          <w:sz w:val="22"/>
          <w:szCs w:val="22"/>
        </w:rPr>
        <w:t xml:space="preserve">sonable, as </w:t>
      </w:r>
      <w:r w:rsidR="00F408DC">
        <w:rPr>
          <w:rFonts w:ascii="Times New Roman" w:hAnsi="Times New Roman"/>
          <w:spacing w:val="-3"/>
          <w:sz w:val="22"/>
          <w:szCs w:val="22"/>
        </w:rPr>
        <w:t>required by sections 201-205</w:t>
      </w:r>
      <w:r w:rsidR="005F4D28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of the </w:t>
      </w:r>
      <w:r w:rsidR="00B075C6">
        <w:rPr>
          <w:rFonts w:ascii="Times New Roman" w:hAnsi="Times New Roman"/>
          <w:spacing w:val="-3"/>
          <w:sz w:val="22"/>
          <w:szCs w:val="22"/>
        </w:rPr>
        <w:t xml:space="preserve">1996 </w:t>
      </w:r>
      <w:r w:rsidRPr="00D829CE">
        <w:rPr>
          <w:rFonts w:ascii="Times New Roman" w:hAnsi="Times New Roman"/>
          <w:spacing w:val="-3"/>
          <w:sz w:val="22"/>
          <w:szCs w:val="22"/>
        </w:rPr>
        <w:t>Act.</w:t>
      </w:r>
    </w:p>
    <w:p w:rsidR="00BF5BC1" w:rsidRPr="00D829CE" w:rsidP="00870192" w14:paraId="2347DC2A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ab/>
      </w:r>
    </w:p>
    <w:p w:rsidR="00BF5BC1" w:rsidRPr="0053705C" w:rsidP="00E3478D" w14:paraId="16D60ACE" w14:textId="7777777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3705C">
        <w:rPr>
          <w:rFonts w:ascii="Times New Roman" w:hAnsi="Times New Roman"/>
          <w:sz w:val="22"/>
          <w:szCs w:val="22"/>
        </w:rPr>
        <w:t xml:space="preserve">In an effort to reduce any burden created by these </w:t>
      </w:r>
      <w:r w:rsidR="0053705C">
        <w:rPr>
          <w:rFonts w:ascii="Times New Roman" w:hAnsi="Times New Roman"/>
          <w:sz w:val="22"/>
          <w:szCs w:val="22"/>
        </w:rPr>
        <w:t>i</w:t>
      </w:r>
      <w:r w:rsidRPr="0053705C">
        <w:rPr>
          <w:rFonts w:ascii="Times New Roman" w:hAnsi="Times New Roman"/>
          <w:sz w:val="22"/>
          <w:szCs w:val="22"/>
        </w:rPr>
        <w:t xml:space="preserve">nformation collection requirements, the Commission </w:t>
      </w:r>
      <w:r w:rsidR="002720B2">
        <w:rPr>
          <w:rFonts w:ascii="Times New Roman" w:hAnsi="Times New Roman"/>
          <w:sz w:val="22"/>
          <w:szCs w:val="22"/>
        </w:rPr>
        <w:t>encourages</w:t>
      </w:r>
      <w:r w:rsidRPr="0053705C">
        <w:rPr>
          <w:rFonts w:ascii="Times New Roman" w:hAnsi="Times New Roman"/>
          <w:sz w:val="22"/>
          <w:szCs w:val="22"/>
        </w:rPr>
        <w:t xml:space="preserve"> respondents to </w:t>
      </w:r>
      <w:r w:rsidRPr="00E3478D" w:rsidR="00E3478D">
        <w:rPr>
          <w:rFonts w:ascii="Times New Roman" w:hAnsi="Times New Roman"/>
          <w:sz w:val="22"/>
          <w:szCs w:val="22"/>
        </w:rPr>
        <w:t>file their data electronically</w:t>
      </w:r>
      <w:r w:rsidR="00E3478D">
        <w:rPr>
          <w:rFonts w:ascii="Times New Roman" w:hAnsi="Times New Roman"/>
          <w:sz w:val="22"/>
          <w:szCs w:val="22"/>
        </w:rPr>
        <w:t>.</w:t>
      </w:r>
    </w:p>
    <w:p w:rsidR="00BF5BC1" w:rsidRPr="00D829CE" w:rsidP="00870192" w14:paraId="2C69489E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P="00801ECE" w14:paraId="5E13AFAF" w14:textId="7777777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There will be no duplication of information</w:t>
      </w:r>
      <w:r w:rsidR="008677A3">
        <w:rPr>
          <w:rFonts w:ascii="Times New Roman" w:hAnsi="Times New Roman"/>
          <w:sz w:val="22"/>
          <w:szCs w:val="22"/>
        </w:rPr>
        <w:t xml:space="preserve"> filed</w:t>
      </w:r>
      <w:r w:rsidRPr="00D829CE">
        <w:rPr>
          <w:rFonts w:ascii="Times New Roman" w:hAnsi="Times New Roman"/>
          <w:sz w:val="22"/>
          <w:szCs w:val="22"/>
        </w:rPr>
        <w:t xml:space="preserve">.  </w:t>
      </w:r>
      <w:r w:rsidR="005F71C8">
        <w:rPr>
          <w:rFonts w:ascii="Times New Roman" w:hAnsi="Times New Roman"/>
          <w:sz w:val="22"/>
          <w:szCs w:val="22"/>
        </w:rPr>
        <w:t>T</w:t>
      </w:r>
      <w:r w:rsidRPr="00D829CE">
        <w:rPr>
          <w:rFonts w:ascii="Times New Roman" w:hAnsi="Times New Roman"/>
          <w:sz w:val="22"/>
          <w:szCs w:val="22"/>
        </w:rPr>
        <w:t>he information sought is unique to each carrier or respondent and similar information is not already available.  The Commission is using already</w:t>
      </w:r>
      <w:r w:rsidR="003D1D1C">
        <w:rPr>
          <w:rFonts w:ascii="Times New Roman" w:hAnsi="Times New Roman"/>
          <w:sz w:val="22"/>
          <w:szCs w:val="22"/>
        </w:rPr>
        <w:t>-</w:t>
      </w:r>
      <w:r w:rsidRPr="00D829CE">
        <w:rPr>
          <w:rFonts w:ascii="Times New Roman" w:hAnsi="Times New Roman"/>
          <w:sz w:val="22"/>
          <w:szCs w:val="22"/>
        </w:rPr>
        <w:t xml:space="preserve"> established reporting and recordkeeping</w:t>
      </w:r>
      <w:r w:rsidR="00622B87">
        <w:rPr>
          <w:rFonts w:ascii="Times New Roman" w:hAnsi="Times New Roman"/>
          <w:sz w:val="22"/>
          <w:szCs w:val="22"/>
        </w:rPr>
        <w:t xml:space="preserve"> requirements to satisfy statutory directives.</w:t>
      </w:r>
    </w:p>
    <w:p w:rsidR="00622B87" w:rsidRPr="00D829CE" w:rsidP="00622B87" w14:paraId="3447C80F" w14:textId="77777777">
      <w:pPr>
        <w:ind w:left="360"/>
        <w:rPr>
          <w:rFonts w:ascii="Times New Roman" w:hAnsi="Times New Roman"/>
          <w:sz w:val="22"/>
          <w:szCs w:val="22"/>
        </w:rPr>
      </w:pPr>
    </w:p>
    <w:p w:rsidR="00BF5BC1" w:rsidRPr="00D829CE" w:rsidP="009440C7" w14:paraId="40D2A81D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5.   The collections of information may affect small entities as well as large entities.  The collections have been carefully designed to minimize the burden on all carriers, regardless of size.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</w:p>
    <w:p w:rsidR="00BF5BC1" w:rsidRPr="00D829CE" w:rsidP="00870192" w14:paraId="6C883101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3FCCF6B7" w14:textId="569BA64A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6.  </w:t>
      </w:r>
      <w:r w:rsidRPr="00D829CE" w:rsidR="00C048BA">
        <w:rPr>
          <w:rFonts w:ascii="Times New Roman" w:hAnsi="Times New Roman"/>
          <w:sz w:val="22"/>
          <w:szCs w:val="22"/>
        </w:rPr>
        <w:t xml:space="preserve"> </w:t>
      </w:r>
      <w:r w:rsidR="00E046C5">
        <w:rPr>
          <w:rFonts w:ascii="Times New Roman" w:hAnsi="Times New Roman"/>
          <w:sz w:val="22"/>
          <w:szCs w:val="22"/>
        </w:rPr>
        <w:t xml:space="preserve">If the Commission does not collect the </w:t>
      </w:r>
      <w:r w:rsidRPr="00E31496" w:rsidR="00E31496">
        <w:rPr>
          <w:rFonts w:ascii="Times New Roman" w:hAnsi="Times New Roman"/>
          <w:sz w:val="22"/>
          <w:szCs w:val="22"/>
        </w:rPr>
        <w:t xml:space="preserve">demand, cost, and revenue </w:t>
      </w:r>
      <w:r w:rsidR="00E046C5">
        <w:rPr>
          <w:rFonts w:ascii="Times New Roman" w:hAnsi="Times New Roman"/>
          <w:sz w:val="22"/>
          <w:szCs w:val="22"/>
        </w:rPr>
        <w:t xml:space="preserve">data, the </w:t>
      </w:r>
      <w:r w:rsidRPr="00D829CE">
        <w:rPr>
          <w:rFonts w:ascii="Times New Roman" w:hAnsi="Times New Roman"/>
          <w:spacing w:val="-3"/>
          <w:sz w:val="22"/>
          <w:szCs w:val="22"/>
        </w:rPr>
        <w:t>Commi</w:t>
      </w:r>
      <w:r w:rsidR="00E046C5">
        <w:rPr>
          <w:rFonts w:ascii="Times New Roman" w:hAnsi="Times New Roman"/>
          <w:spacing w:val="-3"/>
          <w:sz w:val="22"/>
          <w:szCs w:val="22"/>
        </w:rPr>
        <w:t xml:space="preserve">ssion and interested parties will be unable to ascertain whether </w:t>
      </w:r>
      <w:r w:rsidR="005956DF">
        <w:rPr>
          <w:rFonts w:ascii="Times New Roman" w:hAnsi="Times New Roman"/>
          <w:spacing w:val="-3"/>
          <w:sz w:val="22"/>
          <w:szCs w:val="22"/>
        </w:rPr>
        <w:t xml:space="preserve">tariff 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rates </w:t>
      </w:r>
      <w:r w:rsidR="00B52E0C">
        <w:rPr>
          <w:rFonts w:ascii="Times New Roman" w:hAnsi="Times New Roman"/>
          <w:spacing w:val="-3"/>
          <w:sz w:val="22"/>
          <w:szCs w:val="22"/>
        </w:rPr>
        <w:t>are</w:t>
      </w:r>
      <w:r w:rsidRPr="00D829CE" w:rsidR="00B52E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>
        <w:rPr>
          <w:rFonts w:ascii="Times New Roman" w:hAnsi="Times New Roman"/>
          <w:spacing w:val="-3"/>
          <w:sz w:val="22"/>
          <w:szCs w:val="22"/>
        </w:rPr>
        <w:t>just and reasonable.</w:t>
      </w:r>
    </w:p>
    <w:p w:rsidR="00BF5BC1" w:rsidRPr="00D829CE" w:rsidP="00870192" w14:paraId="35218DFE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63511600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7. 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  <w:r w:rsidR="007A7FFA">
        <w:rPr>
          <w:rFonts w:ascii="Times New Roman" w:hAnsi="Times New Roman"/>
          <w:sz w:val="22"/>
          <w:szCs w:val="22"/>
        </w:rPr>
        <w:t>The Commission does not</w:t>
      </w:r>
      <w:r w:rsidRPr="00D829CE">
        <w:rPr>
          <w:rFonts w:ascii="Times New Roman" w:hAnsi="Times New Roman"/>
          <w:sz w:val="22"/>
          <w:szCs w:val="22"/>
        </w:rPr>
        <w:t xml:space="preserve"> foresee any special circumstances that would cause an information collection to be conducted under extraordinary circumstances.  </w:t>
      </w:r>
    </w:p>
    <w:p w:rsidR="00BF5BC1" w:rsidRPr="00D829CE" w:rsidP="00870192" w14:paraId="38C5D7D7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B14AD" w:rsidRPr="00D829CE" w:rsidP="005844FC" w14:paraId="18F624C8" w14:textId="4FA9EF85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8. 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  <w:r w:rsidR="002232B6">
        <w:rPr>
          <w:rFonts w:ascii="Times New Roman" w:hAnsi="Times New Roman"/>
          <w:sz w:val="22"/>
          <w:szCs w:val="22"/>
        </w:rPr>
        <w:t>Pursuant to 5 CF</w:t>
      </w:r>
      <w:r w:rsidR="007A7FFA">
        <w:rPr>
          <w:rFonts w:ascii="Times New Roman" w:hAnsi="Times New Roman"/>
          <w:sz w:val="22"/>
          <w:szCs w:val="22"/>
        </w:rPr>
        <w:t>R 1320.8</w:t>
      </w:r>
      <w:r w:rsidR="00E443FE">
        <w:rPr>
          <w:rFonts w:ascii="Times New Roman" w:hAnsi="Times New Roman"/>
          <w:sz w:val="22"/>
          <w:szCs w:val="22"/>
        </w:rPr>
        <w:t>(d)</w:t>
      </w:r>
      <w:r w:rsidR="007A7FFA">
        <w:rPr>
          <w:rFonts w:ascii="Times New Roman" w:hAnsi="Times New Roman"/>
          <w:sz w:val="22"/>
          <w:szCs w:val="22"/>
        </w:rPr>
        <w:t>, the Commission placed a n</w:t>
      </w:r>
      <w:r w:rsidR="001F0164">
        <w:rPr>
          <w:rFonts w:ascii="Times New Roman" w:hAnsi="Times New Roman"/>
          <w:sz w:val="22"/>
          <w:szCs w:val="22"/>
        </w:rPr>
        <w:t>otice in the Federal Register</w:t>
      </w:r>
      <w:r w:rsidR="00461C1C">
        <w:rPr>
          <w:rFonts w:ascii="Times New Roman" w:hAnsi="Times New Roman"/>
          <w:sz w:val="22"/>
          <w:szCs w:val="22"/>
        </w:rPr>
        <w:t xml:space="preserve">, </w:t>
      </w:r>
      <w:r w:rsidR="008B5251">
        <w:rPr>
          <w:rFonts w:ascii="Times New Roman" w:hAnsi="Times New Roman"/>
          <w:sz w:val="22"/>
          <w:szCs w:val="22"/>
        </w:rPr>
        <w:t>90</w:t>
      </w:r>
      <w:r w:rsidR="00095B09">
        <w:rPr>
          <w:rFonts w:ascii="Times New Roman" w:hAnsi="Times New Roman"/>
          <w:sz w:val="22"/>
          <w:szCs w:val="22"/>
        </w:rPr>
        <w:t xml:space="preserve"> </w:t>
      </w:r>
      <w:r w:rsidR="00ED656A">
        <w:rPr>
          <w:rFonts w:ascii="Times New Roman" w:hAnsi="Times New Roman"/>
          <w:sz w:val="22"/>
          <w:szCs w:val="22"/>
        </w:rPr>
        <w:t>FR</w:t>
      </w:r>
      <w:r w:rsidR="00095B09">
        <w:rPr>
          <w:rFonts w:ascii="Times New Roman" w:hAnsi="Times New Roman"/>
          <w:sz w:val="22"/>
          <w:szCs w:val="22"/>
        </w:rPr>
        <w:t xml:space="preserve"> </w:t>
      </w:r>
      <w:r w:rsidR="008B5251">
        <w:rPr>
          <w:rFonts w:ascii="Times New Roman" w:hAnsi="Times New Roman"/>
          <w:sz w:val="22"/>
          <w:szCs w:val="22"/>
        </w:rPr>
        <w:t>440</w:t>
      </w:r>
      <w:r w:rsidR="00CB0FA3">
        <w:rPr>
          <w:rFonts w:ascii="Times New Roman" w:hAnsi="Times New Roman"/>
          <w:sz w:val="22"/>
          <w:szCs w:val="22"/>
        </w:rPr>
        <w:t>68</w:t>
      </w:r>
      <w:r w:rsidR="001F0164">
        <w:rPr>
          <w:rFonts w:ascii="Times New Roman" w:hAnsi="Times New Roman"/>
          <w:sz w:val="22"/>
          <w:szCs w:val="22"/>
        </w:rPr>
        <w:t>,</w:t>
      </w:r>
      <w:r w:rsidR="00095B09">
        <w:rPr>
          <w:rFonts w:ascii="Times New Roman" w:hAnsi="Times New Roman"/>
          <w:sz w:val="22"/>
          <w:szCs w:val="22"/>
        </w:rPr>
        <w:t xml:space="preserve"> </w:t>
      </w:r>
      <w:r w:rsidR="00CB0FA3">
        <w:rPr>
          <w:rFonts w:ascii="Times New Roman" w:hAnsi="Times New Roman"/>
          <w:sz w:val="22"/>
          <w:szCs w:val="22"/>
        </w:rPr>
        <w:t>September</w:t>
      </w:r>
      <w:r w:rsidR="009038AD">
        <w:rPr>
          <w:rFonts w:ascii="Times New Roman" w:hAnsi="Times New Roman"/>
          <w:sz w:val="22"/>
          <w:szCs w:val="22"/>
        </w:rPr>
        <w:t xml:space="preserve"> </w:t>
      </w:r>
      <w:r w:rsidR="00CB0FA3">
        <w:rPr>
          <w:rFonts w:ascii="Times New Roman" w:hAnsi="Times New Roman"/>
          <w:sz w:val="22"/>
          <w:szCs w:val="22"/>
        </w:rPr>
        <w:t>11</w:t>
      </w:r>
      <w:r w:rsidR="009038AD">
        <w:rPr>
          <w:rFonts w:ascii="Times New Roman" w:hAnsi="Times New Roman"/>
          <w:sz w:val="22"/>
          <w:szCs w:val="22"/>
        </w:rPr>
        <w:t>, 2025</w:t>
      </w:r>
      <w:r w:rsidR="007A7FFA">
        <w:rPr>
          <w:rFonts w:ascii="Times New Roman" w:hAnsi="Times New Roman"/>
          <w:sz w:val="22"/>
          <w:szCs w:val="22"/>
        </w:rPr>
        <w:t>.  No comments were received.</w:t>
      </w:r>
      <w:r w:rsidRPr="00D829CE" w:rsidR="00072920">
        <w:rPr>
          <w:rFonts w:ascii="Times New Roman" w:hAnsi="Times New Roman"/>
          <w:sz w:val="22"/>
          <w:szCs w:val="22"/>
        </w:rPr>
        <w:t xml:space="preserve">  </w:t>
      </w:r>
      <w:r w:rsidRPr="00D829CE" w:rsidR="00601B73">
        <w:rPr>
          <w:rFonts w:ascii="Times New Roman" w:hAnsi="Times New Roman"/>
          <w:sz w:val="22"/>
          <w:szCs w:val="22"/>
        </w:rPr>
        <w:t xml:space="preserve"> </w:t>
      </w:r>
    </w:p>
    <w:p w:rsidR="00BF5BC1" w:rsidRPr="00D829CE" w:rsidP="00870192" w14:paraId="35EDBFAF" w14:textId="77777777">
      <w:pPr>
        <w:ind w:left="360" w:hanging="360"/>
        <w:rPr>
          <w:rFonts w:ascii="Times New Roman" w:hAnsi="Times New Roman"/>
          <w:i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 </w:t>
      </w:r>
    </w:p>
    <w:p w:rsidR="00BF5BC1" w:rsidP="00870192" w14:paraId="7CDF6ACC" w14:textId="1C880915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9.  The Commission does not anticipate providing any payment or gift to respondents.</w:t>
      </w:r>
    </w:p>
    <w:p w:rsidR="00BF5BC1" w:rsidRPr="00D829CE" w:rsidP="00870192" w14:paraId="2211063A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416369" w:rsidP="009A39BF" w14:paraId="0228AB20" w14:textId="77777777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sz w:val="22"/>
          <w:szCs w:val="22"/>
        </w:rPr>
        <w:t xml:space="preserve">10.  </w:t>
      </w:r>
      <w:r w:rsidRPr="006448A3" w:rsidR="006448A3">
        <w:rPr>
          <w:rFonts w:ascii="Times New Roman" w:hAnsi="Times New Roman"/>
          <w:color w:val="000000"/>
          <w:sz w:val="22"/>
          <w:szCs w:val="22"/>
        </w:rPr>
        <w:t xml:space="preserve">The Commission does not request that respondents submit confidential information to the </w:t>
      </w:r>
    </w:p>
    <w:p w:rsidR="00ED656A" w:rsidP="00603C39" w14:paraId="6D39AC1C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color w:val="000000"/>
          <w:sz w:val="22"/>
          <w:szCs w:val="22"/>
        </w:rPr>
        <w:t xml:space="preserve">Commission.  If the Commission does request applicants to submit information that the respondents </w:t>
      </w:r>
    </w:p>
    <w:p w:rsidR="00ED656A" w:rsidP="00603C39" w14:paraId="588CA4EF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color w:val="000000"/>
          <w:sz w:val="22"/>
          <w:szCs w:val="22"/>
        </w:rPr>
        <w:t>believe is confidential, respondents may request confidential treatment of such information under t</w:t>
      </w:r>
      <w:r w:rsidR="00921D80">
        <w:rPr>
          <w:rFonts w:ascii="Times New Roman" w:hAnsi="Times New Roman"/>
          <w:color w:val="000000"/>
          <w:sz w:val="22"/>
          <w:szCs w:val="22"/>
        </w:rPr>
        <w:t xml:space="preserve">he </w:t>
      </w:r>
    </w:p>
    <w:p w:rsidR="006448A3" w:rsidP="00603C39" w14:paraId="26A051D9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Commission’s rules, 47 C.F.R </w:t>
      </w:r>
      <w:r w:rsidRPr="006448A3">
        <w:rPr>
          <w:rFonts w:ascii="Times New Roman" w:hAnsi="Times New Roman"/>
          <w:color w:val="000000"/>
          <w:sz w:val="22"/>
          <w:szCs w:val="22"/>
        </w:rPr>
        <w:t>§ 0.459.</w:t>
      </w:r>
    </w:p>
    <w:p w:rsidR="00F80BDC" w:rsidRPr="00D829CE" w:rsidP="00870192" w14:paraId="5129265C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0F5AF2" w14:paraId="32B178E8" w14:textId="77777777">
      <w:pPr>
        <w:tabs>
          <w:tab w:val="left" w:pos="3870"/>
        </w:tabs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11.  There are no questions of a sensitive nature with respect to the in</w:t>
      </w:r>
      <w:r w:rsidR="00CE4306">
        <w:rPr>
          <w:rFonts w:ascii="Times New Roman" w:hAnsi="Times New Roman"/>
          <w:sz w:val="22"/>
          <w:szCs w:val="22"/>
        </w:rPr>
        <w:t>formation collections described</w:t>
      </w:r>
      <w:r w:rsidR="00520474">
        <w:rPr>
          <w:rFonts w:ascii="Times New Roman" w:hAnsi="Times New Roman"/>
          <w:sz w:val="22"/>
          <w:szCs w:val="22"/>
        </w:rPr>
        <w:t xml:space="preserve"> </w:t>
      </w:r>
      <w:r w:rsidRPr="00D829CE">
        <w:rPr>
          <w:rFonts w:ascii="Times New Roman" w:hAnsi="Times New Roman"/>
          <w:sz w:val="22"/>
          <w:szCs w:val="22"/>
        </w:rPr>
        <w:t>herein.</w:t>
      </w:r>
    </w:p>
    <w:p w:rsidR="00BF5BC1" w:rsidRPr="00D829CE" w:rsidP="00870192" w14:paraId="5D781BD2" w14:textId="77777777">
      <w:pPr>
        <w:pStyle w:val="EndnoteText"/>
        <w:tabs>
          <w:tab w:val="clear" w:pos="-720"/>
        </w:tabs>
        <w:suppressAutoHyphens w:val="0"/>
        <w:ind w:left="360" w:hanging="360"/>
        <w:rPr>
          <w:rFonts w:ascii="Times New Roman" w:hAnsi="Times New Roman"/>
          <w:sz w:val="22"/>
          <w:szCs w:val="22"/>
        </w:rPr>
      </w:pPr>
    </w:p>
    <w:p w:rsidR="00C47DBE" w:rsidRPr="00E046C5" w:rsidP="00870192" w14:paraId="63D02253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12.  </w:t>
      </w:r>
      <w:r w:rsidR="00E046C5">
        <w:rPr>
          <w:rFonts w:ascii="Times New Roman" w:hAnsi="Times New Roman"/>
          <w:sz w:val="22"/>
          <w:szCs w:val="22"/>
        </w:rPr>
        <w:t>Estimates of hour burden of the collection of information.</w:t>
      </w:r>
    </w:p>
    <w:p w:rsidR="00C47DBE" w:rsidRPr="00D829CE" w:rsidP="00870192" w14:paraId="42C1BE97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A924D2" w:rsidP="002A07D9" w14:paraId="1DB98B09" w14:textId="77777777">
      <w:pPr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431DA4">
        <w:rPr>
          <w:rFonts w:ascii="Times New Roman" w:hAnsi="Times New Roman"/>
          <w:b/>
          <w:sz w:val="22"/>
          <w:szCs w:val="22"/>
          <w:u w:val="single"/>
        </w:rPr>
        <w:t>GSF Allocatio</w:t>
      </w:r>
      <w:r w:rsidRPr="00431DA4" w:rsidR="00A924D2">
        <w:rPr>
          <w:rFonts w:ascii="Times New Roman" w:hAnsi="Times New Roman"/>
          <w:b/>
          <w:sz w:val="22"/>
          <w:szCs w:val="22"/>
          <w:u w:val="single"/>
        </w:rPr>
        <w:t>n</w:t>
      </w:r>
      <w:r w:rsidR="00A924D2">
        <w:rPr>
          <w:rFonts w:ascii="Times New Roman" w:hAnsi="Times New Roman"/>
          <w:sz w:val="22"/>
          <w:szCs w:val="22"/>
        </w:rPr>
        <w:t>:</w:t>
      </w:r>
    </w:p>
    <w:p w:rsidR="00BF5BC1" w:rsidRPr="00D829CE" w:rsidP="00870192" w14:paraId="7217AC7C" w14:textId="77777777">
      <w:pPr>
        <w:tabs>
          <w:tab w:val="left" w:pos="-720"/>
        </w:tabs>
        <w:suppressAutoHyphens/>
        <w:ind w:left="360" w:hanging="360"/>
        <w:rPr>
          <w:rFonts w:ascii="Times New Roman" w:hAnsi="Times New Roman"/>
          <w:spacing w:val="-3"/>
          <w:sz w:val="22"/>
          <w:szCs w:val="22"/>
        </w:rPr>
      </w:pPr>
    </w:p>
    <w:p w:rsidR="00075A0D" w:rsidRPr="00D829CE" w:rsidP="00075A0D" w14:paraId="1141178C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Number of respondents</w:t>
      </w:r>
      <w:r w:rsidRPr="00D829CE">
        <w:rPr>
          <w:rFonts w:ascii="Times New Roman" w:hAnsi="Times New Roman"/>
          <w:spacing w:val="-3"/>
          <w:sz w:val="22"/>
          <w:szCs w:val="22"/>
        </w:rPr>
        <w:t>:  200 carriers</w:t>
      </w:r>
      <w:r w:rsidR="008462A3">
        <w:rPr>
          <w:rFonts w:ascii="Times New Roman" w:hAnsi="Times New Roman"/>
          <w:spacing w:val="-3"/>
          <w:sz w:val="22"/>
          <w:szCs w:val="22"/>
        </w:rPr>
        <w:t>.</w:t>
      </w:r>
    </w:p>
    <w:p w:rsidR="00C46435" w:rsidRPr="00D829CE" w:rsidP="00075A0D" w14:paraId="09310B23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C46435" w:rsidRPr="00D829CE" w:rsidP="00C46435" w14:paraId="3984F6D0" w14:textId="24616C5B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</w:t>
      </w:r>
      <w:r w:rsidR="002B0F33">
        <w:rPr>
          <w:rFonts w:ascii="Times New Roman" w:hAnsi="Times New Roman"/>
          <w:spacing w:val="-3"/>
          <w:sz w:val="22"/>
          <w:szCs w:val="22"/>
        </w:rPr>
        <w:t>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the number of carriers that will </w:t>
      </w:r>
      <w:bookmarkStart w:id="1" w:name="_Hlk199345181"/>
      <w:r w:rsidR="003C1B8C">
        <w:rPr>
          <w:rFonts w:ascii="Times New Roman" w:hAnsi="Times New Roman"/>
          <w:spacing w:val="-3"/>
          <w:sz w:val="22"/>
          <w:szCs w:val="22"/>
        </w:rPr>
        <w:t xml:space="preserve">calculate the amount of </w:t>
      </w:r>
      <w:r w:rsidRPr="00D755D0" w:rsidR="00D755D0">
        <w:rPr>
          <w:rFonts w:ascii="Times New Roman" w:hAnsi="Times New Roman"/>
          <w:spacing w:val="-3"/>
          <w:sz w:val="22"/>
          <w:szCs w:val="22"/>
        </w:rPr>
        <w:t xml:space="preserve">general purpose computer </w:t>
      </w:r>
      <w:r w:rsidR="003C1B8C">
        <w:rPr>
          <w:rFonts w:ascii="Times New Roman" w:hAnsi="Times New Roman"/>
          <w:spacing w:val="-3"/>
          <w:sz w:val="22"/>
          <w:szCs w:val="22"/>
        </w:rPr>
        <w:t xml:space="preserve">investment to be allocated to </w:t>
      </w:r>
      <w:r w:rsidRPr="003C1B8C" w:rsidR="003C1B8C">
        <w:rPr>
          <w:rFonts w:ascii="Times New Roman" w:hAnsi="Times New Roman"/>
          <w:spacing w:val="-3"/>
          <w:sz w:val="22"/>
          <w:szCs w:val="22"/>
        </w:rPr>
        <w:t>the billing and collection category</w:t>
      </w:r>
      <w:r w:rsidRPr="003C1B8C" w:rsidR="003C1B8C">
        <w:rPr>
          <w:rFonts w:ascii="Times New Roman" w:hAnsi="Times New Roman"/>
          <w:spacing w:val="-3"/>
          <w:sz w:val="22"/>
          <w:szCs w:val="22"/>
        </w:rPr>
        <w:t xml:space="preserve"> </w:t>
      </w:r>
      <w:bookmarkEnd w:id="1"/>
      <w:r w:rsidR="002B0F33">
        <w:rPr>
          <w:rFonts w:ascii="Times New Roman" w:hAnsi="Times New Roman"/>
          <w:spacing w:val="-3"/>
          <w:sz w:val="22"/>
          <w:szCs w:val="22"/>
        </w:rPr>
        <w:t xml:space="preserve">to be 200 carriers.  </w:t>
      </w:r>
    </w:p>
    <w:p w:rsidR="00D87CD6" w:rsidRPr="00D829CE" w:rsidP="00075A0D" w14:paraId="3CFD4CC6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BF5BC1" w:rsidRPr="00D829CE" w:rsidP="00075A0D" w14:paraId="5C771F25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Frequency of response</w:t>
      </w:r>
      <w:r w:rsidR="00D51854">
        <w:rPr>
          <w:rFonts w:ascii="Times New Roman" w:hAnsi="Times New Roman"/>
          <w:spacing w:val="-3"/>
          <w:sz w:val="22"/>
          <w:szCs w:val="22"/>
        </w:rPr>
        <w:t xml:space="preserve">:  Every </w:t>
      </w:r>
      <w:r w:rsidR="006B1C83">
        <w:rPr>
          <w:rFonts w:ascii="Times New Roman" w:hAnsi="Times New Roman"/>
          <w:spacing w:val="-3"/>
          <w:sz w:val="22"/>
          <w:szCs w:val="22"/>
        </w:rPr>
        <w:t>three years</w:t>
      </w:r>
      <w:r w:rsidR="00D51854">
        <w:rPr>
          <w:rFonts w:ascii="Times New Roman" w:hAnsi="Times New Roman"/>
          <w:spacing w:val="-3"/>
          <w:sz w:val="22"/>
          <w:szCs w:val="22"/>
        </w:rPr>
        <w:t>.</w:t>
      </w:r>
    </w:p>
    <w:p w:rsidR="00D87CD6" w:rsidRPr="00D829CE" w:rsidP="00075A0D" w14:paraId="60F2B8C3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D87CD6" w:rsidRPr="00D829CE" w:rsidP="00D87CD6" w14:paraId="5AA70760" w14:textId="28B57EBD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estimates that carriers will</w:t>
      </w:r>
      <w:bookmarkStart w:id="2" w:name="_Hlk199345357"/>
      <w:r w:rsidRPr="00D829C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C1B8C" w:rsidR="003C1B8C">
        <w:rPr>
          <w:rFonts w:ascii="Times New Roman" w:hAnsi="Times New Roman"/>
          <w:spacing w:val="-3"/>
          <w:sz w:val="22"/>
          <w:szCs w:val="22"/>
        </w:rPr>
        <w:t xml:space="preserve">calculate the amount of </w:t>
      </w:r>
      <w:r w:rsidRPr="00D755D0" w:rsidR="00D755D0">
        <w:rPr>
          <w:rFonts w:ascii="Times New Roman" w:hAnsi="Times New Roman"/>
          <w:spacing w:val="-3"/>
          <w:sz w:val="22"/>
          <w:szCs w:val="22"/>
        </w:rPr>
        <w:t xml:space="preserve">general purpose computer </w:t>
      </w:r>
      <w:r w:rsidRPr="003C1B8C" w:rsidR="003C1B8C">
        <w:rPr>
          <w:rFonts w:ascii="Times New Roman" w:hAnsi="Times New Roman"/>
          <w:spacing w:val="-3"/>
          <w:sz w:val="22"/>
          <w:szCs w:val="22"/>
        </w:rPr>
        <w:t>investment to be allocated to the billing and collection</w:t>
      </w:r>
      <w:bookmarkEnd w:id="2"/>
      <w:r w:rsidRPr="003C1B8C" w:rsidR="003C1B8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74021" w:rsidR="00B74021">
        <w:rPr>
          <w:rFonts w:ascii="Times New Roman" w:hAnsi="Times New Roman"/>
          <w:spacing w:val="-3"/>
          <w:sz w:val="22"/>
          <w:szCs w:val="22"/>
        </w:rPr>
        <w:t>category</w:t>
      </w:r>
      <w:r w:rsidRPr="00B74021" w:rsidR="00B7402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>
        <w:rPr>
          <w:rFonts w:ascii="Times New Roman" w:hAnsi="Times New Roman"/>
          <w:spacing w:val="-3"/>
          <w:sz w:val="22"/>
          <w:szCs w:val="22"/>
        </w:rPr>
        <w:t>once every three years.</w:t>
      </w:r>
      <w:r w:rsidRPr="00D829CE">
        <w:rPr>
          <w:rFonts w:ascii="Times New Roman" w:hAnsi="Times New Roman"/>
          <w:spacing w:val="-3"/>
          <w:sz w:val="22"/>
          <w:szCs w:val="22"/>
        </w:rPr>
        <w:tab/>
      </w:r>
    </w:p>
    <w:p w:rsidR="00EF2C91" w:rsidRPr="00D829CE" w:rsidP="00D87CD6" w14:paraId="54D2D55A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EF2C91" w:rsidRPr="00D829CE" w:rsidP="00EF2C91" w14:paraId="374FB19E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(3)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Total Number of Responses Annually</w:t>
      </w:r>
      <w:r w:rsidRPr="00D829CE">
        <w:rPr>
          <w:rFonts w:ascii="Times New Roman" w:hAnsi="Times New Roman"/>
          <w:spacing w:val="-3"/>
          <w:sz w:val="22"/>
          <w:szCs w:val="22"/>
        </w:rPr>
        <w:t>:</w:t>
      </w:r>
      <w:r w:rsidR="001A55C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 w:rsidR="00AD65C7">
        <w:rPr>
          <w:rFonts w:ascii="Times New Roman" w:hAnsi="Times New Roman"/>
          <w:spacing w:val="-3"/>
          <w:sz w:val="22"/>
          <w:szCs w:val="22"/>
        </w:rPr>
        <w:t xml:space="preserve"> 6</w:t>
      </w:r>
      <w:r w:rsidRPr="00D829CE" w:rsidR="001F382D">
        <w:rPr>
          <w:rFonts w:ascii="Times New Roman" w:hAnsi="Times New Roman"/>
          <w:spacing w:val="-3"/>
          <w:sz w:val="22"/>
          <w:szCs w:val="22"/>
        </w:rPr>
        <w:t>7</w:t>
      </w:r>
      <w:r w:rsidRPr="00D829CE" w:rsidR="00AD65C7">
        <w:rPr>
          <w:rFonts w:ascii="Times New Roman" w:hAnsi="Times New Roman"/>
          <w:spacing w:val="-3"/>
          <w:sz w:val="22"/>
          <w:szCs w:val="22"/>
        </w:rPr>
        <w:t xml:space="preserve"> responses</w:t>
      </w:r>
      <w:r w:rsidR="000F5D80">
        <w:rPr>
          <w:rFonts w:ascii="Times New Roman" w:hAnsi="Times New Roman"/>
          <w:spacing w:val="-3"/>
          <w:sz w:val="22"/>
          <w:szCs w:val="22"/>
        </w:rPr>
        <w:t xml:space="preserve"> annually</w:t>
      </w:r>
      <w:r w:rsidR="00D51854">
        <w:rPr>
          <w:rFonts w:ascii="Times New Roman" w:hAnsi="Times New Roman"/>
          <w:spacing w:val="-3"/>
          <w:sz w:val="22"/>
          <w:szCs w:val="22"/>
        </w:rPr>
        <w:t>.</w:t>
      </w:r>
    </w:p>
    <w:p w:rsidR="00C94987" w:rsidRPr="00D829CE" w:rsidP="00AD65C7" w14:paraId="075DBEA9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AD65C7" w:rsidRPr="00D829CE" w:rsidP="00AD65C7" w14:paraId="32681F14" w14:textId="60319EA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200 carriers x 1 response = 200 responses</w:t>
      </w:r>
      <w:r w:rsidR="003C1B8C">
        <w:rPr>
          <w:rFonts w:ascii="Times New Roman" w:hAnsi="Times New Roman"/>
          <w:spacing w:val="-3"/>
          <w:sz w:val="22"/>
          <w:szCs w:val="22"/>
        </w:rPr>
        <w:t xml:space="preserve"> over three years</w:t>
      </w:r>
      <w:r w:rsidR="00D523F6">
        <w:rPr>
          <w:rFonts w:ascii="Times New Roman" w:hAnsi="Times New Roman"/>
          <w:spacing w:val="-3"/>
          <w:sz w:val="22"/>
          <w:szCs w:val="22"/>
        </w:rPr>
        <w:t>.</w:t>
      </w:r>
    </w:p>
    <w:p w:rsidR="00AD65C7" w:rsidRPr="00D829CE" w:rsidP="00AD65C7" w14:paraId="5F7D1941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AD65C7" w:rsidRPr="00D829CE" w:rsidP="00AD65C7" w14:paraId="5D3ECE65" w14:textId="229E0A6D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200 responses divided by </w:t>
      </w:r>
      <w:r w:rsidRPr="00D829CE">
        <w:rPr>
          <w:rFonts w:ascii="Times New Roman" w:hAnsi="Times New Roman"/>
          <w:spacing w:val="-3"/>
          <w:sz w:val="22"/>
          <w:szCs w:val="22"/>
        </w:rPr>
        <w:t>3</w:t>
      </w:r>
      <w:r>
        <w:rPr>
          <w:rFonts w:ascii="Times New Roman" w:hAnsi="Times New Roman"/>
          <w:spacing w:val="-3"/>
          <w:sz w:val="22"/>
          <w:szCs w:val="22"/>
        </w:rPr>
        <w:t xml:space="preserve"> years</w:t>
      </w:r>
      <w:r w:rsidR="00F37AB8">
        <w:rPr>
          <w:rFonts w:ascii="Times New Roman" w:hAnsi="Times New Roman"/>
          <w:spacing w:val="-3"/>
          <w:sz w:val="22"/>
          <w:szCs w:val="22"/>
        </w:rPr>
        <w:t xml:space="preserve"> = </w:t>
      </w:r>
      <w:r w:rsidR="0077132C">
        <w:rPr>
          <w:rFonts w:ascii="Times New Roman" w:hAnsi="Times New Roman"/>
          <w:spacing w:val="-3"/>
          <w:sz w:val="22"/>
          <w:szCs w:val="22"/>
        </w:rPr>
        <w:t>A</w:t>
      </w:r>
      <w:r w:rsidR="00F37AB8">
        <w:rPr>
          <w:rFonts w:ascii="Times New Roman" w:hAnsi="Times New Roman"/>
          <w:spacing w:val="-3"/>
          <w:sz w:val="22"/>
          <w:szCs w:val="22"/>
        </w:rPr>
        <w:t xml:space="preserve">pproximately </w:t>
      </w:r>
      <w:r w:rsidRPr="00D829CE" w:rsidR="001F382D">
        <w:rPr>
          <w:rFonts w:ascii="Times New Roman" w:hAnsi="Times New Roman"/>
          <w:spacing w:val="-3"/>
          <w:sz w:val="22"/>
          <w:szCs w:val="22"/>
        </w:rPr>
        <w:t>67 responses</w:t>
      </w:r>
      <w:r w:rsidR="00D523F6">
        <w:rPr>
          <w:rFonts w:ascii="Times New Roman" w:hAnsi="Times New Roman"/>
          <w:spacing w:val="-3"/>
          <w:sz w:val="22"/>
          <w:szCs w:val="22"/>
        </w:rPr>
        <w:t>.</w:t>
      </w:r>
    </w:p>
    <w:p w:rsidR="00D87CD6" w:rsidRPr="00D829CE" w:rsidP="00075A0D" w14:paraId="4D80D53A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D87CD6" w:rsidRPr="00D829CE" w:rsidP="00075A0D" w14:paraId="6280F86C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EF2C91">
        <w:rPr>
          <w:rFonts w:ascii="Times New Roman" w:hAnsi="Times New Roman"/>
          <w:spacing w:val="-3"/>
          <w:sz w:val="22"/>
          <w:szCs w:val="22"/>
        </w:rPr>
        <w:t>4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Annual hour burden per respondent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</w:t>
      </w:r>
      <w:r w:rsidRPr="00B73521" w:rsidR="002F3C13">
        <w:rPr>
          <w:rFonts w:ascii="Times New Roman" w:hAnsi="Times New Roman"/>
          <w:spacing w:val="-3"/>
          <w:sz w:val="22"/>
          <w:szCs w:val="22"/>
        </w:rPr>
        <w:t>1,3</w:t>
      </w:r>
      <w:r w:rsidR="00E77BDC">
        <w:rPr>
          <w:rFonts w:ascii="Times New Roman" w:hAnsi="Times New Roman"/>
          <w:spacing w:val="-3"/>
          <w:sz w:val="22"/>
          <w:szCs w:val="22"/>
        </w:rPr>
        <w:t>32</w:t>
      </w:r>
      <w:r w:rsidRPr="00B73521" w:rsidR="002F3C13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73521">
        <w:rPr>
          <w:rFonts w:ascii="Times New Roman" w:hAnsi="Times New Roman"/>
          <w:spacing w:val="-3"/>
          <w:sz w:val="22"/>
          <w:szCs w:val="22"/>
        </w:rPr>
        <w:t>hours</w:t>
      </w:r>
      <w:r w:rsidR="008462A3">
        <w:rPr>
          <w:rFonts w:ascii="Times New Roman" w:hAnsi="Times New Roman"/>
          <w:spacing w:val="-3"/>
          <w:sz w:val="22"/>
          <w:szCs w:val="22"/>
        </w:rPr>
        <w:t>.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="00D87CD6" w:rsidRPr="00D829CE" w:rsidP="00075A0D" w14:paraId="08C725B9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D87CD6" w:rsidRPr="00D829CE" w:rsidP="00D87CD6" w14:paraId="5AFEDF8E" w14:textId="3E64355A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estimates that carriers r</w:t>
      </w:r>
      <w:r w:rsidR="00A53C9E">
        <w:rPr>
          <w:rFonts w:ascii="Times New Roman" w:hAnsi="Times New Roman"/>
          <w:spacing w:val="-3"/>
          <w:sz w:val="22"/>
          <w:szCs w:val="22"/>
        </w:rPr>
        <w:t>e</w:t>
      </w:r>
      <w:r w:rsidR="0097348E">
        <w:rPr>
          <w:rFonts w:ascii="Times New Roman" w:hAnsi="Times New Roman"/>
          <w:spacing w:val="-3"/>
          <w:sz w:val="22"/>
          <w:szCs w:val="22"/>
        </w:rPr>
        <w:t xml:space="preserve">quire approximately 20 hours </w:t>
      </w:r>
      <w:r w:rsidR="004F07A8">
        <w:rPr>
          <w:rFonts w:ascii="Times New Roman" w:hAnsi="Times New Roman"/>
          <w:spacing w:val="-3"/>
          <w:sz w:val="22"/>
          <w:szCs w:val="22"/>
        </w:rPr>
        <w:t xml:space="preserve">to </w:t>
      </w:r>
      <w:r w:rsidRPr="003C1B8C" w:rsidR="003C1B8C">
        <w:rPr>
          <w:rFonts w:ascii="Times New Roman" w:hAnsi="Times New Roman"/>
          <w:spacing w:val="-3"/>
          <w:sz w:val="22"/>
          <w:szCs w:val="22"/>
        </w:rPr>
        <w:t xml:space="preserve">calculate the amount of </w:t>
      </w:r>
      <w:r w:rsidRPr="00D755D0" w:rsidR="00D755D0">
        <w:rPr>
          <w:rFonts w:ascii="Times New Roman" w:hAnsi="Times New Roman"/>
          <w:spacing w:val="-3"/>
          <w:sz w:val="22"/>
          <w:szCs w:val="22"/>
        </w:rPr>
        <w:t xml:space="preserve">general purpose computer </w:t>
      </w:r>
      <w:r w:rsidRPr="003C1B8C" w:rsidR="003C1B8C">
        <w:rPr>
          <w:rFonts w:ascii="Times New Roman" w:hAnsi="Times New Roman"/>
          <w:spacing w:val="-3"/>
          <w:sz w:val="22"/>
          <w:szCs w:val="22"/>
        </w:rPr>
        <w:t xml:space="preserve">investment to be allocated to the billing and collection </w:t>
      </w:r>
      <w:r w:rsidRPr="00B74021" w:rsidR="00B74021">
        <w:rPr>
          <w:rFonts w:ascii="Times New Roman" w:hAnsi="Times New Roman"/>
          <w:spacing w:val="-3"/>
          <w:sz w:val="22"/>
          <w:szCs w:val="22"/>
        </w:rPr>
        <w:t>category</w:t>
      </w:r>
      <w:r w:rsidRPr="00D829CE">
        <w:rPr>
          <w:rFonts w:ascii="Times New Roman" w:hAnsi="Times New Roman"/>
          <w:spacing w:val="-3"/>
          <w:sz w:val="22"/>
          <w:szCs w:val="22"/>
        </w:rPr>
        <w:t>.</w:t>
      </w:r>
    </w:p>
    <w:p w:rsidR="00983443" w:rsidP="00D87CD6" w14:paraId="7ED33102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D87CD6" w:rsidP="00690044" w14:paraId="070C258C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200</w:t>
      </w:r>
      <w:r w:rsidRPr="00B73521">
        <w:rPr>
          <w:rFonts w:ascii="Times New Roman" w:hAnsi="Times New Roman"/>
          <w:spacing w:val="-3"/>
          <w:sz w:val="22"/>
          <w:szCs w:val="22"/>
        </w:rPr>
        <w:t xml:space="preserve"> carriers x 20 hour</w:t>
      </w:r>
      <w:r w:rsidRPr="00B73521" w:rsidR="00010AC2">
        <w:rPr>
          <w:rFonts w:ascii="Times New Roman" w:hAnsi="Times New Roman"/>
          <w:spacing w:val="-3"/>
          <w:sz w:val="22"/>
          <w:szCs w:val="22"/>
        </w:rPr>
        <w:t>s</w:t>
      </w:r>
      <w:r w:rsidRPr="00B73521">
        <w:rPr>
          <w:rFonts w:ascii="Times New Roman" w:hAnsi="Times New Roman"/>
          <w:spacing w:val="-3"/>
          <w:sz w:val="22"/>
          <w:szCs w:val="22"/>
        </w:rPr>
        <w:t xml:space="preserve">/data filing </w:t>
      </w:r>
      <w:r w:rsidRPr="00B73521" w:rsidR="00B84971">
        <w:rPr>
          <w:rFonts w:ascii="Times New Roman" w:hAnsi="Times New Roman"/>
          <w:spacing w:val="-3"/>
          <w:sz w:val="22"/>
          <w:szCs w:val="22"/>
        </w:rPr>
        <w:t xml:space="preserve">x 0.333 </w:t>
      </w:r>
      <w:r w:rsidRPr="00B73521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9155E7">
        <w:rPr>
          <w:rFonts w:ascii="Times New Roman" w:hAnsi="Times New Roman"/>
          <w:b/>
          <w:spacing w:val="-3"/>
          <w:sz w:val="22"/>
          <w:szCs w:val="22"/>
        </w:rPr>
        <w:t>1</w:t>
      </w:r>
      <w:r w:rsidR="000939D3">
        <w:rPr>
          <w:rFonts w:ascii="Times New Roman" w:hAnsi="Times New Roman"/>
          <w:b/>
          <w:spacing w:val="-3"/>
          <w:sz w:val="22"/>
          <w:szCs w:val="22"/>
        </w:rPr>
        <w:t>,</w:t>
      </w:r>
      <w:r w:rsidRPr="00B73521" w:rsidR="009155E7">
        <w:rPr>
          <w:rFonts w:ascii="Times New Roman" w:hAnsi="Times New Roman"/>
          <w:b/>
          <w:spacing w:val="-3"/>
          <w:sz w:val="22"/>
          <w:szCs w:val="22"/>
        </w:rPr>
        <w:t>3</w:t>
      </w:r>
      <w:r w:rsidR="009155E7">
        <w:rPr>
          <w:rFonts w:ascii="Times New Roman" w:hAnsi="Times New Roman"/>
          <w:b/>
          <w:spacing w:val="-3"/>
          <w:sz w:val="22"/>
          <w:szCs w:val="22"/>
        </w:rPr>
        <w:t>32</w:t>
      </w:r>
      <w:r w:rsidRPr="00B73521" w:rsidR="009155E7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B73521" w:rsidR="00BF5BC1">
        <w:rPr>
          <w:rFonts w:ascii="Times New Roman" w:hAnsi="Times New Roman"/>
          <w:b/>
          <w:spacing w:val="-3"/>
          <w:sz w:val="22"/>
          <w:szCs w:val="22"/>
        </w:rPr>
        <w:t>hours</w:t>
      </w:r>
      <w:r w:rsidR="00D51854">
        <w:rPr>
          <w:rFonts w:ascii="Times New Roman" w:hAnsi="Times New Roman"/>
          <w:b/>
          <w:spacing w:val="-3"/>
          <w:sz w:val="22"/>
          <w:szCs w:val="22"/>
        </w:rPr>
        <w:t>.</w:t>
      </w:r>
    </w:p>
    <w:p w:rsidR="00690044" w:rsidRPr="00D829CE" w:rsidP="00690044" w14:paraId="78091D3C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b/>
          <w:spacing w:val="-3"/>
          <w:sz w:val="22"/>
          <w:szCs w:val="22"/>
        </w:rPr>
      </w:pPr>
    </w:p>
    <w:p w:rsidR="00BF5BC1" w:rsidRPr="00D829CE" w:rsidP="00075A0D" w14:paraId="10B37B8A" w14:textId="0CF31EE3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EF2C91">
        <w:rPr>
          <w:rFonts w:ascii="Times New Roman" w:hAnsi="Times New Roman"/>
          <w:spacing w:val="-3"/>
          <w:sz w:val="22"/>
          <w:szCs w:val="22"/>
        </w:rPr>
        <w:t>5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 xml:space="preserve">Total </w:t>
      </w:r>
      <w:r w:rsidR="00690044">
        <w:rPr>
          <w:rFonts w:ascii="Times New Roman" w:hAnsi="Times New Roman"/>
          <w:spacing w:val="-3"/>
          <w:sz w:val="22"/>
          <w:szCs w:val="22"/>
          <w:u w:val="single"/>
        </w:rPr>
        <w:t>In</w:t>
      </w:r>
      <w:r w:rsidR="00C73995">
        <w:rPr>
          <w:rFonts w:ascii="Times New Roman" w:hAnsi="Times New Roman"/>
          <w:spacing w:val="-3"/>
          <w:sz w:val="22"/>
          <w:szCs w:val="22"/>
          <w:u w:val="single"/>
        </w:rPr>
        <w:t>-</w:t>
      </w:r>
      <w:r w:rsidR="00690044">
        <w:rPr>
          <w:rFonts w:ascii="Times New Roman" w:hAnsi="Times New Roman"/>
          <w:spacing w:val="-3"/>
          <w:sz w:val="22"/>
          <w:szCs w:val="22"/>
          <w:u w:val="single"/>
        </w:rPr>
        <w:t>House</w:t>
      </w:r>
      <w:r w:rsidRPr="00D829CE" w:rsidR="0074725A">
        <w:rPr>
          <w:rFonts w:ascii="Times New Roman" w:hAnsi="Times New Roman"/>
          <w:spacing w:val="-3"/>
          <w:sz w:val="22"/>
          <w:szCs w:val="22"/>
          <w:u w:val="single"/>
        </w:rPr>
        <w:t xml:space="preserve"> Costs</w:t>
      </w:r>
      <w:r w:rsidRPr="00D829CE" w:rsidR="0074725A">
        <w:rPr>
          <w:rFonts w:ascii="Times New Roman" w:hAnsi="Times New Roman"/>
          <w:spacing w:val="-3"/>
          <w:sz w:val="22"/>
          <w:szCs w:val="22"/>
        </w:rPr>
        <w:t>: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63B3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C4D34">
        <w:rPr>
          <w:rFonts w:ascii="Times New Roman" w:hAnsi="Times New Roman"/>
          <w:b/>
          <w:spacing w:val="-3"/>
          <w:sz w:val="22"/>
          <w:szCs w:val="22"/>
        </w:rPr>
        <w:t>$</w:t>
      </w:r>
      <w:r w:rsidRPr="003E6E7D" w:rsidR="003E6E7D">
        <w:rPr>
          <w:rFonts w:ascii="Times New Roman" w:hAnsi="Times New Roman"/>
          <w:b/>
          <w:sz w:val="22"/>
          <w:szCs w:val="22"/>
        </w:rPr>
        <w:t>103,070.16</w:t>
      </w:r>
      <w:r w:rsidR="003C4D34">
        <w:rPr>
          <w:rFonts w:ascii="Times New Roman" w:hAnsi="Times New Roman"/>
          <w:sz w:val="22"/>
          <w:szCs w:val="22"/>
        </w:rPr>
        <w:t>.</w:t>
      </w:r>
    </w:p>
    <w:p w:rsidR="0074725A" w:rsidRPr="00D829CE" w:rsidP="00075A0D" w14:paraId="5097109C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</w:p>
    <w:p w:rsidR="00ED3EDD" w:rsidP="0074725A" w14:paraId="4E650258" w14:textId="329B72C9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The Commission e</w:t>
      </w:r>
      <w:r w:rsidRPr="00D829CE" w:rsidR="00BF5BC1">
        <w:rPr>
          <w:rFonts w:ascii="Times New Roman" w:hAnsi="Times New Roman"/>
          <w:sz w:val="22"/>
          <w:szCs w:val="22"/>
        </w:rPr>
        <w:t>stimate</w:t>
      </w:r>
      <w:r w:rsidRPr="00D829CE">
        <w:rPr>
          <w:rFonts w:ascii="Times New Roman" w:hAnsi="Times New Roman"/>
          <w:sz w:val="22"/>
          <w:szCs w:val="22"/>
        </w:rPr>
        <w:t>s</w:t>
      </w:r>
      <w:r w:rsidRPr="00D829CE" w:rsidR="00BF5BC1">
        <w:rPr>
          <w:rFonts w:ascii="Times New Roman" w:hAnsi="Times New Roman"/>
          <w:sz w:val="22"/>
          <w:szCs w:val="22"/>
        </w:rPr>
        <w:t xml:space="preserve"> that </w:t>
      </w:r>
      <w:r w:rsidRPr="00D829CE">
        <w:rPr>
          <w:rFonts w:ascii="Times New Roman" w:hAnsi="Times New Roman"/>
          <w:sz w:val="22"/>
          <w:szCs w:val="22"/>
        </w:rPr>
        <w:t>each respondent uses staff equivalent to a GS-1</w:t>
      </w:r>
      <w:r w:rsidRPr="00D829CE" w:rsidR="00FC51D2">
        <w:rPr>
          <w:rFonts w:ascii="Times New Roman" w:hAnsi="Times New Roman"/>
          <w:sz w:val="22"/>
          <w:szCs w:val="22"/>
        </w:rPr>
        <w:t>4/</w:t>
      </w:r>
      <w:r w:rsidRPr="00D829CE">
        <w:rPr>
          <w:rFonts w:ascii="Times New Roman" w:hAnsi="Times New Roman"/>
          <w:sz w:val="22"/>
          <w:szCs w:val="22"/>
        </w:rPr>
        <w:t xml:space="preserve">Step </w:t>
      </w:r>
      <w:r>
        <w:rPr>
          <w:rFonts w:ascii="Times New Roman" w:hAnsi="Times New Roman"/>
          <w:sz w:val="22"/>
          <w:szCs w:val="22"/>
        </w:rPr>
        <w:t xml:space="preserve">5 </w:t>
      </w:r>
      <w:r w:rsidRPr="00D829CE">
        <w:rPr>
          <w:rFonts w:ascii="Times New Roman" w:hAnsi="Times New Roman"/>
          <w:sz w:val="22"/>
          <w:szCs w:val="22"/>
        </w:rPr>
        <w:t>($</w:t>
      </w:r>
      <w:r w:rsidR="003E6E7D">
        <w:rPr>
          <w:rFonts w:ascii="Times New Roman" w:hAnsi="Times New Roman"/>
          <w:sz w:val="22"/>
          <w:szCs w:val="22"/>
        </w:rPr>
        <w:t>77.38</w:t>
      </w:r>
      <w:r w:rsidR="00690044">
        <w:rPr>
          <w:rFonts w:ascii="Times New Roman" w:hAnsi="Times New Roman"/>
          <w:sz w:val="22"/>
          <w:szCs w:val="22"/>
        </w:rPr>
        <w:t>/hour</w:t>
      </w:r>
      <w:r w:rsidRPr="00D829CE">
        <w:rPr>
          <w:rFonts w:ascii="Times New Roman" w:hAnsi="Times New Roman"/>
          <w:sz w:val="22"/>
          <w:szCs w:val="22"/>
        </w:rPr>
        <w:t>) Feder</w:t>
      </w:r>
      <w:r w:rsidR="00690044">
        <w:rPr>
          <w:rFonts w:ascii="Times New Roman" w:hAnsi="Times New Roman"/>
          <w:sz w:val="22"/>
          <w:szCs w:val="22"/>
        </w:rPr>
        <w:t>al employee</w:t>
      </w:r>
      <w:r>
        <w:rPr>
          <w:rFonts w:ascii="Times New Roman" w:hAnsi="Times New Roman"/>
          <w:sz w:val="22"/>
          <w:szCs w:val="22"/>
        </w:rPr>
        <w:t>.</w:t>
      </w:r>
    </w:p>
    <w:p w:rsidR="00ED3EDD" w:rsidP="0074725A" w14:paraId="1417C35C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</w:p>
    <w:p w:rsidR="00776138" w:rsidP="0074725A" w14:paraId="6EAE6EA5" w14:textId="66C22FC0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  <w:r w:rsidRPr="00B73521">
        <w:rPr>
          <w:rFonts w:ascii="Times New Roman" w:hAnsi="Times New Roman"/>
          <w:sz w:val="22"/>
          <w:szCs w:val="22"/>
        </w:rPr>
        <w:t>1</w:t>
      </w:r>
      <w:r w:rsidRPr="00B73521" w:rsidR="0074725A">
        <w:rPr>
          <w:rFonts w:ascii="Times New Roman" w:hAnsi="Times New Roman"/>
          <w:sz w:val="22"/>
          <w:szCs w:val="22"/>
        </w:rPr>
        <w:t>,</w:t>
      </w:r>
      <w:r w:rsidRPr="00B73521">
        <w:rPr>
          <w:rFonts w:ascii="Times New Roman" w:hAnsi="Times New Roman"/>
          <w:sz w:val="22"/>
          <w:szCs w:val="22"/>
        </w:rPr>
        <w:t>3</w:t>
      </w:r>
      <w:r w:rsidR="00723BE8">
        <w:rPr>
          <w:rFonts w:ascii="Times New Roman" w:hAnsi="Times New Roman"/>
          <w:sz w:val="22"/>
          <w:szCs w:val="22"/>
        </w:rPr>
        <w:t>32</w:t>
      </w:r>
      <w:r w:rsidRPr="00B73521" w:rsidR="0074725A">
        <w:rPr>
          <w:rFonts w:ascii="Times New Roman" w:hAnsi="Times New Roman"/>
          <w:sz w:val="22"/>
          <w:szCs w:val="22"/>
        </w:rPr>
        <w:t xml:space="preserve"> hours/</w:t>
      </w:r>
      <w:r w:rsidRPr="00B73521" w:rsidR="00155478">
        <w:rPr>
          <w:rFonts w:ascii="Times New Roman" w:hAnsi="Times New Roman"/>
          <w:sz w:val="22"/>
          <w:szCs w:val="22"/>
        </w:rPr>
        <w:t xml:space="preserve">annual </w:t>
      </w:r>
      <w:r w:rsidRPr="00B73521" w:rsidR="0043321C">
        <w:rPr>
          <w:rFonts w:ascii="Times New Roman" w:hAnsi="Times New Roman"/>
          <w:sz w:val="22"/>
          <w:szCs w:val="22"/>
        </w:rPr>
        <w:t>data filing x $</w:t>
      </w:r>
      <w:r w:rsidR="003E6E7D">
        <w:rPr>
          <w:rFonts w:ascii="Times New Roman" w:hAnsi="Times New Roman"/>
          <w:sz w:val="22"/>
          <w:szCs w:val="22"/>
        </w:rPr>
        <w:t>77.38</w:t>
      </w:r>
      <w:r w:rsidR="0047480F">
        <w:rPr>
          <w:rFonts w:ascii="Times New Roman" w:hAnsi="Times New Roman"/>
          <w:sz w:val="22"/>
          <w:szCs w:val="22"/>
        </w:rPr>
        <w:t xml:space="preserve"> </w:t>
      </w:r>
      <w:r w:rsidRPr="00B73521" w:rsidR="0074725A">
        <w:rPr>
          <w:rFonts w:ascii="Times New Roman" w:hAnsi="Times New Roman"/>
          <w:sz w:val="22"/>
          <w:szCs w:val="22"/>
        </w:rPr>
        <w:t>hour</w:t>
      </w:r>
      <w:r w:rsidRPr="00B73521" w:rsidR="00BF5BC1">
        <w:rPr>
          <w:rFonts w:ascii="Times New Roman" w:hAnsi="Times New Roman"/>
          <w:sz w:val="22"/>
          <w:szCs w:val="22"/>
        </w:rPr>
        <w:t xml:space="preserve"> </w:t>
      </w:r>
      <w:r w:rsidRPr="00B73521" w:rsidR="00BA20C2">
        <w:rPr>
          <w:rFonts w:ascii="Times New Roman" w:hAnsi="Times New Roman"/>
          <w:sz w:val="22"/>
          <w:szCs w:val="22"/>
        </w:rPr>
        <w:t xml:space="preserve">= </w:t>
      </w:r>
      <w:r w:rsidR="00433D1B">
        <w:rPr>
          <w:rFonts w:ascii="Times New Roman" w:hAnsi="Times New Roman"/>
          <w:sz w:val="22"/>
          <w:szCs w:val="22"/>
        </w:rPr>
        <w:t>$</w:t>
      </w:r>
      <w:r w:rsidR="003E6E7D">
        <w:rPr>
          <w:rFonts w:ascii="Times New Roman" w:hAnsi="Times New Roman"/>
          <w:sz w:val="22"/>
          <w:szCs w:val="22"/>
        </w:rPr>
        <w:t>103,070.16</w:t>
      </w:r>
      <w:r w:rsidR="003C4D34">
        <w:rPr>
          <w:rFonts w:ascii="Times New Roman" w:hAnsi="Times New Roman"/>
          <w:sz w:val="22"/>
          <w:szCs w:val="22"/>
        </w:rPr>
        <w:t>.</w:t>
      </w:r>
    </w:p>
    <w:p w:rsidR="00F50387" w:rsidP="00406B50" w14:paraId="2812E838" w14:textId="478A3219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</w:t>
      </w:r>
    </w:p>
    <w:p w:rsidR="004815B8" w:rsidRPr="00D829CE" w:rsidP="002A07D9" w14:paraId="786371B9" w14:textId="77777777">
      <w:pPr>
        <w:numPr>
          <w:ilvl w:val="0"/>
          <w:numId w:val="10"/>
        </w:numPr>
        <w:tabs>
          <w:tab w:val="left" w:pos="-720"/>
          <w:tab w:val="left" w:pos="360"/>
        </w:tabs>
        <w:suppressAutoHyphens/>
        <w:rPr>
          <w:rFonts w:ascii="Times New Roman" w:hAnsi="Times New Roman"/>
          <w:sz w:val="22"/>
          <w:szCs w:val="22"/>
        </w:rPr>
      </w:pPr>
      <w:r w:rsidRPr="00431DA4">
        <w:rPr>
          <w:rFonts w:ascii="Times New Roman" w:hAnsi="Times New Roman"/>
          <w:b/>
          <w:sz w:val="22"/>
          <w:szCs w:val="22"/>
          <w:u w:val="single"/>
        </w:rPr>
        <w:t>Transport and Special Access Deaveraging</w:t>
      </w:r>
      <w:r w:rsidRPr="00D829CE" w:rsidR="006168BE">
        <w:rPr>
          <w:rFonts w:ascii="Times New Roman" w:hAnsi="Times New Roman"/>
          <w:sz w:val="22"/>
          <w:szCs w:val="22"/>
        </w:rPr>
        <w:t>:</w:t>
      </w:r>
      <w:r w:rsidRPr="00D829CE">
        <w:rPr>
          <w:rFonts w:ascii="Times New Roman" w:hAnsi="Times New Roman"/>
          <w:sz w:val="22"/>
          <w:szCs w:val="22"/>
        </w:rPr>
        <w:t xml:space="preserve"> </w:t>
      </w:r>
      <w:r w:rsidRPr="00D829CE" w:rsidR="00CA0179">
        <w:rPr>
          <w:rFonts w:ascii="Times New Roman" w:hAnsi="Times New Roman"/>
          <w:sz w:val="22"/>
          <w:szCs w:val="22"/>
        </w:rPr>
        <w:t xml:space="preserve"> </w:t>
      </w:r>
    </w:p>
    <w:p w:rsidR="00C35C91" w:rsidRPr="00D829CE" w:rsidP="00C35C91" w14:paraId="1A0ECE0E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A2792D" w:rsidRPr="00D829CE" w:rsidP="00C35C91" w14:paraId="4503AEB3" w14:textId="509B739F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Number of respondents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457DFA">
        <w:rPr>
          <w:rFonts w:ascii="Times New Roman" w:hAnsi="Times New Roman"/>
          <w:spacing w:val="-3"/>
          <w:sz w:val="22"/>
          <w:szCs w:val="22"/>
        </w:rPr>
        <w:t xml:space="preserve">1 </w:t>
      </w:r>
      <w:r w:rsidRPr="00D829CE" w:rsidR="006E011B">
        <w:rPr>
          <w:rFonts w:ascii="Times New Roman" w:hAnsi="Times New Roman"/>
          <w:sz w:val="22"/>
          <w:szCs w:val="22"/>
        </w:rPr>
        <w:t>rate-of-return</w:t>
      </w:r>
      <w:r w:rsidRPr="00D829CE" w:rsidR="006E011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A9781C">
        <w:rPr>
          <w:rFonts w:ascii="Times New Roman" w:hAnsi="Times New Roman"/>
          <w:spacing w:val="-3"/>
          <w:sz w:val="22"/>
          <w:szCs w:val="22"/>
        </w:rPr>
        <w:t>carrier</w:t>
      </w:r>
      <w:r w:rsidR="000D6521">
        <w:rPr>
          <w:rFonts w:ascii="Times New Roman" w:hAnsi="Times New Roman"/>
          <w:spacing w:val="-3"/>
          <w:sz w:val="22"/>
          <w:szCs w:val="22"/>
        </w:rPr>
        <w:t>.</w:t>
      </w:r>
    </w:p>
    <w:p w:rsidR="00A2792D" w:rsidRPr="00D829CE" w:rsidP="00C35C91" w14:paraId="3951EB09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EB23DD" w:rsidRPr="00D829CE" w:rsidP="00C35C91" w14:paraId="16B2823A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Frequency of response</w:t>
      </w:r>
      <w:r w:rsidRPr="00D829CE">
        <w:rPr>
          <w:rFonts w:ascii="Times New Roman" w:hAnsi="Times New Roman"/>
          <w:spacing w:val="-3"/>
          <w:sz w:val="22"/>
          <w:szCs w:val="22"/>
        </w:rPr>
        <w:t>:  On occasion reporting requirements</w:t>
      </w:r>
      <w:r w:rsidR="000D6521">
        <w:rPr>
          <w:rFonts w:ascii="Times New Roman" w:hAnsi="Times New Roman"/>
          <w:spacing w:val="-3"/>
          <w:sz w:val="22"/>
          <w:szCs w:val="22"/>
        </w:rPr>
        <w:t>.</w:t>
      </w:r>
    </w:p>
    <w:p w:rsidR="00EB23DD" w:rsidRPr="00D829CE" w:rsidP="00C35C91" w14:paraId="593AA942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4815B8" w:rsidRPr="00D829CE" w:rsidP="00C35C91" w14:paraId="3A7C400A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>Each carrier has the option when it elects to file tariffs.</w:t>
      </w:r>
    </w:p>
    <w:p w:rsidR="009029E2" w:rsidRPr="00D829CE" w:rsidP="00C35C91" w14:paraId="4BB18B29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9029E2" w:rsidRPr="00D829CE" w:rsidP="00C35C91" w14:paraId="75348154" w14:textId="44D3E136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(3)</w:t>
      </w:r>
      <w:r w:rsidRPr="00D829CE">
        <w:rPr>
          <w:rFonts w:ascii="Times New Roman" w:hAnsi="Times New Roman"/>
          <w:spacing w:val="-3"/>
          <w:sz w:val="22"/>
          <w:szCs w:val="22"/>
        </w:rPr>
        <w:tab/>
      </w:r>
      <w:r w:rsidRPr="00D829CE" w:rsidR="00EB23DD">
        <w:rPr>
          <w:rFonts w:ascii="Times New Roman" w:hAnsi="Times New Roman"/>
          <w:spacing w:val="-3"/>
          <w:sz w:val="22"/>
          <w:szCs w:val="22"/>
          <w:u w:val="single"/>
        </w:rPr>
        <w:t>Total Number of Responses Annually</w:t>
      </w:r>
      <w:r w:rsidR="00A9781C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457DFA">
        <w:rPr>
          <w:rFonts w:ascii="Times New Roman" w:hAnsi="Times New Roman"/>
          <w:spacing w:val="-3"/>
          <w:sz w:val="22"/>
          <w:szCs w:val="22"/>
        </w:rPr>
        <w:t xml:space="preserve">1 </w:t>
      </w:r>
      <w:r w:rsidR="00A9781C">
        <w:rPr>
          <w:rFonts w:ascii="Times New Roman" w:hAnsi="Times New Roman"/>
          <w:spacing w:val="-3"/>
          <w:sz w:val="22"/>
          <w:szCs w:val="22"/>
        </w:rPr>
        <w:t>response</w:t>
      </w:r>
      <w:r w:rsidR="000D6521">
        <w:rPr>
          <w:rFonts w:ascii="Times New Roman" w:hAnsi="Times New Roman"/>
          <w:spacing w:val="-3"/>
          <w:sz w:val="22"/>
          <w:szCs w:val="22"/>
        </w:rPr>
        <w:t>.</w:t>
      </w:r>
    </w:p>
    <w:p w:rsidR="00A2792D" w:rsidRPr="00D829CE" w:rsidP="00C35C91" w14:paraId="7A5260C2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EB23DD" w:rsidRPr="00D829CE" w:rsidP="00EB23DD" w14:paraId="4556EC63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 xml:space="preserve">The Commission believes that each carrier elects to file </w:t>
      </w:r>
      <w:r w:rsidRPr="00D829CE">
        <w:rPr>
          <w:rFonts w:ascii="Times New Roman" w:hAnsi="Times New Roman"/>
          <w:sz w:val="22"/>
          <w:szCs w:val="22"/>
        </w:rPr>
        <w:t>tariffs implementing deaveraged transport and special access rates at least once annually.</w:t>
      </w:r>
    </w:p>
    <w:p w:rsidR="00EB23DD" w:rsidRPr="00D829CE" w:rsidP="00C35C91" w14:paraId="32B759D2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EB23DD" w:rsidRPr="00D829CE" w:rsidP="00C35C91" w14:paraId="3EFDAE8C" w14:textId="575B4CB2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4D06B2">
        <w:rPr>
          <w:rFonts w:ascii="Times New Roman" w:hAnsi="Times New Roman"/>
          <w:spacing w:val="-3"/>
          <w:sz w:val="22"/>
          <w:szCs w:val="22"/>
        </w:rPr>
        <w:t xml:space="preserve">1 </w:t>
      </w:r>
      <w:r>
        <w:rPr>
          <w:rFonts w:ascii="Times New Roman" w:hAnsi="Times New Roman"/>
          <w:spacing w:val="-3"/>
          <w:sz w:val="22"/>
          <w:szCs w:val="22"/>
        </w:rPr>
        <w:t>carrie</w:t>
      </w:r>
      <w:r w:rsidR="00F37AB8">
        <w:rPr>
          <w:rFonts w:ascii="Times New Roman" w:hAnsi="Times New Roman"/>
          <w:spacing w:val="-3"/>
          <w:sz w:val="22"/>
          <w:szCs w:val="22"/>
        </w:rPr>
        <w:t>r x 1 tariff filing/year</w:t>
      </w:r>
      <w:r w:rsidR="00A8116E">
        <w:rPr>
          <w:rFonts w:ascii="Times New Roman" w:hAnsi="Times New Roman"/>
          <w:spacing w:val="-3"/>
          <w:sz w:val="22"/>
          <w:szCs w:val="22"/>
        </w:rPr>
        <w:t xml:space="preserve"> = </w:t>
      </w:r>
      <w:r w:rsidR="004D06B2">
        <w:rPr>
          <w:rFonts w:ascii="Times New Roman" w:hAnsi="Times New Roman"/>
          <w:spacing w:val="-3"/>
          <w:sz w:val="22"/>
          <w:szCs w:val="22"/>
        </w:rPr>
        <w:t>1</w:t>
      </w:r>
      <w:r w:rsidR="00A8116E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r</w:t>
      </w:r>
      <w:r w:rsidRPr="00D829CE">
        <w:rPr>
          <w:rFonts w:ascii="Times New Roman" w:hAnsi="Times New Roman"/>
          <w:spacing w:val="-3"/>
          <w:sz w:val="22"/>
          <w:szCs w:val="22"/>
        </w:rPr>
        <w:t>esponse</w:t>
      </w:r>
      <w:r w:rsidR="000D6521">
        <w:rPr>
          <w:rFonts w:ascii="Times New Roman" w:hAnsi="Times New Roman"/>
          <w:spacing w:val="-3"/>
          <w:sz w:val="22"/>
          <w:szCs w:val="22"/>
        </w:rPr>
        <w:t>.</w:t>
      </w:r>
    </w:p>
    <w:p w:rsidR="00EB23DD" w:rsidRPr="00D829CE" w:rsidP="00C35C91" w14:paraId="251E01DC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9029E2" w:rsidRPr="00D829CE" w:rsidP="00C35C91" w14:paraId="0B3A15F7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(4)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Annual hour burden per respondent</w:t>
      </w:r>
      <w:r w:rsidR="00A8116E">
        <w:rPr>
          <w:rFonts w:ascii="Times New Roman" w:hAnsi="Times New Roman"/>
          <w:spacing w:val="-3"/>
          <w:sz w:val="22"/>
          <w:szCs w:val="22"/>
        </w:rPr>
        <w:t xml:space="preserve">: </w:t>
      </w:r>
    </w:p>
    <w:p w:rsidR="00B255E2" w:rsidRPr="00D829CE" w:rsidP="00C35C91" w14:paraId="4E694B51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9029E2" w:rsidRPr="00D829CE" w:rsidP="00C35C91" w14:paraId="387B512C" w14:textId="649A2CB1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 xml:space="preserve">The Commission estimates that respondents require approximately </w:t>
      </w:r>
      <w:r w:rsidRPr="00D829CE" w:rsidR="00196D34">
        <w:rPr>
          <w:rFonts w:ascii="Times New Roman" w:hAnsi="Times New Roman"/>
          <w:spacing w:val="-3"/>
          <w:sz w:val="22"/>
          <w:szCs w:val="22"/>
        </w:rPr>
        <w:t>90</w:t>
      </w:r>
      <w:r w:rsidRPr="00D829CE" w:rsidR="004815B8">
        <w:rPr>
          <w:rFonts w:ascii="Times New Roman" w:hAnsi="Times New Roman"/>
          <w:spacing w:val="-3"/>
          <w:sz w:val="22"/>
          <w:szCs w:val="22"/>
        </w:rPr>
        <w:t xml:space="preserve"> hours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to </w:t>
      </w:r>
      <w:r w:rsidR="004D06B2">
        <w:rPr>
          <w:rFonts w:ascii="Times New Roman" w:hAnsi="Times New Roman"/>
          <w:spacing w:val="-3"/>
          <w:sz w:val="22"/>
          <w:szCs w:val="22"/>
        </w:rPr>
        <w:t xml:space="preserve">develop </w:t>
      </w:r>
      <w:r w:rsidRPr="00D829CE">
        <w:rPr>
          <w:rFonts w:ascii="Times New Roman" w:hAnsi="Times New Roman"/>
          <w:spacing w:val="-3"/>
          <w:sz w:val="22"/>
          <w:szCs w:val="22"/>
        </w:rPr>
        <w:t>tariffs implementing deaveraged transport and special access rates</w:t>
      </w:r>
      <w:r w:rsidRPr="00D829CE" w:rsidR="004815B8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:rsidR="009029E2" w:rsidRPr="00D829CE" w:rsidP="00C35C91" w14:paraId="6DE5CA4A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4815B8" w:rsidRPr="00876616" w:rsidP="00C35C91" w14:paraId="238E79C3" w14:textId="741ECB32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536DAC">
        <w:rPr>
          <w:rFonts w:ascii="Times New Roman" w:hAnsi="Times New Roman"/>
          <w:spacing w:val="-3"/>
          <w:sz w:val="22"/>
          <w:szCs w:val="22"/>
        </w:rPr>
        <w:t>1</w:t>
      </w:r>
      <w:r w:rsidRPr="00D829CE" w:rsidR="00536DA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 w:rsidR="003D089F">
        <w:rPr>
          <w:rFonts w:ascii="Times New Roman" w:hAnsi="Times New Roman"/>
          <w:spacing w:val="-3"/>
          <w:sz w:val="22"/>
          <w:szCs w:val="22"/>
        </w:rPr>
        <w:t>carriers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 xml:space="preserve"> x 90 hours/tariff filing = </w:t>
      </w:r>
      <w:r w:rsidR="00536DAC">
        <w:rPr>
          <w:rFonts w:ascii="Times New Roman" w:hAnsi="Times New Roman"/>
          <w:b/>
          <w:spacing w:val="-3"/>
          <w:sz w:val="22"/>
          <w:szCs w:val="22"/>
        </w:rPr>
        <w:t>90</w:t>
      </w:r>
      <w:r w:rsidRPr="00876616" w:rsidR="00536DAC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876616">
        <w:rPr>
          <w:rFonts w:ascii="Times New Roman" w:hAnsi="Times New Roman"/>
          <w:b/>
          <w:spacing w:val="-3"/>
          <w:sz w:val="22"/>
          <w:szCs w:val="22"/>
        </w:rPr>
        <w:t>hours</w:t>
      </w:r>
      <w:r w:rsidR="00F34724">
        <w:rPr>
          <w:rFonts w:ascii="Times New Roman" w:hAnsi="Times New Roman"/>
          <w:b/>
          <w:spacing w:val="-3"/>
          <w:sz w:val="22"/>
          <w:szCs w:val="22"/>
        </w:rPr>
        <w:t>.</w:t>
      </w:r>
    </w:p>
    <w:p w:rsidR="009029E2" w:rsidRPr="00D829CE" w:rsidP="00C35C91" w14:paraId="2BE1F180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4815B8" w:rsidRPr="00D829CE" w:rsidP="004E17D8" w14:paraId="15FA962B" w14:textId="56F72BCB">
      <w:pPr>
        <w:tabs>
          <w:tab w:val="left" w:pos="-720"/>
          <w:tab w:val="left" w:pos="1080"/>
          <w:tab w:val="left" w:pos="225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>5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 w:rsidR="009029E2">
        <w:rPr>
          <w:rFonts w:ascii="Times New Roman" w:hAnsi="Times New Roman"/>
          <w:spacing w:val="-3"/>
          <w:sz w:val="22"/>
          <w:szCs w:val="22"/>
          <w:u w:val="single"/>
        </w:rPr>
        <w:t>T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 xml:space="preserve">otal </w:t>
      </w:r>
      <w:r w:rsidR="006D5B6D">
        <w:rPr>
          <w:rFonts w:ascii="Times New Roman" w:hAnsi="Times New Roman"/>
          <w:spacing w:val="-3"/>
          <w:sz w:val="22"/>
          <w:szCs w:val="22"/>
          <w:u w:val="single"/>
        </w:rPr>
        <w:t>In</w:t>
      </w:r>
      <w:r w:rsidR="00C73995">
        <w:rPr>
          <w:rFonts w:ascii="Times New Roman" w:hAnsi="Times New Roman"/>
          <w:spacing w:val="-3"/>
          <w:sz w:val="22"/>
          <w:szCs w:val="22"/>
          <w:u w:val="single"/>
        </w:rPr>
        <w:t>-</w:t>
      </w:r>
      <w:r w:rsidR="006D5B6D">
        <w:rPr>
          <w:rFonts w:ascii="Times New Roman" w:hAnsi="Times New Roman"/>
          <w:spacing w:val="-3"/>
          <w:sz w:val="22"/>
          <w:szCs w:val="22"/>
          <w:u w:val="single"/>
        </w:rPr>
        <w:t>House</w:t>
      </w:r>
      <w:r w:rsidRPr="00D829CE" w:rsidR="009029E2">
        <w:rPr>
          <w:rFonts w:ascii="Times New Roman" w:hAnsi="Times New Roman"/>
          <w:spacing w:val="-3"/>
          <w:sz w:val="22"/>
          <w:szCs w:val="22"/>
          <w:u w:val="single"/>
        </w:rPr>
        <w:t xml:space="preserve"> Costs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>: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8D7E7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A32A7" w:rsidR="008D7E7E">
        <w:rPr>
          <w:rFonts w:ascii="Times New Roman" w:hAnsi="Times New Roman"/>
          <w:b/>
          <w:spacing w:val="-3"/>
          <w:sz w:val="22"/>
          <w:szCs w:val="22"/>
        </w:rPr>
        <w:t>$</w:t>
      </w:r>
      <w:r w:rsidR="0031102F">
        <w:rPr>
          <w:rFonts w:ascii="Times New Roman" w:hAnsi="Times New Roman"/>
          <w:b/>
          <w:spacing w:val="-3"/>
          <w:sz w:val="22"/>
          <w:szCs w:val="22"/>
        </w:rPr>
        <w:t>6,964.20</w:t>
      </w:r>
      <w:r w:rsidR="001A32A7">
        <w:rPr>
          <w:rFonts w:ascii="Times New Roman" w:hAnsi="Times New Roman"/>
          <w:snapToGrid/>
          <w:sz w:val="22"/>
          <w:szCs w:val="22"/>
        </w:rPr>
        <w:t>.</w:t>
      </w:r>
    </w:p>
    <w:p w:rsidR="009029E2" w:rsidRPr="00D829CE" w:rsidP="00C35C91" w14:paraId="495F9ADB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</w:p>
    <w:p w:rsidR="005A5B5F" w:rsidP="009029E2" w14:paraId="73C495FA" w14:textId="6357F84A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 w:rsidRPr="00D829CE">
        <w:rPr>
          <w:rFonts w:ascii="Times New Roman" w:hAnsi="Times New Roman"/>
          <w:snapToGrid/>
          <w:sz w:val="22"/>
          <w:szCs w:val="22"/>
        </w:rPr>
        <w:t>The Commission e</w:t>
      </w:r>
      <w:r w:rsidRPr="00D829CE" w:rsidR="002A4340">
        <w:rPr>
          <w:rFonts w:ascii="Times New Roman" w:hAnsi="Times New Roman"/>
          <w:snapToGrid/>
          <w:sz w:val="22"/>
          <w:szCs w:val="22"/>
        </w:rPr>
        <w:t>stimate</w:t>
      </w:r>
      <w:r w:rsidRPr="00D829CE">
        <w:rPr>
          <w:rFonts w:ascii="Times New Roman" w:hAnsi="Times New Roman"/>
          <w:snapToGrid/>
          <w:sz w:val="22"/>
          <w:szCs w:val="22"/>
        </w:rPr>
        <w:t>s</w:t>
      </w:r>
      <w:r w:rsidRPr="00D829CE" w:rsidR="002A4340">
        <w:rPr>
          <w:rFonts w:ascii="Times New Roman" w:hAnsi="Times New Roman"/>
          <w:snapToGrid/>
          <w:sz w:val="22"/>
          <w:szCs w:val="22"/>
        </w:rPr>
        <w:t xml:space="preserve"> that </w:t>
      </w:r>
      <w:r w:rsidRPr="00D829CE">
        <w:rPr>
          <w:rFonts w:ascii="Times New Roman" w:hAnsi="Times New Roman"/>
          <w:snapToGrid/>
          <w:sz w:val="22"/>
          <w:szCs w:val="22"/>
        </w:rPr>
        <w:t>each c</w:t>
      </w:r>
      <w:r w:rsidRPr="00D829CE" w:rsidR="00620D45">
        <w:rPr>
          <w:rFonts w:ascii="Times New Roman" w:hAnsi="Times New Roman"/>
          <w:snapToGrid/>
          <w:sz w:val="22"/>
          <w:szCs w:val="22"/>
        </w:rPr>
        <w:t>arrier</w:t>
      </w:r>
      <w:r w:rsidRPr="00D829CE">
        <w:rPr>
          <w:rFonts w:ascii="Times New Roman" w:hAnsi="Times New Roman"/>
          <w:snapToGrid/>
          <w:sz w:val="22"/>
          <w:szCs w:val="22"/>
        </w:rPr>
        <w:t xml:space="preserve"> uses </w:t>
      </w:r>
      <w:r w:rsidRPr="00D829CE" w:rsidR="005357AC">
        <w:rPr>
          <w:rFonts w:ascii="Times New Roman" w:hAnsi="Times New Roman"/>
          <w:snapToGrid/>
          <w:sz w:val="22"/>
          <w:szCs w:val="22"/>
        </w:rPr>
        <w:t xml:space="preserve">staff </w:t>
      </w:r>
      <w:r w:rsidRPr="00D829CE">
        <w:rPr>
          <w:rFonts w:ascii="Times New Roman" w:hAnsi="Times New Roman"/>
          <w:snapToGrid/>
          <w:sz w:val="22"/>
          <w:szCs w:val="22"/>
        </w:rPr>
        <w:t>equivalent to a GS-1</w:t>
      </w:r>
      <w:r w:rsidRPr="00D829CE" w:rsidR="005F49D6">
        <w:rPr>
          <w:rFonts w:ascii="Times New Roman" w:hAnsi="Times New Roman"/>
          <w:snapToGrid/>
          <w:sz w:val="22"/>
          <w:szCs w:val="22"/>
        </w:rPr>
        <w:t>4/</w:t>
      </w:r>
      <w:r w:rsidRPr="00D829CE">
        <w:rPr>
          <w:rFonts w:ascii="Times New Roman" w:hAnsi="Times New Roman"/>
          <w:snapToGrid/>
          <w:sz w:val="22"/>
          <w:szCs w:val="22"/>
        </w:rPr>
        <w:t xml:space="preserve">Step </w:t>
      </w:r>
      <w:r w:rsidR="00ED3EDD">
        <w:rPr>
          <w:rFonts w:ascii="Times New Roman" w:hAnsi="Times New Roman"/>
          <w:snapToGrid/>
          <w:sz w:val="22"/>
          <w:szCs w:val="22"/>
        </w:rPr>
        <w:t xml:space="preserve">5 </w:t>
      </w:r>
      <w:r w:rsidRPr="00D829CE">
        <w:rPr>
          <w:rFonts w:ascii="Times New Roman" w:hAnsi="Times New Roman"/>
          <w:snapToGrid/>
          <w:sz w:val="22"/>
          <w:szCs w:val="22"/>
        </w:rPr>
        <w:t>($</w:t>
      </w:r>
      <w:r w:rsidR="0031102F">
        <w:rPr>
          <w:rFonts w:ascii="Times New Roman" w:hAnsi="Times New Roman"/>
          <w:snapToGrid/>
          <w:sz w:val="22"/>
          <w:szCs w:val="22"/>
        </w:rPr>
        <w:t>77.38</w:t>
      </w:r>
      <w:r w:rsidRPr="00D829CE" w:rsidR="00904F29">
        <w:rPr>
          <w:rFonts w:ascii="Times New Roman" w:hAnsi="Times New Roman"/>
          <w:snapToGrid/>
          <w:sz w:val="22"/>
          <w:szCs w:val="22"/>
        </w:rPr>
        <w:t>/</w:t>
      </w:r>
      <w:r w:rsidRPr="00D829CE">
        <w:rPr>
          <w:rFonts w:ascii="Times New Roman" w:hAnsi="Times New Roman"/>
          <w:snapToGrid/>
          <w:sz w:val="22"/>
          <w:szCs w:val="22"/>
        </w:rPr>
        <w:t>hour) Federal employee</w:t>
      </w:r>
      <w:r w:rsidRPr="00D829CE" w:rsidR="005357AC">
        <w:rPr>
          <w:rFonts w:ascii="Times New Roman" w:hAnsi="Times New Roman"/>
          <w:snapToGrid/>
          <w:sz w:val="22"/>
          <w:szCs w:val="22"/>
        </w:rPr>
        <w:t>.</w:t>
      </w:r>
      <w:r w:rsidRPr="00D829CE" w:rsidR="00620D45">
        <w:rPr>
          <w:rFonts w:ascii="Times New Roman" w:hAnsi="Times New Roman"/>
          <w:snapToGrid/>
          <w:sz w:val="22"/>
          <w:szCs w:val="22"/>
        </w:rPr>
        <w:t xml:space="preserve"> </w:t>
      </w:r>
    </w:p>
    <w:p w:rsidR="005A5B5F" w:rsidP="009029E2" w14:paraId="57BA9087" w14:textId="77777777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</w:p>
    <w:p w:rsidR="00620D45" w:rsidRPr="00D829CE" w:rsidP="009029E2" w14:paraId="2B477CDC" w14:textId="11172EB1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90</w:t>
      </w:r>
      <w:r w:rsidRPr="00D829CE">
        <w:rPr>
          <w:rFonts w:ascii="Times New Roman" w:hAnsi="Times New Roman"/>
          <w:snapToGrid/>
          <w:sz w:val="22"/>
          <w:szCs w:val="22"/>
        </w:rPr>
        <w:t xml:space="preserve"> </w:t>
      </w:r>
      <w:r w:rsidRPr="00D829CE" w:rsidR="009029E2">
        <w:rPr>
          <w:rFonts w:ascii="Times New Roman" w:hAnsi="Times New Roman"/>
          <w:snapToGrid/>
          <w:sz w:val="22"/>
          <w:szCs w:val="22"/>
        </w:rPr>
        <w:t>hours/deaveraged rate tariff fi</w:t>
      </w:r>
      <w:r w:rsidRPr="00D829CE" w:rsidR="000E1E3F">
        <w:rPr>
          <w:rFonts w:ascii="Times New Roman" w:hAnsi="Times New Roman"/>
          <w:snapToGrid/>
          <w:sz w:val="22"/>
          <w:szCs w:val="22"/>
        </w:rPr>
        <w:t>l</w:t>
      </w:r>
      <w:r w:rsidRPr="00D829CE" w:rsidR="009029E2">
        <w:rPr>
          <w:rFonts w:ascii="Times New Roman" w:hAnsi="Times New Roman"/>
          <w:snapToGrid/>
          <w:sz w:val="22"/>
          <w:szCs w:val="22"/>
        </w:rPr>
        <w:t>l</w:t>
      </w:r>
      <w:r w:rsidRPr="00D829CE" w:rsidR="000E1E3F">
        <w:rPr>
          <w:rFonts w:ascii="Times New Roman" w:hAnsi="Times New Roman"/>
          <w:snapToGrid/>
          <w:sz w:val="22"/>
          <w:szCs w:val="22"/>
        </w:rPr>
        <w:t>i</w:t>
      </w:r>
      <w:r w:rsidRPr="00D829CE" w:rsidR="009029E2">
        <w:rPr>
          <w:rFonts w:ascii="Times New Roman" w:hAnsi="Times New Roman"/>
          <w:snapToGrid/>
          <w:sz w:val="22"/>
          <w:szCs w:val="22"/>
        </w:rPr>
        <w:t>ngs x $</w:t>
      </w:r>
      <w:r w:rsidR="0031102F">
        <w:rPr>
          <w:rFonts w:ascii="Times New Roman" w:hAnsi="Times New Roman"/>
          <w:snapToGrid/>
          <w:sz w:val="22"/>
          <w:szCs w:val="22"/>
        </w:rPr>
        <w:t>77.38</w:t>
      </w:r>
      <w:r w:rsidRPr="00D829CE" w:rsidR="009029E2">
        <w:rPr>
          <w:rFonts w:ascii="Times New Roman" w:hAnsi="Times New Roman"/>
          <w:snapToGrid/>
          <w:sz w:val="22"/>
          <w:szCs w:val="22"/>
        </w:rPr>
        <w:t xml:space="preserve">/hour = </w:t>
      </w:r>
      <w:r w:rsidR="00F37AB8">
        <w:rPr>
          <w:rFonts w:ascii="Times New Roman" w:hAnsi="Times New Roman"/>
          <w:snapToGrid/>
          <w:sz w:val="22"/>
          <w:szCs w:val="22"/>
        </w:rPr>
        <w:t>$</w:t>
      </w:r>
      <w:r w:rsidR="0031102F">
        <w:rPr>
          <w:rFonts w:ascii="Times New Roman" w:hAnsi="Times New Roman"/>
          <w:snapToGrid/>
          <w:sz w:val="22"/>
          <w:szCs w:val="22"/>
        </w:rPr>
        <w:t>6,964.20</w:t>
      </w:r>
      <w:r w:rsidR="00406B50">
        <w:rPr>
          <w:rFonts w:ascii="Times New Roman" w:hAnsi="Times New Roman"/>
          <w:snapToGrid/>
          <w:sz w:val="22"/>
          <w:szCs w:val="22"/>
        </w:rPr>
        <w:t>.</w:t>
      </w:r>
    </w:p>
    <w:p w:rsidR="00BB2AD7" w:rsidP="00ED3EDD" w14:paraId="708DDA63" w14:textId="77777777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 w:rsidRPr="00D829CE">
        <w:rPr>
          <w:rFonts w:ascii="Times New Roman" w:hAnsi="Times New Roman"/>
          <w:snapToGrid/>
          <w:sz w:val="22"/>
          <w:szCs w:val="22"/>
        </w:rPr>
        <w:t xml:space="preserve">                                 </w:t>
      </w:r>
      <w:r w:rsidR="003F21C7">
        <w:rPr>
          <w:rFonts w:ascii="Times New Roman" w:hAnsi="Times New Roman"/>
          <w:snapToGrid/>
          <w:sz w:val="22"/>
          <w:szCs w:val="22"/>
        </w:rPr>
        <w:t xml:space="preserve">              </w:t>
      </w:r>
      <w:r w:rsidR="00ED3EDD">
        <w:rPr>
          <w:rFonts w:ascii="Times New Roman" w:hAnsi="Times New Roman"/>
          <w:snapToGrid/>
          <w:sz w:val="22"/>
          <w:szCs w:val="22"/>
        </w:rPr>
        <w:tab/>
      </w:r>
      <w:r w:rsidR="00ED3EDD">
        <w:rPr>
          <w:rFonts w:ascii="Times New Roman" w:hAnsi="Times New Roman"/>
          <w:snapToGrid/>
          <w:sz w:val="22"/>
          <w:szCs w:val="22"/>
        </w:rPr>
        <w:tab/>
      </w:r>
      <w:r w:rsidR="00ED3EDD">
        <w:rPr>
          <w:rFonts w:ascii="Times New Roman" w:hAnsi="Times New Roman"/>
          <w:snapToGrid/>
          <w:sz w:val="22"/>
          <w:szCs w:val="22"/>
        </w:rPr>
        <w:tab/>
      </w:r>
    </w:p>
    <w:p w:rsidR="009155E7" w:rsidRPr="009155E7" w:rsidP="00870192" w14:paraId="0CFFF956" w14:textId="603A0040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 w:rsidRPr="009155E7">
        <w:rPr>
          <w:rFonts w:ascii="Times New Roman" w:hAnsi="Times New Roman"/>
          <w:b/>
          <w:snapToGrid/>
          <w:sz w:val="22"/>
          <w:szCs w:val="22"/>
        </w:rPr>
        <w:tab/>
        <w:t xml:space="preserve">Total Number of Respondents: 200 + </w:t>
      </w:r>
      <w:r w:rsidR="00536DAC">
        <w:rPr>
          <w:rFonts w:ascii="Times New Roman" w:hAnsi="Times New Roman"/>
          <w:b/>
          <w:snapToGrid/>
          <w:sz w:val="22"/>
          <w:szCs w:val="22"/>
        </w:rPr>
        <w:t>1</w:t>
      </w:r>
      <w:r w:rsidRPr="009155E7" w:rsidR="00536DAC">
        <w:rPr>
          <w:rFonts w:ascii="Times New Roman" w:hAnsi="Times New Roman"/>
          <w:b/>
          <w:snapToGrid/>
          <w:sz w:val="22"/>
          <w:szCs w:val="22"/>
        </w:rPr>
        <w:t xml:space="preserve"> </w:t>
      </w:r>
      <w:r w:rsidRPr="009155E7">
        <w:rPr>
          <w:rFonts w:ascii="Times New Roman" w:hAnsi="Times New Roman"/>
          <w:b/>
          <w:snapToGrid/>
          <w:sz w:val="22"/>
          <w:szCs w:val="22"/>
        </w:rPr>
        <w:t>= 20</w:t>
      </w:r>
      <w:r w:rsidR="008B0ACD">
        <w:rPr>
          <w:rFonts w:ascii="Times New Roman" w:hAnsi="Times New Roman"/>
          <w:b/>
          <w:snapToGrid/>
          <w:sz w:val="22"/>
          <w:szCs w:val="22"/>
        </w:rPr>
        <w:t>1</w:t>
      </w:r>
      <w:r w:rsidRPr="009155E7">
        <w:rPr>
          <w:rFonts w:ascii="Times New Roman" w:hAnsi="Times New Roman"/>
          <w:b/>
          <w:snapToGrid/>
          <w:sz w:val="22"/>
          <w:szCs w:val="22"/>
        </w:rPr>
        <w:t xml:space="preserve"> respondents</w:t>
      </w:r>
      <w:r w:rsidR="00D523F6">
        <w:rPr>
          <w:rFonts w:ascii="Times New Roman" w:hAnsi="Times New Roman"/>
          <w:b/>
          <w:snapToGrid/>
          <w:sz w:val="22"/>
          <w:szCs w:val="22"/>
        </w:rPr>
        <w:t>.</w:t>
      </w:r>
    </w:p>
    <w:p w:rsidR="009155E7" w:rsidP="00870192" w14:paraId="530D04F9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ab/>
      </w:r>
    </w:p>
    <w:p w:rsidR="009155E7" w:rsidRPr="009155E7" w:rsidP="00CB0FA3" w14:paraId="3584AF28" w14:textId="125D2713">
      <w:pPr>
        <w:widowControl/>
        <w:rPr>
          <w:rFonts w:ascii="Times New Roman" w:hAnsi="Times New Roman"/>
          <w:b/>
          <w:snapToGrid/>
          <w:sz w:val="22"/>
          <w:szCs w:val="22"/>
        </w:rPr>
      </w:pPr>
      <w:r>
        <w:rPr>
          <w:rFonts w:ascii="Times New Roman" w:hAnsi="Times New Roman"/>
          <w:b/>
          <w:snapToGrid/>
          <w:sz w:val="22"/>
          <w:szCs w:val="22"/>
        </w:rPr>
        <w:t xml:space="preserve">       </w:t>
      </w:r>
      <w:r w:rsidRPr="009155E7" w:rsidR="005C354E">
        <w:rPr>
          <w:rFonts w:ascii="Times New Roman" w:hAnsi="Times New Roman"/>
          <w:b/>
          <w:snapToGrid/>
          <w:sz w:val="22"/>
          <w:szCs w:val="22"/>
        </w:rPr>
        <w:t>Total Number of Responses Annually:  67</w:t>
      </w:r>
      <w:r w:rsidR="00536DAC">
        <w:rPr>
          <w:rFonts w:ascii="Times New Roman" w:hAnsi="Times New Roman"/>
          <w:b/>
          <w:snapToGrid/>
          <w:sz w:val="22"/>
          <w:szCs w:val="22"/>
        </w:rPr>
        <w:t xml:space="preserve"> (200/3)</w:t>
      </w:r>
      <w:r w:rsidRPr="009155E7" w:rsidR="005C354E">
        <w:rPr>
          <w:rFonts w:ascii="Times New Roman" w:hAnsi="Times New Roman"/>
          <w:b/>
          <w:snapToGrid/>
          <w:sz w:val="22"/>
          <w:szCs w:val="22"/>
        </w:rPr>
        <w:t xml:space="preserve"> + </w:t>
      </w:r>
      <w:r w:rsidR="00536DAC">
        <w:rPr>
          <w:rFonts w:ascii="Times New Roman" w:hAnsi="Times New Roman"/>
          <w:b/>
          <w:snapToGrid/>
          <w:sz w:val="22"/>
          <w:szCs w:val="22"/>
        </w:rPr>
        <w:t>1</w:t>
      </w:r>
      <w:r w:rsidRPr="009155E7" w:rsidR="00536DAC">
        <w:rPr>
          <w:rFonts w:ascii="Times New Roman" w:hAnsi="Times New Roman"/>
          <w:b/>
          <w:snapToGrid/>
          <w:sz w:val="22"/>
          <w:szCs w:val="22"/>
        </w:rPr>
        <w:t xml:space="preserve"> </w:t>
      </w:r>
      <w:r w:rsidRPr="009155E7" w:rsidR="005C354E">
        <w:rPr>
          <w:rFonts w:ascii="Times New Roman" w:hAnsi="Times New Roman"/>
          <w:b/>
          <w:snapToGrid/>
          <w:sz w:val="22"/>
          <w:szCs w:val="22"/>
        </w:rPr>
        <w:t>= 6</w:t>
      </w:r>
      <w:r w:rsidR="00536DAC">
        <w:rPr>
          <w:rFonts w:ascii="Times New Roman" w:hAnsi="Times New Roman"/>
          <w:b/>
          <w:snapToGrid/>
          <w:sz w:val="22"/>
          <w:szCs w:val="22"/>
        </w:rPr>
        <w:t>8</w:t>
      </w:r>
      <w:r w:rsidRPr="009155E7" w:rsidR="005C354E">
        <w:rPr>
          <w:rFonts w:ascii="Times New Roman" w:hAnsi="Times New Roman"/>
          <w:b/>
          <w:snapToGrid/>
          <w:sz w:val="22"/>
          <w:szCs w:val="22"/>
        </w:rPr>
        <w:t xml:space="preserve"> responses</w:t>
      </w:r>
      <w:r w:rsidR="00D523F6">
        <w:rPr>
          <w:rFonts w:ascii="Times New Roman" w:hAnsi="Times New Roman"/>
          <w:b/>
          <w:snapToGrid/>
          <w:sz w:val="22"/>
          <w:szCs w:val="22"/>
        </w:rPr>
        <w:t>.</w:t>
      </w:r>
    </w:p>
    <w:p w:rsidR="009155E7" w:rsidP="00870192" w14:paraId="3E405E2F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</w:p>
    <w:p w:rsidR="009155E7" w:rsidP="00870192" w14:paraId="466A03F2" w14:textId="470C9BFF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 w:rsidRPr="00723BE8">
        <w:rPr>
          <w:rFonts w:ascii="Times New Roman" w:hAnsi="Times New Roman"/>
          <w:b/>
          <w:snapToGrid/>
          <w:sz w:val="22"/>
          <w:szCs w:val="22"/>
        </w:rPr>
        <w:tab/>
        <w:t xml:space="preserve">Total Annual Hourly Burden: 1,332 + </w:t>
      </w:r>
      <w:r w:rsidR="00536DAC">
        <w:rPr>
          <w:rFonts w:ascii="Times New Roman" w:hAnsi="Times New Roman"/>
          <w:b/>
          <w:snapToGrid/>
          <w:sz w:val="22"/>
          <w:szCs w:val="22"/>
        </w:rPr>
        <w:t>90</w:t>
      </w:r>
      <w:r w:rsidRPr="00723BE8" w:rsidR="00536DAC">
        <w:rPr>
          <w:rFonts w:ascii="Times New Roman" w:hAnsi="Times New Roman"/>
          <w:b/>
          <w:snapToGrid/>
          <w:sz w:val="22"/>
          <w:szCs w:val="22"/>
        </w:rPr>
        <w:t xml:space="preserve"> </w:t>
      </w:r>
      <w:r w:rsidRPr="00723BE8">
        <w:rPr>
          <w:rFonts w:ascii="Times New Roman" w:hAnsi="Times New Roman"/>
          <w:b/>
          <w:snapToGrid/>
          <w:sz w:val="22"/>
          <w:szCs w:val="22"/>
        </w:rPr>
        <w:t xml:space="preserve">= </w:t>
      </w:r>
      <w:r w:rsidR="00FF250B">
        <w:rPr>
          <w:rFonts w:ascii="Times New Roman" w:hAnsi="Times New Roman"/>
          <w:b/>
          <w:snapToGrid/>
          <w:sz w:val="22"/>
          <w:szCs w:val="22"/>
        </w:rPr>
        <w:t>1,422</w:t>
      </w:r>
      <w:r w:rsidRPr="00723BE8" w:rsidR="00723BE8">
        <w:rPr>
          <w:rFonts w:ascii="Times New Roman" w:hAnsi="Times New Roman"/>
          <w:b/>
          <w:snapToGrid/>
          <w:sz w:val="22"/>
          <w:szCs w:val="22"/>
        </w:rPr>
        <w:t xml:space="preserve"> hours</w:t>
      </w:r>
      <w:r w:rsidR="00D523F6">
        <w:rPr>
          <w:rFonts w:ascii="Times New Roman" w:hAnsi="Times New Roman"/>
          <w:b/>
          <w:snapToGrid/>
          <w:sz w:val="22"/>
          <w:szCs w:val="22"/>
        </w:rPr>
        <w:t>.</w:t>
      </w:r>
    </w:p>
    <w:p w:rsidR="00C73995" w:rsidP="00870192" w14:paraId="6C2630B4" w14:textId="77777777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</w:p>
    <w:p w:rsidR="00C73995" w:rsidRPr="00723BE8" w:rsidP="00870192" w14:paraId="102768C6" w14:textId="081A2156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>
        <w:rPr>
          <w:rFonts w:ascii="Times New Roman" w:hAnsi="Times New Roman"/>
          <w:b/>
          <w:snapToGrid/>
          <w:sz w:val="22"/>
          <w:szCs w:val="22"/>
        </w:rPr>
        <w:tab/>
        <w:t xml:space="preserve">Total In-House Costs:  </w:t>
      </w:r>
      <w:r w:rsidR="00ED656A">
        <w:rPr>
          <w:rFonts w:ascii="Times New Roman" w:hAnsi="Times New Roman"/>
          <w:b/>
          <w:snapToGrid/>
          <w:sz w:val="22"/>
          <w:szCs w:val="22"/>
        </w:rPr>
        <w:t>$</w:t>
      </w:r>
      <w:r w:rsidRPr="00005209" w:rsidR="00005209">
        <w:rPr>
          <w:rFonts w:ascii="Times New Roman" w:hAnsi="Times New Roman"/>
          <w:b/>
          <w:sz w:val="22"/>
          <w:szCs w:val="22"/>
        </w:rPr>
        <w:t>103,070.16</w:t>
      </w:r>
      <w:r w:rsidR="00005209">
        <w:rPr>
          <w:rFonts w:ascii="Times New Roman" w:hAnsi="Times New Roman"/>
          <w:b/>
          <w:sz w:val="22"/>
          <w:szCs w:val="22"/>
        </w:rPr>
        <w:t xml:space="preserve"> </w:t>
      </w:r>
      <w:r w:rsidR="00ED656A">
        <w:rPr>
          <w:rFonts w:ascii="Times New Roman" w:hAnsi="Times New Roman"/>
          <w:b/>
          <w:snapToGrid/>
          <w:sz w:val="22"/>
          <w:szCs w:val="22"/>
        </w:rPr>
        <w:t>+ $</w:t>
      </w:r>
      <w:r w:rsidR="00014DEC">
        <w:rPr>
          <w:rFonts w:ascii="Times New Roman" w:hAnsi="Times New Roman"/>
          <w:b/>
          <w:snapToGrid/>
          <w:sz w:val="22"/>
          <w:szCs w:val="22"/>
        </w:rPr>
        <w:t>6,964.20</w:t>
      </w:r>
      <w:r w:rsidR="00844B63">
        <w:rPr>
          <w:rFonts w:ascii="Times New Roman" w:hAnsi="Times New Roman"/>
          <w:b/>
          <w:snapToGrid/>
          <w:sz w:val="22"/>
          <w:szCs w:val="22"/>
        </w:rPr>
        <w:t xml:space="preserve"> </w:t>
      </w:r>
      <w:r w:rsidR="00ED656A">
        <w:rPr>
          <w:rFonts w:ascii="Times New Roman" w:hAnsi="Times New Roman"/>
          <w:b/>
          <w:snapToGrid/>
          <w:sz w:val="22"/>
          <w:szCs w:val="22"/>
        </w:rPr>
        <w:t>= $</w:t>
      </w:r>
      <w:r w:rsidR="00005209">
        <w:rPr>
          <w:rFonts w:ascii="Times New Roman" w:hAnsi="Times New Roman"/>
          <w:b/>
          <w:snapToGrid/>
          <w:sz w:val="22"/>
          <w:szCs w:val="22"/>
        </w:rPr>
        <w:t>110,034.36</w:t>
      </w:r>
      <w:r w:rsidR="002A6FEE">
        <w:rPr>
          <w:rFonts w:ascii="Times New Roman" w:hAnsi="Times New Roman"/>
          <w:b/>
          <w:snapToGrid/>
          <w:sz w:val="22"/>
          <w:szCs w:val="22"/>
        </w:rPr>
        <w:t>.</w:t>
      </w:r>
    </w:p>
    <w:p w:rsidR="00723BE8" w:rsidP="00870192" w14:paraId="52EB1F50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</w:p>
    <w:p w:rsidR="00FD5835" w:rsidRPr="00DC34D3" w:rsidP="00FD5835" w14:paraId="211D206C" w14:textId="77777777">
      <w:pPr>
        <w:tabs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13.</w:t>
      </w:r>
      <w:r w:rsidRPr="00DC34D3">
        <w:rPr>
          <w:rFonts w:ascii="Times New Roman" w:hAnsi="Times New Roman"/>
          <w:sz w:val="22"/>
          <w:szCs w:val="22"/>
        </w:rPr>
        <w:tab/>
        <w:t>Estimate of the total annual cost burden to respondents or record keepers resulting from the collection of information.</w:t>
      </w:r>
    </w:p>
    <w:p w:rsidR="00A8116E" w:rsidRPr="00DC34D3" w:rsidP="00FD5835" w14:paraId="75719956" w14:textId="77777777">
      <w:pPr>
        <w:tabs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</w:p>
    <w:p w:rsidR="00FD5835" w:rsidRPr="00DC34D3" w:rsidP="00FD5835" w14:paraId="22146ABC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 xml:space="preserve">(1) Total annualized capital/start-up costs:  $0.00. </w:t>
      </w:r>
    </w:p>
    <w:p w:rsidR="00FD5835" w:rsidRPr="00DC34D3" w:rsidP="00FD5835" w14:paraId="044F76C2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</w:p>
    <w:p w:rsidR="00FD5835" w:rsidRPr="00DC34D3" w:rsidP="00FD5835" w14:paraId="778B9663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ab/>
        <w:t>The collections will not require the purchase of additional equipment.</w:t>
      </w:r>
    </w:p>
    <w:p w:rsidR="00FD5835" w:rsidRPr="00DC34D3" w:rsidP="00FD5835" w14:paraId="411550B9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</w:p>
    <w:p w:rsidR="00DC34D3" w:rsidRPr="000A7CFB" w:rsidP="00F30299" w14:paraId="69C68D51" w14:textId="07CC0637">
      <w:pPr>
        <w:ind w:firstLine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(2)</w:t>
      </w:r>
      <w:r w:rsidR="009E5FD1">
        <w:rPr>
          <w:rFonts w:ascii="Times New Roman" w:hAnsi="Times New Roman"/>
          <w:sz w:val="22"/>
          <w:szCs w:val="22"/>
        </w:rPr>
        <w:t xml:space="preserve"> </w:t>
      </w:r>
      <w:r w:rsidRPr="00DC34D3" w:rsidR="00FD5835">
        <w:rPr>
          <w:rFonts w:ascii="Times New Roman" w:hAnsi="Times New Roman"/>
          <w:sz w:val="22"/>
          <w:szCs w:val="22"/>
        </w:rPr>
        <w:t xml:space="preserve">Total operation and maintenance and purchase of service component (O&amp;M) costs: </w:t>
      </w:r>
      <w:r w:rsidR="000A7CFB">
        <w:rPr>
          <w:rFonts w:ascii="Times New Roman" w:hAnsi="Times New Roman"/>
          <w:sz w:val="22"/>
          <w:szCs w:val="22"/>
        </w:rPr>
        <w:t xml:space="preserve"> </w:t>
      </w:r>
      <w:r w:rsidRPr="000F1150">
        <w:rPr>
          <w:rFonts w:ascii="Times New Roman" w:hAnsi="Times New Roman"/>
          <w:bCs/>
          <w:sz w:val="22"/>
          <w:szCs w:val="22"/>
        </w:rPr>
        <w:t>$</w:t>
      </w:r>
      <w:r w:rsidRPr="000F1150" w:rsidR="000F1150">
        <w:rPr>
          <w:rFonts w:ascii="Times New Roman" w:hAnsi="Times New Roman"/>
          <w:bCs/>
          <w:sz w:val="22"/>
          <w:szCs w:val="22"/>
        </w:rPr>
        <w:t>1,040</w:t>
      </w:r>
      <w:r w:rsidR="000F5A9B">
        <w:rPr>
          <w:rFonts w:ascii="Times New Roman" w:hAnsi="Times New Roman"/>
          <w:sz w:val="22"/>
          <w:szCs w:val="22"/>
        </w:rPr>
        <w:t>.</w:t>
      </w:r>
    </w:p>
    <w:p w:rsidR="00DC34D3" w:rsidP="00DC34D3" w14:paraId="01283A8A" w14:textId="77777777">
      <w:pPr>
        <w:ind w:left="720"/>
        <w:rPr>
          <w:rFonts w:ascii="Times New Roman" w:hAnsi="Times New Roman"/>
          <w:sz w:val="22"/>
          <w:szCs w:val="22"/>
        </w:rPr>
      </w:pPr>
    </w:p>
    <w:p w:rsidR="00FD5835" w:rsidP="00163B37" w14:paraId="7F5A7900" w14:textId="20464930">
      <w:pPr>
        <w:ind w:left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Respondents are subject to a tar</w:t>
      </w:r>
      <w:r w:rsidR="00543741">
        <w:rPr>
          <w:rFonts w:ascii="Times New Roman" w:hAnsi="Times New Roman"/>
          <w:sz w:val="22"/>
          <w:szCs w:val="22"/>
        </w:rPr>
        <w:t xml:space="preserve">iff filing fee of </w:t>
      </w:r>
      <w:r w:rsidR="00A67305">
        <w:rPr>
          <w:rFonts w:ascii="Times New Roman" w:hAnsi="Times New Roman"/>
          <w:sz w:val="22"/>
          <w:szCs w:val="22"/>
        </w:rPr>
        <w:t>$</w:t>
      </w:r>
      <w:r w:rsidRPr="001D6631" w:rsidR="001D6631">
        <w:rPr>
          <w:rFonts w:ascii="Times New Roman" w:hAnsi="Times New Roman"/>
          <w:sz w:val="22"/>
          <w:szCs w:val="22"/>
        </w:rPr>
        <w:t>1,040</w:t>
      </w:r>
      <w:r w:rsidR="00A67305">
        <w:rPr>
          <w:rFonts w:ascii="Times New Roman" w:hAnsi="Times New Roman"/>
          <w:sz w:val="22"/>
          <w:szCs w:val="22"/>
        </w:rPr>
        <w:t>.</w:t>
      </w:r>
    </w:p>
    <w:p w:rsidR="00DC34D3" w:rsidP="00DC34D3" w14:paraId="4CE0F008" w14:textId="77777777">
      <w:pPr>
        <w:pStyle w:val="MediumGrid1-Accent21"/>
        <w:rPr>
          <w:rFonts w:ascii="Times New Roman" w:hAnsi="Times New Roman"/>
          <w:sz w:val="22"/>
          <w:szCs w:val="22"/>
        </w:rPr>
      </w:pPr>
    </w:p>
    <w:p w:rsidR="00DD151B" w:rsidP="00DD151B" w14:paraId="6C655206" w14:textId="2BAE1BEF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Based on the above, </w:t>
      </w:r>
      <w:r w:rsidRPr="00DC34D3" w:rsidR="00FD5835">
        <w:rPr>
          <w:rFonts w:ascii="Times New Roman" w:hAnsi="Times New Roman"/>
          <w:sz w:val="22"/>
          <w:szCs w:val="22"/>
        </w:rPr>
        <w:t xml:space="preserve">we expect </w:t>
      </w:r>
      <w:r w:rsidR="00982105">
        <w:rPr>
          <w:rFonts w:ascii="Times New Roman" w:hAnsi="Times New Roman"/>
          <w:sz w:val="22"/>
          <w:szCs w:val="22"/>
        </w:rPr>
        <w:t xml:space="preserve">1 </w:t>
      </w:r>
      <w:r w:rsidRPr="00DC34D3" w:rsidR="00FD5835">
        <w:rPr>
          <w:rFonts w:ascii="Times New Roman" w:hAnsi="Times New Roman"/>
          <w:sz w:val="22"/>
          <w:szCs w:val="22"/>
        </w:rPr>
        <w:t xml:space="preserve">respondent to file </w:t>
      </w:r>
      <w:r>
        <w:rPr>
          <w:rFonts w:ascii="Times New Roman" w:hAnsi="Times New Roman"/>
          <w:sz w:val="22"/>
          <w:szCs w:val="22"/>
        </w:rPr>
        <w:t>appro</w:t>
      </w:r>
      <w:r w:rsidR="00A948DB">
        <w:rPr>
          <w:rFonts w:ascii="Times New Roman" w:hAnsi="Times New Roman"/>
          <w:sz w:val="22"/>
          <w:szCs w:val="22"/>
        </w:rPr>
        <w:t xml:space="preserve">ximately </w:t>
      </w:r>
      <w:r w:rsidR="00F701A8">
        <w:rPr>
          <w:rFonts w:ascii="Times New Roman" w:hAnsi="Times New Roman"/>
          <w:sz w:val="22"/>
          <w:szCs w:val="22"/>
        </w:rPr>
        <w:t xml:space="preserve">one </w:t>
      </w:r>
      <w:r w:rsidR="00A948DB">
        <w:rPr>
          <w:rFonts w:ascii="Times New Roman" w:hAnsi="Times New Roman"/>
          <w:sz w:val="22"/>
          <w:szCs w:val="22"/>
        </w:rPr>
        <w:t>tariff modification per year.</w:t>
      </w:r>
    </w:p>
    <w:p w:rsidR="00DD151B" w:rsidP="00DD151B" w14:paraId="06089855" w14:textId="77777777">
      <w:pPr>
        <w:ind w:left="720"/>
        <w:rPr>
          <w:rFonts w:ascii="Times New Roman" w:hAnsi="Times New Roman"/>
          <w:sz w:val="22"/>
          <w:szCs w:val="22"/>
        </w:rPr>
      </w:pPr>
    </w:p>
    <w:p w:rsidR="00FD5835" w:rsidRPr="00DC34D3" w:rsidP="00DD151B" w14:paraId="12C8BAF1" w14:textId="2C12D195">
      <w:pPr>
        <w:ind w:left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 xml:space="preserve"> </w:t>
      </w:r>
      <w:r w:rsidR="009608D2">
        <w:rPr>
          <w:rFonts w:ascii="Times New Roman" w:hAnsi="Times New Roman"/>
          <w:sz w:val="22"/>
          <w:szCs w:val="22"/>
        </w:rPr>
        <w:t>1</w:t>
      </w:r>
      <w:r w:rsidR="00DD151B">
        <w:rPr>
          <w:rFonts w:ascii="Times New Roman" w:hAnsi="Times New Roman"/>
          <w:sz w:val="22"/>
          <w:szCs w:val="22"/>
        </w:rPr>
        <w:t xml:space="preserve"> </w:t>
      </w:r>
      <w:r w:rsidRPr="00DC34D3">
        <w:rPr>
          <w:rFonts w:ascii="Times New Roman" w:hAnsi="Times New Roman"/>
          <w:sz w:val="22"/>
          <w:szCs w:val="22"/>
        </w:rPr>
        <w:t xml:space="preserve">respondent x </w:t>
      </w:r>
      <w:r w:rsidR="00F701A8">
        <w:rPr>
          <w:rFonts w:ascii="Times New Roman" w:hAnsi="Times New Roman"/>
          <w:sz w:val="22"/>
          <w:szCs w:val="22"/>
        </w:rPr>
        <w:t>1</w:t>
      </w:r>
      <w:r w:rsidR="00DC34D3">
        <w:rPr>
          <w:rFonts w:ascii="Times New Roman" w:hAnsi="Times New Roman"/>
          <w:sz w:val="22"/>
          <w:szCs w:val="22"/>
        </w:rPr>
        <w:t xml:space="preserve"> tariff modification</w:t>
      </w:r>
      <w:r w:rsidR="00543741">
        <w:rPr>
          <w:rFonts w:ascii="Times New Roman" w:hAnsi="Times New Roman"/>
          <w:sz w:val="22"/>
          <w:szCs w:val="22"/>
        </w:rPr>
        <w:t>/year</w:t>
      </w:r>
      <w:r w:rsidRPr="00DC34D3">
        <w:rPr>
          <w:rFonts w:ascii="Times New Roman" w:hAnsi="Times New Roman"/>
          <w:sz w:val="22"/>
          <w:szCs w:val="22"/>
        </w:rPr>
        <w:t xml:space="preserve"> x $</w:t>
      </w:r>
      <w:r w:rsidRPr="001D6631" w:rsidR="001D6631">
        <w:rPr>
          <w:rFonts w:ascii="Times New Roman" w:hAnsi="Times New Roman"/>
          <w:sz w:val="22"/>
          <w:szCs w:val="22"/>
        </w:rPr>
        <w:t>1,040</w:t>
      </w:r>
      <w:r w:rsidR="00543741">
        <w:rPr>
          <w:rFonts w:ascii="Times New Roman" w:hAnsi="Times New Roman"/>
          <w:sz w:val="22"/>
          <w:szCs w:val="22"/>
        </w:rPr>
        <w:t xml:space="preserve">/tariff filing fee = </w:t>
      </w:r>
      <w:r w:rsidR="00AE69EA">
        <w:rPr>
          <w:rFonts w:ascii="Times New Roman" w:hAnsi="Times New Roman"/>
          <w:sz w:val="22"/>
          <w:szCs w:val="22"/>
        </w:rPr>
        <w:t>$</w:t>
      </w:r>
      <w:r w:rsidR="000F1150">
        <w:rPr>
          <w:rFonts w:ascii="Times New Roman" w:hAnsi="Times New Roman"/>
          <w:sz w:val="22"/>
          <w:szCs w:val="22"/>
        </w:rPr>
        <w:t>1,040</w:t>
      </w:r>
      <w:r w:rsidR="000F5A9B">
        <w:rPr>
          <w:rFonts w:ascii="Times New Roman" w:hAnsi="Times New Roman"/>
          <w:sz w:val="22"/>
          <w:szCs w:val="22"/>
        </w:rPr>
        <w:t>.</w:t>
      </w:r>
    </w:p>
    <w:p w:rsidR="00163B37" w:rsidP="00163B37" w14:paraId="39B85CA9" w14:textId="77777777">
      <w:pPr>
        <w:rPr>
          <w:rFonts w:ascii="Times New Roman" w:hAnsi="Times New Roman"/>
          <w:sz w:val="22"/>
          <w:szCs w:val="22"/>
        </w:rPr>
      </w:pPr>
    </w:p>
    <w:p w:rsidR="00FD5835" w:rsidRPr="00DC34D3" w:rsidP="00163B37" w14:paraId="70C78034" w14:textId="30DAC62A">
      <w:pPr>
        <w:ind w:firstLine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To</w:t>
      </w:r>
      <w:r w:rsidR="00DC34D3">
        <w:rPr>
          <w:rFonts w:ascii="Times New Roman" w:hAnsi="Times New Roman"/>
          <w:sz w:val="22"/>
          <w:szCs w:val="22"/>
        </w:rPr>
        <w:t xml:space="preserve">tal annualized cost requested: </w:t>
      </w:r>
      <w:r w:rsidRPr="00163B37" w:rsidR="00732368">
        <w:rPr>
          <w:rFonts w:ascii="Times New Roman" w:hAnsi="Times New Roman"/>
          <w:b/>
          <w:sz w:val="22"/>
          <w:szCs w:val="22"/>
        </w:rPr>
        <w:t>$</w:t>
      </w:r>
      <w:r w:rsidR="000F1150">
        <w:rPr>
          <w:rFonts w:ascii="Times New Roman" w:hAnsi="Times New Roman"/>
          <w:b/>
          <w:sz w:val="22"/>
          <w:szCs w:val="22"/>
        </w:rPr>
        <w:t>1,040</w:t>
      </w:r>
      <w:r w:rsidR="00F94C4F">
        <w:rPr>
          <w:rFonts w:ascii="Times New Roman" w:hAnsi="Times New Roman"/>
          <w:b/>
          <w:sz w:val="22"/>
          <w:szCs w:val="22"/>
        </w:rPr>
        <w:t>.</w:t>
      </w:r>
    </w:p>
    <w:p w:rsidR="00FD5835" w:rsidRPr="00DC34D3" w:rsidP="00870192" w14:paraId="308E4FAA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5E930180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14.  There will be few, if any, costs to the Commission because</w:t>
      </w:r>
      <w:r w:rsidR="006D509D">
        <w:rPr>
          <w:rFonts w:ascii="Times New Roman" w:hAnsi="Times New Roman"/>
          <w:sz w:val="22"/>
          <w:szCs w:val="22"/>
        </w:rPr>
        <w:t xml:space="preserve"> tariff review is already part of the </w:t>
      </w:r>
      <w:r w:rsidRPr="00D829CE">
        <w:rPr>
          <w:rFonts w:ascii="Times New Roman" w:hAnsi="Times New Roman"/>
          <w:sz w:val="22"/>
          <w:szCs w:val="22"/>
        </w:rPr>
        <w:t>Commission</w:t>
      </w:r>
      <w:r w:rsidR="006D509D">
        <w:rPr>
          <w:rFonts w:ascii="Times New Roman" w:hAnsi="Times New Roman"/>
          <w:sz w:val="22"/>
          <w:szCs w:val="22"/>
        </w:rPr>
        <w:t>’s</w:t>
      </w:r>
      <w:r w:rsidRPr="00D829CE">
        <w:rPr>
          <w:rFonts w:ascii="Times New Roman" w:hAnsi="Times New Roman"/>
          <w:sz w:val="22"/>
          <w:szCs w:val="22"/>
        </w:rPr>
        <w:t xml:space="preserve"> duties. </w:t>
      </w:r>
    </w:p>
    <w:p w:rsidR="00BF5BC1" w:rsidRPr="00D829CE" w:rsidP="00870192" w14:paraId="48AD760C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3D1D1C" w:rsidP="003D1D1C" w14:paraId="41968F70" w14:textId="493233AE">
      <w:p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15. The </w:t>
      </w:r>
      <w:r w:rsidR="00F5181A">
        <w:rPr>
          <w:rFonts w:ascii="Times New Roman" w:hAnsi="Times New Roman"/>
          <w:sz w:val="22"/>
          <w:szCs w:val="22"/>
        </w:rPr>
        <w:t xml:space="preserve">Commission notes </w:t>
      </w:r>
      <w:r>
        <w:rPr>
          <w:rFonts w:ascii="Times New Roman" w:hAnsi="Times New Roman"/>
          <w:sz w:val="22"/>
          <w:szCs w:val="22"/>
        </w:rPr>
        <w:t xml:space="preserve">that since the previous submission, the tariff filing fee </w:t>
      </w:r>
      <w:r w:rsidR="0075023F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 xml:space="preserve">as </w:t>
      </w:r>
      <w:r w:rsidR="001D6631">
        <w:rPr>
          <w:rFonts w:ascii="Times New Roman" w:hAnsi="Times New Roman"/>
          <w:sz w:val="22"/>
          <w:szCs w:val="22"/>
        </w:rPr>
        <w:t xml:space="preserve">increased </w:t>
      </w:r>
      <w:r w:rsidR="00F94C4F">
        <w:rPr>
          <w:rFonts w:ascii="Times New Roman" w:hAnsi="Times New Roman"/>
          <w:sz w:val="22"/>
          <w:szCs w:val="22"/>
        </w:rPr>
        <w:t xml:space="preserve">from </w:t>
      </w:r>
      <w:r w:rsidR="0075023F">
        <w:rPr>
          <w:rFonts w:ascii="Times New Roman" w:hAnsi="Times New Roman"/>
          <w:sz w:val="22"/>
          <w:szCs w:val="22"/>
        </w:rPr>
        <w:t>$9</w:t>
      </w:r>
      <w:r w:rsidR="00FE1CA4">
        <w:rPr>
          <w:rFonts w:ascii="Times New Roman" w:hAnsi="Times New Roman"/>
          <w:sz w:val="22"/>
          <w:szCs w:val="22"/>
        </w:rPr>
        <w:t>60</w:t>
      </w:r>
      <w:r w:rsidR="00F94C4F">
        <w:rPr>
          <w:rFonts w:ascii="Times New Roman" w:hAnsi="Times New Roman"/>
          <w:sz w:val="22"/>
          <w:szCs w:val="22"/>
        </w:rPr>
        <w:t xml:space="preserve"> to $</w:t>
      </w:r>
      <w:r w:rsidRPr="001D6631" w:rsidR="001D6631">
        <w:rPr>
          <w:rFonts w:ascii="Times New Roman" w:hAnsi="Times New Roman"/>
          <w:sz w:val="22"/>
          <w:szCs w:val="22"/>
        </w:rPr>
        <w:t>1,040</w:t>
      </w:r>
      <w:r w:rsidR="0075023F">
        <w:rPr>
          <w:rFonts w:ascii="Times New Roman" w:hAnsi="Times New Roman"/>
          <w:sz w:val="22"/>
          <w:szCs w:val="22"/>
        </w:rPr>
        <w:t xml:space="preserve">. </w:t>
      </w:r>
      <w:r w:rsidR="009D250E">
        <w:rPr>
          <w:rFonts w:ascii="Times New Roman" w:hAnsi="Times New Roman"/>
          <w:sz w:val="22"/>
          <w:szCs w:val="22"/>
        </w:rPr>
        <w:t xml:space="preserve"> Despite th</w:t>
      </w:r>
      <w:r w:rsidR="00BD0533">
        <w:rPr>
          <w:rFonts w:ascii="Times New Roman" w:hAnsi="Times New Roman"/>
          <w:sz w:val="22"/>
          <w:szCs w:val="22"/>
        </w:rPr>
        <w:t>e</w:t>
      </w:r>
      <w:r w:rsidR="009D250E">
        <w:rPr>
          <w:rFonts w:ascii="Times New Roman" w:hAnsi="Times New Roman"/>
          <w:sz w:val="22"/>
          <w:szCs w:val="22"/>
        </w:rPr>
        <w:t xml:space="preserve"> increase</w:t>
      </w:r>
      <w:r w:rsidR="00BD0533">
        <w:rPr>
          <w:rFonts w:ascii="Times New Roman" w:hAnsi="Times New Roman"/>
          <w:sz w:val="22"/>
          <w:szCs w:val="22"/>
        </w:rPr>
        <w:t>d fee</w:t>
      </w:r>
      <w:r w:rsidR="009D250E">
        <w:rPr>
          <w:rFonts w:ascii="Times New Roman" w:hAnsi="Times New Roman"/>
          <w:sz w:val="22"/>
          <w:szCs w:val="22"/>
        </w:rPr>
        <w:t xml:space="preserve">, the total </w:t>
      </w:r>
      <w:r w:rsidR="00BD0533">
        <w:rPr>
          <w:rFonts w:ascii="Times New Roman" w:hAnsi="Times New Roman"/>
          <w:sz w:val="22"/>
          <w:szCs w:val="22"/>
        </w:rPr>
        <w:t>annual cost burden has decreased from $55,800 to $1,040 (-</w:t>
      </w:r>
      <w:r w:rsidR="001E79C2">
        <w:rPr>
          <w:rFonts w:ascii="Times New Roman" w:hAnsi="Times New Roman"/>
          <w:sz w:val="22"/>
          <w:szCs w:val="22"/>
        </w:rPr>
        <w:t>$</w:t>
      </w:r>
      <w:r w:rsidR="00B90345">
        <w:rPr>
          <w:rFonts w:ascii="Times New Roman" w:hAnsi="Times New Roman"/>
          <w:sz w:val="22"/>
          <w:szCs w:val="22"/>
        </w:rPr>
        <w:t xml:space="preserve">54,760) as </w:t>
      </w:r>
      <w:r w:rsidR="00696C18">
        <w:rPr>
          <w:rFonts w:ascii="Times New Roman" w:hAnsi="Times New Roman"/>
          <w:sz w:val="22"/>
          <w:szCs w:val="22"/>
        </w:rPr>
        <w:t>the</w:t>
      </w:r>
      <w:r w:rsidR="00B90345">
        <w:rPr>
          <w:rFonts w:ascii="Times New Roman" w:hAnsi="Times New Roman"/>
          <w:sz w:val="22"/>
          <w:szCs w:val="22"/>
        </w:rPr>
        <w:t xml:space="preserve"> result of a decrease in the </w:t>
      </w:r>
      <w:r w:rsidR="009D250E">
        <w:rPr>
          <w:rFonts w:ascii="Times New Roman" w:hAnsi="Times New Roman"/>
          <w:sz w:val="22"/>
          <w:szCs w:val="22"/>
        </w:rPr>
        <w:t>number of respondents filing tariffs</w:t>
      </w:r>
      <w:r w:rsidR="00696C18">
        <w:rPr>
          <w:rFonts w:ascii="Times New Roman" w:hAnsi="Times New Roman"/>
          <w:sz w:val="22"/>
          <w:szCs w:val="22"/>
        </w:rPr>
        <w:t xml:space="preserve"> </w:t>
      </w:r>
      <w:r w:rsidR="00906FA4">
        <w:rPr>
          <w:rFonts w:ascii="Times New Roman" w:hAnsi="Times New Roman"/>
          <w:sz w:val="22"/>
          <w:szCs w:val="22"/>
        </w:rPr>
        <w:t>from 202 to 201(-1)</w:t>
      </w:r>
      <w:r w:rsidR="00CA3CE0">
        <w:rPr>
          <w:rFonts w:ascii="Times New Roman" w:hAnsi="Times New Roman"/>
          <w:sz w:val="22"/>
          <w:szCs w:val="22"/>
        </w:rPr>
        <w:t xml:space="preserve">, </w:t>
      </w:r>
      <w:r w:rsidR="00696C18">
        <w:rPr>
          <w:rFonts w:ascii="Times New Roman" w:hAnsi="Times New Roman"/>
          <w:sz w:val="22"/>
          <w:szCs w:val="22"/>
        </w:rPr>
        <w:t>the number of tariff filings per year</w:t>
      </w:r>
      <w:r w:rsidR="00CA3CE0">
        <w:rPr>
          <w:rFonts w:ascii="Times New Roman" w:hAnsi="Times New Roman"/>
          <w:sz w:val="22"/>
          <w:szCs w:val="22"/>
        </w:rPr>
        <w:t xml:space="preserve"> decreased</w:t>
      </w:r>
      <w:r w:rsidR="00906FA4">
        <w:rPr>
          <w:rFonts w:ascii="Times New Roman" w:hAnsi="Times New Roman"/>
          <w:sz w:val="22"/>
          <w:szCs w:val="22"/>
        </w:rPr>
        <w:t xml:space="preserve"> from 69 to 68 (</w:t>
      </w:r>
      <w:r w:rsidR="00B40E8B">
        <w:rPr>
          <w:rFonts w:ascii="Times New Roman" w:hAnsi="Times New Roman"/>
          <w:sz w:val="22"/>
          <w:szCs w:val="22"/>
        </w:rPr>
        <w:t>-</w:t>
      </w:r>
      <w:r w:rsidR="00906FA4">
        <w:rPr>
          <w:rFonts w:ascii="Times New Roman" w:hAnsi="Times New Roman"/>
          <w:sz w:val="22"/>
          <w:szCs w:val="22"/>
        </w:rPr>
        <w:t>1)</w:t>
      </w:r>
      <w:r w:rsidR="00CA3CE0">
        <w:rPr>
          <w:rFonts w:ascii="Times New Roman" w:hAnsi="Times New Roman"/>
          <w:sz w:val="22"/>
          <w:szCs w:val="22"/>
        </w:rPr>
        <w:t xml:space="preserve"> and the number of </w:t>
      </w:r>
      <w:r w:rsidR="00E87B15">
        <w:rPr>
          <w:rFonts w:ascii="Times New Roman" w:hAnsi="Times New Roman"/>
          <w:sz w:val="22"/>
          <w:szCs w:val="22"/>
        </w:rPr>
        <w:t xml:space="preserve">annual </w:t>
      </w:r>
      <w:r w:rsidR="00CA3CE0">
        <w:rPr>
          <w:rFonts w:ascii="Times New Roman" w:hAnsi="Times New Roman"/>
          <w:sz w:val="22"/>
          <w:szCs w:val="22"/>
        </w:rPr>
        <w:t xml:space="preserve">burden hours decreased from </w:t>
      </w:r>
      <w:r w:rsidR="003E1581">
        <w:rPr>
          <w:rFonts w:ascii="Times New Roman" w:hAnsi="Times New Roman"/>
          <w:sz w:val="22"/>
          <w:szCs w:val="22"/>
        </w:rPr>
        <w:t>1,512 to 1,422 (-</w:t>
      </w:r>
      <w:r w:rsidR="00AC6262">
        <w:rPr>
          <w:rFonts w:ascii="Times New Roman" w:hAnsi="Times New Roman"/>
          <w:sz w:val="22"/>
          <w:szCs w:val="22"/>
        </w:rPr>
        <w:t>90)</w:t>
      </w:r>
      <w:r w:rsidR="00696C18">
        <w:rPr>
          <w:rFonts w:ascii="Times New Roman" w:hAnsi="Times New Roman"/>
          <w:sz w:val="22"/>
          <w:szCs w:val="22"/>
        </w:rPr>
        <w:t>.</w:t>
      </w:r>
      <w:r w:rsidR="009D250E">
        <w:rPr>
          <w:rFonts w:ascii="Times New Roman" w:hAnsi="Times New Roman"/>
          <w:sz w:val="22"/>
          <w:szCs w:val="22"/>
        </w:rPr>
        <w:t xml:space="preserve"> </w:t>
      </w:r>
    </w:p>
    <w:p w:rsidR="004A798C" w:rsidP="003D1D1C" w14:paraId="480996CD" w14:textId="77777777">
      <w:pPr>
        <w:rPr>
          <w:rFonts w:ascii="Times New Roman" w:hAnsi="Times New Roman"/>
          <w:sz w:val="22"/>
          <w:szCs w:val="22"/>
        </w:rPr>
      </w:pPr>
      <w:r w:rsidRPr="00EA6D0C">
        <w:rPr>
          <w:rFonts w:ascii="Times New Roman" w:hAnsi="Times New Roman"/>
          <w:sz w:val="22"/>
          <w:szCs w:val="22"/>
        </w:rPr>
        <w:t xml:space="preserve"> </w:t>
      </w:r>
      <w:r w:rsidR="003D1D1C">
        <w:rPr>
          <w:rFonts w:ascii="Times New Roman" w:hAnsi="Times New Roman"/>
          <w:sz w:val="22"/>
          <w:szCs w:val="22"/>
        </w:rPr>
        <w:tab/>
      </w:r>
      <w:r w:rsidR="003D1D1C">
        <w:rPr>
          <w:rFonts w:ascii="Times New Roman" w:hAnsi="Times New Roman"/>
          <w:sz w:val="22"/>
          <w:szCs w:val="22"/>
        </w:rPr>
        <w:tab/>
      </w:r>
    </w:p>
    <w:p w:rsidR="003D1D1C" w:rsidP="003D1D1C" w14:paraId="32EB0B84" w14:textId="77777777">
      <w:pPr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are no program changes.</w:t>
      </w:r>
    </w:p>
    <w:p w:rsidR="003D1D1C" w:rsidP="00187042" w14:paraId="7E25A702" w14:textId="77777777">
      <w:pPr>
        <w:ind w:left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0584F2B0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1E4584">
        <w:rPr>
          <w:rFonts w:ascii="Times New Roman" w:hAnsi="Times New Roman"/>
          <w:sz w:val="22"/>
          <w:szCs w:val="22"/>
        </w:rPr>
        <w:t xml:space="preserve">16. </w:t>
      </w:r>
      <w:r w:rsidR="008476AF">
        <w:rPr>
          <w:rFonts w:ascii="Times New Roman" w:hAnsi="Times New Roman"/>
          <w:sz w:val="22"/>
          <w:szCs w:val="22"/>
        </w:rPr>
        <w:t xml:space="preserve"> The information is not of a sensitive nature.  Carriers that submit information that they deem proprietary are instructed to label the information as such and submit it separately.</w:t>
      </w:r>
    </w:p>
    <w:p w:rsidR="00BF5BC1" w:rsidRPr="00D829CE" w:rsidP="00870192" w14:paraId="585F0042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A5122A" w14:paraId="4F99D844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1E4584">
        <w:rPr>
          <w:rFonts w:ascii="Times New Roman" w:hAnsi="Times New Roman"/>
          <w:sz w:val="22"/>
          <w:szCs w:val="22"/>
        </w:rPr>
        <w:t xml:space="preserve">17.  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>The Commission seeks continued</w:t>
      </w:r>
      <w:r w:rsidR="00AC17FD">
        <w:rPr>
          <w:rFonts w:ascii="Times New Roman" w:hAnsi="Times New Roman"/>
          <w:color w:val="000000"/>
          <w:sz w:val="22"/>
          <w:szCs w:val="22"/>
        </w:rPr>
        <w:t xml:space="preserve"> O</w:t>
      </w:r>
      <w:r w:rsidR="008020DD">
        <w:rPr>
          <w:rFonts w:ascii="Times New Roman" w:hAnsi="Times New Roman"/>
          <w:color w:val="000000"/>
          <w:sz w:val="22"/>
          <w:szCs w:val="22"/>
        </w:rPr>
        <w:t>M</w:t>
      </w:r>
      <w:r w:rsidR="00AC17FD">
        <w:rPr>
          <w:rFonts w:ascii="Times New Roman" w:hAnsi="Times New Roman"/>
          <w:color w:val="000000"/>
          <w:sz w:val="22"/>
          <w:szCs w:val="22"/>
        </w:rPr>
        <w:t>B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 xml:space="preserve"> approval not to display the expiration date for OMB approval</w:t>
      </w:r>
      <w:r w:rsidR="008020D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 xml:space="preserve">of the information collections. </w:t>
      </w:r>
      <w:r w:rsidR="00A90BC8">
        <w:rPr>
          <w:rFonts w:ascii="Times New Roman" w:hAnsi="Times New Roman"/>
          <w:sz w:val="22"/>
          <w:szCs w:val="22"/>
        </w:rPr>
        <w:tab/>
      </w:r>
    </w:p>
    <w:p w:rsidR="007E23AB" w:rsidP="002947D3" w14:paraId="5C0A7EF2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2947D3" w:rsidP="002947D3" w14:paraId="19B4E661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18</w:t>
      </w:r>
      <w:r w:rsidRPr="00CD01A6">
        <w:rPr>
          <w:rFonts w:ascii="Times New Roman" w:hAnsi="Times New Roman"/>
          <w:sz w:val="22"/>
          <w:szCs w:val="22"/>
        </w:rPr>
        <w:t xml:space="preserve">.  </w:t>
      </w:r>
      <w:r w:rsidR="00A21D3B">
        <w:rPr>
          <w:rFonts w:ascii="Times New Roman" w:hAnsi="Times New Roman"/>
          <w:sz w:val="22"/>
          <w:szCs w:val="22"/>
        </w:rPr>
        <w:t>There are no exceptions to the certification statement.</w:t>
      </w:r>
    </w:p>
    <w:p w:rsidR="00BB16D6" w:rsidP="002947D3" w14:paraId="4BF6D042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A90BC8" w:rsidP="002947D3" w14:paraId="56A05695" w14:textId="77777777">
      <w:pPr>
        <w:rPr>
          <w:rFonts w:ascii="Times New Roman" w:hAnsi="Times New Roman"/>
          <w:b/>
          <w:sz w:val="22"/>
          <w:szCs w:val="22"/>
          <w:u w:val="single"/>
        </w:rPr>
      </w:pPr>
      <w:r w:rsidRPr="00A90BC8">
        <w:rPr>
          <w:rFonts w:ascii="Times New Roman" w:hAnsi="Times New Roman"/>
          <w:b/>
          <w:sz w:val="22"/>
          <w:szCs w:val="22"/>
          <w:u w:val="single"/>
        </w:rPr>
        <w:t>B.  Collections of Information Employing Statistical Methods</w:t>
      </w:r>
      <w:r w:rsidRPr="00A90BC8" w:rsidR="005144C7">
        <w:rPr>
          <w:rFonts w:ascii="Times New Roman" w:hAnsi="Times New Roman"/>
          <w:b/>
          <w:sz w:val="22"/>
          <w:szCs w:val="22"/>
          <w:u w:val="single"/>
        </w:rPr>
        <w:t>:</w:t>
      </w:r>
      <w:r w:rsidRPr="00A90BC8">
        <w:rPr>
          <w:rFonts w:ascii="Times New Roman" w:hAnsi="Times New Roman"/>
          <w:b/>
          <w:sz w:val="22"/>
          <w:szCs w:val="22"/>
          <w:u w:val="single"/>
        </w:rPr>
        <w:t xml:space="preserve">  </w:t>
      </w:r>
    </w:p>
    <w:p w:rsidR="00DF019A" w:rsidP="00DF019A" w14:paraId="60266D77" w14:textId="77777777">
      <w:pPr>
        <w:rPr>
          <w:rFonts w:ascii="Times New Roman" w:hAnsi="Times New Roman"/>
          <w:b/>
          <w:sz w:val="22"/>
          <w:szCs w:val="22"/>
        </w:rPr>
      </w:pPr>
    </w:p>
    <w:p w:rsidR="00BF5BC1" w:rsidRPr="00D829CE" w:rsidP="00DF019A" w14:paraId="3D42582E" w14:textId="77777777">
      <w:pPr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The Commission does not anticipate that the collection of information will employ statistical methods.</w:t>
      </w:r>
    </w:p>
    <w:sectPr w:rsidSect="007A5938">
      <w:headerReference w:type="default" r:id="rId6"/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B196C" w14:paraId="57527E2D" w14:textId="77777777">
      <w:pPr>
        <w:spacing w:line="20" w:lineRule="exact"/>
      </w:pPr>
    </w:p>
  </w:endnote>
  <w:endnote w:type="continuationSeparator" w:id="1">
    <w:p w:rsidR="00EB196C" w14:paraId="561C601D" w14:textId="77777777">
      <w:r>
        <w:t xml:space="preserve"> </w:t>
      </w:r>
    </w:p>
  </w:endnote>
  <w:endnote w:type="continuationNotice" w:id="2">
    <w:p w:rsidR="00EB196C" w14:paraId="2C8EE2D1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6B2B" w14:paraId="5964614C" w14:textId="77777777">
    <w:pPr>
      <w:spacing w:before="140" w:line="100" w:lineRule="exact"/>
      <w:rPr>
        <w:sz w:val="10"/>
      </w:rPr>
    </w:pPr>
  </w:p>
  <w:p w:rsidR="009A6B2B" w14:paraId="7AF574C0" w14:textId="77777777"/>
  <w:p w:rsidR="009A6B2B" w14:paraId="358CE947" w14:textId="1553E9CC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880486099" name="Rectangle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B2B" w:rsidRPr="0094568A" w14:textId="77777777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tab/>
                          </w:r>
                          <w:r w:rsidRPr="0094568A"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 w:rsidRPr="0094568A">
                            <w:rPr>
                              <w:rFonts w:ascii="Times New Roman" w:hAnsi="Times New Roman"/>
                              <w:sz w:val="20"/>
                            </w:rPr>
                            <w:instrText>page \* arabic</w:instrText>
                          </w:r>
                          <w:r w:rsidRPr="0094568A"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 w:rsidR="003D141C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3</w:t>
                          </w:r>
                          <w:r w:rsidRPr="0094568A"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25" o:spid="_x0000_s2049" style="width:468pt;height:12pt;margin-top:12pt;margin-left:1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9A6B2B" w:rsidRPr="0094568A" w14:paraId="6DF748B9" w14:textId="77777777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z w:val="20"/>
                      </w:rPr>
                    </w:pPr>
                    <w:r>
                      <w:tab/>
                    </w:r>
                    <w:r w:rsidRPr="0094568A"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 w:rsidRPr="0094568A">
                      <w:rPr>
                        <w:rFonts w:ascii="Times New Roman" w:hAnsi="Times New Roman"/>
                        <w:sz w:val="20"/>
                      </w:rPr>
                      <w:instrText>page \* arabic</w:instrText>
                    </w:r>
                    <w:r w:rsidRPr="0094568A"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 w:rsidR="003D141C">
                      <w:rPr>
                        <w:rFonts w:ascii="Times New Roman" w:hAnsi="Times New Roman"/>
                        <w:noProof/>
                        <w:sz w:val="20"/>
                      </w:rPr>
                      <w:t>3</w:t>
                    </w:r>
                    <w:r w:rsidRPr="0094568A"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B196C" w14:paraId="79C50F16" w14:textId="77777777">
      <w:r>
        <w:separator/>
      </w:r>
    </w:p>
  </w:footnote>
  <w:footnote w:type="continuationSeparator" w:id="1">
    <w:p w:rsidR="00EB196C" w14:paraId="2358DB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65EB" w:rsidRPr="00406B50" w:rsidP="00406B50" w14:paraId="77BAD213" w14:textId="466F26CA">
    <w:pPr>
      <w:rPr>
        <w:rFonts w:ascii="Times New Roman" w:hAnsi="Times New Roman"/>
        <w:b/>
        <w:bCs/>
        <w:sz w:val="22"/>
        <w:szCs w:val="22"/>
      </w:rPr>
    </w:pPr>
    <w:r w:rsidRPr="00406B50">
      <w:rPr>
        <w:rFonts w:ascii="Times New Roman" w:hAnsi="Times New Roman"/>
        <w:b/>
        <w:bCs/>
        <w:sz w:val="22"/>
        <w:szCs w:val="22"/>
      </w:rPr>
      <w:t xml:space="preserve">Multi-Association Group (MAG) Plan Order, Parts 54 </w:t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  <w:t xml:space="preserve">        </w:t>
    </w:r>
    <w:r w:rsidR="00CB0FA3">
      <w:rPr>
        <w:rFonts w:ascii="Times New Roman" w:hAnsi="Times New Roman"/>
        <w:b/>
        <w:bCs/>
        <w:sz w:val="22"/>
        <w:szCs w:val="22"/>
      </w:rPr>
      <w:t xml:space="preserve"> </w:t>
    </w:r>
    <w:r w:rsidRPr="00406B50">
      <w:rPr>
        <w:rFonts w:ascii="Times New Roman" w:hAnsi="Times New Roman"/>
        <w:b/>
        <w:bCs/>
        <w:sz w:val="22"/>
        <w:szCs w:val="22"/>
      </w:rPr>
      <w:t xml:space="preserve">    </w:t>
    </w:r>
    <w:r w:rsidRPr="00406B50" w:rsidR="007F6610">
      <w:rPr>
        <w:rFonts w:ascii="Times New Roman" w:hAnsi="Times New Roman"/>
        <w:b/>
        <w:bCs/>
        <w:sz w:val="22"/>
        <w:szCs w:val="22"/>
      </w:rPr>
      <w:t xml:space="preserve"> </w:t>
    </w:r>
    <w:r w:rsidRPr="00406B50" w:rsidR="00406B50">
      <w:rPr>
        <w:rFonts w:ascii="Times New Roman" w:hAnsi="Times New Roman"/>
        <w:b/>
        <w:bCs/>
        <w:sz w:val="22"/>
        <w:szCs w:val="22"/>
      </w:rPr>
      <w:t xml:space="preserve">     </w:t>
    </w:r>
    <w:r w:rsidRPr="00406B50">
      <w:rPr>
        <w:rFonts w:ascii="Times New Roman" w:hAnsi="Times New Roman"/>
        <w:b/>
        <w:bCs/>
        <w:sz w:val="22"/>
        <w:szCs w:val="22"/>
      </w:rPr>
      <w:t>3060-0972</w:t>
    </w:r>
  </w:p>
  <w:p w:rsidR="00406B50" w:rsidRPr="00406B50" w:rsidP="00406B50" w14:paraId="4D48E00B" w14:textId="2CAAB117">
    <w:pPr>
      <w:rPr>
        <w:rFonts w:ascii="Times New Roman" w:hAnsi="Times New Roman"/>
        <w:b/>
        <w:bCs/>
        <w:sz w:val="22"/>
        <w:szCs w:val="22"/>
      </w:rPr>
    </w:pPr>
    <w:r w:rsidRPr="00406B50">
      <w:rPr>
        <w:rFonts w:ascii="Times New Roman" w:hAnsi="Times New Roman"/>
        <w:b/>
        <w:bCs/>
        <w:sz w:val="22"/>
        <w:szCs w:val="22"/>
      </w:rPr>
      <w:t>a</w:t>
    </w:r>
    <w:r w:rsidRPr="00406B50" w:rsidR="003F21C7">
      <w:rPr>
        <w:rFonts w:ascii="Times New Roman" w:hAnsi="Times New Roman"/>
        <w:b/>
        <w:bCs/>
        <w:sz w:val="22"/>
        <w:szCs w:val="22"/>
      </w:rPr>
      <w:t>nd 69 Filing Requirements for Regulation of Interstate</w:t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</w:r>
    <w:r w:rsidR="00DC2F74">
      <w:rPr>
        <w:rFonts w:ascii="Times New Roman" w:hAnsi="Times New Roman"/>
        <w:b/>
        <w:bCs/>
        <w:sz w:val="22"/>
        <w:szCs w:val="22"/>
      </w:rPr>
      <w:t xml:space="preserve">        </w:t>
    </w:r>
    <w:r w:rsidR="00CB0FA3">
      <w:rPr>
        <w:rFonts w:ascii="Times New Roman" w:hAnsi="Times New Roman"/>
        <w:b/>
        <w:bCs/>
        <w:sz w:val="22"/>
        <w:szCs w:val="22"/>
      </w:rPr>
      <w:t xml:space="preserve">  </w:t>
    </w:r>
    <w:r w:rsidR="00DC2F74">
      <w:rPr>
        <w:rFonts w:ascii="Times New Roman" w:hAnsi="Times New Roman"/>
        <w:b/>
        <w:bCs/>
        <w:sz w:val="22"/>
        <w:szCs w:val="22"/>
      </w:rPr>
      <w:t xml:space="preserve">November </w:t>
    </w:r>
    <w:r w:rsidR="007120ED">
      <w:rPr>
        <w:rFonts w:ascii="Times New Roman" w:hAnsi="Times New Roman"/>
        <w:b/>
        <w:bCs/>
        <w:sz w:val="22"/>
        <w:szCs w:val="22"/>
      </w:rPr>
      <w:t>2025</w:t>
    </w:r>
    <w:r w:rsidRPr="00406B50">
      <w:rPr>
        <w:rFonts w:ascii="Times New Roman" w:hAnsi="Times New Roman"/>
        <w:b/>
        <w:bCs/>
        <w:sz w:val="22"/>
        <w:szCs w:val="22"/>
      </w:rPr>
      <w:tab/>
    </w:r>
  </w:p>
  <w:p w:rsidR="00406B50" w:rsidRPr="00406B50" w:rsidP="003F21C7" w14:paraId="180DEE24" w14:textId="77777777">
    <w:pPr>
      <w:rPr>
        <w:rFonts w:ascii="Times New Roman" w:hAnsi="Times New Roman"/>
        <w:b/>
        <w:bCs/>
        <w:sz w:val="22"/>
        <w:szCs w:val="22"/>
      </w:rPr>
    </w:pPr>
    <w:r w:rsidRPr="00406B50">
      <w:rPr>
        <w:rFonts w:ascii="Times New Roman" w:hAnsi="Times New Roman"/>
        <w:b/>
        <w:bCs/>
        <w:sz w:val="22"/>
        <w:szCs w:val="22"/>
      </w:rPr>
      <w:t xml:space="preserve">Services of Non-Price Cap Incumbent Local Exchange </w:t>
    </w:r>
  </w:p>
  <w:p w:rsidR="003F21C7" w:rsidRPr="00406B50" w:rsidP="003F21C7" w14:paraId="728998D1" w14:textId="6975A1F5">
    <w:pPr>
      <w:rPr>
        <w:rFonts w:ascii="Times New Roman" w:hAnsi="Times New Roman"/>
        <w:b/>
        <w:bCs/>
        <w:sz w:val="22"/>
        <w:szCs w:val="22"/>
      </w:rPr>
    </w:pPr>
    <w:r w:rsidRPr="00406B50">
      <w:rPr>
        <w:rFonts w:ascii="Times New Roman" w:hAnsi="Times New Roman"/>
        <w:b/>
        <w:bCs/>
        <w:sz w:val="22"/>
        <w:szCs w:val="22"/>
      </w:rPr>
      <w:t>Carriers and Interexchange Carriers</w:t>
    </w:r>
    <w:r w:rsidRPr="00406B50" w:rsidR="009A6B2B">
      <w:rPr>
        <w:rFonts w:ascii="Times New Roman" w:hAnsi="Times New Roman"/>
        <w:b/>
        <w:bCs/>
        <w:sz w:val="22"/>
        <w:szCs w:val="22"/>
      </w:rPr>
      <w:t xml:space="preserve">       </w:t>
    </w:r>
  </w:p>
  <w:p w:rsidR="009A6B2B" w:rsidP="00DA25B9" w14:paraId="23B8839D" w14:textId="77777777">
    <w:pPr>
      <w:pStyle w:val="Header"/>
      <w:rPr>
        <w:rFonts w:ascii="Times New Roman" w:hAnsi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B112A0D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255206"/>
    <w:multiLevelType w:val="hybridMultilevel"/>
    <w:tmpl w:val="9752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300"/>
    <w:multiLevelType w:val="hybridMultilevel"/>
    <w:tmpl w:val="EE421390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C9383D"/>
    <w:multiLevelType w:val="hybridMultilevel"/>
    <w:tmpl w:val="4CA82E3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26F01"/>
    <w:multiLevelType w:val="hybridMultilevel"/>
    <w:tmpl w:val="38EABA5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C2669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5F7F74"/>
    <w:multiLevelType w:val="hybridMultilevel"/>
    <w:tmpl w:val="D3C47DE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2562F"/>
    <w:multiLevelType w:val="hybridMultilevel"/>
    <w:tmpl w:val="7EB219B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45399"/>
    <w:multiLevelType w:val="hybridMultilevel"/>
    <w:tmpl w:val="EC8081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433E7"/>
    <w:multiLevelType w:val="hybridMultilevel"/>
    <w:tmpl w:val="B3D0A85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C0E55"/>
    <w:multiLevelType w:val="hybridMultilevel"/>
    <w:tmpl w:val="8C981F9C"/>
    <w:lvl w:ilvl="0">
      <w:start w:val="5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5044">
    <w:abstractNumId w:val="5"/>
  </w:num>
  <w:num w:numId="2" w16cid:durableId="599414747">
    <w:abstractNumId w:val="2"/>
  </w:num>
  <w:num w:numId="3" w16cid:durableId="926042894">
    <w:abstractNumId w:val="6"/>
  </w:num>
  <w:num w:numId="4" w16cid:durableId="231819531">
    <w:abstractNumId w:val="1"/>
  </w:num>
  <w:num w:numId="5" w16cid:durableId="1729958643">
    <w:abstractNumId w:val="7"/>
  </w:num>
  <w:num w:numId="6" w16cid:durableId="792359112">
    <w:abstractNumId w:val="9"/>
  </w:num>
  <w:num w:numId="7" w16cid:durableId="1918127376">
    <w:abstractNumId w:val="10"/>
  </w:num>
  <w:num w:numId="8" w16cid:durableId="706221728">
    <w:abstractNumId w:val="0"/>
  </w:num>
  <w:num w:numId="9" w16cid:durableId="495801741">
    <w:abstractNumId w:val="4"/>
  </w:num>
  <w:num w:numId="10" w16cid:durableId="1383601477">
    <w:abstractNumId w:val="8"/>
  </w:num>
  <w:num w:numId="11" w16cid:durableId="105493434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B"/>
    <w:rsid w:val="00003396"/>
    <w:rsid w:val="00003421"/>
    <w:rsid w:val="0000354B"/>
    <w:rsid w:val="0000389F"/>
    <w:rsid w:val="00005209"/>
    <w:rsid w:val="00006373"/>
    <w:rsid w:val="00006F19"/>
    <w:rsid w:val="00007DF1"/>
    <w:rsid w:val="00010AC2"/>
    <w:rsid w:val="00011CA9"/>
    <w:rsid w:val="00011FFA"/>
    <w:rsid w:val="00012155"/>
    <w:rsid w:val="000129AB"/>
    <w:rsid w:val="0001338B"/>
    <w:rsid w:val="0001441C"/>
    <w:rsid w:val="00014DEC"/>
    <w:rsid w:val="00016C35"/>
    <w:rsid w:val="00016C70"/>
    <w:rsid w:val="000209C2"/>
    <w:rsid w:val="00020AD6"/>
    <w:rsid w:val="00020EF6"/>
    <w:rsid w:val="00022581"/>
    <w:rsid w:val="00023AEE"/>
    <w:rsid w:val="00025F0D"/>
    <w:rsid w:val="00026AEB"/>
    <w:rsid w:val="00030278"/>
    <w:rsid w:val="00032FB3"/>
    <w:rsid w:val="00034CA1"/>
    <w:rsid w:val="00035F58"/>
    <w:rsid w:val="00042061"/>
    <w:rsid w:val="0005081C"/>
    <w:rsid w:val="00051FBB"/>
    <w:rsid w:val="00052434"/>
    <w:rsid w:val="000532A6"/>
    <w:rsid w:val="000544CD"/>
    <w:rsid w:val="00056771"/>
    <w:rsid w:val="0006050A"/>
    <w:rsid w:val="00061434"/>
    <w:rsid w:val="00062DB7"/>
    <w:rsid w:val="000645AC"/>
    <w:rsid w:val="0006724B"/>
    <w:rsid w:val="00072920"/>
    <w:rsid w:val="0007476A"/>
    <w:rsid w:val="00075A0D"/>
    <w:rsid w:val="000761BD"/>
    <w:rsid w:val="00076413"/>
    <w:rsid w:val="00076BEB"/>
    <w:rsid w:val="00077549"/>
    <w:rsid w:val="00080B32"/>
    <w:rsid w:val="000811FA"/>
    <w:rsid w:val="00082B24"/>
    <w:rsid w:val="000844A9"/>
    <w:rsid w:val="00087569"/>
    <w:rsid w:val="000939D3"/>
    <w:rsid w:val="00093F28"/>
    <w:rsid w:val="00094921"/>
    <w:rsid w:val="00095B09"/>
    <w:rsid w:val="00096478"/>
    <w:rsid w:val="000968CD"/>
    <w:rsid w:val="0009712C"/>
    <w:rsid w:val="000A06A4"/>
    <w:rsid w:val="000A1FA2"/>
    <w:rsid w:val="000A34BC"/>
    <w:rsid w:val="000A3F69"/>
    <w:rsid w:val="000A5963"/>
    <w:rsid w:val="000A6FAD"/>
    <w:rsid w:val="000A7CE9"/>
    <w:rsid w:val="000A7CFB"/>
    <w:rsid w:val="000B0544"/>
    <w:rsid w:val="000B088A"/>
    <w:rsid w:val="000B0939"/>
    <w:rsid w:val="000B0959"/>
    <w:rsid w:val="000B1BC7"/>
    <w:rsid w:val="000B3F2F"/>
    <w:rsid w:val="000B52DC"/>
    <w:rsid w:val="000B5489"/>
    <w:rsid w:val="000B7265"/>
    <w:rsid w:val="000C00CC"/>
    <w:rsid w:val="000C0AA8"/>
    <w:rsid w:val="000C449E"/>
    <w:rsid w:val="000C4FE5"/>
    <w:rsid w:val="000C5F3A"/>
    <w:rsid w:val="000C78C3"/>
    <w:rsid w:val="000D09B8"/>
    <w:rsid w:val="000D0AB0"/>
    <w:rsid w:val="000D25D9"/>
    <w:rsid w:val="000D48C4"/>
    <w:rsid w:val="000D6521"/>
    <w:rsid w:val="000D6962"/>
    <w:rsid w:val="000D7223"/>
    <w:rsid w:val="000E03FF"/>
    <w:rsid w:val="000E1E3F"/>
    <w:rsid w:val="000E2001"/>
    <w:rsid w:val="000E2C0C"/>
    <w:rsid w:val="000E5B29"/>
    <w:rsid w:val="000E6C46"/>
    <w:rsid w:val="000E7C41"/>
    <w:rsid w:val="000F064D"/>
    <w:rsid w:val="000F1150"/>
    <w:rsid w:val="000F1EA3"/>
    <w:rsid w:val="000F24B9"/>
    <w:rsid w:val="000F5A9B"/>
    <w:rsid w:val="000F5AF2"/>
    <w:rsid w:val="000F5D80"/>
    <w:rsid w:val="000F6583"/>
    <w:rsid w:val="000F71DC"/>
    <w:rsid w:val="000F7596"/>
    <w:rsid w:val="0010264A"/>
    <w:rsid w:val="001033B5"/>
    <w:rsid w:val="00106028"/>
    <w:rsid w:val="001066A2"/>
    <w:rsid w:val="00110438"/>
    <w:rsid w:val="00110720"/>
    <w:rsid w:val="00110CA8"/>
    <w:rsid w:val="001113AC"/>
    <w:rsid w:val="001113D7"/>
    <w:rsid w:val="001117C9"/>
    <w:rsid w:val="00111D57"/>
    <w:rsid w:val="00114127"/>
    <w:rsid w:val="00114A62"/>
    <w:rsid w:val="001174D7"/>
    <w:rsid w:val="00117EF0"/>
    <w:rsid w:val="00120C4E"/>
    <w:rsid w:val="00121F13"/>
    <w:rsid w:val="00122F7D"/>
    <w:rsid w:val="00124194"/>
    <w:rsid w:val="00124AB1"/>
    <w:rsid w:val="00125205"/>
    <w:rsid w:val="0012525D"/>
    <w:rsid w:val="00131A41"/>
    <w:rsid w:val="00132C62"/>
    <w:rsid w:val="001343AE"/>
    <w:rsid w:val="001364B8"/>
    <w:rsid w:val="00136843"/>
    <w:rsid w:val="001405BB"/>
    <w:rsid w:val="0014213E"/>
    <w:rsid w:val="00145564"/>
    <w:rsid w:val="00146A71"/>
    <w:rsid w:val="00146BAA"/>
    <w:rsid w:val="00154669"/>
    <w:rsid w:val="00155478"/>
    <w:rsid w:val="001559B0"/>
    <w:rsid w:val="001561E9"/>
    <w:rsid w:val="001603B2"/>
    <w:rsid w:val="00160D41"/>
    <w:rsid w:val="00163B37"/>
    <w:rsid w:val="001667A8"/>
    <w:rsid w:val="00166E08"/>
    <w:rsid w:val="00174A87"/>
    <w:rsid w:val="00177538"/>
    <w:rsid w:val="001803EC"/>
    <w:rsid w:val="00180738"/>
    <w:rsid w:val="001852D0"/>
    <w:rsid w:val="0018647D"/>
    <w:rsid w:val="00186849"/>
    <w:rsid w:val="00186E4F"/>
    <w:rsid w:val="00187042"/>
    <w:rsid w:val="00187F90"/>
    <w:rsid w:val="001904E7"/>
    <w:rsid w:val="00190DBA"/>
    <w:rsid w:val="00191204"/>
    <w:rsid w:val="0019498A"/>
    <w:rsid w:val="00196B9F"/>
    <w:rsid w:val="00196D34"/>
    <w:rsid w:val="00197B8C"/>
    <w:rsid w:val="001A12AE"/>
    <w:rsid w:val="001A32A7"/>
    <w:rsid w:val="001A401B"/>
    <w:rsid w:val="001A484B"/>
    <w:rsid w:val="001A50AD"/>
    <w:rsid w:val="001A55CB"/>
    <w:rsid w:val="001A5792"/>
    <w:rsid w:val="001A5C81"/>
    <w:rsid w:val="001A6156"/>
    <w:rsid w:val="001A62F3"/>
    <w:rsid w:val="001B0800"/>
    <w:rsid w:val="001B2EA1"/>
    <w:rsid w:val="001B5EFA"/>
    <w:rsid w:val="001C0FB3"/>
    <w:rsid w:val="001C1F06"/>
    <w:rsid w:val="001C5C90"/>
    <w:rsid w:val="001D0ECF"/>
    <w:rsid w:val="001D1C37"/>
    <w:rsid w:val="001D3459"/>
    <w:rsid w:val="001D447A"/>
    <w:rsid w:val="001D4C1D"/>
    <w:rsid w:val="001D6631"/>
    <w:rsid w:val="001D7847"/>
    <w:rsid w:val="001E0A24"/>
    <w:rsid w:val="001E1B21"/>
    <w:rsid w:val="001E4584"/>
    <w:rsid w:val="001E79C2"/>
    <w:rsid w:val="001F0164"/>
    <w:rsid w:val="001F0D8B"/>
    <w:rsid w:val="001F3128"/>
    <w:rsid w:val="001F3432"/>
    <w:rsid w:val="001F382D"/>
    <w:rsid w:val="001F3ED2"/>
    <w:rsid w:val="001F517F"/>
    <w:rsid w:val="001F66AC"/>
    <w:rsid w:val="00200506"/>
    <w:rsid w:val="002008EC"/>
    <w:rsid w:val="002033D3"/>
    <w:rsid w:val="00203D00"/>
    <w:rsid w:val="00204971"/>
    <w:rsid w:val="00205E72"/>
    <w:rsid w:val="00206C0F"/>
    <w:rsid w:val="00207833"/>
    <w:rsid w:val="00207E10"/>
    <w:rsid w:val="00211328"/>
    <w:rsid w:val="002114BC"/>
    <w:rsid w:val="002125E5"/>
    <w:rsid w:val="002135CB"/>
    <w:rsid w:val="00217F5C"/>
    <w:rsid w:val="00220D8E"/>
    <w:rsid w:val="00221745"/>
    <w:rsid w:val="00222011"/>
    <w:rsid w:val="00222112"/>
    <w:rsid w:val="00222B05"/>
    <w:rsid w:val="002232B6"/>
    <w:rsid w:val="00226F3C"/>
    <w:rsid w:val="0022792B"/>
    <w:rsid w:val="00227E05"/>
    <w:rsid w:val="002328DD"/>
    <w:rsid w:val="002331D8"/>
    <w:rsid w:val="00236EFE"/>
    <w:rsid w:val="00240891"/>
    <w:rsid w:val="002410B6"/>
    <w:rsid w:val="00241185"/>
    <w:rsid w:val="0024406B"/>
    <w:rsid w:val="00250553"/>
    <w:rsid w:val="00250A41"/>
    <w:rsid w:val="00251F32"/>
    <w:rsid w:val="0025363A"/>
    <w:rsid w:val="00254AEB"/>
    <w:rsid w:val="00254C18"/>
    <w:rsid w:val="00256929"/>
    <w:rsid w:val="00256F16"/>
    <w:rsid w:val="002603A5"/>
    <w:rsid w:val="00261908"/>
    <w:rsid w:val="00261AC5"/>
    <w:rsid w:val="00261EF3"/>
    <w:rsid w:val="0026579D"/>
    <w:rsid w:val="00265C92"/>
    <w:rsid w:val="00267475"/>
    <w:rsid w:val="002679C0"/>
    <w:rsid w:val="00270118"/>
    <w:rsid w:val="002720B2"/>
    <w:rsid w:val="00272FA7"/>
    <w:rsid w:val="00273F23"/>
    <w:rsid w:val="0027586C"/>
    <w:rsid w:val="00277AEF"/>
    <w:rsid w:val="002804A0"/>
    <w:rsid w:val="00280B53"/>
    <w:rsid w:val="00281148"/>
    <w:rsid w:val="00281CB4"/>
    <w:rsid w:val="002824FB"/>
    <w:rsid w:val="00283030"/>
    <w:rsid w:val="002853D0"/>
    <w:rsid w:val="00285EAF"/>
    <w:rsid w:val="00286319"/>
    <w:rsid w:val="0028703A"/>
    <w:rsid w:val="002871DA"/>
    <w:rsid w:val="002872FC"/>
    <w:rsid w:val="00294216"/>
    <w:rsid w:val="002947D3"/>
    <w:rsid w:val="00295CA5"/>
    <w:rsid w:val="002967EA"/>
    <w:rsid w:val="00296D72"/>
    <w:rsid w:val="002977E2"/>
    <w:rsid w:val="002A04A0"/>
    <w:rsid w:val="002A07D9"/>
    <w:rsid w:val="002A2F33"/>
    <w:rsid w:val="002A4340"/>
    <w:rsid w:val="002A4A0B"/>
    <w:rsid w:val="002A58A9"/>
    <w:rsid w:val="002A667D"/>
    <w:rsid w:val="002A69AC"/>
    <w:rsid w:val="002A6FEE"/>
    <w:rsid w:val="002B0F33"/>
    <w:rsid w:val="002B1113"/>
    <w:rsid w:val="002B36C1"/>
    <w:rsid w:val="002B6877"/>
    <w:rsid w:val="002B6D77"/>
    <w:rsid w:val="002B73BD"/>
    <w:rsid w:val="002B7877"/>
    <w:rsid w:val="002C057B"/>
    <w:rsid w:val="002C1AC7"/>
    <w:rsid w:val="002C4325"/>
    <w:rsid w:val="002C4A8C"/>
    <w:rsid w:val="002C65B8"/>
    <w:rsid w:val="002C6FA4"/>
    <w:rsid w:val="002C7889"/>
    <w:rsid w:val="002C7AB8"/>
    <w:rsid w:val="002C7C68"/>
    <w:rsid w:val="002D1422"/>
    <w:rsid w:val="002D427C"/>
    <w:rsid w:val="002D50AC"/>
    <w:rsid w:val="002E565C"/>
    <w:rsid w:val="002E6F7B"/>
    <w:rsid w:val="002E7001"/>
    <w:rsid w:val="002E7AC2"/>
    <w:rsid w:val="002F37F0"/>
    <w:rsid w:val="002F3C13"/>
    <w:rsid w:val="002F4424"/>
    <w:rsid w:val="002F4775"/>
    <w:rsid w:val="002F490E"/>
    <w:rsid w:val="002F5B4F"/>
    <w:rsid w:val="002F661D"/>
    <w:rsid w:val="00300479"/>
    <w:rsid w:val="00300EDA"/>
    <w:rsid w:val="00303734"/>
    <w:rsid w:val="00305E8D"/>
    <w:rsid w:val="00306D24"/>
    <w:rsid w:val="003071C9"/>
    <w:rsid w:val="00307464"/>
    <w:rsid w:val="003077DC"/>
    <w:rsid w:val="00307DFC"/>
    <w:rsid w:val="00310AB0"/>
    <w:rsid w:val="0031102F"/>
    <w:rsid w:val="00311579"/>
    <w:rsid w:val="0031516D"/>
    <w:rsid w:val="00317CF1"/>
    <w:rsid w:val="00320CA2"/>
    <w:rsid w:val="003252A6"/>
    <w:rsid w:val="00325A56"/>
    <w:rsid w:val="003269B6"/>
    <w:rsid w:val="00326B43"/>
    <w:rsid w:val="0032707F"/>
    <w:rsid w:val="0033030C"/>
    <w:rsid w:val="00333C30"/>
    <w:rsid w:val="00340597"/>
    <w:rsid w:val="003405C2"/>
    <w:rsid w:val="00340C87"/>
    <w:rsid w:val="00343E58"/>
    <w:rsid w:val="00347BA4"/>
    <w:rsid w:val="003500FE"/>
    <w:rsid w:val="00350233"/>
    <w:rsid w:val="00350537"/>
    <w:rsid w:val="00351BE2"/>
    <w:rsid w:val="00353495"/>
    <w:rsid w:val="00353A91"/>
    <w:rsid w:val="0035434F"/>
    <w:rsid w:val="003553ED"/>
    <w:rsid w:val="0035617D"/>
    <w:rsid w:val="00357378"/>
    <w:rsid w:val="003578FB"/>
    <w:rsid w:val="0036448D"/>
    <w:rsid w:val="00364AF3"/>
    <w:rsid w:val="003654E9"/>
    <w:rsid w:val="00367098"/>
    <w:rsid w:val="00370B22"/>
    <w:rsid w:val="00371648"/>
    <w:rsid w:val="00371B99"/>
    <w:rsid w:val="0037363B"/>
    <w:rsid w:val="00374A38"/>
    <w:rsid w:val="00374B87"/>
    <w:rsid w:val="0037510B"/>
    <w:rsid w:val="00377387"/>
    <w:rsid w:val="00377C6D"/>
    <w:rsid w:val="00380DAC"/>
    <w:rsid w:val="00382C2C"/>
    <w:rsid w:val="00383D5A"/>
    <w:rsid w:val="0038501F"/>
    <w:rsid w:val="003853B5"/>
    <w:rsid w:val="003859B9"/>
    <w:rsid w:val="00390335"/>
    <w:rsid w:val="00390CF1"/>
    <w:rsid w:val="00392605"/>
    <w:rsid w:val="003938A7"/>
    <w:rsid w:val="00395E43"/>
    <w:rsid w:val="003A1E3A"/>
    <w:rsid w:val="003A2213"/>
    <w:rsid w:val="003A7EF3"/>
    <w:rsid w:val="003B0964"/>
    <w:rsid w:val="003B0C10"/>
    <w:rsid w:val="003B1828"/>
    <w:rsid w:val="003B1AD0"/>
    <w:rsid w:val="003B2522"/>
    <w:rsid w:val="003B3099"/>
    <w:rsid w:val="003B46DE"/>
    <w:rsid w:val="003B5F66"/>
    <w:rsid w:val="003B7A12"/>
    <w:rsid w:val="003C0F02"/>
    <w:rsid w:val="003C1B8C"/>
    <w:rsid w:val="003C4D34"/>
    <w:rsid w:val="003C761E"/>
    <w:rsid w:val="003D089F"/>
    <w:rsid w:val="003D141C"/>
    <w:rsid w:val="003D1B01"/>
    <w:rsid w:val="003D1D1C"/>
    <w:rsid w:val="003D2963"/>
    <w:rsid w:val="003D3582"/>
    <w:rsid w:val="003D5A97"/>
    <w:rsid w:val="003D5BFD"/>
    <w:rsid w:val="003D6EB5"/>
    <w:rsid w:val="003D7906"/>
    <w:rsid w:val="003E10D3"/>
    <w:rsid w:val="003E1581"/>
    <w:rsid w:val="003E3B0F"/>
    <w:rsid w:val="003E3C81"/>
    <w:rsid w:val="003E5327"/>
    <w:rsid w:val="003E53BF"/>
    <w:rsid w:val="003E6094"/>
    <w:rsid w:val="003E6E7D"/>
    <w:rsid w:val="003F0470"/>
    <w:rsid w:val="003F124E"/>
    <w:rsid w:val="003F17DD"/>
    <w:rsid w:val="003F21C7"/>
    <w:rsid w:val="003F2A65"/>
    <w:rsid w:val="003F384F"/>
    <w:rsid w:val="003F38F2"/>
    <w:rsid w:val="003F3E64"/>
    <w:rsid w:val="003F72C9"/>
    <w:rsid w:val="00404485"/>
    <w:rsid w:val="00404D75"/>
    <w:rsid w:val="00405E77"/>
    <w:rsid w:val="00405F3E"/>
    <w:rsid w:val="00406B50"/>
    <w:rsid w:val="004105D5"/>
    <w:rsid w:val="00412B73"/>
    <w:rsid w:val="00412EE8"/>
    <w:rsid w:val="004154B8"/>
    <w:rsid w:val="00416369"/>
    <w:rsid w:val="00420817"/>
    <w:rsid w:val="004234DD"/>
    <w:rsid w:val="00426E5F"/>
    <w:rsid w:val="004274A7"/>
    <w:rsid w:val="00431DA4"/>
    <w:rsid w:val="00432C0F"/>
    <w:rsid w:val="0043321C"/>
    <w:rsid w:val="004334B4"/>
    <w:rsid w:val="004334DF"/>
    <w:rsid w:val="00433BE8"/>
    <w:rsid w:val="00433D1B"/>
    <w:rsid w:val="004351A2"/>
    <w:rsid w:val="00435230"/>
    <w:rsid w:val="004371DF"/>
    <w:rsid w:val="004376DE"/>
    <w:rsid w:val="00440212"/>
    <w:rsid w:val="00444170"/>
    <w:rsid w:val="004446D0"/>
    <w:rsid w:val="0044503A"/>
    <w:rsid w:val="00450265"/>
    <w:rsid w:val="00452E28"/>
    <w:rsid w:val="00454A89"/>
    <w:rsid w:val="00455557"/>
    <w:rsid w:val="004572D7"/>
    <w:rsid w:val="00457638"/>
    <w:rsid w:val="00457DFA"/>
    <w:rsid w:val="00460FCB"/>
    <w:rsid w:val="004619E0"/>
    <w:rsid w:val="00461C1C"/>
    <w:rsid w:val="004632F7"/>
    <w:rsid w:val="0046559E"/>
    <w:rsid w:val="004675C5"/>
    <w:rsid w:val="0047089B"/>
    <w:rsid w:val="004708F8"/>
    <w:rsid w:val="00471F4F"/>
    <w:rsid w:val="00473616"/>
    <w:rsid w:val="00474713"/>
    <w:rsid w:val="0047480F"/>
    <w:rsid w:val="00475FFF"/>
    <w:rsid w:val="004779EB"/>
    <w:rsid w:val="004815B8"/>
    <w:rsid w:val="004816DA"/>
    <w:rsid w:val="00481D45"/>
    <w:rsid w:val="00482974"/>
    <w:rsid w:val="00484ABA"/>
    <w:rsid w:val="00485A5D"/>
    <w:rsid w:val="0048663A"/>
    <w:rsid w:val="00487A78"/>
    <w:rsid w:val="00490224"/>
    <w:rsid w:val="00492CCC"/>
    <w:rsid w:val="00493A1A"/>
    <w:rsid w:val="004979E2"/>
    <w:rsid w:val="004A1322"/>
    <w:rsid w:val="004A1E8C"/>
    <w:rsid w:val="004A2309"/>
    <w:rsid w:val="004A2391"/>
    <w:rsid w:val="004A23A5"/>
    <w:rsid w:val="004A2484"/>
    <w:rsid w:val="004A2F1E"/>
    <w:rsid w:val="004A3A54"/>
    <w:rsid w:val="004A42B6"/>
    <w:rsid w:val="004A42E4"/>
    <w:rsid w:val="004A5CBF"/>
    <w:rsid w:val="004A613D"/>
    <w:rsid w:val="004A6C97"/>
    <w:rsid w:val="004A798C"/>
    <w:rsid w:val="004A7A5A"/>
    <w:rsid w:val="004B0F96"/>
    <w:rsid w:val="004B1CF1"/>
    <w:rsid w:val="004B3A77"/>
    <w:rsid w:val="004B48BB"/>
    <w:rsid w:val="004B49BC"/>
    <w:rsid w:val="004B4D1D"/>
    <w:rsid w:val="004B52BB"/>
    <w:rsid w:val="004B6066"/>
    <w:rsid w:val="004B7E8B"/>
    <w:rsid w:val="004C0C02"/>
    <w:rsid w:val="004C16C6"/>
    <w:rsid w:val="004C326E"/>
    <w:rsid w:val="004C32C9"/>
    <w:rsid w:val="004C45BF"/>
    <w:rsid w:val="004C4C49"/>
    <w:rsid w:val="004C7690"/>
    <w:rsid w:val="004D06B2"/>
    <w:rsid w:val="004D150B"/>
    <w:rsid w:val="004D1751"/>
    <w:rsid w:val="004D23AE"/>
    <w:rsid w:val="004D5595"/>
    <w:rsid w:val="004D6E7F"/>
    <w:rsid w:val="004D70FD"/>
    <w:rsid w:val="004E17D8"/>
    <w:rsid w:val="004E19B5"/>
    <w:rsid w:val="004E3137"/>
    <w:rsid w:val="004E3FBC"/>
    <w:rsid w:val="004E4A98"/>
    <w:rsid w:val="004E595D"/>
    <w:rsid w:val="004E5A28"/>
    <w:rsid w:val="004E5CBE"/>
    <w:rsid w:val="004F02A9"/>
    <w:rsid w:val="004F07A8"/>
    <w:rsid w:val="004F10A9"/>
    <w:rsid w:val="004F15A7"/>
    <w:rsid w:val="004F17B1"/>
    <w:rsid w:val="004F2E12"/>
    <w:rsid w:val="004F3135"/>
    <w:rsid w:val="004F4568"/>
    <w:rsid w:val="00502B1D"/>
    <w:rsid w:val="00502FB7"/>
    <w:rsid w:val="00503926"/>
    <w:rsid w:val="00507323"/>
    <w:rsid w:val="00507614"/>
    <w:rsid w:val="00507D53"/>
    <w:rsid w:val="00510D18"/>
    <w:rsid w:val="00513444"/>
    <w:rsid w:val="00513D24"/>
    <w:rsid w:val="005144C7"/>
    <w:rsid w:val="00514E25"/>
    <w:rsid w:val="005168C5"/>
    <w:rsid w:val="00517C8B"/>
    <w:rsid w:val="00520474"/>
    <w:rsid w:val="00520A54"/>
    <w:rsid w:val="005231B8"/>
    <w:rsid w:val="00524058"/>
    <w:rsid w:val="0052468D"/>
    <w:rsid w:val="005266A1"/>
    <w:rsid w:val="00527C1A"/>
    <w:rsid w:val="005308E8"/>
    <w:rsid w:val="00530ADE"/>
    <w:rsid w:val="00531789"/>
    <w:rsid w:val="00532F5D"/>
    <w:rsid w:val="00534080"/>
    <w:rsid w:val="00535799"/>
    <w:rsid w:val="005357AC"/>
    <w:rsid w:val="00535F6C"/>
    <w:rsid w:val="00536384"/>
    <w:rsid w:val="00536DAC"/>
    <w:rsid w:val="0053705C"/>
    <w:rsid w:val="005379FB"/>
    <w:rsid w:val="005403EE"/>
    <w:rsid w:val="0054098D"/>
    <w:rsid w:val="00543741"/>
    <w:rsid w:val="00544611"/>
    <w:rsid w:val="00545320"/>
    <w:rsid w:val="005466A3"/>
    <w:rsid w:val="00546E1F"/>
    <w:rsid w:val="00547018"/>
    <w:rsid w:val="005470C9"/>
    <w:rsid w:val="00550F55"/>
    <w:rsid w:val="00551B20"/>
    <w:rsid w:val="00552297"/>
    <w:rsid w:val="00553AE0"/>
    <w:rsid w:val="00553C2F"/>
    <w:rsid w:val="005559D1"/>
    <w:rsid w:val="00555D46"/>
    <w:rsid w:val="00557557"/>
    <w:rsid w:val="00557CB2"/>
    <w:rsid w:val="0056193B"/>
    <w:rsid w:val="00564B03"/>
    <w:rsid w:val="0056521C"/>
    <w:rsid w:val="00566570"/>
    <w:rsid w:val="005704C5"/>
    <w:rsid w:val="00575373"/>
    <w:rsid w:val="005803C2"/>
    <w:rsid w:val="00581006"/>
    <w:rsid w:val="005844FC"/>
    <w:rsid w:val="00584C98"/>
    <w:rsid w:val="00585A05"/>
    <w:rsid w:val="00586074"/>
    <w:rsid w:val="00587BAF"/>
    <w:rsid w:val="00591E10"/>
    <w:rsid w:val="0059225F"/>
    <w:rsid w:val="005936BE"/>
    <w:rsid w:val="005946FB"/>
    <w:rsid w:val="005956DF"/>
    <w:rsid w:val="00596EAE"/>
    <w:rsid w:val="00596FE0"/>
    <w:rsid w:val="0059789C"/>
    <w:rsid w:val="005A141F"/>
    <w:rsid w:val="005A1926"/>
    <w:rsid w:val="005A4879"/>
    <w:rsid w:val="005A5B5F"/>
    <w:rsid w:val="005A7480"/>
    <w:rsid w:val="005B00F8"/>
    <w:rsid w:val="005B073F"/>
    <w:rsid w:val="005B242B"/>
    <w:rsid w:val="005B3DA3"/>
    <w:rsid w:val="005B60C6"/>
    <w:rsid w:val="005B6E0D"/>
    <w:rsid w:val="005C210B"/>
    <w:rsid w:val="005C26D1"/>
    <w:rsid w:val="005C354E"/>
    <w:rsid w:val="005C3A55"/>
    <w:rsid w:val="005C3B57"/>
    <w:rsid w:val="005C4955"/>
    <w:rsid w:val="005C4EDE"/>
    <w:rsid w:val="005C609E"/>
    <w:rsid w:val="005C6E54"/>
    <w:rsid w:val="005D0AA6"/>
    <w:rsid w:val="005D1679"/>
    <w:rsid w:val="005D3D4B"/>
    <w:rsid w:val="005D4619"/>
    <w:rsid w:val="005D62E2"/>
    <w:rsid w:val="005E3616"/>
    <w:rsid w:val="005E4B36"/>
    <w:rsid w:val="005E4C3D"/>
    <w:rsid w:val="005E5643"/>
    <w:rsid w:val="005E6403"/>
    <w:rsid w:val="005E7DE8"/>
    <w:rsid w:val="005F05E5"/>
    <w:rsid w:val="005F1649"/>
    <w:rsid w:val="005F3F0D"/>
    <w:rsid w:val="005F4458"/>
    <w:rsid w:val="005F49D6"/>
    <w:rsid w:val="005F4D28"/>
    <w:rsid w:val="005F6059"/>
    <w:rsid w:val="005F71C8"/>
    <w:rsid w:val="00600A5E"/>
    <w:rsid w:val="00600F72"/>
    <w:rsid w:val="0060114A"/>
    <w:rsid w:val="00601B73"/>
    <w:rsid w:val="00603C39"/>
    <w:rsid w:val="00607847"/>
    <w:rsid w:val="006122CE"/>
    <w:rsid w:val="00613FEF"/>
    <w:rsid w:val="00614287"/>
    <w:rsid w:val="00615E05"/>
    <w:rsid w:val="006168BE"/>
    <w:rsid w:val="00620CF8"/>
    <w:rsid w:val="00620D45"/>
    <w:rsid w:val="00620D52"/>
    <w:rsid w:val="00622B87"/>
    <w:rsid w:val="00622EAF"/>
    <w:rsid w:val="00623DF0"/>
    <w:rsid w:val="006246B3"/>
    <w:rsid w:val="006247E9"/>
    <w:rsid w:val="00624F7A"/>
    <w:rsid w:val="00625548"/>
    <w:rsid w:val="00625C3D"/>
    <w:rsid w:val="006267C3"/>
    <w:rsid w:val="006267CD"/>
    <w:rsid w:val="0063232B"/>
    <w:rsid w:val="00632E13"/>
    <w:rsid w:val="00633553"/>
    <w:rsid w:val="006345A9"/>
    <w:rsid w:val="006348B2"/>
    <w:rsid w:val="00634F10"/>
    <w:rsid w:val="006355C9"/>
    <w:rsid w:val="00637943"/>
    <w:rsid w:val="00640757"/>
    <w:rsid w:val="00640B95"/>
    <w:rsid w:val="00640B98"/>
    <w:rsid w:val="00641A8F"/>
    <w:rsid w:val="006432FC"/>
    <w:rsid w:val="006448A3"/>
    <w:rsid w:val="006467A9"/>
    <w:rsid w:val="006502EB"/>
    <w:rsid w:val="00650A30"/>
    <w:rsid w:val="00653B8B"/>
    <w:rsid w:val="00654152"/>
    <w:rsid w:val="006543C8"/>
    <w:rsid w:val="00654BC4"/>
    <w:rsid w:val="00660894"/>
    <w:rsid w:val="00660E1E"/>
    <w:rsid w:val="00662CA3"/>
    <w:rsid w:val="00662D4F"/>
    <w:rsid w:val="00663C77"/>
    <w:rsid w:val="006655B1"/>
    <w:rsid w:val="00665BF8"/>
    <w:rsid w:val="0066606E"/>
    <w:rsid w:val="00666AD7"/>
    <w:rsid w:val="0066759A"/>
    <w:rsid w:val="0067545B"/>
    <w:rsid w:val="006761E0"/>
    <w:rsid w:val="006771AE"/>
    <w:rsid w:val="00680962"/>
    <w:rsid w:val="006833A8"/>
    <w:rsid w:val="00683AFB"/>
    <w:rsid w:val="00684BB8"/>
    <w:rsid w:val="00684F88"/>
    <w:rsid w:val="00685861"/>
    <w:rsid w:val="0068587E"/>
    <w:rsid w:val="00685B09"/>
    <w:rsid w:val="00687C0A"/>
    <w:rsid w:val="00687C98"/>
    <w:rsid w:val="00690044"/>
    <w:rsid w:val="006911E8"/>
    <w:rsid w:val="00691B7C"/>
    <w:rsid w:val="00694333"/>
    <w:rsid w:val="00696159"/>
    <w:rsid w:val="00696C18"/>
    <w:rsid w:val="006A0790"/>
    <w:rsid w:val="006A1A73"/>
    <w:rsid w:val="006A2F37"/>
    <w:rsid w:val="006A301F"/>
    <w:rsid w:val="006A4F50"/>
    <w:rsid w:val="006A6882"/>
    <w:rsid w:val="006A73D4"/>
    <w:rsid w:val="006B0E66"/>
    <w:rsid w:val="006B1C83"/>
    <w:rsid w:val="006B1D46"/>
    <w:rsid w:val="006B2BC5"/>
    <w:rsid w:val="006C018C"/>
    <w:rsid w:val="006C0F3A"/>
    <w:rsid w:val="006C1072"/>
    <w:rsid w:val="006C1C7E"/>
    <w:rsid w:val="006C20F2"/>
    <w:rsid w:val="006C343F"/>
    <w:rsid w:val="006C4402"/>
    <w:rsid w:val="006C4766"/>
    <w:rsid w:val="006C4AC2"/>
    <w:rsid w:val="006C5FA7"/>
    <w:rsid w:val="006C6A37"/>
    <w:rsid w:val="006C6C0F"/>
    <w:rsid w:val="006C7298"/>
    <w:rsid w:val="006C72EF"/>
    <w:rsid w:val="006C740B"/>
    <w:rsid w:val="006D0CC1"/>
    <w:rsid w:val="006D12FB"/>
    <w:rsid w:val="006D18D6"/>
    <w:rsid w:val="006D2BEE"/>
    <w:rsid w:val="006D509D"/>
    <w:rsid w:val="006D5B6D"/>
    <w:rsid w:val="006D7E4F"/>
    <w:rsid w:val="006E004A"/>
    <w:rsid w:val="006E011B"/>
    <w:rsid w:val="006E0675"/>
    <w:rsid w:val="006E1854"/>
    <w:rsid w:val="006E2513"/>
    <w:rsid w:val="006E3416"/>
    <w:rsid w:val="006E4874"/>
    <w:rsid w:val="006E722B"/>
    <w:rsid w:val="006E7384"/>
    <w:rsid w:val="006F027A"/>
    <w:rsid w:val="006F3971"/>
    <w:rsid w:val="006F50DD"/>
    <w:rsid w:val="006F56FB"/>
    <w:rsid w:val="006F6983"/>
    <w:rsid w:val="006F7A3B"/>
    <w:rsid w:val="006F7B20"/>
    <w:rsid w:val="00700EAA"/>
    <w:rsid w:val="007025B8"/>
    <w:rsid w:val="0070297A"/>
    <w:rsid w:val="00704A6C"/>
    <w:rsid w:val="00707764"/>
    <w:rsid w:val="0070796E"/>
    <w:rsid w:val="007107B9"/>
    <w:rsid w:val="00711E69"/>
    <w:rsid w:val="007120ED"/>
    <w:rsid w:val="00712CDC"/>
    <w:rsid w:val="00713C38"/>
    <w:rsid w:val="0071492E"/>
    <w:rsid w:val="00716284"/>
    <w:rsid w:val="00717253"/>
    <w:rsid w:val="00721D07"/>
    <w:rsid w:val="00721E7A"/>
    <w:rsid w:val="0072209D"/>
    <w:rsid w:val="00723BE8"/>
    <w:rsid w:val="00724C53"/>
    <w:rsid w:val="007253D6"/>
    <w:rsid w:val="00727326"/>
    <w:rsid w:val="007301A9"/>
    <w:rsid w:val="00731769"/>
    <w:rsid w:val="00732368"/>
    <w:rsid w:val="007327B7"/>
    <w:rsid w:val="00734355"/>
    <w:rsid w:val="0073502E"/>
    <w:rsid w:val="00736281"/>
    <w:rsid w:val="00736BE0"/>
    <w:rsid w:val="00737B0E"/>
    <w:rsid w:val="00740F54"/>
    <w:rsid w:val="007412CB"/>
    <w:rsid w:val="007413CD"/>
    <w:rsid w:val="00745063"/>
    <w:rsid w:val="007453F6"/>
    <w:rsid w:val="00745AF8"/>
    <w:rsid w:val="0074725A"/>
    <w:rsid w:val="007478C2"/>
    <w:rsid w:val="0075023F"/>
    <w:rsid w:val="007510BC"/>
    <w:rsid w:val="0075270C"/>
    <w:rsid w:val="007538CE"/>
    <w:rsid w:val="00753D57"/>
    <w:rsid w:val="007561C1"/>
    <w:rsid w:val="00760997"/>
    <w:rsid w:val="007617E4"/>
    <w:rsid w:val="0076417C"/>
    <w:rsid w:val="007670C3"/>
    <w:rsid w:val="00770182"/>
    <w:rsid w:val="0077132C"/>
    <w:rsid w:val="00775CCC"/>
    <w:rsid w:val="00776138"/>
    <w:rsid w:val="00777245"/>
    <w:rsid w:val="007825A6"/>
    <w:rsid w:val="0078435F"/>
    <w:rsid w:val="007845CC"/>
    <w:rsid w:val="00786EB3"/>
    <w:rsid w:val="007878D8"/>
    <w:rsid w:val="00790167"/>
    <w:rsid w:val="0079464A"/>
    <w:rsid w:val="00794ECB"/>
    <w:rsid w:val="00796CF8"/>
    <w:rsid w:val="00796F68"/>
    <w:rsid w:val="00796FFD"/>
    <w:rsid w:val="00797F4A"/>
    <w:rsid w:val="007A03F1"/>
    <w:rsid w:val="007A1FF9"/>
    <w:rsid w:val="007A2E73"/>
    <w:rsid w:val="007A2ED7"/>
    <w:rsid w:val="007A5938"/>
    <w:rsid w:val="007A75D6"/>
    <w:rsid w:val="007A7FFA"/>
    <w:rsid w:val="007B1635"/>
    <w:rsid w:val="007B1E92"/>
    <w:rsid w:val="007B2235"/>
    <w:rsid w:val="007B2D9D"/>
    <w:rsid w:val="007B4229"/>
    <w:rsid w:val="007B6ED3"/>
    <w:rsid w:val="007B7D2B"/>
    <w:rsid w:val="007C1148"/>
    <w:rsid w:val="007C2CA2"/>
    <w:rsid w:val="007C40B9"/>
    <w:rsid w:val="007C5302"/>
    <w:rsid w:val="007C5870"/>
    <w:rsid w:val="007D0C68"/>
    <w:rsid w:val="007D1437"/>
    <w:rsid w:val="007D1CAD"/>
    <w:rsid w:val="007D6E72"/>
    <w:rsid w:val="007D7045"/>
    <w:rsid w:val="007D7BF9"/>
    <w:rsid w:val="007E0B99"/>
    <w:rsid w:val="007E23AB"/>
    <w:rsid w:val="007E314A"/>
    <w:rsid w:val="007E4940"/>
    <w:rsid w:val="007E7555"/>
    <w:rsid w:val="007F1B01"/>
    <w:rsid w:val="007F1DA5"/>
    <w:rsid w:val="007F518C"/>
    <w:rsid w:val="007F602F"/>
    <w:rsid w:val="007F6610"/>
    <w:rsid w:val="007F7836"/>
    <w:rsid w:val="007F7F13"/>
    <w:rsid w:val="0080005F"/>
    <w:rsid w:val="0080133C"/>
    <w:rsid w:val="00801ECE"/>
    <w:rsid w:val="008020DD"/>
    <w:rsid w:val="00806683"/>
    <w:rsid w:val="00806B33"/>
    <w:rsid w:val="008073F3"/>
    <w:rsid w:val="00807F86"/>
    <w:rsid w:val="00807FE0"/>
    <w:rsid w:val="0081190C"/>
    <w:rsid w:val="00815CD2"/>
    <w:rsid w:val="00815FA8"/>
    <w:rsid w:val="00816006"/>
    <w:rsid w:val="008160EA"/>
    <w:rsid w:val="00816B82"/>
    <w:rsid w:val="008175A1"/>
    <w:rsid w:val="00821534"/>
    <w:rsid w:val="008235A0"/>
    <w:rsid w:val="008242C6"/>
    <w:rsid w:val="008249F7"/>
    <w:rsid w:val="00824E39"/>
    <w:rsid w:val="00824F53"/>
    <w:rsid w:val="00826656"/>
    <w:rsid w:val="00826B4F"/>
    <w:rsid w:val="0083208E"/>
    <w:rsid w:val="008331C7"/>
    <w:rsid w:val="00836D9E"/>
    <w:rsid w:val="00844B63"/>
    <w:rsid w:val="00844B7B"/>
    <w:rsid w:val="008462A3"/>
    <w:rsid w:val="008476AF"/>
    <w:rsid w:val="0085140E"/>
    <w:rsid w:val="00852BF8"/>
    <w:rsid w:val="00852FF1"/>
    <w:rsid w:val="0085558A"/>
    <w:rsid w:val="00856A7B"/>
    <w:rsid w:val="00856ADC"/>
    <w:rsid w:val="0086068E"/>
    <w:rsid w:val="00861E75"/>
    <w:rsid w:val="00861EEA"/>
    <w:rsid w:val="00862CDD"/>
    <w:rsid w:val="00865F6B"/>
    <w:rsid w:val="008677A3"/>
    <w:rsid w:val="00870192"/>
    <w:rsid w:val="00870637"/>
    <w:rsid w:val="0087135F"/>
    <w:rsid w:val="008724C7"/>
    <w:rsid w:val="00873C8F"/>
    <w:rsid w:val="008746B2"/>
    <w:rsid w:val="00876616"/>
    <w:rsid w:val="00880AE3"/>
    <w:rsid w:val="0088409E"/>
    <w:rsid w:val="008911A6"/>
    <w:rsid w:val="00892465"/>
    <w:rsid w:val="00893BDC"/>
    <w:rsid w:val="00895340"/>
    <w:rsid w:val="0089632E"/>
    <w:rsid w:val="00896E09"/>
    <w:rsid w:val="00897121"/>
    <w:rsid w:val="0089760D"/>
    <w:rsid w:val="00897DBA"/>
    <w:rsid w:val="008A519F"/>
    <w:rsid w:val="008A58C5"/>
    <w:rsid w:val="008A5B1B"/>
    <w:rsid w:val="008A75CF"/>
    <w:rsid w:val="008B0679"/>
    <w:rsid w:val="008B0ACD"/>
    <w:rsid w:val="008B23DE"/>
    <w:rsid w:val="008B2A03"/>
    <w:rsid w:val="008B2CB4"/>
    <w:rsid w:val="008B4BAD"/>
    <w:rsid w:val="008B5251"/>
    <w:rsid w:val="008B5463"/>
    <w:rsid w:val="008B6129"/>
    <w:rsid w:val="008C08F6"/>
    <w:rsid w:val="008C1C95"/>
    <w:rsid w:val="008C1E06"/>
    <w:rsid w:val="008C2348"/>
    <w:rsid w:val="008C23A5"/>
    <w:rsid w:val="008D12A5"/>
    <w:rsid w:val="008D17DB"/>
    <w:rsid w:val="008D7E7E"/>
    <w:rsid w:val="008E02FF"/>
    <w:rsid w:val="008E3A5B"/>
    <w:rsid w:val="008E4B95"/>
    <w:rsid w:val="008E6231"/>
    <w:rsid w:val="008E6417"/>
    <w:rsid w:val="008F385C"/>
    <w:rsid w:val="008F7B78"/>
    <w:rsid w:val="009014C1"/>
    <w:rsid w:val="009029E2"/>
    <w:rsid w:val="009033A5"/>
    <w:rsid w:val="009038AD"/>
    <w:rsid w:val="00904311"/>
    <w:rsid w:val="00904F29"/>
    <w:rsid w:val="00905B98"/>
    <w:rsid w:val="00906FA4"/>
    <w:rsid w:val="009070F2"/>
    <w:rsid w:val="009072C9"/>
    <w:rsid w:val="00915090"/>
    <w:rsid w:val="009155E7"/>
    <w:rsid w:val="009157CA"/>
    <w:rsid w:val="00916A40"/>
    <w:rsid w:val="00916DCC"/>
    <w:rsid w:val="00921D80"/>
    <w:rsid w:val="00922607"/>
    <w:rsid w:val="009241A1"/>
    <w:rsid w:val="00925C5C"/>
    <w:rsid w:val="00926ABD"/>
    <w:rsid w:val="00930252"/>
    <w:rsid w:val="0093068E"/>
    <w:rsid w:val="009308E5"/>
    <w:rsid w:val="00930D3F"/>
    <w:rsid w:val="00934F2F"/>
    <w:rsid w:val="00935F1B"/>
    <w:rsid w:val="0093648B"/>
    <w:rsid w:val="00940142"/>
    <w:rsid w:val="009413FB"/>
    <w:rsid w:val="0094191E"/>
    <w:rsid w:val="009440C7"/>
    <w:rsid w:val="0094568A"/>
    <w:rsid w:val="0095228A"/>
    <w:rsid w:val="0095758A"/>
    <w:rsid w:val="009608D2"/>
    <w:rsid w:val="00962580"/>
    <w:rsid w:val="00963CBB"/>
    <w:rsid w:val="00964049"/>
    <w:rsid w:val="00965014"/>
    <w:rsid w:val="00965036"/>
    <w:rsid w:val="00967BD6"/>
    <w:rsid w:val="0097062D"/>
    <w:rsid w:val="00970831"/>
    <w:rsid w:val="00970E1E"/>
    <w:rsid w:val="00971176"/>
    <w:rsid w:val="0097182C"/>
    <w:rsid w:val="00971AD8"/>
    <w:rsid w:val="00972307"/>
    <w:rsid w:val="009725A1"/>
    <w:rsid w:val="0097348E"/>
    <w:rsid w:val="0097379C"/>
    <w:rsid w:val="009741AA"/>
    <w:rsid w:val="009751F7"/>
    <w:rsid w:val="0097692C"/>
    <w:rsid w:val="009816A2"/>
    <w:rsid w:val="00982052"/>
    <w:rsid w:val="00982105"/>
    <w:rsid w:val="00982288"/>
    <w:rsid w:val="00983443"/>
    <w:rsid w:val="00986B40"/>
    <w:rsid w:val="009908B7"/>
    <w:rsid w:val="00992C85"/>
    <w:rsid w:val="00992EAE"/>
    <w:rsid w:val="00993BCA"/>
    <w:rsid w:val="00993E1E"/>
    <w:rsid w:val="0099419C"/>
    <w:rsid w:val="00994DC1"/>
    <w:rsid w:val="009965CC"/>
    <w:rsid w:val="00996D12"/>
    <w:rsid w:val="00997689"/>
    <w:rsid w:val="00997E1A"/>
    <w:rsid w:val="009A33AF"/>
    <w:rsid w:val="009A39BF"/>
    <w:rsid w:val="009A3F69"/>
    <w:rsid w:val="009A45AC"/>
    <w:rsid w:val="009A5820"/>
    <w:rsid w:val="009A6B20"/>
    <w:rsid w:val="009A6B2B"/>
    <w:rsid w:val="009A717D"/>
    <w:rsid w:val="009A7416"/>
    <w:rsid w:val="009A74B7"/>
    <w:rsid w:val="009B0EF6"/>
    <w:rsid w:val="009B20B2"/>
    <w:rsid w:val="009B2697"/>
    <w:rsid w:val="009B36CC"/>
    <w:rsid w:val="009B45B1"/>
    <w:rsid w:val="009B4EC7"/>
    <w:rsid w:val="009B539D"/>
    <w:rsid w:val="009B7045"/>
    <w:rsid w:val="009B7193"/>
    <w:rsid w:val="009C0013"/>
    <w:rsid w:val="009C459A"/>
    <w:rsid w:val="009C540C"/>
    <w:rsid w:val="009C58F6"/>
    <w:rsid w:val="009C62BE"/>
    <w:rsid w:val="009D115D"/>
    <w:rsid w:val="009D250E"/>
    <w:rsid w:val="009D4646"/>
    <w:rsid w:val="009D5047"/>
    <w:rsid w:val="009D527A"/>
    <w:rsid w:val="009D5BC2"/>
    <w:rsid w:val="009D74C5"/>
    <w:rsid w:val="009D785F"/>
    <w:rsid w:val="009E4D9F"/>
    <w:rsid w:val="009E5FD1"/>
    <w:rsid w:val="009E625B"/>
    <w:rsid w:val="009E7DB3"/>
    <w:rsid w:val="009F1DCD"/>
    <w:rsid w:val="009F41B1"/>
    <w:rsid w:val="009F4B6E"/>
    <w:rsid w:val="009F4BA5"/>
    <w:rsid w:val="009F54CB"/>
    <w:rsid w:val="009F67C4"/>
    <w:rsid w:val="009F6E7A"/>
    <w:rsid w:val="00A015A8"/>
    <w:rsid w:val="00A01C77"/>
    <w:rsid w:val="00A020A2"/>
    <w:rsid w:val="00A020A9"/>
    <w:rsid w:val="00A03D26"/>
    <w:rsid w:val="00A04200"/>
    <w:rsid w:val="00A04D6C"/>
    <w:rsid w:val="00A06CF0"/>
    <w:rsid w:val="00A07961"/>
    <w:rsid w:val="00A103B5"/>
    <w:rsid w:val="00A10964"/>
    <w:rsid w:val="00A1246B"/>
    <w:rsid w:val="00A129C2"/>
    <w:rsid w:val="00A13450"/>
    <w:rsid w:val="00A13C06"/>
    <w:rsid w:val="00A1434C"/>
    <w:rsid w:val="00A14AD5"/>
    <w:rsid w:val="00A15FB5"/>
    <w:rsid w:val="00A21D3B"/>
    <w:rsid w:val="00A27448"/>
    <w:rsid w:val="00A2792D"/>
    <w:rsid w:val="00A27B59"/>
    <w:rsid w:val="00A32039"/>
    <w:rsid w:val="00A34879"/>
    <w:rsid w:val="00A348FD"/>
    <w:rsid w:val="00A36F4F"/>
    <w:rsid w:val="00A4092C"/>
    <w:rsid w:val="00A43EAA"/>
    <w:rsid w:val="00A46C55"/>
    <w:rsid w:val="00A50B21"/>
    <w:rsid w:val="00A5122A"/>
    <w:rsid w:val="00A515D8"/>
    <w:rsid w:val="00A51E9F"/>
    <w:rsid w:val="00A5302B"/>
    <w:rsid w:val="00A53C9E"/>
    <w:rsid w:val="00A55A7B"/>
    <w:rsid w:val="00A55C88"/>
    <w:rsid w:val="00A570CB"/>
    <w:rsid w:val="00A60E1A"/>
    <w:rsid w:val="00A614DA"/>
    <w:rsid w:val="00A639B5"/>
    <w:rsid w:val="00A650EF"/>
    <w:rsid w:val="00A67305"/>
    <w:rsid w:val="00A70644"/>
    <w:rsid w:val="00A70746"/>
    <w:rsid w:val="00A70BC6"/>
    <w:rsid w:val="00A7117C"/>
    <w:rsid w:val="00A71880"/>
    <w:rsid w:val="00A723A0"/>
    <w:rsid w:val="00A72734"/>
    <w:rsid w:val="00A72B0C"/>
    <w:rsid w:val="00A741EF"/>
    <w:rsid w:val="00A7516E"/>
    <w:rsid w:val="00A75C2D"/>
    <w:rsid w:val="00A76599"/>
    <w:rsid w:val="00A77182"/>
    <w:rsid w:val="00A80D74"/>
    <w:rsid w:val="00A8116E"/>
    <w:rsid w:val="00A81A55"/>
    <w:rsid w:val="00A832B1"/>
    <w:rsid w:val="00A84128"/>
    <w:rsid w:val="00A872EE"/>
    <w:rsid w:val="00A87A00"/>
    <w:rsid w:val="00A905A2"/>
    <w:rsid w:val="00A90BC8"/>
    <w:rsid w:val="00A912BB"/>
    <w:rsid w:val="00A924D2"/>
    <w:rsid w:val="00A93336"/>
    <w:rsid w:val="00A93F59"/>
    <w:rsid w:val="00A9414F"/>
    <w:rsid w:val="00A948DB"/>
    <w:rsid w:val="00A949FB"/>
    <w:rsid w:val="00A953E2"/>
    <w:rsid w:val="00A96292"/>
    <w:rsid w:val="00A963D8"/>
    <w:rsid w:val="00A965BA"/>
    <w:rsid w:val="00A9781C"/>
    <w:rsid w:val="00AA1091"/>
    <w:rsid w:val="00AA2950"/>
    <w:rsid w:val="00AA49B5"/>
    <w:rsid w:val="00AA51EE"/>
    <w:rsid w:val="00AA6D0A"/>
    <w:rsid w:val="00AA7691"/>
    <w:rsid w:val="00AB2BE6"/>
    <w:rsid w:val="00AB2F98"/>
    <w:rsid w:val="00AB3EDE"/>
    <w:rsid w:val="00AB44E4"/>
    <w:rsid w:val="00AC09AB"/>
    <w:rsid w:val="00AC14D3"/>
    <w:rsid w:val="00AC17FD"/>
    <w:rsid w:val="00AC2133"/>
    <w:rsid w:val="00AC3202"/>
    <w:rsid w:val="00AC4023"/>
    <w:rsid w:val="00AC6262"/>
    <w:rsid w:val="00AC65EB"/>
    <w:rsid w:val="00AC670A"/>
    <w:rsid w:val="00AD46BC"/>
    <w:rsid w:val="00AD48FD"/>
    <w:rsid w:val="00AD65C7"/>
    <w:rsid w:val="00AE123E"/>
    <w:rsid w:val="00AE13D5"/>
    <w:rsid w:val="00AE212E"/>
    <w:rsid w:val="00AE24BE"/>
    <w:rsid w:val="00AE2C56"/>
    <w:rsid w:val="00AE39D7"/>
    <w:rsid w:val="00AE3D49"/>
    <w:rsid w:val="00AE4E77"/>
    <w:rsid w:val="00AE5350"/>
    <w:rsid w:val="00AE66FD"/>
    <w:rsid w:val="00AE69EA"/>
    <w:rsid w:val="00AF048C"/>
    <w:rsid w:val="00AF061A"/>
    <w:rsid w:val="00AF1A9C"/>
    <w:rsid w:val="00AF1FFB"/>
    <w:rsid w:val="00AF2355"/>
    <w:rsid w:val="00AF2CEC"/>
    <w:rsid w:val="00AF6559"/>
    <w:rsid w:val="00AF7552"/>
    <w:rsid w:val="00B055FA"/>
    <w:rsid w:val="00B05874"/>
    <w:rsid w:val="00B067AA"/>
    <w:rsid w:val="00B0753F"/>
    <w:rsid w:val="00B075C6"/>
    <w:rsid w:val="00B12CF1"/>
    <w:rsid w:val="00B14AEC"/>
    <w:rsid w:val="00B17DE6"/>
    <w:rsid w:val="00B23E3A"/>
    <w:rsid w:val="00B243E8"/>
    <w:rsid w:val="00B255E2"/>
    <w:rsid w:val="00B26FF3"/>
    <w:rsid w:val="00B27794"/>
    <w:rsid w:val="00B30551"/>
    <w:rsid w:val="00B32BDA"/>
    <w:rsid w:val="00B350B9"/>
    <w:rsid w:val="00B35A8C"/>
    <w:rsid w:val="00B3799D"/>
    <w:rsid w:val="00B4023E"/>
    <w:rsid w:val="00B40E8B"/>
    <w:rsid w:val="00B410CC"/>
    <w:rsid w:val="00B431CD"/>
    <w:rsid w:val="00B43D6F"/>
    <w:rsid w:val="00B4540C"/>
    <w:rsid w:val="00B454E5"/>
    <w:rsid w:val="00B46561"/>
    <w:rsid w:val="00B467FA"/>
    <w:rsid w:val="00B5020A"/>
    <w:rsid w:val="00B51415"/>
    <w:rsid w:val="00B516B0"/>
    <w:rsid w:val="00B523E9"/>
    <w:rsid w:val="00B5279E"/>
    <w:rsid w:val="00B52E0C"/>
    <w:rsid w:val="00B637B2"/>
    <w:rsid w:val="00B65127"/>
    <w:rsid w:val="00B65D0F"/>
    <w:rsid w:val="00B665EF"/>
    <w:rsid w:val="00B70388"/>
    <w:rsid w:val="00B703ED"/>
    <w:rsid w:val="00B712F8"/>
    <w:rsid w:val="00B73521"/>
    <w:rsid w:val="00B73AF3"/>
    <w:rsid w:val="00B74021"/>
    <w:rsid w:val="00B74030"/>
    <w:rsid w:val="00B74963"/>
    <w:rsid w:val="00B75B6C"/>
    <w:rsid w:val="00B7671C"/>
    <w:rsid w:val="00B7791D"/>
    <w:rsid w:val="00B824BD"/>
    <w:rsid w:val="00B83315"/>
    <w:rsid w:val="00B83491"/>
    <w:rsid w:val="00B83A34"/>
    <w:rsid w:val="00B83BBB"/>
    <w:rsid w:val="00B83EC2"/>
    <w:rsid w:val="00B84971"/>
    <w:rsid w:val="00B84F98"/>
    <w:rsid w:val="00B861FD"/>
    <w:rsid w:val="00B87D64"/>
    <w:rsid w:val="00B87F05"/>
    <w:rsid w:val="00B90345"/>
    <w:rsid w:val="00B93FD8"/>
    <w:rsid w:val="00B94942"/>
    <w:rsid w:val="00B95DCF"/>
    <w:rsid w:val="00B96D14"/>
    <w:rsid w:val="00BA0C60"/>
    <w:rsid w:val="00BA20C2"/>
    <w:rsid w:val="00BA2A26"/>
    <w:rsid w:val="00BA3A5F"/>
    <w:rsid w:val="00BA45F0"/>
    <w:rsid w:val="00BA47CB"/>
    <w:rsid w:val="00BA7C4C"/>
    <w:rsid w:val="00BA7F47"/>
    <w:rsid w:val="00BB0ADF"/>
    <w:rsid w:val="00BB14AD"/>
    <w:rsid w:val="00BB16D6"/>
    <w:rsid w:val="00BB276A"/>
    <w:rsid w:val="00BB2AD7"/>
    <w:rsid w:val="00BB36A7"/>
    <w:rsid w:val="00BB53CF"/>
    <w:rsid w:val="00BB5E2B"/>
    <w:rsid w:val="00BC1329"/>
    <w:rsid w:val="00BC3847"/>
    <w:rsid w:val="00BC3B1D"/>
    <w:rsid w:val="00BC5730"/>
    <w:rsid w:val="00BC6C6D"/>
    <w:rsid w:val="00BC6EB0"/>
    <w:rsid w:val="00BD0533"/>
    <w:rsid w:val="00BD08AC"/>
    <w:rsid w:val="00BD1E84"/>
    <w:rsid w:val="00BD34F3"/>
    <w:rsid w:val="00BD3AD7"/>
    <w:rsid w:val="00BD47E8"/>
    <w:rsid w:val="00BD5E5E"/>
    <w:rsid w:val="00BD7F26"/>
    <w:rsid w:val="00BE0C25"/>
    <w:rsid w:val="00BE1A6E"/>
    <w:rsid w:val="00BE244C"/>
    <w:rsid w:val="00BE3F68"/>
    <w:rsid w:val="00BE67A1"/>
    <w:rsid w:val="00BE71B2"/>
    <w:rsid w:val="00BF0805"/>
    <w:rsid w:val="00BF185D"/>
    <w:rsid w:val="00BF23AB"/>
    <w:rsid w:val="00BF2E34"/>
    <w:rsid w:val="00BF4EEF"/>
    <w:rsid w:val="00BF5BC1"/>
    <w:rsid w:val="00BF66D7"/>
    <w:rsid w:val="00BF741C"/>
    <w:rsid w:val="00C0133E"/>
    <w:rsid w:val="00C01819"/>
    <w:rsid w:val="00C02144"/>
    <w:rsid w:val="00C047A2"/>
    <w:rsid w:val="00C048BA"/>
    <w:rsid w:val="00C04F44"/>
    <w:rsid w:val="00C06D02"/>
    <w:rsid w:val="00C102AB"/>
    <w:rsid w:val="00C10772"/>
    <w:rsid w:val="00C10E59"/>
    <w:rsid w:val="00C1173A"/>
    <w:rsid w:val="00C12AF3"/>
    <w:rsid w:val="00C12C69"/>
    <w:rsid w:val="00C14439"/>
    <w:rsid w:val="00C15FDC"/>
    <w:rsid w:val="00C241C4"/>
    <w:rsid w:val="00C264FB"/>
    <w:rsid w:val="00C268FF"/>
    <w:rsid w:val="00C301E4"/>
    <w:rsid w:val="00C312F6"/>
    <w:rsid w:val="00C31612"/>
    <w:rsid w:val="00C31B1C"/>
    <w:rsid w:val="00C31E46"/>
    <w:rsid w:val="00C31E7A"/>
    <w:rsid w:val="00C32784"/>
    <w:rsid w:val="00C3516C"/>
    <w:rsid w:val="00C35C91"/>
    <w:rsid w:val="00C40FF0"/>
    <w:rsid w:val="00C415D3"/>
    <w:rsid w:val="00C4205A"/>
    <w:rsid w:val="00C423C8"/>
    <w:rsid w:val="00C43258"/>
    <w:rsid w:val="00C46435"/>
    <w:rsid w:val="00C467DF"/>
    <w:rsid w:val="00C46D09"/>
    <w:rsid w:val="00C47DBE"/>
    <w:rsid w:val="00C47F6C"/>
    <w:rsid w:val="00C5139C"/>
    <w:rsid w:val="00C51702"/>
    <w:rsid w:val="00C51E72"/>
    <w:rsid w:val="00C5233C"/>
    <w:rsid w:val="00C5253C"/>
    <w:rsid w:val="00C531FE"/>
    <w:rsid w:val="00C5349A"/>
    <w:rsid w:val="00C53832"/>
    <w:rsid w:val="00C53B0E"/>
    <w:rsid w:val="00C55EA1"/>
    <w:rsid w:val="00C5767D"/>
    <w:rsid w:val="00C57B1C"/>
    <w:rsid w:val="00C60B72"/>
    <w:rsid w:val="00C60D5A"/>
    <w:rsid w:val="00C60FB1"/>
    <w:rsid w:val="00C63E51"/>
    <w:rsid w:val="00C64EFF"/>
    <w:rsid w:val="00C6525D"/>
    <w:rsid w:val="00C667F1"/>
    <w:rsid w:val="00C67E08"/>
    <w:rsid w:val="00C70B78"/>
    <w:rsid w:val="00C724FB"/>
    <w:rsid w:val="00C73995"/>
    <w:rsid w:val="00C74973"/>
    <w:rsid w:val="00C74E4B"/>
    <w:rsid w:val="00C74E5E"/>
    <w:rsid w:val="00C751AE"/>
    <w:rsid w:val="00C75254"/>
    <w:rsid w:val="00C767D2"/>
    <w:rsid w:val="00C76ADC"/>
    <w:rsid w:val="00C770EB"/>
    <w:rsid w:val="00C801BC"/>
    <w:rsid w:val="00C80D3F"/>
    <w:rsid w:val="00C80FC4"/>
    <w:rsid w:val="00C8767C"/>
    <w:rsid w:val="00C87ECF"/>
    <w:rsid w:val="00C915B9"/>
    <w:rsid w:val="00C91B0D"/>
    <w:rsid w:val="00C9355D"/>
    <w:rsid w:val="00C94987"/>
    <w:rsid w:val="00C958F9"/>
    <w:rsid w:val="00C95FBF"/>
    <w:rsid w:val="00C96C0D"/>
    <w:rsid w:val="00CA0179"/>
    <w:rsid w:val="00CA1F9A"/>
    <w:rsid w:val="00CA3CE0"/>
    <w:rsid w:val="00CA478A"/>
    <w:rsid w:val="00CA783A"/>
    <w:rsid w:val="00CB0FA3"/>
    <w:rsid w:val="00CB1C9C"/>
    <w:rsid w:val="00CB1F75"/>
    <w:rsid w:val="00CB2122"/>
    <w:rsid w:val="00CB55BA"/>
    <w:rsid w:val="00CB5D22"/>
    <w:rsid w:val="00CB67EE"/>
    <w:rsid w:val="00CB79F6"/>
    <w:rsid w:val="00CC40FF"/>
    <w:rsid w:val="00CC4388"/>
    <w:rsid w:val="00CD01A6"/>
    <w:rsid w:val="00CD03A9"/>
    <w:rsid w:val="00CD1662"/>
    <w:rsid w:val="00CD25BF"/>
    <w:rsid w:val="00CD3E20"/>
    <w:rsid w:val="00CD49B1"/>
    <w:rsid w:val="00CD4C65"/>
    <w:rsid w:val="00CD52B3"/>
    <w:rsid w:val="00CD718E"/>
    <w:rsid w:val="00CE0C06"/>
    <w:rsid w:val="00CE3034"/>
    <w:rsid w:val="00CE4306"/>
    <w:rsid w:val="00CE6C5A"/>
    <w:rsid w:val="00CE77BD"/>
    <w:rsid w:val="00CF0345"/>
    <w:rsid w:val="00CF0538"/>
    <w:rsid w:val="00CF06ED"/>
    <w:rsid w:val="00CF0982"/>
    <w:rsid w:val="00CF1383"/>
    <w:rsid w:val="00CF13E1"/>
    <w:rsid w:val="00CF1727"/>
    <w:rsid w:val="00CF1FB5"/>
    <w:rsid w:val="00CF2FD0"/>
    <w:rsid w:val="00CF32C7"/>
    <w:rsid w:val="00CF337C"/>
    <w:rsid w:val="00CF43BE"/>
    <w:rsid w:val="00CF5A5F"/>
    <w:rsid w:val="00CF5C4D"/>
    <w:rsid w:val="00CF7A16"/>
    <w:rsid w:val="00D008C3"/>
    <w:rsid w:val="00D0196C"/>
    <w:rsid w:val="00D037BB"/>
    <w:rsid w:val="00D041E5"/>
    <w:rsid w:val="00D06BF4"/>
    <w:rsid w:val="00D07CDA"/>
    <w:rsid w:val="00D16164"/>
    <w:rsid w:val="00D16593"/>
    <w:rsid w:val="00D214C4"/>
    <w:rsid w:val="00D22FAF"/>
    <w:rsid w:val="00D24C6C"/>
    <w:rsid w:val="00D327DA"/>
    <w:rsid w:val="00D32B2D"/>
    <w:rsid w:val="00D32BEE"/>
    <w:rsid w:val="00D3302A"/>
    <w:rsid w:val="00D350FB"/>
    <w:rsid w:val="00D41DDD"/>
    <w:rsid w:val="00D4286D"/>
    <w:rsid w:val="00D43352"/>
    <w:rsid w:val="00D51854"/>
    <w:rsid w:val="00D523F6"/>
    <w:rsid w:val="00D52526"/>
    <w:rsid w:val="00D53DE3"/>
    <w:rsid w:val="00D545DC"/>
    <w:rsid w:val="00D54DF7"/>
    <w:rsid w:val="00D55154"/>
    <w:rsid w:val="00D5612A"/>
    <w:rsid w:val="00D5725E"/>
    <w:rsid w:val="00D60037"/>
    <w:rsid w:val="00D60833"/>
    <w:rsid w:val="00D628D2"/>
    <w:rsid w:val="00D62A7A"/>
    <w:rsid w:val="00D6376E"/>
    <w:rsid w:val="00D66811"/>
    <w:rsid w:val="00D67DD4"/>
    <w:rsid w:val="00D703E4"/>
    <w:rsid w:val="00D71AA3"/>
    <w:rsid w:val="00D7239D"/>
    <w:rsid w:val="00D728AB"/>
    <w:rsid w:val="00D744C7"/>
    <w:rsid w:val="00D755D0"/>
    <w:rsid w:val="00D76BD0"/>
    <w:rsid w:val="00D810AD"/>
    <w:rsid w:val="00D82581"/>
    <w:rsid w:val="00D829CE"/>
    <w:rsid w:val="00D84FBC"/>
    <w:rsid w:val="00D8519A"/>
    <w:rsid w:val="00D85FBA"/>
    <w:rsid w:val="00D8655F"/>
    <w:rsid w:val="00D87CD6"/>
    <w:rsid w:val="00D87F8A"/>
    <w:rsid w:val="00D912FC"/>
    <w:rsid w:val="00D92286"/>
    <w:rsid w:val="00D926EA"/>
    <w:rsid w:val="00D944F5"/>
    <w:rsid w:val="00D94983"/>
    <w:rsid w:val="00DA055E"/>
    <w:rsid w:val="00DA17C1"/>
    <w:rsid w:val="00DA25B9"/>
    <w:rsid w:val="00DA2A48"/>
    <w:rsid w:val="00DA44EE"/>
    <w:rsid w:val="00DA495F"/>
    <w:rsid w:val="00DA6D30"/>
    <w:rsid w:val="00DB2008"/>
    <w:rsid w:val="00DB2136"/>
    <w:rsid w:val="00DB29DF"/>
    <w:rsid w:val="00DB2F3F"/>
    <w:rsid w:val="00DB3FFF"/>
    <w:rsid w:val="00DB5F40"/>
    <w:rsid w:val="00DB73F7"/>
    <w:rsid w:val="00DC0D5E"/>
    <w:rsid w:val="00DC15A2"/>
    <w:rsid w:val="00DC2F74"/>
    <w:rsid w:val="00DC34D3"/>
    <w:rsid w:val="00DC461D"/>
    <w:rsid w:val="00DC717C"/>
    <w:rsid w:val="00DD0C96"/>
    <w:rsid w:val="00DD151B"/>
    <w:rsid w:val="00DD24C9"/>
    <w:rsid w:val="00DD3900"/>
    <w:rsid w:val="00DD3FFE"/>
    <w:rsid w:val="00DD441B"/>
    <w:rsid w:val="00DD698D"/>
    <w:rsid w:val="00DD6EEB"/>
    <w:rsid w:val="00DE0FAD"/>
    <w:rsid w:val="00DE1057"/>
    <w:rsid w:val="00DE11C6"/>
    <w:rsid w:val="00DE2AD3"/>
    <w:rsid w:val="00DF019A"/>
    <w:rsid w:val="00DF1B10"/>
    <w:rsid w:val="00DF3135"/>
    <w:rsid w:val="00DF3FA6"/>
    <w:rsid w:val="00DF59C1"/>
    <w:rsid w:val="00DF6935"/>
    <w:rsid w:val="00DF6F18"/>
    <w:rsid w:val="00E01A49"/>
    <w:rsid w:val="00E02CC0"/>
    <w:rsid w:val="00E046C5"/>
    <w:rsid w:val="00E0769C"/>
    <w:rsid w:val="00E108A6"/>
    <w:rsid w:val="00E11139"/>
    <w:rsid w:val="00E123A5"/>
    <w:rsid w:val="00E128DD"/>
    <w:rsid w:val="00E129D3"/>
    <w:rsid w:val="00E1488B"/>
    <w:rsid w:val="00E150DC"/>
    <w:rsid w:val="00E15120"/>
    <w:rsid w:val="00E15330"/>
    <w:rsid w:val="00E17EAC"/>
    <w:rsid w:val="00E2079A"/>
    <w:rsid w:val="00E20878"/>
    <w:rsid w:val="00E24E28"/>
    <w:rsid w:val="00E271D4"/>
    <w:rsid w:val="00E27AE6"/>
    <w:rsid w:val="00E307A0"/>
    <w:rsid w:val="00E30BD5"/>
    <w:rsid w:val="00E30E32"/>
    <w:rsid w:val="00E31496"/>
    <w:rsid w:val="00E3185B"/>
    <w:rsid w:val="00E32E3A"/>
    <w:rsid w:val="00E33544"/>
    <w:rsid w:val="00E33F58"/>
    <w:rsid w:val="00E34688"/>
    <w:rsid w:val="00E3478D"/>
    <w:rsid w:val="00E369AE"/>
    <w:rsid w:val="00E369EB"/>
    <w:rsid w:val="00E36B48"/>
    <w:rsid w:val="00E373CE"/>
    <w:rsid w:val="00E37609"/>
    <w:rsid w:val="00E44220"/>
    <w:rsid w:val="00E443FE"/>
    <w:rsid w:val="00E44EAD"/>
    <w:rsid w:val="00E45F33"/>
    <w:rsid w:val="00E5160E"/>
    <w:rsid w:val="00E53B6A"/>
    <w:rsid w:val="00E54291"/>
    <w:rsid w:val="00E555BC"/>
    <w:rsid w:val="00E559E8"/>
    <w:rsid w:val="00E565EB"/>
    <w:rsid w:val="00E56717"/>
    <w:rsid w:val="00E572E5"/>
    <w:rsid w:val="00E63373"/>
    <w:rsid w:val="00E65EFD"/>
    <w:rsid w:val="00E669C8"/>
    <w:rsid w:val="00E67998"/>
    <w:rsid w:val="00E702ED"/>
    <w:rsid w:val="00E7037C"/>
    <w:rsid w:val="00E703C5"/>
    <w:rsid w:val="00E73AFD"/>
    <w:rsid w:val="00E752DD"/>
    <w:rsid w:val="00E75EEB"/>
    <w:rsid w:val="00E7683D"/>
    <w:rsid w:val="00E768F7"/>
    <w:rsid w:val="00E774F9"/>
    <w:rsid w:val="00E77BDC"/>
    <w:rsid w:val="00E814FA"/>
    <w:rsid w:val="00E81BB6"/>
    <w:rsid w:val="00E82E5A"/>
    <w:rsid w:val="00E83074"/>
    <w:rsid w:val="00E84C3D"/>
    <w:rsid w:val="00E86FAB"/>
    <w:rsid w:val="00E878BA"/>
    <w:rsid w:val="00E87B15"/>
    <w:rsid w:val="00E87C49"/>
    <w:rsid w:val="00E9077D"/>
    <w:rsid w:val="00E93075"/>
    <w:rsid w:val="00E93541"/>
    <w:rsid w:val="00E954E0"/>
    <w:rsid w:val="00E958F3"/>
    <w:rsid w:val="00EA13E8"/>
    <w:rsid w:val="00EA1EF7"/>
    <w:rsid w:val="00EA1FEF"/>
    <w:rsid w:val="00EA20E0"/>
    <w:rsid w:val="00EA3049"/>
    <w:rsid w:val="00EA3504"/>
    <w:rsid w:val="00EA359A"/>
    <w:rsid w:val="00EA6D0C"/>
    <w:rsid w:val="00EA6D14"/>
    <w:rsid w:val="00EA742D"/>
    <w:rsid w:val="00EA7546"/>
    <w:rsid w:val="00EA7B00"/>
    <w:rsid w:val="00EA7C49"/>
    <w:rsid w:val="00EB196C"/>
    <w:rsid w:val="00EB1A2A"/>
    <w:rsid w:val="00EB1D61"/>
    <w:rsid w:val="00EB23DD"/>
    <w:rsid w:val="00EB4A24"/>
    <w:rsid w:val="00EB5203"/>
    <w:rsid w:val="00EB579D"/>
    <w:rsid w:val="00EB5C60"/>
    <w:rsid w:val="00EC0EEF"/>
    <w:rsid w:val="00EC1905"/>
    <w:rsid w:val="00EC225C"/>
    <w:rsid w:val="00EC22AE"/>
    <w:rsid w:val="00EC2421"/>
    <w:rsid w:val="00EC3421"/>
    <w:rsid w:val="00EC73D0"/>
    <w:rsid w:val="00EC7AA2"/>
    <w:rsid w:val="00ED04E5"/>
    <w:rsid w:val="00ED1D00"/>
    <w:rsid w:val="00ED3EDD"/>
    <w:rsid w:val="00ED411A"/>
    <w:rsid w:val="00ED4334"/>
    <w:rsid w:val="00ED656A"/>
    <w:rsid w:val="00EE021C"/>
    <w:rsid w:val="00EE0A27"/>
    <w:rsid w:val="00EE0F61"/>
    <w:rsid w:val="00EE0FAB"/>
    <w:rsid w:val="00EE11FC"/>
    <w:rsid w:val="00EE1814"/>
    <w:rsid w:val="00EE1D43"/>
    <w:rsid w:val="00EE2937"/>
    <w:rsid w:val="00EF143E"/>
    <w:rsid w:val="00EF27C8"/>
    <w:rsid w:val="00EF2891"/>
    <w:rsid w:val="00EF2C91"/>
    <w:rsid w:val="00EF5DAC"/>
    <w:rsid w:val="00EF5E8F"/>
    <w:rsid w:val="00EF5EEB"/>
    <w:rsid w:val="00EF5FC8"/>
    <w:rsid w:val="00F023CA"/>
    <w:rsid w:val="00F03669"/>
    <w:rsid w:val="00F04B0C"/>
    <w:rsid w:val="00F04CE6"/>
    <w:rsid w:val="00F05F5B"/>
    <w:rsid w:val="00F06628"/>
    <w:rsid w:val="00F105FE"/>
    <w:rsid w:val="00F13B85"/>
    <w:rsid w:val="00F14E5F"/>
    <w:rsid w:val="00F15F62"/>
    <w:rsid w:val="00F165B7"/>
    <w:rsid w:val="00F17BD4"/>
    <w:rsid w:val="00F20A2D"/>
    <w:rsid w:val="00F20EAD"/>
    <w:rsid w:val="00F24404"/>
    <w:rsid w:val="00F26A04"/>
    <w:rsid w:val="00F30299"/>
    <w:rsid w:val="00F3095F"/>
    <w:rsid w:val="00F3173A"/>
    <w:rsid w:val="00F34724"/>
    <w:rsid w:val="00F34C67"/>
    <w:rsid w:val="00F35A77"/>
    <w:rsid w:val="00F36256"/>
    <w:rsid w:val="00F36C9E"/>
    <w:rsid w:val="00F373BE"/>
    <w:rsid w:val="00F37AB8"/>
    <w:rsid w:val="00F408DC"/>
    <w:rsid w:val="00F41A93"/>
    <w:rsid w:val="00F427D6"/>
    <w:rsid w:val="00F42A35"/>
    <w:rsid w:val="00F435A4"/>
    <w:rsid w:val="00F444B3"/>
    <w:rsid w:val="00F50387"/>
    <w:rsid w:val="00F51298"/>
    <w:rsid w:val="00F51347"/>
    <w:rsid w:val="00F5151C"/>
    <w:rsid w:val="00F51600"/>
    <w:rsid w:val="00F5181A"/>
    <w:rsid w:val="00F53FAA"/>
    <w:rsid w:val="00F55257"/>
    <w:rsid w:val="00F56DC7"/>
    <w:rsid w:val="00F61973"/>
    <w:rsid w:val="00F64786"/>
    <w:rsid w:val="00F67C29"/>
    <w:rsid w:val="00F701A8"/>
    <w:rsid w:val="00F70325"/>
    <w:rsid w:val="00F708FA"/>
    <w:rsid w:val="00F70BF7"/>
    <w:rsid w:val="00F71626"/>
    <w:rsid w:val="00F748B7"/>
    <w:rsid w:val="00F80BDC"/>
    <w:rsid w:val="00F818FA"/>
    <w:rsid w:val="00F8537A"/>
    <w:rsid w:val="00F92827"/>
    <w:rsid w:val="00F94C4F"/>
    <w:rsid w:val="00F94E6A"/>
    <w:rsid w:val="00F955D3"/>
    <w:rsid w:val="00F95713"/>
    <w:rsid w:val="00FA03C6"/>
    <w:rsid w:val="00FA153B"/>
    <w:rsid w:val="00FA1CC9"/>
    <w:rsid w:val="00FA3989"/>
    <w:rsid w:val="00FA3BBA"/>
    <w:rsid w:val="00FA622A"/>
    <w:rsid w:val="00FA6E60"/>
    <w:rsid w:val="00FB122E"/>
    <w:rsid w:val="00FB1860"/>
    <w:rsid w:val="00FB35E6"/>
    <w:rsid w:val="00FB41D7"/>
    <w:rsid w:val="00FB45A2"/>
    <w:rsid w:val="00FB5666"/>
    <w:rsid w:val="00FB5CFE"/>
    <w:rsid w:val="00FB7962"/>
    <w:rsid w:val="00FC15D6"/>
    <w:rsid w:val="00FC23C2"/>
    <w:rsid w:val="00FC3163"/>
    <w:rsid w:val="00FC368B"/>
    <w:rsid w:val="00FC38D0"/>
    <w:rsid w:val="00FC51D2"/>
    <w:rsid w:val="00FC5407"/>
    <w:rsid w:val="00FC66D1"/>
    <w:rsid w:val="00FC6D67"/>
    <w:rsid w:val="00FD5835"/>
    <w:rsid w:val="00FD7AAE"/>
    <w:rsid w:val="00FE10BE"/>
    <w:rsid w:val="00FE19A3"/>
    <w:rsid w:val="00FE1CA4"/>
    <w:rsid w:val="00FE1E54"/>
    <w:rsid w:val="00FE2DC6"/>
    <w:rsid w:val="00FE327C"/>
    <w:rsid w:val="00FE33A1"/>
    <w:rsid w:val="00FE3512"/>
    <w:rsid w:val="00FE50CC"/>
    <w:rsid w:val="00FE666F"/>
    <w:rsid w:val="00FE6A1D"/>
    <w:rsid w:val="00FE6B14"/>
    <w:rsid w:val="00FE6DC4"/>
    <w:rsid w:val="00FF250B"/>
    <w:rsid w:val="00FF269C"/>
    <w:rsid w:val="00FF3841"/>
    <w:rsid w:val="00FF40AD"/>
    <w:rsid w:val="00FF53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6A9CA8"/>
  <w15:chartTrackingRefBased/>
  <w15:docId w15:val="{BFA6686A-54F9-46CD-B9A7-167534BC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tabs>
        <w:tab w:val="left" w:pos="-720"/>
      </w:tabs>
      <w:suppressAutoHyphens/>
      <w:outlineLvl w:val="3"/>
    </w:p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</w:style>
  <w:style w:type="character" w:styleId="FootnoteReference">
    <w:name w:val="foot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Agenda2">
    <w:name w:val="Agenda 2"/>
    <w:basedOn w:val="DefaultParagraphFont"/>
  </w:style>
  <w:style w:type="character" w:customStyle="1" w:styleId="Agenda1">
    <w:name w:val="Agenda 1"/>
    <w:basedOn w:val="DefaultParagraphFont"/>
  </w:style>
  <w:style w:type="character" w:customStyle="1" w:styleId="Agenda3">
    <w:name w:val="Agenda 3"/>
    <w:basedOn w:val="DefaultParagraphFont"/>
  </w:style>
  <w:style w:type="character" w:customStyle="1" w:styleId="paranum">
    <w:name w:val="para num"/>
    <w:rPr>
      <w:rFonts w:ascii="Courier New" w:hAnsi="Courier New"/>
      <w:noProof w:val="0"/>
      <w:sz w:val="24"/>
      <w:lang w:val="en-US"/>
    </w:rPr>
  </w:style>
  <w:style w:type="character" w:customStyle="1" w:styleId="Heading">
    <w:name w:val="Heading"/>
    <w:basedOn w:val="DefaultParagraphFont"/>
  </w:style>
  <w:style w:type="character" w:customStyle="1" w:styleId="RightPar">
    <w:name w:val="Right Par"/>
    <w:basedOn w:val="DefaultParagraphFont"/>
  </w:style>
  <w:style w:type="character" w:customStyle="1" w:styleId="Subheading">
    <w:name w:val="Subheading"/>
    <w:basedOn w:val="DefaultParagraphFont"/>
  </w:style>
  <w:style w:type="character" w:customStyle="1" w:styleId="FOOTNOTE">
    <w:name w:val="FOOTNOTE"/>
    <w:rPr>
      <w:rFonts w:ascii="Courier New" w:hAnsi="Courier New"/>
      <w:noProof w:val="0"/>
      <w:sz w:val="19"/>
      <w:lang w:val="en-US"/>
    </w:rPr>
  </w:style>
  <w:style w:type="character" w:customStyle="1" w:styleId="HIGHLIGHT1">
    <w:name w:val="HIGHLIGHT 1"/>
    <w:rPr>
      <w:rFonts w:ascii="Courier New" w:hAnsi="Courier New"/>
      <w:b/>
      <w:i/>
      <w:noProof w:val="0"/>
      <w:sz w:val="24"/>
      <w:lang w:val="en-US"/>
    </w:rPr>
  </w:style>
  <w:style w:type="character" w:customStyle="1" w:styleId="Header1">
    <w:name w:val="Header1"/>
    <w:rPr>
      <w:rFonts w:ascii="Courier New" w:hAnsi="Courier New"/>
      <w:noProof w:val="0"/>
      <w:sz w:val="24"/>
      <w:lang w:val="en-US"/>
    </w:rPr>
  </w:style>
  <w:style w:type="character" w:customStyle="1" w:styleId="LETTERLAND">
    <w:name w:val="LETTER LAND"/>
    <w:rPr>
      <w:rFonts w:ascii="Courier New" w:hAnsi="Courier New"/>
      <w:noProof w:val="0"/>
      <w:sz w:val="24"/>
      <w:lang w:val="en-US"/>
    </w:rPr>
  </w:style>
  <w:style w:type="character" w:customStyle="1" w:styleId="LEGALLAND">
    <w:name w:val="LEGAL LAND"/>
    <w:rPr>
      <w:rFonts w:ascii="Courier New" w:hAnsi="Courier New"/>
      <w:noProof w:val="0"/>
      <w:sz w:val="24"/>
      <w:lang w:val="en-US"/>
    </w:rPr>
  </w:style>
  <w:style w:type="character" w:customStyle="1" w:styleId="LETTERPORT">
    <w:name w:val="LETTER PORT"/>
    <w:rPr>
      <w:rFonts w:ascii="Courier New" w:hAnsi="Courier New"/>
      <w:noProof w:val="0"/>
      <w:sz w:val="24"/>
      <w:lang w:val="en-US"/>
    </w:rPr>
  </w:style>
  <w:style w:type="character" w:customStyle="1" w:styleId="LEGALPORT">
    <w:name w:val="LEGAL PORT"/>
    <w:rPr>
      <w:rFonts w:ascii="Courier New" w:hAnsi="Courier New"/>
      <w:noProof w:val="0"/>
      <w:sz w:val="24"/>
      <w:lang w:val="en-US"/>
    </w:rPr>
  </w:style>
  <w:style w:type="character" w:customStyle="1" w:styleId="Title1">
    <w:name w:val="Title1"/>
    <w:rPr>
      <w:b/>
      <w:sz w:val="36"/>
    </w:rPr>
  </w:style>
  <w:style w:type="character" w:customStyle="1" w:styleId="Footer1">
    <w:name w:val="Footer1"/>
    <w:rPr>
      <w:rFonts w:ascii="Courier New" w:hAnsi="Courier New"/>
      <w:noProof w:val="0"/>
      <w:sz w:val="24"/>
      <w:lang w:val="en-US"/>
    </w:rPr>
  </w:style>
  <w:style w:type="character" w:customStyle="1" w:styleId="BLOCKQUOTE">
    <w:name w:val="BLOCK QUOTE"/>
    <w:basedOn w:val="DefaultParagraphFont"/>
  </w:style>
  <w:style w:type="character" w:customStyle="1" w:styleId="Heading31">
    <w:name w:val="Heading 31"/>
    <w:rPr>
      <w:rFonts w:ascii="Courier New" w:hAnsi="Courier New"/>
      <w:b/>
      <w:noProof w:val="0"/>
      <w:sz w:val="24"/>
      <w:lang w:val="en-US"/>
    </w:rPr>
  </w:style>
  <w:style w:type="character" w:customStyle="1" w:styleId="HIGHLIGHT2">
    <w:name w:val="HIGHLIGHT 2"/>
    <w:rPr>
      <w:rFonts w:ascii="Courier New" w:hAnsi="Courier New"/>
      <w:b/>
      <w:noProof w:val="0"/>
      <w:sz w:val="29"/>
      <w:lang w:val="en-US"/>
    </w:rPr>
  </w:style>
  <w:style w:type="character" w:customStyle="1" w:styleId="HIGHLIGHT3">
    <w:name w:val="HIGHLIGHT 3"/>
    <w:rPr>
      <w:sz w:val="29"/>
      <w:u w:val="single"/>
    </w:rPr>
  </w:style>
  <w:style w:type="character" w:customStyle="1" w:styleId="LETTERHEAD">
    <w:name w:val="LETTERHEAD"/>
    <w:basedOn w:val="DefaultParagraphFont"/>
  </w:style>
  <w:style w:type="paragraph" w:customStyle="1" w:styleId="INVOICEFEE">
    <w:name w:val="INVOICE FEE"/>
    <w:pPr>
      <w:widowControl w:val="0"/>
      <w:tabs>
        <w:tab w:val="left" w:pos="-1584"/>
        <w:tab w:val="left" w:pos="0"/>
        <w:tab w:val="decimal" w:pos="9432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MEMORANDUM">
    <w:name w:val="MEMORANDUM"/>
    <w:rPr>
      <w:sz w:val="24"/>
    </w:rPr>
  </w:style>
  <w:style w:type="paragraph" w:customStyle="1" w:styleId="INVOICEEXP">
    <w:name w:val="INVOICE EXP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INVOICETOT">
    <w:name w:val="INVOICE TOT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Normal1">
    <w:name w:val="Normal1"/>
    <w:rPr>
      <w:rFonts w:ascii="Courier New" w:hAnsi="Courier New"/>
      <w:noProof w:val="0"/>
      <w:sz w:val="24"/>
      <w:lang w:val="en-US"/>
    </w:rPr>
  </w:style>
  <w:style w:type="character" w:customStyle="1" w:styleId="SMALL">
    <w:name w:val="SMALL"/>
    <w:rPr>
      <w:rFonts w:ascii="Courier New" w:hAnsi="Courier New"/>
      <w:noProof w:val="0"/>
      <w:sz w:val="19"/>
      <w:lang w:val="en-US"/>
    </w:rPr>
  </w:style>
  <w:style w:type="character" w:customStyle="1" w:styleId="FINE">
    <w:name w:val="FINE"/>
    <w:rPr>
      <w:rFonts w:ascii="Courier New" w:hAnsi="Courier New"/>
      <w:noProof w:val="0"/>
      <w:sz w:val="14"/>
      <w:lang w:val="en-US"/>
    </w:rPr>
  </w:style>
  <w:style w:type="character" w:customStyle="1" w:styleId="LARGE">
    <w:name w:val="LARGE"/>
    <w:rPr>
      <w:rFonts w:ascii="Courier New" w:hAnsi="Courier New"/>
      <w:noProof w:val="0"/>
      <w:sz w:val="29"/>
      <w:lang w:val="en-US"/>
    </w:rPr>
  </w:style>
  <w:style w:type="character" w:customStyle="1" w:styleId="EXTRALARGE">
    <w:name w:val="EXTRA LARGE"/>
    <w:rPr>
      <w:rFonts w:ascii="Courier New" w:hAnsi="Courier New"/>
      <w:noProof w:val="0"/>
      <w:sz w:val="48"/>
      <w:lang w:val="en-US"/>
    </w:rPr>
  </w:style>
  <w:style w:type="character" w:customStyle="1" w:styleId="VERYLARGE">
    <w:name w:val="VERY LARGE"/>
    <w:rPr>
      <w:rFonts w:ascii="Courier New" w:hAnsi="Courier New"/>
      <w:noProof w:val="0"/>
      <w:sz w:val="36"/>
      <w:lang w:val="en-US"/>
    </w:rPr>
  </w:style>
  <w:style w:type="character" w:customStyle="1" w:styleId="MACNormal">
    <w:name w:val="MACNormal"/>
    <w:rPr>
      <w:rFonts w:ascii="Courier New" w:hAnsi="Courier New"/>
      <w:noProof w:val="0"/>
      <w:sz w:val="24"/>
      <w:lang w:val="en-US"/>
    </w:rPr>
  </w:style>
  <w:style w:type="character" w:customStyle="1" w:styleId="1">
    <w:name w:val="1"/>
    <w:rPr>
      <w:rFonts w:ascii="Courier New" w:hAnsi="Courier New"/>
      <w:noProof w:val="0"/>
      <w:sz w:val="24"/>
      <w:lang w:val="en-US"/>
    </w:rPr>
  </w:style>
  <w:style w:type="character" w:customStyle="1" w:styleId="Style14">
    <w:name w:val="Style 14"/>
    <w:rPr>
      <w:rFonts w:ascii="Arial" w:hAnsi="Arial"/>
      <w:noProof w:val="0"/>
      <w:sz w:val="15"/>
      <w:lang w:val="en-US"/>
    </w:rPr>
  </w:style>
  <w:style w:type="character" w:customStyle="1" w:styleId="Style12">
    <w:name w:val="Style 12"/>
    <w:rPr>
      <w:rFonts w:ascii="Times New Roman" w:hAnsi="Times New Roman"/>
      <w:i/>
      <w:noProof w:val="0"/>
      <w:sz w:val="22"/>
      <w:lang w:val="en-US"/>
    </w:rPr>
  </w:style>
  <w:style w:type="paragraph" w:customStyle="1" w:styleId="Style3">
    <w:name w:val="Style 3"/>
    <w:pPr>
      <w:widowControl w:val="0"/>
      <w:tabs>
        <w:tab w:val="left" w:pos="-409"/>
        <w:tab w:val="left" w:pos="755"/>
        <w:tab w:val="left" w:pos="1919"/>
        <w:tab w:val="left" w:pos="3083"/>
        <w:tab w:val="left" w:pos="3665"/>
        <w:tab w:val="left" w:pos="4247"/>
        <w:tab w:val="left" w:pos="4829"/>
        <w:tab w:val="left" w:pos="5411"/>
        <w:tab w:val="left" w:pos="5993"/>
        <w:tab w:val="left" w:pos="6575"/>
        <w:tab w:val="left" w:pos="7157"/>
        <w:tab w:val="left" w:pos="7739"/>
        <w:tab w:val="left" w:pos="8321"/>
        <w:tab w:val="left" w:pos="8903"/>
      </w:tabs>
      <w:suppressAutoHyphens/>
    </w:pPr>
    <w:rPr>
      <w:snapToGrid w:val="0"/>
      <w:sz w:val="22"/>
    </w:rPr>
  </w:style>
  <w:style w:type="character" w:customStyle="1" w:styleId="Style4">
    <w:name w:val="Style 4"/>
    <w:rPr>
      <w:rFonts w:ascii="Arial" w:hAnsi="Arial"/>
      <w:noProof w:val="0"/>
      <w:sz w:val="15"/>
      <w:lang w:val="en-US"/>
    </w:rPr>
  </w:style>
  <w:style w:type="character" w:customStyle="1" w:styleId="Style1">
    <w:name w:val="Style 1"/>
    <w:rPr>
      <w:rFonts w:ascii="Times New Roman" w:hAnsi="Times New Roman"/>
      <w:noProof w:val="0"/>
      <w:sz w:val="22"/>
      <w:lang w:val="en-US"/>
    </w:rPr>
  </w:style>
  <w:style w:type="character" w:customStyle="1" w:styleId="Style2">
    <w:name w:val="Style 2"/>
    <w:rPr>
      <w:rFonts w:ascii="Times New Roman" w:hAnsi="Times New Roman"/>
      <w:i/>
      <w:noProof w:val="0"/>
      <w:sz w:val="22"/>
      <w:lang w:val="en-US"/>
    </w:rPr>
  </w:style>
  <w:style w:type="character" w:customStyle="1" w:styleId="Style5">
    <w:name w:val="Style 5"/>
    <w:rPr>
      <w:rFonts w:ascii="Times New Roman" w:hAnsi="Times New Roman"/>
      <w:b/>
      <w:noProof w:val="0"/>
      <w:sz w:val="34"/>
      <w:lang w:val="en-US"/>
    </w:rPr>
  </w:style>
  <w:style w:type="character" w:customStyle="1" w:styleId="Style7">
    <w:name w:val="Style 7"/>
    <w:rPr>
      <w:rFonts w:ascii="Arial" w:hAnsi="Arial"/>
      <w:noProof w:val="0"/>
      <w:sz w:val="22"/>
      <w:lang w:val="en-US"/>
    </w:rPr>
  </w:style>
  <w:style w:type="character" w:customStyle="1" w:styleId="Style6">
    <w:name w:val="Style 6"/>
    <w:rPr>
      <w:rFonts w:ascii="Times New Roman" w:hAnsi="Times New Roman"/>
      <w:noProof w:val="0"/>
      <w:sz w:val="27"/>
      <w:lang w:val="en-US"/>
    </w:rPr>
  </w:style>
  <w:style w:type="character" w:customStyle="1" w:styleId="DefaultParagraphFo">
    <w:name w:val="Default Paragraph Fo"/>
    <w:basedOn w:val="DefaultParagraphFont"/>
  </w:style>
  <w:style w:type="character" w:customStyle="1" w:styleId="head1">
    <w:name w:val="head1"/>
    <w:rPr>
      <w:rFonts w:ascii="Arial" w:hAnsi="Arial"/>
      <w:b/>
      <w:noProof w:val="0"/>
      <w:sz w:val="32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i/>
      <w:sz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/>
      <w:noProof w:val="0"/>
      <w:sz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/>
      <w:noProof w:val="0"/>
      <w:sz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/>
      <w:noProof w:val="0"/>
      <w:sz w:val="24"/>
      <w:lang w:val="en-US"/>
    </w:rPr>
  </w:style>
  <w:style w:type="character" w:customStyle="1" w:styleId="Technical30">
    <w:name w:val="Technical[3]"/>
    <w:rPr>
      <w:rFonts w:ascii="Courier New" w:hAnsi="Courier New"/>
      <w:noProof w:val="0"/>
      <w:sz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/>
      <w:noProof w:val="0"/>
      <w:sz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Paragraph10">
    <w:name w:val="Paragraph[1]"/>
    <w:basedOn w:val="DefaultParagraphFont"/>
  </w:style>
  <w:style w:type="character" w:customStyle="1" w:styleId="Paragraph20">
    <w:name w:val="Paragraph[2]"/>
    <w:basedOn w:val="DefaultParagraphFont"/>
  </w:style>
  <w:style w:type="character" w:customStyle="1" w:styleId="Paragraph30">
    <w:name w:val="Paragraph[3]"/>
    <w:basedOn w:val="DefaultParagraphFont"/>
  </w:style>
  <w:style w:type="character" w:customStyle="1" w:styleId="Paragraph40">
    <w:name w:val="Paragraph[4]"/>
    <w:basedOn w:val="DefaultParagraphFont"/>
  </w:style>
  <w:style w:type="character" w:customStyle="1" w:styleId="Paragraph50">
    <w:name w:val="Paragraph[5]"/>
    <w:basedOn w:val="DefaultParagraphFont"/>
  </w:style>
  <w:style w:type="character" w:customStyle="1" w:styleId="Paragraph60">
    <w:name w:val="Paragraph[6]"/>
    <w:basedOn w:val="DefaultParagraphFont"/>
  </w:style>
  <w:style w:type="character" w:customStyle="1" w:styleId="Paragraph70">
    <w:name w:val="Paragraph[7]"/>
    <w:basedOn w:val="DefaultParagraphFont"/>
  </w:style>
  <w:style w:type="character" w:customStyle="1" w:styleId="Paragraph80">
    <w:name w:val="Paragraph[8]"/>
    <w:basedOn w:val="DefaultParagraphFont"/>
  </w:style>
  <w:style w:type="paragraph" w:customStyle="1" w:styleId="toa">
    <w:name w:val="toa"/>
    <w:pPr>
      <w:widowControl w:val="0"/>
      <w:tabs>
        <w:tab w:val="left" w:pos="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EquationCaption">
    <w:name w:val="_Equation Caption"/>
    <w:basedOn w:val="DefaultParagraphFont"/>
  </w:style>
  <w:style w:type="character" w:customStyle="1" w:styleId="2">
    <w:name w:val="2"/>
    <w:rPr>
      <w:b/>
      <w:i/>
      <w:sz w:val="24"/>
    </w:rPr>
  </w:style>
  <w:style w:type="character" w:customStyle="1" w:styleId="3">
    <w:name w:val="3"/>
    <w:basedOn w:val="DefaultParagraphFont"/>
  </w:style>
  <w:style w:type="character" w:customStyle="1" w:styleId="4">
    <w:name w:val="4"/>
    <w:basedOn w:val="DefaultParagraphFont"/>
  </w:style>
  <w:style w:type="character" w:customStyle="1" w:styleId="5">
    <w:name w:val="5"/>
    <w:rPr>
      <w:rFonts w:ascii="Courier New" w:hAnsi="Courier New"/>
      <w:noProof w:val="0"/>
      <w:sz w:val="24"/>
      <w:lang w:val="en-US"/>
    </w:rPr>
  </w:style>
  <w:style w:type="character" w:customStyle="1" w:styleId="6">
    <w:name w:val="6"/>
    <w:basedOn w:val="DefaultParagraphFont"/>
  </w:style>
  <w:style w:type="character" w:customStyle="1" w:styleId="7">
    <w:name w:val="7"/>
    <w:basedOn w:val="DefaultParagraphFont"/>
  </w:style>
  <w:style w:type="character" w:customStyle="1" w:styleId="8">
    <w:name w:val="8"/>
    <w:basedOn w:val="DefaultParagraphFont"/>
  </w:style>
  <w:style w:type="character" w:customStyle="1" w:styleId="9">
    <w:name w:val="9"/>
    <w:rPr>
      <w:rFonts w:ascii="Courier New" w:hAnsi="Courier New"/>
      <w:noProof w:val="0"/>
      <w:sz w:val="24"/>
      <w:lang w:val="en-US"/>
    </w:rPr>
  </w:style>
  <w:style w:type="character" w:customStyle="1" w:styleId="10">
    <w:name w:val="10"/>
    <w:basedOn w:val="DefaultParagraphFont"/>
  </w:style>
  <w:style w:type="character" w:customStyle="1" w:styleId="11">
    <w:name w:val="11"/>
    <w:basedOn w:val="DefaultParagraphFont"/>
  </w:style>
  <w:style w:type="character" w:customStyle="1" w:styleId="12">
    <w:name w:val="12"/>
    <w:basedOn w:val="DefaultParagraphFont"/>
  </w:style>
  <w:style w:type="character" w:customStyle="1" w:styleId="13">
    <w:name w:val="13"/>
    <w:basedOn w:val="DefaultParagraphFont"/>
  </w:style>
  <w:style w:type="character" w:customStyle="1" w:styleId="14">
    <w:name w:val="14"/>
    <w:basedOn w:val="DefaultParagraphFont"/>
  </w:style>
  <w:style w:type="character" w:customStyle="1" w:styleId="15">
    <w:name w:val="15"/>
    <w:basedOn w:val="DefaultParagraphFont"/>
  </w:style>
  <w:style w:type="paragraph" w:customStyle="1" w:styleId="16">
    <w:name w:val="1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17">
    <w:name w:val="17"/>
    <w:basedOn w:val="DefaultParagraphFont"/>
  </w:style>
  <w:style w:type="character" w:customStyle="1" w:styleId="18">
    <w:name w:val="18"/>
    <w:basedOn w:val="DefaultParagraphFont"/>
  </w:style>
  <w:style w:type="character" w:customStyle="1" w:styleId="19">
    <w:name w:val="19"/>
    <w:rPr>
      <w:rFonts w:ascii="Courier New" w:hAnsi="Courier New"/>
      <w:noProof w:val="0"/>
      <w:sz w:val="24"/>
      <w:lang w:val="en-US"/>
    </w:rPr>
  </w:style>
  <w:style w:type="character" w:customStyle="1" w:styleId="20a">
    <w:name w:val="20a"/>
    <w:rPr>
      <w:rFonts w:ascii="Courier New" w:hAnsi="Courier New"/>
      <w:noProof w:val="0"/>
      <w:sz w:val="24"/>
      <w:lang w:val="en-US"/>
    </w:rPr>
  </w:style>
  <w:style w:type="character" w:customStyle="1" w:styleId="21a">
    <w:name w:val="21a"/>
    <w:basedOn w:val="DefaultParagraphFont"/>
  </w:style>
  <w:style w:type="character" w:customStyle="1" w:styleId="22a">
    <w:name w:val="22a"/>
    <w:rPr>
      <w:rFonts w:ascii="Courier New" w:hAnsi="Courier New"/>
      <w:noProof w:val="0"/>
      <w:sz w:val="24"/>
      <w:lang w:val="en-US"/>
    </w:rPr>
  </w:style>
  <w:style w:type="character" w:customStyle="1" w:styleId="23a">
    <w:name w:val="23a"/>
    <w:basedOn w:val="DefaultParagraphFont"/>
  </w:style>
  <w:style w:type="character" w:customStyle="1" w:styleId="24a">
    <w:name w:val="24a"/>
    <w:basedOn w:val="DefaultParagraphFont"/>
  </w:style>
  <w:style w:type="character" w:customStyle="1" w:styleId="25a">
    <w:name w:val="25a"/>
    <w:basedOn w:val="DefaultParagraphFont"/>
  </w:style>
  <w:style w:type="character" w:customStyle="1" w:styleId="26a">
    <w:name w:val="26a"/>
    <w:basedOn w:val="DefaultParagraphFont"/>
  </w:style>
  <w:style w:type="character" w:customStyle="1" w:styleId="27a">
    <w:name w:val="27a"/>
    <w:basedOn w:val="DefaultParagraphFont"/>
  </w:style>
  <w:style w:type="character" w:customStyle="1" w:styleId="28">
    <w:name w:val="28"/>
    <w:basedOn w:val="DefaultParagraphFont"/>
  </w:style>
  <w:style w:type="character" w:customStyle="1" w:styleId="29">
    <w:name w:val="29"/>
    <w:basedOn w:val="DefaultParagraphFont"/>
  </w:style>
  <w:style w:type="character" w:customStyle="1" w:styleId="30b">
    <w:name w:val="30b"/>
    <w:basedOn w:val="DefaultParagraphFont"/>
  </w:style>
  <w:style w:type="character" w:customStyle="1" w:styleId="31b">
    <w:name w:val="31b"/>
    <w:basedOn w:val="DefaultParagraphFont"/>
  </w:style>
  <w:style w:type="character" w:customStyle="1" w:styleId="32b">
    <w:name w:val="32b"/>
    <w:basedOn w:val="DefaultParagraphFont"/>
  </w:style>
  <w:style w:type="character" w:customStyle="1" w:styleId="DefaultPara">
    <w:name w:val="Default Para"/>
    <w:basedOn w:val="DefaultParagraphFont"/>
  </w:style>
  <w:style w:type="character" w:customStyle="1" w:styleId="EquationCa">
    <w:name w:val="_Equation Ca"/>
    <w:basedOn w:val="DefaultParagraphFont"/>
  </w:style>
  <w:style w:type="character" w:customStyle="1" w:styleId="endnoterefe">
    <w:name w:val="endnote refe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footnoteref">
    <w:name w:val="footnote ref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110">
    <w:name w:val="110"/>
    <w:aliases w:val="21,31"/>
    <w:basedOn w:val="DefaultParagraphFont"/>
  </w:style>
  <w:style w:type="character" w:customStyle="1" w:styleId="A">
    <w:name w:val="A"/>
    <w:aliases w:val="B"/>
    <w:basedOn w:val="DefaultParagraphFont"/>
  </w:style>
  <w:style w:type="paragraph" w:customStyle="1" w:styleId="footnotetex">
    <w:name w:val="footnote tex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33b">
    <w:name w:val="33b"/>
    <w:basedOn w:val="DefaultParagraphFont"/>
  </w:style>
  <w:style w:type="character" w:customStyle="1" w:styleId="34b">
    <w:name w:val="34b"/>
    <w:rPr>
      <w:b/>
      <w:i/>
      <w:sz w:val="24"/>
    </w:rPr>
  </w:style>
  <w:style w:type="character" w:customStyle="1" w:styleId="35b">
    <w:name w:val="35b"/>
    <w:basedOn w:val="DefaultParagraphFont"/>
  </w:style>
  <w:style w:type="character" w:customStyle="1" w:styleId="36b">
    <w:name w:val="36b"/>
    <w:basedOn w:val="DefaultParagraphFont"/>
  </w:style>
  <w:style w:type="character" w:customStyle="1" w:styleId="37b">
    <w:name w:val="37b"/>
    <w:rPr>
      <w:rFonts w:ascii="Courier New" w:hAnsi="Courier New"/>
      <w:noProof w:val="0"/>
      <w:sz w:val="24"/>
      <w:lang w:val="en-US"/>
    </w:rPr>
  </w:style>
  <w:style w:type="character" w:customStyle="1" w:styleId="38">
    <w:name w:val="38"/>
    <w:basedOn w:val="DefaultParagraphFont"/>
  </w:style>
  <w:style w:type="character" w:customStyle="1" w:styleId="39">
    <w:name w:val="39"/>
    <w:basedOn w:val="DefaultParagraphFont"/>
  </w:style>
  <w:style w:type="character" w:customStyle="1" w:styleId="40">
    <w:name w:val="40"/>
    <w:basedOn w:val="DefaultParagraphFont"/>
  </w:style>
  <w:style w:type="character" w:customStyle="1" w:styleId="41">
    <w:name w:val="41"/>
    <w:rPr>
      <w:rFonts w:ascii="Courier New" w:hAnsi="Courier New"/>
      <w:noProof w:val="0"/>
      <w:sz w:val="24"/>
      <w:lang w:val="en-US"/>
    </w:rPr>
  </w:style>
  <w:style w:type="character" w:customStyle="1" w:styleId="42a">
    <w:name w:val="42a"/>
    <w:basedOn w:val="DefaultParagraphFont"/>
  </w:style>
  <w:style w:type="character" w:customStyle="1" w:styleId="43a">
    <w:name w:val="43a"/>
    <w:basedOn w:val="DefaultParagraphFont"/>
  </w:style>
  <w:style w:type="character" w:customStyle="1" w:styleId="44a">
    <w:name w:val="44a"/>
    <w:basedOn w:val="DefaultParagraphFont"/>
  </w:style>
  <w:style w:type="character" w:customStyle="1" w:styleId="45a">
    <w:name w:val="45a"/>
    <w:basedOn w:val="DefaultParagraphFont"/>
  </w:style>
  <w:style w:type="character" w:customStyle="1" w:styleId="46a">
    <w:name w:val="46a"/>
    <w:basedOn w:val="DefaultParagraphFont"/>
  </w:style>
  <w:style w:type="character" w:customStyle="1" w:styleId="47a">
    <w:name w:val="47a"/>
    <w:basedOn w:val="DefaultParagraphFont"/>
  </w:style>
  <w:style w:type="paragraph" w:customStyle="1" w:styleId="48p">
    <w:name w:val="48p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49p">
    <w:name w:val="49p"/>
    <w:basedOn w:val="DefaultParagraphFont"/>
  </w:style>
  <w:style w:type="character" w:customStyle="1" w:styleId="50b">
    <w:name w:val="50b"/>
    <w:basedOn w:val="DefaultParagraphFont"/>
  </w:style>
  <w:style w:type="character" w:customStyle="1" w:styleId="51b">
    <w:name w:val="51b"/>
    <w:rPr>
      <w:rFonts w:ascii="Courier New" w:hAnsi="Courier New"/>
      <w:noProof w:val="0"/>
      <w:sz w:val="24"/>
      <w:lang w:val="en-US"/>
    </w:rPr>
  </w:style>
  <w:style w:type="character" w:customStyle="1" w:styleId="52a">
    <w:name w:val="52a"/>
    <w:rPr>
      <w:rFonts w:ascii="Courier New" w:hAnsi="Courier New"/>
      <w:noProof w:val="0"/>
      <w:sz w:val="24"/>
      <w:lang w:val="en-US"/>
    </w:rPr>
  </w:style>
  <w:style w:type="character" w:customStyle="1" w:styleId="53a">
    <w:name w:val="53a"/>
    <w:basedOn w:val="DefaultParagraphFont"/>
  </w:style>
  <w:style w:type="character" w:customStyle="1" w:styleId="54b">
    <w:name w:val="54b"/>
    <w:rPr>
      <w:rFonts w:ascii="Courier New" w:hAnsi="Courier New"/>
      <w:noProof w:val="0"/>
      <w:sz w:val="24"/>
      <w:lang w:val="en-US"/>
    </w:rPr>
  </w:style>
  <w:style w:type="character" w:customStyle="1" w:styleId="55b">
    <w:name w:val="55b"/>
    <w:basedOn w:val="DefaultParagraphFont"/>
  </w:style>
  <w:style w:type="character" w:customStyle="1" w:styleId="56b">
    <w:name w:val="56b"/>
    <w:basedOn w:val="DefaultParagraphFont"/>
  </w:style>
  <w:style w:type="character" w:customStyle="1" w:styleId="57b">
    <w:name w:val="57b"/>
    <w:basedOn w:val="DefaultParagraphFont"/>
  </w:style>
  <w:style w:type="character" w:customStyle="1" w:styleId="58aa">
    <w:name w:val="58aa"/>
    <w:basedOn w:val="DefaultParagraphFont"/>
  </w:style>
  <w:style w:type="character" w:customStyle="1" w:styleId="59aa">
    <w:name w:val="59aa"/>
    <w:basedOn w:val="DefaultParagraphFont"/>
  </w:style>
  <w:style w:type="character" w:customStyle="1" w:styleId="60aa">
    <w:name w:val="60aa"/>
    <w:basedOn w:val="DefaultParagraphFont"/>
  </w:style>
  <w:style w:type="character" w:customStyle="1" w:styleId="61aa">
    <w:name w:val="61aa"/>
    <w:basedOn w:val="DefaultParagraphFont"/>
  </w:style>
  <w:style w:type="character" w:customStyle="1" w:styleId="62aa">
    <w:name w:val="62aa"/>
    <w:basedOn w:val="DefaultParagraphFont"/>
  </w:style>
  <w:style w:type="character" w:customStyle="1" w:styleId="63aa">
    <w:name w:val="63aa"/>
    <w:basedOn w:val="DefaultParagraphFont"/>
  </w:style>
  <w:style w:type="character" w:customStyle="1" w:styleId="64aa">
    <w:name w:val="64aa"/>
    <w:basedOn w:val="DefaultParagraphFont"/>
  </w:style>
  <w:style w:type="character" w:customStyle="1" w:styleId="65aa">
    <w:name w:val="65aa"/>
    <w:basedOn w:val="DefaultParagraphFont"/>
  </w:style>
  <w:style w:type="character" w:customStyle="1" w:styleId="66aa">
    <w:name w:val="66aa"/>
    <w:basedOn w:val="DefaultParagraphFont"/>
  </w:style>
  <w:style w:type="character" w:customStyle="1" w:styleId="67aa">
    <w:name w:val="67aa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68aa">
    <w:name w:val="68aa"/>
    <w:rPr>
      <w:rFonts w:ascii="CG Times" w:hAnsi="CG Times"/>
      <w:noProof w:val="0"/>
      <w:sz w:val="2"/>
      <w:vertAlign w:val="superscript"/>
      <w:lang w:val="en-US"/>
    </w:rPr>
  </w:style>
  <w:style w:type="paragraph" w:customStyle="1" w:styleId="69aa">
    <w:name w:val="69aa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70bb">
    <w:name w:val="70bb"/>
    <w:basedOn w:val="DefaultParagraphFont"/>
  </w:style>
  <w:style w:type="character" w:customStyle="1" w:styleId="71bb">
    <w:name w:val="71bb"/>
    <w:rPr>
      <w:b/>
      <w:i/>
      <w:sz w:val="24"/>
    </w:rPr>
  </w:style>
  <w:style w:type="character" w:customStyle="1" w:styleId="72bb">
    <w:name w:val="72bb"/>
    <w:basedOn w:val="DefaultParagraphFont"/>
  </w:style>
  <w:style w:type="character" w:customStyle="1" w:styleId="73bb">
    <w:name w:val="73bb"/>
    <w:basedOn w:val="DefaultParagraphFont"/>
  </w:style>
  <w:style w:type="character" w:customStyle="1" w:styleId="74bb">
    <w:name w:val="74bb"/>
    <w:rPr>
      <w:rFonts w:ascii="Courier New" w:hAnsi="Courier New"/>
      <w:noProof w:val="0"/>
      <w:sz w:val="24"/>
      <w:lang w:val="en-US"/>
    </w:rPr>
  </w:style>
  <w:style w:type="character" w:customStyle="1" w:styleId="75bb">
    <w:name w:val="75bb"/>
    <w:basedOn w:val="DefaultParagraphFont"/>
  </w:style>
  <w:style w:type="character" w:customStyle="1" w:styleId="76bb">
    <w:name w:val="76bb"/>
    <w:basedOn w:val="DefaultParagraphFont"/>
  </w:style>
  <w:style w:type="character" w:customStyle="1" w:styleId="77bb">
    <w:name w:val="77bb"/>
    <w:basedOn w:val="DefaultParagraphFont"/>
  </w:style>
  <w:style w:type="character" w:customStyle="1" w:styleId="78aa">
    <w:name w:val="78aa"/>
    <w:rPr>
      <w:rFonts w:ascii="Courier New" w:hAnsi="Courier New"/>
      <w:noProof w:val="0"/>
      <w:sz w:val="24"/>
      <w:lang w:val="en-US"/>
    </w:rPr>
  </w:style>
  <w:style w:type="character" w:customStyle="1" w:styleId="79aa">
    <w:name w:val="79aa"/>
    <w:basedOn w:val="DefaultParagraphFont"/>
  </w:style>
  <w:style w:type="character" w:customStyle="1" w:styleId="80">
    <w:name w:val="80"/>
    <w:basedOn w:val="DefaultParagraphFont"/>
  </w:style>
  <w:style w:type="character" w:customStyle="1" w:styleId="81">
    <w:name w:val="81"/>
    <w:basedOn w:val="DefaultParagraphFont"/>
  </w:style>
  <w:style w:type="character" w:customStyle="1" w:styleId="82">
    <w:name w:val="82"/>
    <w:basedOn w:val="DefaultParagraphFont"/>
  </w:style>
  <w:style w:type="character" w:customStyle="1" w:styleId="83">
    <w:name w:val="83"/>
    <w:basedOn w:val="DefaultParagraphFont"/>
  </w:style>
  <w:style w:type="character" w:customStyle="1" w:styleId="84">
    <w:name w:val="84"/>
    <w:basedOn w:val="DefaultParagraphFont"/>
  </w:style>
  <w:style w:type="paragraph" w:customStyle="1" w:styleId="85">
    <w:name w:val="85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86">
    <w:name w:val="86"/>
    <w:basedOn w:val="DefaultParagraphFont"/>
  </w:style>
  <w:style w:type="character" w:customStyle="1" w:styleId="87">
    <w:name w:val="87"/>
    <w:basedOn w:val="DefaultParagraphFont"/>
  </w:style>
  <w:style w:type="character" w:customStyle="1" w:styleId="88">
    <w:name w:val="88"/>
    <w:rPr>
      <w:rFonts w:ascii="Courier New" w:hAnsi="Courier New"/>
      <w:noProof w:val="0"/>
      <w:sz w:val="24"/>
      <w:lang w:val="en-US"/>
    </w:rPr>
  </w:style>
  <w:style w:type="character" w:customStyle="1" w:styleId="89">
    <w:name w:val="89"/>
    <w:rPr>
      <w:rFonts w:ascii="Courier New" w:hAnsi="Courier New"/>
      <w:noProof w:val="0"/>
      <w:sz w:val="24"/>
      <w:lang w:val="en-US"/>
    </w:rPr>
  </w:style>
  <w:style w:type="character" w:customStyle="1" w:styleId="90a">
    <w:name w:val="90a"/>
    <w:basedOn w:val="DefaultParagraphFont"/>
  </w:style>
  <w:style w:type="character" w:customStyle="1" w:styleId="91a">
    <w:name w:val="91a"/>
    <w:rPr>
      <w:rFonts w:ascii="Courier New" w:hAnsi="Courier New"/>
      <w:noProof w:val="0"/>
      <w:sz w:val="24"/>
      <w:lang w:val="en-US"/>
    </w:rPr>
  </w:style>
  <w:style w:type="character" w:customStyle="1" w:styleId="92a">
    <w:name w:val="92a"/>
    <w:basedOn w:val="DefaultParagraphFont"/>
  </w:style>
  <w:style w:type="character" w:customStyle="1" w:styleId="93a">
    <w:name w:val="93a"/>
    <w:basedOn w:val="DefaultParagraphFont"/>
  </w:style>
  <w:style w:type="character" w:customStyle="1" w:styleId="94a">
    <w:name w:val="94a"/>
    <w:basedOn w:val="DefaultParagraphFont"/>
  </w:style>
  <w:style w:type="character" w:customStyle="1" w:styleId="95a">
    <w:name w:val="95a"/>
    <w:basedOn w:val="DefaultParagraphFont"/>
  </w:style>
  <w:style w:type="character" w:customStyle="1" w:styleId="96a">
    <w:name w:val="96a"/>
    <w:basedOn w:val="DefaultParagraphFont"/>
  </w:style>
  <w:style w:type="character" w:customStyle="1" w:styleId="97a">
    <w:name w:val="97a"/>
    <w:basedOn w:val="DefaultParagraphFont"/>
  </w:style>
  <w:style w:type="character" w:customStyle="1" w:styleId="98">
    <w:name w:val="98"/>
    <w:basedOn w:val="DefaultParagraphFont"/>
  </w:style>
  <w:style w:type="character" w:customStyle="1" w:styleId="99">
    <w:name w:val="99"/>
    <w:basedOn w:val="DefaultParagraphFont"/>
  </w:style>
  <w:style w:type="character" w:customStyle="1" w:styleId="100">
    <w:name w:val="100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b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napToGrid/>
      <w:spacing w:val="-3"/>
    </w:rPr>
  </w:style>
  <w:style w:type="paragraph" w:customStyle="1" w:styleId="ParaNum0">
    <w:name w:val="ParaNum"/>
    <w:basedOn w:val="Normal"/>
    <w:autoRedefine/>
    <w:rsid w:val="00856ADC"/>
    <w:pPr>
      <w:spacing w:after="220"/>
      <w:ind w:left="360" w:hanging="360"/>
    </w:pPr>
    <w:rPr>
      <w:rFonts w:ascii="Times New Roman" w:hAnsi="Times New Roman"/>
      <w:kern w:val="28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7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8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249F7"/>
    <w:rPr>
      <w:sz w:val="16"/>
      <w:szCs w:val="16"/>
    </w:rPr>
  </w:style>
  <w:style w:type="paragraph" w:styleId="CommentText">
    <w:name w:val="annotation text"/>
    <w:basedOn w:val="Normal"/>
    <w:semiHidden/>
    <w:rsid w:val="008249F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249F7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78435F"/>
    <w:pPr>
      <w:ind w:left="720"/>
    </w:pPr>
  </w:style>
  <w:style w:type="paragraph" w:styleId="Revision">
    <w:name w:val="Revision"/>
    <w:hidden/>
    <w:uiPriority w:val="99"/>
    <w:semiHidden/>
    <w:rsid w:val="001A50AD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3060-0774</vt:lpstr>
    </vt:vector>
  </TitlesOfParts>
  <Company>FCC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3060-0774</dc:title>
  <dc:creator>awright</dc:creator>
  <cp:lastModifiedBy>Nicole Ongele</cp:lastModifiedBy>
  <cp:revision>7</cp:revision>
  <cp:lastPrinted>2019-12-27T18:47:00Z</cp:lastPrinted>
  <dcterms:created xsi:type="dcterms:W3CDTF">2025-11-13T21:36:00Z</dcterms:created>
  <dcterms:modified xsi:type="dcterms:W3CDTF">2025-11-13T22:00:00Z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4AAAMz5NUQ6P8J9Ep68RJ60EetsotN+DYmIndxjc4eeMgNwHkQU2U7I8gQ==</vt:lpwstr>
  </property>
  <property fmtid="{D5CDD505-2E9C-101B-9397-08002B2CF9AE}" pid="3" name="MAIL_MSG_ID1">
    <vt:lpwstr>oFAAspTNh41gn7CpHWb5iTsdg5QyXpQCZnzknW+MXWTPDzvuqtv9GDlH1+05DG2hyskQOBFclNMcvcPl
w2DLovnCfEqgehNLAi2dz0Bk5LfmilIOpkin0LmEGQ3B7HNKWP14MuYstODEq2UDCM+hQhTK7Jh5
qc4t7gFHeKmiB4yeOs3cLzP4Jq+8vbk06RBovf0C1mt0aY0zmOGbACy/W0q92ajwypXIwnWsJp4V
cVs8fDyQNVWC7vMA+</vt:lpwstr>
  </property>
  <property fmtid="{D5CDD505-2E9C-101B-9397-08002B2CF9AE}" pid="4" name="MAIL_MSG_ID2">
    <vt:lpwstr>oFyZ4sRkrbafRVe8ojrLdc6fe49yWdhHG1w/qwXOeTcFfgtIBbIw53BQK+J
QPzgXgfZgR/aqObcwHNI0+yMQ7qlcoqsNgFbY906pHx/1TR3</vt:lpwstr>
  </property>
  <property fmtid="{D5CDD505-2E9C-101B-9397-08002B2CF9AE}" pid="5" name="RESPONSE_SENDER_NAME">
    <vt:lpwstr>sAAAb0xRtPDW5UueJSkaZG1N+FbFMHbi7Y6+RsDOCwXSXGc=</vt:lpwstr>
  </property>
</Properties>
</file>