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F93A42" w:rsidP="000F731C" w14:paraId="470E2C4A" w14:textId="09A8F218">
      <w:pPr>
        <w:pStyle w:val="Title"/>
        <w:rPr>
          <w:rFonts w:ascii="Calibri" w:hAnsi="Calibri" w:cs="Calibri"/>
        </w:rPr>
      </w:pPr>
      <w:r w:rsidRPr="00F93A42">
        <w:rPr>
          <w:rFonts w:ascii="Calibri" w:hAnsi="Calibri" w:cs="Calibri"/>
        </w:rPr>
        <w:t>Supporting Statement for an Information Collection Request (ICR)</w:t>
      </w:r>
      <w:r w:rsidRPr="00F93A42">
        <w:rPr>
          <w:rFonts w:ascii="Calibri" w:hAnsi="Calibri" w:cs="Calibri"/>
        </w:rPr>
        <w:br/>
        <w:t>Under the Paperwork Reduction Act (PRA)</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B91871" w:rsidP="00305CF1" w14:paraId="63A0F3CC" w14:textId="539E169E">
            <w:pPr>
              <w:rPr>
                <w:rFonts w:ascii="Calibri" w:hAnsi="Calibri" w:cs="Calibri"/>
                <w:bCs/>
              </w:rPr>
            </w:pPr>
            <w:bookmarkStart w:id="0" w:name="_Hlk85105617"/>
            <w:r w:rsidRPr="00B91871">
              <w:rPr>
                <w:rFonts w:ascii="Calibri" w:hAnsi="Calibri" w:cs="Calibri"/>
                <w:bCs/>
                <w:szCs w:val="24"/>
              </w:rPr>
              <w:t>Consolidation of Certain Reporting and Recordkeeping Under Section 8 of the Toxic Substances Control Act (TSCA)</w:t>
            </w:r>
            <w:bookmarkEnd w:id="0"/>
          </w:p>
        </w:tc>
      </w:tr>
      <w:tr w14:paraId="2366A922" w14:textId="77777777" w:rsidTr="0050366F">
        <w:tblPrEx>
          <w:tblW w:w="5021" w:type="pct"/>
          <w:tblInd w:w="252" w:type="dxa"/>
          <w:tblLook w:val="04A0"/>
        </w:tblPrEx>
        <w:trPr>
          <w:trHeight w:val="514"/>
        </w:trPr>
        <w:tc>
          <w:tcPr>
            <w:tcW w:w="2277" w:type="dxa"/>
          </w:tcPr>
          <w:p w:rsidR="00305CF1" w:rsidRPr="00F93A42" w:rsidP="00E6036A" w14:paraId="4A6D2E99" w14:textId="77777777">
            <w:pPr>
              <w:rPr>
                <w:rFonts w:ascii="Calibri" w:hAnsi="Calibri" w:cs="Calibri"/>
                <w:b/>
                <w:bCs/>
              </w:rPr>
            </w:pPr>
            <w:r w:rsidRPr="00F93A42">
              <w:rPr>
                <w:rFonts w:ascii="Calibri" w:hAnsi="Calibri" w:cs="Calibri"/>
                <w:b/>
                <w:bCs/>
              </w:rPr>
              <w:t>EPA ICR No.:</w:t>
            </w:r>
          </w:p>
        </w:tc>
        <w:tc>
          <w:tcPr>
            <w:tcW w:w="7122" w:type="dxa"/>
          </w:tcPr>
          <w:p w:rsidR="00305CF1" w:rsidRPr="00E265D3" w:rsidP="00305CF1" w14:paraId="59A17DDF" w14:textId="3605D7C8">
            <w:pPr>
              <w:rPr>
                <w:rFonts w:ascii="Calibri" w:hAnsi="Calibri" w:cs="Calibri"/>
                <w:bCs/>
                <w:szCs w:val="24"/>
              </w:rPr>
            </w:pPr>
            <w:r w:rsidRPr="00E265D3">
              <w:rPr>
                <w:rFonts w:ascii="Calibri" w:hAnsi="Calibri" w:cs="Calibri"/>
                <w:bCs/>
                <w:szCs w:val="24"/>
              </w:rPr>
              <w:t>2703.02</w:t>
            </w:r>
          </w:p>
        </w:tc>
      </w:tr>
      <w:tr w14:paraId="71E73415" w14:textId="77777777" w:rsidTr="0050366F">
        <w:tblPrEx>
          <w:tblW w:w="5021" w:type="pct"/>
          <w:tblInd w:w="252" w:type="dxa"/>
          <w:tblLook w:val="04A0"/>
        </w:tblPrEx>
        <w:trPr>
          <w:trHeight w:val="514"/>
        </w:trPr>
        <w:tc>
          <w:tcPr>
            <w:tcW w:w="2277" w:type="dxa"/>
          </w:tcPr>
          <w:p w:rsidR="00305CF1" w:rsidRPr="00F93A42" w:rsidP="000F731C" w14:paraId="34733E04" w14:textId="77777777">
            <w:pPr>
              <w:rPr>
                <w:rFonts w:ascii="Calibri" w:hAnsi="Calibri" w:cs="Calibri"/>
                <w:b/>
                <w:bCs/>
              </w:rPr>
            </w:pPr>
            <w:r w:rsidRPr="00F93A42">
              <w:rPr>
                <w:rFonts w:ascii="Calibri" w:hAnsi="Calibri" w:cs="Calibri"/>
                <w:b/>
                <w:bCs/>
              </w:rPr>
              <w:t>OMB Control No.:</w:t>
            </w:r>
          </w:p>
        </w:tc>
        <w:tc>
          <w:tcPr>
            <w:tcW w:w="7122" w:type="dxa"/>
          </w:tcPr>
          <w:p w:rsidR="00305CF1" w:rsidRPr="00E265D3" w:rsidP="00305CF1" w14:paraId="441EEFED" w14:textId="6AA88D78">
            <w:pPr>
              <w:rPr>
                <w:rFonts w:ascii="Calibri" w:hAnsi="Calibri" w:cs="Calibri"/>
                <w:bCs/>
                <w:szCs w:val="24"/>
              </w:rPr>
            </w:pPr>
            <w:bookmarkStart w:id="1" w:name="_Hlk189556455"/>
            <w:r w:rsidRPr="00E265D3">
              <w:rPr>
                <w:rFonts w:ascii="Calibri" w:hAnsi="Calibri" w:cs="Calibri"/>
                <w:bCs/>
                <w:szCs w:val="24"/>
              </w:rPr>
              <w:t>2070-</w:t>
            </w:r>
            <w:r w:rsidRPr="00E265D3" w:rsidR="00B91871">
              <w:rPr>
                <w:rFonts w:ascii="Calibri" w:hAnsi="Calibri" w:cs="Calibri"/>
                <w:bCs/>
                <w:szCs w:val="24"/>
              </w:rPr>
              <w:t>0224</w:t>
            </w:r>
            <w:bookmarkEnd w:id="1"/>
          </w:p>
        </w:tc>
      </w:tr>
      <w:tr w14:paraId="4E41D8CE" w14:textId="77777777" w:rsidTr="0050366F">
        <w:tblPrEx>
          <w:tblW w:w="5021" w:type="pct"/>
          <w:tblInd w:w="252"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E265D3" w:rsidP="00305CF1" w14:paraId="3E1888B8" w14:textId="4A7EC1CE">
            <w:pPr>
              <w:rPr>
                <w:rFonts w:ascii="Calibri" w:hAnsi="Calibri" w:cs="Calibri"/>
                <w:bCs/>
                <w:szCs w:val="24"/>
              </w:rPr>
            </w:pPr>
            <w:r w:rsidRPr="00E265D3">
              <w:rPr>
                <w:rFonts w:ascii="Calibri" w:hAnsi="Calibri" w:cs="Calibri"/>
                <w:bCs/>
                <w:szCs w:val="24"/>
              </w:rPr>
              <w:t>EPA-HQ-</w:t>
            </w:r>
            <w:r w:rsidRPr="00E265D3" w:rsidR="00B91871">
              <w:rPr>
                <w:rFonts w:ascii="Calibri" w:hAnsi="Calibri" w:cs="Calibri"/>
                <w:bCs/>
                <w:szCs w:val="24"/>
              </w:rPr>
              <w:t>OPPT</w:t>
            </w:r>
            <w:r w:rsidRPr="00E265D3">
              <w:rPr>
                <w:rFonts w:ascii="Calibri" w:hAnsi="Calibri" w:cs="Calibri"/>
                <w:bCs/>
                <w:szCs w:val="24"/>
              </w:rPr>
              <w:t>-20</w:t>
            </w:r>
            <w:r w:rsidRPr="00E265D3" w:rsidR="001F71BF">
              <w:rPr>
                <w:rFonts w:ascii="Calibri" w:hAnsi="Calibri" w:cs="Calibri"/>
                <w:bCs/>
                <w:szCs w:val="24"/>
              </w:rPr>
              <w:t>21</w:t>
            </w:r>
            <w:r w:rsidRPr="00E265D3">
              <w:rPr>
                <w:rFonts w:ascii="Calibri" w:hAnsi="Calibri" w:cs="Calibri"/>
                <w:bCs/>
                <w:szCs w:val="24"/>
              </w:rPr>
              <w:t>-</w:t>
            </w:r>
            <w:sdt>
              <w:sdtPr>
                <w:rPr>
                  <w:rFonts w:ascii="Calibri" w:hAnsi="Calibri" w:cs="Calibri"/>
                  <w:bCs/>
                  <w:szCs w:val="24"/>
                </w:rPr>
                <w:alias w:val="Docket Sequence"/>
                <w:tag w:val="Docket Sequence"/>
                <w:id w:val="-1903974318"/>
                <w:placeholder>
                  <w:docPart w:val="7F3F6A461FC14987A90888C70F9BA96F"/>
                </w:placeholder>
                <w:text/>
              </w:sdtPr>
              <w:sdtContent>
                <w:r w:rsidRPr="00E265D3" w:rsidR="00462F37">
                  <w:rPr>
                    <w:rFonts w:ascii="Calibri" w:hAnsi="Calibri" w:cs="Calibri"/>
                    <w:bCs/>
                    <w:szCs w:val="24"/>
                  </w:rPr>
                  <w:t>07</w:t>
                </w:r>
                <w:r w:rsidR="00462F37">
                  <w:rPr>
                    <w:rFonts w:ascii="Calibri" w:hAnsi="Calibri" w:cs="Calibri"/>
                    <w:bCs/>
                    <w:szCs w:val="24"/>
                  </w:rPr>
                  <w:t>2</w:t>
                </w:r>
                <w:r w:rsidRPr="00E265D3" w:rsidR="00462F37">
                  <w:rPr>
                    <w:rFonts w:ascii="Calibri" w:hAnsi="Calibri" w:cs="Calibri"/>
                    <w:bCs/>
                    <w:szCs w:val="24"/>
                  </w:rPr>
                  <w:t>8</w:t>
                </w:r>
              </w:sdtContent>
            </w:sdt>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605B08" w:rsidRPr="00801238" w:rsidP="00605B08" w14:paraId="37AA9F90" w14:textId="4AF6DF3D">
      <w:pPr>
        <w:rPr>
          <w:rFonts w:ascii="Calibri" w:hAnsi="Calibri" w:cs="Calibri"/>
        </w:rPr>
      </w:pPr>
      <w:r w:rsidRPr="00801238">
        <w:rPr>
          <w:rFonts w:ascii="Calibri" w:hAnsi="Calibri" w:cs="Calibri"/>
        </w:rPr>
        <w:t xml:space="preserve">This information collection request (ICR) covers reporting and recordkeeping requirements imposed under the authorities in section 8 of </w:t>
      </w:r>
      <w:r w:rsidR="002E1B60">
        <w:rPr>
          <w:rFonts w:ascii="Calibri" w:hAnsi="Calibri" w:cs="Calibri"/>
        </w:rPr>
        <w:t>the Toxic Substances Control Act (</w:t>
      </w:r>
      <w:r w:rsidRPr="00801238">
        <w:rPr>
          <w:rFonts w:ascii="Calibri" w:hAnsi="Calibri" w:cs="Calibri"/>
        </w:rPr>
        <w:t>TSCA</w:t>
      </w:r>
      <w:r w:rsidR="002E1B60">
        <w:rPr>
          <w:rFonts w:ascii="Calibri" w:hAnsi="Calibri" w:cs="Calibri"/>
        </w:rPr>
        <w:t>)</w:t>
      </w:r>
      <w:r w:rsidRPr="00801238">
        <w:rPr>
          <w:rFonts w:ascii="Calibri" w:hAnsi="Calibri" w:cs="Calibri"/>
        </w:rPr>
        <w:t xml:space="preserve">, 15 U.S.C. 2607, for persons who manufacture (the term “manufacture” includes import under </w:t>
      </w:r>
      <w:r w:rsidRPr="00801238" w:rsidR="00462F37">
        <w:rPr>
          <w:rFonts w:ascii="Calibri" w:hAnsi="Calibri" w:cs="Calibri"/>
        </w:rPr>
        <w:t>TSCA)</w:t>
      </w:r>
      <w:r w:rsidR="00462F37">
        <w:rPr>
          <w:rFonts w:ascii="Calibri" w:hAnsi="Calibri" w:cs="Calibri"/>
        </w:rPr>
        <w:t xml:space="preserve"> </w:t>
      </w:r>
      <w:r w:rsidR="00E75534">
        <w:rPr>
          <w:rFonts w:ascii="Calibri" w:hAnsi="Calibri" w:cs="Calibri"/>
        </w:rPr>
        <w:t>o</w:t>
      </w:r>
      <w:r w:rsidRPr="00801238">
        <w:rPr>
          <w:rFonts w:ascii="Calibri" w:hAnsi="Calibri" w:cs="Calibri"/>
        </w:rPr>
        <w:t xml:space="preserve">r process </w:t>
      </w:r>
      <w:bookmarkStart w:id="2" w:name="_Hlk21684348"/>
      <w:r w:rsidRPr="00801238">
        <w:rPr>
          <w:rFonts w:ascii="Calibri" w:hAnsi="Calibri" w:cs="Calibri"/>
        </w:rPr>
        <w:t xml:space="preserve">chemical substances, mixtures, or </w:t>
      </w:r>
      <w:r w:rsidR="00E75534">
        <w:rPr>
          <w:rFonts w:ascii="Calibri" w:hAnsi="Calibri" w:cs="Calibri"/>
        </w:rPr>
        <w:t>chemical</w:t>
      </w:r>
      <w:r w:rsidRPr="00801238">
        <w:rPr>
          <w:rFonts w:ascii="Calibri" w:hAnsi="Calibri" w:cs="Calibri"/>
        </w:rPr>
        <w:t xml:space="preserve"> categories</w:t>
      </w:r>
      <w:bookmarkEnd w:id="2"/>
      <w:r w:rsidRPr="00801238">
        <w:rPr>
          <w:rFonts w:ascii="Calibri" w:hAnsi="Calibri" w:cs="Calibri"/>
        </w:rPr>
        <w:t>, or distribute them in commerce. The purpose of the information collection activities is to collect data that will help the Agency evaluate the potential for human health and environmental risks that may be caused by the manufacture, processing, and distribution in commerce of chemical substances, mixtures, or categories.</w:t>
      </w:r>
    </w:p>
    <w:p w:rsidR="00605B08" w:rsidRPr="00801238" w:rsidP="561DABF4" w14:paraId="27B82577" w14:textId="6091FD36">
      <w:pPr>
        <w:rPr>
          <w:rFonts w:ascii="Calibri" w:hAnsi="Calibri" w:cs="Calibri"/>
        </w:rPr>
      </w:pPr>
      <w:r w:rsidRPr="65B10DC7">
        <w:rPr>
          <w:rFonts w:ascii="Calibri" w:hAnsi="Calibri" w:cs="Calibri"/>
        </w:rPr>
        <w:t xml:space="preserve">This ICR addresses the following four types of information collections (ICs) required by TSCA section 8 and identifies the persons required to keep records and report such information. </w:t>
      </w:r>
    </w:p>
    <w:p w:rsidR="00605B08" w:rsidRPr="004C6DDD" w:rsidP="00605B08" w14:paraId="5E820B03" w14:textId="688C3DEE">
      <w:pPr>
        <w:rPr>
          <w:rFonts w:ascii="Calibri" w:hAnsi="Calibri" w:cs="Calibri"/>
          <w:b/>
          <w:i/>
          <w:iCs/>
          <w:szCs w:val="24"/>
        </w:rPr>
      </w:pPr>
      <w:bookmarkStart w:id="3" w:name="_Hlk85014497"/>
      <w:r w:rsidRPr="004C6DDD">
        <w:rPr>
          <w:rFonts w:ascii="Calibri" w:hAnsi="Calibri" w:cs="Calibri"/>
          <w:b/>
          <w:i/>
          <w:iCs/>
          <w:szCs w:val="24"/>
        </w:rPr>
        <w:t>TSCA Section 8(a) Preliminary Assessment Information Rule (PAIR)</w:t>
      </w:r>
    </w:p>
    <w:bookmarkEnd w:id="3"/>
    <w:p w:rsidR="00605B08" w:rsidRPr="00801238" w:rsidP="5F135418" w14:paraId="3DED688D" w14:textId="5A719DBA">
      <w:pPr>
        <w:rPr>
          <w:rFonts w:ascii="Calibri" w:hAnsi="Calibri" w:cs="Calibri"/>
        </w:rPr>
      </w:pPr>
      <w:r w:rsidRPr="5F135418">
        <w:rPr>
          <w:rFonts w:ascii="Calibri" w:hAnsi="Calibri" w:cs="Calibri"/>
        </w:rPr>
        <w:t>Under</w:t>
      </w:r>
      <w:r w:rsidRPr="5F135418" w:rsidR="7316E73E">
        <w:rPr>
          <w:rFonts w:ascii="Calibri" w:hAnsi="Calibri" w:cs="Calibri"/>
        </w:rPr>
        <w:t xml:space="preserve"> TSCA</w:t>
      </w:r>
      <w:r w:rsidRPr="5F135418">
        <w:rPr>
          <w:rFonts w:ascii="Calibri" w:hAnsi="Calibri" w:cs="Calibri"/>
        </w:rPr>
        <w:t xml:space="preserve"> section 8(a), persons who manufacture or import chemical substances listed at 40 CFR 712.30</w:t>
      </w:r>
      <w:r w:rsidRPr="5F135418" w:rsidR="00BB097A">
        <w:rPr>
          <w:rFonts w:ascii="Calibri" w:hAnsi="Calibri" w:cs="Calibri"/>
        </w:rPr>
        <w:t xml:space="preserve"> </w:t>
      </w:r>
      <w:r w:rsidRPr="5F135418">
        <w:rPr>
          <w:rFonts w:ascii="Calibri" w:hAnsi="Calibri" w:cs="Calibri"/>
        </w:rPr>
        <w:t>are subject to the</w:t>
      </w:r>
      <w:r w:rsidRPr="5F135418" w:rsidR="617B1B58">
        <w:rPr>
          <w:rFonts w:ascii="Calibri" w:hAnsi="Calibri" w:cs="Calibri"/>
        </w:rPr>
        <w:t xml:space="preserve"> TSCA</w:t>
      </w:r>
      <w:r w:rsidRPr="5F135418">
        <w:rPr>
          <w:rFonts w:ascii="Calibri" w:hAnsi="Calibri" w:cs="Calibri"/>
        </w:rPr>
        <w:t xml:space="preserve"> section 8(a) Preliminary Assessment Information Rule (PAIR) requirements. PAIR requires these manufacturers and importers to submit information about production, use, and/or exposure-related data. Certain specific chemical testing and reporting requirements under Subpart B of 40 CFR part 766 that are very similar to the PAIR requirements are also covered within this information collection activity.</w:t>
      </w:r>
    </w:p>
    <w:p w:rsidR="00605B08" w:rsidRPr="004C6DDD" w:rsidP="00605B08" w14:paraId="57D0C9BB" w14:textId="77777777">
      <w:pPr>
        <w:rPr>
          <w:rFonts w:ascii="Calibri" w:hAnsi="Calibri" w:cs="Calibri"/>
          <w:b/>
          <w:i/>
          <w:iCs/>
          <w:szCs w:val="24"/>
        </w:rPr>
      </w:pPr>
      <w:bookmarkStart w:id="4" w:name="_Hlk85014521"/>
      <w:r w:rsidRPr="004C6DDD">
        <w:rPr>
          <w:rFonts w:ascii="Calibri" w:hAnsi="Calibri" w:cs="Calibri"/>
          <w:b/>
          <w:i/>
          <w:iCs/>
          <w:szCs w:val="24"/>
        </w:rPr>
        <w:t>Chemical-Specific Rules, TSCA Section 8(a)</w:t>
      </w:r>
    </w:p>
    <w:bookmarkEnd w:id="4"/>
    <w:p w:rsidR="004C4647" w:rsidP="5F135418" w14:paraId="242C21E6" w14:textId="623E01F9">
      <w:pPr>
        <w:spacing w:after="0"/>
        <w:rPr>
          <w:rFonts w:ascii="Calibri" w:hAnsi="Calibri" w:cs="Calibri"/>
        </w:rPr>
      </w:pPr>
      <w:r w:rsidRPr="5F135418">
        <w:rPr>
          <w:rFonts w:ascii="Calibri" w:hAnsi="Calibri" w:cs="Calibri"/>
        </w:rPr>
        <w:t xml:space="preserve">Also under </w:t>
      </w:r>
      <w:r w:rsidRPr="5F135418" w:rsidR="2728688D">
        <w:rPr>
          <w:rFonts w:ascii="Calibri" w:hAnsi="Calibri" w:cs="Calibri"/>
        </w:rPr>
        <w:t xml:space="preserve">TSCA </w:t>
      </w:r>
      <w:r w:rsidRPr="5F135418">
        <w:rPr>
          <w:rFonts w:ascii="Calibri" w:hAnsi="Calibri" w:cs="Calibri"/>
        </w:rPr>
        <w:t xml:space="preserve">section 8(a), persons </w:t>
      </w:r>
      <w:bookmarkStart w:id="5" w:name="_Hlk21685669"/>
      <w:r w:rsidRPr="5F135418">
        <w:rPr>
          <w:rFonts w:ascii="Calibri" w:hAnsi="Calibri" w:cs="Calibri"/>
        </w:rPr>
        <w:t>who manufacture, import, or process certain chemical substances or mixtures,</w:t>
      </w:r>
      <w:bookmarkEnd w:id="5"/>
      <w:r w:rsidRPr="5F135418">
        <w:rPr>
          <w:rFonts w:ascii="Calibri" w:hAnsi="Calibri" w:cs="Calibri"/>
        </w:rPr>
        <w:t xml:space="preserve"> or propose to manufacture, import, or process certain chemical </w:t>
      </w:r>
      <w:r w:rsidRPr="5F135418">
        <w:rPr>
          <w:rFonts w:ascii="Calibri" w:hAnsi="Calibri" w:cs="Calibri"/>
        </w:rPr>
        <w:t xml:space="preserve">substances or mixtures, are subject to chemical-specific rules promulgated under </w:t>
      </w:r>
      <w:r w:rsidRPr="5F135418" w:rsidR="3D2A5E8D">
        <w:rPr>
          <w:rFonts w:ascii="Calibri" w:hAnsi="Calibri" w:cs="Calibri"/>
        </w:rPr>
        <w:t xml:space="preserve">TSCA </w:t>
      </w:r>
      <w:r w:rsidRPr="5F135418">
        <w:rPr>
          <w:rFonts w:ascii="Calibri" w:hAnsi="Calibri" w:cs="Calibri"/>
        </w:rPr>
        <w:t>section 8(a). A chemical-specific 8(a) rule requires more detailed and more types of information than is required by a PAIR rule. For example, a chemical-specific 8(a) rule might require information that includes, but is not limited to, chemical names, categories of use, production volume, byproducts of chemical production, existing data on health and environmental effects, exposure data, and disposal information. Any chemical covered by TSCA for which OPPT, other EPA offices</w:t>
      </w:r>
      <w:r w:rsidRPr="5F135418" w:rsidR="004D5B72">
        <w:rPr>
          <w:rFonts w:ascii="Calibri" w:hAnsi="Calibri" w:cs="Calibri"/>
        </w:rPr>
        <w:t>,</w:t>
      </w:r>
      <w:r w:rsidRPr="5F135418">
        <w:rPr>
          <w:rFonts w:ascii="Calibri" w:hAnsi="Calibri" w:cs="Calibri"/>
        </w:rPr>
        <w:t xml:space="preserve"> or another federal agency has a reasonable need for information, and which cannot be satisfied via readily available sources or by use of other rulemakings, is a proper potential subject for a chemical specific TSCA section 8(a) rulemaking.</w:t>
      </w:r>
      <w:r w:rsidRPr="5F135418" w:rsidR="005935E7">
        <w:rPr>
          <w:rFonts w:ascii="Calibri" w:hAnsi="Calibri" w:cs="Calibri"/>
        </w:rPr>
        <w:t xml:space="preserve"> </w:t>
      </w:r>
    </w:p>
    <w:p w:rsidR="004C4647" w:rsidP="00462F37" w14:paraId="16E31495" w14:textId="77777777">
      <w:pPr>
        <w:spacing w:after="0"/>
        <w:rPr>
          <w:rFonts w:ascii="Calibri" w:hAnsi="Calibri" w:cs="Calibri"/>
          <w:szCs w:val="24"/>
        </w:rPr>
      </w:pPr>
    </w:p>
    <w:p w:rsidR="00056B43" w:rsidP="5F135418" w14:paraId="46CA3C90" w14:textId="723F2EBF">
      <w:pPr>
        <w:spacing w:after="0"/>
        <w:rPr>
          <w:rFonts w:ascii="Calibri" w:eastAsia="Arial" w:hAnsi="Calibri" w:cs="Calibri"/>
        </w:rPr>
      </w:pPr>
      <w:r w:rsidRPr="5F135418">
        <w:rPr>
          <w:rFonts w:ascii="Calibri" w:hAnsi="Calibri" w:cs="Calibri"/>
        </w:rPr>
        <w:t>With this ICR</w:t>
      </w:r>
      <w:r w:rsidRPr="5F135418" w:rsidR="00745D8A">
        <w:rPr>
          <w:rFonts w:ascii="Calibri" w:hAnsi="Calibri" w:cs="Calibri"/>
        </w:rPr>
        <w:t xml:space="preserve"> renewal</w:t>
      </w:r>
      <w:r w:rsidRPr="5F135418" w:rsidR="00FC2861">
        <w:rPr>
          <w:rFonts w:ascii="Calibri" w:hAnsi="Calibri" w:cs="Calibri"/>
        </w:rPr>
        <w:t xml:space="preserve">, </w:t>
      </w:r>
      <w:r w:rsidRPr="5F135418" w:rsidR="00036D6F">
        <w:rPr>
          <w:rFonts w:ascii="Calibri" w:hAnsi="Calibri" w:cs="Calibri"/>
        </w:rPr>
        <w:t>EPA is</w:t>
      </w:r>
      <w:r w:rsidRPr="5F135418" w:rsidR="00166E2F">
        <w:rPr>
          <w:rFonts w:ascii="Calibri" w:hAnsi="Calibri" w:cs="Calibri"/>
        </w:rPr>
        <w:t xml:space="preserve"> </w:t>
      </w:r>
      <w:r w:rsidRPr="5F135418" w:rsidR="00745D8A">
        <w:rPr>
          <w:rFonts w:ascii="Calibri" w:hAnsi="Calibri" w:cs="Calibri"/>
        </w:rPr>
        <w:t>consolidating two TSCA section 8(a) chemical specific rules into this ICR:</w:t>
      </w:r>
      <w:r w:rsidRPr="5F135418" w:rsidR="00166E2F">
        <w:rPr>
          <w:rFonts w:ascii="Calibri" w:hAnsi="Calibri" w:cs="Calibri"/>
        </w:rPr>
        <w:t xml:space="preserve"> including</w:t>
      </w:r>
      <w:r w:rsidRPr="5F135418" w:rsidR="008F141B">
        <w:rPr>
          <w:rFonts w:ascii="Calibri" w:hAnsi="Calibri" w:cs="Calibri"/>
        </w:rPr>
        <w:t xml:space="preserve"> the</w:t>
      </w:r>
      <w:r w:rsidRPr="5F135418" w:rsidR="7A051740">
        <w:rPr>
          <w:rFonts w:ascii="Calibri" w:hAnsi="Calibri" w:cs="Calibri"/>
        </w:rPr>
        <w:t xml:space="preserve"> </w:t>
      </w:r>
      <w:r w:rsidRPr="5F135418" w:rsidR="7A051740">
        <w:rPr>
          <w:rFonts w:ascii="Calibri" w:eastAsia="Arial" w:hAnsi="Calibri" w:cs="Calibri"/>
        </w:rPr>
        <w:t>reporting and recordkeeping requirements for persons who manufacture or process chemical substances as nanoscale materials under the authority of section 8(a) of TSCA</w:t>
      </w:r>
      <w:r w:rsidRPr="5F135418" w:rsidR="003166C6">
        <w:rPr>
          <w:rFonts w:ascii="Calibri" w:eastAsia="Arial" w:hAnsi="Calibri" w:cs="Calibri"/>
        </w:rPr>
        <w:t xml:space="preserve"> (40 CFR 704.20)</w:t>
      </w:r>
      <w:r w:rsidRPr="5F135418" w:rsidR="00206F14">
        <w:rPr>
          <w:rFonts w:ascii="Calibri" w:eastAsia="Arial" w:hAnsi="Calibri" w:cs="Calibri"/>
        </w:rPr>
        <w:t xml:space="preserve"> </w:t>
      </w:r>
      <w:r w:rsidRPr="5F135418" w:rsidR="00745D8A">
        <w:rPr>
          <w:rFonts w:ascii="Calibri" w:eastAsia="Arial" w:hAnsi="Calibri" w:cs="Calibri"/>
        </w:rPr>
        <w:t xml:space="preserve">covered by “Chemical-Specific Rules under the Toxics Substances Control Act Section 8(a); Certain Nanoscale Materials (Renewal)(EPA ICR No.2517.04 ; </w:t>
      </w:r>
      <w:r w:rsidRPr="5F135418" w:rsidR="00265E00">
        <w:rPr>
          <w:rFonts w:ascii="Calibri" w:hAnsi="Calibri" w:cs="Calibri"/>
        </w:rPr>
        <w:t>OMB Control No. 2070-0194)</w:t>
      </w:r>
      <w:r w:rsidRPr="5F135418" w:rsidR="00745D8A">
        <w:rPr>
          <w:rFonts w:ascii="Calibri" w:eastAsia="Arial" w:hAnsi="Calibri" w:cs="Calibri"/>
        </w:rPr>
        <w:t xml:space="preserve"> and</w:t>
      </w:r>
      <w:r w:rsidRPr="5F135418" w:rsidR="00745D8A">
        <w:rPr>
          <w:rFonts w:ascii="Calibri" w:hAnsi="Calibri" w:cs="Calibri"/>
        </w:rPr>
        <w:t xml:space="preserve"> </w:t>
      </w:r>
      <w:r w:rsidRPr="5F135418" w:rsidR="00206F14">
        <w:rPr>
          <w:rFonts w:ascii="Calibri" w:hAnsi="Calibri" w:cs="Calibri"/>
        </w:rPr>
        <w:t>the one</w:t>
      </w:r>
      <w:r w:rsidRPr="5F135418" w:rsidR="00206F14">
        <w:rPr>
          <w:rFonts w:ascii="Calibri" w:eastAsia="Arial" w:hAnsi="Calibri" w:cs="Calibri"/>
        </w:rPr>
        <w:t xml:space="preserve">-time asbestos reporting and recordkeeping requirements (40 CFR 704.180) covered by </w:t>
      </w:r>
      <w:r w:rsidRPr="5F135418" w:rsidR="00745D8A">
        <w:rPr>
          <w:rFonts w:ascii="Calibri" w:eastAsia="Arial" w:hAnsi="Calibri" w:cs="Calibri"/>
        </w:rPr>
        <w:t xml:space="preserve">the “TSCA Section 8(a) Reporting and Recordkeeping Requirements for Asbestos (Final Rule) (EPA ICR No. 2711.02; OMB Control No. </w:t>
      </w:r>
      <w:r w:rsidRPr="5F135418" w:rsidR="00206F14">
        <w:rPr>
          <w:rFonts w:ascii="Calibri" w:eastAsia="Arial" w:hAnsi="Calibri" w:cs="Calibri"/>
        </w:rPr>
        <w:t>2070-0222</w:t>
      </w:r>
      <w:r w:rsidRPr="5F135418" w:rsidR="00745D8A">
        <w:rPr>
          <w:rFonts w:ascii="Calibri" w:eastAsia="Arial" w:hAnsi="Calibri" w:cs="Calibri"/>
        </w:rPr>
        <w:t>)</w:t>
      </w:r>
      <w:r w:rsidRPr="5F135418" w:rsidR="00206F14">
        <w:rPr>
          <w:rFonts w:ascii="Calibri" w:eastAsia="Arial" w:hAnsi="Calibri" w:cs="Calibri"/>
        </w:rPr>
        <w:t>.</w:t>
      </w:r>
    </w:p>
    <w:p w:rsidR="00462F37" w:rsidRPr="00801238" w:rsidP="0081666C" w14:paraId="0422A2CD" w14:textId="77777777">
      <w:pPr>
        <w:spacing w:after="0"/>
        <w:rPr>
          <w:rFonts w:ascii="Calibri" w:hAnsi="Calibri" w:cs="Calibri"/>
        </w:rPr>
      </w:pPr>
    </w:p>
    <w:p w:rsidR="00605B08" w:rsidRPr="004C6DDD" w:rsidP="00605B08" w14:paraId="182B54B5" w14:textId="77777777">
      <w:pPr>
        <w:rPr>
          <w:rFonts w:ascii="Calibri" w:hAnsi="Calibri" w:cs="Calibri"/>
          <w:b/>
          <w:i/>
          <w:iCs/>
          <w:szCs w:val="24"/>
        </w:rPr>
      </w:pPr>
      <w:bookmarkStart w:id="6" w:name="_Hlk85014551"/>
      <w:r w:rsidRPr="004C6DDD">
        <w:rPr>
          <w:rFonts w:ascii="Calibri" w:hAnsi="Calibri" w:cs="Calibri"/>
          <w:b/>
          <w:i/>
          <w:iCs/>
          <w:szCs w:val="24"/>
        </w:rPr>
        <w:t>Recordkeeping and Reporting Requirements for Allegations of Significant Adverse Reactions to Human Health or the Environment</w:t>
      </w:r>
    </w:p>
    <w:bookmarkEnd w:id="6"/>
    <w:p w:rsidR="00605B08" w:rsidRPr="00801238" w:rsidP="00605B08" w14:paraId="515D6D1C" w14:textId="48C75CF7">
      <w:pPr>
        <w:rPr>
          <w:rFonts w:ascii="Calibri" w:hAnsi="Calibri" w:cs="Calibri"/>
        </w:rPr>
      </w:pPr>
      <w:r w:rsidRPr="5F135418">
        <w:rPr>
          <w:rFonts w:ascii="Calibri" w:hAnsi="Calibri" w:cs="Calibri"/>
        </w:rPr>
        <w:t xml:space="preserve">Under </w:t>
      </w:r>
      <w:r w:rsidRPr="5F135418" w:rsidR="24277831">
        <w:rPr>
          <w:rFonts w:ascii="Calibri" w:hAnsi="Calibri" w:cs="Calibri"/>
        </w:rPr>
        <w:t xml:space="preserve">TSCA </w:t>
      </w:r>
      <w:r w:rsidRPr="5F135418">
        <w:rPr>
          <w:rFonts w:ascii="Calibri" w:hAnsi="Calibri" w:cs="Calibri"/>
        </w:rPr>
        <w:t xml:space="preserve">section 8(c), persons who manufacture, import, process, or distribute in commerce any chemical substance or mixture must keep records of significant adverse reactions to health or the environment, as determined by the Administrator by rule, alleged to have been caused by the substance or mixture. TSCA section 8(c) requires that allegations of adverse reactions to the health of employees be kept for </w:t>
      </w:r>
      <w:r w:rsidRPr="5F135418" w:rsidR="002A68AE">
        <w:rPr>
          <w:rFonts w:ascii="Calibri" w:hAnsi="Calibri" w:cs="Calibri"/>
        </w:rPr>
        <w:t>30</w:t>
      </w:r>
      <w:r w:rsidRPr="5F135418">
        <w:rPr>
          <w:rFonts w:ascii="Calibri" w:hAnsi="Calibri" w:cs="Calibri"/>
        </w:rPr>
        <w:t xml:space="preserve"> years, and all other allegations be kept for five years. The rule </w:t>
      </w:r>
      <w:r w:rsidRPr="5F135418" w:rsidR="000A19B7">
        <w:rPr>
          <w:rFonts w:ascii="Calibri" w:hAnsi="Calibri" w:cs="Calibri"/>
        </w:rPr>
        <w:t>(40 CFR 717)</w:t>
      </w:r>
      <w:r w:rsidRPr="5F135418">
        <w:rPr>
          <w:rFonts w:ascii="Calibri" w:hAnsi="Calibri" w:cs="Calibri"/>
        </w:rPr>
        <w:t xml:space="preserve"> also prescribes the conditions under which a firm must submit or make the records available to a duly designated representative of the Administrator.</w:t>
      </w:r>
    </w:p>
    <w:p w:rsidR="00605B08" w:rsidRPr="004C6DDD" w:rsidP="00605B08" w14:paraId="082F9E59" w14:textId="77777777">
      <w:pPr>
        <w:rPr>
          <w:rFonts w:ascii="Calibri" w:hAnsi="Calibri" w:cs="Calibri"/>
          <w:b/>
          <w:i/>
          <w:iCs/>
        </w:rPr>
      </w:pPr>
      <w:r w:rsidRPr="004C6DDD">
        <w:rPr>
          <w:rFonts w:ascii="Calibri" w:hAnsi="Calibri" w:cs="Calibri"/>
          <w:b/>
          <w:i/>
          <w:iCs/>
          <w:szCs w:val="24"/>
        </w:rPr>
        <w:t>Health and Safety Data Reporting, Submission of Lists and Copies of Health and Safety Studies</w:t>
      </w:r>
    </w:p>
    <w:p w:rsidR="004B250B" w:rsidP="5F135418" w14:paraId="6E4579C1" w14:textId="5F4290C4">
      <w:pPr>
        <w:rPr>
          <w:rFonts w:ascii="Calibri" w:hAnsi="Calibri" w:cs="Calibri"/>
        </w:rPr>
      </w:pPr>
      <w:r w:rsidRPr="5F135418">
        <w:rPr>
          <w:rFonts w:ascii="Calibri" w:hAnsi="Calibri" w:cs="Calibri"/>
        </w:rPr>
        <w:t xml:space="preserve">Under </w:t>
      </w:r>
      <w:r w:rsidRPr="5F135418" w:rsidR="3D1F5818">
        <w:rPr>
          <w:rFonts w:ascii="Calibri" w:hAnsi="Calibri" w:cs="Calibri"/>
        </w:rPr>
        <w:t xml:space="preserve">TSCA </w:t>
      </w:r>
      <w:r w:rsidRPr="5F135418">
        <w:rPr>
          <w:rFonts w:ascii="Calibri" w:hAnsi="Calibri" w:cs="Calibri"/>
        </w:rPr>
        <w:t xml:space="preserve">section 8(d), certain persons, who manufacture, import, process, or distribute in commerce (or propose to manufacture, import, process, or distribute in commerce) chemical substances and mixtures, are required to submit to EPA lists and copies of </w:t>
      </w:r>
      <w:r w:rsidRPr="5F135418" w:rsidR="00C31099">
        <w:rPr>
          <w:rFonts w:ascii="Calibri" w:hAnsi="Calibri" w:cs="Calibri"/>
        </w:rPr>
        <w:t>unpublished</w:t>
      </w:r>
      <w:r w:rsidRPr="5F135418">
        <w:rPr>
          <w:rFonts w:ascii="Calibri" w:hAnsi="Calibri" w:cs="Calibri"/>
        </w:rPr>
        <w:t xml:space="preserve"> health and safety studies in their possession which relate health and/or environmental effects of the chemical substances and mixtures.</w:t>
      </w:r>
      <w:r w:rsidRPr="5F135418" w:rsidR="00900AC3">
        <w:rPr>
          <w:rFonts w:ascii="Calibri" w:hAnsi="Calibri" w:cs="Calibri"/>
        </w:rPr>
        <w:t xml:space="preserve"> </w:t>
      </w:r>
      <w:r w:rsidRPr="5F135418" w:rsidR="00825EEE">
        <w:rPr>
          <w:rFonts w:ascii="Calibri" w:hAnsi="Calibri" w:cs="Calibri"/>
        </w:rPr>
        <w:t xml:space="preserve">Reporters may also </w:t>
      </w:r>
      <w:r w:rsidRPr="5F135418" w:rsidR="00FA338B">
        <w:rPr>
          <w:rFonts w:ascii="Calibri" w:hAnsi="Calibri" w:cs="Calibri"/>
        </w:rPr>
        <w:t>need</w:t>
      </w:r>
      <w:r w:rsidRPr="5F135418" w:rsidR="00BD087C">
        <w:rPr>
          <w:rFonts w:ascii="Calibri" w:hAnsi="Calibri" w:cs="Calibri"/>
        </w:rPr>
        <w:t xml:space="preserve"> to</w:t>
      </w:r>
      <w:r w:rsidRPr="5F135418" w:rsidR="00204272">
        <w:rPr>
          <w:rFonts w:ascii="Calibri" w:hAnsi="Calibri" w:cs="Calibri"/>
        </w:rPr>
        <w:t xml:space="preserve"> prepare and submit </w:t>
      </w:r>
      <w:r w:rsidRPr="5F135418" w:rsidR="0087609C">
        <w:rPr>
          <w:rFonts w:ascii="Calibri" w:hAnsi="Calibri" w:cs="Calibri"/>
        </w:rPr>
        <w:t xml:space="preserve">an OECD Harmonized Template (OHT) for their </w:t>
      </w:r>
      <w:r w:rsidRPr="5F135418" w:rsidR="003B4A6D">
        <w:rPr>
          <w:rFonts w:ascii="Calibri" w:hAnsi="Calibri" w:cs="Calibri"/>
        </w:rPr>
        <w:t>study</w:t>
      </w:r>
      <w:r w:rsidRPr="5F135418" w:rsidR="00DA3681">
        <w:rPr>
          <w:rFonts w:ascii="Calibri" w:hAnsi="Calibri" w:cs="Calibri"/>
        </w:rPr>
        <w:t>, if their study includes confidential business information (CBI) claims</w:t>
      </w:r>
      <w:r w:rsidRPr="5F135418" w:rsidR="00FA338B">
        <w:rPr>
          <w:rFonts w:ascii="Calibri" w:hAnsi="Calibri" w:cs="Calibri"/>
        </w:rPr>
        <w:t>,</w:t>
      </w:r>
      <w:r w:rsidRPr="5F135418" w:rsidR="00DA3681">
        <w:rPr>
          <w:rFonts w:ascii="Calibri" w:hAnsi="Calibri" w:cs="Calibri"/>
        </w:rPr>
        <w:t xml:space="preserve"> or </w:t>
      </w:r>
      <w:r w:rsidRPr="5F135418" w:rsidR="00FA338B">
        <w:rPr>
          <w:rFonts w:ascii="Calibri" w:hAnsi="Calibri" w:cs="Calibri"/>
        </w:rPr>
        <w:t xml:space="preserve">if otherwise required by </w:t>
      </w:r>
      <w:r w:rsidRPr="5F135418" w:rsidR="00DA3681">
        <w:rPr>
          <w:rFonts w:ascii="Calibri" w:hAnsi="Calibri" w:cs="Calibri"/>
        </w:rPr>
        <w:t>a specific 8(d) rule</w:t>
      </w:r>
      <w:r w:rsidRPr="5F135418" w:rsidR="003B4A6D">
        <w:rPr>
          <w:rFonts w:ascii="Calibri" w:hAnsi="Calibri" w:cs="Calibri"/>
        </w:rPr>
        <w:t>.</w:t>
      </w:r>
    </w:p>
    <w:p w:rsidR="004B250B" w:rsidRPr="004B250B" w:rsidP="5F135418" w14:paraId="5676869B" w14:textId="28C93541">
      <w:pPr>
        <w:spacing w:after="0"/>
        <w:rPr>
          <w:rFonts w:ascii="Calibri" w:hAnsi="Calibri" w:cs="Calibri"/>
          <w:sz w:val="22"/>
        </w:rPr>
      </w:pPr>
      <w:r w:rsidRPr="5F135418">
        <w:rPr>
          <w:rFonts w:ascii="Calibri" w:hAnsi="Calibri" w:cs="Calibri"/>
        </w:rPr>
        <w:t xml:space="preserve">EPA anticipates it could undertake additional future TSCA section 8 activities. For example, the Agency </w:t>
      </w:r>
      <w:r w:rsidRPr="5F135418" w:rsidR="00920A81">
        <w:rPr>
          <w:rFonts w:ascii="Calibri" w:hAnsi="Calibri" w:cs="Calibri"/>
        </w:rPr>
        <w:t xml:space="preserve">could need </w:t>
      </w:r>
      <w:r w:rsidRPr="5F135418">
        <w:rPr>
          <w:rFonts w:ascii="Calibri" w:hAnsi="Calibri" w:cs="Calibri"/>
        </w:rPr>
        <w:t xml:space="preserve">data to support its TSCA section 6 prioritization, risk evaluation, and risk </w:t>
      </w:r>
      <w:r w:rsidRPr="5F135418">
        <w:rPr>
          <w:rFonts w:ascii="Calibri" w:hAnsi="Calibri" w:cs="Calibri"/>
        </w:rPr>
        <w:t xml:space="preserve">management activities. Additionally, petitions or other factors, such as an emergent concern that might arise, could warrant the collection of TSCA section 8 data (e.g., a rulemaking pursuant to </w:t>
      </w:r>
      <w:r w:rsidRPr="5F135418" w:rsidR="5BC0E0E6">
        <w:rPr>
          <w:rFonts w:ascii="Calibri" w:hAnsi="Calibri" w:cs="Calibri"/>
        </w:rPr>
        <w:t xml:space="preserve">TSCA </w:t>
      </w:r>
      <w:r w:rsidRPr="5F135418">
        <w:rPr>
          <w:rFonts w:ascii="Calibri" w:hAnsi="Calibri" w:cs="Calibri"/>
        </w:rPr>
        <w:t>section 8(a) or 8(d)) to help inform the Agency, as well as other TSCA section 8 data users. Such activities would, as appropriate, include supplemental ICRs associated with their estimated burden.</w:t>
      </w:r>
    </w:p>
    <w:p w:rsidR="00590181" w:rsidRPr="00F93A42" w:rsidP="00590181" w14:paraId="3C650351" w14:textId="3BA2D45D">
      <w:pPr>
        <w:pStyle w:val="Heading3"/>
        <w:rPr>
          <w:rFonts w:ascii="Calibri" w:hAnsi="Calibri" w:cs="Calibri"/>
          <w:i w:val="0"/>
          <w:iCs/>
          <w:u w:val="none"/>
        </w:rPr>
      </w:pPr>
      <w:r>
        <w:rPr>
          <w:rFonts w:ascii="Calibri" w:hAnsi="Calibri" w:cs="Calibri"/>
          <w:i w:val="0"/>
          <w:iCs/>
          <w:u w:val="none"/>
        </w:rPr>
        <w:br/>
      </w:r>
      <w:r w:rsidRPr="00F93A42">
        <w:rPr>
          <w:rFonts w:ascii="Calibri" w:hAnsi="Calibri" w:cs="Calibri"/>
          <w:i w:val="0"/>
          <w:iCs/>
          <w:u w:val="none"/>
        </w:rPr>
        <w:t>Summary Total Burden and Costs</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440"/>
        <w:gridCol w:w="1260"/>
        <w:gridCol w:w="1350"/>
        <w:gridCol w:w="1620"/>
        <w:gridCol w:w="1440"/>
      </w:tblGrid>
      <w:tr w14:paraId="75F66F8F" w14:textId="77777777" w:rsidTr="10B82CF0">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25" w:type="dxa"/>
            <w:shd w:val="clear" w:color="auto" w:fill="D9D9D9" w:themeFill="accent6" w:themeFillShade="D9"/>
            <w:vAlign w:val="bottom"/>
          </w:tcPr>
          <w:p w:rsidR="00B258EC" w:rsidRPr="0083067A" w:rsidP="001F2DF7" w14:paraId="1D17A764" w14:textId="5161ECAD">
            <w:pPr>
              <w:pStyle w:val="NoSpacing"/>
              <w:jc w:val="center"/>
              <w:rPr>
                <w:rFonts w:ascii="Calibri" w:hAnsi="Calibri" w:cs="Calibri"/>
                <w:b/>
                <w:bCs/>
                <w:sz w:val="20"/>
                <w:szCs w:val="20"/>
                <w:highlight w:val="yellow"/>
              </w:rPr>
            </w:pPr>
            <w:bookmarkStart w:id="7" w:name="_Hlk192062863"/>
            <w:r w:rsidRPr="0083067A">
              <w:rPr>
                <w:rFonts w:ascii="Calibri" w:hAnsi="Calibri" w:cs="Calibri"/>
                <w:b/>
                <w:bCs/>
                <w:sz w:val="20"/>
                <w:szCs w:val="20"/>
              </w:rPr>
              <w:t>Information Collection</w:t>
            </w:r>
          </w:p>
        </w:tc>
        <w:tc>
          <w:tcPr>
            <w:tcW w:w="1440" w:type="dxa"/>
            <w:shd w:val="clear" w:color="auto" w:fill="D9D9D9" w:themeFill="accent6" w:themeFillShade="D9"/>
            <w:vAlign w:val="bottom"/>
          </w:tcPr>
          <w:p w:rsidR="00B258EC" w:rsidRPr="0083067A" w:rsidP="001F2DF7" w14:paraId="2F7D685E" w14:textId="78442E18">
            <w:pPr>
              <w:pStyle w:val="NoSpacing"/>
              <w:jc w:val="center"/>
              <w:rPr>
                <w:rFonts w:ascii="Calibri" w:hAnsi="Calibri" w:cs="Calibri"/>
                <w:b/>
                <w:bCs/>
                <w:sz w:val="20"/>
                <w:szCs w:val="20"/>
              </w:rPr>
            </w:pPr>
            <w:r w:rsidRPr="0083067A">
              <w:rPr>
                <w:rFonts w:ascii="Calibri" w:hAnsi="Calibri" w:cs="Calibri"/>
                <w:b/>
                <w:bCs/>
                <w:sz w:val="20"/>
                <w:szCs w:val="20"/>
              </w:rPr>
              <w:t>Number of Respondents</w:t>
            </w:r>
          </w:p>
        </w:tc>
        <w:tc>
          <w:tcPr>
            <w:tcW w:w="1260" w:type="dxa"/>
            <w:shd w:val="clear" w:color="auto" w:fill="D9D9D9" w:themeFill="accent6" w:themeFillShade="D9"/>
            <w:vAlign w:val="bottom"/>
          </w:tcPr>
          <w:p w:rsidR="00B258EC" w:rsidRPr="0083067A" w:rsidP="001F2DF7" w14:paraId="7919AB19" w14:textId="77777777">
            <w:pPr>
              <w:pStyle w:val="NoSpacing"/>
              <w:jc w:val="center"/>
              <w:rPr>
                <w:rFonts w:ascii="Calibri" w:hAnsi="Calibri" w:cs="Calibri"/>
                <w:b/>
                <w:bCs/>
                <w:sz w:val="20"/>
                <w:szCs w:val="20"/>
              </w:rPr>
            </w:pPr>
            <w:r w:rsidRPr="0083067A">
              <w:rPr>
                <w:rFonts w:ascii="Calibri" w:hAnsi="Calibri" w:cs="Calibri"/>
                <w:b/>
                <w:bCs/>
                <w:sz w:val="20"/>
                <w:szCs w:val="20"/>
              </w:rPr>
              <w:t>Annual Number of Responses</w:t>
            </w:r>
          </w:p>
        </w:tc>
        <w:tc>
          <w:tcPr>
            <w:tcW w:w="1350" w:type="dxa"/>
            <w:shd w:val="clear" w:color="auto" w:fill="D9D9D9" w:themeFill="accent6" w:themeFillShade="D9"/>
            <w:vAlign w:val="bottom"/>
          </w:tcPr>
          <w:p w:rsidR="00B258EC" w:rsidRPr="0083067A" w:rsidP="001F2DF7" w14:paraId="60A5D307" w14:textId="2C299CE9">
            <w:pPr>
              <w:pStyle w:val="NoSpacing"/>
              <w:jc w:val="center"/>
              <w:rPr>
                <w:rFonts w:ascii="Calibri" w:hAnsi="Calibri" w:cs="Calibri"/>
                <w:b/>
                <w:bCs/>
                <w:sz w:val="20"/>
                <w:szCs w:val="20"/>
              </w:rPr>
            </w:pPr>
            <w:r w:rsidRPr="0083067A">
              <w:rPr>
                <w:rFonts w:ascii="Calibri" w:hAnsi="Calibri" w:cs="Calibri"/>
                <w:b/>
                <w:bCs/>
                <w:sz w:val="20"/>
                <w:szCs w:val="20"/>
              </w:rPr>
              <w:t>Responses per Respondent</w:t>
            </w:r>
          </w:p>
        </w:tc>
        <w:tc>
          <w:tcPr>
            <w:tcW w:w="1620" w:type="dxa"/>
            <w:shd w:val="clear" w:color="auto" w:fill="D9D9D9" w:themeFill="accent6" w:themeFillShade="D9"/>
            <w:vAlign w:val="bottom"/>
          </w:tcPr>
          <w:p w:rsidR="00605B08" w:rsidRPr="0083067A" w:rsidP="00605B08" w14:paraId="074FA67A" w14:textId="05F1B9E8">
            <w:pPr>
              <w:pStyle w:val="NoSpacing"/>
              <w:jc w:val="center"/>
              <w:rPr>
                <w:rFonts w:ascii="Calibri" w:hAnsi="Calibri" w:cs="Calibri"/>
                <w:b/>
                <w:bCs/>
                <w:sz w:val="20"/>
                <w:szCs w:val="20"/>
              </w:rPr>
            </w:pPr>
            <w:r w:rsidRPr="0083067A">
              <w:rPr>
                <w:rFonts w:ascii="Calibri" w:hAnsi="Calibri" w:cs="Calibri"/>
                <w:b/>
                <w:bCs/>
                <w:sz w:val="20"/>
                <w:szCs w:val="20"/>
              </w:rPr>
              <w:t>Annual Time Burden</w:t>
            </w:r>
            <w:r w:rsidRPr="0083067A" w:rsidR="001F2DF7">
              <w:rPr>
                <w:rFonts w:ascii="Calibri" w:hAnsi="Calibri" w:cs="Calibri"/>
                <w:b/>
                <w:bCs/>
                <w:sz w:val="20"/>
                <w:szCs w:val="20"/>
              </w:rPr>
              <w:t xml:space="preserve"> </w:t>
            </w:r>
            <w:r w:rsidRPr="0083067A">
              <w:rPr>
                <w:rFonts w:ascii="Calibri" w:hAnsi="Calibri" w:cs="Calibri"/>
                <w:b/>
                <w:bCs/>
                <w:sz w:val="20"/>
                <w:szCs w:val="20"/>
              </w:rPr>
              <w:t>(Hours)</w:t>
            </w:r>
          </w:p>
        </w:tc>
        <w:tc>
          <w:tcPr>
            <w:tcW w:w="1440" w:type="dxa"/>
            <w:shd w:val="clear" w:color="auto" w:fill="D9D9D9" w:themeFill="accent6" w:themeFillShade="D9"/>
            <w:vAlign w:val="bottom"/>
          </w:tcPr>
          <w:p w:rsidR="00B258EC" w:rsidRPr="0083067A" w:rsidP="001F2DF7" w14:paraId="15B25869" w14:textId="7890F028">
            <w:pPr>
              <w:pStyle w:val="NoSpacing"/>
              <w:jc w:val="center"/>
              <w:rPr>
                <w:rFonts w:ascii="Calibri" w:hAnsi="Calibri" w:cs="Calibri"/>
                <w:b/>
                <w:bCs/>
                <w:sz w:val="20"/>
                <w:szCs w:val="20"/>
              </w:rPr>
            </w:pPr>
            <w:r w:rsidRPr="0083067A">
              <w:rPr>
                <w:rFonts w:ascii="Calibri" w:hAnsi="Calibri" w:cs="Calibri"/>
                <w:b/>
                <w:bCs/>
                <w:sz w:val="20"/>
                <w:szCs w:val="20"/>
              </w:rPr>
              <w:t>Annual Cost Burden (Dollars)</w:t>
            </w:r>
          </w:p>
        </w:tc>
      </w:tr>
      <w:tr w14:paraId="373D5DBC" w14:textId="77777777" w:rsidTr="10B82CF0">
        <w:tblPrEx>
          <w:tblW w:w="5099" w:type="pct"/>
          <w:tblLayout w:type="fixed"/>
          <w:tblLook w:val="01E0"/>
        </w:tblPrEx>
        <w:tc>
          <w:tcPr>
            <w:tcW w:w="2425" w:type="dxa"/>
            <w:shd w:val="clear" w:color="auto" w:fill="auto"/>
          </w:tcPr>
          <w:p w:rsidR="00BF5F9B" w:rsidRPr="0083067A" w:rsidP="00BF5F9B" w14:paraId="0A6C3484" w14:textId="65909CD6">
            <w:pPr>
              <w:pStyle w:val="NoSpacing"/>
              <w:spacing w:line="259" w:lineRule="auto"/>
              <w:rPr>
                <w:rFonts w:ascii="Calibri" w:hAnsi="Calibri" w:cs="Calibri"/>
                <w:b/>
                <w:sz w:val="20"/>
                <w:szCs w:val="20"/>
              </w:rPr>
            </w:pPr>
            <w:bookmarkStart w:id="8" w:name="_Hlk85106380"/>
            <w:r w:rsidRPr="0083067A">
              <w:rPr>
                <w:rFonts w:ascii="Calibri" w:hAnsi="Calibri" w:cs="Calibri"/>
                <w:b/>
                <w:sz w:val="20"/>
                <w:szCs w:val="20"/>
              </w:rPr>
              <w:t>TSCA Section 8(a) Preliminary Assessment Information Rule (PAIR)</w:t>
            </w:r>
            <w:bookmarkEnd w:id="8"/>
            <w:r w:rsidRPr="0083067A">
              <w:rPr>
                <w:rFonts w:ascii="Calibri" w:hAnsi="Calibri" w:cs="Calibri"/>
                <w:b/>
                <w:sz w:val="20"/>
                <w:szCs w:val="20"/>
              </w:rPr>
              <w:t xml:space="preserve"> and Subpart B of 40 CFR part 766</w:t>
            </w:r>
          </w:p>
        </w:tc>
        <w:tc>
          <w:tcPr>
            <w:tcW w:w="1440" w:type="dxa"/>
            <w:shd w:val="clear" w:color="auto" w:fill="auto"/>
            <w:vAlign w:val="center"/>
          </w:tcPr>
          <w:p w:rsidR="00BF5F9B" w:rsidRPr="0083067A" w:rsidP="00BF5F9B" w14:paraId="742753AA" w14:textId="77DDA571">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sz w:val="20"/>
                <w:szCs w:val="20"/>
              </w:rPr>
              <w:t>1</w:t>
            </w:r>
          </w:p>
        </w:tc>
        <w:tc>
          <w:tcPr>
            <w:tcW w:w="1260" w:type="dxa"/>
            <w:shd w:val="clear" w:color="auto" w:fill="auto"/>
            <w:vAlign w:val="center"/>
          </w:tcPr>
          <w:p w:rsidR="00BF5F9B" w:rsidRPr="0083067A" w:rsidP="00BF5F9B" w14:paraId="23C184F0" w14:textId="0D20D458">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sz w:val="20"/>
                <w:szCs w:val="20"/>
              </w:rPr>
              <w:t>1</w:t>
            </w:r>
          </w:p>
        </w:tc>
        <w:tc>
          <w:tcPr>
            <w:tcW w:w="1350" w:type="dxa"/>
            <w:vAlign w:val="center"/>
          </w:tcPr>
          <w:p w:rsidR="00BF5F9B" w:rsidRPr="0083067A" w:rsidP="00BF5F9B" w14:paraId="5215BF7B" w14:textId="3F7EE3D9">
            <w:pPr>
              <w:pStyle w:val="NoSpacing"/>
              <w:jc w:val="center"/>
              <w:rPr>
                <w:rFonts w:ascii="Calibri" w:hAnsi="Calibri" w:cs="Calibri"/>
                <w:sz w:val="20"/>
                <w:szCs w:val="20"/>
              </w:rPr>
            </w:pPr>
            <w:r w:rsidRPr="0083067A">
              <w:rPr>
                <w:rFonts w:ascii="Calibri" w:hAnsi="Calibri" w:cs="Calibri"/>
                <w:sz w:val="20"/>
                <w:szCs w:val="20"/>
              </w:rPr>
              <w:t>1</w:t>
            </w:r>
          </w:p>
        </w:tc>
        <w:tc>
          <w:tcPr>
            <w:tcW w:w="1620" w:type="dxa"/>
            <w:shd w:val="clear" w:color="auto" w:fill="auto"/>
            <w:vAlign w:val="center"/>
          </w:tcPr>
          <w:p w:rsidR="00BF5F9B" w:rsidRPr="0083067A" w:rsidP="00BF5F9B" w14:paraId="275FB8C9" w14:textId="01F7D84C">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themeColor="text1"/>
                <w:sz w:val="20"/>
                <w:szCs w:val="20"/>
              </w:rPr>
              <w:t>33</w:t>
            </w:r>
          </w:p>
        </w:tc>
        <w:tc>
          <w:tcPr>
            <w:tcW w:w="1440" w:type="dxa"/>
            <w:vAlign w:val="center"/>
          </w:tcPr>
          <w:p w:rsidR="00BF5F9B" w:rsidRPr="0083067A" w:rsidP="00BF5F9B" w14:paraId="1E40CE77" w14:textId="1C3194A2">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themeColor="text1"/>
                <w:sz w:val="20"/>
                <w:szCs w:val="20"/>
              </w:rPr>
              <w:t>$2,810</w:t>
            </w:r>
          </w:p>
        </w:tc>
      </w:tr>
      <w:tr w14:paraId="77192B1B" w14:textId="77777777" w:rsidTr="10B82CF0">
        <w:tblPrEx>
          <w:tblW w:w="5099" w:type="pct"/>
          <w:tblLayout w:type="fixed"/>
          <w:tblLook w:val="01E0"/>
        </w:tblPrEx>
        <w:tc>
          <w:tcPr>
            <w:tcW w:w="2425" w:type="dxa"/>
            <w:shd w:val="clear" w:color="auto" w:fill="auto"/>
          </w:tcPr>
          <w:p w:rsidR="00BF5F9B" w:rsidRPr="0083067A" w:rsidP="00BF5F9B" w14:paraId="4E24E71B" w14:textId="09776776">
            <w:pPr>
              <w:pStyle w:val="NoSpacing"/>
              <w:spacing w:line="259" w:lineRule="auto"/>
              <w:rPr>
                <w:rFonts w:ascii="Calibri" w:hAnsi="Calibri" w:cs="Calibri"/>
                <w:b/>
                <w:sz w:val="20"/>
                <w:szCs w:val="20"/>
              </w:rPr>
            </w:pPr>
            <w:r w:rsidRPr="0083067A">
              <w:rPr>
                <w:rFonts w:ascii="Calibri" w:hAnsi="Calibri" w:cs="Calibri"/>
                <w:b/>
                <w:sz w:val="20"/>
                <w:szCs w:val="20"/>
              </w:rPr>
              <w:t>Chemical-Specific Rules</w:t>
            </w:r>
            <w:r w:rsidR="007422E6">
              <w:rPr>
                <w:rFonts w:ascii="Calibri" w:hAnsi="Calibri" w:cs="Calibri"/>
                <w:b/>
                <w:sz w:val="20"/>
                <w:szCs w:val="20"/>
              </w:rPr>
              <w:t xml:space="preserve">; </w:t>
            </w:r>
            <w:r w:rsidRPr="0083067A">
              <w:rPr>
                <w:rFonts w:ascii="Calibri" w:hAnsi="Calibri" w:cs="Calibri"/>
                <w:b/>
                <w:sz w:val="20"/>
                <w:szCs w:val="20"/>
              </w:rPr>
              <w:t>TSCA Section 8(a)</w:t>
            </w:r>
            <w:r w:rsidR="00544D59">
              <w:rPr>
                <w:rFonts w:ascii="Calibri" w:hAnsi="Calibri" w:cs="Calibri"/>
                <w:b/>
                <w:sz w:val="20"/>
                <w:szCs w:val="20"/>
              </w:rPr>
              <w:t>*</w:t>
            </w:r>
          </w:p>
        </w:tc>
        <w:tc>
          <w:tcPr>
            <w:tcW w:w="1440" w:type="dxa"/>
            <w:shd w:val="clear" w:color="auto" w:fill="auto"/>
            <w:vAlign w:val="center"/>
          </w:tcPr>
          <w:p w:rsidR="00BF5F9B" w:rsidRPr="0083067A" w:rsidP="00BF5F9B" w14:paraId="78C2CF85" w14:textId="57A1C139">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themeColor="text1"/>
                <w:sz w:val="20"/>
                <w:szCs w:val="20"/>
              </w:rPr>
              <w:t>5.3</w:t>
            </w:r>
          </w:p>
        </w:tc>
        <w:tc>
          <w:tcPr>
            <w:tcW w:w="1260" w:type="dxa"/>
            <w:shd w:val="clear" w:color="auto" w:fill="auto"/>
            <w:vAlign w:val="center"/>
          </w:tcPr>
          <w:p w:rsidR="00BF5F9B" w:rsidRPr="0083067A" w:rsidP="00BF5F9B" w14:paraId="64A023EA" w14:textId="737E8D88">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themeColor="text1"/>
                <w:sz w:val="20"/>
                <w:szCs w:val="20"/>
              </w:rPr>
              <w:t>9</w:t>
            </w:r>
          </w:p>
        </w:tc>
        <w:tc>
          <w:tcPr>
            <w:tcW w:w="1350" w:type="dxa"/>
            <w:vAlign w:val="center"/>
          </w:tcPr>
          <w:p w:rsidR="00BF5F9B" w:rsidRPr="0083067A" w:rsidP="00BF5F9B" w14:paraId="6E8EB8EC" w14:textId="590894D6">
            <w:pPr>
              <w:pStyle w:val="NoSpacing"/>
              <w:jc w:val="center"/>
              <w:rPr>
                <w:rFonts w:ascii="Calibri" w:hAnsi="Calibri" w:cs="Calibri"/>
                <w:sz w:val="20"/>
                <w:szCs w:val="20"/>
              </w:rPr>
            </w:pPr>
            <w:r w:rsidRPr="0083067A">
              <w:rPr>
                <w:rFonts w:ascii="Calibri" w:hAnsi="Calibri" w:cs="Calibri"/>
                <w:sz w:val="20"/>
                <w:szCs w:val="20"/>
              </w:rPr>
              <w:t>1.7</w:t>
            </w:r>
          </w:p>
        </w:tc>
        <w:tc>
          <w:tcPr>
            <w:tcW w:w="1620" w:type="dxa"/>
            <w:shd w:val="clear" w:color="auto" w:fill="auto"/>
            <w:vAlign w:val="center"/>
          </w:tcPr>
          <w:p w:rsidR="00BF5F9B" w:rsidRPr="0083067A" w:rsidP="00BF5F9B" w14:paraId="74592BAB" w14:textId="3942CE74">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themeColor="text1"/>
                <w:sz w:val="20"/>
                <w:szCs w:val="20"/>
              </w:rPr>
              <w:t>961</w:t>
            </w:r>
          </w:p>
        </w:tc>
        <w:tc>
          <w:tcPr>
            <w:tcW w:w="1440" w:type="dxa"/>
            <w:vAlign w:val="center"/>
          </w:tcPr>
          <w:p w:rsidR="00BF5F9B" w:rsidRPr="0083067A" w:rsidP="00BF5F9B" w14:paraId="1BED3BBB" w14:textId="52F70385">
            <w:pPr>
              <w:pStyle w:val="NoSpacing"/>
              <w:jc w:val="center"/>
              <w:rPr>
                <w:rFonts w:ascii="Calibri" w:eastAsia="Times New Roman" w:hAnsi="Calibri" w:cs="Calibri"/>
                <w:color w:val="000000" w:themeColor="text1"/>
                <w:sz w:val="20"/>
                <w:szCs w:val="20"/>
              </w:rPr>
            </w:pPr>
            <w:r w:rsidRPr="0083067A">
              <w:rPr>
                <w:rFonts w:ascii="Calibri" w:eastAsia="Times New Roman" w:hAnsi="Calibri" w:cs="Calibri"/>
                <w:color w:val="000000" w:themeColor="text1"/>
                <w:sz w:val="20"/>
                <w:szCs w:val="20"/>
              </w:rPr>
              <w:t>$81,135</w:t>
            </w:r>
          </w:p>
        </w:tc>
      </w:tr>
      <w:tr w14:paraId="00A38879" w14:textId="77777777" w:rsidTr="10B82CF0">
        <w:tblPrEx>
          <w:tblW w:w="5099" w:type="pct"/>
          <w:tblLayout w:type="fixed"/>
          <w:tblLook w:val="01E0"/>
        </w:tblPrEx>
        <w:tc>
          <w:tcPr>
            <w:tcW w:w="2425" w:type="dxa"/>
            <w:shd w:val="clear" w:color="auto" w:fill="auto"/>
          </w:tcPr>
          <w:p w:rsidR="00BF5F9B" w:rsidRPr="0083067A" w:rsidP="00BF5F9B" w14:paraId="23B743B6" w14:textId="4F5EB4FC">
            <w:pPr>
              <w:pStyle w:val="NoSpacing"/>
              <w:spacing w:line="259" w:lineRule="auto"/>
              <w:rPr>
                <w:rFonts w:ascii="Calibri" w:hAnsi="Calibri" w:cs="Calibri"/>
                <w:b/>
                <w:sz w:val="20"/>
                <w:szCs w:val="20"/>
              </w:rPr>
            </w:pPr>
            <w:bookmarkStart w:id="9" w:name="_Hlk85106336"/>
            <w:r w:rsidRPr="0083067A">
              <w:rPr>
                <w:rFonts w:ascii="Calibri" w:hAnsi="Calibri" w:cs="Calibri"/>
                <w:b/>
                <w:sz w:val="20"/>
                <w:szCs w:val="20"/>
              </w:rPr>
              <w:t xml:space="preserve">TSCA </w:t>
            </w:r>
            <w:r>
              <w:rPr>
                <w:rFonts w:ascii="Calibri" w:hAnsi="Calibri" w:cs="Calibri"/>
                <w:b/>
                <w:sz w:val="20"/>
                <w:szCs w:val="20"/>
              </w:rPr>
              <w:t>S</w:t>
            </w:r>
            <w:r w:rsidRPr="0083067A">
              <w:rPr>
                <w:rFonts w:ascii="Calibri" w:hAnsi="Calibri" w:cs="Calibri"/>
                <w:b/>
                <w:sz w:val="20"/>
                <w:szCs w:val="20"/>
              </w:rPr>
              <w:t xml:space="preserve">ection </w:t>
            </w:r>
            <w:r>
              <w:rPr>
                <w:rFonts w:ascii="Calibri" w:hAnsi="Calibri" w:cs="Calibri"/>
                <w:b/>
                <w:sz w:val="20"/>
                <w:szCs w:val="20"/>
              </w:rPr>
              <w:t>8</w:t>
            </w:r>
            <w:r w:rsidRPr="0083067A">
              <w:rPr>
                <w:rFonts w:ascii="Calibri" w:hAnsi="Calibri" w:cs="Calibri"/>
                <w:b/>
                <w:sz w:val="20"/>
                <w:szCs w:val="20"/>
              </w:rPr>
              <w:t>(c) Recordkeeping and Reporting Requirements for Allegations of Significant Adverse Reactions to Human Health or the Environment</w:t>
            </w:r>
            <w:bookmarkEnd w:id="9"/>
          </w:p>
        </w:tc>
        <w:tc>
          <w:tcPr>
            <w:tcW w:w="1440" w:type="dxa"/>
            <w:shd w:val="clear" w:color="auto" w:fill="auto"/>
            <w:vAlign w:val="center"/>
          </w:tcPr>
          <w:p w:rsidR="00BF5F9B" w:rsidRPr="0083067A" w:rsidP="00BF5F9B" w14:paraId="48AD5BE8" w14:textId="6F9467E1">
            <w:pPr>
              <w:pStyle w:val="NoSpacing"/>
              <w:jc w:val="center"/>
              <w:rPr>
                <w:rFonts w:ascii="Calibri" w:eastAsia="Times New Roman" w:hAnsi="Calibri" w:cs="Calibri"/>
                <w:color w:val="000000" w:themeColor="text1"/>
                <w:sz w:val="20"/>
                <w:szCs w:val="20"/>
              </w:rPr>
            </w:pPr>
            <w:r>
              <w:rPr>
                <w:rFonts w:ascii="Calibri" w:hAnsi="Calibri" w:cs="Calibri"/>
                <w:color w:val="000000" w:themeColor="text1"/>
                <w:sz w:val="20"/>
                <w:szCs w:val="20"/>
              </w:rPr>
              <w:t>13,557</w:t>
            </w:r>
          </w:p>
        </w:tc>
        <w:tc>
          <w:tcPr>
            <w:tcW w:w="1260" w:type="dxa"/>
            <w:shd w:val="clear" w:color="auto" w:fill="auto"/>
            <w:vAlign w:val="center"/>
          </w:tcPr>
          <w:p w:rsidR="00BF5F9B" w:rsidRPr="0083067A" w:rsidP="00BF5F9B" w14:paraId="3DABB55D" w14:textId="2B6206FE">
            <w:pPr>
              <w:pStyle w:val="NoSpacing"/>
              <w:jc w:val="center"/>
              <w:rPr>
                <w:rFonts w:ascii="Calibri" w:eastAsia="Times New Roman" w:hAnsi="Calibri" w:cs="Calibri"/>
                <w:color w:val="000000" w:themeColor="text1"/>
                <w:sz w:val="20"/>
                <w:szCs w:val="20"/>
              </w:rPr>
            </w:pPr>
            <w:r>
              <w:rPr>
                <w:rFonts w:ascii="Calibri" w:eastAsia="Times New Roman" w:hAnsi="Calibri" w:cs="Calibri"/>
                <w:sz w:val="20"/>
                <w:szCs w:val="20"/>
              </w:rPr>
              <w:t>141,695</w:t>
            </w:r>
          </w:p>
        </w:tc>
        <w:tc>
          <w:tcPr>
            <w:tcW w:w="1350" w:type="dxa"/>
            <w:vAlign w:val="center"/>
          </w:tcPr>
          <w:p w:rsidR="00BF5F9B" w:rsidRPr="0083067A" w:rsidP="00BF5F9B" w14:paraId="7F5981B4" w14:textId="1476EBE4">
            <w:pPr>
              <w:pStyle w:val="NoSpacing"/>
              <w:jc w:val="center"/>
              <w:rPr>
                <w:rFonts w:ascii="Calibri" w:hAnsi="Calibri" w:cs="Calibri"/>
                <w:sz w:val="20"/>
                <w:szCs w:val="20"/>
              </w:rPr>
            </w:pPr>
            <w:r w:rsidRPr="0083067A">
              <w:rPr>
                <w:rFonts w:ascii="Calibri" w:hAnsi="Calibri" w:cs="Calibri"/>
                <w:sz w:val="20"/>
                <w:szCs w:val="20"/>
              </w:rPr>
              <w:t>1</w:t>
            </w:r>
            <w:r w:rsidR="003B3335">
              <w:rPr>
                <w:rFonts w:ascii="Calibri" w:hAnsi="Calibri" w:cs="Calibri"/>
                <w:sz w:val="20"/>
                <w:szCs w:val="20"/>
              </w:rPr>
              <w:t>0</w:t>
            </w:r>
          </w:p>
        </w:tc>
        <w:tc>
          <w:tcPr>
            <w:tcW w:w="1620" w:type="dxa"/>
            <w:shd w:val="clear" w:color="auto" w:fill="auto"/>
            <w:vAlign w:val="center"/>
          </w:tcPr>
          <w:p w:rsidR="00BF5F9B" w:rsidRPr="0083067A" w:rsidP="00BF5F9B" w14:paraId="27D1DD30" w14:textId="1A490843">
            <w:pPr>
              <w:pStyle w:val="NoSpacing"/>
              <w:jc w:val="center"/>
              <w:rPr>
                <w:rFonts w:ascii="Calibri" w:eastAsia="Times New Roman" w:hAnsi="Calibri" w:cs="Calibri"/>
                <w:color w:val="000000" w:themeColor="text1"/>
                <w:sz w:val="20"/>
                <w:szCs w:val="20"/>
              </w:rPr>
            </w:pPr>
            <w:r w:rsidRPr="10B82CF0">
              <w:rPr>
                <w:rFonts w:ascii="Calibri" w:eastAsia="Times New Roman" w:hAnsi="Calibri" w:cs="Calibri"/>
                <w:color w:val="000000" w:themeColor="text1"/>
                <w:sz w:val="20"/>
                <w:szCs w:val="20"/>
              </w:rPr>
              <w:t>59</w:t>
            </w:r>
            <w:r w:rsidRPr="10B82CF0" w:rsidR="60B00824">
              <w:rPr>
                <w:rFonts w:ascii="Calibri" w:eastAsia="Times New Roman" w:hAnsi="Calibri" w:cs="Calibri"/>
                <w:color w:val="000000" w:themeColor="text1"/>
                <w:sz w:val="20"/>
                <w:szCs w:val="20"/>
              </w:rPr>
              <w:t>,</w:t>
            </w:r>
            <w:r w:rsidRPr="10B82CF0" w:rsidR="369F7FA8">
              <w:rPr>
                <w:rFonts w:ascii="Calibri" w:eastAsia="Times New Roman" w:hAnsi="Calibri" w:cs="Calibri"/>
                <w:color w:val="000000" w:themeColor="text1"/>
                <w:sz w:val="20"/>
                <w:szCs w:val="20"/>
              </w:rPr>
              <w:t>033</w:t>
            </w:r>
          </w:p>
        </w:tc>
        <w:tc>
          <w:tcPr>
            <w:tcW w:w="1440" w:type="dxa"/>
            <w:vAlign w:val="center"/>
          </w:tcPr>
          <w:p w:rsidR="00BF5F9B" w:rsidRPr="0083067A" w:rsidP="00BF5F9B" w14:paraId="391F4B96" w14:textId="483D8CE7">
            <w:pPr>
              <w:pStyle w:val="NoSpacing"/>
              <w:jc w:val="center"/>
              <w:rPr>
                <w:rFonts w:ascii="Calibri" w:eastAsia="Times New Roman" w:hAnsi="Calibri" w:cs="Calibri"/>
                <w:color w:val="000000" w:themeColor="text1"/>
                <w:sz w:val="20"/>
                <w:szCs w:val="20"/>
              </w:rPr>
            </w:pPr>
            <w:r w:rsidRPr="10B82CF0">
              <w:rPr>
                <w:rFonts w:ascii="Calibri" w:eastAsia="Times New Roman" w:hAnsi="Calibri" w:cs="Calibri"/>
                <w:color w:val="000000" w:themeColor="text1"/>
                <w:sz w:val="20"/>
                <w:szCs w:val="20"/>
              </w:rPr>
              <w:t>$5,11</w:t>
            </w:r>
            <w:r w:rsidRPr="10B82CF0" w:rsidR="5CDA098C">
              <w:rPr>
                <w:rFonts w:ascii="Calibri" w:eastAsia="Times New Roman" w:hAnsi="Calibri" w:cs="Calibri"/>
                <w:color w:val="000000" w:themeColor="text1"/>
                <w:sz w:val="20"/>
                <w:szCs w:val="20"/>
              </w:rPr>
              <w:t>4</w:t>
            </w:r>
            <w:r w:rsidRPr="10B82CF0">
              <w:rPr>
                <w:rFonts w:ascii="Calibri" w:eastAsia="Times New Roman" w:hAnsi="Calibri" w:cs="Calibri"/>
                <w:color w:val="000000" w:themeColor="text1"/>
                <w:sz w:val="20"/>
                <w:szCs w:val="20"/>
              </w:rPr>
              <w:t>,</w:t>
            </w:r>
            <w:r w:rsidRPr="10B82CF0" w:rsidR="1C172170">
              <w:rPr>
                <w:rFonts w:ascii="Calibri" w:eastAsia="Times New Roman" w:hAnsi="Calibri" w:cs="Calibri"/>
                <w:color w:val="000000" w:themeColor="text1"/>
                <w:sz w:val="20"/>
                <w:szCs w:val="20"/>
              </w:rPr>
              <w:t>208</w:t>
            </w:r>
          </w:p>
        </w:tc>
      </w:tr>
      <w:tr w14:paraId="7C1C709B" w14:textId="77777777" w:rsidTr="10B82CF0">
        <w:tblPrEx>
          <w:tblW w:w="5099" w:type="pct"/>
          <w:tblLayout w:type="fixed"/>
          <w:tblLook w:val="01E0"/>
        </w:tblPrEx>
        <w:tc>
          <w:tcPr>
            <w:tcW w:w="2425" w:type="dxa"/>
            <w:shd w:val="clear" w:color="auto" w:fill="auto"/>
          </w:tcPr>
          <w:p w:rsidR="00BF5F9B" w:rsidRPr="0083067A" w:rsidP="00BF5F9B" w14:paraId="5A17F030" w14:textId="46BB19D0">
            <w:pPr>
              <w:pStyle w:val="NoSpacing"/>
              <w:spacing w:line="259" w:lineRule="auto"/>
              <w:rPr>
                <w:rFonts w:ascii="Calibri" w:hAnsi="Calibri" w:cs="Calibri"/>
                <w:b/>
                <w:sz w:val="20"/>
                <w:szCs w:val="20"/>
              </w:rPr>
            </w:pPr>
            <w:bookmarkStart w:id="10" w:name="_Hlk85106125"/>
            <w:r w:rsidRPr="0083067A">
              <w:rPr>
                <w:rFonts w:ascii="Calibri" w:hAnsi="Calibri" w:cs="Calibri"/>
                <w:b/>
                <w:sz w:val="20"/>
                <w:szCs w:val="20"/>
              </w:rPr>
              <w:t>TSCA Section 8(d) Health and Safety Data Reporting, Submission of Lists and Copies of Health and Safety Studies</w:t>
            </w:r>
            <w:bookmarkEnd w:id="10"/>
          </w:p>
        </w:tc>
        <w:tc>
          <w:tcPr>
            <w:tcW w:w="1440" w:type="dxa"/>
            <w:shd w:val="clear" w:color="auto" w:fill="auto"/>
            <w:vAlign w:val="center"/>
          </w:tcPr>
          <w:p w:rsidR="00BF5F9B" w:rsidRPr="0083067A" w:rsidP="00BF5F9B" w14:paraId="63664697" w14:textId="10AA6773">
            <w:pPr>
              <w:pStyle w:val="NoSpacing"/>
              <w:jc w:val="center"/>
              <w:rPr>
                <w:rFonts w:ascii="Calibri" w:hAnsi="Calibri" w:cs="Calibri"/>
                <w:sz w:val="20"/>
                <w:szCs w:val="20"/>
              </w:rPr>
            </w:pPr>
            <w:r w:rsidRPr="0083067A">
              <w:rPr>
                <w:rFonts w:ascii="Calibri" w:eastAsia="Times New Roman" w:hAnsi="Calibri" w:cs="Calibri"/>
                <w:color w:val="000000" w:themeColor="text1"/>
                <w:sz w:val="20"/>
                <w:szCs w:val="20"/>
              </w:rPr>
              <w:t>33</w:t>
            </w:r>
          </w:p>
        </w:tc>
        <w:tc>
          <w:tcPr>
            <w:tcW w:w="1260" w:type="dxa"/>
            <w:shd w:val="clear" w:color="auto" w:fill="auto"/>
            <w:vAlign w:val="center"/>
          </w:tcPr>
          <w:p w:rsidR="00BF5F9B" w:rsidRPr="0083067A" w:rsidP="00BF5F9B" w14:paraId="65AEF0EF" w14:textId="744F6E2E">
            <w:pPr>
              <w:pStyle w:val="NoSpacing"/>
              <w:jc w:val="center"/>
              <w:rPr>
                <w:rFonts w:ascii="Calibri" w:hAnsi="Calibri" w:cs="Calibri"/>
                <w:sz w:val="20"/>
                <w:szCs w:val="20"/>
              </w:rPr>
            </w:pPr>
            <w:r w:rsidRPr="0083067A">
              <w:rPr>
                <w:rFonts w:ascii="Calibri" w:eastAsia="Times New Roman" w:hAnsi="Calibri" w:cs="Calibri"/>
                <w:color w:val="000000" w:themeColor="text1"/>
                <w:sz w:val="20"/>
                <w:szCs w:val="20"/>
              </w:rPr>
              <w:t>5,742</w:t>
            </w:r>
          </w:p>
        </w:tc>
        <w:tc>
          <w:tcPr>
            <w:tcW w:w="1350" w:type="dxa"/>
            <w:vAlign w:val="center"/>
          </w:tcPr>
          <w:p w:rsidR="00BF5F9B" w:rsidRPr="0083067A" w:rsidP="00BF5F9B" w14:paraId="035DF81D" w14:textId="2642DEE3">
            <w:pPr>
              <w:pStyle w:val="NoSpacing"/>
              <w:jc w:val="center"/>
              <w:rPr>
                <w:rFonts w:ascii="Calibri" w:hAnsi="Calibri" w:cs="Calibri"/>
                <w:sz w:val="20"/>
                <w:szCs w:val="20"/>
              </w:rPr>
            </w:pPr>
            <w:r w:rsidRPr="0083067A">
              <w:rPr>
                <w:rFonts w:ascii="Calibri" w:hAnsi="Calibri" w:cs="Calibri"/>
                <w:sz w:val="20"/>
                <w:szCs w:val="20"/>
              </w:rPr>
              <w:t>174</w:t>
            </w:r>
          </w:p>
        </w:tc>
        <w:tc>
          <w:tcPr>
            <w:tcW w:w="1620" w:type="dxa"/>
            <w:shd w:val="clear" w:color="auto" w:fill="auto"/>
            <w:vAlign w:val="center"/>
          </w:tcPr>
          <w:p w:rsidR="00BF5F9B" w:rsidRPr="0083067A" w:rsidP="00BF5F9B" w14:paraId="47042A9B" w14:textId="6E6D6DD3">
            <w:pPr>
              <w:pStyle w:val="NoSpacing"/>
              <w:jc w:val="center"/>
              <w:rPr>
                <w:rFonts w:ascii="Calibri" w:hAnsi="Calibri" w:cs="Calibri"/>
                <w:sz w:val="20"/>
                <w:szCs w:val="20"/>
              </w:rPr>
            </w:pPr>
            <w:r w:rsidRPr="0083067A">
              <w:rPr>
                <w:rFonts w:ascii="Calibri" w:eastAsia="Times New Roman" w:hAnsi="Calibri" w:cs="Calibri"/>
                <w:color w:val="000000" w:themeColor="text1"/>
                <w:sz w:val="20"/>
                <w:szCs w:val="20"/>
              </w:rPr>
              <w:t>46,496</w:t>
            </w:r>
          </w:p>
        </w:tc>
        <w:tc>
          <w:tcPr>
            <w:tcW w:w="1440" w:type="dxa"/>
            <w:vAlign w:val="center"/>
          </w:tcPr>
          <w:p w:rsidR="00BF5F9B" w:rsidRPr="0083067A" w:rsidP="00BF5F9B" w14:paraId="05E34D63" w14:textId="771B1CCD">
            <w:pPr>
              <w:pStyle w:val="NoSpacing"/>
              <w:jc w:val="center"/>
              <w:rPr>
                <w:rFonts w:ascii="Calibri" w:hAnsi="Calibri" w:cs="Calibri"/>
                <w:sz w:val="20"/>
                <w:szCs w:val="20"/>
              </w:rPr>
            </w:pPr>
            <w:r w:rsidRPr="0083067A">
              <w:rPr>
                <w:rFonts w:ascii="Calibri" w:eastAsia="Times New Roman" w:hAnsi="Calibri" w:cs="Calibri"/>
                <w:color w:val="000000" w:themeColor="text1"/>
                <w:sz w:val="20"/>
                <w:szCs w:val="20"/>
              </w:rPr>
              <w:t>$3,940,791</w:t>
            </w:r>
          </w:p>
        </w:tc>
      </w:tr>
      <w:tr w14:paraId="41D3BB14" w14:textId="77777777" w:rsidTr="10B82CF0">
        <w:tblPrEx>
          <w:tblW w:w="5099" w:type="pct"/>
          <w:tblLayout w:type="fixed"/>
          <w:tblLook w:val="01E0"/>
        </w:tblPrEx>
        <w:tc>
          <w:tcPr>
            <w:tcW w:w="2425" w:type="dxa"/>
            <w:shd w:val="clear" w:color="auto" w:fill="auto"/>
          </w:tcPr>
          <w:p w:rsidR="00BF5F9B" w:rsidRPr="0083067A" w:rsidP="00BF5F9B" w14:paraId="0A22C2BB" w14:textId="0C73AD7E">
            <w:pPr>
              <w:pStyle w:val="NoSpacing"/>
              <w:rPr>
                <w:rFonts w:ascii="Calibri" w:hAnsi="Calibri" w:cs="Calibri"/>
                <w:b/>
                <w:sz w:val="20"/>
                <w:szCs w:val="20"/>
              </w:rPr>
            </w:pPr>
            <w:r w:rsidRPr="0083067A">
              <w:rPr>
                <w:rFonts w:ascii="Calibri" w:hAnsi="Calibri" w:cs="Calibri"/>
                <w:b/>
                <w:sz w:val="20"/>
                <w:szCs w:val="20"/>
              </w:rPr>
              <w:t>Total Respondent</w:t>
            </w:r>
          </w:p>
        </w:tc>
        <w:tc>
          <w:tcPr>
            <w:tcW w:w="1440" w:type="dxa"/>
            <w:shd w:val="clear" w:color="auto" w:fill="auto"/>
          </w:tcPr>
          <w:p w:rsidR="00BF5F9B" w:rsidRPr="008547B6" w:rsidP="00BF5F9B" w14:paraId="7295241F" w14:textId="2A65DBBA">
            <w:pPr>
              <w:pStyle w:val="NoSpacing"/>
              <w:jc w:val="center"/>
              <w:rPr>
                <w:rFonts w:ascii="Calibri" w:hAnsi="Calibri" w:cs="Calibri"/>
                <w:b/>
                <w:bCs/>
                <w:sz w:val="20"/>
                <w:szCs w:val="20"/>
              </w:rPr>
            </w:pPr>
            <w:r w:rsidRPr="008547B6">
              <w:rPr>
                <w:rFonts w:ascii="Calibri" w:hAnsi="Calibri" w:cs="Calibri"/>
                <w:b/>
                <w:bCs/>
                <w:sz w:val="20"/>
                <w:szCs w:val="20"/>
              </w:rPr>
              <w:t>13,</w:t>
            </w:r>
            <w:r w:rsidRPr="008547B6" w:rsidR="003B3335">
              <w:rPr>
                <w:rFonts w:ascii="Calibri" w:hAnsi="Calibri" w:cs="Calibri"/>
                <w:b/>
                <w:bCs/>
                <w:sz w:val="20"/>
                <w:szCs w:val="20"/>
              </w:rPr>
              <w:t>596</w:t>
            </w:r>
          </w:p>
        </w:tc>
        <w:tc>
          <w:tcPr>
            <w:tcW w:w="1260" w:type="dxa"/>
            <w:shd w:val="clear" w:color="auto" w:fill="auto"/>
          </w:tcPr>
          <w:p w:rsidR="00BF5F9B" w:rsidRPr="008547B6" w:rsidP="00BF5F9B" w14:paraId="5E97AF33" w14:textId="5E81BDE3">
            <w:pPr>
              <w:pStyle w:val="NoSpacing"/>
              <w:jc w:val="center"/>
              <w:rPr>
                <w:rFonts w:ascii="Calibri" w:eastAsia="Calibri" w:hAnsi="Calibri" w:cs="Calibri"/>
                <w:b/>
                <w:bCs/>
                <w:sz w:val="20"/>
                <w:szCs w:val="20"/>
              </w:rPr>
            </w:pPr>
            <w:r w:rsidRPr="008547B6">
              <w:rPr>
                <w:rFonts w:ascii="Calibri" w:eastAsia="Calibri" w:hAnsi="Calibri" w:cs="Calibri"/>
                <w:b/>
                <w:bCs/>
                <w:sz w:val="20"/>
                <w:szCs w:val="20"/>
              </w:rPr>
              <w:t>147,447</w:t>
            </w:r>
          </w:p>
        </w:tc>
        <w:tc>
          <w:tcPr>
            <w:tcW w:w="1350" w:type="dxa"/>
          </w:tcPr>
          <w:p w:rsidR="00BF5F9B" w:rsidRPr="0083067A" w:rsidP="00BF5F9B" w14:paraId="3BE6B308" w14:textId="77FFB52B">
            <w:pPr>
              <w:pStyle w:val="NoSpacing"/>
              <w:jc w:val="center"/>
              <w:rPr>
                <w:rFonts w:ascii="Calibri" w:hAnsi="Calibri" w:cs="Calibri"/>
                <w:b/>
                <w:bCs/>
                <w:sz w:val="20"/>
                <w:szCs w:val="20"/>
              </w:rPr>
            </w:pPr>
            <w:r w:rsidRPr="0083067A">
              <w:rPr>
                <w:rFonts w:ascii="Calibri" w:hAnsi="Calibri" w:cs="Calibri"/>
                <w:b/>
                <w:bCs/>
                <w:sz w:val="20"/>
                <w:szCs w:val="20"/>
              </w:rPr>
              <w:t>1</w:t>
            </w:r>
            <w:r w:rsidR="003B3335">
              <w:rPr>
                <w:rFonts w:ascii="Calibri" w:hAnsi="Calibri" w:cs="Calibri"/>
                <w:b/>
                <w:bCs/>
                <w:sz w:val="20"/>
                <w:szCs w:val="20"/>
              </w:rPr>
              <w:t>87</w:t>
            </w:r>
          </w:p>
        </w:tc>
        <w:tc>
          <w:tcPr>
            <w:tcW w:w="1620" w:type="dxa"/>
            <w:shd w:val="clear" w:color="auto" w:fill="auto"/>
          </w:tcPr>
          <w:p w:rsidR="00BF5F9B" w:rsidRPr="0083067A" w:rsidP="00BF5F9B" w14:paraId="7C290DC4" w14:textId="7C535C12">
            <w:pPr>
              <w:pStyle w:val="NoSpacing"/>
              <w:jc w:val="center"/>
              <w:rPr>
                <w:rFonts w:ascii="Calibri" w:eastAsia="Times New Roman" w:hAnsi="Calibri" w:cs="Calibri"/>
                <w:b/>
                <w:bCs/>
                <w:color w:val="000000"/>
                <w:sz w:val="20"/>
                <w:szCs w:val="20"/>
              </w:rPr>
            </w:pPr>
            <w:r w:rsidRPr="10B82CF0">
              <w:rPr>
                <w:rFonts w:ascii="Calibri" w:eastAsia="Times New Roman" w:hAnsi="Calibri" w:cs="Calibri"/>
                <w:b/>
                <w:bCs/>
                <w:color w:val="000000" w:themeColor="text1"/>
                <w:sz w:val="20"/>
                <w:szCs w:val="20"/>
              </w:rPr>
              <w:t>106,</w:t>
            </w:r>
            <w:r w:rsidRPr="10B82CF0" w:rsidR="55120C0D">
              <w:rPr>
                <w:rFonts w:ascii="Calibri" w:eastAsia="Times New Roman" w:hAnsi="Calibri" w:cs="Calibri"/>
                <w:b/>
                <w:bCs/>
                <w:color w:val="000000" w:themeColor="text1"/>
                <w:sz w:val="20"/>
                <w:szCs w:val="20"/>
              </w:rPr>
              <w:t>522</w:t>
            </w:r>
          </w:p>
        </w:tc>
        <w:tc>
          <w:tcPr>
            <w:tcW w:w="1440" w:type="dxa"/>
          </w:tcPr>
          <w:p w:rsidR="00BF5F9B" w:rsidRPr="0083067A" w:rsidP="00BF5F9B" w14:paraId="4E021B07" w14:textId="105D7423">
            <w:pPr>
              <w:pStyle w:val="NoSpacing"/>
              <w:jc w:val="center"/>
              <w:rPr>
                <w:rFonts w:ascii="Calibri" w:eastAsia="Times New Roman" w:hAnsi="Calibri" w:cs="Calibri"/>
                <w:b/>
                <w:bCs/>
                <w:color w:val="000000"/>
                <w:sz w:val="20"/>
                <w:szCs w:val="20"/>
              </w:rPr>
            </w:pPr>
            <w:r w:rsidRPr="10B82CF0">
              <w:rPr>
                <w:rFonts w:ascii="Calibri" w:eastAsia="Times New Roman" w:hAnsi="Calibri" w:cs="Calibri"/>
                <w:b/>
                <w:bCs/>
                <w:color w:val="000000" w:themeColor="text1"/>
                <w:sz w:val="20"/>
                <w:szCs w:val="20"/>
              </w:rPr>
              <w:t>$9,13</w:t>
            </w:r>
            <w:r w:rsidRPr="10B82CF0" w:rsidR="337A4092">
              <w:rPr>
                <w:rFonts w:ascii="Calibri" w:eastAsia="Times New Roman" w:hAnsi="Calibri" w:cs="Calibri"/>
                <w:b/>
                <w:bCs/>
                <w:color w:val="000000" w:themeColor="text1"/>
                <w:sz w:val="20"/>
                <w:szCs w:val="20"/>
              </w:rPr>
              <w:t>8</w:t>
            </w:r>
            <w:r w:rsidRPr="10B82CF0">
              <w:rPr>
                <w:rFonts w:ascii="Calibri" w:eastAsia="Times New Roman" w:hAnsi="Calibri" w:cs="Calibri"/>
                <w:b/>
                <w:bCs/>
                <w:color w:val="000000" w:themeColor="text1"/>
                <w:sz w:val="20"/>
                <w:szCs w:val="20"/>
              </w:rPr>
              <w:t>,</w:t>
            </w:r>
            <w:r w:rsidRPr="10B82CF0" w:rsidR="1E615640">
              <w:rPr>
                <w:rFonts w:ascii="Calibri" w:eastAsia="Times New Roman" w:hAnsi="Calibri" w:cs="Calibri"/>
                <w:b/>
                <w:bCs/>
                <w:color w:val="000000" w:themeColor="text1"/>
                <w:sz w:val="20"/>
                <w:szCs w:val="20"/>
              </w:rPr>
              <w:t>943</w:t>
            </w:r>
          </w:p>
        </w:tc>
      </w:tr>
      <w:tr w14:paraId="7E3EBAC1" w14:textId="77777777" w:rsidTr="10B82CF0">
        <w:tblPrEx>
          <w:tblW w:w="5099" w:type="pct"/>
          <w:tblLayout w:type="fixed"/>
          <w:tblLook w:val="01E0"/>
        </w:tblPrEx>
        <w:tc>
          <w:tcPr>
            <w:tcW w:w="2425" w:type="dxa"/>
            <w:shd w:val="clear" w:color="auto" w:fill="auto"/>
          </w:tcPr>
          <w:p w:rsidR="00BF5F9B" w:rsidRPr="0083067A" w:rsidP="00BF5F9B" w14:paraId="72BCB871" w14:textId="77777777">
            <w:pPr>
              <w:pStyle w:val="NoSpacing"/>
              <w:rPr>
                <w:rFonts w:ascii="Calibri" w:hAnsi="Calibri" w:cs="Calibri"/>
                <w:b/>
                <w:sz w:val="20"/>
                <w:szCs w:val="20"/>
              </w:rPr>
            </w:pPr>
            <w:r w:rsidRPr="0083067A">
              <w:rPr>
                <w:rFonts w:ascii="Calibri" w:hAnsi="Calibri" w:cs="Calibri"/>
                <w:b/>
                <w:sz w:val="20"/>
                <w:szCs w:val="20"/>
              </w:rPr>
              <w:t xml:space="preserve">Total Agency </w:t>
            </w:r>
          </w:p>
        </w:tc>
        <w:tc>
          <w:tcPr>
            <w:tcW w:w="1440" w:type="dxa"/>
            <w:shd w:val="clear" w:color="auto" w:fill="E7E6E6" w:themeFill="background2"/>
          </w:tcPr>
          <w:p w:rsidR="00BF5F9B" w:rsidRPr="0083067A" w:rsidP="00BF5F9B" w14:paraId="4CFCC082" w14:textId="77777777">
            <w:pPr>
              <w:pStyle w:val="NoSpacing"/>
              <w:jc w:val="center"/>
              <w:rPr>
                <w:rFonts w:ascii="Calibri" w:hAnsi="Calibri" w:cs="Calibri"/>
                <w:sz w:val="20"/>
                <w:szCs w:val="20"/>
                <w:highlight w:val="yellow"/>
              </w:rPr>
            </w:pPr>
          </w:p>
        </w:tc>
        <w:tc>
          <w:tcPr>
            <w:tcW w:w="1260" w:type="dxa"/>
            <w:shd w:val="clear" w:color="auto" w:fill="E7E6E6" w:themeFill="background2"/>
          </w:tcPr>
          <w:p w:rsidR="00BF5F9B" w:rsidRPr="0083067A" w:rsidP="00BF5F9B" w14:paraId="17722601" w14:textId="77777777">
            <w:pPr>
              <w:pStyle w:val="NoSpacing"/>
              <w:jc w:val="center"/>
              <w:rPr>
                <w:rFonts w:ascii="Calibri" w:hAnsi="Calibri" w:cs="Calibri"/>
                <w:sz w:val="20"/>
                <w:szCs w:val="20"/>
                <w:highlight w:val="yellow"/>
              </w:rPr>
            </w:pPr>
          </w:p>
        </w:tc>
        <w:tc>
          <w:tcPr>
            <w:tcW w:w="1350" w:type="dxa"/>
            <w:shd w:val="clear" w:color="auto" w:fill="E7E6E6" w:themeFill="background2"/>
          </w:tcPr>
          <w:p w:rsidR="00BF5F9B" w:rsidRPr="0083067A" w:rsidP="00BF5F9B" w14:paraId="6C2D19DE" w14:textId="77777777">
            <w:pPr>
              <w:pStyle w:val="NoSpacing"/>
              <w:jc w:val="center"/>
              <w:rPr>
                <w:rFonts w:ascii="Calibri" w:hAnsi="Calibri" w:cs="Calibri"/>
                <w:sz w:val="20"/>
                <w:szCs w:val="20"/>
              </w:rPr>
            </w:pPr>
          </w:p>
        </w:tc>
        <w:tc>
          <w:tcPr>
            <w:tcW w:w="1620" w:type="dxa"/>
            <w:shd w:val="clear" w:color="auto" w:fill="auto"/>
          </w:tcPr>
          <w:p w:rsidR="00BF5F9B" w:rsidRPr="0083067A" w:rsidP="00BF5F9B" w14:paraId="1128A1A0" w14:textId="033326C8">
            <w:pPr>
              <w:pStyle w:val="NoSpacing"/>
              <w:jc w:val="center"/>
              <w:rPr>
                <w:rFonts w:ascii="Calibri" w:eastAsia="Times New Roman" w:hAnsi="Calibri" w:cs="Calibri"/>
                <w:b/>
                <w:bCs/>
                <w:color w:val="000000"/>
                <w:sz w:val="20"/>
                <w:szCs w:val="20"/>
              </w:rPr>
            </w:pPr>
            <w:r w:rsidRPr="0083067A">
              <w:rPr>
                <w:rFonts w:ascii="Calibri" w:eastAsia="Times New Roman" w:hAnsi="Calibri" w:cs="Calibri"/>
                <w:b/>
                <w:bCs/>
                <w:color w:val="000000"/>
                <w:sz w:val="20"/>
                <w:szCs w:val="20"/>
              </w:rPr>
              <w:t>5,426</w:t>
            </w:r>
          </w:p>
        </w:tc>
        <w:tc>
          <w:tcPr>
            <w:tcW w:w="1440" w:type="dxa"/>
          </w:tcPr>
          <w:p w:rsidR="00BF5F9B" w:rsidRPr="0083067A" w:rsidP="00BF5F9B" w14:paraId="5ECD1F83" w14:textId="70766ED5">
            <w:pPr>
              <w:pStyle w:val="NoSpacing"/>
              <w:jc w:val="center"/>
              <w:rPr>
                <w:rFonts w:ascii="Calibri" w:eastAsia="Times New Roman" w:hAnsi="Calibri" w:cs="Calibri"/>
                <w:b/>
                <w:bCs/>
                <w:color w:val="000000"/>
                <w:sz w:val="20"/>
                <w:szCs w:val="20"/>
              </w:rPr>
            </w:pPr>
            <w:r w:rsidRPr="0083067A">
              <w:rPr>
                <w:rFonts w:ascii="Calibri" w:eastAsia="Times New Roman" w:hAnsi="Calibri" w:cs="Calibri"/>
                <w:b/>
                <w:bCs/>
                <w:color w:val="000000"/>
                <w:sz w:val="20"/>
                <w:szCs w:val="20"/>
              </w:rPr>
              <w:t>$528,858</w:t>
            </w:r>
          </w:p>
        </w:tc>
      </w:tr>
      <w:tr w14:paraId="184F0309" w14:textId="77777777" w:rsidTr="10B82CF0">
        <w:tblPrEx>
          <w:tblW w:w="5099" w:type="pct"/>
          <w:tblLayout w:type="fixed"/>
          <w:tblLook w:val="01E0"/>
        </w:tblPrEx>
        <w:tc>
          <w:tcPr>
            <w:tcW w:w="9535" w:type="dxa"/>
            <w:gridSpan w:val="6"/>
            <w:shd w:val="clear" w:color="auto" w:fill="auto"/>
          </w:tcPr>
          <w:p w:rsidR="00A47582" w:rsidRPr="00A82875" w:rsidP="00A47582" w14:paraId="79E9C59D" w14:textId="11CB09C6">
            <w:pPr>
              <w:pStyle w:val="NoSpacing"/>
              <w:rPr>
                <w:rFonts w:ascii="Calibri" w:eastAsia="Times New Roman" w:hAnsi="Calibri" w:cs="Calibri"/>
                <w:color w:val="000000"/>
                <w:sz w:val="20"/>
                <w:szCs w:val="20"/>
              </w:rPr>
            </w:pPr>
            <w:r w:rsidRPr="2CDFA1E1">
              <w:rPr>
                <w:rFonts w:ascii="Calibri" w:eastAsia="Times New Roman" w:hAnsi="Calibri" w:cs="Calibri"/>
                <w:color w:val="000000" w:themeColor="text1"/>
                <w:sz w:val="20"/>
                <w:szCs w:val="20"/>
              </w:rPr>
              <w:t>*</w:t>
            </w:r>
            <w:r w:rsidR="00C97D75">
              <w:rPr>
                <w:rFonts w:ascii="Calibri" w:eastAsia="Times New Roman" w:hAnsi="Calibri" w:cs="Calibri"/>
                <w:color w:val="000000" w:themeColor="text1"/>
                <w:sz w:val="20"/>
                <w:szCs w:val="20"/>
              </w:rPr>
              <w:t>Estimates d</w:t>
            </w:r>
            <w:r w:rsidRPr="2CDFA1E1" w:rsidR="00544D59">
              <w:rPr>
                <w:rFonts w:ascii="Calibri" w:eastAsia="Times New Roman" w:hAnsi="Calibri" w:cs="Calibri"/>
                <w:color w:val="000000" w:themeColor="text1"/>
                <w:sz w:val="20"/>
                <w:szCs w:val="20"/>
              </w:rPr>
              <w:t xml:space="preserve">erived from </w:t>
            </w:r>
            <w:r w:rsidRPr="2CDFA1E1" w:rsidR="004E5479">
              <w:rPr>
                <w:rFonts w:ascii="Calibri" w:eastAsia="Times New Roman" w:hAnsi="Calibri" w:cs="Calibri"/>
                <w:color w:val="000000" w:themeColor="text1"/>
                <w:sz w:val="20"/>
                <w:szCs w:val="20"/>
              </w:rPr>
              <w:t>nanomaterials</w:t>
            </w:r>
            <w:r w:rsidRPr="2CDFA1E1" w:rsidR="003F47A8">
              <w:rPr>
                <w:rFonts w:ascii="Calibri" w:eastAsia="Times New Roman" w:hAnsi="Calibri" w:cs="Calibri"/>
                <w:color w:val="000000" w:themeColor="text1"/>
                <w:sz w:val="20"/>
                <w:szCs w:val="20"/>
              </w:rPr>
              <w:t xml:space="preserve"> </w:t>
            </w:r>
            <w:r w:rsidRPr="2CDFA1E1" w:rsidR="00A82875">
              <w:rPr>
                <w:rFonts w:ascii="Calibri" w:eastAsia="Times New Roman" w:hAnsi="Calibri" w:cs="Calibri"/>
                <w:color w:val="000000" w:themeColor="text1"/>
                <w:sz w:val="20"/>
                <w:szCs w:val="20"/>
              </w:rPr>
              <w:t xml:space="preserve">reporting. </w:t>
            </w:r>
          </w:p>
        </w:tc>
      </w:tr>
    </w:tbl>
    <w:bookmarkEnd w:id="7"/>
    <w:p w:rsidR="00EC4305" w:rsidRPr="00F93A42" w:rsidP="001F2DF7" w14:paraId="3D1E0AC5" w14:textId="3F5322C1">
      <w:pPr>
        <w:pStyle w:val="Heading1"/>
        <w:spacing w:before="480"/>
        <w:rPr>
          <w:rFonts w:ascii="Calibri" w:hAnsi="Calibri" w:cs="Calibri"/>
        </w:rPr>
      </w:pPr>
      <w:r w:rsidRPr="00F93A42">
        <w:rPr>
          <w:rFonts w:ascii="Calibri" w:hAnsi="Calibri" w:cs="Calibri"/>
        </w:rPr>
        <w:t>SUPPORTING STATEMENT</w:t>
      </w:r>
    </w:p>
    <w:p w:rsidR="00B41A83" w:rsidRPr="00F93A42" w:rsidP="0068004C" w14:paraId="6775B620" w14:textId="0ADF6BAD">
      <w:pPr>
        <w:pStyle w:val="Heading2"/>
        <w:rPr>
          <w:rFonts w:ascii="Calibri" w:hAnsi="Calibri" w:cs="Calibri"/>
        </w:rPr>
      </w:pPr>
      <w:r w:rsidRPr="00F93A42">
        <w:rPr>
          <w:rFonts w:ascii="Calibri" w:hAnsi="Calibri" w:cs="Calibri"/>
        </w:rPr>
        <w:t xml:space="preserve">1. </w:t>
      </w:r>
      <w:r w:rsidRPr="00F93A42" w:rsidR="00EC4305">
        <w:rPr>
          <w:rFonts w:ascii="Calibri" w:hAnsi="Calibri" w:cs="Calibri"/>
        </w:rPr>
        <w:t>Explain the circumstances that make the collection of information necessary.</w:t>
      </w:r>
      <w:r w:rsidRPr="00F93A4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605B08" w:rsidP="00614CCD" w14:paraId="58AADBEC" w14:textId="77777777">
      <w:pPr>
        <w:spacing w:after="0"/>
        <w:rPr>
          <w:rFonts w:ascii="Calibri" w:hAnsi="Calibri" w:cs="Calibri"/>
          <w:b/>
          <w:bCs/>
        </w:rPr>
      </w:pPr>
      <w:bookmarkStart w:id="11" w:name="_Hlk85019089"/>
      <w:r w:rsidRPr="00605B08">
        <w:rPr>
          <w:rFonts w:ascii="Calibri" w:hAnsi="Calibri" w:cs="Calibri"/>
          <w:b/>
          <w:bCs/>
        </w:rPr>
        <w:t>TSCA Section 8(a) Preliminary Assessment Information Rule (PAIR)</w:t>
      </w:r>
    </w:p>
    <w:p w:rsidR="00614CCD" w:rsidRPr="00605B08" w:rsidP="00614CCD" w14:paraId="4F565275" w14:textId="77777777">
      <w:pPr>
        <w:spacing w:after="0"/>
        <w:rPr>
          <w:rFonts w:ascii="Calibri" w:hAnsi="Calibri" w:cs="Calibri"/>
          <w:b/>
          <w:bCs/>
        </w:rPr>
      </w:pPr>
    </w:p>
    <w:bookmarkEnd w:id="11"/>
    <w:p w:rsidR="003B1D14" w:rsidP="00614CCD" w14:paraId="0AB93869" w14:textId="5692F706">
      <w:pPr>
        <w:spacing w:after="0"/>
        <w:rPr>
          <w:rFonts w:ascii="Calibri" w:hAnsi="Calibri" w:cs="Calibri"/>
        </w:rPr>
      </w:pPr>
      <w:r w:rsidRPr="00605B08">
        <w:rPr>
          <w:rFonts w:ascii="Calibri" w:hAnsi="Calibri" w:cs="Calibri"/>
          <w:bCs/>
        </w:rPr>
        <w:t>EPA has in the past used the TSCA Preliminary Assessment Information Rule (</w:t>
      </w:r>
      <w:r w:rsidRPr="00605B08">
        <w:rPr>
          <w:rFonts w:ascii="Calibri" w:hAnsi="Calibri" w:cs="Calibri"/>
        </w:rPr>
        <w:t>PAIR) to collect information to help identify, assess, and manage human health and environmental risks from chemical substances, mixtures and categories listed at 40 CFR 712.30</w:t>
      </w:r>
      <w:r w:rsidR="005249F7">
        <w:rPr>
          <w:rFonts w:ascii="Calibri" w:hAnsi="Calibri" w:cs="Calibri"/>
        </w:rPr>
        <w:t xml:space="preserve"> (Ref. </w:t>
      </w:r>
      <w:r w:rsidR="00F27253">
        <w:rPr>
          <w:rFonts w:ascii="Calibri" w:hAnsi="Calibri" w:cs="Calibri"/>
        </w:rPr>
        <w:t>4</w:t>
      </w:r>
      <w:r w:rsidR="00D146FA">
        <w:rPr>
          <w:rFonts w:ascii="Calibri" w:hAnsi="Calibri" w:cs="Calibri"/>
        </w:rPr>
        <w:t>).</w:t>
      </w:r>
      <w:r w:rsidRPr="00605B08">
        <w:rPr>
          <w:rFonts w:ascii="Calibri" w:hAnsi="Calibri" w:cs="Calibri"/>
        </w:rPr>
        <w:t xml:space="preserve"> PAIR required these chemical manufacturers and importers to complete and submit standardized information about production, use, or exposure-related data to help evaluate the potential for human health and environmental risks caused by the manufacture or importation of identified chemical substances, mixtures or categories, or exposure-related data. PAIR is also available to EPA for the purpose of informing the prioritization and risk evaluation activities required under the 2016 amendments to TSCA enacted when the Frank R. Lautenberg Chemical Safety for the 21st Century Act (LCSA) was signed into law on June 22, 2016. </w:t>
      </w:r>
    </w:p>
    <w:p w:rsidR="003B1D14" w:rsidP="00614CCD" w14:paraId="1D873E25" w14:textId="77777777">
      <w:pPr>
        <w:spacing w:after="0"/>
        <w:rPr>
          <w:rFonts w:ascii="Calibri" w:hAnsi="Calibri" w:cs="Calibri"/>
        </w:rPr>
      </w:pPr>
    </w:p>
    <w:p w:rsidR="00F35332" w:rsidP="00614CCD" w14:paraId="198865B9" w14:textId="0DD5E843">
      <w:pPr>
        <w:spacing w:after="0"/>
        <w:rPr>
          <w:rFonts w:ascii="Calibri" w:hAnsi="Calibri" w:cs="Calibri"/>
        </w:rPr>
      </w:pPr>
      <w:r>
        <w:rPr>
          <w:rFonts w:ascii="Calibri" w:hAnsi="Calibri" w:cs="Calibri"/>
        </w:rPr>
        <w:t>Although</w:t>
      </w:r>
      <w:r w:rsidRPr="00605B08" w:rsidR="00605B08">
        <w:rPr>
          <w:rFonts w:ascii="Calibri" w:hAnsi="Calibri" w:cs="Calibri"/>
        </w:rPr>
        <w:t xml:space="preserve"> other rulemakings such as the Chemical Data Reporting (CDR) rule have been more recently and regularly used by EPA to collect similar information under TSCA section 8(a) to inform LCSA activities</w:t>
      </w:r>
      <w:r>
        <w:rPr>
          <w:rFonts w:ascii="Calibri" w:hAnsi="Calibri" w:cs="Calibri"/>
        </w:rPr>
        <w:t>, PA</w:t>
      </w:r>
      <w:r w:rsidR="0005195E">
        <w:rPr>
          <w:rFonts w:ascii="Calibri" w:hAnsi="Calibri" w:cs="Calibri"/>
        </w:rPr>
        <w:t xml:space="preserve">IR </w:t>
      </w:r>
      <w:r w:rsidR="00F923CF">
        <w:rPr>
          <w:rFonts w:ascii="Calibri" w:hAnsi="Calibri" w:cs="Calibri"/>
        </w:rPr>
        <w:t xml:space="preserve">remains available </w:t>
      </w:r>
      <w:r w:rsidR="00F1312B">
        <w:rPr>
          <w:rFonts w:ascii="Calibri" w:hAnsi="Calibri" w:cs="Calibri"/>
        </w:rPr>
        <w:t>to</w:t>
      </w:r>
      <w:r w:rsidR="003A53CE">
        <w:rPr>
          <w:rFonts w:ascii="Calibri" w:hAnsi="Calibri" w:cs="Calibri"/>
        </w:rPr>
        <w:t xml:space="preserve"> collect information </w:t>
      </w:r>
      <w:r w:rsidR="008A274A">
        <w:rPr>
          <w:rFonts w:ascii="Calibri" w:hAnsi="Calibri" w:cs="Calibri"/>
        </w:rPr>
        <w:t>wh</w:t>
      </w:r>
      <w:r w:rsidR="00E052E9">
        <w:rPr>
          <w:rFonts w:ascii="Calibri" w:hAnsi="Calibri" w:cs="Calibri"/>
        </w:rPr>
        <w:t xml:space="preserve">en the </w:t>
      </w:r>
      <w:r w:rsidR="008E13E6">
        <w:rPr>
          <w:rFonts w:ascii="Calibri" w:hAnsi="Calibri" w:cs="Calibri"/>
        </w:rPr>
        <w:t>use of</w:t>
      </w:r>
      <w:r w:rsidR="00E052E9">
        <w:rPr>
          <w:rFonts w:ascii="Calibri" w:hAnsi="Calibri" w:cs="Calibri"/>
        </w:rPr>
        <w:t xml:space="preserve"> CDR </w:t>
      </w:r>
      <w:r w:rsidR="00543137">
        <w:rPr>
          <w:rFonts w:ascii="Calibri" w:hAnsi="Calibri" w:cs="Calibri"/>
        </w:rPr>
        <w:t xml:space="preserve">is not </w:t>
      </w:r>
      <w:r w:rsidR="00EA2F77">
        <w:rPr>
          <w:rFonts w:ascii="Calibri" w:hAnsi="Calibri" w:cs="Calibri"/>
        </w:rPr>
        <w:t>applica</w:t>
      </w:r>
      <w:r w:rsidR="0073730E">
        <w:rPr>
          <w:rFonts w:ascii="Calibri" w:hAnsi="Calibri" w:cs="Calibri"/>
        </w:rPr>
        <w:t>ble</w:t>
      </w:r>
      <w:r w:rsidR="008E13E6">
        <w:rPr>
          <w:rFonts w:ascii="Calibri" w:hAnsi="Calibri" w:cs="Calibri"/>
        </w:rPr>
        <w:t>.</w:t>
      </w:r>
      <w:r w:rsidRPr="00605B08" w:rsidR="00605B08">
        <w:rPr>
          <w:rFonts w:ascii="Calibri" w:hAnsi="Calibri" w:cs="Calibri"/>
        </w:rPr>
        <w:t xml:space="preserve"> </w:t>
      </w:r>
      <w:r w:rsidR="0073730E">
        <w:rPr>
          <w:rFonts w:ascii="Calibri" w:hAnsi="Calibri" w:cs="Calibri"/>
        </w:rPr>
        <w:t xml:space="preserve">For example, </w:t>
      </w:r>
      <w:r w:rsidRPr="00605B08" w:rsidR="00605B08">
        <w:rPr>
          <w:rFonts w:ascii="Calibri" w:hAnsi="Calibri" w:cs="Calibri"/>
        </w:rPr>
        <w:t>EPA or other federal agencies (e.g., the agencies that are part of the Interagency Testing Committee (ITC) as authorized under TSCA section 4(e)) can identify chemicals for a TSCA section 8(a) PAIR expedited rulemaking that have a justifiable need for production, use, or exposure-related data.</w:t>
      </w:r>
    </w:p>
    <w:p w:rsidR="00614CCD" w:rsidRPr="005F5DBE" w:rsidP="00614CCD" w14:paraId="2D94F22E" w14:textId="77777777">
      <w:pPr>
        <w:spacing w:after="0"/>
        <w:rPr>
          <w:rFonts w:ascii="Calibri" w:hAnsi="Calibri" w:cs="Calibri"/>
        </w:rPr>
      </w:pPr>
    </w:p>
    <w:p w:rsidR="00605B08" w:rsidP="00605B08" w14:paraId="0B330987" w14:textId="3319A268">
      <w:pPr>
        <w:contextualSpacing/>
        <w:rPr>
          <w:rFonts w:ascii="Calibri" w:hAnsi="Calibri" w:cs="Calibri"/>
          <w:szCs w:val="24"/>
        </w:rPr>
      </w:pPr>
      <w:r w:rsidRPr="00605B08">
        <w:rPr>
          <w:rFonts w:ascii="Calibri" w:hAnsi="Calibri" w:cs="Calibri"/>
          <w:szCs w:val="24"/>
        </w:rPr>
        <w:t>This information collection activity also covers certain specific chemical testing and reporting requirements under Subpart B of 40 CFR part 766 (</w:t>
      </w:r>
      <w:r w:rsidR="005249F7">
        <w:rPr>
          <w:rFonts w:ascii="Calibri" w:hAnsi="Calibri" w:cs="Calibri"/>
          <w:szCs w:val="24"/>
        </w:rPr>
        <w:t xml:space="preserve">Ref. </w:t>
      </w:r>
      <w:r w:rsidR="00F27253">
        <w:rPr>
          <w:rFonts w:ascii="Calibri" w:hAnsi="Calibri" w:cs="Calibri"/>
          <w:szCs w:val="24"/>
        </w:rPr>
        <w:t>5</w:t>
      </w:r>
      <w:r w:rsidRPr="00605B08">
        <w:rPr>
          <w:rFonts w:ascii="Calibri" w:hAnsi="Calibri" w:cs="Calibri"/>
          <w:szCs w:val="24"/>
        </w:rPr>
        <w:t xml:space="preserve">) that are very similar to the PAIR requirements. The Agency rarely receives submissions of the information required by 40 CFR 766. EPA received less than five submissions over the course of the last OMB approval </w:t>
      </w:r>
      <w:r w:rsidR="00B22A24">
        <w:rPr>
          <w:rFonts w:ascii="Calibri" w:hAnsi="Calibri" w:cs="Calibri"/>
          <w:szCs w:val="24"/>
        </w:rPr>
        <w:t>period</w:t>
      </w:r>
      <w:r w:rsidRPr="00605B08">
        <w:rPr>
          <w:rFonts w:ascii="Calibri" w:hAnsi="Calibri" w:cs="Calibri"/>
          <w:szCs w:val="24"/>
        </w:rPr>
        <w:t xml:space="preserve"> for this aspect of the information collection. However, collection of this information is covered under the PAIR ICR because the requirements are similar and because the PRA requires that recordkeeping and reporting activities contained in any regulation be approved by OMB even if they involve less than </w:t>
      </w:r>
      <w:r w:rsidR="006E078A">
        <w:rPr>
          <w:rFonts w:ascii="Calibri" w:hAnsi="Calibri" w:cs="Calibri"/>
          <w:szCs w:val="24"/>
        </w:rPr>
        <w:t>10</w:t>
      </w:r>
      <w:r w:rsidRPr="00605B08">
        <w:rPr>
          <w:rFonts w:ascii="Calibri" w:hAnsi="Calibri" w:cs="Calibri"/>
          <w:szCs w:val="24"/>
        </w:rPr>
        <w:t xml:space="preserve"> respondents or would otherwise not require approval (see 5 CFR 1320.3(c)(4)(i)).</w:t>
      </w:r>
    </w:p>
    <w:p w:rsidR="00911210" w:rsidRPr="00605B08" w:rsidP="00614CCD" w14:paraId="5E8ED9B8" w14:textId="77777777">
      <w:pPr>
        <w:spacing w:after="0"/>
        <w:contextualSpacing/>
        <w:rPr>
          <w:rFonts w:ascii="Calibri" w:hAnsi="Calibri" w:cs="Calibri"/>
        </w:rPr>
      </w:pPr>
    </w:p>
    <w:p w:rsidR="00605B08" w:rsidP="00614CCD" w14:paraId="400123C9" w14:textId="60C03EB2">
      <w:pPr>
        <w:spacing w:after="0"/>
        <w:rPr>
          <w:rFonts w:ascii="Calibri" w:hAnsi="Calibri" w:cs="Calibri"/>
        </w:rPr>
      </w:pPr>
      <w:r w:rsidRPr="74C98A00">
        <w:rPr>
          <w:rFonts w:ascii="Calibri" w:hAnsi="Calibri" w:cs="Calibri"/>
        </w:rPr>
        <w:t xml:space="preserve">The dibenzo-para-dioxin/dibenzofuran regulations at 40 CFR part 766 require that any person who manufactures, imports, or processes a chemical substance listed at 40 CFR 766.25 test that chemical substance and submit appropriate information to EPA according to the schedules described at 40 CFR 766.35. </w:t>
      </w:r>
      <w:r w:rsidR="003538F9">
        <w:rPr>
          <w:rFonts w:ascii="Calibri" w:hAnsi="Calibri" w:cs="Calibri"/>
        </w:rPr>
        <w:t xml:space="preserve">The testing </w:t>
      </w:r>
      <w:r w:rsidR="00C45915">
        <w:rPr>
          <w:rFonts w:ascii="Calibri" w:hAnsi="Calibri" w:cs="Calibri"/>
        </w:rPr>
        <w:t>requirement of this rule is authorized under TSCA section 4</w:t>
      </w:r>
      <w:r w:rsidR="00B413BE">
        <w:rPr>
          <w:rFonts w:ascii="Calibri" w:hAnsi="Calibri" w:cs="Calibri"/>
        </w:rPr>
        <w:t xml:space="preserve"> (15 U.S.C. 2603)</w:t>
      </w:r>
      <w:r w:rsidR="00EC3EDE">
        <w:rPr>
          <w:rFonts w:ascii="Calibri" w:hAnsi="Calibri" w:cs="Calibri"/>
        </w:rPr>
        <w:t xml:space="preserve"> </w:t>
      </w:r>
      <w:r w:rsidR="00E67E6B">
        <w:rPr>
          <w:rFonts w:ascii="Calibri" w:hAnsi="Calibri" w:cs="Calibri"/>
        </w:rPr>
        <w:t xml:space="preserve">(Ref. </w:t>
      </w:r>
      <w:r w:rsidR="007047F9">
        <w:rPr>
          <w:rFonts w:ascii="Calibri" w:hAnsi="Calibri" w:cs="Calibri"/>
        </w:rPr>
        <w:t>1</w:t>
      </w:r>
      <w:r w:rsidR="00B413BE">
        <w:rPr>
          <w:rFonts w:ascii="Calibri" w:hAnsi="Calibri" w:cs="Calibri"/>
        </w:rPr>
        <w:t>).</w:t>
      </w:r>
      <w:r w:rsidRPr="74C98A00">
        <w:rPr>
          <w:rFonts w:ascii="Calibri" w:hAnsi="Calibri" w:cs="Calibri"/>
        </w:rPr>
        <w:t xml:space="preserve"> Persons who commence manufacture, import, or processing of a chemical substance listed at 40 CFR 766.25 must submit a letter of intent to test or an exemption application within 60-days of starting any of those activities. Each person who is manufacturing or processing a chemical listed in 40 CFR 766.25 must submit a protocol for testing according to the schedule at 40 CFR 766.35(a)(2). Persons who manufacture or import a chemical substance listed under 40 CFR 766.25 must report positive test results, using the Dioxin/Furan Report Form (EPA Form 7710-51; see Attachment </w:t>
      </w:r>
      <w:r w:rsidR="007047F9">
        <w:rPr>
          <w:rFonts w:ascii="Calibri" w:hAnsi="Calibri" w:cs="Calibri"/>
        </w:rPr>
        <w:t>A</w:t>
      </w:r>
      <w:r w:rsidRPr="74C98A00">
        <w:rPr>
          <w:rFonts w:ascii="Calibri" w:hAnsi="Calibri" w:cs="Calibri"/>
        </w:rPr>
        <w:t xml:space="preserve">), of all existing test data that show that </w:t>
      </w:r>
      <w:r w:rsidR="00D15847">
        <w:rPr>
          <w:rFonts w:ascii="Calibri" w:hAnsi="Calibri" w:cs="Calibri"/>
        </w:rPr>
        <w:t xml:space="preserve">the </w:t>
      </w:r>
      <w:r w:rsidRPr="74C98A00">
        <w:rPr>
          <w:rFonts w:ascii="Calibri" w:hAnsi="Calibri" w:cs="Calibri"/>
        </w:rPr>
        <w:t xml:space="preserve">chemical substance has been tested for the presence of halogenated </w:t>
      </w:r>
      <w:r w:rsidRPr="74C98A00">
        <w:rPr>
          <w:rFonts w:ascii="Calibri" w:hAnsi="Calibri" w:cs="Calibri"/>
        </w:rPr>
        <w:t>dibenzodioxins/halogenated dibenzofurans (HDDs/HDFs)</w:t>
      </w:r>
      <w:r w:rsidR="008E051C">
        <w:rPr>
          <w:rFonts w:ascii="Calibri" w:hAnsi="Calibri" w:cs="Calibri"/>
        </w:rPr>
        <w:t xml:space="preserve">. </w:t>
      </w:r>
      <w:r w:rsidR="00AE1C6D">
        <w:rPr>
          <w:rFonts w:ascii="Calibri" w:hAnsi="Calibri" w:cs="Calibri"/>
        </w:rPr>
        <w:t>These manufacturers must also submit any a</w:t>
      </w:r>
      <w:r w:rsidRPr="00AE1C6D" w:rsidR="00AE1C6D">
        <w:rPr>
          <w:rFonts w:ascii="Calibri" w:hAnsi="Calibri" w:cs="Calibri"/>
        </w:rPr>
        <w:t>llegations of significant adverse reactions</w:t>
      </w:r>
      <w:r w:rsidR="00AE1C6D">
        <w:rPr>
          <w:rFonts w:ascii="Calibri" w:hAnsi="Calibri" w:cs="Calibri"/>
        </w:rPr>
        <w:t xml:space="preserve"> to HDDs/HDFs (pursuant to TSCA section 8(c)),</w:t>
      </w:r>
      <w:r w:rsidRPr="74C98A00">
        <w:rPr>
          <w:rFonts w:ascii="Calibri" w:hAnsi="Calibri" w:cs="Calibri"/>
        </w:rPr>
        <w:t xml:space="preserve"> as well as any </w:t>
      </w:r>
      <w:r w:rsidR="00AE1C6D">
        <w:rPr>
          <w:rFonts w:ascii="Calibri" w:hAnsi="Calibri" w:cs="Calibri"/>
        </w:rPr>
        <w:t xml:space="preserve">unpublished </w:t>
      </w:r>
      <w:r w:rsidRPr="74C98A00">
        <w:rPr>
          <w:rFonts w:ascii="Calibri" w:hAnsi="Calibri" w:cs="Calibri"/>
        </w:rPr>
        <w:t>health and safety studies for the chemical substance, as defined in the regulation</w:t>
      </w:r>
      <w:r w:rsidR="00AE1C6D">
        <w:rPr>
          <w:rFonts w:ascii="Calibri" w:hAnsi="Calibri" w:cs="Calibri"/>
        </w:rPr>
        <w:t xml:space="preserve"> (pursuant to TSCA section 8(d))</w:t>
      </w:r>
      <w:r w:rsidRPr="74C98A00">
        <w:rPr>
          <w:rFonts w:ascii="Calibri" w:hAnsi="Calibri" w:cs="Calibri"/>
        </w:rPr>
        <w:t>, no later than 90 days after the date of submission of the positive test result. Additionally, any manufacturer or importer of a chemical substance listed in 40 CFR 766.25 in possession of unpublished health and safety studies on HDDs/HDFs is required to submit copies of such studies to EPA, in accordance with various provisions of 40 CFR 716, no later than 90 days after the person first manufactures or imports the chemical substance.</w:t>
      </w:r>
    </w:p>
    <w:p w:rsidR="00614CCD" w:rsidRPr="00605B08" w:rsidP="00614CCD" w14:paraId="2637F6D2" w14:textId="77777777">
      <w:pPr>
        <w:spacing w:after="0"/>
        <w:rPr>
          <w:rFonts w:ascii="Calibri" w:hAnsi="Calibri" w:cs="Calibri"/>
        </w:rPr>
      </w:pPr>
    </w:p>
    <w:p w:rsidR="00605B08" w:rsidP="00614CCD" w14:paraId="06C6A227" w14:textId="77777777">
      <w:pPr>
        <w:spacing w:after="0"/>
        <w:rPr>
          <w:rFonts w:ascii="Calibri" w:hAnsi="Calibri" w:cs="Calibri"/>
          <w:b/>
          <w:szCs w:val="24"/>
        </w:rPr>
      </w:pPr>
      <w:r w:rsidRPr="00605B08">
        <w:rPr>
          <w:rFonts w:ascii="Calibri" w:hAnsi="Calibri" w:cs="Calibri"/>
          <w:b/>
          <w:szCs w:val="24"/>
        </w:rPr>
        <w:t>Chemical-Specific Rules, TSCA Section 8(a)</w:t>
      </w:r>
    </w:p>
    <w:p w:rsidR="00614CCD" w:rsidRPr="00605B08" w:rsidP="00614CCD" w14:paraId="67FA5548" w14:textId="77777777">
      <w:pPr>
        <w:spacing w:after="0"/>
        <w:rPr>
          <w:rFonts w:ascii="Calibri" w:hAnsi="Calibri" w:cs="Calibri"/>
          <w:b/>
          <w:szCs w:val="24"/>
        </w:rPr>
      </w:pPr>
    </w:p>
    <w:p w:rsidR="00605B08" w:rsidP="00614CCD" w14:paraId="0D475444" w14:textId="24925CEE">
      <w:pPr>
        <w:spacing w:after="0"/>
        <w:rPr>
          <w:rFonts w:ascii="Calibri" w:hAnsi="Calibri" w:cs="Calibri"/>
        </w:rPr>
      </w:pPr>
      <w:r w:rsidRPr="00605B08">
        <w:rPr>
          <w:rFonts w:ascii="Calibri" w:hAnsi="Calibri" w:cs="Calibri"/>
        </w:rPr>
        <w:t>EPA may need chemical-specific information under TSCA section 8(a) to evaluate the potential for exposure and/or adverse human health and environmental effects caused by the manufacture, processing, use</w:t>
      </w:r>
      <w:r w:rsidR="00C425D2">
        <w:rPr>
          <w:rFonts w:ascii="Calibri" w:hAnsi="Calibri" w:cs="Calibri"/>
        </w:rPr>
        <w:t>,</w:t>
      </w:r>
      <w:r w:rsidRPr="00605B08">
        <w:rPr>
          <w:rFonts w:ascii="Calibri" w:hAnsi="Calibri" w:cs="Calibri"/>
        </w:rPr>
        <w:t xml:space="preserve"> or disposal of identified chemical substances and mixtures. EPA may use TSCA section 8(a) to require such information to assess the need or set priorities for testing and/or further regulatory action</w:t>
      </w:r>
      <w:r w:rsidR="00731318">
        <w:rPr>
          <w:rFonts w:ascii="Calibri" w:hAnsi="Calibri" w:cs="Calibri"/>
        </w:rPr>
        <w:t>, such as under the TSCA section 6</w:t>
      </w:r>
      <w:r w:rsidR="001B2710">
        <w:rPr>
          <w:rFonts w:ascii="Calibri" w:hAnsi="Calibri" w:cs="Calibri"/>
        </w:rPr>
        <w:t xml:space="preserve"> </w:t>
      </w:r>
      <w:r w:rsidR="00BD2669">
        <w:rPr>
          <w:rFonts w:ascii="Calibri" w:hAnsi="Calibri" w:cs="Calibri"/>
        </w:rPr>
        <w:t>prioritization and risk evaluation process</w:t>
      </w:r>
      <w:r w:rsidRPr="00605B08">
        <w:rPr>
          <w:rFonts w:ascii="Calibri" w:hAnsi="Calibri" w:cs="Calibri"/>
        </w:rPr>
        <w:t>.</w:t>
      </w:r>
      <w:r w:rsidR="00823217">
        <w:rPr>
          <w:rFonts w:ascii="Calibri" w:hAnsi="Calibri" w:cs="Calibri"/>
        </w:rPr>
        <w:t xml:space="preserve"> Additionally, certain chemical-specific rules may be required </w:t>
      </w:r>
      <w:r w:rsidR="005508A7">
        <w:rPr>
          <w:rFonts w:ascii="Calibri" w:hAnsi="Calibri" w:cs="Calibri"/>
        </w:rPr>
        <w:t>by</w:t>
      </w:r>
      <w:r w:rsidR="00B94864">
        <w:rPr>
          <w:rFonts w:ascii="Calibri" w:hAnsi="Calibri" w:cs="Calibri"/>
        </w:rPr>
        <w:t xml:space="preserve"> Court order or </w:t>
      </w:r>
      <w:r w:rsidR="00273127">
        <w:rPr>
          <w:rFonts w:ascii="Calibri" w:hAnsi="Calibri" w:cs="Calibri"/>
        </w:rPr>
        <w:t>legislation</w:t>
      </w:r>
      <w:r w:rsidR="00B94864">
        <w:rPr>
          <w:rFonts w:ascii="Calibri" w:hAnsi="Calibri" w:cs="Calibri"/>
        </w:rPr>
        <w:t>.</w:t>
      </w:r>
    </w:p>
    <w:p w:rsidR="00680B93" w:rsidRPr="00605B08" w:rsidP="00614CCD" w14:paraId="20134799" w14:textId="77777777">
      <w:pPr>
        <w:spacing w:after="0"/>
        <w:rPr>
          <w:rFonts w:ascii="Calibri" w:hAnsi="Calibri" w:cs="Calibri"/>
        </w:rPr>
      </w:pPr>
    </w:p>
    <w:p w:rsidR="00605B08" w:rsidRPr="00605B08" w:rsidP="00605B08" w14:paraId="04785A9F" w14:textId="5D917033">
      <w:pPr>
        <w:rPr>
          <w:rFonts w:ascii="Calibri" w:hAnsi="Calibri" w:cs="Calibri"/>
        </w:rPr>
      </w:pPr>
      <w:r w:rsidRPr="00605B08">
        <w:rPr>
          <w:rFonts w:ascii="Calibri" w:hAnsi="Calibri" w:cs="Calibri"/>
        </w:rPr>
        <w:t xml:space="preserve">The information required in TSCA section 8(a) chemical-specific rules can be </w:t>
      </w:r>
      <w:r w:rsidR="00016C6D">
        <w:rPr>
          <w:rFonts w:ascii="Calibri" w:hAnsi="Calibri" w:cs="Calibri"/>
        </w:rPr>
        <w:t>fit for purpose</w:t>
      </w:r>
      <w:r w:rsidRPr="00605B08">
        <w:rPr>
          <w:rFonts w:ascii="Calibri" w:hAnsi="Calibri" w:cs="Calibri"/>
        </w:rPr>
        <w:t xml:space="preserve"> to aid in achieving EPA’s goals of protecting human health and the environment. Information collected may vary depending on the substance, its current and potential uses</w:t>
      </w:r>
      <w:r w:rsidR="00016C6D">
        <w:rPr>
          <w:rFonts w:ascii="Calibri" w:hAnsi="Calibri" w:cs="Calibri"/>
        </w:rPr>
        <w:t>,</w:t>
      </w:r>
      <w:r w:rsidRPr="00605B08">
        <w:rPr>
          <w:rFonts w:ascii="Calibri" w:hAnsi="Calibri" w:cs="Calibri"/>
        </w:rPr>
        <w:t xml:space="preserve"> and EPA’s concerns about potential human or environmental risks caused by exposures to the substance. As noted above, TSCA section 8(a) rules may require persons manufacturing, or processing the chemical substance, or intending to manufacture or process, to report to EPA on specific information on a chemical listed at 40 CFR 704, subpart B such as a chemical’s composition, byproducts, quantity produced, employee exposure</w:t>
      </w:r>
      <w:r w:rsidR="00BB2106">
        <w:rPr>
          <w:rFonts w:ascii="Calibri" w:hAnsi="Calibri" w:cs="Calibri"/>
        </w:rPr>
        <w:t>,</w:t>
      </w:r>
      <w:r w:rsidRPr="00605B08">
        <w:rPr>
          <w:rFonts w:ascii="Calibri" w:hAnsi="Calibri" w:cs="Calibri"/>
        </w:rPr>
        <w:t xml:space="preserve"> and environmental release. </w:t>
      </w:r>
    </w:p>
    <w:p w:rsidR="001823A8" w:rsidP="00614CCD" w14:paraId="653C74E6" w14:textId="39B73211">
      <w:pPr>
        <w:spacing w:after="0"/>
        <w:rPr>
          <w:rFonts w:ascii="Calibri" w:hAnsi="Calibri" w:cs="Calibri"/>
          <w:color w:val="000000"/>
        </w:rPr>
      </w:pPr>
      <w:r w:rsidRPr="5F135418">
        <w:rPr>
          <w:rFonts w:ascii="Calibri" w:hAnsi="Calibri" w:cs="Calibri"/>
          <w:color w:val="000000" w:themeColor="text1"/>
        </w:rPr>
        <w:t>The chemical-specific rules at 40 CFR 704 may be either one-time reporting events</w:t>
      </w:r>
      <w:r w:rsidRPr="5F135418" w:rsidR="008B6962">
        <w:rPr>
          <w:rFonts w:ascii="Calibri" w:hAnsi="Calibri" w:cs="Calibri"/>
          <w:color w:val="000000" w:themeColor="text1"/>
        </w:rPr>
        <w:t xml:space="preserve"> (i.e., </w:t>
      </w:r>
      <w:r w:rsidRPr="5F135418" w:rsidR="00586904">
        <w:rPr>
          <w:rFonts w:ascii="Calibri" w:hAnsi="Calibri" w:cs="Calibri"/>
          <w:color w:val="000000" w:themeColor="text1"/>
        </w:rPr>
        <w:t xml:space="preserve">a </w:t>
      </w:r>
      <w:r w:rsidRPr="5F135418" w:rsidR="009803AC">
        <w:rPr>
          <w:rFonts w:ascii="Calibri" w:hAnsi="Calibri" w:cs="Calibri"/>
          <w:color w:val="000000" w:themeColor="text1"/>
        </w:rPr>
        <w:t>single reporting deadline) or recurring</w:t>
      </w:r>
      <w:r w:rsidRPr="5F135418" w:rsidR="00AE06FF">
        <w:rPr>
          <w:rFonts w:ascii="Calibri" w:hAnsi="Calibri" w:cs="Calibri"/>
          <w:color w:val="000000" w:themeColor="text1"/>
        </w:rPr>
        <w:t xml:space="preserve"> requirements </w:t>
      </w:r>
      <w:r w:rsidRPr="5F135418" w:rsidR="00D25BA7">
        <w:rPr>
          <w:rFonts w:ascii="Calibri" w:hAnsi="Calibri" w:cs="Calibri"/>
          <w:color w:val="000000" w:themeColor="text1"/>
        </w:rPr>
        <w:t>into the future.</w:t>
      </w:r>
      <w:r w:rsidRPr="5F135418">
        <w:rPr>
          <w:rFonts w:ascii="Calibri" w:hAnsi="Calibri" w:cs="Calibri"/>
          <w:color w:val="000000" w:themeColor="text1"/>
        </w:rPr>
        <w:t xml:space="preserve"> </w:t>
      </w:r>
      <w:r w:rsidRPr="5F135418" w:rsidR="006C0A6E">
        <w:rPr>
          <w:rFonts w:ascii="Calibri" w:hAnsi="Calibri" w:cs="Calibri"/>
          <w:color w:val="000000" w:themeColor="text1"/>
        </w:rPr>
        <w:t>For example,</w:t>
      </w:r>
      <w:r w:rsidRPr="5F135418" w:rsidR="00207890">
        <w:rPr>
          <w:rFonts w:ascii="Calibri" w:hAnsi="Calibri" w:cs="Calibri"/>
          <w:color w:val="000000" w:themeColor="text1"/>
        </w:rPr>
        <w:t xml:space="preserve"> </w:t>
      </w:r>
      <w:r w:rsidRPr="5F135418" w:rsidR="00323364">
        <w:rPr>
          <w:rFonts w:ascii="Calibri" w:hAnsi="Calibri" w:cs="Calibri"/>
          <w:color w:val="000000" w:themeColor="text1"/>
        </w:rPr>
        <w:t xml:space="preserve">the two currently recurring </w:t>
      </w:r>
      <w:r w:rsidRPr="5F135418" w:rsidR="00AF409D">
        <w:rPr>
          <w:rFonts w:ascii="Calibri" w:hAnsi="Calibri" w:cs="Calibri"/>
          <w:color w:val="000000" w:themeColor="text1"/>
        </w:rPr>
        <w:t xml:space="preserve">requirements that are being merged into this ICR are for </w:t>
      </w:r>
      <w:r w:rsidRPr="5F135418" w:rsidR="004C5BAC">
        <w:rPr>
          <w:rFonts w:ascii="Calibri" w:hAnsi="Calibri" w:cs="Calibri"/>
          <w:color w:val="000000" w:themeColor="text1"/>
        </w:rPr>
        <w:t>nanoscale materials and recordkeeping for asbesto</w:t>
      </w:r>
      <w:r w:rsidRPr="5F135418" w:rsidR="6784E317">
        <w:rPr>
          <w:rFonts w:ascii="Calibri" w:hAnsi="Calibri" w:cs="Calibri"/>
          <w:color w:val="000000" w:themeColor="text1"/>
        </w:rPr>
        <w:t>s</w:t>
      </w:r>
      <w:r w:rsidRPr="5F135418" w:rsidR="00893CF5">
        <w:rPr>
          <w:rFonts w:ascii="Calibri" w:hAnsi="Calibri" w:cs="Calibri"/>
          <w:color w:val="000000" w:themeColor="text1"/>
        </w:rPr>
        <w:t>. The</w:t>
      </w:r>
      <w:r w:rsidRPr="5F135418" w:rsidR="00207890">
        <w:rPr>
          <w:rFonts w:ascii="Calibri" w:hAnsi="Calibri" w:cs="Calibri"/>
          <w:color w:val="000000" w:themeColor="text1"/>
        </w:rPr>
        <w:t xml:space="preserve"> reporting requirements for chemical substances manufactured at the nanoscale </w:t>
      </w:r>
      <w:r w:rsidRPr="5F135418" w:rsidR="006C0A6E">
        <w:rPr>
          <w:rFonts w:ascii="Calibri" w:hAnsi="Calibri" w:cs="Calibri"/>
          <w:color w:val="000000" w:themeColor="text1"/>
        </w:rPr>
        <w:t>(40 CFR 704.20)</w:t>
      </w:r>
      <w:r w:rsidRPr="5F135418" w:rsidR="00BB2106">
        <w:rPr>
          <w:rFonts w:ascii="Calibri" w:hAnsi="Calibri" w:cs="Calibri"/>
          <w:color w:val="000000" w:themeColor="text1"/>
        </w:rPr>
        <w:t xml:space="preserve"> </w:t>
      </w:r>
      <w:r w:rsidRPr="5F135418" w:rsidR="008D7A5A">
        <w:rPr>
          <w:rFonts w:ascii="Calibri" w:hAnsi="Calibri" w:cs="Calibri"/>
          <w:color w:val="000000" w:themeColor="text1"/>
        </w:rPr>
        <w:t>(</w:t>
      </w:r>
      <w:r w:rsidRPr="5F135418" w:rsidR="009B3667">
        <w:rPr>
          <w:rFonts w:ascii="Calibri" w:hAnsi="Calibri" w:cs="Calibri"/>
          <w:color w:val="000000" w:themeColor="text1"/>
        </w:rPr>
        <w:t xml:space="preserve">Ref. </w:t>
      </w:r>
      <w:r w:rsidRPr="5F135418" w:rsidR="00997655">
        <w:rPr>
          <w:rFonts w:ascii="Calibri" w:hAnsi="Calibri" w:cs="Calibri"/>
          <w:color w:val="000000" w:themeColor="text1"/>
        </w:rPr>
        <w:t>5</w:t>
      </w:r>
      <w:r w:rsidRPr="5F135418" w:rsidR="006C0A6E">
        <w:rPr>
          <w:rFonts w:ascii="Calibri" w:hAnsi="Calibri" w:cs="Calibri"/>
          <w:color w:val="000000" w:themeColor="text1"/>
        </w:rPr>
        <w:t xml:space="preserve">) </w:t>
      </w:r>
      <w:r w:rsidRPr="5F135418" w:rsidR="00207890">
        <w:rPr>
          <w:rFonts w:ascii="Calibri" w:hAnsi="Calibri" w:cs="Calibri"/>
          <w:color w:val="000000" w:themeColor="text1"/>
        </w:rPr>
        <w:t>involve one-time reporting for existing nanoscale materials and one-time reporting for new discrete nanoscale materials before they are manufactured or processed and is required for any production volume.</w:t>
      </w:r>
      <w:r w:rsidRPr="5F135418" w:rsidR="006C0A6E">
        <w:rPr>
          <w:rFonts w:ascii="Calibri" w:hAnsi="Calibri" w:cs="Calibri"/>
          <w:color w:val="000000" w:themeColor="text1"/>
        </w:rPr>
        <w:t xml:space="preserve"> </w:t>
      </w:r>
      <w:r w:rsidRPr="5F135418">
        <w:rPr>
          <w:rFonts w:ascii="Calibri" w:hAnsi="Calibri" w:cs="Calibri"/>
        </w:rPr>
        <w:t xml:space="preserve">Nanoscale materials or nanomaterials are chemical substances organized in structures in the scale of approximately 1 to 100 nanometers and may have different organizations and properties than the same chemical substances in a larger size. Nanoscale materials can be found in a wide variety of products, including electronics, automotive products, paints and coatings, metal-cutting tools, sports equipment, stain-free clothing and mattresses, and ink. </w:t>
      </w:r>
      <w:r w:rsidRPr="5F135418" w:rsidR="00FF2ED2">
        <w:rPr>
          <w:rFonts w:ascii="Calibri" w:hAnsi="Calibri" w:cs="Calibri"/>
        </w:rPr>
        <w:t>T</w:t>
      </w:r>
      <w:r w:rsidRPr="5F135418" w:rsidR="74C48508">
        <w:rPr>
          <w:rFonts w:ascii="Calibri" w:hAnsi="Calibri" w:cs="Calibri"/>
        </w:rPr>
        <w:t>housands</w:t>
      </w:r>
      <w:r w:rsidRPr="5F135418">
        <w:rPr>
          <w:rFonts w:ascii="Calibri" w:hAnsi="Calibri" w:cs="Calibri"/>
        </w:rPr>
        <w:t xml:space="preserve"> of products on the </w:t>
      </w:r>
      <w:r w:rsidRPr="5F135418">
        <w:rPr>
          <w:rFonts w:ascii="Calibri" w:hAnsi="Calibri" w:cs="Calibri"/>
        </w:rPr>
        <w:t xml:space="preserve">market utilize nanoscale materials. It is recognized that some of these substances, because of their small size, exhibit novel and enhanced properties not present in substances of larger dimensions. It is also widely recognized that limited data </w:t>
      </w:r>
      <w:r w:rsidRPr="5F135418" w:rsidR="006E5B0A">
        <w:rPr>
          <w:rFonts w:ascii="Calibri" w:hAnsi="Calibri" w:cs="Calibri"/>
        </w:rPr>
        <w:t xml:space="preserve">is </w:t>
      </w:r>
      <w:r w:rsidRPr="5F135418">
        <w:rPr>
          <w:rFonts w:ascii="Calibri" w:hAnsi="Calibri" w:cs="Calibri"/>
        </w:rPr>
        <w:t xml:space="preserve">available on these types of substances. </w:t>
      </w:r>
      <w:r w:rsidRPr="5F135418" w:rsidR="003E4879">
        <w:rPr>
          <w:rFonts w:ascii="Calibri" w:hAnsi="Calibri" w:cs="Calibri"/>
          <w:color w:val="000000" w:themeColor="text1"/>
        </w:rPr>
        <w:t>These reports were due within one year of the rule’s effective date (i.e., due in 2018)</w:t>
      </w:r>
      <w:r w:rsidRPr="5F135418" w:rsidR="004F35C6">
        <w:rPr>
          <w:rFonts w:ascii="Calibri" w:hAnsi="Calibri" w:cs="Calibri"/>
          <w:color w:val="000000" w:themeColor="text1"/>
        </w:rPr>
        <w:t>;</w:t>
      </w:r>
      <w:r w:rsidRPr="5F135418" w:rsidR="003E4879">
        <w:rPr>
          <w:rFonts w:ascii="Calibri" w:hAnsi="Calibri" w:cs="Calibri"/>
          <w:color w:val="000000" w:themeColor="text1"/>
        </w:rPr>
        <w:t xml:space="preserve"> </w:t>
      </w:r>
      <w:r w:rsidRPr="5F135418" w:rsidR="004F35C6">
        <w:rPr>
          <w:rFonts w:ascii="Calibri" w:hAnsi="Calibri" w:cs="Calibri"/>
          <w:color w:val="000000" w:themeColor="text1"/>
        </w:rPr>
        <w:t>however, if a person manufactures or processes a new discrete form of the reportable chemical substance for the new use, then that person would be required to report the new discrete form under this rule.</w:t>
      </w:r>
      <w:r w:rsidRPr="5F135418">
        <w:rPr>
          <w:rFonts w:ascii="Calibri" w:hAnsi="Calibri" w:cs="Calibri"/>
          <w:color w:val="000000" w:themeColor="text1"/>
        </w:rPr>
        <w:t xml:space="preserve"> </w:t>
      </w:r>
    </w:p>
    <w:p w:rsidR="00614CCD" w:rsidRPr="00107192" w:rsidP="00614CCD" w14:paraId="3148CD26" w14:textId="77777777">
      <w:pPr>
        <w:spacing w:after="0"/>
        <w:rPr>
          <w:rFonts w:ascii="Calibri" w:hAnsi="Calibri" w:cs="Calibri"/>
        </w:rPr>
      </w:pPr>
    </w:p>
    <w:p w:rsidR="001823A8" w:rsidP="00614CCD" w14:paraId="5B5D7B63" w14:textId="4D8842F7">
      <w:pPr>
        <w:spacing w:after="0"/>
        <w:rPr>
          <w:rFonts w:ascii="Calibri" w:hAnsi="Calibri" w:cs="Calibri"/>
        </w:rPr>
      </w:pPr>
      <w:r w:rsidRPr="00107192">
        <w:rPr>
          <w:rFonts w:ascii="Calibri" w:hAnsi="Calibri" w:cs="Calibri"/>
        </w:rPr>
        <w:t xml:space="preserve">Some nanoscale materials are recognized as new chemical substances subject to notification requirements under TSCA section 5 because they are not contained on the TSCA Inventory. Therefore, they are subject to review for potential human health and environmental risks before they are manufactured and enter commerce. EPA has identified over 275 nanoscale materials submitted as new chemicals under TSCA since January 2005. Other nanoscale materials have the same molecular identity as chemical substances which are already on the TSCA Inventory and as such are not subject to new chemical notification. The Agency has authority under TSCA </w:t>
      </w:r>
      <w:r w:rsidR="002822B2">
        <w:rPr>
          <w:rFonts w:ascii="Calibri" w:hAnsi="Calibri" w:cs="Calibri"/>
        </w:rPr>
        <w:t>section</w:t>
      </w:r>
      <w:r w:rsidRPr="00107192">
        <w:rPr>
          <w:rFonts w:ascii="Calibri" w:hAnsi="Calibri" w:cs="Calibri"/>
        </w:rPr>
        <w:t xml:space="preserve"> 8(a) to collect information regarding chemical substances in commerce. The reporting of information associated with these nanoscale materials will provide EPA with data needed to determine appropriate action(s) under TSCA to reduce any risk to human health or the environment. </w:t>
      </w:r>
    </w:p>
    <w:p w:rsidR="00614CCD" w:rsidRPr="00107192" w:rsidP="00614CCD" w14:paraId="11FE0E0B" w14:textId="77777777">
      <w:pPr>
        <w:spacing w:after="0"/>
        <w:rPr>
          <w:rFonts w:ascii="Calibri" w:hAnsi="Calibri" w:cs="Calibri"/>
        </w:rPr>
      </w:pPr>
    </w:p>
    <w:p w:rsidR="00116AA9" w:rsidP="00614CCD" w14:paraId="66EB1817" w14:textId="0CC75171">
      <w:pPr>
        <w:spacing w:after="0"/>
        <w:rPr>
          <w:rFonts w:ascii="Calibri" w:hAnsi="Calibri" w:cs="Calibri"/>
          <w:color w:val="000000"/>
        </w:rPr>
      </w:pPr>
      <w:r>
        <w:rPr>
          <w:rFonts w:ascii="Calibri" w:hAnsi="Calibri" w:cs="Calibri"/>
          <w:color w:val="000000"/>
        </w:rPr>
        <w:t>The a</w:t>
      </w:r>
      <w:r w:rsidR="0096740F">
        <w:rPr>
          <w:rFonts w:ascii="Calibri" w:hAnsi="Calibri" w:cs="Calibri"/>
          <w:color w:val="000000"/>
        </w:rPr>
        <w:t xml:space="preserve">sbestos reporting regulation </w:t>
      </w:r>
      <w:r w:rsidR="004F35C6">
        <w:rPr>
          <w:rFonts w:ascii="Calibri" w:hAnsi="Calibri" w:cs="Calibri"/>
          <w:color w:val="000000"/>
        </w:rPr>
        <w:t xml:space="preserve">(40 CFR 704.180) was a one-time data collection for manufacturers (including importers) and processors of </w:t>
      </w:r>
      <w:r w:rsidR="009D3480">
        <w:rPr>
          <w:rFonts w:ascii="Calibri" w:hAnsi="Calibri" w:cs="Calibri"/>
          <w:color w:val="000000"/>
        </w:rPr>
        <w:t xml:space="preserve">any amount of asbestos, including as impurities and </w:t>
      </w:r>
      <w:r w:rsidR="00B959EF">
        <w:rPr>
          <w:rFonts w:ascii="Calibri" w:hAnsi="Calibri" w:cs="Calibri"/>
          <w:color w:val="000000"/>
        </w:rPr>
        <w:t>in articles,</w:t>
      </w:r>
      <w:r w:rsidR="00174E94">
        <w:rPr>
          <w:rFonts w:ascii="Calibri" w:hAnsi="Calibri" w:cs="Calibri"/>
          <w:color w:val="000000"/>
        </w:rPr>
        <w:t xml:space="preserve"> to provide information related to </w:t>
      </w:r>
      <w:r w:rsidR="001B6E97">
        <w:rPr>
          <w:rFonts w:ascii="Calibri" w:hAnsi="Calibri" w:cs="Calibri"/>
          <w:color w:val="000000"/>
        </w:rPr>
        <w:t xml:space="preserve">production volume, worker exposure, and conditions of use. The asbestos rule </w:t>
      </w:r>
      <w:r w:rsidR="00E745F0">
        <w:rPr>
          <w:rFonts w:ascii="Calibri" w:hAnsi="Calibri" w:cs="Calibri"/>
          <w:color w:val="000000"/>
        </w:rPr>
        <w:t xml:space="preserve">was designed to support EPA’s Part 2 Asbestos Risk Evaluation under TSCA section </w:t>
      </w:r>
      <w:r w:rsidR="008077B6">
        <w:rPr>
          <w:rFonts w:ascii="Calibri" w:hAnsi="Calibri" w:cs="Calibri"/>
          <w:color w:val="000000"/>
        </w:rPr>
        <w:t>6 and</w:t>
      </w:r>
      <w:r w:rsidR="00B9360E">
        <w:rPr>
          <w:rFonts w:ascii="Calibri" w:hAnsi="Calibri" w:cs="Calibri"/>
          <w:color w:val="000000"/>
        </w:rPr>
        <w:t xml:space="preserve"> was </w:t>
      </w:r>
      <w:r w:rsidR="00A14422">
        <w:rPr>
          <w:rFonts w:ascii="Calibri" w:hAnsi="Calibri" w:cs="Calibri"/>
          <w:color w:val="000000"/>
        </w:rPr>
        <w:t>required of EPA</w:t>
      </w:r>
      <w:r w:rsidR="00BB07DB">
        <w:rPr>
          <w:rFonts w:ascii="Calibri" w:hAnsi="Calibri" w:cs="Calibri"/>
          <w:color w:val="000000"/>
        </w:rPr>
        <w:t xml:space="preserve"> pursuant to </w:t>
      </w:r>
      <w:r w:rsidR="00E61F8D">
        <w:rPr>
          <w:rFonts w:ascii="Calibri" w:hAnsi="Calibri" w:cs="Calibri"/>
          <w:color w:val="000000"/>
        </w:rPr>
        <w:t xml:space="preserve">a Court </w:t>
      </w:r>
      <w:r w:rsidR="00521D26">
        <w:rPr>
          <w:rFonts w:ascii="Calibri" w:hAnsi="Calibri" w:cs="Calibri"/>
          <w:color w:val="000000"/>
        </w:rPr>
        <w:t>decision</w:t>
      </w:r>
      <w:r w:rsidR="00A14422">
        <w:rPr>
          <w:rFonts w:ascii="Calibri" w:hAnsi="Calibri" w:cs="Calibri"/>
          <w:color w:val="000000"/>
        </w:rPr>
        <w:t xml:space="preserve"> </w:t>
      </w:r>
      <w:r w:rsidR="00521D26">
        <w:rPr>
          <w:rFonts w:ascii="Calibri" w:hAnsi="Calibri" w:cs="Calibri"/>
          <w:color w:val="000000"/>
        </w:rPr>
        <w:t>and</w:t>
      </w:r>
      <w:r w:rsidR="00BB07DB">
        <w:rPr>
          <w:rFonts w:ascii="Calibri" w:hAnsi="Calibri" w:cs="Calibri"/>
          <w:color w:val="000000"/>
        </w:rPr>
        <w:t xml:space="preserve"> </w:t>
      </w:r>
      <w:r w:rsidR="008131E7">
        <w:rPr>
          <w:rFonts w:ascii="Calibri" w:hAnsi="Calibri" w:cs="Calibri"/>
          <w:color w:val="000000"/>
        </w:rPr>
        <w:t xml:space="preserve">agreement between EPA and </w:t>
      </w:r>
      <w:r w:rsidR="009277F1">
        <w:rPr>
          <w:rFonts w:ascii="Calibri" w:hAnsi="Calibri" w:cs="Calibri"/>
          <w:color w:val="000000"/>
        </w:rPr>
        <w:t>petit</w:t>
      </w:r>
      <w:r w:rsidR="0039352F">
        <w:rPr>
          <w:rFonts w:ascii="Calibri" w:hAnsi="Calibri" w:cs="Calibri"/>
          <w:color w:val="000000"/>
        </w:rPr>
        <w:t>ioners</w:t>
      </w:r>
      <w:r w:rsidR="00521D26">
        <w:rPr>
          <w:rFonts w:ascii="Calibri" w:hAnsi="Calibri" w:cs="Calibri"/>
          <w:color w:val="000000"/>
        </w:rPr>
        <w:t>.</w:t>
      </w:r>
    </w:p>
    <w:p w:rsidR="00614CCD" w:rsidRPr="00605B08" w:rsidP="00614CCD" w14:paraId="3687C208" w14:textId="77777777">
      <w:pPr>
        <w:spacing w:after="0"/>
        <w:rPr>
          <w:rFonts w:ascii="Calibri" w:hAnsi="Calibri" w:cs="Calibri"/>
        </w:rPr>
      </w:pPr>
    </w:p>
    <w:p w:rsidR="00605B08" w:rsidP="00614CCD" w14:paraId="183935CB" w14:textId="7A1F0453">
      <w:pPr>
        <w:spacing w:after="0"/>
        <w:rPr>
          <w:rFonts w:ascii="Calibri" w:hAnsi="Calibri" w:cs="Calibri"/>
        </w:rPr>
      </w:pPr>
      <w:r w:rsidRPr="00605B08">
        <w:rPr>
          <w:rFonts w:ascii="Calibri" w:hAnsi="Calibri" w:cs="Calibri"/>
        </w:rPr>
        <w:t>The legal authority for this information collection is TSCA section 8(a), 15 U.S.C. 2607(a) (</w:t>
      </w:r>
      <w:r w:rsidR="001C187A">
        <w:rPr>
          <w:rFonts w:ascii="Calibri" w:hAnsi="Calibri" w:cs="Calibri"/>
        </w:rPr>
        <w:t>Ref.</w:t>
      </w:r>
      <w:r w:rsidRPr="00605B08" w:rsidR="001C187A">
        <w:rPr>
          <w:rFonts w:ascii="Calibri" w:hAnsi="Calibri" w:cs="Calibri"/>
        </w:rPr>
        <w:t xml:space="preserve"> </w:t>
      </w:r>
      <w:r w:rsidR="00F27253">
        <w:rPr>
          <w:rFonts w:ascii="Calibri" w:hAnsi="Calibri" w:cs="Calibri"/>
        </w:rPr>
        <w:t>2</w:t>
      </w:r>
      <w:r w:rsidRPr="00605B08">
        <w:rPr>
          <w:rFonts w:ascii="Calibri" w:hAnsi="Calibri" w:cs="Calibri"/>
        </w:rPr>
        <w:t>) and TSCA section 26(p), 15 U.S.C. 2625 (</w:t>
      </w:r>
      <w:r w:rsidR="001C187A">
        <w:rPr>
          <w:rFonts w:ascii="Calibri" w:hAnsi="Calibri" w:cs="Calibri"/>
        </w:rPr>
        <w:t>Ref.</w:t>
      </w:r>
      <w:r w:rsidRPr="00605B08" w:rsidR="001C187A">
        <w:rPr>
          <w:rFonts w:ascii="Calibri" w:hAnsi="Calibri" w:cs="Calibri"/>
        </w:rPr>
        <w:t xml:space="preserve"> </w:t>
      </w:r>
      <w:r w:rsidR="00F27253">
        <w:rPr>
          <w:rFonts w:ascii="Calibri" w:hAnsi="Calibri" w:cs="Calibri"/>
        </w:rPr>
        <w:t>3</w:t>
      </w:r>
      <w:r w:rsidRPr="00605B08">
        <w:rPr>
          <w:rFonts w:ascii="Calibri" w:hAnsi="Calibri" w:cs="Calibri"/>
        </w:rPr>
        <w:t>). TSCA section 8(a) chemical-specific rules have been codified at 40 CFR 704, subpart B</w:t>
      </w:r>
      <w:r w:rsidR="001C187A">
        <w:rPr>
          <w:rFonts w:ascii="Calibri" w:hAnsi="Calibri" w:cs="Calibri"/>
        </w:rPr>
        <w:t xml:space="preserve"> (Ref. </w:t>
      </w:r>
      <w:r w:rsidR="00F27253">
        <w:rPr>
          <w:rFonts w:ascii="Calibri" w:hAnsi="Calibri" w:cs="Calibri"/>
        </w:rPr>
        <w:t>7</w:t>
      </w:r>
      <w:r w:rsidR="001C187A">
        <w:rPr>
          <w:rFonts w:ascii="Calibri" w:hAnsi="Calibri" w:cs="Calibri"/>
        </w:rPr>
        <w:t>)</w:t>
      </w:r>
      <w:r w:rsidRPr="00605B08">
        <w:rPr>
          <w:rFonts w:ascii="Calibri" w:hAnsi="Calibri" w:cs="Calibri"/>
        </w:rPr>
        <w:t>.</w:t>
      </w:r>
    </w:p>
    <w:p w:rsidR="00614CCD" w:rsidP="00614CCD" w14:paraId="4B7E9A59" w14:textId="77777777">
      <w:pPr>
        <w:spacing w:after="0"/>
        <w:rPr>
          <w:rFonts w:ascii="Calibri" w:hAnsi="Calibri" w:cs="Calibri"/>
        </w:rPr>
      </w:pPr>
    </w:p>
    <w:p w:rsidR="0081666C" w:rsidP="00614CCD" w14:paraId="2DC76266" w14:textId="28313EC6">
      <w:pPr>
        <w:spacing w:after="0"/>
        <w:rPr>
          <w:rFonts w:ascii="Calibri" w:hAnsi="Calibri" w:cs="Calibri"/>
          <w:color w:val="000000"/>
        </w:rPr>
      </w:pPr>
      <w:r>
        <w:rPr>
          <w:rFonts w:ascii="Calibri" w:hAnsi="Calibri" w:cs="Calibri"/>
          <w:color w:val="000000"/>
        </w:rPr>
        <w:t>Via specific 8(a) rules, EPA may also require for respondents to prepare and submit OECD Harmonized Templates (OHTs) for such studies to standardize information formatting and improve efficiency of data review.</w:t>
      </w:r>
      <w:r w:rsidR="0056253B">
        <w:rPr>
          <w:rFonts w:ascii="Calibri" w:hAnsi="Calibri" w:cs="Calibri"/>
          <w:color w:val="000000"/>
        </w:rPr>
        <w:t xml:space="preserve"> </w:t>
      </w:r>
      <w:r w:rsidR="001612CA">
        <w:rPr>
          <w:rFonts w:ascii="Calibri" w:hAnsi="Calibri" w:cs="Calibri"/>
          <w:color w:val="000000"/>
        </w:rPr>
        <w:t xml:space="preserve">Additionally, </w:t>
      </w:r>
      <w:r w:rsidR="00875C78">
        <w:rPr>
          <w:rFonts w:ascii="Calibri" w:hAnsi="Calibri" w:cs="Calibri"/>
          <w:color w:val="000000"/>
        </w:rPr>
        <w:t>pursuant to 40 CFR 703</w:t>
      </w:r>
      <w:r w:rsidR="00364A79">
        <w:rPr>
          <w:rFonts w:ascii="Calibri" w:hAnsi="Calibri" w:cs="Calibri"/>
          <w:color w:val="000000"/>
        </w:rPr>
        <w:t>(g)</w:t>
      </w:r>
      <w:r w:rsidR="001C187A">
        <w:rPr>
          <w:rFonts w:ascii="Calibri" w:hAnsi="Calibri" w:cs="Calibri"/>
          <w:color w:val="000000"/>
        </w:rPr>
        <w:t xml:space="preserve"> (Ref. </w:t>
      </w:r>
      <w:r w:rsidR="00F27253">
        <w:rPr>
          <w:rFonts w:ascii="Calibri" w:hAnsi="Calibri" w:cs="Calibri"/>
          <w:color w:val="000000"/>
        </w:rPr>
        <w:t>6</w:t>
      </w:r>
      <w:r w:rsidR="001C187A">
        <w:rPr>
          <w:rFonts w:ascii="Calibri" w:hAnsi="Calibri" w:cs="Calibri"/>
          <w:color w:val="000000"/>
        </w:rPr>
        <w:t>)</w:t>
      </w:r>
      <w:r w:rsidR="00875C78">
        <w:rPr>
          <w:rFonts w:ascii="Calibri" w:hAnsi="Calibri" w:cs="Calibri"/>
          <w:color w:val="000000"/>
        </w:rPr>
        <w:t xml:space="preserve">, </w:t>
      </w:r>
      <w:r w:rsidR="00364A79">
        <w:rPr>
          <w:rFonts w:ascii="Calibri" w:hAnsi="Calibri" w:cs="Calibri"/>
          <w:color w:val="000000"/>
        </w:rPr>
        <w:t>s</w:t>
      </w:r>
      <w:r w:rsidRPr="00364A79" w:rsidR="00364A79">
        <w:rPr>
          <w:rFonts w:ascii="Calibri" w:hAnsi="Calibri" w:cs="Calibri"/>
          <w:color w:val="000000"/>
        </w:rPr>
        <w:t xml:space="preserve">ubmitters of health and safety studies or information from such studies must provide such data in templated form, using an appropriate OECD harmonized template, if such template is available for the data type </w:t>
      </w:r>
      <w:r w:rsidR="0026000B">
        <w:rPr>
          <w:rFonts w:ascii="Calibri" w:hAnsi="Calibri" w:cs="Calibri"/>
          <w:color w:val="000000"/>
        </w:rPr>
        <w:t xml:space="preserve">available at </w:t>
      </w:r>
      <w:hyperlink r:id="rId10" w:history="1">
        <w:r w:rsidRPr="001C325B" w:rsidR="001C187A">
          <w:rPr>
            <w:rStyle w:val="Hyperlink"/>
            <w:rFonts w:ascii="Calibri" w:hAnsi="Calibri" w:cs="Calibri"/>
          </w:rPr>
          <w:t>https://www.oecd.org/en/topics/sub-issues/assessment-of-chemicals/harmonised-templates.html</w:t>
        </w:r>
      </w:hyperlink>
      <w:r>
        <w:rPr>
          <w:rFonts w:ascii="Calibri" w:hAnsi="Calibri" w:cs="Calibri"/>
          <w:color w:val="000000"/>
        </w:rPr>
        <w:t>.</w:t>
      </w:r>
    </w:p>
    <w:p w:rsidR="00614CCD" w:rsidP="00614CCD" w14:paraId="78D2FA8B" w14:textId="77777777">
      <w:pPr>
        <w:spacing w:after="0"/>
        <w:rPr>
          <w:rFonts w:ascii="Calibri" w:hAnsi="Calibri" w:cs="Calibri"/>
          <w:color w:val="000000"/>
        </w:rPr>
      </w:pPr>
    </w:p>
    <w:p w:rsidR="00605B08" w:rsidP="00614CCD" w14:paraId="65D170C7" w14:textId="5CF7E98B">
      <w:pPr>
        <w:spacing w:after="0"/>
        <w:rPr>
          <w:rFonts w:ascii="Calibri" w:hAnsi="Calibri" w:cs="Calibri"/>
          <w:b/>
          <w:szCs w:val="24"/>
        </w:rPr>
      </w:pPr>
      <w:r w:rsidRPr="00605B08">
        <w:rPr>
          <w:rFonts w:ascii="Calibri" w:hAnsi="Calibri" w:cs="Calibri"/>
          <w:b/>
          <w:szCs w:val="24"/>
        </w:rPr>
        <w:t>Recordkeeping and Reporting Requirements for Allegations of Significant Adverse Reactions to Human Health or the Environment, TSCA Section 8(c)</w:t>
      </w:r>
    </w:p>
    <w:p w:rsidR="00614CCD" w:rsidRPr="00605B08" w:rsidP="00614CCD" w14:paraId="2224D292" w14:textId="77777777">
      <w:pPr>
        <w:spacing w:after="0"/>
        <w:rPr>
          <w:rFonts w:ascii="Calibri" w:hAnsi="Calibri" w:cs="Calibri"/>
          <w:b/>
          <w:szCs w:val="24"/>
        </w:rPr>
      </w:pPr>
    </w:p>
    <w:p w:rsidR="00605B08" w:rsidP="00614CCD" w14:paraId="75939876" w14:textId="7180680A">
      <w:pPr>
        <w:spacing w:after="0"/>
        <w:rPr>
          <w:rFonts w:ascii="Calibri" w:hAnsi="Calibri" w:cs="Calibri"/>
        </w:rPr>
      </w:pPr>
      <w:r w:rsidRPr="00605B08">
        <w:rPr>
          <w:rFonts w:ascii="Calibri" w:hAnsi="Calibri" w:cs="Calibri"/>
        </w:rPr>
        <w:t>The TSCA section 8(c) reporting and recordkeeping requirements are of central importance in the administration of TSCA section 8. Without the ability to administer these paperwork requirements, EPA would not be able to meet its obligation under TSCA.</w:t>
      </w:r>
      <w:r w:rsidR="00535FD8">
        <w:rPr>
          <w:rFonts w:ascii="Calibri" w:hAnsi="Calibri" w:cs="Calibri"/>
        </w:rPr>
        <w:t xml:space="preserve"> </w:t>
      </w:r>
      <w:r w:rsidRPr="00605B08">
        <w:rPr>
          <w:rFonts w:ascii="Calibri" w:hAnsi="Calibri" w:cs="Calibri"/>
        </w:rPr>
        <w:t>Since the statute does not contain an automatic reporting provision, EPA must either inspect company files or require reporting of records that relate to specific substances of concern in order to obtain and use information about allegations of significant adverse reactions</w:t>
      </w:r>
      <w:r w:rsidR="00960C37">
        <w:rPr>
          <w:rFonts w:ascii="Calibri" w:hAnsi="Calibri" w:cs="Calibri"/>
        </w:rPr>
        <w:t xml:space="preserve"> (e.g., through a </w:t>
      </w:r>
      <w:r w:rsidR="00960C37">
        <w:rPr>
          <w:rFonts w:ascii="Calibri" w:hAnsi="Calibri" w:cs="Calibri"/>
          <w:i/>
          <w:iCs/>
        </w:rPr>
        <w:t xml:space="preserve">Federal Register </w:t>
      </w:r>
      <w:r w:rsidR="00960C37">
        <w:rPr>
          <w:rFonts w:ascii="Calibri" w:hAnsi="Calibri" w:cs="Calibri"/>
        </w:rPr>
        <w:t>notice)</w:t>
      </w:r>
      <w:r w:rsidRPr="00605B08">
        <w:rPr>
          <w:rFonts w:ascii="Calibri" w:hAnsi="Calibri" w:cs="Calibri"/>
        </w:rPr>
        <w:t>. EPA’s authority to inspect and require such reporting is codified in 40 CFR 717.17 (</w:t>
      </w:r>
      <w:r w:rsidR="001D735F">
        <w:rPr>
          <w:rFonts w:ascii="Calibri" w:hAnsi="Calibri" w:cs="Calibri"/>
        </w:rPr>
        <w:t xml:space="preserve">Ref. </w:t>
      </w:r>
      <w:r w:rsidR="001C187A">
        <w:rPr>
          <w:rFonts w:ascii="Calibri" w:hAnsi="Calibri" w:cs="Calibri"/>
        </w:rPr>
        <w:t>8</w:t>
      </w:r>
      <w:r w:rsidRPr="00605B08">
        <w:rPr>
          <w:rFonts w:ascii="Calibri" w:hAnsi="Calibri" w:cs="Calibri"/>
        </w:rPr>
        <w:t>). EPA will review relevant TSCA section 8(c) records in connection with its TSCA chemical assessment activities.</w:t>
      </w:r>
    </w:p>
    <w:p w:rsidR="00614CCD" w:rsidRPr="00605B08" w:rsidP="00614CCD" w14:paraId="36F71176" w14:textId="77777777">
      <w:pPr>
        <w:spacing w:after="0"/>
        <w:rPr>
          <w:rFonts w:ascii="Calibri" w:hAnsi="Calibri" w:cs="Calibri"/>
        </w:rPr>
      </w:pPr>
    </w:p>
    <w:p w:rsidR="00605B08" w:rsidP="00614CCD" w14:paraId="3A4CE187" w14:textId="50C10E6C">
      <w:pPr>
        <w:spacing w:after="0"/>
        <w:rPr>
          <w:rFonts w:ascii="Calibri" w:hAnsi="Calibri" w:cs="Calibri"/>
        </w:rPr>
      </w:pPr>
      <w:r w:rsidRPr="00605B08">
        <w:rPr>
          <w:rFonts w:ascii="Calibri" w:hAnsi="Calibri" w:cs="Calibri"/>
        </w:rPr>
        <w:t xml:space="preserve">All studies submitted to EPA will be verified and the contents of the submissions recorded and inspected for the inclusion of confidential business information. Copies of the documents will then be prepared for inclusion in EPA’s public docket and distributed, as appropriate and based on the associated chemical identity, to program offices at EPA and/or to other federal agencies for scientific analysis. </w:t>
      </w:r>
    </w:p>
    <w:p w:rsidR="00614CCD" w:rsidRPr="00605B08" w:rsidP="00614CCD" w14:paraId="3AAEDF7F" w14:textId="40D51437">
      <w:pPr>
        <w:spacing w:after="0"/>
        <w:rPr>
          <w:rFonts w:ascii="Calibri" w:hAnsi="Calibri" w:cs="Calibri"/>
          <w:color w:val="000000"/>
        </w:rPr>
      </w:pPr>
    </w:p>
    <w:p w:rsidR="00605B08" w:rsidRPr="00605B08" w:rsidP="00614CCD" w14:paraId="3274B8DB" w14:textId="77777777">
      <w:pPr>
        <w:spacing w:after="0"/>
        <w:rPr>
          <w:rFonts w:ascii="Calibri" w:hAnsi="Calibri" w:cs="Calibri"/>
          <w:b/>
        </w:rPr>
      </w:pPr>
      <w:r w:rsidRPr="00605B08">
        <w:rPr>
          <w:rFonts w:ascii="Calibri" w:hAnsi="Calibri" w:cs="Calibri"/>
          <w:b/>
          <w:szCs w:val="24"/>
        </w:rPr>
        <w:t>Health and Safety Data Reporting, Submission of Lists and Copies of Health and Safety Studies, TSCA Section 8(d)</w:t>
      </w:r>
    </w:p>
    <w:p w:rsidR="0042683F" w:rsidRPr="00605B08" w:rsidP="00614CCD" w14:paraId="3271642F" w14:textId="77777777">
      <w:pPr>
        <w:spacing w:after="0"/>
        <w:rPr>
          <w:rFonts w:ascii="Calibri" w:hAnsi="Calibri" w:cs="Calibri"/>
          <w:b/>
        </w:rPr>
      </w:pPr>
    </w:p>
    <w:p w:rsidR="00605B08" w:rsidP="00614CCD" w14:paraId="42E487F8" w14:textId="788E3B3A">
      <w:pPr>
        <w:widowControl w:val="0"/>
        <w:spacing w:after="0"/>
        <w:rPr>
          <w:rFonts w:ascii="Calibri" w:hAnsi="Calibri" w:cs="Calibri"/>
          <w:color w:val="000000" w:themeColor="text1"/>
        </w:rPr>
      </w:pPr>
      <w:r w:rsidRPr="5F135418">
        <w:rPr>
          <w:rFonts w:ascii="Calibri" w:hAnsi="Calibri" w:cs="Calibri"/>
          <w:color w:val="000000" w:themeColor="text1"/>
        </w:rPr>
        <w:t>TSCA section 8(d), 15 U.S.C. 2607(d)</w:t>
      </w:r>
      <w:r w:rsidRPr="5F135418" w:rsidR="001C187A">
        <w:rPr>
          <w:rFonts w:ascii="Calibri" w:hAnsi="Calibri" w:cs="Calibri"/>
          <w:color w:val="000000" w:themeColor="text1"/>
        </w:rPr>
        <w:t xml:space="preserve"> (Ref. 2)</w:t>
      </w:r>
      <w:r w:rsidRPr="5F135418">
        <w:rPr>
          <w:rFonts w:ascii="Calibri" w:hAnsi="Calibri" w:cs="Calibri"/>
          <w:color w:val="000000" w:themeColor="text1"/>
        </w:rPr>
        <w:t xml:space="preserve">, </w:t>
      </w:r>
      <w:bookmarkStart w:id="12" w:name="_Hlk530044736"/>
      <w:r w:rsidRPr="5F135418">
        <w:rPr>
          <w:rFonts w:ascii="Calibri" w:hAnsi="Calibri" w:cs="Calibri"/>
          <w:color w:val="000000" w:themeColor="text1"/>
        </w:rPr>
        <w:t>authorizes EPA to promulgate rules requiring certain persons who manufacture, process or distribute in commerce, or propose to manufacture, process</w:t>
      </w:r>
      <w:r w:rsidRPr="5F135418" w:rsidR="00D14019">
        <w:rPr>
          <w:rFonts w:ascii="Calibri" w:hAnsi="Calibri" w:cs="Calibri"/>
          <w:color w:val="000000" w:themeColor="text1"/>
        </w:rPr>
        <w:t>,</w:t>
      </w:r>
      <w:r w:rsidRPr="5F135418">
        <w:rPr>
          <w:rFonts w:ascii="Calibri" w:hAnsi="Calibri" w:cs="Calibri"/>
          <w:color w:val="000000" w:themeColor="text1"/>
        </w:rPr>
        <w:t xml:space="preserve"> or distribute in commerce chemical substances and mixtures to submit to EPA lists and copies of health and safety studies in their possession with respect to such chemical substances and mixtures. EPA regulations implementing the statute are codified at 40 CFR Part 716 (</w:t>
      </w:r>
      <w:r w:rsidRPr="5F135418" w:rsidR="00673F58">
        <w:rPr>
          <w:rFonts w:ascii="Calibri" w:hAnsi="Calibri" w:cs="Calibri"/>
          <w:color w:val="000000" w:themeColor="text1"/>
        </w:rPr>
        <w:t xml:space="preserve">Ref. </w:t>
      </w:r>
      <w:r w:rsidRPr="5F135418" w:rsidR="00F27253">
        <w:rPr>
          <w:rFonts w:ascii="Calibri" w:hAnsi="Calibri" w:cs="Calibri"/>
          <w:color w:val="000000" w:themeColor="text1"/>
        </w:rPr>
        <w:t>9</w:t>
      </w:r>
      <w:r w:rsidRPr="5F135418">
        <w:rPr>
          <w:rFonts w:ascii="Calibri" w:hAnsi="Calibri" w:cs="Calibri"/>
          <w:color w:val="000000" w:themeColor="text1"/>
        </w:rPr>
        <w:t xml:space="preserve">). </w:t>
      </w:r>
      <w:bookmarkEnd w:id="12"/>
      <w:r w:rsidRPr="5F135418">
        <w:rPr>
          <w:rFonts w:ascii="Calibri" w:hAnsi="Calibri" w:cs="Calibri"/>
          <w:color w:val="000000" w:themeColor="text1"/>
        </w:rPr>
        <w:t>TSCA as amended by the Lautenberg Chemical Safety for the 21</w:t>
      </w:r>
      <w:r w:rsidRPr="5F135418">
        <w:rPr>
          <w:rFonts w:ascii="Calibri" w:hAnsi="Calibri" w:cs="Calibri"/>
          <w:color w:val="000000" w:themeColor="text1"/>
          <w:vertAlign w:val="superscript"/>
        </w:rPr>
        <w:t>st</w:t>
      </w:r>
      <w:r w:rsidRPr="5F135418">
        <w:rPr>
          <w:rFonts w:ascii="Calibri" w:hAnsi="Calibri" w:cs="Calibri"/>
          <w:color w:val="000000" w:themeColor="text1"/>
        </w:rPr>
        <w:t xml:space="preserve"> Century Act requires EPA to develop a pipeline of chemicals for prioritization and risk evaluation. Information from</w:t>
      </w:r>
      <w:r w:rsidRPr="5F135418" w:rsidR="6A5A4C4A">
        <w:rPr>
          <w:rFonts w:ascii="Calibri" w:hAnsi="Calibri" w:cs="Calibri"/>
          <w:color w:val="000000" w:themeColor="text1"/>
        </w:rPr>
        <w:t xml:space="preserve"> TSCA</w:t>
      </w:r>
      <w:r w:rsidRPr="5F135418">
        <w:rPr>
          <w:rFonts w:ascii="Calibri" w:hAnsi="Calibri" w:cs="Calibri"/>
          <w:color w:val="000000" w:themeColor="text1"/>
        </w:rPr>
        <w:t xml:space="preserve"> section 8(d) health and safety studies could help to inform the Agency’s prioritization and risk evaluation work</w:t>
      </w:r>
      <w:r w:rsidRPr="5F135418" w:rsidR="03B0306F">
        <w:rPr>
          <w:rFonts w:ascii="Calibri" w:hAnsi="Calibri" w:cs="Calibri"/>
          <w:color w:val="000000" w:themeColor="text1"/>
        </w:rPr>
        <w:t xml:space="preserve">. This will also help </w:t>
      </w:r>
      <w:r w:rsidRPr="5F135418">
        <w:rPr>
          <w:rFonts w:ascii="Calibri" w:hAnsi="Calibri" w:cs="Calibri"/>
          <w:color w:val="000000" w:themeColor="text1"/>
        </w:rPr>
        <w:t>determine whether additional information on hazard, health or environmental effects, or exposure of the listed chemicals exist</w:t>
      </w:r>
      <w:r w:rsidRPr="5F135418" w:rsidR="00BE390D">
        <w:rPr>
          <w:rFonts w:ascii="Calibri" w:hAnsi="Calibri" w:cs="Calibri"/>
          <w:color w:val="000000" w:themeColor="text1"/>
        </w:rPr>
        <w:t xml:space="preserve">. </w:t>
      </w:r>
      <w:r w:rsidRPr="5F135418" w:rsidR="00224C30">
        <w:rPr>
          <w:rFonts w:ascii="Calibri" w:hAnsi="Calibri" w:cs="Calibri"/>
          <w:color w:val="000000" w:themeColor="text1"/>
        </w:rPr>
        <w:t>Such information, among other uses, helps EPA</w:t>
      </w:r>
      <w:r w:rsidRPr="5F135418" w:rsidR="00A226BD">
        <w:rPr>
          <w:rFonts w:ascii="Calibri" w:hAnsi="Calibri" w:cs="Calibri"/>
          <w:color w:val="000000" w:themeColor="text1"/>
        </w:rPr>
        <w:t xml:space="preserve">, as applicable, </w:t>
      </w:r>
      <w:r w:rsidRPr="5F135418">
        <w:rPr>
          <w:rFonts w:ascii="Calibri" w:hAnsi="Calibri" w:cs="Calibri"/>
          <w:color w:val="000000" w:themeColor="text1"/>
        </w:rPr>
        <w:t>assess risks</w:t>
      </w:r>
      <w:r w:rsidRPr="5F135418" w:rsidR="002F265A">
        <w:rPr>
          <w:rFonts w:ascii="Calibri" w:hAnsi="Calibri" w:cs="Calibri"/>
          <w:color w:val="000000" w:themeColor="text1"/>
        </w:rPr>
        <w:t xml:space="preserve"> and </w:t>
      </w:r>
      <w:r w:rsidRPr="5F135418" w:rsidR="00224C30">
        <w:rPr>
          <w:rFonts w:ascii="Calibri" w:hAnsi="Calibri" w:cs="Calibri"/>
          <w:color w:val="000000" w:themeColor="text1"/>
        </w:rPr>
        <w:t>consider appropriate control actions</w:t>
      </w:r>
      <w:r w:rsidRPr="5F135418">
        <w:rPr>
          <w:rFonts w:ascii="Calibri" w:hAnsi="Calibri" w:cs="Calibri"/>
          <w:color w:val="000000" w:themeColor="text1"/>
        </w:rPr>
        <w:t>. Collection of unpublished health and safety studies can reduce the need for testing. Additionally, other federal agencies use the studies when they are assessing a listed chemical substance for health or environmental effects.</w:t>
      </w:r>
      <w:r w:rsidRPr="5F135418" w:rsidR="00B64413">
        <w:rPr>
          <w:rFonts w:ascii="Calibri" w:hAnsi="Calibri" w:cs="Calibri"/>
          <w:color w:val="000000" w:themeColor="text1"/>
        </w:rPr>
        <w:t xml:space="preserve"> </w:t>
      </w:r>
      <w:r w:rsidRPr="5F135418" w:rsidR="00B40360">
        <w:rPr>
          <w:rFonts w:ascii="Calibri" w:hAnsi="Calibri" w:cs="Calibri"/>
          <w:color w:val="000000" w:themeColor="text1"/>
        </w:rPr>
        <w:t xml:space="preserve">Via specific 8(d) rules, </w:t>
      </w:r>
      <w:r w:rsidRPr="5F135418" w:rsidR="006E0892">
        <w:rPr>
          <w:rFonts w:ascii="Calibri" w:hAnsi="Calibri" w:cs="Calibri"/>
          <w:color w:val="000000" w:themeColor="text1"/>
        </w:rPr>
        <w:t xml:space="preserve">EPA may also </w:t>
      </w:r>
      <w:r w:rsidRPr="5F135418" w:rsidR="007C0AFC">
        <w:rPr>
          <w:rFonts w:ascii="Calibri" w:hAnsi="Calibri" w:cs="Calibri"/>
          <w:color w:val="000000" w:themeColor="text1"/>
        </w:rPr>
        <w:t xml:space="preserve">require </w:t>
      </w:r>
      <w:r w:rsidRPr="5F135418" w:rsidR="00714F2B">
        <w:rPr>
          <w:rFonts w:ascii="Calibri" w:hAnsi="Calibri" w:cs="Calibri"/>
          <w:color w:val="000000" w:themeColor="text1"/>
        </w:rPr>
        <w:t xml:space="preserve">for respondents to prepare and submit </w:t>
      </w:r>
      <w:r w:rsidRPr="5F135418" w:rsidR="00DB3E1D">
        <w:rPr>
          <w:rFonts w:ascii="Calibri" w:hAnsi="Calibri" w:cs="Calibri"/>
          <w:color w:val="000000" w:themeColor="text1"/>
        </w:rPr>
        <w:t xml:space="preserve">OECD Harmonized Templates (OHTs) </w:t>
      </w:r>
      <w:r w:rsidRPr="5F135418" w:rsidR="00661043">
        <w:rPr>
          <w:rFonts w:ascii="Calibri" w:hAnsi="Calibri" w:cs="Calibri"/>
          <w:color w:val="000000" w:themeColor="text1"/>
        </w:rPr>
        <w:t>for such studies</w:t>
      </w:r>
      <w:r w:rsidRPr="5F135418" w:rsidR="00D11AAE">
        <w:rPr>
          <w:rFonts w:ascii="Calibri" w:hAnsi="Calibri" w:cs="Calibri"/>
          <w:color w:val="000000" w:themeColor="text1"/>
        </w:rPr>
        <w:t xml:space="preserve"> </w:t>
      </w:r>
      <w:r w:rsidRPr="5F135418" w:rsidR="00412C9B">
        <w:rPr>
          <w:rFonts w:ascii="Calibri" w:hAnsi="Calibri" w:cs="Calibri"/>
          <w:color w:val="000000" w:themeColor="text1"/>
        </w:rPr>
        <w:t xml:space="preserve">to </w:t>
      </w:r>
      <w:r w:rsidRPr="5F135418" w:rsidR="00D108CB">
        <w:rPr>
          <w:rFonts w:ascii="Calibri" w:hAnsi="Calibri" w:cs="Calibri"/>
          <w:color w:val="000000" w:themeColor="text1"/>
        </w:rPr>
        <w:t xml:space="preserve">standardize </w:t>
      </w:r>
      <w:r w:rsidRPr="5F135418" w:rsidR="002F4351">
        <w:rPr>
          <w:rFonts w:ascii="Calibri" w:hAnsi="Calibri" w:cs="Calibri"/>
          <w:color w:val="000000" w:themeColor="text1"/>
        </w:rPr>
        <w:t xml:space="preserve">information formatting and improve </w:t>
      </w:r>
      <w:r w:rsidRPr="5F135418" w:rsidR="00A1471E">
        <w:rPr>
          <w:rFonts w:ascii="Calibri" w:hAnsi="Calibri" w:cs="Calibri"/>
          <w:color w:val="000000" w:themeColor="text1"/>
        </w:rPr>
        <w:t>efficiency</w:t>
      </w:r>
      <w:r w:rsidRPr="5F135418" w:rsidR="00086797">
        <w:rPr>
          <w:rFonts w:ascii="Calibri" w:hAnsi="Calibri" w:cs="Calibri"/>
          <w:color w:val="000000" w:themeColor="text1"/>
        </w:rPr>
        <w:t xml:space="preserve"> of </w:t>
      </w:r>
      <w:r w:rsidRPr="5F135418" w:rsidR="000250E8">
        <w:rPr>
          <w:rFonts w:ascii="Calibri" w:hAnsi="Calibri" w:cs="Calibri"/>
          <w:color w:val="000000" w:themeColor="text1"/>
        </w:rPr>
        <w:t xml:space="preserve">data </w:t>
      </w:r>
      <w:r w:rsidRPr="5F135418" w:rsidR="00086797">
        <w:rPr>
          <w:rFonts w:ascii="Calibri" w:hAnsi="Calibri" w:cs="Calibri"/>
          <w:color w:val="000000" w:themeColor="text1"/>
        </w:rPr>
        <w:t>review</w:t>
      </w:r>
      <w:r w:rsidRPr="5F135418" w:rsidR="00363F3C">
        <w:rPr>
          <w:rFonts w:ascii="Calibri" w:hAnsi="Calibri" w:cs="Calibri"/>
          <w:color w:val="000000" w:themeColor="text1"/>
        </w:rPr>
        <w:t>.</w:t>
      </w:r>
    </w:p>
    <w:p w:rsidR="0042683F" w:rsidRPr="00605B08" w:rsidP="00614CCD" w14:paraId="5395F53F" w14:textId="77777777">
      <w:pPr>
        <w:widowControl w:val="0"/>
        <w:spacing w:after="0"/>
        <w:rPr>
          <w:rFonts w:ascii="Calibri" w:hAnsi="Calibri" w:cs="Calibri"/>
          <w:color w:val="000000"/>
        </w:rPr>
      </w:pPr>
    </w:p>
    <w:p w:rsidR="00605B08" w:rsidP="00614CCD" w14:paraId="544109D6" w14:textId="5DC863E4">
      <w:pPr>
        <w:widowControl w:val="0"/>
        <w:spacing w:after="0"/>
        <w:rPr>
          <w:rFonts w:ascii="Calibri" w:hAnsi="Calibri" w:cs="Calibri"/>
        </w:rPr>
      </w:pPr>
      <w:r w:rsidRPr="00605B08">
        <w:rPr>
          <w:rFonts w:ascii="Calibri" w:hAnsi="Calibri" w:cs="Calibri"/>
        </w:rPr>
        <w:t xml:space="preserve">Responses to the collection of information are mandatory (see 40 CFR part 716). Respondents may claim all or part of a response confidential. EPA will disclose information that is covered by a claim of confidentiality to the extent permitted by, and in accordance with, the procedures in TSCA section 14 and 40 CFR part </w:t>
      </w:r>
      <w:r w:rsidR="003F5774">
        <w:rPr>
          <w:rFonts w:ascii="Calibri" w:hAnsi="Calibri" w:cs="Calibri"/>
        </w:rPr>
        <w:t>703</w:t>
      </w:r>
      <w:r w:rsidRPr="00605B08">
        <w:rPr>
          <w:rFonts w:ascii="Calibri" w:hAnsi="Calibri" w:cs="Calibri"/>
        </w:rPr>
        <w:t>.</w:t>
      </w:r>
    </w:p>
    <w:p w:rsidR="0042683F" w:rsidRPr="00605B08" w:rsidP="00614CCD" w14:paraId="659950AF" w14:textId="77777777">
      <w:pPr>
        <w:widowControl w:val="0"/>
        <w:spacing w:after="0"/>
        <w:rPr>
          <w:rFonts w:ascii="Calibri" w:hAnsi="Calibri" w:cs="Calibri"/>
          <w:color w:val="000000"/>
        </w:rPr>
      </w:pPr>
    </w:p>
    <w:p w:rsidR="00462956" w:rsidRPr="00605B08" w:rsidP="00614CCD" w14:paraId="4788D856" w14:textId="15E62BB0">
      <w:pPr>
        <w:spacing w:after="0"/>
        <w:rPr>
          <w:rFonts w:ascii="Calibri" w:hAnsi="Calibri" w:cs="Calibri"/>
          <w:color w:val="000000"/>
        </w:rPr>
      </w:pPr>
      <w:r w:rsidRPr="00605B08">
        <w:rPr>
          <w:rFonts w:ascii="Calibri" w:hAnsi="Calibri" w:cs="Calibri"/>
          <w:color w:val="000000"/>
        </w:rPr>
        <w:t>EPA also amends the list of subject chemicals in 40 CFR part 716 periodically to add chemical substances and mixtures. The listed chemical substances and mixtures include chemicals recommended for testing under TSCA section 4 by the Interagency Testing Committee (ITC) and other chemical substances that EPA (particularly the Office of Pollution Prevention and Toxics (OPPT)), or other federal agencies, choose to assess for health or environmental effects.</w:t>
      </w:r>
    </w:p>
    <w:p w:rsidR="00811251" w:rsidRPr="00F93A42" w:rsidP="00BF330E" w14:paraId="623C362E" w14:textId="0E89DA67">
      <w:pPr>
        <w:pStyle w:val="Heading2"/>
        <w:rPr>
          <w:rFonts w:ascii="Calibri" w:hAnsi="Calibri" w:cs="Calibri"/>
        </w:rPr>
      </w:pPr>
      <w:r w:rsidRPr="00F93A42">
        <w:rPr>
          <w:rFonts w:ascii="Calibri" w:hAnsi="Calibri" w:cs="Calibri"/>
        </w:rPr>
        <w:t xml:space="preserve">2. </w:t>
      </w:r>
      <w:r w:rsidRPr="00F93A4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107192" w:rsidP="0042683F" w14:paraId="5A9C2D92" w14:textId="77777777">
      <w:pPr>
        <w:spacing w:after="0"/>
        <w:rPr>
          <w:rFonts w:ascii="Calibri" w:hAnsi="Calibri" w:cs="Calibri"/>
          <w:b/>
          <w:bCs/>
        </w:rPr>
      </w:pPr>
      <w:bookmarkStart w:id="13" w:name="_Hlk85020889"/>
      <w:r w:rsidRPr="00107192">
        <w:rPr>
          <w:rFonts w:ascii="Calibri" w:hAnsi="Calibri" w:cs="Calibri"/>
          <w:b/>
          <w:bCs/>
        </w:rPr>
        <w:t>TSCA Section 8(a) Preliminary Assessment Information Rule (PAIR)</w:t>
      </w:r>
    </w:p>
    <w:p w:rsidR="0042683F" w:rsidRPr="00107192" w:rsidP="0042683F" w14:paraId="3C2698F4" w14:textId="77777777">
      <w:pPr>
        <w:spacing w:after="0"/>
        <w:rPr>
          <w:rFonts w:ascii="Calibri" w:hAnsi="Calibri" w:cs="Calibri"/>
          <w:b/>
          <w:bCs/>
        </w:rPr>
      </w:pPr>
    </w:p>
    <w:bookmarkEnd w:id="13"/>
    <w:p w:rsidR="00107192" w:rsidP="0042683F" w14:paraId="348D105C" w14:textId="37B670BA">
      <w:pPr>
        <w:spacing w:after="0"/>
        <w:rPr>
          <w:rFonts w:ascii="Calibri" w:hAnsi="Calibri" w:cs="Calibri"/>
        </w:rPr>
      </w:pPr>
      <w:r w:rsidRPr="00107192">
        <w:rPr>
          <w:rFonts w:ascii="Calibri" w:hAnsi="Calibri" w:cs="Calibri"/>
        </w:rPr>
        <w:t xml:space="preserve">EPA uses PAIR and subpart B of 40 CFR 766 data to (1) monitor domestic manufacture and/or importation of chemical substances, mixtures and categories, (2) identify possible routes of human or environmental exposure, (3) support regulations designed to prevent possible adverse health effects and (4) support EPA programs. The information provided by PAIR and subpart B of 40 CFR 766 is needed to complete assessments of chemicals of interest and to assist in the development of regulations to control hazardous chemicals. In particular, PAIR can be used to support activities under TSCA section 6 for risk-based prioritization and risk evaluation of TSCA chemicals. </w:t>
      </w:r>
    </w:p>
    <w:p w:rsidR="0042683F" w:rsidRPr="00107192" w:rsidP="0042683F" w14:paraId="09BBE409" w14:textId="77777777">
      <w:pPr>
        <w:spacing w:after="0"/>
        <w:rPr>
          <w:rFonts w:ascii="Calibri" w:hAnsi="Calibri" w:cs="Calibri"/>
        </w:rPr>
      </w:pPr>
    </w:p>
    <w:p w:rsidR="00107192" w:rsidP="0042683F" w14:paraId="22B9567E" w14:textId="72EA72E7">
      <w:pPr>
        <w:spacing w:after="0"/>
        <w:rPr>
          <w:rFonts w:ascii="Calibri" w:hAnsi="Calibri" w:cs="Calibri"/>
        </w:rPr>
      </w:pPr>
      <w:r w:rsidRPr="00107192">
        <w:rPr>
          <w:rFonts w:ascii="Calibri" w:hAnsi="Calibri" w:cs="Calibri"/>
        </w:rPr>
        <w:t xml:space="preserve">All EPA program offices are potential users of PAIR and subpart B of 40 CFR 766. The information helps EPA prioritize and evaluate the potential for adverse human health or environmental effects caused by the manufacture and importation of the identified chemical substance, mixture or category. </w:t>
      </w:r>
    </w:p>
    <w:p w:rsidR="0042683F" w:rsidRPr="00107192" w:rsidP="0042683F" w14:paraId="142D873F" w14:textId="77777777">
      <w:pPr>
        <w:spacing w:after="0"/>
        <w:rPr>
          <w:rFonts w:ascii="Calibri" w:hAnsi="Calibri" w:cs="Calibri"/>
        </w:rPr>
      </w:pPr>
    </w:p>
    <w:p w:rsidR="00107192" w:rsidP="0042683F" w14:paraId="3B37D4AC" w14:textId="70831593">
      <w:pPr>
        <w:spacing w:after="0"/>
        <w:rPr>
          <w:rFonts w:ascii="Calibri" w:hAnsi="Calibri" w:cs="Calibri"/>
        </w:rPr>
      </w:pPr>
      <w:r w:rsidRPr="00107192">
        <w:rPr>
          <w:rFonts w:ascii="Calibri" w:hAnsi="Calibri" w:cs="Calibri"/>
        </w:rPr>
        <w:t xml:space="preserve">Other federal agencies </w:t>
      </w:r>
      <w:r w:rsidR="00277175">
        <w:rPr>
          <w:rFonts w:ascii="Calibri" w:hAnsi="Calibri" w:cs="Calibri"/>
        </w:rPr>
        <w:t xml:space="preserve">that </w:t>
      </w:r>
      <w:r w:rsidRPr="00107192">
        <w:rPr>
          <w:rFonts w:ascii="Calibri" w:hAnsi="Calibri" w:cs="Calibri"/>
        </w:rPr>
        <w:t>require data on the human health and environmental effects of a chemical use PAIR information. States also have access to public portions of PAIR and subpart B of 40 CFR 766 information. Public interest groups use information reported under the public portions of PAIR and subpart B of 40 CFR 766.</w:t>
      </w:r>
    </w:p>
    <w:p w:rsidR="0042683F" w:rsidRPr="00107192" w:rsidP="0042683F" w14:paraId="168F5790" w14:textId="77777777">
      <w:pPr>
        <w:spacing w:after="0"/>
        <w:rPr>
          <w:rFonts w:ascii="Calibri" w:hAnsi="Calibri" w:cs="Calibri"/>
        </w:rPr>
      </w:pPr>
    </w:p>
    <w:p w:rsidR="00107192" w:rsidP="0042683F" w14:paraId="67E6AD76" w14:textId="77777777">
      <w:pPr>
        <w:spacing w:after="0"/>
        <w:rPr>
          <w:rFonts w:ascii="Calibri" w:hAnsi="Calibri" w:cs="Calibri"/>
          <w:b/>
          <w:szCs w:val="24"/>
        </w:rPr>
      </w:pPr>
      <w:r w:rsidRPr="00107192">
        <w:rPr>
          <w:rFonts w:ascii="Calibri" w:hAnsi="Calibri" w:cs="Calibri"/>
          <w:b/>
          <w:szCs w:val="24"/>
        </w:rPr>
        <w:t>Chemical-Specific Rules, TSCA Section 8(a)</w:t>
      </w:r>
    </w:p>
    <w:p w:rsidR="0042683F" w:rsidRPr="00107192" w:rsidP="0042683F" w14:paraId="72CBEC1A" w14:textId="77777777">
      <w:pPr>
        <w:spacing w:after="0"/>
        <w:rPr>
          <w:rFonts w:ascii="Calibri" w:hAnsi="Calibri" w:cs="Calibri"/>
          <w:b/>
          <w:szCs w:val="24"/>
        </w:rPr>
      </w:pPr>
    </w:p>
    <w:p w:rsidR="000C318E" w:rsidP="0042683F" w14:paraId="12A3A455" w14:textId="3BD3D5C4">
      <w:pPr>
        <w:autoSpaceDE w:val="0"/>
        <w:autoSpaceDN w:val="0"/>
        <w:adjustRightInd w:val="0"/>
        <w:spacing w:after="0"/>
        <w:rPr>
          <w:rFonts w:ascii="Calibri" w:hAnsi="Calibri" w:cs="Calibri"/>
        </w:rPr>
      </w:pPr>
      <w:r w:rsidRPr="00107192">
        <w:rPr>
          <w:rFonts w:ascii="Calibri" w:hAnsi="Calibri" w:cs="Calibri"/>
        </w:rPr>
        <w:t xml:space="preserve">EPA will also use the information obtained through the TSCA section 8(a) reporting rules to satisfy chemical-specific data needs. The information collected will be relevant to prioritization, all stages of risk evaluation, and/or risk management. Receipt of TSCA section 8(a) information may also give the Agency an opportunity to work with the respondent, if necessary, to minimize exposure risks associated with specific uses. </w:t>
      </w:r>
    </w:p>
    <w:p w:rsidR="0042683F" w:rsidP="0042683F" w14:paraId="349F5AA3" w14:textId="77777777">
      <w:pPr>
        <w:autoSpaceDE w:val="0"/>
        <w:autoSpaceDN w:val="0"/>
        <w:adjustRightInd w:val="0"/>
        <w:spacing w:after="0"/>
        <w:rPr>
          <w:rFonts w:ascii="Calibri" w:hAnsi="Calibri" w:cs="Calibri"/>
        </w:rPr>
      </w:pPr>
    </w:p>
    <w:p w:rsidR="00F27253" w:rsidP="00421C6D" w14:paraId="68866356" w14:textId="150D28E8">
      <w:pPr>
        <w:autoSpaceDE w:val="0"/>
        <w:autoSpaceDN w:val="0"/>
        <w:adjustRightInd w:val="0"/>
        <w:spacing w:after="0"/>
        <w:rPr>
          <w:rFonts w:ascii="Calibri" w:hAnsi="Calibri" w:cs="Calibri"/>
        </w:rPr>
      </w:pPr>
      <w:r>
        <w:rPr>
          <w:rFonts w:ascii="Calibri" w:hAnsi="Calibri" w:cs="Calibri"/>
        </w:rPr>
        <w:t>Regarding</w:t>
      </w:r>
      <w:r w:rsidR="00BD1A1A">
        <w:rPr>
          <w:rFonts w:ascii="Calibri" w:hAnsi="Calibri" w:cs="Calibri"/>
        </w:rPr>
        <w:t xml:space="preserve"> the nanoscale materials reporting rule, the</w:t>
      </w:r>
      <w:r w:rsidRPr="00107192" w:rsidR="00BD1A1A">
        <w:rPr>
          <w:rFonts w:ascii="Calibri" w:hAnsi="Calibri" w:cs="Calibri"/>
        </w:rPr>
        <w:t xml:space="preserve"> information collected will provide important baseline information on health and environmental effects, exposures, risks, management practices, and data needs that will assist EPA and others in properly assessing and managing risks related to nanoscale materials.</w:t>
      </w:r>
      <w:r w:rsidR="00421C6D">
        <w:rPr>
          <w:rFonts w:ascii="Calibri" w:hAnsi="Calibri" w:cs="Calibri"/>
        </w:rPr>
        <w:t xml:space="preserve"> </w:t>
      </w:r>
      <w:r w:rsidRPr="00107192" w:rsidR="001823A8">
        <w:rPr>
          <w:rFonts w:ascii="Calibri" w:hAnsi="Calibri" w:cs="Calibri"/>
        </w:rPr>
        <w:t>The information may also be used by other Federal agencies</w:t>
      </w:r>
      <w:r w:rsidRPr="00107192" w:rsidR="00107192">
        <w:rPr>
          <w:rFonts w:ascii="Calibri" w:hAnsi="Calibri" w:cs="Calibri"/>
        </w:rPr>
        <w:t xml:space="preserve">, such as </w:t>
      </w:r>
      <w:r w:rsidR="007A70B8">
        <w:rPr>
          <w:rFonts w:ascii="Calibri" w:hAnsi="Calibri" w:cs="Calibri"/>
        </w:rPr>
        <w:t xml:space="preserve">the </w:t>
      </w:r>
      <w:r w:rsidRPr="00107192" w:rsidR="00107192">
        <w:rPr>
          <w:rFonts w:ascii="Calibri" w:hAnsi="Calibri" w:cs="Calibri"/>
        </w:rPr>
        <w:t xml:space="preserve">Occupational Safety and Health Administration (OSHA) </w:t>
      </w:r>
      <w:r w:rsidR="0033694A">
        <w:rPr>
          <w:rFonts w:ascii="Calibri" w:hAnsi="Calibri" w:cs="Calibri"/>
        </w:rPr>
        <w:t xml:space="preserve">and </w:t>
      </w:r>
      <w:r w:rsidRPr="00107192" w:rsidR="00107192">
        <w:rPr>
          <w:rFonts w:ascii="Calibri" w:hAnsi="Calibri" w:cs="Calibri"/>
        </w:rPr>
        <w:t>the Food and Drug Administration (FDA), and other members of the ITC may also present a need for and subsequently use TSCA section 8(a) data to, for example, assess worker or consumer exposures.</w:t>
      </w:r>
      <w:r w:rsidRPr="001823A8" w:rsidR="001823A8">
        <w:rPr>
          <w:rFonts w:ascii="Calibri" w:hAnsi="Calibri" w:cs="Calibri"/>
        </w:rPr>
        <w:t xml:space="preserve"> </w:t>
      </w:r>
      <w:r w:rsidRPr="00107192" w:rsidR="001823A8">
        <w:rPr>
          <w:rFonts w:ascii="Calibri" w:hAnsi="Calibri" w:cs="Calibri"/>
        </w:rPr>
        <w:t>Non-confidential portions of this information may be used by the public, academics, states, local and tribal government, as well as foreign governments and international organizations</w:t>
      </w:r>
      <w:r w:rsidR="001823A8">
        <w:rPr>
          <w:rFonts w:ascii="Calibri" w:hAnsi="Calibri" w:cs="Calibri"/>
        </w:rPr>
        <w:t>.</w:t>
      </w:r>
    </w:p>
    <w:p w:rsidR="0042683F" w:rsidP="0042683F" w14:paraId="74D8EFBF" w14:textId="77777777">
      <w:pPr>
        <w:spacing w:after="0"/>
        <w:rPr>
          <w:rFonts w:ascii="Calibri" w:hAnsi="Calibri" w:cs="Calibri"/>
        </w:rPr>
      </w:pPr>
    </w:p>
    <w:p w:rsidR="00107192" w:rsidP="0042683F" w14:paraId="1799860D" w14:textId="5E95E76E">
      <w:pPr>
        <w:spacing w:after="0"/>
        <w:rPr>
          <w:rFonts w:ascii="Calibri" w:hAnsi="Calibri" w:cs="Calibri"/>
        </w:rPr>
      </w:pPr>
      <w:r w:rsidRPr="00107192">
        <w:rPr>
          <w:rFonts w:ascii="Calibri" w:hAnsi="Calibri" w:cs="Calibri"/>
        </w:rPr>
        <w:t xml:space="preserve">Information collected through this rule will be used by EPA scientists to assist in determining how and whether certain nanoscale materials may present risks to human health and the environment. If the hazard, exposure, and risk information submitted by participants indicate that potential unreasonable risks may exist, the data will be used by EPA and the manufacturer to determine the appropriate action necessary to avoid or mitigate the risks. Furthermore, such information could be used for risk management, hazard communication and right-to-know purposes, and product labels. EPA may also use the information to identify nanoscale materials that may not warrant future concerns or actions or should otherwise be treated as a lower priority for further consideration. </w:t>
      </w:r>
    </w:p>
    <w:p w:rsidR="0042683F" w:rsidRPr="00107192" w:rsidP="0042683F" w14:paraId="5D470C53" w14:textId="77777777">
      <w:pPr>
        <w:spacing w:after="0"/>
        <w:rPr>
          <w:rFonts w:ascii="Calibri" w:hAnsi="Calibri" w:cs="Calibri"/>
        </w:rPr>
      </w:pPr>
    </w:p>
    <w:p w:rsidR="00107192" w:rsidP="0042683F" w14:paraId="77B84FB3" w14:textId="77777777">
      <w:pPr>
        <w:spacing w:after="0"/>
        <w:rPr>
          <w:rFonts w:ascii="Calibri" w:hAnsi="Calibri" w:cs="Calibri"/>
          <w:b/>
          <w:szCs w:val="24"/>
        </w:rPr>
      </w:pPr>
      <w:r w:rsidRPr="00107192">
        <w:rPr>
          <w:rFonts w:ascii="Calibri" w:hAnsi="Calibri" w:cs="Calibri"/>
          <w:b/>
          <w:szCs w:val="24"/>
        </w:rPr>
        <w:t>Recordkeeping and Reporting Requirements for Allegations of Significant Adverse Reactions to Human Health or the Environment</w:t>
      </w:r>
    </w:p>
    <w:p w:rsidR="0042683F" w:rsidRPr="00107192" w:rsidP="0042683F" w14:paraId="5ADF5BCB" w14:textId="77777777">
      <w:pPr>
        <w:spacing w:after="0"/>
        <w:rPr>
          <w:rFonts w:ascii="Calibri" w:hAnsi="Calibri" w:cs="Calibri"/>
          <w:b/>
          <w:szCs w:val="24"/>
        </w:rPr>
      </w:pPr>
    </w:p>
    <w:p w:rsidR="00107192" w:rsidP="0042683F" w14:paraId="74D681F5" w14:textId="7902FD47">
      <w:pPr>
        <w:spacing w:after="0"/>
        <w:rPr>
          <w:rFonts w:ascii="Calibri" w:hAnsi="Calibri" w:cs="Calibri"/>
        </w:rPr>
      </w:pPr>
      <w:r w:rsidRPr="00107192">
        <w:rPr>
          <w:rFonts w:ascii="Calibri" w:hAnsi="Calibri" w:cs="Calibri"/>
        </w:rPr>
        <w:t>By using the TSCA section 8(c) reporting authority, EPA can examine such records whenever a chemical is discovered to present possible risks to human health or the environment. Information contained in the TSCA section 8(c) allegation records will have several uses. The information collected will be used on a case-specific basis to evaluate suspected adverse health or environmental effects of a chemical substance or mixture already under assessment by EPA's OPPT. Most of these substances will be “existing” chemicals, e.g., chemicals for test rule consideration, substances that are the subjects of TSCA section 8(e) notices of substantial risk, or substances or mixtures brought to the attention of OPPT by other EPA programs, other government agencies, industry, or the public. TSCA section 8(c) reports also may be required on “new” chemicals as one means of monitoring for any suspected or potential hazards identified during the premanufacture notification (PMN) review period.</w:t>
      </w:r>
      <w:r w:rsidR="002D29A1">
        <w:rPr>
          <w:rFonts w:ascii="Calibri" w:hAnsi="Calibri" w:cs="Calibri"/>
        </w:rPr>
        <w:t xml:space="preserve"> In addition to </w:t>
      </w:r>
      <w:r w:rsidR="00895363">
        <w:rPr>
          <w:rFonts w:ascii="Calibri" w:hAnsi="Calibri" w:cs="Calibri"/>
        </w:rPr>
        <w:t>broader data call-ins of 8(c) records for specific chemicals or mixtures, EPA also makes use of the authority during site inspections</w:t>
      </w:r>
      <w:r w:rsidR="00072DCE">
        <w:rPr>
          <w:rFonts w:ascii="Calibri" w:hAnsi="Calibri" w:cs="Calibri"/>
        </w:rPr>
        <w:t xml:space="preserve"> or audits</w:t>
      </w:r>
      <w:r w:rsidR="0047390E">
        <w:rPr>
          <w:rFonts w:ascii="Calibri" w:hAnsi="Calibri" w:cs="Calibri"/>
        </w:rPr>
        <w:t xml:space="preserve">, particularly for records related to </w:t>
      </w:r>
      <w:r w:rsidR="006705DF">
        <w:rPr>
          <w:rFonts w:ascii="Calibri" w:hAnsi="Calibri" w:cs="Calibri"/>
        </w:rPr>
        <w:t>incidents at sites</w:t>
      </w:r>
      <w:r w:rsidR="006D1DB8">
        <w:rPr>
          <w:rFonts w:ascii="Calibri" w:hAnsi="Calibri" w:cs="Calibri"/>
        </w:rPr>
        <w:t xml:space="preserve"> (e.g., with workers)</w:t>
      </w:r>
      <w:r w:rsidR="006705DF">
        <w:rPr>
          <w:rFonts w:ascii="Calibri" w:hAnsi="Calibri" w:cs="Calibri"/>
        </w:rPr>
        <w:t>.</w:t>
      </w:r>
    </w:p>
    <w:p w:rsidR="0042683F" w:rsidRPr="00107192" w:rsidP="0042683F" w14:paraId="0F04FDDC" w14:textId="77777777">
      <w:pPr>
        <w:spacing w:after="0"/>
        <w:rPr>
          <w:rFonts w:ascii="Calibri" w:hAnsi="Calibri" w:cs="Calibri"/>
        </w:rPr>
      </w:pPr>
    </w:p>
    <w:p w:rsidR="00107192" w:rsidP="0042683F" w14:paraId="64447EA0" w14:textId="2311017F">
      <w:pPr>
        <w:spacing w:after="0"/>
        <w:rPr>
          <w:rFonts w:ascii="Calibri" w:hAnsi="Calibri" w:cs="Calibri"/>
        </w:rPr>
      </w:pPr>
      <w:r w:rsidRPr="00107192">
        <w:rPr>
          <w:rFonts w:ascii="Calibri" w:hAnsi="Calibri" w:cs="Calibri"/>
        </w:rPr>
        <w:t xml:space="preserve">On a case-specific basis, requiring reporting of TSCA section 8(c) records will also serve as a discovery function. It will help identify trends of adverse effects across the industry that may </w:t>
      </w:r>
      <w:r w:rsidRPr="00107192">
        <w:rPr>
          <w:rFonts w:ascii="Calibri" w:hAnsi="Calibri" w:cs="Calibri"/>
        </w:rPr>
        <w:t xml:space="preserve">not be apparent to any one company. It will also serve as a long-term trend identification function because of the </w:t>
      </w:r>
      <w:r w:rsidR="00AE74ED">
        <w:rPr>
          <w:rFonts w:ascii="Calibri" w:hAnsi="Calibri" w:cs="Calibri"/>
        </w:rPr>
        <w:t>five</w:t>
      </w:r>
      <w:r w:rsidRPr="00107192">
        <w:rPr>
          <w:rFonts w:ascii="Calibri" w:hAnsi="Calibri" w:cs="Calibri"/>
        </w:rPr>
        <w:t>-year and 30-year recordkeeping feature of the statute.</w:t>
      </w:r>
    </w:p>
    <w:p w:rsidR="0042683F" w:rsidRPr="00107192" w:rsidP="0042683F" w14:paraId="7FF0F167" w14:textId="0D082ACD">
      <w:pPr>
        <w:spacing w:after="0"/>
        <w:rPr>
          <w:rFonts w:ascii="Calibri" w:hAnsi="Calibri" w:cs="Calibri"/>
        </w:rPr>
      </w:pPr>
    </w:p>
    <w:p w:rsidR="00107192" w:rsidRPr="00107192" w:rsidP="0042683F" w14:paraId="32BAAC3F" w14:textId="77777777">
      <w:pPr>
        <w:spacing w:after="0"/>
        <w:rPr>
          <w:rFonts w:ascii="Calibri" w:hAnsi="Calibri" w:cs="Calibri"/>
          <w:b/>
        </w:rPr>
      </w:pPr>
      <w:r w:rsidRPr="00107192">
        <w:rPr>
          <w:rFonts w:ascii="Calibri" w:hAnsi="Calibri" w:cs="Calibri"/>
          <w:b/>
          <w:szCs w:val="24"/>
        </w:rPr>
        <w:t>Health and Safety Data Reporting, Submission of Lists and Copies of Health and Safety Studies</w:t>
      </w:r>
    </w:p>
    <w:p w:rsidR="0042683F" w:rsidRPr="00107192" w:rsidP="0042683F" w14:paraId="057D66DB" w14:textId="77777777">
      <w:pPr>
        <w:spacing w:after="0"/>
        <w:rPr>
          <w:rFonts w:ascii="Calibri" w:hAnsi="Calibri" w:cs="Calibri"/>
          <w:b/>
        </w:rPr>
      </w:pPr>
    </w:p>
    <w:p w:rsidR="00107192" w:rsidP="0042683F" w14:paraId="3E6ECAD9" w14:textId="2FEF034F">
      <w:pPr>
        <w:spacing w:after="0"/>
        <w:rPr>
          <w:rFonts w:ascii="Calibri" w:hAnsi="Calibri" w:cs="Calibri"/>
        </w:rPr>
      </w:pPr>
      <w:r w:rsidRPr="00107192">
        <w:rPr>
          <w:rFonts w:ascii="Calibri" w:hAnsi="Calibri" w:cs="Calibri"/>
        </w:rPr>
        <w:t>Studies submitted pursuant to TSCA section 8(d) rules will be evaluated in conjunction with other available data as EPA assesses</w:t>
      </w:r>
      <w:r w:rsidR="00F475DC">
        <w:rPr>
          <w:rFonts w:ascii="Calibri" w:hAnsi="Calibri" w:cs="Calibri"/>
        </w:rPr>
        <w:t xml:space="preserve"> potential</w:t>
      </w:r>
      <w:r w:rsidRPr="00107192">
        <w:rPr>
          <w:rFonts w:ascii="Calibri" w:hAnsi="Calibri" w:cs="Calibri"/>
        </w:rPr>
        <w:t xml:space="preserve"> risks of existing chemicals. EPA and other federal agencies use the data to construct a complete picture of the known effects of the chemical substance. From this picture, OPPT will be able to determine what kinds of information gaps, if any, exist and whether testing may be needed. The TSCA section 8(d) studies ensure that OPPT bases its testing decisions on the most complete information available and does not require unnecessary or duplicative testing, which is consistent with the requirements of TSCA section 4(h).</w:t>
      </w:r>
    </w:p>
    <w:p w:rsidR="0042683F" w:rsidRPr="00107192" w:rsidP="0042683F" w14:paraId="3BB39F73" w14:textId="77777777">
      <w:pPr>
        <w:spacing w:after="0"/>
        <w:rPr>
          <w:rFonts w:ascii="Calibri" w:hAnsi="Calibri" w:cs="Calibri"/>
        </w:rPr>
      </w:pPr>
    </w:p>
    <w:p w:rsidR="00107192" w:rsidP="0042683F" w14:paraId="3B68B821" w14:textId="10FB7D03">
      <w:pPr>
        <w:spacing w:after="0"/>
        <w:rPr>
          <w:rFonts w:ascii="Calibri" w:hAnsi="Calibri" w:cs="Calibri"/>
        </w:rPr>
      </w:pPr>
      <w:r w:rsidRPr="5F135418">
        <w:rPr>
          <w:rFonts w:ascii="Calibri" w:hAnsi="Calibri" w:cs="Calibri"/>
        </w:rPr>
        <w:t xml:space="preserve">In addition, EPA may require that copies of unpublished health and safety studies be submitted on chemicals that are being considered for prioritization under </w:t>
      </w:r>
      <w:r w:rsidRPr="5F135418" w:rsidR="177B3DE6">
        <w:rPr>
          <w:rFonts w:ascii="Calibri" w:hAnsi="Calibri" w:cs="Calibri"/>
        </w:rPr>
        <w:t xml:space="preserve">TSCA </w:t>
      </w:r>
      <w:r w:rsidRPr="5F135418">
        <w:rPr>
          <w:rFonts w:ascii="Calibri" w:hAnsi="Calibri" w:cs="Calibri"/>
        </w:rPr>
        <w:t xml:space="preserve">section 6 or in the early stages of risk </w:t>
      </w:r>
      <w:r w:rsidRPr="5F135418" w:rsidR="00DD0B63">
        <w:rPr>
          <w:rFonts w:ascii="Calibri" w:hAnsi="Calibri" w:cs="Calibri"/>
        </w:rPr>
        <w:t xml:space="preserve">evaluation </w:t>
      </w:r>
      <w:r w:rsidRPr="5F135418">
        <w:rPr>
          <w:rFonts w:ascii="Calibri" w:hAnsi="Calibri" w:cs="Calibri"/>
        </w:rPr>
        <w:t xml:space="preserve">or when action to control exposure is being considered by EPA or another federal agency. These chemicals may be ones for which persons have submitted a substantial risk notification under TSCA section 8(e), or other chemicals for which data are needed to support a control measure under </w:t>
      </w:r>
      <w:r w:rsidRPr="5F135418" w:rsidR="0F43C3D6">
        <w:rPr>
          <w:rFonts w:ascii="Calibri" w:hAnsi="Calibri" w:cs="Calibri"/>
        </w:rPr>
        <w:t xml:space="preserve">TSCA </w:t>
      </w:r>
      <w:r w:rsidRPr="5F135418">
        <w:rPr>
          <w:rFonts w:ascii="Calibri" w:hAnsi="Calibri" w:cs="Calibri"/>
        </w:rPr>
        <w:t xml:space="preserve">sections 5 and 6 or under other EPA-administered statutes. If this information collection did not exist, EPA would be </w:t>
      </w:r>
      <w:r w:rsidRPr="5F135418" w:rsidR="004044D7">
        <w:rPr>
          <w:rFonts w:ascii="Calibri" w:hAnsi="Calibri" w:cs="Calibri"/>
        </w:rPr>
        <w:t>un</w:t>
      </w:r>
      <w:r w:rsidRPr="5F135418">
        <w:rPr>
          <w:rFonts w:ascii="Calibri" w:hAnsi="Calibri" w:cs="Calibri"/>
        </w:rPr>
        <w:t xml:space="preserve">able to obtain the available information on a chemical and evaluate the need for testing or data development under </w:t>
      </w:r>
      <w:r w:rsidRPr="5F135418" w:rsidR="7BB57F04">
        <w:rPr>
          <w:rFonts w:ascii="Calibri" w:hAnsi="Calibri" w:cs="Calibri"/>
        </w:rPr>
        <w:t xml:space="preserve">TSCA </w:t>
      </w:r>
      <w:r w:rsidRPr="5F135418">
        <w:rPr>
          <w:rFonts w:ascii="Calibri" w:hAnsi="Calibri" w:cs="Calibri"/>
        </w:rPr>
        <w:t>section 4 or controlling chemical substances under TSCA sections 5 and 6.</w:t>
      </w:r>
    </w:p>
    <w:p w:rsidR="0042683F" w:rsidRPr="00107192" w:rsidP="0042683F" w14:paraId="0775EFC6" w14:textId="77777777">
      <w:pPr>
        <w:spacing w:after="0"/>
        <w:rPr>
          <w:rFonts w:ascii="Calibri" w:hAnsi="Calibri" w:cs="Calibri"/>
        </w:rPr>
      </w:pPr>
    </w:p>
    <w:p w:rsidR="00022BA3" w:rsidP="0042683F" w14:paraId="295985E4" w14:textId="3BC19320">
      <w:pPr>
        <w:spacing w:after="0"/>
        <w:rPr>
          <w:rFonts w:ascii="Calibri" w:hAnsi="Calibri" w:cs="Calibri"/>
        </w:rPr>
      </w:pPr>
      <w:r w:rsidRPr="00107192">
        <w:rPr>
          <w:rFonts w:ascii="Calibri" w:hAnsi="Calibri" w:cs="Calibri"/>
        </w:rPr>
        <w:t>In the past, EPA’s Office of Air and Radiation (OAR) has used the submitted studies for developing Tier II analyses</w:t>
      </w:r>
      <w:r w:rsidR="009969E7">
        <w:rPr>
          <w:rFonts w:ascii="Calibri" w:hAnsi="Calibri" w:cs="Calibri"/>
        </w:rPr>
        <w:t>,</w:t>
      </w:r>
      <w:r w:rsidRPr="00107192">
        <w:rPr>
          <w:rFonts w:ascii="Calibri" w:hAnsi="Calibri" w:cs="Calibri"/>
        </w:rPr>
        <w:t xml:space="preserve"> and EPA’s Office of Research and Development (ORD) has used the information for developing extended risk assessments. In addition, other organizations have utilized the submitted studies: the Consumer Product Safety Commission (CPSC) for assessing the hazards of known consumer exposure; the American Council for Government Industrial Hygienists (ACGIH); and the National Institute for Occupational Safety and Health (NIOSH) for developing recommended occupational exposure levels.</w:t>
      </w:r>
    </w:p>
    <w:p w:rsidR="00BD4F97" w:rsidP="0042683F" w14:paraId="149A688F" w14:textId="77777777">
      <w:pPr>
        <w:spacing w:after="0"/>
        <w:rPr>
          <w:rFonts w:ascii="Calibri" w:hAnsi="Calibri" w:cs="Calibri"/>
        </w:rPr>
      </w:pPr>
    </w:p>
    <w:p w:rsidR="00B41A83" w:rsidP="0042683F" w14:paraId="4830546E" w14:textId="4A46F04A">
      <w:pPr>
        <w:pStyle w:val="Heading2"/>
        <w:spacing w:before="0" w:after="0"/>
        <w:rPr>
          <w:rFonts w:ascii="Calibri" w:hAnsi="Calibri" w:cs="Calibri"/>
        </w:rPr>
      </w:pPr>
      <w:r w:rsidRPr="00F93A42">
        <w:rPr>
          <w:rFonts w:ascii="Calibri" w:hAnsi="Calibri" w:cs="Calibri"/>
        </w:rPr>
        <w:t xml:space="preserve">3. </w:t>
      </w:r>
      <w:r w:rsidRPr="00F93A4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F93A42" w:rsidR="009D2A59">
        <w:rPr>
          <w:rFonts w:ascii="Calibri" w:hAnsi="Calibri" w:cs="Calibri"/>
        </w:rPr>
        <w:t>, and the basis for the decision for adopting this means of collection. Also describe any consideration of using information technology to reduce burden.</w:t>
      </w:r>
    </w:p>
    <w:p w:rsidR="0042683F" w:rsidRPr="0042683F" w:rsidP="0042683F" w14:paraId="0A19CCF0" w14:textId="77777777">
      <w:pPr>
        <w:spacing w:after="0"/>
      </w:pPr>
    </w:p>
    <w:p w:rsidR="007E2E3C" w:rsidP="0042683F" w14:paraId="61D67829" w14:textId="0747F005">
      <w:pPr>
        <w:spacing w:after="0"/>
        <w:rPr>
          <w:rFonts w:ascii="Calibri" w:hAnsi="Calibri" w:cs="Calibri"/>
        </w:rPr>
      </w:pPr>
      <w:r w:rsidRPr="007E2E3C">
        <w:rPr>
          <w:rFonts w:ascii="Calibri" w:hAnsi="Calibri" w:cs="Calibri"/>
        </w:rPr>
        <w:t xml:space="preserve">TSCA section 8 collections </w:t>
      </w:r>
      <w:r w:rsidR="00457546">
        <w:rPr>
          <w:rFonts w:ascii="Calibri" w:hAnsi="Calibri" w:cs="Calibri"/>
        </w:rPr>
        <w:t>must</w:t>
      </w:r>
      <w:r w:rsidRPr="007E2E3C" w:rsidR="00457546">
        <w:rPr>
          <w:rFonts w:ascii="Calibri" w:hAnsi="Calibri" w:cs="Calibri"/>
        </w:rPr>
        <w:t xml:space="preserve"> </w:t>
      </w:r>
      <w:r w:rsidRPr="007E2E3C">
        <w:rPr>
          <w:rFonts w:ascii="Calibri" w:hAnsi="Calibri" w:cs="Calibri"/>
        </w:rPr>
        <w:t xml:space="preserve">be submitted electronically via the Agency’s Central Data Exchange (CDX). </w:t>
      </w:r>
      <w:r w:rsidR="00621E5C">
        <w:rPr>
          <w:rFonts w:ascii="Calibri" w:hAnsi="Calibri" w:cs="Calibri"/>
        </w:rPr>
        <w:t xml:space="preserve">Most TSCA section 8 </w:t>
      </w:r>
      <w:r w:rsidR="00A12BCC">
        <w:rPr>
          <w:rFonts w:ascii="Calibri" w:hAnsi="Calibri" w:cs="Calibri"/>
        </w:rPr>
        <w:t xml:space="preserve">reporting </w:t>
      </w:r>
      <w:r w:rsidR="0071415E">
        <w:rPr>
          <w:rFonts w:ascii="Calibri" w:hAnsi="Calibri" w:cs="Calibri"/>
        </w:rPr>
        <w:t>rules have rule-specific applications within CDX</w:t>
      </w:r>
      <w:r w:rsidR="003A03D2">
        <w:rPr>
          <w:rFonts w:ascii="Calibri" w:hAnsi="Calibri" w:cs="Calibri"/>
        </w:rPr>
        <w:t xml:space="preserve"> </w:t>
      </w:r>
      <w:r w:rsidR="003A03D2">
        <w:rPr>
          <w:rFonts w:ascii="Calibri" w:hAnsi="Calibri" w:cs="Calibri"/>
        </w:rPr>
        <w:t xml:space="preserve">for entities to submit their information to EPA. </w:t>
      </w:r>
      <w:r w:rsidRPr="007E2E3C">
        <w:rPr>
          <w:rFonts w:ascii="Calibri" w:hAnsi="Calibri" w:cs="Calibri"/>
        </w:rPr>
        <w:t>All information sent by the submitter via CDX is transmitted securely to protect CBI. Furthermore, if anything in the submission is claimed as CBI, a non-CBI copy of the submission must be provided by the submitter. CDX User Guides instruct users on how to submit and substantiate CBI information using the Chemical Information Submission System (CIS)</w:t>
      </w:r>
      <w:r w:rsidR="00FE30EB">
        <w:rPr>
          <w:rFonts w:ascii="Calibri" w:hAnsi="Calibri" w:cs="Calibri"/>
        </w:rPr>
        <w:t xml:space="preserve"> </w:t>
      </w:r>
      <w:r w:rsidR="006943E8">
        <w:rPr>
          <w:rFonts w:ascii="Calibri" w:hAnsi="Calibri" w:cs="Calibri"/>
        </w:rPr>
        <w:t>(</w:t>
      </w:r>
      <w:r w:rsidR="00FE30EB">
        <w:rPr>
          <w:rFonts w:ascii="Calibri" w:hAnsi="Calibri" w:cs="Calibri"/>
        </w:rPr>
        <w:t xml:space="preserve">see </w:t>
      </w:r>
      <w:r w:rsidR="00883A7F">
        <w:rPr>
          <w:rFonts w:ascii="Calibri" w:hAnsi="Calibri" w:cs="Calibri"/>
        </w:rPr>
        <w:t xml:space="preserve">the TSCA section 8(d) user guide here: </w:t>
      </w:r>
      <w:r w:rsidRPr="00883A7F" w:rsidR="00883A7F">
        <w:rPr>
          <w:rFonts w:ascii="Calibri" w:hAnsi="Calibri" w:cs="Calibri"/>
        </w:rPr>
        <w:t>https://www.epa.gov/assessing-and-managing-chemicals-under-tsca/section-8d-health-safety-data-reporting-user-guide-0</w:t>
      </w:r>
      <w:r w:rsidR="006943E8">
        <w:rPr>
          <w:rFonts w:ascii="Calibri" w:hAnsi="Calibri" w:cs="Calibri"/>
        </w:rPr>
        <w:t>)</w:t>
      </w:r>
    </w:p>
    <w:p w:rsidR="0042683F" w:rsidRPr="007E2E3C" w:rsidP="0042683F" w14:paraId="71832149" w14:textId="77777777">
      <w:pPr>
        <w:spacing w:after="0"/>
        <w:rPr>
          <w:rFonts w:ascii="Calibri" w:hAnsi="Calibri" w:cs="Calibri"/>
        </w:rPr>
      </w:pPr>
    </w:p>
    <w:p w:rsidR="007E2E3C" w:rsidP="0042683F" w14:paraId="7BCCB227" w14:textId="56473A5B">
      <w:pPr>
        <w:spacing w:after="0"/>
        <w:rPr>
          <w:rFonts w:ascii="Calibri" w:hAnsi="Calibri" w:cs="Calibri"/>
        </w:rPr>
      </w:pPr>
      <w:r w:rsidRPr="007E2E3C">
        <w:rPr>
          <w:rFonts w:ascii="Calibri" w:hAnsi="Calibri" w:cs="Calibri"/>
        </w:rPr>
        <w:t xml:space="preserve">EPA developed the CDX </w:t>
      </w:r>
      <w:r w:rsidR="00D401C9">
        <w:rPr>
          <w:rFonts w:ascii="Calibri" w:hAnsi="Calibri" w:cs="Calibri"/>
        </w:rPr>
        <w:t>platform</w:t>
      </w:r>
      <w:r w:rsidRPr="007E2E3C">
        <w:rPr>
          <w:rFonts w:ascii="Calibri" w:hAnsi="Calibri" w:cs="Calibri"/>
        </w:rPr>
        <w:t xml:space="preserve"> for use in submitting data electronically to the Agency. </w:t>
      </w:r>
      <w:r w:rsidR="0090232A">
        <w:rPr>
          <w:rFonts w:ascii="Calibri" w:hAnsi="Calibri" w:cs="Calibri"/>
        </w:rPr>
        <w:t xml:space="preserve">This platform </w:t>
      </w:r>
      <w:r w:rsidRPr="007E2E3C">
        <w:rPr>
          <w:rFonts w:ascii="Calibri" w:hAnsi="Calibri" w:cs="Calibri"/>
        </w:rPr>
        <w:t xml:space="preserve">is available for use with </w:t>
      </w:r>
      <w:r w:rsidR="0090232A">
        <w:rPr>
          <w:rFonts w:ascii="Calibri" w:hAnsi="Calibri" w:cs="Calibri"/>
        </w:rPr>
        <w:t xml:space="preserve">most </w:t>
      </w:r>
      <w:r w:rsidRPr="007E2E3C">
        <w:rPr>
          <w:rFonts w:ascii="Calibri" w:hAnsi="Calibri" w:cs="Calibri"/>
        </w:rPr>
        <w:t>computers, using “Extensible Markup Language” (XML) specifications for efficient data transmission across the Internet. The CIS is a tool that provides user-friendly navigation, works with CDX to secure online communication, creates a completed Portable Document Format (PDF) for review prior to submission, and enables data, reports, and other information to be submitted easily as PDF attachments.</w:t>
      </w:r>
    </w:p>
    <w:p w:rsidR="0042683F" w:rsidRPr="007E2E3C" w:rsidP="0042683F" w14:paraId="0BCD266A" w14:textId="77777777">
      <w:pPr>
        <w:spacing w:after="0"/>
        <w:rPr>
          <w:rFonts w:ascii="Calibri" w:hAnsi="Calibri" w:cs="Calibri"/>
        </w:rPr>
      </w:pPr>
    </w:p>
    <w:p w:rsidR="007E2E3C" w:rsidP="0042683F" w14:paraId="76DB8CA2" w14:textId="0365636B">
      <w:pPr>
        <w:spacing w:after="0"/>
        <w:rPr>
          <w:rFonts w:ascii="Calibri" w:hAnsi="Calibri" w:cs="Calibri"/>
        </w:rPr>
      </w:pPr>
      <w:r w:rsidRPr="007E2E3C">
        <w:rPr>
          <w:rFonts w:ascii="Calibri" w:hAnsi="Calibri" w:cs="Calibri"/>
        </w:rPr>
        <w:t xml:space="preserve">The Agency ensures secure transmission of the data, reports, and other documents sent from the user's desktop through the Internet via the Transport Layer Security (TLS) protocol. TLS </w:t>
      </w:r>
      <w:r w:rsidR="00224C30">
        <w:rPr>
          <w:rFonts w:ascii="Calibri" w:hAnsi="Calibri" w:cs="Calibri"/>
        </w:rPr>
        <w:t xml:space="preserve">is a </w:t>
      </w:r>
      <w:r w:rsidRPr="007E2E3C">
        <w:rPr>
          <w:rFonts w:ascii="Calibri" w:hAnsi="Calibri" w:cs="Calibri"/>
        </w:rPr>
        <w:t>widely used approach</w:t>
      </w:r>
      <w:r w:rsidR="00224C30">
        <w:rPr>
          <w:rFonts w:ascii="Calibri" w:hAnsi="Calibri" w:cs="Calibri"/>
        </w:rPr>
        <w:t xml:space="preserve"> </w:t>
      </w:r>
      <w:r w:rsidRPr="007E2E3C">
        <w:rPr>
          <w:rFonts w:ascii="Calibri" w:hAnsi="Calibri" w:cs="Calibri"/>
        </w:rPr>
        <w:t>for securing Internet transactions by the National Institute of Standards and Technology (NIST) as a means for protecting data sent over the Internet.</w:t>
      </w:r>
    </w:p>
    <w:p w:rsidR="0042683F" w:rsidRPr="007E2E3C" w:rsidP="0042683F" w14:paraId="43EDC213" w14:textId="77777777">
      <w:pPr>
        <w:spacing w:after="0"/>
        <w:rPr>
          <w:rFonts w:ascii="Calibri" w:hAnsi="Calibri" w:cs="Calibri"/>
          <w:i/>
        </w:rPr>
      </w:pPr>
    </w:p>
    <w:p w:rsidR="00F22113" w:rsidP="0042683F" w14:paraId="427B9DB6" w14:textId="1046291E">
      <w:pPr>
        <w:spacing w:after="0"/>
        <w:rPr>
          <w:rFonts w:ascii="Calibri" w:hAnsi="Calibri" w:cs="Calibri"/>
        </w:rPr>
      </w:pPr>
      <w:r w:rsidRPr="007E2E3C">
        <w:rPr>
          <w:rFonts w:ascii="Calibri" w:hAnsi="Calibri" w:cs="Calibri"/>
        </w:rPr>
        <w:t>In addition, CDX enables the submitter to electronically sign, encrypt, and transmit submissions, which EPA subsequently provides back to the submitter as an unaltered copy of record. This assures the submitter that the Agency has received exactly what the submitter sent to EPA. The CDX reporting tool encrypts using a module based on the 256-bit Advanced Encryption Standard (AES)</w:t>
      </w:r>
      <w:r w:rsidRPr="007E2E3C">
        <w:rPr>
          <w:rFonts w:ascii="Calibri" w:hAnsi="Calibri" w:cs="Calibri"/>
          <w:color w:val="FF0000"/>
        </w:rPr>
        <w:t xml:space="preserve"> </w:t>
      </w:r>
      <w:r w:rsidRPr="007E2E3C">
        <w:rPr>
          <w:rFonts w:ascii="Calibri" w:hAnsi="Calibri" w:cs="Calibri"/>
        </w:rPr>
        <w:t xml:space="preserve">adopted by NIST. Details about AES can be found in FIPS 197 pdf on the NIST website at </w:t>
      </w:r>
      <w:hyperlink r:id="rId11" w:history="1">
        <w:r w:rsidRPr="007E2E3C">
          <w:rPr>
            <w:rStyle w:val="Hyperlink"/>
            <w:rFonts w:ascii="Calibri" w:hAnsi="Calibri" w:cs="Calibri"/>
          </w:rPr>
          <w:t>http://csrc.nist.gov/publications/PubsFIPS.html</w:t>
        </w:r>
      </w:hyperlink>
      <w:r w:rsidR="006658A6">
        <w:rPr>
          <w:rStyle w:val="Hyperlink"/>
          <w:rFonts w:ascii="Calibri" w:hAnsi="Calibri" w:cs="Calibri"/>
        </w:rPr>
        <w:t>,</w:t>
      </w:r>
      <w:r w:rsidRPr="0083067A">
        <w:rPr>
          <w:rFonts w:ascii="Calibri" w:hAnsi="Calibri" w:cs="Calibri"/>
        </w:rPr>
        <w:t xml:space="preserve"> </w:t>
      </w:r>
      <w:r w:rsidRPr="007E2E3C">
        <w:rPr>
          <w:rFonts w:ascii="Calibri" w:hAnsi="Calibri" w:cs="Calibri"/>
        </w:rPr>
        <w:t>and EPA may incorporate other encryption modules into future versions of the tool. Information submitted via CDX is processed within EPA by secure systems certified for compliance with Federal Information Processing Standards.</w:t>
      </w:r>
    </w:p>
    <w:p w:rsidR="0042683F" w:rsidP="0042683F" w14:paraId="61021D41" w14:textId="77777777">
      <w:pPr>
        <w:spacing w:after="0"/>
        <w:rPr>
          <w:rFonts w:ascii="Calibri" w:hAnsi="Calibri" w:cs="Calibri"/>
        </w:rPr>
      </w:pPr>
    </w:p>
    <w:p w:rsidR="00FA1245" w:rsidP="0042683F" w14:paraId="60ABF42B" w14:textId="7468688B">
      <w:pPr>
        <w:spacing w:after="0"/>
        <w:rPr>
          <w:rFonts w:ascii="Calibri" w:hAnsi="Calibri" w:cs="Calibri"/>
          <w:b/>
          <w:bCs/>
          <w:color w:val="000000"/>
          <w:szCs w:val="24"/>
          <w:lang w:val="en"/>
        </w:rPr>
      </w:pPr>
      <w:r w:rsidRPr="00FA1245">
        <w:rPr>
          <w:rFonts w:ascii="Calibri" w:hAnsi="Calibri" w:cs="Calibri"/>
          <w:szCs w:val="24"/>
        </w:rPr>
        <w:t xml:space="preserve">Manufactures and processors of nano materials must submit information to the Agency electronically. </w:t>
      </w:r>
      <w:r w:rsidRPr="00FA1245">
        <w:rPr>
          <w:rFonts w:ascii="Calibri" w:hAnsi="Calibri" w:cs="Calibri"/>
          <w:color w:val="000000"/>
          <w:szCs w:val="24"/>
          <w:lang w:val="en"/>
        </w:rPr>
        <w:t>To file electronically, submitters must use the EPA provided application. To access the application, users must also be registered with CDX. When registering, a user will need to ensure they are registering for the Chemical Safety and Pesticide Programs (CSPP) data flow</w:t>
      </w:r>
      <w:r w:rsidR="00444EED">
        <w:rPr>
          <w:rFonts w:ascii="Calibri" w:hAnsi="Calibri" w:cs="Calibri"/>
          <w:color w:val="000000"/>
          <w:szCs w:val="24"/>
          <w:lang w:val="en"/>
        </w:rPr>
        <w:t>,</w:t>
      </w:r>
      <w:r w:rsidRPr="00FA1245">
        <w:rPr>
          <w:rFonts w:ascii="Calibri" w:hAnsi="Calibri" w:cs="Calibri"/>
          <w:color w:val="000000"/>
          <w:szCs w:val="24"/>
          <w:lang w:val="en"/>
        </w:rPr>
        <w:t xml:space="preserve"> which will provide them access to the Chemical Information Submission System (CISS) where the submission can be accessed. (Note: Users who have previously registered with CDX are able to add "Submission for Chemical Safety and Pesticide Program (CSPP)" to their current registration.) This reporting tool is compatible with </w:t>
      </w:r>
      <w:r w:rsidR="00F54C94">
        <w:rPr>
          <w:rFonts w:ascii="Calibri" w:hAnsi="Calibri" w:cs="Calibri"/>
          <w:color w:val="000000"/>
          <w:szCs w:val="24"/>
          <w:lang w:val="en"/>
        </w:rPr>
        <w:t xml:space="preserve">most </w:t>
      </w:r>
      <w:r w:rsidRPr="00FA1245">
        <w:rPr>
          <w:rFonts w:ascii="Calibri" w:hAnsi="Calibri" w:cs="Calibri"/>
          <w:color w:val="000000"/>
          <w:szCs w:val="24"/>
          <w:lang w:val="en"/>
        </w:rPr>
        <w:t>computers and uses "Extensible Markup Language" (XML) specifications for efficient data transmission across the Internet</w:t>
      </w:r>
      <w:r w:rsidRPr="00FA1245">
        <w:rPr>
          <w:rFonts w:ascii="Calibri" w:hAnsi="Calibri" w:cs="Calibri"/>
          <w:b/>
          <w:bCs/>
          <w:color w:val="000000"/>
          <w:szCs w:val="24"/>
          <w:lang w:val="en"/>
        </w:rPr>
        <w:t>.</w:t>
      </w:r>
    </w:p>
    <w:p w:rsidR="0042683F" w:rsidRPr="00FA1245" w:rsidP="0042683F" w14:paraId="4D41B1C0" w14:textId="77777777">
      <w:pPr>
        <w:spacing w:after="0"/>
        <w:rPr>
          <w:rFonts w:ascii="Calibri" w:hAnsi="Calibri" w:cs="Calibri"/>
        </w:rPr>
      </w:pPr>
    </w:p>
    <w:p w:rsidR="00B41A83" w:rsidP="0042683F" w14:paraId="54F4BB56" w14:textId="577EF1DC">
      <w:pPr>
        <w:pStyle w:val="Heading2"/>
        <w:spacing w:before="0" w:after="0"/>
        <w:rPr>
          <w:rFonts w:ascii="Calibri" w:hAnsi="Calibri" w:cs="Calibri"/>
        </w:rPr>
      </w:pPr>
      <w:r w:rsidRPr="007E2E3C">
        <w:rPr>
          <w:rFonts w:ascii="Calibri" w:hAnsi="Calibri" w:cs="Calibri"/>
        </w:rPr>
        <w:t xml:space="preserve">4. </w:t>
      </w:r>
      <w:r w:rsidRPr="007E2E3C" w:rsidR="00EC4305">
        <w:rPr>
          <w:rFonts w:ascii="Calibri" w:hAnsi="Calibri" w:cs="Calibri"/>
        </w:rPr>
        <w:t>Describe efforts to identify duplication</w:t>
      </w:r>
      <w:r w:rsidRPr="007E2E3C" w:rsidR="009D2A59">
        <w:rPr>
          <w:rFonts w:ascii="Calibri" w:hAnsi="Calibri" w:cs="Calibri"/>
        </w:rPr>
        <w:t>.</w:t>
      </w:r>
      <w:r w:rsidRPr="007E2E3C">
        <w:rPr>
          <w:rFonts w:ascii="Calibri" w:hAnsi="Calibri" w:cs="Calibri"/>
        </w:rPr>
        <w:t xml:space="preserve"> </w:t>
      </w:r>
      <w:r w:rsidRPr="007E2E3C" w:rsidR="009D2A59">
        <w:rPr>
          <w:rFonts w:ascii="Calibri" w:hAnsi="Calibri" w:cs="Calibri"/>
        </w:rPr>
        <w:t>Show specifically why any similar information already available cannot be used or modified for use for the purposes described in Item 2 above.</w:t>
      </w:r>
    </w:p>
    <w:p w:rsidR="0042683F" w:rsidRPr="0042683F" w:rsidP="0042683F" w14:paraId="60959213" w14:textId="77777777">
      <w:pPr>
        <w:spacing w:after="0"/>
      </w:pPr>
    </w:p>
    <w:p w:rsidR="004D63B9" w:rsidP="0042683F" w14:paraId="23BB7658" w14:textId="3602CA69">
      <w:pPr>
        <w:spacing w:after="0"/>
        <w:rPr>
          <w:rFonts w:ascii="Calibri" w:hAnsi="Calibri" w:cs="Calibri"/>
        </w:rPr>
      </w:pPr>
      <w:r w:rsidRPr="5F135418">
        <w:rPr>
          <w:rFonts w:ascii="Calibri" w:hAnsi="Calibri" w:cs="Calibri"/>
        </w:rPr>
        <w:t>TSCA s</w:t>
      </w:r>
      <w:r w:rsidRPr="5F135418" w:rsidR="007E2E3C">
        <w:rPr>
          <w:rFonts w:ascii="Calibri" w:hAnsi="Calibri" w:cs="Calibri"/>
        </w:rPr>
        <w:t xml:space="preserve">ection 8(a)(5) states, </w:t>
      </w:r>
      <w:r w:rsidRPr="5F135418" w:rsidR="002A1D65">
        <w:rPr>
          <w:rFonts w:ascii="Calibri" w:hAnsi="Calibri" w:cs="Calibri"/>
        </w:rPr>
        <w:t xml:space="preserve">with respect to </w:t>
      </w:r>
      <w:r w:rsidRPr="5F135418" w:rsidR="08F5A7FC">
        <w:rPr>
          <w:rFonts w:ascii="Calibri" w:hAnsi="Calibri" w:cs="Calibri"/>
        </w:rPr>
        <w:t xml:space="preserve">TSCA </w:t>
      </w:r>
      <w:r w:rsidRPr="5F135418" w:rsidR="002A1D65">
        <w:rPr>
          <w:rFonts w:ascii="Calibri" w:hAnsi="Calibri" w:cs="Calibri"/>
        </w:rPr>
        <w:t>section 8 actions</w:t>
      </w:r>
      <w:r w:rsidRPr="5F135418" w:rsidR="00DA3A99">
        <w:rPr>
          <w:rFonts w:ascii="Calibri" w:hAnsi="Calibri" w:cs="Calibri"/>
        </w:rPr>
        <w:t>,</w:t>
      </w:r>
      <w:r w:rsidRPr="5F135418" w:rsidR="007E2E3C">
        <w:rPr>
          <w:rFonts w:ascii="Calibri" w:hAnsi="Calibri" w:cs="Calibri"/>
        </w:rPr>
        <w:t xml:space="preserve"> “the Administrator shall, to the extent feasible… not require reporting which is unnecessary or duplicative.” The reporting requirements of TSCA section 8(a) rules only require information </w:t>
      </w:r>
      <w:r w:rsidRPr="5F135418" w:rsidR="00AD4B1C">
        <w:rPr>
          <w:rFonts w:ascii="Calibri" w:hAnsi="Calibri" w:cs="Calibri"/>
        </w:rPr>
        <w:t xml:space="preserve">“known to or reasonably ascertainable” by that person, and </w:t>
      </w:r>
      <w:r w:rsidRPr="5F135418" w:rsidR="007E2E3C">
        <w:rPr>
          <w:rFonts w:ascii="Calibri" w:hAnsi="Calibri" w:cs="Calibri"/>
        </w:rPr>
        <w:t>that EPA believes will assist in a reasoned evaluation of the human health and environmental effects of chemical substances and mixtures. This information is unlikely to be duplicative since</w:t>
      </w:r>
      <w:r w:rsidRPr="5F135418" w:rsidR="00C204EC">
        <w:rPr>
          <w:rFonts w:ascii="Calibri" w:hAnsi="Calibri" w:cs="Calibri"/>
        </w:rPr>
        <w:t>:</w:t>
      </w:r>
      <w:r w:rsidRPr="5F135418" w:rsidR="007E2E3C">
        <w:rPr>
          <w:rFonts w:ascii="Calibri" w:hAnsi="Calibri" w:cs="Calibri"/>
        </w:rPr>
        <w:t xml:space="preserve"> (1) EPA estimates that each chemical-specific rule will </w:t>
      </w:r>
      <w:r w:rsidRPr="5F135418" w:rsidR="000E006F">
        <w:rPr>
          <w:rFonts w:ascii="Calibri" w:hAnsi="Calibri" w:cs="Calibri"/>
        </w:rPr>
        <w:t xml:space="preserve">generally </w:t>
      </w:r>
      <w:r w:rsidRPr="5F135418" w:rsidR="007E2E3C">
        <w:rPr>
          <w:rFonts w:ascii="Calibri" w:hAnsi="Calibri" w:cs="Calibri"/>
        </w:rPr>
        <w:t xml:space="preserve">generate only a few submissions, (2) the information required by the TSCA section 8(a) rule is unique to the manufacturer or processor (e.g., the proposed date of production or importation, the amount produced or imported, the </w:t>
      </w:r>
      <w:r w:rsidRPr="5F135418" w:rsidR="00CA1FAA">
        <w:rPr>
          <w:rFonts w:ascii="Calibri" w:hAnsi="Calibri" w:cs="Calibri"/>
        </w:rPr>
        <w:t xml:space="preserve">number of workers exposed and that duration, </w:t>
      </w:r>
      <w:r w:rsidRPr="5F135418" w:rsidR="007E2E3C">
        <w:rPr>
          <w:rFonts w:ascii="Calibri" w:hAnsi="Calibri" w:cs="Calibri"/>
        </w:rPr>
        <w:t xml:space="preserve">the chemical composition, and uses of the chemical substance or mixture), (3) the information on employee health effects required by the TSCA section 8(c) rule will be unique for the various affected employees of manufacturers and processors, (4) the studies required by the TSCA section 8(d) rule that are unpublished and in the possession of a company are most likely proprietary and unique for each manufacturer/processor, (5) </w:t>
      </w:r>
      <w:r w:rsidRPr="5F135418" w:rsidR="004E3049">
        <w:rPr>
          <w:rFonts w:ascii="Calibri" w:hAnsi="Calibri" w:cs="Calibri"/>
        </w:rPr>
        <w:t xml:space="preserve">the study submission requirement under the TSCA section 8(d) rule may be satisfied by trade groups on behalf of </w:t>
      </w:r>
      <w:r w:rsidRPr="5F135418" w:rsidR="004250BE">
        <w:rPr>
          <w:rFonts w:ascii="Calibri" w:hAnsi="Calibri" w:cs="Calibri"/>
        </w:rPr>
        <w:t>their</w:t>
      </w:r>
      <w:r w:rsidRPr="5F135418" w:rsidR="004E3049">
        <w:rPr>
          <w:rFonts w:ascii="Calibri" w:hAnsi="Calibri" w:cs="Calibri"/>
        </w:rPr>
        <w:t xml:space="preserve"> members, and (6) </w:t>
      </w:r>
      <w:r w:rsidRPr="5F135418" w:rsidR="007E2E3C">
        <w:rPr>
          <w:rFonts w:ascii="Calibri" w:hAnsi="Calibri" w:cs="Calibri"/>
        </w:rPr>
        <w:t>EPA thoroughly checks other public and unpublished sources to see if the required data may already be available prior to issuing such rules. If EPA were to become aware of a source of substantially similar information, for example via comments on a proposed rule, EPA would not continue with the information collection</w:t>
      </w:r>
      <w:r w:rsidRPr="5F135418" w:rsidR="00454B8A">
        <w:rPr>
          <w:rFonts w:ascii="Calibri" w:hAnsi="Calibri" w:cs="Calibri"/>
        </w:rPr>
        <w:t xml:space="preserve"> or </w:t>
      </w:r>
      <w:r w:rsidRPr="5F135418" w:rsidR="006F67E2">
        <w:rPr>
          <w:rFonts w:ascii="Calibri" w:hAnsi="Calibri" w:cs="Calibri"/>
        </w:rPr>
        <w:t xml:space="preserve">would </w:t>
      </w:r>
      <w:r w:rsidRPr="5F135418" w:rsidR="00454B8A">
        <w:rPr>
          <w:rFonts w:ascii="Calibri" w:hAnsi="Calibri" w:cs="Calibri"/>
        </w:rPr>
        <w:t>provide exemptions from reporting where the information may be duplicative</w:t>
      </w:r>
      <w:r w:rsidRPr="5F135418" w:rsidR="007E2E3C">
        <w:rPr>
          <w:rFonts w:ascii="Calibri" w:hAnsi="Calibri" w:cs="Calibri"/>
        </w:rPr>
        <w:t>.</w:t>
      </w:r>
    </w:p>
    <w:p w:rsidR="0042683F" w:rsidP="0042683F" w14:paraId="4C8F4B40" w14:textId="77777777">
      <w:pPr>
        <w:spacing w:after="0"/>
        <w:rPr>
          <w:rFonts w:ascii="Calibri" w:hAnsi="Calibri" w:cs="Calibri"/>
        </w:rPr>
      </w:pPr>
    </w:p>
    <w:p w:rsidR="007E2E3C" w:rsidP="0042683F" w14:paraId="06ACC412" w14:textId="54B94C73">
      <w:pPr>
        <w:spacing w:after="0"/>
        <w:rPr>
          <w:rFonts w:ascii="Calibri" w:hAnsi="Calibri" w:cs="Calibri"/>
        </w:rPr>
      </w:pPr>
      <w:r>
        <w:rPr>
          <w:rFonts w:ascii="Calibri" w:hAnsi="Calibri" w:cs="Calibri"/>
        </w:rPr>
        <w:t>Specifically</w:t>
      </w:r>
      <w:r w:rsidR="00FA1245">
        <w:rPr>
          <w:rFonts w:ascii="Calibri" w:hAnsi="Calibri" w:cs="Calibri"/>
        </w:rPr>
        <w:t>,</w:t>
      </w:r>
      <w:r>
        <w:rPr>
          <w:rFonts w:ascii="Calibri" w:hAnsi="Calibri" w:cs="Calibri"/>
        </w:rPr>
        <w:t xml:space="preserve"> t</w:t>
      </w:r>
      <w:r w:rsidRPr="007E2E3C">
        <w:rPr>
          <w:rFonts w:ascii="Calibri" w:hAnsi="Calibri" w:cs="Calibri"/>
        </w:rPr>
        <w:t>he implementing regulations</w:t>
      </w:r>
      <w:r>
        <w:rPr>
          <w:rFonts w:ascii="Calibri" w:hAnsi="Calibri" w:cs="Calibri"/>
        </w:rPr>
        <w:t xml:space="preserve"> for nanoscale reporting</w:t>
      </w:r>
      <w:r w:rsidRPr="007E2E3C">
        <w:rPr>
          <w:rFonts w:ascii="Calibri" w:hAnsi="Calibri" w:cs="Calibri"/>
        </w:rPr>
        <w:t xml:space="preserve"> indicate that any person who submitted a TSCA new chemical notice on or after January 1, 2005, under 40 CFR part 720 or 723 for a nanoscale material that would be subject to the regulations does not need to submit a report for the nanoscale material information previously submitted.</w:t>
      </w:r>
    </w:p>
    <w:p w:rsidR="0042683F" w:rsidRPr="007E2E3C" w:rsidP="0042683F" w14:paraId="22C17553" w14:textId="77777777">
      <w:pPr>
        <w:spacing w:after="0"/>
        <w:rPr>
          <w:rFonts w:ascii="Calibri" w:hAnsi="Calibri" w:cs="Calibri"/>
        </w:rPr>
      </w:pPr>
    </w:p>
    <w:p w:rsidR="00EC4305" w:rsidP="003B3CDB" w14:paraId="6C50278E" w14:textId="7DF56A05">
      <w:pPr>
        <w:pStyle w:val="Heading2"/>
        <w:spacing w:before="0" w:after="0"/>
        <w:rPr>
          <w:rFonts w:ascii="Calibri" w:hAnsi="Calibri" w:cs="Calibri"/>
        </w:rPr>
      </w:pPr>
      <w:r w:rsidRPr="00F93A42">
        <w:rPr>
          <w:rFonts w:ascii="Calibri" w:hAnsi="Calibri" w:cs="Calibri"/>
        </w:rPr>
        <w:t xml:space="preserve">5. </w:t>
      </w:r>
      <w:r w:rsidRPr="00F93A42">
        <w:rPr>
          <w:rFonts w:ascii="Calibri" w:hAnsi="Calibri" w:cs="Calibri"/>
        </w:rPr>
        <w:t>If the collection of information impacts small businesses or other small entities, describe the methods used to minimize burden.</w:t>
      </w:r>
    </w:p>
    <w:p w:rsidR="003B3CDB" w:rsidRPr="003B3CDB" w:rsidP="003B3CDB" w14:paraId="297DABEF" w14:textId="77777777"/>
    <w:p w:rsidR="007E2E3C" w:rsidP="003B3CDB" w14:paraId="1795A7F3" w14:textId="77777777">
      <w:pPr>
        <w:spacing w:after="0"/>
        <w:rPr>
          <w:rFonts w:ascii="Calibri" w:hAnsi="Calibri" w:cs="Calibri"/>
          <w:b/>
          <w:bCs/>
        </w:rPr>
      </w:pPr>
      <w:r w:rsidRPr="007E2E3C">
        <w:rPr>
          <w:rFonts w:ascii="Calibri" w:hAnsi="Calibri" w:cs="Calibri"/>
          <w:b/>
          <w:bCs/>
        </w:rPr>
        <w:t>TSCA Section 8(a) Preliminary Assessment Information Rule (PAIR)</w:t>
      </w:r>
    </w:p>
    <w:p w:rsidR="003B3CDB" w:rsidRPr="007E2E3C" w:rsidP="003B3CDB" w14:paraId="235C630E" w14:textId="77777777">
      <w:pPr>
        <w:spacing w:after="0"/>
        <w:rPr>
          <w:rFonts w:ascii="Calibri" w:hAnsi="Calibri" w:cs="Calibri"/>
          <w:b/>
          <w:bCs/>
        </w:rPr>
      </w:pPr>
    </w:p>
    <w:p w:rsidR="007E2E3C" w:rsidP="003B3CDB" w14:paraId="6358D7BD" w14:textId="6C1C383E">
      <w:pPr>
        <w:spacing w:after="0"/>
        <w:rPr>
          <w:rFonts w:ascii="Calibri" w:hAnsi="Calibri" w:cs="Calibri"/>
        </w:rPr>
      </w:pPr>
      <w:r w:rsidRPr="007E2E3C">
        <w:rPr>
          <w:rFonts w:ascii="Calibri" w:hAnsi="Calibri" w:cs="Calibri"/>
        </w:rPr>
        <w:t xml:space="preserve">In accordance with TSCA section 8(a)(1)(B), PAIR contains a small business exemption. A manufacturer or importer is considered a small business if (1) the firm’s total annual sales when combined with those of its parent company (if any) are less than $30 million for the reporting period and (2) its total production and/or importation of the chemical substances, mixture or category, for the reporting period, does not exceed 100,000 pounds (45,400 kilograms) at an </w:t>
      </w:r>
      <w:r w:rsidRPr="007E2E3C">
        <w:rPr>
          <w:rFonts w:ascii="Calibri" w:hAnsi="Calibri" w:cs="Calibri"/>
        </w:rPr>
        <w:t>individual site owned and controlled by the firm. In accordance with TSCA</w:t>
      </w:r>
      <w:r w:rsidR="00364A82">
        <w:rPr>
          <w:rFonts w:ascii="Calibri" w:hAnsi="Calibri" w:cs="Calibri"/>
        </w:rPr>
        <w:t>,</w:t>
      </w:r>
      <w:r w:rsidRPr="007E2E3C">
        <w:rPr>
          <w:rFonts w:ascii="Calibri" w:hAnsi="Calibri" w:cs="Calibri"/>
        </w:rPr>
        <w:t xml:space="preserve"> EPA consulted with the Administrator of the Small Business Administration to review the adequacy of the standards for determining which entities are considered small for the purposes of TSCA section 8(a)</w:t>
      </w:r>
      <w:r w:rsidR="00660293">
        <w:rPr>
          <w:rFonts w:ascii="Calibri" w:hAnsi="Calibri" w:cs="Calibri"/>
        </w:rPr>
        <w:t>(1</w:t>
      </w:r>
      <w:r w:rsidRPr="007E2E3C">
        <w:rPr>
          <w:rFonts w:ascii="Calibri" w:hAnsi="Calibri" w:cs="Calibri"/>
        </w:rPr>
        <w:t xml:space="preserve">). The agency determined that a revision of the standard </w:t>
      </w:r>
      <w:r w:rsidR="00660293">
        <w:rPr>
          <w:rFonts w:ascii="Calibri" w:hAnsi="Calibri" w:cs="Calibri"/>
        </w:rPr>
        <w:t>was</w:t>
      </w:r>
      <w:r w:rsidRPr="007E2E3C">
        <w:rPr>
          <w:rFonts w:ascii="Calibri" w:hAnsi="Calibri" w:cs="Calibri"/>
        </w:rPr>
        <w:t xml:space="preserve"> warranted and </w:t>
      </w:r>
      <w:r w:rsidR="00660293">
        <w:rPr>
          <w:rFonts w:ascii="Calibri" w:hAnsi="Calibri" w:cs="Calibri"/>
        </w:rPr>
        <w:t>promulgated a</w:t>
      </w:r>
      <w:r w:rsidRPr="007E2E3C" w:rsidR="00660293">
        <w:rPr>
          <w:rFonts w:ascii="Calibri" w:hAnsi="Calibri" w:cs="Calibri"/>
        </w:rPr>
        <w:t xml:space="preserve"> </w:t>
      </w:r>
      <w:r w:rsidRPr="007E2E3C">
        <w:rPr>
          <w:rFonts w:ascii="Calibri" w:hAnsi="Calibri" w:cs="Calibri"/>
        </w:rPr>
        <w:t xml:space="preserve">rulemaking </w:t>
      </w:r>
      <w:r w:rsidR="00660293">
        <w:rPr>
          <w:rFonts w:ascii="Calibri" w:hAnsi="Calibri" w:cs="Calibri"/>
        </w:rPr>
        <w:t>in 2020</w:t>
      </w:r>
      <w:r w:rsidRPr="007E2E3C">
        <w:rPr>
          <w:rFonts w:ascii="Calibri" w:hAnsi="Calibri" w:cs="Calibri"/>
        </w:rPr>
        <w:t xml:space="preserve"> to update the standard</w:t>
      </w:r>
      <w:r w:rsidR="00660293">
        <w:rPr>
          <w:rFonts w:ascii="Calibri" w:hAnsi="Calibri" w:cs="Calibri"/>
        </w:rPr>
        <w:t xml:space="preserve"> (</w:t>
      </w:r>
      <w:r w:rsidR="00344FB0">
        <w:rPr>
          <w:rFonts w:ascii="Calibri" w:hAnsi="Calibri" w:cs="Calibri"/>
        </w:rPr>
        <w:t>85 FR 31986; May 28, 2020)</w:t>
      </w:r>
      <w:r w:rsidRPr="007E2E3C">
        <w:rPr>
          <w:rFonts w:ascii="Calibri" w:hAnsi="Calibri" w:cs="Calibri"/>
        </w:rPr>
        <w:t>.</w:t>
      </w:r>
      <w:r w:rsidR="00344FB0">
        <w:rPr>
          <w:rFonts w:ascii="Calibri" w:hAnsi="Calibri" w:cs="Calibri"/>
        </w:rPr>
        <w:t xml:space="preserve"> </w:t>
      </w:r>
      <w:r w:rsidR="007E2B58">
        <w:rPr>
          <w:rFonts w:ascii="Calibri" w:hAnsi="Calibri" w:cs="Calibri"/>
        </w:rPr>
        <w:t>Under this updated definition,</w:t>
      </w:r>
      <w:r w:rsidR="00285DEA">
        <w:rPr>
          <w:rFonts w:ascii="Calibri" w:hAnsi="Calibri" w:cs="Calibri"/>
        </w:rPr>
        <w:t xml:space="preserve"> a manufacturer may be considered a small manufacturer under one of two standards: </w:t>
      </w:r>
      <w:r w:rsidR="00EB371C">
        <w:rPr>
          <w:rFonts w:ascii="Calibri" w:hAnsi="Calibri" w:cs="Calibri"/>
        </w:rPr>
        <w:t xml:space="preserve">(1) its total annual sales combined with any parent </w:t>
      </w:r>
      <w:r w:rsidR="00EB371C">
        <w:rPr>
          <w:rFonts w:ascii="Calibri" w:hAnsi="Calibri" w:cs="Calibri"/>
        </w:rPr>
        <w:t>company’s</w:t>
      </w:r>
      <w:r w:rsidR="00EB371C">
        <w:rPr>
          <w:rFonts w:ascii="Calibri" w:hAnsi="Calibri" w:cs="Calibri"/>
        </w:rPr>
        <w:t xml:space="preserve"> are under $12</w:t>
      </w:r>
      <w:r w:rsidR="00CD243A">
        <w:rPr>
          <w:rFonts w:ascii="Calibri" w:hAnsi="Calibri" w:cs="Calibri"/>
        </w:rPr>
        <w:t xml:space="preserve"> million; (2) its total annual sales combined any parent company’s are under $120 million</w:t>
      </w:r>
      <w:r w:rsidR="00373495">
        <w:rPr>
          <w:rFonts w:ascii="Calibri" w:hAnsi="Calibri" w:cs="Calibri"/>
        </w:rPr>
        <w:t>,</w:t>
      </w:r>
      <w:r w:rsidR="00CD243A">
        <w:rPr>
          <w:rFonts w:ascii="Calibri" w:hAnsi="Calibri" w:cs="Calibri"/>
        </w:rPr>
        <w:t xml:space="preserve"> </w:t>
      </w:r>
      <w:r w:rsidRPr="001C187A" w:rsidR="00CD243A">
        <w:rPr>
          <w:rFonts w:ascii="Calibri" w:hAnsi="Calibri" w:cs="Calibri"/>
          <w:i/>
          <w:iCs/>
        </w:rPr>
        <w:t>and</w:t>
      </w:r>
      <w:r w:rsidR="00CD243A">
        <w:rPr>
          <w:rFonts w:ascii="Calibri" w:hAnsi="Calibri" w:cs="Calibri"/>
        </w:rPr>
        <w:t xml:space="preserve"> </w:t>
      </w:r>
      <w:r w:rsidR="00F46698">
        <w:rPr>
          <w:rFonts w:ascii="Calibri" w:hAnsi="Calibri" w:cs="Calibri"/>
        </w:rPr>
        <w:t xml:space="preserve">total </w:t>
      </w:r>
      <w:r w:rsidR="006D23BC">
        <w:rPr>
          <w:rFonts w:ascii="Calibri" w:hAnsi="Calibri" w:cs="Calibri"/>
        </w:rPr>
        <w:t xml:space="preserve">annual </w:t>
      </w:r>
      <w:r w:rsidR="00F46698">
        <w:rPr>
          <w:rFonts w:ascii="Calibri" w:hAnsi="Calibri" w:cs="Calibri"/>
        </w:rPr>
        <w:t>production volume of a</w:t>
      </w:r>
      <w:r w:rsidR="006D23BC">
        <w:rPr>
          <w:rFonts w:ascii="Calibri" w:hAnsi="Calibri" w:cs="Calibri"/>
        </w:rPr>
        <w:t xml:space="preserve"> particular chemical at any of the manufacturer’s sites is less than</w:t>
      </w:r>
      <w:r w:rsidR="008F19B1">
        <w:rPr>
          <w:rFonts w:ascii="Calibri" w:hAnsi="Calibri" w:cs="Calibri"/>
        </w:rPr>
        <w:t xml:space="preserve"> 100,000 </w:t>
      </w:r>
      <w:r w:rsidR="00620E3E">
        <w:rPr>
          <w:rFonts w:ascii="Calibri" w:hAnsi="Calibri" w:cs="Calibri"/>
        </w:rPr>
        <w:t>pounds</w:t>
      </w:r>
      <w:r w:rsidR="00C161B7">
        <w:rPr>
          <w:rFonts w:ascii="Calibri" w:hAnsi="Calibri" w:cs="Calibri"/>
        </w:rPr>
        <w:t xml:space="preserve"> </w:t>
      </w:r>
      <w:r w:rsidR="007E2B58">
        <w:rPr>
          <w:rFonts w:ascii="Calibri" w:hAnsi="Calibri" w:cs="Calibri"/>
        </w:rPr>
        <w:t>(40 CFR 704.3)</w:t>
      </w:r>
      <w:r w:rsidR="00713124">
        <w:rPr>
          <w:rFonts w:ascii="Calibri" w:hAnsi="Calibri" w:cs="Calibri"/>
        </w:rPr>
        <w:t>.</w:t>
      </w:r>
    </w:p>
    <w:p w:rsidR="003B3CDB" w:rsidRPr="007E2E3C" w:rsidP="003B3CDB" w14:paraId="7A0BDEB8" w14:textId="77777777">
      <w:pPr>
        <w:spacing w:after="0"/>
        <w:rPr>
          <w:rFonts w:ascii="Calibri" w:hAnsi="Calibri" w:cs="Calibri"/>
        </w:rPr>
      </w:pPr>
    </w:p>
    <w:p w:rsidR="007E2E3C" w:rsidP="003B3CDB" w14:paraId="62594BEB" w14:textId="139B3CDF">
      <w:pPr>
        <w:spacing w:after="0"/>
        <w:rPr>
          <w:rFonts w:ascii="Calibri" w:hAnsi="Calibri" w:cs="Calibri"/>
          <w:szCs w:val="24"/>
        </w:rPr>
      </w:pPr>
      <w:r w:rsidRPr="007E2E3C">
        <w:rPr>
          <w:rFonts w:ascii="Calibri" w:hAnsi="Calibri" w:cs="Calibri"/>
          <w:szCs w:val="24"/>
        </w:rPr>
        <w:t xml:space="preserve">The small manufacturer/importer exemptions apply to PAIR, regardless of which office or agency nominates a chemical. In some instances, the EPA Administrator can remove these exemptions on a chemical-specific basis, provided notice and comment rulemaking is utilized. EPA expects that those offices that have a critical need for reporting from small businesses usually exempt from PAIR reporting will use other mechanisms to gather the data. EPA does not expect to issue a PAIR rule during the next </w:t>
      </w:r>
      <w:r w:rsidR="00620E3E">
        <w:rPr>
          <w:rFonts w:ascii="Calibri" w:hAnsi="Calibri" w:cs="Calibri"/>
          <w:szCs w:val="24"/>
        </w:rPr>
        <w:t>three</w:t>
      </w:r>
      <w:r w:rsidRPr="007E2E3C">
        <w:rPr>
          <w:rFonts w:ascii="Calibri" w:hAnsi="Calibri" w:cs="Calibri"/>
          <w:szCs w:val="24"/>
        </w:rPr>
        <w:t xml:space="preserve"> years that would impact small businesses.</w:t>
      </w:r>
    </w:p>
    <w:p w:rsidR="003B3CDB" w:rsidRPr="007E2E3C" w:rsidP="003B3CDB" w14:paraId="35FADCF0" w14:textId="77777777">
      <w:pPr>
        <w:spacing w:after="0"/>
        <w:rPr>
          <w:rFonts w:ascii="Calibri" w:hAnsi="Calibri" w:cs="Calibri"/>
          <w:szCs w:val="24"/>
        </w:rPr>
      </w:pPr>
    </w:p>
    <w:p w:rsidR="007E2E3C" w:rsidP="003B3CDB" w14:paraId="16C2638B" w14:textId="77777777">
      <w:pPr>
        <w:spacing w:after="0"/>
        <w:rPr>
          <w:rFonts w:ascii="Calibri" w:hAnsi="Calibri" w:cs="Calibri"/>
          <w:b/>
          <w:szCs w:val="24"/>
        </w:rPr>
      </w:pPr>
      <w:bookmarkStart w:id="14" w:name="_Hlk85021312"/>
      <w:r w:rsidRPr="007E2E3C">
        <w:rPr>
          <w:rFonts w:ascii="Calibri" w:hAnsi="Calibri" w:cs="Calibri"/>
          <w:b/>
          <w:szCs w:val="24"/>
        </w:rPr>
        <w:t>Chemical-Specific Rules, TSCA Section 8(a)</w:t>
      </w:r>
    </w:p>
    <w:p w:rsidR="003B3CDB" w:rsidRPr="007E2E3C" w:rsidP="003B3CDB" w14:paraId="715E5350" w14:textId="77777777">
      <w:pPr>
        <w:spacing w:after="0"/>
        <w:rPr>
          <w:rFonts w:ascii="Calibri" w:hAnsi="Calibri" w:cs="Calibri"/>
          <w:b/>
          <w:szCs w:val="24"/>
        </w:rPr>
      </w:pPr>
    </w:p>
    <w:bookmarkEnd w:id="14"/>
    <w:p w:rsidR="007E2E3C" w:rsidP="003B3CDB" w14:paraId="3A7197EC" w14:textId="21D99214">
      <w:pPr>
        <w:spacing w:after="0"/>
        <w:rPr>
          <w:rFonts w:ascii="Calibri" w:hAnsi="Calibri" w:cs="Calibri"/>
        </w:rPr>
      </w:pPr>
      <w:r w:rsidRPr="5F135418">
        <w:rPr>
          <w:rFonts w:ascii="Calibri" w:hAnsi="Calibri" w:cs="Calibri"/>
        </w:rPr>
        <w:t>TSCA s</w:t>
      </w:r>
      <w:r w:rsidRPr="5F135418">
        <w:rPr>
          <w:rFonts w:ascii="Calibri" w:hAnsi="Calibri" w:cs="Calibri"/>
        </w:rPr>
        <w:t>ection 8(a)</w:t>
      </w:r>
      <w:r w:rsidRPr="5F135418" w:rsidR="00682E94">
        <w:rPr>
          <w:rFonts w:ascii="Calibri" w:hAnsi="Calibri" w:cs="Calibri"/>
        </w:rPr>
        <w:t>(1</w:t>
      </w:r>
      <w:r w:rsidRPr="5F135418">
        <w:rPr>
          <w:rFonts w:ascii="Calibri" w:hAnsi="Calibri" w:cs="Calibri"/>
        </w:rPr>
        <w:t>) generally exempts small manufacturers and processors</w:t>
      </w:r>
      <w:r w:rsidRPr="5F135418" w:rsidR="006D200E">
        <w:rPr>
          <w:rFonts w:ascii="Calibri" w:hAnsi="Calibri" w:cs="Calibri"/>
        </w:rPr>
        <w:t>, using the same definition of small manufacturer</w:t>
      </w:r>
      <w:r w:rsidRPr="5F135418" w:rsidR="000E5126">
        <w:rPr>
          <w:rFonts w:ascii="Calibri" w:hAnsi="Calibri" w:cs="Calibri"/>
        </w:rPr>
        <w:t xml:space="preserve"> </w:t>
      </w:r>
      <w:r w:rsidRPr="5F135418" w:rsidR="002B4455">
        <w:rPr>
          <w:rFonts w:ascii="Calibri" w:hAnsi="Calibri" w:cs="Calibri"/>
        </w:rPr>
        <w:t>described above (40 CFR 704.3)</w:t>
      </w:r>
      <w:r w:rsidRPr="5F135418">
        <w:rPr>
          <w:rFonts w:ascii="Calibri" w:hAnsi="Calibri" w:cs="Calibri"/>
        </w:rPr>
        <w:t xml:space="preserve">. However, under TSCA section 8(a)(3), EPA may require small manufacturers and processors to report or keep records if the substance or mixture is subject to a rule proposed or promulgated under TSCA sections 4, 5(b)(4), or 6 or with respect to which relief has been granted pursuant to a civil action brought under </w:t>
      </w:r>
      <w:r w:rsidRPr="5F135418" w:rsidR="702E27B2">
        <w:rPr>
          <w:rFonts w:ascii="Calibri" w:hAnsi="Calibri" w:cs="Calibri"/>
        </w:rPr>
        <w:t xml:space="preserve">TSCA </w:t>
      </w:r>
      <w:r w:rsidRPr="5F135418">
        <w:rPr>
          <w:rFonts w:ascii="Calibri" w:hAnsi="Calibri" w:cs="Calibri"/>
        </w:rPr>
        <w:t xml:space="preserve">sections 5 or 7. </w:t>
      </w:r>
    </w:p>
    <w:p w:rsidR="003B3CDB" w:rsidRPr="007E2E3C" w:rsidP="003B3CDB" w14:paraId="18D160D5" w14:textId="77777777">
      <w:pPr>
        <w:spacing w:after="0"/>
        <w:rPr>
          <w:rFonts w:ascii="Calibri" w:hAnsi="Calibri" w:cs="Calibri"/>
        </w:rPr>
      </w:pPr>
    </w:p>
    <w:p w:rsidR="007E2E3C" w:rsidP="003B3CDB" w14:paraId="32DE1D11" w14:textId="77777777">
      <w:pPr>
        <w:spacing w:after="0"/>
        <w:rPr>
          <w:rFonts w:ascii="Calibri" w:hAnsi="Calibri" w:cs="Calibri"/>
          <w:b/>
          <w:szCs w:val="24"/>
        </w:rPr>
      </w:pPr>
      <w:r w:rsidRPr="007E2E3C">
        <w:rPr>
          <w:rFonts w:ascii="Calibri" w:hAnsi="Calibri" w:cs="Calibri"/>
          <w:b/>
          <w:szCs w:val="24"/>
        </w:rPr>
        <w:t>Recordkeeping and Reporting Requirements for Allegations of Significant Adverse Reactions to Human Health or the Environment</w:t>
      </w:r>
    </w:p>
    <w:p w:rsidR="003B3CDB" w:rsidRPr="007E2E3C" w:rsidP="003B3CDB" w14:paraId="74E35B72" w14:textId="77777777">
      <w:pPr>
        <w:spacing w:after="0"/>
        <w:rPr>
          <w:rFonts w:ascii="Calibri" w:hAnsi="Calibri" w:cs="Calibri"/>
          <w:b/>
          <w:szCs w:val="24"/>
        </w:rPr>
      </w:pPr>
    </w:p>
    <w:p w:rsidR="007E2E3C" w:rsidP="003B3CDB" w14:paraId="0E0DD0F9" w14:textId="789CB6BC">
      <w:pPr>
        <w:spacing w:after="0"/>
        <w:rPr>
          <w:rFonts w:ascii="Calibri" w:hAnsi="Calibri" w:cs="Calibri"/>
        </w:rPr>
      </w:pPr>
      <w:r w:rsidRPr="5F135418">
        <w:rPr>
          <w:rFonts w:ascii="Calibri" w:hAnsi="Calibri" w:cs="Calibri"/>
        </w:rPr>
        <w:t xml:space="preserve">Unlike TSCA section 8(a), Congress did not include a specific exemption of small businesses in TSCA section 8(c). This rule does not exempt small manufacturers (including importers) or processors of chemicals from its provisions. </w:t>
      </w:r>
    </w:p>
    <w:p w:rsidR="003B3CDB" w:rsidRPr="007E2E3C" w:rsidP="003B3CDB" w14:paraId="6ECB16A2" w14:textId="77777777">
      <w:pPr>
        <w:spacing w:after="0"/>
        <w:rPr>
          <w:rFonts w:ascii="Calibri" w:hAnsi="Calibri" w:cs="Calibri"/>
        </w:rPr>
      </w:pPr>
    </w:p>
    <w:p w:rsidR="007E2E3C" w:rsidP="003B3CDB" w14:paraId="431691FC" w14:textId="46F7D063">
      <w:pPr>
        <w:spacing w:after="0"/>
        <w:rPr>
          <w:rFonts w:ascii="Calibri" w:hAnsi="Calibri" w:cs="Calibri"/>
        </w:rPr>
      </w:pPr>
      <w:r w:rsidRPr="5F135418">
        <w:rPr>
          <w:rFonts w:ascii="Calibri" w:hAnsi="Calibri" w:cs="Calibri"/>
        </w:rPr>
        <w:t xml:space="preserve">However, </w:t>
      </w:r>
      <w:r w:rsidRPr="5F135418" w:rsidR="00E464FD">
        <w:rPr>
          <w:rFonts w:ascii="Calibri" w:hAnsi="Calibri" w:cs="Calibri"/>
        </w:rPr>
        <w:t xml:space="preserve">TSCA section 8(a)(5)(B) requires EPA, to the extent feasible, to minimize </w:t>
      </w:r>
      <w:r w:rsidRPr="5F135418" w:rsidR="00C8378A">
        <w:rPr>
          <w:rFonts w:ascii="Calibri" w:hAnsi="Calibri" w:cs="Calibri"/>
        </w:rPr>
        <w:t>compliance</w:t>
      </w:r>
      <w:r w:rsidRPr="5F135418" w:rsidR="00E464FD">
        <w:rPr>
          <w:rFonts w:ascii="Calibri" w:hAnsi="Calibri" w:cs="Calibri"/>
        </w:rPr>
        <w:t xml:space="preserve"> cost</w:t>
      </w:r>
      <w:r w:rsidRPr="5F135418" w:rsidR="00C8378A">
        <w:rPr>
          <w:rFonts w:ascii="Calibri" w:hAnsi="Calibri" w:cs="Calibri"/>
        </w:rPr>
        <w:t>s</w:t>
      </w:r>
      <w:r w:rsidRPr="5F135418" w:rsidR="00E464FD">
        <w:rPr>
          <w:rFonts w:ascii="Calibri" w:hAnsi="Calibri" w:cs="Calibri"/>
        </w:rPr>
        <w:t xml:space="preserve"> with </w:t>
      </w:r>
      <w:r w:rsidRPr="5F135418" w:rsidR="4130A91D">
        <w:rPr>
          <w:rFonts w:ascii="Calibri" w:hAnsi="Calibri" w:cs="Calibri"/>
        </w:rPr>
        <w:t xml:space="preserve">TSCA </w:t>
      </w:r>
      <w:r w:rsidRPr="5F135418" w:rsidR="00E464FD">
        <w:rPr>
          <w:rFonts w:ascii="Calibri" w:hAnsi="Calibri" w:cs="Calibri"/>
        </w:rPr>
        <w:t xml:space="preserve">section 8 and </w:t>
      </w:r>
      <w:r w:rsidRPr="5F135418" w:rsidR="7CEC9A87">
        <w:rPr>
          <w:rFonts w:ascii="Calibri" w:hAnsi="Calibri" w:cs="Calibri"/>
        </w:rPr>
        <w:t xml:space="preserve">TSCA </w:t>
      </w:r>
      <w:r w:rsidRPr="5F135418" w:rsidR="00C8378A">
        <w:rPr>
          <w:rFonts w:ascii="Calibri" w:hAnsi="Calibri" w:cs="Calibri"/>
        </w:rPr>
        <w:t>section 8 rules</w:t>
      </w:r>
      <w:r w:rsidRPr="5F135418" w:rsidR="003F06A4">
        <w:rPr>
          <w:rFonts w:ascii="Calibri" w:hAnsi="Calibri" w:cs="Calibri"/>
        </w:rPr>
        <w:t xml:space="preserve"> on small manufacturers and processors. Accordingly</w:t>
      </w:r>
      <w:r w:rsidRPr="5F135418">
        <w:rPr>
          <w:rFonts w:ascii="Calibri" w:hAnsi="Calibri" w:cs="Calibri"/>
        </w:rPr>
        <w:t xml:space="preserve">, EPA specifically eliminated most distributors and effectively limits the number of processors subject to the rule. By doing so, EPA has eliminated </w:t>
      </w:r>
      <w:r w:rsidRPr="5F135418" w:rsidR="005F6E03">
        <w:rPr>
          <w:rFonts w:ascii="Calibri" w:hAnsi="Calibri" w:cs="Calibri"/>
        </w:rPr>
        <w:t>many</w:t>
      </w:r>
      <w:r w:rsidRPr="5F135418">
        <w:rPr>
          <w:rFonts w:ascii="Calibri" w:hAnsi="Calibri" w:cs="Calibri"/>
        </w:rPr>
        <w:t xml:space="preserve"> small businesses from the purview of the rule without compromising its objectives.</w:t>
      </w:r>
    </w:p>
    <w:p w:rsidR="003B3CDB" w:rsidRPr="007E2E3C" w:rsidP="003B3CDB" w14:paraId="54213B13" w14:textId="77777777">
      <w:pPr>
        <w:spacing w:after="0"/>
        <w:rPr>
          <w:rFonts w:ascii="Calibri" w:hAnsi="Calibri" w:cs="Calibri"/>
        </w:rPr>
      </w:pPr>
    </w:p>
    <w:p w:rsidR="007E2E3C" w:rsidRPr="007E2E3C" w:rsidP="003B3CDB" w14:paraId="53EB4CDC" w14:textId="77777777">
      <w:pPr>
        <w:spacing w:after="0"/>
        <w:rPr>
          <w:rFonts w:ascii="Calibri" w:hAnsi="Calibri" w:cs="Calibri"/>
          <w:b/>
        </w:rPr>
      </w:pPr>
      <w:r w:rsidRPr="007E2E3C">
        <w:rPr>
          <w:rFonts w:ascii="Calibri" w:hAnsi="Calibri" w:cs="Calibri"/>
          <w:b/>
          <w:szCs w:val="24"/>
        </w:rPr>
        <w:t>Health and Safety Data Reporting, Submission of Lists and Copies of Health and Safety Studies</w:t>
      </w:r>
    </w:p>
    <w:p w:rsidR="003B3CDB" w:rsidRPr="007E2E3C" w:rsidP="003B3CDB" w14:paraId="6150E62C" w14:textId="77777777">
      <w:pPr>
        <w:spacing w:after="0"/>
        <w:rPr>
          <w:rFonts w:ascii="Calibri" w:hAnsi="Calibri" w:cs="Calibri"/>
          <w:b/>
        </w:rPr>
      </w:pPr>
    </w:p>
    <w:p w:rsidR="00EC4305" w:rsidP="003B3CDB" w14:paraId="5BD758AA" w14:textId="1A359A06">
      <w:pPr>
        <w:spacing w:after="0"/>
        <w:rPr>
          <w:rFonts w:ascii="Calibri" w:hAnsi="Calibri" w:cs="Calibri"/>
        </w:rPr>
      </w:pPr>
      <w:r w:rsidRPr="007E2E3C">
        <w:rPr>
          <w:rFonts w:ascii="Calibri" w:hAnsi="Calibri" w:cs="Calibri"/>
        </w:rPr>
        <w:t xml:space="preserve">The TSCA section 8(d) rule applies to all manufacturers </w:t>
      </w:r>
      <w:r w:rsidR="006E42DB">
        <w:rPr>
          <w:rFonts w:ascii="Calibri" w:hAnsi="Calibri" w:cs="Calibri"/>
        </w:rPr>
        <w:t>in covered industry sectors</w:t>
      </w:r>
      <w:r w:rsidRPr="007E2E3C">
        <w:rPr>
          <w:rFonts w:ascii="Calibri" w:hAnsi="Calibri" w:cs="Calibri"/>
        </w:rPr>
        <w:t xml:space="preserve"> </w:t>
      </w:r>
      <w:r w:rsidR="00C16A03">
        <w:rPr>
          <w:rFonts w:ascii="Calibri" w:hAnsi="Calibri" w:cs="Calibri"/>
        </w:rPr>
        <w:t>(</w:t>
      </w:r>
      <w:r w:rsidRPr="007E2E3C">
        <w:rPr>
          <w:rFonts w:ascii="Calibri" w:hAnsi="Calibri" w:cs="Calibri"/>
        </w:rPr>
        <w:t>and, when specified, processors of chemicals and others in possession of studies</w:t>
      </w:r>
      <w:r w:rsidR="00C16A03">
        <w:rPr>
          <w:rFonts w:ascii="Calibri" w:hAnsi="Calibri" w:cs="Calibri"/>
        </w:rPr>
        <w:t>)</w:t>
      </w:r>
      <w:r w:rsidRPr="007E2E3C">
        <w:rPr>
          <w:rFonts w:ascii="Calibri" w:hAnsi="Calibri" w:cs="Calibri"/>
        </w:rPr>
        <w:t xml:space="preserve">, regardless of size. However, EPA does not anticipate that many small businesses possess </w:t>
      </w:r>
      <w:r w:rsidR="00C16A03">
        <w:rPr>
          <w:rFonts w:ascii="Calibri" w:hAnsi="Calibri" w:cs="Calibri"/>
        </w:rPr>
        <w:t>unpublished</w:t>
      </w:r>
      <w:r w:rsidRPr="007E2E3C">
        <w:rPr>
          <w:rFonts w:ascii="Calibri" w:hAnsi="Calibri" w:cs="Calibri"/>
        </w:rPr>
        <w:t xml:space="preserve"> health and safety studies because they are unlikely to have the financial resources to perform the studies on chemicals subject to the rule. Therefore, the burden on such companies is expected to be minimal.</w:t>
      </w:r>
    </w:p>
    <w:p w:rsidR="003B3CDB" w:rsidP="003B3CDB" w14:paraId="14124843" w14:textId="77777777">
      <w:pPr>
        <w:spacing w:after="0"/>
        <w:rPr>
          <w:rFonts w:ascii="Calibri" w:hAnsi="Calibri" w:cs="Calibri"/>
        </w:rPr>
      </w:pPr>
    </w:p>
    <w:p w:rsidR="00B41A83" w:rsidP="003B3CDB" w14:paraId="2F0363DE" w14:textId="5F3112AE">
      <w:pPr>
        <w:pStyle w:val="Heading2"/>
        <w:spacing w:before="0" w:after="0"/>
        <w:rPr>
          <w:rFonts w:ascii="Calibri" w:hAnsi="Calibri" w:cs="Calibri"/>
        </w:rPr>
      </w:pPr>
      <w:r w:rsidRPr="007E2E3C">
        <w:rPr>
          <w:rFonts w:ascii="Calibri" w:hAnsi="Calibri" w:cs="Calibri"/>
        </w:rPr>
        <w:t xml:space="preserve">6. </w:t>
      </w:r>
      <w:r w:rsidRPr="007E2E3C"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7E2E3C">
        <w:rPr>
          <w:rFonts w:ascii="Calibri" w:hAnsi="Calibri" w:cs="Calibri"/>
        </w:rPr>
        <w:t xml:space="preserve"> </w:t>
      </w:r>
    </w:p>
    <w:p w:rsidR="003B3CDB" w:rsidRPr="003B3CDB" w:rsidP="003B3CDB" w14:paraId="4D41461D" w14:textId="77777777">
      <w:pPr>
        <w:spacing w:after="0"/>
      </w:pPr>
    </w:p>
    <w:p w:rsidR="007E2E3C" w:rsidP="003B3CDB" w14:paraId="68258F81" w14:textId="77777777">
      <w:pPr>
        <w:spacing w:after="0"/>
        <w:rPr>
          <w:rFonts w:ascii="Calibri" w:hAnsi="Calibri" w:cs="Calibri"/>
          <w:b/>
          <w:bCs/>
        </w:rPr>
      </w:pPr>
      <w:r w:rsidRPr="007E2E3C">
        <w:rPr>
          <w:rFonts w:ascii="Calibri" w:hAnsi="Calibri" w:cs="Calibri"/>
          <w:b/>
          <w:bCs/>
        </w:rPr>
        <w:t>TSCA Section 8(a) Preliminary Assessment Information Rule (PAIR)</w:t>
      </w:r>
    </w:p>
    <w:p w:rsidR="003B3CDB" w:rsidRPr="007E2E3C" w:rsidP="003B3CDB" w14:paraId="3F636551" w14:textId="77777777">
      <w:pPr>
        <w:spacing w:after="0"/>
        <w:rPr>
          <w:rFonts w:ascii="Calibri" w:hAnsi="Calibri" w:cs="Calibri"/>
          <w:b/>
          <w:bCs/>
        </w:rPr>
      </w:pPr>
    </w:p>
    <w:p w:rsidR="007E2E3C" w:rsidP="003B3CDB" w14:paraId="03FF283A" w14:textId="77777777">
      <w:pPr>
        <w:spacing w:after="0"/>
        <w:rPr>
          <w:rFonts w:ascii="Calibri" w:hAnsi="Calibri" w:cs="Calibri"/>
        </w:rPr>
      </w:pPr>
      <w:r w:rsidRPr="007E2E3C">
        <w:rPr>
          <w:rFonts w:ascii="Calibri" w:hAnsi="Calibri" w:cs="Calibri"/>
        </w:rPr>
        <w:t>Under PAIR or subpart B of 40 CFR 766, persons are required to report only once for a chemical listed in the PAIR or subpart B of 40 CFR 766. However, for PAIR, if information received from the initial report indicates human health and environmental risks, then the Agency may require that additional information be submitted at some future date to monitor any changes pertaining to that chemical. As such, the reporting frequency for PAIR and subpart B of 40 CFR 766 cannot be reduced without effectively suspending the information collection requirement.</w:t>
      </w:r>
    </w:p>
    <w:p w:rsidR="003B3CDB" w:rsidRPr="007E2E3C" w:rsidP="003B3CDB" w14:paraId="27B95661" w14:textId="77777777">
      <w:pPr>
        <w:spacing w:after="0"/>
        <w:rPr>
          <w:rFonts w:ascii="Calibri" w:hAnsi="Calibri" w:cs="Calibri"/>
        </w:rPr>
      </w:pPr>
    </w:p>
    <w:p w:rsidR="007E2E3C" w:rsidP="003B3CDB" w14:paraId="6EB6DCCF" w14:textId="77777777">
      <w:pPr>
        <w:spacing w:after="0"/>
        <w:rPr>
          <w:rFonts w:ascii="Calibri" w:hAnsi="Calibri" w:cs="Calibri"/>
          <w:b/>
          <w:szCs w:val="24"/>
        </w:rPr>
      </w:pPr>
      <w:r w:rsidRPr="007E2E3C">
        <w:rPr>
          <w:rFonts w:ascii="Calibri" w:hAnsi="Calibri" w:cs="Calibri"/>
          <w:b/>
          <w:szCs w:val="24"/>
        </w:rPr>
        <w:t>Chemical-Specific Rules, TSCA Section 8(a)</w:t>
      </w:r>
    </w:p>
    <w:p w:rsidR="003B3CDB" w:rsidRPr="007E2E3C" w:rsidP="003B3CDB" w14:paraId="333313E3" w14:textId="77777777">
      <w:pPr>
        <w:spacing w:after="0"/>
        <w:rPr>
          <w:rFonts w:ascii="Calibri" w:hAnsi="Calibri" w:cs="Calibri"/>
          <w:b/>
          <w:szCs w:val="24"/>
        </w:rPr>
      </w:pPr>
    </w:p>
    <w:p w:rsidR="003B3CDB" w:rsidP="003B3CDB" w14:paraId="445C59C2" w14:textId="28596827">
      <w:pPr>
        <w:spacing w:after="0"/>
        <w:rPr>
          <w:rFonts w:ascii="Calibri" w:hAnsi="Calibri" w:cs="Calibri"/>
        </w:rPr>
      </w:pPr>
      <w:r w:rsidRPr="007E2E3C">
        <w:rPr>
          <w:rFonts w:ascii="Calibri" w:hAnsi="Calibri" w:cs="Calibri"/>
        </w:rPr>
        <w:t>Generally, companies are required to report only once under a TSCA section 8(a) chemical-specific reporting rule, although EPA may consider requiring reporting on an annual, semiannual, monthly</w:t>
      </w:r>
      <w:r w:rsidR="003B4C34">
        <w:rPr>
          <w:rFonts w:ascii="Calibri" w:hAnsi="Calibri" w:cs="Calibri"/>
        </w:rPr>
        <w:t>,</w:t>
      </w:r>
      <w:r w:rsidRPr="007E2E3C">
        <w:rPr>
          <w:rFonts w:ascii="Calibri" w:hAnsi="Calibri" w:cs="Calibri"/>
        </w:rPr>
        <w:t xml:space="preserve"> or other basis if the Administrator deems this necessary to protect human health and the environment. </w:t>
      </w:r>
      <w:r w:rsidR="0025713D">
        <w:rPr>
          <w:rFonts w:ascii="Calibri" w:hAnsi="Calibri" w:cs="Calibri"/>
        </w:rPr>
        <w:t xml:space="preserve">For example, </w:t>
      </w:r>
      <w:r w:rsidRPr="007E2E3C" w:rsidR="0025713D">
        <w:rPr>
          <w:rFonts w:ascii="Calibri" w:hAnsi="Calibri" w:cs="Calibri"/>
        </w:rPr>
        <w:t>EPA requires reporting only once for manufacturers and processors f</w:t>
      </w:r>
      <w:r w:rsidRPr="007E2E3C" w:rsidR="0025713D">
        <w:rPr>
          <w:rFonts w:ascii="Calibri" w:hAnsi="Calibri" w:cs="Calibri"/>
          <w:bCs/>
        </w:rPr>
        <w:t>or new discrete nanoscale materials before they are manufactured or processed.</w:t>
      </w:r>
      <w:r w:rsidRPr="007E2E3C">
        <w:rPr>
          <w:rFonts w:ascii="Calibri" w:hAnsi="Calibri" w:cs="Calibri"/>
        </w:rPr>
        <w:t xml:space="preserve"> EPA tailors each rule to meet chemical-specific information requirements, thus reducing the potential for </w:t>
      </w:r>
      <w:r w:rsidR="007855DD">
        <w:rPr>
          <w:rFonts w:ascii="Calibri" w:hAnsi="Calibri" w:cs="Calibri"/>
        </w:rPr>
        <w:t>redunda</w:t>
      </w:r>
      <w:r w:rsidRPr="007E2E3C">
        <w:rPr>
          <w:rFonts w:ascii="Calibri" w:hAnsi="Calibri" w:cs="Calibri"/>
        </w:rPr>
        <w:t>nt data collections.</w:t>
      </w:r>
    </w:p>
    <w:p w:rsidR="003B3CDB" w:rsidP="003B3CDB" w14:paraId="25F76654" w14:textId="77777777">
      <w:pPr>
        <w:spacing w:after="0"/>
        <w:rPr>
          <w:rFonts w:ascii="Calibri" w:hAnsi="Calibri" w:cs="Calibri"/>
        </w:rPr>
      </w:pPr>
    </w:p>
    <w:p w:rsidR="007E2E3C" w:rsidP="003B3CDB" w14:paraId="12C8C5C2" w14:textId="77777777">
      <w:pPr>
        <w:spacing w:after="0"/>
        <w:rPr>
          <w:rFonts w:ascii="Calibri" w:hAnsi="Calibri" w:cs="Calibri"/>
          <w:b/>
          <w:szCs w:val="24"/>
        </w:rPr>
      </w:pPr>
      <w:bookmarkStart w:id="15" w:name="_Hlk85030136"/>
      <w:r w:rsidRPr="007E2E3C">
        <w:rPr>
          <w:rFonts w:ascii="Calibri" w:hAnsi="Calibri" w:cs="Calibri"/>
          <w:b/>
          <w:szCs w:val="24"/>
        </w:rPr>
        <w:t>Recordkeeping and Reporting Requirements for Allegations of Significant Adverse Reactions to Human Health or the Environment, TSCA Section 8(c)</w:t>
      </w:r>
    </w:p>
    <w:p w:rsidR="003B3CDB" w:rsidRPr="007E2E3C" w:rsidP="003B3CDB" w14:paraId="48F58132" w14:textId="77777777">
      <w:pPr>
        <w:spacing w:after="0"/>
        <w:rPr>
          <w:rFonts w:ascii="Calibri" w:hAnsi="Calibri" w:cs="Calibri"/>
          <w:b/>
          <w:szCs w:val="24"/>
        </w:rPr>
      </w:pPr>
    </w:p>
    <w:bookmarkEnd w:id="15"/>
    <w:p w:rsidR="007E2E3C" w:rsidP="003B3CDB" w14:paraId="3B576FD4" w14:textId="2D61057B">
      <w:pPr>
        <w:spacing w:after="0"/>
        <w:rPr>
          <w:rFonts w:ascii="Calibri" w:hAnsi="Calibri" w:cs="Calibri"/>
        </w:rPr>
      </w:pPr>
      <w:r w:rsidRPr="007E2E3C">
        <w:rPr>
          <w:rFonts w:ascii="Calibri" w:hAnsi="Calibri" w:cs="Calibri"/>
        </w:rPr>
        <w:t xml:space="preserve">EPA uses its authority to collect information pursuant to the TSCA section 8(c) rule sparingly. </w:t>
      </w:r>
      <w:r w:rsidR="00F52549">
        <w:rPr>
          <w:rFonts w:ascii="Calibri" w:hAnsi="Calibri" w:cs="Calibri"/>
        </w:rPr>
        <w:t>At this time</w:t>
      </w:r>
      <w:r w:rsidRPr="007E2E3C">
        <w:rPr>
          <w:rFonts w:ascii="Calibri" w:hAnsi="Calibri" w:cs="Calibri"/>
        </w:rPr>
        <w:t xml:space="preserve">, EPA anticipates issuing infrequent requests (less than </w:t>
      </w:r>
      <w:r w:rsidR="00885853">
        <w:rPr>
          <w:rFonts w:ascii="Calibri" w:hAnsi="Calibri" w:cs="Calibri"/>
        </w:rPr>
        <w:t>two</w:t>
      </w:r>
      <w:r w:rsidRPr="007E2E3C">
        <w:rPr>
          <w:rFonts w:ascii="Calibri" w:hAnsi="Calibri" w:cs="Calibri"/>
        </w:rPr>
        <w:t xml:space="preserve"> per year) for TSCA section 8(c) reporting. However, reporting requests may occur more frequently because individual notices or letters containing such TSCA section 8(c) requests may be clustered in the same year. The information will be collected on a case-specific basis to evaluate suspected adverse health or environmental effects of a chemical substance or mixture already under assessment by OPPT or when a chemical not under assessment by OPPT is discovered to present possible risks to </w:t>
      </w:r>
      <w:r w:rsidRPr="007E2E3C">
        <w:rPr>
          <w:rFonts w:ascii="Calibri" w:hAnsi="Calibri" w:cs="Calibri"/>
        </w:rPr>
        <w:t>human health or the environment. For example, chemical disasters are unpredictable</w:t>
      </w:r>
      <w:r w:rsidR="003F4AA6">
        <w:rPr>
          <w:rFonts w:ascii="Calibri" w:hAnsi="Calibri" w:cs="Calibri"/>
        </w:rPr>
        <w:t>,</w:t>
      </w:r>
      <w:r w:rsidRPr="007E2E3C">
        <w:rPr>
          <w:rFonts w:ascii="Calibri" w:hAnsi="Calibri" w:cs="Calibri"/>
        </w:rPr>
        <w:t xml:space="preserve"> </w:t>
      </w:r>
      <w:r w:rsidR="003F4AA6">
        <w:rPr>
          <w:rFonts w:ascii="Calibri" w:hAnsi="Calibri" w:cs="Calibri"/>
        </w:rPr>
        <w:t>so</w:t>
      </w:r>
      <w:r w:rsidRPr="007E2E3C">
        <w:rPr>
          <w:rFonts w:ascii="Calibri" w:hAnsi="Calibri" w:cs="Calibri"/>
        </w:rPr>
        <w:t xml:space="preserve"> OPPT must reserve the capability to require records submission on an as-needed basis in order to gather relevant information related to such matters. TSCA section 8(c) allegation records are part of such related information.</w:t>
      </w:r>
    </w:p>
    <w:p w:rsidR="003B3CDB" w:rsidRPr="007E2E3C" w:rsidP="003B3CDB" w14:paraId="4B97C769" w14:textId="77777777">
      <w:pPr>
        <w:spacing w:after="0"/>
        <w:rPr>
          <w:rFonts w:ascii="Calibri" w:hAnsi="Calibri" w:cs="Calibri"/>
        </w:rPr>
      </w:pPr>
    </w:p>
    <w:p w:rsidR="007E2E3C" w:rsidRPr="007E2E3C" w:rsidP="003B3CDB" w14:paraId="2469F561" w14:textId="77777777">
      <w:pPr>
        <w:spacing w:after="0"/>
        <w:rPr>
          <w:rFonts w:ascii="Calibri" w:hAnsi="Calibri" w:cs="Calibri"/>
          <w:b/>
        </w:rPr>
      </w:pPr>
      <w:bookmarkStart w:id="16" w:name="_Hlk85030397"/>
      <w:r w:rsidRPr="007E2E3C">
        <w:rPr>
          <w:rFonts w:ascii="Calibri" w:hAnsi="Calibri" w:cs="Calibri"/>
          <w:b/>
          <w:szCs w:val="24"/>
        </w:rPr>
        <w:t>Health and Safety Data Reporting, Submission of Lists and Copies of Health and Safety Studies, TSCA Section 8(d)</w:t>
      </w:r>
    </w:p>
    <w:p w:rsidR="003B3CDB" w:rsidRPr="007E2E3C" w:rsidP="003B3CDB" w14:paraId="5138C5A4" w14:textId="77777777">
      <w:pPr>
        <w:spacing w:after="0"/>
        <w:rPr>
          <w:rFonts w:ascii="Calibri" w:hAnsi="Calibri" w:cs="Calibri"/>
          <w:b/>
        </w:rPr>
      </w:pPr>
    </w:p>
    <w:bookmarkEnd w:id="16"/>
    <w:p w:rsidR="00DE29B7" w:rsidP="003B3CDB" w14:paraId="4703DB13" w14:textId="1D8CD378">
      <w:pPr>
        <w:spacing w:after="0"/>
        <w:rPr>
          <w:rFonts w:ascii="Calibri" w:hAnsi="Calibri" w:cs="Calibri"/>
        </w:rPr>
      </w:pPr>
      <w:r w:rsidRPr="5F135418">
        <w:rPr>
          <w:rFonts w:ascii="Calibri" w:hAnsi="Calibri" w:cs="Calibri"/>
        </w:rPr>
        <w:t>In most instances, respondents will be required to make only initial submissions under the TSCA section 8(d) rule. However, after the initial submission of lists and studies, respondents are required to notify EPA when certain health and safety studies are initiated by submitting a list of newly initiated studies. Because the reporting frequency for the TSCA section 8(d) rule is generally only once, the reporting frequency cannot be reduced. If the information requirement w</w:t>
      </w:r>
      <w:r w:rsidRPr="5F135418" w:rsidR="6024C653">
        <w:rPr>
          <w:rFonts w:ascii="Calibri" w:hAnsi="Calibri" w:cs="Calibri"/>
        </w:rPr>
        <w:t>as</w:t>
      </w:r>
      <w:r w:rsidRPr="5F135418">
        <w:rPr>
          <w:rFonts w:ascii="Calibri" w:hAnsi="Calibri" w:cs="Calibri"/>
        </w:rPr>
        <w:t xml:space="preserve"> less frequent, EPA would be </w:t>
      </w:r>
      <w:r w:rsidRPr="5F135418" w:rsidR="006505B3">
        <w:rPr>
          <w:rFonts w:ascii="Calibri" w:hAnsi="Calibri" w:cs="Calibri"/>
        </w:rPr>
        <w:t>un</w:t>
      </w:r>
      <w:r w:rsidRPr="5F135418">
        <w:rPr>
          <w:rFonts w:ascii="Calibri" w:hAnsi="Calibri" w:cs="Calibri"/>
        </w:rPr>
        <w:t xml:space="preserve">able to obtain the necessary information for evaluating the need for additional information under </w:t>
      </w:r>
      <w:r w:rsidRPr="5F135418" w:rsidR="424214C0">
        <w:rPr>
          <w:rFonts w:ascii="Calibri" w:hAnsi="Calibri" w:cs="Calibri"/>
        </w:rPr>
        <w:t xml:space="preserve">TSCA </w:t>
      </w:r>
      <w:r w:rsidRPr="5F135418">
        <w:rPr>
          <w:rFonts w:ascii="Calibri" w:hAnsi="Calibri" w:cs="Calibri"/>
        </w:rPr>
        <w:t xml:space="preserve">section 4 or evaluating and controlling chemical substances under </w:t>
      </w:r>
      <w:r w:rsidRPr="5F135418" w:rsidR="65C50297">
        <w:rPr>
          <w:rFonts w:ascii="Calibri" w:hAnsi="Calibri" w:cs="Calibri"/>
        </w:rPr>
        <w:t xml:space="preserve">TSCA </w:t>
      </w:r>
      <w:r w:rsidRPr="5F135418">
        <w:rPr>
          <w:rFonts w:ascii="Calibri" w:hAnsi="Calibri" w:cs="Calibri"/>
        </w:rPr>
        <w:t>sections 5 and 6.</w:t>
      </w:r>
      <w:r w:rsidRPr="5F135418" w:rsidR="00F96F21">
        <w:rPr>
          <w:rFonts w:ascii="Calibri" w:hAnsi="Calibri" w:cs="Calibri"/>
        </w:rPr>
        <w:t xml:space="preserve"> </w:t>
      </w:r>
      <w:r w:rsidRPr="5F135418" w:rsidR="00F75CC0">
        <w:rPr>
          <w:rFonts w:ascii="Calibri" w:hAnsi="Calibri" w:cs="Calibri"/>
        </w:rPr>
        <w:t xml:space="preserve">In the absence of data that would be submitted under </w:t>
      </w:r>
      <w:r w:rsidRPr="5F135418" w:rsidR="0F073C54">
        <w:rPr>
          <w:rFonts w:ascii="Calibri" w:hAnsi="Calibri" w:cs="Calibri"/>
        </w:rPr>
        <w:t xml:space="preserve">TSCA </w:t>
      </w:r>
      <w:r w:rsidRPr="5F135418" w:rsidR="00F75CC0">
        <w:rPr>
          <w:rFonts w:ascii="Calibri" w:hAnsi="Calibri" w:cs="Calibri"/>
        </w:rPr>
        <w:t xml:space="preserve">section </w:t>
      </w:r>
      <w:r w:rsidRPr="5F135418" w:rsidR="00AD1A5A">
        <w:rPr>
          <w:rFonts w:ascii="Calibri" w:hAnsi="Calibri" w:cs="Calibri"/>
        </w:rPr>
        <w:t>8(d)</w:t>
      </w:r>
      <w:r w:rsidRPr="5F135418" w:rsidR="00F75CC0">
        <w:rPr>
          <w:rFonts w:ascii="Calibri" w:hAnsi="Calibri" w:cs="Calibri"/>
        </w:rPr>
        <w:t xml:space="preserve">, EPA might require creation of data under a </w:t>
      </w:r>
      <w:r w:rsidRPr="5F135418" w:rsidR="1B644B8F">
        <w:rPr>
          <w:rFonts w:ascii="Calibri" w:hAnsi="Calibri" w:cs="Calibri"/>
        </w:rPr>
        <w:t xml:space="preserve">TSCA </w:t>
      </w:r>
      <w:r w:rsidRPr="5F135418" w:rsidR="00F75CC0">
        <w:rPr>
          <w:rFonts w:ascii="Calibri" w:hAnsi="Calibri" w:cs="Calibri"/>
        </w:rPr>
        <w:t xml:space="preserve">section 4 test order or rule, which would be less efficient and more expensive than a </w:t>
      </w:r>
      <w:r w:rsidRPr="5F135418" w:rsidR="31A16A25">
        <w:rPr>
          <w:rFonts w:ascii="Calibri" w:hAnsi="Calibri" w:cs="Calibri"/>
        </w:rPr>
        <w:t xml:space="preserve">TSCA </w:t>
      </w:r>
      <w:r w:rsidRPr="5F135418" w:rsidR="00F75CC0">
        <w:rPr>
          <w:rFonts w:ascii="Calibri" w:hAnsi="Calibri" w:cs="Calibri"/>
        </w:rPr>
        <w:t>section 8(d) submission.</w:t>
      </w:r>
    </w:p>
    <w:p w:rsidR="003B3CDB" w:rsidRPr="007E2E3C" w:rsidP="003B3CDB" w14:paraId="13D2559C" w14:textId="77777777">
      <w:pPr>
        <w:spacing w:after="0"/>
        <w:rPr>
          <w:rFonts w:ascii="Calibri" w:hAnsi="Calibri" w:cs="Calibri"/>
        </w:rPr>
      </w:pPr>
    </w:p>
    <w:p w:rsidR="00EC4305" w:rsidRPr="00F93A42" w:rsidP="00CB05EE" w14:paraId="4290B85B" w14:textId="599DDCAC">
      <w:pPr>
        <w:pStyle w:val="Heading2"/>
        <w:spacing w:before="0" w:after="0"/>
        <w:rPr>
          <w:rFonts w:ascii="Calibri" w:hAnsi="Calibri" w:cs="Calibri"/>
        </w:rPr>
      </w:pPr>
      <w:r w:rsidRPr="00F93A42">
        <w:rPr>
          <w:rFonts w:ascii="Calibri" w:hAnsi="Calibri" w:cs="Calibri"/>
        </w:rPr>
        <w:t xml:space="preserve">7. </w:t>
      </w:r>
      <w:r w:rsidRPr="00F93A42">
        <w:rPr>
          <w:rFonts w:ascii="Calibri" w:hAnsi="Calibri" w:cs="Calibri"/>
        </w:rPr>
        <w:t>Explain any special circumstances that require the collection to be conducted in a manner inconsistent with OMB guidelines.</w:t>
      </w:r>
    </w:p>
    <w:p w:rsidR="00B975C3" w:rsidRPr="00F93A42" w:rsidP="00652C31" w14:paraId="6178AF31" w14:textId="5D27097D">
      <w:pPr>
        <w:tabs>
          <w:tab w:val="left" w:pos="720"/>
        </w:tabs>
        <w:ind w:left="720" w:hanging="360"/>
        <w:rPr>
          <w:rFonts w:ascii="Calibri" w:hAnsi="Calibri" w:cs="Calibri"/>
          <w:b/>
          <w:bCs/>
        </w:rPr>
      </w:pPr>
      <w:r w:rsidRPr="00F93A42">
        <w:rPr>
          <w:rFonts w:ascii="Calibri" w:hAnsi="Calibri" w:cs="Calibri"/>
          <w:b/>
          <w:bCs/>
        </w:rPr>
        <w:t>a)</w:t>
      </w:r>
      <w:r w:rsidRPr="00F93A42" w:rsidR="00652C31">
        <w:rPr>
          <w:rFonts w:ascii="Calibri" w:hAnsi="Calibri" w:cs="Calibri"/>
          <w:b/>
          <w:bCs/>
        </w:rPr>
        <w:tab/>
      </w:r>
      <w:r w:rsidRPr="00F93A42">
        <w:rPr>
          <w:rFonts w:ascii="Calibri" w:hAnsi="Calibri" w:cs="Calibri"/>
          <w:b/>
          <w:bCs/>
        </w:rPr>
        <w:t>requiring respondents to report information to the agency more often than quarterly;</w:t>
      </w:r>
    </w:p>
    <w:p w:rsidR="00B975C3" w:rsidRPr="00F93A42" w:rsidP="00652C31" w14:paraId="6DE5CC21" w14:textId="14CB7A7F">
      <w:pPr>
        <w:tabs>
          <w:tab w:val="left" w:pos="720"/>
        </w:tabs>
        <w:ind w:left="720" w:hanging="360"/>
        <w:rPr>
          <w:rFonts w:ascii="Calibri" w:hAnsi="Calibri" w:cs="Calibri"/>
          <w:b/>
          <w:bCs/>
        </w:rPr>
      </w:pPr>
      <w:r w:rsidRPr="00F93A42">
        <w:rPr>
          <w:rFonts w:ascii="Calibri" w:hAnsi="Calibri" w:cs="Calibri"/>
          <w:b/>
          <w:bCs/>
        </w:rPr>
        <w:t>b)</w:t>
      </w:r>
      <w:r w:rsidRPr="00F93A42" w:rsidR="00652C31">
        <w:rPr>
          <w:rFonts w:ascii="Calibri" w:hAnsi="Calibri" w:cs="Calibri"/>
          <w:b/>
          <w:bCs/>
        </w:rPr>
        <w:tab/>
      </w:r>
      <w:r w:rsidRPr="00F93A42">
        <w:rPr>
          <w:rFonts w:ascii="Calibri" w:hAnsi="Calibri" w:cs="Calibri"/>
          <w:b/>
          <w:bCs/>
        </w:rPr>
        <w:t>requiring respondents to prepare a written response to a collection of information in fewer than 30 days after receipt of it;</w:t>
      </w:r>
    </w:p>
    <w:p w:rsidR="00B975C3" w:rsidRPr="00F93A42" w:rsidP="00652C31" w14:paraId="23D50C52" w14:textId="56BFBD3C">
      <w:pPr>
        <w:tabs>
          <w:tab w:val="left" w:pos="720"/>
        </w:tabs>
        <w:ind w:left="720" w:hanging="360"/>
        <w:rPr>
          <w:rFonts w:ascii="Calibri" w:hAnsi="Calibri" w:cs="Calibri"/>
          <w:b/>
          <w:bCs/>
        </w:rPr>
      </w:pPr>
      <w:r w:rsidRPr="00F93A42">
        <w:rPr>
          <w:rFonts w:ascii="Calibri" w:hAnsi="Calibri" w:cs="Calibri"/>
          <w:b/>
          <w:bCs/>
        </w:rPr>
        <w:t>c)</w:t>
      </w:r>
      <w:r w:rsidRPr="00F93A42" w:rsidR="00652C31">
        <w:rPr>
          <w:rFonts w:ascii="Calibri" w:hAnsi="Calibri" w:cs="Calibri"/>
          <w:b/>
          <w:bCs/>
        </w:rPr>
        <w:tab/>
      </w:r>
      <w:r w:rsidRPr="00F93A42">
        <w:rPr>
          <w:rFonts w:ascii="Calibri" w:hAnsi="Calibri" w:cs="Calibri"/>
          <w:b/>
          <w:bCs/>
        </w:rPr>
        <w:t>requiring respondents to submit more than an original and two copies of any document;</w:t>
      </w:r>
    </w:p>
    <w:p w:rsidR="00B975C3" w:rsidRPr="00F93A42" w:rsidP="00652C31" w14:paraId="3F4662DB" w14:textId="60B339DD">
      <w:pPr>
        <w:tabs>
          <w:tab w:val="left" w:pos="720"/>
        </w:tabs>
        <w:ind w:left="720" w:hanging="360"/>
        <w:rPr>
          <w:rFonts w:ascii="Calibri" w:hAnsi="Calibri" w:cs="Calibri"/>
          <w:b/>
          <w:bCs/>
        </w:rPr>
      </w:pPr>
      <w:r w:rsidRPr="00F93A42">
        <w:rPr>
          <w:rFonts w:ascii="Calibri" w:hAnsi="Calibri" w:cs="Calibri"/>
          <w:b/>
          <w:bCs/>
        </w:rPr>
        <w:t>d)</w:t>
      </w:r>
      <w:r w:rsidRPr="00F93A42" w:rsidR="00652C31">
        <w:rPr>
          <w:rFonts w:ascii="Calibri" w:hAnsi="Calibri" w:cs="Calibri"/>
          <w:b/>
          <w:bCs/>
        </w:rPr>
        <w:tab/>
      </w:r>
      <w:r w:rsidRPr="00F93A42">
        <w:rPr>
          <w:rFonts w:ascii="Calibri" w:hAnsi="Calibri" w:cs="Calibri"/>
          <w:b/>
          <w:bCs/>
        </w:rPr>
        <w:t>requiring respondents to retain records, other than health, medical, government contract, grant-in-aid, or tax records, for more than three years;</w:t>
      </w:r>
    </w:p>
    <w:p w:rsidR="00B975C3" w:rsidRPr="00F93A42" w:rsidP="00652C31" w14:paraId="0A4B46D3" w14:textId="1E95BD0F">
      <w:pPr>
        <w:tabs>
          <w:tab w:val="left" w:pos="720"/>
        </w:tabs>
        <w:ind w:left="720" w:hanging="360"/>
        <w:rPr>
          <w:rFonts w:ascii="Calibri" w:hAnsi="Calibri" w:cs="Calibri"/>
          <w:b/>
          <w:bCs/>
        </w:rPr>
      </w:pPr>
      <w:r w:rsidRPr="00F93A42">
        <w:rPr>
          <w:rFonts w:ascii="Calibri" w:hAnsi="Calibri" w:cs="Calibri"/>
          <w:b/>
          <w:bCs/>
        </w:rPr>
        <w:t>e)</w:t>
      </w:r>
      <w:r w:rsidRPr="00F93A42" w:rsidR="00652C31">
        <w:rPr>
          <w:rFonts w:ascii="Calibri" w:hAnsi="Calibri" w:cs="Calibri"/>
          <w:b/>
          <w:bCs/>
        </w:rPr>
        <w:tab/>
      </w:r>
      <w:r w:rsidRPr="00F93A42">
        <w:rPr>
          <w:rFonts w:ascii="Calibri" w:hAnsi="Calibri" w:cs="Calibri"/>
          <w:b/>
          <w:bCs/>
        </w:rPr>
        <w:t>in connection with a statistical survey, that is not designed to produce valid and reliable results that can be generalized to the universe of study;</w:t>
      </w:r>
    </w:p>
    <w:p w:rsidR="00B975C3" w:rsidRPr="00F93A42" w:rsidP="00652C31" w14:paraId="04E8C946" w14:textId="217A0234">
      <w:pPr>
        <w:tabs>
          <w:tab w:val="left" w:pos="720"/>
        </w:tabs>
        <w:ind w:left="720" w:hanging="360"/>
        <w:rPr>
          <w:rFonts w:ascii="Calibri" w:hAnsi="Calibri" w:cs="Calibri"/>
          <w:b/>
          <w:bCs/>
        </w:rPr>
      </w:pPr>
      <w:r w:rsidRPr="00F93A42">
        <w:rPr>
          <w:rFonts w:ascii="Calibri" w:hAnsi="Calibri" w:cs="Calibri"/>
          <w:b/>
          <w:bCs/>
        </w:rPr>
        <w:t>f)</w:t>
      </w:r>
      <w:r w:rsidRPr="00F93A42" w:rsidR="00652C31">
        <w:rPr>
          <w:rFonts w:ascii="Calibri" w:hAnsi="Calibri" w:cs="Calibri"/>
          <w:b/>
          <w:bCs/>
        </w:rPr>
        <w:tab/>
      </w:r>
      <w:r w:rsidRPr="00F93A42">
        <w:rPr>
          <w:rFonts w:ascii="Calibri" w:hAnsi="Calibri" w:cs="Calibri"/>
          <w:b/>
          <w:bCs/>
        </w:rPr>
        <w:t>requiring the use of a statistical data classification that has not been reviewed and approved by OMB;</w:t>
      </w:r>
    </w:p>
    <w:p w:rsidR="00B975C3" w:rsidRPr="00F93A42" w:rsidP="00652C31" w14:paraId="717E33E1" w14:textId="7C665897">
      <w:pPr>
        <w:tabs>
          <w:tab w:val="left" w:pos="720"/>
        </w:tabs>
        <w:ind w:left="720" w:hanging="360"/>
        <w:rPr>
          <w:rFonts w:ascii="Calibri" w:hAnsi="Calibri" w:cs="Calibri"/>
          <w:b/>
          <w:bCs/>
        </w:rPr>
      </w:pPr>
      <w:r w:rsidRPr="00F93A42">
        <w:rPr>
          <w:rFonts w:ascii="Calibri" w:hAnsi="Calibri" w:cs="Calibri"/>
          <w:b/>
          <w:bCs/>
        </w:rPr>
        <w:t>g)</w:t>
      </w:r>
      <w:r w:rsidRPr="00F93A42" w:rsidR="00652C31">
        <w:rPr>
          <w:rFonts w:ascii="Calibri" w:hAnsi="Calibri" w:cs="Calibri"/>
          <w:b/>
          <w:bCs/>
        </w:rPr>
        <w:tab/>
      </w:r>
      <w:r w:rsidRPr="00F93A4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B3CDB" w:rsidP="005C1B81" w14:paraId="76156560" w14:textId="2451A0FA">
      <w:pPr>
        <w:tabs>
          <w:tab w:val="left" w:pos="720"/>
        </w:tabs>
        <w:spacing w:after="0"/>
        <w:ind w:left="720" w:hanging="360"/>
        <w:rPr>
          <w:rFonts w:ascii="Calibri" w:hAnsi="Calibri" w:cs="Calibri"/>
          <w:b/>
          <w:bCs/>
        </w:rPr>
      </w:pPr>
      <w:r w:rsidRPr="00F93A42">
        <w:rPr>
          <w:rFonts w:ascii="Calibri" w:hAnsi="Calibri" w:cs="Calibri"/>
          <w:b/>
          <w:bCs/>
        </w:rPr>
        <w:t>h)</w:t>
      </w:r>
      <w:r w:rsidRPr="00F93A42" w:rsidR="00652C31">
        <w:rPr>
          <w:rFonts w:ascii="Calibri" w:hAnsi="Calibri" w:cs="Calibri"/>
          <w:b/>
          <w:bCs/>
        </w:rPr>
        <w:tab/>
      </w:r>
      <w:r w:rsidRPr="00F93A4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5C1B81" w:rsidRPr="007E2E3C" w:rsidP="005C1B81" w14:paraId="198159DB" w14:textId="77777777">
      <w:pPr>
        <w:tabs>
          <w:tab w:val="left" w:pos="720"/>
        </w:tabs>
        <w:spacing w:after="0"/>
        <w:ind w:left="720" w:hanging="360"/>
        <w:rPr>
          <w:rFonts w:ascii="Calibri" w:hAnsi="Calibri" w:cs="Calibri"/>
          <w:b/>
          <w:bCs/>
        </w:rPr>
      </w:pPr>
    </w:p>
    <w:p w:rsidR="007E2E3C" w:rsidRPr="007E2E3C" w:rsidP="003B3CDB" w14:paraId="3FDB9AA2" w14:textId="658E8D62">
      <w:pPr>
        <w:tabs>
          <w:tab w:val="left" w:pos="720"/>
        </w:tabs>
        <w:spacing w:after="0" w:line="240" w:lineRule="auto"/>
        <w:ind w:left="-86"/>
        <w:rPr>
          <w:rFonts w:ascii="Calibri" w:hAnsi="Calibri" w:cs="Calibri"/>
        </w:rPr>
      </w:pPr>
      <w:r w:rsidRPr="007E2E3C">
        <w:rPr>
          <w:rFonts w:ascii="Calibri" w:hAnsi="Calibri" w:cs="Calibri"/>
        </w:rPr>
        <w:t xml:space="preserve">The record retention provisions of TSCA section 8(c) and 40 CFR part 717 exceed the Paperwork Reduction Guidelines (5 CFR 1320.6) in that they require respondents to maintain records other than health, medical, or tax records for more than three years. TSCA section 8(c) authorizes EPA to require persons (i.e., manufacturers (including importers), processors, or distributors) to maintain records of adverse reactions to the health of employees for a period of 30 years from the date such reactions were first reported or known to the person maintaining the record. Any other record of such adverse reactions (e.g., to the environment, non-employees) is required to be retained for a period of </w:t>
      </w:r>
      <w:r w:rsidR="00AB3FF7">
        <w:rPr>
          <w:rFonts w:ascii="Calibri" w:hAnsi="Calibri" w:cs="Calibri"/>
        </w:rPr>
        <w:t>five</w:t>
      </w:r>
      <w:r w:rsidRPr="007E2E3C">
        <w:rPr>
          <w:rFonts w:ascii="Calibri" w:hAnsi="Calibri" w:cs="Calibri"/>
        </w:rPr>
        <w:t xml:space="preserve"> years. 40 CFR part 717 incorporates these record retention provisions authorized by TSCA.</w:t>
      </w:r>
    </w:p>
    <w:p w:rsidR="0036508D" w:rsidP="003B3CDB" w14:paraId="1FE649C1" w14:textId="77777777">
      <w:pPr>
        <w:tabs>
          <w:tab w:val="left" w:pos="720"/>
        </w:tabs>
        <w:spacing w:after="0" w:line="240" w:lineRule="auto"/>
        <w:ind w:left="-86"/>
        <w:rPr>
          <w:rFonts w:ascii="Calibri" w:hAnsi="Calibri" w:cs="Calibri"/>
        </w:rPr>
      </w:pPr>
    </w:p>
    <w:p w:rsidR="0036508D" w:rsidP="003B3CDB" w14:paraId="2CF1062D" w14:textId="7E2DDF7E">
      <w:pPr>
        <w:tabs>
          <w:tab w:val="left" w:pos="720"/>
        </w:tabs>
        <w:spacing w:after="0" w:line="240" w:lineRule="auto"/>
        <w:ind w:left="-86"/>
        <w:rPr>
          <w:rFonts w:ascii="Calibri" w:hAnsi="Calibri" w:cs="Calibri"/>
        </w:rPr>
      </w:pPr>
      <w:r w:rsidRPr="5F135418">
        <w:rPr>
          <w:rFonts w:ascii="Calibri" w:hAnsi="Calibri" w:cs="Calibri"/>
        </w:rPr>
        <w:t xml:space="preserve">The record retention requirements of the </w:t>
      </w:r>
      <w:r w:rsidRPr="5F135418" w:rsidR="0C824E7B">
        <w:rPr>
          <w:rFonts w:ascii="Calibri" w:hAnsi="Calibri" w:cs="Calibri"/>
        </w:rPr>
        <w:t xml:space="preserve">TSCA </w:t>
      </w:r>
      <w:r w:rsidRPr="5F135418" w:rsidR="008C251D">
        <w:rPr>
          <w:rFonts w:ascii="Calibri" w:hAnsi="Calibri" w:cs="Calibri"/>
        </w:rPr>
        <w:t>section 8(a) reporting and recordkeeping rule for asbestos (40 CFR 704.1</w:t>
      </w:r>
      <w:r w:rsidRPr="5F135418" w:rsidR="007634E7">
        <w:rPr>
          <w:rFonts w:ascii="Calibri" w:hAnsi="Calibri" w:cs="Calibri"/>
        </w:rPr>
        <w:t>8</w:t>
      </w:r>
      <w:r w:rsidRPr="5F135418" w:rsidR="008C251D">
        <w:rPr>
          <w:rFonts w:ascii="Calibri" w:hAnsi="Calibri" w:cs="Calibri"/>
        </w:rPr>
        <w:t>0</w:t>
      </w:r>
      <w:r w:rsidRPr="5F135418" w:rsidR="52E7B7F9">
        <w:rPr>
          <w:rFonts w:ascii="Calibri" w:hAnsi="Calibri" w:cs="Calibri"/>
        </w:rPr>
        <w:t>(g)</w:t>
      </w:r>
      <w:r w:rsidRPr="5F135418" w:rsidR="008C251D">
        <w:rPr>
          <w:rFonts w:ascii="Calibri" w:hAnsi="Calibri" w:cs="Calibri"/>
        </w:rPr>
        <w:t>)</w:t>
      </w:r>
      <w:r w:rsidRPr="5F135418" w:rsidR="007634E7">
        <w:rPr>
          <w:rFonts w:ascii="Calibri" w:hAnsi="Calibri" w:cs="Calibri"/>
        </w:rPr>
        <w:t xml:space="preserve"> </w:t>
      </w:r>
      <w:r w:rsidRPr="5F135418" w:rsidR="0040774E">
        <w:rPr>
          <w:rFonts w:ascii="Calibri" w:hAnsi="Calibri" w:cs="Calibri"/>
        </w:rPr>
        <w:t>require relevant records to be retained for five years beginning with the end of the submission period (</w:t>
      </w:r>
      <w:r w:rsidRPr="5F135418" w:rsidR="00913213">
        <w:rPr>
          <w:rFonts w:ascii="Calibri" w:hAnsi="Calibri" w:cs="Calibri"/>
        </w:rPr>
        <w:t>May 24, 2024).</w:t>
      </w:r>
      <w:r w:rsidRPr="5F135418" w:rsidR="00A61B43">
        <w:rPr>
          <w:rFonts w:ascii="Calibri" w:hAnsi="Calibri" w:cs="Calibri"/>
        </w:rPr>
        <w:t xml:space="preserve"> Th</w:t>
      </w:r>
      <w:r w:rsidRPr="5F135418" w:rsidR="1B2455A1">
        <w:rPr>
          <w:rFonts w:ascii="Calibri" w:hAnsi="Calibri" w:cs="Calibri"/>
        </w:rPr>
        <w:t xml:space="preserve">e information collected under </w:t>
      </w:r>
      <w:r w:rsidRPr="5F135418" w:rsidR="59B77B47">
        <w:rPr>
          <w:rFonts w:ascii="Calibri" w:hAnsi="Calibri" w:cs="Calibri"/>
        </w:rPr>
        <w:t>this</w:t>
      </w:r>
      <w:r w:rsidRPr="5F135418" w:rsidR="00A61B43">
        <w:rPr>
          <w:rFonts w:ascii="Calibri" w:hAnsi="Calibri" w:cs="Calibri"/>
        </w:rPr>
        <w:t xml:space="preserve"> rule </w:t>
      </w:r>
      <w:r w:rsidRPr="5F135418" w:rsidR="002F15E6">
        <w:rPr>
          <w:rFonts w:ascii="Calibri" w:hAnsi="Calibri" w:cs="Calibri"/>
        </w:rPr>
        <w:t>inform</w:t>
      </w:r>
      <w:r w:rsidRPr="5F135418" w:rsidR="0077205E">
        <w:rPr>
          <w:rFonts w:ascii="Calibri" w:hAnsi="Calibri" w:cs="Calibri"/>
        </w:rPr>
        <w:t>ed</w:t>
      </w:r>
      <w:r w:rsidRPr="5F135418" w:rsidR="001D38D2">
        <w:rPr>
          <w:rFonts w:ascii="Calibri" w:hAnsi="Calibri" w:cs="Calibri"/>
        </w:rPr>
        <w:t xml:space="preserve"> the </w:t>
      </w:r>
      <w:r w:rsidRPr="5F135418" w:rsidR="006E31A6">
        <w:rPr>
          <w:rFonts w:ascii="Calibri" w:hAnsi="Calibri" w:cs="Calibri"/>
        </w:rPr>
        <w:t xml:space="preserve">Part 2 asbestos </w:t>
      </w:r>
      <w:r w:rsidRPr="5F135418" w:rsidR="00F969E2">
        <w:rPr>
          <w:rFonts w:ascii="Calibri" w:hAnsi="Calibri" w:cs="Calibri"/>
        </w:rPr>
        <w:t>risk evaluation</w:t>
      </w:r>
      <w:r w:rsidRPr="5F135418" w:rsidR="0077205E">
        <w:rPr>
          <w:rFonts w:ascii="Calibri" w:hAnsi="Calibri" w:cs="Calibri"/>
        </w:rPr>
        <w:t xml:space="preserve"> (published in November 2024)</w:t>
      </w:r>
      <w:r w:rsidRPr="5F135418" w:rsidR="00F969E2">
        <w:rPr>
          <w:rFonts w:ascii="Calibri" w:hAnsi="Calibri" w:cs="Calibri"/>
        </w:rPr>
        <w:t xml:space="preserve"> and</w:t>
      </w:r>
      <w:r w:rsidRPr="5F135418" w:rsidR="0077205E">
        <w:rPr>
          <w:rFonts w:ascii="Calibri" w:hAnsi="Calibri" w:cs="Calibri"/>
        </w:rPr>
        <w:t xml:space="preserve"> </w:t>
      </w:r>
      <w:r w:rsidRPr="5F135418" w:rsidR="1C51C6B0">
        <w:rPr>
          <w:rFonts w:ascii="Calibri" w:hAnsi="Calibri" w:cs="Calibri"/>
        </w:rPr>
        <w:t xml:space="preserve">will inform </w:t>
      </w:r>
      <w:r w:rsidRPr="5F135418" w:rsidR="0077205E">
        <w:rPr>
          <w:rFonts w:ascii="Calibri" w:hAnsi="Calibri" w:cs="Calibri"/>
        </w:rPr>
        <w:t>ongoing</w:t>
      </w:r>
      <w:r w:rsidRPr="5F135418" w:rsidR="00F969E2">
        <w:rPr>
          <w:rFonts w:ascii="Calibri" w:hAnsi="Calibri" w:cs="Calibri"/>
        </w:rPr>
        <w:t xml:space="preserve"> risk management activities </w:t>
      </w:r>
      <w:r w:rsidRPr="5F135418" w:rsidR="006E31A6">
        <w:rPr>
          <w:rFonts w:ascii="Calibri" w:hAnsi="Calibri" w:cs="Calibri"/>
        </w:rPr>
        <w:t>under TSCA section 6</w:t>
      </w:r>
      <w:r w:rsidRPr="5F135418" w:rsidR="00FD40DC">
        <w:rPr>
          <w:rFonts w:ascii="Calibri" w:hAnsi="Calibri" w:cs="Calibri"/>
        </w:rPr>
        <w:t>.</w:t>
      </w:r>
      <w:r w:rsidRPr="5F135418" w:rsidR="005D6703">
        <w:rPr>
          <w:rFonts w:ascii="Calibri" w:hAnsi="Calibri" w:cs="Calibri"/>
        </w:rPr>
        <w:t xml:space="preserve"> </w:t>
      </w:r>
    </w:p>
    <w:p w:rsidR="00D30922" w:rsidP="003B3CDB" w14:paraId="51EFF50A" w14:textId="77777777">
      <w:pPr>
        <w:tabs>
          <w:tab w:val="left" w:pos="720"/>
        </w:tabs>
        <w:spacing w:after="0" w:line="240" w:lineRule="auto"/>
        <w:ind w:left="-86"/>
        <w:rPr>
          <w:rFonts w:ascii="Calibri" w:hAnsi="Calibri" w:cs="Calibri"/>
        </w:rPr>
      </w:pPr>
    </w:p>
    <w:p w:rsidR="00D30922" w:rsidRPr="007E2E3C" w:rsidP="003B3CDB" w14:paraId="2D60C51E" w14:textId="6B7A8C94">
      <w:pPr>
        <w:tabs>
          <w:tab w:val="left" w:pos="720"/>
        </w:tabs>
        <w:spacing w:after="0" w:line="240" w:lineRule="auto"/>
        <w:ind w:left="-86"/>
        <w:rPr>
          <w:rFonts w:ascii="Calibri" w:hAnsi="Calibri" w:cs="Calibri"/>
        </w:rPr>
      </w:pPr>
      <w:r>
        <w:rPr>
          <w:rFonts w:ascii="Calibri" w:hAnsi="Calibri" w:cs="Calibri"/>
        </w:rPr>
        <w:t>Respondents may also submit records with confidential business information (CBI)</w:t>
      </w:r>
      <w:r w:rsidR="00080AB3">
        <w:rPr>
          <w:rFonts w:ascii="Calibri" w:hAnsi="Calibri" w:cs="Calibri"/>
        </w:rPr>
        <w:t xml:space="preserve"> claims</w:t>
      </w:r>
      <w:r w:rsidR="0058442D">
        <w:rPr>
          <w:rFonts w:ascii="Calibri" w:hAnsi="Calibri" w:cs="Calibri"/>
        </w:rPr>
        <w:t xml:space="preserve">. </w:t>
      </w:r>
      <w:r w:rsidRPr="00FA1245" w:rsidR="00124276">
        <w:rPr>
          <w:rFonts w:ascii="Calibri" w:hAnsi="Calibri" w:cs="Calibri"/>
          <w:szCs w:val="24"/>
        </w:rPr>
        <w:t>EPA has implemented procedures to protect any confidential, trade secret</w:t>
      </w:r>
      <w:r w:rsidR="00CA6600">
        <w:rPr>
          <w:rFonts w:ascii="Calibri" w:hAnsi="Calibri" w:cs="Calibri"/>
          <w:szCs w:val="24"/>
        </w:rPr>
        <w:t>,</w:t>
      </w:r>
      <w:r w:rsidRPr="00FA1245" w:rsidR="00124276">
        <w:rPr>
          <w:rFonts w:ascii="Calibri" w:hAnsi="Calibri" w:cs="Calibri"/>
          <w:szCs w:val="24"/>
        </w:rPr>
        <w:t xml:space="preserve"> or proprietary information from disclosure. </w:t>
      </w:r>
      <w:r w:rsidR="008761DD">
        <w:rPr>
          <w:rFonts w:ascii="Calibri" w:hAnsi="Calibri" w:cs="Calibri"/>
        </w:rPr>
        <w:t xml:space="preserve">Respondents with CBI claims </w:t>
      </w:r>
      <w:r w:rsidR="003F38AA">
        <w:rPr>
          <w:rFonts w:ascii="Calibri" w:hAnsi="Calibri" w:cs="Calibri"/>
        </w:rPr>
        <w:t>must</w:t>
      </w:r>
      <w:r w:rsidR="008761DD">
        <w:rPr>
          <w:rFonts w:ascii="Calibri" w:hAnsi="Calibri" w:cs="Calibri"/>
        </w:rPr>
        <w:t xml:space="preserve"> assert and substantiate as appropriate, and EPA </w:t>
      </w:r>
      <w:r w:rsidR="003F38AA">
        <w:rPr>
          <w:rFonts w:ascii="Calibri" w:hAnsi="Calibri" w:cs="Calibri"/>
        </w:rPr>
        <w:t>reviews</w:t>
      </w:r>
      <w:r w:rsidR="008761DD">
        <w:rPr>
          <w:rFonts w:ascii="Calibri" w:hAnsi="Calibri" w:cs="Calibri"/>
        </w:rPr>
        <w:t xml:space="preserve"> and safeguard</w:t>
      </w:r>
      <w:r w:rsidR="003F38AA">
        <w:rPr>
          <w:rFonts w:ascii="Calibri" w:hAnsi="Calibri" w:cs="Calibri"/>
        </w:rPr>
        <w:t>s</w:t>
      </w:r>
      <w:r w:rsidR="008761DD">
        <w:rPr>
          <w:rFonts w:ascii="Calibri" w:hAnsi="Calibri" w:cs="Calibri"/>
        </w:rPr>
        <w:t xml:space="preserve"> such claims,</w:t>
      </w:r>
      <w:r w:rsidR="005E20CB">
        <w:rPr>
          <w:rFonts w:ascii="Calibri" w:hAnsi="Calibri" w:cs="Calibri"/>
        </w:rPr>
        <w:t xml:space="preserve"> in accordance with TSCA section 14</w:t>
      </w:r>
      <w:r w:rsidR="00080AB3">
        <w:rPr>
          <w:rFonts w:ascii="Calibri" w:hAnsi="Calibri" w:cs="Calibri"/>
        </w:rPr>
        <w:t xml:space="preserve"> and 40 CFR 703.</w:t>
      </w:r>
      <w:r w:rsidR="005E20CB">
        <w:rPr>
          <w:rFonts w:ascii="Calibri" w:hAnsi="Calibri" w:cs="Calibri"/>
        </w:rPr>
        <w:t xml:space="preserve"> </w:t>
      </w:r>
    </w:p>
    <w:p w:rsidR="00B975C3" w:rsidP="003B3CDB" w14:paraId="12F364DF" w14:textId="77777777">
      <w:pPr>
        <w:pStyle w:val="Heading2"/>
        <w:spacing w:after="0"/>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890C4C" w:rsidRPr="00890C4C" w:rsidP="00890C4C" w14:paraId="4F10C21A" w14:textId="77777777">
      <w:pPr>
        <w:spacing w:after="0"/>
      </w:pPr>
    </w:p>
    <w:p w:rsidR="00B258EC" w:rsidRPr="00F93A42" w:rsidP="003B3CDB" w14:paraId="5E41F5AA" w14:textId="6896108D">
      <w:pPr>
        <w:spacing w:after="0"/>
        <w:rPr>
          <w:rFonts w:ascii="Calibri" w:hAnsi="Calibri" w:cs="Calibri"/>
        </w:rPr>
      </w:pPr>
      <w:r w:rsidRPr="00665733">
        <w:rPr>
          <w:rFonts w:ascii="Calibri" w:hAnsi="Calibri" w:cs="Calibri"/>
          <w:b/>
          <w: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665733" w:rsidR="00B41A83">
        <w:rPr>
          <w:rFonts w:ascii="Calibri" w:hAnsi="Calibri" w:cs="Calibri"/>
          <w:b/>
          <w:i/>
        </w:rPr>
        <w:t xml:space="preserve"> </w:t>
      </w:r>
    </w:p>
    <w:p w:rsidR="009D2A59" w:rsidP="003B3CDB" w14:paraId="44D14D89" w14:textId="77777777">
      <w:pPr>
        <w:spacing w:after="0"/>
        <w:rPr>
          <w:rFonts w:ascii="Calibri" w:hAnsi="Calibri" w:cs="Calibri"/>
          <w:b/>
          <w:i/>
        </w:rPr>
      </w:pPr>
      <w:r w:rsidRPr="00665733">
        <w:rPr>
          <w:rFonts w:ascii="Calibri" w:hAnsi="Calibri" w:cs="Calibri"/>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B3CDB" w:rsidRPr="00F93A42" w:rsidP="003B3CDB" w14:paraId="616E3C75" w14:textId="77777777">
      <w:pPr>
        <w:spacing w:after="0"/>
        <w:rPr>
          <w:rFonts w:ascii="Calibri" w:hAnsi="Calibri" w:cs="Calibri"/>
        </w:rPr>
      </w:pPr>
    </w:p>
    <w:p w:rsidR="005943AA" w:rsidRPr="00F93A42" w:rsidP="005943AA" w14:paraId="505084CB" w14:textId="77E6674F">
      <w:pPr>
        <w:rPr>
          <w:rFonts w:ascii="Calibri" w:hAnsi="Calibri" w:cs="Calibri"/>
        </w:rPr>
      </w:pPr>
      <w:bookmarkStart w:id="17" w:name="_Hlk167353459"/>
      <w:r w:rsidRPr="00F93A42">
        <w:rPr>
          <w:rFonts w:ascii="Calibri" w:hAnsi="Calibri" w:cs="Calibri"/>
        </w:rPr>
        <w:t xml:space="preserve">Pursuant to 5 CFR 1320.8(d), EPA published a notice in the </w:t>
      </w:r>
      <w:r w:rsidRPr="003B3335">
        <w:rPr>
          <w:rFonts w:ascii="Calibri" w:hAnsi="Calibri" w:cs="Calibri"/>
          <w:i/>
        </w:rPr>
        <w:t>Federal Register</w:t>
      </w:r>
      <w:r w:rsidRPr="00F93A42">
        <w:rPr>
          <w:rFonts w:ascii="Calibri" w:hAnsi="Calibri" w:cs="Calibri"/>
        </w:rPr>
        <w:t xml:space="preserve"> on </w:t>
      </w:r>
      <w:r w:rsidR="00DB09B5">
        <w:rPr>
          <w:rFonts w:ascii="Calibri" w:hAnsi="Calibri" w:cs="Calibri"/>
        </w:rPr>
        <w:t>May 9, 2025</w:t>
      </w:r>
      <w:r w:rsidRPr="00DE69ED">
        <w:rPr>
          <w:rFonts w:ascii="Calibri" w:hAnsi="Calibri" w:cs="Calibri"/>
        </w:rPr>
        <w:t>, (</w:t>
      </w:r>
      <w:r w:rsidRPr="00DE69ED" w:rsidR="00DB09B5">
        <w:rPr>
          <w:rFonts w:ascii="Calibri" w:hAnsi="Calibri" w:cs="Calibri"/>
        </w:rPr>
        <w:t xml:space="preserve">90 </w:t>
      </w:r>
      <w:r w:rsidRPr="00DE69ED">
        <w:rPr>
          <w:rFonts w:ascii="Calibri" w:hAnsi="Calibri" w:cs="Calibri"/>
        </w:rPr>
        <w:t xml:space="preserve">FR </w:t>
      </w:r>
      <w:r w:rsidRPr="00DE69ED" w:rsidR="00DB09B5">
        <w:rPr>
          <w:rFonts w:ascii="Calibri" w:hAnsi="Calibri" w:cs="Calibri"/>
        </w:rPr>
        <w:t>19715</w:t>
      </w:r>
      <w:r w:rsidR="00046A91">
        <w:rPr>
          <w:rFonts w:ascii="Calibri" w:hAnsi="Calibri" w:cs="Calibri"/>
        </w:rPr>
        <w:t xml:space="preserve"> (</w:t>
      </w:r>
      <w:r w:rsidRPr="00DE69ED">
        <w:rPr>
          <w:rFonts w:ascii="Calibri" w:hAnsi="Calibri" w:cs="Calibri"/>
        </w:rPr>
        <w:t>FRL-</w:t>
      </w:r>
      <w:r w:rsidRPr="00DE69ED" w:rsidR="00DB09B5">
        <w:rPr>
          <w:rFonts w:ascii="Calibri" w:hAnsi="Calibri" w:cs="Calibri"/>
        </w:rPr>
        <w:t>12357</w:t>
      </w:r>
      <w:r w:rsidRPr="00DE69ED">
        <w:rPr>
          <w:rFonts w:ascii="Calibri" w:hAnsi="Calibri" w:cs="Calibri"/>
        </w:rPr>
        <w:t>-01-OCSPP</w:t>
      </w:r>
      <w:r w:rsidRPr="00F93A42">
        <w:rPr>
          <w:rFonts w:ascii="Calibri" w:hAnsi="Calibri" w:cs="Calibri"/>
        </w:rPr>
        <w:t>)</w:t>
      </w:r>
      <w:r w:rsidR="00046A91">
        <w:rPr>
          <w:rFonts w:ascii="Calibri" w:hAnsi="Calibri" w:cs="Calibri"/>
        </w:rPr>
        <w:t>)</w:t>
      </w:r>
      <w:r w:rsidRPr="00F93A42">
        <w:rPr>
          <w:rFonts w:ascii="Calibri" w:hAnsi="Calibri" w:cs="Calibri"/>
        </w:rPr>
        <w:t xml:space="preserve">, announcing the planned renewal of this information </w:t>
      </w:r>
      <w:r w:rsidRPr="00F93A42">
        <w:rPr>
          <w:rFonts w:ascii="Calibri" w:hAnsi="Calibri" w:cs="Calibri"/>
        </w:rPr>
        <w:t>collection activity, soliciting public comment on specific aspects of the ICR and providing a 60-day public comment period.</w:t>
      </w:r>
    </w:p>
    <w:p w:rsidR="005943AA" w:rsidRPr="00F93A42" w:rsidP="005943AA" w14:paraId="3C0344FA" w14:textId="7D7EBC58">
      <w:pPr>
        <w:rPr>
          <w:rFonts w:ascii="Calibri" w:hAnsi="Calibri" w:cs="Calibri"/>
        </w:rPr>
      </w:pPr>
      <w:r w:rsidRPr="00F93A42">
        <w:rPr>
          <w:rFonts w:ascii="Calibri" w:hAnsi="Calibri" w:cs="Calibri"/>
        </w:rPr>
        <w:t xml:space="preserve">The EPA also consulted </w:t>
      </w:r>
      <w:r w:rsidR="00AC0DA6">
        <w:rPr>
          <w:rFonts w:ascii="Calibri" w:hAnsi="Calibri" w:cs="Calibri"/>
        </w:rPr>
        <w:t xml:space="preserve">9 </w:t>
      </w:r>
      <w:r w:rsidRPr="00F93A42">
        <w:rPr>
          <w:rFonts w:ascii="Calibri" w:hAnsi="Calibri" w:cs="Calibri"/>
        </w:rPr>
        <w:t>stakeholders, specifically asking them for their assessment of the regulatory burden estimates expressed by the Agency in this ICR (</w:t>
      </w:r>
      <w:r w:rsidRPr="003B3335">
        <w:rPr>
          <w:rFonts w:ascii="Calibri" w:hAnsi="Calibri" w:cs="Calibri"/>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3B3335">
        <w:rPr>
          <w:rFonts w:ascii="Calibri" w:hAnsi="Calibri" w:cs="Calibri"/>
        </w:rPr>
        <w:t xml:space="preserve"> </w:t>
      </w:r>
      <w:r w:rsidRPr="003B3335" w:rsidR="003B3335">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F</w:t>
      </w:r>
      <w:r w:rsidRPr="00F93A42">
        <w:rPr>
          <w:rFonts w:ascii="Calibri" w:hAnsi="Calibri" w:cs="Calibri"/>
        </w:rPr>
        <w:t xml:space="preserve">). </w:t>
      </w:r>
      <w:bookmarkStart w:id="18" w:name="_Hlk172121000"/>
      <w:r w:rsidRPr="00F93A42">
        <w:rPr>
          <w:rFonts w:ascii="Calibri" w:hAnsi="Calibri" w:cs="Calibri"/>
        </w:rPr>
        <w:t>The stakeholders consulted were:</w:t>
      </w:r>
      <w:bookmarkEnd w:id="18"/>
    </w:p>
    <w:bookmarkEnd w:id="17"/>
    <w:p w:rsidR="004C1131" w:rsidP="005943AA" w14:paraId="51D5DC76" w14:textId="63E281C9">
      <w:pPr>
        <w:pStyle w:val="ListParagraph"/>
        <w:numPr>
          <w:ilvl w:val="0"/>
          <w:numId w:val="23"/>
        </w:numPr>
        <w:rPr>
          <w:rFonts w:ascii="Calibri" w:hAnsi="Calibri" w:cs="Calibri"/>
        </w:rPr>
      </w:pPr>
      <w:r>
        <w:rPr>
          <w:rFonts w:ascii="Calibri" w:hAnsi="Calibri" w:cs="Calibri"/>
        </w:rPr>
        <w:t>Andersen Development Company</w:t>
      </w:r>
    </w:p>
    <w:p w:rsidR="005943AA" w:rsidRPr="00F93A42" w:rsidP="005943AA" w14:paraId="6479ED81" w14:textId="01A8368D">
      <w:pPr>
        <w:pStyle w:val="ListParagraph"/>
        <w:numPr>
          <w:ilvl w:val="0"/>
          <w:numId w:val="23"/>
        </w:numPr>
        <w:rPr>
          <w:rFonts w:ascii="Calibri" w:hAnsi="Calibri" w:cs="Calibri"/>
        </w:rPr>
      </w:pPr>
      <w:r>
        <w:rPr>
          <w:rFonts w:ascii="Calibri" w:hAnsi="Calibri" w:cs="Calibri"/>
        </w:rPr>
        <w:t>American Chemistry Council</w:t>
      </w:r>
      <w:r w:rsidR="00BD4A82">
        <w:rPr>
          <w:rFonts w:ascii="Calibri" w:hAnsi="Calibri" w:cs="Calibri"/>
        </w:rPr>
        <w:t xml:space="preserve"> (ACC)</w:t>
      </w:r>
    </w:p>
    <w:p w:rsidR="005943AA" w:rsidRPr="00F93A42" w:rsidP="005943AA" w14:paraId="34996107" w14:textId="2E4F9963">
      <w:pPr>
        <w:pStyle w:val="ListParagraph"/>
        <w:numPr>
          <w:ilvl w:val="0"/>
          <w:numId w:val="23"/>
        </w:numPr>
        <w:rPr>
          <w:rFonts w:ascii="Calibri" w:hAnsi="Calibri" w:cs="Calibri"/>
        </w:rPr>
      </w:pPr>
      <w:r>
        <w:rPr>
          <w:rFonts w:ascii="Calibri" w:hAnsi="Calibri" w:cs="Calibri"/>
        </w:rPr>
        <w:t>AOC LLC</w:t>
      </w:r>
    </w:p>
    <w:p w:rsidR="005943AA" w:rsidRPr="00F93A42" w:rsidP="005943AA" w14:paraId="7B2C2A59" w14:textId="2D1CA0F1">
      <w:pPr>
        <w:pStyle w:val="ListParagraph"/>
        <w:numPr>
          <w:ilvl w:val="0"/>
          <w:numId w:val="23"/>
        </w:numPr>
        <w:rPr>
          <w:rFonts w:ascii="Calibri" w:hAnsi="Calibri" w:cs="Calibri"/>
        </w:rPr>
      </w:pPr>
      <w:r>
        <w:rPr>
          <w:rFonts w:ascii="Calibri" w:hAnsi="Calibri" w:cs="Calibri"/>
        </w:rPr>
        <w:t>BASF</w:t>
      </w:r>
    </w:p>
    <w:p w:rsidR="005943AA" w:rsidP="005943AA" w14:paraId="68618C3E" w14:textId="48C4DFC9">
      <w:pPr>
        <w:pStyle w:val="ListParagraph"/>
        <w:numPr>
          <w:ilvl w:val="0"/>
          <w:numId w:val="23"/>
        </w:numPr>
        <w:rPr>
          <w:rFonts w:ascii="Calibri" w:hAnsi="Calibri" w:cs="Calibri"/>
        </w:rPr>
      </w:pPr>
      <w:r>
        <w:rPr>
          <w:rFonts w:ascii="Calibri" w:hAnsi="Calibri" w:cs="Calibri"/>
        </w:rPr>
        <w:t>Bergeson &amp; Campbell</w:t>
      </w:r>
    </w:p>
    <w:p w:rsidR="004C1131" w:rsidP="005943AA" w14:paraId="0528BECE" w14:textId="76791B8D">
      <w:pPr>
        <w:pStyle w:val="ListParagraph"/>
        <w:numPr>
          <w:ilvl w:val="0"/>
          <w:numId w:val="23"/>
        </w:numPr>
        <w:rPr>
          <w:rFonts w:ascii="Calibri" w:hAnsi="Calibri" w:cs="Calibri"/>
        </w:rPr>
      </w:pPr>
      <w:r>
        <w:rPr>
          <w:rFonts w:ascii="Calibri" w:hAnsi="Calibri" w:cs="Calibri"/>
        </w:rPr>
        <w:t>DuPont</w:t>
      </w:r>
    </w:p>
    <w:p w:rsidR="004C1131" w:rsidP="005943AA" w14:paraId="603A9430" w14:textId="4B5B41BC">
      <w:pPr>
        <w:pStyle w:val="ListParagraph"/>
        <w:numPr>
          <w:ilvl w:val="0"/>
          <w:numId w:val="23"/>
        </w:numPr>
        <w:rPr>
          <w:rFonts w:ascii="Calibri" w:hAnsi="Calibri" w:cs="Calibri"/>
        </w:rPr>
      </w:pPr>
      <w:r>
        <w:rPr>
          <w:rFonts w:ascii="Calibri" w:hAnsi="Calibri" w:cs="Calibri"/>
        </w:rPr>
        <w:t>Keller and Heckman LLP</w:t>
      </w:r>
    </w:p>
    <w:p w:rsidR="004C1131" w:rsidP="005943AA" w14:paraId="7C7EE0CC" w14:textId="36D338E6">
      <w:pPr>
        <w:pStyle w:val="ListParagraph"/>
        <w:numPr>
          <w:ilvl w:val="0"/>
          <w:numId w:val="23"/>
        </w:numPr>
        <w:rPr>
          <w:rFonts w:ascii="Calibri" w:hAnsi="Calibri" w:cs="Calibri"/>
        </w:rPr>
      </w:pPr>
      <w:r>
        <w:rPr>
          <w:rFonts w:ascii="Calibri" w:hAnsi="Calibri" w:cs="Calibri"/>
        </w:rPr>
        <w:t>Olin Corporation</w:t>
      </w:r>
    </w:p>
    <w:p w:rsidR="004C1131" w:rsidRPr="004C1131" w:rsidP="004C1131" w14:paraId="11F3B83B" w14:textId="46013175">
      <w:pPr>
        <w:pStyle w:val="ListParagraph"/>
        <w:numPr>
          <w:ilvl w:val="0"/>
          <w:numId w:val="23"/>
        </w:numPr>
        <w:rPr>
          <w:rFonts w:ascii="Calibri" w:hAnsi="Calibri" w:cs="Calibri"/>
        </w:rPr>
      </w:pPr>
      <w:r>
        <w:rPr>
          <w:rFonts w:ascii="Calibri" w:hAnsi="Calibri" w:cs="Calibri"/>
        </w:rPr>
        <w:t>Society of Chemical Manufacturers &amp; Affiliates</w:t>
      </w:r>
    </w:p>
    <w:p w:rsidR="00243B96" w:rsidP="00C848C7" w14:paraId="4C4FC5F2" w14:textId="77777777">
      <w:pPr>
        <w:rPr>
          <w:rFonts w:ascii="Calibri" w:hAnsi="Calibri" w:cs="Calibri"/>
        </w:rPr>
      </w:pPr>
      <w:r w:rsidRPr="00ED32BC">
        <w:rPr>
          <w:rFonts w:ascii="Calibri" w:hAnsi="Calibri" w:cs="Calibri"/>
        </w:rPr>
        <w:t xml:space="preserve">Of those consulted, EPA received </w:t>
      </w:r>
      <w:r w:rsidR="007709FC">
        <w:rPr>
          <w:rFonts w:ascii="Calibri" w:hAnsi="Calibri" w:cs="Calibri"/>
        </w:rPr>
        <w:t>responses</w:t>
      </w:r>
      <w:r w:rsidRPr="00ED32BC">
        <w:rPr>
          <w:rFonts w:ascii="Calibri" w:hAnsi="Calibri" w:cs="Calibri"/>
        </w:rPr>
        <w:t xml:space="preserve"> from DuPont and ACC (Attachment G). </w:t>
      </w:r>
      <w:r w:rsidR="007709FC">
        <w:rPr>
          <w:rFonts w:ascii="Calibri" w:hAnsi="Calibri" w:cs="Calibri"/>
        </w:rPr>
        <w:t>The response</w:t>
      </w:r>
      <w:r w:rsidRPr="00ED32BC">
        <w:rPr>
          <w:rFonts w:ascii="Calibri" w:hAnsi="Calibri" w:cs="Calibri"/>
        </w:rPr>
        <w:t xml:space="preserve"> from DuPont stated that they disagreed with EPA’s assumption that there are no capital costs associated with this activity, and they suggested that EPA improve both CDX and guidance documents.</w:t>
      </w:r>
      <w:r w:rsidR="007709FC">
        <w:rPr>
          <w:rFonts w:ascii="Calibri" w:hAnsi="Calibri" w:cs="Calibri"/>
        </w:rPr>
        <w:t xml:space="preserve"> EPA </w:t>
      </w:r>
      <w:r w:rsidR="00813C8A">
        <w:rPr>
          <w:rFonts w:ascii="Calibri" w:hAnsi="Calibri" w:cs="Calibri"/>
        </w:rPr>
        <w:t>disagrees with</w:t>
      </w:r>
      <w:r w:rsidR="00323471">
        <w:rPr>
          <w:rFonts w:ascii="Calibri" w:hAnsi="Calibri" w:cs="Calibri"/>
        </w:rPr>
        <w:t xml:space="preserve"> the statement that</w:t>
      </w:r>
      <w:r w:rsidR="00813C8A">
        <w:rPr>
          <w:rFonts w:ascii="Calibri" w:hAnsi="Calibri" w:cs="Calibri"/>
        </w:rPr>
        <w:t xml:space="preserve"> capital costs </w:t>
      </w:r>
      <w:r w:rsidR="00735FDC">
        <w:rPr>
          <w:rFonts w:ascii="Calibri" w:hAnsi="Calibri" w:cs="Calibri"/>
        </w:rPr>
        <w:t xml:space="preserve">are </w:t>
      </w:r>
      <w:r w:rsidR="00813C8A">
        <w:rPr>
          <w:rFonts w:ascii="Calibri" w:hAnsi="Calibri" w:cs="Calibri"/>
        </w:rPr>
        <w:t xml:space="preserve">required </w:t>
      </w:r>
      <w:r w:rsidR="00323471">
        <w:rPr>
          <w:rFonts w:ascii="Calibri" w:hAnsi="Calibri" w:cs="Calibri"/>
        </w:rPr>
        <w:t>to respond to</w:t>
      </w:r>
      <w:r w:rsidR="00813C8A">
        <w:rPr>
          <w:rFonts w:ascii="Calibri" w:hAnsi="Calibri" w:cs="Calibri"/>
        </w:rPr>
        <w:t xml:space="preserve"> this activity</w:t>
      </w:r>
      <w:r w:rsidR="00735FDC">
        <w:rPr>
          <w:rFonts w:ascii="Calibri" w:hAnsi="Calibri" w:cs="Calibri"/>
        </w:rPr>
        <w:t>, though companies may opt to make such expenditures at their discretion.</w:t>
      </w:r>
      <w:r w:rsidR="00987076">
        <w:rPr>
          <w:rFonts w:ascii="Calibri" w:hAnsi="Calibri" w:cs="Calibri"/>
        </w:rPr>
        <w:t xml:space="preserve"> However, EPA appreciates DuPont’s points related to improved CDX and guidance documents; see EPA’s response below </w:t>
      </w:r>
      <w:r>
        <w:rPr>
          <w:rFonts w:ascii="Calibri" w:hAnsi="Calibri" w:cs="Calibri"/>
        </w:rPr>
        <w:t>to another comment regarding guidance documents.</w:t>
      </w:r>
    </w:p>
    <w:p w:rsidR="00ED32BC" w:rsidP="00C848C7" w14:paraId="53672B96" w14:textId="13AC2DE5">
      <w:pPr>
        <w:rPr>
          <w:rFonts w:ascii="Calibri" w:hAnsi="Calibri" w:cs="Calibri"/>
        </w:rPr>
      </w:pPr>
      <w:r>
        <w:rPr>
          <w:rFonts w:ascii="Calibri" w:hAnsi="Calibri" w:cs="Calibri"/>
        </w:rPr>
        <w:t>The response</w:t>
      </w:r>
      <w:r w:rsidRPr="00ED32BC">
        <w:rPr>
          <w:rFonts w:ascii="Calibri" w:hAnsi="Calibri" w:cs="Calibri"/>
        </w:rPr>
        <w:t xml:space="preserve"> from ACC requested that the Agency adjust its burden analysis by updating the labor wage rates to reflect more work from technical experts than clerical staff, though they agreed no capital costs are associated with this activity. EPA appreciates the suggestion related to the labor wage rates, but given that clerical burden contributes a small portion to the overall burden as estimated by EPA and because the comment did not identify how much of the clerical burden should be shifted, EPA is not revising the burden at this time. </w:t>
      </w:r>
    </w:p>
    <w:p w:rsidR="002E15BB" w:rsidRPr="00F13377" w:rsidP="00C848C7" w14:paraId="0C0F0490" w14:textId="38968381">
      <w:pPr>
        <w:rPr>
          <w:rFonts w:ascii="Calibri" w:hAnsi="Calibri" w:cs="Calibri"/>
        </w:rPr>
      </w:pPr>
      <w:r w:rsidRPr="5F135418">
        <w:rPr>
          <w:rFonts w:ascii="Calibri" w:hAnsi="Calibri" w:cs="Calibri"/>
        </w:rPr>
        <w:t xml:space="preserve">EPA also received a comment </w:t>
      </w:r>
      <w:r w:rsidRPr="5F135418" w:rsidR="0077740B">
        <w:rPr>
          <w:rFonts w:ascii="Calibri" w:hAnsi="Calibri" w:cs="Calibri"/>
        </w:rPr>
        <w:t xml:space="preserve">in the public docket </w:t>
      </w:r>
      <w:r w:rsidRPr="5F135418">
        <w:rPr>
          <w:rFonts w:ascii="Calibri" w:hAnsi="Calibri" w:cs="Calibri"/>
        </w:rPr>
        <w:t>during the comment period from ACC</w:t>
      </w:r>
      <w:r w:rsidR="004B1C54">
        <w:rPr>
          <w:rFonts w:ascii="Calibri" w:hAnsi="Calibri" w:cs="Calibri"/>
        </w:rPr>
        <w:t xml:space="preserve"> (Attached </w:t>
      </w:r>
      <w:r w:rsidR="0058132E">
        <w:rPr>
          <w:rFonts w:ascii="Calibri" w:hAnsi="Calibri" w:cs="Calibri"/>
        </w:rPr>
        <w:t>H)</w:t>
      </w:r>
      <w:r w:rsidRPr="5F135418">
        <w:rPr>
          <w:rFonts w:ascii="Calibri" w:hAnsi="Calibri" w:cs="Calibri"/>
        </w:rPr>
        <w:t xml:space="preserve">. </w:t>
      </w:r>
      <w:r w:rsidRPr="5F135418" w:rsidR="0077740B">
        <w:rPr>
          <w:rFonts w:ascii="Calibri" w:hAnsi="Calibri" w:cs="Calibri"/>
        </w:rPr>
        <w:t>The comment</w:t>
      </w:r>
      <w:r w:rsidRPr="5F135418">
        <w:rPr>
          <w:rFonts w:ascii="Calibri" w:hAnsi="Calibri" w:cs="Calibri"/>
        </w:rPr>
        <w:t xml:space="preserve"> provided general </w:t>
      </w:r>
      <w:r w:rsidRPr="5F135418" w:rsidR="00A1353E">
        <w:rPr>
          <w:rFonts w:ascii="Calibri" w:hAnsi="Calibri" w:cs="Calibri"/>
        </w:rPr>
        <w:t>feedback</w:t>
      </w:r>
      <w:r w:rsidRPr="5F135418">
        <w:rPr>
          <w:rFonts w:ascii="Calibri" w:hAnsi="Calibri" w:cs="Calibri"/>
        </w:rPr>
        <w:t xml:space="preserve"> on some of the </w:t>
      </w:r>
      <w:r w:rsidRPr="5F135418" w:rsidR="42E3BF0B">
        <w:rPr>
          <w:rFonts w:ascii="Calibri" w:hAnsi="Calibri" w:cs="Calibri"/>
        </w:rPr>
        <w:t>TSCA s</w:t>
      </w:r>
      <w:r w:rsidRPr="5F135418">
        <w:rPr>
          <w:rFonts w:ascii="Calibri" w:hAnsi="Calibri" w:cs="Calibri"/>
        </w:rPr>
        <w:t xml:space="preserve">ection 8 rules that have been promulgated recently, including those under other ICRs. </w:t>
      </w:r>
      <w:r w:rsidR="007709FC">
        <w:rPr>
          <w:rFonts w:ascii="Calibri" w:hAnsi="Calibri" w:cs="Calibri"/>
        </w:rPr>
        <w:t>Topics</w:t>
      </w:r>
      <w:r w:rsidRPr="5F135418">
        <w:rPr>
          <w:rFonts w:ascii="Calibri" w:hAnsi="Calibri" w:cs="Calibri"/>
        </w:rPr>
        <w:t xml:space="preserve"> included opposition to the omission of certain </w:t>
      </w:r>
      <w:r w:rsidRPr="5F135418" w:rsidR="74807288">
        <w:rPr>
          <w:rFonts w:ascii="Calibri" w:hAnsi="Calibri" w:cs="Calibri"/>
        </w:rPr>
        <w:t>TSCA s</w:t>
      </w:r>
      <w:r w:rsidRPr="5F135418">
        <w:rPr>
          <w:rFonts w:ascii="Calibri" w:hAnsi="Calibri" w:cs="Calibri"/>
        </w:rPr>
        <w:t>ection 8 rules in this ICR</w:t>
      </w:r>
      <w:r w:rsidRPr="5F135418" w:rsidR="00A5237F">
        <w:rPr>
          <w:rFonts w:ascii="Calibri" w:hAnsi="Calibri" w:cs="Calibri"/>
        </w:rPr>
        <w:t xml:space="preserve"> renewal</w:t>
      </w:r>
      <w:r w:rsidRPr="5F135418">
        <w:rPr>
          <w:rFonts w:ascii="Calibri" w:hAnsi="Calibri" w:cs="Calibri"/>
        </w:rPr>
        <w:t xml:space="preserve">, lack of updated guidance on the </w:t>
      </w:r>
      <w:r w:rsidRPr="5F135418" w:rsidR="00893380">
        <w:rPr>
          <w:rFonts w:ascii="Calibri" w:hAnsi="Calibri" w:cs="Calibri"/>
        </w:rPr>
        <w:t xml:space="preserve">TSCA </w:t>
      </w:r>
      <w:r w:rsidRPr="5F135418" w:rsidR="1F68C54C">
        <w:rPr>
          <w:rFonts w:ascii="Calibri" w:hAnsi="Calibri" w:cs="Calibri"/>
        </w:rPr>
        <w:t>s</w:t>
      </w:r>
      <w:r w:rsidRPr="5F135418">
        <w:rPr>
          <w:rFonts w:ascii="Calibri" w:hAnsi="Calibri" w:cs="Calibri"/>
        </w:rPr>
        <w:t xml:space="preserve">ection 8(d) rule, and challenges with submitting data over EPA’s IT platform. </w:t>
      </w:r>
    </w:p>
    <w:p w:rsidR="00FC03D2" w:rsidP="00193A58" w14:paraId="094B1535" w14:textId="77777777">
      <w:pPr>
        <w:rPr>
          <w:rFonts w:ascii="Calibri" w:hAnsi="Calibri" w:cs="Calibri"/>
        </w:rPr>
      </w:pPr>
      <w:r w:rsidRPr="5F135418">
        <w:rPr>
          <w:rFonts w:ascii="Calibri" w:hAnsi="Calibri" w:cs="Calibri"/>
        </w:rPr>
        <w:t xml:space="preserve">In response to </w:t>
      </w:r>
      <w:r w:rsidRPr="5F135418" w:rsidR="00490BA8">
        <w:rPr>
          <w:rFonts w:ascii="Calibri" w:hAnsi="Calibri" w:cs="Calibri"/>
        </w:rPr>
        <w:t xml:space="preserve">the </w:t>
      </w:r>
      <w:r w:rsidR="00561FA8">
        <w:rPr>
          <w:rFonts w:ascii="Calibri" w:hAnsi="Calibri" w:cs="Calibri"/>
        </w:rPr>
        <w:t xml:space="preserve">docket </w:t>
      </w:r>
      <w:r w:rsidRPr="5F135418" w:rsidR="00490BA8">
        <w:rPr>
          <w:rFonts w:ascii="Calibri" w:hAnsi="Calibri" w:cs="Calibri"/>
        </w:rPr>
        <w:t xml:space="preserve">comment from ACC the Agency notes </w:t>
      </w:r>
      <w:r w:rsidRPr="5F135418" w:rsidR="00C848C7">
        <w:rPr>
          <w:rFonts w:ascii="Calibri" w:hAnsi="Calibri" w:cs="Calibri"/>
        </w:rPr>
        <w:t xml:space="preserve">the following: </w:t>
      </w:r>
      <w:r w:rsidRPr="5F135418" w:rsidR="00C848C7">
        <w:rPr>
          <w:rFonts w:ascii="Calibri" w:eastAsia="Times New Roman" w:hAnsi="Calibri" w:cs="Calibri"/>
        </w:rPr>
        <w:t xml:space="preserve">This proposed </w:t>
      </w:r>
      <w:r w:rsidRPr="5F135418" w:rsidR="004D34B4">
        <w:rPr>
          <w:rFonts w:ascii="Calibri" w:eastAsia="Times New Roman" w:hAnsi="Calibri" w:cs="Calibri"/>
        </w:rPr>
        <w:t>renewal</w:t>
      </w:r>
      <w:r w:rsidRPr="5F135418" w:rsidR="00C848C7">
        <w:rPr>
          <w:rFonts w:ascii="Calibri" w:eastAsia="Times New Roman" w:hAnsi="Calibri" w:cs="Calibri"/>
        </w:rPr>
        <w:t xml:space="preserve"> does not aim to include all </w:t>
      </w:r>
      <w:r w:rsidRPr="5F135418" w:rsidR="5298E057">
        <w:rPr>
          <w:rFonts w:ascii="Calibri" w:eastAsia="Times New Roman" w:hAnsi="Calibri" w:cs="Calibri"/>
        </w:rPr>
        <w:t>TSCA s</w:t>
      </w:r>
      <w:r w:rsidRPr="5F135418" w:rsidR="00C848C7">
        <w:rPr>
          <w:rFonts w:ascii="Calibri" w:eastAsia="Times New Roman" w:hAnsi="Calibri" w:cs="Calibri"/>
        </w:rPr>
        <w:t xml:space="preserve">ection 8 rules. </w:t>
      </w:r>
      <w:r w:rsidRPr="5F135418" w:rsidR="00CA2582">
        <w:rPr>
          <w:rFonts w:ascii="Calibri" w:eastAsia="Times New Roman" w:hAnsi="Calibri" w:cs="Calibri"/>
        </w:rPr>
        <w:t xml:space="preserve">For instance, the </w:t>
      </w:r>
      <w:r w:rsidRPr="5F135418" w:rsidR="00696A47">
        <w:rPr>
          <w:rFonts w:ascii="Calibri" w:eastAsia="Times New Roman" w:hAnsi="Calibri" w:cs="Calibri"/>
        </w:rPr>
        <w:t xml:space="preserve">rule-related ICR </w:t>
      </w:r>
      <w:r w:rsidRPr="5F135418" w:rsidR="00CC2C84">
        <w:rPr>
          <w:rFonts w:ascii="Calibri" w:eastAsia="Times New Roman" w:hAnsi="Calibri" w:cs="Calibri"/>
        </w:rPr>
        <w:t xml:space="preserve">(EPA ICR </w:t>
      </w:r>
      <w:r w:rsidRPr="5F135418" w:rsidR="00CC2C84">
        <w:rPr>
          <w:rFonts w:ascii="Calibri" w:hAnsi="Calibri" w:cs="Calibri"/>
        </w:rPr>
        <w:t xml:space="preserve">No. 2682.02 OMB Control No. 2070-0217) </w:t>
      </w:r>
      <w:r w:rsidRPr="5F135418" w:rsidR="00696A47">
        <w:rPr>
          <w:rFonts w:ascii="Calibri" w:hAnsi="Calibri" w:cs="Calibri"/>
        </w:rPr>
        <w:t>associated with</w:t>
      </w:r>
      <w:r w:rsidRPr="5F135418" w:rsidR="00C848C7">
        <w:rPr>
          <w:rFonts w:ascii="Calibri" w:hAnsi="Calibri" w:cs="Calibri"/>
        </w:rPr>
        <w:t xml:space="preserve"> the </w:t>
      </w:r>
      <w:r w:rsidRPr="5F135418" w:rsidR="000236E3">
        <w:rPr>
          <w:rFonts w:ascii="Calibri" w:hAnsi="Calibri" w:cs="Calibri"/>
        </w:rPr>
        <w:t>final rule “</w:t>
      </w:r>
      <w:r w:rsidRPr="5F135418" w:rsidR="004D34B4">
        <w:rPr>
          <w:rFonts w:ascii="Calibri" w:hAnsi="Calibri" w:cs="Calibri"/>
        </w:rPr>
        <w:t xml:space="preserve">TSCA </w:t>
      </w:r>
      <w:r w:rsidRPr="5F135418" w:rsidR="00C848C7">
        <w:rPr>
          <w:rFonts w:ascii="Calibri" w:hAnsi="Calibri" w:cs="Calibri"/>
        </w:rPr>
        <w:t>section 8(a)</w:t>
      </w:r>
    </w:p>
    <w:p w:rsidR="00FC03D2" w:rsidP="00193A58" w14:paraId="66893335" w14:textId="77777777">
      <w:pPr>
        <w:rPr>
          <w:rFonts w:ascii="Calibri" w:hAnsi="Calibri" w:cs="Calibri"/>
        </w:rPr>
      </w:pPr>
    </w:p>
    <w:p w:rsidR="00C848C7" w:rsidRPr="00F13377" w:rsidP="00193A58" w14:paraId="36090F3D" w14:textId="20793F96">
      <w:pPr>
        <w:rPr>
          <w:rFonts w:ascii="Calibri" w:hAnsi="Calibri" w:cs="Calibri"/>
        </w:rPr>
      </w:pPr>
      <w:r w:rsidRPr="5F135418">
        <w:rPr>
          <w:rFonts w:ascii="Calibri" w:hAnsi="Calibri" w:cs="Calibri"/>
        </w:rPr>
        <w:t xml:space="preserve">(7) </w:t>
      </w:r>
      <w:r w:rsidRPr="5F135418" w:rsidR="00C27466">
        <w:rPr>
          <w:rFonts w:ascii="Calibri" w:hAnsi="Calibri" w:cs="Calibri"/>
        </w:rPr>
        <w:t xml:space="preserve">Reporting and Recordkeeping Requirements for </w:t>
      </w:r>
      <w:r w:rsidRPr="5F135418" w:rsidR="009862C0">
        <w:rPr>
          <w:rFonts w:ascii="Calibri" w:hAnsi="Calibri" w:cs="Calibri"/>
        </w:rPr>
        <w:t>Perfluoroalkyl and Polyfluoroalkyl Substances;</w:t>
      </w:r>
      <w:r w:rsidRPr="5F135418">
        <w:rPr>
          <w:rFonts w:ascii="Calibri" w:hAnsi="Calibri" w:cs="Calibri"/>
        </w:rPr>
        <w:t xml:space="preserve"> </w:t>
      </w:r>
      <w:r w:rsidRPr="5F135418" w:rsidR="004D34B4">
        <w:rPr>
          <w:rFonts w:ascii="Calibri" w:hAnsi="Calibri" w:cs="Calibri"/>
        </w:rPr>
        <w:t xml:space="preserve">published on </w:t>
      </w:r>
      <w:r w:rsidRPr="5F135418" w:rsidR="00DD1680">
        <w:rPr>
          <w:rFonts w:ascii="Calibri" w:hAnsi="Calibri" w:cs="Calibri"/>
        </w:rPr>
        <w:t xml:space="preserve">October </w:t>
      </w:r>
      <w:r w:rsidRPr="5F135418" w:rsidR="002F3EB0">
        <w:rPr>
          <w:rFonts w:ascii="Calibri" w:hAnsi="Calibri" w:cs="Calibri"/>
        </w:rPr>
        <w:t xml:space="preserve">11, 2023 </w:t>
      </w:r>
      <w:r w:rsidRPr="5F135418" w:rsidR="00F37636">
        <w:rPr>
          <w:rFonts w:ascii="Calibri" w:hAnsi="Calibri" w:cs="Calibri"/>
        </w:rPr>
        <w:t>(</w:t>
      </w:r>
      <w:r w:rsidRPr="5F135418" w:rsidR="00B11D17">
        <w:rPr>
          <w:rFonts w:ascii="Calibri" w:hAnsi="Calibri" w:cs="Calibri"/>
        </w:rPr>
        <w:t>88 FR 70516</w:t>
      </w:r>
      <w:r w:rsidR="006E43C0">
        <w:rPr>
          <w:rFonts w:ascii="Calibri" w:hAnsi="Calibri" w:cs="Calibri"/>
        </w:rPr>
        <w:t xml:space="preserve"> </w:t>
      </w:r>
      <w:r w:rsidRPr="5F135418" w:rsidR="004D34B4">
        <w:rPr>
          <w:rFonts w:ascii="Calibri" w:hAnsi="Calibri" w:cs="Calibri"/>
        </w:rPr>
        <w:t>(FRL-</w:t>
      </w:r>
      <w:r w:rsidRPr="5F135418" w:rsidR="00B11D17">
        <w:rPr>
          <w:rFonts w:ascii="Calibri" w:hAnsi="Calibri" w:cs="Calibri"/>
        </w:rPr>
        <w:t>7902-02-OCSPP</w:t>
      </w:r>
      <w:r w:rsidRPr="5F135418" w:rsidR="004D34B4">
        <w:rPr>
          <w:rFonts w:ascii="Calibri" w:hAnsi="Calibri" w:cs="Calibri"/>
        </w:rPr>
        <w:t>)</w:t>
      </w:r>
      <w:r w:rsidR="006E43C0">
        <w:rPr>
          <w:rFonts w:ascii="Calibri" w:hAnsi="Calibri" w:cs="Calibri"/>
        </w:rPr>
        <w:t>)</w:t>
      </w:r>
      <w:r w:rsidRPr="5F135418" w:rsidR="004D34B4">
        <w:rPr>
          <w:rFonts w:ascii="Calibri" w:hAnsi="Calibri" w:cs="Calibri"/>
        </w:rPr>
        <w:t xml:space="preserve"> </w:t>
      </w:r>
      <w:r w:rsidRPr="5F135418" w:rsidR="00CE3F52">
        <w:rPr>
          <w:rFonts w:ascii="Calibri" w:hAnsi="Calibri" w:cs="Calibri"/>
        </w:rPr>
        <w:t>was not included in this renewal because</w:t>
      </w:r>
      <w:r w:rsidRPr="5F135418" w:rsidR="000C1C30">
        <w:rPr>
          <w:rFonts w:ascii="Calibri" w:hAnsi="Calibri" w:cs="Calibri"/>
        </w:rPr>
        <w:t xml:space="preserve"> the Agency intends on </w:t>
      </w:r>
      <w:r w:rsidRPr="5F135418" w:rsidR="009A137B">
        <w:rPr>
          <w:rFonts w:ascii="Calibri" w:hAnsi="Calibri" w:cs="Calibri"/>
        </w:rPr>
        <w:t>re</w:t>
      </w:r>
      <w:r w:rsidRPr="5F135418" w:rsidR="00511F4E">
        <w:rPr>
          <w:rFonts w:ascii="Calibri" w:hAnsi="Calibri" w:cs="Calibri"/>
        </w:rPr>
        <w:t>vising i</w:t>
      </w:r>
      <w:r w:rsidRPr="5F135418" w:rsidR="00CE3F52">
        <w:rPr>
          <w:rFonts w:ascii="Calibri" w:hAnsi="Calibri" w:cs="Calibri"/>
        </w:rPr>
        <w:t>t</w:t>
      </w:r>
      <w:r w:rsidRPr="5F135418" w:rsidR="00511F4E">
        <w:rPr>
          <w:rFonts w:ascii="Calibri" w:hAnsi="Calibri" w:cs="Calibri"/>
        </w:rPr>
        <w:t xml:space="preserve"> in a</w:t>
      </w:r>
      <w:r w:rsidRPr="5F135418" w:rsidR="009A137B">
        <w:rPr>
          <w:rFonts w:ascii="Calibri" w:hAnsi="Calibri" w:cs="Calibri"/>
        </w:rPr>
        <w:t xml:space="preserve"> separate</w:t>
      </w:r>
      <w:r w:rsidRPr="5F135418">
        <w:rPr>
          <w:rFonts w:ascii="Calibri" w:hAnsi="Calibri" w:cs="Calibri"/>
        </w:rPr>
        <w:t xml:space="preserve"> </w:t>
      </w:r>
      <w:r w:rsidRPr="5F135418" w:rsidR="009A137B">
        <w:rPr>
          <w:rFonts w:ascii="Calibri" w:hAnsi="Calibri" w:cs="Calibri"/>
        </w:rPr>
        <w:t>action.</w:t>
      </w:r>
      <w:r w:rsidRPr="5F135418">
        <w:rPr>
          <w:rFonts w:ascii="Calibri" w:hAnsi="Calibri" w:cs="Calibri"/>
        </w:rPr>
        <w:t xml:space="preserve"> However, this </w:t>
      </w:r>
      <w:r w:rsidRPr="5F135418" w:rsidR="00CE3F52">
        <w:rPr>
          <w:rFonts w:ascii="Calibri" w:hAnsi="Calibri" w:cs="Calibri"/>
        </w:rPr>
        <w:t>renewal</w:t>
      </w:r>
      <w:r w:rsidRPr="5F135418">
        <w:rPr>
          <w:rFonts w:ascii="Calibri" w:hAnsi="Calibri" w:cs="Calibri"/>
        </w:rPr>
        <w:t xml:space="preserve"> ICR does include the burden associated with </w:t>
      </w:r>
      <w:r w:rsidRPr="5F135418" w:rsidR="00B75338">
        <w:rPr>
          <w:rFonts w:ascii="Calibri" w:hAnsi="Calibri" w:cs="Calibri"/>
        </w:rPr>
        <w:t xml:space="preserve">the final </w:t>
      </w:r>
      <w:r w:rsidRPr="5F135418">
        <w:rPr>
          <w:rFonts w:ascii="Calibri" w:hAnsi="Calibri" w:cs="Calibri"/>
        </w:rPr>
        <w:t xml:space="preserve">rule </w:t>
      </w:r>
      <w:r w:rsidRPr="5F135418" w:rsidR="00B75338">
        <w:rPr>
          <w:rFonts w:ascii="Calibri" w:hAnsi="Calibri" w:cs="Calibri"/>
        </w:rPr>
        <w:t xml:space="preserve">“Certain Existing Chemicals; Request to Submit Unpublished Health and Safety Data und </w:t>
      </w:r>
      <w:r w:rsidRPr="5F135418" w:rsidR="000236E3">
        <w:rPr>
          <w:rFonts w:ascii="Calibri" w:hAnsi="Calibri" w:cs="Calibri"/>
        </w:rPr>
        <w:t>the</w:t>
      </w:r>
      <w:r w:rsidRPr="5F135418" w:rsidR="00B75338">
        <w:rPr>
          <w:rFonts w:ascii="Calibri" w:hAnsi="Calibri" w:cs="Calibri"/>
        </w:rPr>
        <w:t xml:space="preserve"> Toxics Substances Control Act (TSCA)</w:t>
      </w:r>
      <w:r w:rsidRPr="5F135418" w:rsidR="000236E3">
        <w:rPr>
          <w:rFonts w:ascii="Calibri" w:hAnsi="Calibri" w:cs="Calibri"/>
        </w:rPr>
        <w:t>”</w:t>
      </w:r>
      <w:r w:rsidRPr="5F135418" w:rsidR="00B75338">
        <w:rPr>
          <w:rFonts w:ascii="Calibri" w:hAnsi="Calibri" w:cs="Calibri"/>
        </w:rPr>
        <w:t xml:space="preserve"> </w:t>
      </w:r>
      <w:r w:rsidRPr="5F135418" w:rsidR="000236E3">
        <w:rPr>
          <w:rFonts w:ascii="Calibri" w:hAnsi="Calibri" w:cs="Calibri"/>
        </w:rPr>
        <w:t>published</w:t>
      </w:r>
      <w:r w:rsidRPr="5F135418" w:rsidR="00B75338">
        <w:rPr>
          <w:rFonts w:ascii="Calibri" w:hAnsi="Calibri" w:cs="Calibri"/>
        </w:rPr>
        <w:t xml:space="preserve"> on December 13, 2024 (89 FR 107</w:t>
      </w:r>
      <w:r w:rsidRPr="5F135418" w:rsidR="00DF3EB3">
        <w:rPr>
          <w:rFonts w:ascii="Calibri" w:hAnsi="Calibri" w:cs="Calibri"/>
        </w:rPr>
        <w:t>56</w:t>
      </w:r>
      <w:r w:rsidR="006E43C0">
        <w:rPr>
          <w:rFonts w:ascii="Calibri" w:hAnsi="Calibri" w:cs="Calibri"/>
        </w:rPr>
        <w:t xml:space="preserve"> </w:t>
      </w:r>
      <w:r w:rsidRPr="5F135418" w:rsidR="00DF3EB3">
        <w:rPr>
          <w:rFonts w:ascii="Calibri" w:hAnsi="Calibri" w:cs="Calibri"/>
        </w:rPr>
        <w:t>(FR</w:t>
      </w:r>
      <w:r w:rsidR="006E43C0">
        <w:rPr>
          <w:rFonts w:ascii="Calibri" w:hAnsi="Calibri" w:cs="Calibri"/>
        </w:rPr>
        <w:t>L-</w:t>
      </w:r>
      <w:r w:rsidRPr="5F135418" w:rsidR="00DF3EB3">
        <w:rPr>
          <w:rFonts w:ascii="Calibri" w:hAnsi="Calibri" w:cs="Calibri"/>
        </w:rPr>
        <w:t>11164-02-OCSPP)</w:t>
      </w:r>
      <w:r w:rsidR="006E43C0">
        <w:rPr>
          <w:rFonts w:ascii="Calibri" w:hAnsi="Calibri" w:cs="Calibri"/>
        </w:rPr>
        <w:t>)</w:t>
      </w:r>
      <w:r w:rsidR="00561FA8">
        <w:rPr>
          <w:rFonts w:ascii="Calibri" w:hAnsi="Calibri" w:cs="Calibri"/>
        </w:rPr>
        <w:t xml:space="preserve"> </w:t>
      </w:r>
      <w:r w:rsidRPr="5F135418">
        <w:rPr>
          <w:rFonts w:ascii="Calibri" w:hAnsi="Calibri" w:cs="Calibri"/>
        </w:rPr>
        <w:t>(including no impurity exemption and the requirement for OHTs to accompany studies with CBI claims).</w:t>
      </w:r>
      <w:r w:rsidRPr="5F135418" w:rsidR="00CE3F52">
        <w:rPr>
          <w:rFonts w:ascii="Calibri" w:hAnsi="Calibri" w:cs="Calibri"/>
        </w:rPr>
        <w:t xml:space="preserve"> </w:t>
      </w:r>
      <w:r w:rsidRPr="5F135418">
        <w:rPr>
          <w:rFonts w:ascii="Calibri" w:hAnsi="Calibri" w:cs="Calibri"/>
        </w:rPr>
        <w:t xml:space="preserve">EPA agrees </w:t>
      </w:r>
      <w:r w:rsidRPr="5F135418">
        <w:rPr>
          <w:rFonts w:ascii="Calibri" w:eastAsia="Times New Roman" w:hAnsi="Calibri" w:cs="Calibri"/>
        </w:rPr>
        <w:t xml:space="preserve">that additional guidance for the </w:t>
      </w:r>
      <w:r w:rsidRPr="5F135418" w:rsidR="40419BB5">
        <w:rPr>
          <w:rFonts w:ascii="Calibri" w:eastAsia="Times New Roman" w:hAnsi="Calibri" w:cs="Calibri"/>
        </w:rPr>
        <w:t>TSCA s</w:t>
      </w:r>
      <w:r w:rsidRPr="5F135418">
        <w:rPr>
          <w:rFonts w:ascii="Calibri" w:eastAsia="Times New Roman" w:hAnsi="Calibri" w:cs="Calibri"/>
        </w:rPr>
        <w:t xml:space="preserve">ection 8(d) rule is helpful and is developing that document based on questions received after the 2024 </w:t>
      </w:r>
      <w:r w:rsidRPr="5F135418" w:rsidR="6E7696C5">
        <w:rPr>
          <w:rFonts w:ascii="Calibri" w:eastAsia="Times New Roman" w:hAnsi="Calibri" w:cs="Calibri"/>
        </w:rPr>
        <w:t>TSCA s</w:t>
      </w:r>
      <w:r w:rsidRPr="5F135418">
        <w:rPr>
          <w:rFonts w:ascii="Calibri" w:eastAsia="Times New Roman" w:hAnsi="Calibri" w:cs="Calibri"/>
        </w:rPr>
        <w:t>ection 8(d) rule. EPA plans to publish it as soon as possible.</w:t>
      </w:r>
      <w:r w:rsidRPr="5F135418" w:rsidR="00193A58">
        <w:rPr>
          <w:rFonts w:ascii="Calibri" w:eastAsia="Times New Roman" w:hAnsi="Calibri" w:cs="Calibri"/>
        </w:rPr>
        <w:t xml:space="preserve"> </w:t>
      </w:r>
      <w:r w:rsidRPr="5F135418">
        <w:rPr>
          <w:rFonts w:ascii="Calibri" w:eastAsia="Times New Roman" w:hAnsi="Calibri" w:cs="Calibri"/>
        </w:rPr>
        <w:t xml:space="preserve">The commenter provides an example of IT issues impacting submission deadlines for one of the </w:t>
      </w:r>
      <w:r w:rsidRPr="5F135418" w:rsidR="46FB9A77">
        <w:rPr>
          <w:rFonts w:ascii="Calibri" w:eastAsia="Times New Roman" w:hAnsi="Calibri" w:cs="Calibri"/>
        </w:rPr>
        <w:t>TSCA s</w:t>
      </w:r>
      <w:r w:rsidRPr="5F135418">
        <w:rPr>
          <w:rFonts w:ascii="Calibri" w:eastAsia="Times New Roman" w:hAnsi="Calibri" w:cs="Calibri"/>
        </w:rPr>
        <w:t>ection 8 rules covered by this proposed ICR: the 2024</w:t>
      </w:r>
      <w:r w:rsidRPr="5F135418" w:rsidR="58DF6F9B">
        <w:rPr>
          <w:rFonts w:ascii="Calibri" w:eastAsia="Times New Roman" w:hAnsi="Calibri" w:cs="Calibri"/>
        </w:rPr>
        <w:t xml:space="preserve"> TSCA s</w:t>
      </w:r>
      <w:r w:rsidRPr="5F135418">
        <w:rPr>
          <w:rFonts w:ascii="Calibri" w:eastAsia="Times New Roman" w:hAnsi="Calibri" w:cs="Calibri"/>
        </w:rPr>
        <w:t>ection 8(d) rule. An extended submission period is due to extraordinary circumstances and is not contemplated by EPA when promulgating rules or other information collections.</w:t>
      </w:r>
      <w:r w:rsidRPr="5F135418" w:rsidR="00193A58">
        <w:rPr>
          <w:rFonts w:ascii="Calibri" w:hAnsi="Calibri" w:cs="Calibri"/>
        </w:rPr>
        <w:t xml:space="preserve"> </w:t>
      </w:r>
      <w:r w:rsidRPr="5F135418">
        <w:rPr>
          <w:rFonts w:ascii="Calibri" w:hAnsi="Calibri" w:cs="Calibri"/>
        </w:rPr>
        <w:t>Overall, no changes to the proposed ICR are needed in response to the comment.</w:t>
      </w:r>
    </w:p>
    <w:p w:rsidR="00E267D1" w:rsidRPr="00F93A42" w:rsidP="005943AA" w14:paraId="3060DFFD" w14:textId="64AC4309">
      <w:pPr>
        <w:rPr>
          <w:rFonts w:ascii="Calibri" w:hAnsi="Calibri" w:cs="Calibri"/>
        </w:rPr>
      </w:pPr>
      <w:r>
        <w:rPr>
          <w:rFonts w:ascii="Calibri" w:hAnsi="Calibri" w:cs="Calibri"/>
        </w:rPr>
        <w:t>T</w:t>
      </w:r>
      <w:r w:rsidRPr="00F93A42">
        <w:rPr>
          <w:rFonts w:ascii="Calibri" w:hAnsi="Calibri" w:cs="Calibri"/>
        </w:rPr>
        <w:t>he Agency thanks all commenters for their comments and has considered them in developing this ICR.</w:t>
      </w:r>
    </w:p>
    <w:p w:rsidR="00B41A83" w:rsidP="00890C4C" w14:paraId="485EC471" w14:textId="47965D24">
      <w:pPr>
        <w:pStyle w:val="Heading2"/>
        <w:spacing w:before="0" w:after="0"/>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890C4C" w:rsidRPr="00890C4C" w:rsidP="00890C4C" w14:paraId="79BFE8FA" w14:textId="77777777">
      <w:pPr>
        <w:spacing w:after="0"/>
      </w:pPr>
    </w:p>
    <w:p w:rsidR="00EC4305" w:rsidP="00890C4C" w14:paraId="0CB6B3D0" w14:textId="3D171248">
      <w:pPr>
        <w:spacing w:after="0"/>
        <w:rPr>
          <w:rFonts w:ascii="Calibri" w:hAnsi="Calibri" w:cs="Calibri"/>
        </w:rPr>
      </w:pPr>
      <w:r w:rsidRPr="00F93A42">
        <w:rPr>
          <w:rFonts w:ascii="Calibri" w:hAnsi="Calibri" w:cs="Calibri"/>
        </w:rPr>
        <w:t>This question is not applicable to this ICR</w:t>
      </w:r>
      <w:r w:rsidRPr="00F93A42" w:rsidR="00BC523C">
        <w:rPr>
          <w:rFonts w:ascii="Calibri" w:hAnsi="Calibri" w:cs="Calibri"/>
        </w:rPr>
        <w:t>.</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A2C3D" w:rsidRPr="00D126AE" w:rsidP="007801E8" w14:paraId="5AE6CE99" w14:textId="2E1FCB20">
      <w:pPr>
        <w:rPr>
          <w:rFonts w:ascii="Calibri" w:hAnsi="Calibri" w:cs="Calibri"/>
        </w:rPr>
      </w:pPr>
      <w:r w:rsidRPr="5F135418">
        <w:rPr>
          <w:rFonts w:ascii="Calibri" w:hAnsi="Calibri" w:cs="Calibri"/>
        </w:rPr>
        <w:t xml:space="preserve">Submitters may </w:t>
      </w:r>
      <w:r w:rsidRPr="5F135418" w:rsidR="00D41B00">
        <w:rPr>
          <w:rFonts w:ascii="Calibri" w:hAnsi="Calibri" w:cs="Calibri"/>
        </w:rPr>
        <w:t xml:space="preserve">assert a claim that </w:t>
      </w:r>
      <w:r w:rsidRPr="5F135418">
        <w:rPr>
          <w:rFonts w:ascii="Calibri" w:hAnsi="Calibri" w:cs="Calibri"/>
        </w:rPr>
        <w:t xml:space="preserve">information </w:t>
      </w:r>
      <w:r w:rsidRPr="5F135418" w:rsidR="00D41B00">
        <w:rPr>
          <w:rFonts w:ascii="Calibri" w:hAnsi="Calibri" w:cs="Calibri"/>
        </w:rPr>
        <w:t>i</w:t>
      </w:r>
      <w:r w:rsidRPr="5F135418">
        <w:rPr>
          <w:rFonts w:ascii="Calibri" w:hAnsi="Calibri" w:cs="Calibri"/>
        </w:rPr>
        <w:t>s confidential</w:t>
      </w:r>
      <w:r w:rsidRPr="5F135418" w:rsidR="00D41B00">
        <w:rPr>
          <w:rFonts w:ascii="Calibri" w:hAnsi="Calibri" w:cs="Calibri"/>
        </w:rPr>
        <w:t xml:space="preserve"> business information</w:t>
      </w:r>
      <w:r w:rsidRPr="5F135418">
        <w:rPr>
          <w:rFonts w:ascii="Calibri" w:hAnsi="Calibri" w:cs="Calibri"/>
        </w:rPr>
        <w:t xml:space="preserve">. EPA has implemented procedures to protect any confidential, trade secret or proprietary information from disclosure. </w:t>
      </w:r>
      <w:r w:rsidRPr="5F135418" w:rsidR="00D126AE">
        <w:rPr>
          <w:rFonts w:ascii="Calibri" w:hAnsi="Calibri" w:cs="Calibri"/>
        </w:rPr>
        <w:t xml:space="preserve">EPA will disclose information that is covered by a claim of confidentiality only to the extent permitted by, and in accordance with, the procedures in TSCA and 40 CFR part 703. Information submitted under specific reporting requirements of TSCA, or in support of TSCA, is subject to the provisions of </w:t>
      </w:r>
      <w:r w:rsidRPr="5F135418" w:rsidR="125EC8B9">
        <w:rPr>
          <w:rFonts w:ascii="Calibri" w:hAnsi="Calibri" w:cs="Calibri"/>
        </w:rPr>
        <w:t xml:space="preserve">TSCA </w:t>
      </w:r>
      <w:r w:rsidRPr="5F135418" w:rsidR="00D126AE">
        <w:rPr>
          <w:rFonts w:ascii="Calibri" w:hAnsi="Calibri" w:cs="Calibri"/>
        </w:rPr>
        <w:t>section 14 and to EPA's Regulations on the Confidentiality of Business Information (see 40 CFR 703). Failure to follow these procedures fully at the time of document submission to EPA is interpreted by the Agency as a waiver of confidentiality claims. Submitters may claim confidentiality for proprietary information</w:t>
      </w:r>
      <w:r w:rsidRPr="5F135418" w:rsidR="00592BCA">
        <w:rPr>
          <w:rFonts w:ascii="Calibri" w:hAnsi="Calibri" w:cs="Calibri"/>
        </w:rPr>
        <w:t xml:space="preserve">. </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A4F" w:rsidRPr="00FA1245" w:rsidP="00E56A4F" w14:paraId="4C0B3C9A" w14:textId="6719B8ED">
      <w:pPr>
        <w:rPr>
          <w:rFonts w:ascii="Calibri" w:hAnsi="Calibri" w:cs="Calibri"/>
        </w:rPr>
      </w:pPr>
      <w:r w:rsidRPr="00FA1245">
        <w:rPr>
          <w:rFonts w:ascii="Calibri" w:hAnsi="Calibri" w:cs="Calibri"/>
        </w:rPr>
        <w:t>No information of a sensitive or private nature is requested in conjunction with these information collection activities, and these information collection activities comply with the provisions of the Privacy Act of 1974 and OMB Circular A-108, as amended, “Responsibilities for the Maintenance of Records about Individuals by Federal Agencies.”</w:t>
      </w:r>
    </w:p>
    <w:p w:rsidR="00CF4801" w:rsidRPr="00F93A42" w:rsidP="00CF4801" w14:paraId="0E6B3808" w14:textId="52FE187A">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36096F" w14:paraId="3BFDBBB5" w14:textId="77777777">
      <w:pPr>
        <w:pStyle w:val="ListParagraph"/>
        <w:numPr>
          <w:ilvl w:val="0"/>
          <w:numId w:val="3"/>
        </w:numPr>
        <w:spacing w:after="200" w:line="240" w:lineRule="auto"/>
        <w:contextualSpacing w:val="0"/>
        <w:rPr>
          <w:rFonts w:ascii="Calibri" w:hAnsi="Calibri" w:cs="Calibri"/>
          <w:b/>
          <w:bCs/>
        </w:rPr>
      </w:pPr>
      <w:r w:rsidRPr="00F93A4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F93A42" w:rsidP="0036096F" w14:paraId="1016E466" w14:textId="77777777">
      <w:pPr>
        <w:pStyle w:val="ListParagraph"/>
        <w:numPr>
          <w:ilvl w:val="0"/>
          <w:numId w:val="3"/>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form and aggregate the hour burdens. </w:t>
      </w:r>
    </w:p>
    <w:p w:rsidR="00B975C3" w:rsidRPr="00F93A42" w:rsidP="0036096F" w14:paraId="5944E822" w14:textId="77777777">
      <w:pPr>
        <w:pStyle w:val="ListParagraph"/>
        <w:numPr>
          <w:ilvl w:val="0"/>
          <w:numId w:val="3"/>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62957" w:rsidP="003B3CDB" w14:paraId="5A8768EE" w14:textId="5E98681A">
      <w:pPr>
        <w:spacing w:after="0"/>
        <w:rPr>
          <w:rFonts w:ascii="Calibri" w:hAnsi="Calibri" w:cs="Calibri"/>
          <w:szCs w:val="24"/>
        </w:rPr>
      </w:pPr>
      <w:r w:rsidRPr="00962957">
        <w:rPr>
          <w:rFonts w:ascii="Calibri" w:hAnsi="Calibri" w:cs="Calibri"/>
        </w:rPr>
        <w:t xml:space="preserve">The North American Industrial Classification System (NAICS) codes associated with industries most likely affected by the </w:t>
      </w:r>
      <w:r w:rsidR="008E1D60">
        <w:rPr>
          <w:rFonts w:ascii="Calibri" w:hAnsi="Calibri" w:cs="Calibri"/>
        </w:rPr>
        <w:t xml:space="preserve">overall </w:t>
      </w:r>
      <w:r w:rsidRPr="00962957">
        <w:rPr>
          <w:rFonts w:ascii="Calibri" w:hAnsi="Calibri" w:cs="Calibri"/>
        </w:rPr>
        <w:t>paperwork requirements are described below</w:t>
      </w:r>
      <w:r w:rsidRPr="00962957">
        <w:rPr>
          <w:rFonts w:ascii="Calibri" w:hAnsi="Calibri" w:cs="Calibri"/>
          <w:szCs w:val="24"/>
        </w:rPr>
        <w:t>:</w:t>
      </w:r>
    </w:p>
    <w:p w:rsidR="003B3CDB" w:rsidRPr="00962957" w:rsidP="003B3CDB" w14:paraId="7687613C" w14:textId="77777777">
      <w:pPr>
        <w:spacing w:after="0"/>
        <w:rPr>
          <w:rFonts w:ascii="Calibri" w:hAnsi="Calibri" w:cs="Calibri"/>
          <w:szCs w:val="24"/>
        </w:rPr>
      </w:pPr>
    </w:p>
    <w:p w:rsidR="00962957" w:rsidRPr="00962957" w:rsidP="003B3CDB" w14:paraId="52B910B8" w14:textId="77777777">
      <w:pPr>
        <w:pStyle w:val="NoSpacing"/>
        <w:rPr>
          <w:rFonts w:ascii="Calibri" w:hAnsi="Calibri" w:cs="Calibri"/>
        </w:rPr>
      </w:pPr>
      <w:r w:rsidRPr="00962957">
        <w:rPr>
          <w:rFonts w:ascii="Calibri" w:hAnsi="Calibri" w:cs="Calibri"/>
        </w:rPr>
        <w:t>325</w:t>
      </w:r>
      <w:r w:rsidRPr="00962957">
        <w:rPr>
          <w:rFonts w:ascii="Calibri" w:hAnsi="Calibri" w:cs="Calibri"/>
        </w:rPr>
        <w:tab/>
      </w:r>
      <w:r w:rsidRPr="00962957">
        <w:rPr>
          <w:rFonts w:ascii="Calibri" w:hAnsi="Calibri" w:cs="Calibri"/>
        </w:rPr>
        <w:tab/>
        <w:t>Chemical Manufacturers and Processors</w:t>
      </w:r>
    </w:p>
    <w:p w:rsidR="00962957" w:rsidRPr="00962957" w:rsidP="003B3CDB" w14:paraId="20C33FAF" w14:textId="77777777">
      <w:pPr>
        <w:pStyle w:val="NoSpacing"/>
        <w:rPr>
          <w:rFonts w:ascii="Calibri" w:hAnsi="Calibri" w:cs="Calibri"/>
        </w:rPr>
      </w:pPr>
      <w:r w:rsidRPr="00962957">
        <w:rPr>
          <w:rFonts w:ascii="Calibri" w:hAnsi="Calibri" w:cs="Calibri"/>
        </w:rPr>
        <w:t>325130</w:t>
      </w:r>
      <w:r w:rsidRPr="00962957">
        <w:rPr>
          <w:rFonts w:ascii="Calibri" w:hAnsi="Calibri" w:cs="Calibri"/>
        </w:rPr>
        <w:tab/>
        <w:t>Synthetic Dye and Pigment Manufacturing</w:t>
      </w:r>
    </w:p>
    <w:p w:rsidR="00962957" w:rsidRPr="00962957" w:rsidP="003B3CDB" w14:paraId="7D6ED212" w14:textId="77777777">
      <w:pPr>
        <w:pStyle w:val="NoSpacing"/>
        <w:rPr>
          <w:rFonts w:ascii="Calibri" w:hAnsi="Calibri" w:cs="Calibri"/>
        </w:rPr>
      </w:pPr>
      <w:r w:rsidRPr="00962957">
        <w:rPr>
          <w:rFonts w:ascii="Calibri" w:hAnsi="Calibri" w:cs="Calibri"/>
        </w:rPr>
        <w:t>324110</w:t>
      </w:r>
      <w:r w:rsidRPr="00962957">
        <w:rPr>
          <w:rFonts w:ascii="Calibri" w:hAnsi="Calibri" w:cs="Calibri"/>
        </w:rPr>
        <w:tab/>
        <w:t>Petroleum Refineries</w:t>
      </w:r>
    </w:p>
    <w:p w:rsidR="00962957" w:rsidRPr="00962957" w:rsidP="003B3CDB" w14:paraId="1F7DF0E8" w14:textId="77777777">
      <w:pPr>
        <w:pStyle w:val="NoSpacing"/>
        <w:rPr>
          <w:rFonts w:ascii="Calibri" w:hAnsi="Calibri" w:cs="Calibri"/>
        </w:rPr>
      </w:pPr>
      <w:r w:rsidRPr="00962957">
        <w:rPr>
          <w:rFonts w:ascii="Calibri" w:hAnsi="Calibri" w:cs="Calibri"/>
        </w:rPr>
        <w:t>325180</w:t>
      </w:r>
      <w:r w:rsidRPr="00962957">
        <w:rPr>
          <w:rFonts w:ascii="Calibri" w:hAnsi="Calibri" w:cs="Calibri"/>
        </w:rPr>
        <w:tab/>
        <w:t>Other Basic Inorganic Chemical Manufacturing</w:t>
      </w:r>
    </w:p>
    <w:p w:rsidR="00962957" w:rsidRPr="00962957" w:rsidP="003B3CDB" w14:paraId="3D8FAB34" w14:textId="77777777">
      <w:pPr>
        <w:pStyle w:val="NoSpacing"/>
        <w:rPr>
          <w:rFonts w:ascii="Calibri" w:hAnsi="Calibri" w:cs="Calibri"/>
        </w:rPr>
      </w:pPr>
      <w:r w:rsidRPr="00962957">
        <w:rPr>
          <w:rFonts w:ascii="Calibri" w:hAnsi="Calibri" w:cs="Calibri"/>
        </w:rPr>
        <w:t>331221</w:t>
      </w:r>
      <w:r w:rsidRPr="00962957">
        <w:rPr>
          <w:rFonts w:ascii="Calibri" w:hAnsi="Calibri" w:cs="Calibri"/>
        </w:rPr>
        <w:tab/>
        <w:t>Rolled Steel Shape Manufacturing</w:t>
      </w:r>
    </w:p>
    <w:p w:rsidR="00962957" w:rsidRPr="00962957" w:rsidP="003B3CDB" w14:paraId="4BA7C933" w14:textId="77777777">
      <w:pPr>
        <w:pStyle w:val="NoSpacing"/>
        <w:rPr>
          <w:rFonts w:ascii="Calibri" w:hAnsi="Calibri" w:cs="Calibri"/>
        </w:rPr>
      </w:pPr>
      <w:r w:rsidRPr="00962957">
        <w:rPr>
          <w:rFonts w:ascii="Calibri" w:hAnsi="Calibri" w:cs="Calibri"/>
        </w:rPr>
        <w:t>334413</w:t>
      </w:r>
      <w:r w:rsidRPr="00962957">
        <w:rPr>
          <w:rFonts w:ascii="Calibri" w:hAnsi="Calibri" w:cs="Calibri"/>
        </w:rPr>
        <w:tab/>
        <w:t>Semiconductor and Related Device Manufacturing</w:t>
      </w:r>
    </w:p>
    <w:p w:rsidR="00962957" w:rsidRPr="00962957" w:rsidP="003B3CDB" w14:paraId="7EDE8529" w14:textId="77777777">
      <w:pPr>
        <w:pStyle w:val="NoSpacing"/>
        <w:rPr>
          <w:rFonts w:ascii="Calibri" w:hAnsi="Calibri" w:cs="Calibri"/>
        </w:rPr>
      </w:pPr>
      <w:r w:rsidRPr="00962957">
        <w:rPr>
          <w:rFonts w:ascii="Calibri" w:hAnsi="Calibri" w:cs="Calibri"/>
        </w:rPr>
        <w:t>335991</w:t>
      </w:r>
      <w:r w:rsidRPr="00962957">
        <w:rPr>
          <w:rFonts w:ascii="Calibri" w:hAnsi="Calibri" w:cs="Calibri"/>
        </w:rPr>
        <w:tab/>
        <w:t>Carbon and Graphite Product Manufacturing</w:t>
      </w:r>
    </w:p>
    <w:p w:rsidR="00962957" w:rsidRPr="00962957" w:rsidP="003B3CDB" w14:paraId="39A77BB8" w14:textId="77777777">
      <w:pPr>
        <w:pStyle w:val="NoSpacing"/>
        <w:rPr>
          <w:rFonts w:ascii="Calibri" w:hAnsi="Calibri" w:cs="Calibri"/>
        </w:rPr>
      </w:pPr>
      <w:r w:rsidRPr="00962957">
        <w:rPr>
          <w:rFonts w:ascii="Calibri" w:hAnsi="Calibri" w:cs="Calibri"/>
        </w:rPr>
        <w:t>423220</w:t>
      </w:r>
      <w:r w:rsidRPr="00962957">
        <w:rPr>
          <w:rFonts w:ascii="Calibri" w:hAnsi="Calibri" w:cs="Calibri"/>
        </w:rPr>
        <w:tab/>
        <w:t>Home Furnishing Merchant Wholesalers</w:t>
      </w:r>
    </w:p>
    <w:p w:rsidR="00962957" w:rsidRPr="00962957" w:rsidP="003B3CDB" w14:paraId="69420534" w14:textId="77777777">
      <w:pPr>
        <w:pStyle w:val="NoSpacing"/>
        <w:rPr>
          <w:rFonts w:ascii="Calibri" w:hAnsi="Calibri" w:cs="Calibri"/>
        </w:rPr>
      </w:pPr>
      <w:r w:rsidRPr="00962957">
        <w:rPr>
          <w:rFonts w:ascii="Calibri" w:hAnsi="Calibri" w:cs="Calibri"/>
        </w:rPr>
        <w:t>423330</w:t>
      </w:r>
      <w:r w:rsidRPr="00962957">
        <w:rPr>
          <w:rFonts w:ascii="Calibri" w:hAnsi="Calibri" w:cs="Calibri"/>
        </w:rPr>
        <w:tab/>
        <w:t>Roofing, Sliding, and Insulation Material Merchant Wholesalers</w:t>
      </w:r>
    </w:p>
    <w:p w:rsidR="00962957" w:rsidP="003B3CDB" w14:paraId="24CE810C" w14:textId="77777777">
      <w:pPr>
        <w:pStyle w:val="NoSpacing"/>
        <w:rPr>
          <w:rFonts w:ascii="Calibri" w:hAnsi="Calibri" w:cs="Calibri"/>
        </w:rPr>
      </w:pPr>
      <w:r w:rsidRPr="00962957">
        <w:rPr>
          <w:rFonts w:ascii="Calibri" w:hAnsi="Calibri" w:cs="Calibri"/>
        </w:rPr>
        <w:t>423510</w:t>
      </w:r>
      <w:r w:rsidRPr="00962957">
        <w:rPr>
          <w:rFonts w:ascii="Calibri" w:hAnsi="Calibri" w:cs="Calibri"/>
        </w:rPr>
        <w:tab/>
        <w:t>Metal Service Centers and Other Metal Merchant Wholesalers</w:t>
      </w:r>
    </w:p>
    <w:p w:rsidR="003B3CDB" w:rsidRPr="00E42336" w:rsidP="003B3CDB" w14:paraId="18D9D2FD" w14:textId="77777777">
      <w:pPr>
        <w:pStyle w:val="NoSpacing"/>
      </w:pPr>
    </w:p>
    <w:p w:rsidR="00503F3D" w:rsidP="003B3CDB" w14:paraId="064791CD" w14:textId="19532452">
      <w:pPr>
        <w:spacing w:after="0"/>
        <w:rPr>
          <w:rFonts w:ascii="Calibri" w:hAnsi="Calibri" w:cs="Calibri"/>
        </w:rPr>
      </w:pPr>
      <w:r>
        <w:rPr>
          <w:rFonts w:ascii="Calibri" w:hAnsi="Calibri" w:cs="Calibri"/>
        </w:rPr>
        <w:t xml:space="preserve">Note that not all NAICS codes are necessarily covered or likely to be covered by </w:t>
      </w:r>
      <w:r w:rsidR="00C970AD">
        <w:rPr>
          <w:rFonts w:ascii="Calibri" w:hAnsi="Calibri" w:cs="Calibri"/>
        </w:rPr>
        <w:t xml:space="preserve">each of the ICs covered by this </w:t>
      </w:r>
      <w:r>
        <w:rPr>
          <w:rFonts w:ascii="Calibri" w:hAnsi="Calibri" w:cs="Calibri"/>
        </w:rPr>
        <w:t xml:space="preserve">ICR. </w:t>
      </w:r>
    </w:p>
    <w:p w:rsidR="003B3CDB" w:rsidP="003B3CDB" w14:paraId="000ABC15" w14:textId="77777777">
      <w:pPr>
        <w:spacing w:after="0"/>
        <w:rPr>
          <w:rFonts w:ascii="Calibri" w:hAnsi="Calibri" w:cs="Calibri"/>
        </w:rPr>
      </w:pPr>
    </w:p>
    <w:p w:rsidR="07BE98CC" w:rsidP="003B3CDB" w14:paraId="7FC83DB8" w14:textId="005ED189">
      <w:pPr>
        <w:spacing w:after="0"/>
        <w:rPr>
          <w:rFonts w:ascii="Calibri" w:hAnsi="Calibri" w:cs="Calibri"/>
        </w:rPr>
      </w:pPr>
      <w:r w:rsidRPr="00962957">
        <w:rPr>
          <w:rFonts w:ascii="Calibri" w:hAnsi="Calibri" w:cs="Calibri"/>
        </w:rPr>
        <w:t>Wage and fringe benefit data for each labor category (e.g., managerial, professional/technical, clerical, and attorney labor) are taken from the U.S. Bureau of Labor Statistics (BLS) Employer Costs for Employee Compensation (ECEC) Supplementary Tables (BLS 202</w:t>
      </w:r>
      <w:r w:rsidRPr="07BE98CC" w:rsidR="231DBFA5">
        <w:rPr>
          <w:rFonts w:ascii="Calibri" w:hAnsi="Calibri" w:cs="Calibri"/>
        </w:rPr>
        <w:t>4</w:t>
      </w:r>
      <w:r w:rsidRPr="00962957">
        <w:rPr>
          <w:rFonts w:ascii="Calibri" w:hAnsi="Calibri" w:cs="Calibri"/>
        </w:rPr>
        <w:t>) or the BLS Occupational Employment Statistics (OES) Estimates (BLS 202</w:t>
      </w:r>
      <w:r w:rsidRPr="07BE98CC" w:rsidR="75243FE8">
        <w:rPr>
          <w:rFonts w:ascii="Calibri" w:hAnsi="Calibri" w:cs="Calibri"/>
        </w:rPr>
        <w:t>3</w:t>
      </w:r>
      <w:r w:rsidRPr="00962957">
        <w:rPr>
          <w:rFonts w:ascii="Calibri" w:hAnsi="Calibri" w:cs="Calibri"/>
        </w:rPr>
        <w:t>). In the BLS reports, wages are represented by the “wages and salaries” cost component and fringe benefits are represented by “total benefits.” Overhead costs are assumed to equal 20% of the sum of wages plus fringe benefits. This loading factor, as described in Handbook on Valuing Changes in Time Use Induced by Regulatory Requirements and Other U.S. EPA Actions (EPA 2020), is reflective of multiplier values used in prior EPA RIAs and ICRs that are based on industry- and occupation-specific overhead rates affected by EPA regulations and is consistently applied with Office of Pollution Prevention and Toxics economics practices. This overhead loading factor is multiplied by the total compensation (i.e., wages plus fringe benefits). For example, the fully loaded wage for professional/technical labor is ($</w:t>
      </w:r>
      <w:r w:rsidRPr="07BE98CC">
        <w:rPr>
          <w:rFonts w:ascii="Calibri" w:hAnsi="Calibri" w:cs="Calibri"/>
        </w:rPr>
        <w:t>4</w:t>
      </w:r>
      <w:r w:rsidRPr="07BE98CC" w:rsidR="0781A9F2">
        <w:rPr>
          <w:rFonts w:ascii="Calibri" w:hAnsi="Calibri" w:cs="Calibri"/>
        </w:rPr>
        <w:t>6</w:t>
      </w:r>
      <w:r w:rsidRPr="00962957">
        <w:rPr>
          <w:rFonts w:ascii="Calibri" w:hAnsi="Calibri" w:cs="Calibri"/>
        </w:rPr>
        <w:t>.</w:t>
      </w:r>
      <w:r w:rsidRPr="07BE98CC" w:rsidR="158EB323">
        <w:rPr>
          <w:rFonts w:ascii="Calibri" w:hAnsi="Calibri" w:cs="Calibri"/>
        </w:rPr>
        <w:t>71</w:t>
      </w:r>
      <w:r w:rsidRPr="00962957">
        <w:rPr>
          <w:rFonts w:ascii="Calibri" w:hAnsi="Calibri" w:cs="Calibri"/>
        </w:rPr>
        <w:t>+ $22.</w:t>
      </w:r>
      <w:r w:rsidRPr="07BE98CC" w:rsidR="25BDCA68">
        <w:rPr>
          <w:rFonts w:ascii="Calibri" w:hAnsi="Calibri" w:cs="Calibri"/>
        </w:rPr>
        <w:t>91</w:t>
      </w:r>
      <w:r w:rsidRPr="00962957">
        <w:rPr>
          <w:rFonts w:ascii="Calibri" w:hAnsi="Calibri" w:cs="Calibri"/>
        </w:rPr>
        <w:t>) * 1.2 = $8</w:t>
      </w:r>
      <w:r w:rsidRPr="07BE98CC" w:rsidR="626F45C2">
        <w:rPr>
          <w:rFonts w:ascii="Calibri" w:hAnsi="Calibri" w:cs="Calibri"/>
        </w:rPr>
        <w:t>3</w:t>
      </w:r>
      <w:r w:rsidRPr="07BE98CC">
        <w:rPr>
          <w:rFonts w:ascii="Calibri" w:hAnsi="Calibri" w:cs="Calibri"/>
        </w:rPr>
        <w:t>.5</w:t>
      </w:r>
      <w:r w:rsidRPr="07BE98CC" w:rsidR="1687CA74">
        <w:rPr>
          <w:rFonts w:ascii="Calibri" w:hAnsi="Calibri" w:cs="Calibri"/>
        </w:rPr>
        <w:t>4</w:t>
      </w:r>
      <w:r w:rsidRPr="07BE98CC">
        <w:rPr>
          <w:rFonts w:ascii="Calibri" w:hAnsi="Calibri" w:cs="Calibri"/>
        </w:rPr>
        <w:t>.</w:t>
      </w:r>
      <w:r w:rsidRPr="00962957">
        <w:rPr>
          <w:rFonts w:ascii="Calibri" w:hAnsi="Calibri" w:cs="Calibri"/>
        </w:rPr>
        <w:t xml:space="preserve"> Fully loaded costs for additional labor categories are calculated in a similar manner. The calculated overhead costs are shown in Table 1 with the total hourly loaded wages. </w:t>
      </w:r>
    </w:p>
    <w:p w:rsidR="00BF5F9B" w:rsidP="003B3CDB" w14:paraId="38165D91" w14:textId="77777777">
      <w:pPr>
        <w:spacing w:after="0"/>
        <w:rPr>
          <w:rFonts w:ascii="Calibri" w:hAnsi="Calibri" w:cs="Calibri"/>
        </w:rPr>
      </w:pPr>
    </w:p>
    <w:p w:rsidR="00BF5F9B" w:rsidRPr="00BF5F9B" w:rsidP="003B3CDB" w14:paraId="6B594BEE" w14:textId="7B2516D9">
      <w:pPr>
        <w:spacing w:after="0"/>
        <w:rPr>
          <w:rFonts w:ascii="Calibri" w:hAnsi="Calibri" w:cs="Calibri"/>
          <w:b/>
          <w:bCs/>
        </w:rPr>
      </w:pPr>
      <w:r w:rsidRPr="00BF5F9B">
        <w:rPr>
          <w:rFonts w:ascii="Calibri" w:hAnsi="Calibri" w:cs="Calibri"/>
          <w:b/>
          <w:bCs/>
        </w:rPr>
        <w:t>Table 1. Manufacturing and Legal Services Industry Wage Rates (2024$)</w:t>
      </w:r>
    </w:p>
    <w:tbl>
      <w:tblPr>
        <w:tblW w:w="9810" w:type="dxa"/>
        <w:tblInd w:w="-5" w:type="dxa"/>
        <w:tblLayout w:type="fixed"/>
        <w:tblLook w:val="06A0"/>
      </w:tblPr>
      <w:tblGrid>
        <w:gridCol w:w="1170"/>
        <w:gridCol w:w="1620"/>
        <w:gridCol w:w="915"/>
        <w:gridCol w:w="975"/>
        <w:gridCol w:w="900"/>
        <w:gridCol w:w="960"/>
        <w:gridCol w:w="1515"/>
        <w:gridCol w:w="750"/>
        <w:gridCol w:w="1005"/>
      </w:tblGrid>
      <w:tr w14:paraId="1EFF66DC" w14:textId="77777777" w:rsidTr="2D725C34">
        <w:tblPrEx>
          <w:tblW w:w="9810" w:type="dxa"/>
          <w:tblInd w:w="-5" w:type="dxa"/>
          <w:tblLayout w:type="fixed"/>
          <w:tblLook w:val="06A0"/>
        </w:tblPrEx>
        <w:trPr>
          <w:trHeight w:val="1290"/>
        </w:trPr>
        <w:tc>
          <w:tcPr>
            <w:tcW w:w="1170"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5C22EE3D" w14:textId="0A9EA874">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Labor Category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5944FF" w:rsidP="003B3CDB" w14:paraId="05BDF91C" w14:textId="460CE923">
            <w:pPr>
              <w:spacing w:after="0"/>
              <w:jc w:val="center"/>
              <w:rPr>
                <w:rFonts w:ascii="Calibri" w:eastAsia="Calibri" w:hAnsi="Calibri" w:cs="Calibri"/>
                <w:b/>
                <w:bCs/>
                <w:color w:val="000000" w:themeColor="text1"/>
                <w:sz w:val="18"/>
                <w:szCs w:val="18"/>
                <w:vertAlign w:val="superscript"/>
              </w:rPr>
            </w:pPr>
            <w:r w:rsidRPr="005944FF">
              <w:rPr>
                <w:rFonts w:ascii="Calibri" w:eastAsia="Calibri" w:hAnsi="Calibri" w:cs="Calibri"/>
                <w:b/>
                <w:bCs/>
                <w:color w:val="000000" w:themeColor="text1"/>
                <w:sz w:val="18"/>
                <w:szCs w:val="18"/>
              </w:rPr>
              <w:t>Data Series</w:t>
            </w:r>
            <w:r w:rsidRPr="005944FF">
              <w:rPr>
                <w:rFonts w:ascii="Calibri" w:eastAsia="Calibri" w:hAnsi="Calibri" w:cs="Calibri"/>
                <w:b/>
                <w:bCs/>
                <w:color w:val="000000" w:themeColor="text1"/>
                <w:sz w:val="18"/>
                <w:szCs w:val="18"/>
                <w:vertAlign w:val="superscript"/>
              </w:rPr>
              <w:t xml:space="preserve"> a</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5944FF" w:rsidP="003B3CDB" w14:paraId="42BB874F" w14:textId="7B068ED4">
            <w:pPr>
              <w:spacing w:after="0"/>
              <w:jc w:val="center"/>
              <w:rPr>
                <w:rFonts w:ascii="Calibri" w:eastAsia="Calibri" w:hAnsi="Calibri" w:cs="Calibri"/>
                <w:b/>
                <w:bCs/>
                <w:color w:val="000000" w:themeColor="text1"/>
                <w:sz w:val="18"/>
                <w:szCs w:val="18"/>
              </w:rPr>
            </w:pPr>
            <w:r w:rsidRPr="005944FF">
              <w:rPr>
                <w:rFonts w:ascii="Calibri" w:eastAsia="Calibri" w:hAnsi="Calibri" w:cs="Calibri"/>
                <w:b/>
                <w:bCs/>
                <w:color w:val="000000" w:themeColor="text1"/>
                <w:sz w:val="18"/>
                <w:szCs w:val="18"/>
              </w:rPr>
              <w:t>Date</w:t>
            </w:r>
          </w:p>
        </w:tc>
        <w:tc>
          <w:tcPr>
            <w:tcW w:w="97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3F232DA0" w14:textId="414FF438">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 xml:space="preserve">Wage </w:t>
            </w:r>
            <w:r w:rsidRPr="00665733">
              <w:rPr>
                <w:rFonts w:ascii="Calibri" w:eastAsia="Times New Roman" w:hAnsi="Calibri" w:cs="Calibri"/>
                <w:b/>
                <w:bCs/>
                <w:color w:val="000000" w:themeColor="text1"/>
                <w:sz w:val="20"/>
                <w:szCs w:val="20"/>
                <w:vertAlign w:val="superscript"/>
              </w:rPr>
              <w:t>a</w:t>
            </w:r>
            <w:r>
              <w:br/>
            </w:r>
            <w:r w:rsidRPr="00665733">
              <w:rPr>
                <w:rFonts w:ascii="Calibri" w:eastAsia="Times New Roman" w:hAnsi="Calibri" w:cs="Calibri"/>
                <w:b/>
                <w:bCs/>
                <w:color w:val="000000" w:themeColor="text1"/>
                <w:sz w:val="20"/>
                <w:szCs w:val="20"/>
              </w:rPr>
              <w:t>($/hour)</w:t>
            </w:r>
          </w:p>
        </w:tc>
        <w:tc>
          <w:tcPr>
            <w:tcW w:w="90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49AFB266" w14:textId="14DF45B0">
            <w:pPr>
              <w:spacing w:after="0"/>
              <w:jc w:val="center"/>
              <w:rPr>
                <w:rFonts w:ascii="Calibri" w:eastAsia="Times New Roman" w:hAnsi="Calibri" w:cs="Calibri"/>
                <w:b/>
                <w:bCs/>
                <w:color w:val="000000" w:themeColor="text1"/>
                <w:sz w:val="20"/>
                <w:szCs w:val="20"/>
                <w:vertAlign w:val="superscript"/>
              </w:rPr>
            </w:pPr>
            <w:r w:rsidRPr="00665733">
              <w:rPr>
                <w:rFonts w:ascii="Calibri" w:eastAsia="Times New Roman" w:hAnsi="Calibri" w:cs="Calibri"/>
                <w:b/>
                <w:bCs/>
                <w:color w:val="000000" w:themeColor="text1"/>
                <w:sz w:val="20"/>
                <w:szCs w:val="20"/>
              </w:rPr>
              <w:t xml:space="preserve">Fringe Benefit </w:t>
            </w:r>
            <w:r w:rsidRPr="00665733">
              <w:rPr>
                <w:rFonts w:ascii="Calibri" w:eastAsia="Times New Roman" w:hAnsi="Calibri" w:cs="Calibri"/>
                <w:b/>
                <w:bCs/>
                <w:color w:val="000000" w:themeColor="text1"/>
                <w:sz w:val="20"/>
                <w:szCs w:val="20"/>
                <w:vertAlign w:val="superscript"/>
              </w:rPr>
              <w:t>b</w:t>
            </w:r>
          </w:p>
        </w:tc>
        <w:tc>
          <w:tcPr>
            <w:tcW w:w="96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3C36A6B1" w14:textId="2A37E4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Total</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5184C8CE" w14:textId="5784D280">
            <w:pPr>
              <w:spacing w:after="0"/>
              <w:jc w:val="center"/>
              <w:rPr>
                <w:rFonts w:ascii="Calibri" w:eastAsia="Times New Roman" w:hAnsi="Calibri" w:cs="Calibri"/>
                <w:b/>
                <w:bCs/>
                <w:color w:val="000000" w:themeColor="text1"/>
                <w:sz w:val="20"/>
                <w:szCs w:val="20"/>
                <w:vertAlign w:val="superscript"/>
              </w:rPr>
            </w:pPr>
            <w:r w:rsidRPr="00665733">
              <w:rPr>
                <w:rFonts w:ascii="Calibri" w:eastAsia="Times New Roman" w:hAnsi="Calibri" w:cs="Calibri"/>
                <w:b/>
                <w:bCs/>
                <w:color w:val="000000" w:themeColor="text1"/>
                <w:sz w:val="20"/>
                <w:szCs w:val="20"/>
              </w:rPr>
              <w:t>Overhead as % total compensation</w:t>
            </w:r>
            <w:r w:rsidRPr="00665733">
              <w:rPr>
                <w:rFonts w:ascii="Calibri" w:eastAsia="Times New Roman" w:hAnsi="Calibri" w:cs="Calibri"/>
                <w:b/>
                <w:bCs/>
                <w:color w:val="000000" w:themeColor="text1"/>
                <w:sz w:val="20"/>
                <w:szCs w:val="20"/>
                <w:vertAlign w:val="superscript"/>
              </w:rPr>
              <w:t>c</w:t>
            </w:r>
          </w:p>
        </w:tc>
        <w:tc>
          <w:tcPr>
            <w:tcW w:w="75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0C4B1323" w14:textId="52423AC6">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 xml:space="preserve">Overhead </w:t>
            </w:r>
          </w:p>
        </w:tc>
        <w:tc>
          <w:tcPr>
            <w:tcW w:w="100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5683B087" w14:textId="5E8E6AE9">
            <w:pPr>
              <w:spacing w:after="0"/>
              <w:jc w:val="center"/>
              <w:rPr>
                <w:rFonts w:ascii="Calibri" w:eastAsia="Times New Roman" w:hAnsi="Calibri" w:cs="Calibri"/>
                <w:b/>
                <w:bCs/>
                <w:color w:val="000000" w:themeColor="text1"/>
                <w:sz w:val="20"/>
                <w:szCs w:val="20"/>
                <w:vertAlign w:val="superscript"/>
              </w:rPr>
            </w:pPr>
            <w:r w:rsidRPr="00665733">
              <w:rPr>
                <w:rFonts w:ascii="Calibri" w:eastAsia="Times New Roman" w:hAnsi="Calibri" w:cs="Calibri"/>
                <w:b/>
                <w:bCs/>
                <w:color w:val="000000" w:themeColor="text1"/>
                <w:sz w:val="20"/>
                <w:szCs w:val="20"/>
              </w:rPr>
              <w:t xml:space="preserve">Loaded Hourly Wages </w:t>
            </w:r>
            <w:r w:rsidRPr="00665733">
              <w:rPr>
                <w:rFonts w:ascii="Calibri" w:eastAsia="Times New Roman" w:hAnsi="Calibri" w:cs="Calibri"/>
                <w:b/>
                <w:bCs/>
                <w:color w:val="000000" w:themeColor="text1"/>
                <w:sz w:val="20"/>
                <w:szCs w:val="20"/>
                <w:vertAlign w:val="superscript"/>
              </w:rPr>
              <w:t>d</w:t>
            </w:r>
          </w:p>
        </w:tc>
      </w:tr>
      <w:tr w14:paraId="23972129" w14:textId="77777777" w:rsidTr="2D725C34">
        <w:tblPrEx>
          <w:tblW w:w="9810" w:type="dxa"/>
          <w:tblInd w:w="-5" w:type="dxa"/>
          <w:tblLayout w:type="fixed"/>
          <w:tblLook w:val="06A0"/>
        </w:tblPrEx>
        <w:trPr>
          <w:trHeight w:val="300"/>
        </w:trPr>
        <w:tc>
          <w:tcPr>
            <w:tcW w:w="1170" w:type="dxa"/>
            <w:vMerge/>
            <w:vAlign w:val="center"/>
          </w:tcPr>
          <w:p w:rsidR="00934C8F" w:rsidRPr="00665733" w:rsidP="003B3CDB" w14:paraId="2C591AE6" w14:textId="77777777">
            <w:pPr>
              <w:spacing w:after="0"/>
              <w:rPr>
                <w:rFonts w:ascii="Calibri" w:hAnsi="Calibri" w:cs="Calibri"/>
              </w:rPr>
            </w:pPr>
          </w:p>
        </w:tc>
        <w:tc>
          <w:tcPr>
            <w:tcW w:w="1620" w:type="dxa"/>
            <w:vMerge/>
            <w:vAlign w:val="center"/>
          </w:tcPr>
          <w:p w:rsidR="00934C8F" w:rsidRPr="00665733" w:rsidP="003B3CDB" w14:paraId="2C1A7125" w14:textId="77777777">
            <w:pPr>
              <w:spacing w:after="0"/>
              <w:rPr>
                <w:rFonts w:ascii="Calibri" w:hAnsi="Calibri" w:cs="Calibri"/>
              </w:rPr>
            </w:pPr>
          </w:p>
        </w:tc>
        <w:tc>
          <w:tcPr>
            <w:tcW w:w="915" w:type="dxa"/>
            <w:vMerge/>
            <w:vAlign w:val="center"/>
          </w:tcPr>
          <w:p w:rsidR="00934C8F" w:rsidRPr="00665733" w:rsidP="003B3CDB" w14:paraId="0DD18302" w14:textId="77777777">
            <w:pPr>
              <w:spacing w:after="0"/>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357B2019" w14:textId="37390CBC">
            <w:pPr>
              <w:spacing w:after="0"/>
              <w:jc w:val="center"/>
              <w:rPr>
                <w:rFonts w:ascii="Calibri" w:eastAsia="Times New Roman" w:hAnsi="Calibri" w:cs="Calibri"/>
                <w:b/>
                <w:bCs/>
                <w:i/>
                <w:iCs/>
                <w:color w:val="000000" w:themeColor="text1"/>
                <w:sz w:val="16"/>
                <w:szCs w:val="16"/>
              </w:rPr>
            </w:pPr>
            <w:r w:rsidRPr="00665733">
              <w:rPr>
                <w:rFonts w:ascii="Calibri" w:eastAsia="Times New Roman" w:hAnsi="Calibri" w:cs="Calibri"/>
                <w:b/>
                <w:bCs/>
                <w:i/>
                <w:iCs/>
                <w:color w:val="000000" w:themeColor="text1"/>
                <w:sz w:val="16"/>
                <w:szCs w:val="16"/>
              </w:rPr>
              <w:t>(a)</w:t>
            </w:r>
          </w:p>
        </w:tc>
        <w:tc>
          <w:tcPr>
            <w:tcW w:w="90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453B4563" w14:textId="52C64C20">
            <w:pPr>
              <w:spacing w:after="0"/>
              <w:jc w:val="center"/>
              <w:rPr>
                <w:rFonts w:ascii="Calibri" w:eastAsia="Times New Roman" w:hAnsi="Calibri" w:cs="Calibri"/>
                <w:b/>
                <w:bCs/>
                <w:i/>
                <w:iCs/>
                <w:color w:val="000000" w:themeColor="text1"/>
                <w:sz w:val="16"/>
                <w:szCs w:val="16"/>
              </w:rPr>
            </w:pPr>
            <w:r w:rsidRPr="00665733">
              <w:rPr>
                <w:rFonts w:ascii="Calibri" w:eastAsia="Times New Roman" w:hAnsi="Calibri" w:cs="Calibri"/>
                <w:b/>
                <w:bCs/>
                <w:i/>
                <w:iCs/>
                <w:color w:val="000000" w:themeColor="text1"/>
                <w:sz w:val="16"/>
                <w:szCs w:val="16"/>
              </w:rPr>
              <w:t>(b)</w:t>
            </w:r>
          </w:p>
        </w:tc>
        <w:tc>
          <w:tcPr>
            <w:tcW w:w="96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5010DAE7" w14:textId="5DDA8A18">
            <w:pPr>
              <w:spacing w:after="0"/>
              <w:jc w:val="center"/>
              <w:rPr>
                <w:rFonts w:ascii="Calibri" w:eastAsia="Times New Roman" w:hAnsi="Calibri" w:cs="Calibri"/>
                <w:b/>
                <w:bCs/>
                <w:i/>
                <w:iCs/>
                <w:color w:val="000000" w:themeColor="text1"/>
                <w:sz w:val="16"/>
                <w:szCs w:val="16"/>
              </w:rPr>
            </w:pPr>
            <w:r w:rsidRPr="00665733">
              <w:rPr>
                <w:rFonts w:ascii="Calibri" w:eastAsia="Times New Roman" w:hAnsi="Calibri" w:cs="Calibri"/>
                <w:b/>
                <w:bCs/>
                <w:i/>
                <w:iCs/>
                <w:color w:val="000000" w:themeColor="text1"/>
                <w:sz w:val="16"/>
                <w:szCs w:val="16"/>
              </w:rPr>
              <w:t>(c) = (a) + (b)</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51318C8F" w14:textId="64AFB1F4">
            <w:pPr>
              <w:spacing w:after="0"/>
              <w:jc w:val="center"/>
              <w:rPr>
                <w:rFonts w:ascii="Calibri" w:eastAsia="Times New Roman" w:hAnsi="Calibri" w:cs="Calibri"/>
                <w:b/>
                <w:bCs/>
                <w:i/>
                <w:iCs/>
                <w:color w:val="000000" w:themeColor="text1"/>
                <w:sz w:val="16"/>
                <w:szCs w:val="16"/>
              </w:rPr>
            </w:pPr>
            <w:r w:rsidRPr="00665733">
              <w:rPr>
                <w:rFonts w:ascii="Calibri" w:eastAsia="Times New Roman" w:hAnsi="Calibri" w:cs="Calibri"/>
                <w:b/>
                <w:bCs/>
                <w:i/>
                <w:iCs/>
                <w:color w:val="000000" w:themeColor="text1"/>
                <w:sz w:val="16"/>
                <w:szCs w:val="16"/>
              </w:rPr>
              <w:t>(d)</w:t>
            </w:r>
          </w:p>
        </w:tc>
        <w:tc>
          <w:tcPr>
            <w:tcW w:w="75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11025A15" w14:textId="739E42C9">
            <w:pPr>
              <w:spacing w:after="0"/>
              <w:jc w:val="center"/>
              <w:rPr>
                <w:rFonts w:ascii="Calibri" w:eastAsia="Times New Roman" w:hAnsi="Calibri" w:cs="Calibri"/>
                <w:b/>
                <w:bCs/>
                <w:i/>
                <w:iCs/>
                <w:color w:val="000000" w:themeColor="text1"/>
                <w:sz w:val="16"/>
                <w:szCs w:val="16"/>
              </w:rPr>
            </w:pPr>
            <w:r w:rsidRPr="00665733">
              <w:rPr>
                <w:rFonts w:ascii="Calibri" w:eastAsia="Times New Roman" w:hAnsi="Calibri" w:cs="Calibri"/>
                <w:b/>
                <w:bCs/>
                <w:i/>
                <w:iCs/>
                <w:color w:val="000000" w:themeColor="text1"/>
                <w:sz w:val="16"/>
                <w:szCs w:val="16"/>
              </w:rPr>
              <w:t>(e)=(c)*(d)</w:t>
            </w:r>
          </w:p>
        </w:tc>
        <w:tc>
          <w:tcPr>
            <w:tcW w:w="100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7BE98CC" w:rsidRPr="00665733" w:rsidP="003B3CDB" w14:paraId="563BC84B" w14:textId="17FCAA51">
            <w:pPr>
              <w:spacing w:after="0"/>
              <w:jc w:val="center"/>
              <w:rPr>
                <w:rFonts w:ascii="Calibri" w:eastAsia="Times New Roman" w:hAnsi="Calibri" w:cs="Calibri"/>
                <w:b/>
                <w:bCs/>
                <w:i/>
                <w:iCs/>
                <w:color w:val="000000" w:themeColor="text1"/>
                <w:sz w:val="16"/>
                <w:szCs w:val="16"/>
              </w:rPr>
            </w:pPr>
            <w:r w:rsidRPr="00665733">
              <w:rPr>
                <w:rFonts w:ascii="Calibri" w:eastAsia="Times New Roman" w:hAnsi="Calibri" w:cs="Calibri"/>
                <w:b/>
                <w:bCs/>
                <w:i/>
                <w:iCs/>
                <w:color w:val="000000" w:themeColor="text1"/>
                <w:sz w:val="16"/>
                <w:szCs w:val="16"/>
              </w:rPr>
              <w:t>(f)=(c)+(e)</w:t>
            </w:r>
          </w:p>
        </w:tc>
      </w:tr>
      <w:tr w14:paraId="1D5277B3" w14:textId="77777777" w:rsidTr="2D725C34">
        <w:tblPrEx>
          <w:tblW w:w="9810" w:type="dxa"/>
          <w:tblInd w:w="-5" w:type="dxa"/>
          <w:tblLayout w:type="fixed"/>
          <w:tblLook w:val="06A0"/>
        </w:tblPrEx>
        <w:trPr>
          <w:trHeight w:val="975"/>
        </w:trPr>
        <w:tc>
          <w:tcPr>
            <w:tcW w:w="117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77007E28" w14:textId="0876D165">
            <w:pPr>
              <w:spacing w:after="0"/>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Managerial</w:t>
            </w:r>
          </w:p>
        </w:tc>
        <w:tc>
          <w:tcPr>
            <w:tcW w:w="1620" w:type="dxa"/>
            <w:tcBorders>
              <w:top w:val="single" w:sz="4" w:space="0" w:color="auto"/>
              <w:left w:val="single" w:sz="4" w:space="0" w:color="auto"/>
              <w:bottom w:val="single" w:sz="4" w:space="0" w:color="auto"/>
              <w:right w:val="single" w:sz="4" w:space="0" w:color="auto"/>
            </w:tcBorders>
            <w:vAlign w:val="center"/>
          </w:tcPr>
          <w:p w:rsidR="07BE98CC" w:rsidRPr="005944FF" w:rsidP="003B3CDB" w14:paraId="5AC9D1B2" w14:textId="6427167D">
            <w:pPr>
              <w:spacing w:after="0"/>
              <w:rPr>
                <w:rFonts w:ascii="Calibri" w:eastAsia="Calibri" w:hAnsi="Calibri" w:cs="Calibri"/>
                <w:color w:val="000000" w:themeColor="text1"/>
                <w:sz w:val="18"/>
                <w:szCs w:val="18"/>
              </w:rPr>
            </w:pPr>
            <w:r w:rsidRPr="005944FF">
              <w:rPr>
                <w:rFonts w:ascii="Calibri" w:eastAsia="Calibri" w:hAnsi="Calibri" w:cs="Calibri"/>
                <w:color w:val="000000" w:themeColor="text1"/>
                <w:sz w:val="18"/>
                <w:szCs w:val="18"/>
              </w:rPr>
              <w:t>BLS ECEC, Private Manufacturing industries, “Mgt, Business, and Financial”</w:t>
            </w:r>
          </w:p>
        </w:tc>
        <w:tc>
          <w:tcPr>
            <w:tcW w:w="91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5421E2DC" w14:textId="1443FD4D">
            <w:pPr>
              <w:spacing w:after="0"/>
              <w:jc w:val="center"/>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Sep-24</w:t>
            </w:r>
          </w:p>
        </w:tc>
        <w:tc>
          <w:tcPr>
            <w:tcW w:w="97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1C46F31B" w14:textId="00F62294">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$50.55</w:t>
            </w:r>
          </w:p>
        </w:tc>
        <w:tc>
          <w:tcPr>
            <w:tcW w:w="90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7FFFB520" w14:textId="3962B1A9">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$23.75 </w:t>
            </w:r>
          </w:p>
        </w:tc>
        <w:tc>
          <w:tcPr>
            <w:tcW w:w="960"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25231F61" w14:textId="51C9EB12">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$74.30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0DAD19D1" w14:textId="1A936D22">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20%</w:t>
            </w:r>
          </w:p>
        </w:tc>
        <w:tc>
          <w:tcPr>
            <w:tcW w:w="75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090CDD1A" w14:textId="7084C75A">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14.86</w:t>
            </w:r>
          </w:p>
        </w:tc>
        <w:tc>
          <w:tcPr>
            <w:tcW w:w="100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5E0B11B6" w14:textId="68377D3D">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$89.16 </w:t>
            </w:r>
          </w:p>
        </w:tc>
      </w:tr>
      <w:tr w14:paraId="22B0CACC" w14:textId="77777777" w:rsidTr="2D725C34">
        <w:tblPrEx>
          <w:tblW w:w="9810" w:type="dxa"/>
          <w:tblInd w:w="-5" w:type="dxa"/>
          <w:tblLayout w:type="fixed"/>
          <w:tblLook w:val="06A0"/>
        </w:tblPrEx>
        <w:trPr>
          <w:trHeight w:val="735"/>
        </w:trPr>
        <w:tc>
          <w:tcPr>
            <w:tcW w:w="117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1552E25D" w14:textId="60FECE95">
            <w:pPr>
              <w:spacing w:after="0"/>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Professional / Technical</w:t>
            </w:r>
          </w:p>
        </w:tc>
        <w:tc>
          <w:tcPr>
            <w:tcW w:w="1620" w:type="dxa"/>
            <w:tcBorders>
              <w:top w:val="single" w:sz="4" w:space="0" w:color="auto"/>
              <w:left w:val="single" w:sz="4" w:space="0" w:color="auto"/>
              <w:bottom w:val="single" w:sz="4" w:space="0" w:color="auto"/>
              <w:right w:val="single" w:sz="4" w:space="0" w:color="auto"/>
            </w:tcBorders>
            <w:vAlign w:val="center"/>
          </w:tcPr>
          <w:p w:rsidR="07BE98CC" w:rsidRPr="005944FF" w:rsidP="003B3CDB" w14:paraId="3E71F599" w14:textId="402361BA">
            <w:pPr>
              <w:spacing w:after="0"/>
              <w:rPr>
                <w:rFonts w:ascii="Calibri" w:eastAsia="Calibri" w:hAnsi="Calibri" w:cs="Calibri"/>
                <w:color w:val="000000" w:themeColor="text1"/>
                <w:sz w:val="18"/>
                <w:szCs w:val="18"/>
              </w:rPr>
            </w:pPr>
            <w:r w:rsidRPr="005944FF">
              <w:rPr>
                <w:rFonts w:ascii="Calibri" w:eastAsia="Calibri" w:hAnsi="Calibri" w:cs="Calibri"/>
                <w:color w:val="000000" w:themeColor="text1"/>
                <w:sz w:val="18"/>
                <w:szCs w:val="18"/>
              </w:rPr>
              <w:t>BLS ECEC, Private Manufacturing industries, “Professional and related“</w:t>
            </w:r>
          </w:p>
        </w:tc>
        <w:tc>
          <w:tcPr>
            <w:tcW w:w="91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77BF2A51" w14:textId="6E782FEC">
            <w:pPr>
              <w:spacing w:after="0"/>
              <w:jc w:val="center"/>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Sep-24</w:t>
            </w:r>
          </w:p>
        </w:tc>
        <w:tc>
          <w:tcPr>
            <w:tcW w:w="97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2B720E68" w14:textId="0269551B">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$46.71</w:t>
            </w:r>
          </w:p>
        </w:tc>
        <w:tc>
          <w:tcPr>
            <w:tcW w:w="90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61DCE57E" w14:textId="51BDE3B9">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$22.91 </w:t>
            </w:r>
          </w:p>
        </w:tc>
        <w:tc>
          <w:tcPr>
            <w:tcW w:w="960"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59BECB88" w14:textId="0D9C7A7D">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$69.62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63C27534" w14:textId="1E278DB8">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20%</w:t>
            </w:r>
          </w:p>
        </w:tc>
        <w:tc>
          <w:tcPr>
            <w:tcW w:w="75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09731CC2" w14:textId="5FDE7A18">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13.92</w:t>
            </w:r>
          </w:p>
        </w:tc>
        <w:tc>
          <w:tcPr>
            <w:tcW w:w="100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7CD57844" w14:textId="690E84E1">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$83.54 </w:t>
            </w:r>
          </w:p>
        </w:tc>
      </w:tr>
      <w:tr w14:paraId="17DC9651" w14:textId="77777777" w:rsidTr="2D725C34">
        <w:tblPrEx>
          <w:tblW w:w="9810" w:type="dxa"/>
          <w:tblInd w:w="-5" w:type="dxa"/>
          <w:tblLayout w:type="fixed"/>
          <w:tblLook w:val="06A0"/>
        </w:tblPrEx>
        <w:trPr>
          <w:trHeight w:val="975"/>
        </w:trPr>
        <w:tc>
          <w:tcPr>
            <w:tcW w:w="117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29949DC9" w14:textId="22135F29">
            <w:pPr>
              <w:spacing w:after="0"/>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Clerical</w:t>
            </w:r>
          </w:p>
        </w:tc>
        <w:tc>
          <w:tcPr>
            <w:tcW w:w="1620" w:type="dxa"/>
            <w:tcBorders>
              <w:top w:val="single" w:sz="4" w:space="0" w:color="auto"/>
              <w:left w:val="single" w:sz="4" w:space="0" w:color="auto"/>
              <w:bottom w:val="single" w:sz="4" w:space="0" w:color="auto"/>
              <w:right w:val="single" w:sz="4" w:space="0" w:color="auto"/>
            </w:tcBorders>
            <w:vAlign w:val="center"/>
          </w:tcPr>
          <w:p w:rsidR="07BE98CC" w:rsidRPr="005944FF" w:rsidP="003B3CDB" w14:paraId="5A1D50BF" w14:textId="1350B441">
            <w:pPr>
              <w:spacing w:after="0"/>
              <w:rPr>
                <w:rFonts w:ascii="Calibri" w:eastAsia="Calibri" w:hAnsi="Calibri" w:cs="Calibri"/>
                <w:color w:val="000000" w:themeColor="text1"/>
                <w:sz w:val="18"/>
                <w:szCs w:val="18"/>
              </w:rPr>
            </w:pPr>
            <w:r w:rsidRPr="005944FF">
              <w:rPr>
                <w:rFonts w:ascii="Calibri" w:eastAsia="Calibri" w:hAnsi="Calibri" w:cs="Calibri"/>
                <w:color w:val="000000" w:themeColor="text1"/>
                <w:sz w:val="18"/>
                <w:szCs w:val="18"/>
              </w:rPr>
              <w:t>BLS ECEC, Private Manufacturing industries, “Office and Administrative Support”</w:t>
            </w:r>
          </w:p>
        </w:tc>
        <w:tc>
          <w:tcPr>
            <w:tcW w:w="91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1C071066" w14:textId="2A7D971D">
            <w:pPr>
              <w:spacing w:after="0"/>
              <w:jc w:val="center"/>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Sep-24</w:t>
            </w:r>
          </w:p>
        </w:tc>
        <w:tc>
          <w:tcPr>
            <w:tcW w:w="97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290605B3" w14:textId="1BB61834">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$24.41 </w:t>
            </w:r>
          </w:p>
        </w:tc>
        <w:tc>
          <w:tcPr>
            <w:tcW w:w="90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22EB91C1" w14:textId="2895213F">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$10.82 </w:t>
            </w:r>
          </w:p>
        </w:tc>
        <w:tc>
          <w:tcPr>
            <w:tcW w:w="960"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0ADA0768" w14:textId="7004B4A2">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$35.23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17602761" w14:textId="4BD359CF">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20%</w:t>
            </w:r>
          </w:p>
        </w:tc>
        <w:tc>
          <w:tcPr>
            <w:tcW w:w="75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2233414C" w14:textId="79BD825F">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7.05</w:t>
            </w:r>
          </w:p>
        </w:tc>
        <w:tc>
          <w:tcPr>
            <w:tcW w:w="100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05AA8047" w14:textId="2D4EF696">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$42.28 </w:t>
            </w:r>
          </w:p>
        </w:tc>
      </w:tr>
      <w:tr w14:paraId="0377756D" w14:textId="77777777" w:rsidTr="2D725C34">
        <w:tblPrEx>
          <w:tblW w:w="9810" w:type="dxa"/>
          <w:tblInd w:w="-5" w:type="dxa"/>
          <w:tblLayout w:type="fixed"/>
          <w:tblLook w:val="06A0"/>
        </w:tblPrEx>
        <w:trPr>
          <w:trHeight w:val="990"/>
        </w:trPr>
        <w:tc>
          <w:tcPr>
            <w:tcW w:w="117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76182BA3" w14:textId="39D0F7E2">
            <w:pPr>
              <w:spacing w:after="0"/>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Attorney</w:t>
            </w:r>
          </w:p>
        </w:tc>
        <w:tc>
          <w:tcPr>
            <w:tcW w:w="1620" w:type="dxa"/>
            <w:tcBorders>
              <w:top w:val="single" w:sz="4" w:space="0" w:color="auto"/>
              <w:left w:val="single" w:sz="4" w:space="0" w:color="auto"/>
              <w:bottom w:val="single" w:sz="4" w:space="0" w:color="auto"/>
              <w:right w:val="single" w:sz="4" w:space="0" w:color="auto"/>
            </w:tcBorders>
            <w:vAlign w:val="center"/>
          </w:tcPr>
          <w:p w:rsidR="07BE98CC" w:rsidRPr="005944FF" w:rsidP="003B3CDB" w14:paraId="2A21CF6C" w14:textId="52305DAC">
            <w:pPr>
              <w:spacing w:after="0"/>
              <w:rPr>
                <w:rFonts w:ascii="Calibri" w:eastAsia="Calibri" w:hAnsi="Calibri" w:cs="Calibri"/>
                <w:color w:val="000000" w:themeColor="text1"/>
                <w:sz w:val="18"/>
                <w:szCs w:val="18"/>
                <w:vertAlign w:val="superscript"/>
              </w:rPr>
            </w:pPr>
            <w:r w:rsidRPr="005944FF">
              <w:rPr>
                <w:rFonts w:ascii="Calibri" w:eastAsia="Calibri" w:hAnsi="Calibri" w:cs="Calibri"/>
                <w:color w:val="000000" w:themeColor="text1"/>
                <w:sz w:val="18"/>
                <w:szCs w:val="18"/>
              </w:rPr>
              <w:t xml:space="preserve">BLS OES "Legal Services - Lawyers," BLS ECEC, "Professional and Business Services </w:t>
            </w:r>
            <w:r w:rsidRPr="005944FF">
              <w:rPr>
                <w:rFonts w:ascii="Calibri" w:eastAsia="Calibri" w:hAnsi="Calibri" w:cs="Calibri"/>
                <w:color w:val="000000" w:themeColor="text1"/>
                <w:sz w:val="18"/>
                <w:szCs w:val="18"/>
                <w:vertAlign w:val="superscript"/>
              </w:rPr>
              <w:t>d</w:t>
            </w:r>
          </w:p>
        </w:tc>
        <w:tc>
          <w:tcPr>
            <w:tcW w:w="91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2337B7AC" w14:textId="29CD7C3A">
            <w:pPr>
              <w:spacing w:after="0"/>
              <w:jc w:val="center"/>
              <w:rPr>
                <w:rFonts w:ascii="Calibri" w:eastAsia="Times New Roman" w:hAnsi="Calibri" w:cs="Calibri"/>
                <w:color w:val="000000" w:themeColor="text1"/>
                <w:sz w:val="18"/>
                <w:szCs w:val="18"/>
              </w:rPr>
            </w:pPr>
            <w:r w:rsidRPr="00665733">
              <w:rPr>
                <w:rFonts w:ascii="Calibri" w:eastAsia="Times New Roman" w:hAnsi="Calibri" w:cs="Calibri"/>
                <w:color w:val="000000" w:themeColor="text1"/>
                <w:sz w:val="18"/>
                <w:szCs w:val="18"/>
              </w:rPr>
              <w:t>May-23 (wage)</w:t>
            </w:r>
            <w:r w:rsidRPr="00665733">
              <w:rPr>
                <w:rFonts w:ascii="Calibri" w:hAnsi="Calibri" w:cs="Calibri"/>
              </w:rPr>
              <w:br/>
            </w:r>
            <w:r w:rsidRPr="00665733">
              <w:rPr>
                <w:rFonts w:ascii="Calibri" w:eastAsia="Times New Roman" w:hAnsi="Calibri" w:cs="Calibri"/>
                <w:color w:val="000000" w:themeColor="text1"/>
                <w:sz w:val="18"/>
                <w:szCs w:val="18"/>
              </w:rPr>
              <w:t xml:space="preserve"> Sep -24 (fringe)</w:t>
            </w:r>
          </w:p>
        </w:tc>
        <w:tc>
          <w:tcPr>
            <w:tcW w:w="97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581DC6FD" w14:textId="12B89688">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$84.84 </w:t>
            </w:r>
          </w:p>
        </w:tc>
        <w:tc>
          <w:tcPr>
            <w:tcW w:w="90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3F7D9C31" w14:textId="5822CE02">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$26.11 </w:t>
            </w:r>
          </w:p>
        </w:tc>
        <w:tc>
          <w:tcPr>
            <w:tcW w:w="960"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4875CCB1" w14:textId="3CA387E2">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$110.95</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accent6"/>
            <w:vAlign w:val="center"/>
          </w:tcPr>
          <w:p w:rsidR="07BE98CC" w:rsidRPr="00665733" w:rsidP="003B3CDB" w14:paraId="66311C38" w14:textId="498915D6">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20%</w:t>
            </w:r>
          </w:p>
        </w:tc>
        <w:tc>
          <w:tcPr>
            <w:tcW w:w="750"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764AD3D5" w14:textId="27078C63">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22.19</w:t>
            </w:r>
          </w:p>
        </w:tc>
        <w:tc>
          <w:tcPr>
            <w:tcW w:w="1005" w:type="dxa"/>
            <w:tcBorders>
              <w:top w:val="single" w:sz="4" w:space="0" w:color="auto"/>
              <w:left w:val="single" w:sz="4" w:space="0" w:color="auto"/>
              <w:bottom w:val="single" w:sz="4" w:space="0" w:color="auto"/>
              <w:right w:val="single" w:sz="4" w:space="0" w:color="auto"/>
            </w:tcBorders>
            <w:vAlign w:val="center"/>
          </w:tcPr>
          <w:p w:rsidR="07BE98CC" w:rsidRPr="00665733" w:rsidP="003B3CDB" w14:paraId="6BD05F09" w14:textId="0B47A087">
            <w:pPr>
              <w:spacing w:after="0"/>
              <w:jc w:val="center"/>
              <w:rPr>
                <w:rFonts w:ascii="Calibri" w:eastAsia="Times New Roman" w:hAnsi="Calibri" w:cs="Calibri"/>
                <w:color w:val="000000" w:themeColor="text1"/>
                <w:sz w:val="20"/>
                <w:szCs w:val="20"/>
              </w:rPr>
            </w:pPr>
            <w:r w:rsidRPr="00665733">
              <w:rPr>
                <w:rFonts w:ascii="Calibri" w:eastAsia="Times New Roman" w:hAnsi="Calibri" w:cs="Calibri"/>
                <w:color w:val="000000" w:themeColor="text1"/>
                <w:sz w:val="20"/>
                <w:szCs w:val="20"/>
              </w:rPr>
              <w:t xml:space="preserve">$133.14 </w:t>
            </w:r>
          </w:p>
        </w:tc>
      </w:tr>
    </w:tbl>
    <w:p w:rsidR="003B3CDB" w:rsidP="00801607" w14:paraId="3BD21F78" w14:textId="4352B17C">
      <w:pPr>
        <w:spacing w:after="0"/>
        <w:rPr>
          <w:rFonts w:ascii="Calibri" w:hAnsi="Calibri" w:cs="Calibri"/>
          <w:sz w:val="16"/>
          <w:szCs w:val="16"/>
        </w:rPr>
      </w:pPr>
      <w:r w:rsidRPr="007422E6">
        <w:rPr>
          <w:rFonts w:ascii="Calibri" w:hAnsi="Calibri" w:cs="Calibri"/>
          <w:sz w:val="16"/>
          <w:szCs w:val="16"/>
        </w:rPr>
        <w:t>Note: Values may not sum due to rounding</w:t>
      </w:r>
      <w:r w:rsidRPr="00BF5F9B">
        <w:rPr>
          <w:rFonts w:ascii="Calibri" w:hAnsi="Calibri" w:cs="Calibri"/>
          <w:i/>
          <w:iCs/>
          <w:sz w:val="16"/>
          <w:szCs w:val="16"/>
        </w:rPr>
        <w:t>.</w:t>
      </w:r>
      <w:r w:rsidRPr="00BF5F9B">
        <w:rPr>
          <w:rFonts w:ascii="Calibri" w:hAnsi="Calibri" w:cs="Calibri"/>
          <w:sz w:val="16"/>
          <w:szCs w:val="16"/>
        </w:rPr>
        <w:br/>
        <w:t xml:space="preserve"> a Source: Employer Costs for Employee Compensation, Private manufacturing industries, Professional and business services industry, September 2024; Occupation Employment and Wages, 23-1011 Lawyers. May 2023. (U.S. Bureau of Labor Statistics 2024).</w:t>
      </w:r>
      <w:r w:rsidRPr="00BF5F9B">
        <w:rPr>
          <w:rFonts w:ascii="Calibri" w:hAnsi="Calibri" w:cs="Calibri"/>
          <w:sz w:val="16"/>
          <w:szCs w:val="16"/>
        </w:rPr>
        <w:br/>
        <w:t xml:space="preserve"> b Source: Employer Costs for Employee Compensation Supplementary Tables: December 2023 (BLS 2024)</w:t>
      </w:r>
      <w:r w:rsidRPr="00BF5F9B">
        <w:rPr>
          <w:rFonts w:ascii="Calibri" w:hAnsi="Calibri" w:cs="Calibri"/>
          <w:sz w:val="16"/>
          <w:szCs w:val="16"/>
        </w:rPr>
        <w:br/>
        <w:t xml:space="preserve"> c An overhead rate of 20% is used based on assumptions in Handbook on Valuing Changes in Time Use Induced by Regulatory Requirements and Other U.S. EPA Actions (EPA 2020)</w:t>
      </w:r>
      <w:r w:rsidRPr="00BF5F9B">
        <w:rPr>
          <w:rFonts w:ascii="Calibri" w:hAnsi="Calibri" w:cs="Calibri"/>
          <w:sz w:val="16"/>
          <w:szCs w:val="16"/>
        </w:rPr>
        <w:br/>
        <w:t xml:space="preserve"> d Wage data are rounded to the closest cent in this analysis.</w:t>
      </w:r>
    </w:p>
    <w:p w:rsidR="00801607" w:rsidRPr="00801607" w:rsidP="00801607" w14:paraId="73BC1125" w14:textId="77777777">
      <w:pPr>
        <w:spacing w:after="0"/>
        <w:rPr>
          <w:rFonts w:ascii="Calibri" w:hAnsi="Calibri" w:cs="Calibri"/>
          <w:iCs/>
          <w:sz w:val="16"/>
          <w:szCs w:val="16"/>
        </w:rPr>
      </w:pPr>
    </w:p>
    <w:p w:rsidR="003B3CDB" w:rsidRPr="0063621F" w:rsidP="00801607" w14:paraId="44BE54B0" w14:textId="77777777">
      <w:pPr>
        <w:pStyle w:val="Heading3"/>
        <w:spacing w:before="240" w:after="0" w:line="240" w:lineRule="auto"/>
        <w:rPr>
          <w:rFonts w:ascii="Calibri" w:hAnsi="Calibri" w:cs="Calibri"/>
          <w:i w:val="0"/>
          <w:iCs/>
          <w:u w:val="none"/>
        </w:rPr>
      </w:pPr>
      <w:r w:rsidRPr="0063621F">
        <w:rPr>
          <w:rFonts w:ascii="Calibri" w:hAnsi="Calibri" w:cs="Calibri"/>
          <w:i w:val="0"/>
          <w:iCs/>
          <w:u w:val="none"/>
        </w:rPr>
        <w:t>CDX Registration</w:t>
      </w:r>
    </w:p>
    <w:p w:rsidR="00677565" w:rsidRPr="00EC4B0A" w:rsidP="5F135418" w14:paraId="54C3B5AF" w14:textId="1D0AD279">
      <w:pPr>
        <w:rPr>
          <w:rFonts w:ascii="Calibri" w:hAnsi="Calibri" w:cs="Calibri"/>
        </w:rPr>
      </w:pPr>
      <w:r w:rsidRPr="5F135418">
        <w:rPr>
          <w:rFonts w:ascii="Calibri" w:hAnsi="Calibri" w:cs="Calibri"/>
        </w:rPr>
        <w:t xml:space="preserve">As part of EPA’s electronic reporting requirements, submitters are required to register and submit information electronically with EPA’s CDX system. First-time submitters are required to register their company with the CDX reporting tool. These activities are only required for first-time submitters of any </w:t>
      </w:r>
      <w:r w:rsidRPr="5F135418" w:rsidR="39931222">
        <w:rPr>
          <w:rFonts w:ascii="Calibri" w:hAnsi="Calibri" w:cs="Calibri"/>
        </w:rPr>
        <w:t xml:space="preserve">TSCA </w:t>
      </w:r>
      <w:r w:rsidRPr="5F135418">
        <w:rPr>
          <w:rFonts w:ascii="Calibri" w:hAnsi="Calibri" w:cs="Calibri"/>
        </w:rPr>
        <w:t xml:space="preserve">section 8 submission. EPA conservatively assumes that all submitters will incur the following burden </w:t>
      </w:r>
      <w:r w:rsidRPr="5F135418" w:rsidR="0057342F">
        <w:rPr>
          <w:rFonts w:ascii="Calibri" w:hAnsi="Calibri" w:cs="Calibri"/>
        </w:rPr>
        <w:t>and costs</w:t>
      </w:r>
      <w:r w:rsidRPr="5F135418">
        <w:rPr>
          <w:rFonts w:ascii="Calibri" w:hAnsi="Calibri" w:cs="Calibri"/>
        </w:rPr>
        <w:t>.</w:t>
      </w:r>
    </w:p>
    <w:p w:rsidR="00677565" w:rsidRPr="00EC4B0A" w:rsidP="00677565" w14:paraId="731DDAEE" w14:textId="77777777">
      <w:pPr>
        <w:pStyle w:val="ListParagraph"/>
        <w:numPr>
          <w:ilvl w:val="0"/>
          <w:numId w:val="22"/>
        </w:numPr>
        <w:spacing w:after="200" w:line="276" w:lineRule="auto"/>
        <w:rPr>
          <w:rFonts w:ascii="Calibri" w:hAnsi="Calibri" w:cs="Calibri"/>
        </w:rPr>
      </w:pPr>
      <w:r w:rsidRPr="00EC4B0A">
        <w:rPr>
          <w:rFonts w:ascii="Calibri" w:hAnsi="Calibri" w:cs="Calibri"/>
          <w:i/>
        </w:rPr>
        <w:t>CDX registration:</w:t>
      </w:r>
      <w:r w:rsidRPr="00EC4B0A">
        <w:rPr>
          <w:rFonts w:ascii="Calibri" w:hAnsi="Calibri" w:cs="Calibri"/>
        </w:rPr>
        <w:t xml:space="preserve"> EPA estimates that companies will spend approximately 0.18 hours per employee to register with CDX, and that an average of four technical staff members and one manager will need to register for each company, totaling approximately 0.92 hours of burden per company.</w:t>
      </w:r>
    </w:p>
    <w:p w:rsidR="00677565" w:rsidRPr="00665733" w:rsidP="00677565" w14:paraId="3B6CC3E4" w14:textId="13B71575">
      <w:pPr>
        <w:pStyle w:val="ListParagraph"/>
        <w:numPr>
          <w:ilvl w:val="0"/>
          <w:numId w:val="22"/>
        </w:numPr>
        <w:spacing w:after="200" w:line="276" w:lineRule="auto"/>
        <w:rPr>
          <w:rFonts w:ascii="Calibri" w:hAnsi="Calibri" w:cs="Calibri"/>
        </w:rPr>
      </w:pPr>
      <w:r w:rsidRPr="00EC4B0A">
        <w:rPr>
          <w:rFonts w:ascii="Calibri" w:hAnsi="Calibri" w:cs="Calibri"/>
          <w:i/>
        </w:rPr>
        <w:t>CDX electronic signature:</w:t>
      </w:r>
      <w:r w:rsidRPr="00EC4B0A">
        <w:rPr>
          <w:rFonts w:ascii="Calibri" w:hAnsi="Calibri" w:cs="Calibri"/>
        </w:rPr>
        <w:t xml:space="preserve"> EPA estimates that companies will spend 0.25 hours preparing, submitting, and filing an electronic signature agreement (Authentication of Identity) form to EPA per employee. This burden will apply to four technical staff members and one manager per company, totaling 1.25 hours of burden per company. In addition, EPA estimates that a manager will spend an additional 0.50 hours accessing, preparing, and submitting verification forms (Verification of Authorization) for all authorized submitters to EPA. The total burden incurred by companies submitting and then verifying electronic signature agreements is 1.75 hours. Note that this burden does not include any additional time required to contact EPA’s CDX help desk to notify a change of submitter status, should one occur.</w:t>
      </w:r>
    </w:p>
    <w:p w:rsidR="00677565" w:rsidP="00665733" w14:paraId="451692AA" w14:textId="2729E3EC">
      <w:pPr>
        <w:spacing w:after="0"/>
        <w:rPr>
          <w:rFonts w:ascii="Calibri" w:hAnsi="Calibri" w:cs="Calibri"/>
          <w:b/>
          <w:bCs/>
        </w:rPr>
      </w:pPr>
      <w:r w:rsidRPr="00665733">
        <w:rPr>
          <w:rFonts w:ascii="Calibri" w:hAnsi="Calibri" w:cs="Calibri"/>
          <w:b/>
          <w:bCs/>
        </w:rPr>
        <w:t xml:space="preserve">Table </w:t>
      </w:r>
      <w:r w:rsidR="0057342F">
        <w:rPr>
          <w:rFonts w:ascii="Calibri" w:hAnsi="Calibri" w:cs="Calibri"/>
          <w:b/>
          <w:bCs/>
        </w:rPr>
        <w:t>2</w:t>
      </w:r>
      <w:r w:rsidRPr="00665733">
        <w:rPr>
          <w:rFonts w:ascii="Calibri" w:hAnsi="Calibri" w:cs="Calibri"/>
          <w:b/>
          <w:bCs/>
        </w:rPr>
        <w:t>: Costs for CDX Registration and CDX Electronic Signature (2024$)</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547"/>
        <w:gridCol w:w="1233"/>
        <w:gridCol w:w="1080"/>
        <w:gridCol w:w="900"/>
        <w:gridCol w:w="651"/>
        <w:gridCol w:w="1239"/>
        <w:gridCol w:w="1170"/>
        <w:gridCol w:w="900"/>
        <w:gridCol w:w="1080"/>
      </w:tblGrid>
      <w:tr w14:paraId="174559EC" w14:textId="77777777" w:rsidTr="008B6A63">
        <w:tblPrEx>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1050"/>
        </w:trPr>
        <w:tc>
          <w:tcPr>
            <w:tcW w:w="1547" w:type="dxa"/>
            <w:vMerge w:val="restart"/>
            <w:shd w:val="clear" w:color="auto" w:fill="E7E6E6" w:themeFill="background2"/>
            <w:vAlign w:val="center"/>
          </w:tcPr>
          <w:p w:rsidR="00665733" w:rsidRPr="0093630F" w:rsidP="004572B1" w14:paraId="0D548E68"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Activity</w:t>
            </w:r>
          </w:p>
        </w:tc>
        <w:tc>
          <w:tcPr>
            <w:tcW w:w="3864" w:type="dxa"/>
            <w:gridSpan w:val="4"/>
            <w:shd w:val="clear" w:color="auto" w:fill="E7E6E6" w:themeFill="background2"/>
            <w:vAlign w:val="center"/>
          </w:tcPr>
          <w:p w:rsidR="00665733" w:rsidRPr="0093630F" w:rsidP="004572B1" w14:paraId="7FE7F522"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Burden per Firm (hours)</w:t>
            </w:r>
          </w:p>
        </w:tc>
        <w:tc>
          <w:tcPr>
            <w:tcW w:w="4389" w:type="dxa"/>
            <w:gridSpan w:val="4"/>
            <w:shd w:val="clear" w:color="auto" w:fill="E7E6E6" w:themeFill="background2"/>
            <w:vAlign w:val="center"/>
          </w:tcPr>
          <w:p w:rsidR="00665733" w:rsidRPr="0093630F" w:rsidP="004572B1" w14:paraId="00B412E4"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Cost per Firm (2024$)</w:t>
            </w:r>
          </w:p>
        </w:tc>
      </w:tr>
      <w:tr w14:paraId="61B3078D" w14:textId="77777777" w:rsidTr="008B6A63">
        <w:tblPrEx>
          <w:tblW w:w="9800" w:type="dxa"/>
          <w:tblLayout w:type="fixed"/>
          <w:tblLook w:val="06A0"/>
        </w:tblPrEx>
        <w:trPr>
          <w:trHeight w:val="750"/>
        </w:trPr>
        <w:tc>
          <w:tcPr>
            <w:tcW w:w="1547" w:type="dxa"/>
            <w:vMerge/>
            <w:vAlign w:val="center"/>
          </w:tcPr>
          <w:p w:rsidR="00665733" w:rsidRPr="0093630F" w:rsidP="004572B1" w14:paraId="5A9762D7" w14:textId="77777777">
            <w:pPr>
              <w:rPr>
                <w:rFonts w:ascii="Calibri" w:hAnsi="Calibri" w:cs="Calibri"/>
              </w:rPr>
            </w:pPr>
          </w:p>
        </w:tc>
        <w:tc>
          <w:tcPr>
            <w:tcW w:w="1233" w:type="dxa"/>
            <w:shd w:val="clear" w:color="auto" w:fill="E7E6E6" w:themeFill="background2"/>
            <w:vAlign w:val="center"/>
          </w:tcPr>
          <w:p w:rsidR="00665733" w:rsidRPr="0093630F" w:rsidP="004572B1" w14:paraId="7CB7A89B"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Managerial</w:t>
            </w:r>
          </w:p>
        </w:tc>
        <w:tc>
          <w:tcPr>
            <w:tcW w:w="1080" w:type="dxa"/>
            <w:shd w:val="clear" w:color="auto" w:fill="E7E6E6" w:themeFill="background2"/>
            <w:vAlign w:val="center"/>
          </w:tcPr>
          <w:p w:rsidR="00665733" w:rsidRPr="0093630F" w:rsidP="004572B1" w14:paraId="2CCC4A61"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Technical</w:t>
            </w:r>
          </w:p>
        </w:tc>
        <w:tc>
          <w:tcPr>
            <w:tcW w:w="900" w:type="dxa"/>
            <w:shd w:val="clear" w:color="auto" w:fill="E7E6E6" w:themeFill="background2"/>
            <w:vAlign w:val="center"/>
          </w:tcPr>
          <w:p w:rsidR="00665733" w:rsidRPr="0093630F" w:rsidP="004572B1" w14:paraId="344E3FAF"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Clerical</w:t>
            </w:r>
          </w:p>
        </w:tc>
        <w:tc>
          <w:tcPr>
            <w:tcW w:w="651" w:type="dxa"/>
            <w:shd w:val="clear" w:color="auto" w:fill="E7E6E6" w:themeFill="background2"/>
            <w:vAlign w:val="center"/>
          </w:tcPr>
          <w:p w:rsidR="00665733" w:rsidRPr="0093630F" w:rsidP="004572B1" w14:paraId="38EDEB40"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Total</w:t>
            </w:r>
          </w:p>
        </w:tc>
        <w:tc>
          <w:tcPr>
            <w:tcW w:w="1239" w:type="dxa"/>
            <w:shd w:val="clear" w:color="auto" w:fill="E7E6E6" w:themeFill="background2"/>
            <w:vAlign w:val="center"/>
          </w:tcPr>
          <w:p w:rsidR="00665733" w:rsidRPr="0093630F" w:rsidP="004572B1" w14:paraId="1A66C574"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Managerial ($89.16/hr)</w:t>
            </w:r>
          </w:p>
        </w:tc>
        <w:tc>
          <w:tcPr>
            <w:tcW w:w="1170" w:type="dxa"/>
            <w:shd w:val="clear" w:color="auto" w:fill="E7E6E6" w:themeFill="background2"/>
            <w:vAlign w:val="center"/>
          </w:tcPr>
          <w:p w:rsidR="00665733" w:rsidRPr="0093630F" w:rsidP="004572B1" w14:paraId="73B1A664"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Technical ($83.54/hr)</w:t>
            </w:r>
          </w:p>
        </w:tc>
        <w:tc>
          <w:tcPr>
            <w:tcW w:w="900" w:type="dxa"/>
            <w:shd w:val="clear" w:color="auto" w:fill="E7E6E6" w:themeFill="background2"/>
            <w:vAlign w:val="center"/>
          </w:tcPr>
          <w:p w:rsidR="00665733" w:rsidRPr="0093630F" w:rsidP="004572B1" w14:paraId="01492D76"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Clerical ($42.28/hr)</w:t>
            </w:r>
          </w:p>
        </w:tc>
        <w:tc>
          <w:tcPr>
            <w:tcW w:w="1080" w:type="dxa"/>
            <w:shd w:val="clear" w:color="auto" w:fill="E7E6E6" w:themeFill="background2"/>
            <w:vAlign w:val="center"/>
          </w:tcPr>
          <w:p w:rsidR="00665733" w:rsidRPr="0093630F" w:rsidP="004572B1" w14:paraId="6F61C754" w14:textId="77777777">
            <w:pPr>
              <w:spacing w:after="0"/>
              <w:jc w:val="center"/>
              <w:rPr>
                <w:rFonts w:ascii="Calibri" w:eastAsia="Times New Roman" w:hAnsi="Calibri" w:cs="Calibri"/>
                <w:b/>
                <w:bCs/>
                <w:color w:val="000000" w:themeColor="text1"/>
                <w:sz w:val="20"/>
                <w:szCs w:val="20"/>
              </w:rPr>
            </w:pPr>
            <w:r w:rsidRPr="0093630F">
              <w:rPr>
                <w:rFonts w:ascii="Calibri" w:eastAsia="Times New Roman" w:hAnsi="Calibri" w:cs="Calibri"/>
                <w:b/>
                <w:bCs/>
                <w:color w:val="000000" w:themeColor="text1"/>
                <w:sz w:val="20"/>
                <w:szCs w:val="20"/>
              </w:rPr>
              <w:t>Total</w:t>
            </w:r>
          </w:p>
        </w:tc>
      </w:tr>
      <w:tr w14:paraId="28C59A34" w14:textId="77777777" w:rsidTr="008B6A63">
        <w:tblPrEx>
          <w:tblW w:w="9800" w:type="dxa"/>
          <w:tblLayout w:type="fixed"/>
          <w:tblLook w:val="06A0"/>
        </w:tblPrEx>
        <w:trPr>
          <w:trHeight w:val="300"/>
        </w:trPr>
        <w:tc>
          <w:tcPr>
            <w:tcW w:w="1547" w:type="dxa"/>
            <w:vAlign w:val="center"/>
          </w:tcPr>
          <w:p w:rsidR="00665733" w:rsidRPr="0093630F" w:rsidP="004572B1" w14:paraId="5B8AD703" w14:textId="77777777">
            <w:pPr>
              <w:spacing w:after="0"/>
              <w:rPr>
                <w:rFonts w:ascii="Calibri" w:eastAsia="Times New Roman" w:hAnsi="Calibri" w:cs="Calibri"/>
                <w:color w:val="000000" w:themeColor="text1"/>
                <w:sz w:val="19"/>
                <w:szCs w:val="19"/>
              </w:rPr>
            </w:pPr>
            <w:r w:rsidRPr="0093630F">
              <w:rPr>
                <w:rFonts w:ascii="Calibri" w:eastAsia="Times New Roman" w:hAnsi="Calibri" w:cs="Calibri"/>
                <w:color w:val="000000" w:themeColor="text1"/>
                <w:sz w:val="19"/>
                <w:szCs w:val="19"/>
              </w:rPr>
              <w:t>CDX Registration</w:t>
            </w:r>
          </w:p>
        </w:tc>
        <w:tc>
          <w:tcPr>
            <w:tcW w:w="1233" w:type="dxa"/>
            <w:vAlign w:val="center"/>
          </w:tcPr>
          <w:p w:rsidR="00665733" w:rsidRPr="0093630F" w:rsidP="004572B1" w14:paraId="786770D8"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0.18</w:t>
            </w:r>
          </w:p>
        </w:tc>
        <w:tc>
          <w:tcPr>
            <w:tcW w:w="1080" w:type="dxa"/>
            <w:vAlign w:val="center"/>
          </w:tcPr>
          <w:p w:rsidR="00665733" w:rsidRPr="0093630F" w:rsidP="004572B1" w14:paraId="3360F7BE"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0.73</w:t>
            </w:r>
          </w:p>
        </w:tc>
        <w:tc>
          <w:tcPr>
            <w:tcW w:w="900" w:type="dxa"/>
            <w:vAlign w:val="center"/>
          </w:tcPr>
          <w:p w:rsidR="00665733" w:rsidRPr="0093630F" w:rsidP="004572B1" w14:paraId="2A0D15CE"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w:t>
            </w:r>
          </w:p>
        </w:tc>
        <w:tc>
          <w:tcPr>
            <w:tcW w:w="651" w:type="dxa"/>
            <w:vAlign w:val="center"/>
          </w:tcPr>
          <w:p w:rsidR="00665733" w:rsidRPr="00665733" w:rsidP="004572B1" w14:paraId="530A5B3F"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0.92</w:t>
            </w:r>
          </w:p>
        </w:tc>
        <w:tc>
          <w:tcPr>
            <w:tcW w:w="1239" w:type="dxa"/>
            <w:vAlign w:val="center"/>
          </w:tcPr>
          <w:p w:rsidR="00665733" w:rsidRPr="0093630F" w:rsidP="004572B1" w14:paraId="4F5B70CE"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$16.35 </w:t>
            </w:r>
          </w:p>
        </w:tc>
        <w:tc>
          <w:tcPr>
            <w:tcW w:w="1170" w:type="dxa"/>
            <w:vAlign w:val="center"/>
          </w:tcPr>
          <w:p w:rsidR="00665733" w:rsidRPr="0093630F" w:rsidP="004572B1" w14:paraId="02035E6A"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$61.27 </w:t>
            </w:r>
          </w:p>
        </w:tc>
        <w:tc>
          <w:tcPr>
            <w:tcW w:w="900" w:type="dxa"/>
            <w:vAlign w:val="center"/>
          </w:tcPr>
          <w:p w:rsidR="00665733" w:rsidRPr="0093630F" w:rsidP="004572B1" w14:paraId="5649B83C"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$0.00 </w:t>
            </w:r>
          </w:p>
        </w:tc>
        <w:tc>
          <w:tcPr>
            <w:tcW w:w="1080" w:type="dxa"/>
            <w:vAlign w:val="center"/>
          </w:tcPr>
          <w:p w:rsidR="00665733" w:rsidRPr="00665733" w:rsidP="004572B1" w14:paraId="652DCAAF"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 xml:space="preserve">$77.61 </w:t>
            </w:r>
          </w:p>
        </w:tc>
      </w:tr>
      <w:tr w14:paraId="414C4D24" w14:textId="77777777" w:rsidTr="008B6A63">
        <w:tblPrEx>
          <w:tblW w:w="9800" w:type="dxa"/>
          <w:tblLayout w:type="fixed"/>
          <w:tblLook w:val="06A0"/>
        </w:tblPrEx>
        <w:trPr>
          <w:trHeight w:val="300"/>
        </w:trPr>
        <w:tc>
          <w:tcPr>
            <w:tcW w:w="1547" w:type="dxa"/>
            <w:vAlign w:val="center"/>
          </w:tcPr>
          <w:p w:rsidR="00665733" w:rsidRPr="0093630F" w:rsidP="004572B1" w14:paraId="3FB995AE" w14:textId="77777777">
            <w:pPr>
              <w:spacing w:after="0"/>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Electronic Signature</w:t>
            </w:r>
          </w:p>
        </w:tc>
        <w:tc>
          <w:tcPr>
            <w:tcW w:w="1233" w:type="dxa"/>
            <w:vAlign w:val="center"/>
          </w:tcPr>
          <w:p w:rsidR="00665733" w:rsidRPr="0093630F" w:rsidP="004572B1" w14:paraId="4DB0176A"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0.75</w:t>
            </w:r>
          </w:p>
        </w:tc>
        <w:tc>
          <w:tcPr>
            <w:tcW w:w="1080" w:type="dxa"/>
            <w:vAlign w:val="center"/>
          </w:tcPr>
          <w:p w:rsidR="00665733" w:rsidRPr="0093630F" w:rsidP="004572B1" w14:paraId="777F2A3A"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1</w:t>
            </w:r>
          </w:p>
        </w:tc>
        <w:tc>
          <w:tcPr>
            <w:tcW w:w="900" w:type="dxa"/>
            <w:vAlign w:val="center"/>
          </w:tcPr>
          <w:p w:rsidR="00665733" w:rsidRPr="0093630F" w:rsidP="004572B1" w14:paraId="6483E269"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w:t>
            </w:r>
          </w:p>
        </w:tc>
        <w:tc>
          <w:tcPr>
            <w:tcW w:w="651" w:type="dxa"/>
            <w:vAlign w:val="center"/>
          </w:tcPr>
          <w:p w:rsidR="00665733" w:rsidRPr="00665733" w:rsidP="004572B1" w14:paraId="3291D35A"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1.75</w:t>
            </w:r>
          </w:p>
        </w:tc>
        <w:tc>
          <w:tcPr>
            <w:tcW w:w="1239" w:type="dxa"/>
            <w:vAlign w:val="center"/>
          </w:tcPr>
          <w:p w:rsidR="00665733" w:rsidRPr="0093630F" w:rsidP="004572B1" w14:paraId="1F65EB2E"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$66.87 </w:t>
            </w:r>
          </w:p>
        </w:tc>
        <w:tc>
          <w:tcPr>
            <w:tcW w:w="1170" w:type="dxa"/>
            <w:vAlign w:val="center"/>
          </w:tcPr>
          <w:p w:rsidR="00665733" w:rsidRPr="0093630F" w:rsidP="004572B1" w14:paraId="23FC0221"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$83.54 </w:t>
            </w:r>
          </w:p>
        </w:tc>
        <w:tc>
          <w:tcPr>
            <w:tcW w:w="900" w:type="dxa"/>
            <w:vAlign w:val="center"/>
          </w:tcPr>
          <w:p w:rsidR="00665733" w:rsidRPr="0093630F" w:rsidP="004572B1" w14:paraId="15EA6B3B"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$0.00 </w:t>
            </w:r>
          </w:p>
        </w:tc>
        <w:tc>
          <w:tcPr>
            <w:tcW w:w="1080" w:type="dxa"/>
            <w:vAlign w:val="center"/>
          </w:tcPr>
          <w:p w:rsidR="00665733" w:rsidRPr="00665733" w:rsidP="004572B1" w14:paraId="5D207599"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 xml:space="preserve">$150.41 </w:t>
            </w:r>
          </w:p>
        </w:tc>
      </w:tr>
      <w:tr w14:paraId="692636BB" w14:textId="77777777" w:rsidTr="008B6A63">
        <w:tblPrEx>
          <w:tblW w:w="9800" w:type="dxa"/>
          <w:tblLayout w:type="fixed"/>
          <w:tblLook w:val="06A0"/>
        </w:tblPrEx>
        <w:trPr>
          <w:trHeight w:val="300"/>
        </w:trPr>
        <w:tc>
          <w:tcPr>
            <w:tcW w:w="1547" w:type="dxa"/>
            <w:vAlign w:val="center"/>
          </w:tcPr>
          <w:p w:rsidR="00665733" w:rsidRPr="0093630F" w:rsidP="004572B1" w14:paraId="273840C3" w14:textId="0D73583D">
            <w:pPr>
              <w:spacing w:after="0"/>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Mailing cost</w:t>
            </w:r>
            <w:r w:rsidRPr="00CA12AD" w:rsidR="00231B5A">
              <w:rPr>
                <w:rFonts w:ascii="Calibri" w:eastAsia="Times New Roman" w:hAnsi="Calibri" w:cs="Calibri"/>
                <w:color w:val="000000" w:themeColor="text1"/>
                <w:sz w:val="20"/>
                <w:szCs w:val="20"/>
                <w:vertAlign w:val="superscript"/>
              </w:rPr>
              <w:t>a</w:t>
            </w:r>
          </w:p>
        </w:tc>
        <w:tc>
          <w:tcPr>
            <w:tcW w:w="1233" w:type="dxa"/>
            <w:vAlign w:val="center"/>
          </w:tcPr>
          <w:p w:rsidR="00665733" w:rsidRPr="0093630F" w:rsidP="004572B1" w14:paraId="341934C9"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w:t>
            </w:r>
          </w:p>
        </w:tc>
        <w:tc>
          <w:tcPr>
            <w:tcW w:w="1080" w:type="dxa"/>
            <w:vAlign w:val="center"/>
          </w:tcPr>
          <w:p w:rsidR="00665733" w:rsidRPr="0093630F" w:rsidP="004572B1" w14:paraId="460AC27C"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w:t>
            </w:r>
          </w:p>
        </w:tc>
        <w:tc>
          <w:tcPr>
            <w:tcW w:w="900" w:type="dxa"/>
            <w:vAlign w:val="center"/>
          </w:tcPr>
          <w:p w:rsidR="00665733" w:rsidRPr="0093630F" w:rsidP="004572B1" w14:paraId="25D3E31E"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w:t>
            </w:r>
          </w:p>
        </w:tc>
        <w:tc>
          <w:tcPr>
            <w:tcW w:w="651" w:type="dxa"/>
            <w:vAlign w:val="center"/>
          </w:tcPr>
          <w:p w:rsidR="00665733" w:rsidRPr="00665733" w:rsidP="004572B1" w14:paraId="4CBCC818"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w:t>
            </w:r>
          </w:p>
        </w:tc>
        <w:tc>
          <w:tcPr>
            <w:tcW w:w="1239" w:type="dxa"/>
            <w:vAlign w:val="center"/>
          </w:tcPr>
          <w:p w:rsidR="00665733" w:rsidRPr="0093630F" w:rsidP="004572B1" w14:paraId="01552487"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w:t>
            </w:r>
          </w:p>
        </w:tc>
        <w:tc>
          <w:tcPr>
            <w:tcW w:w="1170" w:type="dxa"/>
            <w:vAlign w:val="center"/>
          </w:tcPr>
          <w:p w:rsidR="00665733" w:rsidRPr="0093630F" w:rsidP="004572B1" w14:paraId="3A67006C"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w:t>
            </w:r>
          </w:p>
        </w:tc>
        <w:tc>
          <w:tcPr>
            <w:tcW w:w="900" w:type="dxa"/>
            <w:vAlign w:val="center"/>
          </w:tcPr>
          <w:p w:rsidR="00665733" w:rsidRPr="0093630F" w:rsidP="004572B1" w14:paraId="1C87FD9D"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w:t>
            </w:r>
          </w:p>
        </w:tc>
        <w:tc>
          <w:tcPr>
            <w:tcW w:w="1080" w:type="dxa"/>
            <w:vAlign w:val="center"/>
          </w:tcPr>
          <w:p w:rsidR="00665733" w:rsidRPr="00665733" w:rsidP="004572B1" w14:paraId="28192ED4" w14:textId="2B62DC45">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 xml:space="preserve">$3.80 </w:t>
            </w:r>
          </w:p>
        </w:tc>
      </w:tr>
      <w:tr w14:paraId="79A72BF3" w14:textId="77777777" w:rsidTr="008B6A63">
        <w:tblPrEx>
          <w:tblW w:w="9800" w:type="dxa"/>
          <w:tblLayout w:type="fixed"/>
          <w:tblLook w:val="06A0"/>
        </w:tblPrEx>
        <w:trPr>
          <w:trHeight w:val="300"/>
        </w:trPr>
        <w:tc>
          <w:tcPr>
            <w:tcW w:w="1547" w:type="dxa"/>
            <w:vAlign w:val="center"/>
          </w:tcPr>
          <w:p w:rsidR="00665733" w:rsidRPr="0093630F" w:rsidP="004572B1" w14:paraId="7A0E9B37" w14:textId="3BC1E1E7">
            <w:pPr>
              <w:spacing w:after="0"/>
              <w:rPr>
                <w:rFonts w:ascii="Calibri" w:eastAsia="Times New Roman" w:hAnsi="Calibri" w:cs="Calibri"/>
                <w:color w:val="000000" w:themeColor="text1"/>
                <w:sz w:val="19"/>
                <w:szCs w:val="19"/>
                <w:vertAlign w:val="superscript"/>
              </w:rPr>
            </w:pPr>
            <w:r w:rsidRPr="0093630F">
              <w:rPr>
                <w:rFonts w:ascii="Calibri" w:eastAsia="Times New Roman" w:hAnsi="Calibri" w:cs="Calibri"/>
                <w:color w:val="000000" w:themeColor="text1"/>
                <w:sz w:val="20"/>
                <w:szCs w:val="20"/>
              </w:rPr>
              <w:t>Total</w:t>
            </w:r>
          </w:p>
        </w:tc>
        <w:tc>
          <w:tcPr>
            <w:tcW w:w="1233" w:type="dxa"/>
            <w:vAlign w:val="center"/>
          </w:tcPr>
          <w:p w:rsidR="00665733" w:rsidRPr="0093630F" w:rsidP="004572B1" w14:paraId="1D6593C7"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0.93</w:t>
            </w:r>
          </w:p>
        </w:tc>
        <w:tc>
          <w:tcPr>
            <w:tcW w:w="1080" w:type="dxa"/>
            <w:vAlign w:val="center"/>
          </w:tcPr>
          <w:p w:rsidR="00665733" w:rsidRPr="0093630F" w:rsidP="004572B1" w14:paraId="5CE30A70"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1.73</w:t>
            </w:r>
          </w:p>
        </w:tc>
        <w:tc>
          <w:tcPr>
            <w:tcW w:w="900" w:type="dxa"/>
            <w:vAlign w:val="center"/>
          </w:tcPr>
          <w:p w:rsidR="00665733" w:rsidRPr="0093630F" w:rsidP="004572B1" w14:paraId="0D146007"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0</w:t>
            </w:r>
          </w:p>
        </w:tc>
        <w:tc>
          <w:tcPr>
            <w:tcW w:w="651" w:type="dxa"/>
            <w:vAlign w:val="center"/>
          </w:tcPr>
          <w:p w:rsidR="00665733" w:rsidRPr="00665733" w:rsidP="004572B1" w14:paraId="61B4B140"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2.67</w:t>
            </w:r>
          </w:p>
        </w:tc>
        <w:tc>
          <w:tcPr>
            <w:tcW w:w="1239" w:type="dxa"/>
            <w:vAlign w:val="center"/>
          </w:tcPr>
          <w:p w:rsidR="00665733" w:rsidRPr="0093630F" w:rsidP="004572B1" w14:paraId="6C00D3BE"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$82.92 </w:t>
            </w:r>
          </w:p>
        </w:tc>
        <w:tc>
          <w:tcPr>
            <w:tcW w:w="1170" w:type="dxa"/>
            <w:vAlign w:val="center"/>
          </w:tcPr>
          <w:p w:rsidR="00665733" w:rsidRPr="0093630F" w:rsidP="004572B1" w14:paraId="76C804A6"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$144.53 </w:t>
            </w:r>
          </w:p>
        </w:tc>
        <w:tc>
          <w:tcPr>
            <w:tcW w:w="900" w:type="dxa"/>
            <w:vAlign w:val="center"/>
          </w:tcPr>
          <w:p w:rsidR="00665733" w:rsidRPr="0093630F" w:rsidP="004572B1" w14:paraId="72675268" w14:textId="77777777">
            <w:pPr>
              <w:spacing w:after="0"/>
              <w:jc w:val="center"/>
              <w:rPr>
                <w:rFonts w:ascii="Calibri" w:eastAsia="Times New Roman" w:hAnsi="Calibri" w:cs="Calibri"/>
                <w:color w:val="000000" w:themeColor="text1"/>
                <w:sz w:val="20"/>
                <w:szCs w:val="20"/>
              </w:rPr>
            </w:pPr>
            <w:r w:rsidRPr="0093630F">
              <w:rPr>
                <w:rFonts w:ascii="Calibri" w:eastAsia="Times New Roman" w:hAnsi="Calibri" w:cs="Calibri"/>
                <w:color w:val="000000" w:themeColor="text1"/>
                <w:sz w:val="20"/>
                <w:szCs w:val="20"/>
              </w:rPr>
              <w:t xml:space="preserve">$0.00 </w:t>
            </w:r>
          </w:p>
        </w:tc>
        <w:tc>
          <w:tcPr>
            <w:tcW w:w="1080" w:type="dxa"/>
            <w:vAlign w:val="center"/>
          </w:tcPr>
          <w:p w:rsidR="00665733" w:rsidRPr="00665733" w:rsidP="004572B1" w14:paraId="00D15499" w14:textId="77777777">
            <w:pPr>
              <w:spacing w:after="0"/>
              <w:jc w:val="center"/>
              <w:rPr>
                <w:rFonts w:ascii="Calibri" w:eastAsia="Times New Roman" w:hAnsi="Calibri" w:cs="Calibri"/>
                <w:b/>
                <w:bCs/>
                <w:color w:val="000000" w:themeColor="text1"/>
                <w:sz w:val="20"/>
                <w:szCs w:val="20"/>
              </w:rPr>
            </w:pPr>
            <w:r w:rsidRPr="00665733">
              <w:rPr>
                <w:rFonts w:ascii="Calibri" w:eastAsia="Times New Roman" w:hAnsi="Calibri" w:cs="Calibri"/>
                <w:b/>
                <w:bCs/>
                <w:color w:val="000000" w:themeColor="text1"/>
                <w:sz w:val="20"/>
                <w:szCs w:val="20"/>
              </w:rPr>
              <w:t>$227.45</w:t>
            </w:r>
          </w:p>
        </w:tc>
      </w:tr>
    </w:tbl>
    <w:p w:rsidR="007422E6" w:rsidP="00CA12AD" w14:paraId="7D0D3C68" w14:textId="5D422F91">
      <w:pPr>
        <w:spacing w:after="0" w:line="240" w:lineRule="auto"/>
        <w:rPr>
          <w:rFonts w:ascii="Calibri" w:eastAsia="Times New Roman" w:hAnsi="Calibri" w:cs="Calibri"/>
          <w:color w:val="000000" w:themeColor="text1"/>
          <w:sz w:val="16"/>
          <w:szCs w:val="16"/>
        </w:rPr>
      </w:pPr>
      <w:bookmarkStart w:id="19" w:name="_Hlk85120127"/>
      <w:r w:rsidRPr="007422E6">
        <w:rPr>
          <w:rFonts w:ascii="Calibri" w:hAnsi="Calibri" w:cs="Calibri"/>
          <w:sz w:val="16"/>
          <w:szCs w:val="16"/>
        </w:rPr>
        <w:t>TSCA section 8(d): EPA conservatively assumes all 33 firms submitting studies will need to register with CDX, the average burden and cost per CDX registration is 2.67 hours and $227, respectively using the values related to CDX registration activities in Table 13</w:t>
      </w:r>
      <w:r w:rsidRPr="007422E6">
        <w:rPr>
          <w:rFonts w:ascii="Calibri" w:eastAsia="Times New Roman" w:hAnsi="Calibri" w:cs="Calibri"/>
          <w:color w:val="000000" w:themeColor="text1"/>
          <w:sz w:val="16"/>
          <w:szCs w:val="16"/>
        </w:rPr>
        <w:t>.</w:t>
      </w:r>
    </w:p>
    <w:p w:rsidR="00851F76" w:rsidP="00D956BF" w14:paraId="37B9019A" w14:textId="0FB00F1B">
      <w:pPr>
        <w:spacing w:after="0" w:line="240" w:lineRule="auto"/>
        <w:rPr>
          <w:rFonts w:ascii="Calibri" w:eastAsia="Times New Roman" w:hAnsi="Calibri" w:cs="Calibri"/>
          <w:color w:val="000000" w:themeColor="text1"/>
          <w:sz w:val="16"/>
          <w:szCs w:val="16"/>
        </w:rPr>
      </w:pPr>
      <w:r w:rsidRPr="00CA12AD">
        <w:rPr>
          <w:rFonts w:ascii="Calibri" w:eastAsia="Times New Roman" w:hAnsi="Calibri" w:cs="Calibri"/>
          <w:color w:val="000000" w:themeColor="text1"/>
          <w:sz w:val="16"/>
          <w:szCs w:val="16"/>
          <w:vertAlign w:val="superscript"/>
        </w:rPr>
        <w:t>a</w:t>
      </w:r>
      <w:r w:rsidR="003F37C3">
        <w:rPr>
          <w:rFonts w:ascii="Calibri" w:eastAsia="Times New Roman" w:hAnsi="Calibri" w:cs="Calibri"/>
          <w:color w:val="000000" w:themeColor="text1"/>
          <w:sz w:val="16"/>
          <w:szCs w:val="16"/>
          <w:vertAlign w:val="superscript"/>
        </w:rPr>
        <w:t xml:space="preserve"> </w:t>
      </w:r>
      <w:r w:rsidR="003F37C3">
        <w:rPr>
          <w:rFonts w:ascii="Calibri" w:eastAsia="Times New Roman" w:hAnsi="Calibri" w:cs="Calibri"/>
          <w:color w:val="000000" w:themeColor="text1"/>
          <w:sz w:val="16"/>
          <w:szCs w:val="16"/>
        </w:rPr>
        <w:t>See</w:t>
      </w:r>
      <w:r w:rsidR="00093E12">
        <w:rPr>
          <w:rFonts w:ascii="Calibri" w:eastAsia="Times New Roman" w:hAnsi="Calibri" w:cs="Calibri"/>
          <w:color w:val="000000" w:themeColor="text1"/>
          <w:sz w:val="16"/>
          <w:szCs w:val="16"/>
        </w:rPr>
        <w:t xml:space="preserve"> EPA ICR </w:t>
      </w:r>
      <w:r w:rsidR="008E79F0">
        <w:rPr>
          <w:rFonts w:ascii="Calibri" w:eastAsia="Times New Roman" w:hAnsi="Calibri" w:cs="Calibri"/>
          <w:color w:val="000000" w:themeColor="text1"/>
          <w:sz w:val="16"/>
          <w:szCs w:val="16"/>
        </w:rPr>
        <w:t xml:space="preserve">Cross Media Electronic </w:t>
      </w:r>
      <w:r w:rsidR="00DA56EF">
        <w:rPr>
          <w:rFonts w:ascii="Calibri" w:eastAsia="Times New Roman" w:hAnsi="Calibri" w:cs="Calibri"/>
          <w:color w:val="000000" w:themeColor="text1"/>
          <w:sz w:val="16"/>
          <w:szCs w:val="16"/>
        </w:rPr>
        <w:t>Reporting</w:t>
      </w:r>
      <w:r w:rsidR="008E79F0">
        <w:rPr>
          <w:rFonts w:ascii="Calibri" w:eastAsia="Times New Roman" w:hAnsi="Calibri" w:cs="Calibri"/>
          <w:color w:val="000000" w:themeColor="text1"/>
          <w:sz w:val="16"/>
          <w:szCs w:val="16"/>
        </w:rPr>
        <w:t xml:space="preserve"> Rule (CROMER) (EPA ICR N</w:t>
      </w:r>
      <w:r w:rsidR="00DA56EF">
        <w:rPr>
          <w:rFonts w:ascii="Calibri" w:eastAsia="Times New Roman" w:hAnsi="Calibri" w:cs="Calibri"/>
          <w:color w:val="000000" w:themeColor="text1"/>
          <w:sz w:val="16"/>
          <w:szCs w:val="16"/>
        </w:rPr>
        <w:t>o</w:t>
      </w:r>
      <w:r w:rsidR="008E79F0">
        <w:rPr>
          <w:rFonts w:ascii="Calibri" w:eastAsia="Times New Roman" w:hAnsi="Calibri" w:cs="Calibri"/>
          <w:color w:val="000000" w:themeColor="text1"/>
          <w:sz w:val="16"/>
          <w:szCs w:val="16"/>
        </w:rPr>
        <w:t>.</w:t>
      </w:r>
      <w:r w:rsidR="00D45A29">
        <w:rPr>
          <w:rFonts w:ascii="Calibri" w:eastAsia="Times New Roman" w:hAnsi="Calibri" w:cs="Calibri"/>
          <w:color w:val="000000" w:themeColor="text1"/>
          <w:sz w:val="16"/>
          <w:szCs w:val="16"/>
        </w:rPr>
        <w:t>2002.09</w:t>
      </w:r>
      <w:r w:rsidR="008E79F0">
        <w:rPr>
          <w:rFonts w:ascii="Calibri" w:eastAsia="Times New Roman" w:hAnsi="Calibri" w:cs="Calibri"/>
          <w:color w:val="000000" w:themeColor="text1"/>
          <w:sz w:val="16"/>
          <w:szCs w:val="16"/>
        </w:rPr>
        <w:t>;</w:t>
      </w:r>
      <w:r w:rsidR="00D956BF">
        <w:rPr>
          <w:rFonts w:ascii="Calibri" w:eastAsia="Times New Roman" w:hAnsi="Calibri" w:cs="Calibri"/>
          <w:color w:val="000000" w:themeColor="text1"/>
          <w:sz w:val="16"/>
          <w:szCs w:val="16"/>
        </w:rPr>
        <w:t xml:space="preserve"> </w:t>
      </w:r>
      <w:r w:rsidR="008E79F0">
        <w:rPr>
          <w:rFonts w:ascii="Calibri" w:eastAsia="Times New Roman" w:hAnsi="Calibri" w:cs="Calibri"/>
          <w:color w:val="000000" w:themeColor="text1"/>
          <w:sz w:val="16"/>
          <w:szCs w:val="16"/>
        </w:rPr>
        <w:t>OMB Control No.</w:t>
      </w:r>
      <w:r w:rsidR="00DA56EF">
        <w:rPr>
          <w:rFonts w:ascii="Calibri" w:eastAsia="Times New Roman" w:hAnsi="Calibri" w:cs="Calibri"/>
          <w:color w:val="000000" w:themeColor="text1"/>
          <w:sz w:val="16"/>
          <w:szCs w:val="16"/>
        </w:rPr>
        <w:t xml:space="preserve"> 2025-0003)</w:t>
      </w:r>
      <w:r w:rsidR="008E79F0">
        <w:rPr>
          <w:rFonts w:ascii="Calibri" w:eastAsia="Times New Roman" w:hAnsi="Calibri" w:cs="Calibri"/>
          <w:color w:val="000000" w:themeColor="text1"/>
          <w:sz w:val="16"/>
          <w:szCs w:val="16"/>
        </w:rPr>
        <w:t xml:space="preserve"> for more information </w:t>
      </w:r>
      <w:r w:rsidR="00093E12">
        <w:rPr>
          <w:rFonts w:ascii="Calibri" w:eastAsia="Times New Roman" w:hAnsi="Calibri" w:cs="Calibri"/>
          <w:color w:val="000000" w:themeColor="text1"/>
          <w:sz w:val="16"/>
          <w:szCs w:val="16"/>
        </w:rPr>
        <w:t xml:space="preserve">on </w:t>
      </w:r>
      <w:r w:rsidR="00C70C1E">
        <w:rPr>
          <w:rFonts w:ascii="Calibri" w:eastAsia="Times New Roman" w:hAnsi="Calibri" w:cs="Calibri"/>
          <w:color w:val="000000" w:themeColor="text1"/>
          <w:sz w:val="16"/>
          <w:szCs w:val="16"/>
        </w:rPr>
        <w:t xml:space="preserve">alternative identify proofing </w:t>
      </w:r>
      <w:r w:rsidR="00B304BC">
        <w:rPr>
          <w:rFonts w:ascii="Calibri" w:eastAsia="Times New Roman" w:hAnsi="Calibri" w:cs="Calibri"/>
          <w:color w:val="000000" w:themeColor="text1"/>
          <w:sz w:val="16"/>
          <w:szCs w:val="16"/>
        </w:rPr>
        <w:t>for electronic signature</w:t>
      </w:r>
      <w:r w:rsidR="00DA56EF">
        <w:rPr>
          <w:rFonts w:ascii="Calibri" w:eastAsia="Times New Roman" w:hAnsi="Calibri" w:cs="Calibri"/>
          <w:color w:val="000000" w:themeColor="text1"/>
          <w:sz w:val="16"/>
          <w:szCs w:val="16"/>
        </w:rPr>
        <w:t>s and registration for CDX</w:t>
      </w:r>
      <w:r w:rsidR="00B304BC">
        <w:rPr>
          <w:rFonts w:ascii="Calibri" w:eastAsia="Times New Roman" w:hAnsi="Calibri" w:cs="Calibri"/>
          <w:color w:val="000000" w:themeColor="text1"/>
          <w:sz w:val="16"/>
          <w:szCs w:val="16"/>
        </w:rPr>
        <w:t xml:space="preserve">. </w:t>
      </w:r>
    </w:p>
    <w:p w:rsidR="00D956BF" w:rsidRPr="007422E6" w:rsidP="00CA12AD" w14:paraId="581E418E" w14:textId="77777777">
      <w:pPr>
        <w:spacing w:after="0" w:line="240" w:lineRule="auto"/>
        <w:rPr>
          <w:rFonts w:ascii="Calibri" w:hAnsi="Calibri" w:cs="Calibri"/>
          <w:sz w:val="16"/>
          <w:szCs w:val="16"/>
        </w:rPr>
      </w:pPr>
    </w:p>
    <w:p w:rsidR="0006691F" w:rsidP="006205B5" w14:paraId="7DA609B2" w14:textId="2869C73D">
      <w:pPr>
        <w:pStyle w:val="Heading3"/>
        <w:spacing w:after="0"/>
        <w:rPr>
          <w:rFonts w:ascii="Calibri" w:hAnsi="Calibri" w:cs="Calibri"/>
        </w:rPr>
      </w:pPr>
      <w:r w:rsidRPr="00B33764">
        <w:rPr>
          <w:rFonts w:ascii="Calibri" w:hAnsi="Calibri" w:cs="Calibri"/>
        </w:rPr>
        <w:t>TS</w:t>
      </w:r>
      <w:r w:rsidRPr="00B33764" w:rsidR="003565CB">
        <w:rPr>
          <w:rFonts w:ascii="Calibri" w:hAnsi="Calibri" w:cs="Calibri"/>
        </w:rPr>
        <w:t>CA Section 8(a) Preliminary Assessment Information Rule (PAIR)</w:t>
      </w:r>
    </w:p>
    <w:p w:rsidR="006205B5" w:rsidRPr="006205B5" w:rsidP="006205B5" w14:paraId="7AD08651" w14:textId="77777777">
      <w:pPr>
        <w:spacing w:after="0"/>
      </w:pPr>
    </w:p>
    <w:bookmarkEnd w:id="19"/>
    <w:p w:rsidR="007E2E3C" w:rsidP="006205B5" w14:paraId="5DE46806" w14:textId="61666857">
      <w:pPr>
        <w:spacing w:after="0"/>
        <w:rPr>
          <w:rFonts w:ascii="Calibri" w:hAnsi="Calibri" w:cs="Calibri"/>
          <w:szCs w:val="24"/>
        </w:rPr>
      </w:pPr>
      <w:r w:rsidRPr="00962957">
        <w:rPr>
          <w:rFonts w:ascii="Calibri" w:hAnsi="Calibri" w:cs="Calibri"/>
          <w:szCs w:val="24"/>
        </w:rPr>
        <w:t xml:space="preserve">PAIR requires manufacturers (includes importers) of the listed chemical substances, mixtures or categories to report to EPA information such as the substances’ chemical identification, quantity produced or imported, chemical processes, employee exposure, environmental releases, uses and products. Respondents are required to report </w:t>
      </w:r>
      <w:r w:rsidR="00C57B56">
        <w:rPr>
          <w:rFonts w:ascii="Calibri" w:hAnsi="Calibri" w:cs="Calibri"/>
          <w:szCs w:val="24"/>
        </w:rPr>
        <w:t xml:space="preserve">only </w:t>
      </w:r>
      <w:r w:rsidRPr="00CA12AD">
        <w:rPr>
          <w:rFonts w:ascii="Calibri" w:hAnsi="Calibri" w:cs="Calibri"/>
          <w:szCs w:val="24"/>
        </w:rPr>
        <w:t>information that is known or reasonably ascertainable by them</w:t>
      </w:r>
      <w:r w:rsidR="009F67CD">
        <w:rPr>
          <w:rFonts w:ascii="Calibri" w:hAnsi="Calibri" w:cs="Calibri"/>
          <w:i/>
          <w:szCs w:val="24"/>
        </w:rPr>
        <w:t xml:space="preserve">. </w:t>
      </w:r>
      <w:r w:rsidR="009F67CD">
        <w:rPr>
          <w:rFonts w:ascii="Calibri" w:hAnsi="Calibri" w:cs="Calibri"/>
          <w:szCs w:val="24"/>
        </w:rPr>
        <w:t>E</w:t>
      </w:r>
      <w:r w:rsidRPr="00962957">
        <w:rPr>
          <w:rFonts w:ascii="Calibri" w:hAnsi="Calibri" w:cs="Calibri"/>
          <w:szCs w:val="24"/>
        </w:rPr>
        <w:t xml:space="preserve">xtensive file searches are not required. The PAIR reporting requirements are included in the PAIR form (EPA Form 7710-35) and instructions (see Attachment </w:t>
      </w:r>
      <w:r w:rsidR="0057342F">
        <w:rPr>
          <w:rFonts w:ascii="Calibri" w:hAnsi="Calibri" w:cs="Calibri"/>
          <w:szCs w:val="24"/>
        </w:rPr>
        <w:t>A</w:t>
      </w:r>
      <w:r w:rsidRPr="00962957">
        <w:rPr>
          <w:rFonts w:ascii="Calibri" w:hAnsi="Calibri" w:cs="Calibri"/>
          <w:szCs w:val="24"/>
        </w:rPr>
        <w:t xml:space="preserve">). </w:t>
      </w:r>
    </w:p>
    <w:p w:rsidR="003B3CDB" w:rsidRPr="00962957" w:rsidP="003B3CDB" w14:paraId="787EDC41" w14:textId="77777777">
      <w:pPr>
        <w:spacing w:after="0"/>
        <w:rPr>
          <w:rFonts w:ascii="Calibri" w:hAnsi="Calibri" w:cs="Calibri"/>
          <w:szCs w:val="24"/>
        </w:rPr>
      </w:pPr>
    </w:p>
    <w:p w:rsidR="007E2E3C" w:rsidP="003B3CDB" w14:paraId="1E779CED" w14:textId="365E3A0F">
      <w:pPr>
        <w:spacing w:after="0"/>
        <w:rPr>
          <w:rFonts w:ascii="Calibri" w:hAnsi="Calibri" w:cs="Calibri"/>
          <w:szCs w:val="24"/>
        </w:rPr>
      </w:pPr>
      <w:r w:rsidRPr="00962957">
        <w:rPr>
          <w:rFonts w:ascii="Calibri" w:hAnsi="Calibri" w:cs="Calibri"/>
          <w:szCs w:val="24"/>
        </w:rPr>
        <w:t xml:space="preserve">In addition, each person who is manufacturing or processing a chemical listed in 40 CFR 766.25, must submit a protocol for testing according to the schedule at 40 CFR 766.35(a)(2). Persons who manufacture or import a chemical substance listed under 40 CFR 766.25 must report positive test results, using the Dioxin/Furan Report Form (EPA Form 7710-51; see Attachment </w:t>
      </w:r>
      <w:r w:rsidR="003B0C5C">
        <w:rPr>
          <w:rFonts w:ascii="Calibri" w:hAnsi="Calibri" w:cs="Calibri"/>
          <w:szCs w:val="24"/>
        </w:rPr>
        <w:t>D</w:t>
      </w:r>
      <w:r w:rsidRPr="00962957">
        <w:rPr>
          <w:rFonts w:ascii="Calibri" w:hAnsi="Calibri" w:cs="Calibri"/>
          <w:szCs w:val="24"/>
        </w:rPr>
        <w:t>), of all existing test data that show that chemical substance has been tested for the presence of halogenated dibenzodioxins/halogenated dibenzofurans (HDDs/HDFs), as well as any health and safety studies for the chemical substance, as defined in the regulation. Additionally, any manufacturer or importer of a chemical substance listed in 40 CFR 766.25 in possession of unpublished health and safety studies on HDDs/HDFs is required to submit copies of such studies to EPA.</w:t>
      </w:r>
    </w:p>
    <w:p w:rsidR="008B6A63" w:rsidRPr="00962957" w:rsidP="003B3CDB" w14:paraId="28F6D239" w14:textId="77777777">
      <w:pPr>
        <w:spacing w:after="0"/>
        <w:rPr>
          <w:rFonts w:ascii="Calibri" w:hAnsi="Calibri" w:cs="Calibri"/>
          <w:szCs w:val="24"/>
        </w:rPr>
      </w:pPr>
    </w:p>
    <w:p w:rsidR="007E2E3C" w:rsidRPr="00962957" w:rsidP="003B3CDB" w14:paraId="6DCBF567" w14:textId="77777777">
      <w:pPr>
        <w:spacing w:after="0"/>
        <w:rPr>
          <w:rFonts w:ascii="Calibri" w:hAnsi="Calibri" w:cs="Calibri"/>
          <w:szCs w:val="24"/>
        </w:rPr>
      </w:pPr>
      <w:r w:rsidRPr="00962957">
        <w:rPr>
          <w:rFonts w:ascii="Calibri" w:hAnsi="Calibri" w:cs="Calibri"/>
          <w:szCs w:val="24"/>
        </w:rPr>
        <w:t>A representative respondent would engage in the following activities:</w:t>
      </w:r>
    </w:p>
    <w:p w:rsidR="007E2E3C" w:rsidRPr="00962957" w:rsidP="003B3CDB" w14:paraId="4492714B" w14:textId="77777777">
      <w:pPr>
        <w:pStyle w:val="ListParagraph"/>
        <w:numPr>
          <w:ilvl w:val="0"/>
          <w:numId w:val="9"/>
        </w:numPr>
        <w:autoSpaceDE w:val="0"/>
        <w:autoSpaceDN w:val="0"/>
        <w:adjustRightInd w:val="0"/>
        <w:spacing w:after="0" w:line="276" w:lineRule="auto"/>
        <w:ind w:left="1080"/>
        <w:rPr>
          <w:rFonts w:ascii="Calibri" w:hAnsi="Calibri" w:cs="Calibri"/>
          <w:szCs w:val="24"/>
        </w:rPr>
      </w:pPr>
      <w:r w:rsidRPr="00962957">
        <w:rPr>
          <w:rFonts w:ascii="Calibri" w:hAnsi="Calibri" w:cs="Calibri"/>
          <w:szCs w:val="24"/>
        </w:rPr>
        <w:t>Conduct an initial review of the rule to determine if their company must report;</w:t>
      </w:r>
    </w:p>
    <w:p w:rsidR="007E2E3C" w:rsidRPr="00962957" w:rsidP="003B3CDB" w14:paraId="41113445" w14:textId="77777777">
      <w:pPr>
        <w:pStyle w:val="ListParagraph"/>
        <w:numPr>
          <w:ilvl w:val="0"/>
          <w:numId w:val="9"/>
        </w:numPr>
        <w:autoSpaceDE w:val="0"/>
        <w:autoSpaceDN w:val="0"/>
        <w:adjustRightInd w:val="0"/>
        <w:spacing w:after="0" w:line="276" w:lineRule="auto"/>
        <w:ind w:left="1080"/>
        <w:rPr>
          <w:rFonts w:ascii="Calibri" w:hAnsi="Calibri" w:cs="Calibri"/>
          <w:szCs w:val="24"/>
        </w:rPr>
      </w:pPr>
      <w:r w:rsidRPr="00962957">
        <w:rPr>
          <w:rFonts w:ascii="Calibri" w:hAnsi="Calibri" w:cs="Calibri"/>
          <w:szCs w:val="24"/>
        </w:rPr>
        <w:t>Familiarize themselves with the PAIR and subpart B of 40 CFR 766 requirements;</w:t>
      </w:r>
    </w:p>
    <w:p w:rsidR="007E2E3C" w:rsidRPr="00962957" w:rsidP="003B3CDB" w14:paraId="4C0F15BB" w14:textId="77777777">
      <w:pPr>
        <w:pStyle w:val="ListParagraph"/>
        <w:numPr>
          <w:ilvl w:val="0"/>
          <w:numId w:val="9"/>
        </w:numPr>
        <w:autoSpaceDE w:val="0"/>
        <w:autoSpaceDN w:val="0"/>
        <w:adjustRightInd w:val="0"/>
        <w:spacing w:after="0" w:line="276" w:lineRule="auto"/>
        <w:ind w:left="1080"/>
        <w:rPr>
          <w:rFonts w:ascii="Calibri" w:hAnsi="Calibri" w:cs="Calibri"/>
          <w:szCs w:val="24"/>
        </w:rPr>
      </w:pPr>
      <w:r w:rsidRPr="00962957">
        <w:rPr>
          <w:rFonts w:ascii="Calibri" w:hAnsi="Calibri" w:cs="Calibri"/>
          <w:szCs w:val="24"/>
        </w:rPr>
        <w:t>Complete the PAIR and subpart B of 40 CFR 766 reporting via the Agency’s Central Data Exchange (CDX);</w:t>
      </w:r>
    </w:p>
    <w:p w:rsidR="007E2E3C" w:rsidRPr="00962957" w:rsidP="003B3CDB" w14:paraId="79C17887" w14:textId="77777777">
      <w:pPr>
        <w:pStyle w:val="ListParagraph"/>
        <w:numPr>
          <w:ilvl w:val="0"/>
          <w:numId w:val="9"/>
        </w:numPr>
        <w:autoSpaceDE w:val="0"/>
        <w:autoSpaceDN w:val="0"/>
        <w:adjustRightInd w:val="0"/>
        <w:spacing w:after="0" w:line="276" w:lineRule="auto"/>
        <w:ind w:left="1080"/>
        <w:rPr>
          <w:rFonts w:ascii="Calibri" w:hAnsi="Calibri" w:cs="Calibri"/>
          <w:szCs w:val="24"/>
        </w:rPr>
      </w:pPr>
      <w:r w:rsidRPr="00962957">
        <w:rPr>
          <w:rFonts w:ascii="Calibri" w:hAnsi="Calibri" w:cs="Calibri"/>
          <w:szCs w:val="24"/>
        </w:rPr>
        <w:t>Provide trade name notification;</w:t>
      </w:r>
    </w:p>
    <w:p w:rsidR="007E2E3C" w:rsidRPr="00962957" w:rsidP="003B3CDB" w14:paraId="0E39CBD5" w14:textId="77777777">
      <w:pPr>
        <w:pStyle w:val="ListParagraph"/>
        <w:numPr>
          <w:ilvl w:val="0"/>
          <w:numId w:val="9"/>
        </w:numPr>
        <w:autoSpaceDE w:val="0"/>
        <w:autoSpaceDN w:val="0"/>
        <w:adjustRightInd w:val="0"/>
        <w:spacing w:after="0" w:line="276" w:lineRule="auto"/>
        <w:ind w:left="1080"/>
        <w:rPr>
          <w:rFonts w:ascii="Calibri" w:hAnsi="Calibri" w:cs="Calibri"/>
          <w:szCs w:val="24"/>
        </w:rPr>
      </w:pPr>
      <w:r w:rsidRPr="00962957">
        <w:rPr>
          <w:rFonts w:ascii="Calibri" w:hAnsi="Calibri" w:cs="Calibri"/>
          <w:szCs w:val="24"/>
        </w:rPr>
        <w:t>Indicate CBI status if so desired; and</w:t>
      </w:r>
    </w:p>
    <w:p w:rsidR="007E2E3C" w:rsidRPr="00962957" w:rsidP="003B3CDB" w14:paraId="5A4D565C" w14:textId="77777777">
      <w:pPr>
        <w:pStyle w:val="ListParagraph"/>
        <w:numPr>
          <w:ilvl w:val="0"/>
          <w:numId w:val="9"/>
        </w:numPr>
        <w:autoSpaceDE w:val="0"/>
        <w:autoSpaceDN w:val="0"/>
        <w:adjustRightInd w:val="0"/>
        <w:spacing w:after="0" w:line="276" w:lineRule="auto"/>
        <w:ind w:left="1080"/>
        <w:rPr>
          <w:rFonts w:ascii="Calibri" w:hAnsi="Calibri" w:cs="Calibri"/>
          <w:szCs w:val="24"/>
        </w:rPr>
      </w:pPr>
      <w:r w:rsidRPr="00962957">
        <w:rPr>
          <w:rFonts w:ascii="Calibri" w:hAnsi="Calibri" w:cs="Calibri"/>
          <w:szCs w:val="24"/>
        </w:rPr>
        <w:t>Keep a copy for recordkeeping requirements.</w:t>
      </w:r>
    </w:p>
    <w:p w:rsidR="007E2E3C" w:rsidRPr="00962957" w:rsidP="003B3CDB" w14:paraId="63F6F929" w14:textId="77777777">
      <w:pPr>
        <w:pStyle w:val="ListParagraph"/>
        <w:autoSpaceDE w:val="0"/>
        <w:autoSpaceDN w:val="0"/>
        <w:adjustRightInd w:val="0"/>
        <w:spacing w:after="0"/>
        <w:ind w:left="0"/>
        <w:rPr>
          <w:rFonts w:ascii="Calibri" w:hAnsi="Calibri" w:cs="Calibri"/>
          <w:szCs w:val="24"/>
        </w:rPr>
      </w:pPr>
    </w:p>
    <w:p w:rsidR="007E2E3C" w:rsidRPr="00962957" w:rsidP="003B3CDB" w14:paraId="14C18FC2" w14:textId="69A9FD40">
      <w:pPr>
        <w:pStyle w:val="ListParagraph"/>
        <w:autoSpaceDE w:val="0"/>
        <w:autoSpaceDN w:val="0"/>
        <w:adjustRightInd w:val="0"/>
        <w:spacing w:after="0"/>
        <w:ind w:left="0"/>
        <w:rPr>
          <w:rFonts w:ascii="Calibri" w:hAnsi="Calibri" w:cs="Calibri"/>
          <w:szCs w:val="24"/>
        </w:rPr>
      </w:pPr>
      <w:r w:rsidRPr="00962957">
        <w:rPr>
          <w:rFonts w:ascii="Calibri" w:hAnsi="Calibri" w:cs="Calibri"/>
          <w:szCs w:val="24"/>
        </w:rPr>
        <w:t>The PAIR (40 CFR part 712) and subpart B of 40 CFR 766 generally require one-time reporting and establish the reporting period for the listed chemical substances, mixtures</w:t>
      </w:r>
      <w:r w:rsidR="00D63FDD">
        <w:rPr>
          <w:rFonts w:ascii="Calibri" w:hAnsi="Calibri" w:cs="Calibri"/>
          <w:szCs w:val="24"/>
        </w:rPr>
        <w:t>,</w:t>
      </w:r>
      <w:r w:rsidRPr="00962957">
        <w:rPr>
          <w:rFonts w:ascii="Calibri" w:hAnsi="Calibri" w:cs="Calibri"/>
          <w:szCs w:val="24"/>
        </w:rPr>
        <w:t xml:space="preserve"> or categories. Therefore, a reporting schedule is not required.</w:t>
      </w:r>
    </w:p>
    <w:p w:rsidR="007E2E3C" w:rsidRPr="00962957" w:rsidP="003B3CDB" w14:paraId="60B4D499" w14:textId="77777777">
      <w:pPr>
        <w:pStyle w:val="ListParagraph"/>
        <w:autoSpaceDE w:val="0"/>
        <w:autoSpaceDN w:val="0"/>
        <w:adjustRightInd w:val="0"/>
        <w:spacing w:after="0"/>
        <w:ind w:left="0"/>
        <w:rPr>
          <w:rFonts w:ascii="Calibri" w:hAnsi="Calibri" w:cs="Calibri"/>
          <w:szCs w:val="24"/>
        </w:rPr>
      </w:pPr>
    </w:p>
    <w:p w:rsidR="007E2E3C" w:rsidRPr="00962957" w:rsidP="003B3CDB" w14:paraId="144CEA98" w14:textId="12F7E49C">
      <w:pPr>
        <w:pStyle w:val="ListParagraph"/>
        <w:autoSpaceDE w:val="0"/>
        <w:autoSpaceDN w:val="0"/>
        <w:adjustRightInd w:val="0"/>
        <w:spacing w:after="0"/>
        <w:ind w:left="0"/>
        <w:rPr>
          <w:rFonts w:ascii="Calibri" w:hAnsi="Calibri" w:cs="Calibri"/>
        </w:rPr>
      </w:pPr>
      <w:r w:rsidRPr="07BE98CC">
        <w:rPr>
          <w:rFonts w:ascii="Calibri" w:hAnsi="Calibri" w:cs="Calibri"/>
        </w:rPr>
        <w:t>This section presents the Agency’s estimates of the burden associated with the reporting and recordkeeping requirements under the TSCA section 8(a) PAIR and subpart B of 40 CFR 766. The total annual industry burden for both reporting and recordkeeping is estimated to be 3</w:t>
      </w:r>
      <w:r w:rsidRPr="07BE98CC" w:rsidR="32C7D2DB">
        <w:rPr>
          <w:rFonts w:ascii="Calibri" w:hAnsi="Calibri" w:cs="Calibri"/>
        </w:rPr>
        <w:t>2</w:t>
      </w:r>
      <w:r w:rsidRPr="07BE98CC">
        <w:rPr>
          <w:rFonts w:ascii="Calibri" w:hAnsi="Calibri" w:cs="Calibri"/>
        </w:rPr>
        <w:t>.</w:t>
      </w:r>
      <w:r w:rsidRPr="07BE98CC" w:rsidR="32F0760D">
        <w:rPr>
          <w:rFonts w:ascii="Calibri" w:hAnsi="Calibri" w:cs="Calibri"/>
        </w:rPr>
        <w:t xml:space="preserve">99 </w:t>
      </w:r>
      <w:r w:rsidRPr="07BE98CC">
        <w:rPr>
          <w:rFonts w:ascii="Calibri" w:hAnsi="Calibri" w:cs="Calibri"/>
        </w:rPr>
        <w:t>hours. These estimates are based on the level of PAIR and subpart B of 40 CFR 766 reporting activity during the ICR period of FY 20</w:t>
      </w:r>
      <w:r w:rsidR="00814475">
        <w:rPr>
          <w:rFonts w:ascii="Calibri" w:hAnsi="Calibri" w:cs="Calibri"/>
        </w:rPr>
        <w:t>22</w:t>
      </w:r>
      <w:r w:rsidRPr="07BE98CC">
        <w:rPr>
          <w:rFonts w:ascii="Calibri" w:hAnsi="Calibri" w:cs="Calibri"/>
        </w:rPr>
        <w:t xml:space="preserve"> through 202</w:t>
      </w:r>
      <w:r w:rsidR="00814475">
        <w:rPr>
          <w:rFonts w:ascii="Calibri" w:hAnsi="Calibri" w:cs="Calibri"/>
        </w:rPr>
        <w:t>4</w:t>
      </w:r>
      <w:r w:rsidRPr="07BE98CC">
        <w:rPr>
          <w:rFonts w:ascii="Calibri" w:hAnsi="Calibri" w:cs="Calibri"/>
        </w:rPr>
        <w:t>. In conducting any study that will be submitted to EPA under TSCA, the respondent must comply with the Good Laboratory Practice Standards (GLPS)</w:t>
      </w:r>
      <w:r w:rsidRPr="07BE98CC" w:rsidR="6E513086">
        <w:rPr>
          <w:rFonts w:ascii="Calibri" w:hAnsi="Calibri" w:cs="Calibri"/>
        </w:rPr>
        <w:t xml:space="preserve"> </w:t>
      </w:r>
      <w:r w:rsidRPr="07BE98CC">
        <w:rPr>
          <w:rFonts w:ascii="Calibri" w:hAnsi="Calibri" w:cs="Calibri"/>
        </w:rPr>
        <w:t xml:space="preserve">at 40 CFR part 792 (see </w:t>
      </w:r>
      <w:r w:rsidR="00350A1C">
        <w:rPr>
          <w:rFonts w:ascii="Calibri" w:hAnsi="Calibri" w:cs="Calibri"/>
        </w:rPr>
        <w:t>Ref. 10</w:t>
      </w:r>
      <w:r w:rsidRPr="07BE98CC">
        <w:rPr>
          <w:rFonts w:ascii="Calibri" w:hAnsi="Calibri" w:cs="Calibri"/>
        </w:rPr>
        <w:t>). Since the GLPS represent basic standard practices used by laboratories, any burden and costs related to the GLPS are fully captured in the cost and burden estimates provided below.</w:t>
      </w:r>
    </w:p>
    <w:p w:rsidR="007E2E3C" w:rsidRPr="00962957" w:rsidP="003B3CDB" w14:paraId="65D08A1B" w14:textId="77777777">
      <w:pPr>
        <w:pStyle w:val="ListParagraph"/>
        <w:autoSpaceDE w:val="0"/>
        <w:autoSpaceDN w:val="0"/>
        <w:adjustRightInd w:val="0"/>
        <w:spacing w:after="0"/>
        <w:ind w:left="0"/>
        <w:rPr>
          <w:rFonts w:ascii="Calibri" w:hAnsi="Calibri" w:cs="Calibri"/>
          <w:szCs w:val="24"/>
        </w:rPr>
      </w:pPr>
    </w:p>
    <w:p w:rsidR="007E2E3C" w:rsidRPr="00962957" w:rsidP="003B3CDB" w14:paraId="0C4F1331" w14:textId="723D3FEF">
      <w:pPr>
        <w:pStyle w:val="ListParagraph"/>
        <w:autoSpaceDE w:val="0"/>
        <w:autoSpaceDN w:val="0"/>
        <w:adjustRightInd w:val="0"/>
        <w:spacing w:after="0"/>
        <w:ind w:left="0"/>
        <w:rPr>
          <w:rFonts w:ascii="Calibri" w:hAnsi="Calibri" w:cs="Calibri"/>
        </w:rPr>
      </w:pPr>
      <w:r w:rsidRPr="07BE98CC">
        <w:rPr>
          <w:rFonts w:ascii="Calibri" w:hAnsi="Calibri" w:cs="Calibri"/>
        </w:rPr>
        <w:t>The methodology used to develop these cost estimates follows principles that have been used in previous ICRs. The methodology and calculations used in this analysis assume the employee responsible for filling out the form has a reasonable level of familiarity with the company and knowledge of the operation at the site. The analysis deals with the marginal costs of complying with this specific request and not the total costs to the company of initial employee training</w:t>
      </w:r>
      <w:r w:rsidRPr="07BE98CC" w:rsidR="78D30487">
        <w:rPr>
          <w:rFonts w:ascii="Calibri" w:hAnsi="Calibri" w:cs="Calibri"/>
        </w:rPr>
        <w:t xml:space="preserve">, </w:t>
      </w:r>
      <w:r w:rsidRPr="07BE98CC">
        <w:rPr>
          <w:rFonts w:ascii="Calibri" w:hAnsi="Calibri" w:cs="Calibri"/>
        </w:rPr>
        <w:t>costs associated with collecting and storing records</w:t>
      </w:r>
      <w:r w:rsidRPr="07BE98CC" w:rsidR="100C6438">
        <w:rPr>
          <w:rFonts w:ascii="Calibri" w:hAnsi="Calibri" w:cs="Calibri"/>
        </w:rPr>
        <w:t>,</w:t>
      </w:r>
      <w:r w:rsidRPr="07BE98CC">
        <w:rPr>
          <w:rFonts w:ascii="Calibri" w:hAnsi="Calibri" w:cs="Calibri"/>
        </w:rPr>
        <w:t xml:space="preserve"> or of file maintenance that enable a company to comply with a range of other federal and state environmental, health and safety regulations or accounting requirements that rely on this type of information. Based on conversations with respondents, gathering information for an 8(a) PAIR request is similar to other efforts they perform which require familiarity with EPA, state</w:t>
      </w:r>
      <w:r w:rsidR="00851637">
        <w:rPr>
          <w:rFonts w:ascii="Calibri" w:hAnsi="Calibri" w:cs="Calibri"/>
        </w:rPr>
        <w:t>,</w:t>
      </w:r>
      <w:r w:rsidRPr="07BE98CC">
        <w:rPr>
          <w:rFonts w:ascii="Calibri" w:hAnsi="Calibri" w:cs="Calibri"/>
        </w:rPr>
        <w:t xml:space="preserve"> and other federal agency requests for chemical information and does not involve additional familiarization or training to comply with information requested under this ICR.</w:t>
      </w:r>
    </w:p>
    <w:p w:rsidR="007E2E3C" w:rsidRPr="00962957" w:rsidP="003B3CDB" w14:paraId="509FE90F" w14:textId="2790731B">
      <w:pPr>
        <w:pStyle w:val="ListParagraph"/>
        <w:autoSpaceDE w:val="0"/>
        <w:autoSpaceDN w:val="0"/>
        <w:adjustRightInd w:val="0"/>
        <w:spacing w:after="0"/>
        <w:ind w:left="0"/>
        <w:rPr>
          <w:rFonts w:ascii="Calibri" w:hAnsi="Calibri" w:cs="Calibri"/>
        </w:rPr>
      </w:pPr>
    </w:p>
    <w:p w:rsidR="007E2E3C" w:rsidP="003B3CDB" w14:paraId="2ACB54D0" w14:textId="5F6A8D4F">
      <w:pPr>
        <w:pStyle w:val="ListParagraph"/>
        <w:autoSpaceDE w:val="0"/>
        <w:autoSpaceDN w:val="0"/>
        <w:adjustRightInd w:val="0"/>
        <w:spacing w:after="0"/>
        <w:ind w:left="0"/>
        <w:rPr>
          <w:rFonts w:ascii="Calibri" w:hAnsi="Calibri" w:cs="Calibri"/>
          <w:u w:val="single"/>
        </w:rPr>
      </w:pPr>
      <w:r w:rsidRPr="00DB07AB">
        <w:rPr>
          <w:rFonts w:ascii="Calibri" w:hAnsi="Calibri" w:cs="Calibri"/>
          <w:u w:val="single"/>
        </w:rPr>
        <w:t>Number of Sites and Reports per Site</w:t>
      </w:r>
    </w:p>
    <w:p w:rsidR="008B6A63" w:rsidRPr="00DB07AB" w:rsidP="003B3CDB" w14:paraId="2AFC576D" w14:textId="77777777">
      <w:pPr>
        <w:pStyle w:val="ListParagraph"/>
        <w:autoSpaceDE w:val="0"/>
        <w:autoSpaceDN w:val="0"/>
        <w:adjustRightInd w:val="0"/>
        <w:spacing w:after="0"/>
        <w:ind w:left="0"/>
        <w:rPr>
          <w:rFonts w:ascii="Calibri" w:hAnsi="Calibri" w:cs="Calibri"/>
          <w:u w:val="single"/>
        </w:rPr>
      </w:pPr>
    </w:p>
    <w:p w:rsidR="007E2E3C" w:rsidP="003B3CDB" w14:paraId="636C5111" w14:textId="1FA55EE8">
      <w:pPr>
        <w:autoSpaceDE w:val="0"/>
        <w:autoSpaceDN w:val="0"/>
        <w:adjustRightInd w:val="0"/>
        <w:spacing w:after="0"/>
        <w:rPr>
          <w:rFonts w:ascii="Calibri" w:hAnsi="Calibri" w:cs="Calibri"/>
        </w:rPr>
      </w:pPr>
      <w:r w:rsidRPr="07BE98CC">
        <w:rPr>
          <w:rFonts w:ascii="Calibri" w:hAnsi="Calibri" w:cs="Calibri"/>
        </w:rPr>
        <w:t>The burden hour estimates in this analysis are based on an estimate of the level of PAIR and subpart B of 40 CFR 766 reporting activity during the three-year ICR approval period (FY 202</w:t>
      </w:r>
      <w:r w:rsidRPr="07BE98CC" w:rsidR="0DFC065E">
        <w:rPr>
          <w:rFonts w:ascii="Calibri" w:hAnsi="Calibri" w:cs="Calibri"/>
        </w:rPr>
        <w:t>6</w:t>
      </w:r>
      <w:r w:rsidRPr="07BE98CC">
        <w:rPr>
          <w:rFonts w:ascii="Calibri" w:hAnsi="Calibri" w:cs="Calibri"/>
        </w:rPr>
        <w:t xml:space="preserve"> to FY 202</w:t>
      </w:r>
      <w:r w:rsidRPr="07BE98CC" w:rsidR="28AEB175">
        <w:rPr>
          <w:rFonts w:ascii="Calibri" w:hAnsi="Calibri" w:cs="Calibri"/>
        </w:rPr>
        <w:t>8</w:t>
      </w:r>
      <w:r w:rsidRPr="07BE98CC">
        <w:rPr>
          <w:rFonts w:ascii="Calibri" w:hAnsi="Calibri" w:cs="Calibri"/>
        </w:rPr>
        <w:t>). This, in turn, is related to the number of expected PAIR and subpart B of 40 CFR 766 chemical reports and reporting sites. During fiscal years 2012 to 202</w:t>
      </w:r>
      <w:r w:rsidRPr="07BE98CC" w:rsidR="4D597911">
        <w:rPr>
          <w:rFonts w:ascii="Calibri" w:hAnsi="Calibri" w:cs="Calibri"/>
        </w:rPr>
        <w:t>4</w:t>
      </w:r>
      <w:r w:rsidRPr="07BE98CC">
        <w:rPr>
          <w:rFonts w:ascii="Calibri" w:hAnsi="Calibri" w:cs="Calibri"/>
        </w:rPr>
        <w:t xml:space="preserve">, EPA received 0 PAIR submissions. Some PAIR reports submitted during a given fiscal year may be for chemicals added to the PAIR during previous years. EPA received less than five submissions over the course of the last OMB approval for subpart B of 40 CFR 766. For the purposes of this analysis, EPA assumes an annual average of </w:t>
      </w:r>
      <w:r w:rsidR="00851637">
        <w:rPr>
          <w:rFonts w:ascii="Calibri" w:hAnsi="Calibri" w:cs="Calibri"/>
        </w:rPr>
        <w:t>one</w:t>
      </w:r>
      <w:r w:rsidRPr="07BE98CC">
        <w:rPr>
          <w:rFonts w:ascii="Calibri" w:hAnsi="Calibri" w:cs="Calibri"/>
        </w:rPr>
        <w:t xml:space="preserve"> site (respondent) submitting </w:t>
      </w:r>
      <w:r w:rsidR="00851637">
        <w:rPr>
          <w:rFonts w:ascii="Calibri" w:hAnsi="Calibri" w:cs="Calibri"/>
        </w:rPr>
        <w:t>one</w:t>
      </w:r>
      <w:r w:rsidRPr="07BE98CC">
        <w:rPr>
          <w:rFonts w:ascii="Calibri" w:hAnsi="Calibri" w:cs="Calibri"/>
        </w:rPr>
        <w:t xml:space="preserve"> report (form), for an average of </w:t>
      </w:r>
      <w:r w:rsidR="00851637">
        <w:rPr>
          <w:rFonts w:ascii="Calibri" w:hAnsi="Calibri" w:cs="Calibri"/>
        </w:rPr>
        <w:t>one</w:t>
      </w:r>
      <w:r w:rsidRPr="07BE98CC">
        <w:rPr>
          <w:rFonts w:ascii="Calibri" w:hAnsi="Calibri" w:cs="Calibri"/>
        </w:rPr>
        <w:t xml:space="preserve"> report per respondent. This is a realistic estimate as EPA, at this time, does not plan to issue a PAIR rule in this renewal cycle because EPA will most likely use other rulemakings such as the Chemical Data Reporting (CDR) rule to collect similar data</w:t>
      </w:r>
      <w:r w:rsidR="00600178">
        <w:rPr>
          <w:rFonts w:ascii="Calibri" w:hAnsi="Calibri" w:cs="Calibri"/>
        </w:rPr>
        <w:t xml:space="preserve">. </w:t>
      </w:r>
      <w:r w:rsidR="00491E9B">
        <w:rPr>
          <w:rFonts w:ascii="Calibri" w:hAnsi="Calibri" w:cs="Calibri"/>
        </w:rPr>
        <w:t>T</w:t>
      </w:r>
      <w:r w:rsidRPr="07BE98CC">
        <w:rPr>
          <w:rFonts w:ascii="Calibri" w:hAnsi="Calibri" w:cs="Calibri"/>
        </w:rPr>
        <w:t>he following</w:t>
      </w:r>
      <w:r w:rsidR="00491E9B">
        <w:rPr>
          <w:rFonts w:ascii="Calibri" w:hAnsi="Calibri" w:cs="Calibri"/>
        </w:rPr>
        <w:t>, however,</w:t>
      </w:r>
      <w:r w:rsidRPr="07BE98CC">
        <w:rPr>
          <w:rFonts w:ascii="Calibri" w:hAnsi="Calibri" w:cs="Calibri"/>
        </w:rPr>
        <w:t xml:space="preserve"> describes respondents’ burden if such an event were to occur.</w:t>
      </w:r>
    </w:p>
    <w:p w:rsidR="008B6A63" w:rsidRPr="00962957" w:rsidP="003B3CDB" w14:paraId="3E9CE167" w14:textId="77777777">
      <w:pPr>
        <w:autoSpaceDE w:val="0"/>
        <w:autoSpaceDN w:val="0"/>
        <w:adjustRightInd w:val="0"/>
        <w:spacing w:after="0"/>
        <w:rPr>
          <w:rFonts w:ascii="Calibri" w:hAnsi="Calibri" w:cs="Calibri"/>
        </w:rPr>
      </w:pPr>
    </w:p>
    <w:p w:rsidR="007E2E3C" w:rsidP="003B3CDB" w14:paraId="4D6EE60C" w14:textId="77777777">
      <w:pPr>
        <w:autoSpaceDE w:val="0"/>
        <w:autoSpaceDN w:val="0"/>
        <w:adjustRightInd w:val="0"/>
        <w:spacing w:after="0"/>
        <w:rPr>
          <w:rFonts w:ascii="Calibri" w:hAnsi="Calibri" w:cs="Calibri"/>
          <w:szCs w:val="24"/>
        </w:rPr>
      </w:pPr>
      <w:r w:rsidRPr="00962957">
        <w:rPr>
          <w:rFonts w:ascii="Calibri" w:hAnsi="Calibri" w:cs="Calibri"/>
          <w:szCs w:val="24"/>
        </w:rPr>
        <w:t xml:space="preserve">To estimate the burden and costs to industry respondents, several reporting activities (or burden factors) are analyzed. These burden items include: form familiarization; report </w:t>
      </w:r>
      <w:r w:rsidRPr="00962957">
        <w:rPr>
          <w:rFonts w:ascii="Calibri" w:hAnsi="Calibri" w:cs="Calibri"/>
          <w:szCs w:val="24"/>
        </w:rPr>
        <w:t>preparation; trade name notification; CBI substantiation; recordkeeping; CDX registration; and report submission. Each of these activities requires the skills of various labor categories. The section below details each separate activity and presents the estimated labor hours required by each task, by labor category (i.e., clerical, technical and managerial).</w:t>
      </w:r>
    </w:p>
    <w:p w:rsidR="008B6A63" w:rsidRPr="00962957" w:rsidP="003B3CDB" w14:paraId="028277E2" w14:textId="77777777">
      <w:pPr>
        <w:autoSpaceDE w:val="0"/>
        <w:autoSpaceDN w:val="0"/>
        <w:adjustRightInd w:val="0"/>
        <w:spacing w:after="0"/>
        <w:rPr>
          <w:rFonts w:ascii="Calibri" w:hAnsi="Calibri" w:cs="Calibri"/>
          <w:szCs w:val="24"/>
          <w:u w:val="single"/>
        </w:rPr>
      </w:pPr>
    </w:p>
    <w:p w:rsidR="007E2E3C" w:rsidP="003B3CDB" w14:paraId="327C3147" w14:textId="5B387C01">
      <w:pPr>
        <w:autoSpaceDE w:val="0"/>
        <w:autoSpaceDN w:val="0"/>
        <w:adjustRightInd w:val="0"/>
        <w:spacing w:after="0"/>
        <w:rPr>
          <w:rFonts w:ascii="Calibri" w:hAnsi="Calibri" w:cs="Calibri"/>
        </w:rPr>
      </w:pPr>
      <w:r w:rsidRPr="5F135418">
        <w:rPr>
          <w:rFonts w:ascii="Calibri" w:hAnsi="Calibri" w:cs="Calibri"/>
        </w:rPr>
        <w:t xml:space="preserve">All burden estimates are taken from the </w:t>
      </w:r>
      <w:bookmarkStart w:id="20" w:name="_Hlk85197369"/>
      <w:r w:rsidRPr="5F135418">
        <w:rPr>
          <w:rFonts w:ascii="Calibri" w:hAnsi="Calibri" w:cs="Calibri"/>
          <w:i/>
          <w:iCs/>
          <w:color w:val="000000" w:themeColor="text1"/>
        </w:rPr>
        <w:t>Economic Impact and Small Business Definition Analysis for the Final TSCA Section 8(a) Preliminary Assessment Information Rule, Final Report</w:t>
      </w:r>
      <w:r w:rsidRPr="5F135418">
        <w:rPr>
          <w:rFonts w:ascii="Calibri" w:hAnsi="Calibri" w:cs="Calibri"/>
          <w:color w:val="000000" w:themeColor="text1"/>
        </w:rPr>
        <w:t xml:space="preserve"> (EPA, 1981), previous TSCA </w:t>
      </w:r>
      <w:r w:rsidRPr="5F135418" w:rsidR="517A9D6D">
        <w:rPr>
          <w:rFonts w:ascii="Calibri" w:hAnsi="Calibri" w:cs="Calibri"/>
          <w:color w:val="000000" w:themeColor="text1"/>
        </w:rPr>
        <w:t>s</w:t>
      </w:r>
      <w:r w:rsidRPr="5F135418">
        <w:rPr>
          <w:rFonts w:ascii="Calibri" w:hAnsi="Calibri" w:cs="Calibri"/>
          <w:color w:val="000000" w:themeColor="text1"/>
        </w:rPr>
        <w:t xml:space="preserve">ection 8(a) PAIR ICRs updates, and </w:t>
      </w:r>
      <w:r w:rsidRPr="5F135418">
        <w:rPr>
          <w:rFonts w:ascii="Calibri" w:hAnsi="Calibri" w:cs="Calibri"/>
        </w:rPr>
        <w:t xml:space="preserve">the </w:t>
      </w:r>
      <w:r w:rsidRPr="5F135418">
        <w:rPr>
          <w:rFonts w:ascii="Calibri" w:hAnsi="Calibri" w:cs="Calibri"/>
          <w:i/>
          <w:iCs/>
        </w:rPr>
        <w:t>Economic Analysis for the Electronic Reporting under the Toxic Substances Control Act (TSCA) Final Rule</w:t>
      </w:r>
      <w:r w:rsidRPr="5F135418">
        <w:rPr>
          <w:rFonts w:ascii="Calibri" w:hAnsi="Calibri" w:cs="Calibri"/>
        </w:rPr>
        <w:t xml:space="preserve"> (EPA, 2012), </w:t>
      </w:r>
      <w:bookmarkEnd w:id="20"/>
      <w:r w:rsidRPr="5F135418">
        <w:rPr>
          <w:rFonts w:ascii="Calibri" w:hAnsi="Calibri" w:cs="Calibri"/>
        </w:rPr>
        <w:t>unless otherwise noted</w:t>
      </w:r>
      <w:r w:rsidRPr="5F135418">
        <w:rPr>
          <w:rFonts w:ascii="Calibri" w:hAnsi="Calibri" w:cs="Calibri"/>
          <w:color w:val="000000" w:themeColor="text1"/>
        </w:rPr>
        <w:t>. The 2012 E</w:t>
      </w:r>
      <w:r w:rsidRPr="5F135418" w:rsidR="2A34858A">
        <w:rPr>
          <w:rFonts w:ascii="Calibri" w:hAnsi="Calibri" w:cs="Calibri"/>
          <w:color w:val="000000" w:themeColor="text1"/>
        </w:rPr>
        <w:t xml:space="preserve">conomic </w:t>
      </w:r>
      <w:r w:rsidRPr="5F135418">
        <w:rPr>
          <w:rFonts w:ascii="Calibri" w:hAnsi="Calibri" w:cs="Calibri"/>
          <w:color w:val="000000" w:themeColor="text1"/>
        </w:rPr>
        <w:t>A</w:t>
      </w:r>
      <w:r w:rsidRPr="5F135418" w:rsidR="3C86893C">
        <w:rPr>
          <w:rFonts w:ascii="Calibri" w:hAnsi="Calibri" w:cs="Calibri"/>
          <w:color w:val="000000" w:themeColor="text1"/>
        </w:rPr>
        <w:t>nalysis</w:t>
      </w:r>
      <w:r w:rsidRPr="5F135418">
        <w:rPr>
          <w:rFonts w:ascii="Calibri" w:hAnsi="Calibri" w:cs="Calibri"/>
          <w:color w:val="000000" w:themeColor="text1"/>
        </w:rPr>
        <w:t xml:space="preserve"> estimates the burden associated with electronic PAIR </w:t>
      </w:r>
      <w:r w:rsidRPr="5F135418">
        <w:rPr>
          <w:rFonts w:ascii="Calibri" w:hAnsi="Calibri" w:cs="Calibri"/>
        </w:rPr>
        <w:t xml:space="preserve">and subpart B of 40 CFR 766 </w:t>
      </w:r>
      <w:r w:rsidRPr="5F135418">
        <w:rPr>
          <w:rFonts w:ascii="Calibri" w:hAnsi="Calibri" w:cs="Calibri"/>
          <w:color w:val="000000" w:themeColor="text1"/>
        </w:rPr>
        <w:t>submissions, including the burden associated with CDX registration, the reduction in recordkeeping burden, and the reduction of the clerical burden associated with report submission. This ICR follows the practice of the last ICR update where EPA removed the clerical burden associated with all other PAIR</w:t>
      </w:r>
      <w:r w:rsidRPr="5F135418">
        <w:rPr>
          <w:rFonts w:ascii="Calibri" w:hAnsi="Calibri" w:cs="Calibri"/>
        </w:rPr>
        <w:t xml:space="preserve"> and subpart B of 40 CFR 766 </w:t>
      </w:r>
      <w:r w:rsidRPr="5F135418">
        <w:rPr>
          <w:rFonts w:ascii="Calibri" w:hAnsi="Calibri" w:cs="Calibri"/>
          <w:color w:val="000000" w:themeColor="text1"/>
        </w:rPr>
        <w:t xml:space="preserve">submission activities. This change was made to be consistent with the burden estimates provided for the electronic reporting of TSCA </w:t>
      </w:r>
      <w:r w:rsidRPr="5F135418" w:rsidR="1CC60992">
        <w:rPr>
          <w:rFonts w:ascii="Calibri" w:hAnsi="Calibri" w:cs="Calibri"/>
          <w:color w:val="000000" w:themeColor="text1"/>
        </w:rPr>
        <w:t>s</w:t>
      </w:r>
      <w:r w:rsidRPr="5F135418">
        <w:rPr>
          <w:rFonts w:ascii="Calibri" w:hAnsi="Calibri" w:cs="Calibri"/>
          <w:color w:val="000000" w:themeColor="text1"/>
        </w:rPr>
        <w:t xml:space="preserve">ection 5 Notices in </w:t>
      </w:r>
      <w:r w:rsidRPr="5F135418">
        <w:rPr>
          <w:rFonts w:ascii="Calibri" w:hAnsi="Calibri" w:cs="Calibri"/>
          <w:i/>
          <w:iCs/>
        </w:rPr>
        <w:t>The Economic Analysis of the Premanufacture Notification Electronic Reporting Rule</w:t>
      </w:r>
      <w:r w:rsidRPr="5F135418">
        <w:rPr>
          <w:rFonts w:ascii="Calibri" w:hAnsi="Calibri" w:cs="Calibri"/>
        </w:rPr>
        <w:t xml:space="preserve"> (EPA, 2009) and the electronic submission of TSCA 8(b) Chemical Data Reporting (CDR) submissions in the </w:t>
      </w:r>
      <w:r w:rsidRPr="5F135418">
        <w:rPr>
          <w:rFonts w:ascii="Calibri" w:hAnsi="Calibri" w:cs="Calibri"/>
          <w:i/>
          <w:iCs/>
        </w:rPr>
        <w:t xml:space="preserve">Economic Analysis for the Final Inventory Update Reporting (IUR) Modifications Rule </w:t>
      </w:r>
      <w:r w:rsidRPr="5F135418">
        <w:rPr>
          <w:rFonts w:ascii="Calibri" w:hAnsi="Calibri" w:cs="Calibri"/>
        </w:rPr>
        <w:t>(EPA, 2011).</w:t>
      </w:r>
    </w:p>
    <w:p w:rsidR="008B6A63" w:rsidRPr="00962957" w:rsidP="003B3CDB" w14:paraId="79176D57" w14:textId="77777777">
      <w:pPr>
        <w:autoSpaceDE w:val="0"/>
        <w:autoSpaceDN w:val="0"/>
        <w:adjustRightInd w:val="0"/>
        <w:spacing w:after="0"/>
        <w:rPr>
          <w:rFonts w:ascii="Calibri" w:hAnsi="Calibri" w:cs="Calibri"/>
        </w:rPr>
      </w:pPr>
    </w:p>
    <w:p w:rsidR="007E2E3C" w:rsidP="003B3CDB" w14:paraId="617B3F3E" w14:textId="77777777">
      <w:pPr>
        <w:autoSpaceDE w:val="0"/>
        <w:autoSpaceDN w:val="0"/>
        <w:adjustRightInd w:val="0"/>
        <w:spacing w:after="0"/>
        <w:rPr>
          <w:rFonts w:ascii="Calibri" w:hAnsi="Calibri" w:cs="Calibri"/>
          <w:szCs w:val="24"/>
          <w:u w:val="single"/>
        </w:rPr>
      </w:pPr>
      <w:r w:rsidRPr="5F135418">
        <w:rPr>
          <w:rFonts w:ascii="Calibri" w:hAnsi="Calibri" w:cs="Calibri"/>
          <w:u w:val="single"/>
        </w:rPr>
        <w:t>Form Familiarization</w:t>
      </w:r>
    </w:p>
    <w:p w:rsidR="5F135418" w:rsidP="5F135418" w14:paraId="6690670C" w14:textId="0D8C942F">
      <w:pPr>
        <w:spacing w:after="0"/>
        <w:rPr>
          <w:rFonts w:ascii="Calibri" w:hAnsi="Calibri" w:cs="Calibri"/>
        </w:rPr>
      </w:pPr>
    </w:p>
    <w:p w:rsidR="007E2E3C" w:rsidP="5F135418" w14:paraId="50360E2E" w14:textId="40B7C636">
      <w:pPr>
        <w:spacing w:after="0"/>
        <w:rPr>
          <w:rFonts w:ascii="Calibri" w:hAnsi="Calibri" w:cs="Calibri"/>
        </w:rPr>
      </w:pPr>
      <w:r w:rsidRPr="07BE98CC">
        <w:rPr>
          <w:rFonts w:ascii="Calibri" w:hAnsi="Calibri" w:cs="Calibri"/>
        </w:rPr>
        <w:t>In the 1981 PAIR economic analysis</w:t>
      </w:r>
      <w:r>
        <w:rPr>
          <w:rStyle w:val="FootnoteReference"/>
          <w:rFonts w:ascii="Calibri" w:hAnsi="Calibri" w:cs="Calibri"/>
        </w:rPr>
        <w:footnoteReference w:id="3"/>
      </w:r>
      <w:r w:rsidRPr="07BE98CC">
        <w:rPr>
          <w:rFonts w:ascii="Calibri" w:hAnsi="Calibri" w:cs="Calibri"/>
        </w:rPr>
        <w:t>, it was estimated that form familiarization would require 3 hours of effort from managerial personnel and 4 hours from technical personnel for a total of 7 hours per site. The estimate includes efforts for rule familiarization and to determine if reporting is required. Because EPA only expects one report from one site in the next ICR cycle, both the per-report and per-site burden is estimated to be 7 hours</w:t>
      </w:r>
      <w:r w:rsidRPr="07BE98CC" w:rsidR="1EC97952">
        <w:rPr>
          <w:rFonts w:ascii="Calibri" w:hAnsi="Calibri" w:cs="Calibri"/>
        </w:rPr>
        <w:t xml:space="preserve"> (</w:t>
      </w:r>
      <w:r w:rsidRPr="07BE98CC">
        <w:rPr>
          <w:rFonts w:ascii="Calibri" w:hAnsi="Calibri" w:cs="Calibri"/>
        </w:rPr>
        <w:t xml:space="preserve">Table </w:t>
      </w:r>
      <w:r w:rsidR="003B0C5C">
        <w:rPr>
          <w:rFonts w:ascii="Calibri" w:hAnsi="Calibri" w:cs="Calibri"/>
        </w:rPr>
        <w:t>3</w:t>
      </w:r>
      <w:r w:rsidRPr="07BE98CC">
        <w:rPr>
          <w:rFonts w:ascii="Calibri" w:hAnsi="Calibri" w:cs="Calibri"/>
        </w:rPr>
        <w:fldChar w:fldCharType="begin"/>
      </w:r>
      <w:r w:rsidRPr="07BE98CC">
        <w:rPr>
          <w:rFonts w:ascii="Calibri" w:hAnsi="Calibri" w:cs="Calibri"/>
        </w:rPr>
        <w:instrText xml:space="preserve"> REF _Ref416443759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7BE98CC">
        <w:rPr>
          <w:rFonts w:ascii="Calibri" w:hAnsi="Calibri" w:cs="Calibri"/>
        </w:rPr>
        <w:fldChar w:fldCharType="end"/>
      </w:r>
      <w:r w:rsidRPr="07BE98CC" w:rsidR="5D736FC8">
        <w:rPr>
          <w:rFonts w:ascii="Calibri" w:hAnsi="Calibri" w:cs="Calibri"/>
        </w:rPr>
        <w:t>)</w:t>
      </w:r>
      <w:r w:rsidRPr="07BE98CC">
        <w:rPr>
          <w:rFonts w:ascii="Calibri" w:hAnsi="Calibri" w:cs="Calibri"/>
        </w:rPr>
        <w:t>.</w:t>
      </w:r>
    </w:p>
    <w:p w:rsidR="008B6A63" w:rsidRPr="00962957" w:rsidP="003B3CDB" w14:paraId="09BC1EF8" w14:textId="77777777">
      <w:pPr>
        <w:spacing w:after="0"/>
        <w:rPr>
          <w:rFonts w:ascii="Calibri" w:hAnsi="Calibri" w:cs="Calibri"/>
          <w:b/>
          <w:i/>
        </w:rPr>
      </w:pPr>
    </w:p>
    <w:p w:rsidR="007E2E3C" w:rsidP="003B3CDB" w14:paraId="44CAE0B0" w14:textId="77777777">
      <w:pPr>
        <w:spacing w:after="0"/>
        <w:rPr>
          <w:rFonts w:ascii="Calibri" w:hAnsi="Calibri" w:cs="Calibri"/>
          <w:u w:val="single"/>
        </w:rPr>
      </w:pPr>
      <w:r w:rsidRPr="00DB07AB">
        <w:rPr>
          <w:rFonts w:ascii="Calibri" w:hAnsi="Calibri" w:cs="Calibri"/>
          <w:u w:val="single"/>
        </w:rPr>
        <w:t>Report Preparation</w:t>
      </w:r>
    </w:p>
    <w:p w:rsidR="006205B5" w:rsidP="003B3CDB" w14:paraId="3B27C4A0" w14:textId="77777777">
      <w:pPr>
        <w:spacing w:after="0"/>
        <w:rPr>
          <w:rFonts w:ascii="Calibri" w:hAnsi="Calibri" w:cs="Calibri"/>
          <w:u w:val="single"/>
        </w:rPr>
      </w:pPr>
    </w:p>
    <w:p w:rsidR="007E2E3C" w:rsidP="003B3CDB" w14:paraId="361AA1F2" w14:textId="140BFD58">
      <w:pPr>
        <w:spacing w:after="0"/>
        <w:rPr>
          <w:rFonts w:ascii="Calibri" w:hAnsi="Calibri" w:cs="Calibri"/>
        </w:rPr>
      </w:pPr>
      <w:r w:rsidRPr="00962957">
        <w:rPr>
          <w:rFonts w:ascii="Calibri" w:hAnsi="Calibri" w:cs="Calibri"/>
        </w:rPr>
        <w:t>The 1981 PAIR economic analysis estimated that direct reporting activities would require a total of 16 hours of effort per report. This consists of the burden related to the completion of the PAIR (EPA Form No. 7710-35) or subpart B of 40 CFR 766 form (EPA Form No. 7710-51). As indicated previously, the respondents are not expected to conduct an exhaustive search of their files. Respondents are only required to report what is known or reasonably ascertainable to them (see 40 CFR 712.7). The relative distribution of reporting burden between managerial, technical</w:t>
      </w:r>
      <w:r w:rsidR="00F7457A">
        <w:rPr>
          <w:rFonts w:ascii="Calibri" w:hAnsi="Calibri" w:cs="Calibri"/>
        </w:rPr>
        <w:t>,</w:t>
      </w:r>
      <w:r w:rsidRPr="00962957">
        <w:rPr>
          <w:rFonts w:ascii="Calibri" w:hAnsi="Calibri" w:cs="Calibri"/>
        </w:rPr>
        <w:t xml:space="preserve"> and clerical personnel was developed for the 1992 PAIR ICR update. For this ICR update, EPA assumes that per-report burden for report preparation is the same as in the prior </w:t>
      </w:r>
      <w:r w:rsidRPr="00962957">
        <w:rPr>
          <w:rFonts w:ascii="Calibri" w:hAnsi="Calibri" w:cs="Calibri"/>
        </w:rPr>
        <w:t xml:space="preserve">ICR update. </w:t>
      </w:r>
      <w:r w:rsidRPr="07BE98CC">
        <w:rPr>
          <w:rFonts w:ascii="Calibri" w:hAnsi="Calibri" w:cs="Calibri"/>
        </w:rPr>
        <w:t xml:space="preserve">EPA only expects one report from one site in the next ICR cycle, and both the per-report and per-site </w:t>
      </w:r>
      <w:r w:rsidRPr="00962957">
        <w:rPr>
          <w:rFonts w:ascii="Calibri" w:hAnsi="Calibri" w:cs="Calibri"/>
        </w:rPr>
        <w:t>total burden estimate is 14.75 hours</w:t>
      </w:r>
      <w:r w:rsidRPr="00962957" w:rsidR="6BDCCFDE">
        <w:rPr>
          <w:rFonts w:ascii="Calibri" w:hAnsi="Calibri" w:cs="Calibri"/>
        </w:rPr>
        <w:t xml:space="preserve"> (</w:t>
      </w:r>
      <w:r w:rsidRPr="00962957">
        <w:rPr>
          <w:rFonts w:ascii="Calibri" w:hAnsi="Calibri" w:cs="Calibri"/>
        </w:rPr>
        <w:t xml:space="preserve">Table </w:t>
      </w:r>
      <w:r w:rsidR="00DB07AB">
        <w:rPr>
          <w:rFonts w:ascii="Calibri" w:hAnsi="Calibri" w:cs="Calibri"/>
        </w:rPr>
        <w:t>3</w:t>
      </w:r>
      <w:r w:rsidRPr="07BE98CC">
        <w:rPr>
          <w:rFonts w:ascii="Calibri" w:hAnsi="Calibri" w:cs="Calibri"/>
        </w:rPr>
        <w:fldChar w:fldCharType="begin"/>
      </w:r>
      <w:r w:rsidRPr="07BE98CC">
        <w:rPr>
          <w:rFonts w:ascii="Calibri" w:hAnsi="Calibri" w:cs="Calibri"/>
        </w:rPr>
        <w:instrText xml:space="preserve"> REF _Ref416443759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7BE98CC">
        <w:rPr>
          <w:rFonts w:ascii="Calibri" w:hAnsi="Calibri" w:cs="Calibri"/>
        </w:rPr>
        <w:fldChar w:fldCharType="end"/>
      </w:r>
      <w:r w:rsidRPr="07BE98CC" w:rsidR="4DA8BA67">
        <w:rPr>
          <w:rFonts w:ascii="Calibri" w:hAnsi="Calibri" w:cs="Calibri"/>
        </w:rPr>
        <w:t>).</w:t>
      </w:r>
    </w:p>
    <w:p w:rsidR="008B6A63" w:rsidRPr="00962957" w:rsidP="003B3CDB" w14:paraId="621EC198" w14:textId="77777777">
      <w:pPr>
        <w:spacing w:after="0"/>
        <w:rPr>
          <w:rFonts w:ascii="Calibri" w:hAnsi="Calibri" w:cs="Calibri"/>
        </w:rPr>
      </w:pPr>
    </w:p>
    <w:p w:rsidR="007E2E3C" w:rsidP="003B3CDB" w14:paraId="4257F014" w14:textId="77777777">
      <w:pPr>
        <w:spacing w:after="0"/>
        <w:rPr>
          <w:rFonts w:ascii="Calibri" w:hAnsi="Calibri" w:cs="Calibri"/>
          <w:u w:val="single"/>
        </w:rPr>
      </w:pPr>
      <w:r w:rsidRPr="00DB07AB">
        <w:rPr>
          <w:rFonts w:ascii="Calibri" w:hAnsi="Calibri" w:cs="Calibri"/>
          <w:u w:val="single"/>
        </w:rPr>
        <w:t>Trade Name Notification</w:t>
      </w:r>
    </w:p>
    <w:p w:rsidR="008B6A63" w:rsidRPr="00DB07AB" w:rsidP="003B3CDB" w14:paraId="00D37CBE" w14:textId="77777777">
      <w:pPr>
        <w:spacing w:after="0"/>
        <w:rPr>
          <w:rFonts w:ascii="Calibri" w:hAnsi="Calibri" w:cs="Calibri"/>
          <w:u w:val="single"/>
        </w:rPr>
      </w:pPr>
    </w:p>
    <w:p w:rsidR="007E2E3C" w:rsidP="003B3CDB" w14:paraId="06B34B35" w14:textId="149700A2">
      <w:pPr>
        <w:spacing w:after="0"/>
        <w:rPr>
          <w:rFonts w:ascii="Calibri" w:hAnsi="Calibri" w:cs="Calibri"/>
        </w:rPr>
      </w:pPr>
      <w:r w:rsidRPr="00962957">
        <w:rPr>
          <w:rFonts w:ascii="Calibri" w:hAnsi="Calibri" w:cs="Calibri"/>
        </w:rPr>
        <w:t xml:space="preserve">Some companies may report their customers’ uses as “unknown” for more than </w:t>
      </w:r>
      <w:r w:rsidR="00030C18">
        <w:rPr>
          <w:rFonts w:ascii="Calibri" w:hAnsi="Calibri" w:cs="Calibri"/>
        </w:rPr>
        <w:t>20</w:t>
      </w:r>
      <w:r w:rsidRPr="00962957">
        <w:rPr>
          <w:rFonts w:ascii="Calibri" w:hAnsi="Calibri" w:cs="Calibri"/>
        </w:rPr>
        <w:t xml:space="preserve"> percent of their volume. These companies must list under Item 10 of the PAIR reporting form the market (trade) name(s) under which they distribute the chemical. This reporting is referred to as trade name notification.</w:t>
      </w:r>
      <w:r>
        <w:rPr>
          <w:rStyle w:val="FootnoteReference"/>
          <w:rFonts w:ascii="Calibri" w:hAnsi="Calibri" w:cs="Calibri"/>
        </w:rPr>
        <w:footnoteReference w:id="4"/>
      </w:r>
    </w:p>
    <w:p w:rsidR="008B6A63" w:rsidRPr="00962957" w:rsidP="003B3CDB" w14:paraId="62A29342" w14:textId="77777777">
      <w:pPr>
        <w:spacing w:after="0"/>
        <w:rPr>
          <w:rFonts w:ascii="Calibri" w:hAnsi="Calibri" w:cs="Calibri"/>
        </w:rPr>
      </w:pPr>
    </w:p>
    <w:p w:rsidR="007E2E3C" w:rsidP="003B3CDB" w14:paraId="2758DA97" w14:textId="77777777">
      <w:pPr>
        <w:spacing w:after="0"/>
        <w:rPr>
          <w:rFonts w:ascii="Calibri" w:hAnsi="Calibri" w:cs="Calibri"/>
          <w:szCs w:val="24"/>
        </w:rPr>
      </w:pPr>
      <w:r w:rsidRPr="00962957">
        <w:rPr>
          <w:rFonts w:ascii="Calibri" w:hAnsi="Calibri" w:cs="Calibri"/>
          <w:szCs w:val="24"/>
        </w:rPr>
        <w:t>All commercial manufacturing, importing and processing sites that distribute any of the chemicals subjected to a PAIR reporting rule under a trade name must take steps to ensure that information about the downstream processors is submitted to EPA. Firms may choose among several options to meet trade name notification requirements, including:</w:t>
      </w:r>
    </w:p>
    <w:p w:rsidR="006205B5" w:rsidRPr="00962957" w:rsidP="003B3CDB" w14:paraId="7824E829" w14:textId="77777777">
      <w:pPr>
        <w:spacing w:after="0"/>
        <w:rPr>
          <w:rFonts w:ascii="Calibri" w:hAnsi="Calibri" w:cs="Calibri"/>
        </w:rPr>
      </w:pPr>
    </w:p>
    <w:p w:rsidR="007E2E3C" w:rsidRPr="00962957" w:rsidP="003B3CDB" w14:paraId="16C69E63" w14:textId="77777777">
      <w:pPr>
        <w:pStyle w:val="ListParagraph"/>
        <w:numPr>
          <w:ilvl w:val="0"/>
          <w:numId w:val="18"/>
        </w:numPr>
        <w:autoSpaceDE w:val="0"/>
        <w:autoSpaceDN w:val="0"/>
        <w:adjustRightInd w:val="0"/>
        <w:spacing w:after="0" w:line="276" w:lineRule="auto"/>
        <w:rPr>
          <w:rFonts w:ascii="Calibri" w:hAnsi="Calibri" w:cs="Calibri"/>
          <w:iCs/>
          <w:szCs w:val="24"/>
        </w:rPr>
      </w:pPr>
      <w:r w:rsidRPr="00962957">
        <w:rPr>
          <w:rFonts w:ascii="Calibri" w:hAnsi="Calibri" w:cs="Calibri"/>
          <w:szCs w:val="24"/>
        </w:rPr>
        <w:t xml:space="preserve">Submit trade name data to EPA for listing in the </w:t>
      </w:r>
      <w:r w:rsidRPr="00962957">
        <w:rPr>
          <w:rFonts w:ascii="Calibri" w:hAnsi="Calibri" w:cs="Calibri"/>
          <w:iCs/>
          <w:szCs w:val="24"/>
        </w:rPr>
        <w:t>Federal Register;</w:t>
      </w:r>
    </w:p>
    <w:p w:rsidR="007E2E3C" w:rsidRPr="00962957" w:rsidP="003B3CDB" w14:paraId="5CB6F309" w14:textId="77777777">
      <w:pPr>
        <w:pStyle w:val="ListParagraph"/>
        <w:numPr>
          <w:ilvl w:val="0"/>
          <w:numId w:val="18"/>
        </w:numPr>
        <w:autoSpaceDE w:val="0"/>
        <w:autoSpaceDN w:val="0"/>
        <w:adjustRightInd w:val="0"/>
        <w:spacing w:after="0" w:line="276" w:lineRule="auto"/>
        <w:rPr>
          <w:rFonts w:ascii="Calibri" w:hAnsi="Calibri" w:cs="Calibri"/>
          <w:szCs w:val="24"/>
        </w:rPr>
      </w:pPr>
      <w:r w:rsidRPr="00962957">
        <w:rPr>
          <w:rFonts w:ascii="Calibri" w:hAnsi="Calibri" w:cs="Calibri"/>
          <w:szCs w:val="24"/>
        </w:rPr>
        <w:t>Notify all customers of the need to report; or</w:t>
      </w:r>
    </w:p>
    <w:p w:rsidR="007E2E3C" w:rsidP="003B3CDB" w14:paraId="71968D83" w14:textId="77777777">
      <w:pPr>
        <w:pStyle w:val="ListParagraph"/>
        <w:numPr>
          <w:ilvl w:val="0"/>
          <w:numId w:val="18"/>
        </w:numPr>
        <w:autoSpaceDE w:val="0"/>
        <w:autoSpaceDN w:val="0"/>
        <w:adjustRightInd w:val="0"/>
        <w:spacing w:after="0" w:line="276" w:lineRule="auto"/>
        <w:rPr>
          <w:rFonts w:ascii="Calibri" w:hAnsi="Calibri" w:cs="Calibri"/>
          <w:szCs w:val="24"/>
        </w:rPr>
      </w:pPr>
      <w:r w:rsidRPr="00962957">
        <w:rPr>
          <w:rFonts w:ascii="Calibri" w:hAnsi="Calibri" w:cs="Calibri"/>
          <w:szCs w:val="24"/>
        </w:rPr>
        <w:t>Complete the reporting requirements for each customer.</w:t>
      </w:r>
    </w:p>
    <w:p w:rsidR="008B6A63" w:rsidRPr="00962957" w:rsidP="008B6A63" w14:paraId="78D70A04" w14:textId="77777777">
      <w:pPr>
        <w:pStyle w:val="ListParagraph"/>
        <w:autoSpaceDE w:val="0"/>
        <w:autoSpaceDN w:val="0"/>
        <w:adjustRightInd w:val="0"/>
        <w:spacing w:after="0" w:line="276" w:lineRule="auto"/>
        <w:ind w:left="1080"/>
        <w:rPr>
          <w:rFonts w:ascii="Calibri" w:hAnsi="Calibri" w:cs="Calibri"/>
          <w:szCs w:val="24"/>
        </w:rPr>
      </w:pPr>
    </w:p>
    <w:p w:rsidR="007E2E3C" w:rsidP="003B3CDB" w14:paraId="37BFD459" w14:textId="77777777">
      <w:pPr>
        <w:autoSpaceDE w:val="0"/>
        <w:autoSpaceDN w:val="0"/>
        <w:adjustRightInd w:val="0"/>
        <w:spacing w:after="0"/>
        <w:rPr>
          <w:rFonts w:ascii="Calibri" w:hAnsi="Calibri" w:cs="Calibri"/>
          <w:szCs w:val="24"/>
        </w:rPr>
      </w:pPr>
      <w:r w:rsidRPr="00962957">
        <w:rPr>
          <w:rFonts w:ascii="Calibri" w:hAnsi="Calibri" w:cs="Calibri"/>
          <w:szCs w:val="24"/>
        </w:rPr>
        <w:t xml:space="preserve">This ICR assumes that companies will adopt the least-costly reporting alternative of providing a trade name list to EPA for inclusion in the </w:t>
      </w:r>
      <w:r w:rsidRPr="00962957">
        <w:rPr>
          <w:rFonts w:ascii="Calibri" w:hAnsi="Calibri" w:cs="Calibri"/>
          <w:iCs/>
          <w:szCs w:val="24"/>
        </w:rPr>
        <w:t>Federal Register</w:t>
      </w:r>
      <w:r w:rsidRPr="00962957">
        <w:rPr>
          <w:rFonts w:ascii="Calibri" w:hAnsi="Calibri" w:cs="Calibri"/>
          <w:szCs w:val="24"/>
        </w:rPr>
        <w:t>. However, trade name notification is not relevant if processor reporting is not required.</w:t>
      </w:r>
    </w:p>
    <w:p w:rsidR="008B6A63" w:rsidRPr="00962957" w:rsidP="003B3CDB" w14:paraId="38001072" w14:textId="77777777">
      <w:pPr>
        <w:autoSpaceDE w:val="0"/>
        <w:autoSpaceDN w:val="0"/>
        <w:adjustRightInd w:val="0"/>
        <w:spacing w:after="0"/>
        <w:rPr>
          <w:rFonts w:ascii="Calibri" w:hAnsi="Calibri" w:cs="Calibri"/>
          <w:szCs w:val="24"/>
        </w:rPr>
      </w:pPr>
    </w:p>
    <w:p w:rsidR="007E2E3C" w:rsidP="003B3CDB" w14:paraId="55423A9D" w14:textId="0933BC66">
      <w:pPr>
        <w:spacing w:after="0"/>
        <w:rPr>
          <w:rFonts w:ascii="Calibri" w:hAnsi="Calibri" w:cs="Calibri"/>
        </w:rPr>
      </w:pPr>
      <w:r w:rsidRPr="07BE98CC">
        <w:rPr>
          <w:rFonts w:ascii="Calibri" w:hAnsi="Calibri" w:cs="Calibri"/>
        </w:rPr>
        <w:t>Furthermore, this ICR also assumes that all manufacturers and importers will incur trade name notification costs but does not address processors due to the lack of data on processor reporting. In the 1994 EPA PAIR ICR,</w:t>
      </w:r>
      <w:r>
        <w:rPr>
          <w:rStyle w:val="FootnoteReference"/>
          <w:rFonts w:ascii="Calibri" w:hAnsi="Calibri" w:cs="Calibri"/>
        </w:rPr>
        <w:footnoteReference w:id="5"/>
      </w:r>
      <w:r w:rsidRPr="07BE98CC">
        <w:rPr>
          <w:rFonts w:ascii="Calibri" w:hAnsi="Calibri" w:cs="Calibri"/>
        </w:rPr>
        <w:t xml:space="preserve"> the unit burden of trade name notification was given as 3.2 hours (i.e., 2.2 hours managerial and 1.0 hours clerical)</w:t>
      </w:r>
      <w:r w:rsidR="0075350B">
        <w:rPr>
          <w:rFonts w:ascii="Calibri" w:hAnsi="Calibri" w:cs="Calibri"/>
        </w:rPr>
        <w:t>.</w:t>
      </w:r>
      <w:r w:rsidRPr="07BE98CC">
        <w:rPr>
          <w:rFonts w:ascii="Calibri" w:hAnsi="Calibri" w:cs="Calibri"/>
        </w:rPr>
        <w:t xml:space="preserve"> </w:t>
      </w:r>
      <w:r w:rsidR="0075350B">
        <w:rPr>
          <w:rFonts w:ascii="Calibri" w:hAnsi="Calibri" w:cs="Calibri"/>
        </w:rPr>
        <w:t>F</w:t>
      </w:r>
      <w:r w:rsidRPr="07BE98CC">
        <w:rPr>
          <w:rFonts w:ascii="Calibri" w:hAnsi="Calibri" w:cs="Calibri"/>
        </w:rPr>
        <w:t>or this analysis the 1.0 hours of clerical burden is removed to adjust for electronic submissions, for a total burden of 2.2 hours per report. Because EPA only expects one report from one site in the next ICR cycle, both the per-report and per-site burden is 2.2 hours</w:t>
      </w:r>
      <w:r w:rsidRPr="07BE98CC" w:rsidR="2B1F2535">
        <w:rPr>
          <w:rFonts w:ascii="Calibri" w:hAnsi="Calibri" w:cs="Calibri"/>
        </w:rPr>
        <w:t xml:space="preserve"> (</w:t>
      </w:r>
      <w:r w:rsidRPr="07BE98CC">
        <w:rPr>
          <w:rFonts w:ascii="Calibri" w:hAnsi="Calibri" w:cs="Calibri"/>
        </w:rPr>
        <w:t xml:space="preserve">Table </w:t>
      </w:r>
      <w:r w:rsidR="00DB07AB">
        <w:rPr>
          <w:rFonts w:ascii="Calibri" w:hAnsi="Calibri" w:cs="Calibri"/>
        </w:rPr>
        <w:t>3</w:t>
      </w:r>
      <w:r w:rsidRPr="07BE98CC">
        <w:rPr>
          <w:rFonts w:ascii="Calibri" w:hAnsi="Calibri" w:cs="Calibri"/>
        </w:rPr>
        <w:fldChar w:fldCharType="begin"/>
      </w:r>
      <w:r w:rsidRPr="07BE98CC">
        <w:rPr>
          <w:rFonts w:ascii="Calibri" w:hAnsi="Calibri" w:cs="Calibri"/>
        </w:rPr>
        <w:instrText xml:space="preserve"> REF _Ref416443759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7BE98CC">
        <w:rPr>
          <w:rFonts w:ascii="Calibri" w:hAnsi="Calibri" w:cs="Calibri"/>
        </w:rPr>
        <w:fldChar w:fldCharType="end"/>
      </w:r>
      <w:r w:rsidRPr="07BE98CC" w:rsidR="1EB5C237">
        <w:rPr>
          <w:rFonts w:ascii="Calibri" w:hAnsi="Calibri" w:cs="Calibri"/>
        </w:rPr>
        <w:t>)</w:t>
      </w:r>
      <w:r w:rsidRPr="07BE98CC">
        <w:rPr>
          <w:rFonts w:ascii="Calibri" w:hAnsi="Calibri" w:cs="Calibri"/>
        </w:rPr>
        <w:t>.</w:t>
      </w:r>
    </w:p>
    <w:p w:rsidR="008B6A63" w:rsidRPr="00962957" w:rsidP="003B3CDB" w14:paraId="5B3E676C" w14:textId="77777777">
      <w:pPr>
        <w:spacing w:after="0"/>
        <w:rPr>
          <w:rFonts w:ascii="Calibri" w:hAnsi="Calibri" w:cs="Calibri"/>
        </w:rPr>
      </w:pPr>
    </w:p>
    <w:p w:rsidR="007E2E3C" w:rsidP="003B3CDB" w14:paraId="68CF8288" w14:textId="77777777">
      <w:pPr>
        <w:autoSpaceDE w:val="0"/>
        <w:autoSpaceDN w:val="0"/>
        <w:adjustRightInd w:val="0"/>
        <w:spacing w:after="0"/>
        <w:rPr>
          <w:rFonts w:ascii="Calibri" w:hAnsi="Calibri" w:cs="Calibri"/>
          <w:szCs w:val="24"/>
          <w:u w:val="single"/>
        </w:rPr>
      </w:pPr>
      <w:r w:rsidRPr="00DB07AB">
        <w:rPr>
          <w:rFonts w:ascii="Calibri" w:hAnsi="Calibri" w:cs="Calibri"/>
          <w:szCs w:val="24"/>
          <w:u w:val="single"/>
        </w:rPr>
        <w:t>CBI Substantiation</w:t>
      </w:r>
    </w:p>
    <w:p w:rsidR="008B6A63" w:rsidRPr="00DB07AB" w:rsidP="003B3CDB" w14:paraId="52CDD0A4" w14:textId="77777777">
      <w:pPr>
        <w:autoSpaceDE w:val="0"/>
        <w:autoSpaceDN w:val="0"/>
        <w:adjustRightInd w:val="0"/>
        <w:spacing w:after="0"/>
        <w:rPr>
          <w:rFonts w:ascii="Calibri" w:hAnsi="Calibri" w:cs="Calibri"/>
          <w:szCs w:val="24"/>
          <w:u w:val="single"/>
        </w:rPr>
      </w:pPr>
    </w:p>
    <w:p w:rsidR="007E2E3C" w:rsidP="003B3CDB" w14:paraId="7BCF9204" w14:textId="1D4A2732">
      <w:pPr>
        <w:autoSpaceDE w:val="0"/>
        <w:autoSpaceDN w:val="0"/>
        <w:adjustRightInd w:val="0"/>
        <w:spacing w:after="0"/>
        <w:rPr>
          <w:rFonts w:ascii="Calibri" w:hAnsi="Calibri" w:cs="Calibri"/>
          <w:szCs w:val="24"/>
        </w:rPr>
      </w:pPr>
      <w:r w:rsidRPr="00962957">
        <w:rPr>
          <w:rFonts w:ascii="Calibri" w:hAnsi="Calibri" w:cs="Calibri"/>
          <w:szCs w:val="24"/>
        </w:rPr>
        <w:t xml:space="preserve">A company may make claims of confidentiality for any data element contained in its submission. For each CBI (confidential business information) claim, generic information must be supplied for a non-CBI copy of the submission (i.e., a sanitized version must also be submitted). </w:t>
      </w:r>
      <w:r w:rsidRPr="00962957">
        <w:rPr>
          <w:rFonts w:ascii="Calibri" w:hAnsi="Calibri" w:cs="Calibri"/>
          <w:szCs w:val="24"/>
        </w:rPr>
        <w:t xml:space="preserve">It is assumed that most of the time required for CBI substantiation involves managerial staff discussion of whether to make a CBI claim. Furthermore, it is assumed that all firms will review their submissions for CBI content. </w:t>
      </w:r>
    </w:p>
    <w:p w:rsidR="008B6A63" w:rsidRPr="00962957" w:rsidP="003B3CDB" w14:paraId="301C54BA" w14:textId="77777777">
      <w:pPr>
        <w:autoSpaceDE w:val="0"/>
        <w:autoSpaceDN w:val="0"/>
        <w:adjustRightInd w:val="0"/>
        <w:spacing w:after="0"/>
        <w:rPr>
          <w:rFonts w:ascii="Calibri" w:hAnsi="Calibri" w:cs="Calibri"/>
          <w:b/>
          <w:i/>
          <w:szCs w:val="24"/>
        </w:rPr>
      </w:pPr>
    </w:p>
    <w:p w:rsidR="007E2E3C" w:rsidP="003B3CDB" w14:paraId="652191E5" w14:textId="68BC665D">
      <w:pPr>
        <w:autoSpaceDE w:val="0"/>
        <w:autoSpaceDN w:val="0"/>
        <w:adjustRightInd w:val="0"/>
        <w:spacing w:after="0"/>
        <w:rPr>
          <w:rFonts w:ascii="Calibri" w:hAnsi="Calibri" w:cs="Calibri"/>
        </w:rPr>
      </w:pPr>
      <w:r w:rsidRPr="07BE98CC">
        <w:rPr>
          <w:rFonts w:ascii="Calibri" w:hAnsi="Calibri" w:cs="Calibri"/>
        </w:rPr>
        <w:t xml:space="preserve">The </w:t>
      </w:r>
      <w:r w:rsidR="00002C74">
        <w:rPr>
          <w:rFonts w:ascii="Calibri" w:hAnsi="Calibri" w:cs="Calibri"/>
        </w:rPr>
        <w:t>2016</w:t>
      </w:r>
      <w:r w:rsidRPr="07BE98CC">
        <w:rPr>
          <w:rFonts w:ascii="Calibri" w:hAnsi="Calibri" w:cs="Calibri"/>
        </w:rPr>
        <w:t xml:space="preserve"> Lautenberg Act increased requirements for TSCA CBI substantiation claims.</w:t>
      </w:r>
      <w:r w:rsidR="00DB07AB">
        <w:rPr>
          <w:rFonts w:ascii="Calibri" w:hAnsi="Calibri" w:cs="Calibri"/>
        </w:rPr>
        <w:t xml:space="preserve"> </w:t>
      </w:r>
      <w:r w:rsidRPr="07BE98CC" w:rsidR="006D36D2">
        <w:rPr>
          <w:rFonts w:ascii="Calibri" w:hAnsi="Calibri" w:cs="Calibri"/>
        </w:rPr>
        <w:t>Lautenberg requirements for assertion of CBI claims are codified</w:t>
      </w:r>
      <w:r w:rsidRPr="07BE98CC" w:rsidR="00B717CA">
        <w:rPr>
          <w:rFonts w:ascii="Calibri" w:hAnsi="Calibri" w:cs="Calibri"/>
        </w:rPr>
        <w:t xml:space="preserve"> in 40 CFR part 703. </w:t>
      </w:r>
      <w:r w:rsidRPr="07BE98CC">
        <w:rPr>
          <w:rFonts w:ascii="Calibri" w:hAnsi="Calibri" w:cs="Calibri"/>
        </w:rPr>
        <w:t>The previous ICR assumed that all CBI substantiation burden was a managerial decision. The Lautenberg Act changed TSCA to require a statement that the submitter has (1) taken reasonable measures to protect the confidentiality of the information, (2) determined that the information is not required to be disclosed or otherwise made available to the public under any other Federal law, (3) has a reasonable basis to conclude that disclosure of the information is likely to cause substantial harm to the competitive position of the person; and (4) has a reasonable basis to believe that the information is not readily discoverable through reverse engineering.</w:t>
      </w:r>
      <w:r>
        <w:rPr>
          <w:rStyle w:val="FootnoteReference"/>
          <w:rFonts w:ascii="Calibri" w:hAnsi="Calibri" w:cs="Calibri"/>
        </w:rPr>
        <w:footnoteReference w:id="6"/>
      </w:r>
      <w:r w:rsidRPr="07BE98CC">
        <w:rPr>
          <w:rFonts w:ascii="Calibri" w:hAnsi="Calibri" w:cs="Calibri"/>
        </w:rPr>
        <w:t xml:space="preserve"> These additional questions make CBI substantiation more a technical than a managerial decision. </w:t>
      </w:r>
    </w:p>
    <w:p w:rsidR="008B6A63" w:rsidRPr="00962957" w:rsidP="003B3CDB" w14:paraId="61353017" w14:textId="77777777">
      <w:pPr>
        <w:autoSpaceDE w:val="0"/>
        <w:autoSpaceDN w:val="0"/>
        <w:adjustRightInd w:val="0"/>
        <w:spacing w:after="0"/>
        <w:rPr>
          <w:rFonts w:ascii="Calibri" w:hAnsi="Calibri" w:cs="Calibri"/>
          <w:b/>
          <w:i/>
        </w:rPr>
      </w:pPr>
    </w:p>
    <w:p w:rsidR="007E2E3C" w:rsidP="003B3CDB" w14:paraId="53E6F481" w14:textId="69871DF7">
      <w:pPr>
        <w:spacing w:after="0"/>
        <w:rPr>
          <w:rFonts w:ascii="Calibri" w:hAnsi="Calibri" w:cs="Calibri"/>
        </w:rPr>
      </w:pPr>
      <w:r w:rsidRPr="07BE98CC">
        <w:rPr>
          <w:rFonts w:ascii="Calibri" w:hAnsi="Calibri" w:cs="Calibri"/>
        </w:rPr>
        <w:t>Based on an analysis of CBI claims for reporting to the TSCA Inventory (discussed in the 1986 CAIR economic analysis), 75 percent of reports are expected to make CBI claims. The burden distributed across all reports is 5.35 hours x 0.75, or 4.01 hours. Because EPA only expects one report from one site in the next ICR cycle, both the per-report and per-site burden is 4.01 hours</w:t>
      </w:r>
      <w:r w:rsidRPr="07BE98CC" w:rsidR="51995FE7">
        <w:rPr>
          <w:rFonts w:ascii="Calibri" w:hAnsi="Calibri" w:cs="Calibri"/>
        </w:rPr>
        <w:t xml:space="preserve"> (</w:t>
      </w:r>
      <w:r w:rsidRPr="07BE98CC">
        <w:rPr>
          <w:rFonts w:ascii="Calibri" w:hAnsi="Calibri" w:cs="Calibri"/>
        </w:rPr>
        <w:fldChar w:fldCharType="begin"/>
      </w:r>
      <w:r w:rsidRPr="07BE98CC">
        <w:rPr>
          <w:rFonts w:ascii="Calibri" w:hAnsi="Calibri" w:cs="Calibri"/>
        </w:rPr>
        <w:instrText xml:space="preserve"> REF _Ref95745701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0962957">
        <w:rPr>
          <w:rFonts w:ascii="Calibri" w:hAnsi="Calibri" w:cs="Calibri"/>
        </w:rPr>
        <w:t xml:space="preserve">Table </w:t>
      </w:r>
      <w:r w:rsidRPr="07BE98CC">
        <w:rPr>
          <w:rFonts w:ascii="Calibri" w:hAnsi="Calibri" w:cs="Calibri"/>
        </w:rPr>
        <w:fldChar w:fldCharType="end"/>
      </w:r>
      <w:r w:rsidR="00007041">
        <w:rPr>
          <w:rFonts w:ascii="Calibri" w:hAnsi="Calibri" w:cs="Calibri"/>
        </w:rPr>
        <w:t>3</w:t>
      </w:r>
      <w:r w:rsidRPr="07BE98CC">
        <w:rPr>
          <w:rFonts w:ascii="Calibri" w:hAnsi="Calibri" w:cs="Calibri"/>
        </w:rPr>
        <w:fldChar w:fldCharType="begin"/>
      </w:r>
      <w:r w:rsidRPr="07BE98CC">
        <w:rPr>
          <w:rFonts w:ascii="Calibri" w:hAnsi="Calibri" w:cs="Calibri"/>
        </w:rPr>
        <w:instrText xml:space="preserve"> REF _Ref416443759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7BE98CC">
        <w:rPr>
          <w:rFonts w:ascii="Calibri" w:hAnsi="Calibri" w:cs="Calibri"/>
        </w:rPr>
        <w:fldChar w:fldCharType="end"/>
      </w:r>
      <w:r w:rsidRPr="07BE98CC" w:rsidR="57FA26E4">
        <w:rPr>
          <w:rFonts w:ascii="Calibri" w:hAnsi="Calibri" w:cs="Calibri"/>
        </w:rPr>
        <w:t>)</w:t>
      </w:r>
      <w:r w:rsidRPr="07BE98CC">
        <w:rPr>
          <w:rFonts w:ascii="Calibri" w:hAnsi="Calibri" w:cs="Calibri"/>
        </w:rPr>
        <w:t>.</w:t>
      </w:r>
    </w:p>
    <w:p w:rsidR="008B6A63" w:rsidRPr="00962957" w:rsidP="003B3CDB" w14:paraId="44CAC132" w14:textId="77777777">
      <w:pPr>
        <w:spacing w:after="0"/>
        <w:rPr>
          <w:rFonts w:ascii="Calibri" w:hAnsi="Calibri" w:cs="Calibri"/>
        </w:rPr>
      </w:pPr>
    </w:p>
    <w:p w:rsidR="007E2E3C" w:rsidP="003B3CDB" w14:paraId="5E3ECB6F" w14:textId="77777777">
      <w:pPr>
        <w:autoSpaceDE w:val="0"/>
        <w:autoSpaceDN w:val="0"/>
        <w:adjustRightInd w:val="0"/>
        <w:spacing w:after="0"/>
        <w:rPr>
          <w:rFonts w:ascii="Calibri" w:hAnsi="Calibri" w:cs="Calibri"/>
          <w:szCs w:val="24"/>
          <w:u w:val="single"/>
        </w:rPr>
      </w:pPr>
      <w:r w:rsidRPr="00007041">
        <w:rPr>
          <w:rFonts w:ascii="Calibri" w:hAnsi="Calibri" w:cs="Calibri"/>
          <w:szCs w:val="24"/>
          <w:u w:val="single"/>
        </w:rPr>
        <w:t>Recordkeeping</w:t>
      </w:r>
    </w:p>
    <w:p w:rsidR="008B6A63" w:rsidRPr="00007041" w:rsidP="003B3CDB" w14:paraId="28608259" w14:textId="77777777">
      <w:pPr>
        <w:autoSpaceDE w:val="0"/>
        <w:autoSpaceDN w:val="0"/>
        <w:adjustRightInd w:val="0"/>
        <w:spacing w:after="0"/>
        <w:rPr>
          <w:rFonts w:ascii="Calibri" w:hAnsi="Calibri" w:cs="Calibri"/>
          <w:szCs w:val="24"/>
          <w:u w:val="single"/>
        </w:rPr>
      </w:pPr>
    </w:p>
    <w:p w:rsidR="007E2E3C" w:rsidRPr="00962957" w:rsidP="003B3CDB" w14:paraId="2A0F419C" w14:textId="77777777">
      <w:pPr>
        <w:autoSpaceDE w:val="0"/>
        <w:autoSpaceDN w:val="0"/>
        <w:adjustRightInd w:val="0"/>
        <w:spacing w:after="0"/>
        <w:rPr>
          <w:rFonts w:ascii="Calibri" w:hAnsi="Calibri" w:cs="Calibri"/>
          <w:szCs w:val="24"/>
        </w:rPr>
      </w:pPr>
      <w:r w:rsidRPr="00962957">
        <w:rPr>
          <w:rFonts w:ascii="Calibri" w:hAnsi="Calibri" w:cs="Calibri"/>
          <w:szCs w:val="24"/>
        </w:rPr>
        <w:t>Pursuant to TSCA section 8(a), the manufacturer/importer or processors of the chemical substances identified under PAIR must also maintain records of the information submitted to EPA. In addition, since manufacturer/importer or processors that submit data to EPA must comply with the GLPS in 40 CFR 792, this ICR also generally covers the burden associated with maintaining records as required under the GLPS. These records are used for compliance monitoring and enforcement purposes.</w:t>
      </w:r>
    </w:p>
    <w:p w:rsidR="00EF04A5" w:rsidRPr="00962957" w:rsidP="003B3CDB" w14:paraId="74E03629" w14:textId="77777777">
      <w:pPr>
        <w:autoSpaceDE w:val="0"/>
        <w:autoSpaceDN w:val="0"/>
        <w:adjustRightInd w:val="0"/>
        <w:spacing w:after="0"/>
        <w:rPr>
          <w:rFonts w:ascii="Calibri" w:hAnsi="Calibri" w:cs="Calibri"/>
          <w:szCs w:val="24"/>
        </w:rPr>
      </w:pPr>
    </w:p>
    <w:p w:rsidR="007E2E3C" w:rsidP="003B3CDB" w14:paraId="2654C0CF" w14:textId="444ACEF1">
      <w:pPr>
        <w:spacing w:after="0"/>
        <w:rPr>
          <w:rFonts w:ascii="Calibri" w:hAnsi="Calibri" w:cs="Calibri"/>
        </w:rPr>
      </w:pPr>
      <w:r w:rsidRPr="45B313F0">
        <w:rPr>
          <w:rFonts w:ascii="Calibri" w:hAnsi="Calibri" w:cs="Calibri"/>
        </w:rPr>
        <w:t xml:space="preserve">EPA estimates that the recordkeeping burden associated with this ICR involves about </w:t>
      </w:r>
      <w:r w:rsidR="00794553">
        <w:rPr>
          <w:rFonts w:ascii="Calibri" w:hAnsi="Calibri" w:cs="Calibri"/>
        </w:rPr>
        <w:t>30 minutes</w:t>
      </w:r>
      <w:r w:rsidRPr="45B313F0">
        <w:rPr>
          <w:rFonts w:ascii="Calibri" w:hAnsi="Calibri" w:cs="Calibri"/>
        </w:rPr>
        <w:t xml:space="preserve"> for both the clerical and the technical labor category, based on the </w:t>
      </w:r>
      <w:r w:rsidRPr="45B313F0">
        <w:rPr>
          <w:rFonts w:ascii="Calibri" w:hAnsi="Calibri" w:cs="Calibri"/>
          <w:i/>
        </w:rPr>
        <w:t>Economic Analysis for the Electronic Reporting under the Toxic Substances Control Act (TSCA) Final Rule</w:t>
      </w:r>
      <w:r w:rsidRPr="45B313F0">
        <w:rPr>
          <w:rFonts w:ascii="Calibri" w:hAnsi="Calibri" w:cs="Calibri"/>
        </w:rPr>
        <w:t xml:space="preserve"> (EPA, 2012). This burden estimate represents the time necessary for individuals to identify the information, determine the appropriate location for the record to be kept, and plac</w:t>
      </w:r>
      <w:r w:rsidR="009E19EC">
        <w:rPr>
          <w:rFonts w:ascii="Calibri" w:hAnsi="Calibri" w:cs="Calibri"/>
        </w:rPr>
        <w:t>e</w:t>
      </w:r>
      <w:r w:rsidRPr="45B313F0">
        <w:rPr>
          <w:rFonts w:ascii="Calibri" w:hAnsi="Calibri" w:cs="Calibri"/>
        </w:rPr>
        <w:t xml:space="preserve"> the record in such a location. The per-report recordkeeping burden is therefore estimated to be 1.00 hour. Because EPA only expects one report from one site in the next ICR cycle, both the per-report and per-site burden is 1.00 hour</w:t>
      </w:r>
      <w:r w:rsidRPr="45B313F0" w:rsidR="77DA5AC3">
        <w:rPr>
          <w:rFonts w:ascii="Calibri" w:hAnsi="Calibri" w:cs="Calibri"/>
        </w:rPr>
        <w:t xml:space="preserve"> (</w:t>
      </w:r>
      <w:r w:rsidRPr="45B313F0">
        <w:rPr>
          <w:rFonts w:ascii="Calibri" w:hAnsi="Calibri" w:cs="Calibri"/>
        </w:rPr>
        <w:t xml:space="preserve">Table </w:t>
      </w:r>
      <w:r w:rsidR="00007041">
        <w:rPr>
          <w:rFonts w:ascii="Calibri" w:hAnsi="Calibri" w:cs="Calibri"/>
        </w:rPr>
        <w:t>4</w:t>
      </w:r>
      <w:r w:rsidRPr="45B313F0" w:rsidR="655862EF">
        <w:rPr>
          <w:rFonts w:ascii="Calibri" w:hAnsi="Calibri" w:cs="Calibri"/>
        </w:rPr>
        <w:t>)</w:t>
      </w:r>
      <w:r w:rsidRPr="45B313F0">
        <w:rPr>
          <w:rFonts w:ascii="Calibri" w:hAnsi="Calibri" w:cs="Calibri"/>
        </w:rPr>
        <w:fldChar w:fldCharType="begin"/>
      </w:r>
      <w:r w:rsidRPr="45B313F0">
        <w:rPr>
          <w:rFonts w:ascii="Calibri" w:hAnsi="Calibri" w:cs="Calibri"/>
        </w:rPr>
        <w:instrText xml:space="preserve"> REF _Ref416443759 \h </w:instrText>
      </w:r>
      <w:r w:rsidRPr="45B313F0" w:rsidR="00962957">
        <w:rPr>
          <w:rFonts w:ascii="Calibri" w:hAnsi="Calibri" w:cs="Calibri"/>
        </w:rPr>
        <w:instrText xml:space="preserve"> \* MERGEFORMAT </w:instrText>
      </w:r>
      <w:r w:rsidRPr="45B313F0">
        <w:rPr>
          <w:rFonts w:ascii="Calibri" w:hAnsi="Calibri" w:cs="Calibri"/>
        </w:rPr>
        <w:fldChar w:fldCharType="separate"/>
      </w:r>
      <w:r w:rsidRPr="45B313F0">
        <w:rPr>
          <w:rFonts w:ascii="Calibri" w:hAnsi="Calibri" w:cs="Calibri"/>
        </w:rPr>
        <w:fldChar w:fldCharType="end"/>
      </w:r>
      <w:r w:rsidRPr="45B313F0">
        <w:rPr>
          <w:rFonts w:ascii="Calibri" w:hAnsi="Calibri" w:cs="Calibri"/>
        </w:rPr>
        <w:t>.</w:t>
      </w:r>
    </w:p>
    <w:p w:rsidR="008B6A63" w:rsidRPr="00962957" w:rsidP="003B3CDB" w14:paraId="46DEBE05" w14:textId="77777777">
      <w:pPr>
        <w:spacing w:after="0"/>
        <w:rPr>
          <w:rFonts w:ascii="Calibri" w:hAnsi="Calibri" w:cs="Calibri"/>
        </w:rPr>
      </w:pPr>
    </w:p>
    <w:p w:rsidR="007E2E3C" w:rsidP="003B3CDB" w14:paraId="1C759573" w14:textId="77777777">
      <w:pPr>
        <w:spacing w:after="0"/>
        <w:rPr>
          <w:rFonts w:ascii="Calibri" w:hAnsi="Calibri" w:cs="Calibri"/>
          <w:u w:val="single"/>
        </w:rPr>
      </w:pPr>
      <w:r w:rsidRPr="00AC08D1">
        <w:rPr>
          <w:rFonts w:ascii="Calibri" w:hAnsi="Calibri" w:cs="Calibri"/>
          <w:u w:val="single"/>
        </w:rPr>
        <w:t>CDX Registration, Electronic Signature, and Rule Familiarization</w:t>
      </w:r>
    </w:p>
    <w:p w:rsidR="008B6A63" w:rsidRPr="00AC08D1" w:rsidP="003B3CDB" w14:paraId="4E5A31AB" w14:textId="77777777">
      <w:pPr>
        <w:spacing w:after="0"/>
        <w:rPr>
          <w:rFonts w:ascii="Calibri" w:hAnsi="Calibri" w:cs="Calibri"/>
          <w:u w:val="single"/>
        </w:rPr>
      </w:pPr>
    </w:p>
    <w:p w:rsidR="007E2E3C" w:rsidP="003B3CDB" w14:paraId="65F324DB" w14:textId="74D749D5">
      <w:pPr>
        <w:spacing w:after="0"/>
        <w:rPr>
          <w:rFonts w:ascii="Calibri" w:hAnsi="Calibri" w:cs="Calibri"/>
        </w:rPr>
      </w:pPr>
      <w:r w:rsidRPr="00962957">
        <w:rPr>
          <w:rFonts w:ascii="Calibri" w:hAnsi="Calibri" w:cs="Calibri"/>
        </w:rPr>
        <w:t xml:space="preserve">As part of EPA’s electronic reporting requirements, submitters of PAIR and subpart B of 40 CFR 766 reports are required to register and submit information electronically with EPA’s CDX system. EPA estimates that companies registering with CDX for the first time would incur a one-time burden to complete CDX registration activities, obtain a CDX electronic signature, and familiarize themselves with electronic reporting requirements. The total burden associated with CDX registration is available at </w:t>
      </w:r>
      <w:hyperlink r:id="rId12" w:history="1">
        <w:r w:rsidRPr="00962957">
          <w:rPr>
            <w:rStyle w:val="Hyperlink"/>
            <w:rFonts w:ascii="Calibri" w:hAnsi="Calibri" w:cs="Calibri"/>
          </w:rPr>
          <w:t>www.cdx.epa.gov</w:t>
        </w:r>
      </w:hyperlink>
      <w:r w:rsidRPr="00962957">
        <w:rPr>
          <w:rFonts w:ascii="Calibri" w:hAnsi="Calibri" w:cs="Calibri"/>
        </w:rPr>
        <w:t>, which is informed by the CROMERR cost benefit analysis (EPA 2021</w:t>
      </w:r>
      <w:bookmarkStart w:id="21" w:name="_Hlk85198416"/>
      <w:r w:rsidRPr="00962957">
        <w:rPr>
          <w:rFonts w:ascii="Calibri" w:hAnsi="Calibri" w:cs="Calibri"/>
        </w:rPr>
        <w:t xml:space="preserve">) </w:t>
      </w:r>
      <w:bookmarkEnd w:id="21"/>
      <w:r w:rsidRPr="00962957">
        <w:rPr>
          <w:rFonts w:ascii="Calibri" w:hAnsi="Calibri" w:cs="Calibri"/>
        </w:rPr>
        <w:t xml:space="preserve">and is estimated to be 3.48 hours per company. This includes 0.91 hours for CDX Registration assuming 1 managerial staff </w:t>
      </w:r>
      <w:r w:rsidR="00A416D0">
        <w:rPr>
          <w:rFonts w:ascii="Calibri" w:hAnsi="Calibri" w:cs="Calibri"/>
        </w:rPr>
        <w:t xml:space="preserve">member </w:t>
      </w:r>
      <w:r w:rsidRPr="00962957">
        <w:rPr>
          <w:rFonts w:ascii="Calibri" w:hAnsi="Calibri" w:cs="Calibri"/>
        </w:rPr>
        <w:t>and 4 technical staff</w:t>
      </w:r>
      <w:r w:rsidR="00A416D0">
        <w:rPr>
          <w:rFonts w:ascii="Calibri" w:hAnsi="Calibri" w:cs="Calibri"/>
        </w:rPr>
        <w:t xml:space="preserve"> members</w:t>
      </w:r>
      <w:r w:rsidRPr="00962957">
        <w:rPr>
          <w:rFonts w:ascii="Calibri" w:hAnsi="Calibri" w:cs="Calibri"/>
        </w:rPr>
        <w:t>, 1.75 hours for completing electronic signature agreements, and 0.82 hours for rule familiarization.</w:t>
      </w:r>
    </w:p>
    <w:p w:rsidR="008B6A63" w:rsidRPr="00962957" w:rsidP="003B3CDB" w14:paraId="56367306" w14:textId="77777777">
      <w:pPr>
        <w:spacing w:after="0"/>
        <w:rPr>
          <w:rFonts w:ascii="Calibri" w:hAnsi="Calibri" w:cs="Calibri"/>
          <w:b/>
          <w:bCs/>
        </w:rPr>
      </w:pPr>
    </w:p>
    <w:p w:rsidR="007E2E3C" w:rsidP="003B3CDB" w14:paraId="3BD9DBB9" w14:textId="4B76EE23">
      <w:pPr>
        <w:spacing w:after="0"/>
        <w:rPr>
          <w:rFonts w:ascii="Calibri" w:hAnsi="Calibri" w:cs="Calibri"/>
        </w:rPr>
      </w:pPr>
      <w:r w:rsidRPr="00962957">
        <w:rPr>
          <w:rFonts w:ascii="Calibri" w:hAnsi="Calibri" w:cs="Calibri"/>
        </w:rPr>
        <w:t>For the purposes of this analysis EPA assumes that the one site submitting PAIR or subpart B of 40 CFR 766 data will register with CDX, for a total per-site burden of 3.48 hours</w:t>
      </w:r>
      <w:r w:rsidRPr="07BE98CC" w:rsidR="398809F7">
        <w:rPr>
          <w:rFonts w:ascii="Calibri" w:hAnsi="Calibri" w:cs="Calibri"/>
        </w:rPr>
        <w:t xml:space="preserve"> (</w:t>
      </w:r>
      <w:r w:rsidRPr="07BE98CC">
        <w:rPr>
          <w:rFonts w:ascii="Calibri" w:hAnsi="Calibri" w:cs="Calibri"/>
        </w:rPr>
        <w:t xml:space="preserve">Table </w:t>
      </w:r>
      <w:r w:rsidR="003B0C5C">
        <w:rPr>
          <w:rFonts w:ascii="Calibri" w:hAnsi="Calibri" w:cs="Calibri"/>
        </w:rPr>
        <w:t>3</w:t>
      </w:r>
      <w:r w:rsidRPr="07BE98CC">
        <w:rPr>
          <w:rFonts w:ascii="Calibri" w:hAnsi="Calibri" w:cs="Calibri"/>
        </w:rPr>
        <w:fldChar w:fldCharType="begin"/>
      </w:r>
      <w:r w:rsidRPr="07BE98CC">
        <w:rPr>
          <w:rFonts w:ascii="Calibri" w:hAnsi="Calibri" w:cs="Calibri"/>
        </w:rPr>
        <w:instrText xml:space="preserve"> REF _Ref416443759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7BE98CC">
        <w:rPr>
          <w:rFonts w:ascii="Calibri" w:hAnsi="Calibri" w:cs="Calibri"/>
        </w:rPr>
        <w:fldChar w:fldCharType="end"/>
      </w:r>
      <w:r w:rsidR="00007041">
        <w:rPr>
          <w:rFonts w:ascii="Calibri" w:hAnsi="Calibri" w:cs="Calibri"/>
        </w:rPr>
        <w:t>).</w:t>
      </w:r>
    </w:p>
    <w:p w:rsidR="008B6A63" w:rsidRPr="00962957" w:rsidP="003B3CDB" w14:paraId="2BA38BF0" w14:textId="77777777">
      <w:pPr>
        <w:spacing w:after="0"/>
        <w:rPr>
          <w:rFonts w:ascii="Calibri" w:hAnsi="Calibri" w:cs="Calibri"/>
        </w:rPr>
      </w:pPr>
    </w:p>
    <w:p w:rsidR="007E2E3C" w:rsidP="003B3CDB" w14:paraId="2FCF0CD8" w14:textId="77777777">
      <w:pPr>
        <w:spacing w:after="0"/>
        <w:rPr>
          <w:rFonts w:ascii="Calibri" w:hAnsi="Calibri" w:cs="Calibri"/>
          <w:u w:val="single"/>
        </w:rPr>
      </w:pPr>
      <w:r w:rsidRPr="00375600">
        <w:rPr>
          <w:rFonts w:ascii="Calibri" w:hAnsi="Calibri" w:cs="Calibri"/>
          <w:u w:val="single"/>
        </w:rPr>
        <w:t>Report Submission</w:t>
      </w:r>
    </w:p>
    <w:p w:rsidR="008B6A63" w:rsidRPr="00375600" w:rsidP="003B3CDB" w14:paraId="6C75F7A7" w14:textId="77777777">
      <w:pPr>
        <w:spacing w:after="0"/>
        <w:rPr>
          <w:rFonts w:ascii="Calibri" w:hAnsi="Calibri" w:cs="Calibri"/>
          <w:u w:val="single"/>
        </w:rPr>
      </w:pPr>
    </w:p>
    <w:p w:rsidR="007E2E3C" w:rsidP="003B3CDB" w14:paraId="352C7CA2" w14:textId="480269B1">
      <w:pPr>
        <w:spacing w:after="0"/>
        <w:rPr>
          <w:rFonts w:ascii="Calibri" w:hAnsi="Calibri" w:cs="Calibri"/>
        </w:rPr>
      </w:pPr>
      <w:r w:rsidRPr="00962957">
        <w:rPr>
          <w:rFonts w:ascii="Calibri" w:hAnsi="Calibri" w:cs="Calibri"/>
        </w:rPr>
        <w:t>Report submission consists of the preparation, review</w:t>
      </w:r>
      <w:r w:rsidRPr="07BE98CC" w:rsidR="51F1D3E2">
        <w:rPr>
          <w:rFonts w:ascii="Calibri" w:hAnsi="Calibri" w:cs="Calibri"/>
        </w:rPr>
        <w:t>,</w:t>
      </w:r>
      <w:r w:rsidRPr="00962957">
        <w:rPr>
          <w:rFonts w:ascii="Calibri" w:hAnsi="Calibri" w:cs="Calibri"/>
        </w:rPr>
        <w:t xml:space="preserve"> and electronic submission of a report in accordance with 40 CFR Part 712, Subpart B, as amended by 78 FR 72818 (December 4, 2013), which required electronic submission.</w:t>
      </w:r>
    </w:p>
    <w:p w:rsidR="008B6A63" w:rsidRPr="00962957" w:rsidP="003B3CDB" w14:paraId="23D4113E" w14:textId="77777777">
      <w:pPr>
        <w:spacing w:after="0"/>
        <w:rPr>
          <w:rFonts w:ascii="Calibri" w:hAnsi="Calibri" w:cs="Calibri"/>
        </w:rPr>
      </w:pPr>
    </w:p>
    <w:p w:rsidR="007E2E3C" w:rsidP="003B3CDB" w14:paraId="06B6153E" w14:textId="2B3F4D79">
      <w:pPr>
        <w:spacing w:after="0"/>
        <w:rPr>
          <w:rFonts w:ascii="Calibri" w:hAnsi="Calibri" w:cs="Calibri"/>
        </w:rPr>
      </w:pPr>
      <w:r w:rsidRPr="07BE98CC">
        <w:rPr>
          <w:rFonts w:ascii="Calibri" w:hAnsi="Calibri" w:cs="Calibri"/>
        </w:rPr>
        <w:t>EPA estimates that the per-report submission will require 0.05 hours of clerical time and 0.5 hours of managerial time</w:t>
      </w:r>
      <w:r w:rsidR="00330623">
        <w:rPr>
          <w:rFonts w:ascii="Calibri" w:hAnsi="Calibri" w:cs="Calibri"/>
        </w:rPr>
        <w:t>,</w:t>
      </w:r>
      <w:r w:rsidRPr="07BE98CC">
        <w:rPr>
          <w:rFonts w:ascii="Calibri" w:hAnsi="Calibri" w:cs="Calibri"/>
        </w:rPr>
        <w:t xml:space="preserve"> for a total of 0.55 hours. The clerical burden is taken from the </w:t>
      </w:r>
      <w:r w:rsidRPr="07BE98CC">
        <w:rPr>
          <w:rFonts w:ascii="Calibri" w:hAnsi="Calibri" w:cs="Calibri"/>
          <w:i/>
        </w:rPr>
        <w:t xml:space="preserve">Economic Analysis for the Electronic Reporting under the Toxic Substances Control Act (TSCA) Final Rule </w:t>
      </w:r>
      <w:r w:rsidRPr="07BE98CC">
        <w:rPr>
          <w:rFonts w:ascii="Calibri" w:hAnsi="Calibri" w:cs="Calibri"/>
        </w:rPr>
        <w:t>(EPA, 2012) and includes time to prepare and submit a report electronically. The managerial time assumes an involvement in the preparation of the transmittal letter and review of the report package before it is submitted to EPA. Because EPA expects one report from one site in the next ICR cycle, both the per-report and per-site burden</w:t>
      </w:r>
      <w:r w:rsidR="009B58A1">
        <w:rPr>
          <w:rFonts w:ascii="Calibri" w:hAnsi="Calibri" w:cs="Calibri"/>
        </w:rPr>
        <w:t>s</w:t>
      </w:r>
      <w:r w:rsidRPr="07BE98CC">
        <w:rPr>
          <w:rFonts w:ascii="Calibri" w:hAnsi="Calibri" w:cs="Calibri"/>
        </w:rPr>
        <w:t xml:space="preserve"> </w:t>
      </w:r>
      <w:r w:rsidR="009B58A1">
        <w:rPr>
          <w:rFonts w:ascii="Calibri" w:hAnsi="Calibri" w:cs="Calibri"/>
        </w:rPr>
        <w:t>are</w:t>
      </w:r>
      <w:r w:rsidRPr="07BE98CC" w:rsidR="2DBA4A46">
        <w:rPr>
          <w:rFonts w:ascii="Calibri" w:hAnsi="Calibri" w:cs="Calibri"/>
        </w:rPr>
        <w:t xml:space="preserve"> </w:t>
      </w:r>
      <w:r w:rsidRPr="07BE98CC">
        <w:rPr>
          <w:rFonts w:ascii="Calibri" w:hAnsi="Calibri" w:cs="Calibri"/>
        </w:rPr>
        <w:t xml:space="preserve">0.55 hours </w:t>
      </w:r>
      <w:r w:rsidR="00233E9E">
        <w:rPr>
          <w:rFonts w:ascii="Calibri" w:hAnsi="Calibri" w:cs="Calibri"/>
        </w:rPr>
        <w:t>(</w:t>
      </w:r>
      <w:r w:rsidRPr="07BE98CC">
        <w:rPr>
          <w:rFonts w:ascii="Calibri" w:hAnsi="Calibri" w:cs="Calibri"/>
        </w:rPr>
        <w:t xml:space="preserve">Table </w:t>
      </w:r>
      <w:r w:rsidR="003B0C5C">
        <w:rPr>
          <w:rFonts w:ascii="Calibri" w:hAnsi="Calibri" w:cs="Calibri"/>
        </w:rPr>
        <w:t>3</w:t>
      </w:r>
      <w:r w:rsidRPr="07BE98CC">
        <w:rPr>
          <w:rFonts w:ascii="Calibri" w:hAnsi="Calibri" w:cs="Calibri"/>
        </w:rPr>
        <w:fldChar w:fldCharType="begin"/>
      </w:r>
      <w:r w:rsidRPr="07BE98CC">
        <w:rPr>
          <w:rFonts w:ascii="Calibri" w:hAnsi="Calibri" w:cs="Calibri"/>
        </w:rPr>
        <w:instrText xml:space="preserve"> REF _Ref416443759 \h </w:instrText>
      </w:r>
      <w:r w:rsidRPr="07BE98CC" w:rsidR="00962957">
        <w:rPr>
          <w:rFonts w:ascii="Calibri" w:hAnsi="Calibri" w:cs="Calibri"/>
        </w:rPr>
        <w:instrText xml:space="preserve"> \* MERGEFORMAT </w:instrText>
      </w:r>
      <w:r w:rsidRPr="07BE98CC">
        <w:rPr>
          <w:rFonts w:ascii="Calibri" w:hAnsi="Calibri" w:cs="Calibri"/>
        </w:rPr>
        <w:fldChar w:fldCharType="separate"/>
      </w:r>
      <w:r w:rsidRPr="07BE98CC">
        <w:rPr>
          <w:rFonts w:ascii="Calibri" w:hAnsi="Calibri" w:cs="Calibri"/>
        </w:rPr>
        <w:fldChar w:fldCharType="end"/>
      </w:r>
      <w:r w:rsidRPr="07BE98CC" w:rsidR="4CF50226">
        <w:rPr>
          <w:rFonts w:ascii="Calibri" w:hAnsi="Calibri" w:cs="Calibri"/>
        </w:rPr>
        <w:t>)</w:t>
      </w:r>
      <w:r w:rsidRPr="07BE98CC">
        <w:rPr>
          <w:rFonts w:ascii="Calibri" w:hAnsi="Calibri" w:cs="Calibri"/>
        </w:rPr>
        <w:t>.</w:t>
      </w:r>
    </w:p>
    <w:p w:rsidR="008B6A63" w:rsidRPr="00962957" w:rsidP="003B3CDB" w14:paraId="1B5E5C0A" w14:textId="77777777">
      <w:pPr>
        <w:spacing w:after="0"/>
        <w:rPr>
          <w:rFonts w:ascii="Calibri" w:hAnsi="Calibri" w:cs="Calibri"/>
        </w:rPr>
      </w:pPr>
    </w:p>
    <w:p w:rsidR="008B6A63" w:rsidRPr="00375600" w:rsidP="003B3CDB" w14:paraId="42A21924" w14:textId="77777777">
      <w:pPr>
        <w:spacing w:after="0"/>
        <w:rPr>
          <w:rFonts w:ascii="Calibri" w:hAnsi="Calibri" w:cs="Calibri"/>
          <w:u w:val="single"/>
        </w:rPr>
      </w:pPr>
      <w:r w:rsidRPr="00375600">
        <w:rPr>
          <w:rFonts w:ascii="Calibri" w:hAnsi="Calibri" w:cs="Calibri"/>
          <w:u w:val="single"/>
        </w:rPr>
        <w:t>Total Industry Burden Estimates</w:t>
      </w:r>
    </w:p>
    <w:p w:rsidR="007E2E3C" w:rsidRPr="00962957" w:rsidP="003B3CDB" w14:paraId="12D3D912" w14:textId="4A00DB4F">
      <w:pPr>
        <w:spacing w:after="0"/>
        <w:rPr>
          <w:rFonts w:ascii="Calibri" w:hAnsi="Calibri" w:cs="Calibri"/>
        </w:rPr>
      </w:pPr>
      <w:r w:rsidRPr="00962957">
        <w:rPr>
          <w:rFonts w:ascii="Calibri" w:hAnsi="Calibri" w:cs="Calibri"/>
        </w:rPr>
        <w:t xml:space="preserve">Table </w:t>
      </w:r>
      <w:r w:rsidR="003B0C5C">
        <w:rPr>
          <w:rFonts w:ascii="Calibri" w:hAnsi="Calibri" w:cs="Calibri"/>
        </w:rPr>
        <w:t>3</w:t>
      </w:r>
      <w:r w:rsidRPr="00962957" w:rsidR="003B0C5C">
        <w:rPr>
          <w:rFonts w:ascii="Calibri" w:hAnsi="Calibri" w:cs="Calibri"/>
        </w:rPr>
        <w:fldChar w:fldCharType="begin"/>
      </w:r>
      <w:r w:rsidRPr="00962957" w:rsidR="003B0C5C">
        <w:rPr>
          <w:rFonts w:ascii="Calibri" w:hAnsi="Calibri" w:cs="Calibri"/>
        </w:rPr>
        <w:instrText xml:space="preserve"> REF _Ref416443759 \h  \* MERGEFORMAT </w:instrText>
      </w:r>
      <w:r w:rsidRPr="00962957" w:rsidR="003B0C5C">
        <w:rPr>
          <w:rFonts w:ascii="Calibri" w:hAnsi="Calibri" w:cs="Calibri"/>
        </w:rPr>
        <w:fldChar w:fldCharType="separate"/>
      </w:r>
      <w:r w:rsidRPr="00962957" w:rsidR="003B0C5C">
        <w:rPr>
          <w:rFonts w:ascii="Calibri" w:hAnsi="Calibri" w:cs="Calibri"/>
        </w:rPr>
        <w:fldChar w:fldCharType="end"/>
      </w:r>
      <w:r w:rsidRPr="00962957" w:rsidR="003B0C5C">
        <w:rPr>
          <w:rFonts w:ascii="Calibri" w:hAnsi="Calibri" w:cs="Calibri"/>
        </w:rPr>
        <w:t xml:space="preserve"> </w:t>
      </w:r>
      <w:r w:rsidRPr="00962957">
        <w:rPr>
          <w:rFonts w:ascii="Calibri" w:hAnsi="Calibri" w:cs="Calibri"/>
        </w:rPr>
        <w:t>presents the summary of the annual burden hour estimates for respondents.</w:t>
      </w:r>
    </w:p>
    <w:p w:rsidR="007E2E3C" w:rsidRPr="00962957" w:rsidP="00007041" w14:paraId="643B5397" w14:textId="65E5B1D1">
      <w:pPr>
        <w:spacing w:after="0"/>
        <w:rPr>
          <w:rFonts w:ascii="Calibri" w:hAnsi="Calibri" w:cs="Calibri"/>
          <w:b/>
          <w:bCs/>
          <w:u w:val="single"/>
        </w:rPr>
      </w:pPr>
      <w:r w:rsidRPr="5F135418">
        <w:rPr>
          <w:rFonts w:ascii="Calibri" w:hAnsi="Calibri" w:cs="Calibri"/>
        </w:rPr>
        <w:br w:type="page"/>
      </w:r>
      <w:r w:rsidRPr="5F135418">
        <w:rPr>
          <w:rFonts w:ascii="Calibri" w:hAnsi="Calibri" w:cs="Calibri"/>
          <w:b/>
          <w:bCs/>
        </w:rPr>
        <w:t>Table</w:t>
      </w:r>
      <w:bookmarkStart w:id="22" w:name="_Ref95745701"/>
      <w:r w:rsidRPr="5F135418">
        <w:rPr>
          <w:rFonts w:ascii="Calibri" w:hAnsi="Calibri" w:cs="Calibri"/>
          <w:b/>
          <w:bCs/>
        </w:rPr>
        <w:t xml:space="preserve"> </w:t>
      </w:r>
      <w:bookmarkEnd w:id="22"/>
      <w:r w:rsidRPr="5F135418" w:rsidR="003B0C5C">
        <w:rPr>
          <w:rFonts w:ascii="Calibri" w:hAnsi="Calibri" w:cs="Calibri"/>
          <w:b/>
          <w:bCs/>
        </w:rPr>
        <w:t>3</w:t>
      </w:r>
      <w:r w:rsidRPr="5F135418">
        <w:rPr>
          <w:rFonts w:ascii="Calibri" w:hAnsi="Calibri" w:cs="Calibri"/>
          <w:b/>
          <w:bCs/>
        </w:rPr>
        <w:t xml:space="preserve">. Estimated Annual Burden Hours (assuming 1 report per site and a total of 1 report per year) for </w:t>
      </w:r>
      <w:r w:rsidRPr="5F135418" w:rsidR="31F72B8E">
        <w:rPr>
          <w:rFonts w:ascii="Calibri" w:hAnsi="Calibri" w:cs="Calibri"/>
          <w:b/>
          <w:bCs/>
        </w:rPr>
        <w:t xml:space="preserve">TSCA </w:t>
      </w:r>
      <w:r w:rsidRPr="5F135418">
        <w:rPr>
          <w:rFonts w:ascii="Calibri" w:hAnsi="Calibri" w:cs="Calibri"/>
          <w:b/>
          <w:bCs/>
        </w:rPr>
        <w:t>Section 8(a) PAIR</w:t>
      </w:r>
    </w:p>
    <w:tbl>
      <w:tblPr>
        <w:tblW w:w="9696" w:type="dxa"/>
        <w:tblInd w:w="20" w:type="dxa"/>
        <w:tblLook w:val="04A0"/>
      </w:tblPr>
      <w:tblGrid>
        <w:gridCol w:w="1785"/>
        <w:gridCol w:w="1215"/>
        <w:gridCol w:w="1098"/>
        <w:gridCol w:w="1067"/>
        <w:gridCol w:w="830"/>
        <w:gridCol w:w="1023"/>
        <w:gridCol w:w="878"/>
        <w:gridCol w:w="937"/>
        <w:gridCol w:w="863"/>
      </w:tblGrid>
      <w:tr w14:paraId="521D557E" w14:textId="77777777" w:rsidTr="008B6A63">
        <w:tblPrEx>
          <w:tblW w:w="9696" w:type="dxa"/>
          <w:tblInd w:w="20" w:type="dxa"/>
          <w:tblLook w:val="04A0"/>
        </w:tblPrEx>
        <w:trPr>
          <w:trHeight w:val="1158"/>
        </w:trPr>
        <w:tc>
          <w:tcPr>
            <w:tcW w:w="1785"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E2E3C" w:rsidRPr="00962957" w14:paraId="5302AFB5"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Burden Item</w:t>
            </w:r>
          </w:p>
        </w:tc>
        <w:tc>
          <w:tcPr>
            <w:tcW w:w="1215"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291B8327"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Managerial</w:t>
            </w:r>
          </w:p>
        </w:tc>
        <w:tc>
          <w:tcPr>
            <w:tcW w:w="1098"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1F834530"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Technical</w:t>
            </w:r>
          </w:p>
        </w:tc>
        <w:tc>
          <w:tcPr>
            <w:tcW w:w="1067"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0A0209FF"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Clerical</w:t>
            </w:r>
          </w:p>
        </w:tc>
        <w:tc>
          <w:tcPr>
            <w:tcW w:w="830"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0B464106"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Hours Per Report</w:t>
            </w:r>
          </w:p>
        </w:tc>
        <w:tc>
          <w:tcPr>
            <w:tcW w:w="1023"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21393E4D"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Number of Reports per Site</w:t>
            </w:r>
          </w:p>
        </w:tc>
        <w:tc>
          <w:tcPr>
            <w:tcW w:w="878"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2C17CF83"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Hours Per Site</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2880AFA1"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Number of Sites</w:t>
            </w:r>
          </w:p>
        </w:tc>
        <w:tc>
          <w:tcPr>
            <w:tcW w:w="863"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E2E3C" w:rsidRPr="00962957" w14:paraId="6BDE8190"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Annual Hours</w:t>
            </w:r>
          </w:p>
        </w:tc>
      </w:tr>
      <w:tr w14:paraId="1EAEEA28"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4A659711"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Form Familiarization</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36614E47"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3.00</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4E04D13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4.00</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29DBC3A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6EEE149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7.00</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3E97E747"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64905825"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7.00</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10927CF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5ED14E1F"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7.00</w:t>
            </w:r>
          </w:p>
        </w:tc>
      </w:tr>
      <w:tr w14:paraId="0ED2595F"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3759D3C7"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Report Preparation</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0C1E4B9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5.50</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0145BE17"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9.25</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6B9A259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13A1C6C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14.75</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4053EECD"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6EFD09E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14.75</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7C711404"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1919D378"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14.75</w:t>
            </w:r>
          </w:p>
        </w:tc>
      </w:tr>
      <w:tr w14:paraId="5B60A93A"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36BB3C85"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 xml:space="preserve">Trade Name Notification </w:t>
            </w:r>
            <w:r w:rsidRPr="00962957">
              <w:rPr>
                <w:rFonts w:ascii="Calibri" w:eastAsia="Times New Roman" w:hAnsi="Calibri" w:cs="Calibri"/>
                <w:color w:val="000000"/>
                <w:sz w:val="20"/>
                <w:szCs w:val="20"/>
                <w:vertAlign w:val="superscript"/>
              </w:rPr>
              <w:t>1</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480D9E3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2.20</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4D7AC2DF"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7992D5A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111A5B8E"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2.20</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3B3716F3"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4B78433D"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2.20</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5FB868A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4092D0C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2.20</w:t>
            </w:r>
          </w:p>
        </w:tc>
      </w:tr>
      <w:tr w14:paraId="266D5399"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2648F9BA"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 xml:space="preserve">CBI Substantiation </w:t>
            </w:r>
            <w:r w:rsidRPr="00962957">
              <w:rPr>
                <w:rFonts w:ascii="Calibri" w:eastAsia="Times New Roman" w:hAnsi="Calibri" w:cs="Calibri"/>
                <w:color w:val="000000"/>
                <w:sz w:val="20"/>
                <w:szCs w:val="20"/>
                <w:vertAlign w:val="superscript"/>
              </w:rPr>
              <w:t>2</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58A11E6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0.95</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38171F7E"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3.06</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6A1FFDB6"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6855204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4.01</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24C36875"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778B1A3B"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4.01</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2E7A3F7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22E0D58D"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4.01</w:t>
            </w:r>
          </w:p>
        </w:tc>
      </w:tr>
      <w:tr w14:paraId="39B6F3B5"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4B2CD219"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Recordkeeping</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1184E7CB"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32BD210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0.50</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1CA7D71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6DF26763"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1.00</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0775345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36665669"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1.00</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0F0DBB56"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1CD886C5"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1.00</w:t>
            </w:r>
          </w:p>
        </w:tc>
      </w:tr>
      <w:tr w14:paraId="00ABAB48"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3AB02CD0"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 xml:space="preserve">CDX Registration </w:t>
            </w:r>
            <w:r w:rsidRPr="00962957">
              <w:rPr>
                <w:rFonts w:ascii="Calibri" w:eastAsia="Times New Roman" w:hAnsi="Calibri" w:cs="Calibri"/>
                <w:color w:val="000000"/>
                <w:sz w:val="20"/>
                <w:szCs w:val="20"/>
                <w:vertAlign w:val="superscript"/>
              </w:rPr>
              <w:t>3</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13B3FB09"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0.18</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7AB24914"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0.73</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24AA890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3D58196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77D2626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5D16AE5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0.91</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4A2A0E4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4A718943"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0.91</w:t>
            </w:r>
          </w:p>
        </w:tc>
      </w:tr>
      <w:tr w14:paraId="0FEE851D"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54D697C3"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 xml:space="preserve">CDX Electronic Signature </w:t>
            </w:r>
            <w:r w:rsidRPr="00962957">
              <w:rPr>
                <w:rFonts w:ascii="Calibri" w:eastAsia="Times New Roman" w:hAnsi="Calibri" w:cs="Calibri"/>
                <w:color w:val="000000"/>
                <w:sz w:val="20"/>
                <w:szCs w:val="20"/>
                <w:vertAlign w:val="superscript"/>
              </w:rPr>
              <w:t>3</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4788ECEE"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0.75</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6AF64AA3"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1.00</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059A49CD"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0B0DF73F"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31D2E116"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0211E17D"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1.75</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0304196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4F4E7515"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1.75</w:t>
            </w:r>
          </w:p>
        </w:tc>
      </w:tr>
      <w:tr w14:paraId="55EB0688"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4C75573E"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 xml:space="preserve">Rule Familiarization </w:t>
            </w:r>
            <w:r w:rsidRPr="00962957">
              <w:rPr>
                <w:rFonts w:ascii="Calibri" w:eastAsia="Times New Roman" w:hAnsi="Calibri" w:cs="Calibri"/>
                <w:color w:val="000000"/>
                <w:sz w:val="20"/>
                <w:szCs w:val="20"/>
                <w:vertAlign w:val="superscript"/>
              </w:rPr>
              <w:t>3</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4CA0B7B8"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0.55</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4CB4F1A6"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0.27</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54A7450B"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3010ABB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0A9924FD"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302CC1A6"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0.82</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400DB893"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696EACE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0.82</w:t>
            </w:r>
          </w:p>
        </w:tc>
      </w:tr>
      <w:tr w14:paraId="2EF4A9F7" w14:textId="77777777" w:rsidTr="008B6A63">
        <w:tblPrEx>
          <w:tblW w:w="9696" w:type="dxa"/>
          <w:tblInd w:w="20" w:type="dxa"/>
          <w:tblLook w:val="04A0"/>
        </w:tblPrEx>
        <w:trPr>
          <w:trHeight w:val="757"/>
        </w:trPr>
        <w:tc>
          <w:tcPr>
            <w:tcW w:w="1785" w:type="dxa"/>
            <w:tcBorders>
              <w:top w:val="nil"/>
              <w:left w:val="single" w:sz="8" w:space="0" w:color="auto"/>
              <w:bottom w:val="single" w:sz="8" w:space="0" w:color="auto"/>
              <w:right w:val="single" w:sz="8" w:space="0" w:color="auto"/>
            </w:tcBorders>
            <w:shd w:val="clear" w:color="auto" w:fill="auto"/>
            <w:vAlign w:val="center"/>
            <w:hideMark/>
          </w:tcPr>
          <w:p w:rsidR="007E2E3C" w:rsidRPr="00962957" w14:paraId="34668498"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Report Submission</w:t>
            </w:r>
          </w:p>
        </w:tc>
        <w:tc>
          <w:tcPr>
            <w:tcW w:w="1215" w:type="dxa"/>
            <w:tcBorders>
              <w:top w:val="nil"/>
              <w:left w:val="nil"/>
              <w:bottom w:val="single" w:sz="8" w:space="0" w:color="auto"/>
              <w:right w:val="single" w:sz="8" w:space="0" w:color="auto"/>
            </w:tcBorders>
            <w:shd w:val="clear" w:color="auto" w:fill="auto"/>
            <w:vAlign w:val="center"/>
            <w:hideMark/>
          </w:tcPr>
          <w:p w:rsidR="007E2E3C" w:rsidRPr="00962957" w14:paraId="5BF9985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0.50</w:t>
            </w:r>
          </w:p>
        </w:tc>
        <w:tc>
          <w:tcPr>
            <w:tcW w:w="1098" w:type="dxa"/>
            <w:tcBorders>
              <w:top w:val="nil"/>
              <w:left w:val="nil"/>
              <w:bottom w:val="single" w:sz="8" w:space="0" w:color="auto"/>
              <w:right w:val="single" w:sz="8" w:space="0" w:color="auto"/>
            </w:tcBorders>
            <w:shd w:val="clear" w:color="auto" w:fill="auto"/>
            <w:vAlign w:val="center"/>
            <w:hideMark/>
          </w:tcPr>
          <w:p w:rsidR="007E2E3C" w:rsidRPr="00962957" w14:paraId="1156AC6F"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1067" w:type="dxa"/>
            <w:tcBorders>
              <w:top w:val="nil"/>
              <w:left w:val="nil"/>
              <w:bottom w:val="single" w:sz="8" w:space="0" w:color="auto"/>
              <w:right w:val="single" w:sz="8" w:space="0" w:color="auto"/>
            </w:tcBorders>
            <w:shd w:val="clear" w:color="auto" w:fill="auto"/>
            <w:vAlign w:val="center"/>
            <w:hideMark/>
          </w:tcPr>
          <w:p w:rsidR="007E2E3C" w:rsidRPr="00962957" w14:paraId="4521DBD7"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0.05</w:t>
            </w:r>
          </w:p>
        </w:tc>
        <w:tc>
          <w:tcPr>
            <w:tcW w:w="830" w:type="dxa"/>
            <w:tcBorders>
              <w:top w:val="nil"/>
              <w:left w:val="nil"/>
              <w:bottom w:val="single" w:sz="8" w:space="0" w:color="auto"/>
              <w:right w:val="single" w:sz="8" w:space="0" w:color="auto"/>
            </w:tcBorders>
            <w:shd w:val="clear" w:color="auto" w:fill="auto"/>
            <w:vAlign w:val="center"/>
            <w:hideMark/>
          </w:tcPr>
          <w:p w:rsidR="007E2E3C" w:rsidRPr="00962957" w14:paraId="3EFBA5D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0.55</w:t>
            </w:r>
          </w:p>
        </w:tc>
        <w:tc>
          <w:tcPr>
            <w:tcW w:w="1023" w:type="dxa"/>
            <w:tcBorders>
              <w:top w:val="nil"/>
              <w:left w:val="nil"/>
              <w:bottom w:val="single" w:sz="8" w:space="0" w:color="auto"/>
              <w:right w:val="single" w:sz="8" w:space="0" w:color="auto"/>
            </w:tcBorders>
            <w:shd w:val="clear" w:color="auto" w:fill="auto"/>
            <w:vAlign w:val="center"/>
            <w:hideMark/>
          </w:tcPr>
          <w:p w:rsidR="007E2E3C" w:rsidRPr="00962957" w14:paraId="57150D2E"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78" w:type="dxa"/>
            <w:tcBorders>
              <w:top w:val="nil"/>
              <w:left w:val="nil"/>
              <w:bottom w:val="single" w:sz="8" w:space="0" w:color="auto"/>
              <w:right w:val="single" w:sz="8" w:space="0" w:color="auto"/>
            </w:tcBorders>
            <w:shd w:val="clear" w:color="auto" w:fill="auto"/>
            <w:vAlign w:val="center"/>
            <w:hideMark/>
          </w:tcPr>
          <w:p w:rsidR="007E2E3C" w:rsidRPr="00962957" w14:paraId="5DA777C6"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0.55</w:t>
            </w:r>
          </w:p>
        </w:tc>
        <w:tc>
          <w:tcPr>
            <w:tcW w:w="937" w:type="dxa"/>
            <w:tcBorders>
              <w:top w:val="nil"/>
              <w:left w:val="nil"/>
              <w:bottom w:val="single" w:sz="8" w:space="0" w:color="auto"/>
              <w:right w:val="single" w:sz="8" w:space="0" w:color="auto"/>
            </w:tcBorders>
            <w:shd w:val="clear" w:color="auto" w:fill="auto"/>
            <w:vAlign w:val="center"/>
            <w:hideMark/>
          </w:tcPr>
          <w:p w:rsidR="007E2E3C" w:rsidRPr="00962957" w14:paraId="7CAACD8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63" w:type="dxa"/>
            <w:tcBorders>
              <w:top w:val="nil"/>
              <w:left w:val="nil"/>
              <w:bottom w:val="single" w:sz="8" w:space="0" w:color="auto"/>
              <w:right w:val="single" w:sz="8" w:space="0" w:color="auto"/>
            </w:tcBorders>
            <w:shd w:val="clear" w:color="auto" w:fill="auto"/>
            <w:vAlign w:val="center"/>
            <w:hideMark/>
          </w:tcPr>
          <w:p w:rsidR="007E2E3C" w:rsidRPr="00962957" w14:paraId="3F9AC14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0.55</w:t>
            </w:r>
          </w:p>
        </w:tc>
      </w:tr>
      <w:tr w14:paraId="508791D6" w14:textId="77777777" w:rsidTr="008B6A63">
        <w:tblPrEx>
          <w:tblW w:w="9696" w:type="dxa"/>
          <w:tblInd w:w="20" w:type="dxa"/>
          <w:tblLook w:val="04A0"/>
        </w:tblPrEx>
        <w:trPr>
          <w:trHeight w:val="757"/>
        </w:trPr>
        <w:tc>
          <w:tcPr>
            <w:tcW w:w="178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E2E3C" w:rsidRPr="00962957" w14:paraId="7B2929EA" w14:textId="77777777">
            <w:pPr>
              <w:spacing w:after="0" w:line="240" w:lineRule="auto"/>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Totals</w:t>
            </w:r>
          </w:p>
        </w:tc>
        <w:tc>
          <w:tcPr>
            <w:tcW w:w="1215"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7539F742"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13.63</w:t>
            </w:r>
          </w:p>
        </w:tc>
        <w:tc>
          <w:tcPr>
            <w:tcW w:w="1098"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4BCF858E"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18.81</w:t>
            </w:r>
          </w:p>
        </w:tc>
        <w:tc>
          <w:tcPr>
            <w:tcW w:w="1067"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734365AF"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0.55</w:t>
            </w:r>
          </w:p>
        </w:tc>
        <w:tc>
          <w:tcPr>
            <w:tcW w:w="830"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7BA0E740"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29.51</w:t>
            </w:r>
          </w:p>
        </w:tc>
        <w:tc>
          <w:tcPr>
            <w:tcW w:w="1023"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66D48C0B"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N/A</w:t>
            </w:r>
          </w:p>
        </w:tc>
        <w:tc>
          <w:tcPr>
            <w:tcW w:w="878"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030D5D56"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32.99</w:t>
            </w:r>
          </w:p>
        </w:tc>
        <w:tc>
          <w:tcPr>
            <w:tcW w:w="937"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32C26FD4"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N/A</w:t>
            </w:r>
          </w:p>
        </w:tc>
        <w:tc>
          <w:tcPr>
            <w:tcW w:w="863" w:type="dxa"/>
            <w:tcBorders>
              <w:top w:val="single" w:sz="8" w:space="0" w:color="auto"/>
              <w:left w:val="nil"/>
              <w:bottom w:val="single" w:sz="4" w:space="0" w:color="auto"/>
              <w:right w:val="single" w:sz="8" w:space="0" w:color="auto"/>
            </w:tcBorders>
            <w:shd w:val="clear" w:color="auto" w:fill="auto"/>
            <w:vAlign w:val="center"/>
            <w:hideMark/>
          </w:tcPr>
          <w:p w:rsidR="007E2E3C" w:rsidRPr="00962957" w14:paraId="6848EBB6" w14:textId="4A56B78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w:t>
            </w:r>
            <w:r w:rsidR="00007041">
              <w:rPr>
                <w:rFonts w:ascii="Calibri" w:eastAsia="Times New Roman" w:hAnsi="Calibri" w:cs="Calibri"/>
                <w:b/>
                <w:bCs/>
                <w:color w:val="000000"/>
                <w:sz w:val="20"/>
                <w:szCs w:val="20"/>
              </w:rPr>
              <w:t>2.99</w:t>
            </w:r>
          </w:p>
        </w:tc>
      </w:tr>
    </w:tbl>
    <w:p w:rsidR="008B6A63" w:rsidP="008B6A63" w14:paraId="737AF217" w14:textId="2C0C35C1">
      <w:pPr>
        <w:spacing w:after="0"/>
        <w:rPr>
          <w:rFonts w:ascii="Calibri" w:eastAsia="Times New Roman" w:hAnsi="Calibri" w:cs="Calibri"/>
          <w:color w:val="000000" w:themeColor="text1"/>
          <w:sz w:val="16"/>
          <w:szCs w:val="16"/>
        </w:rPr>
      </w:pPr>
      <w:r w:rsidRPr="45B313F0">
        <w:rPr>
          <w:rFonts w:ascii="Calibri" w:eastAsia="Times New Roman" w:hAnsi="Calibri" w:cs="Calibri"/>
          <w:color w:val="000000" w:themeColor="text1"/>
          <w:sz w:val="16"/>
          <w:szCs w:val="16"/>
          <w:vertAlign w:val="superscript"/>
        </w:rPr>
        <w:t>1</w:t>
      </w:r>
      <w:r w:rsidRPr="45B313F0">
        <w:rPr>
          <w:rFonts w:ascii="Calibri" w:eastAsia="Times New Roman" w:hAnsi="Calibri" w:cs="Calibri"/>
          <w:color w:val="000000" w:themeColor="text1"/>
          <w:sz w:val="16"/>
          <w:szCs w:val="16"/>
        </w:rPr>
        <w:t xml:space="preserve"> Clerical burden is removed to adjust for electronic submission.</w:t>
      </w:r>
      <w:r>
        <w:rPr>
          <w:rFonts w:ascii="Calibri" w:eastAsia="Times New Roman" w:hAnsi="Calibri" w:cs="Calibri"/>
          <w:color w:val="000000" w:themeColor="text1"/>
          <w:sz w:val="16"/>
          <w:szCs w:val="16"/>
        </w:rPr>
        <w:t xml:space="preserve"> </w:t>
      </w:r>
      <w:r w:rsidRPr="45B313F0">
        <w:rPr>
          <w:rFonts w:ascii="Calibri" w:eastAsia="Times New Roman" w:hAnsi="Calibri" w:cs="Calibri"/>
          <w:color w:val="000000" w:themeColor="text1"/>
          <w:sz w:val="16"/>
          <w:szCs w:val="16"/>
          <w:vertAlign w:val="superscript"/>
        </w:rPr>
        <w:t>2</w:t>
      </w:r>
      <w:r w:rsidRPr="45B313F0">
        <w:rPr>
          <w:rFonts w:ascii="Calibri" w:eastAsia="Times New Roman" w:hAnsi="Calibri" w:cs="Calibri"/>
          <w:color w:val="000000" w:themeColor="text1"/>
          <w:sz w:val="16"/>
          <w:szCs w:val="16"/>
        </w:rPr>
        <w:t xml:space="preserve"> Burden hours per report for each labor category are scaled by 75% to account for number of CBI claims based on past data.</w:t>
      </w:r>
      <w:r>
        <w:rPr>
          <w:rFonts w:ascii="Calibri" w:eastAsia="Times New Roman" w:hAnsi="Calibri" w:cs="Calibri"/>
          <w:color w:val="000000" w:themeColor="text1"/>
          <w:sz w:val="16"/>
          <w:szCs w:val="16"/>
        </w:rPr>
        <w:t xml:space="preserve"> </w:t>
      </w:r>
      <w:r w:rsidRPr="45B313F0">
        <w:rPr>
          <w:rFonts w:ascii="Calibri" w:eastAsia="Times New Roman" w:hAnsi="Calibri" w:cs="Calibri"/>
          <w:color w:val="000000" w:themeColor="text1"/>
          <w:sz w:val="16"/>
          <w:szCs w:val="16"/>
          <w:vertAlign w:val="superscript"/>
        </w:rPr>
        <w:t>3</w:t>
      </w:r>
      <w:r w:rsidRPr="45B313F0">
        <w:rPr>
          <w:rFonts w:ascii="Calibri" w:eastAsia="Times New Roman" w:hAnsi="Calibri" w:cs="Calibri"/>
          <w:color w:val="000000" w:themeColor="text1"/>
          <w:sz w:val="16"/>
          <w:szCs w:val="16"/>
        </w:rPr>
        <w:t xml:space="preserve"> CDX activities include CDX Registration, CDX Electronic Signature and Rule Familiarization are assumed to occur at the site level only.</w:t>
      </w:r>
    </w:p>
    <w:p w:rsidR="008B6A63" w:rsidP="008B6A63" w14:paraId="17E57D60" w14:textId="77777777">
      <w:pPr>
        <w:spacing w:after="0"/>
        <w:rPr>
          <w:rFonts w:ascii="Calibri" w:hAnsi="Calibri" w:cs="Calibri"/>
        </w:rPr>
      </w:pPr>
    </w:p>
    <w:p w:rsidR="007E2E3C" w:rsidP="008B6A63" w14:paraId="0707B78E" w14:textId="4304CCA4">
      <w:pPr>
        <w:spacing w:after="0"/>
        <w:rPr>
          <w:rFonts w:ascii="Calibri" w:hAnsi="Calibri" w:cs="Calibri"/>
        </w:rPr>
      </w:pPr>
      <w:r w:rsidRPr="00962957">
        <w:rPr>
          <w:rFonts w:ascii="Calibri" w:hAnsi="Calibri" w:cs="Calibri"/>
        </w:rPr>
        <w:t>In summary, an average of one respondent per year would be required to spend an estimated total of 32.99 hours each year to respond to PAIR and subpart B of 40 CFR 766 rules during the period of FY 202</w:t>
      </w:r>
      <w:r w:rsidR="005C73AD">
        <w:rPr>
          <w:rFonts w:ascii="Calibri" w:hAnsi="Calibri" w:cs="Calibri"/>
        </w:rPr>
        <w:t>6</w:t>
      </w:r>
      <w:r w:rsidRPr="00962957">
        <w:rPr>
          <w:rFonts w:ascii="Calibri" w:hAnsi="Calibri" w:cs="Calibri"/>
        </w:rPr>
        <w:t xml:space="preserve"> through FY 202</w:t>
      </w:r>
      <w:r w:rsidR="00770A32">
        <w:rPr>
          <w:rFonts w:ascii="Calibri" w:hAnsi="Calibri" w:cs="Calibri"/>
        </w:rPr>
        <w:t>8</w:t>
      </w:r>
      <w:r w:rsidRPr="00962957">
        <w:rPr>
          <w:rFonts w:ascii="Calibri" w:hAnsi="Calibri" w:cs="Calibri"/>
        </w:rPr>
        <w:t>, resulting in an average burden of 32.99 hours per response.</w:t>
      </w:r>
    </w:p>
    <w:p w:rsidR="004A3EE7" w:rsidRPr="00962957" w:rsidP="008B6A63" w14:paraId="6F8B763B" w14:textId="77777777">
      <w:pPr>
        <w:spacing w:after="0"/>
        <w:rPr>
          <w:rFonts w:ascii="Calibri" w:hAnsi="Calibri" w:cs="Calibri"/>
        </w:rPr>
      </w:pPr>
    </w:p>
    <w:p w:rsidR="007E2E3C" w:rsidRPr="00AC08D1" w:rsidP="007E2E3C" w14:paraId="4E198592" w14:textId="77777777">
      <w:pPr>
        <w:rPr>
          <w:rFonts w:ascii="Calibri" w:hAnsi="Calibri" w:cs="Calibri"/>
          <w:u w:val="single"/>
        </w:rPr>
      </w:pPr>
      <w:r w:rsidRPr="00AC08D1">
        <w:rPr>
          <w:rFonts w:ascii="Calibri" w:hAnsi="Calibri" w:cs="Calibri"/>
          <w:u w:val="single"/>
        </w:rPr>
        <w:t>Estimating Respondent Costs</w:t>
      </w:r>
    </w:p>
    <w:p w:rsidR="007E2E3C" w:rsidRPr="00962957" w:rsidP="007E2E3C" w14:paraId="44261AB7" w14:textId="6F44AB0C">
      <w:pPr>
        <w:rPr>
          <w:rFonts w:ascii="Calibri" w:hAnsi="Calibri" w:cs="Calibri"/>
        </w:rPr>
      </w:pPr>
      <w:r w:rsidRPr="07BE98CC">
        <w:rPr>
          <w:rFonts w:ascii="Calibri" w:hAnsi="Calibri" w:cs="Calibri"/>
        </w:rPr>
        <w:t>This section presents estimates of the cost expected to be incurred due to reporting under the TSCA section 8(a) PAIR and subpart B of 40 CFR 766. The total annual industry cost for both reporting and recordkeeping is estimated to be $2,8</w:t>
      </w:r>
      <w:r w:rsidRPr="07BE98CC" w:rsidR="23063F3F">
        <w:rPr>
          <w:rFonts w:ascii="Calibri" w:hAnsi="Calibri" w:cs="Calibri"/>
        </w:rPr>
        <w:t>10</w:t>
      </w:r>
      <w:r w:rsidRPr="07BE98CC">
        <w:rPr>
          <w:rFonts w:ascii="Calibri" w:hAnsi="Calibri" w:cs="Calibri"/>
        </w:rPr>
        <w:t xml:space="preserve">. This estimate is based on the cost of the burden estimate </w:t>
      </w:r>
      <w:r w:rsidRPr="07BE98CC" w:rsidR="10EFAE47">
        <w:rPr>
          <w:rFonts w:ascii="Calibri" w:hAnsi="Calibri" w:cs="Calibri"/>
        </w:rPr>
        <w:t xml:space="preserve">from Table </w:t>
      </w:r>
      <w:r w:rsidR="004A3EE7">
        <w:rPr>
          <w:rFonts w:ascii="Calibri" w:hAnsi="Calibri" w:cs="Calibri"/>
        </w:rPr>
        <w:t>3</w:t>
      </w:r>
      <w:r w:rsidRPr="07BE98CC">
        <w:rPr>
          <w:rFonts w:ascii="Calibri" w:hAnsi="Calibri" w:cs="Calibri"/>
        </w:rPr>
        <w:t xml:space="preserve"> and includes other costs associated with this ICR.</w:t>
      </w:r>
    </w:p>
    <w:p w:rsidR="008B6A63" w:rsidRPr="008B6A63" w:rsidP="006867EF" w14:paraId="54D2211E" w14:textId="722343C9">
      <w:pPr>
        <w:rPr>
          <w:rFonts w:ascii="Calibri" w:hAnsi="Calibri" w:cs="Calibri"/>
        </w:rPr>
        <w:sectPr w:rsidSect="007E2E3C">
          <w:footerReference w:type="default" r:id="rId13"/>
          <w:pgSz w:w="12240" w:h="15840"/>
          <w:pgMar w:top="1440" w:right="1440" w:bottom="1440" w:left="1440" w:header="720" w:footer="720" w:gutter="0"/>
          <w:cols w:space="720"/>
          <w:docGrid w:linePitch="360"/>
        </w:sectPr>
      </w:pPr>
      <w:r w:rsidRPr="07BE98CC">
        <w:rPr>
          <w:rFonts w:ascii="Calibri" w:hAnsi="Calibri" w:cs="Calibri"/>
        </w:rPr>
        <w:t xml:space="preserve">Labor costs </w:t>
      </w:r>
      <w:r w:rsidRPr="45B313F0" w:rsidR="6957F236">
        <w:rPr>
          <w:rFonts w:ascii="Calibri" w:hAnsi="Calibri" w:cs="Calibri"/>
        </w:rPr>
        <w:t xml:space="preserve">from Table </w:t>
      </w:r>
      <w:r w:rsidRPr="07BE98CC">
        <w:rPr>
          <w:rFonts w:ascii="Calibri" w:hAnsi="Calibri" w:cs="Calibri"/>
        </w:rPr>
        <w:t xml:space="preserve">1 are multiplied by the estimated burden hours per activity to develop total unit costs per report in Table </w:t>
      </w:r>
      <w:r w:rsidR="004A3EE7">
        <w:rPr>
          <w:rFonts w:ascii="Calibri" w:hAnsi="Calibri" w:cs="Calibri"/>
        </w:rPr>
        <w:t>4</w:t>
      </w:r>
      <w:r w:rsidRPr="07BE98CC">
        <w:rPr>
          <w:rFonts w:ascii="Calibri" w:hAnsi="Calibri" w:cs="Calibri"/>
        </w:rPr>
        <w:fldChar w:fldCharType="begin"/>
      </w:r>
      <w:r w:rsidRPr="07BE98CC">
        <w:rPr>
          <w:rFonts w:ascii="Calibri" w:hAnsi="Calibri" w:cs="Calibri"/>
        </w:rPr>
        <w:instrText xml:space="preserve"> REF _Ref94280284 \h  \* MERGEFORMAT </w:instrText>
      </w:r>
      <w:r w:rsidRPr="07BE98CC">
        <w:rPr>
          <w:rFonts w:ascii="Calibri" w:hAnsi="Calibri" w:cs="Calibri"/>
        </w:rPr>
        <w:fldChar w:fldCharType="separate"/>
      </w:r>
      <w:r w:rsidRPr="07BE98CC">
        <w:rPr>
          <w:rFonts w:ascii="Calibri" w:hAnsi="Calibri" w:cs="Calibri"/>
        </w:rPr>
        <w:fldChar w:fldCharType="end"/>
      </w:r>
      <w:r w:rsidRPr="07BE98CC">
        <w:rPr>
          <w:rFonts w:ascii="Calibri" w:hAnsi="Calibri" w:cs="Calibri"/>
        </w:rPr>
        <w:fldChar w:fldCharType="begin"/>
      </w:r>
      <w:r w:rsidRPr="07BE98CC">
        <w:rPr>
          <w:rFonts w:ascii="Calibri" w:hAnsi="Calibri" w:cs="Calibri"/>
        </w:rPr>
        <w:instrText xml:space="preserve"> REF _Ref94280284 \h  \* MERGEFORMAT </w:instrText>
      </w:r>
      <w:r w:rsidRPr="07BE98CC">
        <w:rPr>
          <w:rFonts w:ascii="Calibri" w:hAnsi="Calibri" w:cs="Calibri"/>
        </w:rPr>
        <w:fldChar w:fldCharType="separate"/>
      </w:r>
      <w:r w:rsidRPr="07BE98CC">
        <w:rPr>
          <w:rFonts w:ascii="Calibri" w:hAnsi="Calibri" w:cs="Calibri"/>
        </w:rPr>
        <w:fldChar w:fldCharType="end"/>
      </w:r>
      <w:r w:rsidRPr="07BE98CC">
        <w:rPr>
          <w:rFonts w:ascii="Calibri" w:hAnsi="Calibri" w:cs="Calibri"/>
        </w:rPr>
        <w:t xml:space="preserve">. Finally, unit costs per report are multiplied by the number of reports per site per year to arrive at unit costs per site (i.e., respondent costs) and are summarized in Table </w:t>
      </w:r>
      <w:r w:rsidR="004A3EE7">
        <w:rPr>
          <w:rFonts w:ascii="Calibri" w:hAnsi="Calibri" w:cs="Calibri"/>
        </w:rPr>
        <w:t>4</w:t>
      </w:r>
      <w:r w:rsidRPr="07BE98CC">
        <w:rPr>
          <w:rFonts w:ascii="Calibri" w:hAnsi="Calibri" w:cs="Calibri"/>
        </w:rPr>
        <w:fldChar w:fldCharType="begin"/>
      </w:r>
      <w:r w:rsidRPr="07BE98CC">
        <w:rPr>
          <w:rFonts w:ascii="Calibri" w:hAnsi="Calibri" w:cs="Calibri"/>
        </w:rPr>
        <w:instrText xml:space="preserve"> REF _Ref94280284 \h  \* MERGEFORMAT </w:instrText>
      </w:r>
      <w:r w:rsidRPr="07BE98CC">
        <w:rPr>
          <w:rFonts w:ascii="Calibri" w:hAnsi="Calibri" w:cs="Calibri"/>
        </w:rPr>
        <w:fldChar w:fldCharType="separate"/>
      </w:r>
      <w:r w:rsidRPr="07BE98CC">
        <w:rPr>
          <w:rFonts w:ascii="Calibri" w:hAnsi="Calibri" w:cs="Calibri"/>
        </w:rPr>
        <w:fldChar w:fldCharType="end"/>
      </w:r>
      <w:bookmarkStart w:id="23" w:name="_Ref295819308"/>
      <w:r w:rsidR="006867EF">
        <w:rPr>
          <w:rFonts w:ascii="Calibri" w:hAnsi="Calibri" w:cs="Calibri"/>
        </w:rPr>
        <w:t>.</w:t>
      </w:r>
    </w:p>
    <w:p w:rsidR="007E2E3C" w:rsidRPr="00962957" w:rsidP="008B506C" w14:paraId="37321B9A" w14:textId="5C43BB13">
      <w:pPr>
        <w:pStyle w:val="Caption"/>
        <w:outlineLvl w:val="9"/>
        <w:rPr>
          <w:rFonts w:ascii="Calibri" w:hAnsi="Calibri" w:cs="Calibri"/>
        </w:rPr>
      </w:pPr>
      <w:bookmarkStart w:id="24" w:name="_Ref96086116"/>
      <w:r w:rsidRPr="00962957">
        <w:rPr>
          <w:rFonts w:ascii="Calibri" w:hAnsi="Calibri" w:cs="Calibri"/>
        </w:rPr>
        <w:t>Table</w:t>
      </w:r>
      <w:r w:rsidR="004F022F">
        <w:rPr>
          <w:rFonts w:ascii="Calibri" w:hAnsi="Calibri" w:cs="Calibri"/>
        </w:rPr>
        <w:t xml:space="preserve"> </w:t>
      </w:r>
      <w:bookmarkEnd w:id="24"/>
      <w:r w:rsidR="004A3EE7">
        <w:rPr>
          <w:rFonts w:ascii="Calibri" w:hAnsi="Calibri" w:cs="Calibri"/>
        </w:rPr>
        <w:t>4</w:t>
      </w:r>
      <w:r w:rsidRPr="00962957">
        <w:rPr>
          <w:rFonts w:ascii="Calibri" w:hAnsi="Calibri" w:cs="Calibri"/>
        </w:rPr>
        <w:t>. Reporting Costs by Labor Category and Reporting Activity TSCA Section 8(a) PAIR (assuming 1 report per site and a total of 1 report per year)</w:t>
      </w:r>
    </w:p>
    <w:tbl>
      <w:tblPr>
        <w:tblW w:w="1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3"/>
        <w:gridCol w:w="1261"/>
        <w:gridCol w:w="1158"/>
        <w:gridCol w:w="1135"/>
        <w:gridCol w:w="955"/>
        <w:gridCol w:w="945"/>
        <w:gridCol w:w="949"/>
        <w:gridCol w:w="972"/>
        <w:gridCol w:w="945"/>
        <w:gridCol w:w="972"/>
        <w:gridCol w:w="1005"/>
      </w:tblGrid>
      <w:tr w14:paraId="69DB858F" w14:textId="77777777" w:rsidTr="008B6A63">
        <w:tblPrEx>
          <w:tblW w:w="1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68"/>
        </w:trPr>
        <w:tc>
          <w:tcPr>
            <w:tcW w:w="2183" w:type="dxa"/>
            <w:vMerge w:val="restart"/>
            <w:shd w:val="clear" w:color="auto" w:fill="D9D9D9" w:themeFill="background1" w:themeFillShade="D9"/>
            <w:vAlign w:val="center"/>
            <w:hideMark/>
          </w:tcPr>
          <w:p w:rsidR="007E2E3C" w:rsidRPr="00962957" w14:paraId="1859AF86"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Cost Element</w:t>
            </w:r>
          </w:p>
        </w:tc>
        <w:tc>
          <w:tcPr>
            <w:tcW w:w="1261" w:type="dxa"/>
            <w:shd w:val="clear" w:color="auto" w:fill="D9D9D9" w:themeFill="background1" w:themeFillShade="D9"/>
            <w:vAlign w:val="center"/>
            <w:hideMark/>
          </w:tcPr>
          <w:p w:rsidR="007E2E3C" w:rsidRPr="00962957" w14:paraId="43AF7395"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Managerial</w:t>
            </w:r>
          </w:p>
        </w:tc>
        <w:tc>
          <w:tcPr>
            <w:tcW w:w="1158" w:type="dxa"/>
            <w:shd w:val="clear" w:color="auto" w:fill="D9D9D9" w:themeFill="background1" w:themeFillShade="D9"/>
            <w:vAlign w:val="center"/>
            <w:hideMark/>
          </w:tcPr>
          <w:p w:rsidR="007E2E3C" w:rsidRPr="00962957" w14:paraId="3CF1F50B"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Technical</w:t>
            </w:r>
          </w:p>
        </w:tc>
        <w:tc>
          <w:tcPr>
            <w:tcW w:w="1135" w:type="dxa"/>
            <w:shd w:val="clear" w:color="auto" w:fill="D9D9D9" w:themeFill="background1" w:themeFillShade="D9"/>
            <w:vAlign w:val="center"/>
            <w:hideMark/>
          </w:tcPr>
          <w:p w:rsidR="007E2E3C" w:rsidRPr="00962957" w14:paraId="29527FA3"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Clerical</w:t>
            </w:r>
          </w:p>
        </w:tc>
        <w:tc>
          <w:tcPr>
            <w:tcW w:w="955" w:type="dxa"/>
            <w:vMerge w:val="restart"/>
            <w:shd w:val="clear" w:color="auto" w:fill="D9D9D9" w:themeFill="background1" w:themeFillShade="D9"/>
            <w:vAlign w:val="center"/>
            <w:hideMark/>
          </w:tcPr>
          <w:p w:rsidR="007E2E3C" w:rsidRPr="00962957" w14:paraId="5CF7657B"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Annual Burden Hours</w:t>
            </w:r>
          </w:p>
        </w:tc>
        <w:tc>
          <w:tcPr>
            <w:tcW w:w="945" w:type="dxa"/>
            <w:vMerge w:val="restart"/>
            <w:shd w:val="clear" w:color="auto" w:fill="D9D9D9" w:themeFill="background1" w:themeFillShade="D9"/>
            <w:vAlign w:val="center"/>
            <w:hideMark/>
          </w:tcPr>
          <w:p w:rsidR="007E2E3C" w:rsidRPr="00962957" w14:paraId="19FD14A6"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Labor Costs</w:t>
            </w:r>
          </w:p>
        </w:tc>
        <w:tc>
          <w:tcPr>
            <w:tcW w:w="949" w:type="dxa"/>
            <w:vMerge w:val="restart"/>
            <w:shd w:val="clear" w:color="auto" w:fill="D9D9D9" w:themeFill="background1" w:themeFillShade="D9"/>
            <w:vAlign w:val="center"/>
            <w:hideMark/>
          </w:tcPr>
          <w:p w:rsidR="007E2E3C" w:rsidRPr="00962957" w14:paraId="3A382181"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Cost Per Report</w:t>
            </w:r>
          </w:p>
        </w:tc>
        <w:tc>
          <w:tcPr>
            <w:tcW w:w="972" w:type="dxa"/>
            <w:vMerge w:val="restart"/>
            <w:shd w:val="clear" w:color="auto" w:fill="D9D9D9" w:themeFill="background1" w:themeFillShade="D9"/>
            <w:vAlign w:val="center"/>
            <w:hideMark/>
          </w:tcPr>
          <w:p w:rsidR="007E2E3C" w:rsidRPr="00962957" w14:paraId="166A349F"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Number of Reports</w:t>
            </w:r>
          </w:p>
        </w:tc>
        <w:tc>
          <w:tcPr>
            <w:tcW w:w="945" w:type="dxa"/>
            <w:vMerge w:val="restart"/>
            <w:shd w:val="clear" w:color="auto" w:fill="D9D9D9" w:themeFill="background1" w:themeFillShade="D9"/>
            <w:vAlign w:val="center"/>
            <w:hideMark/>
          </w:tcPr>
          <w:p w:rsidR="007E2E3C" w:rsidRPr="00962957" w14:paraId="03717AAD"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Cost Per Site</w:t>
            </w:r>
          </w:p>
        </w:tc>
        <w:tc>
          <w:tcPr>
            <w:tcW w:w="972" w:type="dxa"/>
            <w:vMerge w:val="restart"/>
            <w:shd w:val="clear" w:color="auto" w:fill="D9D9D9" w:themeFill="background1" w:themeFillShade="D9"/>
            <w:vAlign w:val="center"/>
            <w:hideMark/>
          </w:tcPr>
          <w:p w:rsidR="007E2E3C" w:rsidRPr="00962957" w14:paraId="337BFA31"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Number of Sites</w:t>
            </w:r>
          </w:p>
        </w:tc>
        <w:tc>
          <w:tcPr>
            <w:tcW w:w="1005" w:type="dxa"/>
            <w:vMerge w:val="restart"/>
            <w:shd w:val="clear" w:color="auto" w:fill="D9D9D9" w:themeFill="background1" w:themeFillShade="D9"/>
            <w:vAlign w:val="center"/>
            <w:hideMark/>
          </w:tcPr>
          <w:p w:rsidR="007E2E3C" w:rsidRPr="00962957" w14:paraId="3639FE3F"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Annual Industry Cost</w:t>
            </w:r>
          </w:p>
        </w:tc>
      </w:tr>
      <w:tr w14:paraId="29E3DAB2" w14:textId="77777777" w:rsidTr="008B6A63">
        <w:tblPrEx>
          <w:tblW w:w="12480" w:type="dxa"/>
          <w:tblLook w:val="04A0"/>
        </w:tblPrEx>
        <w:trPr>
          <w:trHeight w:val="300"/>
        </w:trPr>
        <w:tc>
          <w:tcPr>
            <w:tcW w:w="2183" w:type="dxa"/>
            <w:vMerge/>
            <w:vAlign w:val="center"/>
            <w:hideMark/>
          </w:tcPr>
          <w:p w:rsidR="007E2E3C" w:rsidRPr="00962957" w14:paraId="259FB483" w14:textId="77777777">
            <w:pPr>
              <w:spacing w:after="0" w:line="240" w:lineRule="auto"/>
              <w:rPr>
                <w:rFonts w:ascii="Calibri" w:eastAsia="Times New Roman" w:hAnsi="Calibri" w:cs="Calibri"/>
                <w:b/>
                <w:bCs/>
                <w:color w:val="000000"/>
                <w:sz w:val="20"/>
                <w:szCs w:val="20"/>
              </w:rPr>
            </w:pPr>
          </w:p>
        </w:tc>
        <w:tc>
          <w:tcPr>
            <w:tcW w:w="1261" w:type="dxa"/>
            <w:shd w:val="clear" w:color="auto" w:fill="auto"/>
            <w:vAlign w:val="center"/>
            <w:hideMark/>
          </w:tcPr>
          <w:p w:rsidR="007E2E3C" w:rsidRPr="00962957" w14:paraId="7ADCDF33" w14:textId="66064269">
            <w:pPr>
              <w:spacing w:after="0" w:line="240" w:lineRule="auto"/>
              <w:jc w:val="center"/>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w:t>
            </w:r>
            <w:r w:rsidRPr="45B313F0" w:rsidR="65A72AD5">
              <w:rPr>
                <w:rFonts w:ascii="Calibri" w:eastAsia="Times New Roman" w:hAnsi="Calibri" w:cs="Calibri"/>
                <w:b/>
                <w:bCs/>
                <w:color w:val="000000" w:themeColor="text1"/>
                <w:sz w:val="20"/>
                <w:szCs w:val="20"/>
              </w:rPr>
              <w:t>89</w:t>
            </w:r>
            <w:r w:rsidRPr="45B313F0">
              <w:rPr>
                <w:rFonts w:ascii="Calibri" w:eastAsia="Times New Roman" w:hAnsi="Calibri" w:cs="Calibri"/>
                <w:b/>
                <w:bCs/>
                <w:color w:val="000000" w:themeColor="text1"/>
                <w:sz w:val="20"/>
                <w:szCs w:val="20"/>
              </w:rPr>
              <w:t>.</w:t>
            </w:r>
            <w:r w:rsidRPr="45B313F0" w:rsidR="6D1AC9D5">
              <w:rPr>
                <w:rFonts w:ascii="Calibri" w:eastAsia="Times New Roman" w:hAnsi="Calibri" w:cs="Calibri"/>
                <w:b/>
                <w:bCs/>
                <w:color w:val="000000" w:themeColor="text1"/>
                <w:sz w:val="20"/>
                <w:szCs w:val="20"/>
              </w:rPr>
              <w:t>16</w:t>
            </w:r>
            <w:r w:rsidRPr="45B313F0">
              <w:rPr>
                <w:rFonts w:ascii="Calibri" w:eastAsia="Times New Roman" w:hAnsi="Calibri" w:cs="Calibri"/>
                <w:b/>
                <w:color w:val="000000" w:themeColor="text1"/>
                <w:sz w:val="20"/>
                <w:szCs w:val="20"/>
              </w:rPr>
              <w:t xml:space="preserve"> </w:t>
            </w:r>
          </w:p>
        </w:tc>
        <w:tc>
          <w:tcPr>
            <w:tcW w:w="1158" w:type="dxa"/>
            <w:shd w:val="clear" w:color="auto" w:fill="auto"/>
            <w:vAlign w:val="center"/>
            <w:hideMark/>
          </w:tcPr>
          <w:p w:rsidR="007E2E3C" w:rsidRPr="00962957" w14:paraId="066BB106" w14:textId="2DDFFF7C">
            <w:pPr>
              <w:spacing w:after="0" w:line="240" w:lineRule="auto"/>
              <w:jc w:val="center"/>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$8</w:t>
            </w:r>
            <w:r w:rsidRPr="45B313F0" w:rsidR="35BD79B1">
              <w:rPr>
                <w:rFonts w:ascii="Calibri" w:eastAsia="Times New Roman" w:hAnsi="Calibri" w:cs="Calibri"/>
                <w:b/>
                <w:bCs/>
                <w:color w:val="000000" w:themeColor="text1"/>
                <w:sz w:val="20"/>
                <w:szCs w:val="20"/>
              </w:rPr>
              <w:t>3</w:t>
            </w:r>
            <w:r w:rsidRPr="45B313F0">
              <w:rPr>
                <w:rFonts w:ascii="Calibri" w:eastAsia="Times New Roman" w:hAnsi="Calibri" w:cs="Calibri"/>
                <w:b/>
                <w:bCs/>
                <w:color w:val="000000" w:themeColor="text1"/>
                <w:sz w:val="20"/>
                <w:szCs w:val="20"/>
              </w:rPr>
              <w:t>.5</w:t>
            </w:r>
            <w:r w:rsidRPr="45B313F0" w:rsidR="2FF387E1">
              <w:rPr>
                <w:rFonts w:ascii="Calibri" w:eastAsia="Times New Roman" w:hAnsi="Calibri" w:cs="Calibri"/>
                <w:b/>
                <w:bCs/>
                <w:color w:val="000000" w:themeColor="text1"/>
                <w:sz w:val="20"/>
                <w:szCs w:val="20"/>
              </w:rPr>
              <w:t>4</w:t>
            </w:r>
            <w:r w:rsidRPr="45B313F0">
              <w:rPr>
                <w:rFonts w:ascii="Calibri" w:eastAsia="Times New Roman" w:hAnsi="Calibri" w:cs="Calibri"/>
                <w:b/>
                <w:color w:val="000000" w:themeColor="text1"/>
                <w:sz w:val="20"/>
                <w:szCs w:val="20"/>
              </w:rPr>
              <w:t xml:space="preserve"> </w:t>
            </w:r>
          </w:p>
        </w:tc>
        <w:tc>
          <w:tcPr>
            <w:tcW w:w="1135" w:type="dxa"/>
            <w:shd w:val="clear" w:color="auto" w:fill="auto"/>
            <w:vAlign w:val="center"/>
            <w:hideMark/>
          </w:tcPr>
          <w:p w:rsidR="007E2E3C" w:rsidRPr="00962957" w14:paraId="6C72F2A4" w14:textId="402D9B65">
            <w:pPr>
              <w:spacing w:after="0" w:line="240" w:lineRule="auto"/>
              <w:jc w:val="center"/>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w:t>
            </w:r>
            <w:r w:rsidRPr="45B313F0" w:rsidR="4BF8B854">
              <w:rPr>
                <w:rFonts w:ascii="Calibri" w:eastAsia="Times New Roman" w:hAnsi="Calibri" w:cs="Calibri"/>
                <w:b/>
                <w:bCs/>
                <w:color w:val="000000" w:themeColor="text1"/>
                <w:sz w:val="20"/>
                <w:szCs w:val="20"/>
              </w:rPr>
              <w:t>42</w:t>
            </w:r>
            <w:r w:rsidRPr="45B313F0">
              <w:rPr>
                <w:rFonts w:ascii="Calibri" w:eastAsia="Times New Roman" w:hAnsi="Calibri" w:cs="Calibri"/>
                <w:b/>
                <w:bCs/>
                <w:color w:val="000000" w:themeColor="text1"/>
                <w:sz w:val="20"/>
                <w:szCs w:val="20"/>
              </w:rPr>
              <w:t>.</w:t>
            </w:r>
            <w:r w:rsidRPr="45B313F0" w:rsidR="59D03A14">
              <w:rPr>
                <w:rFonts w:ascii="Calibri" w:eastAsia="Times New Roman" w:hAnsi="Calibri" w:cs="Calibri"/>
                <w:b/>
                <w:bCs/>
                <w:color w:val="000000" w:themeColor="text1"/>
                <w:sz w:val="20"/>
                <w:szCs w:val="20"/>
              </w:rPr>
              <w:t>2</w:t>
            </w:r>
            <w:r w:rsidRPr="45B313F0">
              <w:rPr>
                <w:rFonts w:ascii="Calibri" w:eastAsia="Times New Roman" w:hAnsi="Calibri" w:cs="Calibri"/>
                <w:b/>
                <w:bCs/>
                <w:color w:val="000000" w:themeColor="text1"/>
                <w:sz w:val="20"/>
                <w:szCs w:val="20"/>
              </w:rPr>
              <w:t>8</w:t>
            </w:r>
            <w:r w:rsidRPr="45B313F0">
              <w:rPr>
                <w:rFonts w:ascii="Calibri" w:eastAsia="Times New Roman" w:hAnsi="Calibri" w:cs="Calibri"/>
                <w:b/>
                <w:color w:val="000000" w:themeColor="text1"/>
                <w:sz w:val="20"/>
                <w:szCs w:val="20"/>
              </w:rPr>
              <w:t xml:space="preserve"> </w:t>
            </w:r>
          </w:p>
        </w:tc>
        <w:tc>
          <w:tcPr>
            <w:tcW w:w="955" w:type="dxa"/>
            <w:vMerge/>
            <w:vAlign w:val="center"/>
            <w:hideMark/>
          </w:tcPr>
          <w:p w:rsidR="007E2E3C" w:rsidRPr="00962957" w14:paraId="10D37804" w14:textId="77777777">
            <w:pPr>
              <w:spacing w:after="0" w:line="240" w:lineRule="auto"/>
              <w:rPr>
                <w:rFonts w:ascii="Calibri" w:eastAsia="Times New Roman" w:hAnsi="Calibri" w:cs="Calibri"/>
                <w:b/>
                <w:bCs/>
                <w:color w:val="000000"/>
                <w:sz w:val="20"/>
                <w:szCs w:val="20"/>
              </w:rPr>
            </w:pPr>
          </w:p>
        </w:tc>
        <w:tc>
          <w:tcPr>
            <w:tcW w:w="945" w:type="dxa"/>
            <w:vMerge/>
            <w:vAlign w:val="center"/>
            <w:hideMark/>
          </w:tcPr>
          <w:p w:rsidR="007E2E3C" w:rsidRPr="00962957" w14:paraId="1BAFDD70" w14:textId="77777777">
            <w:pPr>
              <w:spacing w:after="0" w:line="240" w:lineRule="auto"/>
              <w:rPr>
                <w:rFonts w:ascii="Calibri" w:eastAsia="Times New Roman" w:hAnsi="Calibri" w:cs="Calibri"/>
                <w:b/>
                <w:bCs/>
                <w:color w:val="000000"/>
                <w:sz w:val="20"/>
                <w:szCs w:val="20"/>
              </w:rPr>
            </w:pPr>
          </w:p>
        </w:tc>
        <w:tc>
          <w:tcPr>
            <w:tcW w:w="949" w:type="dxa"/>
            <w:vMerge/>
            <w:vAlign w:val="center"/>
            <w:hideMark/>
          </w:tcPr>
          <w:p w:rsidR="007E2E3C" w:rsidRPr="00962957" w14:paraId="4F03A4AD" w14:textId="77777777">
            <w:pPr>
              <w:spacing w:after="0" w:line="240" w:lineRule="auto"/>
              <w:rPr>
                <w:rFonts w:ascii="Calibri" w:eastAsia="Times New Roman" w:hAnsi="Calibri" w:cs="Calibri"/>
                <w:b/>
                <w:bCs/>
                <w:color w:val="000000"/>
                <w:sz w:val="20"/>
                <w:szCs w:val="20"/>
              </w:rPr>
            </w:pPr>
          </w:p>
        </w:tc>
        <w:tc>
          <w:tcPr>
            <w:tcW w:w="972" w:type="dxa"/>
            <w:vMerge/>
            <w:vAlign w:val="center"/>
            <w:hideMark/>
          </w:tcPr>
          <w:p w:rsidR="007E2E3C" w:rsidRPr="00962957" w14:paraId="59D14FF8" w14:textId="77777777">
            <w:pPr>
              <w:spacing w:after="0" w:line="240" w:lineRule="auto"/>
              <w:rPr>
                <w:rFonts w:ascii="Calibri" w:eastAsia="Times New Roman" w:hAnsi="Calibri" w:cs="Calibri"/>
                <w:b/>
                <w:bCs/>
                <w:color w:val="000000"/>
                <w:sz w:val="20"/>
                <w:szCs w:val="20"/>
              </w:rPr>
            </w:pPr>
          </w:p>
        </w:tc>
        <w:tc>
          <w:tcPr>
            <w:tcW w:w="945" w:type="dxa"/>
            <w:vMerge/>
            <w:vAlign w:val="center"/>
            <w:hideMark/>
          </w:tcPr>
          <w:p w:rsidR="007E2E3C" w:rsidRPr="00962957" w14:paraId="4DF5D61A" w14:textId="77777777">
            <w:pPr>
              <w:spacing w:after="0" w:line="240" w:lineRule="auto"/>
              <w:rPr>
                <w:rFonts w:ascii="Calibri" w:eastAsia="Times New Roman" w:hAnsi="Calibri" w:cs="Calibri"/>
                <w:b/>
                <w:bCs/>
                <w:color w:val="000000"/>
                <w:sz w:val="20"/>
                <w:szCs w:val="20"/>
              </w:rPr>
            </w:pPr>
          </w:p>
        </w:tc>
        <w:tc>
          <w:tcPr>
            <w:tcW w:w="972" w:type="dxa"/>
            <w:vMerge/>
            <w:vAlign w:val="center"/>
            <w:hideMark/>
          </w:tcPr>
          <w:p w:rsidR="007E2E3C" w:rsidRPr="00962957" w14:paraId="6B238AB2" w14:textId="77777777">
            <w:pPr>
              <w:spacing w:after="0" w:line="240" w:lineRule="auto"/>
              <w:rPr>
                <w:rFonts w:ascii="Calibri" w:eastAsia="Times New Roman" w:hAnsi="Calibri" w:cs="Calibri"/>
                <w:b/>
                <w:bCs/>
                <w:color w:val="000000"/>
                <w:sz w:val="20"/>
                <w:szCs w:val="20"/>
              </w:rPr>
            </w:pPr>
          </w:p>
        </w:tc>
        <w:tc>
          <w:tcPr>
            <w:tcW w:w="1005" w:type="dxa"/>
            <w:vMerge/>
            <w:vAlign w:val="center"/>
            <w:hideMark/>
          </w:tcPr>
          <w:p w:rsidR="007E2E3C" w:rsidRPr="00962957" w14:paraId="4D8CB40B" w14:textId="77777777">
            <w:pPr>
              <w:spacing w:after="0" w:line="240" w:lineRule="auto"/>
              <w:rPr>
                <w:rFonts w:ascii="Calibri" w:eastAsia="Times New Roman" w:hAnsi="Calibri" w:cs="Calibri"/>
                <w:b/>
                <w:bCs/>
                <w:color w:val="000000"/>
                <w:sz w:val="20"/>
                <w:szCs w:val="20"/>
              </w:rPr>
            </w:pPr>
          </w:p>
        </w:tc>
      </w:tr>
      <w:tr w14:paraId="3844C9D2" w14:textId="77777777" w:rsidTr="008B6A63">
        <w:tblPrEx>
          <w:tblW w:w="12480" w:type="dxa"/>
          <w:tblLook w:val="04A0"/>
        </w:tblPrEx>
        <w:trPr>
          <w:trHeight w:val="600"/>
        </w:trPr>
        <w:tc>
          <w:tcPr>
            <w:tcW w:w="2183" w:type="dxa"/>
            <w:shd w:val="clear" w:color="auto" w:fill="auto"/>
            <w:vAlign w:val="center"/>
            <w:hideMark/>
          </w:tcPr>
          <w:p w:rsidR="007E2E3C" w:rsidRPr="00962957" w14:paraId="2549AA32"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Form Familiarization</w:t>
            </w:r>
          </w:p>
        </w:tc>
        <w:tc>
          <w:tcPr>
            <w:tcW w:w="1261" w:type="dxa"/>
            <w:shd w:val="clear" w:color="auto" w:fill="auto"/>
            <w:vAlign w:val="center"/>
            <w:hideMark/>
          </w:tcPr>
          <w:p w:rsidR="007E2E3C" w:rsidRPr="00962957" w14:paraId="1612F73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3.00</w:t>
            </w:r>
          </w:p>
        </w:tc>
        <w:tc>
          <w:tcPr>
            <w:tcW w:w="1158" w:type="dxa"/>
            <w:shd w:val="clear" w:color="auto" w:fill="auto"/>
            <w:vAlign w:val="center"/>
            <w:hideMark/>
          </w:tcPr>
          <w:p w:rsidR="007E2E3C" w:rsidRPr="00962957" w14:paraId="70A3A60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4.00</w:t>
            </w:r>
          </w:p>
        </w:tc>
        <w:tc>
          <w:tcPr>
            <w:tcW w:w="1135" w:type="dxa"/>
            <w:shd w:val="clear" w:color="auto" w:fill="auto"/>
            <w:vAlign w:val="center"/>
            <w:hideMark/>
          </w:tcPr>
          <w:p w:rsidR="007E2E3C" w:rsidRPr="00962957" w14:paraId="5125C76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315F279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7.00</w:t>
            </w:r>
          </w:p>
        </w:tc>
        <w:tc>
          <w:tcPr>
            <w:tcW w:w="945" w:type="dxa"/>
            <w:shd w:val="clear" w:color="auto" w:fill="auto"/>
            <w:vAlign w:val="center"/>
            <w:hideMark/>
          </w:tcPr>
          <w:p w:rsidR="007E2E3C" w:rsidRPr="00962957" w14:paraId="2A7F752C" w14:textId="30AF40AB">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$60</w:t>
            </w:r>
            <w:r w:rsidRPr="45B313F0" w:rsidR="2CF99F90">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15066AE1" w14:textId="4E50A4D4">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$60</w:t>
            </w:r>
            <w:r w:rsidRPr="45B313F0" w:rsidR="3DCBA1E1">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323F09B0"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37637782" w14:textId="06D04883">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$60</w:t>
            </w:r>
            <w:r w:rsidRPr="45B313F0" w:rsidR="58D2478C">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7DEC968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7856E2B9" w14:textId="7F7A87DA">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$60</w:t>
            </w:r>
            <w:r w:rsidRPr="45B313F0" w:rsidR="52379844">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r>
      <w:tr w14:paraId="0DCB901B" w14:textId="77777777" w:rsidTr="008B6A63">
        <w:tblPrEx>
          <w:tblW w:w="12480" w:type="dxa"/>
          <w:tblLook w:val="04A0"/>
        </w:tblPrEx>
        <w:trPr>
          <w:trHeight w:val="600"/>
        </w:trPr>
        <w:tc>
          <w:tcPr>
            <w:tcW w:w="2183" w:type="dxa"/>
            <w:shd w:val="clear" w:color="auto" w:fill="auto"/>
            <w:vAlign w:val="center"/>
            <w:hideMark/>
          </w:tcPr>
          <w:p w:rsidR="007E2E3C" w:rsidRPr="00962957" w14:paraId="41FF4572"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Reporting</w:t>
            </w:r>
          </w:p>
        </w:tc>
        <w:tc>
          <w:tcPr>
            <w:tcW w:w="1261" w:type="dxa"/>
            <w:shd w:val="clear" w:color="auto" w:fill="auto"/>
            <w:vAlign w:val="center"/>
            <w:hideMark/>
          </w:tcPr>
          <w:p w:rsidR="007E2E3C" w:rsidRPr="00962957" w14:paraId="7917FD2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5.50</w:t>
            </w:r>
          </w:p>
        </w:tc>
        <w:tc>
          <w:tcPr>
            <w:tcW w:w="1158" w:type="dxa"/>
            <w:shd w:val="clear" w:color="auto" w:fill="auto"/>
            <w:vAlign w:val="center"/>
            <w:hideMark/>
          </w:tcPr>
          <w:p w:rsidR="007E2E3C" w:rsidRPr="00962957" w14:paraId="2858B49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9.25</w:t>
            </w:r>
          </w:p>
        </w:tc>
        <w:tc>
          <w:tcPr>
            <w:tcW w:w="1135" w:type="dxa"/>
            <w:shd w:val="clear" w:color="auto" w:fill="auto"/>
            <w:vAlign w:val="center"/>
            <w:hideMark/>
          </w:tcPr>
          <w:p w:rsidR="007E2E3C" w:rsidRPr="00962957" w14:paraId="6E14C77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2E350C6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14.75</w:t>
            </w:r>
          </w:p>
        </w:tc>
        <w:tc>
          <w:tcPr>
            <w:tcW w:w="945" w:type="dxa"/>
            <w:shd w:val="clear" w:color="auto" w:fill="auto"/>
            <w:vAlign w:val="center"/>
            <w:hideMark/>
          </w:tcPr>
          <w:p w:rsidR="007E2E3C" w:rsidRPr="00962957" w14:paraId="442A9687" w14:textId="1ABAB43A">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$1,26</w:t>
            </w:r>
            <w:r w:rsidRPr="45B313F0" w:rsidR="5FF35983">
              <w:rPr>
                <w:rFonts w:ascii="Calibri" w:eastAsia="Times New Roman" w:hAnsi="Calibri" w:cs="Calibri"/>
                <w:color w:val="000000" w:themeColor="text1"/>
                <w:sz w:val="20"/>
                <w:szCs w:val="20"/>
              </w:rPr>
              <w:t>3</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3D72EFA1" w14:textId="07A0DCA1">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$1,26</w:t>
            </w:r>
            <w:r w:rsidRPr="45B313F0" w:rsidR="66A1B75C">
              <w:rPr>
                <w:rFonts w:ascii="Calibri" w:eastAsia="Times New Roman" w:hAnsi="Calibri" w:cs="Calibri"/>
                <w:color w:val="000000" w:themeColor="text1"/>
                <w:sz w:val="20"/>
                <w:szCs w:val="20"/>
              </w:rPr>
              <w:t>3</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7D5FD2CB"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6026B7BF" w14:textId="413CD1DF">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$1,26</w:t>
            </w:r>
            <w:r w:rsidRPr="45B313F0" w:rsidR="7E2D86B8">
              <w:rPr>
                <w:rFonts w:ascii="Calibri" w:eastAsia="Times New Roman" w:hAnsi="Calibri" w:cs="Calibri"/>
                <w:color w:val="000000" w:themeColor="text1"/>
                <w:sz w:val="20"/>
                <w:szCs w:val="20"/>
              </w:rPr>
              <w:t>3</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4863F9E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3E779CEA" w14:textId="554C397E">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$1,26</w:t>
            </w:r>
            <w:r w:rsidRPr="45B313F0" w:rsidR="68279844">
              <w:rPr>
                <w:rFonts w:ascii="Calibri" w:eastAsia="Times New Roman" w:hAnsi="Calibri" w:cs="Calibri"/>
                <w:color w:val="000000" w:themeColor="text1"/>
                <w:sz w:val="20"/>
                <w:szCs w:val="20"/>
              </w:rPr>
              <w:t>3</w:t>
            </w:r>
            <w:r w:rsidRPr="45B313F0">
              <w:rPr>
                <w:rFonts w:ascii="Calibri" w:eastAsia="Times New Roman" w:hAnsi="Calibri" w:cs="Calibri"/>
                <w:color w:val="000000" w:themeColor="text1"/>
                <w:sz w:val="20"/>
                <w:szCs w:val="20"/>
              </w:rPr>
              <w:t xml:space="preserve"> </w:t>
            </w:r>
          </w:p>
        </w:tc>
      </w:tr>
      <w:tr w14:paraId="78A9AFA4" w14:textId="77777777" w:rsidTr="008B6A63">
        <w:tblPrEx>
          <w:tblW w:w="12480" w:type="dxa"/>
          <w:tblLook w:val="04A0"/>
        </w:tblPrEx>
        <w:trPr>
          <w:trHeight w:val="600"/>
        </w:trPr>
        <w:tc>
          <w:tcPr>
            <w:tcW w:w="2183" w:type="dxa"/>
            <w:shd w:val="clear" w:color="auto" w:fill="auto"/>
            <w:vAlign w:val="center"/>
            <w:hideMark/>
          </w:tcPr>
          <w:p w:rsidR="007E2E3C" w:rsidRPr="00962957" w14:paraId="55642024"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Trade Name Notification</w:t>
            </w:r>
          </w:p>
        </w:tc>
        <w:tc>
          <w:tcPr>
            <w:tcW w:w="1261" w:type="dxa"/>
            <w:shd w:val="clear" w:color="auto" w:fill="auto"/>
            <w:vAlign w:val="center"/>
            <w:hideMark/>
          </w:tcPr>
          <w:p w:rsidR="007E2E3C" w:rsidRPr="00962957" w14:paraId="7D31F81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2.20</w:t>
            </w:r>
          </w:p>
        </w:tc>
        <w:tc>
          <w:tcPr>
            <w:tcW w:w="1158" w:type="dxa"/>
            <w:shd w:val="clear" w:color="auto" w:fill="auto"/>
            <w:vAlign w:val="center"/>
            <w:hideMark/>
          </w:tcPr>
          <w:p w:rsidR="007E2E3C" w:rsidRPr="00962957" w14:paraId="01078398"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1135" w:type="dxa"/>
            <w:shd w:val="clear" w:color="auto" w:fill="auto"/>
            <w:vAlign w:val="center"/>
            <w:hideMark/>
          </w:tcPr>
          <w:p w:rsidR="007E2E3C" w:rsidRPr="00962957" w14:paraId="18500DC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522E321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2.20</w:t>
            </w:r>
          </w:p>
        </w:tc>
        <w:tc>
          <w:tcPr>
            <w:tcW w:w="945" w:type="dxa"/>
            <w:shd w:val="clear" w:color="auto" w:fill="auto"/>
            <w:vAlign w:val="center"/>
            <w:hideMark/>
          </w:tcPr>
          <w:p w:rsidR="007E2E3C" w:rsidRPr="00962957" w14:paraId="514364D1" w14:textId="68467CAC">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68577F66">
              <w:rPr>
                <w:rFonts w:ascii="Calibri" w:eastAsia="Times New Roman" w:hAnsi="Calibri" w:cs="Calibri"/>
                <w:color w:val="000000" w:themeColor="text1"/>
                <w:sz w:val="20"/>
                <w:szCs w:val="20"/>
              </w:rPr>
              <w:t>196</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369F8DFC" w14:textId="7329D3E2">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2FAE0190">
              <w:rPr>
                <w:rFonts w:ascii="Calibri" w:eastAsia="Times New Roman" w:hAnsi="Calibri" w:cs="Calibri"/>
                <w:color w:val="000000" w:themeColor="text1"/>
                <w:sz w:val="20"/>
                <w:szCs w:val="20"/>
              </w:rPr>
              <w:t>196</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2216C3BB"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5E5FA5D6" w14:textId="26B2798B">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0E459722">
              <w:rPr>
                <w:rFonts w:ascii="Calibri" w:eastAsia="Times New Roman" w:hAnsi="Calibri" w:cs="Calibri"/>
                <w:color w:val="000000" w:themeColor="text1"/>
                <w:sz w:val="20"/>
                <w:szCs w:val="20"/>
              </w:rPr>
              <w:t>196</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1669F8D5"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7A7BC10B" w14:textId="27ED8777">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09D64820">
              <w:rPr>
                <w:rFonts w:ascii="Calibri" w:eastAsia="Times New Roman" w:hAnsi="Calibri" w:cs="Calibri"/>
                <w:color w:val="000000" w:themeColor="text1"/>
                <w:sz w:val="20"/>
                <w:szCs w:val="20"/>
              </w:rPr>
              <w:t>196</w:t>
            </w:r>
            <w:r w:rsidRPr="45B313F0">
              <w:rPr>
                <w:rFonts w:ascii="Calibri" w:eastAsia="Times New Roman" w:hAnsi="Calibri" w:cs="Calibri"/>
                <w:color w:val="000000" w:themeColor="text1"/>
                <w:sz w:val="20"/>
                <w:szCs w:val="20"/>
              </w:rPr>
              <w:t xml:space="preserve"> </w:t>
            </w:r>
          </w:p>
        </w:tc>
      </w:tr>
      <w:tr w14:paraId="334EE43F" w14:textId="77777777" w:rsidTr="008B6A63">
        <w:tblPrEx>
          <w:tblW w:w="12480" w:type="dxa"/>
          <w:tblLook w:val="04A0"/>
        </w:tblPrEx>
        <w:trPr>
          <w:trHeight w:val="600"/>
        </w:trPr>
        <w:tc>
          <w:tcPr>
            <w:tcW w:w="2183" w:type="dxa"/>
            <w:shd w:val="clear" w:color="auto" w:fill="auto"/>
            <w:vAlign w:val="center"/>
            <w:hideMark/>
          </w:tcPr>
          <w:p w:rsidR="007E2E3C" w:rsidRPr="00962957" w14:paraId="20C40F1B"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CBI Substantiation</w:t>
            </w:r>
          </w:p>
        </w:tc>
        <w:tc>
          <w:tcPr>
            <w:tcW w:w="1261" w:type="dxa"/>
            <w:shd w:val="clear" w:color="auto" w:fill="auto"/>
            <w:vAlign w:val="center"/>
            <w:hideMark/>
          </w:tcPr>
          <w:p w:rsidR="007E2E3C" w:rsidRPr="00962957" w14:paraId="1C84414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0.95</w:t>
            </w:r>
          </w:p>
        </w:tc>
        <w:tc>
          <w:tcPr>
            <w:tcW w:w="1158" w:type="dxa"/>
            <w:shd w:val="clear" w:color="auto" w:fill="auto"/>
            <w:vAlign w:val="center"/>
            <w:hideMark/>
          </w:tcPr>
          <w:p w:rsidR="007E2E3C" w:rsidRPr="00962957" w14:paraId="18C8D25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3.06</w:t>
            </w:r>
          </w:p>
        </w:tc>
        <w:tc>
          <w:tcPr>
            <w:tcW w:w="1135" w:type="dxa"/>
            <w:shd w:val="clear" w:color="auto" w:fill="auto"/>
            <w:vAlign w:val="center"/>
            <w:hideMark/>
          </w:tcPr>
          <w:p w:rsidR="007E2E3C" w:rsidRPr="00962957" w14:paraId="6B39A75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1DD4E79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4.01</w:t>
            </w:r>
          </w:p>
        </w:tc>
        <w:tc>
          <w:tcPr>
            <w:tcW w:w="945" w:type="dxa"/>
            <w:shd w:val="clear" w:color="auto" w:fill="auto"/>
            <w:vAlign w:val="center"/>
            <w:hideMark/>
          </w:tcPr>
          <w:p w:rsidR="007E2E3C" w:rsidRPr="00962957" w14:paraId="0BC4FD19" w14:textId="5E729C06">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$3</w:t>
            </w:r>
            <w:r w:rsidRPr="45B313F0" w:rsidR="2417FA81">
              <w:rPr>
                <w:rFonts w:ascii="Calibri" w:eastAsia="Times New Roman" w:hAnsi="Calibri" w:cs="Calibri"/>
                <w:color w:val="000000" w:themeColor="text1"/>
                <w:sz w:val="20"/>
                <w:szCs w:val="20"/>
              </w:rPr>
              <w:t>40</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51BA6044" w14:textId="6DD86A11">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$3</w:t>
            </w:r>
            <w:r w:rsidRPr="45B313F0" w:rsidR="3195FA35">
              <w:rPr>
                <w:rFonts w:ascii="Calibri" w:eastAsia="Times New Roman" w:hAnsi="Calibri" w:cs="Calibri"/>
                <w:color w:val="000000" w:themeColor="text1"/>
                <w:sz w:val="20"/>
                <w:szCs w:val="20"/>
              </w:rPr>
              <w:t>40</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760BED03"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429083E6" w14:textId="226A10DA">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$3</w:t>
            </w:r>
            <w:r w:rsidRPr="45B313F0" w:rsidR="30F67F0B">
              <w:rPr>
                <w:rFonts w:ascii="Calibri" w:eastAsia="Times New Roman" w:hAnsi="Calibri" w:cs="Calibri"/>
                <w:color w:val="000000" w:themeColor="text1"/>
                <w:sz w:val="20"/>
                <w:szCs w:val="20"/>
              </w:rPr>
              <w:t>40</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3D20F97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350F9EE1" w14:textId="5A154CA4">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$3</w:t>
            </w:r>
            <w:r w:rsidRPr="45B313F0" w:rsidR="2C827B0A">
              <w:rPr>
                <w:rFonts w:ascii="Calibri" w:eastAsia="Times New Roman" w:hAnsi="Calibri" w:cs="Calibri"/>
                <w:color w:val="000000" w:themeColor="text1"/>
                <w:sz w:val="20"/>
                <w:szCs w:val="20"/>
              </w:rPr>
              <w:t>40</w:t>
            </w:r>
            <w:r w:rsidRPr="45B313F0">
              <w:rPr>
                <w:rFonts w:ascii="Calibri" w:eastAsia="Times New Roman" w:hAnsi="Calibri" w:cs="Calibri"/>
                <w:color w:val="000000" w:themeColor="text1"/>
                <w:sz w:val="20"/>
                <w:szCs w:val="20"/>
              </w:rPr>
              <w:t xml:space="preserve"> </w:t>
            </w:r>
          </w:p>
        </w:tc>
      </w:tr>
      <w:tr w14:paraId="75B16714" w14:textId="77777777" w:rsidTr="008B6A63">
        <w:tblPrEx>
          <w:tblW w:w="12480" w:type="dxa"/>
          <w:tblLook w:val="04A0"/>
        </w:tblPrEx>
        <w:trPr>
          <w:trHeight w:val="600"/>
        </w:trPr>
        <w:tc>
          <w:tcPr>
            <w:tcW w:w="2183" w:type="dxa"/>
            <w:shd w:val="clear" w:color="auto" w:fill="auto"/>
            <w:vAlign w:val="center"/>
            <w:hideMark/>
          </w:tcPr>
          <w:p w:rsidR="007E2E3C" w:rsidRPr="00962957" w14:paraId="74971BCD"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Recordkeeping</w:t>
            </w:r>
          </w:p>
        </w:tc>
        <w:tc>
          <w:tcPr>
            <w:tcW w:w="1261" w:type="dxa"/>
            <w:shd w:val="clear" w:color="auto" w:fill="auto"/>
            <w:vAlign w:val="center"/>
            <w:hideMark/>
          </w:tcPr>
          <w:p w:rsidR="007E2E3C" w:rsidRPr="00962957" w14:paraId="64127C4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1158" w:type="dxa"/>
            <w:shd w:val="clear" w:color="auto" w:fill="auto"/>
            <w:vAlign w:val="center"/>
            <w:hideMark/>
          </w:tcPr>
          <w:p w:rsidR="007E2E3C" w:rsidRPr="00962957" w14:paraId="3436DD4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0.50</w:t>
            </w:r>
          </w:p>
        </w:tc>
        <w:tc>
          <w:tcPr>
            <w:tcW w:w="1135" w:type="dxa"/>
            <w:shd w:val="clear" w:color="auto" w:fill="auto"/>
            <w:vAlign w:val="center"/>
            <w:hideMark/>
          </w:tcPr>
          <w:p w:rsidR="007E2E3C" w:rsidRPr="00962957" w14:paraId="37D2CD3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0.50</w:t>
            </w:r>
          </w:p>
        </w:tc>
        <w:tc>
          <w:tcPr>
            <w:tcW w:w="955" w:type="dxa"/>
            <w:shd w:val="clear" w:color="auto" w:fill="auto"/>
            <w:vAlign w:val="center"/>
            <w:hideMark/>
          </w:tcPr>
          <w:p w:rsidR="007E2E3C" w:rsidRPr="00962957" w14:paraId="2D16D50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1.00</w:t>
            </w:r>
          </w:p>
        </w:tc>
        <w:tc>
          <w:tcPr>
            <w:tcW w:w="945" w:type="dxa"/>
            <w:shd w:val="clear" w:color="auto" w:fill="auto"/>
            <w:vAlign w:val="center"/>
            <w:hideMark/>
          </w:tcPr>
          <w:p w:rsidR="007E2E3C" w:rsidRPr="00962957" w14:paraId="5FF81E0D" w14:textId="7E2A1A6C">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188C17BA">
              <w:rPr>
                <w:rFonts w:ascii="Calibri" w:eastAsia="Times New Roman" w:hAnsi="Calibri" w:cs="Calibri"/>
                <w:color w:val="000000" w:themeColor="text1"/>
                <w:sz w:val="20"/>
                <w:szCs w:val="20"/>
              </w:rPr>
              <w:t>63</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0CD40393" w14:textId="3044A230">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2A04283E">
              <w:rPr>
                <w:rFonts w:ascii="Calibri" w:eastAsia="Times New Roman" w:hAnsi="Calibri" w:cs="Calibri"/>
                <w:color w:val="000000" w:themeColor="text1"/>
                <w:sz w:val="20"/>
                <w:szCs w:val="20"/>
              </w:rPr>
              <w:t>63</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3C99C571"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72384BE0" w14:textId="540ED624">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4081B6F0">
              <w:rPr>
                <w:rFonts w:ascii="Calibri" w:eastAsia="Times New Roman" w:hAnsi="Calibri" w:cs="Calibri"/>
                <w:color w:val="000000" w:themeColor="text1"/>
                <w:sz w:val="20"/>
                <w:szCs w:val="20"/>
              </w:rPr>
              <w:t>63</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74C3C9AE"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161D1B6A" w14:textId="583A0096">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w:t>
            </w:r>
            <w:r w:rsidRPr="45B313F0" w:rsidR="11C9D2E0">
              <w:rPr>
                <w:rFonts w:ascii="Calibri" w:eastAsia="Times New Roman" w:hAnsi="Calibri" w:cs="Calibri"/>
                <w:color w:val="000000" w:themeColor="text1"/>
                <w:sz w:val="20"/>
                <w:szCs w:val="20"/>
              </w:rPr>
              <w:t>63</w:t>
            </w:r>
            <w:r w:rsidRPr="45B313F0">
              <w:rPr>
                <w:rFonts w:ascii="Calibri" w:eastAsia="Times New Roman" w:hAnsi="Calibri" w:cs="Calibri"/>
                <w:color w:val="000000" w:themeColor="text1"/>
                <w:sz w:val="20"/>
                <w:szCs w:val="20"/>
              </w:rPr>
              <w:t xml:space="preserve"> </w:t>
            </w:r>
          </w:p>
        </w:tc>
      </w:tr>
      <w:tr w14:paraId="5E4AF46C" w14:textId="77777777" w:rsidTr="008B6A63">
        <w:tblPrEx>
          <w:tblW w:w="12480" w:type="dxa"/>
          <w:tblLook w:val="04A0"/>
        </w:tblPrEx>
        <w:trPr>
          <w:trHeight w:val="600"/>
        </w:trPr>
        <w:tc>
          <w:tcPr>
            <w:tcW w:w="2183" w:type="dxa"/>
            <w:shd w:val="clear" w:color="auto" w:fill="auto"/>
            <w:vAlign w:val="center"/>
            <w:hideMark/>
          </w:tcPr>
          <w:p w:rsidR="007E2E3C" w:rsidRPr="00962957" w14:paraId="31CC6599"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CDX Registration</w:t>
            </w:r>
          </w:p>
        </w:tc>
        <w:tc>
          <w:tcPr>
            <w:tcW w:w="1261" w:type="dxa"/>
            <w:shd w:val="clear" w:color="auto" w:fill="auto"/>
            <w:vAlign w:val="center"/>
            <w:hideMark/>
          </w:tcPr>
          <w:p w:rsidR="007E2E3C" w:rsidRPr="00962957" w14:paraId="096277D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0.18</w:t>
            </w:r>
          </w:p>
        </w:tc>
        <w:tc>
          <w:tcPr>
            <w:tcW w:w="1158" w:type="dxa"/>
            <w:shd w:val="clear" w:color="auto" w:fill="auto"/>
            <w:vAlign w:val="center"/>
            <w:hideMark/>
          </w:tcPr>
          <w:p w:rsidR="007E2E3C" w:rsidRPr="00962957" w14:paraId="219B99F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0.73</w:t>
            </w:r>
          </w:p>
        </w:tc>
        <w:tc>
          <w:tcPr>
            <w:tcW w:w="1135" w:type="dxa"/>
            <w:shd w:val="clear" w:color="auto" w:fill="auto"/>
            <w:vAlign w:val="center"/>
            <w:hideMark/>
          </w:tcPr>
          <w:p w:rsidR="007E2E3C" w:rsidRPr="00962957" w14:paraId="696D868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29CF741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0.91</w:t>
            </w:r>
          </w:p>
        </w:tc>
        <w:tc>
          <w:tcPr>
            <w:tcW w:w="945" w:type="dxa"/>
            <w:shd w:val="clear" w:color="auto" w:fill="auto"/>
            <w:vAlign w:val="center"/>
            <w:hideMark/>
          </w:tcPr>
          <w:p w:rsidR="007E2E3C" w:rsidRPr="00962957" w14:paraId="16A557EC" w14:textId="44356EB5">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1B11B501">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5FBE898E" w14:textId="50E4E507">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114BD3EA">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2BAFFAE2"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193871F7" w14:textId="78331E1F">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3104E998">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2578DD9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28DA6B16" w14:textId="5C1790A2">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77A863C3">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r>
      <w:tr w14:paraId="69E5215A" w14:textId="77777777" w:rsidTr="008B6A63">
        <w:tblPrEx>
          <w:tblW w:w="12480" w:type="dxa"/>
          <w:tblLook w:val="04A0"/>
        </w:tblPrEx>
        <w:trPr>
          <w:trHeight w:val="600"/>
        </w:trPr>
        <w:tc>
          <w:tcPr>
            <w:tcW w:w="2183" w:type="dxa"/>
            <w:shd w:val="clear" w:color="auto" w:fill="auto"/>
            <w:vAlign w:val="center"/>
            <w:hideMark/>
          </w:tcPr>
          <w:p w:rsidR="007E2E3C" w:rsidRPr="00962957" w14:paraId="7C8FAD5F" w14:textId="77777777">
            <w:pPr>
              <w:spacing w:after="0" w:line="240" w:lineRule="auto"/>
              <w:rPr>
                <w:rFonts w:ascii="Calibri" w:hAnsi="Calibri" w:cs="Calibri"/>
                <w:color w:val="000000"/>
                <w:sz w:val="20"/>
                <w:szCs w:val="20"/>
              </w:rPr>
            </w:pPr>
            <w:r w:rsidRPr="00962957">
              <w:rPr>
                <w:rFonts w:ascii="Calibri" w:hAnsi="Calibri" w:cs="Calibri"/>
                <w:color w:val="000000"/>
                <w:sz w:val="20"/>
                <w:szCs w:val="20"/>
              </w:rPr>
              <w:t xml:space="preserve">CDX Electronic Signature </w:t>
            </w:r>
            <w:r w:rsidRPr="00962957">
              <w:rPr>
                <w:rFonts w:ascii="Calibri" w:hAnsi="Calibri" w:cs="Calibri"/>
                <w:color w:val="000000"/>
                <w:sz w:val="20"/>
                <w:szCs w:val="20"/>
                <w:vertAlign w:val="superscript"/>
              </w:rPr>
              <w:t>a</w:t>
            </w:r>
          </w:p>
        </w:tc>
        <w:tc>
          <w:tcPr>
            <w:tcW w:w="1261" w:type="dxa"/>
            <w:shd w:val="clear" w:color="auto" w:fill="auto"/>
            <w:vAlign w:val="center"/>
            <w:hideMark/>
          </w:tcPr>
          <w:p w:rsidR="007E2E3C" w:rsidRPr="00962957" w14:paraId="2EFB030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0.75</w:t>
            </w:r>
          </w:p>
        </w:tc>
        <w:tc>
          <w:tcPr>
            <w:tcW w:w="1158" w:type="dxa"/>
            <w:shd w:val="clear" w:color="auto" w:fill="auto"/>
            <w:vAlign w:val="center"/>
            <w:hideMark/>
          </w:tcPr>
          <w:p w:rsidR="007E2E3C" w:rsidRPr="00962957" w14:paraId="6EB11F8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1.00</w:t>
            </w:r>
          </w:p>
        </w:tc>
        <w:tc>
          <w:tcPr>
            <w:tcW w:w="1135" w:type="dxa"/>
            <w:shd w:val="clear" w:color="auto" w:fill="auto"/>
            <w:vAlign w:val="center"/>
            <w:hideMark/>
          </w:tcPr>
          <w:p w:rsidR="007E2E3C" w:rsidRPr="00962957" w14:paraId="1C12758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0B33719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1.75</w:t>
            </w:r>
          </w:p>
        </w:tc>
        <w:tc>
          <w:tcPr>
            <w:tcW w:w="945" w:type="dxa"/>
            <w:shd w:val="clear" w:color="auto" w:fill="auto"/>
            <w:vAlign w:val="center"/>
            <w:hideMark/>
          </w:tcPr>
          <w:p w:rsidR="007E2E3C" w:rsidRPr="00962957" w14:paraId="4F9A8F5E" w14:textId="0F147CFB">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$15</w:t>
            </w:r>
            <w:r w:rsidRPr="45B313F0" w:rsidR="20FAAA63">
              <w:rPr>
                <w:rFonts w:ascii="Calibri" w:eastAsia="Times New Roman" w:hAnsi="Calibri" w:cs="Calibri"/>
                <w:color w:val="000000" w:themeColor="text1"/>
                <w:sz w:val="20"/>
                <w:szCs w:val="20"/>
              </w:rPr>
              <w:t>0</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404616E0" w14:textId="200B72C4">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$15</w:t>
            </w:r>
            <w:r w:rsidRPr="45B313F0" w:rsidR="2FFCD842">
              <w:rPr>
                <w:rFonts w:ascii="Calibri" w:eastAsia="Times New Roman" w:hAnsi="Calibri" w:cs="Calibri"/>
                <w:color w:val="000000" w:themeColor="text1"/>
                <w:sz w:val="20"/>
                <w:szCs w:val="20"/>
              </w:rPr>
              <w:t>0</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5BE86B9C"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7E753083" w14:textId="723E8AEA">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$15</w:t>
            </w:r>
            <w:r w:rsidRPr="45B313F0" w:rsidR="2C6476E0">
              <w:rPr>
                <w:rFonts w:ascii="Calibri" w:eastAsia="Times New Roman" w:hAnsi="Calibri" w:cs="Calibri"/>
                <w:color w:val="000000" w:themeColor="text1"/>
                <w:sz w:val="20"/>
                <w:szCs w:val="20"/>
              </w:rPr>
              <w:t>0</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70D3008E"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69C9483C" w14:textId="6464184F">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$15</w:t>
            </w:r>
            <w:r w:rsidRPr="45B313F0" w:rsidR="749F56CF">
              <w:rPr>
                <w:rFonts w:ascii="Calibri" w:eastAsia="Times New Roman" w:hAnsi="Calibri" w:cs="Calibri"/>
                <w:color w:val="000000" w:themeColor="text1"/>
                <w:sz w:val="20"/>
                <w:szCs w:val="20"/>
              </w:rPr>
              <w:t>0</w:t>
            </w:r>
            <w:r w:rsidRPr="45B313F0">
              <w:rPr>
                <w:rFonts w:ascii="Calibri" w:eastAsia="Times New Roman" w:hAnsi="Calibri" w:cs="Calibri"/>
                <w:color w:val="000000" w:themeColor="text1"/>
                <w:sz w:val="20"/>
                <w:szCs w:val="20"/>
              </w:rPr>
              <w:t xml:space="preserve"> </w:t>
            </w:r>
          </w:p>
        </w:tc>
      </w:tr>
      <w:tr w14:paraId="0372A381" w14:textId="77777777" w:rsidTr="008B6A63">
        <w:tblPrEx>
          <w:tblW w:w="12480" w:type="dxa"/>
          <w:tblLook w:val="04A0"/>
        </w:tblPrEx>
        <w:trPr>
          <w:trHeight w:val="600"/>
        </w:trPr>
        <w:tc>
          <w:tcPr>
            <w:tcW w:w="2183" w:type="dxa"/>
            <w:shd w:val="clear" w:color="auto" w:fill="auto"/>
            <w:vAlign w:val="center"/>
            <w:hideMark/>
          </w:tcPr>
          <w:p w:rsidR="007E2E3C" w:rsidRPr="00962957" w14:paraId="163D67B1"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Rule Familiarization</w:t>
            </w:r>
          </w:p>
        </w:tc>
        <w:tc>
          <w:tcPr>
            <w:tcW w:w="1261" w:type="dxa"/>
            <w:shd w:val="clear" w:color="auto" w:fill="auto"/>
            <w:vAlign w:val="center"/>
            <w:hideMark/>
          </w:tcPr>
          <w:p w:rsidR="007E2E3C" w:rsidRPr="00962957" w14:paraId="4CBFBDA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0.55</w:t>
            </w:r>
          </w:p>
        </w:tc>
        <w:tc>
          <w:tcPr>
            <w:tcW w:w="1158" w:type="dxa"/>
            <w:shd w:val="clear" w:color="auto" w:fill="auto"/>
            <w:vAlign w:val="center"/>
            <w:hideMark/>
          </w:tcPr>
          <w:p w:rsidR="007E2E3C" w:rsidRPr="00962957" w14:paraId="72DB8D0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0.27</w:t>
            </w:r>
          </w:p>
        </w:tc>
        <w:tc>
          <w:tcPr>
            <w:tcW w:w="1135" w:type="dxa"/>
            <w:shd w:val="clear" w:color="auto" w:fill="auto"/>
            <w:vAlign w:val="center"/>
            <w:hideMark/>
          </w:tcPr>
          <w:p w:rsidR="007E2E3C" w:rsidRPr="00962957" w14:paraId="6BBE2BD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955" w:type="dxa"/>
            <w:shd w:val="clear" w:color="auto" w:fill="auto"/>
            <w:vAlign w:val="center"/>
            <w:hideMark/>
          </w:tcPr>
          <w:p w:rsidR="007E2E3C" w:rsidRPr="00962957" w14:paraId="79A3EEE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0.82</w:t>
            </w:r>
          </w:p>
        </w:tc>
        <w:tc>
          <w:tcPr>
            <w:tcW w:w="945" w:type="dxa"/>
            <w:shd w:val="clear" w:color="auto" w:fill="auto"/>
            <w:vAlign w:val="center"/>
            <w:hideMark/>
          </w:tcPr>
          <w:p w:rsidR="007E2E3C" w:rsidRPr="00962957" w14:paraId="2110149E" w14:textId="6F057EB7">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1E804772">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204D9CED" w14:textId="40DB2186">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1FFDDE03">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5C89EEAA"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3295C870" w14:textId="31A1F303">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7A87E15E">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37373639"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5C27F1C3" w14:textId="2CF4920F">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$7</w:t>
            </w:r>
            <w:r w:rsidRPr="45B313F0" w:rsidR="2EC998A8">
              <w:rPr>
                <w:rFonts w:ascii="Calibri" w:eastAsia="Times New Roman" w:hAnsi="Calibri" w:cs="Calibri"/>
                <w:color w:val="000000" w:themeColor="text1"/>
                <w:sz w:val="20"/>
                <w:szCs w:val="20"/>
              </w:rPr>
              <w:t>2</w:t>
            </w:r>
            <w:r w:rsidRPr="45B313F0">
              <w:rPr>
                <w:rFonts w:ascii="Calibri" w:eastAsia="Times New Roman" w:hAnsi="Calibri" w:cs="Calibri"/>
                <w:color w:val="000000" w:themeColor="text1"/>
                <w:sz w:val="20"/>
                <w:szCs w:val="20"/>
              </w:rPr>
              <w:t xml:space="preserve"> </w:t>
            </w:r>
          </w:p>
        </w:tc>
      </w:tr>
      <w:tr w14:paraId="69C31644" w14:textId="77777777" w:rsidTr="008B6A63">
        <w:tblPrEx>
          <w:tblW w:w="12480" w:type="dxa"/>
          <w:tblLook w:val="04A0"/>
        </w:tblPrEx>
        <w:trPr>
          <w:trHeight w:val="600"/>
        </w:trPr>
        <w:tc>
          <w:tcPr>
            <w:tcW w:w="2183" w:type="dxa"/>
            <w:shd w:val="clear" w:color="auto" w:fill="auto"/>
            <w:vAlign w:val="center"/>
            <w:hideMark/>
          </w:tcPr>
          <w:p w:rsidR="007E2E3C" w:rsidRPr="00962957" w14:paraId="5FF74149"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Report Submission</w:t>
            </w:r>
          </w:p>
        </w:tc>
        <w:tc>
          <w:tcPr>
            <w:tcW w:w="1261" w:type="dxa"/>
            <w:shd w:val="clear" w:color="auto" w:fill="auto"/>
            <w:vAlign w:val="center"/>
            <w:hideMark/>
          </w:tcPr>
          <w:p w:rsidR="007E2E3C" w:rsidRPr="00962957" w14:paraId="2B907AE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0.50</w:t>
            </w:r>
          </w:p>
        </w:tc>
        <w:tc>
          <w:tcPr>
            <w:tcW w:w="1158" w:type="dxa"/>
            <w:shd w:val="clear" w:color="auto" w:fill="auto"/>
            <w:vAlign w:val="center"/>
            <w:hideMark/>
          </w:tcPr>
          <w:p w:rsidR="007E2E3C" w:rsidRPr="00962957" w14:paraId="60C8445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0.00</w:t>
            </w:r>
          </w:p>
        </w:tc>
        <w:tc>
          <w:tcPr>
            <w:tcW w:w="1135" w:type="dxa"/>
            <w:shd w:val="clear" w:color="auto" w:fill="auto"/>
            <w:vAlign w:val="center"/>
            <w:hideMark/>
          </w:tcPr>
          <w:p w:rsidR="007E2E3C" w:rsidRPr="00962957" w14:paraId="7DF2959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0.05</w:t>
            </w:r>
          </w:p>
        </w:tc>
        <w:tc>
          <w:tcPr>
            <w:tcW w:w="955" w:type="dxa"/>
            <w:shd w:val="clear" w:color="auto" w:fill="auto"/>
            <w:vAlign w:val="center"/>
            <w:hideMark/>
          </w:tcPr>
          <w:p w:rsidR="007E2E3C" w:rsidRPr="00962957" w14:paraId="5E60E55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0.55</w:t>
            </w:r>
          </w:p>
        </w:tc>
        <w:tc>
          <w:tcPr>
            <w:tcW w:w="945" w:type="dxa"/>
            <w:shd w:val="clear" w:color="auto" w:fill="auto"/>
            <w:vAlign w:val="center"/>
            <w:hideMark/>
          </w:tcPr>
          <w:p w:rsidR="007E2E3C" w:rsidRPr="00962957" w14:paraId="464A4831" w14:textId="3D94065E">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$4</w:t>
            </w:r>
            <w:r w:rsidRPr="45B313F0" w:rsidR="21562B21">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c>
          <w:tcPr>
            <w:tcW w:w="949" w:type="dxa"/>
            <w:shd w:val="clear" w:color="auto" w:fill="auto"/>
            <w:vAlign w:val="center"/>
            <w:hideMark/>
          </w:tcPr>
          <w:p w:rsidR="007E2E3C" w:rsidRPr="00962957" w14:paraId="2E22326F" w14:textId="72C51179">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$4</w:t>
            </w:r>
            <w:r w:rsidRPr="45B313F0" w:rsidR="2805EAEE">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c>
          <w:tcPr>
            <w:tcW w:w="972" w:type="dxa"/>
            <w:shd w:val="clear" w:color="auto" w:fill="auto"/>
            <w:vAlign w:val="center"/>
            <w:hideMark/>
          </w:tcPr>
          <w:p w:rsidR="007E2E3C" w:rsidRPr="00962957" w14:paraId="70F5A915"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45" w:type="dxa"/>
            <w:shd w:val="clear" w:color="auto" w:fill="auto"/>
            <w:vAlign w:val="center"/>
            <w:hideMark/>
          </w:tcPr>
          <w:p w:rsidR="007E2E3C" w:rsidRPr="00962957" w14:paraId="1B6485E3" w14:textId="0D3C3A2F">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$4</w:t>
            </w:r>
            <w:r w:rsidRPr="45B313F0" w:rsidR="6D9B065C">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c>
          <w:tcPr>
            <w:tcW w:w="972" w:type="dxa"/>
            <w:shd w:val="clear" w:color="auto" w:fill="auto"/>
            <w:noWrap/>
            <w:vAlign w:val="center"/>
            <w:hideMark/>
          </w:tcPr>
          <w:p w:rsidR="007E2E3C" w:rsidRPr="00962957" w14:paraId="7A7127A8" w14:textId="7777777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1005" w:type="dxa"/>
            <w:shd w:val="clear" w:color="auto" w:fill="auto"/>
            <w:vAlign w:val="center"/>
            <w:hideMark/>
          </w:tcPr>
          <w:p w:rsidR="007E2E3C" w:rsidRPr="00962957" w14:paraId="620B6232" w14:textId="5A90CDDA">
            <w:pPr>
              <w:spacing w:after="0" w:line="240" w:lineRule="auto"/>
              <w:jc w:val="right"/>
              <w:rPr>
                <w:rFonts w:ascii="Calibri" w:eastAsia="Times New Roman" w:hAnsi="Calibri" w:cs="Calibri"/>
                <w:color w:val="000000"/>
                <w:sz w:val="20"/>
                <w:szCs w:val="20"/>
              </w:rPr>
            </w:pPr>
            <w:r w:rsidRPr="45B313F0">
              <w:rPr>
                <w:rFonts w:ascii="Calibri" w:eastAsia="Times New Roman" w:hAnsi="Calibri" w:cs="Calibri"/>
                <w:color w:val="000000" w:themeColor="text1"/>
                <w:sz w:val="20"/>
                <w:szCs w:val="20"/>
              </w:rPr>
              <w:t>$4</w:t>
            </w:r>
            <w:r w:rsidRPr="45B313F0" w:rsidR="67F32303">
              <w:rPr>
                <w:rFonts w:ascii="Calibri" w:eastAsia="Times New Roman" w:hAnsi="Calibri" w:cs="Calibri"/>
                <w:color w:val="000000" w:themeColor="text1"/>
                <w:sz w:val="20"/>
                <w:szCs w:val="20"/>
              </w:rPr>
              <w:t>7</w:t>
            </w:r>
            <w:r w:rsidRPr="45B313F0">
              <w:rPr>
                <w:rFonts w:ascii="Calibri" w:eastAsia="Times New Roman" w:hAnsi="Calibri" w:cs="Calibri"/>
                <w:color w:val="000000" w:themeColor="text1"/>
                <w:sz w:val="20"/>
                <w:szCs w:val="20"/>
              </w:rPr>
              <w:t xml:space="preserve"> </w:t>
            </w:r>
          </w:p>
        </w:tc>
      </w:tr>
      <w:tr w14:paraId="741CB222" w14:textId="77777777" w:rsidTr="008B6A63">
        <w:tblPrEx>
          <w:tblW w:w="12480" w:type="dxa"/>
          <w:tblLook w:val="04A0"/>
        </w:tblPrEx>
        <w:trPr>
          <w:trHeight w:val="540"/>
        </w:trPr>
        <w:tc>
          <w:tcPr>
            <w:tcW w:w="2183" w:type="dxa"/>
            <w:shd w:val="clear" w:color="auto" w:fill="auto"/>
            <w:vAlign w:val="center"/>
            <w:hideMark/>
          </w:tcPr>
          <w:p w:rsidR="007E2E3C" w:rsidRPr="00962957" w14:paraId="7C3A2370"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w:t>
            </w:r>
          </w:p>
        </w:tc>
        <w:tc>
          <w:tcPr>
            <w:tcW w:w="1261" w:type="dxa"/>
            <w:shd w:val="clear" w:color="auto" w:fill="auto"/>
            <w:vAlign w:val="center"/>
            <w:hideMark/>
          </w:tcPr>
          <w:p w:rsidR="007E2E3C" w:rsidRPr="00962957" w14:paraId="5D6E7FBD"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13.63</w:t>
            </w:r>
          </w:p>
        </w:tc>
        <w:tc>
          <w:tcPr>
            <w:tcW w:w="1158" w:type="dxa"/>
            <w:shd w:val="clear" w:color="auto" w:fill="auto"/>
            <w:vAlign w:val="center"/>
            <w:hideMark/>
          </w:tcPr>
          <w:p w:rsidR="007E2E3C" w:rsidRPr="00962957" w14:paraId="73275FD5"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18.81</w:t>
            </w:r>
          </w:p>
        </w:tc>
        <w:tc>
          <w:tcPr>
            <w:tcW w:w="1135" w:type="dxa"/>
            <w:shd w:val="clear" w:color="auto" w:fill="auto"/>
            <w:vAlign w:val="center"/>
            <w:hideMark/>
          </w:tcPr>
          <w:p w:rsidR="007E2E3C" w:rsidRPr="00962957" w14:paraId="489456FB"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0.55</w:t>
            </w:r>
          </w:p>
        </w:tc>
        <w:tc>
          <w:tcPr>
            <w:tcW w:w="955" w:type="dxa"/>
            <w:shd w:val="clear" w:color="auto" w:fill="auto"/>
            <w:vAlign w:val="center"/>
            <w:hideMark/>
          </w:tcPr>
          <w:p w:rsidR="007E2E3C" w:rsidRPr="00962957" w14:paraId="7DD9A489"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32.99</w:t>
            </w:r>
          </w:p>
        </w:tc>
        <w:tc>
          <w:tcPr>
            <w:tcW w:w="945" w:type="dxa"/>
            <w:shd w:val="clear" w:color="auto" w:fill="auto"/>
            <w:vAlign w:val="center"/>
            <w:hideMark/>
          </w:tcPr>
          <w:p w:rsidR="007E2E3C" w:rsidRPr="00962957" w14:paraId="218A154E" w14:textId="0036078E">
            <w:pPr>
              <w:spacing w:after="0" w:line="240" w:lineRule="auto"/>
              <w:jc w:val="right"/>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$2,8</w:t>
            </w:r>
            <w:r w:rsidRPr="45B313F0" w:rsidR="3FD97531">
              <w:rPr>
                <w:rFonts w:ascii="Calibri" w:eastAsia="Times New Roman" w:hAnsi="Calibri" w:cs="Calibri"/>
                <w:b/>
                <w:bCs/>
                <w:color w:val="000000" w:themeColor="text1"/>
                <w:sz w:val="20"/>
                <w:szCs w:val="20"/>
              </w:rPr>
              <w:t>10</w:t>
            </w:r>
            <w:r w:rsidRPr="45B313F0">
              <w:rPr>
                <w:rFonts w:ascii="Calibri" w:eastAsia="Times New Roman" w:hAnsi="Calibri" w:cs="Calibri"/>
                <w:b/>
                <w:color w:val="000000" w:themeColor="text1"/>
                <w:sz w:val="20"/>
                <w:szCs w:val="20"/>
              </w:rPr>
              <w:t xml:space="preserve"> </w:t>
            </w:r>
          </w:p>
        </w:tc>
        <w:tc>
          <w:tcPr>
            <w:tcW w:w="949" w:type="dxa"/>
            <w:shd w:val="clear" w:color="auto" w:fill="auto"/>
            <w:vAlign w:val="center"/>
            <w:hideMark/>
          </w:tcPr>
          <w:p w:rsidR="007E2E3C" w:rsidRPr="00962957" w14:paraId="073D47DB" w14:textId="33CC8085">
            <w:pPr>
              <w:spacing w:after="0" w:line="240" w:lineRule="auto"/>
              <w:jc w:val="right"/>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$2,8</w:t>
            </w:r>
            <w:r w:rsidRPr="45B313F0" w:rsidR="34861AAF">
              <w:rPr>
                <w:rFonts w:ascii="Calibri" w:eastAsia="Times New Roman" w:hAnsi="Calibri" w:cs="Calibri"/>
                <w:b/>
                <w:bCs/>
                <w:color w:val="000000" w:themeColor="text1"/>
                <w:sz w:val="20"/>
                <w:szCs w:val="20"/>
              </w:rPr>
              <w:t>10</w:t>
            </w:r>
            <w:r w:rsidRPr="45B313F0">
              <w:rPr>
                <w:rFonts w:ascii="Calibri" w:eastAsia="Times New Roman" w:hAnsi="Calibri" w:cs="Calibri"/>
                <w:b/>
                <w:color w:val="000000" w:themeColor="text1"/>
                <w:sz w:val="20"/>
                <w:szCs w:val="20"/>
              </w:rPr>
              <w:t xml:space="preserve"> </w:t>
            </w:r>
          </w:p>
        </w:tc>
        <w:tc>
          <w:tcPr>
            <w:tcW w:w="972" w:type="dxa"/>
            <w:shd w:val="clear" w:color="auto" w:fill="auto"/>
            <w:vAlign w:val="center"/>
            <w:hideMark/>
          </w:tcPr>
          <w:p w:rsidR="007E2E3C" w:rsidRPr="00962957" w14:paraId="54FA4133"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w:t>
            </w:r>
          </w:p>
        </w:tc>
        <w:tc>
          <w:tcPr>
            <w:tcW w:w="945" w:type="dxa"/>
            <w:shd w:val="clear" w:color="auto" w:fill="auto"/>
            <w:vAlign w:val="center"/>
            <w:hideMark/>
          </w:tcPr>
          <w:p w:rsidR="007E2E3C" w:rsidRPr="00962957" w14:paraId="1FA4148D" w14:textId="476B2F0E">
            <w:pPr>
              <w:spacing w:after="0" w:line="240" w:lineRule="auto"/>
              <w:jc w:val="right"/>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$2,8</w:t>
            </w:r>
            <w:r w:rsidRPr="45B313F0" w:rsidR="4B5C776F">
              <w:rPr>
                <w:rFonts w:ascii="Calibri" w:eastAsia="Times New Roman" w:hAnsi="Calibri" w:cs="Calibri"/>
                <w:b/>
                <w:bCs/>
                <w:color w:val="000000" w:themeColor="text1"/>
                <w:sz w:val="20"/>
                <w:szCs w:val="20"/>
              </w:rPr>
              <w:t>10</w:t>
            </w:r>
            <w:r w:rsidRPr="45B313F0">
              <w:rPr>
                <w:rFonts w:ascii="Calibri" w:eastAsia="Times New Roman" w:hAnsi="Calibri" w:cs="Calibri"/>
                <w:b/>
                <w:color w:val="000000" w:themeColor="text1"/>
                <w:sz w:val="20"/>
                <w:szCs w:val="20"/>
              </w:rPr>
              <w:t xml:space="preserve"> </w:t>
            </w:r>
          </w:p>
        </w:tc>
        <w:tc>
          <w:tcPr>
            <w:tcW w:w="972" w:type="dxa"/>
            <w:shd w:val="clear" w:color="auto" w:fill="auto"/>
            <w:noWrap/>
            <w:vAlign w:val="center"/>
            <w:hideMark/>
          </w:tcPr>
          <w:p w:rsidR="007E2E3C" w:rsidRPr="00962957" w14:paraId="74B52296"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w:t>
            </w:r>
          </w:p>
        </w:tc>
        <w:tc>
          <w:tcPr>
            <w:tcW w:w="1005" w:type="dxa"/>
            <w:shd w:val="clear" w:color="auto" w:fill="auto"/>
            <w:vAlign w:val="center"/>
            <w:hideMark/>
          </w:tcPr>
          <w:p w:rsidR="007E2E3C" w:rsidRPr="00962957" w14:paraId="63FCCBA0" w14:textId="75F911E9">
            <w:pPr>
              <w:spacing w:after="0" w:line="240" w:lineRule="auto"/>
              <w:jc w:val="right"/>
              <w:rPr>
                <w:rFonts w:ascii="Calibri" w:eastAsia="Times New Roman" w:hAnsi="Calibri" w:cs="Calibri"/>
                <w:b/>
                <w:bCs/>
                <w:color w:val="000000"/>
                <w:sz w:val="20"/>
                <w:szCs w:val="20"/>
              </w:rPr>
            </w:pPr>
            <w:r w:rsidRPr="45B313F0">
              <w:rPr>
                <w:rFonts w:ascii="Calibri" w:eastAsia="Times New Roman" w:hAnsi="Calibri" w:cs="Calibri"/>
                <w:b/>
                <w:color w:val="000000" w:themeColor="text1"/>
                <w:sz w:val="20"/>
                <w:szCs w:val="20"/>
              </w:rPr>
              <w:t>$2,8</w:t>
            </w:r>
            <w:r w:rsidRPr="45B313F0" w:rsidR="64C5797F">
              <w:rPr>
                <w:rFonts w:ascii="Calibri" w:eastAsia="Times New Roman" w:hAnsi="Calibri" w:cs="Calibri"/>
                <w:b/>
                <w:bCs/>
                <w:color w:val="000000" w:themeColor="text1"/>
                <w:sz w:val="20"/>
                <w:szCs w:val="20"/>
              </w:rPr>
              <w:t>10</w:t>
            </w:r>
            <w:r w:rsidRPr="45B313F0">
              <w:rPr>
                <w:rFonts w:ascii="Calibri" w:eastAsia="Times New Roman" w:hAnsi="Calibri" w:cs="Calibri"/>
                <w:b/>
                <w:color w:val="000000" w:themeColor="text1"/>
                <w:sz w:val="20"/>
                <w:szCs w:val="20"/>
              </w:rPr>
              <w:t xml:space="preserve"> </w:t>
            </w:r>
          </w:p>
        </w:tc>
      </w:tr>
    </w:tbl>
    <w:p w:rsidR="007E2E3C" w:rsidRPr="00962957" w:rsidP="007E2E3C" w14:paraId="0BEAA99B" w14:textId="77777777">
      <w:pPr>
        <w:spacing w:after="0" w:line="240" w:lineRule="auto"/>
        <w:rPr>
          <w:rFonts w:ascii="Calibri" w:eastAsia="Times New Roman" w:hAnsi="Calibri" w:cs="Calibri"/>
          <w:color w:val="000000"/>
          <w:sz w:val="16"/>
          <w:szCs w:val="16"/>
        </w:rPr>
      </w:pPr>
      <w:r w:rsidRPr="00962957">
        <w:rPr>
          <w:rFonts w:ascii="Calibri" w:eastAsia="Times New Roman" w:hAnsi="Calibri" w:cs="Calibri"/>
          <w:color w:val="000000"/>
          <w:sz w:val="16"/>
          <w:szCs w:val="16"/>
          <w:vertAlign w:val="superscript"/>
        </w:rPr>
        <w:t>a</w:t>
      </w:r>
      <w:r w:rsidRPr="00962957">
        <w:rPr>
          <w:rFonts w:ascii="Calibri" w:eastAsia="Times New Roman" w:hAnsi="Calibri" w:cs="Calibri"/>
          <w:color w:val="000000"/>
          <w:sz w:val="16"/>
          <w:szCs w:val="16"/>
        </w:rPr>
        <w:t xml:space="preserve"> Other direct costs related are excluded from total annual industry cost</w:t>
      </w:r>
    </w:p>
    <w:p w:rsidR="007E2E3C" w:rsidRPr="00962957" w:rsidP="00D872F0" w14:paraId="44795E79" w14:textId="45FD0B3D">
      <w:pPr>
        <w:pStyle w:val="Caption"/>
        <w:outlineLvl w:val="9"/>
        <w:rPr>
          <w:rFonts w:ascii="Calibri" w:hAnsi="Calibri" w:cs="Calibri"/>
          <w:szCs w:val="24"/>
        </w:rPr>
      </w:pPr>
      <w:r w:rsidRPr="00962957">
        <w:rPr>
          <w:rFonts w:ascii="Calibri" w:hAnsi="Calibri" w:cs="Calibri"/>
          <w:szCs w:val="24"/>
        </w:rPr>
        <w:tab/>
      </w:r>
    </w:p>
    <w:p w:rsidR="007E2E3C" w:rsidRPr="00962957" w:rsidP="007E2E3C" w14:paraId="7F2A2683" w14:textId="77777777">
      <w:pPr>
        <w:rPr>
          <w:rFonts w:ascii="Calibri" w:hAnsi="Calibri" w:cs="Calibri"/>
          <w:b/>
          <w:bCs/>
          <w:szCs w:val="24"/>
        </w:rPr>
        <w:sectPr w:rsidSect="007E2E3C">
          <w:headerReference w:type="default" r:id="rId14"/>
          <w:pgSz w:w="15840" w:h="12240" w:orient="landscape"/>
          <w:pgMar w:top="1440" w:right="1440" w:bottom="1440" w:left="1440" w:header="720" w:footer="720" w:gutter="0"/>
          <w:cols w:space="720"/>
          <w:docGrid w:linePitch="360"/>
        </w:sectPr>
      </w:pPr>
    </w:p>
    <w:bookmarkEnd w:id="23"/>
    <w:p w:rsidR="007E2E3C" w:rsidRPr="00962957" w:rsidP="007E2E3C" w14:paraId="0F1478A3" w14:textId="2F5D43CE">
      <w:pPr>
        <w:autoSpaceDE w:val="0"/>
        <w:autoSpaceDN w:val="0"/>
        <w:adjustRightInd w:val="0"/>
        <w:rPr>
          <w:rFonts w:ascii="Calibri" w:hAnsi="Calibri" w:cs="Calibri"/>
        </w:rPr>
      </w:pPr>
      <w:r w:rsidRPr="45B313F0">
        <w:rPr>
          <w:rFonts w:ascii="Calibri" w:hAnsi="Calibri" w:cs="Calibri"/>
        </w:rPr>
        <w:t>The average respondent is assumed to spend $2,8</w:t>
      </w:r>
      <w:r w:rsidRPr="45B313F0" w:rsidR="52140CB1">
        <w:rPr>
          <w:rFonts w:ascii="Calibri" w:hAnsi="Calibri" w:cs="Calibri"/>
        </w:rPr>
        <w:t>10</w:t>
      </w:r>
      <w:r w:rsidRPr="45B313F0">
        <w:rPr>
          <w:rFonts w:ascii="Calibri" w:hAnsi="Calibri" w:cs="Calibri"/>
        </w:rPr>
        <w:t xml:space="preserve"> per report, or $2,8</w:t>
      </w:r>
      <w:r w:rsidRPr="45B313F0" w:rsidR="1840012F">
        <w:rPr>
          <w:rFonts w:ascii="Calibri" w:hAnsi="Calibri" w:cs="Calibri"/>
        </w:rPr>
        <w:t>10</w:t>
      </w:r>
      <w:r w:rsidRPr="45B313F0">
        <w:rPr>
          <w:rFonts w:ascii="Calibri" w:hAnsi="Calibri" w:cs="Calibri"/>
        </w:rPr>
        <w:t xml:space="preserve"> in total per respondent per year. As noted earlier, the Agency is estimating an average of </w:t>
      </w:r>
      <w:r w:rsidR="008E4D04">
        <w:rPr>
          <w:rFonts w:ascii="Calibri" w:hAnsi="Calibri" w:cs="Calibri"/>
        </w:rPr>
        <w:t>one</w:t>
      </w:r>
      <w:r w:rsidRPr="45B313F0">
        <w:rPr>
          <w:rFonts w:ascii="Calibri" w:hAnsi="Calibri" w:cs="Calibri"/>
        </w:rPr>
        <w:t xml:space="preserve"> reporting site and </w:t>
      </w:r>
      <w:r w:rsidR="008E4D04">
        <w:rPr>
          <w:rFonts w:ascii="Calibri" w:hAnsi="Calibri" w:cs="Calibri"/>
        </w:rPr>
        <w:t>one</w:t>
      </w:r>
      <w:r w:rsidRPr="45B313F0">
        <w:rPr>
          <w:rFonts w:ascii="Calibri" w:hAnsi="Calibri" w:cs="Calibri"/>
        </w:rPr>
        <w:t xml:space="preserve"> report per year. As a result, total industry cost for complying with PAIR and subpart B of 40 CFR 766 rules is estimated to be $2,8</w:t>
      </w:r>
      <w:r w:rsidRPr="45B313F0" w:rsidR="39A03715">
        <w:rPr>
          <w:rFonts w:ascii="Calibri" w:hAnsi="Calibri" w:cs="Calibri"/>
        </w:rPr>
        <w:t>10</w:t>
      </w:r>
      <w:r w:rsidRPr="45B313F0">
        <w:rPr>
          <w:rFonts w:ascii="Calibri" w:hAnsi="Calibri" w:cs="Calibri"/>
        </w:rPr>
        <w:t xml:space="preserve"> per year during the period of FY 202</w:t>
      </w:r>
      <w:r w:rsidRPr="45B313F0" w:rsidR="69ED5E51">
        <w:rPr>
          <w:rFonts w:ascii="Calibri" w:hAnsi="Calibri" w:cs="Calibri"/>
        </w:rPr>
        <w:t>5</w:t>
      </w:r>
      <w:r w:rsidRPr="45B313F0">
        <w:rPr>
          <w:rFonts w:ascii="Calibri" w:hAnsi="Calibri" w:cs="Calibri"/>
        </w:rPr>
        <w:t xml:space="preserve"> through FY 202</w:t>
      </w:r>
      <w:r w:rsidRPr="45B313F0" w:rsidR="0F170132">
        <w:rPr>
          <w:rFonts w:ascii="Calibri" w:hAnsi="Calibri" w:cs="Calibri"/>
        </w:rPr>
        <w:t>7</w:t>
      </w:r>
      <w:r w:rsidRPr="45B313F0">
        <w:rPr>
          <w:rFonts w:ascii="Calibri" w:hAnsi="Calibri" w:cs="Calibri"/>
        </w:rPr>
        <w:t>.</w:t>
      </w:r>
    </w:p>
    <w:p w:rsidR="003565CB" w:rsidRPr="00B33764" w:rsidP="00B33764" w14:paraId="3E280402" w14:textId="5CF25A6D">
      <w:pPr>
        <w:pStyle w:val="Heading3"/>
        <w:rPr>
          <w:rFonts w:ascii="Calibri" w:hAnsi="Calibri" w:cs="Calibri"/>
        </w:rPr>
      </w:pPr>
      <w:r w:rsidRPr="00B33764">
        <w:rPr>
          <w:rFonts w:ascii="Calibri" w:hAnsi="Calibri" w:cs="Calibri"/>
        </w:rPr>
        <w:t>TSCA Section 8(a) Chemical-Specific Rules</w:t>
      </w:r>
    </w:p>
    <w:p w:rsidR="007E2E3C" w:rsidRPr="00962957" w:rsidP="007E2E3C" w14:paraId="7755E13A" w14:textId="10976D89">
      <w:pPr>
        <w:pStyle w:val="ListParagraph"/>
        <w:autoSpaceDE w:val="0"/>
        <w:autoSpaceDN w:val="0"/>
        <w:adjustRightInd w:val="0"/>
        <w:ind w:left="0"/>
        <w:rPr>
          <w:rFonts w:ascii="Calibri" w:hAnsi="Calibri" w:cs="Calibri"/>
          <w:szCs w:val="24"/>
        </w:rPr>
      </w:pPr>
      <w:r w:rsidRPr="00962957">
        <w:rPr>
          <w:rFonts w:ascii="Calibri" w:hAnsi="Calibri" w:cs="Calibri"/>
          <w:szCs w:val="24"/>
        </w:rPr>
        <w:t>Items requested of manufacturers or processors of certain chemicals vary with each collection request but will not repeat information previously requested through other information gathering tools. Some data items requested under TSCA section 8(a) chemical-specific rules in the past include notification and description of changes in the end use of identified substances and mixtures, information on planned manufacturing and on-site processing, and notification of changes to the method of manufacturing the substance (see 40 CFR 704 subpart B).</w:t>
      </w:r>
    </w:p>
    <w:p w:rsidR="007E2E3C" w:rsidRPr="00962957" w:rsidP="007E2E3C" w14:paraId="34AE6462" w14:textId="77777777">
      <w:pPr>
        <w:pStyle w:val="ListParagraph"/>
        <w:autoSpaceDE w:val="0"/>
        <w:autoSpaceDN w:val="0"/>
        <w:adjustRightInd w:val="0"/>
        <w:ind w:left="0"/>
        <w:rPr>
          <w:rFonts w:ascii="Calibri" w:hAnsi="Calibri" w:cs="Calibri"/>
        </w:rPr>
      </w:pPr>
    </w:p>
    <w:p w:rsidR="007E2E3C" w:rsidRPr="00962957" w:rsidP="007E2E3C" w14:paraId="214DD640" w14:textId="0CB68DD1">
      <w:pPr>
        <w:pStyle w:val="ListParagraph"/>
        <w:autoSpaceDE w:val="0"/>
        <w:autoSpaceDN w:val="0"/>
        <w:adjustRightInd w:val="0"/>
        <w:ind w:left="0"/>
        <w:rPr>
          <w:rFonts w:ascii="Calibri" w:hAnsi="Calibri" w:cs="Calibri"/>
          <w:szCs w:val="24"/>
        </w:rPr>
      </w:pPr>
      <w:r w:rsidRPr="00962957">
        <w:rPr>
          <w:rFonts w:ascii="Calibri" w:hAnsi="Calibri" w:cs="Calibri"/>
        </w:rPr>
        <w:t>An example of a TSCA section 8(a) chemical-specific rule is one issued on certain nanoscale materials. It requires persons that manufacture (includes import) or process certain nanoscale materials to report to EPA information on chemical identity; production volume; methods of manufacture and processing; exposure and release; and environmental and health effects.</w:t>
      </w:r>
    </w:p>
    <w:p w:rsidR="007E2E3C" w:rsidRPr="00962957" w:rsidP="007E2E3C" w14:paraId="42211623" w14:textId="16CB0422">
      <w:pPr>
        <w:rPr>
          <w:rFonts w:ascii="Calibri" w:hAnsi="Calibri" w:cs="Calibri"/>
        </w:rPr>
      </w:pPr>
      <w:r w:rsidRPr="00962957">
        <w:rPr>
          <w:rFonts w:ascii="Calibri" w:hAnsi="Calibri" w:cs="Calibri"/>
        </w:rPr>
        <w:t xml:space="preserve">Activities a respondent may be required to perform as a result of a TSCA section 8(a) chemical-specific rule are as follows. </w:t>
      </w:r>
      <w:r w:rsidRPr="55D022B7">
        <w:rPr>
          <w:rFonts w:ascii="Calibri" w:hAnsi="Calibri" w:cs="Calibri"/>
        </w:rPr>
        <w:t xml:space="preserve">However, as discussed at the end of this section, not all respondents are likely to be required to perform all tasks under each labor category. Therefore, the ranges of labor hours presented for each labor category (e.g., 9.50 to 29.50 hours for managers) are </w:t>
      </w:r>
      <w:r w:rsidRPr="003B6718" w:rsidR="003B6718">
        <w:rPr>
          <w:rFonts w:ascii="Calibri" w:hAnsi="Calibri" w:cs="Calibri"/>
        </w:rPr>
        <w:t xml:space="preserve">from the minimum to maximum estimated burden hours </w:t>
      </w:r>
      <w:r w:rsidRPr="55D022B7">
        <w:rPr>
          <w:rFonts w:ascii="Calibri" w:hAnsi="Calibri" w:cs="Calibri"/>
        </w:rPr>
        <w:t>based on the assumption that all tasks are performed for each notice.</w:t>
      </w:r>
    </w:p>
    <w:p w:rsidR="007E2E3C" w:rsidRPr="00962957" w:rsidP="007E2E3C" w14:paraId="0A5B2219" w14:textId="77777777">
      <w:pPr>
        <w:rPr>
          <w:rFonts w:ascii="Calibri" w:hAnsi="Calibri" w:cs="Calibri"/>
        </w:rPr>
      </w:pPr>
      <w:r w:rsidRPr="00962957">
        <w:rPr>
          <w:rFonts w:ascii="Calibri" w:hAnsi="Calibri" w:cs="Calibri"/>
        </w:rPr>
        <w:t>0.75 Hours of Attorney Labor</w:t>
      </w:r>
    </w:p>
    <w:p w:rsidR="007E2E3C" w:rsidRPr="00962957" w:rsidP="0036096F" w14:paraId="6537C357" w14:textId="77777777">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Gather and prepare information to substantiate a claim of confidentiality.</w:t>
      </w:r>
    </w:p>
    <w:p w:rsidR="007E2E3C" w:rsidRPr="00962957" w:rsidP="007E2E3C" w14:paraId="274DCB88" w14:textId="77777777">
      <w:pPr>
        <w:rPr>
          <w:rFonts w:ascii="Calibri" w:hAnsi="Calibri" w:cs="Calibri"/>
          <w:szCs w:val="24"/>
        </w:rPr>
      </w:pPr>
      <w:r w:rsidRPr="00962957">
        <w:rPr>
          <w:rFonts w:ascii="Calibri" w:hAnsi="Calibri" w:cs="Calibri"/>
          <w:szCs w:val="24"/>
        </w:rPr>
        <w:t>9.50 to 29.50 Hours of Managerial Labor</w:t>
      </w:r>
    </w:p>
    <w:p w:rsidR="007E2E3C" w:rsidRPr="00962957" w:rsidP="0036096F" w14:paraId="6E85DB99" w14:textId="77777777">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Identify listed chemicals;</w:t>
      </w:r>
    </w:p>
    <w:p w:rsidR="007E2E3C" w:rsidRPr="00962957" w:rsidP="0036096F" w14:paraId="20466975" w14:textId="77777777">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Assign principal technical contact person;</w:t>
      </w:r>
    </w:p>
    <w:p w:rsidR="007E2E3C" w:rsidRPr="00962957" w:rsidP="0036096F" w14:paraId="48485E22" w14:textId="77777777">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Identify by-product; impurities; physical properties;</w:t>
      </w:r>
    </w:p>
    <w:p w:rsidR="007E2E3C" w:rsidRPr="00962957" w:rsidP="0036096F" w14:paraId="1B5013C6" w14:textId="77777777">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Review marketing data;</w:t>
      </w:r>
    </w:p>
    <w:p w:rsidR="007E2E3C" w:rsidRPr="00962957" w:rsidP="0036096F" w14:paraId="6A13491A" w14:textId="77777777">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Research the date of the initiation of manufacture of the chemical;</w:t>
      </w:r>
    </w:p>
    <w:p w:rsidR="007E2E3C" w:rsidRPr="00962957" w:rsidP="0036096F" w14:paraId="00E850CD" w14:textId="53574568">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 xml:space="preserve">Research occupational exposure, environmental release, health and environmental </w:t>
      </w:r>
      <w:r w:rsidR="006C7D76">
        <w:rPr>
          <w:rFonts w:ascii="Calibri" w:hAnsi="Calibri" w:cs="Calibri"/>
          <w:szCs w:val="24"/>
        </w:rPr>
        <w:t xml:space="preserve">effects </w:t>
      </w:r>
      <w:r w:rsidRPr="00962957">
        <w:rPr>
          <w:rFonts w:ascii="Calibri" w:hAnsi="Calibri" w:cs="Calibri"/>
          <w:szCs w:val="24"/>
        </w:rPr>
        <w:t xml:space="preserve">information, disposal methods; risk management practices; </w:t>
      </w:r>
    </w:p>
    <w:p w:rsidR="007E2E3C" w:rsidRPr="00962957" w:rsidP="0036096F" w14:paraId="6B708097" w14:textId="133C64CC">
      <w:pPr>
        <w:pStyle w:val="ListParagraph"/>
        <w:numPr>
          <w:ilvl w:val="0"/>
          <w:numId w:val="10"/>
        </w:numPr>
        <w:spacing w:after="200" w:line="276" w:lineRule="auto"/>
        <w:rPr>
          <w:rFonts w:ascii="Calibri" w:hAnsi="Calibri" w:cs="Calibri"/>
          <w:szCs w:val="24"/>
        </w:rPr>
      </w:pPr>
      <w:r w:rsidRPr="00962957">
        <w:rPr>
          <w:rFonts w:ascii="Calibri" w:hAnsi="Calibri" w:cs="Calibri"/>
          <w:szCs w:val="24"/>
        </w:rPr>
        <w:t xml:space="preserve">Process, </w:t>
      </w:r>
      <w:r w:rsidR="006C7D76">
        <w:rPr>
          <w:rFonts w:ascii="Calibri" w:hAnsi="Calibri" w:cs="Calibri"/>
          <w:szCs w:val="24"/>
        </w:rPr>
        <w:t>complete any OHT if applicable</w:t>
      </w:r>
      <w:r w:rsidRPr="00962957">
        <w:rPr>
          <w:rFonts w:ascii="Calibri" w:hAnsi="Calibri" w:cs="Calibri"/>
          <w:szCs w:val="24"/>
        </w:rPr>
        <w:t>, compile, and review information for accuracy, substantiate a claim of confidential business information.</w:t>
      </w:r>
    </w:p>
    <w:p w:rsidR="007E2E3C" w:rsidRPr="00962957" w:rsidP="007E2E3C" w14:paraId="560222EE" w14:textId="77777777">
      <w:pPr>
        <w:pStyle w:val="ListParagraph"/>
        <w:ind w:left="1080"/>
        <w:rPr>
          <w:rFonts w:ascii="Calibri" w:hAnsi="Calibri" w:cs="Calibri"/>
          <w:szCs w:val="24"/>
        </w:rPr>
      </w:pPr>
    </w:p>
    <w:p w:rsidR="007E2E3C" w:rsidRPr="00962957" w:rsidP="007E2E3C" w14:paraId="2B02F66E" w14:textId="7E458DE6">
      <w:pPr>
        <w:pStyle w:val="ListParagraph"/>
        <w:ind w:left="90"/>
        <w:rPr>
          <w:rFonts w:ascii="Calibri" w:hAnsi="Calibri" w:cs="Calibri"/>
        </w:rPr>
      </w:pPr>
      <w:r w:rsidRPr="00962957">
        <w:rPr>
          <w:rFonts w:ascii="Calibri" w:hAnsi="Calibri" w:cs="Calibri"/>
        </w:rPr>
        <w:t>17.5 to 11</w:t>
      </w:r>
      <w:r w:rsidRPr="62565B94" w:rsidR="0F37FD77">
        <w:rPr>
          <w:rFonts w:ascii="Calibri" w:hAnsi="Calibri" w:cs="Calibri"/>
        </w:rPr>
        <w:t>1</w:t>
      </w:r>
      <w:r w:rsidRPr="00962957">
        <w:rPr>
          <w:rFonts w:ascii="Calibri" w:hAnsi="Calibri" w:cs="Calibri"/>
        </w:rPr>
        <w:t xml:space="preserve"> Hours of Technical Labor</w:t>
      </w:r>
    </w:p>
    <w:p w:rsidR="007E2E3C" w:rsidRPr="00962957" w:rsidP="0036096F" w14:paraId="2BB49801" w14:textId="77777777">
      <w:pPr>
        <w:pStyle w:val="ListParagraph"/>
        <w:numPr>
          <w:ilvl w:val="0"/>
          <w:numId w:val="11"/>
        </w:numPr>
        <w:spacing w:after="200" w:line="276" w:lineRule="auto"/>
        <w:rPr>
          <w:rFonts w:ascii="Calibri" w:hAnsi="Calibri" w:cs="Calibri"/>
          <w:szCs w:val="24"/>
        </w:rPr>
      </w:pPr>
      <w:r w:rsidRPr="00962957">
        <w:rPr>
          <w:rFonts w:ascii="Calibri" w:hAnsi="Calibri" w:cs="Calibri"/>
          <w:szCs w:val="24"/>
        </w:rPr>
        <w:t>Identify chemical and trade name and chemical composition;</w:t>
      </w:r>
    </w:p>
    <w:p w:rsidR="007E2E3C" w:rsidRPr="00962957" w:rsidP="0036096F" w14:paraId="4A382120" w14:textId="77777777">
      <w:pPr>
        <w:pStyle w:val="ListParagraph"/>
        <w:numPr>
          <w:ilvl w:val="0"/>
          <w:numId w:val="11"/>
        </w:numPr>
        <w:spacing w:after="200" w:line="276" w:lineRule="auto"/>
        <w:rPr>
          <w:rFonts w:ascii="Calibri" w:hAnsi="Calibri" w:cs="Calibri"/>
          <w:szCs w:val="24"/>
        </w:rPr>
      </w:pPr>
      <w:r w:rsidRPr="00962957">
        <w:rPr>
          <w:rFonts w:ascii="Calibri" w:hAnsi="Calibri" w:cs="Calibri"/>
          <w:szCs w:val="24"/>
        </w:rPr>
        <w:t>Identify by-product; impurities; physical properties;</w:t>
      </w:r>
    </w:p>
    <w:p w:rsidR="007E2E3C" w:rsidRPr="00962957" w:rsidP="0036096F" w14:paraId="665B9C65" w14:textId="77777777">
      <w:pPr>
        <w:pStyle w:val="ListParagraph"/>
        <w:numPr>
          <w:ilvl w:val="0"/>
          <w:numId w:val="11"/>
        </w:numPr>
        <w:spacing w:after="200" w:line="276" w:lineRule="auto"/>
        <w:rPr>
          <w:rFonts w:ascii="Calibri" w:hAnsi="Calibri" w:cs="Calibri"/>
          <w:szCs w:val="24"/>
        </w:rPr>
      </w:pPr>
      <w:r w:rsidRPr="00962957">
        <w:rPr>
          <w:rFonts w:ascii="Calibri" w:hAnsi="Calibri" w:cs="Calibri"/>
          <w:szCs w:val="24"/>
        </w:rPr>
        <w:t>Describe use of chemical;</w:t>
      </w:r>
    </w:p>
    <w:p w:rsidR="007E2E3C" w:rsidRPr="00962957" w:rsidP="0036096F" w14:paraId="638BAB60" w14:textId="77777777">
      <w:pPr>
        <w:pStyle w:val="ListParagraph"/>
        <w:numPr>
          <w:ilvl w:val="0"/>
          <w:numId w:val="11"/>
        </w:numPr>
        <w:spacing w:after="200" w:line="276" w:lineRule="auto"/>
        <w:rPr>
          <w:rFonts w:ascii="Calibri" w:hAnsi="Calibri" w:cs="Calibri"/>
          <w:szCs w:val="24"/>
        </w:rPr>
      </w:pPr>
      <w:r w:rsidRPr="00962957">
        <w:rPr>
          <w:rFonts w:ascii="Calibri" w:hAnsi="Calibri" w:cs="Calibri"/>
          <w:szCs w:val="24"/>
        </w:rPr>
        <w:t>Report quantity manufactured or imported;</w:t>
      </w:r>
    </w:p>
    <w:p w:rsidR="007E2E3C" w:rsidRPr="00962957" w:rsidP="0036096F" w14:paraId="003A762B" w14:textId="77777777">
      <w:pPr>
        <w:pStyle w:val="ListParagraph"/>
        <w:numPr>
          <w:ilvl w:val="0"/>
          <w:numId w:val="11"/>
        </w:numPr>
        <w:spacing w:after="200" w:line="276" w:lineRule="auto"/>
        <w:rPr>
          <w:rFonts w:ascii="Calibri" w:hAnsi="Calibri" w:cs="Calibri"/>
          <w:szCs w:val="24"/>
        </w:rPr>
      </w:pPr>
      <w:r w:rsidRPr="00962957">
        <w:rPr>
          <w:rFonts w:ascii="Calibri" w:hAnsi="Calibri" w:cs="Calibri"/>
          <w:szCs w:val="24"/>
        </w:rPr>
        <w:t>Research occupational exposures, environmental releases, health and environmental information, and disposal methods; risk management practices; and</w:t>
      </w:r>
    </w:p>
    <w:p w:rsidR="007E2E3C" w:rsidRPr="00962957" w:rsidP="0036096F" w14:paraId="5DD3FF80" w14:textId="77777777">
      <w:pPr>
        <w:pStyle w:val="ListParagraph"/>
        <w:numPr>
          <w:ilvl w:val="0"/>
          <w:numId w:val="11"/>
        </w:numPr>
        <w:spacing w:after="200" w:line="276" w:lineRule="auto"/>
        <w:rPr>
          <w:rFonts w:ascii="Calibri" w:hAnsi="Calibri" w:cs="Calibri"/>
          <w:szCs w:val="24"/>
        </w:rPr>
      </w:pPr>
      <w:r w:rsidRPr="00962957">
        <w:rPr>
          <w:rFonts w:ascii="Calibri" w:hAnsi="Calibri" w:cs="Calibri"/>
          <w:szCs w:val="24"/>
        </w:rPr>
        <w:t>Provide occupational description.</w:t>
      </w:r>
    </w:p>
    <w:p w:rsidR="007E2E3C" w:rsidRPr="00962957" w:rsidP="007E2E3C" w14:paraId="28FDADF7" w14:textId="77777777">
      <w:pPr>
        <w:pStyle w:val="ListParagraph"/>
        <w:ind w:left="180" w:firstLine="900"/>
        <w:rPr>
          <w:rFonts w:ascii="Calibri" w:hAnsi="Calibri" w:cs="Calibri"/>
          <w:szCs w:val="24"/>
        </w:rPr>
      </w:pPr>
    </w:p>
    <w:p w:rsidR="007E2E3C" w:rsidRPr="00962957" w:rsidP="007E2E3C" w14:paraId="2707A424" w14:textId="77777777">
      <w:pPr>
        <w:pStyle w:val="ListParagraph"/>
        <w:ind w:left="180" w:hanging="90"/>
        <w:rPr>
          <w:rFonts w:ascii="Calibri" w:hAnsi="Calibri" w:cs="Calibri"/>
        </w:rPr>
      </w:pPr>
      <w:r w:rsidRPr="00962957">
        <w:rPr>
          <w:rFonts w:ascii="Calibri" w:hAnsi="Calibri" w:cs="Calibri"/>
        </w:rPr>
        <w:t>7 to 21 Hours of Clerical Labor (0.5 - 1.5 Hours for Electronic Reporting)</w:t>
      </w:r>
    </w:p>
    <w:p w:rsidR="007E2E3C" w:rsidRPr="00962957" w:rsidP="0036096F" w14:paraId="6B30B086" w14:textId="77777777">
      <w:pPr>
        <w:pStyle w:val="ListParagraph"/>
        <w:numPr>
          <w:ilvl w:val="0"/>
          <w:numId w:val="14"/>
        </w:numPr>
        <w:spacing w:after="200" w:line="276" w:lineRule="auto"/>
        <w:rPr>
          <w:rFonts w:ascii="Calibri" w:hAnsi="Calibri" w:cs="Calibri"/>
          <w:szCs w:val="24"/>
        </w:rPr>
      </w:pPr>
      <w:r w:rsidRPr="00962957">
        <w:rPr>
          <w:rFonts w:ascii="Calibri" w:hAnsi="Calibri" w:cs="Calibri"/>
          <w:szCs w:val="24"/>
        </w:rPr>
        <w:t xml:space="preserve">Format research on occupational exposures, environmental releases, health and environmental information; risk management practices; </w:t>
      </w:r>
    </w:p>
    <w:p w:rsidR="007E2E3C" w:rsidRPr="00962957" w:rsidP="0036096F" w14:paraId="45F0EE67" w14:textId="77777777">
      <w:pPr>
        <w:pStyle w:val="ListParagraph"/>
        <w:numPr>
          <w:ilvl w:val="0"/>
          <w:numId w:val="14"/>
        </w:numPr>
        <w:spacing w:after="200" w:line="276" w:lineRule="auto"/>
        <w:rPr>
          <w:rFonts w:ascii="Calibri" w:hAnsi="Calibri" w:cs="Calibri"/>
          <w:szCs w:val="24"/>
        </w:rPr>
      </w:pPr>
      <w:r w:rsidRPr="00962957">
        <w:rPr>
          <w:rFonts w:ascii="Calibri" w:hAnsi="Calibri" w:cs="Calibri"/>
          <w:szCs w:val="24"/>
        </w:rPr>
        <w:t>Format attachments;</w:t>
      </w:r>
    </w:p>
    <w:p w:rsidR="007E2E3C" w:rsidRPr="00962957" w:rsidP="0036096F" w14:paraId="46F6CAA5" w14:textId="77777777">
      <w:pPr>
        <w:pStyle w:val="ListParagraph"/>
        <w:numPr>
          <w:ilvl w:val="0"/>
          <w:numId w:val="14"/>
        </w:numPr>
        <w:spacing w:after="200" w:line="276" w:lineRule="auto"/>
        <w:rPr>
          <w:rFonts w:ascii="Calibri" w:hAnsi="Calibri" w:cs="Calibri"/>
        </w:rPr>
      </w:pPr>
      <w:r w:rsidRPr="00962957">
        <w:rPr>
          <w:rFonts w:ascii="Calibri" w:hAnsi="Calibri" w:cs="Calibri"/>
        </w:rPr>
        <w:t>Prepare notice;</w:t>
      </w:r>
    </w:p>
    <w:p w:rsidR="007E2E3C" w:rsidRPr="00962957" w:rsidP="0036096F" w14:paraId="04C904FF" w14:textId="77777777">
      <w:pPr>
        <w:pStyle w:val="ListParagraph"/>
        <w:numPr>
          <w:ilvl w:val="0"/>
          <w:numId w:val="14"/>
        </w:numPr>
        <w:spacing w:after="200" w:line="276" w:lineRule="auto"/>
        <w:rPr>
          <w:rFonts w:ascii="Calibri" w:hAnsi="Calibri" w:cs="Calibri"/>
        </w:rPr>
      </w:pPr>
      <w:r w:rsidRPr="00962957">
        <w:rPr>
          <w:rFonts w:ascii="Calibri" w:eastAsia="Calibri" w:hAnsi="Calibri" w:cs="Calibri"/>
          <w:szCs w:val="24"/>
        </w:rPr>
        <w:t>E-Reporting;</w:t>
      </w:r>
    </w:p>
    <w:p w:rsidR="007E2E3C" w:rsidRPr="00962957" w:rsidP="0036096F" w14:paraId="2ED15114" w14:textId="1BA5A23A">
      <w:pPr>
        <w:pStyle w:val="ListParagraph"/>
        <w:numPr>
          <w:ilvl w:val="0"/>
          <w:numId w:val="14"/>
        </w:numPr>
        <w:spacing w:after="200" w:line="276" w:lineRule="auto"/>
        <w:rPr>
          <w:rFonts w:ascii="Calibri" w:hAnsi="Calibri" w:cs="Calibri"/>
        </w:rPr>
      </w:pPr>
      <w:r w:rsidRPr="00962957">
        <w:rPr>
          <w:rFonts w:ascii="Calibri" w:hAnsi="Calibri" w:cs="Calibri"/>
        </w:rPr>
        <w:t>CBI substantiation</w:t>
      </w:r>
      <w:r w:rsidR="009730C1">
        <w:rPr>
          <w:rFonts w:ascii="Calibri" w:hAnsi="Calibri" w:cs="Calibri"/>
        </w:rPr>
        <w:t>;</w:t>
      </w:r>
      <w:r w:rsidRPr="00962957">
        <w:rPr>
          <w:rFonts w:ascii="Calibri" w:hAnsi="Calibri" w:cs="Calibri"/>
        </w:rPr>
        <w:t xml:space="preserve"> and</w:t>
      </w:r>
    </w:p>
    <w:p w:rsidR="007E2E3C" w:rsidRPr="00962957" w:rsidP="0036096F" w14:paraId="2F2026B6" w14:textId="77777777">
      <w:pPr>
        <w:pStyle w:val="ListParagraph"/>
        <w:numPr>
          <w:ilvl w:val="0"/>
          <w:numId w:val="14"/>
        </w:numPr>
        <w:spacing w:after="200" w:line="276" w:lineRule="auto"/>
        <w:rPr>
          <w:rFonts w:ascii="Calibri" w:hAnsi="Calibri" w:cs="Calibri"/>
          <w:szCs w:val="24"/>
        </w:rPr>
      </w:pPr>
      <w:r w:rsidRPr="00962957">
        <w:rPr>
          <w:rFonts w:ascii="Calibri" w:hAnsi="Calibri" w:cs="Calibri"/>
          <w:szCs w:val="24"/>
        </w:rPr>
        <w:t>Recordkeeping.</w:t>
      </w:r>
    </w:p>
    <w:p w:rsidR="007E2E3C" w:rsidRPr="00D872F0" w:rsidP="007E2E3C" w14:paraId="7F79E1AA" w14:textId="77777777">
      <w:pPr>
        <w:rPr>
          <w:rFonts w:ascii="Calibri" w:hAnsi="Calibri" w:cs="Calibri"/>
          <w:szCs w:val="24"/>
          <w:u w:val="single"/>
        </w:rPr>
      </w:pPr>
      <w:r w:rsidRPr="00D872F0">
        <w:rPr>
          <w:rFonts w:ascii="Calibri" w:hAnsi="Calibri" w:cs="Calibri"/>
          <w:szCs w:val="24"/>
          <w:u w:val="single"/>
        </w:rPr>
        <w:t xml:space="preserve">Recordkeeping </w:t>
      </w:r>
    </w:p>
    <w:p w:rsidR="007E2E3C" w:rsidRPr="00962957" w:rsidP="007E2E3C" w14:paraId="01D336E4" w14:textId="46377D66">
      <w:pPr>
        <w:rPr>
          <w:rFonts w:ascii="Calibri" w:hAnsi="Calibri" w:cs="Calibri"/>
        </w:rPr>
      </w:pPr>
      <w:r w:rsidRPr="00962957">
        <w:rPr>
          <w:rFonts w:ascii="Calibri" w:hAnsi="Calibri" w:cs="Calibri"/>
        </w:rPr>
        <w:t xml:space="preserve">TSCA section 8(a) chemical-specific rules may contain recordkeeping requirements. The recordkeeping estimate is reasonably related to the maximum reporting burden. EPA estimates that recordkeeping will account for approximately </w:t>
      </w:r>
      <w:r w:rsidR="00B815BD">
        <w:rPr>
          <w:rFonts w:ascii="Calibri" w:hAnsi="Calibri" w:cs="Calibri"/>
        </w:rPr>
        <w:t>1</w:t>
      </w:r>
      <w:r w:rsidRPr="00962957">
        <w:rPr>
          <w:rFonts w:ascii="Calibri" w:hAnsi="Calibri" w:cs="Calibri"/>
        </w:rPr>
        <w:t xml:space="preserve"> percent for electronic submission.</w:t>
      </w:r>
    </w:p>
    <w:p w:rsidR="007E2E3C" w:rsidRPr="00962957" w:rsidP="007E2E3C" w14:paraId="1EED6D52" w14:textId="4F629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962957">
        <w:rPr>
          <w:rFonts w:ascii="Calibri" w:hAnsi="Calibri" w:cs="Calibri"/>
        </w:rPr>
        <w:t xml:space="preserve">Loaded hourly wage rates are shown in </w:t>
      </w:r>
      <w:r w:rsidRPr="00962957">
        <w:rPr>
          <w:rFonts w:ascii="Calibri" w:hAnsi="Calibri" w:cs="Calibri"/>
        </w:rPr>
        <w:fldChar w:fldCharType="begin"/>
      </w:r>
      <w:r w:rsidRPr="4A1CF369">
        <w:rPr>
          <w:rFonts w:ascii="Calibri" w:hAnsi="Calibri" w:cs="Calibri"/>
        </w:rPr>
        <w:instrText xml:space="preserve"> REF _Ref94270646 \h </w:instrText>
      </w:r>
      <w:r w:rsidR="00962957">
        <w:rPr>
          <w:rFonts w:ascii="Calibri" w:hAnsi="Calibri" w:cs="Calibri"/>
        </w:rPr>
        <w:instrText xml:space="preserve"> \* MERGEFORMAT </w:instrText>
      </w:r>
      <w:r w:rsidRPr="00962957">
        <w:rPr>
          <w:rFonts w:ascii="Calibri" w:hAnsi="Calibri" w:cs="Calibri"/>
        </w:rPr>
        <w:fldChar w:fldCharType="separate"/>
      </w:r>
      <w:r w:rsidR="00007041">
        <w:rPr>
          <w:rFonts w:ascii="Calibri" w:hAnsi="Calibri" w:cs="Calibri"/>
        </w:rPr>
        <w:t>Table</w:t>
      </w:r>
      <w:r w:rsidRPr="00962957">
        <w:rPr>
          <w:rFonts w:ascii="Calibri" w:hAnsi="Calibri" w:cs="Calibri"/>
        </w:rPr>
        <w:fldChar w:fldCharType="end"/>
      </w:r>
      <w:r w:rsidR="00007041">
        <w:rPr>
          <w:rFonts w:ascii="Calibri" w:hAnsi="Calibri" w:cs="Calibri"/>
        </w:rPr>
        <w:t xml:space="preserve"> </w:t>
      </w:r>
      <w:r w:rsidRPr="00962957" w:rsidR="6F2AF4AB">
        <w:rPr>
          <w:rFonts w:ascii="Calibri" w:hAnsi="Calibri" w:cs="Calibri"/>
        </w:rPr>
        <w:t>1</w:t>
      </w:r>
      <w:r w:rsidRPr="00962957">
        <w:rPr>
          <w:rFonts w:ascii="Calibri" w:hAnsi="Calibri" w:cs="Calibri"/>
        </w:rPr>
        <w:t xml:space="preserve"> and are utilized with the burden estimates contained in </w:t>
      </w:r>
      <w:r w:rsidRPr="00962957">
        <w:rPr>
          <w:rFonts w:ascii="Calibri" w:hAnsi="Calibri" w:cs="Calibri"/>
        </w:rPr>
        <w:fldChar w:fldCharType="begin"/>
      </w:r>
      <w:r w:rsidRPr="00962957">
        <w:rPr>
          <w:rFonts w:ascii="Calibri" w:hAnsi="Calibri" w:cs="Calibri"/>
        </w:rPr>
        <w:instrText xml:space="preserve"> REF _Ref96089936 \h </w:instrText>
      </w:r>
      <w:r w:rsidR="00962957">
        <w:rPr>
          <w:rFonts w:ascii="Calibri" w:hAnsi="Calibri" w:cs="Calibri"/>
        </w:rPr>
        <w:instrText xml:space="preserve"> \* MERGEFORMAT </w:instrText>
      </w:r>
      <w:r w:rsidRPr="00962957">
        <w:rPr>
          <w:rFonts w:ascii="Calibri" w:hAnsi="Calibri" w:cs="Calibri"/>
        </w:rPr>
        <w:fldChar w:fldCharType="separate"/>
      </w:r>
      <w:r w:rsidR="008B506C">
        <w:rPr>
          <w:rFonts w:ascii="Calibri" w:hAnsi="Calibri" w:cs="Calibri"/>
        </w:rPr>
        <w:t>Table</w:t>
      </w:r>
      <w:r w:rsidRPr="00962957">
        <w:rPr>
          <w:rFonts w:ascii="Calibri" w:hAnsi="Calibri" w:cs="Calibri"/>
        </w:rPr>
        <w:fldChar w:fldCharType="end"/>
      </w:r>
      <w:r w:rsidR="008B506C">
        <w:rPr>
          <w:rFonts w:ascii="Calibri" w:hAnsi="Calibri" w:cs="Calibri"/>
        </w:rPr>
        <w:t xml:space="preserve"> 5</w:t>
      </w:r>
      <w:r w:rsidRPr="00962957">
        <w:rPr>
          <w:rFonts w:ascii="Calibri" w:hAnsi="Calibri" w:cs="Calibri"/>
        </w:rPr>
        <w:t xml:space="preserve"> to derive annual burden and costs.</w:t>
      </w:r>
    </w:p>
    <w:p w:rsidR="007E2E3C" w:rsidRPr="00962957" w:rsidP="5F135418" w14:paraId="1587A7E1" w14:textId="21E7E9B1">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5F135418">
        <w:rPr>
          <w:rFonts w:ascii="Calibri" w:hAnsi="Calibri" w:cs="Calibri"/>
        </w:rPr>
        <w:t xml:space="preserve">This ICR maintains the assumption of the previous ICR that, on average, four notices per year are submitted in response to one </w:t>
      </w:r>
      <w:r w:rsidRPr="5F135418" w:rsidR="465AFB94">
        <w:rPr>
          <w:rFonts w:ascii="Calibri" w:hAnsi="Calibri" w:cs="Calibri"/>
        </w:rPr>
        <w:t xml:space="preserve">TSCA </w:t>
      </w:r>
      <w:r w:rsidRPr="5F135418">
        <w:rPr>
          <w:rFonts w:ascii="Calibri" w:hAnsi="Calibri" w:cs="Calibri"/>
        </w:rPr>
        <w:t>section 8(a) chemical-specific rule per year. Current labor rates and burden hours used to calculate the cost to respondents are listed below.</w:t>
      </w:r>
    </w:p>
    <w:p w:rsidR="007E2E3C" w:rsidRPr="00962957" w:rsidP="007E2E3C" w14:paraId="104018FD" w14:textId="5B4EE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62957">
        <w:rPr>
          <w:rFonts w:ascii="Calibri" w:hAnsi="Calibri" w:cs="Calibri"/>
          <w:szCs w:val="24"/>
        </w:rPr>
        <w:t>The cost to a respondent for filing a TSCA section 8(a) notice depends upon the various tasks performed. These tasks could include gathering the required data, preparing and submitting the TSCA section 8(a) notice, and keeping records. Based on promulgated TSCA section 8(a) rules, EPA estimates that each respondent will submit one notice per TSCA section 8(a) chemical-specific rule. EPA anticipates an average of one TSCA section 8(a) rule per year and expects to receive an average of four notices per year</w:t>
      </w:r>
      <w:r w:rsidRPr="00962957">
        <w:rPr>
          <w:rFonts w:ascii="Calibri" w:hAnsi="Calibri" w:cs="Calibri"/>
        </w:rPr>
        <w:t>.</w:t>
      </w:r>
    </w:p>
    <w:p w:rsidR="007E2E3C" w:rsidRPr="00962957" w:rsidP="007E2E3C" w14:paraId="060B68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62957">
        <w:rPr>
          <w:rFonts w:ascii="Calibri" w:hAnsi="Calibri" w:cs="Calibri"/>
        </w:rPr>
        <w:t>The cost to a respondent for submitting a TSCA section 8(a) notice is a function of the number of hours and the hourly labor costs for the individuals developing and preparing the notice.</w:t>
      </w:r>
    </w:p>
    <w:p w:rsidR="007E2E3C" w:rsidRPr="00962957" w:rsidP="007E2E3C" w14:paraId="7EC2E702" w14:textId="4541B4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62957">
        <w:rPr>
          <w:rFonts w:ascii="Calibri" w:hAnsi="Calibri" w:cs="Calibri"/>
        </w:rPr>
        <w:t>Total annual burden hours range from 70 – 314 hours</w:t>
      </w:r>
      <w:r w:rsidR="006E611B">
        <w:rPr>
          <w:rFonts w:ascii="Calibri" w:hAnsi="Calibri" w:cs="Calibri"/>
        </w:rPr>
        <w:t>,</w:t>
      </w:r>
      <w:r w:rsidRPr="00962957">
        <w:rPr>
          <w:rFonts w:ascii="Calibri" w:hAnsi="Calibri" w:cs="Calibri"/>
        </w:rPr>
        <w:t xml:space="preserve"> total annual costs range from $5,</w:t>
      </w:r>
      <w:r w:rsidRPr="7E668C75">
        <w:rPr>
          <w:rFonts w:ascii="Calibri" w:hAnsi="Calibri" w:cs="Calibri"/>
        </w:rPr>
        <w:t>3</w:t>
      </w:r>
      <w:r w:rsidRPr="7E668C75" w:rsidR="15F604BF">
        <w:rPr>
          <w:rFonts w:ascii="Calibri" w:hAnsi="Calibri" w:cs="Calibri"/>
        </w:rPr>
        <w:t>64</w:t>
      </w:r>
      <w:r w:rsidRPr="00962957">
        <w:rPr>
          <w:rFonts w:ascii="Calibri" w:hAnsi="Calibri" w:cs="Calibri"/>
        </w:rPr>
        <w:t xml:space="preserve"> - $24,</w:t>
      </w:r>
      <w:r w:rsidRPr="7E668C75" w:rsidR="665F4F05">
        <w:rPr>
          <w:rFonts w:ascii="Calibri" w:hAnsi="Calibri" w:cs="Calibri"/>
        </w:rPr>
        <w:t>763</w:t>
      </w:r>
      <w:r w:rsidRPr="00962957">
        <w:rPr>
          <w:rFonts w:ascii="Calibri" w:hAnsi="Calibri" w:cs="Calibri"/>
        </w:rPr>
        <w:t xml:space="preserve"> (Table </w:t>
      </w:r>
      <w:r w:rsidR="008B506C">
        <w:rPr>
          <w:rFonts w:ascii="Calibri" w:hAnsi="Calibri" w:cs="Calibri"/>
        </w:rPr>
        <w:t>5</w:t>
      </w:r>
      <w:r w:rsidRPr="00962957">
        <w:rPr>
          <w:rFonts w:ascii="Calibri" w:hAnsi="Calibri" w:cs="Calibri"/>
        </w:rPr>
        <w:t>)</w:t>
      </w:r>
      <w:r w:rsidR="006E611B">
        <w:rPr>
          <w:rFonts w:ascii="Calibri" w:hAnsi="Calibri" w:cs="Calibri"/>
        </w:rPr>
        <w:t>,</w:t>
      </w:r>
      <w:r w:rsidRPr="00962957">
        <w:rPr>
          <w:rFonts w:ascii="Calibri" w:hAnsi="Calibri" w:cs="Calibri"/>
        </w:rPr>
        <w:t xml:space="preserve"> and each range represents expected maximums. </w:t>
      </w:r>
      <w:r w:rsidRPr="124CA29E">
        <w:rPr>
          <w:rFonts w:ascii="Calibri" w:hAnsi="Calibri" w:cs="Calibri"/>
        </w:rPr>
        <w:t xml:space="preserve">The midpoint for total annual burden hours is </w:t>
      </w:r>
      <w:r w:rsidRPr="0081666C">
        <w:rPr>
          <w:rFonts w:ascii="Calibri" w:hAnsi="Calibri" w:cs="Calibri"/>
        </w:rPr>
        <w:t>192 hours and for total annual burden costs is $1</w:t>
      </w:r>
      <w:r w:rsidRPr="0081666C" w:rsidR="66DCAD0E">
        <w:rPr>
          <w:rFonts w:ascii="Calibri" w:hAnsi="Calibri" w:cs="Calibri"/>
        </w:rPr>
        <w:t>5</w:t>
      </w:r>
      <w:r w:rsidRPr="0081666C">
        <w:rPr>
          <w:rFonts w:ascii="Calibri" w:hAnsi="Calibri" w:cs="Calibri"/>
        </w:rPr>
        <w:t>,</w:t>
      </w:r>
      <w:r w:rsidRPr="0081666C" w:rsidR="7D535B25">
        <w:rPr>
          <w:rFonts w:ascii="Calibri" w:hAnsi="Calibri" w:cs="Calibri"/>
        </w:rPr>
        <w:t>064</w:t>
      </w:r>
      <w:r w:rsidRPr="0081666C">
        <w:rPr>
          <w:rFonts w:ascii="Calibri" w:hAnsi="Calibri" w:cs="Calibri"/>
        </w:rPr>
        <w:t>.</w:t>
      </w:r>
    </w:p>
    <w:p w:rsidR="008B6A63" w:rsidP="008B6A63" w14:paraId="16253A2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libri" w:hAnsi="Calibri" w:cs="Calibri"/>
          <w:szCs w:val="24"/>
        </w:rPr>
      </w:pPr>
      <w:r w:rsidRPr="00962957">
        <w:rPr>
          <w:rFonts w:ascii="Calibri" w:hAnsi="Calibri" w:cs="Calibri"/>
          <w:szCs w:val="24"/>
        </w:rPr>
        <w:t xml:space="preserve"> </w:t>
      </w:r>
    </w:p>
    <w:p w:rsidR="007E2E3C" w:rsidRPr="00962957" w:rsidP="007E2E3C" w14:paraId="2D35B35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sectPr w:rsidSect="00CA12AD">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7E2E3C" w:rsidRPr="00962957" w:rsidP="008B506C" w14:paraId="002D7556" w14:textId="7DDFAC59">
      <w:pPr>
        <w:pStyle w:val="Caption"/>
        <w:outlineLvl w:val="9"/>
        <w:rPr>
          <w:rFonts w:ascii="Calibri" w:hAnsi="Calibri" w:cs="Calibri"/>
        </w:rPr>
      </w:pPr>
      <w:bookmarkStart w:id="25" w:name="_Ref96089936"/>
      <w:r w:rsidRPr="00962957">
        <w:rPr>
          <w:rFonts w:ascii="Calibri" w:hAnsi="Calibri" w:cs="Calibri"/>
        </w:rPr>
        <w:t xml:space="preserve">Table </w:t>
      </w:r>
      <w:bookmarkEnd w:id="25"/>
      <w:r w:rsidR="008B506C">
        <w:rPr>
          <w:rFonts w:ascii="Calibri" w:hAnsi="Calibri" w:cs="Calibri"/>
        </w:rPr>
        <w:t>5</w:t>
      </w:r>
      <w:r w:rsidRPr="00962957">
        <w:rPr>
          <w:rFonts w:ascii="Calibri" w:hAnsi="Calibri" w:cs="Calibri"/>
        </w:rPr>
        <w:t>. Total Annual Respondent Burden and Costs Associated with Preparing and Filing a TSCA Section 8(a) Notice</w:t>
      </w:r>
    </w:p>
    <w:tbl>
      <w:tblPr>
        <w:tblW w:w="13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7"/>
        <w:gridCol w:w="1061"/>
        <w:gridCol w:w="804"/>
        <w:gridCol w:w="906"/>
        <w:gridCol w:w="906"/>
        <w:gridCol w:w="906"/>
        <w:gridCol w:w="905"/>
        <w:gridCol w:w="906"/>
        <w:gridCol w:w="905"/>
        <w:gridCol w:w="942"/>
        <w:gridCol w:w="905"/>
        <w:gridCol w:w="905"/>
        <w:gridCol w:w="1053"/>
        <w:gridCol w:w="1060"/>
      </w:tblGrid>
      <w:tr w14:paraId="1ACF7A34" w14:textId="77777777" w:rsidTr="1965DE93">
        <w:tblPrEx>
          <w:tblW w:w="13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rPr>
        <w:tc>
          <w:tcPr>
            <w:tcW w:w="1797" w:type="dxa"/>
            <w:vMerge w:val="restart"/>
            <w:shd w:val="clear" w:color="auto" w:fill="D9D9D9" w:themeFill="accent6" w:themeFillShade="D9"/>
            <w:noWrap/>
            <w:vAlign w:val="center"/>
            <w:hideMark/>
          </w:tcPr>
          <w:p w:rsidR="007E2E3C" w:rsidRPr="00962957" w14:paraId="6AFB1338"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Activity</w:t>
            </w:r>
          </w:p>
        </w:tc>
        <w:tc>
          <w:tcPr>
            <w:tcW w:w="1865" w:type="dxa"/>
            <w:gridSpan w:val="2"/>
            <w:shd w:val="clear" w:color="auto" w:fill="D9D9D9" w:themeFill="accent6" w:themeFillShade="D9"/>
            <w:vAlign w:val="center"/>
            <w:hideMark/>
          </w:tcPr>
          <w:p w:rsidR="007E2E3C" w:rsidRPr="00962957" w14:paraId="3D1D4747"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Managerial</w:t>
            </w:r>
          </w:p>
        </w:tc>
        <w:tc>
          <w:tcPr>
            <w:tcW w:w="1812" w:type="dxa"/>
            <w:gridSpan w:val="2"/>
            <w:shd w:val="clear" w:color="auto" w:fill="D9D9D9" w:themeFill="accent6" w:themeFillShade="D9"/>
            <w:vAlign w:val="center"/>
            <w:hideMark/>
          </w:tcPr>
          <w:p w:rsidR="007E2E3C" w:rsidRPr="00962957" w14:paraId="2744414A"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Technical</w:t>
            </w:r>
          </w:p>
        </w:tc>
        <w:tc>
          <w:tcPr>
            <w:tcW w:w="1811" w:type="dxa"/>
            <w:gridSpan w:val="2"/>
            <w:shd w:val="clear" w:color="auto" w:fill="D9D9D9" w:themeFill="accent6" w:themeFillShade="D9"/>
            <w:vAlign w:val="center"/>
            <w:hideMark/>
          </w:tcPr>
          <w:p w:rsidR="007E2E3C" w:rsidRPr="00962957" w14:paraId="00898D34"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Clerical</w:t>
            </w:r>
          </w:p>
        </w:tc>
        <w:tc>
          <w:tcPr>
            <w:tcW w:w="1811" w:type="dxa"/>
            <w:gridSpan w:val="2"/>
            <w:shd w:val="clear" w:color="auto" w:fill="D9D9D9" w:themeFill="accent6" w:themeFillShade="D9"/>
            <w:vAlign w:val="center"/>
            <w:hideMark/>
          </w:tcPr>
          <w:p w:rsidR="007E2E3C" w:rsidRPr="00962957" w14:paraId="37FAA4C9"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Attorney</w:t>
            </w:r>
          </w:p>
        </w:tc>
        <w:tc>
          <w:tcPr>
            <w:tcW w:w="942" w:type="dxa"/>
            <w:vMerge w:val="restart"/>
            <w:shd w:val="clear" w:color="auto" w:fill="D9D9D9" w:themeFill="accent6" w:themeFillShade="D9"/>
            <w:vAlign w:val="center"/>
            <w:hideMark/>
          </w:tcPr>
          <w:p w:rsidR="007E2E3C" w:rsidRPr="00962957" w14:paraId="259082E5"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Notices per Year</w:t>
            </w:r>
          </w:p>
        </w:tc>
        <w:tc>
          <w:tcPr>
            <w:tcW w:w="1810" w:type="dxa"/>
            <w:gridSpan w:val="2"/>
            <w:vMerge w:val="restart"/>
            <w:shd w:val="clear" w:color="auto" w:fill="D9D9D9" w:themeFill="accent6" w:themeFillShade="D9"/>
            <w:vAlign w:val="center"/>
            <w:hideMark/>
          </w:tcPr>
          <w:p w:rsidR="007E2E3C" w:rsidRPr="00962957" w14:paraId="33FA6242"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Annual Burden Hours</w:t>
            </w:r>
          </w:p>
        </w:tc>
        <w:tc>
          <w:tcPr>
            <w:tcW w:w="2113" w:type="dxa"/>
            <w:gridSpan w:val="2"/>
            <w:vMerge w:val="restart"/>
            <w:shd w:val="clear" w:color="auto" w:fill="D9D9D9" w:themeFill="accent6" w:themeFillShade="D9"/>
            <w:vAlign w:val="center"/>
            <w:hideMark/>
          </w:tcPr>
          <w:p w:rsidR="007E2E3C" w:rsidRPr="00962957" w14:paraId="27985A5D"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Annual Costs</w:t>
            </w:r>
          </w:p>
        </w:tc>
      </w:tr>
      <w:tr w14:paraId="7B8A3E26" w14:textId="77777777" w:rsidTr="1965DE93">
        <w:tblPrEx>
          <w:tblW w:w="13961" w:type="dxa"/>
          <w:tblLook w:val="04A0"/>
        </w:tblPrEx>
        <w:trPr>
          <w:trHeight w:val="298"/>
          <w:tblHeader/>
        </w:trPr>
        <w:tc>
          <w:tcPr>
            <w:tcW w:w="1797" w:type="dxa"/>
            <w:vMerge/>
            <w:vAlign w:val="center"/>
            <w:hideMark/>
          </w:tcPr>
          <w:p w:rsidR="007E2E3C" w:rsidRPr="00962957" w14:paraId="248FDD42" w14:textId="77777777">
            <w:pPr>
              <w:spacing w:after="0" w:line="240" w:lineRule="auto"/>
              <w:rPr>
                <w:rFonts w:ascii="Calibri" w:eastAsia="Times New Roman" w:hAnsi="Calibri" w:cs="Calibri"/>
                <w:b/>
                <w:bCs/>
                <w:color w:val="000000"/>
                <w:sz w:val="20"/>
                <w:szCs w:val="20"/>
              </w:rPr>
            </w:pPr>
          </w:p>
        </w:tc>
        <w:tc>
          <w:tcPr>
            <w:tcW w:w="1061" w:type="dxa"/>
            <w:shd w:val="clear" w:color="auto" w:fill="D9D9D9" w:themeFill="accent6" w:themeFillShade="D9"/>
            <w:vAlign w:val="center"/>
            <w:hideMark/>
          </w:tcPr>
          <w:p w:rsidR="007E2E3C" w:rsidRPr="00962957" w14:paraId="3E27E194" w14:textId="12751017">
            <w:pPr>
              <w:spacing w:after="0" w:line="240" w:lineRule="auto"/>
              <w:jc w:val="right"/>
              <w:rPr>
                <w:rFonts w:ascii="Calibri" w:eastAsia="Times New Roman" w:hAnsi="Calibri" w:cs="Calibri"/>
                <w:b/>
                <w:bCs/>
                <w:color w:val="000000"/>
                <w:sz w:val="20"/>
                <w:szCs w:val="20"/>
              </w:rPr>
            </w:pPr>
            <w:r w:rsidRPr="5DA4CACB">
              <w:rPr>
                <w:rFonts w:ascii="Calibri" w:eastAsia="Times New Roman" w:hAnsi="Calibri" w:cs="Calibri"/>
                <w:b/>
                <w:color w:val="000000" w:themeColor="text1"/>
                <w:sz w:val="20"/>
                <w:szCs w:val="20"/>
              </w:rPr>
              <w:t>$</w:t>
            </w:r>
            <w:r w:rsidRPr="5DA4CACB" w:rsidR="11DE0211">
              <w:rPr>
                <w:rFonts w:ascii="Calibri" w:eastAsia="Times New Roman" w:hAnsi="Calibri" w:cs="Calibri"/>
                <w:b/>
                <w:bCs/>
                <w:color w:val="000000" w:themeColor="text1"/>
                <w:sz w:val="20"/>
                <w:szCs w:val="20"/>
              </w:rPr>
              <w:t>89</w:t>
            </w:r>
            <w:r w:rsidRPr="5DA4CACB">
              <w:rPr>
                <w:rFonts w:ascii="Calibri" w:eastAsia="Times New Roman" w:hAnsi="Calibri" w:cs="Calibri"/>
                <w:b/>
                <w:color w:val="000000" w:themeColor="text1"/>
                <w:sz w:val="20"/>
                <w:szCs w:val="20"/>
              </w:rPr>
              <w:t>.</w:t>
            </w:r>
            <w:r w:rsidRPr="2B775874" w:rsidR="1E9A3ECC">
              <w:rPr>
                <w:rFonts w:ascii="Calibri" w:eastAsia="Times New Roman" w:hAnsi="Calibri" w:cs="Calibri"/>
                <w:b/>
                <w:bCs/>
                <w:color w:val="000000" w:themeColor="text1"/>
                <w:sz w:val="20"/>
                <w:szCs w:val="20"/>
              </w:rPr>
              <w:t>16</w:t>
            </w:r>
          </w:p>
        </w:tc>
        <w:tc>
          <w:tcPr>
            <w:tcW w:w="804" w:type="dxa"/>
            <w:shd w:val="clear" w:color="auto" w:fill="D9D9D9" w:themeFill="accent6" w:themeFillShade="D9"/>
            <w:vAlign w:val="center"/>
            <w:hideMark/>
          </w:tcPr>
          <w:p w:rsidR="007E2E3C" w:rsidRPr="00962957" w14:paraId="1B05B1E0" w14:textId="77777777">
            <w:pPr>
              <w:spacing w:after="0" w:line="240" w:lineRule="auto"/>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per hour</w:t>
            </w:r>
          </w:p>
        </w:tc>
        <w:tc>
          <w:tcPr>
            <w:tcW w:w="906" w:type="dxa"/>
            <w:shd w:val="clear" w:color="auto" w:fill="D9D9D9" w:themeFill="accent6" w:themeFillShade="D9"/>
            <w:vAlign w:val="center"/>
            <w:hideMark/>
          </w:tcPr>
          <w:p w:rsidR="007E2E3C" w:rsidRPr="00962957" w14:paraId="4485A050" w14:textId="3346FB43">
            <w:pPr>
              <w:spacing w:after="0" w:line="240" w:lineRule="auto"/>
              <w:jc w:val="right"/>
              <w:rPr>
                <w:rFonts w:ascii="Calibri" w:eastAsia="Times New Roman" w:hAnsi="Calibri" w:cs="Calibri"/>
                <w:b/>
                <w:bCs/>
                <w:color w:val="000000"/>
                <w:sz w:val="20"/>
                <w:szCs w:val="20"/>
              </w:rPr>
            </w:pPr>
            <w:r w:rsidRPr="64E7C9E5">
              <w:rPr>
                <w:rFonts w:ascii="Calibri" w:eastAsia="Times New Roman" w:hAnsi="Calibri" w:cs="Calibri"/>
                <w:b/>
                <w:bCs/>
                <w:color w:val="000000" w:themeColor="text1"/>
                <w:sz w:val="20"/>
                <w:szCs w:val="20"/>
              </w:rPr>
              <w:t>$8</w:t>
            </w:r>
            <w:r w:rsidRPr="64E7C9E5" w:rsidR="352E379E">
              <w:rPr>
                <w:rFonts w:ascii="Calibri" w:eastAsia="Times New Roman" w:hAnsi="Calibri" w:cs="Calibri"/>
                <w:b/>
                <w:bCs/>
                <w:color w:val="000000" w:themeColor="text1"/>
                <w:sz w:val="20"/>
                <w:szCs w:val="20"/>
              </w:rPr>
              <w:t>3</w:t>
            </w:r>
            <w:r w:rsidRPr="64E7C9E5">
              <w:rPr>
                <w:rFonts w:ascii="Calibri" w:eastAsia="Times New Roman" w:hAnsi="Calibri" w:cs="Calibri"/>
                <w:b/>
                <w:bCs/>
                <w:color w:val="000000" w:themeColor="text1"/>
                <w:sz w:val="20"/>
                <w:szCs w:val="20"/>
              </w:rPr>
              <w:t>.5</w:t>
            </w:r>
            <w:r w:rsidRPr="64E7C9E5" w:rsidR="2E0E3C0C">
              <w:rPr>
                <w:rFonts w:ascii="Calibri" w:eastAsia="Times New Roman" w:hAnsi="Calibri" w:cs="Calibri"/>
                <w:b/>
                <w:bCs/>
                <w:color w:val="000000" w:themeColor="text1"/>
                <w:sz w:val="20"/>
                <w:szCs w:val="20"/>
              </w:rPr>
              <w:t>4</w:t>
            </w:r>
            <w:r w:rsidRPr="64E7C9E5">
              <w:rPr>
                <w:rFonts w:ascii="Calibri" w:eastAsia="Times New Roman" w:hAnsi="Calibri" w:cs="Calibri"/>
                <w:b/>
                <w:bCs/>
                <w:color w:val="000000" w:themeColor="text1"/>
                <w:sz w:val="20"/>
                <w:szCs w:val="20"/>
              </w:rPr>
              <w:t xml:space="preserve"> </w:t>
            </w:r>
          </w:p>
        </w:tc>
        <w:tc>
          <w:tcPr>
            <w:tcW w:w="906" w:type="dxa"/>
            <w:shd w:val="clear" w:color="auto" w:fill="D9D9D9" w:themeFill="accent6" w:themeFillShade="D9"/>
            <w:vAlign w:val="center"/>
            <w:hideMark/>
          </w:tcPr>
          <w:p w:rsidR="007E2E3C" w:rsidRPr="00962957" w14:paraId="5563F0E8"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per hour</w:t>
            </w:r>
          </w:p>
        </w:tc>
        <w:tc>
          <w:tcPr>
            <w:tcW w:w="906" w:type="dxa"/>
            <w:shd w:val="clear" w:color="auto" w:fill="D9D9D9" w:themeFill="accent6" w:themeFillShade="D9"/>
            <w:vAlign w:val="center"/>
            <w:hideMark/>
          </w:tcPr>
          <w:p w:rsidR="007E2E3C" w:rsidRPr="00962957" w14:paraId="761DD7EF" w14:textId="47CDB74E">
            <w:pPr>
              <w:spacing w:after="0" w:line="240" w:lineRule="auto"/>
              <w:jc w:val="right"/>
              <w:rPr>
                <w:rFonts w:ascii="Calibri" w:eastAsia="Times New Roman" w:hAnsi="Calibri" w:cs="Calibri"/>
                <w:b/>
                <w:bCs/>
                <w:color w:val="000000"/>
                <w:sz w:val="20"/>
                <w:szCs w:val="20"/>
              </w:rPr>
            </w:pPr>
            <w:r w:rsidRPr="64E7C9E5">
              <w:rPr>
                <w:rFonts w:ascii="Calibri" w:eastAsia="Times New Roman" w:hAnsi="Calibri" w:cs="Calibri"/>
                <w:b/>
                <w:color w:val="000000" w:themeColor="text1"/>
                <w:sz w:val="20"/>
                <w:szCs w:val="20"/>
              </w:rPr>
              <w:t>$</w:t>
            </w:r>
            <w:r w:rsidRPr="64E7C9E5" w:rsidR="1949C3E8">
              <w:rPr>
                <w:rFonts w:ascii="Calibri" w:eastAsia="Times New Roman" w:hAnsi="Calibri" w:cs="Calibri"/>
                <w:b/>
                <w:bCs/>
                <w:color w:val="000000" w:themeColor="text1"/>
                <w:sz w:val="20"/>
                <w:szCs w:val="20"/>
              </w:rPr>
              <w:t>42</w:t>
            </w:r>
            <w:r w:rsidRPr="64E7C9E5">
              <w:rPr>
                <w:rFonts w:ascii="Calibri" w:eastAsia="Times New Roman" w:hAnsi="Calibri" w:cs="Calibri"/>
                <w:b/>
                <w:color w:val="000000" w:themeColor="text1"/>
                <w:sz w:val="20"/>
                <w:szCs w:val="20"/>
              </w:rPr>
              <w:t>.</w:t>
            </w:r>
            <w:r w:rsidRPr="4C65D3C7" w:rsidR="74D98804">
              <w:rPr>
                <w:rFonts w:ascii="Calibri" w:eastAsia="Times New Roman" w:hAnsi="Calibri" w:cs="Calibri"/>
                <w:b/>
                <w:bCs/>
                <w:color w:val="000000" w:themeColor="text1"/>
                <w:sz w:val="20"/>
                <w:szCs w:val="20"/>
              </w:rPr>
              <w:t>2</w:t>
            </w:r>
            <w:r w:rsidRPr="64E7C9E5">
              <w:rPr>
                <w:rFonts w:ascii="Calibri" w:eastAsia="Times New Roman" w:hAnsi="Calibri" w:cs="Calibri"/>
                <w:b/>
                <w:color w:val="000000" w:themeColor="text1"/>
                <w:sz w:val="20"/>
                <w:szCs w:val="20"/>
              </w:rPr>
              <w:t xml:space="preserve">8 </w:t>
            </w:r>
          </w:p>
        </w:tc>
        <w:tc>
          <w:tcPr>
            <w:tcW w:w="905" w:type="dxa"/>
            <w:shd w:val="clear" w:color="auto" w:fill="D9D9D9" w:themeFill="accent6" w:themeFillShade="D9"/>
            <w:vAlign w:val="center"/>
            <w:hideMark/>
          </w:tcPr>
          <w:p w:rsidR="007E2E3C" w:rsidRPr="00962957" w14:paraId="71F1DBFD"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per hour</w:t>
            </w:r>
          </w:p>
        </w:tc>
        <w:tc>
          <w:tcPr>
            <w:tcW w:w="906" w:type="dxa"/>
            <w:shd w:val="clear" w:color="auto" w:fill="D9D9D9" w:themeFill="accent6" w:themeFillShade="D9"/>
            <w:vAlign w:val="center"/>
            <w:hideMark/>
          </w:tcPr>
          <w:p w:rsidR="007E2E3C" w:rsidRPr="00962957" w14:paraId="669175F7" w14:textId="60C04507">
            <w:pPr>
              <w:spacing w:after="0" w:line="240" w:lineRule="auto"/>
              <w:jc w:val="right"/>
              <w:rPr>
                <w:rFonts w:ascii="Calibri" w:eastAsia="Times New Roman" w:hAnsi="Calibri" w:cs="Calibri"/>
                <w:b/>
                <w:bCs/>
                <w:color w:val="000000"/>
                <w:sz w:val="20"/>
                <w:szCs w:val="20"/>
              </w:rPr>
            </w:pPr>
            <w:r w:rsidRPr="6F52C86A">
              <w:rPr>
                <w:rFonts w:ascii="Calibri" w:eastAsia="Times New Roman" w:hAnsi="Calibri" w:cs="Calibri"/>
                <w:b/>
                <w:color w:val="000000" w:themeColor="text1"/>
                <w:sz w:val="20"/>
                <w:szCs w:val="20"/>
              </w:rPr>
              <w:t>$</w:t>
            </w:r>
            <w:r w:rsidRPr="2BB10472" w:rsidR="1F263DBF">
              <w:rPr>
                <w:rFonts w:ascii="Calibri" w:eastAsia="Times New Roman" w:hAnsi="Calibri" w:cs="Calibri"/>
                <w:b/>
                <w:bCs/>
                <w:color w:val="000000" w:themeColor="text1"/>
                <w:sz w:val="20"/>
                <w:szCs w:val="20"/>
              </w:rPr>
              <w:t>133</w:t>
            </w:r>
            <w:r w:rsidRPr="6F52C86A">
              <w:rPr>
                <w:rFonts w:ascii="Calibri" w:eastAsia="Times New Roman" w:hAnsi="Calibri" w:cs="Calibri"/>
                <w:b/>
                <w:color w:val="000000" w:themeColor="text1"/>
                <w:sz w:val="20"/>
                <w:szCs w:val="20"/>
              </w:rPr>
              <w:t>.</w:t>
            </w:r>
            <w:r w:rsidRPr="2BB10472" w:rsidR="78351753">
              <w:rPr>
                <w:rFonts w:ascii="Calibri" w:eastAsia="Times New Roman" w:hAnsi="Calibri" w:cs="Calibri"/>
                <w:b/>
                <w:bCs/>
                <w:color w:val="000000" w:themeColor="text1"/>
                <w:sz w:val="20"/>
                <w:szCs w:val="20"/>
              </w:rPr>
              <w:t>14</w:t>
            </w:r>
          </w:p>
        </w:tc>
        <w:tc>
          <w:tcPr>
            <w:tcW w:w="905" w:type="dxa"/>
            <w:shd w:val="clear" w:color="auto" w:fill="D9D9D9" w:themeFill="accent6" w:themeFillShade="D9"/>
            <w:vAlign w:val="center"/>
            <w:hideMark/>
          </w:tcPr>
          <w:p w:rsidR="007E2E3C" w:rsidRPr="00962957" w14:paraId="756764B6"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per hour</w:t>
            </w:r>
          </w:p>
        </w:tc>
        <w:tc>
          <w:tcPr>
            <w:tcW w:w="942" w:type="dxa"/>
            <w:vMerge/>
            <w:vAlign w:val="center"/>
            <w:hideMark/>
          </w:tcPr>
          <w:p w:rsidR="007E2E3C" w:rsidRPr="00962957" w14:paraId="1A8F8E1C" w14:textId="77777777">
            <w:pPr>
              <w:spacing w:after="0" w:line="240" w:lineRule="auto"/>
              <w:rPr>
                <w:rFonts w:ascii="Calibri" w:eastAsia="Times New Roman" w:hAnsi="Calibri" w:cs="Calibri"/>
                <w:b/>
                <w:bCs/>
                <w:color w:val="000000"/>
                <w:sz w:val="20"/>
                <w:szCs w:val="20"/>
              </w:rPr>
            </w:pPr>
          </w:p>
        </w:tc>
        <w:tc>
          <w:tcPr>
            <w:tcW w:w="1810" w:type="dxa"/>
            <w:gridSpan w:val="2"/>
            <w:vMerge/>
            <w:vAlign w:val="center"/>
            <w:hideMark/>
          </w:tcPr>
          <w:p w:rsidR="007E2E3C" w:rsidRPr="00962957" w14:paraId="104B828B" w14:textId="77777777">
            <w:pPr>
              <w:spacing w:after="0" w:line="240" w:lineRule="auto"/>
              <w:rPr>
                <w:rFonts w:ascii="Calibri" w:eastAsia="Times New Roman" w:hAnsi="Calibri" w:cs="Calibri"/>
                <w:b/>
                <w:bCs/>
                <w:color w:val="000000"/>
                <w:sz w:val="20"/>
                <w:szCs w:val="20"/>
              </w:rPr>
            </w:pPr>
          </w:p>
        </w:tc>
        <w:tc>
          <w:tcPr>
            <w:tcW w:w="2113" w:type="dxa"/>
            <w:gridSpan w:val="2"/>
            <w:vMerge/>
            <w:vAlign w:val="center"/>
            <w:hideMark/>
          </w:tcPr>
          <w:p w:rsidR="007E2E3C" w:rsidRPr="00962957" w14:paraId="3BDBD514" w14:textId="77777777">
            <w:pPr>
              <w:spacing w:after="0" w:line="240" w:lineRule="auto"/>
              <w:rPr>
                <w:rFonts w:ascii="Calibri" w:eastAsia="Times New Roman" w:hAnsi="Calibri" w:cs="Calibri"/>
                <w:b/>
                <w:bCs/>
                <w:color w:val="000000"/>
                <w:sz w:val="20"/>
                <w:szCs w:val="20"/>
              </w:rPr>
            </w:pPr>
          </w:p>
        </w:tc>
      </w:tr>
      <w:tr w14:paraId="1FEAB901" w14:textId="77777777" w:rsidTr="1965DE93">
        <w:tblPrEx>
          <w:tblW w:w="13961" w:type="dxa"/>
          <w:tblLook w:val="04A0"/>
        </w:tblPrEx>
        <w:trPr>
          <w:trHeight w:val="298"/>
          <w:tblHeader/>
        </w:trPr>
        <w:tc>
          <w:tcPr>
            <w:tcW w:w="1797" w:type="dxa"/>
            <w:vMerge/>
            <w:vAlign w:val="center"/>
            <w:hideMark/>
          </w:tcPr>
          <w:p w:rsidR="007E2E3C" w:rsidRPr="00962957" w14:paraId="017F2880" w14:textId="77777777">
            <w:pPr>
              <w:spacing w:after="0" w:line="240" w:lineRule="auto"/>
              <w:rPr>
                <w:rFonts w:ascii="Calibri" w:eastAsia="Times New Roman" w:hAnsi="Calibri" w:cs="Calibri"/>
                <w:b/>
                <w:bCs/>
                <w:color w:val="000000"/>
                <w:sz w:val="20"/>
                <w:szCs w:val="20"/>
              </w:rPr>
            </w:pPr>
          </w:p>
        </w:tc>
        <w:tc>
          <w:tcPr>
            <w:tcW w:w="1865" w:type="dxa"/>
            <w:gridSpan w:val="2"/>
            <w:shd w:val="clear" w:color="auto" w:fill="D9D9D9" w:themeFill="accent6" w:themeFillShade="D9"/>
            <w:vAlign w:val="center"/>
            <w:hideMark/>
          </w:tcPr>
          <w:p w:rsidR="007E2E3C" w:rsidRPr="00962957" w14:paraId="0641712C"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burden hours</w:t>
            </w:r>
          </w:p>
        </w:tc>
        <w:tc>
          <w:tcPr>
            <w:tcW w:w="1812" w:type="dxa"/>
            <w:gridSpan w:val="2"/>
            <w:shd w:val="clear" w:color="auto" w:fill="D9D9D9" w:themeFill="accent6" w:themeFillShade="D9"/>
            <w:vAlign w:val="center"/>
            <w:hideMark/>
          </w:tcPr>
          <w:p w:rsidR="007E2E3C" w:rsidRPr="00962957" w14:paraId="179F6115"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burden hours</w:t>
            </w:r>
          </w:p>
        </w:tc>
        <w:tc>
          <w:tcPr>
            <w:tcW w:w="1811" w:type="dxa"/>
            <w:gridSpan w:val="2"/>
            <w:shd w:val="clear" w:color="auto" w:fill="D9D9D9" w:themeFill="accent6" w:themeFillShade="D9"/>
            <w:vAlign w:val="center"/>
            <w:hideMark/>
          </w:tcPr>
          <w:p w:rsidR="007E2E3C" w:rsidRPr="00962957" w14:paraId="585C152A"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burden hours</w:t>
            </w:r>
          </w:p>
        </w:tc>
        <w:tc>
          <w:tcPr>
            <w:tcW w:w="1811" w:type="dxa"/>
            <w:gridSpan w:val="2"/>
            <w:shd w:val="clear" w:color="auto" w:fill="D9D9D9" w:themeFill="accent6" w:themeFillShade="D9"/>
            <w:vAlign w:val="center"/>
            <w:hideMark/>
          </w:tcPr>
          <w:p w:rsidR="007E2E3C" w:rsidRPr="00962957" w14:paraId="5FA4BF1C"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burden hours</w:t>
            </w:r>
          </w:p>
        </w:tc>
        <w:tc>
          <w:tcPr>
            <w:tcW w:w="942" w:type="dxa"/>
            <w:vMerge/>
            <w:vAlign w:val="center"/>
            <w:hideMark/>
          </w:tcPr>
          <w:p w:rsidR="007E2E3C" w:rsidRPr="00962957" w14:paraId="4E4472D5" w14:textId="77777777">
            <w:pPr>
              <w:spacing w:after="0" w:line="240" w:lineRule="auto"/>
              <w:rPr>
                <w:rFonts w:ascii="Calibri" w:eastAsia="Times New Roman" w:hAnsi="Calibri" w:cs="Calibri"/>
                <w:b/>
                <w:bCs/>
                <w:color w:val="000000"/>
                <w:sz w:val="20"/>
                <w:szCs w:val="20"/>
              </w:rPr>
            </w:pPr>
          </w:p>
        </w:tc>
        <w:tc>
          <w:tcPr>
            <w:tcW w:w="1810" w:type="dxa"/>
            <w:gridSpan w:val="2"/>
            <w:vMerge/>
            <w:vAlign w:val="center"/>
            <w:hideMark/>
          </w:tcPr>
          <w:p w:rsidR="007E2E3C" w:rsidRPr="00962957" w14:paraId="32F6312B" w14:textId="77777777">
            <w:pPr>
              <w:spacing w:after="0" w:line="240" w:lineRule="auto"/>
              <w:rPr>
                <w:rFonts w:ascii="Calibri" w:eastAsia="Times New Roman" w:hAnsi="Calibri" w:cs="Calibri"/>
                <w:b/>
                <w:bCs/>
                <w:color w:val="000000"/>
                <w:sz w:val="20"/>
                <w:szCs w:val="20"/>
              </w:rPr>
            </w:pPr>
          </w:p>
        </w:tc>
        <w:tc>
          <w:tcPr>
            <w:tcW w:w="2113" w:type="dxa"/>
            <w:gridSpan w:val="2"/>
            <w:vMerge/>
            <w:vAlign w:val="center"/>
            <w:hideMark/>
          </w:tcPr>
          <w:p w:rsidR="007E2E3C" w:rsidRPr="00962957" w14:paraId="29C905A8" w14:textId="77777777">
            <w:pPr>
              <w:spacing w:after="0" w:line="240" w:lineRule="auto"/>
              <w:rPr>
                <w:rFonts w:ascii="Calibri" w:eastAsia="Times New Roman" w:hAnsi="Calibri" w:cs="Calibri"/>
                <w:b/>
                <w:bCs/>
                <w:color w:val="000000"/>
                <w:sz w:val="20"/>
                <w:szCs w:val="20"/>
              </w:rPr>
            </w:pPr>
          </w:p>
        </w:tc>
      </w:tr>
      <w:tr w14:paraId="3EC3CB19" w14:textId="77777777" w:rsidTr="1965DE93">
        <w:tblPrEx>
          <w:tblW w:w="13961" w:type="dxa"/>
          <w:tblLook w:val="04A0"/>
        </w:tblPrEx>
        <w:trPr>
          <w:trHeight w:val="549"/>
          <w:tblHeader/>
        </w:trPr>
        <w:tc>
          <w:tcPr>
            <w:tcW w:w="1797" w:type="dxa"/>
            <w:vMerge/>
            <w:vAlign w:val="center"/>
            <w:hideMark/>
          </w:tcPr>
          <w:p w:rsidR="007E2E3C" w:rsidRPr="00962957" w14:paraId="0AC80CF8" w14:textId="77777777">
            <w:pPr>
              <w:spacing w:after="0" w:line="240" w:lineRule="auto"/>
              <w:rPr>
                <w:rFonts w:ascii="Calibri" w:eastAsia="Times New Roman" w:hAnsi="Calibri" w:cs="Calibri"/>
                <w:b/>
                <w:bCs/>
                <w:color w:val="000000"/>
                <w:sz w:val="20"/>
                <w:szCs w:val="20"/>
              </w:rPr>
            </w:pPr>
          </w:p>
        </w:tc>
        <w:tc>
          <w:tcPr>
            <w:tcW w:w="1061" w:type="dxa"/>
            <w:shd w:val="clear" w:color="auto" w:fill="D9D9D9" w:themeFill="accent6" w:themeFillShade="D9"/>
            <w:vAlign w:val="center"/>
            <w:hideMark/>
          </w:tcPr>
          <w:p w:rsidR="007E2E3C" w:rsidRPr="00962957" w14:paraId="37A64303"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Lower Max</w:t>
            </w:r>
          </w:p>
        </w:tc>
        <w:tc>
          <w:tcPr>
            <w:tcW w:w="804" w:type="dxa"/>
            <w:shd w:val="clear" w:color="auto" w:fill="D9D9D9" w:themeFill="accent6" w:themeFillShade="D9"/>
            <w:vAlign w:val="center"/>
            <w:hideMark/>
          </w:tcPr>
          <w:p w:rsidR="007E2E3C" w:rsidRPr="00962957" w14:paraId="0065976C"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Upper Max</w:t>
            </w:r>
          </w:p>
        </w:tc>
        <w:tc>
          <w:tcPr>
            <w:tcW w:w="906" w:type="dxa"/>
            <w:shd w:val="clear" w:color="auto" w:fill="D9D9D9" w:themeFill="accent6" w:themeFillShade="D9"/>
            <w:vAlign w:val="center"/>
            <w:hideMark/>
          </w:tcPr>
          <w:p w:rsidR="007E2E3C" w:rsidRPr="00962957" w14:paraId="546EA8BB"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Lower Max</w:t>
            </w:r>
          </w:p>
        </w:tc>
        <w:tc>
          <w:tcPr>
            <w:tcW w:w="906" w:type="dxa"/>
            <w:shd w:val="clear" w:color="auto" w:fill="D9D9D9" w:themeFill="accent6" w:themeFillShade="D9"/>
            <w:vAlign w:val="center"/>
            <w:hideMark/>
          </w:tcPr>
          <w:p w:rsidR="007E2E3C" w:rsidRPr="00962957" w14:paraId="344BE501"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Upper Max</w:t>
            </w:r>
          </w:p>
        </w:tc>
        <w:tc>
          <w:tcPr>
            <w:tcW w:w="906" w:type="dxa"/>
            <w:shd w:val="clear" w:color="auto" w:fill="D9D9D9" w:themeFill="accent6" w:themeFillShade="D9"/>
            <w:vAlign w:val="center"/>
            <w:hideMark/>
          </w:tcPr>
          <w:p w:rsidR="007E2E3C" w:rsidRPr="00962957" w14:paraId="5E9D1BC5"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Lower Max</w:t>
            </w:r>
          </w:p>
        </w:tc>
        <w:tc>
          <w:tcPr>
            <w:tcW w:w="905" w:type="dxa"/>
            <w:shd w:val="clear" w:color="auto" w:fill="D9D9D9" w:themeFill="accent6" w:themeFillShade="D9"/>
            <w:vAlign w:val="center"/>
            <w:hideMark/>
          </w:tcPr>
          <w:p w:rsidR="007E2E3C" w:rsidRPr="00962957" w14:paraId="4C3F4E8D"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Upper Max</w:t>
            </w:r>
          </w:p>
        </w:tc>
        <w:tc>
          <w:tcPr>
            <w:tcW w:w="906" w:type="dxa"/>
            <w:shd w:val="clear" w:color="auto" w:fill="D9D9D9" w:themeFill="accent6" w:themeFillShade="D9"/>
            <w:vAlign w:val="center"/>
            <w:hideMark/>
          </w:tcPr>
          <w:p w:rsidR="007E2E3C" w:rsidRPr="00962957" w14:paraId="33B545F9"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Lower Max</w:t>
            </w:r>
          </w:p>
        </w:tc>
        <w:tc>
          <w:tcPr>
            <w:tcW w:w="905" w:type="dxa"/>
            <w:shd w:val="clear" w:color="auto" w:fill="D9D9D9" w:themeFill="accent6" w:themeFillShade="D9"/>
            <w:vAlign w:val="center"/>
            <w:hideMark/>
          </w:tcPr>
          <w:p w:rsidR="007E2E3C" w:rsidRPr="00962957" w14:paraId="4C4A37A0"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Upper Max</w:t>
            </w:r>
          </w:p>
        </w:tc>
        <w:tc>
          <w:tcPr>
            <w:tcW w:w="942" w:type="dxa"/>
            <w:vMerge/>
            <w:vAlign w:val="center"/>
            <w:hideMark/>
          </w:tcPr>
          <w:p w:rsidR="007E2E3C" w:rsidRPr="00962957" w14:paraId="5644CA9E" w14:textId="77777777">
            <w:pPr>
              <w:spacing w:after="0" w:line="240" w:lineRule="auto"/>
              <w:rPr>
                <w:rFonts w:ascii="Calibri" w:eastAsia="Times New Roman" w:hAnsi="Calibri" w:cs="Calibri"/>
                <w:b/>
                <w:bCs/>
                <w:color w:val="000000"/>
                <w:sz w:val="20"/>
                <w:szCs w:val="20"/>
              </w:rPr>
            </w:pPr>
          </w:p>
        </w:tc>
        <w:tc>
          <w:tcPr>
            <w:tcW w:w="905" w:type="dxa"/>
            <w:shd w:val="clear" w:color="auto" w:fill="D9D9D9" w:themeFill="accent6" w:themeFillShade="D9"/>
            <w:vAlign w:val="center"/>
            <w:hideMark/>
          </w:tcPr>
          <w:p w:rsidR="007E2E3C" w:rsidRPr="00962957" w14:paraId="281DF2E8"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Lower Max</w:t>
            </w:r>
          </w:p>
        </w:tc>
        <w:tc>
          <w:tcPr>
            <w:tcW w:w="905" w:type="dxa"/>
            <w:shd w:val="clear" w:color="auto" w:fill="D9D9D9" w:themeFill="accent6" w:themeFillShade="D9"/>
            <w:vAlign w:val="center"/>
            <w:hideMark/>
          </w:tcPr>
          <w:p w:rsidR="007E2E3C" w:rsidRPr="00962957" w14:paraId="1FFC6A27"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Upper Max</w:t>
            </w:r>
          </w:p>
        </w:tc>
        <w:tc>
          <w:tcPr>
            <w:tcW w:w="1053" w:type="dxa"/>
            <w:shd w:val="clear" w:color="auto" w:fill="D9D9D9" w:themeFill="accent6" w:themeFillShade="D9"/>
            <w:vAlign w:val="center"/>
            <w:hideMark/>
          </w:tcPr>
          <w:p w:rsidR="007E2E3C" w:rsidRPr="00962957" w14:paraId="318112AA"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Lower Max</w:t>
            </w:r>
          </w:p>
        </w:tc>
        <w:tc>
          <w:tcPr>
            <w:tcW w:w="1060" w:type="dxa"/>
            <w:shd w:val="clear" w:color="auto" w:fill="D9D9D9" w:themeFill="accent6" w:themeFillShade="D9"/>
            <w:vAlign w:val="center"/>
            <w:hideMark/>
          </w:tcPr>
          <w:p w:rsidR="007E2E3C" w:rsidRPr="00962957" w14:paraId="3FB5DBF3"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Upper Max</w:t>
            </w:r>
          </w:p>
        </w:tc>
      </w:tr>
      <w:tr w14:paraId="48D65FE5" w14:textId="77777777" w:rsidTr="008B6A63">
        <w:tblPrEx>
          <w:tblW w:w="13961" w:type="dxa"/>
          <w:tblLook w:val="04A0"/>
        </w:tblPrEx>
        <w:trPr>
          <w:trHeight w:val="800"/>
        </w:trPr>
        <w:tc>
          <w:tcPr>
            <w:tcW w:w="1797" w:type="dxa"/>
            <w:shd w:val="clear" w:color="auto" w:fill="auto"/>
            <w:vAlign w:val="center"/>
            <w:hideMark/>
          </w:tcPr>
          <w:p w:rsidR="007E2E3C" w:rsidRPr="00962957" w14:paraId="78536568"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Manufacturer ID and Principal Technical Contact</w:t>
            </w:r>
          </w:p>
        </w:tc>
        <w:tc>
          <w:tcPr>
            <w:tcW w:w="1061" w:type="dxa"/>
            <w:shd w:val="clear" w:color="auto" w:fill="auto"/>
            <w:vAlign w:val="center"/>
            <w:hideMark/>
          </w:tcPr>
          <w:p w:rsidR="007E2E3C" w:rsidRPr="00962957" w14:paraId="3266332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15C445A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6" w:type="dxa"/>
            <w:shd w:val="clear" w:color="auto" w:fill="auto"/>
            <w:vAlign w:val="center"/>
            <w:hideMark/>
          </w:tcPr>
          <w:p w:rsidR="007E2E3C" w:rsidRPr="00962957" w14:paraId="25B0777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7DE34C9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3FD560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78DB28D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0ABA53B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292B43E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7BD9421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58C8931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21C0B30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16</w:t>
            </w:r>
          </w:p>
        </w:tc>
        <w:tc>
          <w:tcPr>
            <w:tcW w:w="1053" w:type="dxa"/>
            <w:shd w:val="clear" w:color="auto" w:fill="auto"/>
            <w:vAlign w:val="center"/>
            <w:hideMark/>
          </w:tcPr>
          <w:p w:rsidR="5326185B" w:rsidRPr="5326185B" w:rsidP="0012582F" w14:paraId="0A8A157C" w14:textId="7DC95176">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$357</w:t>
            </w:r>
          </w:p>
        </w:tc>
        <w:tc>
          <w:tcPr>
            <w:tcW w:w="1060" w:type="dxa"/>
            <w:shd w:val="clear" w:color="auto" w:fill="auto"/>
            <w:vAlign w:val="center"/>
            <w:hideMark/>
          </w:tcPr>
          <w:p w:rsidR="5326185B" w:rsidRPr="5326185B" w:rsidP="0012582F" w14:paraId="7CCB506C" w14:textId="214C1127">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$1,427</w:t>
            </w:r>
          </w:p>
        </w:tc>
      </w:tr>
      <w:tr w14:paraId="6FAEB673" w14:textId="77777777" w:rsidTr="008B6A63">
        <w:tblPrEx>
          <w:tblW w:w="13961" w:type="dxa"/>
          <w:tblLook w:val="04A0"/>
        </w:tblPrEx>
        <w:trPr>
          <w:trHeight w:val="800"/>
        </w:trPr>
        <w:tc>
          <w:tcPr>
            <w:tcW w:w="1797" w:type="dxa"/>
            <w:shd w:val="clear" w:color="auto" w:fill="auto"/>
            <w:vAlign w:val="center"/>
            <w:hideMark/>
          </w:tcPr>
          <w:p w:rsidR="007E2E3C" w:rsidRPr="00962957" w14:paraId="6329BE23"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Chemical and Trade Name</w:t>
            </w:r>
          </w:p>
        </w:tc>
        <w:tc>
          <w:tcPr>
            <w:tcW w:w="1061" w:type="dxa"/>
            <w:shd w:val="clear" w:color="auto" w:fill="auto"/>
            <w:vAlign w:val="center"/>
            <w:hideMark/>
          </w:tcPr>
          <w:p w:rsidR="007E2E3C" w:rsidRPr="00962957" w14:paraId="53703EC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142507A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BA33D5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70757B8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5</w:t>
            </w:r>
          </w:p>
        </w:tc>
        <w:tc>
          <w:tcPr>
            <w:tcW w:w="906" w:type="dxa"/>
            <w:shd w:val="clear" w:color="auto" w:fill="auto"/>
            <w:vAlign w:val="center"/>
            <w:hideMark/>
          </w:tcPr>
          <w:p w:rsidR="007E2E3C" w:rsidRPr="00962957" w14:paraId="6612237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60E6A80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0BC9DA2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59C4004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4F4BC7B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5" w:type="dxa"/>
            <w:shd w:val="clear" w:color="auto" w:fill="auto"/>
            <w:vAlign w:val="center"/>
            <w:hideMark/>
          </w:tcPr>
          <w:p w:rsidR="007E2E3C" w:rsidRPr="00962957" w14:paraId="293A619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5" w:type="dxa"/>
            <w:shd w:val="clear" w:color="auto" w:fill="auto"/>
            <w:vAlign w:val="center"/>
            <w:hideMark/>
          </w:tcPr>
          <w:p w:rsidR="007E2E3C" w:rsidRPr="00962957" w14:paraId="3FBFE0E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15</w:t>
            </w:r>
          </w:p>
        </w:tc>
        <w:tc>
          <w:tcPr>
            <w:tcW w:w="1053" w:type="dxa"/>
            <w:shd w:val="clear" w:color="auto" w:fill="auto"/>
            <w:vAlign w:val="center"/>
            <w:hideMark/>
          </w:tcPr>
          <w:p w:rsidR="5326185B" w:rsidRPr="5326185B" w:rsidP="0012582F" w14:paraId="65848B41" w14:textId="78ABCA3E">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$251</w:t>
            </w:r>
          </w:p>
        </w:tc>
        <w:tc>
          <w:tcPr>
            <w:tcW w:w="1060" w:type="dxa"/>
            <w:shd w:val="clear" w:color="auto" w:fill="auto"/>
            <w:vAlign w:val="center"/>
            <w:hideMark/>
          </w:tcPr>
          <w:p w:rsidR="5326185B" w:rsidRPr="5326185B" w:rsidP="0012582F" w14:paraId="674656B2" w14:textId="57100F3E">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$1,253</w:t>
            </w:r>
          </w:p>
        </w:tc>
      </w:tr>
      <w:tr w14:paraId="5123FF6C" w14:textId="77777777" w:rsidTr="008B6A63">
        <w:tblPrEx>
          <w:tblW w:w="13961" w:type="dxa"/>
          <w:tblLook w:val="04A0"/>
        </w:tblPrEx>
        <w:trPr>
          <w:trHeight w:val="800"/>
        </w:trPr>
        <w:tc>
          <w:tcPr>
            <w:tcW w:w="1797" w:type="dxa"/>
            <w:shd w:val="clear" w:color="auto" w:fill="auto"/>
            <w:vAlign w:val="center"/>
            <w:hideMark/>
          </w:tcPr>
          <w:p w:rsidR="007E2E3C" w:rsidRPr="00962957" w14:paraId="1C9A45D4"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Chemical Composition</w:t>
            </w:r>
          </w:p>
        </w:tc>
        <w:tc>
          <w:tcPr>
            <w:tcW w:w="1061" w:type="dxa"/>
            <w:shd w:val="clear" w:color="auto" w:fill="auto"/>
            <w:vAlign w:val="center"/>
            <w:hideMark/>
          </w:tcPr>
          <w:p w:rsidR="007E2E3C" w:rsidRPr="00962957" w14:paraId="657586C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68C0FD1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4EBAA2B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w:t>
            </w:r>
          </w:p>
        </w:tc>
        <w:tc>
          <w:tcPr>
            <w:tcW w:w="906" w:type="dxa"/>
            <w:shd w:val="clear" w:color="auto" w:fill="auto"/>
            <w:vAlign w:val="center"/>
            <w:hideMark/>
          </w:tcPr>
          <w:p w:rsidR="007E2E3C" w:rsidRPr="00962957" w14:paraId="690213C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6</w:t>
            </w:r>
          </w:p>
        </w:tc>
        <w:tc>
          <w:tcPr>
            <w:tcW w:w="906" w:type="dxa"/>
            <w:shd w:val="clear" w:color="auto" w:fill="auto"/>
            <w:vAlign w:val="center"/>
            <w:hideMark/>
          </w:tcPr>
          <w:p w:rsidR="007E2E3C" w:rsidRPr="00962957" w14:paraId="0FBCF74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5F675E0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B8ECFF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50CE058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0AB63BF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0C26861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3CF2C54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24</w:t>
            </w:r>
          </w:p>
        </w:tc>
        <w:tc>
          <w:tcPr>
            <w:tcW w:w="1053" w:type="dxa"/>
            <w:shd w:val="clear" w:color="auto" w:fill="auto"/>
            <w:vAlign w:val="center"/>
            <w:hideMark/>
          </w:tcPr>
          <w:p w:rsidR="5326185B" w:rsidRPr="5326185B" w:rsidP="0012582F" w14:paraId="51C080E4" w14:textId="44ABE60D">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$167</w:t>
            </w:r>
          </w:p>
        </w:tc>
        <w:tc>
          <w:tcPr>
            <w:tcW w:w="1060" w:type="dxa"/>
            <w:shd w:val="clear" w:color="auto" w:fill="auto"/>
            <w:vAlign w:val="center"/>
            <w:hideMark/>
          </w:tcPr>
          <w:p w:rsidR="5326185B" w:rsidRPr="5326185B" w:rsidP="0012582F" w14:paraId="72D5A945" w14:textId="78997D49">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$2,005</w:t>
            </w:r>
          </w:p>
        </w:tc>
      </w:tr>
      <w:tr w14:paraId="11EF5FA4" w14:textId="77777777" w:rsidTr="008B6A63">
        <w:tblPrEx>
          <w:tblW w:w="13961" w:type="dxa"/>
          <w:tblLook w:val="04A0"/>
        </w:tblPrEx>
        <w:trPr>
          <w:trHeight w:val="800"/>
        </w:trPr>
        <w:tc>
          <w:tcPr>
            <w:tcW w:w="1797" w:type="dxa"/>
            <w:shd w:val="clear" w:color="auto" w:fill="auto"/>
            <w:vAlign w:val="center"/>
            <w:hideMark/>
          </w:tcPr>
          <w:p w:rsidR="007E2E3C" w:rsidRPr="00962957" w14:paraId="6D0ABD01"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Byproduct ID</w:t>
            </w:r>
          </w:p>
        </w:tc>
        <w:tc>
          <w:tcPr>
            <w:tcW w:w="1061" w:type="dxa"/>
            <w:shd w:val="clear" w:color="auto" w:fill="auto"/>
            <w:vAlign w:val="center"/>
            <w:hideMark/>
          </w:tcPr>
          <w:p w:rsidR="007E2E3C" w:rsidRPr="00962957" w14:paraId="5001C95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6F962A1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6ED93DC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1F2490C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5</w:t>
            </w:r>
          </w:p>
        </w:tc>
        <w:tc>
          <w:tcPr>
            <w:tcW w:w="906" w:type="dxa"/>
            <w:shd w:val="clear" w:color="auto" w:fill="auto"/>
            <w:vAlign w:val="center"/>
            <w:hideMark/>
          </w:tcPr>
          <w:p w:rsidR="007E2E3C" w:rsidRPr="00962957" w14:paraId="58D2074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0C6D9CA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41FDAE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351CE1A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3008829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51863E3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260E4EC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12</w:t>
            </w:r>
          </w:p>
        </w:tc>
        <w:tc>
          <w:tcPr>
            <w:tcW w:w="1053" w:type="dxa"/>
            <w:shd w:val="clear" w:color="auto" w:fill="auto"/>
            <w:vAlign w:val="center"/>
            <w:hideMark/>
          </w:tcPr>
          <w:p w:rsidR="5326185B" w:rsidRPr="5326185B" w:rsidP="0012582F" w14:paraId="764C80DF" w14:textId="0D35EF06">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$345</w:t>
            </w:r>
          </w:p>
        </w:tc>
        <w:tc>
          <w:tcPr>
            <w:tcW w:w="1060" w:type="dxa"/>
            <w:shd w:val="clear" w:color="auto" w:fill="auto"/>
            <w:vAlign w:val="center"/>
            <w:hideMark/>
          </w:tcPr>
          <w:p w:rsidR="5326185B" w:rsidRPr="5326185B" w:rsidP="0012582F" w14:paraId="605244A8" w14:textId="2040105A">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$1,014</w:t>
            </w:r>
          </w:p>
        </w:tc>
      </w:tr>
      <w:tr w14:paraId="0989FF00" w14:textId="77777777" w:rsidTr="008B6A63">
        <w:tblPrEx>
          <w:tblW w:w="13961" w:type="dxa"/>
          <w:tblLook w:val="04A0"/>
        </w:tblPrEx>
        <w:trPr>
          <w:trHeight w:val="800"/>
        </w:trPr>
        <w:tc>
          <w:tcPr>
            <w:tcW w:w="1797" w:type="dxa"/>
            <w:shd w:val="clear" w:color="auto" w:fill="auto"/>
            <w:vAlign w:val="center"/>
            <w:hideMark/>
          </w:tcPr>
          <w:p w:rsidR="007E2E3C" w:rsidRPr="00962957" w14:paraId="2734C2B6"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Use Description</w:t>
            </w:r>
          </w:p>
        </w:tc>
        <w:tc>
          <w:tcPr>
            <w:tcW w:w="1061" w:type="dxa"/>
            <w:shd w:val="clear" w:color="auto" w:fill="auto"/>
            <w:vAlign w:val="center"/>
            <w:hideMark/>
          </w:tcPr>
          <w:p w:rsidR="007E2E3C" w:rsidRPr="00962957" w14:paraId="2E1E996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66F0FE9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46636A0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6EE673F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5</w:t>
            </w:r>
          </w:p>
        </w:tc>
        <w:tc>
          <w:tcPr>
            <w:tcW w:w="906" w:type="dxa"/>
            <w:shd w:val="clear" w:color="auto" w:fill="auto"/>
            <w:vAlign w:val="center"/>
            <w:hideMark/>
          </w:tcPr>
          <w:p w:rsidR="007E2E3C" w:rsidRPr="00962957" w14:paraId="19FBAF2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677A947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49EE01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3E07AF0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47D306E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05BD61F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4D649048"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20</w:t>
            </w:r>
          </w:p>
        </w:tc>
        <w:tc>
          <w:tcPr>
            <w:tcW w:w="1053" w:type="dxa"/>
            <w:shd w:val="clear" w:color="auto" w:fill="auto"/>
            <w:vAlign w:val="center"/>
            <w:hideMark/>
          </w:tcPr>
          <w:p w:rsidR="5326185B" w:rsidRPr="5326185B" w:rsidP="0012582F" w14:paraId="1F7FCDE1" w14:textId="16982A2C">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$334</w:t>
            </w:r>
          </w:p>
        </w:tc>
        <w:tc>
          <w:tcPr>
            <w:tcW w:w="1060" w:type="dxa"/>
            <w:shd w:val="clear" w:color="auto" w:fill="auto"/>
            <w:vAlign w:val="center"/>
            <w:hideMark/>
          </w:tcPr>
          <w:p w:rsidR="5326185B" w:rsidRPr="5326185B" w:rsidP="0012582F" w14:paraId="31DEF1E0" w14:textId="337E8E8A">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$1,671</w:t>
            </w:r>
          </w:p>
        </w:tc>
      </w:tr>
      <w:tr w14:paraId="0DEED5E3" w14:textId="77777777" w:rsidTr="008B6A63">
        <w:tblPrEx>
          <w:tblW w:w="13961" w:type="dxa"/>
          <w:tblLook w:val="04A0"/>
        </w:tblPrEx>
        <w:trPr>
          <w:trHeight w:val="800"/>
        </w:trPr>
        <w:tc>
          <w:tcPr>
            <w:tcW w:w="1797" w:type="dxa"/>
            <w:shd w:val="clear" w:color="auto" w:fill="auto"/>
            <w:vAlign w:val="center"/>
            <w:hideMark/>
          </w:tcPr>
          <w:p w:rsidR="007E2E3C" w:rsidRPr="00962957" w14:paraId="0E086697"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Quantity Manufactured or Imported</w:t>
            </w:r>
          </w:p>
        </w:tc>
        <w:tc>
          <w:tcPr>
            <w:tcW w:w="1061" w:type="dxa"/>
            <w:shd w:val="clear" w:color="auto" w:fill="auto"/>
            <w:vAlign w:val="center"/>
            <w:hideMark/>
          </w:tcPr>
          <w:p w:rsidR="007E2E3C" w:rsidRPr="00962957" w14:paraId="73545C2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0661732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38B979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7D42DEA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5</w:t>
            </w:r>
          </w:p>
        </w:tc>
        <w:tc>
          <w:tcPr>
            <w:tcW w:w="906" w:type="dxa"/>
            <w:shd w:val="clear" w:color="auto" w:fill="auto"/>
            <w:vAlign w:val="center"/>
            <w:hideMark/>
          </w:tcPr>
          <w:p w:rsidR="007E2E3C" w:rsidRPr="00962957" w14:paraId="0963CCD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54B5FB7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47C05C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04F57F9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592C08A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0955289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23020F1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20</w:t>
            </w:r>
          </w:p>
        </w:tc>
        <w:tc>
          <w:tcPr>
            <w:tcW w:w="1053" w:type="dxa"/>
            <w:shd w:val="clear" w:color="auto" w:fill="auto"/>
            <w:vAlign w:val="center"/>
            <w:hideMark/>
          </w:tcPr>
          <w:p w:rsidR="5326185B" w:rsidRPr="5326185B" w:rsidP="0012582F" w14:paraId="5E2C2228" w14:textId="1309B732">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$334</w:t>
            </w:r>
          </w:p>
        </w:tc>
        <w:tc>
          <w:tcPr>
            <w:tcW w:w="1060" w:type="dxa"/>
            <w:shd w:val="clear" w:color="auto" w:fill="auto"/>
            <w:vAlign w:val="center"/>
            <w:hideMark/>
          </w:tcPr>
          <w:p w:rsidR="5326185B" w:rsidRPr="5326185B" w:rsidP="0012582F" w14:paraId="37D772FE" w14:textId="145F7D29">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$1,671</w:t>
            </w:r>
          </w:p>
        </w:tc>
      </w:tr>
      <w:tr w14:paraId="38F5D15D" w14:textId="77777777" w:rsidTr="008B6A63">
        <w:tblPrEx>
          <w:tblW w:w="13961" w:type="dxa"/>
          <w:tblLook w:val="04A0"/>
        </w:tblPrEx>
        <w:trPr>
          <w:trHeight w:val="800"/>
        </w:trPr>
        <w:tc>
          <w:tcPr>
            <w:tcW w:w="1797" w:type="dxa"/>
            <w:shd w:val="clear" w:color="auto" w:fill="auto"/>
            <w:vAlign w:val="center"/>
            <w:hideMark/>
          </w:tcPr>
          <w:p w:rsidR="007E2E3C" w:rsidRPr="00962957" w14:paraId="1E901B6A"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Marketing Data</w:t>
            </w:r>
          </w:p>
        </w:tc>
        <w:tc>
          <w:tcPr>
            <w:tcW w:w="1061" w:type="dxa"/>
            <w:shd w:val="clear" w:color="auto" w:fill="auto"/>
            <w:vAlign w:val="center"/>
            <w:hideMark/>
          </w:tcPr>
          <w:p w:rsidR="007E2E3C" w:rsidRPr="00962957" w14:paraId="197882F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3F44B57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6" w:type="dxa"/>
            <w:shd w:val="clear" w:color="auto" w:fill="auto"/>
            <w:vAlign w:val="center"/>
            <w:hideMark/>
          </w:tcPr>
          <w:p w:rsidR="007E2E3C" w:rsidRPr="00962957" w14:paraId="49F3570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75D65A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7510A807"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1B0B0CE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1F9E2C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3A7E2B1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1546C9D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57B9624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7DFCAB6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1053" w:type="dxa"/>
            <w:shd w:val="clear" w:color="auto" w:fill="auto"/>
            <w:vAlign w:val="center"/>
            <w:hideMark/>
          </w:tcPr>
          <w:p w:rsidR="5326185B" w:rsidRPr="5326185B" w:rsidP="0012582F" w14:paraId="0709E753" w14:textId="4F87BF0B">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$178</w:t>
            </w:r>
          </w:p>
        </w:tc>
        <w:tc>
          <w:tcPr>
            <w:tcW w:w="1060" w:type="dxa"/>
            <w:shd w:val="clear" w:color="auto" w:fill="auto"/>
            <w:vAlign w:val="center"/>
            <w:hideMark/>
          </w:tcPr>
          <w:p w:rsidR="5326185B" w:rsidRPr="5326185B" w:rsidP="0012582F" w14:paraId="68EC2C74" w14:textId="2B07E4E3">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$357</w:t>
            </w:r>
          </w:p>
        </w:tc>
      </w:tr>
      <w:tr w14:paraId="2E4F8934" w14:textId="77777777" w:rsidTr="008B6A63">
        <w:tblPrEx>
          <w:tblW w:w="13961" w:type="dxa"/>
          <w:tblLook w:val="04A0"/>
        </w:tblPrEx>
        <w:trPr>
          <w:trHeight w:val="800"/>
        </w:trPr>
        <w:tc>
          <w:tcPr>
            <w:tcW w:w="1797" w:type="dxa"/>
            <w:shd w:val="clear" w:color="auto" w:fill="auto"/>
            <w:vAlign w:val="center"/>
            <w:hideMark/>
          </w:tcPr>
          <w:p w:rsidR="007E2E3C" w:rsidRPr="00962957" w14:paraId="496D9F65" w14:textId="5F932000">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Date of Initiation of Manufacture or Importation</w:t>
            </w:r>
          </w:p>
        </w:tc>
        <w:tc>
          <w:tcPr>
            <w:tcW w:w="1061" w:type="dxa"/>
            <w:shd w:val="clear" w:color="auto" w:fill="auto"/>
            <w:vAlign w:val="center"/>
            <w:hideMark/>
          </w:tcPr>
          <w:p w:rsidR="007E2E3C" w:rsidRPr="00962957" w14:paraId="0D88D1E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w:t>
            </w:r>
          </w:p>
        </w:tc>
        <w:tc>
          <w:tcPr>
            <w:tcW w:w="804" w:type="dxa"/>
            <w:shd w:val="clear" w:color="auto" w:fill="auto"/>
            <w:vAlign w:val="center"/>
            <w:hideMark/>
          </w:tcPr>
          <w:p w:rsidR="007E2E3C" w:rsidRPr="00962957" w14:paraId="54E8D66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0.5</w:t>
            </w:r>
          </w:p>
        </w:tc>
        <w:tc>
          <w:tcPr>
            <w:tcW w:w="906" w:type="dxa"/>
            <w:shd w:val="clear" w:color="auto" w:fill="auto"/>
            <w:vAlign w:val="center"/>
            <w:hideMark/>
          </w:tcPr>
          <w:p w:rsidR="007E2E3C" w:rsidRPr="00962957" w14:paraId="0375ADD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549BFAE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7EF6822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51EB2DF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4650227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0B46399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201C4F5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791B9AC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330CF77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1053" w:type="dxa"/>
            <w:shd w:val="clear" w:color="auto" w:fill="auto"/>
            <w:vAlign w:val="center"/>
            <w:hideMark/>
          </w:tcPr>
          <w:p w:rsidR="5326185B" w:rsidRPr="5326185B" w:rsidP="0012582F" w14:paraId="78727913" w14:textId="01DB4828">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$178</w:t>
            </w:r>
          </w:p>
        </w:tc>
        <w:tc>
          <w:tcPr>
            <w:tcW w:w="1060" w:type="dxa"/>
            <w:shd w:val="clear" w:color="auto" w:fill="auto"/>
            <w:vAlign w:val="center"/>
            <w:hideMark/>
          </w:tcPr>
          <w:p w:rsidR="5326185B" w:rsidRPr="5326185B" w:rsidP="0012582F" w14:paraId="5F1DA5E8" w14:textId="057C83AB">
            <w:pPr>
              <w:spacing w:after="0"/>
              <w:jc w:val="right"/>
              <w:rPr>
                <w:rFonts w:ascii="Calibri" w:eastAsia="Calibri" w:hAnsi="Calibri" w:cs="Calibri"/>
                <w:color w:val="000000" w:themeColor="text1"/>
                <w:sz w:val="20"/>
                <w:szCs w:val="20"/>
              </w:rPr>
            </w:pPr>
            <w:r w:rsidRPr="5326185B">
              <w:rPr>
                <w:rFonts w:ascii="Calibri" w:eastAsia="Calibri" w:hAnsi="Calibri" w:cs="Calibri"/>
                <w:color w:val="000000" w:themeColor="text1"/>
                <w:sz w:val="20"/>
                <w:szCs w:val="20"/>
              </w:rPr>
              <w:t>$178</w:t>
            </w:r>
          </w:p>
        </w:tc>
      </w:tr>
      <w:tr w14:paraId="341F3096" w14:textId="77777777" w:rsidTr="008B6A63">
        <w:tblPrEx>
          <w:tblW w:w="13961" w:type="dxa"/>
          <w:tblLook w:val="04A0"/>
        </w:tblPrEx>
        <w:trPr>
          <w:trHeight w:val="800"/>
        </w:trPr>
        <w:tc>
          <w:tcPr>
            <w:tcW w:w="1797" w:type="dxa"/>
            <w:shd w:val="clear" w:color="auto" w:fill="auto"/>
            <w:vAlign w:val="center"/>
            <w:hideMark/>
          </w:tcPr>
          <w:p w:rsidR="007E2E3C" w:rsidRPr="00962957" w14:paraId="3C4F6203"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Occupational Exposure</w:t>
            </w:r>
          </w:p>
        </w:tc>
        <w:tc>
          <w:tcPr>
            <w:tcW w:w="1061" w:type="dxa"/>
            <w:shd w:val="clear" w:color="auto" w:fill="auto"/>
            <w:vAlign w:val="center"/>
            <w:hideMark/>
          </w:tcPr>
          <w:p w:rsidR="007E2E3C" w:rsidRPr="00962957" w14:paraId="4C6FE9E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7C6E04F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6" w:type="dxa"/>
            <w:shd w:val="clear" w:color="auto" w:fill="auto"/>
            <w:vAlign w:val="center"/>
            <w:hideMark/>
          </w:tcPr>
          <w:p w:rsidR="007E2E3C" w:rsidRPr="00962957" w14:paraId="23C11F5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6" w:type="dxa"/>
            <w:shd w:val="clear" w:color="auto" w:fill="auto"/>
            <w:vAlign w:val="center"/>
            <w:hideMark/>
          </w:tcPr>
          <w:p w:rsidR="007E2E3C" w:rsidRPr="00962957" w14:paraId="42DD366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17</w:t>
            </w:r>
          </w:p>
        </w:tc>
        <w:tc>
          <w:tcPr>
            <w:tcW w:w="906" w:type="dxa"/>
            <w:shd w:val="clear" w:color="auto" w:fill="auto"/>
            <w:vAlign w:val="center"/>
            <w:hideMark/>
          </w:tcPr>
          <w:p w:rsidR="007E2E3C" w:rsidRPr="00962957" w14:paraId="3B7E1FA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7090657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6" w:type="dxa"/>
            <w:shd w:val="clear" w:color="auto" w:fill="auto"/>
            <w:vAlign w:val="center"/>
            <w:hideMark/>
          </w:tcPr>
          <w:p w:rsidR="007E2E3C" w:rsidRPr="00962957" w14:paraId="6E924BD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7D756D5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1CF1BAB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0095CDC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8</w:t>
            </w:r>
          </w:p>
        </w:tc>
        <w:tc>
          <w:tcPr>
            <w:tcW w:w="905" w:type="dxa"/>
            <w:shd w:val="clear" w:color="auto" w:fill="auto"/>
            <w:vAlign w:val="center"/>
            <w:hideMark/>
          </w:tcPr>
          <w:p w:rsidR="007E2E3C" w:rsidRPr="00962957" w14:paraId="0E046BC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48</w:t>
            </w:r>
          </w:p>
        </w:tc>
        <w:tc>
          <w:tcPr>
            <w:tcW w:w="1053" w:type="dxa"/>
            <w:shd w:val="clear" w:color="auto" w:fill="auto"/>
            <w:vAlign w:val="center"/>
            <w:hideMark/>
          </w:tcPr>
          <w:p w:rsidR="33510358" w:rsidRPr="33510358" w:rsidP="0012582F" w14:paraId="6A361F9E" w14:textId="2F303314">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$597</w:t>
            </w:r>
          </w:p>
        </w:tc>
        <w:tc>
          <w:tcPr>
            <w:tcW w:w="1060" w:type="dxa"/>
            <w:shd w:val="clear" w:color="auto" w:fill="auto"/>
            <w:vAlign w:val="center"/>
            <w:hideMark/>
          </w:tcPr>
          <w:p w:rsidR="33510358" w:rsidRPr="33510358" w:rsidP="0012582F" w14:paraId="6CE60F61" w14:textId="6D8DA7E8">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$3,807</w:t>
            </w:r>
          </w:p>
        </w:tc>
      </w:tr>
      <w:tr w14:paraId="6C895202" w14:textId="77777777" w:rsidTr="008B6A63">
        <w:tblPrEx>
          <w:tblW w:w="13961" w:type="dxa"/>
          <w:tblLook w:val="04A0"/>
        </w:tblPrEx>
        <w:trPr>
          <w:trHeight w:val="800"/>
        </w:trPr>
        <w:tc>
          <w:tcPr>
            <w:tcW w:w="1797" w:type="dxa"/>
            <w:shd w:val="clear" w:color="auto" w:fill="auto"/>
            <w:vAlign w:val="center"/>
            <w:hideMark/>
          </w:tcPr>
          <w:p w:rsidR="007E2E3C" w:rsidRPr="00962957" w14:paraId="2B97B0DA"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Environmental Release</w:t>
            </w:r>
          </w:p>
        </w:tc>
        <w:tc>
          <w:tcPr>
            <w:tcW w:w="1061" w:type="dxa"/>
            <w:shd w:val="clear" w:color="auto" w:fill="auto"/>
            <w:vAlign w:val="center"/>
            <w:hideMark/>
          </w:tcPr>
          <w:p w:rsidR="007E2E3C" w:rsidRPr="00962957" w14:paraId="7568642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40D7E90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6" w:type="dxa"/>
            <w:shd w:val="clear" w:color="auto" w:fill="auto"/>
            <w:vAlign w:val="center"/>
            <w:hideMark/>
          </w:tcPr>
          <w:p w:rsidR="007E2E3C" w:rsidRPr="00962957" w14:paraId="3614049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3901EF0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9</w:t>
            </w:r>
          </w:p>
        </w:tc>
        <w:tc>
          <w:tcPr>
            <w:tcW w:w="906" w:type="dxa"/>
            <w:shd w:val="clear" w:color="auto" w:fill="auto"/>
            <w:vAlign w:val="center"/>
            <w:hideMark/>
          </w:tcPr>
          <w:p w:rsidR="007E2E3C" w:rsidRPr="00962957" w14:paraId="1A3B99E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7B8C6C9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6" w:type="dxa"/>
            <w:shd w:val="clear" w:color="auto" w:fill="auto"/>
            <w:vAlign w:val="center"/>
            <w:hideMark/>
          </w:tcPr>
          <w:p w:rsidR="007E2E3C" w:rsidRPr="00962957" w14:paraId="552EBAB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7CBED56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400E9E9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0BE731E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6</w:t>
            </w:r>
          </w:p>
        </w:tc>
        <w:tc>
          <w:tcPr>
            <w:tcW w:w="905" w:type="dxa"/>
            <w:shd w:val="clear" w:color="auto" w:fill="auto"/>
            <w:vAlign w:val="center"/>
            <w:hideMark/>
          </w:tcPr>
          <w:p w:rsidR="007E2E3C" w:rsidRPr="00962957" w14:paraId="3F72D22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32</w:t>
            </w:r>
          </w:p>
        </w:tc>
        <w:tc>
          <w:tcPr>
            <w:tcW w:w="1053" w:type="dxa"/>
            <w:shd w:val="clear" w:color="auto" w:fill="auto"/>
            <w:vAlign w:val="center"/>
            <w:hideMark/>
          </w:tcPr>
          <w:p w:rsidR="33510358" w:rsidRPr="33510358" w:rsidP="0012582F" w14:paraId="2C2775FE" w14:textId="727D01BF">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$430</w:t>
            </w:r>
          </w:p>
        </w:tc>
        <w:tc>
          <w:tcPr>
            <w:tcW w:w="1060" w:type="dxa"/>
            <w:shd w:val="clear" w:color="auto" w:fill="auto"/>
            <w:vAlign w:val="center"/>
            <w:hideMark/>
          </w:tcPr>
          <w:p w:rsidR="33510358" w:rsidRPr="33510358" w:rsidP="0012582F" w14:paraId="62EC3240" w14:textId="20D3BCE0">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$2,471</w:t>
            </w:r>
          </w:p>
        </w:tc>
      </w:tr>
      <w:tr w14:paraId="48FA4361" w14:textId="77777777" w:rsidTr="008B6A63">
        <w:tblPrEx>
          <w:tblW w:w="13961" w:type="dxa"/>
          <w:tblLook w:val="04A0"/>
        </w:tblPrEx>
        <w:trPr>
          <w:trHeight w:val="800"/>
        </w:trPr>
        <w:tc>
          <w:tcPr>
            <w:tcW w:w="1797" w:type="dxa"/>
            <w:shd w:val="clear" w:color="auto" w:fill="auto"/>
            <w:vAlign w:val="center"/>
            <w:hideMark/>
          </w:tcPr>
          <w:p w:rsidR="007E2E3C" w:rsidRPr="00962957" w14:paraId="6B1C0073"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Occupational Description</w:t>
            </w:r>
          </w:p>
        </w:tc>
        <w:tc>
          <w:tcPr>
            <w:tcW w:w="1061" w:type="dxa"/>
            <w:shd w:val="clear" w:color="auto" w:fill="auto"/>
            <w:vAlign w:val="center"/>
            <w:hideMark/>
          </w:tcPr>
          <w:p w:rsidR="007E2E3C" w:rsidRPr="00962957" w14:paraId="2C4A210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32E10C7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7EA8EB2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3153206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11</w:t>
            </w:r>
          </w:p>
        </w:tc>
        <w:tc>
          <w:tcPr>
            <w:tcW w:w="906" w:type="dxa"/>
            <w:shd w:val="clear" w:color="auto" w:fill="auto"/>
            <w:vAlign w:val="center"/>
            <w:hideMark/>
          </w:tcPr>
          <w:p w:rsidR="007E2E3C" w:rsidRPr="00962957" w14:paraId="5D0EB70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1891714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EB448F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055F720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39A6A25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48AF43C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06C8883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11</w:t>
            </w:r>
          </w:p>
        </w:tc>
        <w:tc>
          <w:tcPr>
            <w:tcW w:w="1053" w:type="dxa"/>
            <w:shd w:val="clear" w:color="auto" w:fill="auto"/>
            <w:vAlign w:val="center"/>
            <w:hideMark/>
          </w:tcPr>
          <w:p w:rsidR="33510358" w:rsidRPr="33510358" w:rsidP="0012582F" w14:paraId="7052816F" w14:textId="4A0E3644">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$84</w:t>
            </w:r>
          </w:p>
        </w:tc>
        <w:tc>
          <w:tcPr>
            <w:tcW w:w="1060" w:type="dxa"/>
            <w:shd w:val="clear" w:color="auto" w:fill="auto"/>
            <w:vAlign w:val="center"/>
            <w:hideMark/>
          </w:tcPr>
          <w:p w:rsidR="33510358" w:rsidRPr="33510358" w:rsidP="0012582F" w14:paraId="56C714E8" w14:textId="38B079A3">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$919</w:t>
            </w:r>
          </w:p>
        </w:tc>
      </w:tr>
      <w:tr w14:paraId="2A7E0D47" w14:textId="77777777" w:rsidTr="008B6A63">
        <w:tblPrEx>
          <w:tblW w:w="13961" w:type="dxa"/>
          <w:tblLook w:val="04A0"/>
        </w:tblPrEx>
        <w:trPr>
          <w:trHeight w:val="800"/>
        </w:trPr>
        <w:tc>
          <w:tcPr>
            <w:tcW w:w="1797" w:type="dxa"/>
            <w:shd w:val="clear" w:color="auto" w:fill="auto"/>
            <w:vAlign w:val="center"/>
            <w:hideMark/>
          </w:tcPr>
          <w:p w:rsidR="007E2E3C" w:rsidRPr="00962957" w14:paraId="43F7AACB"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Health and Environmental Data</w:t>
            </w:r>
          </w:p>
        </w:tc>
        <w:tc>
          <w:tcPr>
            <w:tcW w:w="1061" w:type="dxa"/>
            <w:shd w:val="clear" w:color="auto" w:fill="auto"/>
            <w:vAlign w:val="center"/>
            <w:hideMark/>
          </w:tcPr>
          <w:p w:rsidR="007E2E3C" w:rsidRPr="00962957" w14:paraId="0F5FFD5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804" w:type="dxa"/>
            <w:shd w:val="clear" w:color="auto" w:fill="auto"/>
            <w:vAlign w:val="center"/>
            <w:hideMark/>
          </w:tcPr>
          <w:p w:rsidR="007E2E3C" w:rsidRPr="00962957" w14:paraId="708608E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8</w:t>
            </w:r>
          </w:p>
        </w:tc>
        <w:tc>
          <w:tcPr>
            <w:tcW w:w="906" w:type="dxa"/>
            <w:shd w:val="clear" w:color="auto" w:fill="auto"/>
            <w:vAlign w:val="center"/>
            <w:hideMark/>
          </w:tcPr>
          <w:p w:rsidR="007E2E3C" w:rsidRPr="00962957" w14:paraId="610F94A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8</w:t>
            </w:r>
          </w:p>
        </w:tc>
        <w:tc>
          <w:tcPr>
            <w:tcW w:w="906" w:type="dxa"/>
            <w:shd w:val="clear" w:color="auto" w:fill="auto"/>
            <w:vAlign w:val="center"/>
            <w:hideMark/>
          </w:tcPr>
          <w:p w:rsidR="007E2E3C" w:rsidRPr="00962957" w14:paraId="2DC5A5C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41</w:t>
            </w:r>
          </w:p>
        </w:tc>
        <w:tc>
          <w:tcPr>
            <w:tcW w:w="906" w:type="dxa"/>
            <w:shd w:val="clear" w:color="auto" w:fill="auto"/>
            <w:vAlign w:val="center"/>
            <w:hideMark/>
          </w:tcPr>
          <w:p w:rsidR="007E2E3C" w:rsidRPr="00962957" w14:paraId="1274989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1E0F54B1"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6" w:type="dxa"/>
            <w:shd w:val="clear" w:color="auto" w:fill="auto"/>
            <w:vAlign w:val="center"/>
            <w:hideMark/>
          </w:tcPr>
          <w:p w:rsidR="007E2E3C" w:rsidRPr="00962957" w14:paraId="4D30D0B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64C48C3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63451F7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6DD4ABC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11</w:t>
            </w:r>
          </w:p>
        </w:tc>
        <w:tc>
          <w:tcPr>
            <w:tcW w:w="905" w:type="dxa"/>
            <w:shd w:val="clear" w:color="auto" w:fill="auto"/>
            <w:vAlign w:val="center"/>
            <w:hideMark/>
          </w:tcPr>
          <w:p w:rsidR="007E2E3C" w:rsidRPr="00962957" w14:paraId="12CF278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52</w:t>
            </w:r>
          </w:p>
        </w:tc>
        <w:tc>
          <w:tcPr>
            <w:tcW w:w="1053" w:type="dxa"/>
            <w:shd w:val="clear" w:color="auto" w:fill="auto"/>
            <w:vAlign w:val="center"/>
            <w:hideMark/>
          </w:tcPr>
          <w:p w:rsidR="33510358" w:rsidRPr="33510358" w:rsidP="0012582F" w14:paraId="493DFE2C" w14:textId="712D4048">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$889</w:t>
            </w:r>
          </w:p>
        </w:tc>
        <w:tc>
          <w:tcPr>
            <w:tcW w:w="1060" w:type="dxa"/>
            <w:shd w:val="clear" w:color="auto" w:fill="auto"/>
            <w:vAlign w:val="center"/>
            <w:hideMark/>
          </w:tcPr>
          <w:p w:rsidR="33510358" w:rsidRPr="33510358" w:rsidP="0012582F" w14:paraId="75919B24" w14:textId="589B6313">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$4,265</w:t>
            </w:r>
          </w:p>
        </w:tc>
      </w:tr>
      <w:tr w14:paraId="54C0A5C7" w14:textId="77777777" w:rsidTr="008B6A63">
        <w:tblPrEx>
          <w:tblW w:w="13961" w:type="dxa"/>
          <w:tblLook w:val="04A0"/>
        </w:tblPrEx>
        <w:trPr>
          <w:trHeight w:val="800"/>
        </w:trPr>
        <w:tc>
          <w:tcPr>
            <w:tcW w:w="1797" w:type="dxa"/>
            <w:shd w:val="clear" w:color="auto" w:fill="auto"/>
            <w:vAlign w:val="center"/>
            <w:hideMark/>
          </w:tcPr>
          <w:p w:rsidR="007E2E3C" w:rsidRPr="00962957" w14:paraId="40D0216D"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Disposal Methods</w:t>
            </w:r>
          </w:p>
        </w:tc>
        <w:tc>
          <w:tcPr>
            <w:tcW w:w="1061" w:type="dxa"/>
            <w:shd w:val="clear" w:color="auto" w:fill="auto"/>
            <w:vAlign w:val="center"/>
            <w:hideMark/>
          </w:tcPr>
          <w:p w:rsidR="007E2E3C" w:rsidRPr="00962957" w14:paraId="0B9F3B2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76ABFD0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6" w:type="dxa"/>
            <w:shd w:val="clear" w:color="auto" w:fill="auto"/>
            <w:vAlign w:val="center"/>
            <w:hideMark/>
          </w:tcPr>
          <w:p w:rsidR="007E2E3C" w:rsidRPr="00962957" w14:paraId="3F16336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6" w:type="dxa"/>
            <w:shd w:val="clear" w:color="auto" w:fill="auto"/>
            <w:vAlign w:val="center"/>
            <w:hideMark/>
          </w:tcPr>
          <w:p w:rsidR="007E2E3C" w:rsidRPr="00962957" w14:paraId="51BE019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7</w:t>
            </w:r>
          </w:p>
        </w:tc>
        <w:tc>
          <w:tcPr>
            <w:tcW w:w="906" w:type="dxa"/>
            <w:shd w:val="clear" w:color="auto" w:fill="auto"/>
            <w:vAlign w:val="center"/>
            <w:hideMark/>
          </w:tcPr>
          <w:p w:rsidR="007E2E3C" w:rsidRPr="00962957" w14:paraId="01506A5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050BFC4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37D8CDA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1356AA6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7ED3785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11BBD24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6D7DFA2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9</w:t>
            </w:r>
          </w:p>
        </w:tc>
        <w:tc>
          <w:tcPr>
            <w:tcW w:w="1053" w:type="dxa"/>
            <w:shd w:val="clear" w:color="auto" w:fill="auto"/>
            <w:vAlign w:val="center"/>
            <w:hideMark/>
          </w:tcPr>
          <w:p w:rsidR="33510358" w:rsidRPr="33510358" w:rsidP="0012582F" w14:paraId="69C4B446" w14:textId="74F7BCEB">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$173</w:t>
            </w:r>
          </w:p>
        </w:tc>
        <w:tc>
          <w:tcPr>
            <w:tcW w:w="1060" w:type="dxa"/>
            <w:shd w:val="clear" w:color="auto" w:fill="auto"/>
            <w:vAlign w:val="center"/>
            <w:hideMark/>
          </w:tcPr>
          <w:p w:rsidR="33510358" w:rsidRPr="33510358" w:rsidP="0012582F" w14:paraId="41BB7374" w14:textId="63384197">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$763</w:t>
            </w:r>
          </w:p>
        </w:tc>
      </w:tr>
      <w:tr w14:paraId="56FBD4D5" w14:textId="77777777" w:rsidTr="008B6A63">
        <w:tblPrEx>
          <w:tblW w:w="13961" w:type="dxa"/>
          <w:tblLook w:val="04A0"/>
        </w:tblPrEx>
        <w:trPr>
          <w:trHeight w:val="800"/>
        </w:trPr>
        <w:tc>
          <w:tcPr>
            <w:tcW w:w="1797" w:type="dxa"/>
            <w:shd w:val="clear" w:color="auto" w:fill="auto"/>
            <w:vAlign w:val="center"/>
            <w:hideMark/>
          </w:tcPr>
          <w:p w:rsidR="007E2E3C" w:rsidRPr="00962957" w14:paraId="7DA4AA2B"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Attachments</w:t>
            </w:r>
          </w:p>
        </w:tc>
        <w:tc>
          <w:tcPr>
            <w:tcW w:w="1061" w:type="dxa"/>
            <w:shd w:val="clear" w:color="auto" w:fill="auto"/>
            <w:vAlign w:val="center"/>
            <w:hideMark/>
          </w:tcPr>
          <w:p w:rsidR="007E2E3C" w:rsidRPr="00962957" w14:paraId="31211C8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5E4FFF8B"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3E0B608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5583A7A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36C3DF3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13569B7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6</w:t>
            </w:r>
          </w:p>
        </w:tc>
        <w:tc>
          <w:tcPr>
            <w:tcW w:w="906" w:type="dxa"/>
            <w:shd w:val="clear" w:color="auto" w:fill="auto"/>
            <w:vAlign w:val="center"/>
            <w:hideMark/>
          </w:tcPr>
          <w:p w:rsidR="007E2E3C" w:rsidRPr="00962957" w14:paraId="7C9617D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251C77A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5026391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656862B8"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2</w:t>
            </w:r>
          </w:p>
        </w:tc>
        <w:tc>
          <w:tcPr>
            <w:tcW w:w="905" w:type="dxa"/>
            <w:shd w:val="clear" w:color="auto" w:fill="auto"/>
            <w:vAlign w:val="center"/>
            <w:hideMark/>
          </w:tcPr>
          <w:p w:rsidR="007E2E3C" w:rsidRPr="00962957" w14:paraId="70A01E5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6</w:t>
            </w:r>
          </w:p>
        </w:tc>
        <w:tc>
          <w:tcPr>
            <w:tcW w:w="1053" w:type="dxa"/>
            <w:shd w:val="clear" w:color="auto" w:fill="auto"/>
            <w:vAlign w:val="center"/>
            <w:hideMark/>
          </w:tcPr>
          <w:p w:rsidR="33510358" w:rsidRPr="33510358" w:rsidP="0012582F" w14:paraId="0720C681" w14:textId="62BE343A">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$85</w:t>
            </w:r>
          </w:p>
        </w:tc>
        <w:tc>
          <w:tcPr>
            <w:tcW w:w="1060" w:type="dxa"/>
            <w:shd w:val="clear" w:color="auto" w:fill="auto"/>
            <w:vAlign w:val="center"/>
            <w:hideMark/>
          </w:tcPr>
          <w:p w:rsidR="33510358" w:rsidRPr="33510358" w:rsidP="0012582F" w14:paraId="439CEB36" w14:textId="5882267C">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$254</w:t>
            </w:r>
          </w:p>
        </w:tc>
      </w:tr>
      <w:tr w14:paraId="46014772" w14:textId="77777777" w:rsidTr="008B6A63">
        <w:tblPrEx>
          <w:tblW w:w="13961" w:type="dxa"/>
          <w:tblLook w:val="04A0"/>
        </w:tblPrEx>
        <w:trPr>
          <w:trHeight w:val="800"/>
        </w:trPr>
        <w:tc>
          <w:tcPr>
            <w:tcW w:w="1797" w:type="dxa"/>
            <w:shd w:val="clear" w:color="auto" w:fill="auto"/>
            <w:vAlign w:val="center"/>
            <w:hideMark/>
          </w:tcPr>
          <w:p w:rsidR="007E2E3C" w:rsidRPr="00962957" w14:paraId="1620D91B"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Preparation of Notice</w:t>
            </w:r>
          </w:p>
        </w:tc>
        <w:tc>
          <w:tcPr>
            <w:tcW w:w="1061" w:type="dxa"/>
            <w:shd w:val="clear" w:color="auto" w:fill="auto"/>
            <w:vAlign w:val="center"/>
            <w:hideMark/>
          </w:tcPr>
          <w:p w:rsidR="007E2E3C" w:rsidRPr="00962957" w14:paraId="05359F9A"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753892A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65F54A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24077A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5E3AC60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0FCB4F7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6" w:type="dxa"/>
            <w:shd w:val="clear" w:color="auto" w:fill="auto"/>
            <w:vAlign w:val="center"/>
            <w:hideMark/>
          </w:tcPr>
          <w:p w:rsidR="007E2E3C" w:rsidRPr="00962957" w14:paraId="05B42AB4"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6BD6DDC8"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2D0729C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06DBB04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3505A77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12</w:t>
            </w:r>
          </w:p>
        </w:tc>
        <w:tc>
          <w:tcPr>
            <w:tcW w:w="1053" w:type="dxa"/>
            <w:shd w:val="clear" w:color="auto" w:fill="auto"/>
            <w:vAlign w:val="center"/>
            <w:hideMark/>
          </w:tcPr>
          <w:p w:rsidR="33510358" w:rsidRPr="33510358" w:rsidP="0012582F" w14:paraId="38C7C735" w14:textId="6376757C">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$169</w:t>
            </w:r>
          </w:p>
        </w:tc>
        <w:tc>
          <w:tcPr>
            <w:tcW w:w="1060" w:type="dxa"/>
            <w:shd w:val="clear" w:color="auto" w:fill="auto"/>
            <w:vAlign w:val="center"/>
            <w:hideMark/>
          </w:tcPr>
          <w:p w:rsidR="33510358" w:rsidRPr="33510358" w:rsidP="0012582F" w14:paraId="0D744572" w14:textId="1B0F4813">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$507</w:t>
            </w:r>
          </w:p>
        </w:tc>
      </w:tr>
      <w:tr w14:paraId="68D696FE" w14:textId="77777777" w:rsidTr="008B6A63">
        <w:tblPrEx>
          <w:tblW w:w="13961" w:type="dxa"/>
          <w:tblLook w:val="04A0"/>
        </w:tblPrEx>
        <w:trPr>
          <w:trHeight w:val="800"/>
        </w:trPr>
        <w:tc>
          <w:tcPr>
            <w:tcW w:w="1797" w:type="dxa"/>
            <w:shd w:val="clear" w:color="auto" w:fill="auto"/>
            <w:vAlign w:val="center"/>
            <w:hideMark/>
          </w:tcPr>
          <w:p w:rsidR="007E2E3C" w:rsidRPr="00962957" w14:paraId="3A1ECAF6"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Managerial/Legal Review of Submission</w:t>
            </w:r>
          </w:p>
        </w:tc>
        <w:tc>
          <w:tcPr>
            <w:tcW w:w="1061" w:type="dxa"/>
            <w:shd w:val="clear" w:color="auto" w:fill="auto"/>
            <w:vAlign w:val="center"/>
            <w:hideMark/>
          </w:tcPr>
          <w:p w:rsidR="007E2E3C" w:rsidRPr="00962957" w14:paraId="4A5D247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804" w:type="dxa"/>
            <w:shd w:val="clear" w:color="auto" w:fill="auto"/>
            <w:vAlign w:val="center"/>
            <w:hideMark/>
          </w:tcPr>
          <w:p w:rsidR="007E2E3C" w:rsidRPr="00962957" w14:paraId="724C048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6" w:type="dxa"/>
            <w:shd w:val="clear" w:color="auto" w:fill="auto"/>
            <w:vAlign w:val="center"/>
            <w:hideMark/>
          </w:tcPr>
          <w:p w:rsidR="007E2E3C" w:rsidRPr="00962957" w14:paraId="6956841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37162020"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6DB472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0546D4E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096375C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0.75</w:t>
            </w:r>
          </w:p>
        </w:tc>
        <w:tc>
          <w:tcPr>
            <w:tcW w:w="905" w:type="dxa"/>
            <w:shd w:val="clear" w:color="auto" w:fill="auto"/>
            <w:vAlign w:val="center"/>
            <w:hideMark/>
          </w:tcPr>
          <w:p w:rsidR="007E2E3C" w:rsidRPr="00962957" w14:paraId="47AAC39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0.75</w:t>
            </w:r>
          </w:p>
        </w:tc>
        <w:tc>
          <w:tcPr>
            <w:tcW w:w="942" w:type="dxa"/>
            <w:shd w:val="clear" w:color="auto" w:fill="auto"/>
            <w:vAlign w:val="center"/>
            <w:hideMark/>
          </w:tcPr>
          <w:p w:rsidR="007E2E3C" w:rsidRPr="00962957" w14:paraId="7D1E3F5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0C70AB06"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7</w:t>
            </w:r>
          </w:p>
        </w:tc>
        <w:tc>
          <w:tcPr>
            <w:tcW w:w="905" w:type="dxa"/>
            <w:shd w:val="clear" w:color="auto" w:fill="auto"/>
            <w:vAlign w:val="center"/>
            <w:hideMark/>
          </w:tcPr>
          <w:p w:rsidR="007E2E3C" w:rsidRPr="00962957" w14:paraId="595DC47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19</w:t>
            </w:r>
          </w:p>
        </w:tc>
        <w:tc>
          <w:tcPr>
            <w:tcW w:w="1053" w:type="dxa"/>
            <w:shd w:val="clear" w:color="auto" w:fill="auto"/>
            <w:vAlign w:val="center"/>
            <w:hideMark/>
          </w:tcPr>
          <w:p w:rsidR="33510358" w:rsidRPr="33510358" w:rsidP="0012582F" w14:paraId="1EF37570" w14:textId="1B44FE63">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$624</w:t>
            </w:r>
          </w:p>
        </w:tc>
        <w:tc>
          <w:tcPr>
            <w:tcW w:w="1060" w:type="dxa"/>
            <w:shd w:val="clear" w:color="auto" w:fill="auto"/>
            <w:vAlign w:val="center"/>
            <w:hideMark/>
          </w:tcPr>
          <w:p w:rsidR="33510358" w:rsidRPr="33510358" w:rsidP="0012582F" w14:paraId="4062ACAF" w14:textId="075E196B">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$1,694</w:t>
            </w:r>
          </w:p>
        </w:tc>
      </w:tr>
      <w:tr w14:paraId="5874C72B" w14:textId="77777777" w:rsidTr="008B6A63">
        <w:tblPrEx>
          <w:tblW w:w="13961" w:type="dxa"/>
          <w:tblLook w:val="04A0"/>
        </w:tblPrEx>
        <w:trPr>
          <w:trHeight w:val="800"/>
        </w:trPr>
        <w:tc>
          <w:tcPr>
            <w:tcW w:w="1797" w:type="dxa"/>
            <w:shd w:val="clear" w:color="auto" w:fill="auto"/>
            <w:vAlign w:val="center"/>
            <w:hideMark/>
          </w:tcPr>
          <w:p w:rsidR="007E2E3C" w:rsidRPr="00962957" w14:paraId="0B6B7408" w14:textId="77777777">
            <w:pPr>
              <w:spacing w:after="0" w:line="240" w:lineRule="auto"/>
              <w:rPr>
                <w:rFonts w:ascii="Calibri" w:eastAsia="Times New Roman" w:hAnsi="Calibri" w:cs="Calibri"/>
                <w:color w:val="000000"/>
                <w:sz w:val="20"/>
                <w:szCs w:val="20"/>
              </w:rPr>
            </w:pPr>
            <w:r w:rsidRPr="00962957">
              <w:rPr>
                <w:rFonts w:ascii="Calibri" w:eastAsia="Times New Roman" w:hAnsi="Calibri" w:cs="Calibri"/>
                <w:color w:val="000000"/>
                <w:sz w:val="20"/>
                <w:szCs w:val="20"/>
              </w:rPr>
              <w:t>Recordkeeping</w:t>
            </w:r>
          </w:p>
        </w:tc>
        <w:tc>
          <w:tcPr>
            <w:tcW w:w="1061" w:type="dxa"/>
            <w:shd w:val="clear" w:color="auto" w:fill="auto"/>
            <w:vAlign w:val="center"/>
            <w:hideMark/>
          </w:tcPr>
          <w:p w:rsidR="007E2E3C" w:rsidRPr="00962957" w14:paraId="344EFDA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04" w:type="dxa"/>
            <w:shd w:val="clear" w:color="auto" w:fill="auto"/>
            <w:vAlign w:val="center"/>
            <w:hideMark/>
          </w:tcPr>
          <w:p w:rsidR="007E2E3C" w:rsidRPr="00962957" w14:paraId="55657942"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30E9BC68"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11EDBD0C"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6" w:type="dxa"/>
            <w:shd w:val="clear" w:color="auto" w:fill="auto"/>
            <w:vAlign w:val="center"/>
            <w:hideMark/>
          </w:tcPr>
          <w:p w:rsidR="007E2E3C" w:rsidRPr="00962957" w14:paraId="687A31F9"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w:t>
            </w:r>
          </w:p>
        </w:tc>
        <w:tc>
          <w:tcPr>
            <w:tcW w:w="905" w:type="dxa"/>
            <w:shd w:val="clear" w:color="auto" w:fill="auto"/>
            <w:vAlign w:val="center"/>
            <w:hideMark/>
          </w:tcPr>
          <w:p w:rsidR="007E2E3C" w:rsidRPr="00962957" w14:paraId="32DC1BA3"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3</w:t>
            </w:r>
          </w:p>
        </w:tc>
        <w:tc>
          <w:tcPr>
            <w:tcW w:w="906" w:type="dxa"/>
            <w:shd w:val="clear" w:color="auto" w:fill="auto"/>
            <w:vAlign w:val="center"/>
            <w:hideMark/>
          </w:tcPr>
          <w:p w:rsidR="007E2E3C" w:rsidRPr="00962957" w14:paraId="411D118F"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05" w:type="dxa"/>
            <w:shd w:val="clear" w:color="auto" w:fill="auto"/>
            <w:vAlign w:val="center"/>
            <w:hideMark/>
          </w:tcPr>
          <w:p w:rsidR="007E2E3C" w:rsidRPr="00962957" w14:paraId="1337708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942" w:type="dxa"/>
            <w:shd w:val="clear" w:color="auto" w:fill="auto"/>
            <w:vAlign w:val="center"/>
            <w:hideMark/>
          </w:tcPr>
          <w:p w:rsidR="007E2E3C" w:rsidRPr="00962957" w14:paraId="50E4626D"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64A0CDB5"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905" w:type="dxa"/>
            <w:shd w:val="clear" w:color="auto" w:fill="auto"/>
            <w:vAlign w:val="center"/>
            <w:hideMark/>
          </w:tcPr>
          <w:p w:rsidR="007E2E3C" w:rsidRPr="00962957" w14:paraId="080077FE" w14:textId="77777777">
            <w:pPr>
              <w:spacing w:after="0" w:line="240" w:lineRule="auto"/>
              <w:jc w:val="right"/>
              <w:rPr>
                <w:rFonts w:ascii="Calibri" w:eastAsia="Times New Roman" w:hAnsi="Calibri" w:cs="Calibri"/>
                <w:color w:val="000000"/>
                <w:sz w:val="20"/>
                <w:szCs w:val="20"/>
              </w:rPr>
            </w:pPr>
            <w:r w:rsidRPr="00962957">
              <w:rPr>
                <w:rFonts w:ascii="Calibri" w:eastAsia="Times New Roman" w:hAnsi="Calibri" w:cs="Calibri"/>
                <w:color w:val="000000"/>
                <w:sz w:val="20"/>
                <w:szCs w:val="20"/>
              </w:rPr>
              <w:t>12</w:t>
            </w:r>
          </w:p>
        </w:tc>
        <w:tc>
          <w:tcPr>
            <w:tcW w:w="1053" w:type="dxa"/>
            <w:shd w:val="clear" w:color="auto" w:fill="auto"/>
            <w:vAlign w:val="center"/>
            <w:hideMark/>
          </w:tcPr>
          <w:p w:rsidR="33510358" w:rsidRPr="33510358" w:rsidP="0012582F" w14:paraId="5E0B390D" w14:textId="50C147E3">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$169</w:t>
            </w:r>
          </w:p>
        </w:tc>
        <w:tc>
          <w:tcPr>
            <w:tcW w:w="1060" w:type="dxa"/>
            <w:shd w:val="clear" w:color="auto" w:fill="auto"/>
            <w:vAlign w:val="center"/>
            <w:hideMark/>
          </w:tcPr>
          <w:p w:rsidR="33510358" w:rsidRPr="33510358" w:rsidP="0012582F" w14:paraId="22CE5B73" w14:textId="37D64210">
            <w:pPr>
              <w:spacing w:after="0"/>
              <w:jc w:val="right"/>
              <w:rPr>
                <w:rFonts w:ascii="Calibri" w:eastAsia="Calibri" w:hAnsi="Calibri" w:cs="Calibri"/>
                <w:color w:val="000000" w:themeColor="text1"/>
                <w:sz w:val="20"/>
                <w:szCs w:val="20"/>
              </w:rPr>
            </w:pPr>
            <w:r w:rsidRPr="33510358">
              <w:rPr>
                <w:rFonts w:ascii="Calibri" w:eastAsia="Calibri" w:hAnsi="Calibri" w:cs="Calibri"/>
                <w:color w:val="000000" w:themeColor="text1"/>
                <w:sz w:val="20"/>
                <w:szCs w:val="20"/>
              </w:rPr>
              <w:t>$507</w:t>
            </w:r>
          </w:p>
        </w:tc>
      </w:tr>
      <w:tr w14:paraId="1D337684" w14:textId="77777777" w:rsidTr="008B6A63">
        <w:tblPrEx>
          <w:tblW w:w="13961" w:type="dxa"/>
          <w:tblLook w:val="04A0"/>
        </w:tblPrEx>
        <w:trPr>
          <w:trHeight w:val="800"/>
        </w:trPr>
        <w:tc>
          <w:tcPr>
            <w:tcW w:w="1797" w:type="dxa"/>
            <w:shd w:val="clear" w:color="auto" w:fill="auto"/>
            <w:vAlign w:val="center"/>
            <w:hideMark/>
          </w:tcPr>
          <w:p w:rsidR="007E2E3C" w:rsidRPr="00962957" w14:paraId="1309975D" w14:textId="77777777">
            <w:pPr>
              <w:spacing w:after="0" w:line="240" w:lineRule="auto"/>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w:t>
            </w:r>
          </w:p>
        </w:tc>
        <w:tc>
          <w:tcPr>
            <w:tcW w:w="1061" w:type="dxa"/>
            <w:shd w:val="clear" w:color="auto" w:fill="auto"/>
            <w:vAlign w:val="center"/>
            <w:hideMark/>
          </w:tcPr>
          <w:p w:rsidR="007E2E3C" w:rsidRPr="00962957" w14:paraId="72007CFC"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9.50</w:t>
            </w:r>
          </w:p>
        </w:tc>
        <w:tc>
          <w:tcPr>
            <w:tcW w:w="804" w:type="dxa"/>
            <w:shd w:val="clear" w:color="auto" w:fill="auto"/>
            <w:vAlign w:val="center"/>
            <w:hideMark/>
          </w:tcPr>
          <w:p w:rsidR="007E2E3C" w:rsidRPr="00962957" w14:paraId="17C7C437"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29.50</w:t>
            </w:r>
          </w:p>
        </w:tc>
        <w:tc>
          <w:tcPr>
            <w:tcW w:w="906" w:type="dxa"/>
            <w:shd w:val="clear" w:color="auto" w:fill="auto"/>
            <w:vAlign w:val="center"/>
            <w:hideMark/>
          </w:tcPr>
          <w:p w:rsidR="007E2E3C" w:rsidRPr="00962957" w14:paraId="65BF1E69"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17.50</w:t>
            </w:r>
          </w:p>
        </w:tc>
        <w:tc>
          <w:tcPr>
            <w:tcW w:w="906" w:type="dxa"/>
            <w:shd w:val="clear" w:color="auto" w:fill="auto"/>
            <w:vAlign w:val="center"/>
            <w:hideMark/>
          </w:tcPr>
          <w:p w:rsidR="007E2E3C" w:rsidRPr="00962957" w14:paraId="6FFE9754"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111.00</w:t>
            </w:r>
          </w:p>
        </w:tc>
        <w:tc>
          <w:tcPr>
            <w:tcW w:w="906" w:type="dxa"/>
            <w:shd w:val="clear" w:color="auto" w:fill="auto"/>
            <w:vAlign w:val="center"/>
            <w:hideMark/>
          </w:tcPr>
          <w:p w:rsidR="007E2E3C" w:rsidRPr="00962957" w14:paraId="15007505"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7.00</w:t>
            </w:r>
          </w:p>
        </w:tc>
        <w:tc>
          <w:tcPr>
            <w:tcW w:w="905" w:type="dxa"/>
            <w:shd w:val="clear" w:color="auto" w:fill="auto"/>
            <w:vAlign w:val="center"/>
            <w:hideMark/>
          </w:tcPr>
          <w:p w:rsidR="007E2E3C" w:rsidRPr="00962957" w14:paraId="4D95EBE6"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21.00</w:t>
            </w:r>
          </w:p>
        </w:tc>
        <w:tc>
          <w:tcPr>
            <w:tcW w:w="906" w:type="dxa"/>
            <w:shd w:val="clear" w:color="auto" w:fill="auto"/>
            <w:vAlign w:val="center"/>
            <w:hideMark/>
          </w:tcPr>
          <w:p w:rsidR="007E2E3C" w:rsidRPr="00962957" w14:paraId="0B87C168"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0.75</w:t>
            </w:r>
          </w:p>
        </w:tc>
        <w:tc>
          <w:tcPr>
            <w:tcW w:w="905" w:type="dxa"/>
            <w:shd w:val="clear" w:color="auto" w:fill="auto"/>
            <w:vAlign w:val="center"/>
            <w:hideMark/>
          </w:tcPr>
          <w:p w:rsidR="007E2E3C" w:rsidRPr="00962957" w14:paraId="72136701"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0.75</w:t>
            </w:r>
          </w:p>
        </w:tc>
        <w:tc>
          <w:tcPr>
            <w:tcW w:w="942" w:type="dxa"/>
            <w:shd w:val="clear" w:color="auto" w:fill="auto"/>
            <w:vAlign w:val="center"/>
            <w:hideMark/>
          </w:tcPr>
          <w:p w:rsidR="007E2E3C" w:rsidRPr="00962957" w14:paraId="6D63825A" w14:textId="3B1AAA71">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themeColor="text1"/>
                <w:sz w:val="20"/>
                <w:szCs w:val="20"/>
              </w:rPr>
              <w:t>47</w:t>
            </w:r>
          </w:p>
        </w:tc>
        <w:tc>
          <w:tcPr>
            <w:tcW w:w="905" w:type="dxa"/>
            <w:shd w:val="clear" w:color="auto" w:fill="auto"/>
            <w:vAlign w:val="center"/>
            <w:hideMark/>
          </w:tcPr>
          <w:p w:rsidR="007E2E3C" w:rsidRPr="00962957" w14:paraId="1D8CB39A"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70</w:t>
            </w:r>
          </w:p>
        </w:tc>
        <w:tc>
          <w:tcPr>
            <w:tcW w:w="905" w:type="dxa"/>
            <w:shd w:val="clear" w:color="auto" w:fill="auto"/>
            <w:vAlign w:val="center"/>
            <w:hideMark/>
          </w:tcPr>
          <w:p w:rsidR="007E2E3C" w:rsidRPr="00962957" w14:paraId="39D2ECFE" w14:textId="77777777">
            <w:pPr>
              <w:spacing w:after="0" w:line="240" w:lineRule="auto"/>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314</w:t>
            </w:r>
          </w:p>
        </w:tc>
        <w:tc>
          <w:tcPr>
            <w:tcW w:w="1053" w:type="dxa"/>
            <w:shd w:val="clear" w:color="auto" w:fill="auto"/>
            <w:vAlign w:val="center"/>
            <w:hideMark/>
          </w:tcPr>
          <w:p w:rsidR="33510358" w:rsidRPr="33510358" w:rsidP="0012582F" w14:paraId="332AEFA2" w14:textId="75396CEC">
            <w:pPr>
              <w:spacing w:after="0"/>
              <w:jc w:val="right"/>
              <w:rPr>
                <w:rFonts w:ascii="Calibri" w:eastAsia="Calibri" w:hAnsi="Calibri" w:cs="Calibri"/>
                <w:b/>
                <w:bCs/>
                <w:color w:val="000000" w:themeColor="text1"/>
                <w:sz w:val="20"/>
                <w:szCs w:val="20"/>
              </w:rPr>
            </w:pPr>
            <w:r w:rsidRPr="33510358">
              <w:rPr>
                <w:rFonts w:ascii="Calibri" w:eastAsia="Calibri" w:hAnsi="Calibri" w:cs="Calibri"/>
                <w:b/>
                <w:bCs/>
                <w:color w:val="000000" w:themeColor="text1"/>
                <w:sz w:val="20"/>
                <w:szCs w:val="20"/>
              </w:rPr>
              <w:t xml:space="preserve">$5,364 </w:t>
            </w:r>
          </w:p>
        </w:tc>
        <w:tc>
          <w:tcPr>
            <w:tcW w:w="1060" w:type="dxa"/>
            <w:shd w:val="clear" w:color="auto" w:fill="auto"/>
            <w:noWrap/>
            <w:vAlign w:val="center"/>
            <w:hideMark/>
          </w:tcPr>
          <w:p w:rsidR="33510358" w:rsidRPr="33510358" w:rsidP="0012582F" w14:paraId="74CCA3DA" w14:textId="4CCAE092">
            <w:pPr>
              <w:spacing w:after="0"/>
              <w:jc w:val="right"/>
              <w:rPr>
                <w:rFonts w:ascii="Calibri" w:eastAsia="Calibri" w:hAnsi="Calibri" w:cs="Calibri"/>
                <w:b/>
                <w:bCs/>
                <w:color w:val="000000" w:themeColor="text1"/>
                <w:sz w:val="20"/>
                <w:szCs w:val="20"/>
              </w:rPr>
            </w:pPr>
            <w:r w:rsidRPr="33510358">
              <w:rPr>
                <w:rFonts w:ascii="Calibri" w:eastAsia="Calibri" w:hAnsi="Calibri" w:cs="Calibri"/>
                <w:b/>
                <w:bCs/>
                <w:color w:val="000000" w:themeColor="text1"/>
                <w:sz w:val="20"/>
                <w:szCs w:val="20"/>
              </w:rPr>
              <w:t>$24,763</w:t>
            </w:r>
          </w:p>
        </w:tc>
      </w:tr>
    </w:tbl>
    <w:p w:rsidR="007E2E3C" w:rsidRPr="00962957" w:rsidP="007E2E3C" w14:paraId="5A56674A" w14:textId="77777777">
      <w:pPr>
        <w:rPr>
          <w:rFonts w:ascii="Calibri" w:hAnsi="Calibri" w:cs="Calibri"/>
        </w:rPr>
      </w:pPr>
    </w:p>
    <w:p w:rsidR="007E2E3C" w:rsidRPr="00962957" w:rsidP="007E2E3C" w14:paraId="3FC56AB5" w14:textId="77777777">
      <w:pPr>
        <w:rPr>
          <w:rFonts w:ascii="Calibri" w:hAnsi="Calibri" w:cs="Calibri"/>
          <w:b/>
          <w:szCs w:val="24"/>
        </w:rPr>
        <w:sectPr w:rsidSect="007E2E3C">
          <w:headerReference w:type="default" r:id="rId19"/>
          <w:pgSz w:w="15840" w:h="12240" w:orient="landscape"/>
          <w:pgMar w:top="1440" w:right="1440" w:bottom="1440" w:left="1440" w:header="720" w:footer="720" w:gutter="0"/>
          <w:cols w:space="720"/>
          <w:titlePg/>
          <w:docGrid w:linePitch="360"/>
        </w:sectPr>
      </w:pPr>
    </w:p>
    <w:p w:rsidR="001C2A8D" w:rsidRPr="00A46D73" w:rsidP="00A46D73" w14:paraId="2B1C7107" w14:textId="78844D32">
      <w:pPr>
        <w:pStyle w:val="Heading3"/>
        <w:rPr>
          <w:rFonts w:ascii="Calibri" w:hAnsi="Calibri" w:cs="Calibri"/>
        </w:rPr>
      </w:pPr>
      <w:bookmarkStart w:id="26" w:name="_Hlk119318177"/>
      <w:r w:rsidRPr="00A46D73">
        <w:rPr>
          <w:rFonts w:ascii="Calibri" w:hAnsi="Calibri" w:cs="Calibri"/>
        </w:rPr>
        <w:t>TSCA</w:t>
      </w:r>
      <w:r w:rsidRPr="00A46D73" w:rsidR="008F5636">
        <w:rPr>
          <w:rFonts w:ascii="Calibri" w:hAnsi="Calibri" w:cs="Calibri"/>
        </w:rPr>
        <w:t xml:space="preserve"> Section </w:t>
      </w:r>
      <w:r w:rsidRPr="00A46D73">
        <w:rPr>
          <w:rFonts w:ascii="Calibri" w:hAnsi="Calibri" w:cs="Calibri"/>
        </w:rPr>
        <w:t>8(c) Recordkeeping and Reporting Requirements for Allegations of Significant Adverse Reactions to Human Health or the Environment</w:t>
      </w:r>
    </w:p>
    <w:bookmarkEnd w:id="26"/>
    <w:p w:rsidR="007E2E3C" w:rsidRPr="00962957" w:rsidP="007E2E3C" w14:paraId="4F8AE042" w14:textId="77777777">
      <w:pPr>
        <w:rPr>
          <w:rFonts w:ascii="Calibri" w:hAnsi="Calibri" w:cs="Calibri"/>
          <w:b/>
          <w:bCs/>
          <w:szCs w:val="24"/>
        </w:rPr>
      </w:pPr>
      <w:r w:rsidRPr="00962957">
        <w:rPr>
          <w:rFonts w:ascii="Calibri" w:hAnsi="Calibri" w:cs="Calibri"/>
          <w:szCs w:val="24"/>
        </w:rPr>
        <w:t>Required data elements for allegations of adverse effects include records that are responsive to TSCA 8(c) are maintained pursuant to 40 CFR Part 717 and must consist of the following:</w:t>
      </w:r>
    </w:p>
    <w:p w:rsidR="007E2E3C" w:rsidRPr="00962957" w:rsidP="0036096F" w14:paraId="1DCA36C5" w14:textId="77777777">
      <w:pPr>
        <w:pStyle w:val="ListParagraph"/>
        <w:numPr>
          <w:ilvl w:val="0"/>
          <w:numId w:val="15"/>
        </w:numPr>
        <w:spacing w:after="200" w:line="276" w:lineRule="auto"/>
        <w:rPr>
          <w:rFonts w:ascii="Calibri" w:hAnsi="Calibri" w:cs="Calibri"/>
          <w:szCs w:val="24"/>
        </w:rPr>
      </w:pPr>
      <w:r w:rsidRPr="00962957">
        <w:rPr>
          <w:rFonts w:ascii="Calibri" w:hAnsi="Calibri" w:cs="Calibri"/>
          <w:szCs w:val="24"/>
        </w:rPr>
        <w:t>The original health effects allegation as received.</w:t>
      </w:r>
    </w:p>
    <w:p w:rsidR="007E2E3C" w:rsidRPr="00962957" w:rsidP="0036096F" w14:paraId="71A3E188" w14:textId="77777777">
      <w:pPr>
        <w:pStyle w:val="ListParagraph"/>
        <w:numPr>
          <w:ilvl w:val="0"/>
          <w:numId w:val="15"/>
        </w:numPr>
        <w:spacing w:after="200" w:line="276" w:lineRule="auto"/>
        <w:rPr>
          <w:rFonts w:ascii="Calibri" w:hAnsi="Calibri" w:cs="Calibri"/>
          <w:szCs w:val="24"/>
        </w:rPr>
      </w:pPr>
      <w:r w:rsidRPr="00962957">
        <w:rPr>
          <w:rFonts w:ascii="Calibri" w:hAnsi="Calibri" w:cs="Calibri"/>
          <w:szCs w:val="24"/>
        </w:rPr>
        <w:t xml:space="preserve">An abstract of the allegation and other pertinent information as follows: </w:t>
      </w:r>
    </w:p>
    <w:p w:rsidR="007E2E3C" w:rsidRPr="00962957" w:rsidP="0036096F" w14:paraId="37100090" w14:textId="77777777">
      <w:pPr>
        <w:pStyle w:val="ListParagraph"/>
        <w:numPr>
          <w:ilvl w:val="1"/>
          <w:numId w:val="15"/>
        </w:numPr>
        <w:spacing w:after="200" w:line="276" w:lineRule="auto"/>
        <w:rPr>
          <w:rFonts w:ascii="Calibri" w:hAnsi="Calibri" w:cs="Calibri"/>
          <w:szCs w:val="24"/>
        </w:rPr>
      </w:pPr>
      <w:r w:rsidRPr="00962957">
        <w:rPr>
          <w:rFonts w:ascii="Calibri" w:hAnsi="Calibri" w:cs="Calibri"/>
          <w:szCs w:val="24"/>
        </w:rPr>
        <w:t>The name and address of the plant site that received the allegation.</w:t>
      </w:r>
    </w:p>
    <w:p w:rsidR="007E2E3C" w:rsidRPr="00962957" w:rsidP="0036096F" w14:paraId="7BF26C5A" w14:textId="77777777">
      <w:pPr>
        <w:pStyle w:val="ListParagraph"/>
        <w:numPr>
          <w:ilvl w:val="1"/>
          <w:numId w:val="15"/>
        </w:numPr>
        <w:spacing w:after="200" w:line="276" w:lineRule="auto"/>
        <w:rPr>
          <w:rFonts w:ascii="Calibri" w:hAnsi="Calibri" w:cs="Calibri"/>
          <w:szCs w:val="24"/>
        </w:rPr>
      </w:pPr>
      <w:r w:rsidRPr="00962957">
        <w:rPr>
          <w:rFonts w:ascii="Calibri" w:hAnsi="Calibri" w:cs="Calibri"/>
          <w:szCs w:val="24"/>
        </w:rPr>
        <w:t>The date the allegation was received at that site.</w:t>
      </w:r>
    </w:p>
    <w:p w:rsidR="007E2E3C" w:rsidRPr="00962957" w:rsidP="0036096F" w14:paraId="1E33A2F2" w14:textId="77777777">
      <w:pPr>
        <w:pStyle w:val="ListParagraph"/>
        <w:numPr>
          <w:ilvl w:val="1"/>
          <w:numId w:val="15"/>
        </w:numPr>
        <w:spacing w:after="200" w:line="276" w:lineRule="auto"/>
        <w:rPr>
          <w:rFonts w:ascii="Calibri" w:hAnsi="Calibri" w:cs="Calibri"/>
          <w:szCs w:val="24"/>
        </w:rPr>
      </w:pPr>
      <w:r w:rsidRPr="00962957">
        <w:rPr>
          <w:rFonts w:ascii="Calibri" w:hAnsi="Calibri" w:cs="Calibri"/>
          <w:szCs w:val="24"/>
        </w:rPr>
        <w:t>The implicated substance, mixture, article, company process or operation, or site discharge</w:t>
      </w:r>
    </w:p>
    <w:p w:rsidR="007E2E3C" w:rsidRPr="00962957" w:rsidP="0036096F" w14:paraId="3DFEE745" w14:textId="77777777">
      <w:pPr>
        <w:pStyle w:val="ListParagraph"/>
        <w:numPr>
          <w:ilvl w:val="1"/>
          <w:numId w:val="15"/>
        </w:numPr>
        <w:spacing w:after="200" w:line="276" w:lineRule="auto"/>
        <w:rPr>
          <w:rFonts w:ascii="Calibri" w:hAnsi="Calibri" w:cs="Calibri"/>
          <w:szCs w:val="24"/>
        </w:rPr>
      </w:pPr>
      <w:r w:rsidRPr="00962957">
        <w:rPr>
          <w:rFonts w:ascii="Calibri" w:hAnsi="Calibri" w:cs="Calibri"/>
          <w:szCs w:val="24"/>
        </w:rPr>
        <w:t>A description of the alleger (e.g., employee, neighbor), including age and sex, if ascertainable.</w:t>
      </w:r>
    </w:p>
    <w:p w:rsidR="007E2E3C" w:rsidRPr="00962957" w:rsidP="0036096F" w14:paraId="76FB153C" w14:textId="77777777">
      <w:pPr>
        <w:pStyle w:val="ListParagraph"/>
        <w:numPr>
          <w:ilvl w:val="1"/>
          <w:numId w:val="15"/>
        </w:numPr>
        <w:spacing w:after="200" w:line="276" w:lineRule="auto"/>
        <w:rPr>
          <w:rFonts w:ascii="Calibri" w:hAnsi="Calibri" w:cs="Calibri"/>
          <w:szCs w:val="24"/>
        </w:rPr>
      </w:pPr>
      <w:r w:rsidRPr="00962957">
        <w:rPr>
          <w:rFonts w:ascii="Calibri" w:hAnsi="Calibri" w:cs="Calibri"/>
          <w:szCs w:val="24"/>
        </w:rPr>
        <w:t>A description of the health effects, including explanation of how the effects became known and the route of exposure, if explained in the allegation.</w:t>
      </w:r>
    </w:p>
    <w:p w:rsidR="007E2E3C" w:rsidRPr="00962957" w:rsidP="0036096F" w14:paraId="196A9077" w14:textId="43E2E992">
      <w:pPr>
        <w:pStyle w:val="ListParagraph"/>
        <w:numPr>
          <w:ilvl w:val="0"/>
          <w:numId w:val="15"/>
        </w:numPr>
        <w:spacing w:after="200" w:line="276" w:lineRule="auto"/>
        <w:rPr>
          <w:rFonts w:ascii="Calibri" w:hAnsi="Calibri" w:cs="Calibri"/>
          <w:szCs w:val="24"/>
        </w:rPr>
      </w:pPr>
      <w:r w:rsidRPr="00962957">
        <w:rPr>
          <w:rFonts w:ascii="Calibri" w:hAnsi="Calibri" w:cs="Calibri"/>
          <w:szCs w:val="24"/>
        </w:rPr>
        <w:t xml:space="preserve">The results of any self-initiated investigation with respect to an allegation </w:t>
      </w:r>
      <w:r w:rsidR="00B06397">
        <w:rPr>
          <w:rFonts w:ascii="Calibri" w:hAnsi="Calibri" w:cs="Calibri"/>
          <w:szCs w:val="24"/>
        </w:rPr>
        <w:t xml:space="preserve">must be submitted </w:t>
      </w:r>
      <w:r w:rsidRPr="00962957">
        <w:rPr>
          <w:rFonts w:ascii="Calibri" w:hAnsi="Calibri" w:cs="Calibri"/>
          <w:szCs w:val="24"/>
        </w:rPr>
        <w:t>(</w:t>
      </w:r>
      <w:r w:rsidR="00E351B1">
        <w:rPr>
          <w:rFonts w:ascii="Calibri" w:hAnsi="Calibri" w:cs="Calibri"/>
          <w:szCs w:val="24"/>
        </w:rPr>
        <w:t xml:space="preserve">note that </w:t>
      </w:r>
      <w:r w:rsidRPr="00962957">
        <w:rPr>
          <w:rFonts w:ascii="Calibri" w:hAnsi="Calibri" w:cs="Calibri"/>
          <w:szCs w:val="24"/>
        </w:rPr>
        <w:t>EPA does not require such investigation under the TSCA section 8(c) rule</w:t>
      </w:r>
      <w:r w:rsidR="00CD420E">
        <w:rPr>
          <w:rFonts w:ascii="Calibri" w:hAnsi="Calibri" w:cs="Calibri"/>
          <w:szCs w:val="24"/>
        </w:rPr>
        <w:t>)</w:t>
      </w:r>
      <w:r w:rsidR="00835F86">
        <w:rPr>
          <w:rFonts w:ascii="Calibri" w:hAnsi="Calibri" w:cs="Calibri"/>
          <w:szCs w:val="24"/>
        </w:rPr>
        <w:t xml:space="preserve"> </w:t>
      </w:r>
      <w:r w:rsidR="00E351B1">
        <w:rPr>
          <w:rFonts w:ascii="Calibri" w:hAnsi="Calibri" w:cs="Calibri"/>
          <w:szCs w:val="24"/>
        </w:rPr>
        <w:t xml:space="preserve">as well as </w:t>
      </w:r>
      <w:r w:rsidR="00835F86">
        <w:rPr>
          <w:rFonts w:ascii="Calibri" w:hAnsi="Calibri" w:cs="Calibri"/>
          <w:szCs w:val="24"/>
        </w:rPr>
        <w:t>c</w:t>
      </w:r>
      <w:r w:rsidRPr="00962957">
        <w:rPr>
          <w:rFonts w:ascii="Calibri" w:hAnsi="Calibri" w:cs="Calibri"/>
          <w:szCs w:val="24"/>
        </w:rPr>
        <w:t>opies of any further required records relating to the allegation (e.g., records required under OSHA</w:t>
      </w:r>
      <w:r w:rsidR="00496559">
        <w:rPr>
          <w:rFonts w:ascii="Calibri" w:hAnsi="Calibri" w:cs="Calibri"/>
          <w:szCs w:val="24"/>
        </w:rPr>
        <w:t>)</w:t>
      </w:r>
      <w:r w:rsidR="00E351B1">
        <w:rPr>
          <w:rFonts w:ascii="Calibri" w:hAnsi="Calibri" w:cs="Calibri"/>
          <w:szCs w:val="24"/>
        </w:rPr>
        <w:t>.</w:t>
      </w:r>
    </w:p>
    <w:p w:rsidR="007E2E3C" w:rsidRPr="00962957" w:rsidP="0036096F" w14:paraId="2834EDD6" w14:textId="23BD662C">
      <w:pPr>
        <w:pStyle w:val="ListParagraph"/>
        <w:numPr>
          <w:ilvl w:val="0"/>
          <w:numId w:val="15"/>
        </w:numPr>
        <w:spacing w:after="200" w:line="276" w:lineRule="auto"/>
        <w:rPr>
          <w:rFonts w:ascii="Calibri" w:hAnsi="Calibri" w:cs="Calibri"/>
          <w:szCs w:val="24"/>
        </w:rPr>
      </w:pPr>
      <w:r w:rsidRPr="00962957">
        <w:rPr>
          <w:rFonts w:ascii="Calibri" w:hAnsi="Calibri" w:cs="Calibri"/>
          <w:szCs w:val="24"/>
        </w:rPr>
        <w:t>Each person who is required to keep records under this part must submit copies of those records to EPA as required by the Administrator or appropriate designee. EPA will notify those responsible for reporting by letter or will announce any such requirements by notice in the Federal Register.</w:t>
      </w:r>
    </w:p>
    <w:p w:rsidR="007E2E3C" w:rsidRPr="00962957" w:rsidP="007E2E3C" w14:paraId="119504F6" w14:textId="77777777">
      <w:pPr>
        <w:pStyle w:val="ListParagraph"/>
        <w:ind w:left="1080"/>
        <w:rPr>
          <w:rFonts w:ascii="Calibri" w:hAnsi="Calibri" w:cs="Calibri"/>
          <w:szCs w:val="24"/>
        </w:rPr>
      </w:pPr>
    </w:p>
    <w:p w:rsidR="007E2E3C" w:rsidRPr="00962957" w:rsidP="007E2E3C" w14:paraId="1CEBF928" w14:textId="0EA32338">
      <w:pPr>
        <w:pStyle w:val="ListParagraph"/>
        <w:ind w:left="0"/>
        <w:rPr>
          <w:rFonts w:ascii="Calibri" w:hAnsi="Calibri" w:cs="Calibri"/>
          <w:szCs w:val="24"/>
        </w:rPr>
      </w:pPr>
      <w:r w:rsidRPr="00962957">
        <w:rPr>
          <w:rFonts w:ascii="Calibri" w:hAnsi="Calibri" w:cs="Calibri"/>
          <w:szCs w:val="24"/>
        </w:rPr>
        <w:t xml:space="preserve">Respondents must (1) maintain records of allegations of significant adverse reactions and (2) submit copies of these allegation records when required by EPA. Entities subject to the rule must record significant reactions alleged to have been caused by substances or mixtures that they manufacture, import, or process. These firms must establish a recordkeeping system for such allegations and monitor incoming complaints to determine if they meet the criteria for filing. Allegations that are filed must be retained for 30 years if they are employee-related and for </w:t>
      </w:r>
      <w:r w:rsidR="00022AF5">
        <w:rPr>
          <w:rFonts w:ascii="Calibri" w:hAnsi="Calibri" w:cs="Calibri"/>
          <w:szCs w:val="24"/>
        </w:rPr>
        <w:t>five</w:t>
      </w:r>
      <w:r w:rsidRPr="00962957">
        <w:rPr>
          <w:rFonts w:ascii="Calibri" w:hAnsi="Calibri" w:cs="Calibri"/>
          <w:szCs w:val="24"/>
        </w:rPr>
        <w:t xml:space="preserve"> years for all other types/sources of allegations.</w:t>
      </w:r>
    </w:p>
    <w:p w:rsidR="007E2E3C" w:rsidRPr="00962957" w:rsidP="007E2E3C" w14:paraId="23C23851" w14:textId="77777777">
      <w:pPr>
        <w:pStyle w:val="ListParagraph"/>
        <w:ind w:left="0"/>
        <w:rPr>
          <w:rFonts w:ascii="Calibri" w:hAnsi="Calibri" w:cs="Calibri"/>
          <w:szCs w:val="24"/>
        </w:rPr>
      </w:pPr>
    </w:p>
    <w:p w:rsidR="007E2E3C" w:rsidRPr="00962957" w:rsidP="007E2E3C" w14:paraId="6CF74B86" w14:textId="56CD8B87">
      <w:pPr>
        <w:pStyle w:val="ListParagraph"/>
        <w:ind w:left="0"/>
        <w:rPr>
          <w:rFonts w:ascii="Calibri" w:hAnsi="Calibri" w:cs="Calibri"/>
          <w:szCs w:val="24"/>
        </w:rPr>
      </w:pPr>
      <w:r w:rsidRPr="00962957">
        <w:rPr>
          <w:rFonts w:ascii="Calibri" w:hAnsi="Calibri" w:cs="Calibri"/>
          <w:szCs w:val="24"/>
        </w:rPr>
        <w:t xml:space="preserve">Firms subject to the rule must keep their TSCA section 8(c) records at company headquarters or at a site central to their chemical operations. A multi-site company will usually require the responsible official at the individual plant site to forward potentially recordable TSCA section 8(c) allegations to a designated TSCA coordinator at their operations headquarters. Depending on the size of the company, such allegations will be reviewed by a committee to determine if the allegations relate to the company’s product, operations, or discharges. If so, the effects cited in the allegation are compared against the rule’s definition and examples of “significant </w:t>
      </w:r>
      <w:r w:rsidRPr="00962957">
        <w:rPr>
          <w:rFonts w:ascii="Calibri" w:hAnsi="Calibri" w:cs="Calibri"/>
          <w:szCs w:val="24"/>
        </w:rPr>
        <w:t xml:space="preserve">adverse reaction.” If the allegation meets this test, it is recorded. The actual allegation record is to </w:t>
      </w:r>
      <w:r w:rsidR="00F13173">
        <w:rPr>
          <w:rFonts w:ascii="Calibri" w:hAnsi="Calibri" w:cs="Calibri"/>
          <w:szCs w:val="24"/>
        </w:rPr>
        <w:t>include</w:t>
      </w:r>
      <w:r w:rsidRPr="00962957">
        <w:rPr>
          <w:rFonts w:ascii="Calibri" w:hAnsi="Calibri" w:cs="Calibri"/>
          <w:szCs w:val="24"/>
        </w:rPr>
        <w:t xml:space="preserve"> an abstract of the allegation along with a record of any company-initiated investigation and other pertinent documents. The rule does not require further investigation. EPA requires that allegations be filed so that they may be readily retrievable by the alleged “cause” of the reaction. EPA does not require a specific form under this rule.</w:t>
      </w:r>
    </w:p>
    <w:p w:rsidR="007E2E3C" w:rsidRPr="00962957" w:rsidP="007E2E3C" w14:paraId="6619342F" w14:textId="77777777">
      <w:pPr>
        <w:pStyle w:val="ListParagraph"/>
        <w:ind w:left="0"/>
        <w:rPr>
          <w:rFonts w:ascii="Calibri" w:hAnsi="Calibri" w:cs="Calibri"/>
          <w:szCs w:val="24"/>
        </w:rPr>
      </w:pPr>
    </w:p>
    <w:p w:rsidR="007E2E3C" w:rsidRPr="00962957" w:rsidP="007E2E3C" w14:paraId="6FF3ED7A" w14:textId="2E17C543">
      <w:pPr>
        <w:pStyle w:val="ListParagraph"/>
        <w:ind w:left="0"/>
        <w:rPr>
          <w:rFonts w:ascii="Calibri" w:hAnsi="Calibri" w:cs="Calibri"/>
          <w:szCs w:val="24"/>
        </w:rPr>
      </w:pPr>
      <w:r w:rsidRPr="00962957">
        <w:rPr>
          <w:rFonts w:ascii="Calibri" w:hAnsi="Calibri" w:cs="Calibri"/>
          <w:szCs w:val="24"/>
        </w:rPr>
        <w:t>Firms subject to this rule must maintain an awareness of their reporting requirements. A reporting requirement will take the form of a letter directed to selected respondents or it will be a notice in the Federal Register. Respondents are responsible for monitoring the Federal Register for such notices. Whenever feasible, EPA will also notify those companies that can be identified with the production, importation</w:t>
      </w:r>
      <w:r w:rsidR="005E7751">
        <w:rPr>
          <w:rFonts w:ascii="Calibri" w:hAnsi="Calibri" w:cs="Calibri"/>
          <w:szCs w:val="24"/>
        </w:rPr>
        <w:t>,</w:t>
      </w:r>
      <w:r w:rsidRPr="00962957">
        <w:rPr>
          <w:rFonts w:ascii="Calibri" w:hAnsi="Calibri" w:cs="Calibri"/>
          <w:szCs w:val="24"/>
        </w:rPr>
        <w:t xml:space="preserve"> or processing of a substance or mixture in question. Respondents then must determine if they manufacture or process the chemical substance or mixture. If so, they must conduct a search of their TSCA section 8(c) files to determine if there are any relevant records of significant adverse reactions alleged to have been caused by the substance or mixture. If such records are present, they must submit those records to EPA. The company should note that they have submitted such records to EPA so that future duplicative reporting will not occur.</w:t>
      </w:r>
    </w:p>
    <w:p w:rsidR="007E2E3C" w:rsidRPr="00962957" w:rsidP="007E2E3C" w14:paraId="7BEA4B91" w14:textId="77777777">
      <w:pPr>
        <w:numPr>
          <w:ilvl w:val="12"/>
          <w:numId w:val="0"/>
        </w:numPr>
        <w:rPr>
          <w:rFonts w:ascii="Calibri" w:hAnsi="Calibri" w:cs="Calibri"/>
          <w:szCs w:val="24"/>
        </w:rPr>
      </w:pPr>
      <w:r w:rsidRPr="00962957">
        <w:rPr>
          <w:rFonts w:ascii="Calibri" w:hAnsi="Calibri" w:cs="Calibri"/>
          <w:szCs w:val="24"/>
        </w:rPr>
        <w:t xml:space="preserve">This section presents the estimates of the industry burden hours and costs associated with TSCA section 8(c) activities. The specific action required to comply with a TSCA section 8(c) reporting are assumed to include review of the Federal Register for notices regarding specific chemicals, recording pertinent information on allegations and storing such records, and reporting allegations to EPA when required. </w:t>
      </w:r>
    </w:p>
    <w:p w:rsidR="007E2E3C" w:rsidRPr="00962957" w:rsidP="007E2E3C" w14:paraId="6661E964" w14:textId="2025933C">
      <w:pPr>
        <w:numPr>
          <w:ilvl w:val="12"/>
          <w:numId w:val="0"/>
        </w:numPr>
        <w:rPr>
          <w:rFonts w:ascii="Calibri" w:hAnsi="Calibri" w:cs="Calibri"/>
          <w:szCs w:val="24"/>
        </w:rPr>
      </w:pPr>
      <w:r w:rsidRPr="00962957">
        <w:rPr>
          <w:rFonts w:ascii="Calibri" w:hAnsi="Calibri" w:cs="Calibri"/>
          <w:szCs w:val="24"/>
        </w:rPr>
        <w:t xml:space="preserve">The steps required to estimate burden associated with the activities of (1) maintaining records of significant adverse effects and (2) submitting copies of allegation records when required by EPA include estimating the number of affected firms and employees, the number of allegations, and </w:t>
      </w:r>
      <w:r w:rsidR="008D09E1">
        <w:rPr>
          <w:rFonts w:ascii="Calibri" w:hAnsi="Calibri" w:cs="Calibri"/>
          <w:szCs w:val="24"/>
        </w:rPr>
        <w:t xml:space="preserve">the </w:t>
      </w:r>
      <w:r w:rsidRPr="00962957">
        <w:rPr>
          <w:rFonts w:ascii="Calibri" w:hAnsi="Calibri" w:cs="Calibri"/>
          <w:szCs w:val="24"/>
        </w:rPr>
        <w:t>number of reports requested by EPA. Unit estimates of burden for the various activities are also required. These unit estimates are then coupled with the number of allegations, reports, and Federal Register notice reviews to develop total burden estimates for the industry reporting community.</w:t>
      </w:r>
    </w:p>
    <w:p w:rsidR="007E2E3C" w:rsidRPr="00962957" w:rsidP="007E2E3C" w14:paraId="55439AF0" w14:textId="7E74B763">
      <w:pPr>
        <w:numPr>
          <w:ilvl w:val="12"/>
          <w:numId w:val="0"/>
        </w:numPr>
        <w:rPr>
          <w:rFonts w:ascii="Calibri" w:hAnsi="Calibri" w:cs="Calibri"/>
          <w:szCs w:val="24"/>
        </w:rPr>
      </w:pPr>
      <w:r w:rsidRPr="00962957">
        <w:rPr>
          <w:rFonts w:ascii="Calibri" w:hAnsi="Calibri" w:cs="Calibri"/>
          <w:szCs w:val="24"/>
        </w:rPr>
        <w:t>Estimates of costs require estimation of wage rates for personnel expected to participate in TSCA section 8(c) activities. These, coupled with the burden hours associated with the various tasks, provide the bases for industry cost estimates.</w:t>
      </w:r>
    </w:p>
    <w:p w:rsidR="007E2E3C" w:rsidRPr="00962957" w:rsidP="007E2E3C" w14:paraId="1D9BBB76" w14:textId="77777777">
      <w:pPr>
        <w:numPr>
          <w:ilvl w:val="12"/>
          <w:numId w:val="0"/>
        </w:numPr>
        <w:rPr>
          <w:rFonts w:ascii="Calibri" w:hAnsi="Calibri" w:cs="Calibri"/>
          <w:szCs w:val="24"/>
        </w:rPr>
      </w:pPr>
      <w:r w:rsidRPr="00962957">
        <w:rPr>
          <w:rFonts w:ascii="Calibri" w:hAnsi="Calibri" w:cs="Calibri"/>
          <w:szCs w:val="24"/>
        </w:rPr>
        <w:t xml:space="preserve">The total number of allegations is based upon the average number of employees per firm and the number of firms, multiplied by a standard annual allegation rate per firm. </w:t>
      </w:r>
    </w:p>
    <w:p w:rsidR="007E2E3C" w:rsidRPr="00962957" w:rsidP="007E2E3C" w14:paraId="7A736246" w14:textId="23450FCC">
      <w:pPr>
        <w:numPr>
          <w:ilvl w:val="12"/>
          <w:numId w:val="0"/>
        </w:numPr>
        <w:rPr>
          <w:rFonts w:ascii="Calibri" w:hAnsi="Calibri" w:cs="Calibri"/>
          <w:szCs w:val="24"/>
        </w:rPr>
      </w:pPr>
      <w:r w:rsidRPr="00962957">
        <w:rPr>
          <w:rFonts w:ascii="Calibri" w:hAnsi="Calibri" w:cs="Calibri"/>
          <w:szCs w:val="24"/>
        </w:rPr>
        <w:t xml:space="preserve">The Agency received numerous public comments following the issuance of the initial TSCA section 8(c) proposal, including many comments about the Agency’s estimate of the number of allegations. In response to these comments, EPA contacted a number of firms to develop a </w:t>
      </w:r>
      <w:r w:rsidRPr="00962957">
        <w:rPr>
          <w:rFonts w:ascii="Calibri" w:hAnsi="Calibri" w:cs="Calibri"/>
          <w:szCs w:val="24"/>
        </w:rPr>
        <w:t xml:space="preserve">consensus estimate. According to the 1983 ICR, the consensus opinion of the firms contacted is that recordable TSCA section 8(c) allegations are likely to be made by 0.5 percent of the employees at an average firm. Additionally, and per the 1983 ICR, EPA assumes that the rate of allegations made by the general public would be about one-third the employee allegation rate. </w:t>
      </w:r>
      <w:r w:rsidR="007F5572">
        <w:rPr>
          <w:rFonts w:ascii="Calibri" w:hAnsi="Calibri" w:cs="Calibri"/>
          <w:szCs w:val="24"/>
        </w:rPr>
        <w:t>This is b</w:t>
      </w:r>
      <w:r w:rsidRPr="00962957">
        <w:rPr>
          <w:rFonts w:ascii="Calibri" w:hAnsi="Calibri" w:cs="Calibri"/>
          <w:szCs w:val="24"/>
        </w:rPr>
        <w:t>ased on the average number of employees per firm</w:t>
      </w:r>
      <w:r w:rsidR="0000587D">
        <w:rPr>
          <w:rFonts w:ascii="Calibri" w:hAnsi="Calibri" w:cs="Calibri"/>
          <w:szCs w:val="24"/>
        </w:rPr>
        <w:t xml:space="preserve"> and the </w:t>
      </w:r>
      <w:r w:rsidRPr="00962957">
        <w:rPr>
          <w:rFonts w:ascii="Calibri" w:hAnsi="Calibri" w:cs="Calibri"/>
          <w:szCs w:val="24"/>
        </w:rPr>
        <w:t>estimated annual number of allegations per firm. The total number of allegations is calculated by multiplying the total number of firms (13,557</w:t>
      </w:r>
      <w:r>
        <w:rPr>
          <w:rStyle w:val="FootnoteReference"/>
          <w:rFonts w:ascii="Calibri" w:hAnsi="Calibri" w:cs="Calibri"/>
          <w:szCs w:val="24"/>
        </w:rPr>
        <w:footnoteReference w:id="7"/>
      </w:r>
      <w:r w:rsidRPr="00962957">
        <w:rPr>
          <w:rFonts w:ascii="Calibri" w:hAnsi="Calibri" w:cs="Calibri"/>
          <w:szCs w:val="24"/>
        </w:rPr>
        <w:t>) by the average annual number of allegations per firm (.44), for a total of 5,965 allegations per year.</w:t>
      </w:r>
    </w:p>
    <w:p w:rsidR="007E2E3C" w:rsidRPr="0083067A" w:rsidP="4E785F9D" w14:paraId="378E116A" w14:textId="2A2422E2">
      <w:pPr>
        <w:rPr>
          <w:rFonts w:ascii="Calibri" w:hAnsi="Calibri" w:cs="Calibri"/>
          <w:b/>
          <w:bCs/>
        </w:rPr>
      </w:pPr>
      <w:r w:rsidRPr="4E785F9D">
        <w:rPr>
          <w:rFonts w:ascii="Calibri" w:hAnsi="Calibri" w:cs="Calibri"/>
        </w:rPr>
        <w:t xml:space="preserve">EPA’s long-term experience shows that only a very limited amount of reporting has been required under TSCA section 8(c). To date, only </w:t>
      </w:r>
      <w:r w:rsidRPr="4E785F9D" w:rsidR="00FF74E5">
        <w:rPr>
          <w:rFonts w:ascii="Calibri" w:hAnsi="Calibri" w:cs="Calibri"/>
        </w:rPr>
        <w:t>four</w:t>
      </w:r>
      <w:r w:rsidRPr="4E785F9D" w:rsidR="0081666C">
        <w:rPr>
          <w:rFonts w:ascii="Calibri" w:hAnsi="Calibri" w:cs="Calibri"/>
        </w:rPr>
        <w:t xml:space="preserve"> </w:t>
      </w:r>
      <w:r w:rsidRPr="4E785F9D">
        <w:rPr>
          <w:rFonts w:ascii="Calibri" w:hAnsi="Calibri" w:cs="Calibri"/>
        </w:rPr>
        <w:t>reporting notices have been issued under TSCA section 8(c)</w:t>
      </w:r>
      <w:r>
        <w:rPr>
          <w:rStyle w:val="FootnoteReference"/>
          <w:rFonts w:ascii="Calibri" w:hAnsi="Calibri" w:cs="Calibri"/>
        </w:rPr>
        <w:footnoteReference w:id="8"/>
      </w:r>
      <w:r w:rsidR="009A4F5C">
        <w:rPr>
          <w:rFonts w:ascii="Calibri" w:hAnsi="Calibri" w:cs="Calibri"/>
        </w:rPr>
        <w:t>,</w:t>
      </w:r>
      <w:r w:rsidRPr="4E785F9D">
        <w:rPr>
          <w:rFonts w:ascii="Calibri" w:hAnsi="Calibri" w:cs="Calibri"/>
        </w:rPr>
        <w:t xml:space="preserve"> and these notices covered two chemicals and two chemical categories. A total of 31 reports</w:t>
      </w:r>
      <w:r>
        <w:rPr>
          <w:rStyle w:val="FootnoteReference"/>
          <w:rFonts w:ascii="Calibri" w:hAnsi="Calibri" w:cs="Calibri"/>
        </w:rPr>
        <w:footnoteReference w:id="9"/>
      </w:r>
      <w:r w:rsidRPr="4E785F9D">
        <w:rPr>
          <w:rFonts w:ascii="Calibri" w:hAnsi="Calibri" w:cs="Calibri"/>
          <w:vertAlign w:val="superscript"/>
        </w:rPr>
        <w:t>,</w:t>
      </w:r>
      <w:r>
        <w:rPr>
          <w:rStyle w:val="FootnoteReference"/>
          <w:rFonts w:ascii="Calibri" w:hAnsi="Calibri" w:cs="Calibri"/>
        </w:rPr>
        <w:footnoteReference w:id="10"/>
      </w:r>
      <w:r w:rsidRPr="4E785F9D">
        <w:rPr>
          <w:rFonts w:ascii="Calibri" w:hAnsi="Calibri" w:cs="Calibri"/>
        </w:rPr>
        <w:t xml:space="preserve"> have been received under TSCA section 8(c), an average of approximately 16 reports per notice. This represents an average of about 1.1 reports per year since the rule was promulgated in 1983. </w:t>
      </w:r>
      <w:r w:rsidRPr="4E785F9D" w:rsidR="4A1F4F45">
        <w:rPr>
          <w:rFonts w:ascii="Calibri" w:hAnsi="Calibri" w:cs="Calibri"/>
        </w:rPr>
        <w:t>Though</w:t>
      </w:r>
      <w:r w:rsidRPr="4E785F9D">
        <w:rPr>
          <w:rFonts w:ascii="Calibri" w:hAnsi="Calibri" w:cs="Calibri"/>
        </w:rPr>
        <w:t xml:space="preserve"> </w:t>
      </w:r>
      <w:r w:rsidR="004D4326">
        <w:rPr>
          <w:rFonts w:ascii="Calibri" w:hAnsi="Calibri" w:cs="Calibri"/>
        </w:rPr>
        <w:t xml:space="preserve">EPA </w:t>
      </w:r>
      <w:r w:rsidRPr="4E785F9D" w:rsidR="4A1F4F45">
        <w:rPr>
          <w:rFonts w:ascii="Calibri" w:hAnsi="Calibri" w:cs="Calibri"/>
        </w:rPr>
        <w:t xml:space="preserve">does not anticipate an uptick of </w:t>
      </w:r>
      <w:r w:rsidR="004D4326">
        <w:rPr>
          <w:rFonts w:ascii="Calibri" w:hAnsi="Calibri" w:cs="Calibri"/>
        </w:rPr>
        <w:t xml:space="preserve">8(c) </w:t>
      </w:r>
      <w:r w:rsidRPr="4E785F9D" w:rsidR="4A1F4F45">
        <w:rPr>
          <w:rFonts w:ascii="Calibri" w:hAnsi="Calibri" w:cs="Calibri"/>
        </w:rPr>
        <w:t>data calls, the Agency recognizes it could issue up</w:t>
      </w:r>
      <w:r w:rsidR="00D27960">
        <w:rPr>
          <w:rFonts w:ascii="Calibri" w:hAnsi="Calibri" w:cs="Calibri"/>
        </w:rPr>
        <w:t xml:space="preserve"> to </w:t>
      </w:r>
      <w:r w:rsidRPr="4E785F9D" w:rsidR="4A1F4F45">
        <w:rPr>
          <w:rFonts w:ascii="Calibri" w:hAnsi="Calibri" w:cs="Calibri"/>
        </w:rPr>
        <w:t>10 notices per year during the three-year ICR collection period to collect allegations</w:t>
      </w:r>
      <w:r w:rsidR="00207ACE">
        <w:rPr>
          <w:rFonts w:ascii="Calibri" w:hAnsi="Calibri" w:cs="Calibri"/>
        </w:rPr>
        <w:t xml:space="preserve"> information on </w:t>
      </w:r>
      <w:r w:rsidRPr="4E785F9D" w:rsidR="4A1F4F45">
        <w:rPr>
          <w:rFonts w:ascii="Calibri" w:hAnsi="Calibri" w:cs="Calibri"/>
        </w:rPr>
        <w:t xml:space="preserve">high-priority substances should </w:t>
      </w:r>
      <w:r w:rsidRPr="4E785F9D" w:rsidR="0566458D">
        <w:rPr>
          <w:rFonts w:ascii="Calibri" w:hAnsi="Calibri" w:cs="Calibri"/>
        </w:rPr>
        <w:t xml:space="preserve">collecting </w:t>
      </w:r>
      <w:r w:rsidRPr="4E785F9D" w:rsidR="4A1F4F45">
        <w:rPr>
          <w:rFonts w:ascii="Calibri" w:hAnsi="Calibri" w:cs="Calibri"/>
        </w:rPr>
        <w:t>such information be</w:t>
      </w:r>
      <w:r w:rsidRPr="4E785F9D" w:rsidR="47B9F0CC">
        <w:rPr>
          <w:rFonts w:ascii="Calibri" w:hAnsi="Calibri" w:cs="Calibri"/>
        </w:rPr>
        <w:t xml:space="preserve"> </w:t>
      </w:r>
      <w:r w:rsidRPr="4E785F9D" w:rsidR="4A1F4F45">
        <w:rPr>
          <w:rFonts w:ascii="Calibri" w:hAnsi="Calibri" w:cs="Calibri"/>
        </w:rPr>
        <w:t xml:space="preserve">deemed </w:t>
      </w:r>
      <w:r w:rsidRPr="4E785F9D" w:rsidR="34DAC241">
        <w:rPr>
          <w:rFonts w:ascii="Calibri" w:hAnsi="Calibri" w:cs="Calibri"/>
        </w:rPr>
        <w:t xml:space="preserve">necessary for </w:t>
      </w:r>
      <w:r w:rsidRPr="4E785F9D" w:rsidR="22978263">
        <w:rPr>
          <w:rFonts w:ascii="Calibri" w:hAnsi="Calibri" w:cs="Calibri"/>
        </w:rPr>
        <w:t xml:space="preserve">conducting risk evaluation. Accordingly, EPA is estimating 10 notices per year during the ICR collection period, anticipating that it may receive 160 reports annually. </w:t>
      </w:r>
    </w:p>
    <w:p w:rsidR="007E2E3C" w:rsidRPr="00962957" w:rsidP="007E2E3C" w14:paraId="603EDE41" w14:textId="57B5F2E5">
      <w:pPr>
        <w:numPr>
          <w:ilvl w:val="12"/>
          <w:numId w:val="0"/>
        </w:numPr>
        <w:rPr>
          <w:rFonts w:ascii="Calibri" w:hAnsi="Calibri" w:cs="Calibri"/>
          <w:szCs w:val="24"/>
        </w:rPr>
      </w:pPr>
      <w:r w:rsidRPr="0083067A">
        <w:rPr>
          <w:rFonts w:ascii="Calibri" w:hAnsi="Calibri" w:cs="Calibri"/>
          <w:szCs w:val="24"/>
        </w:rPr>
        <w:t>Based on the original TSCA sec</w:t>
      </w:r>
      <w:r w:rsidRPr="00962957">
        <w:rPr>
          <w:rFonts w:ascii="Calibri" w:hAnsi="Calibri" w:cs="Calibri"/>
          <w:szCs w:val="24"/>
        </w:rPr>
        <w:t>tion 8(c) analysis, EPA estimates that a firm’s TSCA section 8(c) coordinator will spend 2 to 3 hours to determine the status of an allegation.</w:t>
      </w:r>
      <w:r>
        <w:rPr>
          <w:rStyle w:val="FootnoteReference"/>
          <w:rFonts w:ascii="Calibri" w:hAnsi="Calibri" w:cs="Calibri"/>
          <w:szCs w:val="24"/>
        </w:rPr>
        <w:footnoteReference w:id="11"/>
      </w:r>
      <w:r w:rsidRPr="00962957">
        <w:rPr>
          <w:rFonts w:ascii="Calibri" w:hAnsi="Calibri" w:cs="Calibri"/>
          <w:szCs w:val="24"/>
        </w:rPr>
        <w:t xml:space="preserve"> For the purposes of this analysis, </w:t>
      </w:r>
      <w:r w:rsidR="00E169B3">
        <w:rPr>
          <w:rFonts w:ascii="Calibri" w:hAnsi="Calibri" w:cs="Calibri"/>
          <w:szCs w:val="24"/>
        </w:rPr>
        <w:t>EPA</w:t>
      </w:r>
      <w:r w:rsidRPr="00962957">
        <w:rPr>
          <w:rFonts w:ascii="Calibri" w:hAnsi="Calibri" w:cs="Calibri"/>
          <w:szCs w:val="24"/>
        </w:rPr>
        <w:t xml:space="preserve"> assume</w:t>
      </w:r>
      <w:r w:rsidR="00E169B3">
        <w:rPr>
          <w:rFonts w:ascii="Calibri" w:hAnsi="Calibri" w:cs="Calibri"/>
          <w:szCs w:val="24"/>
        </w:rPr>
        <w:t>s</w:t>
      </w:r>
      <w:r w:rsidRPr="00962957">
        <w:rPr>
          <w:rFonts w:ascii="Calibri" w:hAnsi="Calibri" w:cs="Calibri"/>
          <w:szCs w:val="24"/>
        </w:rPr>
        <w:t xml:space="preserve"> 3 hours are needed. This level of effort will occur for all allegations received. If the allegation is found to be recordable, the coordinator completes a form, has it typed, and checks it for accuracy. This requires 0.5 hours of clerical time and an additional 0.5 hours of managerial time. Assuming that all allegations are recordable, a total of 4 hours are expended per allegation (3.5 hours managerial plus 0.5 hours clerical). Storage costs for the allegations are believed to be negligible. The unit cost per allegation is $</w:t>
      </w:r>
      <w:r w:rsidRPr="644F5DE8" w:rsidR="0081666C">
        <w:rPr>
          <w:rFonts w:ascii="Calibri" w:hAnsi="Calibri" w:cs="Calibri"/>
        </w:rPr>
        <w:t>333.20</w:t>
      </w:r>
      <w:r w:rsidR="0081666C">
        <w:rPr>
          <w:rFonts w:ascii="Calibri" w:hAnsi="Calibri" w:cs="Calibri"/>
        </w:rPr>
        <w:t xml:space="preserve"> (Table </w:t>
      </w:r>
      <w:r w:rsidR="00452DD7">
        <w:rPr>
          <w:rFonts w:ascii="Calibri" w:hAnsi="Calibri" w:cs="Calibri"/>
        </w:rPr>
        <w:t>6)</w:t>
      </w:r>
      <w:r w:rsidRPr="00962957">
        <w:rPr>
          <w:rFonts w:ascii="Calibri" w:hAnsi="Calibri" w:cs="Calibri"/>
          <w:szCs w:val="24"/>
        </w:rPr>
        <w:t>.</w:t>
      </w:r>
    </w:p>
    <w:p w:rsidR="007E2E3C" w:rsidRPr="00962957" w:rsidP="007E2E3C" w14:paraId="66E16024" w14:textId="3451CB5C">
      <w:pPr>
        <w:rPr>
          <w:rFonts w:ascii="Calibri" w:hAnsi="Calibri" w:cs="Calibri"/>
        </w:rPr>
      </w:pPr>
      <w:r w:rsidRPr="2D725C34">
        <w:rPr>
          <w:rFonts w:ascii="Calibri" w:hAnsi="Calibri" w:cs="Calibri"/>
        </w:rPr>
        <w:t xml:space="preserve">Based on the original TSCA section 8(c) analysis, EPA estimates that a management level company official will spend </w:t>
      </w:r>
      <w:r w:rsidRPr="2D725C34" w:rsidR="5EF5B003">
        <w:rPr>
          <w:rFonts w:ascii="Calibri" w:hAnsi="Calibri" w:cs="Calibri"/>
        </w:rPr>
        <w:t>1</w:t>
      </w:r>
      <w:r w:rsidRPr="2D725C34">
        <w:rPr>
          <w:rFonts w:ascii="Calibri" w:hAnsi="Calibri" w:cs="Calibri"/>
        </w:rPr>
        <w:t xml:space="preserve"> hour reviewing the Federal Register notice or letter from EPA to </w:t>
      </w:r>
      <w:r w:rsidRPr="2D725C34">
        <w:rPr>
          <w:rFonts w:ascii="Calibri" w:hAnsi="Calibri" w:cs="Calibri"/>
        </w:rPr>
        <w:t>determine whether the company manufactures (including imports) or processes substances subject to the reporting requirement.</w:t>
      </w:r>
    </w:p>
    <w:p w:rsidR="007E2E3C" w:rsidRPr="00962957" w:rsidP="2D725C34" w14:paraId="6F3240EF" w14:textId="4F22F672">
      <w:pPr>
        <w:rPr>
          <w:rFonts w:ascii="Calibri" w:hAnsi="Calibri" w:cs="Calibri"/>
        </w:rPr>
      </w:pPr>
      <w:r w:rsidRPr="2D725C34">
        <w:rPr>
          <w:rFonts w:ascii="Calibri" w:hAnsi="Calibri" w:cs="Calibri"/>
        </w:rPr>
        <w:t xml:space="preserve">Technical personnel would then spend an estimated two hours conducting a search of the company’s TSCA section 8(c) files for any relevant allegation records. Once the file search is complete, EPA estimates that a managerial employee would spend </w:t>
      </w:r>
      <w:r w:rsidRPr="2D725C34" w:rsidR="006667AA">
        <w:rPr>
          <w:rFonts w:ascii="Calibri" w:hAnsi="Calibri" w:cs="Calibri"/>
        </w:rPr>
        <w:t>2</w:t>
      </w:r>
      <w:r w:rsidRPr="2D725C34">
        <w:rPr>
          <w:rFonts w:ascii="Calibri" w:hAnsi="Calibri" w:cs="Calibri"/>
        </w:rPr>
        <w:t xml:space="preserve"> hours preparing a transmittal letter and other explanatory material to accompany the allegation records. An upper-level management official would spend an additional </w:t>
      </w:r>
      <w:r w:rsidRPr="2D725C34" w:rsidR="2CE7E668">
        <w:rPr>
          <w:rFonts w:ascii="Calibri" w:hAnsi="Calibri" w:cs="Calibri"/>
        </w:rPr>
        <w:t>2</w:t>
      </w:r>
      <w:r w:rsidRPr="2D725C34">
        <w:rPr>
          <w:rFonts w:ascii="Calibri" w:hAnsi="Calibri" w:cs="Calibri"/>
        </w:rPr>
        <w:t xml:space="preserve"> hours reviewing these materials. In sum the managerial burden i</w:t>
      </w:r>
      <w:r w:rsidRPr="2D725C34" w:rsidR="00BF09FD">
        <w:rPr>
          <w:rFonts w:ascii="Calibri" w:hAnsi="Calibri" w:cs="Calibri"/>
        </w:rPr>
        <w:t>nclude</w:t>
      </w:r>
      <w:r w:rsidRPr="2D725C34">
        <w:rPr>
          <w:rFonts w:ascii="Calibri" w:hAnsi="Calibri" w:cs="Calibri"/>
        </w:rPr>
        <w:t xml:space="preserve">s the </w:t>
      </w:r>
      <w:r w:rsidRPr="2D725C34" w:rsidR="00BF09FD">
        <w:rPr>
          <w:rFonts w:ascii="Calibri" w:hAnsi="Calibri" w:cs="Calibri"/>
        </w:rPr>
        <w:t>1</w:t>
      </w:r>
      <w:r w:rsidRPr="2D725C34">
        <w:rPr>
          <w:rFonts w:ascii="Calibri" w:hAnsi="Calibri" w:cs="Calibri"/>
        </w:rPr>
        <w:t xml:space="preserve"> hour reviewing the Federal Register notice or letter from EPA, </w:t>
      </w:r>
      <w:r w:rsidRPr="2D725C34" w:rsidR="00BF09FD">
        <w:rPr>
          <w:rFonts w:ascii="Calibri" w:hAnsi="Calibri" w:cs="Calibri"/>
        </w:rPr>
        <w:t>2</w:t>
      </w:r>
      <w:r w:rsidRPr="2D725C34">
        <w:rPr>
          <w:rFonts w:ascii="Calibri" w:hAnsi="Calibri" w:cs="Calibri"/>
        </w:rPr>
        <w:t xml:space="preserve"> hours conducting a search of the company’s TSCA section 8(c) files, and </w:t>
      </w:r>
      <w:r w:rsidRPr="2D725C34" w:rsidR="00BF09FD">
        <w:rPr>
          <w:rFonts w:ascii="Calibri" w:hAnsi="Calibri" w:cs="Calibri"/>
        </w:rPr>
        <w:t>2</w:t>
      </w:r>
      <w:r w:rsidRPr="2D725C34">
        <w:rPr>
          <w:rFonts w:ascii="Calibri" w:hAnsi="Calibri" w:cs="Calibri"/>
        </w:rPr>
        <w:t xml:space="preserve"> hours preparing a transmittal letter, totaling </w:t>
      </w:r>
      <w:r w:rsidRPr="2D725C34" w:rsidR="00F92F19">
        <w:rPr>
          <w:rFonts w:ascii="Calibri" w:hAnsi="Calibri" w:cs="Calibri"/>
        </w:rPr>
        <w:t>5</w:t>
      </w:r>
      <w:r w:rsidRPr="2D725C34">
        <w:rPr>
          <w:rFonts w:ascii="Calibri" w:hAnsi="Calibri" w:cs="Calibri"/>
        </w:rPr>
        <w:t xml:space="preserve"> hours. One hour of clerical labor would be required to prepare and mail the response. A total of </w:t>
      </w:r>
      <w:r w:rsidRPr="2D725C34" w:rsidR="06E43443">
        <w:rPr>
          <w:rFonts w:ascii="Calibri" w:hAnsi="Calibri" w:cs="Calibri"/>
        </w:rPr>
        <w:t>8</w:t>
      </w:r>
      <w:r w:rsidRPr="2D725C34">
        <w:rPr>
          <w:rFonts w:ascii="Calibri" w:hAnsi="Calibri" w:cs="Calibri"/>
        </w:rPr>
        <w:t xml:space="preserve"> hours is expended per report (</w:t>
      </w:r>
      <w:r w:rsidRPr="2D725C34" w:rsidR="06E43443">
        <w:rPr>
          <w:rFonts w:ascii="Calibri" w:hAnsi="Calibri" w:cs="Calibri"/>
        </w:rPr>
        <w:t>5</w:t>
      </w:r>
      <w:r w:rsidRPr="2D725C34">
        <w:rPr>
          <w:rFonts w:ascii="Calibri" w:hAnsi="Calibri" w:cs="Calibri"/>
        </w:rPr>
        <w:t xml:space="preserve"> managerial hours, </w:t>
      </w:r>
      <w:r w:rsidRPr="2D725C34" w:rsidR="06E43443">
        <w:rPr>
          <w:rFonts w:ascii="Calibri" w:hAnsi="Calibri" w:cs="Calibri"/>
        </w:rPr>
        <w:t>2</w:t>
      </w:r>
      <w:r w:rsidRPr="2D725C34">
        <w:rPr>
          <w:rFonts w:ascii="Calibri" w:hAnsi="Calibri" w:cs="Calibri"/>
        </w:rPr>
        <w:t xml:space="preserve"> technical hours and </w:t>
      </w:r>
      <w:r w:rsidRPr="2D725C34" w:rsidR="00F92F19">
        <w:rPr>
          <w:rFonts w:ascii="Calibri" w:hAnsi="Calibri" w:cs="Calibri"/>
        </w:rPr>
        <w:t>1</w:t>
      </w:r>
      <w:r w:rsidRPr="2D725C34">
        <w:rPr>
          <w:rFonts w:ascii="Calibri" w:hAnsi="Calibri" w:cs="Calibri"/>
        </w:rPr>
        <w:t xml:space="preserve"> clerical hour). The unit cost for reporting, per report, is $670.25.</w:t>
      </w:r>
    </w:p>
    <w:p w:rsidR="007E2E3C" w:rsidRPr="00962957" w:rsidP="007E2E3C" w14:paraId="75F1F453" w14:textId="5F5F2A8B">
      <w:pPr>
        <w:numPr>
          <w:ilvl w:val="12"/>
          <w:numId w:val="0"/>
        </w:numPr>
        <w:rPr>
          <w:rFonts w:ascii="Calibri" w:hAnsi="Calibri" w:cs="Calibri"/>
          <w:szCs w:val="24"/>
        </w:rPr>
      </w:pPr>
      <w:r w:rsidRPr="00962957">
        <w:rPr>
          <w:rFonts w:ascii="Calibri" w:hAnsi="Calibri" w:cs="Calibri"/>
          <w:szCs w:val="24"/>
        </w:rPr>
        <w:t>Based on the original TSCA section 8(c) analysis, EPA estimates that 0.25 hour</w:t>
      </w:r>
      <w:r w:rsidR="00E43D8C">
        <w:rPr>
          <w:rFonts w:ascii="Calibri" w:hAnsi="Calibri" w:cs="Calibri"/>
          <w:szCs w:val="24"/>
        </w:rPr>
        <w:t>s</w:t>
      </w:r>
      <w:r w:rsidRPr="00962957">
        <w:rPr>
          <w:rFonts w:ascii="Calibri" w:hAnsi="Calibri" w:cs="Calibri"/>
          <w:szCs w:val="24"/>
        </w:rPr>
        <w:t xml:space="preserve"> of managerial labor would be required to review each Federal Register notice Table 5. The unit cost for Federal Register</w:t>
      </w:r>
      <w:r w:rsidRPr="00962957">
        <w:rPr>
          <w:rFonts w:ascii="Calibri" w:hAnsi="Calibri" w:cs="Calibri"/>
          <w:b/>
          <w:bCs/>
          <w:szCs w:val="24"/>
        </w:rPr>
        <w:t xml:space="preserve"> </w:t>
      </w:r>
      <w:r w:rsidRPr="00962957">
        <w:rPr>
          <w:rFonts w:ascii="Calibri" w:hAnsi="Calibri" w:cs="Calibri"/>
          <w:szCs w:val="24"/>
        </w:rPr>
        <w:t>notice review is $23.63.</w:t>
      </w:r>
    </w:p>
    <w:p w:rsidR="00AA62CF" w:rsidP="00AA62CF" w14:paraId="395B074A" w14:textId="77777777">
      <w:pPr>
        <w:numPr>
          <w:ilvl w:val="12"/>
          <w:numId w:val="0"/>
        </w:numPr>
        <w:spacing w:after="0"/>
        <w:rPr>
          <w:rFonts w:ascii="Calibri" w:hAnsi="Calibri" w:cs="Calibri"/>
          <w:szCs w:val="24"/>
        </w:rPr>
      </w:pPr>
      <w:r w:rsidRPr="00962957">
        <w:rPr>
          <w:rFonts w:ascii="Calibri" w:hAnsi="Calibri" w:cs="Calibri"/>
          <w:szCs w:val="24"/>
        </w:rPr>
        <w:fldChar w:fldCharType="begin"/>
      </w:r>
      <w:r w:rsidRPr="00962957">
        <w:rPr>
          <w:rFonts w:ascii="Calibri" w:hAnsi="Calibri" w:cs="Calibri"/>
          <w:szCs w:val="24"/>
        </w:rPr>
        <w:instrText xml:space="preserve"> REF _Ref95748817 \h </w:instrText>
      </w:r>
      <w:r w:rsidR="00962957">
        <w:rPr>
          <w:rFonts w:ascii="Calibri" w:hAnsi="Calibri" w:cs="Calibri"/>
          <w:szCs w:val="24"/>
        </w:rPr>
        <w:instrText xml:space="preserve"> \* MERGEFORMAT </w:instrText>
      </w:r>
      <w:r w:rsidRPr="00962957">
        <w:rPr>
          <w:rFonts w:ascii="Calibri" w:hAnsi="Calibri" w:cs="Calibri"/>
          <w:szCs w:val="24"/>
        </w:rPr>
        <w:fldChar w:fldCharType="separate"/>
      </w:r>
      <w:r w:rsidRPr="00962957">
        <w:rPr>
          <w:rFonts w:ascii="Calibri" w:hAnsi="Calibri" w:cs="Calibri"/>
        </w:rPr>
        <w:t xml:space="preserve">Table </w:t>
      </w:r>
      <w:r w:rsidRPr="00962957">
        <w:rPr>
          <w:rFonts w:ascii="Calibri" w:hAnsi="Calibri" w:cs="Calibri"/>
          <w:szCs w:val="24"/>
        </w:rPr>
        <w:fldChar w:fldCharType="end"/>
      </w:r>
      <w:r w:rsidR="00452DD7">
        <w:rPr>
          <w:rFonts w:ascii="Calibri" w:hAnsi="Calibri" w:cs="Calibri"/>
          <w:szCs w:val="24"/>
        </w:rPr>
        <w:t>6</w:t>
      </w:r>
      <w:r w:rsidRPr="00962957" w:rsidR="00452DD7">
        <w:rPr>
          <w:rFonts w:ascii="Calibri" w:hAnsi="Calibri" w:cs="Calibri"/>
          <w:szCs w:val="24"/>
        </w:rPr>
        <w:t xml:space="preserve"> </w:t>
      </w:r>
      <w:r w:rsidRPr="00962957">
        <w:rPr>
          <w:rFonts w:ascii="Calibri" w:hAnsi="Calibri" w:cs="Calibri"/>
          <w:szCs w:val="24"/>
        </w:rPr>
        <w:t>summari</w:t>
      </w:r>
      <w:r w:rsidR="00B82165">
        <w:rPr>
          <w:rFonts w:ascii="Calibri" w:hAnsi="Calibri" w:cs="Calibri"/>
          <w:szCs w:val="24"/>
        </w:rPr>
        <w:t>z</w:t>
      </w:r>
      <w:r w:rsidRPr="00962957">
        <w:rPr>
          <w:rFonts w:ascii="Calibri" w:hAnsi="Calibri" w:cs="Calibri"/>
          <w:szCs w:val="24"/>
        </w:rPr>
        <w:t xml:space="preserve">es the unit burden hours and costs for the activities described. </w:t>
      </w:r>
      <w:bookmarkStart w:id="27" w:name="_Ref95748817"/>
    </w:p>
    <w:p w:rsidR="00AA62CF" w:rsidP="00AA62CF" w14:paraId="769CB42F" w14:textId="77777777">
      <w:pPr>
        <w:numPr>
          <w:ilvl w:val="12"/>
          <w:numId w:val="0"/>
        </w:numPr>
        <w:spacing w:after="0"/>
        <w:rPr>
          <w:rFonts w:ascii="Calibri" w:hAnsi="Calibri" w:cs="Calibri"/>
        </w:rPr>
      </w:pPr>
    </w:p>
    <w:p w:rsidR="007E2E3C" w:rsidRPr="00AA62CF" w:rsidP="00AA62CF" w14:paraId="0356AA53" w14:textId="74337F04">
      <w:pPr>
        <w:numPr>
          <w:ilvl w:val="12"/>
          <w:numId w:val="0"/>
        </w:numPr>
        <w:spacing w:after="0"/>
        <w:rPr>
          <w:rFonts w:ascii="Calibri" w:hAnsi="Calibri" w:cs="Calibri"/>
          <w:b/>
          <w:bCs/>
          <w:szCs w:val="24"/>
        </w:rPr>
      </w:pPr>
      <w:r w:rsidRPr="00AA62CF">
        <w:rPr>
          <w:rFonts w:ascii="Calibri" w:hAnsi="Calibri" w:cs="Calibri"/>
          <w:b/>
          <w:bCs/>
        </w:rPr>
        <w:t xml:space="preserve">Table </w:t>
      </w:r>
      <w:bookmarkEnd w:id="27"/>
      <w:r w:rsidRPr="00AA62CF" w:rsidR="00452DD7">
        <w:rPr>
          <w:rFonts w:ascii="Calibri" w:hAnsi="Calibri" w:cs="Calibri"/>
          <w:b/>
          <w:bCs/>
        </w:rPr>
        <w:t>6</w:t>
      </w:r>
      <w:r w:rsidRPr="00AA62CF">
        <w:rPr>
          <w:rFonts w:ascii="Calibri" w:hAnsi="Calibri" w:cs="Calibri"/>
          <w:b/>
          <w:bCs/>
        </w:rPr>
        <w:t>. Summary Unit Respondent Burden and Cost Estimates for TSCA Section 8(c) (202</w:t>
      </w:r>
      <w:r w:rsidRPr="00AA62CF" w:rsidR="00452DD7">
        <w:rPr>
          <w:rFonts w:ascii="Calibri" w:hAnsi="Calibri" w:cs="Calibri"/>
          <w:b/>
          <w:bCs/>
        </w:rPr>
        <w:t>4</w:t>
      </w:r>
      <w:r w:rsidRPr="00AA62CF" w:rsidR="00D872F0">
        <w:rPr>
          <w:rFonts w:ascii="Calibri" w:hAnsi="Calibri" w:cs="Calibri"/>
          <w:b/>
          <w:bCs/>
        </w:rPr>
        <w:t>$</w:t>
      </w:r>
      <w:r w:rsidRPr="00AA62CF">
        <w:rPr>
          <w:rFonts w:ascii="Calibri" w:hAnsi="Calibri" w:cs="Calibri"/>
          <w:b/>
          <w:bCs/>
        </w:rPr>
        <w:t>)</w:t>
      </w:r>
    </w:p>
    <w:tbl>
      <w:tblPr>
        <w:tblW w:w="9309" w:type="dxa"/>
        <w:tblCellMar>
          <w:left w:w="0" w:type="dxa"/>
          <w:right w:w="0" w:type="dxa"/>
        </w:tblCellMar>
        <w:tblLook w:val="04A0"/>
      </w:tblPr>
      <w:tblGrid>
        <w:gridCol w:w="1686"/>
        <w:gridCol w:w="851"/>
        <w:gridCol w:w="871"/>
        <w:gridCol w:w="886"/>
        <w:gridCol w:w="854"/>
        <w:gridCol w:w="992"/>
        <w:gridCol w:w="852"/>
        <w:gridCol w:w="1085"/>
        <w:gridCol w:w="1203"/>
        <w:gridCol w:w="29"/>
      </w:tblGrid>
      <w:tr w14:paraId="262D556A" w14:textId="77777777" w:rsidTr="002F1765">
        <w:tblPrEx>
          <w:tblW w:w="9309" w:type="dxa"/>
          <w:tblCellMar>
            <w:left w:w="0" w:type="dxa"/>
            <w:right w:w="0" w:type="dxa"/>
          </w:tblCellMar>
          <w:tblLook w:val="04A0"/>
        </w:tblPrEx>
        <w:trPr>
          <w:gridAfter w:val="1"/>
          <w:trHeight w:val="324"/>
        </w:trPr>
        <w:tc>
          <w:tcPr>
            <w:tcW w:w="16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2ED0EAF3" w14:textId="77777777">
            <w:pPr>
              <w:spacing w:after="0" w:line="240" w:lineRule="auto"/>
              <w:jc w:val="center"/>
              <w:rPr>
                <w:rFonts w:ascii="Calibri" w:hAnsi="Calibri" w:cs="Calibri"/>
                <w:b/>
                <w:bCs/>
                <w:color w:val="000000"/>
                <w:sz w:val="20"/>
                <w:szCs w:val="20"/>
              </w:rPr>
            </w:pPr>
            <w:r w:rsidRPr="00962957">
              <w:rPr>
                <w:rFonts w:ascii="Calibri" w:hAnsi="Calibri" w:cs="Calibri"/>
                <w:b/>
                <w:bCs/>
                <w:color w:val="000000"/>
                <w:sz w:val="20"/>
                <w:szCs w:val="20"/>
              </w:rPr>
              <w:t>Activity</w:t>
            </w:r>
          </w:p>
        </w:tc>
        <w:tc>
          <w:tcPr>
            <w:tcW w:w="172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1FD239FB"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Managerial</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5F071385"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Technical</w:t>
            </w:r>
          </w:p>
        </w:tc>
        <w:tc>
          <w:tcPr>
            <w:tcW w:w="184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2D84BE24"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Clerical</w:t>
            </w:r>
          </w:p>
        </w:tc>
        <w:tc>
          <w:tcPr>
            <w:tcW w:w="228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587F4956"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Total</w:t>
            </w:r>
          </w:p>
        </w:tc>
      </w:tr>
      <w:tr w14:paraId="3C25166C" w14:textId="77777777" w:rsidTr="002F1765">
        <w:tblPrEx>
          <w:tblW w:w="9309" w:type="dxa"/>
          <w:tblCellMar>
            <w:left w:w="0" w:type="dxa"/>
            <w:right w:w="0" w:type="dxa"/>
          </w:tblCellMar>
          <w:tblLook w:val="04A0"/>
        </w:tblPrEx>
        <w:trPr>
          <w:gridAfter w:val="1"/>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34328FF0" w14:textId="77777777">
            <w:pPr>
              <w:rPr>
                <w:rFonts w:ascii="Calibri" w:hAnsi="Calibri" w:cs="Calibri"/>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12C8A828"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 xml:space="preserve">$94.54 </w:t>
            </w:r>
          </w:p>
        </w:tc>
        <w:tc>
          <w:tcPr>
            <w:tcW w:w="8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36E7C253"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per hour</w:t>
            </w:r>
          </w:p>
        </w:tc>
        <w:tc>
          <w:tcPr>
            <w:tcW w:w="88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7416C20A"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 xml:space="preserve">$80.50 </w:t>
            </w:r>
          </w:p>
        </w:tc>
        <w:tc>
          <w:tcPr>
            <w:tcW w:w="85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281EFC4F"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per hour</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47C23425"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 xml:space="preserve">$36.58 </w:t>
            </w:r>
          </w:p>
        </w:tc>
        <w:tc>
          <w:tcPr>
            <w:tcW w:w="8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00575A4B"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per hour</w:t>
            </w:r>
          </w:p>
        </w:tc>
        <w:tc>
          <w:tcPr>
            <w:tcW w:w="108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322FA379"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689F2396"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 </w:t>
            </w:r>
          </w:p>
        </w:tc>
      </w:tr>
      <w:tr w14:paraId="12142B6D" w14:textId="77777777" w:rsidTr="002F1765">
        <w:tblPrEx>
          <w:tblW w:w="9309" w:type="dxa"/>
          <w:tblCellMar>
            <w:left w:w="0" w:type="dxa"/>
            <w:right w:w="0" w:type="dxa"/>
          </w:tblCellMar>
          <w:tblLook w:val="04A0"/>
        </w:tblPrEx>
        <w:trPr>
          <w:gridAfter w:val="1"/>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75D9FA68" w14:textId="77777777">
            <w:pPr>
              <w:rPr>
                <w:rFonts w:ascii="Calibri" w:hAnsi="Calibri" w:cs="Calibri"/>
                <w:b/>
                <w:bCs/>
                <w:color w:val="000000"/>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46686B6E"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Hours</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2EEE3A59"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Cost</w:t>
            </w:r>
          </w:p>
        </w:tc>
        <w:tc>
          <w:tcPr>
            <w:tcW w:w="8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04412494"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Hours</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5224F6BD"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Cost</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6F1A9A9B"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Hours</w:t>
            </w:r>
          </w:p>
        </w:tc>
        <w:tc>
          <w:tcPr>
            <w:tcW w:w="8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6AAA265D"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Cost</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1C8EB9F2"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Hours</w:t>
            </w:r>
          </w:p>
        </w:tc>
        <w:tc>
          <w:tcPr>
            <w:tcW w:w="120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E2E3C" w:rsidRPr="00962957" w14:paraId="2A802B91" w14:textId="77777777">
            <w:pPr>
              <w:jc w:val="center"/>
              <w:rPr>
                <w:rFonts w:ascii="Calibri" w:hAnsi="Calibri" w:cs="Calibri"/>
                <w:b/>
                <w:bCs/>
                <w:color w:val="000000"/>
                <w:sz w:val="20"/>
                <w:szCs w:val="20"/>
              </w:rPr>
            </w:pPr>
            <w:r w:rsidRPr="00962957">
              <w:rPr>
                <w:rFonts w:ascii="Calibri" w:hAnsi="Calibri" w:cs="Calibri"/>
                <w:b/>
                <w:bCs/>
                <w:color w:val="000000"/>
                <w:sz w:val="20"/>
                <w:szCs w:val="20"/>
              </w:rPr>
              <w:t>Cost</w:t>
            </w:r>
          </w:p>
        </w:tc>
      </w:tr>
      <w:tr w14:paraId="1BF33A68" w14:textId="77777777" w:rsidTr="002F1765">
        <w:tblPrEx>
          <w:tblW w:w="9309" w:type="dxa"/>
          <w:tblCellMar>
            <w:left w:w="0" w:type="dxa"/>
            <w:right w:w="0" w:type="dxa"/>
          </w:tblCellMar>
          <w:tblLook w:val="04A0"/>
        </w:tblPrEx>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2AD2AE98" w14:textId="77777777">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6F80C752" w14:textId="77777777">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3A6B8748" w14:textId="77777777">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4A319D9D" w14:textId="77777777">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6C785C4F" w14:textId="77777777">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607A3F74" w14:textId="77777777">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E3C" w:rsidRPr="00962957" w14:paraId="4CE12F9D" w14:textId="77777777">
            <w:pPr>
              <w:rPr>
                <w:rFonts w:ascii="Calibri" w:hAnsi="Calibri" w:cs="Calibri"/>
                <w:b/>
                <w:bCs/>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7E2E3C" w:rsidRPr="00962957" w14:paraId="75EC7824" w14:textId="77777777">
            <w:pPr>
              <w:rPr>
                <w:rFonts w:ascii="Calibri" w:hAnsi="Calibri" w:cs="Calibri"/>
                <w:b/>
                <w:bCs/>
                <w:color w:val="000000"/>
                <w:sz w:val="20"/>
                <w:szCs w:val="20"/>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7E2E3C" w:rsidRPr="00962957" w14:paraId="0BCA02AE" w14:textId="77777777">
            <w:pPr>
              <w:rPr>
                <w:rFonts w:ascii="Calibri" w:hAnsi="Calibri" w:cs="Calibri"/>
                <w:b/>
                <w:bCs/>
                <w:color w:val="000000"/>
                <w:sz w:val="20"/>
                <w:szCs w:val="20"/>
              </w:rPr>
            </w:pPr>
          </w:p>
        </w:tc>
        <w:tc>
          <w:tcPr>
            <w:tcW w:w="0" w:type="auto"/>
            <w:tcBorders>
              <w:top w:val="nil"/>
              <w:left w:val="single" w:sz="4" w:space="0" w:color="auto"/>
              <w:bottom w:val="nil"/>
              <w:right w:val="nil"/>
            </w:tcBorders>
            <w:shd w:val="clear" w:color="auto" w:fill="auto"/>
            <w:noWrap/>
            <w:vAlign w:val="bottom"/>
            <w:hideMark/>
          </w:tcPr>
          <w:p w:rsidR="007E2E3C" w:rsidRPr="00962957" w14:paraId="5FD57B97" w14:textId="77777777">
            <w:pPr>
              <w:jc w:val="center"/>
              <w:rPr>
                <w:rFonts w:ascii="Calibri" w:hAnsi="Calibri" w:cs="Calibri"/>
                <w:b/>
                <w:bCs/>
                <w:color w:val="000000"/>
                <w:sz w:val="20"/>
                <w:szCs w:val="20"/>
              </w:rPr>
            </w:pPr>
          </w:p>
        </w:tc>
      </w:tr>
      <w:tr w14:paraId="7809D2D9" w14:textId="77777777" w:rsidTr="002F1765">
        <w:tblPrEx>
          <w:tblW w:w="9309" w:type="dxa"/>
          <w:tblCellMar>
            <w:left w:w="0" w:type="dxa"/>
            <w:right w:w="0" w:type="dxa"/>
          </w:tblCellMar>
          <w:tblLook w:val="04A0"/>
        </w:tblPrEx>
        <w:trPr>
          <w:trHeight w:val="561"/>
        </w:trPr>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5D14667F" w14:textId="77777777">
            <w:pPr>
              <w:rPr>
                <w:rFonts w:ascii="Calibri" w:hAnsi="Calibri" w:cs="Calibri"/>
                <w:color w:val="000000"/>
                <w:sz w:val="20"/>
                <w:szCs w:val="20"/>
              </w:rPr>
            </w:pPr>
            <w:r w:rsidRPr="00962957">
              <w:rPr>
                <w:rFonts w:ascii="Calibri" w:hAnsi="Calibri" w:cs="Calibri"/>
                <w:color w:val="000000"/>
                <w:sz w:val="20"/>
                <w:szCs w:val="20"/>
              </w:rPr>
              <w:t>Recordkeeping, per allegation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72ACF13F" w14:textId="7AA492B9">
            <w:pPr>
              <w:jc w:val="center"/>
              <w:rPr>
                <w:rFonts w:ascii="Calibri" w:hAnsi="Calibri" w:cs="Calibri"/>
                <w:color w:val="000000"/>
                <w:sz w:val="20"/>
                <w:szCs w:val="20"/>
              </w:rPr>
            </w:pPr>
            <w:r w:rsidRPr="00962957">
              <w:rPr>
                <w:rFonts w:ascii="Calibri" w:hAnsi="Calibri" w:cs="Calibri"/>
                <w:color w:val="000000"/>
                <w:sz w:val="20"/>
                <w:szCs w:val="20"/>
              </w:rPr>
              <w:t>3.5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FAFF94B" w14:textId="69057C27">
            <w:pPr>
              <w:jc w:val="center"/>
              <w:rPr>
                <w:rFonts w:ascii="Calibri" w:hAnsi="Calibri" w:cs="Calibri"/>
                <w:color w:val="000000"/>
                <w:sz w:val="20"/>
                <w:szCs w:val="20"/>
              </w:rPr>
            </w:pPr>
            <w:r w:rsidRPr="644F5DE8">
              <w:rPr>
                <w:rFonts w:ascii="Calibri" w:hAnsi="Calibri" w:cs="Calibri"/>
                <w:color w:val="000000" w:themeColor="text1"/>
                <w:sz w:val="20"/>
                <w:szCs w:val="20"/>
              </w:rPr>
              <w:t>$312.06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4CFB9261" w14:textId="3B2AFE3D">
            <w:pPr>
              <w:jc w:val="center"/>
              <w:rPr>
                <w:rFonts w:ascii="Calibri" w:hAnsi="Calibri" w:cs="Calibri"/>
                <w:color w:val="000000"/>
                <w:sz w:val="20"/>
                <w:szCs w:val="20"/>
              </w:rPr>
            </w:pPr>
            <w:r w:rsidRPr="00962957">
              <w:rPr>
                <w:rFonts w:ascii="Calibri" w:hAnsi="Calibri" w:cs="Calibri"/>
                <w:color w:val="000000"/>
                <w:sz w:val="20"/>
                <w:szCs w:val="20"/>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A2B6EE0" w14:textId="1278CF05">
            <w:pPr>
              <w:jc w:val="center"/>
              <w:rPr>
                <w:rFonts w:ascii="Calibri" w:hAnsi="Calibri" w:cs="Calibri"/>
                <w:color w:val="000000"/>
                <w:sz w:val="20"/>
                <w:szCs w:val="20"/>
              </w:rPr>
            </w:pPr>
            <w:r w:rsidRPr="00962957">
              <w:rPr>
                <w:rFonts w:ascii="Calibri" w:hAnsi="Calibri" w:cs="Calibri"/>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1F4966D6" w14:textId="6B5016CC">
            <w:pPr>
              <w:jc w:val="center"/>
              <w:rPr>
                <w:rFonts w:ascii="Calibri" w:hAnsi="Calibri" w:cs="Calibri"/>
                <w:color w:val="000000"/>
                <w:sz w:val="20"/>
                <w:szCs w:val="20"/>
              </w:rPr>
            </w:pPr>
            <w:r w:rsidRPr="00962957">
              <w:rPr>
                <w:rFonts w:ascii="Calibri" w:hAnsi="Calibri" w:cs="Calibri"/>
                <w:color w:val="000000"/>
                <w:sz w:val="20"/>
                <w:szCs w:val="20"/>
              </w:rPr>
              <w:t>0.5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5DFAE2F4" w14:textId="7A87825F">
            <w:pPr>
              <w:jc w:val="center"/>
              <w:rPr>
                <w:rFonts w:ascii="Calibri" w:hAnsi="Calibri" w:cs="Calibri"/>
                <w:color w:val="000000"/>
                <w:sz w:val="20"/>
                <w:szCs w:val="20"/>
              </w:rPr>
            </w:pPr>
            <w:r w:rsidRPr="644F5DE8">
              <w:rPr>
                <w:rFonts w:ascii="Calibri" w:hAnsi="Calibri" w:cs="Calibri"/>
                <w:color w:val="000000" w:themeColor="text1"/>
                <w:sz w:val="20"/>
                <w:szCs w:val="20"/>
              </w:rPr>
              <w:t>$21.14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7CE181DB" w14:textId="3BA176DD">
            <w:pPr>
              <w:jc w:val="center"/>
              <w:rPr>
                <w:rFonts w:ascii="Calibri" w:hAnsi="Calibri" w:cs="Calibri"/>
                <w:b/>
                <w:bCs/>
                <w:color w:val="000000"/>
                <w:sz w:val="20"/>
                <w:szCs w:val="20"/>
              </w:rPr>
            </w:pPr>
            <w:r w:rsidRPr="00962957">
              <w:rPr>
                <w:rFonts w:ascii="Calibri" w:hAnsi="Calibri" w:cs="Calibri"/>
                <w:b/>
                <w:bCs/>
                <w:color w:val="000000"/>
                <w:sz w:val="20"/>
                <w:szCs w:val="20"/>
              </w:rPr>
              <w:t>4</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723F98E1" w14:textId="3FAABE0B">
            <w:pPr>
              <w:jc w:val="center"/>
              <w:rPr>
                <w:rFonts w:ascii="Calibri" w:hAnsi="Calibri" w:cs="Calibri"/>
                <w:b/>
                <w:bCs/>
                <w:color w:val="000000"/>
                <w:sz w:val="20"/>
                <w:szCs w:val="20"/>
              </w:rPr>
            </w:pPr>
            <w:r w:rsidRPr="644F5DE8">
              <w:rPr>
                <w:rFonts w:ascii="Calibri" w:hAnsi="Calibri" w:cs="Calibri"/>
                <w:b/>
                <w:color w:val="000000" w:themeColor="text1"/>
                <w:sz w:val="20"/>
                <w:szCs w:val="20"/>
              </w:rPr>
              <w:t>$3</w:t>
            </w:r>
            <w:r w:rsidRPr="644F5DE8">
              <w:rPr>
                <w:rFonts w:ascii="Calibri" w:hAnsi="Calibri" w:cs="Calibri"/>
                <w:b/>
                <w:bCs/>
                <w:color w:val="000000" w:themeColor="text1"/>
                <w:sz w:val="20"/>
                <w:szCs w:val="20"/>
              </w:rPr>
              <w:t>33.20</w:t>
            </w:r>
          </w:p>
        </w:tc>
        <w:tc>
          <w:tcPr>
            <w:tcW w:w="0" w:type="auto"/>
            <w:tcBorders>
              <w:left w:val="single" w:sz="4" w:space="0" w:color="auto"/>
            </w:tcBorders>
            <w:vAlign w:val="center"/>
            <w:hideMark/>
          </w:tcPr>
          <w:p w:rsidR="00452DD7" w:rsidRPr="00962957" w:rsidP="00452DD7" w14:paraId="0CD8E65A" w14:textId="77777777">
            <w:pPr>
              <w:rPr>
                <w:rFonts w:ascii="Calibri" w:hAnsi="Calibri" w:cs="Calibri"/>
                <w:sz w:val="20"/>
                <w:szCs w:val="20"/>
              </w:rPr>
            </w:pPr>
          </w:p>
        </w:tc>
      </w:tr>
      <w:tr w14:paraId="25E6B8B6" w14:textId="77777777" w:rsidTr="002F1765">
        <w:tblPrEx>
          <w:tblW w:w="9309" w:type="dxa"/>
          <w:tblCellMar>
            <w:left w:w="0" w:type="dxa"/>
            <w:right w:w="0" w:type="dxa"/>
          </w:tblCellMar>
          <w:tblLook w:val="04A0"/>
        </w:tblPrEx>
        <w:trPr>
          <w:trHeight w:val="561"/>
        </w:trPr>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2BEACBF7" w14:textId="77777777">
            <w:pPr>
              <w:rPr>
                <w:rFonts w:ascii="Calibri" w:hAnsi="Calibri" w:cs="Calibri"/>
                <w:color w:val="000000"/>
                <w:sz w:val="20"/>
                <w:szCs w:val="20"/>
              </w:rPr>
            </w:pPr>
            <w:r w:rsidRPr="00962957">
              <w:rPr>
                <w:rFonts w:ascii="Calibri" w:hAnsi="Calibri" w:cs="Calibri"/>
                <w:color w:val="000000"/>
                <w:sz w:val="20"/>
                <w:szCs w:val="20"/>
              </w:rPr>
              <w:t>Reporting, per report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99F8364" w14:textId="5E589135">
            <w:pPr>
              <w:jc w:val="center"/>
              <w:rPr>
                <w:rFonts w:ascii="Calibri" w:hAnsi="Calibri" w:cs="Calibri"/>
                <w:color w:val="000000"/>
                <w:sz w:val="20"/>
                <w:szCs w:val="20"/>
              </w:rPr>
            </w:pPr>
            <w:r w:rsidRPr="00962957">
              <w:rPr>
                <w:rFonts w:ascii="Calibri" w:hAnsi="Calibri" w:cs="Calibri"/>
                <w:color w:val="000000"/>
                <w:sz w:val="20"/>
                <w:szCs w:val="20"/>
              </w:rPr>
              <w:t>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27808A2B" w14:textId="144993ED">
            <w:pPr>
              <w:jc w:val="center"/>
              <w:rPr>
                <w:rFonts w:ascii="Calibri" w:hAnsi="Calibri" w:cs="Calibri"/>
                <w:color w:val="000000"/>
                <w:sz w:val="20"/>
                <w:szCs w:val="20"/>
              </w:rPr>
            </w:pPr>
            <w:r w:rsidRPr="644F5DE8">
              <w:rPr>
                <w:rFonts w:ascii="Calibri" w:hAnsi="Calibri" w:cs="Calibri"/>
                <w:color w:val="000000" w:themeColor="text1"/>
                <w:sz w:val="20"/>
                <w:szCs w:val="20"/>
              </w:rPr>
              <w:t>$445.80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09414A3F" w14:textId="30D7DA0B">
            <w:pPr>
              <w:jc w:val="center"/>
              <w:rPr>
                <w:rFonts w:ascii="Calibri" w:hAnsi="Calibri" w:cs="Calibri"/>
                <w:color w:val="000000"/>
                <w:sz w:val="20"/>
                <w:szCs w:val="20"/>
              </w:rPr>
            </w:pPr>
            <w:r w:rsidRPr="00962957">
              <w:rPr>
                <w:rFonts w:ascii="Calibri" w:hAnsi="Calibri" w:cs="Calibri"/>
                <w:color w:val="000000"/>
                <w:sz w:val="20"/>
                <w:szCs w:val="20"/>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28CA1653" w14:textId="65BC9C19">
            <w:pPr>
              <w:jc w:val="center"/>
              <w:rPr>
                <w:rFonts w:ascii="Calibri" w:hAnsi="Calibri" w:cs="Calibri"/>
                <w:color w:val="000000"/>
                <w:sz w:val="20"/>
                <w:szCs w:val="20"/>
              </w:rPr>
            </w:pPr>
            <w:r w:rsidRPr="644F5DE8">
              <w:rPr>
                <w:rFonts w:ascii="Calibri" w:hAnsi="Calibri" w:cs="Calibri"/>
                <w:color w:val="000000" w:themeColor="text1"/>
                <w:sz w:val="20"/>
                <w:szCs w:val="20"/>
              </w:rPr>
              <w:t>$167.09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BC733E9" w14:textId="6EAF1354">
            <w:pPr>
              <w:jc w:val="center"/>
              <w:rPr>
                <w:rFonts w:ascii="Calibri" w:hAnsi="Calibri" w:cs="Calibri"/>
                <w:color w:val="000000"/>
                <w:sz w:val="20"/>
                <w:szCs w:val="20"/>
              </w:rPr>
            </w:pPr>
            <w:r w:rsidRPr="00962957">
              <w:rPr>
                <w:rFonts w:ascii="Calibri" w:hAnsi="Calibri" w:cs="Calibri"/>
                <w:color w:val="000000"/>
                <w:sz w:val="20"/>
                <w:szCs w:val="20"/>
              </w:rPr>
              <w:t>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541F4F9B" w14:textId="0FBD6358">
            <w:pPr>
              <w:jc w:val="center"/>
              <w:rPr>
                <w:rFonts w:ascii="Calibri" w:hAnsi="Calibri" w:cs="Calibri"/>
                <w:color w:val="000000"/>
                <w:sz w:val="20"/>
                <w:szCs w:val="20"/>
              </w:rPr>
            </w:pPr>
            <w:r w:rsidRPr="644F5DE8">
              <w:rPr>
                <w:rFonts w:ascii="Calibri" w:hAnsi="Calibri" w:cs="Calibri"/>
                <w:color w:val="000000" w:themeColor="text1"/>
                <w:sz w:val="20"/>
                <w:szCs w:val="20"/>
              </w:rPr>
              <w:t>$42.28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503DBEC1" w14:textId="15294E1C">
            <w:pPr>
              <w:jc w:val="center"/>
              <w:rPr>
                <w:rFonts w:ascii="Calibri" w:hAnsi="Calibri" w:cs="Calibri"/>
                <w:b/>
                <w:bCs/>
                <w:color w:val="000000"/>
                <w:sz w:val="20"/>
                <w:szCs w:val="20"/>
              </w:rPr>
            </w:pPr>
            <w:r w:rsidRPr="00962957">
              <w:rPr>
                <w:rFonts w:ascii="Calibri" w:hAnsi="Calibri" w:cs="Calibri"/>
                <w:b/>
                <w:bCs/>
                <w:color w:val="000000"/>
                <w:sz w:val="20"/>
                <w:szCs w:val="20"/>
              </w:rPr>
              <w:t>8</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BCBDCF5" w14:textId="6CA652A6">
            <w:pPr>
              <w:jc w:val="center"/>
              <w:rPr>
                <w:rFonts w:ascii="Calibri" w:hAnsi="Calibri" w:cs="Calibri"/>
                <w:b/>
                <w:bCs/>
                <w:color w:val="000000"/>
                <w:sz w:val="20"/>
                <w:szCs w:val="20"/>
              </w:rPr>
            </w:pPr>
            <w:r w:rsidRPr="644F5DE8">
              <w:rPr>
                <w:rFonts w:ascii="Calibri" w:hAnsi="Calibri" w:cs="Calibri"/>
                <w:b/>
                <w:color w:val="000000" w:themeColor="text1"/>
                <w:sz w:val="20"/>
                <w:szCs w:val="20"/>
              </w:rPr>
              <w:t>$6</w:t>
            </w:r>
            <w:r w:rsidRPr="644F5DE8">
              <w:rPr>
                <w:rFonts w:ascii="Calibri" w:hAnsi="Calibri" w:cs="Calibri"/>
                <w:b/>
                <w:bCs/>
                <w:color w:val="000000" w:themeColor="text1"/>
                <w:sz w:val="20"/>
                <w:szCs w:val="20"/>
              </w:rPr>
              <w:t>55</w:t>
            </w:r>
            <w:r w:rsidRPr="644F5DE8">
              <w:rPr>
                <w:rFonts w:ascii="Calibri" w:hAnsi="Calibri" w:cs="Calibri"/>
                <w:b/>
                <w:color w:val="000000" w:themeColor="text1"/>
                <w:sz w:val="20"/>
                <w:szCs w:val="20"/>
              </w:rPr>
              <w:t>.</w:t>
            </w:r>
            <w:r w:rsidRPr="644F5DE8">
              <w:rPr>
                <w:rFonts w:ascii="Calibri" w:hAnsi="Calibri" w:cs="Calibri"/>
                <w:b/>
                <w:bCs/>
                <w:color w:val="000000" w:themeColor="text1"/>
                <w:sz w:val="20"/>
                <w:szCs w:val="20"/>
              </w:rPr>
              <w:t>16</w:t>
            </w:r>
          </w:p>
        </w:tc>
        <w:tc>
          <w:tcPr>
            <w:tcW w:w="0" w:type="auto"/>
            <w:tcBorders>
              <w:left w:val="single" w:sz="4" w:space="0" w:color="auto"/>
            </w:tcBorders>
            <w:vAlign w:val="center"/>
            <w:hideMark/>
          </w:tcPr>
          <w:p w:rsidR="00452DD7" w:rsidRPr="00962957" w:rsidP="00452DD7" w14:paraId="06E8A3F6" w14:textId="77777777">
            <w:pPr>
              <w:rPr>
                <w:rFonts w:ascii="Calibri" w:hAnsi="Calibri" w:cs="Calibri"/>
                <w:sz w:val="20"/>
                <w:szCs w:val="20"/>
              </w:rPr>
            </w:pPr>
          </w:p>
        </w:tc>
      </w:tr>
      <w:tr w14:paraId="4EB63EA2" w14:textId="77777777" w:rsidTr="002F1765">
        <w:tblPrEx>
          <w:tblW w:w="9309" w:type="dxa"/>
          <w:tblCellMar>
            <w:left w:w="0" w:type="dxa"/>
            <w:right w:w="0" w:type="dxa"/>
          </w:tblCellMar>
          <w:tblLook w:val="04A0"/>
        </w:tblPrEx>
        <w:trPr>
          <w:trHeight w:val="836"/>
        </w:trPr>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1F48D544" w14:textId="77777777">
            <w:pPr>
              <w:rPr>
                <w:rFonts w:ascii="Calibri" w:hAnsi="Calibri" w:cs="Calibri"/>
                <w:color w:val="000000"/>
                <w:sz w:val="20"/>
                <w:szCs w:val="20"/>
              </w:rPr>
            </w:pPr>
            <w:r w:rsidRPr="00962957">
              <w:rPr>
                <w:rFonts w:ascii="Calibri" w:hAnsi="Calibri" w:cs="Calibri"/>
                <w:color w:val="000000"/>
                <w:sz w:val="20"/>
                <w:szCs w:val="20"/>
              </w:rPr>
              <w:t>Federal Register notice review, per notice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482A5F8E" w14:textId="43BD9946">
            <w:pPr>
              <w:jc w:val="center"/>
              <w:rPr>
                <w:rFonts w:ascii="Calibri" w:hAnsi="Calibri" w:cs="Calibri"/>
                <w:color w:val="000000"/>
                <w:sz w:val="20"/>
                <w:szCs w:val="20"/>
              </w:rPr>
            </w:pPr>
            <w:r w:rsidRPr="00962957">
              <w:rPr>
                <w:rFonts w:ascii="Calibri" w:hAnsi="Calibri" w:cs="Calibri"/>
                <w:color w:val="000000"/>
                <w:sz w:val="20"/>
                <w:szCs w:val="20"/>
              </w:rPr>
              <w:t>0.25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1CA099DD" w14:textId="5BADECB8">
            <w:pPr>
              <w:jc w:val="center"/>
              <w:rPr>
                <w:rFonts w:ascii="Calibri" w:hAnsi="Calibri" w:cs="Calibri"/>
                <w:color w:val="000000"/>
                <w:sz w:val="20"/>
                <w:szCs w:val="20"/>
              </w:rPr>
            </w:pPr>
            <w:r w:rsidRPr="644F5DE8">
              <w:rPr>
                <w:rFonts w:ascii="Calibri" w:hAnsi="Calibri" w:cs="Calibri"/>
                <w:color w:val="000000" w:themeColor="text1"/>
                <w:sz w:val="20"/>
                <w:szCs w:val="20"/>
              </w:rPr>
              <w:t>$22.29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583B6D81" w14:textId="3A5F23F7">
            <w:pPr>
              <w:jc w:val="center"/>
              <w:rPr>
                <w:rFonts w:ascii="Calibri" w:hAnsi="Calibri" w:cs="Calibri"/>
                <w:color w:val="000000"/>
                <w:sz w:val="20"/>
                <w:szCs w:val="20"/>
              </w:rPr>
            </w:pPr>
            <w:r w:rsidRPr="00962957">
              <w:rPr>
                <w:rFonts w:ascii="Calibri" w:hAnsi="Calibri" w:cs="Calibri"/>
                <w:color w:val="000000"/>
                <w:sz w:val="20"/>
                <w:szCs w:val="20"/>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7AE4CCDE" w14:textId="6F98EEE6">
            <w:pPr>
              <w:jc w:val="center"/>
              <w:rPr>
                <w:rFonts w:ascii="Calibri" w:hAnsi="Calibri" w:cs="Calibri"/>
                <w:color w:val="000000"/>
                <w:sz w:val="20"/>
                <w:szCs w:val="20"/>
              </w:rPr>
            </w:pPr>
            <w:r w:rsidRPr="00962957">
              <w:rPr>
                <w:rFonts w:ascii="Calibri" w:hAnsi="Calibri" w:cs="Calibri"/>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36946D24" w14:textId="0DD1A22B">
            <w:pPr>
              <w:jc w:val="center"/>
              <w:rPr>
                <w:rFonts w:ascii="Calibri" w:hAnsi="Calibri" w:cs="Calibri"/>
                <w:color w:val="000000"/>
                <w:sz w:val="20"/>
                <w:szCs w:val="20"/>
              </w:rPr>
            </w:pPr>
            <w:r w:rsidRPr="00962957">
              <w:rPr>
                <w:rFonts w:ascii="Calibri" w:hAnsi="Calibri" w:cs="Calibri"/>
                <w:color w:val="000000"/>
                <w:sz w:val="20"/>
                <w:szCs w:val="20"/>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772BC7BB" w14:textId="5911D5C7">
            <w:pPr>
              <w:jc w:val="center"/>
              <w:rPr>
                <w:rFonts w:ascii="Calibri" w:hAnsi="Calibri" w:cs="Calibri"/>
                <w:color w:val="000000"/>
                <w:sz w:val="20"/>
                <w:szCs w:val="20"/>
              </w:rPr>
            </w:pPr>
            <w:r w:rsidRPr="00962957">
              <w:rPr>
                <w:rFonts w:ascii="Calibri" w:hAnsi="Calibri" w:cs="Calibri"/>
                <w:color w:val="000000"/>
                <w:sz w:val="20"/>
                <w:szCs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59A3FFA" w14:textId="4533AE10">
            <w:pPr>
              <w:jc w:val="center"/>
              <w:rPr>
                <w:rFonts w:ascii="Calibri" w:hAnsi="Calibri" w:cs="Calibri"/>
                <w:b/>
                <w:bCs/>
                <w:color w:val="000000"/>
                <w:sz w:val="20"/>
                <w:szCs w:val="20"/>
              </w:rPr>
            </w:pPr>
            <w:r w:rsidRPr="00962957">
              <w:rPr>
                <w:rFonts w:ascii="Calibri" w:hAnsi="Calibri" w:cs="Calibri"/>
                <w:b/>
                <w:bCs/>
                <w:color w:val="000000"/>
                <w:sz w:val="20"/>
                <w:szCs w:val="20"/>
              </w:rPr>
              <w:t>0.25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DD7" w:rsidRPr="00962957" w:rsidP="00452DD7" w14:paraId="69953B26" w14:textId="6AA97FB1">
            <w:pPr>
              <w:jc w:val="center"/>
              <w:rPr>
                <w:rFonts w:ascii="Calibri" w:hAnsi="Calibri" w:cs="Calibri"/>
                <w:b/>
                <w:bCs/>
                <w:color w:val="000000"/>
                <w:sz w:val="20"/>
                <w:szCs w:val="20"/>
              </w:rPr>
            </w:pPr>
            <w:r w:rsidRPr="644F5DE8">
              <w:rPr>
                <w:rFonts w:ascii="Calibri" w:hAnsi="Calibri" w:cs="Calibri"/>
                <w:b/>
                <w:color w:val="000000" w:themeColor="text1"/>
                <w:sz w:val="20"/>
                <w:szCs w:val="20"/>
              </w:rPr>
              <w:t>$2</w:t>
            </w:r>
            <w:r w:rsidRPr="644F5DE8">
              <w:rPr>
                <w:rFonts w:ascii="Calibri" w:hAnsi="Calibri" w:cs="Calibri"/>
                <w:b/>
                <w:bCs/>
                <w:color w:val="000000" w:themeColor="text1"/>
                <w:sz w:val="20"/>
                <w:szCs w:val="20"/>
              </w:rPr>
              <w:t>2</w:t>
            </w:r>
            <w:r w:rsidRPr="644F5DE8">
              <w:rPr>
                <w:rFonts w:ascii="Calibri" w:hAnsi="Calibri" w:cs="Calibri"/>
                <w:b/>
                <w:color w:val="000000" w:themeColor="text1"/>
                <w:sz w:val="20"/>
                <w:szCs w:val="20"/>
              </w:rPr>
              <w:t>.</w:t>
            </w:r>
            <w:r w:rsidRPr="644F5DE8">
              <w:rPr>
                <w:rFonts w:ascii="Calibri" w:hAnsi="Calibri" w:cs="Calibri"/>
                <w:b/>
                <w:bCs/>
                <w:color w:val="000000" w:themeColor="text1"/>
                <w:sz w:val="20"/>
                <w:szCs w:val="20"/>
              </w:rPr>
              <w:t>29</w:t>
            </w:r>
          </w:p>
        </w:tc>
        <w:tc>
          <w:tcPr>
            <w:tcW w:w="0" w:type="auto"/>
            <w:tcBorders>
              <w:left w:val="single" w:sz="4" w:space="0" w:color="auto"/>
            </w:tcBorders>
            <w:vAlign w:val="center"/>
            <w:hideMark/>
          </w:tcPr>
          <w:p w:rsidR="00452DD7" w:rsidRPr="00962957" w:rsidP="00452DD7" w14:paraId="1D0B1F23" w14:textId="77777777">
            <w:pPr>
              <w:rPr>
                <w:rFonts w:ascii="Calibri" w:hAnsi="Calibri" w:cs="Calibri"/>
                <w:sz w:val="20"/>
                <w:szCs w:val="20"/>
              </w:rPr>
            </w:pPr>
          </w:p>
        </w:tc>
      </w:tr>
    </w:tbl>
    <w:p w:rsidR="007E2E3C" w:rsidRPr="00962957" w:rsidP="0083067A" w14:paraId="408D9A2E" w14:textId="77777777">
      <w:pPr>
        <w:numPr>
          <w:ilvl w:val="12"/>
          <w:numId w:val="0"/>
        </w:numPr>
        <w:spacing w:after="0"/>
        <w:rPr>
          <w:rFonts w:ascii="Calibri" w:hAnsi="Calibri" w:cs="Calibri"/>
          <w:szCs w:val="24"/>
        </w:rPr>
      </w:pPr>
    </w:p>
    <w:p w:rsidR="00452DD7" w:rsidRPr="001843C5" w:rsidP="001843C5" w14:paraId="2E85CDD8" w14:textId="54C2A5B8">
      <w:pPr>
        <w:rPr>
          <w:rFonts w:ascii="Calibri" w:hAnsi="Calibri" w:cs="Calibri"/>
        </w:rPr>
      </w:pPr>
      <w:r w:rsidRPr="10B82CF0">
        <w:rPr>
          <w:rFonts w:ascii="Calibri" w:hAnsi="Calibri" w:cs="Calibri"/>
        </w:rPr>
        <w:t xml:space="preserve">The unit burden for recordkeeping is multiplied by the total number of allegations. Total annual recordkeeping burden is </w:t>
      </w:r>
      <w:r w:rsidRPr="10B82CF0" w:rsidR="4C831237">
        <w:rPr>
          <w:rFonts w:ascii="Calibri" w:hAnsi="Calibri" w:cs="Calibri"/>
        </w:rPr>
        <w:t>5</w:t>
      </w:r>
      <w:r w:rsidRPr="10B82CF0" w:rsidR="2B860F30">
        <w:rPr>
          <w:rFonts w:ascii="Calibri" w:hAnsi="Calibri" w:cs="Calibri"/>
        </w:rPr>
        <w:t>9</w:t>
      </w:r>
      <w:r w:rsidRPr="10B82CF0" w:rsidR="09296C7E">
        <w:rPr>
          <w:rFonts w:ascii="Calibri" w:hAnsi="Calibri" w:cs="Calibri"/>
        </w:rPr>
        <w:t>,</w:t>
      </w:r>
      <w:r w:rsidRPr="10B82CF0" w:rsidR="4922C617">
        <w:rPr>
          <w:rFonts w:ascii="Calibri" w:hAnsi="Calibri" w:cs="Calibri"/>
        </w:rPr>
        <w:t>033</w:t>
      </w:r>
      <w:r w:rsidRPr="10B82CF0" w:rsidR="2B860F30">
        <w:rPr>
          <w:rFonts w:ascii="Calibri" w:hAnsi="Calibri" w:cs="Calibri"/>
        </w:rPr>
        <w:t xml:space="preserve"> </w:t>
      </w:r>
      <w:r w:rsidRPr="10B82CF0">
        <w:rPr>
          <w:rFonts w:ascii="Calibri" w:hAnsi="Calibri" w:cs="Calibri"/>
        </w:rPr>
        <w:t>hours. The unit cost for recordkeeping of $333 is multiplied by the average annual number of allegations per year (5,965) and the total annual recordkeeping cost is $</w:t>
      </w:r>
      <w:r w:rsidRPr="10B82CF0" w:rsidR="1C6EDA63">
        <w:rPr>
          <w:rFonts w:ascii="Calibri" w:hAnsi="Calibri" w:cs="Calibri"/>
        </w:rPr>
        <w:t>5</w:t>
      </w:r>
      <w:r w:rsidRPr="10B82CF0" w:rsidR="55C892D4">
        <w:rPr>
          <w:rFonts w:ascii="Calibri" w:hAnsi="Calibri" w:cs="Calibri"/>
        </w:rPr>
        <w:t>,114</w:t>
      </w:r>
      <w:r w:rsidRPr="10B82CF0" w:rsidR="2B5E6F97">
        <w:rPr>
          <w:rFonts w:ascii="Calibri" w:hAnsi="Calibri" w:cs="Calibri"/>
        </w:rPr>
        <w:t>,</w:t>
      </w:r>
      <w:r w:rsidRPr="10B82CF0" w:rsidR="6A9DF51C">
        <w:rPr>
          <w:rFonts w:ascii="Calibri" w:hAnsi="Calibri" w:cs="Calibri"/>
        </w:rPr>
        <w:t>208</w:t>
      </w:r>
      <w:r w:rsidRPr="10B82CF0" w:rsidR="7DDFECA8">
        <w:rPr>
          <w:rFonts w:ascii="Calibri" w:hAnsi="Calibri" w:cs="Calibri"/>
        </w:rPr>
        <w:t xml:space="preserve"> </w:t>
      </w:r>
      <w:r w:rsidRPr="10B82CF0">
        <w:rPr>
          <w:rFonts w:ascii="Calibri" w:hAnsi="Calibri" w:cs="Calibri"/>
        </w:rPr>
        <w:t>shown in Table 7.</w:t>
      </w:r>
      <w:bookmarkStart w:id="28" w:name="_Ref96091723"/>
    </w:p>
    <w:p w:rsidR="00AA62CF" w:rsidRPr="00AA62CF" w:rsidP="00AA62CF" w14:paraId="2F515D46" w14:textId="77777777">
      <w:pPr>
        <w:spacing w:after="0"/>
      </w:pPr>
    </w:p>
    <w:p w:rsidR="007E2E3C" w:rsidRPr="00962957" w:rsidP="00AA62CF" w14:paraId="7C3D071A" w14:textId="42ED8EA3">
      <w:pPr>
        <w:pStyle w:val="Caption"/>
        <w:spacing w:before="0"/>
        <w:outlineLvl w:val="9"/>
        <w:rPr>
          <w:rFonts w:ascii="Calibri" w:hAnsi="Calibri" w:cs="Calibri"/>
        </w:rPr>
      </w:pPr>
      <w:r w:rsidRPr="00962957">
        <w:rPr>
          <w:rFonts w:ascii="Calibri" w:hAnsi="Calibri" w:cs="Calibri"/>
        </w:rPr>
        <w:t xml:space="preserve">Table </w:t>
      </w:r>
      <w:bookmarkEnd w:id="28"/>
      <w:r w:rsidR="00452DD7">
        <w:rPr>
          <w:rFonts w:ascii="Calibri" w:hAnsi="Calibri" w:cs="Calibri"/>
        </w:rPr>
        <w:t>7</w:t>
      </w:r>
      <w:r w:rsidRPr="00962957">
        <w:rPr>
          <w:rFonts w:ascii="Calibri" w:hAnsi="Calibri" w:cs="Calibri"/>
        </w:rPr>
        <w:t>. Summary of Total Annual Respondent Burden and Cost for TSCA Section 8(c) (</w:t>
      </w:r>
      <w:r w:rsidRPr="00962957" w:rsidR="00452DD7">
        <w:rPr>
          <w:rFonts w:ascii="Calibri" w:hAnsi="Calibri" w:cs="Calibri"/>
        </w:rPr>
        <w:t>202</w:t>
      </w:r>
      <w:r w:rsidR="00452DD7">
        <w:rPr>
          <w:rFonts w:ascii="Calibri" w:hAnsi="Calibri" w:cs="Calibri"/>
        </w:rPr>
        <w:t>4</w:t>
      </w:r>
      <w:r w:rsidRPr="00962957">
        <w:rPr>
          <w:rFonts w:ascii="Calibri" w:hAnsi="Calibri" w:cs="Calibri"/>
        </w:rPr>
        <w:t>$)</w:t>
      </w:r>
    </w:p>
    <w:tbl>
      <w:tblPr>
        <w:tblStyle w:val="TableGrid"/>
        <w:tblW w:w="9445" w:type="dxa"/>
        <w:tblLook w:val="04A0"/>
      </w:tblPr>
      <w:tblGrid>
        <w:gridCol w:w="1834"/>
        <w:gridCol w:w="976"/>
        <w:gridCol w:w="681"/>
        <w:gridCol w:w="672"/>
        <w:gridCol w:w="2248"/>
        <w:gridCol w:w="816"/>
        <w:gridCol w:w="910"/>
        <w:gridCol w:w="1308"/>
      </w:tblGrid>
      <w:tr w14:paraId="34A45C90" w14:textId="77777777" w:rsidTr="10B82CF0">
        <w:tblPrEx>
          <w:tblW w:w="9445" w:type="dxa"/>
          <w:tblLook w:val="04A0"/>
        </w:tblPrEx>
        <w:trPr>
          <w:trHeight w:val="1272"/>
        </w:trPr>
        <w:tc>
          <w:tcPr>
            <w:tcW w:w="0" w:type="auto"/>
            <w:shd w:val="clear" w:color="auto" w:fill="D9D9D9" w:themeFill="accent6" w:themeFillShade="D9"/>
            <w:hideMark/>
          </w:tcPr>
          <w:p w:rsidR="0083067A" w14:paraId="6AFC73E6" w14:textId="77777777">
            <w:pPr>
              <w:spacing w:after="0"/>
              <w:jc w:val="center"/>
              <w:rPr>
                <w:rFonts w:ascii="Calibri" w:eastAsia="Times New Roman" w:hAnsi="Calibri" w:cs="Calibri"/>
                <w:b/>
                <w:bCs/>
                <w:color w:val="000000"/>
                <w:sz w:val="20"/>
                <w:szCs w:val="20"/>
              </w:rPr>
            </w:pPr>
          </w:p>
          <w:p w:rsidR="0083067A" w14:paraId="34F02D12" w14:textId="77777777">
            <w:pPr>
              <w:spacing w:after="0"/>
              <w:jc w:val="center"/>
              <w:rPr>
                <w:rFonts w:ascii="Calibri" w:eastAsia="Times New Roman" w:hAnsi="Calibri" w:cs="Calibri"/>
                <w:b/>
                <w:bCs/>
                <w:color w:val="000000"/>
                <w:sz w:val="20"/>
                <w:szCs w:val="20"/>
              </w:rPr>
            </w:pPr>
          </w:p>
          <w:p w:rsidR="007E2E3C" w:rsidRPr="00962957" w14:paraId="4C467332"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Activity</w:t>
            </w:r>
          </w:p>
        </w:tc>
        <w:tc>
          <w:tcPr>
            <w:tcW w:w="0" w:type="auto"/>
            <w:shd w:val="clear" w:color="auto" w:fill="D9D9D9" w:themeFill="accent6" w:themeFillShade="D9"/>
            <w:hideMark/>
          </w:tcPr>
          <w:p w:rsidR="0083067A" w14:paraId="30A96AB1" w14:textId="77777777">
            <w:pPr>
              <w:spacing w:after="0"/>
              <w:jc w:val="center"/>
              <w:rPr>
                <w:rFonts w:ascii="Calibri" w:eastAsia="Times New Roman" w:hAnsi="Calibri" w:cs="Calibri"/>
                <w:b/>
                <w:bCs/>
                <w:color w:val="000000"/>
                <w:sz w:val="20"/>
                <w:szCs w:val="20"/>
              </w:rPr>
            </w:pPr>
          </w:p>
          <w:p w:rsidR="007E2E3C" w:rsidRPr="00962957" w:rsidP="0083067A" w14:paraId="45BE1DA8"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Unit Burden Hours</w:t>
            </w:r>
          </w:p>
        </w:tc>
        <w:tc>
          <w:tcPr>
            <w:tcW w:w="0" w:type="auto"/>
            <w:shd w:val="clear" w:color="auto" w:fill="D9D9D9" w:themeFill="accent6" w:themeFillShade="D9"/>
            <w:hideMark/>
          </w:tcPr>
          <w:p w:rsidR="0083067A" w14:paraId="6C12CA11" w14:textId="77777777">
            <w:pPr>
              <w:spacing w:after="0"/>
              <w:jc w:val="center"/>
              <w:rPr>
                <w:rFonts w:ascii="Calibri" w:eastAsia="Times New Roman" w:hAnsi="Calibri" w:cs="Calibri"/>
                <w:b/>
                <w:bCs/>
                <w:color w:val="000000"/>
                <w:sz w:val="20"/>
                <w:szCs w:val="20"/>
              </w:rPr>
            </w:pPr>
          </w:p>
          <w:p w:rsidR="007E2E3C" w:rsidRPr="00962957" w14:paraId="29847D5D"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Unit Cost</w:t>
            </w:r>
          </w:p>
        </w:tc>
        <w:tc>
          <w:tcPr>
            <w:tcW w:w="0" w:type="auto"/>
            <w:gridSpan w:val="2"/>
            <w:shd w:val="clear" w:color="auto" w:fill="D9D9D9" w:themeFill="accent6" w:themeFillShade="D9"/>
            <w:noWrap/>
            <w:hideMark/>
          </w:tcPr>
          <w:p w:rsidR="0083067A" w14:paraId="2DA859C8" w14:textId="77777777">
            <w:pPr>
              <w:spacing w:after="0"/>
              <w:jc w:val="center"/>
              <w:rPr>
                <w:rFonts w:ascii="Calibri" w:eastAsia="Times New Roman" w:hAnsi="Calibri" w:cs="Calibri"/>
                <w:b/>
                <w:bCs/>
                <w:color w:val="000000"/>
                <w:sz w:val="20"/>
                <w:szCs w:val="20"/>
              </w:rPr>
            </w:pPr>
          </w:p>
          <w:p w:rsidR="0083067A" w14:paraId="5BB7C799" w14:textId="77777777">
            <w:pPr>
              <w:spacing w:after="0"/>
              <w:jc w:val="center"/>
              <w:rPr>
                <w:rFonts w:ascii="Calibri" w:eastAsia="Times New Roman" w:hAnsi="Calibri" w:cs="Calibri"/>
                <w:b/>
                <w:bCs/>
                <w:color w:val="000000"/>
                <w:sz w:val="20"/>
                <w:szCs w:val="20"/>
              </w:rPr>
            </w:pPr>
          </w:p>
          <w:p w:rsidR="007E2E3C" w:rsidRPr="00962957" w14:paraId="5ACA2FA0"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Applicable # and Unit</w:t>
            </w:r>
          </w:p>
        </w:tc>
        <w:tc>
          <w:tcPr>
            <w:tcW w:w="0" w:type="auto"/>
            <w:shd w:val="clear" w:color="auto" w:fill="D9D9D9" w:themeFill="accent6" w:themeFillShade="D9"/>
            <w:noWrap/>
            <w:hideMark/>
          </w:tcPr>
          <w:p w:rsidR="0083067A" w14:paraId="7032F289" w14:textId="77777777">
            <w:pPr>
              <w:spacing w:after="0"/>
              <w:jc w:val="center"/>
              <w:rPr>
                <w:rFonts w:ascii="Calibri" w:eastAsia="Times New Roman" w:hAnsi="Calibri" w:cs="Calibri"/>
                <w:b/>
                <w:bCs/>
                <w:color w:val="000000"/>
                <w:sz w:val="20"/>
                <w:szCs w:val="20"/>
              </w:rPr>
            </w:pPr>
          </w:p>
          <w:p w:rsidR="0083067A" w14:paraId="2F347BE6" w14:textId="77777777">
            <w:pPr>
              <w:spacing w:after="0"/>
              <w:jc w:val="center"/>
              <w:rPr>
                <w:rFonts w:ascii="Calibri" w:eastAsia="Times New Roman" w:hAnsi="Calibri" w:cs="Calibri"/>
                <w:b/>
                <w:bCs/>
                <w:color w:val="000000"/>
                <w:sz w:val="20"/>
                <w:szCs w:val="20"/>
              </w:rPr>
            </w:pPr>
          </w:p>
          <w:p w:rsidR="007E2E3C" w:rsidRPr="00962957" w14:paraId="1991FAF9"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Firms</w:t>
            </w:r>
          </w:p>
        </w:tc>
        <w:tc>
          <w:tcPr>
            <w:tcW w:w="0" w:type="auto"/>
            <w:shd w:val="clear" w:color="auto" w:fill="D9D9D9" w:themeFill="accent6" w:themeFillShade="D9"/>
            <w:hideMark/>
          </w:tcPr>
          <w:p w:rsidR="0083067A" w14:paraId="11F79B2A" w14:textId="77777777">
            <w:pPr>
              <w:spacing w:after="0"/>
              <w:jc w:val="center"/>
              <w:rPr>
                <w:rFonts w:ascii="Calibri" w:eastAsia="Times New Roman" w:hAnsi="Calibri" w:cs="Calibri"/>
                <w:b/>
                <w:bCs/>
                <w:color w:val="000000"/>
                <w:sz w:val="20"/>
                <w:szCs w:val="20"/>
              </w:rPr>
            </w:pPr>
          </w:p>
          <w:p w:rsidR="0083067A" w14:paraId="51D728BE" w14:textId="77777777">
            <w:pPr>
              <w:spacing w:after="0"/>
              <w:jc w:val="center"/>
              <w:rPr>
                <w:rFonts w:ascii="Calibri" w:eastAsia="Times New Roman" w:hAnsi="Calibri" w:cs="Calibri"/>
                <w:b/>
                <w:bCs/>
                <w:color w:val="000000"/>
                <w:sz w:val="20"/>
                <w:szCs w:val="20"/>
              </w:rPr>
            </w:pPr>
          </w:p>
          <w:p w:rsidR="007E2E3C" w:rsidRPr="00962957" w14:paraId="1055E0E0"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Burden Hours</w:t>
            </w:r>
          </w:p>
        </w:tc>
        <w:tc>
          <w:tcPr>
            <w:tcW w:w="1308" w:type="dxa"/>
            <w:shd w:val="clear" w:color="auto" w:fill="D9D9D9" w:themeFill="accent6" w:themeFillShade="D9"/>
            <w:noWrap/>
            <w:hideMark/>
          </w:tcPr>
          <w:p w:rsidR="0083067A" w14:paraId="0ED01694" w14:textId="77777777">
            <w:pPr>
              <w:spacing w:after="0"/>
              <w:jc w:val="center"/>
              <w:rPr>
                <w:rFonts w:ascii="Calibri" w:eastAsia="Times New Roman" w:hAnsi="Calibri" w:cs="Calibri"/>
                <w:b/>
                <w:bCs/>
                <w:color w:val="000000"/>
                <w:sz w:val="20"/>
                <w:szCs w:val="20"/>
              </w:rPr>
            </w:pPr>
          </w:p>
          <w:p w:rsidR="0083067A" w14:paraId="52DABBC2" w14:textId="77777777">
            <w:pPr>
              <w:spacing w:after="0"/>
              <w:jc w:val="center"/>
              <w:rPr>
                <w:rFonts w:ascii="Calibri" w:eastAsia="Times New Roman" w:hAnsi="Calibri" w:cs="Calibri"/>
                <w:b/>
                <w:bCs/>
                <w:color w:val="000000"/>
                <w:sz w:val="20"/>
                <w:szCs w:val="20"/>
              </w:rPr>
            </w:pPr>
          </w:p>
          <w:p w:rsidR="007E2E3C" w:rsidRPr="00962957" w14:paraId="49A0B09D" w14:textId="77777777">
            <w:pPr>
              <w:spacing w:after="0"/>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Cost</w:t>
            </w:r>
          </w:p>
        </w:tc>
      </w:tr>
      <w:tr w14:paraId="4DEF6C4A" w14:textId="77777777" w:rsidTr="10B82CF0">
        <w:tblPrEx>
          <w:tblW w:w="9445" w:type="dxa"/>
          <w:tblLook w:val="04A0"/>
        </w:tblPrEx>
        <w:trPr>
          <w:trHeight w:val="540"/>
        </w:trPr>
        <w:tc>
          <w:tcPr>
            <w:tcW w:w="0" w:type="auto"/>
            <w:hideMark/>
          </w:tcPr>
          <w:p w:rsidR="00452DD7" w:rsidRPr="00962957" w:rsidP="00452DD7" w14:paraId="207FDEE0" w14:textId="77777777">
            <w:pPr>
              <w:spacing w:after="0"/>
              <w:rPr>
                <w:rFonts w:ascii="Calibri" w:eastAsia="Times New Roman" w:hAnsi="Calibri" w:cs="Calibri"/>
                <w:color w:val="000000"/>
                <w:sz w:val="20"/>
                <w:szCs w:val="20"/>
              </w:rPr>
            </w:pPr>
            <w:r w:rsidRPr="00962957">
              <w:rPr>
                <w:rFonts w:ascii="Calibri" w:eastAsia="Times New Roman" w:hAnsi="Calibri" w:cs="Calibri"/>
                <w:color w:val="000000"/>
                <w:sz w:val="20"/>
                <w:szCs w:val="20"/>
              </w:rPr>
              <w:t>Recordkeeping, per allegation</w:t>
            </w:r>
          </w:p>
        </w:tc>
        <w:tc>
          <w:tcPr>
            <w:tcW w:w="0" w:type="auto"/>
            <w:hideMark/>
          </w:tcPr>
          <w:p w:rsidR="00452DD7" w:rsidRPr="00962957" w:rsidP="003B1852" w14:paraId="6495F3B1" w14:textId="107D7F18">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4</w:t>
            </w:r>
          </w:p>
        </w:tc>
        <w:tc>
          <w:tcPr>
            <w:tcW w:w="0" w:type="auto"/>
            <w:hideMark/>
          </w:tcPr>
          <w:p w:rsidR="00452DD7" w:rsidRPr="00962957" w:rsidP="003B1852" w14:paraId="67B2AF9B" w14:textId="398179D6">
            <w:pPr>
              <w:spacing w:after="0"/>
              <w:jc w:val="center"/>
              <w:rPr>
                <w:rFonts w:ascii="Calibri" w:eastAsia="Times New Roman" w:hAnsi="Calibri" w:cs="Calibri"/>
                <w:color w:val="000000"/>
                <w:sz w:val="20"/>
                <w:szCs w:val="20"/>
              </w:rPr>
            </w:pPr>
            <w:r w:rsidRPr="75BD9FF6">
              <w:rPr>
                <w:rFonts w:ascii="Calibri" w:eastAsia="Times New Roman" w:hAnsi="Calibri" w:cs="Calibri"/>
                <w:color w:val="000000" w:themeColor="text1"/>
                <w:sz w:val="20"/>
                <w:szCs w:val="20"/>
              </w:rPr>
              <w:t>$333</w:t>
            </w:r>
          </w:p>
        </w:tc>
        <w:tc>
          <w:tcPr>
            <w:tcW w:w="0" w:type="auto"/>
            <w:noWrap/>
            <w:hideMark/>
          </w:tcPr>
          <w:p w:rsidR="00452DD7" w:rsidRPr="00962957" w:rsidP="003B1852" w14:paraId="4D07B323" w14:textId="6340441A">
            <w:pPr>
              <w:spacing w:after="0"/>
              <w:jc w:val="center"/>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5</w:t>
            </w:r>
            <w:r w:rsidRPr="0331ECF8" w:rsidR="12E69FC7">
              <w:rPr>
                <w:rFonts w:ascii="Calibri" w:eastAsia="Times New Roman" w:hAnsi="Calibri" w:cs="Calibri"/>
                <w:color w:val="000000" w:themeColor="text1"/>
                <w:sz w:val="20"/>
                <w:szCs w:val="20"/>
              </w:rPr>
              <w:t>,</w:t>
            </w:r>
            <w:r w:rsidRPr="0331ECF8">
              <w:rPr>
                <w:rFonts w:ascii="Calibri" w:eastAsia="Times New Roman" w:hAnsi="Calibri" w:cs="Calibri"/>
                <w:color w:val="000000" w:themeColor="text1"/>
                <w:sz w:val="20"/>
                <w:szCs w:val="20"/>
              </w:rPr>
              <w:t>96</w:t>
            </w:r>
            <w:r w:rsidRPr="0331ECF8" w:rsidR="5D9B5133">
              <w:rPr>
                <w:rFonts w:ascii="Calibri" w:eastAsia="Times New Roman" w:hAnsi="Calibri" w:cs="Calibri"/>
                <w:color w:val="000000" w:themeColor="text1"/>
                <w:sz w:val="20"/>
                <w:szCs w:val="20"/>
              </w:rPr>
              <w:t>5</w:t>
            </w:r>
          </w:p>
        </w:tc>
        <w:tc>
          <w:tcPr>
            <w:tcW w:w="0" w:type="auto"/>
            <w:noWrap/>
            <w:hideMark/>
          </w:tcPr>
          <w:p w:rsidR="00452DD7" w:rsidRPr="00962957" w:rsidP="003B1852" w14:paraId="3B7019C9" w14:textId="26E9819C">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Allegations per year</w:t>
            </w:r>
          </w:p>
        </w:tc>
        <w:tc>
          <w:tcPr>
            <w:tcW w:w="0" w:type="auto"/>
            <w:noWrap/>
            <w:hideMark/>
          </w:tcPr>
          <w:p w:rsidR="00452DD7" w:rsidRPr="00962957" w:rsidP="003B1852" w14:paraId="569A0637" w14:textId="671DF45E">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0" w:type="auto"/>
            <w:noWrap/>
            <w:hideMark/>
          </w:tcPr>
          <w:p w:rsidR="00452DD7" w:rsidRPr="00962957" w:rsidP="00452DD7" w14:paraId="6DED4FC8" w14:textId="64440A50">
            <w:pPr>
              <w:spacing w:after="0"/>
              <w:jc w:val="right"/>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23</w:t>
            </w:r>
            <w:r w:rsidRPr="0331ECF8" w:rsidR="12F59D94">
              <w:rPr>
                <w:rFonts w:ascii="Calibri" w:eastAsia="Times New Roman" w:hAnsi="Calibri" w:cs="Calibri"/>
                <w:color w:val="000000" w:themeColor="text1"/>
                <w:sz w:val="20"/>
                <w:szCs w:val="20"/>
              </w:rPr>
              <w:t>,</w:t>
            </w:r>
            <w:r w:rsidRPr="0331ECF8">
              <w:rPr>
                <w:rFonts w:ascii="Calibri" w:eastAsia="Times New Roman" w:hAnsi="Calibri" w:cs="Calibri"/>
                <w:color w:val="000000" w:themeColor="text1"/>
                <w:sz w:val="20"/>
                <w:szCs w:val="20"/>
              </w:rPr>
              <w:t>8</w:t>
            </w:r>
            <w:r w:rsidRPr="0331ECF8" w:rsidR="01563F36">
              <w:rPr>
                <w:rFonts w:ascii="Calibri" w:eastAsia="Times New Roman" w:hAnsi="Calibri" w:cs="Calibri"/>
                <w:color w:val="000000" w:themeColor="text1"/>
                <w:sz w:val="20"/>
                <w:szCs w:val="20"/>
              </w:rPr>
              <w:t>60</w:t>
            </w:r>
          </w:p>
        </w:tc>
        <w:tc>
          <w:tcPr>
            <w:tcW w:w="1308" w:type="dxa"/>
            <w:noWrap/>
          </w:tcPr>
          <w:p w:rsidR="00452DD7" w:rsidRPr="00962957" w:rsidP="00452DD7" w14:paraId="441AA9C3" w14:textId="0C6D6A26">
            <w:pPr>
              <w:spacing w:after="0"/>
              <w:jc w:val="right"/>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w:t>
            </w:r>
            <w:r w:rsidRPr="0331ECF8" w:rsidR="7128DC2B">
              <w:rPr>
                <w:rFonts w:ascii="Calibri" w:eastAsia="Times New Roman" w:hAnsi="Calibri" w:cs="Calibri"/>
                <w:color w:val="000000" w:themeColor="text1"/>
                <w:sz w:val="20"/>
                <w:szCs w:val="20"/>
              </w:rPr>
              <w:t>1</w:t>
            </w:r>
            <w:r w:rsidRPr="0331ECF8" w:rsidR="10F321D9">
              <w:rPr>
                <w:rFonts w:ascii="Calibri" w:eastAsia="Times New Roman" w:hAnsi="Calibri" w:cs="Calibri"/>
                <w:color w:val="000000" w:themeColor="text1"/>
                <w:sz w:val="20"/>
                <w:szCs w:val="20"/>
              </w:rPr>
              <w:t>,</w:t>
            </w:r>
            <w:r w:rsidRPr="0331ECF8" w:rsidR="7128DC2B">
              <w:rPr>
                <w:rFonts w:ascii="Calibri" w:eastAsia="Times New Roman" w:hAnsi="Calibri" w:cs="Calibri"/>
                <w:color w:val="000000" w:themeColor="text1"/>
                <w:sz w:val="20"/>
                <w:szCs w:val="20"/>
              </w:rPr>
              <w:t>98</w:t>
            </w:r>
            <w:r w:rsidRPr="0331ECF8" w:rsidR="568F177C">
              <w:rPr>
                <w:rFonts w:ascii="Calibri" w:eastAsia="Times New Roman" w:hAnsi="Calibri" w:cs="Calibri"/>
                <w:color w:val="000000" w:themeColor="text1"/>
                <w:sz w:val="20"/>
                <w:szCs w:val="20"/>
              </w:rPr>
              <w:t>7,</w:t>
            </w:r>
            <w:r w:rsidRPr="0331ECF8" w:rsidR="7128DC2B">
              <w:rPr>
                <w:rFonts w:ascii="Calibri" w:eastAsia="Times New Roman" w:hAnsi="Calibri" w:cs="Calibri"/>
                <w:color w:val="000000" w:themeColor="text1"/>
                <w:sz w:val="20"/>
                <w:szCs w:val="20"/>
              </w:rPr>
              <w:t>5</w:t>
            </w:r>
            <w:r w:rsidRPr="0331ECF8" w:rsidR="6C9F11A8">
              <w:rPr>
                <w:rFonts w:ascii="Calibri" w:eastAsia="Times New Roman" w:hAnsi="Calibri" w:cs="Calibri"/>
                <w:color w:val="000000" w:themeColor="text1"/>
                <w:sz w:val="20"/>
                <w:szCs w:val="20"/>
              </w:rPr>
              <w:t>2</w:t>
            </w:r>
            <w:r w:rsidRPr="0331ECF8" w:rsidR="7128DC2B">
              <w:rPr>
                <w:rFonts w:ascii="Calibri" w:eastAsia="Times New Roman" w:hAnsi="Calibri" w:cs="Calibri"/>
                <w:color w:val="000000" w:themeColor="text1"/>
                <w:sz w:val="20"/>
                <w:szCs w:val="20"/>
              </w:rPr>
              <w:t>6</w:t>
            </w:r>
          </w:p>
        </w:tc>
      </w:tr>
      <w:tr w14:paraId="40A86C87" w14:textId="77777777" w:rsidTr="10B82CF0">
        <w:tblPrEx>
          <w:tblW w:w="9445" w:type="dxa"/>
          <w:tblLook w:val="04A0"/>
        </w:tblPrEx>
        <w:trPr>
          <w:trHeight w:val="540"/>
        </w:trPr>
        <w:tc>
          <w:tcPr>
            <w:tcW w:w="0" w:type="auto"/>
            <w:hideMark/>
          </w:tcPr>
          <w:p w:rsidR="00452DD7" w:rsidRPr="00962957" w:rsidP="00452DD7" w14:paraId="751A338A" w14:textId="77777777">
            <w:pPr>
              <w:spacing w:after="0"/>
              <w:rPr>
                <w:rFonts w:ascii="Calibri" w:eastAsia="Times New Roman" w:hAnsi="Calibri" w:cs="Calibri"/>
                <w:color w:val="000000"/>
                <w:sz w:val="20"/>
                <w:szCs w:val="20"/>
              </w:rPr>
            </w:pPr>
            <w:r w:rsidRPr="00962957">
              <w:rPr>
                <w:rFonts w:ascii="Calibri" w:eastAsia="Times New Roman" w:hAnsi="Calibri" w:cs="Calibri"/>
                <w:color w:val="000000"/>
                <w:sz w:val="20"/>
                <w:szCs w:val="20"/>
              </w:rPr>
              <w:t>Reporting, per report</w:t>
            </w:r>
          </w:p>
        </w:tc>
        <w:tc>
          <w:tcPr>
            <w:tcW w:w="0" w:type="auto"/>
            <w:hideMark/>
          </w:tcPr>
          <w:p w:rsidR="00452DD7" w:rsidRPr="00962957" w:rsidP="003B1852" w14:paraId="09381B1D" w14:textId="564C1A10">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8</w:t>
            </w:r>
          </w:p>
        </w:tc>
        <w:tc>
          <w:tcPr>
            <w:tcW w:w="0" w:type="auto"/>
            <w:hideMark/>
          </w:tcPr>
          <w:p w:rsidR="00452DD7" w:rsidRPr="00962957" w:rsidP="003B1852" w14:paraId="4874E341" w14:textId="288275F9">
            <w:pPr>
              <w:spacing w:after="0"/>
              <w:jc w:val="center"/>
              <w:rPr>
                <w:rFonts w:ascii="Calibri" w:eastAsia="Times New Roman" w:hAnsi="Calibri" w:cs="Calibri"/>
                <w:color w:val="000000"/>
                <w:sz w:val="20"/>
                <w:szCs w:val="20"/>
              </w:rPr>
            </w:pPr>
            <w:r w:rsidRPr="302E6446">
              <w:rPr>
                <w:rFonts w:ascii="Calibri" w:eastAsia="Times New Roman" w:hAnsi="Calibri" w:cs="Calibri"/>
                <w:color w:val="000000" w:themeColor="text1"/>
                <w:sz w:val="20"/>
                <w:szCs w:val="20"/>
              </w:rPr>
              <w:t>$6</w:t>
            </w:r>
            <w:r w:rsidRPr="75BD9FF6">
              <w:rPr>
                <w:rFonts w:ascii="Calibri" w:eastAsia="Times New Roman" w:hAnsi="Calibri" w:cs="Calibri"/>
                <w:color w:val="000000" w:themeColor="text1"/>
                <w:sz w:val="20"/>
                <w:szCs w:val="20"/>
              </w:rPr>
              <w:t>55</w:t>
            </w:r>
          </w:p>
        </w:tc>
        <w:tc>
          <w:tcPr>
            <w:tcW w:w="0" w:type="auto"/>
            <w:noWrap/>
            <w:hideMark/>
          </w:tcPr>
          <w:p w:rsidR="00452DD7" w:rsidRPr="00962957" w:rsidP="003B1852" w14:paraId="473F0589" w14:textId="5A847EE5">
            <w:pPr>
              <w:spacing w:after="0"/>
              <w:jc w:val="center"/>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16</w:t>
            </w:r>
            <w:r w:rsidRPr="0331ECF8" w:rsidR="1AEF25DB">
              <w:rPr>
                <w:rFonts w:ascii="Calibri" w:eastAsia="Times New Roman" w:hAnsi="Calibri" w:cs="Calibri"/>
                <w:color w:val="000000" w:themeColor="text1"/>
                <w:sz w:val="20"/>
                <w:szCs w:val="20"/>
              </w:rPr>
              <w:t>0</w:t>
            </w:r>
          </w:p>
        </w:tc>
        <w:tc>
          <w:tcPr>
            <w:tcW w:w="0" w:type="auto"/>
            <w:noWrap/>
            <w:hideMark/>
          </w:tcPr>
          <w:p w:rsidR="00452DD7" w:rsidRPr="00962957" w:rsidP="003B1852" w14:paraId="57C43933" w14:textId="0D59B809">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Reports per year</w:t>
            </w:r>
          </w:p>
        </w:tc>
        <w:tc>
          <w:tcPr>
            <w:tcW w:w="0" w:type="auto"/>
            <w:noWrap/>
            <w:hideMark/>
          </w:tcPr>
          <w:p w:rsidR="00452DD7" w:rsidRPr="00962957" w:rsidP="003B1852" w14:paraId="1DD350F7" w14:textId="45F5E977">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N/A</w:t>
            </w:r>
          </w:p>
        </w:tc>
        <w:tc>
          <w:tcPr>
            <w:tcW w:w="0" w:type="auto"/>
            <w:noWrap/>
            <w:hideMark/>
          </w:tcPr>
          <w:p w:rsidR="00452DD7" w:rsidRPr="00962957" w:rsidP="00452DD7" w14:paraId="4ED5DBBC" w14:textId="6A09DF5C">
            <w:pPr>
              <w:spacing w:after="0"/>
              <w:jc w:val="right"/>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1</w:t>
            </w:r>
            <w:r w:rsidRPr="0331ECF8" w:rsidR="3D1C66FD">
              <w:rPr>
                <w:rFonts w:ascii="Calibri" w:eastAsia="Times New Roman" w:hAnsi="Calibri" w:cs="Calibri"/>
                <w:color w:val="000000" w:themeColor="text1"/>
                <w:sz w:val="20"/>
                <w:szCs w:val="20"/>
              </w:rPr>
              <w:t>,</w:t>
            </w:r>
            <w:r w:rsidRPr="0331ECF8">
              <w:rPr>
                <w:rFonts w:ascii="Calibri" w:eastAsia="Times New Roman" w:hAnsi="Calibri" w:cs="Calibri"/>
                <w:color w:val="000000" w:themeColor="text1"/>
                <w:sz w:val="20"/>
                <w:szCs w:val="20"/>
              </w:rPr>
              <w:t>28</w:t>
            </w:r>
            <w:r w:rsidRPr="0331ECF8" w:rsidR="164CBC7E">
              <w:rPr>
                <w:rFonts w:ascii="Calibri" w:eastAsia="Times New Roman" w:hAnsi="Calibri" w:cs="Calibri"/>
                <w:color w:val="000000" w:themeColor="text1"/>
                <w:sz w:val="20"/>
                <w:szCs w:val="20"/>
              </w:rPr>
              <w:t>0</w:t>
            </w:r>
          </w:p>
        </w:tc>
        <w:tc>
          <w:tcPr>
            <w:tcW w:w="1308" w:type="dxa"/>
            <w:noWrap/>
          </w:tcPr>
          <w:p w:rsidR="00452DD7" w:rsidRPr="00962957" w:rsidP="00452DD7" w14:paraId="7D5BAA7D" w14:textId="5B847714">
            <w:pPr>
              <w:spacing w:after="0"/>
              <w:jc w:val="right"/>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$104</w:t>
            </w:r>
            <w:r w:rsidRPr="0331ECF8" w:rsidR="5293A194">
              <w:rPr>
                <w:rFonts w:ascii="Calibri" w:eastAsia="Times New Roman" w:hAnsi="Calibri" w:cs="Calibri"/>
                <w:color w:val="000000" w:themeColor="text1"/>
                <w:sz w:val="20"/>
                <w:szCs w:val="20"/>
              </w:rPr>
              <w:t>,</w:t>
            </w:r>
            <w:r w:rsidRPr="0331ECF8">
              <w:rPr>
                <w:rFonts w:ascii="Calibri" w:eastAsia="Times New Roman" w:hAnsi="Calibri" w:cs="Calibri"/>
                <w:color w:val="000000" w:themeColor="text1"/>
                <w:sz w:val="20"/>
                <w:szCs w:val="20"/>
              </w:rPr>
              <w:t>8</w:t>
            </w:r>
            <w:r w:rsidRPr="0331ECF8" w:rsidR="544C6E72">
              <w:rPr>
                <w:rFonts w:ascii="Calibri" w:eastAsia="Times New Roman" w:hAnsi="Calibri" w:cs="Calibri"/>
                <w:color w:val="000000" w:themeColor="text1"/>
                <w:sz w:val="20"/>
                <w:szCs w:val="20"/>
              </w:rPr>
              <w:t>26</w:t>
            </w:r>
          </w:p>
        </w:tc>
      </w:tr>
      <w:tr w14:paraId="04158B9D" w14:textId="77777777" w:rsidTr="10B82CF0">
        <w:tblPrEx>
          <w:tblW w:w="9445" w:type="dxa"/>
          <w:tblLook w:val="04A0"/>
        </w:tblPrEx>
        <w:trPr>
          <w:trHeight w:val="804"/>
        </w:trPr>
        <w:tc>
          <w:tcPr>
            <w:tcW w:w="0" w:type="auto"/>
            <w:hideMark/>
          </w:tcPr>
          <w:p w:rsidR="00452DD7" w:rsidRPr="00962957" w:rsidP="00452DD7" w14:paraId="18585F45" w14:textId="77777777">
            <w:pPr>
              <w:spacing w:after="0"/>
              <w:rPr>
                <w:rFonts w:ascii="Calibri" w:eastAsia="Times New Roman" w:hAnsi="Calibri" w:cs="Calibri"/>
                <w:color w:val="000000"/>
                <w:sz w:val="20"/>
                <w:szCs w:val="20"/>
              </w:rPr>
            </w:pPr>
            <w:r w:rsidRPr="00962957">
              <w:rPr>
                <w:rFonts w:ascii="Calibri" w:eastAsia="Times New Roman" w:hAnsi="Calibri" w:cs="Calibri"/>
                <w:color w:val="000000"/>
                <w:sz w:val="20"/>
                <w:szCs w:val="20"/>
              </w:rPr>
              <w:t>Federal Register Notice review, per Notice</w:t>
            </w:r>
          </w:p>
        </w:tc>
        <w:tc>
          <w:tcPr>
            <w:tcW w:w="0" w:type="auto"/>
            <w:hideMark/>
          </w:tcPr>
          <w:p w:rsidR="00452DD7" w:rsidRPr="00962957" w:rsidP="003B1852" w14:paraId="114BA6F2" w14:textId="1BE4A81B">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0.25</w:t>
            </w:r>
          </w:p>
        </w:tc>
        <w:tc>
          <w:tcPr>
            <w:tcW w:w="0" w:type="auto"/>
            <w:hideMark/>
          </w:tcPr>
          <w:p w:rsidR="00452DD7" w:rsidRPr="00962957" w:rsidP="003B1852" w14:paraId="1E505354" w14:textId="2E11E7E1">
            <w:pPr>
              <w:spacing w:after="0"/>
              <w:jc w:val="center"/>
              <w:rPr>
                <w:rFonts w:ascii="Calibri" w:eastAsia="Times New Roman" w:hAnsi="Calibri" w:cs="Calibri"/>
                <w:color w:val="000000"/>
                <w:sz w:val="20"/>
                <w:szCs w:val="20"/>
              </w:rPr>
            </w:pPr>
            <w:r w:rsidRPr="75BD9FF6">
              <w:rPr>
                <w:rFonts w:ascii="Calibri" w:eastAsia="Times New Roman" w:hAnsi="Calibri" w:cs="Calibri"/>
                <w:color w:val="000000" w:themeColor="text1"/>
                <w:sz w:val="20"/>
                <w:szCs w:val="20"/>
              </w:rPr>
              <w:t>$22</w:t>
            </w:r>
          </w:p>
        </w:tc>
        <w:tc>
          <w:tcPr>
            <w:tcW w:w="0" w:type="auto"/>
            <w:noWrap/>
            <w:hideMark/>
          </w:tcPr>
          <w:p w:rsidR="00452DD7" w:rsidRPr="00962957" w:rsidP="003B1852" w14:paraId="0A9986F3" w14:textId="2C7FDF9F">
            <w:pPr>
              <w:spacing w:after="0"/>
              <w:jc w:val="center"/>
              <w:rPr>
                <w:rFonts w:ascii="Calibri" w:eastAsia="Times New Roman" w:hAnsi="Calibri" w:cs="Calibri"/>
                <w:color w:val="000000"/>
                <w:sz w:val="20"/>
                <w:szCs w:val="20"/>
              </w:rPr>
            </w:pPr>
            <w:r w:rsidRPr="0331ECF8">
              <w:rPr>
                <w:rFonts w:ascii="Calibri" w:eastAsia="Times New Roman" w:hAnsi="Calibri" w:cs="Calibri"/>
                <w:color w:val="000000" w:themeColor="text1"/>
                <w:sz w:val="20"/>
                <w:szCs w:val="20"/>
              </w:rPr>
              <w:t>1</w:t>
            </w:r>
            <w:r w:rsidRPr="0331ECF8" w:rsidR="6746E7D5">
              <w:rPr>
                <w:rFonts w:ascii="Calibri" w:eastAsia="Times New Roman" w:hAnsi="Calibri" w:cs="Calibri"/>
                <w:color w:val="000000" w:themeColor="text1"/>
                <w:sz w:val="20"/>
                <w:szCs w:val="20"/>
              </w:rPr>
              <w:t>0</w:t>
            </w:r>
          </w:p>
        </w:tc>
        <w:tc>
          <w:tcPr>
            <w:tcW w:w="0" w:type="auto"/>
            <w:noWrap/>
            <w:hideMark/>
          </w:tcPr>
          <w:p w:rsidR="00452DD7" w:rsidRPr="00962957" w:rsidP="003B1852" w14:paraId="3EDACC0E" w14:textId="2007D8A2">
            <w:pPr>
              <w:spacing w:after="0"/>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Notices per year per firm</w:t>
            </w:r>
          </w:p>
        </w:tc>
        <w:tc>
          <w:tcPr>
            <w:tcW w:w="0" w:type="auto"/>
            <w:noWrap/>
            <w:hideMark/>
          </w:tcPr>
          <w:p w:rsidR="00452DD7" w:rsidRPr="00962957" w:rsidP="003B1852" w14:paraId="6AD2FC44" w14:textId="15686306">
            <w:pPr>
              <w:spacing w:after="0"/>
              <w:jc w:val="center"/>
              <w:rPr>
                <w:rFonts w:ascii="Calibri" w:eastAsia="Times New Roman" w:hAnsi="Calibri" w:cs="Calibri"/>
                <w:color w:val="000000"/>
                <w:sz w:val="20"/>
                <w:szCs w:val="20"/>
              </w:rPr>
            </w:pPr>
            <w:r w:rsidRPr="10B82CF0">
              <w:rPr>
                <w:rFonts w:ascii="Calibri" w:eastAsia="Times New Roman" w:hAnsi="Calibri" w:cs="Calibri"/>
                <w:color w:val="000000" w:themeColor="text1"/>
                <w:sz w:val="20"/>
                <w:szCs w:val="20"/>
              </w:rPr>
              <w:t>13</w:t>
            </w:r>
            <w:r w:rsidRPr="10B82CF0" w:rsidR="711FDA32">
              <w:rPr>
                <w:rFonts w:ascii="Calibri" w:eastAsia="Times New Roman" w:hAnsi="Calibri" w:cs="Calibri"/>
                <w:color w:val="000000" w:themeColor="text1"/>
                <w:sz w:val="20"/>
                <w:szCs w:val="20"/>
              </w:rPr>
              <w:t>,</w:t>
            </w:r>
            <w:r w:rsidRPr="10B82CF0">
              <w:rPr>
                <w:rFonts w:ascii="Calibri" w:eastAsia="Times New Roman" w:hAnsi="Calibri" w:cs="Calibri"/>
                <w:color w:val="000000" w:themeColor="text1"/>
                <w:sz w:val="20"/>
                <w:szCs w:val="20"/>
              </w:rPr>
              <w:t>5</w:t>
            </w:r>
            <w:r w:rsidRPr="10B82CF0" w:rsidR="22DD23C6">
              <w:rPr>
                <w:rFonts w:ascii="Calibri" w:eastAsia="Times New Roman" w:hAnsi="Calibri" w:cs="Calibri"/>
                <w:color w:val="000000" w:themeColor="text1"/>
                <w:sz w:val="20"/>
                <w:szCs w:val="20"/>
              </w:rPr>
              <w:t>57</w:t>
            </w:r>
          </w:p>
        </w:tc>
        <w:tc>
          <w:tcPr>
            <w:tcW w:w="0" w:type="auto"/>
            <w:noWrap/>
            <w:hideMark/>
          </w:tcPr>
          <w:p w:rsidR="00452DD7" w:rsidRPr="00962957" w:rsidP="00452DD7" w14:paraId="3B24ABF9" w14:textId="60ABA3C3">
            <w:pPr>
              <w:spacing w:after="0"/>
              <w:jc w:val="right"/>
              <w:rPr>
                <w:rFonts w:ascii="Calibri" w:eastAsia="Times New Roman" w:hAnsi="Calibri" w:cs="Calibri"/>
                <w:color w:val="000000"/>
                <w:sz w:val="20"/>
                <w:szCs w:val="20"/>
              </w:rPr>
            </w:pPr>
            <w:r w:rsidRPr="10B82CF0">
              <w:rPr>
                <w:rFonts w:ascii="Calibri" w:eastAsia="Times New Roman" w:hAnsi="Calibri" w:cs="Calibri"/>
                <w:color w:val="000000" w:themeColor="text1"/>
                <w:sz w:val="20"/>
                <w:szCs w:val="20"/>
              </w:rPr>
              <w:t>33</w:t>
            </w:r>
            <w:r w:rsidRPr="10B82CF0" w:rsidR="4054263A">
              <w:rPr>
                <w:rFonts w:ascii="Calibri" w:eastAsia="Times New Roman" w:hAnsi="Calibri" w:cs="Calibri"/>
                <w:color w:val="000000" w:themeColor="text1"/>
                <w:sz w:val="20"/>
                <w:szCs w:val="20"/>
              </w:rPr>
              <w:t>,</w:t>
            </w:r>
            <w:r w:rsidRPr="10B82CF0">
              <w:rPr>
                <w:rFonts w:ascii="Calibri" w:eastAsia="Times New Roman" w:hAnsi="Calibri" w:cs="Calibri"/>
                <w:color w:val="000000" w:themeColor="text1"/>
                <w:sz w:val="20"/>
                <w:szCs w:val="20"/>
              </w:rPr>
              <w:t>8</w:t>
            </w:r>
            <w:r w:rsidRPr="10B82CF0" w:rsidR="2F2C9B4D">
              <w:rPr>
                <w:rFonts w:ascii="Calibri" w:eastAsia="Times New Roman" w:hAnsi="Calibri" w:cs="Calibri"/>
                <w:color w:val="000000" w:themeColor="text1"/>
                <w:sz w:val="20"/>
                <w:szCs w:val="20"/>
              </w:rPr>
              <w:t>93</w:t>
            </w:r>
          </w:p>
        </w:tc>
        <w:tc>
          <w:tcPr>
            <w:tcW w:w="1308" w:type="dxa"/>
            <w:noWrap/>
          </w:tcPr>
          <w:p w:rsidR="00452DD7" w:rsidRPr="00962957" w:rsidP="00452DD7" w14:paraId="08E63F42" w14:textId="4CDF5100">
            <w:pPr>
              <w:spacing w:after="0"/>
              <w:jc w:val="right"/>
              <w:rPr>
                <w:rFonts w:ascii="Calibri" w:eastAsia="Times New Roman" w:hAnsi="Calibri" w:cs="Calibri"/>
                <w:color w:val="000000"/>
                <w:sz w:val="20"/>
                <w:szCs w:val="20"/>
              </w:rPr>
            </w:pPr>
            <w:r w:rsidRPr="10B82CF0">
              <w:rPr>
                <w:rFonts w:ascii="Calibri" w:eastAsia="Times New Roman" w:hAnsi="Calibri" w:cs="Calibri"/>
                <w:color w:val="000000" w:themeColor="text1"/>
                <w:sz w:val="20"/>
                <w:szCs w:val="20"/>
              </w:rPr>
              <w:t>$</w:t>
            </w:r>
            <w:r w:rsidRPr="10B82CF0" w:rsidR="5097E8C2">
              <w:rPr>
                <w:rFonts w:ascii="Calibri" w:eastAsia="Times New Roman" w:hAnsi="Calibri" w:cs="Calibri"/>
                <w:color w:val="000000" w:themeColor="text1"/>
                <w:sz w:val="20"/>
                <w:szCs w:val="20"/>
              </w:rPr>
              <w:t>3</w:t>
            </w:r>
            <w:r w:rsidRPr="10B82CF0" w:rsidR="26A5B182">
              <w:rPr>
                <w:rFonts w:ascii="Calibri" w:eastAsia="Times New Roman" w:hAnsi="Calibri" w:cs="Calibri"/>
                <w:color w:val="000000" w:themeColor="text1"/>
                <w:sz w:val="20"/>
                <w:szCs w:val="20"/>
              </w:rPr>
              <w:t>,</w:t>
            </w:r>
            <w:r w:rsidRPr="10B82CF0" w:rsidR="5097E8C2">
              <w:rPr>
                <w:rFonts w:ascii="Calibri" w:eastAsia="Times New Roman" w:hAnsi="Calibri" w:cs="Calibri"/>
                <w:color w:val="000000" w:themeColor="text1"/>
                <w:sz w:val="20"/>
                <w:szCs w:val="20"/>
              </w:rPr>
              <w:t>0</w:t>
            </w:r>
            <w:r w:rsidRPr="10B82CF0" w:rsidR="7114228E">
              <w:rPr>
                <w:rFonts w:ascii="Calibri" w:eastAsia="Times New Roman" w:hAnsi="Calibri" w:cs="Calibri"/>
                <w:color w:val="000000" w:themeColor="text1"/>
                <w:sz w:val="20"/>
                <w:szCs w:val="20"/>
              </w:rPr>
              <w:t>2</w:t>
            </w:r>
            <w:r w:rsidRPr="10B82CF0" w:rsidR="65174A65">
              <w:rPr>
                <w:rFonts w:ascii="Calibri" w:eastAsia="Times New Roman" w:hAnsi="Calibri" w:cs="Calibri"/>
                <w:color w:val="000000" w:themeColor="text1"/>
                <w:sz w:val="20"/>
                <w:szCs w:val="20"/>
              </w:rPr>
              <w:t>1</w:t>
            </w:r>
            <w:r w:rsidRPr="10B82CF0" w:rsidR="5097E8C2">
              <w:rPr>
                <w:rFonts w:ascii="Calibri" w:eastAsia="Times New Roman" w:hAnsi="Calibri" w:cs="Calibri"/>
                <w:color w:val="000000" w:themeColor="text1"/>
                <w:sz w:val="20"/>
                <w:szCs w:val="20"/>
              </w:rPr>
              <w:t>,</w:t>
            </w:r>
            <w:r w:rsidRPr="10B82CF0" w:rsidR="701ACDEA">
              <w:rPr>
                <w:rFonts w:ascii="Calibri" w:eastAsia="Times New Roman" w:hAnsi="Calibri" w:cs="Calibri"/>
                <w:color w:val="000000" w:themeColor="text1"/>
                <w:sz w:val="20"/>
                <w:szCs w:val="20"/>
              </w:rPr>
              <w:t>8</w:t>
            </w:r>
            <w:r w:rsidRPr="10B82CF0" w:rsidR="431502CA">
              <w:rPr>
                <w:rFonts w:ascii="Calibri" w:eastAsia="Times New Roman" w:hAnsi="Calibri" w:cs="Calibri"/>
                <w:color w:val="000000" w:themeColor="text1"/>
                <w:sz w:val="20"/>
                <w:szCs w:val="20"/>
              </w:rPr>
              <w:t>55</w:t>
            </w:r>
          </w:p>
        </w:tc>
      </w:tr>
      <w:tr w14:paraId="636E166F" w14:textId="77777777" w:rsidTr="10B82CF0">
        <w:tblPrEx>
          <w:tblW w:w="9445" w:type="dxa"/>
          <w:tblLook w:val="04A0"/>
        </w:tblPrEx>
        <w:trPr>
          <w:trHeight w:val="324"/>
        </w:trPr>
        <w:tc>
          <w:tcPr>
            <w:tcW w:w="0" w:type="auto"/>
            <w:hideMark/>
          </w:tcPr>
          <w:p w:rsidR="00452DD7" w:rsidRPr="00962957" w:rsidP="00452DD7" w14:paraId="4999C832" w14:textId="77777777">
            <w:pPr>
              <w:spacing w:after="0"/>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Total Burden/Cost</w:t>
            </w:r>
          </w:p>
        </w:tc>
        <w:tc>
          <w:tcPr>
            <w:tcW w:w="0" w:type="auto"/>
            <w:hideMark/>
          </w:tcPr>
          <w:p w:rsidR="00452DD7" w:rsidRPr="00962957" w:rsidP="00452DD7" w14:paraId="2BA20EEA" w14:textId="76AA518F">
            <w:pPr>
              <w:spacing w:after="0"/>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w:t>
            </w:r>
          </w:p>
        </w:tc>
        <w:tc>
          <w:tcPr>
            <w:tcW w:w="0" w:type="auto"/>
            <w:hideMark/>
          </w:tcPr>
          <w:p w:rsidR="00452DD7" w:rsidRPr="00962957" w:rsidP="00452DD7" w14:paraId="0322FE4E" w14:textId="7F07E2F1">
            <w:pPr>
              <w:spacing w:after="0"/>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w:t>
            </w:r>
          </w:p>
        </w:tc>
        <w:tc>
          <w:tcPr>
            <w:tcW w:w="0" w:type="auto"/>
            <w:hideMark/>
          </w:tcPr>
          <w:p w:rsidR="00452DD7" w:rsidRPr="00962957" w:rsidP="00452DD7" w14:paraId="70829AE6" w14:textId="6C9A2B76">
            <w:pPr>
              <w:spacing w:after="0"/>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w:t>
            </w:r>
          </w:p>
        </w:tc>
        <w:tc>
          <w:tcPr>
            <w:tcW w:w="0" w:type="auto"/>
            <w:hideMark/>
          </w:tcPr>
          <w:p w:rsidR="00452DD7" w:rsidRPr="00962957" w:rsidP="00452DD7" w14:paraId="5D7D5BF9" w14:textId="71824E11">
            <w:pPr>
              <w:spacing w:after="0"/>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w:t>
            </w:r>
          </w:p>
        </w:tc>
        <w:tc>
          <w:tcPr>
            <w:tcW w:w="0" w:type="auto"/>
            <w:hideMark/>
          </w:tcPr>
          <w:p w:rsidR="00452DD7" w:rsidRPr="00962957" w:rsidP="00452DD7" w14:paraId="2D3E37F3" w14:textId="2EF9DA4A">
            <w:pPr>
              <w:spacing w:after="0"/>
              <w:jc w:val="right"/>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w:t>
            </w:r>
          </w:p>
        </w:tc>
        <w:tc>
          <w:tcPr>
            <w:tcW w:w="0" w:type="auto"/>
            <w:noWrap/>
            <w:hideMark/>
          </w:tcPr>
          <w:p w:rsidR="00452DD7" w:rsidRPr="00962957" w:rsidP="00452DD7" w14:paraId="46F52C9C" w14:textId="4C8D1D56">
            <w:pPr>
              <w:spacing w:after="0"/>
              <w:jc w:val="right"/>
              <w:rPr>
                <w:rFonts w:ascii="Calibri" w:eastAsia="Times New Roman" w:hAnsi="Calibri" w:cs="Calibri"/>
                <w:b/>
                <w:bCs/>
                <w:color w:val="000000"/>
                <w:sz w:val="20"/>
                <w:szCs w:val="20"/>
              </w:rPr>
            </w:pPr>
            <w:r w:rsidRPr="10B82CF0">
              <w:rPr>
                <w:rFonts w:ascii="Calibri" w:eastAsia="Times New Roman" w:hAnsi="Calibri" w:cs="Calibri"/>
                <w:b/>
                <w:bCs/>
                <w:color w:val="000000" w:themeColor="text1"/>
                <w:sz w:val="20"/>
                <w:szCs w:val="20"/>
              </w:rPr>
              <w:t>5</w:t>
            </w:r>
            <w:r w:rsidRPr="10B82CF0" w:rsidR="1D673DEF">
              <w:rPr>
                <w:rFonts w:ascii="Calibri" w:eastAsia="Times New Roman" w:hAnsi="Calibri" w:cs="Calibri"/>
                <w:b/>
                <w:bCs/>
                <w:color w:val="000000" w:themeColor="text1"/>
                <w:sz w:val="20"/>
                <w:szCs w:val="20"/>
              </w:rPr>
              <w:t>9</w:t>
            </w:r>
            <w:r w:rsidRPr="10B82CF0" w:rsidR="0A148CE4">
              <w:rPr>
                <w:rFonts w:ascii="Calibri" w:eastAsia="Times New Roman" w:hAnsi="Calibri" w:cs="Calibri"/>
                <w:b/>
                <w:bCs/>
                <w:color w:val="000000" w:themeColor="text1"/>
                <w:sz w:val="20"/>
                <w:szCs w:val="20"/>
              </w:rPr>
              <w:t>,</w:t>
            </w:r>
            <w:r w:rsidRPr="10B82CF0" w:rsidR="097EED79">
              <w:rPr>
                <w:rFonts w:ascii="Calibri" w:eastAsia="Times New Roman" w:hAnsi="Calibri" w:cs="Calibri"/>
                <w:b/>
                <w:bCs/>
                <w:color w:val="000000" w:themeColor="text1"/>
                <w:sz w:val="20"/>
                <w:szCs w:val="20"/>
              </w:rPr>
              <w:t>033</w:t>
            </w:r>
          </w:p>
        </w:tc>
        <w:tc>
          <w:tcPr>
            <w:tcW w:w="1308" w:type="dxa"/>
            <w:noWrap/>
          </w:tcPr>
          <w:p w:rsidR="00452DD7" w:rsidRPr="00962957" w:rsidP="00452DD7" w14:paraId="46BD3384" w14:textId="2E1AD358">
            <w:pPr>
              <w:spacing w:after="0"/>
              <w:jc w:val="right"/>
              <w:rPr>
                <w:rFonts w:ascii="Calibri" w:eastAsia="Times New Roman" w:hAnsi="Calibri" w:cs="Calibri"/>
                <w:b/>
                <w:bCs/>
                <w:color w:val="000000"/>
                <w:sz w:val="20"/>
                <w:szCs w:val="20"/>
              </w:rPr>
            </w:pPr>
            <w:r w:rsidRPr="10B82CF0">
              <w:rPr>
                <w:rFonts w:ascii="Calibri" w:eastAsia="Times New Roman" w:hAnsi="Calibri" w:cs="Calibri"/>
                <w:b/>
                <w:bCs/>
                <w:color w:val="000000" w:themeColor="text1"/>
                <w:sz w:val="20"/>
                <w:szCs w:val="20"/>
              </w:rPr>
              <w:t>$</w:t>
            </w:r>
            <w:r w:rsidRPr="10B82CF0" w:rsidR="5097E8C2">
              <w:rPr>
                <w:rFonts w:ascii="Calibri" w:eastAsia="Times New Roman" w:hAnsi="Calibri" w:cs="Calibri"/>
                <w:b/>
                <w:bCs/>
                <w:color w:val="000000" w:themeColor="text1"/>
                <w:sz w:val="20"/>
                <w:szCs w:val="20"/>
              </w:rPr>
              <w:t>5</w:t>
            </w:r>
            <w:r w:rsidRPr="10B82CF0" w:rsidR="60AF3596">
              <w:rPr>
                <w:rFonts w:ascii="Calibri" w:eastAsia="Times New Roman" w:hAnsi="Calibri" w:cs="Calibri"/>
                <w:b/>
                <w:bCs/>
                <w:color w:val="000000" w:themeColor="text1"/>
                <w:sz w:val="20"/>
                <w:szCs w:val="20"/>
              </w:rPr>
              <w:t>,114</w:t>
            </w:r>
            <w:r w:rsidRPr="10B82CF0" w:rsidR="2471D5F2">
              <w:rPr>
                <w:rFonts w:ascii="Calibri" w:eastAsia="Times New Roman" w:hAnsi="Calibri" w:cs="Calibri"/>
                <w:b/>
                <w:bCs/>
                <w:color w:val="000000" w:themeColor="text1"/>
                <w:sz w:val="20"/>
                <w:szCs w:val="20"/>
              </w:rPr>
              <w:t>,</w:t>
            </w:r>
            <w:r w:rsidRPr="10B82CF0" w:rsidR="30691936">
              <w:rPr>
                <w:rFonts w:ascii="Calibri" w:eastAsia="Times New Roman" w:hAnsi="Calibri" w:cs="Calibri"/>
                <w:b/>
                <w:bCs/>
                <w:color w:val="000000" w:themeColor="text1"/>
                <w:sz w:val="20"/>
                <w:szCs w:val="20"/>
              </w:rPr>
              <w:t>208</w:t>
            </w:r>
          </w:p>
        </w:tc>
      </w:tr>
    </w:tbl>
    <w:p w:rsidR="007E2E3C" w:rsidRPr="00962957" w:rsidP="00625B6F" w14:paraId="115F851B" w14:textId="77777777">
      <w:pPr>
        <w:numPr>
          <w:ilvl w:val="12"/>
          <w:numId w:val="0"/>
        </w:numPr>
        <w:spacing w:after="0"/>
        <w:rPr>
          <w:rFonts w:ascii="Calibri" w:hAnsi="Calibri" w:cs="Calibri"/>
          <w:szCs w:val="24"/>
        </w:rPr>
      </w:pPr>
    </w:p>
    <w:p w:rsidR="00452DD7" w:rsidP="00625B6F" w14:paraId="4DB09C42" w14:textId="61E903A3">
      <w:pPr>
        <w:spacing w:after="0"/>
        <w:rPr>
          <w:rFonts w:ascii="Calibri" w:hAnsi="Calibri" w:cs="Calibri"/>
        </w:rPr>
      </w:pPr>
      <w:r w:rsidRPr="0B7467EB">
        <w:rPr>
          <w:rFonts w:ascii="Calibri" w:hAnsi="Calibri" w:cs="Calibri"/>
        </w:rPr>
        <w:t>Despite the infrequency with which the Agency publishes TSCA section 8(c) Federal Register notices, EPA conservatively assumes that 16 TSCA section 8(c) reports will be submitted annually</w:t>
      </w:r>
      <w:r w:rsidR="0058136C">
        <w:rPr>
          <w:rFonts w:ascii="Calibri" w:hAnsi="Calibri" w:cs="Calibri"/>
        </w:rPr>
        <w:t>.</w:t>
      </w:r>
    </w:p>
    <w:p w:rsidR="00625B6F" w:rsidRPr="00962957" w:rsidP="00625B6F" w14:paraId="1739A81F" w14:textId="77777777">
      <w:pPr>
        <w:spacing w:after="0"/>
        <w:rPr>
          <w:rFonts w:ascii="Calibri" w:hAnsi="Calibri" w:cs="Calibri"/>
        </w:rPr>
      </w:pPr>
    </w:p>
    <w:p w:rsidR="00452DD7" w:rsidP="00625B6F" w14:paraId="0B676ADE" w14:textId="770218C7">
      <w:pPr>
        <w:numPr>
          <w:ilvl w:val="12"/>
          <w:numId w:val="0"/>
        </w:numPr>
        <w:spacing w:after="0"/>
        <w:rPr>
          <w:rFonts w:ascii="Calibri" w:hAnsi="Calibri" w:cs="Calibri"/>
          <w:szCs w:val="24"/>
        </w:rPr>
      </w:pPr>
      <w:r w:rsidRPr="00962957">
        <w:rPr>
          <w:rFonts w:ascii="Calibri" w:hAnsi="Calibri" w:cs="Calibri"/>
          <w:szCs w:val="24"/>
        </w:rPr>
        <w:t xml:space="preserve">Historically, the Agency has published an average of only0.08 notices each year since 1983, as EPA has published only two notices to date. In light of that history, EPA conservatively assumes that it will publish a single, TSCA section 8(c) Federal Register notice each year. </w:t>
      </w:r>
    </w:p>
    <w:p w:rsidR="00625B6F" w:rsidRPr="00962957" w:rsidP="00625B6F" w14:paraId="4D7EF288" w14:textId="77777777">
      <w:pPr>
        <w:numPr>
          <w:ilvl w:val="12"/>
          <w:numId w:val="0"/>
        </w:numPr>
        <w:spacing w:after="0"/>
        <w:rPr>
          <w:rFonts w:ascii="Calibri" w:hAnsi="Calibri" w:cs="Calibri"/>
          <w:szCs w:val="24"/>
        </w:rPr>
      </w:pPr>
    </w:p>
    <w:p w:rsidR="00D872F0" w:rsidP="4E785F9D" w14:paraId="0B63C73E" w14:textId="7CA5D717">
      <w:pPr>
        <w:spacing w:after="0"/>
        <w:rPr>
          <w:rFonts w:ascii="Calibri" w:hAnsi="Calibri" w:cs="Calibri"/>
        </w:rPr>
      </w:pPr>
      <w:r w:rsidRPr="10B82CF0">
        <w:rPr>
          <w:rFonts w:ascii="Calibri" w:hAnsi="Calibri" w:cs="Calibri"/>
        </w:rPr>
        <w:t xml:space="preserve">The total paperwork burden on the regulated community imposed by TSCA section 8(c) is the sum of the three components identified above (recordkeeping, reporting, and Federal Register notice review) and estimated at </w:t>
      </w:r>
      <w:r w:rsidRPr="10B82CF0" w:rsidR="1391552C">
        <w:rPr>
          <w:rFonts w:ascii="Calibri" w:hAnsi="Calibri" w:cs="Calibri"/>
        </w:rPr>
        <w:t>5</w:t>
      </w:r>
      <w:r w:rsidRPr="10B82CF0" w:rsidR="46664FC7">
        <w:rPr>
          <w:rFonts w:ascii="Calibri" w:hAnsi="Calibri" w:cs="Calibri"/>
        </w:rPr>
        <w:t>9</w:t>
      </w:r>
      <w:r w:rsidRPr="10B82CF0" w:rsidR="748236A4">
        <w:rPr>
          <w:rFonts w:ascii="Calibri" w:hAnsi="Calibri" w:cs="Calibri"/>
        </w:rPr>
        <w:t>,</w:t>
      </w:r>
      <w:r w:rsidRPr="10B82CF0" w:rsidR="281DF330">
        <w:rPr>
          <w:rFonts w:ascii="Calibri" w:hAnsi="Calibri" w:cs="Calibri"/>
        </w:rPr>
        <w:t>033</w:t>
      </w:r>
      <w:r w:rsidRPr="10B82CF0" w:rsidR="46664FC7">
        <w:rPr>
          <w:rFonts w:ascii="Calibri" w:hAnsi="Calibri" w:cs="Calibri"/>
        </w:rPr>
        <w:t xml:space="preserve"> </w:t>
      </w:r>
      <w:r w:rsidRPr="10B82CF0">
        <w:rPr>
          <w:rFonts w:ascii="Calibri" w:hAnsi="Calibri" w:cs="Calibri"/>
        </w:rPr>
        <w:t>hours annually with an associated annual cost of $</w:t>
      </w:r>
      <w:r w:rsidRPr="10B82CF0" w:rsidR="3E36D0C2">
        <w:rPr>
          <w:rFonts w:ascii="Calibri" w:hAnsi="Calibri" w:cs="Calibri"/>
        </w:rPr>
        <w:t>5,114</w:t>
      </w:r>
      <w:r w:rsidRPr="10B82CF0" w:rsidR="46767D3F">
        <w:rPr>
          <w:rFonts w:ascii="Calibri" w:hAnsi="Calibri" w:cs="Calibri"/>
        </w:rPr>
        <w:t>,</w:t>
      </w:r>
      <w:r w:rsidRPr="10B82CF0" w:rsidR="5ACFE688">
        <w:rPr>
          <w:rFonts w:ascii="Calibri" w:hAnsi="Calibri" w:cs="Calibri"/>
        </w:rPr>
        <w:t>208</w:t>
      </w:r>
      <w:r w:rsidRPr="10B82CF0">
        <w:rPr>
          <w:rFonts w:ascii="Calibri" w:hAnsi="Calibri" w:cs="Calibri"/>
        </w:rPr>
        <w:t xml:space="preserve">. These totals, shown in Table 8, is the estimated annual burden and burden costs for each of the three years covered by this ICR. </w:t>
      </w:r>
      <w:r w:rsidR="00475A5F">
        <w:rPr>
          <w:rFonts w:ascii="Calibri" w:hAnsi="Calibri" w:cs="Calibri"/>
        </w:rPr>
        <w:t>N</w:t>
      </w:r>
      <w:r w:rsidRPr="10B82CF0">
        <w:rPr>
          <w:rFonts w:ascii="Calibri" w:hAnsi="Calibri" w:cs="Calibri"/>
        </w:rPr>
        <w:t xml:space="preserve">o separate or additional costs </w:t>
      </w:r>
      <w:r w:rsidR="00475A5F">
        <w:rPr>
          <w:rFonts w:ascii="Calibri" w:hAnsi="Calibri" w:cs="Calibri"/>
        </w:rPr>
        <w:t xml:space="preserve">are </w:t>
      </w:r>
      <w:r w:rsidRPr="10B82CF0">
        <w:rPr>
          <w:rFonts w:ascii="Calibri" w:hAnsi="Calibri" w:cs="Calibri"/>
        </w:rPr>
        <w:t>associated with maintenance and operations (i.e., non-burden costs).</w:t>
      </w:r>
    </w:p>
    <w:p w:rsidR="00AA62CF" w:rsidP="4E785F9D" w14:paraId="0871B804" w14:textId="77777777">
      <w:pPr>
        <w:spacing w:after="0"/>
        <w:rPr>
          <w:rFonts w:ascii="Calibri" w:hAnsi="Calibri" w:cs="Calibri"/>
        </w:rPr>
      </w:pPr>
    </w:p>
    <w:p w:rsidR="007E2E3C" w:rsidRPr="00962957" w:rsidP="00AA62CF" w14:paraId="4B68C4DC" w14:textId="380099C6">
      <w:pPr>
        <w:pStyle w:val="Caption"/>
        <w:spacing w:before="0"/>
        <w:outlineLvl w:val="9"/>
        <w:rPr>
          <w:rFonts w:ascii="Calibri" w:hAnsi="Calibri" w:cs="Calibri"/>
          <w:szCs w:val="24"/>
        </w:rPr>
      </w:pPr>
      <w:bookmarkStart w:id="29" w:name="_Ref96091941"/>
      <w:r w:rsidRPr="00962957">
        <w:rPr>
          <w:rFonts w:ascii="Calibri" w:hAnsi="Calibri" w:cs="Calibri"/>
        </w:rPr>
        <w:t xml:space="preserve">Table </w:t>
      </w:r>
      <w:bookmarkEnd w:id="29"/>
      <w:r w:rsidR="00452DD7">
        <w:rPr>
          <w:rFonts w:ascii="Calibri" w:hAnsi="Calibri" w:cs="Calibri"/>
        </w:rPr>
        <w:t>8</w:t>
      </w:r>
      <w:r w:rsidRPr="00962957">
        <w:rPr>
          <w:rFonts w:ascii="Calibri" w:hAnsi="Calibri" w:cs="Calibri"/>
        </w:rPr>
        <w:t>. Overall Total Industry Burden and Cost for TSCA Section 8(c) (202</w:t>
      </w:r>
      <w:r w:rsidR="00452DD7">
        <w:rPr>
          <w:rFonts w:ascii="Calibri" w:hAnsi="Calibri" w:cs="Calibri"/>
        </w:rPr>
        <w:t>4</w:t>
      </w:r>
      <w:r w:rsidR="00D872F0">
        <w:rPr>
          <w:rFonts w:ascii="Calibri" w:hAnsi="Calibri" w:cs="Calibri"/>
        </w:rPr>
        <w:t>$</w:t>
      </w:r>
      <w:r w:rsidRPr="00962957">
        <w:rPr>
          <w:rFonts w:ascii="Calibri" w:hAnsi="Calibri" w:cs="Calibri"/>
        </w:rPr>
        <w:t>)</w:t>
      </w:r>
    </w:p>
    <w:tbl>
      <w:tblPr>
        <w:tblW w:w="8257" w:type="dxa"/>
        <w:tblCellMar>
          <w:left w:w="0" w:type="dxa"/>
          <w:right w:w="0" w:type="dxa"/>
        </w:tblCellMar>
        <w:tblLook w:val="04A0"/>
      </w:tblPr>
      <w:tblGrid>
        <w:gridCol w:w="2420"/>
        <w:gridCol w:w="1900"/>
        <w:gridCol w:w="1480"/>
        <w:gridCol w:w="2457"/>
      </w:tblGrid>
      <w:tr w14:paraId="06EE8899" w14:textId="77777777" w:rsidTr="5F135418">
        <w:tblPrEx>
          <w:tblW w:w="8257" w:type="dxa"/>
          <w:tblCellMar>
            <w:left w:w="0" w:type="dxa"/>
            <w:right w:w="0" w:type="dxa"/>
          </w:tblCellMar>
          <w:tblLook w:val="04A0"/>
        </w:tblPrEx>
        <w:trPr>
          <w:trHeight w:val="1272"/>
        </w:trPr>
        <w:tc>
          <w:tcPr>
            <w:tcW w:w="2420" w:type="dxa"/>
            <w:tcBorders>
              <w:top w:val="double" w:sz="6" w:space="0" w:color="000000" w:themeColor="text1"/>
              <w:left w:val="double" w:sz="6" w:space="0" w:color="000000" w:themeColor="text1"/>
              <w:bottom w:val="single" w:sz="8" w:space="0" w:color="auto"/>
              <w:right w:val="single" w:sz="8" w:space="0" w:color="auto"/>
            </w:tcBorders>
            <w:shd w:val="clear" w:color="auto" w:fill="D9D9D9" w:themeFill="accent6" w:themeFillShade="D9"/>
            <w:vAlign w:val="center"/>
            <w:hideMark/>
          </w:tcPr>
          <w:p w:rsidR="007E2E3C" w:rsidRPr="00962957" w:rsidP="5F135418" w14:paraId="0D550E3B" w14:textId="77777777">
            <w:pPr>
              <w:spacing w:after="0" w:line="240" w:lineRule="auto"/>
              <w:jc w:val="center"/>
              <w:rPr>
                <w:rFonts w:ascii="Calibri" w:hAnsi="Calibri" w:cs="Calibri"/>
                <w:b/>
                <w:bCs/>
                <w:color w:val="000000"/>
                <w:sz w:val="22"/>
              </w:rPr>
            </w:pPr>
            <w:r w:rsidRPr="5F135418">
              <w:rPr>
                <w:rFonts w:ascii="Calibri" w:hAnsi="Calibri" w:cs="Calibri"/>
                <w:b/>
                <w:bCs/>
                <w:color w:val="000000" w:themeColor="text1"/>
                <w:sz w:val="22"/>
              </w:rPr>
              <w:t>Collection Activity</w:t>
            </w:r>
          </w:p>
        </w:tc>
        <w:tc>
          <w:tcPr>
            <w:tcW w:w="1900" w:type="dxa"/>
            <w:tcBorders>
              <w:top w:val="double" w:sz="6" w:space="0" w:color="000000" w:themeColor="text1"/>
              <w:left w:val="nil"/>
              <w:bottom w:val="single" w:sz="8" w:space="0" w:color="auto"/>
              <w:right w:val="single" w:sz="8" w:space="0" w:color="auto"/>
            </w:tcBorders>
            <w:shd w:val="clear" w:color="auto" w:fill="D9D9D9" w:themeFill="accent6" w:themeFillShade="D9"/>
            <w:vAlign w:val="center"/>
            <w:hideMark/>
          </w:tcPr>
          <w:p w:rsidR="007E2E3C" w:rsidRPr="00962957" w:rsidP="5F135418" w14:paraId="130FACE7" w14:textId="77777777">
            <w:pPr>
              <w:jc w:val="center"/>
              <w:rPr>
                <w:rFonts w:ascii="Calibri" w:hAnsi="Calibri" w:cs="Calibri"/>
                <w:b/>
                <w:bCs/>
                <w:color w:val="000000"/>
                <w:sz w:val="22"/>
              </w:rPr>
            </w:pPr>
            <w:r w:rsidRPr="5F135418">
              <w:rPr>
                <w:rFonts w:ascii="Calibri" w:hAnsi="Calibri" w:cs="Calibri"/>
                <w:b/>
                <w:bCs/>
                <w:color w:val="000000" w:themeColor="text1"/>
                <w:sz w:val="22"/>
              </w:rPr>
              <w:t>Number of Responses</w:t>
            </w:r>
          </w:p>
        </w:tc>
        <w:tc>
          <w:tcPr>
            <w:tcW w:w="1480" w:type="dxa"/>
            <w:tcBorders>
              <w:top w:val="double" w:sz="6" w:space="0" w:color="000000" w:themeColor="text1"/>
              <w:left w:val="nil"/>
              <w:bottom w:val="single" w:sz="8" w:space="0" w:color="auto"/>
              <w:right w:val="single" w:sz="8" w:space="0" w:color="auto"/>
            </w:tcBorders>
            <w:shd w:val="clear" w:color="auto" w:fill="D9D9D9" w:themeFill="accent6" w:themeFillShade="D9"/>
            <w:vAlign w:val="center"/>
            <w:hideMark/>
          </w:tcPr>
          <w:p w:rsidR="007E2E3C" w:rsidRPr="00962957" w:rsidP="5F135418" w14:paraId="5B68C79F" w14:textId="77777777">
            <w:pPr>
              <w:jc w:val="center"/>
              <w:rPr>
                <w:rFonts w:ascii="Calibri" w:hAnsi="Calibri" w:cs="Calibri"/>
                <w:b/>
                <w:bCs/>
                <w:color w:val="000000"/>
                <w:sz w:val="22"/>
              </w:rPr>
            </w:pPr>
            <w:r w:rsidRPr="5F135418">
              <w:rPr>
                <w:rFonts w:ascii="Calibri" w:hAnsi="Calibri" w:cs="Calibri"/>
                <w:b/>
                <w:bCs/>
                <w:color w:val="000000" w:themeColor="text1"/>
                <w:sz w:val="22"/>
              </w:rPr>
              <w:t>Total Annual Burden Hours</w:t>
            </w:r>
          </w:p>
        </w:tc>
        <w:tc>
          <w:tcPr>
            <w:tcW w:w="2457" w:type="dxa"/>
            <w:tcBorders>
              <w:top w:val="double" w:sz="6" w:space="0" w:color="000000" w:themeColor="text1"/>
              <w:left w:val="nil"/>
              <w:bottom w:val="single" w:sz="8" w:space="0" w:color="auto"/>
              <w:right w:val="double" w:sz="6" w:space="0" w:color="000000" w:themeColor="text1"/>
            </w:tcBorders>
            <w:shd w:val="clear" w:color="auto" w:fill="D9D9D9" w:themeFill="accent6" w:themeFillShade="D9"/>
            <w:vAlign w:val="center"/>
            <w:hideMark/>
          </w:tcPr>
          <w:p w:rsidR="007E2E3C" w:rsidRPr="00962957" w:rsidP="5F135418" w14:paraId="5DBF1752" w14:textId="77777777">
            <w:pPr>
              <w:jc w:val="center"/>
              <w:rPr>
                <w:rFonts w:ascii="Calibri" w:hAnsi="Calibri" w:cs="Calibri"/>
                <w:b/>
                <w:bCs/>
                <w:color w:val="000000"/>
                <w:sz w:val="22"/>
              </w:rPr>
            </w:pPr>
            <w:r w:rsidRPr="5F135418">
              <w:rPr>
                <w:rFonts w:ascii="Calibri" w:hAnsi="Calibri" w:cs="Calibri"/>
                <w:b/>
                <w:bCs/>
                <w:color w:val="000000" w:themeColor="text1"/>
                <w:sz w:val="22"/>
              </w:rPr>
              <w:t>Total Annual Burden Cost</w:t>
            </w:r>
          </w:p>
        </w:tc>
      </w:tr>
      <w:tr w14:paraId="7CB42E9C" w14:textId="77777777" w:rsidTr="5F135418">
        <w:tblPrEx>
          <w:tblW w:w="8257" w:type="dxa"/>
          <w:tblCellMar>
            <w:left w:w="0" w:type="dxa"/>
            <w:right w:w="0" w:type="dxa"/>
          </w:tblCellMar>
          <w:tblLook w:val="04A0"/>
        </w:tblPrEx>
        <w:trPr>
          <w:trHeight w:val="300"/>
        </w:trPr>
        <w:tc>
          <w:tcPr>
            <w:tcW w:w="2420" w:type="dxa"/>
            <w:tcBorders>
              <w:top w:val="nil"/>
              <w:left w:val="double" w:sz="6" w:space="0" w:color="000000" w:themeColor="text1"/>
              <w:bottom w:val="single" w:sz="8" w:space="0" w:color="auto"/>
              <w:right w:val="single" w:sz="8" w:space="0" w:color="auto"/>
            </w:tcBorders>
            <w:shd w:val="clear" w:color="auto" w:fill="auto"/>
            <w:vAlign w:val="center"/>
            <w:hideMark/>
          </w:tcPr>
          <w:p w:rsidR="00D872F0" w:rsidRPr="00962957" w:rsidP="5F135418" w14:paraId="07FB06F7" w14:textId="2F6A612B">
            <w:pPr>
              <w:spacing w:after="0" w:line="240" w:lineRule="auto"/>
              <w:rPr>
                <w:rFonts w:ascii="Calibri" w:hAnsi="Calibri" w:cs="Calibri"/>
                <w:color w:val="000000"/>
                <w:sz w:val="22"/>
              </w:rPr>
            </w:pPr>
            <w:r w:rsidRPr="5F135418">
              <w:rPr>
                <w:rFonts w:ascii="Calibri" w:hAnsi="Calibri" w:cs="Calibri"/>
                <w:color w:val="000000" w:themeColor="text1"/>
                <w:sz w:val="22"/>
              </w:rPr>
              <w:t>Recordkeeping</w:t>
            </w:r>
          </w:p>
        </w:tc>
        <w:tc>
          <w:tcPr>
            <w:tcW w:w="1900" w:type="dxa"/>
            <w:tcBorders>
              <w:top w:val="nil"/>
              <w:left w:val="nil"/>
              <w:bottom w:val="single" w:sz="8" w:space="0" w:color="auto"/>
              <w:right w:val="single" w:sz="8" w:space="0" w:color="auto"/>
            </w:tcBorders>
            <w:shd w:val="clear" w:color="auto" w:fill="auto"/>
            <w:vAlign w:val="center"/>
            <w:hideMark/>
          </w:tcPr>
          <w:p w:rsidR="00D872F0" w:rsidRPr="00D872F0" w:rsidP="5F135418" w14:paraId="4446D9BE" w14:textId="1748B722">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5</w:t>
            </w:r>
            <w:r w:rsidRPr="5F135418" w:rsidR="7F96D492">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96</w:t>
            </w:r>
            <w:r w:rsidRPr="5F135418" w:rsidR="1B1F6DEF">
              <w:rPr>
                <w:rFonts w:ascii="Calibri" w:eastAsia="Times New Roman" w:hAnsi="Calibri" w:cs="Calibri"/>
                <w:color w:val="000000" w:themeColor="text1"/>
                <w:sz w:val="22"/>
              </w:rPr>
              <w:t>5</w:t>
            </w:r>
          </w:p>
        </w:tc>
        <w:tc>
          <w:tcPr>
            <w:tcW w:w="1480" w:type="dxa"/>
            <w:tcBorders>
              <w:top w:val="nil"/>
              <w:left w:val="nil"/>
              <w:bottom w:val="single" w:sz="8" w:space="0" w:color="auto"/>
              <w:right w:val="single" w:sz="8" w:space="0" w:color="auto"/>
            </w:tcBorders>
            <w:shd w:val="clear" w:color="auto" w:fill="auto"/>
            <w:vAlign w:val="center"/>
            <w:hideMark/>
          </w:tcPr>
          <w:p w:rsidR="00D872F0" w:rsidRPr="00D872F0" w:rsidP="5F135418" w14:paraId="6D1C27B6" w14:textId="611DF21C">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23</w:t>
            </w:r>
            <w:r w:rsidRPr="5F135418" w:rsidR="30D80E14">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8</w:t>
            </w:r>
            <w:r w:rsidRPr="5F135418" w:rsidR="4C92222B">
              <w:rPr>
                <w:rFonts w:ascii="Calibri" w:eastAsia="Times New Roman" w:hAnsi="Calibri" w:cs="Calibri"/>
                <w:color w:val="000000" w:themeColor="text1"/>
                <w:sz w:val="22"/>
              </w:rPr>
              <w:t>60</w:t>
            </w:r>
          </w:p>
        </w:tc>
        <w:tc>
          <w:tcPr>
            <w:tcW w:w="2457" w:type="dxa"/>
            <w:tcBorders>
              <w:top w:val="nil"/>
              <w:left w:val="nil"/>
              <w:bottom w:val="single" w:sz="8" w:space="0" w:color="auto"/>
              <w:right w:val="double" w:sz="6" w:space="0" w:color="000000" w:themeColor="text1"/>
            </w:tcBorders>
            <w:shd w:val="clear" w:color="auto" w:fill="auto"/>
            <w:vAlign w:val="center"/>
            <w:hideMark/>
          </w:tcPr>
          <w:p w:rsidR="00D872F0" w:rsidRPr="00D872F0" w:rsidP="5F135418" w14:paraId="6C2C5B37" w14:textId="572CA1C5">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$1</w:t>
            </w:r>
            <w:r w:rsidRPr="5F135418" w:rsidR="3913AC19">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98</w:t>
            </w:r>
            <w:r w:rsidRPr="5F135418" w:rsidR="15118185">
              <w:rPr>
                <w:rFonts w:ascii="Calibri" w:eastAsia="Times New Roman" w:hAnsi="Calibri" w:cs="Calibri"/>
                <w:color w:val="000000" w:themeColor="text1"/>
                <w:sz w:val="22"/>
              </w:rPr>
              <w:t>7,</w:t>
            </w:r>
            <w:r w:rsidRPr="5F135418">
              <w:rPr>
                <w:rFonts w:ascii="Calibri" w:eastAsia="Times New Roman" w:hAnsi="Calibri" w:cs="Calibri"/>
                <w:color w:val="000000" w:themeColor="text1"/>
                <w:sz w:val="22"/>
              </w:rPr>
              <w:t>5</w:t>
            </w:r>
            <w:r w:rsidRPr="5F135418" w:rsidR="1DDE0A99">
              <w:rPr>
                <w:rFonts w:ascii="Calibri" w:eastAsia="Times New Roman" w:hAnsi="Calibri" w:cs="Calibri"/>
                <w:color w:val="000000" w:themeColor="text1"/>
                <w:sz w:val="22"/>
              </w:rPr>
              <w:t>2</w:t>
            </w:r>
            <w:r w:rsidRPr="5F135418">
              <w:rPr>
                <w:rFonts w:ascii="Calibri" w:eastAsia="Times New Roman" w:hAnsi="Calibri" w:cs="Calibri"/>
                <w:color w:val="000000" w:themeColor="text1"/>
                <w:sz w:val="22"/>
              </w:rPr>
              <w:t xml:space="preserve">6 </w:t>
            </w:r>
          </w:p>
        </w:tc>
      </w:tr>
      <w:tr w14:paraId="44DA7343" w14:textId="77777777" w:rsidTr="5F135418">
        <w:tblPrEx>
          <w:tblW w:w="8257" w:type="dxa"/>
          <w:tblCellMar>
            <w:left w:w="0" w:type="dxa"/>
            <w:right w:w="0" w:type="dxa"/>
          </w:tblCellMar>
          <w:tblLook w:val="04A0"/>
        </w:tblPrEx>
        <w:trPr>
          <w:trHeight w:val="300"/>
        </w:trPr>
        <w:tc>
          <w:tcPr>
            <w:tcW w:w="2420" w:type="dxa"/>
            <w:tcBorders>
              <w:top w:val="nil"/>
              <w:left w:val="double" w:sz="6" w:space="0" w:color="000000" w:themeColor="text1"/>
              <w:bottom w:val="single" w:sz="8" w:space="0" w:color="auto"/>
              <w:right w:val="single" w:sz="8" w:space="0" w:color="auto"/>
            </w:tcBorders>
            <w:shd w:val="clear" w:color="auto" w:fill="auto"/>
            <w:vAlign w:val="center"/>
            <w:hideMark/>
          </w:tcPr>
          <w:p w:rsidR="00D872F0" w:rsidRPr="00962957" w:rsidP="5F135418" w14:paraId="276D0A96" w14:textId="77777777">
            <w:pPr>
              <w:spacing w:after="0" w:line="240" w:lineRule="auto"/>
              <w:rPr>
                <w:rFonts w:ascii="Calibri" w:hAnsi="Calibri" w:cs="Calibri"/>
                <w:color w:val="000000"/>
                <w:sz w:val="22"/>
              </w:rPr>
            </w:pPr>
            <w:r w:rsidRPr="5F135418">
              <w:rPr>
                <w:rFonts w:ascii="Calibri" w:hAnsi="Calibri" w:cs="Calibri"/>
                <w:color w:val="000000" w:themeColor="text1"/>
                <w:sz w:val="22"/>
              </w:rPr>
              <w:t>Reporting</w:t>
            </w:r>
          </w:p>
        </w:tc>
        <w:tc>
          <w:tcPr>
            <w:tcW w:w="1900" w:type="dxa"/>
            <w:tcBorders>
              <w:top w:val="nil"/>
              <w:left w:val="nil"/>
              <w:bottom w:val="single" w:sz="8" w:space="0" w:color="auto"/>
              <w:right w:val="single" w:sz="8" w:space="0" w:color="auto"/>
            </w:tcBorders>
            <w:shd w:val="clear" w:color="auto" w:fill="auto"/>
            <w:vAlign w:val="center"/>
            <w:hideMark/>
          </w:tcPr>
          <w:p w:rsidR="00D872F0" w:rsidRPr="00D872F0" w:rsidP="5F135418" w14:paraId="1D3BF655" w14:textId="2C9F2E98">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16</w:t>
            </w:r>
            <w:r w:rsidRPr="5F135418" w:rsidR="6DDC3028">
              <w:rPr>
                <w:rFonts w:ascii="Calibri" w:eastAsia="Times New Roman" w:hAnsi="Calibri" w:cs="Calibri"/>
                <w:color w:val="000000" w:themeColor="text1"/>
                <w:sz w:val="22"/>
              </w:rPr>
              <w:t>0</w:t>
            </w:r>
          </w:p>
        </w:tc>
        <w:tc>
          <w:tcPr>
            <w:tcW w:w="1480" w:type="dxa"/>
            <w:tcBorders>
              <w:top w:val="nil"/>
              <w:left w:val="nil"/>
              <w:bottom w:val="single" w:sz="8" w:space="0" w:color="auto"/>
              <w:right w:val="single" w:sz="8" w:space="0" w:color="auto"/>
            </w:tcBorders>
            <w:shd w:val="clear" w:color="auto" w:fill="auto"/>
            <w:vAlign w:val="center"/>
            <w:hideMark/>
          </w:tcPr>
          <w:p w:rsidR="00D872F0" w:rsidRPr="00D872F0" w:rsidP="5F135418" w14:paraId="2065EC8E" w14:textId="149BA18C">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1</w:t>
            </w:r>
            <w:r w:rsidRPr="5F135418" w:rsidR="5C9DBBE9">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28</w:t>
            </w:r>
            <w:r w:rsidRPr="5F135418" w:rsidR="4B71ED85">
              <w:rPr>
                <w:rFonts w:ascii="Calibri" w:eastAsia="Times New Roman" w:hAnsi="Calibri" w:cs="Calibri"/>
                <w:color w:val="000000" w:themeColor="text1"/>
                <w:sz w:val="22"/>
              </w:rPr>
              <w:t>0</w:t>
            </w:r>
          </w:p>
        </w:tc>
        <w:tc>
          <w:tcPr>
            <w:tcW w:w="2457" w:type="dxa"/>
            <w:tcBorders>
              <w:top w:val="nil"/>
              <w:left w:val="nil"/>
              <w:bottom w:val="single" w:sz="8" w:space="0" w:color="auto"/>
              <w:right w:val="double" w:sz="6" w:space="0" w:color="000000" w:themeColor="text1"/>
            </w:tcBorders>
            <w:shd w:val="clear" w:color="auto" w:fill="auto"/>
            <w:vAlign w:val="center"/>
            <w:hideMark/>
          </w:tcPr>
          <w:p w:rsidR="00D872F0" w:rsidRPr="00D872F0" w:rsidP="5F135418" w14:paraId="0130B69E" w14:textId="4662E063">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$104</w:t>
            </w:r>
            <w:r w:rsidRPr="5F135418" w:rsidR="66C6CDF9">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8</w:t>
            </w:r>
            <w:r w:rsidRPr="5F135418" w:rsidR="15C4C3E0">
              <w:rPr>
                <w:rFonts w:ascii="Calibri" w:eastAsia="Times New Roman" w:hAnsi="Calibri" w:cs="Calibri"/>
                <w:color w:val="000000" w:themeColor="text1"/>
                <w:sz w:val="22"/>
              </w:rPr>
              <w:t>26</w:t>
            </w:r>
            <w:r w:rsidRPr="5F135418">
              <w:rPr>
                <w:rFonts w:ascii="Calibri" w:eastAsia="Times New Roman" w:hAnsi="Calibri" w:cs="Calibri"/>
                <w:color w:val="000000" w:themeColor="text1"/>
                <w:sz w:val="22"/>
              </w:rPr>
              <w:t xml:space="preserve"> </w:t>
            </w:r>
          </w:p>
        </w:tc>
      </w:tr>
      <w:tr w14:paraId="4FC716B8" w14:textId="77777777" w:rsidTr="5F135418">
        <w:tblPrEx>
          <w:tblW w:w="8257" w:type="dxa"/>
          <w:tblCellMar>
            <w:left w:w="0" w:type="dxa"/>
            <w:right w:w="0" w:type="dxa"/>
          </w:tblCellMar>
          <w:tblLook w:val="04A0"/>
        </w:tblPrEx>
        <w:trPr>
          <w:trHeight w:val="300"/>
        </w:trPr>
        <w:tc>
          <w:tcPr>
            <w:tcW w:w="2420" w:type="dxa"/>
            <w:tcBorders>
              <w:top w:val="nil"/>
              <w:left w:val="double" w:sz="6" w:space="0" w:color="000000" w:themeColor="text1"/>
              <w:bottom w:val="single" w:sz="8" w:space="0" w:color="auto"/>
              <w:right w:val="single" w:sz="8" w:space="0" w:color="auto"/>
            </w:tcBorders>
            <w:shd w:val="clear" w:color="auto" w:fill="auto"/>
            <w:vAlign w:val="center"/>
            <w:hideMark/>
          </w:tcPr>
          <w:p w:rsidR="00D872F0" w:rsidRPr="00962957" w:rsidP="5F135418" w14:paraId="0B849D19" w14:textId="77777777">
            <w:pPr>
              <w:spacing w:after="0" w:line="240" w:lineRule="auto"/>
              <w:rPr>
                <w:rFonts w:ascii="Calibri" w:hAnsi="Calibri" w:cs="Calibri"/>
                <w:b/>
                <w:bCs/>
                <w:color w:val="000000"/>
                <w:sz w:val="22"/>
              </w:rPr>
            </w:pPr>
            <w:r w:rsidRPr="5F135418">
              <w:rPr>
                <w:rFonts w:ascii="Calibri" w:hAnsi="Calibri" w:cs="Calibri"/>
                <w:color w:val="000000" w:themeColor="text1"/>
                <w:sz w:val="22"/>
              </w:rPr>
              <w:t xml:space="preserve">Federal Register Review </w:t>
            </w:r>
            <w:r w:rsidRPr="5F135418">
              <w:rPr>
                <w:rFonts w:ascii="Calibri" w:hAnsi="Calibri" w:cs="Calibri"/>
                <w:color w:val="000000" w:themeColor="text1"/>
                <w:sz w:val="22"/>
                <w:vertAlign w:val="superscript"/>
              </w:rPr>
              <w:t>1</w:t>
            </w:r>
          </w:p>
        </w:tc>
        <w:tc>
          <w:tcPr>
            <w:tcW w:w="1900" w:type="dxa"/>
            <w:tcBorders>
              <w:top w:val="nil"/>
              <w:left w:val="nil"/>
              <w:bottom w:val="single" w:sz="8" w:space="0" w:color="auto"/>
              <w:right w:val="single" w:sz="8" w:space="0" w:color="auto"/>
            </w:tcBorders>
            <w:shd w:val="clear" w:color="auto" w:fill="auto"/>
            <w:vAlign w:val="center"/>
            <w:hideMark/>
          </w:tcPr>
          <w:p w:rsidR="00D872F0" w:rsidRPr="00350C70" w:rsidP="5F135418" w14:paraId="798B7928" w14:textId="62E01B00">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135</w:t>
            </w:r>
            <w:r w:rsidRPr="5F135418" w:rsidR="2414795C">
              <w:rPr>
                <w:rFonts w:ascii="Calibri" w:eastAsia="Times New Roman" w:hAnsi="Calibri" w:cs="Calibri"/>
                <w:color w:val="000000" w:themeColor="text1"/>
                <w:sz w:val="22"/>
              </w:rPr>
              <w:t>,</w:t>
            </w:r>
            <w:r w:rsidRPr="5F135418" w:rsidR="6D89C55F">
              <w:rPr>
                <w:rFonts w:ascii="Calibri" w:eastAsia="Times New Roman" w:hAnsi="Calibri" w:cs="Calibri"/>
                <w:color w:val="000000" w:themeColor="text1"/>
                <w:sz w:val="22"/>
              </w:rPr>
              <w:t>406</w:t>
            </w:r>
          </w:p>
        </w:tc>
        <w:tc>
          <w:tcPr>
            <w:tcW w:w="1480" w:type="dxa"/>
            <w:tcBorders>
              <w:top w:val="nil"/>
              <w:left w:val="nil"/>
              <w:bottom w:val="single" w:sz="8" w:space="0" w:color="auto"/>
              <w:right w:val="single" w:sz="8" w:space="0" w:color="auto"/>
            </w:tcBorders>
            <w:shd w:val="clear" w:color="auto" w:fill="auto"/>
            <w:vAlign w:val="center"/>
            <w:hideMark/>
          </w:tcPr>
          <w:p w:rsidR="00D872F0" w:rsidRPr="00350C70" w:rsidP="5F135418" w14:paraId="76B3F2C2" w14:textId="3C75DDD0">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33</w:t>
            </w:r>
            <w:r w:rsidRPr="5F135418" w:rsidR="4C2F8C00">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8</w:t>
            </w:r>
            <w:r w:rsidRPr="5F135418" w:rsidR="39D0D7A5">
              <w:rPr>
                <w:rFonts w:ascii="Calibri" w:eastAsia="Times New Roman" w:hAnsi="Calibri" w:cs="Calibri"/>
                <w:color w:val="000000" w:themeColor="text1"/>
                <w:sz w:val="22"/>
              </w:rPr>
              <w:t>93</w:t>
            </w:r>
          </w:p>
        </w:tc>
        <w:tc>
          <w:tcPr>
            <w:tcW w:w="2457" w:type="dxa"/>
            <w:tcBorders>
              <w:top w:val="nil"/>
              <w:left w:val="nil"/>
              <w:bottom w:val="single" w:sz="8" w:space="0" w:color="auto"/>
              <w:right w:val="double" w:sz="6" w:space="0" w:color="000000" w:themeColor="text1"/>
            </w:tcBorders>
            <w:shd w:val="clear" w:color="auto" w:fill="auto"/>
            <w:vAlign w:val="center"/>
            <w:hideMark/>
          </w:tcPr>
          <w:p w:rsidR="00D872F0" w:rsidRPr="00350C70" w:rsidP="5F135418" w14:paraId="7074E6CC" w14:textId="6A340553">
            <w:pPr>
              <w:spacing w:after="0" w:line="240" w:lineRule="auto"/>
              <w:jc w:val="center"/>
              <w:rPr>
                <w:rFonts w:ascii="Calibri" w:eastAsia="Times New Roman" w:hAnsi="Calibri" w:cs="Calibri"/>
                <w:color w:val="000000"/>
                <w:sz w:val="22"/>
              </w:rPr>
            </w:pPr>
            <w:r w:rsidRPr="5F135418">
              <w:rPr>
                <w:rFonts w:ascii="Calibri" w:eastAsia="Times New Roman" w:hAnsi="Calibri" w:cs="Calibri"/>
                <w:color w:val="000000" w:themeColor="text1"/>
                <w:sz w:val="22"/>
              </w:rPr>
              <w:t>$3</w:t>
            </w:r>
            <w:r w:rsidRPr="5F135418" w:rsidR="2182C511">
              <w:rPr>
                <w:rFonts w:ascii="Calibri" w:eastAsia="Times New Roman" w:hAnsi="Calibri" w:cs="Calibri"/>
                <w:color w:val="000000" w:themeColor="text1"/>
                <w:sz w:val="22"/>
              </w:rPr>
              <w:t>,</w:t>
            </w:r>
            <w:r w:rsidRPr="5F135418">
              <w:rPr>
                <w:rFonts w:ascii="Calibri" w:eastAsia="Times New Roman" w:hAnsi="Calibri" w:cs="Calibri"/>
                <w:color w:val="000000" w:themeColor="text1"/>
                <w:sz w:val="22"/>
              </w:rPr>
              <w:t>0</w:t>
            </w:r>
            <w:r w:rsidRPr="5F135418" w:rsidR="4264E12B">
              <w:rPr>
                <w:rFonts w:ascii="Calibri" w:eastAsia="Times New Roman" w:hAnsi="Calibri" w:cs="Calibri"/>
                <w:color w:val="000000" w:themeColor="text1"/>
                <w:sz w:val="22"/>
              </w:rPr>
              <w:t>2</w:t>
            </w:r>
            <w:r w:rsidRPr="5F135418">
              <w:rPr>
                <w:rFonts w:ascii="Calibri" w:eastAsia="Times New Roman" w:hAnsi="Calibri" w:cs="Calibri"/>
                <w:color w:val="000000" w:themeColor="text1"/>
                <w:sz w:val="22"/>
              </w:rPr>
              <w:t>1</w:t>
            </w:r>
            <w:r w:rsidRPr="5F135418" w:rsidR="322A9E6B">
              <w:rPr>
                <w:rFonts w:ascii="Calibri" w:eastAsia="Times New Roman" w:hAnsi="Calibri" w:cs="Calibri"/>
                <w:color w:val="000000" w:themeColor="text1"/>
                <w:sz w:val="22"/>
              </w:rPr>
              <w:t>,</w:t>
            </w:r>
            <w:r w:rsidRPr="5F135418" w:rsidR="28389043">
              <w:rPr>
                <w:rFonts w:ascii="Calibri" w:eastAsia="Times New Roman" w:hAnsi="Calibri" w:cs="Calibri"/>
                <w:color w:val="000000" w:themeColor="text1"/>
                <w:sz w:val="22"/>
              </w:rPr>
              <w:t>8</w:t>
            </w:r>
            <w:r w:rsidRPr="5F135418" w:rsidR="00E8185E">
              <w:rPr>
                <w:rFonts w:ascii="Calibri" w:eastAsia="Times New Roman" w:hAnsi="Calibri" w:cs="Calibri"/>
                <w:color w:val="000000" w:themeColor="text1"/>
                <w:sz w:val="22"/>
              </w:rPr>
              <w:t>55</w:t>
            </w:r>
          </w:p>
        </w:tc>
      </w:tr>
      <w:tr w14:paraId="081C5F33" w14:textId="77777777" w:rsidTr="5F135418">
        <w:tblPrEx>
          <w:tblW w:w="8257" w:type="dxa"/>
          <w:tblCellMar>
            <w:left w:w="0" w:type="dxa"/>
            <w:right w:w="0" w:type="dxa"/>
          </w:tblCellMar>
          <w:tblLook w:val="04A0"/>
        </w:tblPrEx>
        <w:trPr>
          <w:trHeight w:val="324"/>
        </w:trPr>
        <w:tc>
          <w:tcPr>
            <w:tcW w:w="2420" w:type="dxa"/>
            <w:tcBorders>
              <w:top w:val="nil"/>
              <w:left w:val="double" w:sz="6" w:space="0" w:color="000000" w:themeColor="text1"/>
              <w:bottom w:val="single" w:sz="8" w:space="0" w:color="000000" w:themeColor="text1"/>
              <w:right w:val="single" w:sz="8" w:space="0" w:color="auto"/>
            </w:tcBorders>
            <w:shd w:val="clear" w:color="auto" w:fill="auto"/>
            <w:vAlign w:val="center"/>
            <w:hideMark/>
          </w:tcPr>
          <w:p w:rsidR="00D872F0" w:rsidRPr="00962957" w:rsidP="5F135418" w14:paraId="23BF7F5D" w14:textId="77777777">
            <w:pPr>
              <w:spacing w:after="0" w:line="240" w:lineRule="auto"/>
              <w:rPr>
                <w:rFonts w:ascii="Calibri" w:hAnsi="Calibri" w:cs="Calibri"/>
                <w:b/>
                <w:bCs/>
                <w:color w:val="000000"/>
                <w:sz w:val="22"/>
              </w:rPr>
            </w:pPr>
            <w:r w:rsidRPr="5F135418">
              <w:rPr>
                <w:rFonts w:ascii="Calibri" w:hAnsi="Calibri" w:cs="Calibri"/>
                <w:b/>
                <w:bCs/>
                <w:color w:val="000000" w:themeColor="text1"/>
                <w:sz w:val="22"/>
              </w:rPr>
              <w:t>Total/Overall</w:t>
            </w:r>
          </w:p>
        </w:tc>
        <w:tc>
          <w:tcPr>
            <w:tcW w:w="1900" w:type="dxa"/>
            <w:tcBorders>
              <w:top w:val="nil"/>
              <w:left w:val="nil"/>
              <w:bottom w:val="single" w:sz="8" w:space="0" w:color="000000" w:themeColor="text1"/>
              <w:right w:val="single" w:sz="8" w:space="0" w:color="auto"/>
            </w:tcBorders>
            <w:shd w:val="clear" w:color="auto" w:fill="auto"/>
            <w:vAlign w:val="center"/>
            <w:hideMark/>
          </w:tcPr>
          <w:p w:rsidR="00D872F0" w:rsidRPr="00350C70" w:rsidP="5F135418" w14:paraId="0485E98E" w14:textId="21F10D41">
            <w:pPr>
              <w:spacing w:after="0" w:line="240" w:lineRule="auto"/>
              <w:jc w:val="center"/>
              <w:rPr>
                <w:rFonts w:ascii="Calibri" w:eastAsia="Times New Roman" w:hAnsi="Calibri" w:cs="Calibri"/>
                <w:b/>
                <w:bCs/>
                <w:color w:val="000000"/>
                <w:sz w:val="22"/>
              </w:rPr>
            </w:pPr>
            <w:r w:rsidRPr="5F135418">
              <w:rPr>
                <w:rFonts w:ascii="Calibri" w:eastAsia="Times New Roman" w:hAnsi="Calibri" w:cs="Calibri"/>
                <w:b/>
                <w:bCs/>
                <w:color w:val="000000" w:themeColor="text1"/>
                <w:sz w:val="22"/>
              </w:rPr>
              <w:t>1</w:t>
            </w:r>
            <w:r w:rsidRPr="5F135418" w:rsidR="79E85EB8">
              <w:rPr>
                <w:rFonts w:ascii="Calibri" w:eastAsia="Times New Roman" w:hAnsi="Calibri" w:cs="Calibri"/>
                <w:b/>
                <w:bCs/>
                <w:color w:val="000000" w:themeColor="text1"/>
                <w:sz w:val="22"/>
              </w:rPr>
              <w:t>41,</w:t>
            </w:r>
            <w:r w:rsidRPr="5F135418" w:rsidR="3581489D">
              <w:rPr>
                <w:rFonts w:ascii="Calibri" w:eastAsia="Times New Roman" w:hAnsi="Calibri" w:cs="Calibri"/>
                <w:b/>
                <w:bCs/>
                <w:color w:val="000000" w:themeColor="text1"/>
                <w:sz w:val="22"/>
              </w:rPr>
              <w:t>69</w:t>
            </w:r>
            <w:r w:rsidRPr="5F135418" w:rsidR="79E85EB8">
              <w:rPr>
                <w:rFonts w:ascii="Calibri" w:eastAsia="Times New Roman" w:hAnsi="Calibri" w:cs="Calibri"/>
                <w:b/>
                <w:bCs/>
                <w:color w:val="000000" w:themeColor="text1"/>
                <w:sz w:val="22"/>
              </w:rPr>
              <w:t>5</w:t>
            </w:r>
          </w:p>
        </w:tc>
        <w:tc>
          <w:tcPr>
            <w:tcW w:w="1480" w:type="dxa"/>
            <w:tcBorders>
              <w:top w:val="nil"/>
              <w:left w:val="nil"/>
              <w:bottom w:val="single" w:sz="8" w:space="0" w:color="000000" w:themeColor="text1"/>
              <w:right w:val="single" w:sz="8" w:space="0" w:color="auto"/>
            </w:tcBorders>
            <w:shd w:val="clear" w:color="auto" w:fill="auto"/>
            <w:vAlign w:val="center"/>
            <w:hideMark/>
          </w:tcPr>
          <w:p w:rsidR="00D872F0" w:rsidRPr="00350C70" w:rsidP="5F135418" w14:paraId="205DAD1A" w14:textId="483207EB">
            <w:pPr>
              <w:spacing w:after="0" w:line="240" w:lineRule="auto"/>
              <w:jc w:val="center"/>
              <w:rPr>
                <w:rFonts w:ascii="Calibri" w:eastAsia="Times New Roman" w:hAnsi="Calibri" w:cs="Calibri"/>
                <w:b/>
                <w:bCs/>
                <w:color w:val="000000"/>
                <w:sz w:val="22"/>
              </w:rPr>
            </w:pPr>
            <w:r w:rsidRPr="5F135418">
              <w:rPr>
                <w:rFonts w:ascii="Calibri" w:eastAsia="Times New Roman" w:hAnsi="Calibri" w:cs="Calibri"/>
                <w:b/>
                <w:bCs/>
                <w:color w:val="000000" w:themeColor="text1"/>
                <w:sz w:val="22"/>
              </w:rPr>
              <w:t>5</w:t>
            </w:r>
            <w:r w:rsidRPr="5F135418" w:rsidR="4379396A">
              <w:rPr>
                <w:rFonts w:ascii="Calibri" w:eastAsia="Times New Roman" w:hAnsi="Calibri" w:cs="Calibri"/>
                <w:b/>
                <w:bCs/>
                <w:color w:val="000000" w:themeColor="text1"/>
                <w:sz w:val="22"/>
              </w:rPr>
              <w:t>9</w:t>
            </w:r>
            <w:r w:rsidRPr="5F135418" w:rsidR="01DE7A2B">
              <w:rPr>
                <w:rFonts w:ascii="Calibri" w:eastAsia="Times New Roman" w:hAnsi="Calibri" w:cs="Calibri"/>
                <w:b/>
                <w:bCs/>
                <w:color w:val="000000" w:themeColor="text1"/>
                <w:sz w:val="22"/>
              </w:rPr>
              <w:t>,</w:t>
            </w:r>
            <w:r w:rsidRPr="5F135418" w:rsidR="5F730260">
              <w:rPr>
                <w:rFonts w:ascii="Calibri" w:eastAsia="Times New Roman" w:hAnsi="Calibri" w:cs="Calibri"/>
                <w:b/>
                <w:bCs/>
                <w:color w:val="000000" w:themeColor="text1"/>
                <w:sz w:val="22"/>
              </w:rPr>
              <w:t>033</w:t>
            </w:r>
          </w:p>
        </w:tc>
        <w:tc>
          <w:tcPr>
            <w:tcW w:w="2457" w:type="dxa"/>
            <w:tcBorders>
              <w:top w:val="nil"/>
              <w:left w:val="nil"/>
              <w:bottom w:val="single" w:sz="8" w:space="0" w:color="000000" w:themeColor="text1"/>
              <w:right w:val="double" w:sz="6" w:space="0" w:color="000000" w:themeColor="text1"/>
            </w:tcBorders>
            <w:shd w:val="clear" w:color="auto" w:fill="auto"/>
            <w:vAlign w:val="center"/>
            <w:hideMark/>
          </w:tcPr>
          <w:p w:rsidR="00D872F0" w:rsidRPr="00350C70" w:rsidP="5F135418" w14:paraId="0E4F026A" w14:textId="46A0AF18">
            <w:pPr>
              <w:spacing w:after="0" w:line="240" w:lineRule="auto"/>
              <w:jc w:val="center"/>
              <w:rPr>
                <w:rFonts w:ascii="Calibri" w:eastAsia="Times New Roman" w:hAnsi="Calibri" w:cs="Calibri"/>
                <w:b/>
                <w:bCs/>
                <w:color w:val="000000"/>
                <w:sz w:val="22"/>
              </w:rPr>
            </w:pPr>
            <w:r w:rsidRPr="5F135418">
              <w:rPr>
                <w:rFonts w:ascii="Calibri" w:eastAsia="Times New Roman" w:hAnsi="Calibri" w:cs="Calibri"/>
                <w:b/>
                <w:bCs/>
                <w:color w:val="000000" w:themeColor="text1"/>
                <w:sz w:val="22"/>
              </w:rPr>
              <w:t>$</w:t>
            </w:r>
            <w:r w:rsidRPr="5F135418" w:rsidR="101CFBA1">
              <w:rPr>
                <w:rFonts w:ascii="Calibri" w:eastAsia="Times New Roman" w:hAnsi="Calibri" w:cs="Calibri"/>
                <w:b/>
                <w:bCs/>
                <w:color w:val="000000" w:themeColor="text1"/>
                <w:sz w:val="22"/>
              </w:rPr>
              <w:t>5,11</w:t>
            </w:r>
            <w:r w:rsidRPr="5F135418" w:rsidR="788EDAE4">
              <w:rPr>
                <w:rFonts w:ascii="Calibri" w:eastAsia="Times New Roman" w:hAnsi="Calibri" w:cs="Calibri"/>
                <w:b/>
                <w:bCs/>
                <w:color w:val="000000" w:themeColor="text1"/>
                <w:sz w:val="22"/>
              </w:rPr>
              <w:t>4</w:t>
            </w:r>
            <w:r w:rsidRPr="5F135418" w:rsidR="4BA409FC">
              <w:rPr>
                <w:rFonts w:ascii="Calibri" w:eastAsia="Times New Roman" w:hAnsi="Calibri" w:cs="Calibri"/>
                <w:b/>
                <w:bCs/>
                <w:color w:val="000000" w:themeColor="text1"/>
                <w:sz w:val="22"/>
              </w:rPr>
              <w:t>,</w:t>
            </w:r>
            <w:r w:rsidRPr="5F135418" w:rsidR="48619972">
              <w:rPr>
                <w:rFonts w:ascii="Calibri" w:eastAsia="Times New Roman" w:hAnsi="Calibri" w:cs="Calibri"/>
                <w:b/>
                <w:bCs/>
                <w:color w:val="000000" w:themeColor="text1"/>
                <w:sz w:val="22"/>
              </w:rPr>
              <w:t>208</w:t>
            </w:r>
            <w:r w:rsidRPr="5F135418">
              <w:rPr>
                <w:rFonts w:ascii="Calibri" w:eastAsia="Times New Roman" w:hAnsi="Calibri" w:cs="Calibri"/>
                <w:b/>
                <w:bCs/>
                <w:color w:val="000000" w:themeColor="text1"/>
                <w:sz w:val="22"/>
              </w:rPr>
              <w:t xml:space="preserve"> </w:t>
            </w:r>
          </w:p>
        </w:tc>
      </w:tr>
      <w:tr w14:paraId="25F65D8A" w14:textId="77777777" w:rsidTr="5F135418">
        <w:tblPrEx>
          <w:tblW w:w="8257" w:type="dxa"/>
          <w:tblCellMar>
            <w:left w:w="0" w:type="dxa"/>
            <w:right w:w="0" w:type="dxa"/>
          </w:tblCellMar>
          <w:tblLook w:val="04A0"/>
        </w:tblPrEx>
        <w:trPr>
          <w:trHeight w:val="300"/>
        </w:trPr>
        <w:tc>
          <w:tcPr>
            <w:tcW w:w="8257" w:type="dxa"/>
            <w:gridSpan w:val="4"/>
            <w:tcBorders>
              <w:top w:val="single" w:sz="8"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hideMark/>
          </w:tcPr>
          <w:p w:rsidR="007E2E3C" w:rsidRPr="00962957" w:rsidP="5F135418" w14:paraId="437CCDF7" w14:textId="77777777">
            <w:pPr>
              <w:spacing w:after="0" w:line="240" w:lineRule="auto"/>
              <w:rPr>
                <w:rFonts w:ascii="Calibri" w:hAnsi="Calibri" w:cs="Calibri"/>
                <w:b/>
                <w:bCs/>
                <w:color w:val="000000"/>
                <w:sz w:val="22"/>
              </w:rPr>
            </w:pPr>
            <w:r w:rsidRPr="5F135418">
              <w:rPr>
                <w:rFonts w:ascii="Calibri" w:hAnsi="Calibri" w:cs="Calibri"/>
                <w:b/>
                <w:bCs/>
                <w:color w:val="000000" w:themeColor="text1"/>
                <w:sz w:val="22"/>
                <w:vertAlign w:val="superscript"/>
              </w:rPr>
              <w:t>1</w:t>
            </w:r>
            <w:r w:rsidRPr="5F135418">
              <w:rPr>
                <w:rFonts w:ascii="Calibri" w:hAnsi="Calibri" w:cs="Calibri"/>
                <w:b/>
                <w:bCs/>
                <w:color w:val="000000" w:themeColor="text1"/>
                <w:sz w:val="22"/>
              </w:rPr>
              <w:t xml:space="preserve"> </w:t>
            </w:r>
            <w:r w:rsidRPr="5F135418">
              <w:rPr>
                <w:rFonts w:ascii="Calibri" w:hAnsi="Calibri" w:cs="Calibri"/>
                <w:color w:val="000000" w:themeColor="text1"/>
                <w:sz w:val="22"/>
              </w:rPr>
              <w:t>Compliance Determination</w:t>
            </w:r>
          </w:p>
        </w:tc>
      </w:tr>
    </w:tbl>
    <w:p w:rsidR="007E2E3C" w:rsidRPr="00962957" w:rsidP="008C6C23" w14:paraId="776F44AE" w14:textId="77777777">
      <w:pPr>
        <w:spacing w:after="0"/>
        <w:rPr>
          <w:rFonts w:ascii="Calibri" w:hAnsi="Calibri" w:cs="Calibri"/>
          <w:szCs w:val="24"/>
        </w:rPr>
      </w:pPr>
      <w:r w:rsidRPr="00962957">
        <w:rPr>
          <w:rFonts w:ascii="Calibri" w:hAnsi="Calibri" w:cs="Calibri"/>
          <w:szCs w:val="24"/>
          <w:vertAlign w:val="superscript"/>
        </w:rPr>
        <w:t xml:space="preserve"> </w:t>
      </w:r>
    </w:p>
    <w:p w:rsidR="007E2E3C" w:rsidRPr="00962957" w:rsidP="00452DD7" w14:paraId="02AAC758" w14:textId="2C505B93">
      <w:pPr>
        <w:pStyle w:val="Caption"/>
        <w:outlineLvl w:val="9"/>
        <w:rPr>
          <w:rFonts w:ascii="Calibri" w:hAnsi="Calibri" w:cs="Calibri"/>
          <w:szCs w:val="24"/>
        </w:rPr>
      </w:pPr>
      <w:bookmarkStart w:id="30" w:name="_Ref95748901"/>
      <w:r w:rsidRPr="00962957">
        <w:rPr>
          <w:rFonts w:ascii="Calibri" w:hAnsi="Calibri" w:cs="Calibri"/>
        </w:rPr>
        <w:t xml:space="preserve">Table </w:t>
      </w:r>
      <w:bookmarkEnd w:id="30"/>
      <w:r w:rsidR="00452DD7">
        <w:rPr>
          <w:rFonts w:ascii="Calibri" w:hAnsi="Calibri" w:cs="Calibri"/>
        </w:rPr>
        <w:t>9</w:t>
      </w:r>
      <w:r w:rsidRPr="00962957">
        <w:rPr>
          <w:rFonts w:ascii="Calibri" w:hAnsi="Calibri" w:cs="Calibri"/>
        </w:rPr>
        <w:t>. Average Annual Cost and Burden per Respondent TSCA Section 8(c)</w:t>
      </w:r>
      <w:r w:rsidR="00452DD7">
        <w:rPr>
          <w:rFonts w:ascii="Calibri" w:hAnsi="Calibri" w:cs="Calibri"/>
        </w:rPr>
        <w:t xml:space="preserve"> (2024$)</w:t>
      </w:r>
    </w:p>
    <w:tbl>
      <w:tblPr>
        <w:tblW w:w="9350" w:type="dxa"/>
        <w:tblLook w:val="04A0"/>
      </w:tblPr>
      <w:tblGrid>
        <w:gridCol w:w="1563"/>
        <w:gridCol w:w="1431"/>
        <w:gridCol w:w="1339"/>
        <w:gridCol w:w="1111"/>
        <w:gridCol w:w="1290"/>
        <w:gridCol w:w="1146"/>
        <w:gridCol w:w="1248"/>
        <w:gridCol w:w="222"/>
      </w:tblGrid>
      <w:tr w14:paraId="19A9E385" w14:textId="77777777" w:rsidTr="5F135418">
        <w:tblPrEx>
          <w:tblW w:w="9350" w:type="dxa"/>
          <w:tblLook w:val="04A0"/>
        </w:tblPrEx>
        <w:trPr>
          <w:gridAfter w:val="1"/>
          <w:wAfter w:w="222" w:type="dxa"/>
          <w:trHeight w:val="248"/>
        </w:trPr>
        <w:tc>
          <w:tcPr>
            <w:tcW w:w="1563" w:type="dxa"/>
            <w:tcBorders>
              <w:top w:val="nil"/>
              <w:left w:val="nil"/>
              <w:bottom w:val="single" w:sz="4" w:space="0" w:color="auto"/>
              <w:right w:val="single" w:sz="4" w:space="0" w:color="auto"/>
            </w:tcBorders>
            <w:shd w:val="clear" w:color="auto" w:fill="auto"/>
            <w:noWrap/>
            <w:vAlign w:val="bottom"/>
            <w:hideMark/>
          </w:tcPr>
          <w:p w:rsidR="00AA62CF" w:rsidRPr="00962957" w:rsidP="5F135418" w14:paraId="6CAE1F75" w14:textId="77777777">
            <w:pPr>
              <w:spacing w:after="0" w:line="240" w:lineRule="auto"/>
              <w:rPr>
                <w:rFonts w:ascii="Calibri" w:eastAsia="Calibri" w:hAnsi="Calibri" w:cs="Calibri"/>
                <w:sz w:val="22"/>
              </w:rPr>
            </w:pPr>
          </w:p>
        </w:tc>
        <w:tc>
          <w:tcPr>
            <w:tcW w:w="7565" w:type="dxa"/>
            <w:gridSpan w:val="6"/>
            <w:tcBorders>
              <w:top w:val="single" w:sz="4" w:space="0" w:color="auto"/>
              <w:left w:val="single" w:sz="4" w:space="0" w:color="auto"/>
              <w:bottom w:val="single" w:sz="4" w:space="0" w:color="auto"/>
              <w:right w:val="single" w:sz="4" w:space="0" w:color="auto"/>
            </w:tcBorders>
            <w:shd w:val="clear" w:color="auto" w:fill="D9D9D9" w:themeFill="accent6" w:themeFillShade="D9"/>
            <w:noWrap/>
            <w:vAlign w:val="bottom"/>
            <w:hideMark/>
          </w:tcPr>
          <w:p w:rsidR="00AA62CF" w:rsidRPr="00962957" w:rsidP="5F135418" w14:paraId="7CEC8B53" w14:textId="11A5A86C">
            <w:pPr>
              <w:spacing w:after="0" w:line="240" w:lineRule="auto"/>
              <w:jc w:val="center"/>
              <w:rPr>
                <w:rFonts w:ascii="Calibri" w:eastAsia="Calibri" w:hAnsi="Calibri" w:cs="Calibri"/>
                <w:b/>
                <w:bCs/>
                <w:color w:val="000000"/>
                <w:sz w:val="22"/>
              </w:rPr>
            </w:pPr>
            <w:r w:rsidRPr="5F135418">
              <w:rPr>
                <w:rFonts w:ascii="Calibri" w:eastAsia="Calibri" w:hAnsi="Calibri" w:cs="Calibri"/>
                <w:b/>
                <w:bCs/>
                <w:color w:val="000000" w:themeColor="text1"/>
                <w:sz w:val="22"/>
              </w:rPr>
              <w:t>Average Annual Amounts - Based on 13,552.92 Firms</w:t>
            </w:r>
          </w:p>
        </w:tc>
      </w:tr>
      <w:tr w14:paraId="73631CBD" w14:textId="77777777" w:rsidTr="5F135418">
        <w:tblPrEx>
          <w:tblW w:w="9350" w:type="dxa"/>
          <w:tblLook w:val="04A0"/>
        </w:tblPrEx>
        <w:trPr>
          <w:gridAfter w:val="1"/>
          <w:wAfter w:w="222" w:type="dxa"/>
          <w:trHeight w:val="484"/>
        </w:trPr>
        <w:tc>
          <w:tcPr>
            <w:tcW w:w="1563"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258A1C3E" w14:textId="77777777">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Activity</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3E6A2F78" w14:textId="77777777">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Responses</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0AABEA3C" w14:textId="77777777">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Responses Per Respondent</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0045B8E5" w14:textId="77777777">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Hours</w:t>
            </w:r>
            <w:r>
              <w:br/>
            </w:r>
            <w:r w:rsidRPr="5F135418">
              <w:rPr>
                <w:rFonts w:ascii="Calibri" w:eastAsia="Calibri" w:hAnsi="Calibri" w:cs="Calibri"/>
                <w:b/>
                <w:bCs/>
                <w:color w:val="000000" w:themeColor="text1"/>
                <w:sz w:val="20"/>
                <w:szCs w:val="20"/>
              </w:rPr>
              <w:t>Per Response</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0DD2EC68" w14:textId="77777777">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Hours</w:t>
            </w:r>
            <w:r>
              <w:br/>
            </w:r>
            <w:r w:rsidRPr="5F135418">
              <w:rPr>
                <w:rFonts w:ascii="Calibri" w:eastAsia="Calibri" w:hAnsi="Calibri" w:cs="Calibri"/>
                <w:b/>
                <w:bCs/>
                <w:color w:val="000000" w:themeColor="text1"/>
                <w:sz w:val="20"/>
                <w:szCs w:val="20"/>
              </w:rPr>
              <w:t>Per Respondent</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6FC402A2" w14:textId="77777777">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Cost</w:t>
            </w:r>
            <w:r>
              <w:br/>
            </w:r>
            <w:r w:rsidRPr="5F135418">
              <w:rPr>
                <w:rFonts w:ascii="Calibri" w:eastAsia="Calibri" w:hAnsi="Calibri" w:cs="Calibri"/>
                <w:b/>
                <w:bCs/>
                <w:color w:val="000000" w:themeColor="text1"/>
                <w:sz w:val="20"/>
                <w:szCs w:val="20"/>
              </w:rPr>
              <w:t>Per Response</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rsidP="5F135418" w14:paraId="4DA5F98B" w14:textId="4D46FD2D">
            <w:pPr>
              <w:spacing w:after="0" w:line="240" w:lineRule="auto"/>
              <w:jc w:val="center"/>
              <w:rPr>
                <w:rFonts w:ascii="Calibri" w:eastAsia="Calibri" w:hAnsi="Calibri" w:cs="Calibri"/>
                <w:b/>
                <w:bCs/>
                <w:color w:val="000000"/>
                <w:sz w:val="20"/>
                <w:szCs w:val="20"/>
              </w:rPr>
            </w:pPr>
            <w:r w:rsidRPr="5F135418">
              <w:rPr>
                <w:rFonts w:ascii="Calibri" w:eastAsia="Calibri" w:hAnsi="Calibri" w:cs="Calibri"/>
                <w:b/>
                <w:bCs/>
                <w:color w:val="000000" w:themeColor="text1"/>
                <w:sz w:val="20"/>
                <w:szCs w:val="20"/>
              </w:rPr>
              <w:t>Cost</w:t>
            </w:r>
            <w:r>
              <w:br/>
            </w:r>
            <w:r w:rsidRPr="5F135418">
              <w:rPr>
                <w:rFonts w:ascii="Calibri" w:eastAsia="Calibri" w:hAnsi="Calibri" w:cs="Calibri"/>
                <w:b/>
                <w:bCs/>
                <w:color w:val="000000" w:themeColor="text1"/>
                <w:sz w:val="20"/>
                <w:szCs w:val="20"/>
              </w:rPr>
              <w:t>Per Responden</w:t>
            </w:r>
            <w:r w:rsidRPr="5F135418" w:rsidR="216D3EC3">
              <w:rPr>
                <w:rFonts w:ascii="Calibri" w:eastAsia="Calibri" w:hAnsi="Calibri" w:cs="Calibri"/>
                <w:b/>
                <w:bCs/>
                <w:color w:val="000000" w:themeColor="text1"/>
                <w:sz w:val="20"/>
                <w:szCs w:val="20"/>
              </w:rPr>
              <w:t>t</w:t>
            </w:r>
          </w:p>
        </w:tc>
      </w:tr>
      <w:tr w14:paraId="3E8B1F92" w14:textId="77777777" w:rsidTr="5F135418">
        <w:tblPrEx>
          <w:tblW w:w="9350" w:type="dxa"/>
          <w:tblLook w:val="04A0"/>
        </w:tblPrEx>
        <w:trPr>
          <w:trHeight w:val="248"/>
        </w:trPr>
        <w:tc>
          <w:tcPr>
            <w:tcW w:w="1563" w:type="dxa"/>
            <w:vMerge/>
            <w:vAlign w:val="center"/>
            <w:hideMark/>
          </w:tcPr>
          <w:p w:rsidR="007E2E3C" w:rsidRPr="00962957" w14:paraId="3C52774C" w14:textId="77777777">
            <w:pPr>
              <w:spacing w:after="0" w:line="240" w:lineRule="auto"/>
              <w:rPr>
                <w:rFonts w:ascii="Calibri" w:eastAsia="Times New Roman" w:hAnsi="Calibri" w:cs="Calibri"/>
                <w:b/>
                <w:bCs/>
                <w:color w:val="000000"/>
                <w:szCs w:val="24"/>
              </w:rPr>
            </w:pPr>
          </w:p>
        </w:tc>
        <w:tc>
          <w:tcPr>
            <w:tcW w:w="1431" w:type="dxa"/>
            <w:vMerge/>
            <w:vAlign w:val="center"/>
            <w:hideMark/>
          </w:tcPr>
          <w:p w:rsidR="007E2E3C" w:rsidRPr="00962957" w14:paraId="42B7632B" w14:textId="77777777">
            <w:pPr>
              <w:spacing w:after="0" w:line="240" w:lineRule="auto"/>
              <w:rPr>
                <w:rFonts w:ascii="Calibri" w:eastAsia="Times New Roman" w:hAnsi="Calibri" w:cs="Calibri"/>
                <w:b/>
                <w:bCs/>
                <w:color w:val="000000"/>
                <w:szCs w:val="24"/>
              </w:rPr>
            </w:pPr>
          </w:p>
        </w:tc>
        <w:tc>
          <w:tcPr>
            <w:tcW w:w="1339" w:type="dxa"/>
            <w:vMerge/>
            <w:vAlign w:val="center"/>
            <w:hideMark/>
          </w:tcPr>
          <w:p w:rsidR="007E2E3C" w:rsidRPr="00962957" w14:paraId="10644A2E" w14:textId="77777777">
            <w:pPr>
              <w:spacing w:after="0" w:line="240" w:lineRule="auto"/>
              <w:rPr>
                <w:rFonts w:ascii="Calibri" w:eastAsia="Times New Roman" w:hAnsi="Calibri" w:cs="Calibri"/>
                <w:b/>
                <w:bCs/>
                <w:color w:val="000000"/>
                <w:szCs w:val="24"/>
              </w:rPr>
            </w:pPr>
          </w:p>
        </w:tc>
        <w:tc>
          <w:tcPr>
            <w:tcW w:w="1111" w:type="dxa"/>
            <w:vMerge/>
            <w:vAlign w:val="center"/>
            <w:hideMark/>
          </w:tcPr>
          <w:p w:rsidR="007E2E3C" w:rsidRPr="00962957" w14:paraId="727E8D37" w14:textId="77777777">
            <w:pPr>
              <w:spacing w:after="0" w:line="240" w:lineRule="auto"/>
              <w:rPr>
                <w:rFonts w:ascii="Calibri" w:eastAsia="Times New Roman" w:hAnsi="Calibri" w:cs="Calibri"/>
                <w:b/>
                <w:bCs/>
                <w:color w:val="000000"/>
                <w:szCs w:val="24"/>
              </w:rPr>
            </w:pPr>
          </w:p>
        </w:tc>
        <w:tc>
          <w:tcPr>
            <w:tcW w:w="1290" w:type="dxa"/>
            <w:vMerge/>
            <w:vAlign w:val="center"/>
            <w:hideMark/>
          </w:tcPr>
          <w:p w:rsidR="007E2E3C" w:rsidRPr="00962957" w14:paraId="7BFC7442" w14:textId="77777777">
            <w:pPr>
              <w:spacing w:after="0" w:line="240" w:lineRule="auto"/>
              <w:rPr>
                <w:rFonts w:ascii="Calibri" w:eastAsia="Times New Roman" w:hAnsi="Calibri" w:cs="Calibri"/>
                <w:b/>
                <w:bCs/>
                <w:color w:val="000000"/>
                <w:szCs w:val="24"/>
              </w:rPr>
            </w:pPr>
          </w:p>
        </w:tc>
        <w:tc>
          <w:tcPr>
            <w:tcW w:w="1146" w:type="dxa"/>
            <w:vMerge/>
            <w:vAlign w:val="center"/>
            <w:hideMark/>
          </w:tcPr>
          <w:p w:rsidR="007E2E3C" w:rsidRPr="00962957" w14:paraId="1F04FCCB" w14:textId="77777777">
            <w:pPr>
              <w:spacing w:after="0" w:line="240" w:lineRule="auto"/>
              <w:rPr>
                <w:rFonts w:ascii="Calibri" w:eastAsia="Times New Roman" w:hAnsi="Calibri" w:cs="Calibri"/>
                <w:b/>
                <w:bCs/>
                <w:color w:val="000000"/>
                <w:szCs w:val="24"/>
              </w:rPr>
            </w:pPr>
          </w:p>
        </w:tc>
        <w:tc>
          <w:tcPr>
            <w:tcW w:w="1248" w:type="dxa"/>
            <w:vMerge/>
            <w:vAlign w:val="center"/>
            <w:hideMark/>
          </w:tcPr>
          <w:p w:rsidR="007E2E3C" w:rsidRPr="00962957" w14:paraId="1D62B21E" w14:textId="77777777">
            <w:pPr>
              <w:spacing w:after="0" w:line="240" w:lineRule="auto"/>
              <w:rPr>
                <w:rFonts w:ascii="Calibri" w:eastAsia="Times New Roman" w:hAnsi="Calibri" w:cs="Calibri"/>
                <w:b/>
                <w:bCs/>
                <w:color w:val="000000"/>
                <w:szCs w:val="24"/>
              </w:rPr>
            </w:pPr>
          </w:p>
        </w:tc>
        <w:tc>
          <w:tcPr>
            <w:tcW w:w="222" w:type="dxa"/>
            <w:tcBorders>
              <w:top w:val="nil"/>
              <w:left w:val="single" w:sz="4" w:space="0" w:color="auto"/>
              <w:bottom w:val="nil"/>
              <w:right w:val="nil"/>
            </w:tcBorders>
            <w:shd w:val="clear" w:color="auto" w:fill="auto"/>
            <w:noWrap/>
            <w:vAlign w:val="bottom"/>
            <w:hideMark/>
          </w:tcPr>
          <w:p w:rsidR="007E2E3C" w:rsidRPr="00962957" w:rsidP="5F135418" w14:paraId="6E57EF7A" w14:textId="77777777">
            <w:pPr>
              <w:spacing w:after="0" w:line="240" w:lineRule="auto"/>
              <w:jc w:val="center"/>
              <w:rPr>
                <w:rFonts w:ascii="Calibri" w:eastAsia="Calibri" w:hAnsi="Calibri" w:cs="Calibri"/>
                <w:b/>
                <w:bCs/>
                <w:color w:val="000000"/>
                <w:sz w:val="22"/>
              </w:rPr>
            </w:pPr>
          </w:p>
        </w:tc>
      </w:tr>
      <w:tr w14:paraId="225E5CBA" w14:textId="77777777" w:rsidTr="5F135418">
        <w:tblPrEx>
          <w:tblW w:w="9350" w:type="dxa"/>
          <w:tblLook w:val="04A0"/>
        </w:tblPrEx>
        <w:trPr>
          <w:trHeight w:val="31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7A46EE71" w14:textId="77777777">
            <w:pPr>
              <w:spacing w:after="0" w:line="240" w:lineRule="auto"/>
              <w:rPr>
                <w:rFonts w:ascii="Calibri" w:eastAsia="Calibri" w:hAnsi="Calibri" w:cs="Calibri"/>
                <w:color w:val="000000"/>
                <w:sz w:val="22"/>
              </w:rPr>
            </w:pPr>
            <w:r w:rsidRPr="5F135418">
              <w:rPr>
                <w:rFonts w:ascii="Calibri" w:eastAsia="Calibri" w:hAnsi="Calibri" w:cs="Calibri"/>
                <w:color w:val="000000" w:themeColor="text1"/>
                <w:sz w:val="22"/>
              </w:rPr>
              <w:t xml:space="preserve">Recordkeeping </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0E364D0E" w14:textId="7A9DFEF2">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5</w:t>
            </w:r>
            <w:r w:rsidRPr="5F135418" w:rsidR="56F7EB1F">
              <w:rPr>
                <w:rFonts w:ascii="Calibri" w:eastAsia="Calibri" w:hAnsi="Calibri" w:cs="Calibri"/>
                <w:color w:val="000000" w:themeColor="text1"/>
                <w:sz w:val="22"/>
              </w:rPr>
              <w:t>,</w:t>
            </w:r>
            <w:r w:rsidRPr="5F135418">
              <w:rPr>
                <w:rFonts w:ascii="Calibri" w:eastAsia="Calibri" w:hAnsi="Calibri" w:cs="Calibri"/>
                <w:color w:val="000000" w:themeColor="text1"/>
                <w:sz w:val="22"/>
              </w:rPr>
              <w:t>96</w:t>
            </w:r>
            <w:r w:rsidRPr="5F135418" w:rsidR="7524F24F">
              <w:rPr>
                <w:rFonts w:ascii="Calibri" w:eastAsia="Calibri" w:hAnsi="Calibri" w:cs="Calibri"/>
                <w:color w:val="000000" w:themeColor="text1"/>
                <w:sz w:val="22"/>
              </w:rPr>
              <w:t>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5436CA0E" w14:textId="6CFA5393">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0.441</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54F26F39" w14:textId="5A651820">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4</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73A1CC60" w14:textId="735B68DA">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1.76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212A6395" w14:textId="14D25C3F">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 xml:space="preserve">$333.20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723B0366" w14:textId="6529A9D6">
            <w:pPr>
              <w:spacing w:after="0" w:line="240" w:lineRule="auto"/>
              <w:rPr>
                <w:rFonts w:ascii="Calibri" w:eastAsia="Calibri" w:hAnsi="Calibri" w:cs="Calibri"/>
                <w:color w:val="000000"/>
                <w:sz w:val="22"/>
              </w:rPr>
            </w:pPr>
            <w:r w:rsidRPr="5F135418">
              <w:rPr>
                <w:rFonts w:ascii="Calibri" w:eastAsia="Calibri" w:hAnsi="Calibri" w:cs="Calibri"/>
                <w:color w:val="000000" w:themeColor="text1"/>
                <w:sz w:val="22"/>
              </w:rPr>
              <w:t xml:space="preserve">$146.78 </w:t>
            </w:r>
          </w:p>
        </w:tc>
        <w:tc>
          <w:tcPr>
            <w:tcW w:w="222" w:type="dxa"/>
            <w:tcBorders>
              <w:left w:val="single" w:sz="4" w:space="0" w:color="auto"/>
            </w:tcBorders>
            <w:vAlign w:val="center"/>
            <w:hideMark/>
          </w:tcPr>
          <w:p w:rsidR="00D872F0" w:rsidRPr="00962957" w:rsidP="5F135418" w14:paraId="5CFE49B4" w14:textId="77777777">
            <w:pPr>
              <w:spacing w:after="0" w:line="240" w:lineRule="auto"/>
              <w:rPr>
                <w:rFonts w:ascii="Calibri" w:eastAsia="Calibri" w:hAnsi="Calibri" w:cs="Calibri"/>
                <w:sz w:val="22"/>
              </w:rPr>
            </w:pPr>
          </w:p>
        </w:tc>
      </w:tr>
      <w:tr w14:paraId="02803562" w14:textId="77777777" w:rsidTr="5F135418">
        <w:tblPrEx>
          <w:tblW w:w="9350" w:type="dxa"/>
          <w:tblLook w:val="04A0"/>
        </w:tblPrEx>
        <w:trPr>
          <w:trHeight w:val="283"/>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19181959" w14:textId="77777777">
            <w:pPr>
              <w:spacing w:after="0" w:line="240" w:lineRule="auto"/>
              <w:rPr>
                <w:rFonts w:ascii="Calibri" w:eastAsia="Calibri" w:hAnsi="Calibri" w:cs="Calibri"/>
                <w:color w:val="000000"/>
                <w:sz w:val="22"/>
              </w:rPr>
            </w:pPr>
            <w:r w:rsidRPr="5F135418">
              <w:rPr>
                <w:rFonts w:ascii="Calibri" w:eastAsia="Calibri" w:hAnsi="Calibri" w:cs="Calibri"/>
                <w:color w:val="000000" w:themeColor="text1"/>
                <w:sz w:val="22"/>
              </w:rPr>
              <w:t xml:space="preserve">Reporting </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4C9133A3" w14:textId="68E93D41">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16</w:t>
            </w:r>
            <w:r w:rsidRPr="5F135418" w:rsidR="30841F0B">
              <w:rPr>
                <w:rFonts w:ascii="Calibri" w:eastAsia="Calibri" w:hAnsi="Calibri" w:cs="Calibri"/>
                <w:color w:val="000000" w:themeColor="text1"/>
                <w:sz w:val="22"/>
              </w:rPr>
              <w:t>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7976D8EA" w14:textId="6EF331B7">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0.012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5F6C8E01" w14:textId="02C73A5C">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8</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6290A616" w14:textId="7A95932A">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0.09</w:t>
            </w:r>
            <w:r w:rsidRPr="5F135418" w:rsidR="2822C323">
              <w:rPr>
                <w:rFonts w:ascii="Calibri" w:eastAsia="Calibri" w:hAnsi="Calibri" w:cs="Calibri"/>
                <w:color w:val="000000" w:themeColor="text1"/>
                <w:sz w:val="22"/>
              </w:rPr>
              <w:t>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62407F25" w14:textId="6EE1C34B">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 xml:space="preserve">$655.16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72F0" w:rsidRPr="00962957" w:rsidP="5F135418" w14:paraId="5F5A9085" w14:textId="37C09494">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$7.7</w:t>
            </w:r>
            <w:r w:rsidRPr="5F135418" w:rsidR="6D06DE3C">
              <w:rPr>
                <w:rFonts w:ascii="Calibri" w:eastAsia="Calibri" w:hAnsi="Calibri" w:cs="Calibri"/>
                <w:color w:val="000000" w:themeColor="text1"/>
                <w:sz w:val="22"/>
              </w:rPr>
              <w:t>3</w:t>
            </w:r>
            <w:r w:rsidRPr="5F135418">
              <w:rPr>
                <w:rFonts w:ascii="Calibri" w:eastAsia="Calibri" w:hAnsi="Calibri" w:cs="Calibri"/>
                <w:color w:val="000000" w:themeColor="text1"/>
                <w:sz w:val="22"/>
              </w:rPr>
              <w:t xml:space="preserve"> </w:t>
            </w:r>
          </w:p>
        </w:tc>
        <w:tc>
          <w:tcPr>
            <w:tcW w:w="222" w:type="dxa"/>
            <w:tcBorders>
              <w:left w:val="single" w:sz="4" w:space="0" w:color="auto"/>
            </w:tcBorders>
            <w:vAlign w:val="center"/>
            <w:hideMark/>
          </w:tcPr>
          <w:p w:rsidR="00D872F0" w:rsidRPr="00962957" w:rsidP="5F135418" w14:paraId="3067359B" w14:textId="77777777">
            <w:pPr>
              <w:spacing w:after="0" w:line="240" w:lineRule="auto"/>
              <w:rPr>
                <w:rFonts w:ascii="Calibri" w:eastAsia="Calibri" w:hAnsi="Calibri" w:cs="Calibri"/>
                <w:sz w:val="22"/>
              </w:rPr>
            </w:pPr>
          </w:p>
        </w:tc>
      </w:tr>
      <w:tr w14:paraId="5B1DA35D" w14:textId="77777777" w:rsidTr="5F135418">
        <w:tblPrEx>
          <w:tblW w:w="9350" w:type="dxa"/>
          <w:tblLook w:val="04A0"/>
        </w:tblPrEx>
        <w:trPr>
          <w:trHeight w:val="779"/>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0B8C9B50" w14:textId="77777777">
            <w:pPr>
              <w:spacing w:after="0" w:line="240" w:lineRule="auto"/>
              <w:rPr>
                <w:rFonts w:ascii="Calibri" w:eastAsia="Calibri" w:hAnsi="Calibri" w:cs="Calibri"/>
                <w:color w:val="000000"/>
                <w:sz w:val="22"/>
              </w:rPr>
            </w:pPr>
            <w:r w:rsidRPr="5F135418">
              <w:rPr>
                <w:rFonts w:ascii="Calibri" w:eastAsia="Calibri" w:hAnsi="Calibri" w:cs="Calibri"/>
                <w:color w:val="000000" w:themeColor="text1"/>
                <w:sz w:val="22"/>
              </w:rPr>
              <w:t>Federal Register Review</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2C2F1413" w14:textId="33B0988F">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135</w:t>
            </w:r>
            <w:r w:rsidRPr="5F135418" w:rsidR="36CB79A5">
              <w:rPr>
                <w:rFonts w:ascii="Calibri" w:eastAsia="Calibri" w:hAnsi="Calibri" w:cs="Calibri"/>
                <w:color w:val="000000" w:themeColor="text1"/>
                <w:sz w:val="22"/>
              </w:rPr>
              <w:t>,</w:t>
            </w:r>
            <w:r w:rsidRPr="5F135418" w:rsidR="1EBC6E73">
              <w:rPr>
                <w:rFonts w:ascii="Calibri" w:eastAsia="Calibri" w:hAnsi="Calibri" w:cs="Calibri"/>
                <w:color w:val="000000" w:themeColor="text1"/>
                <w:sz w:val="22"/>
              </w:rPr>
              <w:t>57</w:t>
            </w:r>
            <w:r w:rsidRPr="5F135418" w:rsidR="0207EAB4">
              <w:rPr>
                <w:rFonts w:ascii="Calibri" w:eastAsia="Calibri" w:hAnsi="Calibri" w:cs="Calibri"/>
                <w:color w:val="000000" w:themeColor="text1"/>
                <w:sz w:val="22"/>
              </w:rPr>
              <w:t>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2521D65D" w14:textId="6EA2F798">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1</w:t>
            </w:r>
            <w:r w:rsidRPr="5F135418" w:rsidR="6C448D1E">
              <w:rPr>
                <w:rFonts w:ascii="Calibri" w:eastAsia="Calibri" w:hAnsi="Calibri" w:cs="Calibri"/>
                <w:color w:val="000000" w:themeColor="text1"/>
                <w:sz w:val="22"/>
              </w:rPr>
              <w:t>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1E298498" w14:textId="044FC9FB">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0.25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39D06C09" w14:textId="4DBEE7CA">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2</w:t>
            </w:r>
            <w:r w:rsidRPr="5F135418" w:rsidR="78A64CB9">
              <w:rPr>
                <w:rFonts w:ascii="Calibri" w:eastAsia="Calibri" w:hAnsi="Calibri" w:cs="Calibri"/>
                <w:color w:val="000000" w:themeColor="text1"/>
                <w:sz w:val="22"/>
              </w:rPr>
              <w:t>.</w:t>
            </w:r>
            <w:r w:rsidRPr="5F135418">
              <w:rPr>
                <w:rFonts w:ascii="Calibri" w:eastAsia="Calibri" w:hAnsi="Calibri" w:cs="Calibri"/>
                <w:color w:val="000000" w:themeColor="text1"/>
                <w:sz w:val="22"/>
              </w:rPr>
              <w:t>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2F0" w:rsidRPr="00962957" w:rsidP="5F135418" w14:paraId="0BCD68EE" w14:textId="650706D2">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 xml:space="preserve">$22.29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72F0" w:rsidP="5F135418" w14:paraId="3F5E7FDC" w14:textId="2FCF09A0">
            <w:pPr>
              <w:spacing w:after="0" w:line="240" w:lineRule="auto"/>
              <w:jc w:val="center"/>
              <w:rPr>
                <w:rFonts w:ascii="Calibri" w:eastAsia="Calibri" w:hAnsi="Calibri" w:cs="Calibri"/>
                <w:color w:val="000000"/>
                <w:sz w:val="22"/>
              </w:rPr>
            </w:pPr>
            <w:r w:rsidRPr="5F135418">
              <w:rPr>
                <w:rFonts w:ascii="Calibri" w:eastAsia="Calibri" w:hAnsi="Calibri" w:cs="Calibri"/>
                <w:color w:val="000000" w:themeColor="text1"/>
                <w:sz w:val="22"/>
              </w:rPr>
              <w:t>$222</w:t>
            </w:r>
            <w:r w:rsidRPr="5F135418" w:rsidR="74250A55">
              <w:rPr>
                <w:rFonts w:ascii="Calibri" w:eastAsia="Calibri" w:hAnsi="Calibri" w:cs="Calibri"/>
                <w:color w:val="000000" w:themeColor="text1"/>
                <w:sz w:val="22"/>
              </w:rPr>
              <w:t>.</w:t>
            </w:r>
            <w:r w:rsidRPr="5F135418">
              <w:rPr>
                <w:rFonts w:ascii="Calibri" w:eastAsia="Calibri" w:hAnsi="Calibri" w:cs="Calibri"/>
                <w:color w:val="000000" w:themeColor="text1"/>
                <w:sz w:val="22"/>
              </w:rPr>
              <w:t>9</w:t>
            </w:r>
            <w:r w:rsidRPr="5F135418" w:rsidR="74250A55">
              <w:rPr>
                <w:rFonts w:ascii="Calibri" w:eastAsia="Calibri" w:hAnsi="Calibri" w:cs="Calibri"/>
                <w:color w:val="000000" w:themeColor="text1"/>
                <w:sz w:val="22"/>
              </w:rPr>
              <w:t>0</w:t>
            </w:r>
          </w:p>
          <w:p w:rsidR="00D872F0" w:rsidRPr="00962957" w:rsidP="5F135418" w14:paraId="623F318C" w14:textId="2795F82C">
            <w:pPr>
              <w:spacing w:after="0" w:line="240" w:lineRule="auto"/>
              <w:rPr>
                <w:rFonts w:ascii="Calibri" w:eastAsia="Calibri" w:hAnsi="Calibri" w:cs="Calibri"/>
                <w:color w:val="000000"/>
                <w:sz w:val="22"/>
              </w:rPr>
            </w:pPr>
            <w:r w:rsidRPr="5F135418">
              <w:rPr>
                <w:rFonts w:ascii="Calibri" w:eastAsia="Calibri" w:hAnsi="Calibri" w:cs="Calibri"/>
                <w:color w:val="000000" w:themeColor="text1"/>
                <w:sz w:val="22"/>
              </w:rPr>
              <w:t xml:space="preserve"> </w:t>
            </w:r>
          </w:p>
        </w:tc>
        <w:tc>
          <w:tcPr>
            <w:tcW w:w="222" w:type="dxa"/>
            <w:tcBorders>
              <w:left w:val="single" w:sz="4" w:space="0" w:color="auto"/>
            </w:tcBorders>
            <w:vAlign w:val="center"/>
            <w:hideMark/>
          </w:tcPr>
          <w:p w:rsidR="00D872F0" w:rsidRPr="00962957" w:rsidP="5F135418" w14:paraId="2D5CC5D1" w14:textId="77777777">
            <w:pPr>
              <w:spacing w:after="0" w:line="240" w:lineRule="auto"/>
              <w:rPr>
                <w:rFonts w:ascii="Calibri" w:eastAsia="Calibri" w:hAnsi="Calibri" w:cs="Calibri"/>
                <w:sz w:val="22"/>
              </w:rPr>
            </w:pPr>
          </w:p>
        </w:tc>
      </w:tr>
    </w:tbl>
    <w:p w:rsidR="007E2E3C" w:rsidRPr="00962957" w:rsidP="007E2E3C" w14:paraId="1B1108B8" w14:textId="77777777">
      <w:pPr>
        <w:rPr>
          <w:rFonts w:ascii="Calibri" w:hAnsi="Calibri" w:cs="Calibri"/>
          <w:b/>
          <w:bCs/>
          <w:szCs w:val="24"/>
        </w:rPr>
      </w:pPr>
      <w:r w:rsidRPr="00962957">
        <w:rPr>
          <w:rFonts w:ascii="Calibri" w:hAnsi="Calibri" w:cs="Calibri"/>
          <w:b/>
          <w:bCs/>
          <w:szCs w:val="24"/>
        </w:rPr>
        <w:t xml:space="preserve"> </w:t>
      </w:r>
    </w:p>
    <w:p w:rsidR="00A76EDE" w:rsidRPr="00286AE5" w:rsidP="00286AE5" w14:paraId="5F7E390D" w14:textId="0C1E9C0F">
      <w:pPr>
        <w:pStyle w:val="Heading3"/>
        <w:rPr>
          <w:rFonts w:ascii="Calibri" w:hAnsi="Calibri" w:cs="Calibri"/>
        </w:rPr>
      </w:pPr>
      <w:r w:rsidRPr="00286AE5">
        <w:rPr>
          <w:rFonts w:ascii="Calibri" w:hAnsi="Calibri" w:cs="Calibri"/>
        </w:rPr>
        <w:t>TSCA Section 8(d) Health and Safety Data Reporting, Submission of Lists and Copies of Health and Safety Studies</w:t>
      </w:r>
    </w:p>
    <w:p w:rsidR="007E2E3C" w:rsidRPr="00962957" w:rsidP="002F66B7" w14:paraId="0E1114B4" w14:textId="77777777">
      <w:pPr>
        <w:pStyle w:val="ListParagraph"/>
        <w:spacing w:after="0"/>
        <w:ind w:left="0"/>
        <w:rPr>
          <w:rFonts w:ascii="Calibri" w:hAnsi="Calibri" w:cs="Calibri"/>
          <w:color w:val="000000"/>
          <w:szCs w:val="24"/>
        </w:rPr>
      </w:pPr>
      <w:r w:rsidRPr="00962957">
        <w:rPr>
          <w:rFonts w:ascii="Calibri" w:hAnsi="Calibri" w:cs="Calibri"/>
          <w:color w:val="000000"/>
          <w:szCs w:val="24"/>
        </w:rPr>
        <w:t>Persons who manufacture (which includes import) chemical substances and mixtures, or propose to do so, and processors of such substances and mixtures (if specifically identified in a particular rule) must submit copies of the unpublished health and safety studies in their possession for the listed substances or mixtures. They must also submit lists of reportable studies that they initiate or, about which they know, for each of the listed substances or listed mixtures.</w:t>
      </w:r>
    </w:p>
    <w:p w:rsidR="007E2E3C" w:rsidRPr="00962957" w:rsidP="002F66B7" w14:paraId="4053ED0C" w14:textId="77777777">
      <w:pPr>
        <w:pStyle w:val="ListParagraph"/>
        <w:spacing w:after="0"/>
        <w:ind w:left="0"/>
        <w:rPr>
          <w:rFonts w:ascii="Calibri" w:hAnsi="Calibri" w:cs="Calibri"/>
          <w:color w:val="000000"/>
          <w:szCs w:val="24"/>
        </w:rPr>
      </w:pPr>
    </w:p>
    <w:p w:rsidR="007E2E3C" w:rsidRPr="00962957" w:rsidP="002F66B7" w14:paraId="6EB9ACEA" w14:textId="77777777">
      <w:pPr>
        <w:pStyle w:val="ListParagraph"/>
        <w:spacing w:after="0"/>
        <w:ind w:left="0"/>
        <w:rPr>
          <w:rFonts w:ascii="Calibri" w:hAnsi="Calibri" w:cs="Calibri"/>
          <w:szCs w:val="24"/>
        </w:rPr>
      </w:pPr>
      <w:r w:rsidRPr="00962957">
        <w:rPr>
          <w:rFonts w:ascii="Calibri" w:hAnsi="Calibri" w:cs="Calibri"/>
          <w:color w:val="000000"/>
          <w:szCs w:val="24"/>
        </w:rPr>
        <w:t>All submitted studies must be accompanied by a cover letter that contains the following data (40 CFR 716.30):</w:t>
      </w:r>
    </w:p>
    <w:p w:rsidR="007E2E3C" w:rsidRPr="00962957" w:rsidP="0036096F" w14:paraId="642B78C1"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color w:val="000000"/>
          <w:szCs w:val="24"/>
        </w:rPr>
        <w:t>Name,</w:t>
      </w:r>
    </w:p>
    <w:p w:rsidR="007E2E3C" w:rsidRPr="00962957" w:rsidP="0036096F" w14:paraId="72C465BE"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color w:val="000000"/>
          <w:szCs w:val="24"/>
        </w:rPr>
        <w:t>Job title,</w:t>
      </w:r>
    </w:p>
    <w:p w:rsidR="007E2E3C" w:rsidRPr="00962957" w:rsidP="0036096F" w14:paraId="73801DDC"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color w:val="000000"/>
          <w:szCs w:val="24"/>
        </w:rPr>
        <w:t>Address, and</w:t>
      </w:r>
    </w:p>
    <w:p w:rsidR="007E2E3C" w:rsidRPr="00962957" w:rsidP="0036096F" w14:paraId="15067A3C"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color w:val="000000"/>
          <w:szCs w:val="24"/>
        </w:rPr>
        <w:t>Telephone numbers of the submitting official.</w:t>
      </w:r>
    </w:p>
    <w:p w:rsidR="007E2E3C" w:rsidRPr="00962957" w:rsidP="0036096F" w14:paraId="348C0645"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szCs w:val="24"/>
        </w:rPr>
        <w:t>Name and address of the manufacturing or processing establishment on whose behalf the submission was made.</w:t>
      </w:r>
    </w:p>
    <w:p w:rsidR="007E2E3C" w:rsidRPr="00962957" w:rsidP="0036096F" w14:paraId="7AD960ED"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szCs w:val="24"/>
        </w:rPr>
        <w:t>Identify any impurity or additive known to have been present in the substance or listed mixtures as studied, unless so noted in the study.</w:t>
      </w:r>
    </w:p>
    <w:p w:rsidR="007E2E3C" w:rsidRPr="00962957" w:rsidP="0036096F" w14:paraId="00685877" w14:textId="77777777">
      <w:pPr>
        <w:pStyle w:val="ListParagraph"/>
        <w:widowControl w:val="0"/>
        <w:numPr>
          <w:ilvl w:val="0"/>
          <w:numId w:val="7"/>
        </w:numPr>
        <w:spacing w:after="200" w:line="276" w:lineRule="auto"/>
        <w:rPr>
          <w:rFonts w:ascii="Calibri" w:hAnsi="Calibri" w:cs="Calibri"/>
          <w:color w:val="000000"/>
          <w:szCs w:val="24"/>
        </w:rPr>
      </w:pPr>
      <w:r w:rsidRPr="00962957">
        <w:rPr>
          <w:rFonts w:ascii="Calibri" w:hAnsi="Calibri" w:cs="Calibri"/>
          <w:szCs w:val="24"/>
        </w:rPr>
        <w:t>Identify that the study is being submitted under Part 716.</w:t>
      </w:r>
    </w:p>
    <w:p w:rsidR="007E2E3C" w:rsidRPr="00962957" w:rsidP="007E2E3C" w14:paraId="3E168427" w14:textId="77777777">
      <w:pPr>
        <w:widowControl w:val="0"/>
        <w:rPr>
          <w:rFonts w:ascii="Calibri" w:hAnsi="Calibri" w:cs="Calibri"/>
          <w:color w:val="000000"/>
          <w:szCs w:val="24"/>
        </w:rPr>
      </w:pPr>
      <w:r w:rsidRPr="00962957">
        <w:rPr>
          <w:rFonts w:ascii="Calibri" w:hAnsi="Calibri" w:cs="Calibri"/>
          <w:color w:val="000000"/>
          <w:szCs w:val="24"/>
        </w:rPr>
        <w:t>Respondents may voluntarily choose to develop and submit robust summaries of the full toxicological study reports in conjunction with the submitted full study reports. The robust summaries should contain technical information to adequately describe the study and results and should be written such that the information provided is sufficient to allow a technically qualified person to evaluate study results. Typically, a robust summary would include a description of the test substance, methods, results, conclusions, data quality description, and references associated with the full study.</w:t>
      </w:r>
    </w:p>
    <w:p w:rsidR="007E2E3C" w:rsidRPr="00962957" w:rsidP="007E2E3C" w14:paraId="00D8AB7B" w14:textId="77777777">
      <w:pPr>
        <w:widowControl w:val="0"/>
        <w:rPr>
          <w:rFonts w:ascii="Calibri" w:hAnsi="Calibri" w:cs="Calibri"/>
          <w:color w:val="000000"/>
          <w:szCs w:val="24"/>
        </w:rPr>
      </w:pPr>
      <w:r w:rsidRPr="00962957">
        <w:rPr>
          <w:rFonts w:ascii="Calibri" w:hAnsi="Calibri" w:cs="Calibri"/>
          <w:color w:val="000000"/>
          <w:szCs w:val="24"/>
        </w:rPr>
        <w:t>List of studies shall include (40 CFR 716.35): (A) ongoing health and safety studies conducted by or initiated by respondents; (B) studies respondents know about but do not have copies of; and (C) studies that have been sent to another federal agency with no claims of confidentiality.</w:t>
      </w:r>
    </w:p>
    <w:p w:rsidR="007E2E3C" w:rsidRPr="00962957" w:rsidP="007E2E3C" w14:paraId="13375159" w14:textId="77777777">
      <w:pPr>
        <w:widowControl w:val="0"/>
        <w:rPr>
          <w:rFonts w:ascii="Calibri" w:hAnsi="Calibri" w:cs="Calibri"/>
          <w:color w:val="000000"/>
          <w:szCs w:val="24"/>
        </w:rPr>
      </w:pPr>
      <w:r w:rsidRPr="00962957">
        <w:rPr>
          <w:rFonts w:ascii="Calibri" w:hAnsi="Calibri" w:cs="Calibri"/>
          <w:color w:val="000000"/>
          <w:szCs w:val="24"/>
        </w:rPr>
        <w:t>For ongoing health and safety studies conducted by or initiated for the respondent, the list should include the following data:</w:t>
      </w:r>
    </w:p>
    <w:p w:rsidR="007E2E3C" w:rsidRPr="00962957" w:rsidP="0036096F" w14:paraId="4C3877A2" w14:textId="77777777">
      <w:pPr>
        <w:pStyle w:val="ListParagraph"/>
        <w:widowControl w:val="0"/>
        <w:numPr>
          <w:ilvl w:val="0"/>
          <w:numId w:val="6"/>
        </w:numPr>
        <w:spacing w:after="200" w:line="276" w:lineRule="auto"/>
        <w:rPr>
          <w:rFonts w:ascii="Calibri" w:hAnsi="Calibri" w:cs="Calibri"/>
          <w:color w:val="000000"/>
          <w:szCs w:val="24"/>
        </w:rPr>
      </w:pPr>
      <w:r w:rsidRPr="00962957">
        <w:rPr>
          <w:rFonts w:ascii="Calibri" w:hAnsi="Calibri" w:cs="Calibri"/>
          <w:color w:val="000000"/>
          <w:szCs w:val="24"/>
        </w:rPr>
        <w:t>Beginning date of the study</w:t>
      </w:r>
    </w:p>
    <w:p w:rsidR="007E2E3C" w:rsidRPr="00962957" w:rsidP="0036096F" w14:paraId="2D525EF4" w14:textId="77777777">
      <w:pPr>
        <w:pStyle w:val="ListParagraph"/>
        <w:widowControl w:val="0"/>
        <w:numPr>
          <w:ilvl w:val="0"/>
          <w:numId w:val="6"/>
        </w:numPr>
        <w:spacing w:after="200" w:line="276" w:lineRule="auto"/>
        <w:rPr>
          <w:rFonts w:ascii="Calibri" w:hAnsi="Calibri" w:cs="Calibri"/>
          <w:color w:val="000000"/>
          <w:szCs w:val="24"/>
        </w:rPr>
      </w:pPr>
      <w:r w:rsidRPr="00962957">
        <w:rPr>
          <w:rFonts w:ascii="Calibri" w:hAnsi="Calibri" w:cs="Calibri"/>
          <w:color w:val="000000"/>
          <w:szCs w:val="24"/>
        </w:rPr>
        <w:t>Purpose of the study</w:t>
      </w:r>
    </w:p>
    <w:p w:rsidR="007E2E3C" w:rsidRPr="00962957" w:rsidP="0036096F" w14:paraId="4C117162" w14:textId="77777777">
      <w:pPr>
        <w:pStyle w:val="ListParagraph"/>
        <w:widowControl w:val="0"/>
        <w:numPr>
          <w:ilvl w:val="0"/>
          <w:numId w:val="6"/>
        </w:numPr>
        <w:spacing w:after="200" w:line="276" w:lineRule="auto"/>
        <w:rPr>
          <w:rFonts w:ascii="Calibri" w:hAnsi="Calibri" w:cs="Calibri"/>
          <w:color w:val="000000"/>
          <w:szCs w:val="24"/>
        </w:rPr>
      </w:pPr>
      <w:r w:rsidRPr="00962957">
        <w:rPr>
          <w:rFonts w:ascii="Calibri" w:hAnsi="Calibri" w:cs="Calibri"/>
          <w:color w:val="000000"/>
          <w:szCs w:val="24"/>
        </w:rPr>
        <w:t>Types of data to be collected</w:t>
      </w:r>
    </w:p>
    <w:p w:rsidR="007E2E3C" w:rsidRPr="00962957" w:rsidP="0036096F" w14:paraId="5437A606" w14:textId="77777777">
      <w:pPr>
        <w:pStyle w:val="ListParagraph"/>
        <w:widowControl w:val="0"/>
        <w:numPr>
          <w:ilvl w:val="0"/>
          <w:numId w:val="6"/>
        </w:numPr>
        <w:spacing w:after="200" w:line="276" w:lineRule="auto"/>
        <w:rPr>
          <w:rFonts w:ascii="Calibri" w:hAnsi="Calibri" w:cs="Calibri"/>
          <w:color w:val="000000"/>
          <w:szCs w:val="24"/>
        </w:rPr>
      </w:pPr>
      <w:r w:rsidRPr="00962957">
        <w:rPr>
          <w:rFonts w:ascii="Calibri" w:hAnsi="Calibri" w:cs="Calibri"/>
          <w:color w:val="000000"/>
          <w:szCs w:val="24"/>
        </w:rPr>
        <w:t>Anticipated date of completion</w:t>
      </w:r>
    </w:p>
    <w:p w:rsidR="007E2E3C" w:rsidRPr="00962957" w:rsidP="0036096F" w14:paraId="75E923D2" w14:textId="77777777">
      <w:pPr>
        <w:pStyle w:val="ListParagraph"/>
        <w:widowControl w:val="0"/>
        <w:numPr>
          <w:ilvl w:val="0"/>
          <w:numId w:val="6"/>
        </w:numPr>
        <w:spacing w:after="200" w:line="276" w:lineRule="auto"/>
        <w:rPr>
          <w:rFonts w:ascii="Calibri" w:hAnsi="Calibri" w:cs="Calibri"/>
          <w:color w:val="000000"/>
          <w:szCs w:val="24"/>
        </w:rPr>
      </w:pPr>
      <w:r w:rsidRPr="00962957">
        <w:rPr>
          <w:rFonts w:ascii="Calibri" w:hAnsi="Calibri" w:cs="Calibri"/>
          <w:color w:val="000000"/>
          <w:szCs w:val="24"/>
        </w:rPr>
        <w:t>Name and address of the laboratory conducting the study.</w:t>
      </w:r>
    </w:p>
    <w:p w:rsidR="007E2E3C" w:rsidRPr="00962957" w:rsidP="007E2E3C" w14:paraId="0C1021DC" w14:textId="77777777">
      <w:pPr>
        <w:widowControl w:val="0"/>
        <w:rPr>
          <w:rFonts w:ascii="Calibri" w:hAnsi="Calibri" w:cs="Calibri"/>
          <w:color w:val="000000"/>
          <w:szCs w:val="24"/>
        </w:rPr>
      </w:pPr>
      <w:r w:rsidRPr="00962957">
        <w:rPr>
          <w:rFonts w:ascii="Calibri" w:hAnsi="Calibri" w:cs="Calibri"/>
          <w:color w:val="000000"/>
          <w:szCs w:val="24"/>
        </w:rPr>
        <w:t>For studies known to the respondent but for which they do not possess copies, the list should include the following data:</w:t>
      </w:r>
    </w:p>
    <w:p w:rsidR="007E2E3C" w:rsidRPr="00962957" w:rsidP="0036096F" w14:paraId="61EF9E0E" w14:textId="77777777">
      <w:pPr>
        <w:pStyle w:val="ListParagraph"/>
        <w:widowControl w:val="0"/>
        <w:numPr>
          <w:ilvl w:val="0"/>
          <w:numId w:val="16"/>
        </w:numPr>
        <w:spacing w:after="200" w:line="276" w:lineRule="auto"/>
        <w:rPr>
          <w:rFonts w:ascii="Calibri" w:hAnsi="Calibri" w:cs="Calibri"/>
          <w:color w:val="000000"/>
          <w:szCs w:val="24"/>
        </w:rPr>
      </w:pPr>
      <w:r w:rsidRPr="00962957">
        <w:rPr>
          <w:rFonts w:ascii="Calibri" w:hAnsi="Calibri" w:cs="Calibri"/>
          <w:color w:val="000000"/>
          <w:szCs w:val="24"/>
        </w:rPr>
        <w:t>Name and address of a person known to them that possesses a copy of the study.</w:t>
      </w:r>
    </w:p>
    <w:p w:rsidR="007E2E3C" w:rsidRPr="00962957" w:rsidP="007E2E3C" w14:paraId="408F7493" w14:textId="77777777">
      <w:pPr>
        <w:widowControl w:val="0"/>
        <w:rPr>
          <w:rFonts w:ascii="Calibri" w:hAnsi="Calibri" w:cs="Calibri"/>
          <w:color w:val="000000"/>
          <w:szCs w:val="24"/>
        </w:rPr>
      </w:pPr>
      <w:r w:rsidRPr="00962957">
        <w:rPr>
          <w:rFonts w:ascii="Calibri" w:hAnsi="Calibri" w:cs="Calibri"/>
          <w:color w:val="000000"/>
          <w:szCs w:val="24"/>
        </w:rPr>
        <w:t>For studies previously sent to a federal agency with no claims of confidentiality, the list should include the following data:</w:t>
      </w:r>
    </w:p>
    <w:p w:rsidR="007E2E3C" w:rsidRPr="00962957" w:rsidP="0036096F" w14:paraId="5A77FE0C" w14:textId="77777777">
      <w:pPr>
        <w:pStyle w:val="ListParagraph"/>
        <w:widowControl w:val="0"/>
        <w:numPr>
          <w:ilvl w:val="0"/>
          <w:numId w:val="8"/>
        </w:numPr>
        <w:spacing w:after="200" w:line="276" w:lineRule="auto"/>
        <w:rPr>
          <w:rFonts w:ascii="Calibri" w:hAnsi="Calibri" w:cs="Calibri"/>
          <w:color w:val="000000"/>
          <w:szCs w:val="24"/>
        </w:rPr>
      </w:pPr>
      <w:r w:rsidRPr="00962957">
        <w:rPr>
          <w:rFonts w:ascii="Calibri" w:hAnsi="Calibri" w:cs="Calibri"/>
          <w:color w:val="000000"/>
          <w:szCs w:val="24"/>
        </w:rPr>
        <w:t>Title of the study</w:t>
      </w:r>
    </w:p>
    <w:p w:rsidR="007E2E3C" w:rsidRPr="00962957" w:rsidP="0036096F" w14:paraId="4859F99C" w14:textId="77777777">
      <w:pPr>
        <w:pStyle w:val="ListParagraph"/>
        <w:widowControl w:val="0"/>
        <w:numPr>
          <w:ilvl w:val="0"/>
          <w:numId w:val="8"/>
        </w:numPr>
        <w:spacing w:after="200" w:line="276" w:lineRule="auto"/>
        <w:rPr>
          <w:rFonts w:ascii="Calibri" w:hAnsi="Calibri" w:cs="Calibri"/>
          <w:color w:val="000000"/>
          <w:szCs w:val="24"/>
        </w:rPr>
      </w:pPr>
      <w:r w:rsidRPr="00962957">
        <w:rPr>
          <w:rFonts w:ascii="Calibri" w:hAnsi="Calibri" w:cs="Calibri"/>
          <w:color w:val="000000"/>
          <w:szCs w:val="24"/>
        </w:rPr>
        <w:t>Name and address of the person to whom the study was sent</w:t>
      </w:r>
    </w:p>
    <w:p w:rsidR="007E2E3C" w:rsidRPr="00962957" w:rsidP="0036096F" w14:paraId="3EC9BB0D" w14:textId="77777777">
      <w:pPr>
        <w:pStyle w:val="ListParagraph"/>
        <w:widowControl w:val="0"/>
        <w:numPr>
          <w:ilvl w:val="0"/>
          <w:numId w:val="8"/>
        </w:numPr>
        <w:spacing w:after="200" w:line="276" w:lineRule="auto"/>
        <w:rPr>
          <w:rFonts w:ascii="Calibri" w:hAnsi="Calibri" w:cs="Calibri"/>
          <w:color w:val="000000"/>
          <w:szCs w:val="24"/>
        </w:rPr>
      </w:pPr>
      <w:r w:rsidRPr="00962957">
        <w:rPr>
          <w:rFonts w:ascii="Calibri" w:hAnsi="Calibri" w:cs="Calibri"/>
          <w:color w:val="000000"/>
          <w:szCs w:val="24"/>
        </w:rPr>
        <w:t>Month and year in which the study was submitted.</w:t>
      </w:r>
    </w:p>
    <w:p w:rsidR="00990F11" w:rsidP="007E2E3C" w14:paraId="5E3745A6" w14:textId="77777777">
      <w:pPr>
        <w:pStyle w:val="ListParagraph"/>
        <w:widowControl w:val="0"/>
        <w:ind w:left="0"/>
        <w:rPr>
          <w:rFonts w:ascii="Calibri" w:hAnsi="Calibri" w:cs="Calibri"/>
          <w:color w:val="000000"/>
          <w:szCs w:val="24"/>
        </w:rPr>
      </w:pPr>
    </w:p>
    <w:p w:rsidR="007E2E3C" w:rsidRPr="00962957" w:rsidP="007E2E3C" w14:paraId="60DBC4E4" w14:textId="53F7A30E">
      <w:pPr>
        <w:pStyle w:val="ListParagraph"/>
        <w:widowControl w:val="0"/>
        <w:ind w:left="0"/>
        <w:rPr>
          <w:rFonts w:ascii="Calibri" w:hAnsi="Calibri" w:cs="Calibri"/>
          <w:color w:val="000000"/>
          <w:szCs w:val="24"/>
        </w:rPr>
      </w:pPr>
      <w:r w:rsidRPr="00962957">
        <w:rPr>
          <w:rFonts w:ascii="Calibri" w:hAnsi="Calibri" w:cs="Calibri"/>
          <w:color w:val="000000"/>
          <w:szCs w:val="24"/>
        </w:rPr>
        <w:t>A representative respondent would engage in the following activities in order to produce the lists of studies and required data:</w:t>
      </w:r>
    </w:p>
    <w:p w:rsidR="00BD120B" w:rsidRPr="00962957" w:rsidP="007E2E3C" w14:paraId="2C3394E4" w14:textId="77777777">
      <w:pPr>
        <w:pStyle w:val="ListParagraph"/>
        <w:widowControl w:val="0"/>
        <w:ind w:left="0"/>
        <w:rPr>
          <w:rFonts w:ascii="Calibri" w:hAnsi="Calibri" w:cs="Calibri"/>
          <w:color w:val="000000"/>
          <w:szCs w:val="24"/>
        </w:rPr>
      </w:pPr>
    </w:p>
    <w:p w:rsidR="007E2E3C" w:rsidRPr="00962957" w:rsidP="0036096F" w14:paraId="6A1D4062" w14:textId="77777777">
      <w:pPr>
        <w:pStyle w:val="ListParagraph"/>
        <w:widowControl w:val="0"/>
        <w:numPr>
          <w:ilvl w:val="0"/>
          <w:numId w:val="17"/>
        </w:numPr>
        <w:spacing w:after="200" w:line="276" w:lineRule="auto"/>
        <w:rPr>
          <w:rFonts w:ascii="Calibri" w:hAnsi="Calibri" w:cs="Calibri"/>
          <w:color w:val="000000"/>
          <w:szCs w:val="24"/>
        </w:rPr>
      </w:pPr>
      <w:r w:rsidRPr="00962957">
        <w:rPr>
          <w:rFonts w:ascii="Calibri" w:hAnsi="Calibri" w:cs="Calibri"/>
          <w:color w:val="000000"/>
          <w:szCs w:val="24"/>
        </w:rPr>
        <w:t>Determine whether the firm may be required to report. If so, review the rule in more detail;</w:t>
      </w:r>
    </w:p>
    <w:p w:rsidR="007E2E3C" w:rsidRPr="00962957" w:rsidP="0036096F" w14:paraId="7F3BDC78" w14:textId="77777777">
      <w:pPr>
        <w:pStyle w:val="ListParagraph"/>
        <w:widowControl w:val="0"/>
        <w:numPr>
          <w:ilvl w:val="0"/>
          <w:numId w:val="17"/>
        </w:numPr>
        <w:spacing w:after="200" w:line="276" w:lineRule="auto"/>
        <w:rPr>
          <w:rFonts w:ascii="Calibri" w:hAnsi="Calibri" w:cs="Calibri"/>
          <w:color w:val="000000"/>
          <w:szCs w:val="24"/>
        </w:rPr>
      </w:pPr>
      <w:r w:rsidRPr="00962957">
        <w:rPr>
          <w:rFonts w:ascii="Calibri" w:hAnsi="Calibri" w:cs="Calibri"/>
          <w:color w:val="000000"/>
          <w:szCs w:val="24"/>
        </w:rPr>
        <w:t>Conduct a corporate review to identify which firm sites must be searched to locate the appropriate health and safety studies;</w:t>
      </w:r>
    </w:p>
    <w:p w:rsidR="007E2E3C" w:rsidRPr="00962957" w:rsidP="0036096F" w14:paraId="3685E4E0" w14:textId="77777777">
      <w:pPr>
        <w:pStyle w:val="ListParagraph"/>
        <w:widowControl w:val="0"/>
        <w:numPr>
          <w:ilvl w:val="0"/>
          <w:numId w:val="17"/>
        </w:numPr>
        <w:spacing w:after="200" w:line="276" w:lineRule="auto"/>
        <w:rPr>
          <w:rFonts w:ascii="Calibri" w:hAnsi="Calibri" w:cs="Calibri"/>
          <w:color w:val="000000"/>
          <w:szCs w:val="24"/>
        </w:rPr>
      </w:pPr>
      <w:r w:rsidRPr="00962957">
        <w:rPr>
          <w:rFonts w:ascii="Calibri" w:hAnsi="Calibri" w:cs="Calibri"/>
          <w:color w:val="000000"/>
          <w:szCs w:val="24"/>
        </w:rPr>
        <w:t>Search the files at appropriate sites to locate relevant studies;</w:t>
      </w:r>
    </w:p>
    <w:p w:rsidR="007E2E3C" w:rsidRPr="00962957" w:rsidP="0036096F" w14:paraId="49AA33D3" w14:textId="77777777">
      <w:pPr>
        <w:pStyle w:val="ListParagraph"/>
        <w:widowControl w:val="0"/>
        <w:numPr>
          <w:ilvl w:val="0"/>
          <w:numId w:val="17"/>
        </w:numPr>
        <w:spacing w:after="200" w:line="276" w:lineRule="auto"/>
        <w:rPr>
          <w:rFonts w:ascii="Calibri" w:hAnsi="Calibri" w:cs="Calibri"/>
          <w:color w:val="000000"/>
          <w:szCs w:val="24"/>
        </w:rPr>
      </w:pPr>
      <w:r w:rsidRPr="00962957">
        <w:rPr>
          <w:rFonts w:ascii="Calibri" w:hAnsi="Calibri" w:cs="Calibri"/>
          <w:color w:val="000000"/>
          <w:szCs w:val="24"/>
        </w:rPr>
        <w:t>Compile and transcribe lists of studies being submitted, ongoing studies, newly initiated studies, studies known to exist but not known to be in the respondent’s possession, and studies previously submitted to other federal agencies without confidentiality claims;</w:t>
      </w:r>
    </w:p>
    <w:p w:rsidR="00452DD7" w:rsidRPr="00962957" w:rsidP="00452DD7" w14:paraId="041C2772" w14:textId="77777777">
      <w:pPr>
        <w:pStyle w:val="ListParagraph"/>
        <w:widowControl w:val="0"/>
        <w:numPr>
          <w:ilvl w:val="0"/>
          <w:numId w:val="17"/>
        </w:numPr>
        <w:spacing w:after="200" w:line="276" w:lineRule="auto"/>
        <w:rPr>
          <w:rFonts w:ascii="Calibri" w:hAnsi="Calibri" w:cs="Calibri"/>
          <w:color w:val="000000"/>
          <w:szCs w:val="24"/>
        </w:rPr>
      </w:pPr>
      <w:r w:rsidRPr="6BACF94B">
        <w:rPr>
          <w:rFonts w:ascii="Calibri" w:hAnsi="Calibri" w:cs="Calibri"/>
          <w:color w:val="000000" w:themeColor="text1"/>
        </w:rPr>
        <w:t>Prepare electronic versions of the studies;</w:t>
      </w:r>
    </w:p>
    <w:p w:rsidR="00452DD7" w:rsidRPr="00962957" w:rsidP="00452DD7" w14:paraId="4721E128" w14:textId="77777777">
      <w:pPr>
        <w:pStyle w:val="ListParagraph"/>
        <w:widowControl w:val="0"/>
        <w:numPr>
          <w:ilvl w:val="0"/>
          <w:numId w:val="17"/>
        </w:numPr>
        <w:spacing w:after="200" w:line="276" w:lineRule="auto"/>
        <w:rPr>
          <w:rFonts w:ascii="Calibri" w:hAnsi="Calibri" w:cs="Calibri"/>
          <w:color w:val="000000"/>
          <w:szCs w:val="24"/>
        </w:rPr>
      </w:pPr>
      <w:r w:rsidRPr="5914BA7C">
        <w:rPr>
          <w:rFonts w:ascii="Calibri" w:hAnsi="Calibri" w:cs="Calibri"/>
          <w:color w:val="000000" w:themeColor="text1"/>
        </w:rPr>
        <w:t xml:space="preserve">Voluntarily prepare robust summaries of the studies; </w:t>
      </w:r>
    </w:p>
    <w:p w:rsidR="00452DD7" w:rsidP="00452DD7" w14:paraId="79C7A3D4" w14:textId="38FE2FE3">
      <w:pPr>
        <w:pStyle w:val="ListParagraph"/>
        <w:widowControl w:val="0"/>
        <w:numPr>
          <w:ilvl w:val="0"/>
          <w:numId w:val="17"/>
        </w:numPr>
        <w:spacing w:after="200" w:line="276" w:lineRule="auto"/>
        <w:rPr>
          <w:rFonts w:ascii="Calibri" w:hAnsi="Calibri" w:cs="Calibri"/>
          <w:color w:val="000000" w:themeColor="text1"/>
        </w:rPr>
      </w:pPr>
      <w:r w:rsidRPr="6BACF94B">
        <w:rPr>
          <w:rFonts w:ascii="Calibri" w:hAnsi="Calibri" w:cs="Calibri"/>
          <w:color w:val="000000" w:themeColor="text1"/>
        </w:rPr>
        <w:t>Prepare OECD Harmonized Templates (OHT</w:t>
      </w:r>
      <w:r w:rsidR="00886E8C">
        <w:rPr>
          <w:rFonts w:ascii="Calibri" w:hAnsi="Calibri" w:cs="Calibri"/>
          <w:color w:val="000000" w:themeColor="text1"/>
        </w:rPr>
        <w:t>s</w:t>
      </w:r>
      <w:r w:rsidRPr="6BACF94B">
        <w:rPr>
          <w:rFonts w:ascii="Calibri" w:hAnsi="Calibri" w:cs="Calibri"/>
          <w:color w:val="000000" w:themeColor="text1"/>
        </w:rPr>
        <w:t>);</w:t>
      </w:r>
    </w:p>
    <w:p w:rsidR="00452DD7" w:rsidRPr="00962957" w:rsidP="00452DD7" w14:paraId="7AE4F638" w14:textId="77777777">
      <w:pPr>
        <w:pStyle w:val="ListParagraph"/>
        <w:widowControl w:val="0"/>
        <w:numPr>
          <w:ilvl w:val="0"/>
          <w:numId w:val="17"/>
        </w:numPr>
        <w:spacing w:after="200" w:line="276" w:lineRule="auto"/>
        <w:rPr>
          <w:rFonts w:ascii="Calibri" w:hAnsi="Calibri" w:cs="Calibri"/>
          <w:color w:val="000000"/>
          <w:szCs w:val="24"/>
        </w:rPr>
      </w:pPr>
      <w:r w:rsidRPr="00962957">
        <w:rPr>
          <w:rFonts w:ascii="Calibri" w:hAnsi="Calibri" w:cs="Calibri"/>
          <w:color w:val="000000"/>
          <w:szCs w:val="24"/>
        </w:rPr>
        <w:t>Review the responses for possible confidential business information and prepare information to substantiate a claim of confidentiality; and</w:t>
      </w:r>
    </w:p>
    <w:p w:rsidR="007E2E3C" w:rsidRPr="00962957" w:rsidP="0036096F" w14:paraId="7EA12B82" w14:textId="0913C751">
      <w:pPr>
        <w:pStyle w:val="ListParagraph"/>
        <w:widowControl w:val="0"/>
        <w:numPr>
          <w:ilvl w:val="0"/>
          <w:numId w:val="17"/>
        </w:numPr>
        <w:spacing w:after="200" w:line="276" w:lineRule="auto"/>
        <w:rPr>
          <w:rFonts w:ascii="Calibri" w:hAnsi="Calibri" w:cs="Calibri"/>
          <w:color w:val="000000"/>
          <w:szCs w:val="24"/>
        </w:rPr>
      </w:pPr>
      <w:r w:rsidRPr="00962957">
        <w:rPr>
          <w:rFonts w:ascii="Calibri" w:hAnsi="Calibri" w:cs="Calibri"/>
          <w:szCs w:val="24"/>
        </w:rPr>
        <w:t>Submit the studies to EPA electronically, and, after initial study submissions, notify EPA when other studies are initiated; submit studies completed after the reporting period.</w:t>
      </w:r>
    </w:p>
    <w:p w:rsidR="007E2E3C" w:rsidRPr="00962957" w:rsidP="007E2E3C" w14:paraId="080F2526" w14:textId="77777777">
      <w:pPr>
        <w:pStyle w:val="ListParagraph"/>
        <w:widowControl w:val="0"/>
        <w:ind w:left="1080"/>
        <w:rPr>
          <w:rFonts w:ascii="Calibri" w:hAnsi="Calibri" w:cs="Calibri"/>
          <w:color w:val="000000"/>
          <w:szCs w:val="24"/>
        </w:rPr>
      </w:pPr>
    </w:p>
    <w:p w:rsidR="007E2E3C" w:rsidRPr="00962957" w:rsidP="007E2E3C" w14:paraId="4810D8AE" w14:textId="350F544C">
      <w:pPr>
        <w:pStyle w:val="ListParagraph"/>
        <w:widowControl w:val="0"/>
        <w:ind w:left="0"/>
        <w:rPr>
          <w:rFonts w:ascii="Calibri" w:hAnsi="Calibri" w:cs="Calibri"/>
          <w:szCs w:val="24"/>
        </w:rPr>
      </w:pPr>
      <w:r w:rsidRPr="22AAA7E5">
        <w:rPr>
          <w:rFonts w:ascii="Calibri" w:hAnsi="Calibri" w:cs="Calibri"/>
        </w:rPr>
        <w:t xml:space="preserve">The methodology used for estimating the burden and costs to industry resulting from the addition of chemicals to the TSCA section 8(d) rule over the next three years is derived from the Economic Analysis. EPA has added chemicals to the TSCA section 8(d) list on an episodic basis. As shown in Table </w:t>
      </w:r>
      <w:r>
        <w:rPr>
          <w:rFonts w:ascii="Calibri" w:hAnsi="Calibri" w:cs="Calibri"/>
        </w:rPr>
        <w:t>10</w:t>
      </w:r>
      <w:r w:rsidRPr="22AAA7E5">
        <w:rPr>
          <w:rFonts w:ascii="Calibri" w:hAnsi="Calibri" w:cs="Calibri"/>
        </w:rPr>
        <w:t xml:space="preserve">, chemicals have been added to the list </w:t>
      </w:r>
      <w:r w:rsidRPr="09859218">
        <w:rPr>
          <w:rFonts w:ascii="Calibri" w:hAnsi="Calibri" w:cs="Calibri"/>
        </w:rPr>
        <w:t>six</w:t>
      </w:r>
      <w:r w:rsidRPr="22AAA7E5">
        <w:rPr>
          <w:rFonts w:ascii="Calibri" w:hAnsi="Calibri" w:cs="Calibri"/>
        </w:rPr>
        <w:t xml:space="preserve"> times since 1996 yielding a historical average of 1</w:t>
      </w:r>
      <w:r w:rsidRPr="78CC0B5B">
        <w:rPr>
          <w:rFonts w:ascii="Calibri" w:hAnsi="Calibri" w:cs="Calibri"/>
        </w:rPr>
        <w:t>2</w:t>
      </w:r>
      <w:r w:rsidRPr="22AAA7E5">
        <w:rPr>
          <w:rFonts w:ascii="Calibri" w:hAnsi="Calibri" w:cs="Calibri"/>
        </w:rPr>
        <w:t xml:space="preserve"> chemicals per year for the years between 1996 and the present. As such, EPA uses a basis of 1</w:t>
      </w:r>
      <w:r w:rsidRPr="5AF0E6B6">
        <w:rPr>
          <w:rFonts w:ascii="Calibri" w:hAnsi="Calibri" w:cs="Calibri"/>
        </w:rPr>
        <w:t>2</w:t>
      </w:r>
      <w:r w:rsidRPr="22AAA7E5">
        <w:rPr>
          <w:rFonts w:ascii="Calibri" w:hAnsi="Calibri" w:cs="Calibri"/>
        </w:rPr>
        <w:t xml:space="preserve"> chemical additions per year for the 202</w:t>
      </w:r>
      <w:r w:rsidRPr="5AF0E6B6">
        <w:rPr>
          <w:rFonts w:ascii="Calibri" w:hAnsi="Calibri" w:cs="Calibri"/>
        </w:rPr>
        <w:t>6-2028</w:t>
      </w:r>
      <w:r w:rsidRPr="22AAA7E5">
        <w:rPr>
          <w:rFonts w:ascii="Calibri" w:hAnsi="Calibri" w:cs="Calibri"/>
        </w:rPr>
        <w:t xml:space="preserve"> ICR period</w:t>
      </w:r>
      <w:r w:rsidRPr="00962957">
        <w:rPr>
          <w:rFonts w:ascii="Calibri" w:hAnsi="Calibri" w:cs="Calibri"/>
          <w:szCs w:val="24"/>
        </w:rPr>
        <w:t xml:space="preserve">. </w:t>
      </w:r>
    </w:p>
    <w:p w:rsidR="007E2E3C" w:rsidRPr="00962957" w:rsidP="00452DD7" w14:paraId="495555B0" w14:textId="77777777">
      <w:pPr>
        <w:pStyle w:val="ListParagraph"/>
        <w:widowControl w:val="0"/>
        <w:spacing w:after="0"/>
        <w:ind w:left="0"/>
        <w:rPr>
          <w:rFonts w:ascii="Calibri" w:hAnsi="Calibri" w:cs="Calibri"/>
          <w:szCs w:val="24"/>
        </w:rPr>
      </w:pPr>
    </w:p>
    <w:p w:rsidR="007E2E3C" w:rsidRPr="00962957" w:rsidP="00D83178" w14:paraId="4CCBB17F" w14:textId="38573C81">
      <w:pPr>
        <w:pStyle w:val="Caption"/>
        <w:spacing w:before="0"/>
        <w:outlineLvl w:val="9"/>
        <w:rPr>
          <w:rFonts w:ascii="Calibri" w:hAnsi="Calibri" w:cs="Calibri"/>
        </w:rPr>
      </w:pPr>
      <w:bookmarkStart w:id="31" w:name="_Ref94533290"/>
      <w:r w:rsidRPr="00962957">
        <w:rPr>
          <w:rFonts w:ascii="Calibri" w:hAnsi="Calibri" w:cs="Calibri"/>
        </w:rPr>
        <w:t xml:space="preserve">Table </w:t>
      </w:r>
      <w:bookmarkEnd w:id="31"/>
      <w:r w:rsidR="00D83178">
        <w:rPr>
          <w:rFonts w:ascii="Calibri" w:hAnsi="Calibri" w:cs="Calibri"/>
        </w:rPr>
        <w:t>10</w:t>
      </w:r>
      <w:r w:rsidRPr="00962957">
        <w:rPr>
          <w:rFonts w:ascii="Calibri" w:hAnsi="Calibri" w:cs="Calibri"/>
        </w:rPr>
        <w:t>. Number of Chemicals Added to the TSCA Section 8(d) Reporting List</w:t>
      </w:r>
    </w:p>
    <w:tbl>
      <w:tblPr>
        <w:tblW w:w="9568" w:type="dxa"/>
        <w:tblInd w:w="-23" w:type="dxa"/>
        <w:tblLook w:val="04A0"/>
      </w:tblPr>
      <w:tblGrid>
        <w:gridCol w:w="1246"/>
        <w:gridCol w:w="646"/>
        <w:gridCol w:w="716"/>
        <w:gridCol w:w="649"/>
        <w:gridCol w:w="631"/>
        <w:gridCol w:w="742"/>
        <w:gridCol w:w="628"/>
        <w:gridCol w:w="828"/>
        <w:gridCol w:w="702"/>
        <w:gridCol w:w="709"/>
        <w:gridCol w:w="712"/>
        <w:gridCol w:w="1359"/>
      </w:tblGrid>
      <w:tr w14:paraId="15C57AE1" w14:textId="7A11FED6" w:rsidTr="5F135418">
        <w:tblPrEx>
          <w:tblW w:w="9568" w:type="dxa"/>
          <w:tblInd w:w="-23" w:type="dxa"/>
          <w:tblLook w:val="04A0"/>
        </w:tblPrEx>
        <w:trPr>
          <w:trHeight w:val="552"/>
        </w:trPr>
        <w:tc>
          <w:tcPr>
            <w:tcW w:w="1395" w:type="dxa"/>
            <w:tcBorders>
              <w:top w:val="double" w:sz="6" w:space="0" w:color="000000" w:themeColor="text1"/>
              <w:left w:val="double" w:sz="6" w:space="0" w:color="000000" w:themeColor="text1"/>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3D65234A"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Year</w:t>
            </w:r>
          </w:p>
        </w:tc>
        <w:tc>
          <w:tcPr>
            <w:tcW w:w="664"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6C0792AA" w14:textId="57B96673">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1996</w:t>
            </w:r>
          </w:p>
        </w:tc>
        <w:tc>
          <w:tcPr>
            <w:tcW w:w="742"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79927A37" w14:textId="7E9C2137">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1997-2003</w:t>
            </w:r>
          </w:p>
        </w:tc>
        <w:tc>
          <w:tcPr>
            <w:tcW w:w="669"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036796EE" w14:textId="46B33A35">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2004</w:t>
            </w:r>
          </w:p>
        </w:tc>
        <w:tc>
          <w:tcPr>
            <w:tcW w:w="638"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3815E12F" w14:textId="64CCED93">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2005</w:t>
            </w:r>
          </w:p>
        </w:tc>
        <w:tc>
          <w:tcPr>
            <w:tcW w:w="758"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3A6C8ECF" w14:textId="24C316F1">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2006*</w:t>
            </w:r>
          </w:p>
        </w:tc>
        <w:tc>
          <w:tcPr>
            <w:tcW w:w="632"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71AF60A8" w14:textId="6B53DCA9">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2007</w:t>
            </w:r>
          </w:p>
        </w:tc>
        <w:tc>
          <w:tcPr>
            <w:tcW w:w="833"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701BF57B" w14:textId="0B4539AE">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2008**</w:t>
            </w:r>
          </w:p>
        </w:tc>
        <w:tc>
          <w:tcPr>
            <w:tcW w:w="716"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7BA5519D" w14:textId="79C28C78">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2009-2017</w:t>
            </w:r>
          </w:p>
        </w:tc>
        <w:tc>
          <w:tcPr>
            <w:tcW w:w="729" w:type="dxa"/>
            <w:tcBorders>
              <w:top w:val="double" w:sz="6" w:space="0" w:color="000000" w:themeColor="text1"/>
              <w:left w:val="nil"/>
              <w:bottom w:val="double" w:sz="6" w:space="0" w:color="000000" w:themeColor="text1"/>
              <w:right w:val="single" w:sz="8" w:space="0" w:color="000000" w:themeColor="text1"/>
            </w:tcBorders>
            <w:shd w:val="clear" w:color="auto" w:fill="D9D9D9" w:themeFill="accent6" w:themeFillShade="D9"/>
            <w:vAlign w:val="center"/>
            <w:hideMark/>
          </w:tcPr>
          <w:p w:rsidR="00D83178" w:rsidRPr="00962957" w:rsidP="00D83178" w14:paraId="1038DD76" w14:textId="5629EDC5">
            <w:pPr>
              <w:spacing w:after="0" w:line="240" w:lineRule="auto"/>
              <w:jc w:val="center"/>
              <w:rPr>
                <w:rFonts w:ascii="Calibri" w:eastAsia="Times New Roman" w:hAnsi="Calibri" w:cs="Calibri"/>
                <w:color w:val="000000"/>
                <w:sz w:val="20"/>
                <w:szCs w:val="20"/>
              </w:rPr>
            </w:pPr>
            <w:r w:rsidRPr="3029A734">
              <w:rPr>
                <w:rFonts w:ascii="Calibri" w:eastAsia="Times New Roman" w:hAnsi="Calibri" w:cs="Calibri"/>
                <w:color w:val="000000" w:themeColor="text1"/>
                <w:sz w:val="20"/>
                <w:szCs w:val="20"/>
              </w:rPr>
              <w:t>2018- 2021</w:t>
            </w:r>
          </w:p>
        </w:tc>
        <w:tc>
          <w:tcPr>
            <w:tcW w:w="735" w:type="dxa"/>
            <w:tcBorders>
              <w:top w:val="double" w:sz="6" w:space="0" w:color="000000" w:themeColor="text1"/>
              <w:left w:val="nil"/>
              <w:bottom w:val="double" w:sz="6" w:space="0" w:color="000000" w:themeColor="text1"/>
              <w:right w:val="double" w:sz="6" w:space="0" w:color="000000" w:themeColor="text1"/>
            </w:tcBorders>
            <w:shd w:val="clear" w:color="auto" w:fill="D9D9D9" w:themeFill="accent6" w:themeFillShade="D9"/>
            <w:vAlign w:val="center"/>
            <w:hideMark/>
          </w:tcPr>
          <w:p w:rsidR="00D83178" w:rsidRPr="00962957" w:rsidP="00D83178" w14:paraId="7094C138" w14:textId="2193776F">
            <w:pPr>
              <w:spacing w:after="0" w:line="240" w:lineRule="auto"/>
              <w:jc w:val="center"/>
              <w:rPr>
                <w:rFonts w:ascii="Calibri" w:eastAsia="Times New Roman" w:hAnsi="Calibri" w:cs="Calibri"/>
                <w:color w:val="000000"/>
                <w:sz w:val="20"/>
                <w:szCs w:val="20"/>
              </w:rPr>
            </w:pPr>
            <w:r w:rsidRPr="508B474C">
              <w:rPr>
                <w:rFonts w:ascii="Calibri" w:eastAsia="Times New Roman" w:hAnsi="Calibri" w:cs="Calibri"/>
                <w:color w:val="000000" w:themeColor="text1"/>
                <w:sz w:val="20"/>
                <w:szCs w:val="20"/>
              </w:rPr>
              <w:t>2022-2025</w:t>
            </w:r>
          </w:p>
        </w:tc>
        <w:tc>
          <w:tcPr>
            <w:tcW w:w="1057" w:type="dxa"/>
            <w:tcBorders>
              <w:top w:val="double" w:sz="6" w:space="0" w:color="000000" w:themeColor="text1"/>
              <w:left w:val="nil"/>
              <w:bottom w:val="double" w:sz="6" w:space="0" w:color="000000" w:themeColor="text1"/>
              <w:right w:val="double" w:sz="6" w:space="0" w:color="000000" w:themeColor="text1"/>
            </w:tcBorders>
            <w:shd w:val="clear" w:color="auto" w:fill="D9D9D9" w:themeFill="accent6" w:themeFillShade="D9"/>
          </w:tcPr>
          <w:p w:rsidR="00D83178" w:rsidRPr="00D83178" w:rsidP="00D83178" w14:paraId="1F6A510E" w14:textId="6DC35FD6">
            <w:pPr>
              <w:spacing w:after="0" w:line="240" w:lineRule="auto"/>
              <w:jc w:val="center"/>
              <w:rPr>
                <w:rFonts w:ascii="Calibri" w:eastAsia="Times New Roman" w:hAnsi="Calibri" w:cs="Calibri"/>
                <w:b/>
                <w:bCs/>
                <w:color w:val="000000" w:themeColor="text1"/>
                <w:sz w:val="20"/>
                <w:szCs w:val="20"/>
              </w:rPr>
            </w:pPr>
            <w:r w:rsidRPr="00D83178">
              <w:rPr>
                <w:rFonts w:ascii="Calibri" w:eastAsia="Times New Roman" w:hAnsi="Calibri" w:cs="Calibri"/>
                <w:b/>
                <w:bCs/>
                <w:color w:val="000000" w:themeColor="text1"/>
                <w:sz w:val="20"/>
                <w:szCs w:val="20"/>
              </w:rPr>
              <w:t>Average/Year</w:t>
            </w:r>
          </w:p>
        </w:tc>
      </w:tr>
      <w:tr w14:paraId="4B0476D3" w14:textId="1B459A91" w:rsidTr="5F135418">
        <w:tblPrEx>
          <w:tblW w:w="9568" w:type="dxa"/>
          <w:tblInd w:w="-23" w:type="dxa"/>
          <w:tblLook w:val="04A0"/>
        </w:tblPrEx>
        <w:trPr>
          <w:trHeight w:val="1080"/>
        </w:trPr>
        <w:tc>
          <w:tcPr>
            <w:tcW w:w="1395" w:type="dxa"/>
            <w:tcBorders>
              <w:top w:val="nil"/>
              <w:left w:val="double" w:sz="6" w:space="0" w:color="000000" w:themeColor="text1"/>
              <w:bottom w:val="double" w:sz="6" w:space="0" w:color="000000" w:themeColor="text1"/>
              <w:right w:val="single" w:sz="8" w:space="0" w:color="000000" w:themeColor="text1"/>
            </w:tcBorders>
            <w:shd w:val="clear" w:color="auto" w:fill="auto"/>
            <w:vAlign w:val="center"/>
            <w:hideMark/>
          </w:tcPr>
          <w:p w:rsidR="00D83178" w:rsidRPr="00962957" w:rsidP="00D83178" w14:paraId="5407D531" w14:textId="77777777">
            <w:pPr>
              <w:spacing w:after="0" w:line="240" w:lineRule="auto"/>
              <w:jc w:val="center"/>
              <w:rPr>
                <w:rFonts w:ascii="Calibri" w:eastAsia="Times New Roman" w:hAnsi="Calibri" w:cs="Calibri"/>
                <w:b/>
                <w:bCs/>
                <w:color w:val="000000"/>
                <w:sz w:val="20"/>
                <w:szCs w:val="20"/>
              </w:rPr>
            </w:pPr>
            <w:r w:rsidRPr="00962957">
              <w:rPr>
                <w:rFonts w:ascii="Calibri" w:eastAsia="Times New Roman" w:hAnsi="Calibri" w:cs="Calibri"/>
                <w:b/>
                <w:bCs/>
                <w:color w:val="000000"/>
                <w:sz w:val="20"/>
                <w:szCs w:val="20"/>
              </w:rPr>
              <w:t xml:space="preserve">Number of Chemicals </w:t>
            </w:r>
          </w:p>
        </w:tc>
        <w:tc>
          <w:tcPr>
            <w:tcW w:w="664"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4B8A8F45" w14:textId="3159A123">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47</w:t>
            </w:r>
          </w:p>
        </w:tc>
        <w:tc>
          <w:tcPr>
            <w:tcW w:w="742"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1DA71512" w14:textId="56877DF3">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669"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2DE02690" w14:textId="26F7C2FF">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15</w:t>
            </w:r>
          </w:p>
        </w:tc>
        <w:tc>
          <w:tcPr>
            <w:tcW w:w="638"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0B341FAF" w14:textId="0A0083D0">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758"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69B026FB" w14:textId="50CD6780">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208</w:t>
            </w:r>
          </w:p>
        </w:tc>
        <w:tc>
          <w:tcPr>
            <w:tcW w:w="632"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25D4640B" w14:textId="73088864">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833"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600ED34F" w14:textId="29655DF0">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12</w:t>
            </w:r>
          </w:p>
        </w:tc>
        <w:tc>
          <w:tcPr>
            <w:tcW w:w="716"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33CD6B52" w14:textId="30D19289">
            <w:pPr>
              <w:spacing w:after="0" w:line="240" w:lineRule="auto"/>
              <w:jc w:val="center"/>
              <w:rPr>
                <w:rFonts w:ascii="Calibri" w:eastAsia="Times New Roman" w:hAnsi="Calibri" w:cs="Calibri"/>
                <w:color w:val="000000"/>
                <w:sz w:val="20"/>
                <w:szCs w:val="20"/>
              </w:rPr>
            </w:pPr>
            <w:r w:rsidRPr="00962957">
              <w:rPr>
                <w:rFonts w:ascii="Calibri" w:eastAsia="Times New Roman" w:hAnsi="Calibri" w:cs="Calibri"/>
                <w:color w:val="000000"/>
                <w:sz w:val="20"/>
                <w:szCs w:val="20"/>
              </w:rPr>
              <w:t>0</w:t>
            </w:r>
          </w:p>
        </w:tc>
        <w:tc>
          <w:tcPr>
            <w:tcW w:w="729" w:type="dxa"/>
            <w:tcBorders>
              <w:top w:val="nil"/>
              <w:left w:val="nil"/>
              <w:bottom w:val="double" w:sz="6" w:space="0" w:color="000000" w:themeColor="text1"/>
              <w:right w:val="single" w:sz="8" w:space="0" w:color="000000" w:themeColor="text1"/>
            </w:tcBorders>
            <w:shd w:val="clear" w:color="auto" w:fill="auto"/>
            <w:vAlign w:val="center"/>
            <w:hideMark/>
          </w:tcPr>
          <w:p w:rsidR="00D83178" w:rsidRPr="00962957" w:rsidP="00D83178" w14:paraId="6A9AF8A9" w14:textId="63D54A4D">
            <w:pPr>
              <w:spacing w:after="0" w:line="240" w:lineRule="auto"/>
              <w:jc w:val="center"/>
              <w:rPr>
                <w:rFonts w:ascii="Calibri" w:eastAsia="Times New Roman" w:hAnsi="Calibri" w:cs="Calibri"/>
                <w:color w:val="000000"/>
                <w:sz w:val="20"/>
                <w:szCs w:val="20"/>
              </w:rPr>
            </w:pPr>
            <w:r w:rsidRPr="3029A734">
              <w:rPr>
                <w:rFonts w:ascii="Calibri" w:eastAsia="Times New Roman" w:hAnsi="Calibri" w:cs="Calibri"/>
                <w:color w:val="000000" w:themeColor="text1"/>
                <w:sz w:val="20"/>
                <w:szCs w:val="20"/>
              </w:rPr>
              <w:t>50</w:t>
            </w:r>
          </w:p>
        </w:tc>
        <w:tc>
          <w:tcPr>
            <w:tcW w:w="735" w:type="dxa"/>
            <w:tcBorders>
              <w:top w:val="nil"/>
              <w:left w:val="nil"/>
              <w:bottom w:val="double" w:sz="6" w:space="0" w:color="000000" w:themeColor="text1"/>
              <w:right w:val="double" w:sz="6" w:space="0" w:color="000000" w:themeColor="text1"/>
            </w:tcBorders>
            <w:shd w:val="clear" w:color="auto" w:fill="auto"/>
            <w:vAlign w:val="center"/>
            <w:hideMark/>
          </w:tcPr>
          <w:p w:rsidR="00D83178" w:rsidRPr="00962957" w:rsidP="00D83178" w14:paraId="56425D5C" w14:textId="1A9AF8BC">
            <w:pPr>
              <w:spacing w:after="0" w:line="240" w:lineRule="auto"/>
              <w:jc w:val="center"/>
              <w:rPr>
                <w:rFonts w:ascii="Calibri" w:eastAsia="Times New Roman" w:hAnsi="Calibri" w:cs="Calibri"/>
                <w:color w:val="000000"/>
                <w:sz w:val="20"/>
                <w:szCs w:val="20"/>
              </w:rPr>
            </w:pPr>
            <w:r w:rsidRPr="508B474C">
              <w:rPr>
                <w:rFonts w:ascii="Calibri" w:eastAsia="Times New Roman" w:hAnsi="Calibri" w:cs="Calibri"/>
                <w:color w:val="000000" w:themeColor="text1"/>
                <w:sz w:val="20"/>
                <w:szCs w:val="20"/>
              </w:rPr>
              <w:t>16</w:t>
            </w:r>
          </w:p>
        </w:tc>
        <w:tc>
          <w:tcPr>
            <w:tcW w:w="1057" w:type="dxa"/>
            <w:tcBorders>
              <w:top w:val="nil"/>
              <w:left w:val="nil"/>
              <w:bottom w:val="double" w:sz="6" w:space="0" w:color="000000" w:themeColor="text1"/>
              <w:right w:val="double" w:sz="6" w:space="0" w:color="000000" w:themeColor="text1"/>
            </w:tcBorders>
          </w:tcPr>
          <w:p w:rsidR="00D83178" w:rsidRPr="00D83178" w:rsidP="00D83178" w14:paraId="5CA1CF0B" w14:textId="77777777">
            <w:pPr>
              <w:spacing w:after="0" w:line="240" w:lineRule="auto"/>
              <w:jc w:val="center"/>
              <w:rPr>
                <w:rFonts w:ascii="Calibri" w:eastAsia="Times New Roman" w:hAnsi="Calibri" w:cs="Calibri"/>
                <w:b/>
                <w:bCs/>
                <w:color w:val="000000" w:themeColor="text1"/>
                <w:sz w:val="20"/>
                <w:szCs w:val="20"/>
              </w:rPr>
            </w:pPr>
          </w:p>
          <w:p w:rsidR="00D83178" w:rsidRPr="00D83178" w:rsidP="00D83178" w14:paraId="3C253B3A" w14:textId="77777777">
            <w:pPr>
              <w:spacing w:after="0" w:line="240" w:lineRule="auto"/>
              <w:jc w:val="center"/>
              <w:rPr>
                <w:rFonts w:ascii="Calibri" w:eastAsia="Times New Roman" w:hAnsi="Calibri" w:cs="Calibri"/>
                <w:b/>
                <w:bCs/>
                <w:color w:val="000000" w:themeColor="text1"/>
                <w:sz w:val="20"/>
                <w:szCs w:val="20"/>
              </w:rPr>
            </w:pPr>
          </w:p>
          <w:p w:rsidR="00D83178" w:rsidRPr="00D83178" w:rsidP="00D83178" w14:paraId="58476386" w14:textId="245A6D71">
            <w:pPr>
              <w:spacing w:after="0" w:line="240" w:lineRule="auto"/>
              <w:jc w:val="center"/>
              <w:rPr>
                <w:rFonts w:ascii="Calibri" w:eastAsia="Times New Roman" w:hAnsi="Calibri" w:cs="Calibri"/>
                <w:b/>
                <w:bCs/>
                <w:color w:val="000000" w:themeColor="text1"/>
                <w:sz w:val="20"/>
                <w:szCs w:val="20"/>
              </w:rPr>
            </w:pPr>
            <w:r w:rsidRPr="00D83178">
              <w:rPr>
                <w:rFonts w:ascii="Calibri" w:eastAsia="Times New Roman" w:hAnsi="Calibri" w:cs="Calibri"/>
                <w:b/>
                <w:bCs/>
                <w:color w:val="000000" w:themeColor="text1"/>
                <w:sz w:val="20"/>
                <w:szCs w:val="20"/>
              </w:rPr>
              <w:t>12</w:t>
            </w:r>
          </w:p>
        </w:tc>
      </w:tr>
    </w:tbl>
    <w:p w:rsidR="007E2E3C" w:rsidP="00D83178" w14:paraId="7218DD7F" w14:textId="31AB23F5">
      <w:pPr>
        <w:keepNext/>
        <w:spacing w:after="0"/>
        <w:rPr>
          <w:rFonts w:ascii="Calibri" w:hAnsi="Calibri" w:cs="Calibri"/>
          <w:sz w:val="16"/>
          <w:szCs w:val="16"/>
        </w:rPr>
      </w:pPr>
      <w:r w:rsidRPr="5F135418">
        <w:rPr>
          <w:rFonts w:ascii="Calibri" w:eastAsia="Times New Roman" w:hAnsi="Calibri" w:cs="Calibri"/>
          <w:color w:val="000000" w:themeColor="text1"/>
          <w:sz w:val="16"/>
          <w:szCs w:val="16"/>
        </w:rPr>
        <w:t xml:space="preserve">* EPA issued a TSCA section 8(d) rule (71 </w:t>
      </w:r>
      <w:r w:rsidRPr="5F135418">
        <w:rPr>
          <w:rFonts w:ascii="Calibri" w:eastAsia="Times New Roman" w:hAnsi="Calibri" w:cs="Calibri"/>
          <w:color w:val="000000" w:themeColor="text1"/>
          <w:sz w:val="16"/>
          <w:szCs w:val="16"/>
          <w:u w:val="single"/>
        </w:rPr>
        <w:t>FR</w:t>
      </w:r>
      <w:r w:rsidRPr="5F135418">
        <w:rPr>
          <w:rFonts w:ascii="Calibri" w:eastAsia="Times New Roman" w:hAnsi="Calibri" w:cs="Calibri"/>
          <w:color w:val="000000" w:themeColor="text1"/>
          <w:sz w:val="16"/>
          <w:szCs w:val="16"/>
        </w:rPr>
        <w:t xml:space="preserve"> 47130) on August 16, 2006</w:t>
      </w:r>
      <w:r w:rsidRPr="5F135418" w:rsidR="00B169EB">
        <w:rPr>
          <w:rFonts w:ascii="Calibri" w:eastAsia="Times New Roman" w:hAnsi="Calibri" w:cs="Calibri"/>
          <w:color w:val="000000" w:themeColor="text1"/>
          <w:sz w:val="16"/>
          <w:szCs w:val="16"/>
        </w:rPr>
        <w:t>,</w:t>
      </w:r>
      <w:r w:rsidRPr="5F135418">
        <w:rPr>
          <w:rFonts w:ascii="Calibri" w:eastAsia="Times New Roman" w:hAnsi="Calibri" w:cs="Calibri"/>
          <w:color w:val="000000" w:themeColor="text1"/>
          <w:sz w:val="16"/>
          <w:szCs w:val="16"/>
        </w:rPr>
        <w:t xml:space="preserve"> for 243 HPV chemicals that were not sponsored in the voluntary portion of the HPV Challenge Program. EPA later withdrew 33 of these chemicals in a final rule issued on September 29, 2006 (71</w:t>
      </w:r>
      <w:r w:rsidRPr="5F135418">
        <w:rPr>
          <w:rFonts w:ascii="Calibri" w:eastAsia="Times New Roman" w:hAnsi="Calibri" w:cs="Calibri"/>
          <w:color w:val="000000" w:themeColor="text1"/>
          <w:sz w:val="16"/>
          <w:szCs w:val="16"/>
          <w:u w:val="single"/>
        </w:rPr>
        <w:t xml:space="preserve"> FR </w:t>
      </w:r>
      <w:r w:rsidRPr="5F135418">
        <w:rPr>
          <w:rFonts w:ascii="Calibri" w:eastAsia="Times New Roman" w:hAnsi="Calibri" w:cs="Calibri"/>
          <w:color w:val="000000" w:themeColor="text1"/>
          <w:sz w:val="16"/>
          <w:szCs w:val="16"/>
        </w:rPr>
        <w:t xml:space="preserve">57439). In a subsequent direct final rule issued on April 30, 2007, EPA removed two additional chemicals (72 </w:t>
      </w:r>
      <w:r w:rsidRPr="5F135418">
        <w:rPr>
          <w:rFonts w:ascii="Calibri" w:eastAsia="Times New Roman" w:hAnsi="Calibri" w:cs="Calibri"/>
          <w:color w:val="000000" w:themeColor="text1"/>
          <w:sz w:val="16"/>
          <w:szCs w:val="16"/>
          <w:u w:val="single"/>
        </w:rPr>
        <w:t>FR</w:t>
      </w:r>
      <w:r w:rsidRPr="5F135418">
        <w:rPr>
          <w:rFonts w:ascii="Calibri" w:eastAsia="Times New Roman" w:hAnsi="Calibri" w:cs="Calibri"/>
          <w:color w:val="000000" w:themeColor="text1"/>
          <w:sz w:val="16"/>
          <w:szCs w:val="16"/>
        </w:rPr>
        <w:t xml:space="preserve"> 21119), resulting in a total of 208 chemicals subject to </w:t>
      </w:r>
      <w:r w:rsidRPr="5F135418" w:rsidR="010B3653">
        <w:rPr>
          <w:rFonts w:ascii="Calibri" w:eastAsia="Times New Roman" w:hAnsi="Calibri" w:cs="Calibri"/>
          <w:color w:val="000000" w:themeColor="text1"/>
          <w:sz w:val="16"/>
          <w:szCs w:val="16"/>
        </w:rPr>
        <w:t>TSCA s</w:t>
      </w:r>
      <w:r w:rsidRPr="5F135418">
        <w:rPr>
          <w:rFonts w:ascii="Calibri" w:eastAsia="Times New Roman" w:hAnsi="Calibri" w:cs="Calibri"/>
          <w:color w:val="000000" w:themeColor="text1"/>
          <w:sz w:val="16"/>
          <w:szCs w:val="16"/>
        </w:rPr>
        <w:t>ection 8(d) reporting. (**) The TSCA Interagency Testing Committee added Lead and Lead Compounds to the Priority List as part of its 60</w:t>
      </w:r>
      <w:r w:rsidRPr="5F135418">
        <w:rPr>
          <w:rFonts w:ascii="Calibri" w:eastAsia="Times New Roman" w:hAnsi="Calibri" w:cs="Calibri"/>
          <w:color w:val="000000" w:themeColor="text1"/>
          <w:sz w:val="16"/>
          <w:szCs w:val="16"/>
          <w:vertAlign w:val="superscript"/>
        </w:rPr>
        <w:t>th</w:t>
      </w:r>
      <w:r w:rsidRPr="5F135418">
        <w:rPr>
          <w:rFonts w:ascii="Calibri" w:eastAsia="Times New Roman" w:hAnsi="Calibri" w:cs="Calibri"/>
          <w:color w:val="000000" w:themeColor="text1"/>
          <w:sz w:val="16"/>
          <w:szCs w:val="16"/>
        </w:rPr>
        <w:t xml:space="preserve"> ITC Report. Based on this addition, EPA issued a final rule on January 20, 2008 (73 FR 5190) which added 12 Lead and Lead compounds to 40 CFR 716.120. EPA issued a TSCA section 8(d) rule (</w:t>
      </w:r>
      <w:r w:rsidRPr="5F135418">
        <w:rPr>
          <w:rFonts w:ascii="Calibri" w:hAnsi="Calibri" w:cs="Calibri"/>
          <w:sz w:val="16"/>
          <w:szCs w:val="16"/>
        </w:rPr>
        <w:t>89 FR 100756) on December 13, 2024, for chemical for prioritization, risk evaluation, and risk management.</w:t>
      </w:r>
    </w:p>
    <w:p w:rsidR="002F66B7" w:rsidRPr="002F66B7" w:rsidP="00D83178" w14:paraId="4AACA01E" w14:textId="77777777">
      <w:pPr>
        <w:keepNext/>
        <w:spacing w:after="0"/>
        <w:rPr>
          <w:rFonts w:ascii="Calibri" w:hAnsi="Calibri" w:cs="Calibri"/>
          <w:color w:val="000000"/>
          <w:sz w:val="16"/>
          <w:szCs w:val="16"/>
        </w:rPr>
      </w:pPr>
    </w:p>
    <w:p w:rsidR="007E2E3C" w:rsidRPr="00962957" w:rsidP="5F135418" w14:paraId="3EF6456D" w14:textId="504BCB6D">
      <w:pPr>
        <w:pStyle w:val="ListParagraph"/>
        <w:keepNext/>
        <w:ind w:left="0"/>
        <w:rPr>
          <w:rFonts w:ascii="Calibri" w:hAnsi="Calibri" w:cs="Calibri"/>
        </w:rPr>
      </w:pPr>
      <w:r w:rsidRPr="5A39B9F7">
        <w:rPr>
          <w:rFonts w:ascii="Calibri" w:hAnsi="Calibri" w:cs="Calibri"/>
          <w:color w:val="000000"/>
        </w:rPr>
        <w:t xml:space="preserve">Moreover, to characterize the reporting implications per chemical addition associated with </w:t>
      </w:r>
      <w:r w:rsidRPr="5A39B9F7" w:rsidR="6BD8276F">
        <w:rPr>
          <w:rFonts w:ascii="Calibri" w:hAnsi="Calibri" w:cs="Calibri"/>
          <w:color w:val="000000"/>
        </w:rPr>
        <w:t>TSCA s</w:t>
      </w:r>
      <w:r w:rsidRPr="5A39B9F7">
        <w:rPr>
          <w:rFonts w:ascii="Calibri" w:hAnsi="Calibri" w:cs="Calibri"/>
          <w:color w:val="000000"/>
        </w:rPr>
        <w:t>ection 8(d) reporting</w:t>
      </w:r>
      <w:r w:rsidRPr="5A39B9F7">
        <w:rPr>
          <w:rFonts w:ascii="Calibri" w:hAnsi="Calibri" w:cs="Calibri"/>
        </w:rPr>
        <w:t xml:space="preserve">, this analysis uses TSCA Inventory Update Rule data from the 1998, 2002, and 2006 reporting cycles, Chemical Data Reporting Rule data from the </w:t>
      </w:r>
      <w:r w:rsidRPr="36D01AA0">
        <w:rPr>
          <w:rFonts w:ascii="Calibri" w:hAnsi="Calibri" w:cs="Calibri"/>
        </w:rPr>
        <w:t>2020</w:t>
      </w:r>
      <w:r w:rsidRPr="5A39B9F7">
        <w:rPr>
          <w:rFonts w:ascii="Calibri" w:hAnsi="Calibri" w:cs="Calibri"/>
        </w:rPr>
        <w:t xml:space="preserve"> reporting cycle</w:t>
      </w:r>
      <w:r w:rsidRPr="39275CD8">
        <w:rPr>
          <w:rFonts w:ascii="Calibri" w:hAnsi="Calibri" w:cs="Calibri"/>
        </w:rPr>
        <w:t xml:space="preserve">, and recent submission inputs from responses to the </w:t>
      </w:r>
      <w:r w:rsidRPr="15D76F42">
        <w:rPr>
          <w:rFonts w:ascii="Calibri" w:hAnsi="Calibri" w:cs="Calibri"/>
        </w:rPr>
        <w:t>2021 ICR</w:t>
      </w:r>
      <w:r w:rsidRPr="707921FB">
        <w:rPr>
          <w:rFonts w:ascii="Calibri" w:hAnsi="Calibri" w:cs="Calibri"/>
        </w:rPr>
        <w:t xml:space="preserve"> </w:t>
      </w:r>
      <w:r w:rsidRPr="4070E6FA">
        <w:rPr>
          <w:rFonts w:ascii="Calibri" w:hAnsi="Calibri" w:cs="Calibri"/>
        </w:rPr>
        <w:t>(EPA 2021)</w:t>
      </w:r>
      <w:r w:rsidRPr="7BE5E9E9">
        <w:rPr>
          <w:rFonts w:ascii="Calibri" w:hAnsi="Calibri" w:cs="Calibri"/>
        </w:rPr>
        <w:t>.</w:t>
      </w:r>
      <w:r>
        <w:rPr>
          <w:rStyle w:val="FootnoteReference"/>
          <w:rFonts w:ascii="Calibri" w:hAnsi="Calibri" w:cs="Calibri"/>
          <w:color w:val="000000"/>
        </w:rPr>
        <w:footnoteReference w:id="12"/>
      </w:r>
      <w:r w:rsidRPr="5A39B9F7">
        <w:rPr>
          <w:rFonts w:ascii="Calibri" w:hAnsi="Calibri" w:cs="Calibri"/>
        </w:rPr>
        <w:t xml:space="preserve"> Table 1</w:t>
      </w:r>
      <w:r>
        <w:rPr>
          <w:rFonts w:ascii="Calibri" w:hAnsi="Calibri" w:cs="Calibri"/>
        </w:rPr>
        <w:t>1</w:t>
      </w:r>
      <w:r w:rsidRPr="5A39B9F7">
        <w:rPr>
          <w:rFonts w:ascii="Calibri" w:hAnsi="Calibri" w:cs="Calibri"/>
        </w:rPr>
        <w:t xml:space="preserve"> summarizes the models and bases, as applied to the 202</w:t>
      </w:r>
      <w:r w:rsidRPr="7BE5E9E9">
        <w:rPr>
          <w:rFonts w:ascii="Calibri" w:hAnsi="Calibri" w:cs="Calibri"/>
        </w:rPr>
        <w:t>5-2028</w:t>
      </w:r>
      <w:r w:rsidRPr="5A39B9F7">
        <w:rPr>
          <w:rFonts w:ascii="Calibri" w:hAnsi="Calibri" w:cs="Calibri"/>
        </w:rPr>
        <w:t xml:space="preserve"> ICR renewal</w:t>
      </w:r>
      <w:r w:rsidRPr="5F135418">
        <w:rPr>
          <w:rFonts w:ascii="Calibri" w:hAnsi="Calibri" w:cs="Calibri"/>
        </w:rPr>
        <w:t xml:space="preserve">. </w:t>
      </w:r>
    </w:p>
    <w:p w:rsidR="007E2E3C" w14:paraId="08D23CD8" w14:textId="10DB6492">
      <w:pPr>
        <w:pStyle w:val="Caption"/>
        <w:outlineLvl w:val="9"/>
        <w:rPr>
          <w:rFonts w:ascii="Calibri" w:hAnsi="Calibri" w:cs="Calibri"/>
        </w:rPr>
      </w:pPr>
      <w:bookmarkStart w:id="32" w:name="_Ref96092438"/>
      <w:r w:rsidRPr="00962957">
        <w:rPr>
          <w:rFonts w:ascii="Calibri" w:hAnsi="Calibri" w:cs="Calibri"/>
        </w:rPr>
        <w:t xml:space="preserve">Table </w:t>
      </w:r>
      <w:bookmarkEnd w:id="32"/>
      <w:r w:rsidRPr="00962957" w:rsidR="00D83178">
        <w:rPr>
          <w:rFonts w:ascii="Calibri" w:hAnsi="Calibri" w:cs="Calibri"/>
        </w:rPr>
        <w:t>1</w:t>
      </w:r>
      <w:r w:rsidR="00D83178">
        <w:rPr>
          <w:rFonts w:ascii="Calibri" w:hAnsi="Calibri" w:cs="Calibri"/>
        </w:rPr>
        <w:t>1</w:t>
      </w:r>
      <w:r w:rsidRPr="00962957">
        <w:rPr>
          <w:rFonts w:ascii="Calibri" w:hAnsi="Calibri" w:cs="Calibri"/>
        </w:rPr>
        <w:t>. Reporting Implications per Chemical Added TSCA Section 8(d)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671"/>
        <w:gridCol w:w="1232"/>
        <w:gridCol w:w="1028"/>
        <w:gridCol w:w="1033"/>
        <w:gridCol w:w="1627"/>
        <w:gridCol w:w="1049"/>
        <w:gridCol w:w="1642"/>
      </w:tblGrid>
      <w:tr w14:paraId="4CC44979" w14:textId="77777777" w:rsidTr="1DE5DC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780"/>
        </w:trPr>
        <w:tc>
          <w:tcPr>
            <w:tcW w:w="1671" w:type="dxa"/>
            <w:shd w:val="clear" w:color="auto" w:fill="D9D9D9" w:themeFill="accent6" w:themeFillShade="D9"/>
            <w:vAlign w:val="center"/>
          </w:tcPr>
          <w:p w:rsidR="00D83178" w:rsidP="004572B1" w14:paraId="29626F97"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Metric</w:t>
            </w:r>
          </w:p>
        </w:tc>
        <w:tc>
          <w:tcPr>
            <w:tcW w:w="1232" w:type="dxa"/>
            <w:shd w:val="clear" w:color="auto" w:fill="D9D9D9" w:themeFill="accent6" w:themeFillShade="D9"/>
            <w:vAlign w:val="center"/>
          </w:tcPr>
          <w:p w:rsidR="00D83178" w:rsidP="004572B1" w14:paraId="405FBEA2"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ICR Model Year</w:t>
            </w:r>
          </w:p>
        </w:tc>
        <w:tc>
          <w:tcPr>
            <w:tcW w:w="1028" w:type="dxa"/>
            <w:shd w:val="clear" w:color="auto" w:fill="D9D9D9" w:themeFill="accent6" w:themeFillShade="D9"/>
            <w:vAlign w:val="center"/>
          </w:tcPr>
          <w:p w:rsidR="00D83178" w:rsidP="004572B1" w14:paraId="34213155"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Number of firms</w:t>
            </w:r>
          </w:p>
        </w:tc>
        <w:tc>
          <w:tcPr>
            <w:tcW w:w="1033" w:type="dxa"/>
            <w:shd w:val="clear" w:color="auto" w:fill="D9D9D9" w:themeFill="accent6" w:themeFillShade="D9"/>
            <w:vAlign w:val="center"/>
          </w:tcPr>
          <w:p w:rsidR="00D83178" w:rsidP="004572B1" w14:paraId="786E539B"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Number of chemicals</w:t>
            </w:r>
          </w:p>
        </w:tc>
        <w:tc>
          <w:tcPr>
            <w:tcW w:w="1627" w:type="dxa"/>
            <w:shd w:val="clear" w:color="auto" w:fill="D9D9D9" w:themeFill="accent6" w:themeFillShade="D9"/>
            <w:vAlign w:val="center"/>
          </w:tcPr>
          <w:p w:rsidR="00D83178" w:rsidP="004572B1" w14:paraId="3B8A5752"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Number of reports or studies</w:t>
            </w:r>
          </w:p>
        </w:tc>
        <w:tc>
          <w:tcPr>
            <w:tcW w:w="1049" w:type="dxa"/>
            <w:shd w:val="clear" w:color="auto" w:fill="D9D9D9" w:themeFill="accent6" w:themeFillShade="D9"/>
            <w:vAlign w:val="center"/>
          </w:tcPr>
          <w:p w:rsidR="00D83178" w:rsidP="004572B1" w14:paraId="4544C1ED"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Reporting basis</w:t>
            </w:r>
          </w:p>
        </w:tc>
        <w:tc>
          <w:tcPr>
            <w:tcW w:w="1642" w:type="dxa"/>
            <w:shd w:val="clear" w:color="auto" w:fill="D9D9D9" w:themeFill="accent6" w:themeFillShade="D9"/>
            <w:vAlign w:val="center"/>
          </w:tcPr>
          <w:p w:rsidR="00D83178" w:rsidP="004572B1" w14:paraId="79D07277" w14:textId="77777777">
            <w:pPr>
              <w:spacing w:after="0"/>
              <w:jc w:val="center"/>
              <w:rPr>
                <w:rFonts w:ascii="Calibri" w:eastAsia="Calibri" w:hAnsi="Calibri" w:cs="Calibri"/>
                <w:b/>
                <w:bCs/>
                <w:color w:val="000000" w:themeColor="text1"/>
                <w:sz w:val="20"/>
                <w:szCs w:val="20"/>
              </w:rPr>
            </w:pPr>
            <w:r w:rsidRPr="4E6D4237">
              <w:rPr>
                <w:rFonts w:ascii="Calibri" w:eastAsia="Calibri" w:hAnsi="Calibri" w:cs="Calibri"/>
                <w:b/>
                <w:bCs/>
                <w:color w:val="000000" w:themeColor="text1"/>
                <w:sz w:val="20"/>
                <w:szCs w:val="20"/>
              </w:rPr>
              <w:t>Reporting basis unit</w:t>
            </w:r>
          </w:p>
        </w:tc>
      </w:tr>
      <w:tr w14:paraId="55434710" w14:textId="77777777" w:rsidTr="00CA12AD">
        <w:tblPrEx>
          <w:tblW w:w="0" w:type="auto"/>
          <w:tblLayout w:type="fixed"/>
          <w:tblLook w:val="06A0"/>
        </w:tblPrEx>
        <w:trPr>
          <w:trHeight w:val="1770"/>
        </w:trPr>
        <w:tc>
          <w:tcPr>
            <w:tcW w:w="1671" w:type="dxa"/>
            <w:vMerge w:val="restart"/>
            <w:tcBorders>
              <w:top w:val="single" w:sz="4" w:space="0" w:color="auto"/>
              <w:left w:val="single" w:sz="4" w:space="0" w:color="auto"/>
              <w:bottom w:val="single" w:sz="4" w:space="0" w:color="auto"/>
              <w:right w:val="single" w:sz="4" w:space="0" w:color="auto"/>
            </w:tcBorders>
            <w:vAlign w:val="center"/>
          </w:tcPr>
          <w:p w:rsidR="00D83178" w:rsidP="004572B1" w14:paraId="214385BE"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Number of firms potentially impacted per chemical</w:t>
            </w:r>
          </w:p>
        </w:tc>
        <w:tc>
          <w:tcPr>
            <w:tcW w:w="1232" w:type="dxa"/>
            <w:tcBorders>
              <w:top w:val="single" w:sz="4" w:space="0" w:color="auto"/>
              <w:left w:val="single" w:sz="4" w:space="0" w:color="auto"/>
              <w:bottom w:val="single" w:sz="4" w:space="0" w:color="auto"/>
              <w:right w:val="single" w:sz="4" w:space="0" w:color="auto"/>
            </w:tcBorders>
            <w:vAlign w:val="center"/>
          </w:tcPr>
          <w:p w:rsidR="00D83178" w:rsidP="004572B1" w14:paraId="366E9B3F"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tcBorders>
              <w:top w:val="single" w:sz="4" w:space="0" w:color="auto"/>
              <w:left w:val="single" w:sz="4" w:space="0" w:color="auto"/>
              <w:bottom w:val="single" w:sz="4" w:space="0" w:color="auto"/>
              <w:right w:val="single" w:sz="4" w:space="0" w:color="auto"/>
            </w:tcBorders>
            <w:vAlign w:val="center"/>
          </w:tcPr>
          <w:p w:rsidR="00D83178" w:rsidP="00AC08D1" w14:paraId="4C4695D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344</w:t>
            </w:r>
          </w:p>
        </w:tc>
        <w:tc>
          <w:tcPr>
            <w:tcW w:w="1033" w:type="dxa"/>
            <w:tcBorders>
              <w:top w:val="single" w:sz="4" w:space="0" w:color="auto"/>
              <w:left w:val="single" w:sz="4" w:space="0" w:color="auto"/>
              <w:bottom w:val="single" w:sz="4" w:space="0" w:color="auto"/>
              <w:right w:val="single" w:sz="4" w:space="0" w:color="auto"/>
            </w:tcBorders>
            <w:vAlign w:val="center"/>
          </w:tcPr>
          <w:p w:rsidR="00D83178" w:rsidP="00AC08D1" w14:paraId="4AEECCF7"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208</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463A0F99"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49" w:type="dxa"/>
            <w:tcBorders>
              <w:top w:val="single" w:sz="4" w:space="0" w:color="auto"/>
              <w:left w:val="single" w:sz="4" w:space="0" w:color="auto"/>
              <w:bottom w:val="single" w:sz="4" w:space="0" w:color="auto"/>
              <w:right w:val="single" w:sz="4" w:space="0" w:color="auto"/>
            </w:tcBorders>
            <w:vAlign w:val="center"/>
          </w:tcPr>
          <w:p w:rsidR="00D83178" w:rsidP="00AC08D1" w14:paraId="3C7541B1"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1.7</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7965E65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Firms/chemicals</w:t>
            </w:r>
          </w:p>
        </w:tc>
      </w:tr>
      <w:tr w14:paraId="2024FA4B" w14:textId="77777777" w:rsidTr="00AC08D1">
        <w:tblPrEx>
          <w:tblW w:w="0" w:type="auto"/>
          <w:tblLayout w:type="fixed"/>
          <w:tblLook w:val="06A0"/>
        </w:tblPrEx>
        <w:trPr>
          <w:trHeight w:val="300"/>
        </w:trPr>
        <w:tc>
          <w:tcPr>
            <w:tcW w:w="1671" w:type="dxa"/>
            <w:vMerge/>
            <w:vAlign w:val="center"/>
          </w:tcPr>
          <w:p w:rsidR="00D83178" w:rsidP="004572B1" w14:paraId="110A2388" w14:textId="77777777"/>
        </w:tc>
        <w:tc>
          <w:tcPr>
            <w:tcW w:w="1232" w:type="dxa"/>
            <w:vAlign w:val="center"/>
          </w:tcPr>
          <w:p w:rsidR="00D83178" w:rsidP="004572B1" w14:paraId="4D01CF67"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Align w:val="center"/>
          </w:tcPr>
          <w:p w:rsidR="00D83178" w:rsidP="00AC08D1" w14:paraId="597E88B2"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348</w:t>
            </w:r>
          </w:p>
        </w:tc>
        <w:tc>
          <w:tcPr>
            <w:tcW w:w="1033" w:type="dxa"/>
            <w:vAlign w:val="center"/>
          </w:tcPr>
          <w:p w:rsidR="00D83178" w:rsidP="00AC08D1" w14:paraId="664EEC2E"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220</w:t>
            </w:r>
          </w:p>
        </w:tc>
        <w:tc>
          <w:tcPr>
            <w:tcW w:w="1627" w:type="dxa"/>
            <w:vMerge/>
            <w:vAlign w:val="center"/>
          </w:tcPr>
          <w:p w:rsidR="00D83178" w:rsidP="00AC08D1" w14:paraId="7CC7808A" w14:textId="77777777">
            <w:pPr>
              <w:jc w:val="center"/>
            </w:pPr>
          </w:p>
        </w:tc>
        <w:tc>
          <w:tcPr>
            <w:tcW w:w="1049" w:type="dxa"/>
            <w:vAlign w:val="bottom"/>
          </w:tcPr>
          <w:p w:rsidR="00D83178" w:rsidP="00AC08D1" w14:paraId="0C9B3A8D"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1.6</w:t>
            </w:r>
          </w:p>
        </w:tc>
        <w:tc>
          <w:tcPr>
            <w:tcW w:w="1642" w:type="dxa"/>
            <w:vMerge/>
            <w:vAlign w:val="center"/>
          </w:tcPr>
          <w:p w:rsidR="00D83178" w:rsidP="00AC08D1" w14:paraId="3A21F5FC" w14:textId="77777777">
            <w:pPr>
              <w:jc w:val="center"/>
            </w:pPr>
          </w:p>
        </w:tc>
      </w:tr>
      <w:tr w14:paraId="10B5FDA4" w14:textId="77777777" w:rsidTr="00AC08D1">
        <w:tblPrEx>
          <w:tblW w:w="0" w:type="auto"/>
          <w:tblLayout w:type="fixed"/>
          <w:tblLook w:val="06A0"/>
        </w:tblPrEx>
        <w:trPr>
          <w:trHeight w:val="300"/>
        </w:trPr>
        <w:tc>
          <w:tcPr>
            <w:tcW w:w="1671" w:type="dxa"/>
            <w:vMerge/>
            <w:vAlign w:val="center"/>
          </w:tcPr>
          <w:p w:rsidR="00D83178" w:rsidP="004572B1" w14:paraId="006E381E" w14:textId="77777777"/>
        </w:tc>
        <w:tc>
          <w:tcPr>
            <w:tcW w:w="1232" w:type="dxa"/>
            <w:vAlign w:val="center"/>
          </w:tcPr>
          <w:p w:rsidR="00D83178" w:rsidP="004572B1" w14:paraId="1F6B7E77"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Align w:val="center"/>
          </w:tcPr>
          <w:p w:rsidR="00D83178" w:rsidP="00AC08D1" w14:paraId="79DF4B1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129</w:t>
            </w:r>
          </w:p>
        </w:tc>
        <w:tc>
          <w:tcPr>
            <w:tcW w:w="1033" w:type="dxa"/>
            <w:vAlign w:val="center"/>
          </w:tcPr>
          <w:p w:rsidR="00D83178" w:rsidP="00AC08D1" w14:paraId="0651592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50</w:t>
            </w:r>
          </w:p>
        </w:tc>
        <w:tc>
          <w:tcPr>
            <w:tcW w:w="1627" w:type="dxa"/>
            <w:vMerge/>
            <w:vAlign w:val="center"/>
          </w:tcPr>
          <w:p w:rsidR="00D83178" w:rsidP="00AC08D1" w14:paraId="79D55B6B" w14:textId="77777777">
            <w:pPr>
              <w:jc w:val="center"/>
            </w:pPr>
          </w:p>
        </w:tc>
        <w:tc>
          <w:tcPr>
            <w:tcW w:w="1049" w:type="dxa"/>
            <w:vAlign w:val="bottom"/>
          </w:tcPr>
          <w:p w:rsidR="00D83178" w:rsidP="00AC08D1" w14:paraId="0921118F"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2.6</w:t>
            </w:r>
          </w:p>
        </w:tc>
        <w:tc>
          <w:tcPr>
            <w:tcW w:w="1642" w:type="dxa"/>
            <w:vMerge/>
            <w:vAlign w:val="center"/>
          </w:tcPr>
          <w:p w:rsidR="00D83178" w:rsidP="00AC08D1" w14:paraId="54AB4DD3" w14:textId="77777777">
            <w:pPr>
              <w:jc w:val="center"/>
            </w:pPr>
          </w:p>
        </w:tc>
      </w:tr>
      <w:tr w14:paraId="3DA81C92" w14:textId="77777777" w:rsidTr="00AC08D1">
        <w:tblPrEx>
          <w:tblW w:w="0" w:type="auto"/>
          <w:tblLayout w:type="fixed"/>
          <w:tblLook w:val="06A0"/>
        </w:tblPrEx>
        <w:trPr>
          <w:trHeight w:val="300"/>
        </w:trPr>
        <w:tc>
          <w:tcPr>
            <w:tcW w:w="1671" w:type="dxa"/>
            <w:vMerge/>
            <w:vAlign w:val="center"/>
          </w:tcPr>
          <w:p w:rsidR="00D83178" w:rsidP="004572B1" w14:paraId="7B5B4A54" w14:textId="77777777"/>
        </w:tc>
        <w:tc>
          <w:tcPr>
            <w:tcW w:w="1232" w:type="dxa"/>
            <w:vAlign w:val="center"/>
          </w:tcPr>
          <w:p w:rsidR="00D83178" w:rsidP="004572B1" w14:paraId="783F6A1B"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Align w:val="center"/>
          </w:tcPr>
          <w:p w:rsidR="00D83178" w:rsidP="00AC08D1" w14:paraId="33D675B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160</w:t>
            </w:r>
          </w:p>
        </w:tc>
        <w:tc>
          <w:tcPr>
            <w:tcW w:w="1033" w:type="dxa"/>
            <w:vAlign w:val="center"/>
          </w:tcPr>
          <w:p w:rsidR="00D83178" w:rsidP="00AC08D1" w14:paraId="456F84BD"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16</w:t>
            </w:r>
          </w:p>
        </w:tc>
        <w:tc>
          <w:tcPr>
            <w:tcW w:w="1627" w:type="dxa"/>
            <w:vMerge/>
            <w:vAlign w:val="center"/>
          </w:tcPr>
          <w:p w:rsidR="00D83178" w:rsidP="00AC08D1" w14:paraId="62441F86" w14:textId="77777777">
            <w:pPr>
              <w:jc w:val="center"/>
            </w:pPr>
          </w:p>
        </w:tc>
        <w:tc>
          <w:tcPr>
            <w:tcW w:w="1049" w:type="dxa"/>
            <w:vAlign w:val="bottom"/>
          </w:tcPr>
          <w:p w:rsidR="00D83178" w:rsidP="00AC08D1" w14:paraId="6A7A41DA" w14:textId="77777777">
            <w:pPr>
              <w:spacing w:after="0"/>
              <w:jc w:val="center"/>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10.7</w:t>
            </w:r>
            <w:r w:rsidRPr="4E6D4237">
              <w:rPr>
                <w:rFonts w:ascii="Calibri" w:eastAsia="Calibri" w:hAnsi="Calibri" w:cs="Calibri"/>
                <w:color w:val="000000" w:themeColor="text1"/>
                <w:sz w:val="20"/>
                <w:szCs w:val="20"/>
                <w:vertAlign w:val="superscript"/>
              </w:rPr>
              <w:t>e</w:t>
            </w:r>
          </w:p>
        </w:tc>
        <w:tc>
          <w:tcPr>
            <w:tcW w:w="1642" w:type="dxa"/>
            <w:vMerge/>
            <w:vAlign w:val="center"/>
          </w:tcPr>
          <w:p w:rsidR="00D83178" w:rsidP="00AC08D1" w14:paraId="6F3D30CB" w14:textId="77777777">
            <w:pPr>
              <w:jc w:val="center"/>
            </w:pPr>
          </w:p>
        </w:tc>
      </w:tr>
      <w:tr w14:paraId="2C8451A7" w14:textId="77777777" w:rsidTr="00CA12AD">
        <w:tblPrEx>
          <w:tblW w:w="0" w:type="auto"/>
          <w:tblLayout w:type="fixed"/>
          <w:tblLook w:val="06A0"/>
        </w:tblPrEx>
        <w:trPr>
          <w:trHeight w:val="1185"/>
        </w:trPr>
        <w:tc>
          <w:tcPr>
            <w:tcW w:w="1671" w:type="dxa"/>
            <w:vMerge w:val="restart"/>
            <w:tcBorders>
              <w:top w:val="single" w:sz="4" w:space="0" w:color="auto"/>
              <w:left w:val="single" w:sz="4" w:space="0" w:color="auto"/>
              <w:bottom w:val="single" w:sz="4" w:space="0" w:color="auto"/>
              <w:right w:val="single" w:sz="4" w:space="0" w:color="auto"/>
            </w:tcBorders>
            <w:vAlign w:val="center"/>
          </w:tcPr>
          <w:p w:rsidR="00D83178" w:rsidP="004572B1" w14:paraId="3CDB677A"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Sites per firm</w:t>
            </w:r>
          </w:p>
        </w:tc>
        <w:tc>
          <w:tcPr>
            <w:tcW w:w="1232" w:type="dxa"/>
            <w:tcBorders>
              <w:top w:val="single" w:sz="4" w:space="0" w:color="auto"/>
              <w:left w:val="single" w:sz="4" w:space="0" w:color="auto"/>
              <w:bottom w:val="single" w:sz="4" w:space="0" w:color="auto"/>
              <w:right w:val="single" w:sz="4" w:space="0" w:color="auto"/>
            </w:tcBorders>
            <w:vAlign w:val="center"/>
          </w:tcPr>
          <w:p w:rsidR="00D83178" w:rsidP="004572B1" w14:paraId="481D8597"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2F9ADCA1"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630EE01B"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4CB860E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49" w:type="dxa"/>
            <w:tcBorders>
              <w:top w:val="single" w:sz="4" w:space="0" w:color="auto"/>
              <w:left w:val="single" w:sz="4" w:space="0" w:color="auto"/>
              <w:bottom w:val="single" w:sz="4" w:space="0" w:color="auto"/>
              <w:right w:val="single" w:sz="4" w:space="0" w:color="auto"/>
            </w:tcBorders>
            <w:vAlign w:val="center"/>
          </w:tcPr>
          <w:p w:rsidR="00D83178" w:rsidP="00AC08D1" w14:paraId="586B13E7"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1.5</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1EE75A6A"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Sites/firms</w:t>
            </w:r>
          </w:p>
        </w:tc>
      </w:tr>
      <w:tr w14:paraId="0526B90A" w14:textId="77777777" w:rsidTr="00AC08D1">
        <w:tblPrEx>
          <w:tblW w:w="0" w:type="auto"/>
          <w:tblLayout w:type="fixed"/>
          <w:tblLook w:val="06A0"/>
        </w:tblPrEx>
        <w:trPr>
          <w:trHeight w:val="300"/>
        </w:trPr>
        <w:tc>
          <w:tcPr>
            <w:tcW w:w="1671" w:type="dxa"/>
            <w:vMerge/>
            <w:vAlign w:val="center"/>
          </w:tcPr>
          <w:p w:rsidR="00D83178" w:rsidP="004572B1" w14:paraId="6B3D2F89" w14:textId="77777777"/>
        </w:tc>
        <w:tc>
          <w:tcPr>
            <w:tcW w:w="1232" w:type="dxa"/>
            <w:vAlign w:val="center"/>
          </w:tcPr>
          <w:p w:rsidR="00D83178" w:rsidP="004572B1" w14:paraId="255579A1"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Merge/>
            <w:vAlign w:val="center"/>
          </w:tcPr>
          <w:p w:rsidR="00D83178" w:rsidP="00AC08D1" w14:paraId="5B27EDD4" w14:textId="77777777">
            <w:pPr>
              <w:jc w:val="center"/>
            </w:pPr>
          </w:p>
        </w:tc>
        <w:tc>
          <w:tcPr>
            <w:tcW w:w="1033" w:type="dxa"/>
            <w:vMerge/>
            <w:vAlign w:val="center"/>
          </w:tcPr>
          <w:p w:rsidR="00D83178" w:rsidP="00AC08D1" w14:paraId="25DBBDC7" w14:textId="77777777">
            <w:pPr>
              <w:jc w:val="center"/>
            </w:pPr>
          </w:p>
        </w:tc>
        <w:tc>
          <w:tcPr>
            <w:tcW w:w="1627" w:type="dxa"/>
            <w:vMerge/>
            <w:vAlign w:val="center"/>
          </w:tcPr>
          <w:p w:rsidR="00D83178" w:rsidP="00AC08D1" w14:paraId="7A0C3403" w14:textId="77777777">
            <w:pPr>
              <w:jc w:val="center"/>
            </w:pPr>
          </w:p>
        </w:tc>
        <w:tc>
          <w:tcPr>
            <w:tcW w:w="1049" w:type="dxa"/>
            <w:vAlign w:val="bottom"/>
          </w:tcPr>
          <w:p w:rsidR="00D83178" w:rsidP="00AC08D1" w14:paraId="4134443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1.5</w:t>
            </w:r>
          </w:p>
        </w:tc>
        <w:tc>
          <w:tcPr>
            <w:tcW w:w="1642" w:type="dxa"/>
            <w:vMerge/>
            <w:vAlign w:val="center"/>
          </w:tcPr>
          <w:p w:rsidR="00D83178" w:rsidP="00AC08D1" w14:paraId="0D28AAE6" w14:textId="77777777">
            <w:pPr>
              <w:jc w:val="center"/>
            </w:pPr>
          </w:p>
        </w:tc>
      </w:tr>
      <w:tr w14:paraId="3354D105" w14:textId="77777777" w:rsidTr="00AC08D1">
        <w:tblPrEx>
          <w:tblW w:w="0" w:type="auto"/>
          <w:tblLayout w:type="fixed"/>
          <w:tblLook w:val="06A0"/>
        </w:tblPrEx>
        <w:trPr>
          <w:trHeight w:val="285"/>
        </w:trPr>
        <w:tc>
          <w:tcPr>
            <w:tcW w:w="1671" w:type="dxa"/>
            <w:vMerge/>
            <w:vAlign w:val="center"/>
          </w:tcPr>
          <w:p w:rsidR="00D83178" w:rsidP="004572B1" w14:paraId="2E32A45C" w14:textId="77777777"/>
        </w:tc>
        <w:tc>
          <w:tcPr>
            <w:tcW w:w="1232" w:type="dxa"/>
            <w:vAlign w:val="center"/>
          </w:tcPr>
          <w:p w:rsidR="00D83178" w:rsidP="004572B1" w14:paraId="67D838E8"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Merge/>
            <w:vAlign w:val="center"/>
          </w:tcPr>
          <w:p w:rsidR="00D83178" w:rsidP="00AC08D1" w14:paraId="6D0C142A" w14:textId="77777777">
            <w:pPr>
              <w:jc w:val="center"/>
            </w:pPr>
          </w:p>
        </w:tc>
        <w:tc>
          <w:tcPr>
            <w:tcW w:w="1033" w:type="dxa"/>
            <w:vMerge/>
            <w:vAlign w:val="center"/>
          </w:tcPr>
          <w:p w:rsidR="00D83178" w:rsidP="00AC08D1" w14:paraId="036E8114" w14:textId="77777777">
            <w:pPr>
              <w:jc w:val="center"/>
            </w:pPr>
          </w:p>
        </w:tc>
        <w:tc>
          <w:tcPr>
            <w:tcW w:w="1627" w:type="dxa"/>
            <w:vMerge/>
            <w:vAlign w:val="center"/>
          </w:tcPr>
          <w:p w:rsidR="00D83178" w:rsidP="00AC08D1" w14:paraId="415A8C72" w14:textId="77777777">
            <w:pPr>
              <w:jc w:val="center"/>
            </w:pPr>
          </w:p>
        </w:tc>
        <w:tc>
          <w:tcPr>
            <w:tcW w:w="1049" w:type="dxa"/>
            <w:vAlign w:val="bottom"/>
          </w:tcPr>
          <w:p w:rsidR="00D83178" w:rsidP="00AC08D1" w14:paraId="49CAC36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1.5</w:t>
            </w:r>
          </w:p>
        </w:tc>
        <w:tc>
          <w:tcPr>
            <w:tcW w:w="1642" w:type="dxa"/>
            <w:vMerge/>
            <w:vAlign w:val="center"/>
          </w:tcPr>
          <w:p w:rsidR="00D83178" w:rsidP="00AC08D1" w14:paraId="02B67BDE" w14:textId="77777777">
            <w:pPr>
              <w:jc w:val="center"/>
            </w:pPr>
          </w:p>
        </w:tc>
      </w:tr>
      <w:tr w14:paraId="4A959C09" w14:textId="77777777" w:rsidTr="00AC08D1">
        <w:tblPrEx>
          <w:tblW w:w="0" w:type="auto"/>
          <w:tblLayout w:type="fixed"/>
          <w:tblLook w:val="06A0"/>
        </w:tblPrEx>
        <w:trPr>
          <w:trHeight w:val="300"/>
        </w:trPr>
        <w:tc>
          <w:tcPr>
            <w:tcW w:w="1671" w:type="dxa"/>
            <w:vMerge/>
            <w:vAlign w:val="center"/>
          </w:tcPr>
          <w:p w:rsidR="00D83178" w:rsidP="004572B1" w14:paraId="6E341694" w14:textId="77777777"/>
        </w:tc>
        <w:tc>
          <w:tcPr>
            <w:tcW w:w="1232" w:type="dxa"/>
            <w:vAlign w:val="center"/>
          </w:tcPr>
          <w:p w:rsidR="00D83178" w:rsidP="004572B1" w14:paraId="5F532705"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Merge/>
            <w:vAlign w:val="center"/>
          </w:tcPr>
          <w:p w:rsidR="00D83178" w:rsidP="00AC08D1" w14:paraId="140CE361" w14:textId="77777777">
            <w:pPr>
              <w:jc w:val="center"/>
            </w:pPr>
          </w:p>
        </w:tc>
        <w:tc>
          <w:tcPr>
            <w:tcW w:w="1033" w:type="dxa"/>
            <w:vMerge/>
            <w:vAlign w:val="center"/>
          </w:tcPr>
          <w:p w:rsidR="00D83178" w:rsidP="00AC08D1" w14:paraId="4D7BBDAE" w14:textId="77777777">
            <w:pPr>
              <w:jc w:val="center"/>
            </w:pPr>
          </w:p>
        </w:tc>
        <w:tc>
          <w:tcPr>
            <w:tcW w:w="1627" w:type="dxa"/>
            <w:vMerge/>
            <w:vAlign w:val="center"/>
          </w:tcPr>
          <w:p w:rsidR="00D83178" w:rsidP="00AC08D1" w14:paraId="1F2893F4" w14:textId="77777777">
            <w:pPr>
              <w:jc w:val="center"/>
            </w:pPr>
          </w:p>
        </w:tc>
        <w:tc>
          <w:tcPr>
            <w:tcW w:w="1049" w:type="dxa"/>
            <w:vAlign w:val="bottom"/>
          </w:tcPr>
          <w:p w:rsidR="00D83178" w:rsidP="00AC08D1" w14:paraId="72C0C60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1.9</w:t>
            </w:r>
          </w:p>
        </w:tc>
        <w:tc>
          <w:tcPr>
            <w:tcW w:w="1642" w:type="dxa"/>
            <w:vMerge/>
            <w:vAlign w:val="center"/>
          </w:tcPr>
          <w:p w:rsidR="00D83178" w:rsidP="00AC08D1" w14:paraId="68796124" w14:textId="77777777">
            <w:pPr>
              <w:jc w:val="center"/>
            </w:pPr>
          </w:p>
        </w:tc>
      </w:tr>
      <w:tr w14:paraId="6D45AB4B" w14:textId="77777777" w:rsidTr="00CA12AD">
        <w:tblPrEx>
          <w:tblW w:w="0" w:type="auto"/>
          <w:tblLayout w:type="fixed"/>
          <w:tblLook w:val="06A0"/>
        </w:tblPrEx>
        <w:trPr>
          <w:trHeight w:val="1380"/>
        </w:trPr>
        <w:tc>
          <w:tcPr>
            <w:tcW w:w="1671" w:type="dxa"/>
            <w:vMerge w:val="restart"/>
            <w:tcBorders>
              <w:top w:val="single" w:sz="4" w:space="0" w:color="auto"/>
              <w:left w:val="single" w:sz="4" w:space="0" w:color="auto"/>
              <w:bottom w:val="single" w:sz="4" w:space="0" w:color="auto"/>
              <w:right w:val="single" w:sz="4" w:space="0" w:color="auto"/>
            </w:tcBorders>
            <w:vAlign w:val="center"/>
          </w:tcPr>
          <w:p w:rsidR="00D83178" w:rsidP="004572B1" w14:paraId="2B615BDA"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Fraction of firms potentially affected who submit reports of studies</w:t>
            </w:r>
          </w:p>
        </w:tc>
        <w:tc>
          <w:tcPr>
            <w:tcW w:w="1232" w:type="dxa"/>
            <w:tcBorders>
              <w:top w:val="single" w:sz="4" w:space="0" w:color="auto"/>
              <w:left w:val="single" w:sz="4" w:space="0" w:color="auto"/>
              <w:bottom w:val="single" w:sz="4" w:space="0" w:color="auto"/>
              <w:right w:val="single" w:sz="4" w:space="0" w:color="auto"/>
            </w:tcBorders>
            <w:vAlign w:val="center"/>
          </w:tcPr>
          <w:p w:rsidR="00D83178" w:rsidP="004572B1" w14:paraId="510D838D"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tcBorders>
              <w:top w:val="single" w:sz="4" w:space="0" w:color="auto"/>
              <w:left w:val="single" w:sz="4" w:space="0" w:color="auto"/>
              <w:bottom w:val="single" w:sz="4" w:space="0" w:color="auto"/>
              <w:right w:val="single" w:sz="4" w:space="0" w:color="auto"/>
            </w:tcBorders>
            <w:vAlign w:val="center"/>
          </w:tcPr>
          <w:p w:rsidR="00D83178" w:rsidP="00AC08D1" w14:paraId="0E7C8B65"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344</w:t>
            </w:r>
          </w:p>
        </w:tc>
        <w:tc>
          <w:tcPr>
            <w:tcW w:w="1033" w:type="dxa"/>
            <w:tcBorders>
              <w:top w:val="single" w:sz="4" w:space="0" w:color="auto"/>
              <w:left w:val="single" w:sz="4" w:space="0" w:color="auto"/>
              <w:bottom w:val="single" w:sz="4" w:space="0" w:color="auto"/>
              <w:right w:val="single" w:sz="4" w:space="0" w:color="auto"/>
            </w:tcBorders>
            <w:vAlign w:val="center"/>
          </w:tcPr>
          <w:p w:rsidR="00D83178" w:rsidP="00AC08D1" w14:paraId="5AFC6CFE"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208</w:t>
            </w:r>
          </w:p>
        </w:tc>
        <w:tc>
          <w:tcPr>
            <w:tcW w:w="1627" w:type="dxa"/>
            <w:tcBorders>
              <w:top w:val="single" w:sz="4" w:space="0" w:color="auto"/>
              <w:left w:val="single" w:sz="4" w:space="0" w:color="auto"/>
              <w:bottom w:val="single" w:sz="4" w:space="0" w:color="auto"/>
              <w:right w:val="single" w:sz="4" w:space="0" w:color="auto"/>
            </w:tcBorders>
            <w:vAlign w:val="center"/>
          </w:tcPr>
          <w:p w:rsidR="00D83178" w:rsidP="00AC08D1" w14:paraId="20EE3B2B"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59</w:t>
            </w:r>
          </w:p>
        </w:tc>
        <w:tc>
          <w:tcPr>
            <w:tcW w:w="1049" w:type="dxa"/>
            <w:tcBorders>
              <w:top w:val="single" w:sz="4" w:space="0" w:color="auto"/>
              <w:left w:val="single" w:sz="4" w:space="0" w:color="auto"/>
              <w:bottom w:val="single" w:sz="4" w:space="0" w:color="auto"/>
              <w:right w:val="single" w:sz="4" w:space="0" w:color="auto"/>
            </w:tcBorders>
            <w:vAlign w:val="center"/>
          </w:tcPr>
          <w:p w:rsidR="00D83178" w:rsidP="00AC08D1" w14:paraId="6E60B3DD"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0.17</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0EE11DE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Firms submitting reports/firms</w:t>
            </w:r>
          </w:p>
        </w:tc>
      </w:tr>
      <w:tr w14:paraId="742F72AB" w14:textId="77777777" w:rsidTr="00AC08D1">
        <w:tblPrEx>
          <w:tblW w:w="0" w:type="auto"/>
          <w:tblLayout w:type="fixed"/>
          <w:tblLook w:val="06A0"/>
        </w:tblPrEx>
        <w:trPr>
          <w:trHeight w:val="285"/>
        </w:trPr>
        <w:tc>
          <w:tcPr>
            <w:tcW w:w="1671" w:type="dxa"/>
            <w:vMerge/>
            <w:vAlign w:val="center"/>
          </w:tcPr>
          <w:p w:rsidR="00D83178" w:rsidP="004572B1" w14:paraId="24C93DCE" w14:textId="77777777"/>
        </w:tc>
        <w:tc>
          <w:tcPr>
            <w:tcW w:w="1232" w:type="dxa"/>
            <w:vAlign w:val="center"/>
          </w:tcPr>
          <w:p w:rsidR="00D83178" w:rsidP="004572B1" w14:paraId="5754CE7E"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Align w:val="center"/>
          </w:tcPr>
          <w:p w:rsidR="00D83178" w:rsidP="00AC08D1" w14:paraId="6B829CA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348</w:t>
            </w:r>
          </w:p>
        </w:tc>
        <w:tc>
          <w:tcPr>
            <w:tcW w:w="1033" w:type="dxa"/>
            <w:vAlign w:val="center"/>
          </w:tcPr>
          <w:p w:rsidR="00D83178" w:rsidP="00AC08D1" w14:paraId="0CBF92B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220</w:t>
            </w:r>
          </w:p>
        </w:tc>
        <w:tc>
          <w:tcPr>
            <w:tcW w:w="1627" w:type="dxa"/>
            <w:vAlign w:val="center"/>
          </w:tcPr>
          <w:p w:rsidR="00D83178" w:rsidP="00AC08D1" w14:paraId="2C6B9826"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63</w:t>
            </w:r>
          </w:p>
        </w:tc>
        <w:tc>
          <w:tcPr>
            <w:tcW w:w="1049" w:type="dxa"/>
            <w:vAlign w:val="bottom"/>
          </w:tcPr>
          <w:p w:rsidR="00D83178" w:rsidP="00AC08D1" w14:paraId="36B8A95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0.18</w:t>
            </w:r>
          </w:p>
        </w:tc>
        <w:tc>
          <w:tcPr>
            <w:tcW w:w="1642" w:type="dxa"/>
            <w:vMerge/>
            <w:vAlign w:val="center"/>
          </w:tcPr>
          <w:p w:rsidR="00D83178" w:rsidP="00AC08D1" w14:paraId="65457001" w14:textId="77777777">
            <w:pPr>
              <w:jc w:val="center"/>
            </w:pPr>
          </w:p>
        </w:tc>
      </w:tr>
      <w:tr w14:paraId="7DDF56DA" w14:textId="77777777" w:rsidTr="00AC08D1">
        <w:tblPrEx>
          <w:tblW w:w="0" w:type="auto"/>
          <w:tblLayout w:type="fixed"/>
          <w:tblLook w:val="06A0"/>
        </w:tblPrEx>
        <w:trPr>
          <w:trHeight w:val="300"/>
        </w:trPr>
        <w:tc>
          <w:tcPr>
            <w:tcW w:w="1671" w:type="dxa"/>
            <w:vMerge/>
            <w:vAlign w:val="center"/>
          </w:tcPr>
          <w:p w:rsidR="00D83178" w:rsidP="004572B1" w14:paraId="37FEFEA7" w14:textId="77777777"/>
        </w:tc>
        <w:tc>
          <w:tcPr>
            <w:tcW w:w="1232" w:type="dxa"/>
            <w:vAlign w:val="center"/>
          </w:tcPr>
          <w:p w:rsidR="00D83178" w:rsidP="004572B1" w14:paraId="4C7C20E3"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Align w:val="center"/>
          </w:tcPr>
          <w:p w:rsidR="00D83178" w:rsidP="00AC08D1" w14:paraId="51068499"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129</w:t>
            </w:r>
          </w:p>
        </w:tc>
        <w:tc>
          <w:tcPr>
            <w:tcW w:w="1033" w:type="dxa"/>
            <w:vAlign w:val="center"/>
          </w:tcPr>
          <w:p w:rsidR="00D83178" w:rsidP="00AC08D1" w14:paraId="0219BD26"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50</w:t>
            </w:r>
          </w:p>
        </w:tc>
        <w:tc>
          <w:tcPr>
            <w:tcW w:w="1627" w:type="dxa"/>
            <w:vAlign w:val="center"/>
          </w:tcPr>
          <w:p w:rsidR="00D83178" w:rsidP="00AC08D1" w14:paraId="307A0CEF"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63</w:t>
            </w:r>
          </w:p>
        </w:tc>
        <w:tc>
          <w:tcPr>
            <w:tcW w:w="1049" w:type="dxa"/>
            <w:vAlign w:val="bottom"/>
          </w:tcPr>
          <w:p w:rsidR="00D83178" w:rsidP="00AC08D1" w14:paraId="554EF42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0.49</w:t>
            </w:r>
          </w:p>
        </w:tc>
        <w:tc>
          <w:tcPr>
            <w:tcW w:w="1642" w:type="dxa"/>
            <w:vMerge/>
            <w:vAlign w:val="center"/>
          </w:tcPr>
          <w:p w:rsidR="00D83178" w:rsidP="00AC08D1" w14:paraId="50F99060" w14:textId="77777777">
            <w:pPr>
              <w:jc w:val="center"/>
            </w:pPr>
          </w:p>
        </w:tc>
      </w:tr>
      <w:tr w14:paraId="20054139" w14:textId="77777777" w:rsidTr="00AC08D1">
        <w:tblPrEx>
          <w:tblW w:w="0" w:type="auto"/>
          <w:tblLayout w:type="fixed"/>
          <w:tblLook w:val="06A0"/>
        </w:tblPrEx>
        <w:trPr>
          <w:trHeight w:val="495"/>
        </w:trPr>
        <w:tc>
          <w:tcPr>
            <w:tcW w:w="1671" w:type="dxa"/>
            <w:vMerge/>
            <w:vAlign w:val="center"/>
          </w:tcPr>
          <w:p w:rsidR="00D83178" w:rsidP="004572B1" w14:paraId="43DAC745" w14:textId="77777777"/>
        </w:tc>
        <w:tc>
          <w:tcPr>
            <w:tcW w:w="1232" w:type="dxa"/>
            <w:vAlign w:val="center"/>
          </w:tcPr>
          <w:p w:rsidR="00D83178" w:rsidP="004572B1" w14:paraId="3B1B8798"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Align w:val="center"/>
          </w:tcPr>
          <w:p w:rsidR="00D83178" w:rsidP="00AC08D1" w14:paraId="2A2DB0C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160</w:t>
            </w:r>
          </w:p>
        </w:tc>
        <w:tc>
          <w:tcPr>
            <w:tcW w:w="1033" w:type="dxa"/>
            <w:vAlign w:val="center"/>
          </w:tcPr>
          <w:p w:rsidR="00D83178" w:rsidP="00AC08D1" w14:paraId="35E3A4F9"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16</w:t>
            </w:r>
          </w:p>
        </w:tc>
        <w:tc>
          <w:tcPr>
            <w:tcW w:w="1627" w:type="dxa"/>
            <w:vAlign w:val="bottom"/>
          </w:tcPr>
          <w:p w:rsidR="00D83178" w:rsidP="00AC08D1" w14:paraId="793CC6C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33</w:t>
            </w:r>
          </w:p>
        </w:tc>
        <w:tc>
          <w:tcPr>
            <w:tcW w:w="1049" w:type="dxa"/>
            <w:vAlign w:val="bottom"/>
          </w:tcPr>
          <w:p w:rsidR="00D83178" w:rsidP="00AC08D1" w14:paraId="2BA20CAB"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0.21</w:t>
            </w:r>
          </w:p>
        </w:tc>
        <w:tc>
          <w:tcPr>
            <w:tcW w:w="1642" w:type="dxa"/>
            <w:vMerge/>
            <w:vAlign w:val="center"/>
          </w:tcPr>
          <w:p w:rsidR="00D83178" w:rsidP="00AC08D1" w14:paraId="02CCD045" w14:textId="77777777">
            <w:pPr>
              <w:jc w:val="center"/>
            </w:pPr>
          </w:p>
        </w:tc>
      </w:tr>
      <w:tr w14:paraId="7C0734A3" w14:textId="77777777" w:rsidTr="00CA12AD">
        <w:tblPrEx>
          <w:tblW w:w="0" w:type="auto"/>
          <w:tblLayout w:type="fixed"/>
          <w:tblLook w:val="06A0"/>
        </w:tblPrEx>
        <w:trPr>
          <w:trHeight w:val="1185"/>
        </w:trPr>
        <w:tc>
          <w:tcPr>
            <w:tcW w:w="1671" w:type="dxa"/>
            <w:vMerge w:val="restart"/>
            <w:tcBorders>
              <w:top w:val="single" w:sz="4" w:space="0" w:color="auto"/>
              <w:left w:val="single" w:sz="4" w:space="0" w:color="auto"/>
              <w:bottom w:val="single" w:sz="4" w:space="0" w:color="auto"/>
              <w:right w:val="single" w:sz="4" w:space="0" w:color="auto"/>
            </w:tcBorders>
            <w:vAlign w:val="center"/>
          </w:tcPr>
          <w:p w:rsidR="00D83178" w:rsidP="004572B1" w14:paraId="7641B955"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Number of studies per submitting firm</w:t>
            </w:r>
          </w:p>
        </w:tc>
        <w:tc>
          <w:tcPr>
            <w:tcW w:w="1232" w:type="dxa"/>
            <w:tcBorders>
              <w:top w:val="single" w:sz="4" w:space="0" w:color="auto"/>
              <w:left w:val="single" w:sz="4" w:space="0" w:color="auto"/>
              <w:bottom w:val="single" w:sz="4" w:space="0" w:color="auto"/>
              <w:right w:val="single" w:sz="4" w:space="0" w:color="auto"/>
            </w:tcBorders>
            <w:vAlign w:val="center"/>
          </w:tcPr>
          <w:p w:rsidR="00D83178" w:rsidP="004572B1" w14:paraId="526FE0FD"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tcBorders>
              <w:top w:val="single" w:sz="4" w:space="0" w:color="auto"/>
              <w:left w:val="single" w:sz="4" w:space="0" w:color="auto"/>
              <w:bottom w:val="single" w:sz="4" w:space="0" w:color="auto"/>
              <w:right w:val="single" w:sz="4" w:space="0" w:color="auto"/>
            </w:tcBorders>
            <w:vAlign w:val="center"/>
          </w:tcPr>
          <w:p w:rsidR="00D83178" w:rsidP="00AC08D1" w14:paraId="291722DA"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59</w:t>
            </w:r>
          </w:p>
        </w:tc>
        <w:tc>
          <w:tcPr>
            <w:tcW w:w="1033" w:type="dxa"/>
            <w:tcBorders>
              <w:top w:val="single" w:sz="4" w:space="0" w:color="auto"/>
              <w:left w:val="single" w:sz="4" w:space="0" w:color="auto"/>
              <w:bottom w:val="single" w:sz="4" w:space="0" w:color="auto"/>
              <w:right w:val="single" w:sz="4" w:space="0" w:color="auto"/>
            </w:tcBorders>
            <w:vAlign w:val="center"/>
          </w:tcPr>
          <w:p w:rsidR="00D83178" w:rsidP="00AC08D1" w14:paraId="77A0CFF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208</w:t>
            </w:r>
          </w:p>
        </w:tc>
        <w:tc>
          <w:tcPr>
            <w:tcW w:w="1627" w:type="dxa"/>
            <w:tcBorders>
              <w:top w:val="single" w:sz="4" w:space="0" w:color="auto"/>
              <w:left w:val="single" w:sz="4" w:space="0" w:color="auto"/>
              <w:bottom w:val="single" w:sz="4" w:space="0" w:color="auto"/>
              <w:right w:val="single" w:sz="4" w:space="0" w:color="auto"/>
            </w:tcBorders>
            <w:vAlign w:val="center"/>
          </w:tcPr>
          <w:p w:rsidR="00D83178" w:rsidP="00AC08D1" w14:paraId="6F5767EF"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527</w:t>
            </w:r>
          </w:p>
        </w:tc>
        <w:tc>
          <w:tcPr>
            <w:tcW w:w="1049" w:type="dxa"/>
            <w:tcBorders>
              <w:top w:val="single" w:sz="4" w:space="0" w:color="auto"/>
              <w:left w:val="single" w:sz="4" w:space="0" w:color="auto"/>
              <w:bottom w:val="single" w:sz="4" w:space="0" w:color="auto"/>
              <w:right w:val="single" w:sz="4" w:space="0" w:color="auto"/>
            </w:tcBorders>
            <w:vAlign w:val="center"/>
          </w:tcPr>
          <w:p w:rsidR="00D83178" w:rsidP="00AC08D1" w14:paraId="073B2BFF"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9</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rsidR="00D83178" w:rsidP="00D83178" w14:paraId="041385F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Studies/firm</w:t>
            </w:r>
          </w:p>
        </w:tc>
      </w:tr>
      <w:tr w14:paraId="21C835F3" w14:textId="77777777" w:rsidTr="00AC08D1">
        <w:tblPrEx>
          <w:tblW w:w="0" w:type="auto"/>
          <w:tblLayout w:type="fixed"/>
          <w:tblLook w:val="06A0"/>
        </w:tblPrEx>
        <w:trPr>
          <w:trHeight w:val="300"/>
        </w:trPr>
        <w:tc>
          <w:tcPr>
            <w:tcW w:w="1671" w:type="dxa"/>
            <w:vMerge/>
            <w:vAlign w:val="center"/>
          </w:tcPr>
          <w:p w:rsidR="00D83178" w:rsidP="004572B1" w14:paraId="3B7B3E3C" w14:textId="77777777"/>
        </w:tc>
        <w:tc>
          <w:tcPr>
            <w:tcW w:w="1232" w:type="dxa"/>
            <w:vAlign w:val="center"/>
          </w:tcPr>
          <w:p w:rsidR="00D83178" w:rsidP="004572B1" w14:paraId="020F68BB"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Align w:val="center"/>
          </w:tcPr>
          <w:p w:rsidR="00D83178" w:rsidP="00AC08D1" w14:paraId="243174C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63</w:t>
            </w:r>
          </w:p>
        </w:tc>
        <w:tc>
          <w:tcPr>
            <w:tcW w:w="1033" w:type="dxa"/>
            <w:vAlign w:val="center"/>
          </w:tcPr>
          <w:p w:rsidR="00D83178" w:rsidP="00AC08D1" w14:paraId="1858A0AD"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220</w:t>
            </w:r>
          </w:p>
        </w:tc>
        <w:tc>
          <w:tcPr>
            <w:tcW w:w="1627" w:type="dxa"/>
            <w:vAlign w:val="center"/>
          </w:tcPr>
          <w:p w:rsidR="00D83178" w:rsidP="00AC08D1" w14:paraId="1B18DCC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542</w:t>
            </w:r>
          </w:p>
        </w:tc>
        <w:tc>
          <w:tcPr>
            <w:tcW w:w="1049" w:type="dxa"/>
            <w:vAlign w:val="bottom"/>
          </w:tcPr>
          <w:p w:rsidR="00D83178" w:rsidP="00AC08D1" w14:paraId="23DB50AF"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9</w:t>
            </w:r>
          </w:p>
        </w:tc>
        <w:tc>
          <w:tcPr>
            <w:tcW w:w="1642" w:type="dxa"/>
            <w:vMerge/>
            <w:vAlign w:val="center"/>
          </w:tcPr>
          <w:p w:rsidR="00D83178" w:rsidP="00AC08D1" w14:paraId="2FB3037F" w14:textId="77777777">
            <w:pPr>
              <w:jc w:val="center"/>
            </w:pPr>
          </w:p>
        </w:tc>
      </w:tr>
      <w:tr w14:paraId="285C8FDF" w14:textId="77777777" w:rsidTr="00AC08D1">
        <w:tblPrEx>
          <w:tblW w:w="0" w:type="auto"/>
          <w:tblLayout w:type="fixed"/>
          <w:tblLook w:val="06A0"/>
        </w:tblPrEx>
        <w:trPr>
          <w:trHeight w:val="300"/>
        </w:trPr>
        <w:tc>
          <w:tcPr>
            <w:tcW w:w="1671" w:type="dxa"/>
            <w:vMerge/>
            <w:vAlign w:val="center"/>
          </w:tcPr>
          <w:p w:rsidR="00D83178" w:rsidP="004572B1" w14:paraId="078A67AF" w14:textId="77777777"/>
        </w:tc>
        <w:tc>
          <w:tcPr>
            <w:tcW w:w="1232" w:type="dxa"/>
            <w:vAlign w:val="center"/>
          </w:tcPr>
          <w:p w:rsidR="00D83178" w:rsidP="004572B1" w14:paraId="63B8464B"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Align w:val="center"/>
          </w:tcPr>
          <w:p w:rsidR="00D83178" w:rsidP="00AC08D1" w14:paraId="2F6D868C"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63</w:t>
            </w:r>
          </w:p>
        </w:tc>
        <w:tc>
          <w:tcPr>
            <w:tcW w:w="1033" w:type="dxa"/>
            <w:vAlign w:val="center"/>
          </w:tcPr>
          <w:p w:rsidR="00D83178" w:rsidP="00AC08D1" w14:paraId="17CF7C2F"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50</w:t>
            </w:r>
          </w:p>
        </w:tc>
        <w:tc>
          <w:tcPr>
            <w:tcW w:w="1627" w:type="dxa"/>
            <w:vAlign w:val="center"/>
          </w:tcPr>
          <w:p w:rsidR="00D83178" w:rsidP="00AC08D1" w14:paraId="0DDBC9F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207</w:t>
            </w:r>
          </w:p>
        </w:tc>
        <w:tc>
          <w:tcPr>
            <w:tcW w:w="1049" w:type="dxa"/>
            <w:vAlign w:val="bottom"/>
          </w:tcPr>
          <w:p w:rsidR="00D83178" w:rsidP="00AC08D1" w14:paraId="43DF55EE"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w:t>
            </w:r>
          </w:p>
        </w:tc>
        <w:tc>
          <w:tcPr>
            <w:tcW w:w="1642" w:type="dxa"/>
            <w:vMerge/>
            <w:vAlign w:val="center"/>
          </w:tcPr>
          <w:p w:rsidR="00D83178" w:rsidP="00AC08D1" w14:paraId="69F05F74" w14:textId="77777777">
            <w:pPr>
              <w:jc w:val="center"/>
            </w:pPr>
          </w:p>
        </w:tc>
      </w:tr>
      <w:tr w14:paraId="0D231C99" w14:textId="77777777" w:rsidTr="00AC08D1">
        <w:tblPrEx>
          <w:tblW w:w="0" w:type="auto"/>
          <w:tblLayout w:type="fixed"/>
          <w:tblLook w:val="06A0"/>
        </w:tblPrEx>
        <w:trPr>
          <w:trHeight w:val="300"/>
        </w:trPr>
        <w:tc>
          <w:tcPr>
            <w:tcW w:w="1671" w:type="dxa"/>
            <w:vMerge/>
            <w:vAlign w:val="center"/>
          </w:tcPr>
          <w:p w:rsidR="00D83178" w:rsidP="004572B1" w14:paraId="7A5CABDB" w14:textId="77777777"/>
        </w:tc>
        <w:tc>
          <w:tcPr>
            <w:tcW w:w="1232" w:type="dxa"/>
            <w:vAlign w:val="center"/>
          </w:tcPr>
          <w:p w:rsidR="00D83178" w:rsidP="004572B1" w14:paraId="5039EE4A"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Align w:val="center"/>
          </w:tcPr>
          <w:p w:rsidR="00D83178" w:rsidP="00AC08D1" w14:paraId="59775EEE"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33</w:t>
            </w:r>
          </w:p>
        </w:tc>
        <w:tc>
          <w:tcPr>
            <w:tcW w:w="1033" w:type="dxa"/>
            <w:vAlign w:val="center"/>
          </w:tcPr>
          <w:p w:rsidR="00D83178" w:rsidP="00AC08D1" w14:paraId="5381A65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16</w:t>
            </w:r>
          </w:p>
        </w:tc>
        <w:tc>
          <w:tcPr>
            <w:tcW w:w="1627" w:type="dxa"/>
            <w:vAlign w:val="center"/>
          </w:tcPr>
          <w:p w:rsidR="00D83178" w:rsidP="00AC08D1" w14:paraId="2FD6C48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5742</w:t>
            </w:r>
          </w:p>
        </w:tc>
        <w:tc>
          <w:tcPr>
            <w:tcW w:w="1049" w:type="dxa"/>
            <w:vAlign w:val="bottom"/>
          </w:tcPr>
          <w:p w:rsidR="00D83178" w:rsidP="00AC08D1" w14:paraId="5D3D3020" w14:textId="536DBB33">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174</w:t>
            </w:r>
          </w:p>
        </w:tc>
        <w:tc>
          <w:tcPr>
            <w:tcW w:w="1642" w:type="dxa"/>
            <w:vMerge/>
            <w:vAlign w:val="center"/>
          </w:tcPr>
          <w:p w:rsidR="00D83178" w:rsidP="00AC08D1" w14:paraId="0F6C1C5C" w14:textId="77777777">
            <w:pPr>
              <w:jc w:val="center"/>
            </w:pPr>
          </w:p>
        </w:tc>
      </w:tr>
      <w:tr w14:paraId="49FDF385" w14:textId="77777777" w:rsidTr="00AC08D1">
        <w:tblPrEx>
          <w:tblW w:w="0" w:type="auto"/>
          <w:tblLayout w:type="fixed"/>
          <w:tblLook w:val="06A0"/>
        </w:tblPrEx>
        <w:trPr>
          <w:trHeight w:val="1185"/>
        </w:trPr>
        <w:tc>
          <w:tcPr>
            <w:tcW w:w="1671" w:type="dxa"/>
            <w:vMerge w:val="restart"/>
            <w:vAlign w:val="center"/>
          </w:tcPr>
          <w:p w:rsidR="00D83178" w:rsidP="004572B1" w14:paraId="35A1504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Average length of study, pages</w:t>
            </w:r>
          </w:p>
        </w:tc>
        <w:tc>
          <w:tcPr>
            <w:tcW w:w="1232" w:type="dxa"/>
            <w:vAlign w:val="center"/>
          </w:tcPr>
          <w:p w:rsidR="00D83178" w:rsidP="004572B1" w14:paraId="08907195"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vMerge w:val="restart"/>
            <w:vAlign w:val="center"/>
          </w:tcPr>
          <w:p w:rsidR="00D83178" w:rsidP="00D83178" w14:paraId="28621BCD"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33" w:type="dxa"/>
            <w:vMerge w:val="restart"/>
            <w:vAlign w:val="center"/>
          </w:tcPr>
          <w:p w:rsidR="00D83178" w:rsidP="00D83178" w14:paraId="56D1439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627" w:type="dxa"/>
            <w:vMerge w:val="restart"/>
            <w:vAlign w:val="center"/>
          </w:tcPr>
          <w:p w:rsidR="00D83178" w:rsidP="00D83178" w14:paraId="3519DF1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49" w:type="dxa"/>
            <w:vMerge w:val="restart"/>
            <w:vAlign w:val="center"/>
          </w:tcPr>
          <w:p w:rsidR="00D83178" w:rsidP="00D83178" w14:paraId="3C8FCE1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20</w:t>
            </w:r>
          </w:p>
        </w:tc>
        <w:tc>
          <w:tcPr>
            <w:tcW w:w="1642" w:type="dxa"/>
            <w:vMerge w:val="restart"/>
            <w:vAlign w:val="center"/>
          </w:tcPr>
          <w:p w:rsidR="00D83178" w:rsidP="00D83178" w14:paraId="73E241A9"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Pages</w:t>
            </w:r>
          </w:p>
        </w:tc>
      </w:tr>
      <w:tr w14:paraId="63FDC044" w14:textId="77777777" w:rsidTr="00AC08D1">
        <w:tblPrEx>
          <w:tblW w:w="0" w:type="auto"/>
          <w:tblLayout w:type="fixed"/>
          <w:tblLook w:val="06A0"/>
        </w:tblPrEx>
        <w:trPr>
          <w:trHeight w:val="300"/>
        </w:trPr>
        <w:tc>
          <w:tcPr>
            <w:tcW w:w="1671" w:type="dxa"/>
            <w:vMerge/>
            <w:vAlign w:val="center"/>
          </w:tcPr>
          <w:p w:rsidR="00D83178" w:rsidP="004572B1" w14:paraId="2E740A5D" w14:textId="77777777"/>
        </w:tc>
        <w:tc>
          <w:tcPr>
            <w:tcW w:w="1232" w:type="dxa"/>
            <w:vAlign w:val="center"/>
          </w:tcPr>
          <w:p w:rsidR="00D83178" w:rsidP="004572B1" w14:paraId="34BE4B7B"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Merge/>
            <w:vAlign w:val="center"/>
          </w:tcPr>
          <w:p w:rsidR="00D83178" w:rsidP="00AC08D1" w14:paraId="03628248" w14:textId="77777777">
            <w:pPr>
              <w:jc w:val="center"/>
            </w:pPr>
          </w:p>
        </w:tc>
        <w:tc>
          <w:tcPr>
            <w:tcW w:w="1033" w:type="dxa"/>
            <w:vMerge/>
            <w:vAlign w:val="center"/>
          </w:tcPr>
          <w:p w:rsidR="00D83178" w:rsidP="00AC08D1" w14:paraId="752CBA67" w14:textId="77777777">
            <w:pPr>
              <w:jc w:val="center"/>
            </w:pPr>
          </w:p>
        </w:tc>
        <w:tc>
          <w:tcPr>
            <w:tcW w:w="1627" w:type="dxa"/>
            <w:vMerge/>
            <w:vAlign w:val="center"/>
          </w:tcPr>
          <w:p w:rsidR="00D83178" w:rsidP="00AC08D1" w14:paraId="4FF7EEBD" w14:textId="77777777">
            <w:pPr>
              <w:jc w:val="center"/>
            </w:pPr>
          </w:p>
        </w:tc>
        <w:tc>
          <w:tcPr>
            <w:tcW w:w="1049" w:type="dxa"/>
            <w:vMerge/>
            <w:vAlign w:val="center"/>
          </w:tcPr>
          <w:p w:rsidR="00D83178" w:rsidP="00AC08D1" w14:paraId="758EA318" w14:textId="77777777">
            <w:pPr>
              <w:jc w:val="center"/>
            </w:pPr>
          </w:p>
        </w:tc>
        <w:tc>
          <w:tcPr>
            <w:tcW w:w="1642" w:type="dxa"/>
            <w:vMerge/>
            <w:vAlign w:val="center"/>
          </w:tcPr>
          <w:p w:rsidR="00D83178" w:rsidP="00AC08D1" w14:paraId="7C13D922" w14:textId="77777777">
            <w:pPr>
              <w:jc w:val="center"/>
            </w:pPr>
          </w:p>
        </w:tc>
      </w:tr>
      <w:tr w14:paraId="775E139C" w14:textId="77777777" w:rsidTr="00AC08D1">
        <w:tblPrEx>
          <w:tblW w:w="0" w:type="auto"/>
          <w:tblLayout w:type="fixed"/>
          <w:tblLook w:val="06A0"/>
        </w:tblPrEx>
        <w:trPr>
          <w:trHeight w:val="300"/>
        </w:trPr>
        <w:tc>
          <w:tcPr>
            <w:tcW w:w="1671" w:type="dxa"/>
            <w:vMerge/>
            <w:vAlign w:val="center"/>
          </w:tcPr>
          <w:p w:rsidR="00D83178" w:rsidP="004572B1" w14:paraId="1AD2A98B" w14:textId="77777777"/>
        </w:tc>
        <w:tc>
          <w:tcPr>
            <w:tcW w:w="1232" w:type="dxa"/>
            <w:vAlign w:val="center"/>
          </w:tcPr>
          <w:p w:rsidR="00D83178" w:rsidP="004572B1" w14:paraId="1EBEE7CE"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Merge/>
            <w:vAlign w:val="center"/>
          </w:tcPr>
          <w:p w:rsidR="00D83178" w:rsidP="00AC08D1" w14:paraId="1CCF870E" w14:textId="77777777">
            <w:pPr>
              <w:jc w:val="center"/>
            </w:pPr>
          </w:p>
        </w:tc>
        <w:tc>
          <w:tcPr>
            <w:tcW w:w="1033" w:type="dxa"/>
            <w:vMerge/>
            <w:vAlign w:val="center"/>
          </w:tcPr>
          <w:p w:rsidR="00D83178" w:rsidP="00AC08D1" w14:paraId="607CE6EC" w14:textId="77777777">
            <w:pPr>
              <w:jc w:val="center"/>
            </w:pPr>
          </w:p>
        </w:tc>
        <w:tc>
          <w:tcPr>
            <w:tcW w:w="1627" w:type="dxa"/>
            <w:vMerge/>
            <w:vAlign w:val="center"/>
          </w:tcPr>
          <w:p w:rsidR="00D83178" w:rsidP="00AC08D1" w14:paraId="32B3C679" w14:textId="77777777">
            <w:pPr>
              <w:jc w:val="center"/>
            </w:pPr>
          </w:p>
        </w:tc>
        <w:tc>
          <w:tcPr>
            <w:tcW w:w="1049" w:type="dxa"/>
            <w:vMerge/>
            <w:vAlign w:val="center"/>
          </w:tcPr>
          <w:p w:rsidR="00D83178" w:rsidP="00AC08D1" w14:paraId="35D1E886" w14:textId="77777777">
            <w:pPr>
              <w:jc w:val="center"/>
            </w:pPr>
          </w:p>
        </w:tc>
        <w:tc>
          <w:tcPr>
            <w:tcW w:w="1642" w:type="dxa"/>
            <w:vMerge/>
            <w:vAlign w:val="center"/>
          </w:tcPr>
          <w:p w:rsidR="00D83178" w:rsidP="00AC08D1" w14:paraId="50D22AFB" w14:textId="77777777">
            <w:pPr>
              <w:jc w:val="center"/>
            </w:pPr>
          </w:p>
        </w:tc>
      </w:tr>
      <w:tr w14:paraId="39101C89" w14:textId="77777777" w:rsidTr="00AC08D1">
        <w:tblPrEx>
          <w:tblW w:w="0" w:type="auto"/>
          <w:tblLayout w:type="fixed"/>
          <w:tblLook w:val="06A0"/>
        </w:tblPrEx>
        <w:trPr>
          <w:trHeight w:val="300"/>
        </w:trPr>
        <w:tc>
          <w:tcPr>
            <w:tcW w:w="1671" w:type="dxa"/>
            <w:vMerge/>
            <w:vAlign w:val="center"/>
          </w:tcPr>
          <w:p w:rsidR="00D83178" w:rsidP="004572B1" w14:paraId="6D00D923" w14:textId="77777777"/>
        </w:tc>
        <w:tc>
          <w:tcPr>
            <w:tcW w:w="1232" w:type="dxa"/>
            <w:vAlign w:val="center"/>
          </w:tcPr>
          <w:p w:rsidR="00D83178" w:rsidP="004572B1" w14:paraId="5496F4F9"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Merge/>
            <w:vAlign w:val="center"/>
          </w:tcPr>
          <w:p w:rsidR="00D83178" w:rsidP="00AC08D1" w14:paraId="3E40C59B" w14:textId="77777777">
            <w:pPr>
              <w:jc w:val="center"/>
            </w:pPr>
          </w:p>
        </w:tc>
        <w:tc>
          <w:tcPr>
            <w:tcW w:w="1033" w:type="dxa"/>
            <w:vMerge/>
            <w:vAlign w:val="center"/>
          </w:tcPr>
          <w:p w:rsidR="00D83178" w:rsidP="00AC08D1" w14:paraId="55E99A48" w14:textId="77777777">
            <w:pPr>
              <w:jc w:val="center"/>
            </w:pPr>
          </w:p>
        </w:tc>
        <w:tc>
          <w:tcPr>
            <w:tcW w:w="1627" w:type="dxa"/>
            <w:vMerge/>
            <w:vAlign w:val="center"/>
          </w:tcPr>
          <w:p w:rsidR="00D83178" w:rsidP="00AC08D1" w14:paraId="7DD0A73A" w14:textId="77777777">
            <w:pPr>
              <w:jc w:val="center"/>
            </w:pPr>
          </w:p>
        </w:tc>
        <w:tc>
          <w:tcPr>
            <w:tcW w:w="1049" w:type="dxa"/>
            <w:vMerge/>
            <w:vAlign w:val="center"/>
          </w:tcPr>
          <w:p w:rsidR="00D83178" w:rsidP="00AC08D1" w14:paraId="48AC4B90" w14:textId="77777777">
            <w:pPr>
              <w:jc w:val="center"/>
            </w:pPr>
          </w:p>
        </w:tc>
        <w:tc>
          <w:tcPr>
            <w:tcW w:w="1642" w:type="dxa"/>
            <w:vMerge/>
            <w:vAlign w:val="center"/>
          </w:tcPr>
          <w:p w:rsidR="00D83178" w:rsidP="00AC08D1" w14:paraId="14DBB7F2" w14:textId="77777777">
            <w:pPr>
              <w:jc w:val="center"/>
            </w:pPr>
          </w:p>
        </w:tc>
      </w:tr>
      <w:tr w14:paraId="74C10D2D" w14:textId="77777777" w:rsidTr="00AC08D1">
        <w:tblPrEx>
          <w:tblW w:w="0" w:type="auto"/>
          <w:tblLayout w:type="fixed"/>
          <w:tblLook w:val="06A0"/>
        </w:tblPrEx>
        <w:trPr>
          <w:trHeight w:val="1395"/>
        </w:trPr>
        <w:tc>
          <w:tcPr>
            <w:tcW w:w="1671" w:type="dxa"/>
            <w:vMerge w:val="restart"/>
            <w:vAlign w:val="center"/>
          </w:tcPr>
          <w:p w:rsidR="00D83178" w:rsidP="004572B1" w14:paraId="5FD9DBC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Percent studies with robust summaries; number of firms affected</w:t>
            </w:r>
          </w:p>
        </w:tc>
        <w:tc>
          <w:tcPr>
            <w:tcW w:w="1232" w:type="dxa"/>
            <w:vAlign w:val="center"/>
          </w:tcPr>
          <w:p w:rsidR="00D83178" w:rsidP="004572B1" w14:paraId="43D0328F"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vMerge w:val="restart"/>
            <w:vAlign w:val="center"/>
          </w:tcPr>
          <w:p w:rsidR="00D83178" w:rsidP="00D83178" w14:paraId="253081AD"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33" w:type="dxa"/>
            <w:vMerge w:val="restart"/>
            <w:vAlign w:val="center"/>
          </w:tcPr>
          <w:p w:rsidR="00D83178" w:rsidP="00D83178" w14:paraId="50EB88A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627" w:type="dxa"/>
            <w:vAlign w:val="center"/>
          </w:tcPr>
          <w:p w:rsidR="00D83178" w:rsidP="00AC08D1" w14:paraId="76E5B74B"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10% of total studies</w:t>
            </w:r>
          </w:p>
        </w:tc>
        <w:tc>
          <w:tcPr>
            <w:tcW w:w="1049" w:type="dxa"/>
            <w:vAlign w:val="center"/>
          </w:tcPr>
          <w:p w:rsidR="00D83178" w:rsidP="00D83178" w14:paraId="65B5AF8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w:t>
            </w:r>
          </w:p>
        </w:tc>
        <w:tc>
          <w:tcPr>
            <w:tcW w:w="1642" w:type="dxa"/>
            <w:vMerge w:val="restart"/>
            <w:vAlign w:val="center"/>
          </w:tcPr>
          <w:p w:rsidR="00D83178" w:rsidP="00D83178" w14:paraId="061BD4D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Robust summary/firm</w:t>
            </w:r>
          </w:p>
        </w:tc>
      </w:tr>
      <w:tr w14:paraId="7E78884F" w14:textId="77777777" w:rsidTr="00AC08D1">
        <w:tblPrEx>
          <w:tblW w:w="0" w:type="auto"/>
          <w:tblLayout w:type="fixed"/>
          <w:tblLook w:val="06A0"/>
        </w:tblPrEx>
        <w:trPr>
          <w:trHeight w:val="285"/>
        </w:trPr>
        <w:tc>
          <w:tcPr>
            <w:tcW w:w="1671" w:type="dxa"/>
            <w:vMerge/>
            <w:vAlign w:val="center"/>
          </w:tcPr>
          <w:p w:rsidR="00D83178" w:rsidP="004572B1" w14:paraId="2D2365B8" w14:textId="77777777"/>
        </w:tc>
        <w:tc>
          <w:tcPr>
            <w:tcW w:w="1232" w:type="dxa"/>
            <w:vAlign w:val="center"/>
          </w:tcPr>
          <w:p w:rsidR="00D83178" w:rsidP="004572B1" w14:paraId="42020CC0"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Merge/>
            <w:vAlign w:val="center"/>
          </w:tcPr>
          <w:p w:rsidR="00D83178" w:rsidP="00AC08D1" w14:paraId="63AFF179" w14:textId="77777777">
            <w:pPr>
              <w:jc w:val="center"/>
            </w:pPr>
          </w:p>
        </w:tc>
        <w:tc>
          <w:tcPr>
            <w:tcW w:w="1033" w:type="dxa"/>
            <w:vMerge/>
            <w:vAlign w:val="center"/>
          </w:tcPr>
          <w:p w:rsidR="00D83178" w:rsidP="00AC08D1" w14:paraId="6FCF92FC" w14:textId="77777777">
            <w:pPr>
              <w:jc w:val="center"/>
            </w:pPr>
          </w:p>
        </w:tc>
        <w:tc>
          <w:tcPr>
            <w:tcW w:w="1627" w:type="dxa"/>
            <w:vAlign w:val="center"/>
          </w:tcPr>
          <w:p w:rsidR="00D83178" w:rsidP="00AC08D1" w14:paraId="0946BA32"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10% of reports</w:t>
            </w:r>
          </w:p>
        </w:tc>
        <w:tc>
          <w:tcPr>
            <w:tcW w:w="1049" w:type="dxa"/>
            <w:vAlign w:val="center"/>
          </w:tcPr>
          <w:p w:rsidR="00D83178" w:rsidP="00D83178" w14:paraId="7961D25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w:t>
            </w:r>
          </w:p>
        </w:tc>
        <w:tc>
          <w:tcPr>
            <w:tcW w:w="1642" w:type="dxa"/>
            <w:vMerge/>
            <w:vAlign w:val="center"/>
          </w:tcPr>
          <w:p w:rsidR="00D83178" w:rsidP="00AC08D1" w14:paraId="38CEA2E7" w14:textId="77777777">
            <w:pPr>
              <w:jc w:val="center"/>
            </w:pPr>
          </w:p>
        </w:tc>
      </w:tr>
      <w:tr w14:paraId="644EB24D" w14:textId="77777777" w:rsidTr="00AC08D1">
        <w:tblPrEx>
          <w:tblW w:w="0" w:type="auto"/>
          <w:tblLayout w:type="fixed"/>
          <w:tblLook w:val="06A0"/>
        </w:tblPrEx>
        <w:trPr>
          <w:trHeight w:val="285"/>
        </w:trPr>
        <w:tc>
          <w:tcPr>
            <w:tcW w:w="1671" w:type="dxa"/>
            <w:vMerge/>
            <w:vAlign w:val="center"/>
          </w:tcPr>
          <w:p w:rsidR="00D83178" w:rsidP="004572B1" w14:paraId="0C8D554A" w14:textId="77777777"/>
        </w:tc>
        <w:tc>
          <w:tcPr>
            <w:tcW w:w="1232" w:type="dxa"/>
            <w:vAlign w:val="center"/>
          </w:tcPr>
          <w:p w:rsidR="00D83178" w:rsidP="004572B1" w14:paraId="250DBBB2"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Merge/>
            <w:vAlign w:val="center"/>
          </w:tcPr>
          <w:p w:rsidR="00D83178" w:rsidP="00AC08D1" w14:paraId="1AE65DE7" w14:textId="77777777">
            <w:pPr>
              <w:jc w:val="center"/>
            </w:pPr>
          </w:p>
        </w:tc>
        <w:tc>
          <w:tcPr>
            <w:tcW w:w="1033" w:type="dxa"/>
            <w:vMerge/>
            <w:vAlign w:val="center"/>
          </w:tcPr>
          <w:p w:rsidR="00D83178" w:rsidP="00AC08D1" w14:paraId="12AD3047" w14:textId="77777777">
            <w:pPr>
              <w:jc w:val="center"/>
            </w:pPr>
          </w:p>
        </w:tc>
        <w:tc>
          <w:tcPr>
            <w:tcW w:w="1627" w:type="dxa"/>
            <w:vAlign w:val="center"/>
          </w:tcPr>
          <w:p w:rsidR="00D83178" w:rsidP="00AC08D1" w14:paraId="1921C09A"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10% of reports</w:t>
            </w:r>
          </w:p>
        </w:tc>
        <w:tc>
          <w:tcPr>
            <w:tcW w:w="1049" w:type="dxa"/>
            <w:vAlign w:val="center"/>
          </w:tcPr>
          <w:p w:rsidR="00D83178" w:rsidP="00D83178" w14:paraId="3EE69F40"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w:t>
            </w:r>
          </w:p>
        </w:tc>
        <w:tc>
          <w:tcPr>
            <w:tcW w:w="1642" w:type="dxa"/>
            <w:vMerge/>
            <w:vAlign w:val="center"/>
          </w:tcPr>
          <w:p w:rsidR="00D83178" w:rsidP="00AC08D1" w14:paraId="307822C8" w14:textId="77777777">
            <w:pPr>
              <w:jc w:val="center"/>
            </w:pPr>
          </w:p>
        </w:tc>
      </w:tr>
      <w:tr w14:paraId="3D1B5D25" w14:textId="77777777" w:rsidTr="00AC08D1">
        <w:tblPrEx>
          <w:tblW w:w="0" w:type="auto"/>
          <w:tblLayout w:type="fixed"/>
          <w:tblLook w:val="06A0"/>
        </w:tblPrEx>
        <w:trPr>
          <w:trHeight w:val="285"/>
        </w:trPr>
        <w:tc>
          <w:tcPr>
            <w:tcW w:w="1671" w:type="dxa"/>
            <w:vMerge/>
            <w:vAlign w:val="center"/>
          </w:tcPr>
          <w:p w:rsidR="00D83178" w:rsidP="004572B1" w14:paraId="7149E130" w14:textId="77777777"/>
        </w:tc>
        <w:tc>
          <w:tcPr>
            <w:tcW w:w="1232" w:type="dxa"/>
            <w:vAlign w:val="center"/>
          </w:tcPr>
          <w:p w:rsidR="00D83178" w:rsidP="004572B1" w14:paraId="3A50D936"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Merge/>
            <w:vAlign w:val="center"/>
          </w:tcPr>
          <w:p w:rsidR="00D83178" w:rsidP="00AC08D1" w14:paraId="4AA9C050" w14:textId="77777777">
            <w:pPr>
              <w:jc w:val="center"/>
            </w:pPr>
          </w:p>
        </w:tc>
        <w:tc>
          <w:tcPr>
            <w:tcW w:w="1033" w:type="dxa"/>
            <w:vMerge/>
            <w:vAlign w:val="center"/>
          </w:tcPr>
          <w:p w:rsidR="00D83178" w:rsidP="00AC08D1" w14:paraId="6D4392C7" w14:textId="77777777">
            <w:pPr>
              <w:jc w:val="center"/>
            </w:pPr>
          </w:p>
        </w:tc>
        <w:tc>
          <w:tcPr>
            <w:tcW w:w="1627" w:type="dxa"/>
            <w:vAlign w:val="center"/>
          </w:tcPr>
          <w:p w:rsidR="00D83178" w:rsidP="00AC08D1" w14:paraId="5462D4B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6% of reports</w:t>
            </w:r>
          </w:p>
        </w:tc>
        <w:tc>
          <w:tcPr>
            <w:tcW w:w="1049" w:type="dxa"/>
            <w:vAlign w:val="center"/>
          </w:tcPr>
          <w:p w:rsidR="00D83178" w:rsidP="00D83178" w14:paraId="6E86D355"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10</w:t>
            </w:r>
          </w:p>
        </w:tc>
        <w:tc>
          <w:tcPr>
            <w:tcW w:w="1642" w:type="dxa"/>
            <w:vMerge/>
            <w:vAlign w:val="center"/>
          </w:tcPr>
          <w:p w:rsidR="00D83178" w:rsidP="00AC08D1" w14:paraId="45664AD5" w14:textId="77777777">
            <w:pPr>
              <w:jc w:val="center"/>
            </w:pPr>
          </w:p>
        </w:tc>
      </w:tr>
      <w:tr w14:paraId="2F44785A" w14:textId="77777777" w:rsidTr="00AC08D1">
        <w:tblPrEx>
          <w:tblW w:w="0" w:type="auto"/>
          <w:tblLayout w:type="fixed"/>
          <w:tblLook w:val="06A0"/>
        </w:tblPrEx>
        <w:trPr>
          <w:trHeight w:val="1440"/>
        </w:trPr>
        <w:tc>
          <w:tcPr>
            <w:tcW w:w="1671" w:type="dxa"/>
            <w:vMerge w:val="restart"/>
            <w:vAlign w:val="center"/>
          </w:tcPr>
          <w:p w:rsidR="00D83178" w:rsidP="004572B1" w14:paraId="551BFCF3"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Percent of affected firms submitting second responses</w:t>
            </w:r>
          </w:p>
        </w:tc>
        <w:tc>
          <w:tcPr>
            <w:tcW w:w="1232" w:type="dxa"/>
            <w:vAlign w:val="center"/>
          </w:tcPr>
          <w:p w:rsidR="00D83178" w:rsidP="004572B1" w14:paraId="2DC3D776"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2015-2018 </w:t>
            </w:r>
            <w:r w:rsidRPr="4E6D4237">
              <w:rPr>
                <w:rFonts w:ascii="Calibri" w:eastAsia="Calibri" w:hAnsi="Calibri" w:cs="Calibri"/>
                <w:color w:val="000000" w:themeColor="text1"/>
                <w:sz w:val="20"/>
                <w:szCs w:val="20"/>
                <w:vertAlign w:val="superscript"/>
              </w:rPr>
              <w:t>a</w:t>
            </w:r>
          </w:p>
        </w:tc>
        <w:tc>
          <w:tcPr>
            <w:tcW w:w="1028" w:type="dxa"/>
            <w:vMerge w:val="restart"/>
            <w:vAlign w:val="center"/>
          </w:tcPr>
          <w:p w:rsidR="00D83178" w:rsidP="00D83178" w14:paraId="4D2DA248"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033" w:type="dxa"/>
            <w:vMerge w:val="restart"/>
            <w:vAlign w:val="center"/>
          </w:tcPr>
          <w:p w:rsidR="00D83178" w:rsidP="00D83178" w14:paraId="6AB78AE1"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N/A</w:t>
            </w:r>
          </w:p>
        </w:tc>
        <w:tc>
          <w:tcPr>
            <w:tcW w:w="1627" w:type="dxa"/>
            <w:vMerge w:val="restart"/>
            <w:vAlign w:val="center"/>
          </w:tcPr>
          <w:p w:rsidR="00D83178" w:rsidP="00D83178" w14:paraId="1E57DB11"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 affected</w:t>
            </w:r>
          </w:p>
        </w:tc>
        <w:tc>
          <w:tcPr>
            <w:tcW w:w="1049" w:type="dxa"/>
            <w:vMerge w:val="restart"/>
            <w:vAlign w:val="center"/>
          </w:tcPr>
          <w:p w:rsidR="00D83178" w:rsidP="00D83178" w14:paraId="2B7BE249"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5</w:t>
            </w:r>
          </w:p>
        </w:tc>
        <w:tc>
          <w:tcPr>
            <w:tcW w:w="1642" w:type="dxa"/>
            <w:vMerge w:val="restart"/>
            <w:vAlign w:val="center"/>
          </w:tcPr>
          <w:p w:rsidR="00D83178" w:rsidP="00D83178" w14:paraId="4AA4CC75"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Percent</w:t>
            </w:r>
          </w:p>
        </w:tc>
      </w:tr>
      <w:tr w14:paraId="3DC3C800" w14:textId="77777777" w:rsidTr="00AC08D1">
        <w:tblPrEx>
          <w:tblW w:w="0" w:type="auto"/>
          <w:tblLayout w:type="fixed"/>
          <w:tblLook w:val="06A0"/>
        </w:tblPrEx>
        <w:trPr>
          <w:trHeight w:val="285"/>
        </w:trPr>
        <w:tc>
          <w:tcPr>
            <w:tcW w:w="1671" w:type="dxa"/>
            <w:vMerge/>
            <w:vAlign w:val="center"/>
          </w:tcPr>
          <w:p w:rsidR="00D83178" w:rsidP="004572B1" w14:paraId="70C9D1FC" w14:textId="77777777"/>
        </w:tc>
        <w:tc>
          <w:tcPr>
            <w:tcW w:w="1232" w:type="dxa"/>
            <w:vAlign w:val="center"/>
          </w:tcPr>
          <w:p w:rsidR="00D83178" w:rsidP="004572B1" w14:paraId="0989A0B8"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2018-2021 </w:t>
            </w:r>
            <w:r w:rsidRPr="4E6D4237">
              <w:rPr>
                <w:rFonts w:ascii="Calibri" w:eastAsia="Calibri" w:hAnsi="Calibri" w:cs="Calibri"/>
                <w:color w:val="000000" w:themeColor="text1"/>
                <w:sz w:val="20"/>
                <w:szCs w:val="20"/>
                <w:vertAlign w:val="superscript"/>
              </w:rPr>
              <w:t>b</w:t>
            </w:r>
          </w:p>
        </w:tc>
        <w:tc>
          <w:tcPr>
            <w:tcW w:w="1028" w:type="dxa"/>
            <w:vMerge/>
            <w:vAlign w:val="center"/>
          </w:tcPr>
          <w:p w:rsidR="00D83178" w:rsidP="00AC08D1" w14:paraId="7FE7632B" w14:textId="77777777">
            <w:pPr>
              <w:jc w:val="center"/>
            </w:pPr>
          </w:p>
        </w:tc>
        <w:tc>
          <w:tcPr>
            <w:tcW w:w="1033" w:type="dxa"/>
            <w:vMerge/>
            <w:vAlign w:val="center"/>
          </w:tcPr>
          <w:p w:rsidR="00D83178" w:rsidP="00AC08D1" w14:paraId="6AD46EE4" w14:textId="77777777">
            <w:pPr>
              <w:jc w:val="center"/>
            </w:pPr>
          </w:p>
        </w:tc>
        <w:tc>
          <w:tcPr>
            <w:tcW w:w="1627" w:type="dxa"/>
            <w:vMerge/>
            <w:vAlign w:val="center"/>
          </w:tcPr>
          <w:p w:rsidR="00D83178" w:rsidP="00AC08D1" w14:paraId="72AF0DD9" w14:textId="77777777">
            <w:pPr>
              <w:jc w:val="center"/>
            </w:pPr>
          </w:p>
        </w:tc>
        <w:tc>
          <w:tcPr>
            <w:tcW w:w="1049" w:type="dxa"/>
            <w:vMerge/>
            <w:vAlign w:val="center"/>
          </w:tcPr>
          <w:p w:rsidR="00D83178" w:rsidP="00AC08D1" w14:paraId="40B322C3" w14:textId="77777777">
            <w:pPr>
              <w:jc w:val="center"/>
            </w:pPr>
          </w:p>
        </w:tc>
        <w:tc>
          <w:tcPr>
            <w:tcW w:w="1642" w:type="dxa"/>
            <w:vMerge/>
            <w:vAlign w:val="center"/>
          </w:tcPr>
          <w:p w:rsidR="00D83178" w:rsidP="00AC08D1" w14:paraId="33496018" w14:textId="77777777">
            <w:pPr>
              <w:jc w:val="center"/>
            </w:pPr>
          </w:p>
        </w:tc>
      </w:tr>
      <w:tr w14:paraId="176B326B" w14:textId="77777777" w:rsidTr="00AC08D1">
        <w:tblPrEx>
          <w:tblW w:w="0" w:type="auto"/>
          <w:tblLayout w:type="fixed"/>
          <w:tblLook w:val="06A0"/>
        </w:tblPrEx>
        <w:trPr>
          <w:trHeight w:val="285"/>
        </w:trPr>
        <w:tc>
          <w:tcPr>
            <w:tcW w:w="1671" w:type="dxa"/>
            <w:vMerge/>
            <w:vAlign w:val="center"/>
          </w:tcPr>
          <w:p w:rsidR="00D83178" w:rsidP="004572B1" w14:paraId="6D53D9DB" w14:textId="77777777"/>
        </w:tc>
        <w:tc>
          <w:tcPr>
            <w:tcW w:w="1232" w:type="dxa"/>
            <w:vAlign w:val="center"/>
          </w:tcPr>
          <w:p w:rsidR="00D83178" w:rsidP="004572B1" w14:paraId="44D9A8EF"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 xml:space="preserve">2021-2025 </w:t>
            </w:r>
            <w:r w:rsidRPr="4E6D4237">
              <w:rPr>
                <w:rFonts w:ascii="Calibri" w:eastAsia="Calibri" w:hAnsi="Calibri" w:cs="Calibri"/>
                <w:color w:val="000000" w:themeColor="text1"/>
                <w:sz w:val="20"/>
                <w:szCs w:val="20"/>
                <w:vertAlign w:val="superscript"/>
              </w:rPr>
              <w:t>c</w:t>
            </w:r>
          </w:p>
        </w:tc>
        <w:tc>
          <w:tcPr>
            <w:tcW w:w="1028" w:type="dxa"/>
            <w:vMerge/>
            <w:vAlign w:val="center"/>
          </w:tcPr>
          <w:p w:rsidR="00D83178" w:rsidP="00AC08D1" w14:paraId="6D32B4C2" w14:textId="77777777">
            <w:pPr>
              <w:jc w:val="center"/>
            </w:pPr>
          </w:p>
        </w:tc>
        <w:tc>
          <w:tcPr>
            <w:tcW w:w="1033" w:type="dxa"/>
            <w:vMerge/>
            <w:vAlign w:val="center"/>
          </w:tcPr>
          <w:p w:rsidR="00D83178" w:rsidP="00AC08D1" w14:paraId="4D4D71CF" w14:textId="77777777">
            <w:pPr>
              <w:jc w:val="center"/>
            </w:pPr>
          </w:p>
        </w:tc>
        <w:tc>
          <w:tcPr>
            <w:tcW w:w="1627" w:type="dxa"/>
            <w:vMerge/>
            <w:vAlign w:val="center"/>
          </w:tcPr>
          <w:p w:rsidR="00D83178" w:rsidP="00AC08D1" w14:paraId="2F13EB71" w14:textId="77777777">
            <w:pPr>
              <w:jc w:val="center"/>
            </w:pPr>
          </w:p>
        </w:tc>
        <w:tc>
          <w:tcPr>
            <w:tcW w:w="1049" w:type="dxa"/>
            <w:vMerge/>
            <w:vAlign w:val="center"/>
          </w:tcPr>
          <w:p w:rsidR="00D83178" w:rsidP="00AC08D1" w14:paraId="2A3C0E57" w14:textId="77777777">
            <w:pPr>
              <w:jc w:val="center"/>
            </w:pPr>
          </w:p>
        </w:tc>
        <w:tc>
          <w:tcPr>
            <w:tcW w:w="1642" w:type="dxa"/>
            <w:vMerge/>
            <w:vAlign w:val="center"/>
          </w:tcPr>
          <w:p w:rsidR="00D83178" w:rsidP="00AC08D1" w14:paraId="5CFEF399" w14:textId="77777777">
            <w:pPr>
              <w:jc w:val="center"/>
            </w:pPr>
          </w:p>
        </w:tc>
      </w:tr>
      <w:tr w14:paraId="114C8A8E" w14:textId="77777777" w:rsidTr="00AC08D1">
        <w:tblPrEx>
          <w:tblW w:w="0" w:type="auto"/>
          <w:tblLayout w:type="fixed"/>
          <w:tblLook w:val="06A0"/>
        </w:tblPrEx>
        <w:trPr>
          <w:trHeight w:val="570"/>
        </w:trPr>
        <w:tc>
          <w:tcPr>
            <w:tcW w:w="1671" w:type="dxa"/>
            <w:vMerge/>
            <w:vAlign w:val="center"/>
          </w:tcPr>
          <w:p w:rsidR="00D83178" w:rsidP="004572B1" w14:paraId="54C94DE9" w14:textId="77777777"/>
        </w:tc>
        <w:tc>
          <w:tcPr>
            <w:tcW w:w="1232" w:type="dxa"/>
            <w:vAlign w:val="center"/>
          </w:tcPr>
          <w:p w:rsidR="00D83178" w:rsidP="004572B1" w14:paraId="49BEBB03" w14:textId="77777777">
            <w:pPr>
              <w:spacing w:after="0"/>
              <w:rPr>
                <w:rFonts w:ascii="Calibri" w:eastAsia="Calibri" w:hAnsi="Calibri" w:cs="Calibri"/>
                <w:color w:val="000000" w:themeColor="text1"/>
                <w:sz w:val="20"/>
                <w:szCs w:val="20"/>
                <w:vertAlign w:val="superscript"/>
              </w:rPr>
            </w:pPr>
            <w:r w:rsidRPr="4E6D4237">
              <w:rPr>
                <w:rFonts w:ascii="Calibri" w:eastAsia="Calibri" w:hAnsi="Calibri" w:cs="Calibri"/>
                <w:color w:val="000000" w:themeColor="text1"/>
                <w:sz w:val="20"/>
                <w:szCs w:val="20"/>
              </w:rPr>
              <w:t>2025-2028</w:t>
            </w:r>
            <w:r w:rsidRPr="4E6D4237">
              <w:rPr>
                <w:rFonts w:ascii="Calibri" w:eastAsia="Calibri" w:hAnsi="Calibri" w:cs="Calibri"/>
                <w:color w:val="000000" w:themeColor="text1"/>
                <w:sz w:val="20"/>
                <w:szCs w:val="20"/>
                <w:vertAlign w:val="superscript"/>
              </w:rPr>
              <w:t>d</w:t>
            </w:r>
          </w:p>
        </w:tc>
        <w:tc>
          <w:tcPr>
            <w:tcW w:w="1028" w:type="dxa"/>
            <w:vMerge/>
            <w:vAlign w:val="center"/>
          </w:tcPr>
          <w:p w:rsidR="00D83178" w:rsidP="00AC08D1" w14:paraId="351933FD" w14:textId="77777777">
            <w:pPr>
              <w:jc w:val="center"/>
            </w:pPr>
          </w:p>
        </w:tc>
        <w:tc>
          <w:tcPr>
            <w:tcW w:w="1033" w:type="dxa"/>
            <w:vMerge/>
            <w:vAlign w:val="center"/>
          </w:tcPr>
          <w:p w:rsidR="00D83178" w:rsidP="00AC08D1" w14:paraId="22EC38D8" w14:textId="77777777">
            <w:pPr>
              <w:jc w:val="center"/>
            </w:pPr>
          </w:p>
        </w:tc>
        <w:tc>
          <w:tcPr>
            <w:tcW w:w="1627" w:type="dxa"/>
            <w:vAlign w:val="center"/>
          </w:tcPr>
          <w:p w:rsidR="00D83178" w:rsidP="00D83178" w14:paraId="5B4D7854"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14% affected</w:t>
            </w:r>
          </w:p>
        </w:tc>
        <w:tc>
          <w:tcPr>
            <w:tcW w:w="1049" w:type="dxa"/>
            <w:vAlign w:val="center"/>
          </w:tcPr>
          <w:p w:rsidR="00D83178" w:rsidP="00D83178" w14:paraId="460E21C1" w14:textId="77777777">
            <w:pPr>
              <w:spacing w:after="0"/>
              <w:jc w:val="center"/>
              <w:rPr>
                <w:rFonts w:ascii="Calibri" w:eastAsia="Calibri" w:hAnsi="Calibri" w:cs="Calibri"/>
                <w:color w:val="000000" w:themeColor="text1"/>
                <w:sz w:val="20"/>
                <w:szCs w:val="20"/>
              </w:rPr>
            </w:pPr>
            <w:r w:rsidRPr="4E6D4237">
              <w:rPr>
                <w:rFonts w:ascii="Calibri" w:eastAsia="Calibri" w:hAnsi="Calibri" w:cs="Calibri"/>
                <w:color w:val="000000" w:themeColor="text1"/>
                <w:sz w:val="20"/>
                <w:szCs w:val="20"/>
              </w:rPr>
              <w:t>14</w:t>
            </w:r>
          </w:p>
        </w:tc>
        <w:tc>
          <w:tcPr>
            <w:tcW w:w="1642" w:type="dxa"/>
            <w:vMerge/>
            <w:vAlign w:val="center"/>
          </w:tcPr>
          <w:p w:rsidR="00D83178" w:rsidP="00AC08D1" w14:paraId="2731D0E4" w14:textId="77777777">
            <w:pPr>
              <w:jc w:val="center"/>
            </w:pPr>
          </w:p>
        </w:tc>
      </w:tr>
    </w:tbl>
    <w:p w:rsidR="00B2051D" w:rsidRPr="002F66B7" w:rsidP="00B2051D" w14:paraId="6184FA59" w14:textId="77777777">
      <w:pPr>
        <w:spacing w:after="0"/>
        <w:rPr>
          <w:rFonts w:ascii="Calibri" w:eastAsia="Calibri" w:hAnsi="Calibri" w:cs="Calibri"/>
          <w:color w:val="000000" w:themeColor="text1"/>
          <w:sz w:val="16"/>
          <w:szCs w:val="16"/>
        </w:rPr>
      </w:pPr>
      <w:r w:rsidRPr="00B2051D">
        <w:rPr>
          <w:rFonts w:ascii="Calibri" w:eastAsia="Calibri" w:hAnsi="Calibri" w:cs="Calibri"/>
          <w:color w:val="000000" w:themeColor="text1"/>
          <w:sz w:val="16"/>
          <w:szCs w:val="16"/>
        </w:rPr>
        <w:t>Source:</w:t>
      </w:r>
      <w:r>
        <w:t xml:space="preserve"> </w:t>
      </w:r>
      <w:r w:rsidRPr="002F66B7">
        <w:rPr>
          <w:rFonts w:ascii="Calibri" w:eastAsia="Calibri" w:hAnsi="Calibri" w:cs="Calibri"/>
          <w:color w:val="000000" w:themeColor="text1"/>
          <w:sz w:val="16"/>
          <w:szCs w:val="16"/>
          <w:vertAlign w:val="superscript"/>
        </w:rPr>
        <w:t>a</w:t>
      </w:r>
      <w:r w:rsidRPr="002F66B7">
        <w:rPr>
          <w:rFonts w:ascii="Calibri" w:eastAsia="Calibri" w:hAnsi="Calibri" w:cs="Calibri"/>
          <w:color w:val="000000" w:themeColor="text1"/>
          <w:sz w:val="16"/>
          <w:szCs w:val="16"/>
        </w:rPr>
        <w:t xml:space="preserve"> TSCA IUR data, all manufacturers 1998, 2002, 2006</w:t>
      </w:r>
    </w:p>
    <w:p w:rsidR="00B2051D" w:rsidRPr="002F66B7" w:rsidP="00B2051D" w14:paraId="45850F6F" w14:textId="77777777">
      <w:pPr>
        <w:spacing w:after="0"/>
        <w:rPr>
          <w:rFonts w:ascii="Calibri" w:eastAsia="Calibri" w:hAnsi="Calibri" w:cs="Calibri"/>
          <w:color w:val="000000" w:themeColor="text1"/>
          <w:sz w:val="16"/>
          <w:szCs w:val="16"/>
        </w:rPr>
      </w:pPr>
      <w:r w:rsidRPr="002F66B7">
        <w:rPr>
          <w:rFonts w:ascii="Calibri" w:eastAsia="Calibri" w:hAnsi="Calibri" w:cs="Calibri"/>
          <w:color w:val="000000" w:themeColor="text1"/>
          <w:sz w:val="16"/>
          <w:szCs w:val="16"/>
          <w:vertAlign w:val="superscript"/>
        </w:rPr>
        <w:t>b</w:t>
      </w:r>
      <w:r w:rsidRPr="002F66B7">
        <w:rPr>
          <w:rFonts w:ascii="Calibri" w:eastAsia="Calibri" w:hAnsi="Calibri" w:cs="Calibri"/>
          <w:color w:val="000000" w:themeColor="text1"/>
          <w:sz w:val="16"/>
          <w:szCs w:val="16"/>
        </w:rPr>
        <w:t xml:space="preserve"> TSCA IUR/CDR data, all manufacturers 1998, 2002, 2006, 2012</w:t>
      </w:r>
    </w:p>
    <w:p w:rsidR="00B2051D" w:rsidRPr="002F66B7" w:rsidP="00B2051D" w14:paraId="1CADECC5" w14:textId="77777777">
      <w:pPr>
        <w:spacing w:after="0"/>
        <w:rPr>
          <w:rFonts w:ascii="Calibri" w:eastAsia="Calibri" w:hAnsi="Calibri" w:cs="Calibri"/>
          <w:color w:val="000000" w:themeColor="text1"/>
          <w:sz w:val="16"/>
          <w:szCs w:val="16"/>
        </w:rPr>
      </w:pPr>
      <w:r w:rsidRPr="002F66B7">
        <w:rPr>
          <w:rFonts w:ascii="Calibri" w:eastAsia="Calibri" w:hAnsi="Calibri" w:cs="Calibri"/>
          <w:color w:val="000000" w:themeColor="text1"/>
          <w:sz w:val="16"/>
          <w:szCs w:val="16"/>
          <w:vertAlign w:val="superscript"/>
        </w:rPr>
        <w:t>c</w:t>
      </w:r>
      <w:r w:rsidRPr="002F66B7">
        <w:rPr>
          <w:rFonts w:ascii="Calibri" w:eastAsia="Calibri" w:hAnsi="Calibri" w:cs="Calibri"/>
          <w:color w:val="000000" w:themeColor="text1"/>
          <w:sz w:val="16"/>
          <w:szCs w:val="16"/>
        </w:rPr>
        <w:t xml:space="preserve"> TSCA Section 8(d): Economic Impact Analysis for Adding 50 Chemicals from the 74th ITC Report of the TSCA Interagency Testing Committee to the Health and Safety Data Reporting Rule</w:t>
      </w:r>
    </w:p>
    <w:p w:rsidR="00B2051D" w:rsidRPr="00B2051D" w:rsidP="00B2051D" w14:paraId="5760F411" w14:textId="77777777">
      <w:pPr>
        <w:spacing w:after="0"/>
        <w:rPr>
          <w:rFonts w:ascii="Calibri" w:eastAsia="Calibri" w:hAnsi="Calibri" w:cs="Calibri"/>
          <w:color w:val="000000" w:themeColor="text1"/>
          <w:sz w:val="16"/>
          <w:szCs w:val="16"/>
        </w:rPr>
      </w:pPr>
      <w:r w:rsidRPr="00B2051D">
        <w:rPr>
          <w:rFonts w:ascii="Calibri" w:eastAsia="Calibri" w:hAnsi="Calibri" w:cs="Calibri"/>
          <w:color w:val="000000" w:themeColor="text1"/>
          <w:sz w:val="16"/>
          <w:szCs w:val="16"/>
        </w:rPr>
        <w:t>d TSCA Section 8(d): Economic Impact Analysis for Adding 16 Chemicals Substances to the Health and Safety Data Reporting Rule</w:t>
      </w:r>
    </w:p>
    <w:p w:rsidR="00D83178" w:rsidP="00B2051D" w14:paraId="595E1D8B" w14:textId="3D801A5A">
      <w:pPr>
        <w:spacing w:after="0"/>
        <w:rPr>
          <w:rFonts w:ascii="Calibri" w:eastAsia="Calibri" w:hAnsi="Calibri" w:cs="Calibri"/>
          <w:color w:val="000000" w:themeColor="text1"/>
          <w:sz w:val="16"/>
          <w:szCs w:val="16"/>
        </w:rPr>
      </w:pPr>
      <w:r w:rsidRPr="00B2051D">
        <w:rPr>
          <w:rFonts w:ascii="Calibri" w:eastAsia="Calibri" w:hAnsi="Calibri" w:cs="Calibri"/>
          <w:color w:val="000000" w:themeColor="text1"/>
          <w:sz w:val="16"/>
          <w:szCs w:val="16"/>
        </w:rPr>
        <w:t>e The 16th chemical, 6PPD-quinone, was excluded from the reporting basis</w:t>
      </w:r>
    </w:p>
    <w:p w:rsidR="00B2051D" w:rsidRPr="00AD1195" w:rsidP="00B2051D" w14:paraId="1869374F" w14:textId="77777777">
      <w:pPr>
        <w:spacing w:after="0"/>
      </w:pPr>
    </w:p>
    <w:p w:rsidR="007E2E3C" w:rsidRPr="00AD1195" w:rsidP="00B2051D" w14:paraId="22E52556" w14:textId="5E852F3D">
      <w:pPr>
        <w:pStyle w:val="ListParagraph"/>
        <w:spacing w:after="0"/>
        <w:ind w:left="0"/>
        <w:rPr>
          <w:rFonts w:ascii="Calibri" w:hAnsi="Calibri" w:cs="Calibri"/>
          <w:b/>
          <w:color w:val="000000"/>
        </w:rPr>
      </w:pPr>
      <w:r w:rsidRPr="4911E731">
        <w:rPr>
          <w:rFonts w:ascii="Calibri" w:hAnsi="Calibri" w:cs="Calibri"/>
          <w:b/>
          <w:color w:val="000000" w:themeColor="text1"/>
        </w:rPr>
        <w:t>Estimating Respondent Burden</w:t>
      </w:r>
      <w:bookmarkStart w:id="33" w:name="Quik"/>
      <w:bookmarkEnd w:id="33"/>
    </w:p>
    <w:p w:rsidR="007E2E3C" w:rsidRPr="00962957" w:rsidP="007E2E3C" w14:paraId="4BD62384" w14:textId="77777777">
      <w:pPr>
        <w:pStyle w:val="ListParagraph"/>
        <w:ind w:left="0"/>
        <w:rPr>
          <w:rFonts w:ascii="Calibri" w:hAnsi="Calibri" w:cs="Calibri"/>
          <w:b/>
          <w:color w:val="000000"/>
          <w:szCs w:val="24"/>
        </w:rPr>
      </w:pPr>
    </w:p>
    <w:p w:rsidR="007E2E3C" w:rsidRPr="00962957" w:rsidP="007E2E3C" w14:paraId="711D5F88" w14:textId="169FBA55">
      <w:pPr>
        <w:pStyle w:val="ListParagraph"/>
        <w:ind w:left="0"/>
        <w:rPr>
          <w:rFonts w:ascii="Calibri" w:hAnsi="Calibri" w:cs="Calibri"/>
          <w:b/>
          <w:color w:val="000000"/>
          <w:szCs w:val="24"/>
        </w:rPr>
      </w:pPr>
      <w:r w:rsidRPr="00962957">
        <w:rPr>
          <w:rFonts w:ascii="Calibri" w:hAnsi="Calibri" w:cs="Calibri"/>
          <w:color w:val="000000"/>
          <w:szCs w:val="24"/>
        </w:rPr>
        <w:t>Firms will undertake a number of actions in response to a TSCA section 8(d) listing</w:t>
      </w:r>
      <w:r w:rsidR="00E43676">
        <w:rPr>
          <w:rFonts w:ascii="Calibri" w:hAnsi="Calibri" w:cs="Calibri"/>
          <w:color w:val="000000"/>
          <w:szCs w:val="24"/>
        </w:rPr>
        <w:t>.</w:t>
      </w:r>
      <w:r w:rsidRPr="00962957">
        <w:rPr>
          <w:rFonts w:ascii="Calibri" w:hAnsi="Calibri" w:cs="Calibri"/>
          <w:color w:val="000000"/>
          <w:szCs w:val="24"/>
        </w:rPr>
        <w:t xml:space="preserve"> </w:t>
      </w:r>
      <w:r w:rsidR="00E43676">
        <w:rPr>
          <w:rFonts w:ascii="Calibri" w:hAnsi="Calibri" w:cs="Calibri"/>
          <w:color w:val="000000"/>
          <w:szCs w:val="24"/>
        </w:rPr>
        <w:t>T</w:t>
      </w:r>
      <w:r w:rsidRPr="00962957">
        <w:rPr>
          <w:rFonts w:ascii="Calibri" w:hAnsi="Calibri" w:cs="Calibri"/>
          <w:color w:val="000000"/>
          <w:szCs w:val="24"/>
        </w:rPr>
        <w:t>he unit burden associated with each of these tasks is discussed in detail below.</w:t>
      </w:r>
    </w:p>
    <w:p w:rsidR="007E2E3C" w:rsidRPr="00962957" w:rsidP="007E2E3C" w14:paraId="0EE6E9C8" w14:textId="77777777">
      <w:pPr>
        <w:pStyle w:val="ListParagraph"/>
        <w:ind w:left="0"/>
        <w:rPr>
          <w:rFonts w:ascii="Calibri" w:hAnsi="Calibri" w:cs="Calibri"/>
          <w:b/>
          <w:color w:val="000000"/>
          <w:szCs w:val="24"/>
        </w:rPr>
      </w:pPr>
    </w:p>
    <w:p w:rsidR="00D83178" w:rsidRPr="008A2C28" w:rsidP="00D83178" w14:paraId="324AF7B4" w14:textId="23564F73">
      <w:pPr>
        <w:pStyle w:val="ListParagraph"/>
        <w:ind w:left="0"/>
        <w:rPr>
          <w:rFonts w:ascii="Calibri" w:hAnsi="Calibri" w:cs="Calibri"/>
          <w:color w:val="000000"/>
          <w:szCs w:val="24"/>
        </w:rPr>
      </w:pPr>
      <w:r w:rsidRPr="00962957">
        <w:rPr>
          <w:rFonts w:ascii="Calibri" w:hAnsi="Calibri" w:cs="Calibri"/>
          <w:b/>
          <w:bCs/>
          <w:color w:val="000000"/>
          <w:szCs w:val="24"/>
        </w:rPr>
        <w:t>Review the Rule</w:t>
      </w:r>
      <w:r w:rsidRPr="00962957">
        <w:rPr>
          <w:rFonts w:ascii="Calibri" w:hAnsi="Calibri" w:cs="Calibri"/>
          <w:color w:val="000000"/>
          <w:szCs w:val="24"/>
        </w:rPr>
        <w:t xml:space="preserve">: </w:t>
      </w:r>
      <w:r w:rsidRPr="4C70BA37">
        <w:rPr>
          <w:rFonts w:ascii="Calibri" w:hAnsi="Calibri" w:cs="Calibri"/>
          <w:color w:val="000000" w:themeColor="text1"/>
        </w:rPr>
        <w:t xml:space="preserve">Firms in the relevant industries that may have unpublished health and safety studies will have to determine whether they manufacture </w:t>
      </w:r>
      <w:r w:rsidRPr="52B6A879">
        <w:rPr>
          <w:rFonts w:ascii="Calibri" w:hAnsi="Calibri" w:cs="Calibri"/>
          <w:color w:val="000000" w:themeColor="text1"/>
        </w:rPr>
        <w:t xml:space="preserve">or import any of the </w:t>
      </w:r>
      <w:r w:rsidRPr="4C70BA37">
        <w:rPr>
          <w:rFonts w:ascii="Calibri" w:hAnsi="Calibri" w:cs="Calibri"/>
          <w:color w:val="000000" w:themeColor="text1"/>
        </w:rPr>
        <w:t xml:space="preserve">listed </w:t>
      </w:r>
      <w:r w:rsidRPr="52B6A879">
        <w:rPr>
          <w:rFonts w:ascii="Calibri" w:hAnsi="Calibri" w:cs="Calibri"/>
          <w:color w:val="000000" w:themeColor="text1"/>
        </w:rPr>
        <w:t>chemicals</w:t>
      </w:r>
      <w:r w:rsidRPr="4C70BA37">
        <w:rPr>
          <w:rFonts w:ascii="Calibri" w:hAnsi="Calibri" w:cs="Calibri"/>
          <w:color w:val="000000" w:themeColor="text1"/>
        </w:rPr>
        <w:t xml:space="preserve"> and may be required to </w:t>
      </w:r>
      <w:r w:rsidRPr="52B6A879">
        <w:rPr>
          <w:rFonts w:ascii="Calibri" w:hAnsi="Calibri" w:cs="Calibri"/>
          <w:color w:val="000000" w:themeColor="text1"/>
        </w:rPr>
        <w:t xml:space="preserve">submit a </w:t>
      </w:r>
      <w:r w:rsidRPr="4C70BA37">
        <w:rPr>
          <w:rFonts w:ascii="Calibri" w:hAnsi="Calibri" w:cs="Calibri"/>
          <w:color w:val="000000" w:themeColor="text1"/>
        </w:rPr>
        <w:t xml:space="preserve">report. If so, they will have to review the rule in detail to understand its requirements, such as the types of health and safety studies EPA is asking for, the grade or purity of the test material, and the timeframe of the reporting period. </w:t>
      </w:r>
    </w:p>
    <w:p w:rsidR="00D83178" w:rsidRPr="00962957" w:rsidP="00D83178" w14:paraId="010D732F" w14:textId="77777777">
      <w:pPr>
        <w:pStyle w:val="ListParagraph"/>
        <w:ind w:left="0"/>
        <w:rPr>
          <w:rFonts w:ascii="Calibri" w:hAnsi="Calibri" w:cs="Calibri"/>
          <w:b/>
          <w:color w:val="000000"/>
          <w:szCs w:val="24"/>
        </w:rPr>
      </w:pPr>
    </w:p>
    <w:p w:rsidR="00D83178" w:rsidRPr="00962957" w:rsidP="5F135418" w14:paraId="7C088DCA" w14:textId="2AB2E812">
      <w:pPr>
        <w:pStyle w:val="ListParagraph"/>
        <w:ind w:left="0"/>
        <w:rPr>
          <w:rFonts w:ascii="Calibri" w:hAnsi="Calibri" w:cs="Calibri"/>
          <w:b/>
          <w:bCs/>
          <w:color w:val="000000"/>
        </w:rPr>
      </w:pPr>
      <w:r w:rsidRPr="5F135418">
        <w:rPr>
          <w:rFonts w:ascii="Calibri" w:hAnsi="Calibri" w:cs="Calibri"/>
          <w:color w:val="000000" w:themeColor="text1"/>
        </w:rPr>
        <w:t xml:space="preserve">The coverage of the </w:t>
      </w:r>
      <w:r w:rsidRPr="5F135418" w:rsidR="7A2363A8">
        <w:rPr>
          <w:rFonts w:ascii="Calibri" w:hAnsi="Calibri" w:cs="Calibri"/>
          <w:color w:val="000000" w:themeColor="text1"/>
        </w:rPr>
        <w:t xml:space="preserve">TSCA </w:t>
      </w:r>
      <w:r w:rsidRPr="5F135418">
        <w:rPr>
          <w:rFonts w:ascii="Calibri" w:hAnsi="Calibri" w:cs="Calibri"/>
          <w:color w:val="000000" w:themeColor="text1"/>
        </w:rPr>
        <w:t>section 8(d) rule includes chemical manufacturers, petroleum refineries, and tire manufacturers. Those firms that manufacture or import a listed chemical must review the rule to understand its specific requirements. This is estimated to take an average of 2 hours of managerial time for each firm manufacturing a listed chemical.</w:t>
      </w:r>
    </w:p>
    <w:p w:rsidR="00D83178" w:rsidRPr="00962957" w:rsidP="00D83178" w14:paraId="6F3475AB" w14:textId="77777777">
      <w:pPr>
        <w:pStyle w:val="ListParagraph"/>
        <w:ind w:left="0"/>
        <w:rPr>
          <w:rFonts w:ascii="Calibri" w:hAnsi="Calibri" w:cs="Calibri"/>
          <w:b/>
          <w:color w:val="000000"/>
          <w:szCs w:val="24"/>
        </w:rPr>
      </w:pPr>
    </w:p>
    <w:p w:rsidR="00D83178" w:rsidRPr="00962957" w:rsidP="00D83178" w14:paraId="4A930D18" w14:textId="77777777">
      <w:pPr>
        <w:pStyle w:val="ListParagraph"/>
        <w:ind w:left="0"/>
        <w:rPr>
          <w:rFonts w:ascii="Calibri" w:hAnsi="Calibri" w:cs="Calibri"/>
          <w:b/>
          <w:color w:val="000000"/>
          <w:szCs w:val="24"/>
        </w:rPr>
      </w:pPr>
      <w:r w:rsidRPr="00962957">
        <w:rPr>
          <w:rFonts w:ascii="Calibri" w:hAnsi="Calibri" w:cs="Calibri"/>
          <w:b/>
          <w:bCs/>
          <w:color w:val="000000"/>
          <w:szCs w:val="24"/>
        </w:rPr>
        <w:t>Conduct Corporate Review for Site Identification</w:t>
      </w:r>
      <w:r w:rsidRPr="00962957">
        <w:rPr>
          <w:rFonts w:ascii="Calibri" w:hAnsi="Calibri" w:cs="Calibri"/>
          <w:color w:val="000000"/>
          <w:szCs w:val="24"/>
        </w:rPr>
        <w:t>: Firms that manufacture a listed chemical will need to conduct a corporate review to identify which of the firm’s sites must be searched for appropriate health and safety studies. This corporate review is estimated to require an average of 3 managerial hours per firm.</w:t>
      </w:r>
    </w:p>
    <w:p w:rsidR="00D83178" w:rsidRPr="00962957" w:rsidP="00D83178" w14:paraId="066A21D2" w14:textId="77777777">
      <w:pPr>
        <w:pStyle w:val="ListParagraph"/>
        <w:ind w:left="0"/>
        <w:rPr>
          <w:rFonts w:ascii="Calibri" w:hAnsi="Calibri" w:cs="Calibri"/>
          <w:b/>
          <w:color w:val="000000"/>
          <w:szCs w:val="24"/>
        </w:rPr>
      </w:pPr>
    </w:p>
    <w:p w:rsidR="00D83178" w:rsidRPr="00962957" w:rsidP="00D83178" w14:paraId="30A02F6F" w14:textId="06DCFDF2">
      <w:pPr>
        <w:pStyle w:val="ListParagraph"/>
        <w:ind w:left="0"/>
        <w:rPr>
          <w:rFonts w:ascii="Calibri" w:hAnsi="Calibri" w:cs="Calibri"/>
          <w:b/>
          <w:color w:val="000000"/>
        </w:rPr>
      </w:pPr>
      <w:r w:rsidRPr="52B6A879">
        <w:rPr>
          <w:rFonts w:ascii="Calibri" w:hAnsi="Calibri" w:cs="Calibri"/>
          <w:b/>
          <w:color w:val="000000" w:themeColor="text1"/>
        </w:rPr>
        <w:t>Conduct Site File Search</w:t>
      </w:r>
      <w:r w:rsidRPr="52B6A879">
        <w:rPr>
          <w:rFonts w:ascii="Calibri" w:hAnsi="Calibri" w:cs="Calibri"/>
          <w:color w:val="000000" w:themeColor="text1"/>
          <w:u w:val="single"/>
        </w:rPr>
        <w:t>:</w:t>
      </w:r>
      <w:r w:rsidRPr="52B6A879">
        <w:rPr>
          <w:rFonts w:ascii="Calibri" w:hAnsi="Calibri" w:cs="Calibri"/>
          <w:color w:val="000000" w:themeColor="text1"/>
        </w:rPr>
        <w:t xml:space="preserve"> Firms that manufacture a listed chemical must search </w:t>
      </w:r>
      <w:r w:rsidR="002E75EA">
        <w:rPr>
          <w:rFonts w:ascii="Calibri" w:hAnsi="Calibri" w:cs="Calibri"/>
          <w:color w:val="000000" w:themeColor="text1"/>
        </w:rPr>
        <w:t>its</w:t>
      </w:r>
      <w:r w:rsidRPr="52B6A879">
        <w:rPr>
          <w:rFonts w:ascii="Calibri" w:hAnsi="Calibri" w:cs="Calibri"/>
          <w:color w:val="000000" w:themeColor="text1"/>
        </w:rPr>
        <w:t xml:space="preserve"> files at appropriate sites to look for studies that are responsive to the TSCA section 8(d) rule, which included searching for studies of chemical substances, even when they are present as impurities or transformation products, without a de minimis level. Due to the increased level of chemical expertise involved with conducting searches that include impurities and lack a de minimis level, it is estimated that the search will take an average of 479 hours of technical time per site. </w:t>
      </w:r>
    </w:p>
    <w:p w:rsidR="00D83178" w:rsidRPr="00962957" w:rsidP="00D83178" w14:paraId="0C488D5E" w14:textId="77777777">
      <w:pPr>
        <w:pStyle w:val="ListParagraph"/>
        <w:ind w:left="0"/>
        <w:rPr>
          <w:rFonts w:ascii="Calibri" w:hAnsi="Calibri" w:cs="Calibri"/>
          <w:b/>
          <w:color w:val="000000"/>
          <w:szCs w:val="24"/>
        </w:rPr>
      </w:pPr>
    </w:p>
    <w:p w:rsidR="00D83178" w:rsidRPr="00962957" w:rsidP="00D83178" w14:paraId="56641308" w14:textId="77777777">
      <w:pPr>
        <w:pStyle w:val="ListParagraph"/>
        <w:ind w:left="0"/>
        <w:rPr>
          <w:rFonts w:ascii="Calibri" w:hAnsi="Calibri" w:cs="Calibri"/>
          <w:b/>
          <w:color w:val="000000"/>
          <w:szCs w:val="24"/>
        </w:rPr>
      </w:pPr>
      <w:r w:rsidRPr="00962957">
        <w:rPr>
          <w:rFonts w:ascii="Calibri" w:hAnsi="Calibri" w:cs="Calibri"/>
          <w:b/>
          <w:bCs/>
          <w:color w:val="000000"/>
          <w:szCs w:val="24"/>
        </w:rPr>
        <w:t>Provide Study Title Lists</w:t>
      </w:r>
      <w:r w:rsidRPr="00962957">
        <w:rPr>
          <w:rFonts w:ascii="Calibri" w:hAnsi="Calibri" w:cs="Calibri"/>
          <w:color w:val="000000"/>
          <w:szCs w:val="24"/>
        </w:rPr>
        <w:t>: Respondents are required to submit lists containing the titles of any studies being submitted, titles of studies that are initiated or ongoing during the reporting period but that have not yet been completed, titles of any unpublished studies that the respondent knows to exist but does not have in its possession, and titles of studies previously submitted to other federal agencies without confidentiality claims. EPA expects that the major burden of compiling this list was incurred during the file search and would already be available in electronic format; therefore, there is no additional burden associated with this activity.</w:t>
      </w:r>
    </w:p>
    <w:p w:rsidR="00D83178" w:rsidRPr="00962957" w:rsidP="00D83178" w14:paraId="583B0979" w14:textId="77777777">
      <w:pPr>
        <w:pStyle w:val="ListParagraph"/>
        <w:ind w:left="0"/>
        <w:rPr>
          <w:rFonts w:ascii="Calibri" w:hAnsi="Calibri" w:cs="Calibri"/>
          <w:b/>
          <w:color w:val="000000"/>
          <w:szCs w:val="24"/>
        </w:rPr>
      </w:pPr>
    </w:p>
    <w:p w:rsidR="00D83178" w:rsidRPr="00962957" w:rsidP="00D83178" w14:paraId="6BE7528D" w14:textId="77777777">
      <w:pPr>
        <w:pStyle w:val="ListParagraph"/>
        <w:ind w:left="0"/>
        <w:rPr>
          <w:rFonts w:ascii="Calibri" w:hAnsi="Calibri" w:cs="Calibri"/>
          <w:color w:val="000000"/>
        </w:rPr>
      </w:pPr>
      <w:r w:rsidRPr="52B6A879">
        <w:rPr>
          <w:rFonts w:ascii="Calibri" w:hAnsi="Calibri" w:cs="Calibri"/>
          <w:b/>
          <w:color w:val="000000" w:themeColor="text1"/>
        </w:rPr>
        <w:t>Prepare Robust Summaries</w:t>
      </w:r>
      <w:r w:rsidRPr="52B6A879">
        <w:rPr>
          <w:rFonts w:ascii="Calibri" w:hAnsi="Calibri" w:cs="Calibri"/>
          <w:color w:val="000000" w:themeColor="text1"/>
        </w:rPr>
        <w:t>: Respondents may choose to develop and submit robust summaries of the full toxicological study reports. The robust summaries should contain technical information to adequately describe the study and results and should be written in such a way that the information provided is sufficient to allow a technically qualified person to evaluate study results. Typically, a robust summary would include a description of the test substance, methods, results, conclusions, data quality description, and references associated with the full study. It is estimated that 8 to 16 hours of technical time are needed to develop and review a robust summary, depending on the type of study conducted. This ICR assumes an average of 12 hours of technical time per firm to prepare a robust summary. Because submission of robust summaries is voluntary, EPA does not expect that many companies will undertake this activity. EPA estimates that each firm will submit an average of 174 studies, with 6% of those studies including a robust summary; therefore, EPA expects to receive an average of 10 robust summaries per firm submitting studies. The estimated average burden per robust summary is 12 hours of technical time.</w:t>
      </w:r>
    </w:p>
    <w:p w:rsidR="00D83178" w:rsidRPr="00962957" w:rsidP="00D83178" w14:paraId="2456E522" w14:textId="77777777">
      <w:pPr>
        <w:pStyle w:val="ListParagraph"/>
        <w:ind w:left="0"/>
        <w:rPr>
          <w:rFonts w:ascii="Calibri" w:hAnsi="Calibri" w:cs="Calibri"/>
          <w:b/>
          <w:bCs/>
          <w:color w:val="000000"/>
        </w:rPr>
      </w:pPr>
    </w:p>
    <w:p w:rsidR="00D83178" w:rsidP="00D83178" w14:paraId="34A11135" w14:textId="77777777">
      <w:pPr>
        <w:pStyle w:val="ListParagraph"/>
        <w:ind w:left="0"/>
        <w:rPr>
          <w:rFonts w:ascii="Calibri" w:hAnsi="Calibri" w:cs="Calibri"/>
          <w:color w:val="000000" w:themeColor="text1"/>
        </w:rPr>
      </w:pPr>
      <w:r w:rsidRPr="21B32037">
        <w:rPr>
          <w:rFonts w:ascii="Calibri" w:hAnsi="Calibri" w:cs="Calibri"/>
          <w:b/>
          <w:bCs/>
          <w:color w:val="000000" w:themeColor="text1"/>
        </w:rPr>
        <w:t>Prepare OHT Summaries</w:t>
      </w:r>
      <w:r w:rsidRPr="21B32037">
        <w:rPr>
          <w:rFonts w:ascii="Calibri" w:hAnsi="Calibri" w:cs="Calibri"/>
          <w:color w:val="000000" w:themeColor="text1"/>
        </w:rPr>
        <w:t xml:space="preserve">: Firms will need to submit studies using the OECD harmonized templates (OHTs), which are standardized formats for reporting information on chemicals, including physical properties, production and use, and effects on human health and the environment (OECD 2018). EPA assumes that firms may submit environmental and health effects data using any of the templates for the following OHT groups: Physico-Chemical Properties, Environmental Fate and Behavior, Biotic Systems, and Health Effects. EPA found the average burden per chemical per template is 70 hours (EPA 2024). Based on the expectation that the average firm reported an estimated 1.54 chemicals from the list of chemical </w:t>
      </w:r>
      <w:r w:rsidRPr="21B32037">
        <w:rPr>
          <w:rFonts w:ascii="Calibri" w:hAnsi="Calibri" w:cs="Calibri"/>
          <w:color w:val="000000" w:themeColor="text1"/>
        </w:rPr>
        <w:t xml:space="preserve">substances for the 8d rule, the estimated average burden per OHT summary is 109 hours per firm (EPA 2024). </w:t>
      </w:r>
    </w:p>
    <w:p w:rsidR="00B2051D" w:rsidP="00D83178" w14:paraId="5F8072A8" w14:textId="77777777">
      <w:pPr>
        <w:pStyle w:val="ListParagraph"/>
        <w:ind w:left="0"/>
        <w:rPr>
          <w:rFonts w:ascii="Calibri" w:hAnsi="Calibri" w:cs="Calibri"/>
          <w:color w:val="000000" w:themeColor="text1"/>
        </w:rPr>
      </w:pPr>
    </w:p>
    <w:p w:rsidR="00D83178" w:rsidRPr="00962957" w:rsidP="00D83178" w14:paraId="221DFF83" w14:textId="77777777">
      <w:pPr>
        <w:pStyle w:val="ListParagraph"/>
        <w:ind w:left="0"/>
        <w:rPr>
          <w:rFonts w:ascii="Calibri" w:hAnsi="Calibri" w:cs="Calibri"/>
          <w:b/>
          <w:color w:val="000000"/>
        </w:rPr>
      </w:pPr>
      <w:r w:rsidRPr="117CA455">
        <w:rPr>
          <w:rFonts w:ascii="Calibri" w:hAnsi="Calibri" w:cs="Calibri"/>
          <w:b/>
          <w:color w:val="000000" w:themeColor="text1"/>
        </w:rPr>
        <w:t>Review Responses for CBI</w:t>
      </w:r>
      <w:r w:rsidRPr="117CA455">
        <w:rPr>
          <w:rFonts w:ascii="Calibri" w:hAnsi="Calibri" w:cs="Calibri"/>
          <w:color w:val="000000" w:themeColor="text1"/>
        </w:rPr>
        <w:t xml:space="preserve">: Firms will need to review responses for possible CBI and delete any material that is considered by the firm to be CBI from one copy of the study. A separate copy of the study must be submitted without deletions of CBI. CBI review is estimated to take an average of 1 hour of managerial time for each study. </w:t>
      </w:r>
      <w:r w:rsidRPr="55AF63F3">
        <w:rPr>
          <w:rFonts w:ascii="Calibri" w:hAnsi="Calibri" w:cs="Calibri"/>
          <w:color w:val="000000" w:themeColor="text1"/>
        </w:rPr>
        <w:t xml:space="preserve">Based on the expectation that each </w:t>
      </w:r>
      <w:r w:rsidRPr="117CA455">
        <w:rPr>
          <w:rFonts w:ascii="Calibri" w:hAnsi="Calibri" w:cs="Calibri"/>
          <w:color w:val="000000" w:themeColor="text1"/>
        </w:rPr>
        <w:t xml:space="preserve">firm </w:t>
      </w:r>
      <w:r w:rsidRPr="55AF63F3">
        <w:rPr>
          <w:rFonts w:ascii="Calibri" w:hAnsi="Calibri" w:cs="Calibri"/>
          <w:color w:val="000000" w:themeColor="text1"/>
        </w:rPr>
        <w:t xml:space="preserve">that </w:t>
      </w:r>
      <w:r w:rsidRPr="117CA455">
        <w:rPr>
          <w:rFonts w:ascii="Calibri" w:hAnsi="Calibri" w:cs="Calibri"/>
          <w:color w:val="000000" w:themeColor="text1"/>
        </w:rPr>
        <w:t>submit</w:t>
      </w:r>
      <w:r w:rsidRPr="55AF63F3">
        <w:rPr>
          <w:rFonts w:ascii="Calibri" w:hAnsi="Calibri" w:cs="Calibri"/>
          <w:color w:val="000000" w:themeColor="text1"/>
        </w:rPr>
        <w:t xml:space="preserve">s </w:t>
      </w:r>
      <w:r w:rsidRPr="117CA455">
        <w:rPr>
          <w:rFonts w:ascii="Calibri" w:hAnsi="Calibri" w:cs="Calibri"/>
          <w:color w:val="000000" w:themeColor="text1"/>
        </w:rPr>
        <w:t>a</w:t>
      </w:r>
      <w:r w:rsidRPr="31DB9193">
        <w:rPr>
          <w:rFonts w:ascii="Calibri" w:hAnsi="Calibri" w:cs="Calibri"/>
          <w:color w:val="000000" w:themeColor="text1"/>
        </w:rPr>
        <w:t xml:space="preserve"> report will include 174</w:t>
      </w:r>
      <w:r w:rsidRPr="117CA455">
        <w:rPr>
          <w:rFonts w:ascii="Calibri" w:hAnsi="Calibri" w:cs="Calibri"/>
          <w:color w:val="000000" w:themeColor="text1"/>
        </w:rPr>
        <w:t xml:space="preserve"> studies, CBI review results in an estimated average of </w:t>
      </w:r>
      <w:r w:rsidRPr="7FA47803">
        <w:rPr>
          <w:rFonts w:ascii="Calibri" w:hAnsi="Calibri" w:cs="Calibri"/>
          <w:color w:val="000000" w:themeColor="text1"/>
        </w:rPr>
        <w:t>174</w:t>
      </w:r>
      <w:r w:rsidRPr="117CA455">
        <w:rPr>
          <w:rFonts w:ascii="Calibri" w:hAnsi="Calibri" w:cs="Calibri"/>
          <w:color w:val="000000" w:themeColor="text1"/>
        </w:rPr>
        <w:t xml:space="preserve"> hours of managerial time per firm.</w:t>
      </w:r>
    </w:p>
    <w:p w:rsidR="00D83178" w:rsidRPr="00962957" w:rsidP="00D83178" w14:paraId="73E01596" w14:textId="77777777">
      <w:pPr>
        <w:pStyle w:val="ListParagraph"/>
        <w:ind w:left="0"/>
        <w:rPr>
          <w:rFonts w:ascii="Calibri" w:hAnsi="Calibri" w:cs="Calibri"/>
          <w:b/>
          <w:color w:val="000000"/>
          <w:szCs w:val="24"/>
        </w:rPr>
      </w:pPr>
    </w:p>
    <w:p w:rsidR="00D83178" w:rsidRPr="00962957" w:rsidP="00D83178" w14:paraId="76A902E4" w14:textId="77777777">
      <w:pPr>
        <w:pStyle w:val="ListParagraph"/>
        <w:ind w:left="0"/>
        <w:rPr>
          <w:rFonts w:ascii="Calibri" w:hAnsi="Calibri" w:cs="Calibri"/>
          <w:b/>
          <w:color w:val="000000"/>
          <w:szCs w:val="24"/>
        </w:rPr>
      </w:pPr>
      <w:r w:rsidRPr="00962957">
        <w:rPr>
          <w:rFonts w:ascii="Calibri" w:hAnsi="Calibri" w:cs="Calibri"/>
          <w:b/>
          <w:bCs/>
          <w:color w:val="000000"/>
          <w:szCs w:val="24"/>
        </w:rPr>
        <w:t>CBI Legal Review and Confidential Business Substantiation</w:t>
      </w:r>
      <w:r w:rsidRPr="00962957">
        <w:rPr>
          <w:rFonts w:ascii="Calibri" w:hAnsi="Calibri" w:cs="Calibri"/>
          <w:color w:val="000000"/>
          <w:szCs w:val="24"/>
        </w:rPr>
        <w:t xml:space="preserve">: </w:t>
      </w:r>
      <w:r w:rsidRPr="00962957">
        <w:rPr>
          <w:rFonts w:ascii="Calibri" w:hAnsi="Calibri" w:cs="Calibri"/>
          <w:szCs w:val="24"/>
        </w:rPr>
        <w:t>Firms will need to gather and prepare information to substantiate a claim for confidentiality. This will also involve approximately 1.5 hours of managerial and attorney time, split evenly between staff.</w:t>
      </w:r>
    </w:p>
    <w:p w:rsidR="00D83178" w:rsidRPr="00962957" w:rsidP="00D83178" w14:paraId="4CE0D824" w14:textId="77777777">
      <w:pPr>
        <w:pStyle w:val="ListParagraph"/>
        <w:ind w:left="0"/>
        <w:rPr>
          <w:rFonts w:ascii="Calibri" w:hAnsi="Calibri" w:cs="Calibri"/>
          <w:b/>
          <w:color w:val="000000"/>
          <w:szCs w:val="24"/>
        </w:rPr>
      </w:pPr>
    </w:p>
    <w:p w:rsidR="007E2E3C" w:rsidRPr="00962957" w:rsidP="00D83178" w14:paraId="7A0965AF" w14:textId="073B9144">
      <w:pPr>
        <w:pStyle w:val="ListParagraph"/>
        <w:ind w:left="0"/>
        <w:rPr>
          <w:rFonts w:ascii="Calibri" w:hAnsi="Calibri" w:cs="Calibri"/>
          <w:b/>
          <w:color w:val="000000"/>
          <w:szCs w:val="24"/>
        </w:rPr>
      </w:pPr>
      <w:r w:rsidRPr="00962957">
        <w:rPr>
          <w:rFonts w:ascii="Calibri" w:hAnsi="Calibri" w:cs="Calibri"/>
          <w:b/>
          <w:bCs/>
          <w:color w:val="000000"/>
          <w:szCs w:val="24"/>
        </w:rPr>
        <w:t>Post-Reporting Period Submission</w:t>
      </w:r>
      <w:r w:rsidRPr="00962957">
        <w:rPr>
          <w:rFonts w:ascii="Calibri" w:hAnsi="Calibri" w:cs="Calibri"/>
          <w:color w:val="000000"/>
          <w:szCs w:val="24"/>
        </w:rPr>
        <w:t xml:space="preserve"> (Submit Ongoing or Newly Initiated Studies)</w:t>
      </w:r>
      <w:r w:rsidRPr="00962957">
        <w:rPr>
          <w:rFonts w:ascii="Calibri" w:hAnsi="Calibri" w:cs="Calibri"/>
          <w:color w:val="000000"/>
          <w:szCs w:val="24"/>
          <w:u w:val="single"/>
        </w:rPr>
        <w:t>:</w:t>
      </w:r>
      <w:r w:rsidRPr="00962957">
        <w:rPr>
          <w:rFonts w:ascii="Calibri" w:hAnsi="Calibri" w:cs="Calibri"/>
          <w:color w:val="000000"/>
          <w:szCs w:val="24"/>
        </w:rPr>
        <w:t xml:space="preserve"> Firms that have an ongoing or newly initiated study during the reporting period are required to provide EPA with a copy of the study once it is completed. CBI review and submission of ongoing or newly initiated studies are estimated to require an average of 1 hour of managerial time.</w:t>
      </w:r>
    </w:p>
    <w:p w:rsidR="007E2E3C" w:rsidRPr="00962957" w:rsidP="00D83178" w14:paraId="558EEEAC" w14:textId="18966B6B">
      <w:pPr>
        <w:pStyle w:val="Caption"/>
        <w:outlineLvl w:val="9"/>
        <w:rPr>
          <w:rFonts w:ascii="Calibri" w:hAnsi="Calibri" w:cs="Calibri"/>
          <w:szCs w:val="24"/>
        </w:rPr>
      </w:pPr>
      <w:bookmarkStart w:id="34" w:name="_Ref96440159"/>
      <w:r w:rsidRPr="00962957">
        <w:rPr>
          <w:rFonts w:ascii="Calibri" w:hAnsi="Calibri" w:cs="Calibri"/>
        </w:rPr>
        <w:t xml:space="preserve">Table </w:t>
      </w:r>
      <w:bookmarkEnd w:id="34"/>
      <w:r w:rsidRPr="00962957" w:rsidR="00D83178">
        <w:rPr>
          <w:rFonts w:ascii="Calibri" w:hAnsi="Calibri" w:cs="Calibri"/>
        </w:rPr>
        <w:t>1</w:t>
      </w:r>
      <w:r w:rsidR="00D83178">
        <w:rPr>
          <w:rFonts w:ascii="Calibri" w:hAnsi="Calibri" w:cs="Calibri"/>
        </w:rPr>
        <w:t>2</w:t>
      </w:r>
      <w:r w:rsidRPr="00962957">
        <w:rPr>
          <w:rFonts w:ascii="Calibri" w:hAnsi="Calibri" w:cs="Calibri"/>
        </w:rPr>
        <w:t>. Unit Burden for TSCA Section 8(d) Reporting</w:t>
      </w:r>
    </w:p>
    <w:tbl>
      <w:tblPr>
        <w:tblW w:w="8920" w:type="dxa"/>
        <w:tblLook w:val="04A0"/>
      </w:tblPr>
      <w:tblGrid>
        <w:gridCol w:w="3320"/>
        <w:gridCol w:w="1760"/>
        <w:gridCol w:w="1940"/>
        <w:gridCol w:w="1900"/>
      </w:tblGrid>
      <w:tr w14:paraId="5CC0C19C" w14:textId="77777777" w:rsidTr="2D725C34">
        <w:tblPrEx>
          <w:tblW w:w="8920" w:type="dxa"/>
          <w:tblLook w:val="04A0"/>
        </w:tblPrEx>
        <w:trPr>
          <w:trHeight w:val="960"/>
        </w:trPr>
        <w:tc>
          <w:tcPr>
            <w:tcW w:w="332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14:paraId="67671F50"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Collection Activity</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14:paraId="7A29304D"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Affected Respondents (Weight)*</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14:paraId="192EFDED"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Average Burden per Firm (Hours)</w:t>
            </w:r>
          </w:p>
        </w:tc>
        <w:tc>
          <w:tcPr>
            <w:tcW w:w="190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962957" w14:paraId="3AD01BA1"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Labor Category</w:t>
            </w:r>
          </w:p>
        </w:tc>
      </w:tr>
      <w:tr w14:paraId="59A5FC47" w14:textId="77777777">
        <w:tblPrEx>
          <w:tblW w:w="8920" w:type="dxa"/>
          <w:tblLook w:val="04A0"/>
        </w:tblPrEx>
        <w:trPr>
          <w:trHeight w:val="324"/>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69D05A81" w14:textId="14969A6D">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Review of Rule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792D0916" w14:textId="70AEFF91">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4FC2855B" w14:textId="048F51D2">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7482D157" w14:textId="09428763">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Managerial</w:t>
            </w:r>
          </w:p>
        </w:tc>
      </w:tr>
      <w:tr w14:paraId="321C8AD0" w14:textId="77777777">
        <w:tblPrEx>
          <w:tblW w:w="8920" w:type="dxa"/>
          <w:tblLook w:val="04A0"/>
        </w:tblPrEx>
        <w:trPr>
          <w:trHeight w:val="312"/>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4FCC0B6E" w14:textId="585086E1">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Site Identification</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61DF5A6B" w14:textId="24533C22">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509CA472" w14:textId="2836A863">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3</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245D80A2" w14:textId="53E6B51B">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Managerial</w:t>
            </w:r>
          </w:p>
        </w:tc>
      </w:tr>
      <w:tr w14:paraId="5C886430" w14:textId="77777777">
        <w:tblPrEx>
          <w:tblW w:w="8920" w:type="dxa"/>
          <w:tblLook w:val="04A0"/>
        </w:tblPrEx>
        <w:trPr>
          <w:trHeight w:val="312"/>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0C061DBD" w14:textId="54BEB02A">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Site File Search**</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61AF9CC5" w14:textId="32790F8E">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0.716</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291E2BDA" w14:textId="69567B52">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479</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05850E75" w14:textId="35C5F698">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 xml:space="preserve"> Technical</w:t>
            </w:r>
          </w:p>
        </w:tc>
      </w:tr>
      <w:tr w14:paraId="506FB0A4" w14:textId="77777777">
        <w:tblPrEx>
          <w:tblW w:w="8920" w:type="dxa"/>
          <w:tblLook w:val="04A0"/>
        </w:tblPrEx>
        <w:trPr>
          <w:trHeight w:val="312"/>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77785C6D" w14:textId="0691FE16">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Robust Summaries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5F7EBD61" w14:textId="29CD55CE">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0.431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1C340EC7" w14:textId="45618213">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12</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1427A849" w14:textId="48C7DC42">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Technical</w:t>
            </w:r>
          </w:p>
        </w:tc>
      </w:tr>
      <w:tr w14:paraId="7B35B85C" w14:textId="77777777">
        <w:tblPrEx>
          <w:tblW w:w="8920" w:type="dxa"/>
          <w:tblLook w:val="04A0"/>
        </w:tblPrEx>
        <w:trPr>
          <w:trHeight w:val="312"/>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rsidR="00D83178" w:rsidRPr="00962957" w:rsidP="00D83178" w14:paraId="275BE1C9" w14:textId="3F7A9610">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OECD Harmonized Templates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3178" w:rsidRPr="00962957" w:rsidP="00D83178" w14:paraId="0AF19DF6" w14:textId="5CDBB795">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0.431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D83178" w:rsidRPr="00962957" w:rsidP="00D83178" w14:paraId="724593D9" w14:textId="741EABD0">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109</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D83178" w:rsidRPr="00962957" w:rsidP="00D83178" w14:paraId="7245CF7C" w14:textId="57B23EDA">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Managerial</w:t>
            </w:r>
          </w:p>
        </w:tc>
      </w:tr>
      <w:tr w14:paraId="06296806" w14:textId="77777777">
        <w:tblPrEx>
          <w:tblW w:w="8920" w:type="dxa"/>
          <w:tblLook w:val="04A0"/>
        </w:tblPrEx>
        <w:trPr>
          <w:trHeight w:val="312"/>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67D85F4A" w14:textId="3659A326">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CBI Review</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72CC804F" w14:textId="27D4B41C">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0.431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2A633C27" w14:textId="260E5EB4">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174</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3C077BE9" w14:textId="1053F2A4">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Managerial</w:t>
            </w:r>
          </w:p>
        </w:tc>
      </w:tr>
      <w:tr w14:paraId="37B7D1FD" w14:textId="77777777">
        <w:tblPrEx>
          <w:tblW w:w="8920" w:type="dxa"/>
          <w:tblLook w:val="04A0"/>
        </w:tblPrEx>
        <w:trPr>
          <w:trHeight w:val="312"/>
        </w:trPr>
        <w:tc>
          <w:tcPr>
            <w:tcW w:w="3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7D886181" w14:textId="7F90297C">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 xml:space="preserve">CBI Legal Review and CBI Substantiation </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74117BF5" w14:textId="589464D2">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0.431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5DCD6DFF" w14:textId="4FEC9FFC">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0.75</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2D01C38D" w14:textId="43C25C44">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 xml:space="preserve">Managerial </w:t>
            </w:r>
          </w:p>
        </w:tc>
      </w:tr>
      <w:tr w14:paraId="7F46EAE8" w14:textId="77777777" w:rsidTr="2D725C34">
        <w:tblPrEx>
          <w:tblW w:w="8920" w:type="dxa"/>
          <w:tblLook w:val="04A0"/>
        </w:tblPrEx>
        <w:trPr>
          <w:trHeight w:val="312"/>
        </w:trPr>
        <w:tc>
          <w:tcPr>
            <w:tcW w:w="3320" w:type="dxa"/>
            <w:vMerge/>
            <w:vAlign w:val="center"/>
            <w:hideMark/>
          </w:tcPr>
          <w:p w:rsidR="00D83178" w:rsidRPr="00962957" w:rsidP="00D83178" w14:paraId="21FFA19E" w14:textId="77777777">
            <w:pPr>
              <w:spacing w:after="0" w:line="240" w:lineRule="auto"/>
              <w:rPr>
                <w:rFonts w:ascii="Calibri" w:eastAsia="Times New Roman" w:hAnsi="Calibri" w:cs="Calibri"/>
                <w:color w:val="000000"/>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66E7E18B" w14:textId="125A6EC1">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0.431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68C485B5" w14:textId="3257919E">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0.75</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564A6664" w14:textId="647A3A61">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Attorney</w:t>
            </w:r>
          </w:p>
        </w:tc>
      </w:tr>
      <w:tr w14:paraId="35C00A36" w14:textId="77777777" w:rsidTr="2D725C34">
        <w:tblPrEx>
          <w:tblW w:w="8920" w:type="dxa"/>
          <w:tblLook w:val="04A0"/>
        </w:tblPrEx>
        <w:trPr>
          <w:trHeight w:val="300"/>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5EAECBA7" w14:textId="401E8F3A">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Post-Reporting Period Submission</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178" w:rsidRPr="00962957" w:rsidP="00D83178" w14:paraId="72C7ABCB" w14:textId="6F6984CD">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0.063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71167AB0" w14:textId="3E18996B">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178" w:rsidRPr="00962957" w:rsidP="00D83178" w14:paraId="066D9A2B" w14:textId="50C27BE8">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Managerial</w:t>
            </w:r>
          </w:p>
        </w:tc>
      </w:tr>
    </w:tbl>
    <w:p w:rsidR="00B2051D" w:rsidRPr="00B2051D" w:rsidP="00B2051D" w14:paraId="7EDC77A3" w14:textId="77777777">
      <w:pPr>
        <w:spacing w:after="0" w:line="240" w:lineRule="auto"/>
        <w:rPr>
          <w:rFonts w:ascii="Calibri" w:eastAsia="Times New Roman" w:hAnsi="Calibri" w:cs="Calibri"/>
          <w:color w:val="000000" w:themeColor="text1"/>
          <w:sz w:val="16"/>
          <w:szCs w:val="16"/>
        </w:rPr>
      </w:pPr>
      <w:r w:rsidRPr="00B2051D">
        <w:rPr>
          <w:rFonts w:ascii="Calibri" w:eastAsia="Times New Roman" w:hAnsi="Calibri" w:cs="Calibri"/>
          <w:color w:val="000000" w:themeColor="text1"/>
          <w:sz w:val="16"/>
          <w:szCs w:val="16"/>
        </w:rPr>
        <w:t>*Not all respondents perform all activities. This weight reflects that for every firm that has to check for reports: 42% will submit reports, of which 10 firms (about 6%) will provide robust summaries and 14% (about 10 firms) will provide a post reporting period submission.</w:t>
      </w:r>
    </w:p>
    <w:p w:rsidR="007E2E3C" w:rsidRPr="00B2051D" w:rsidP="00B2051D" w14:paraId="1870BF52" w14:textId="6AE69D2D">
      <w:pPr>
        <w:pStyle w:val="ListParagraph"/>
        <w:widowControl w:val="0"/>
        <w:ind w:left="0"/>
        <w:rPr>
          <w:rFonts w:ascii="Calibri" w:eastAsia="Times New Roman" w:hAnsi="Calibri" w:cs="Calibri"/>
          <w:color w:val="000000" w:themeColor="text1"/>
          <w:sz w:val="16"/>
          <w:szCs w:val="16"/>
        </w:rPr>
      </w:pPr>
      <w:r w:rsidRPr="00B2051D">
        <w:rPr>
          <w:rFonts w:ascii="Calibri" w:eastAsia="Times New Roman" w:hAnsi="Calibri" w:cs="Calibri"/>
          <w:color w:val="000000" w:themeColor="text1"/>
          <w:sz w:val="16"/>
          <w:szCs w:val="16"/>
        </w:rPr>
        <w:t>** Basis of 1.9 sites per firm</w:t>
      </w:r>
    </w:p>
    <w:p w:rsidR="00B2051D" w:rsidRPr="00962957" w:rsidP="00B2051D" w14:paraId="0770201D" w14:textId="77777777">
      <w:pPr>
        <w:pStyle w:val="ListParagraph"/>
        <w:widowControl w:val="0"/>
        <w:ind w:left="0"/>
        <w:rPr>
          <w:rFonts w:ascii="Calibri" w:hAnsi="Calibri" w:cs="Calibri"/>
          <w:color w:val="000000"/>
          <w:szCs w:val="24"/>
        </w:rPr>
      </w:pPr>
    </w:p>
    <w:p w:rsidR="007E2E3C" w:rsidRPr="00962957" w:rsidP="007E2E3C" w14:paraId="38685EFE" w14:textId="77777777">
      <w:pPr>
        <w:pStyle w:val="ListParagraph"/>
        <w:widowControl w:val="0"/>
        <w:ind w:left="0"/>
        <w:rPr>
          <w:rFonts w:ascii="Calibri" w:hAnsi="Calibri" w:cs="Calibri"/>
          <w:color w:val="000000"/>
          <w:szCs w:val="24"/>
        </w:rPr>
      </w:pPr>
      <w:r w:rsidRPr="00962957">
        <w:rPr>
          <w:rFonts w:ascii="Calibri" w:hAnsi="Calibri" w:cs="Calibri"/>
          <w:color w:val="000000"/>
          <w:szCs w:val="24"/>
        </w:rPr>
        <w:t>These unit burden estimates are average values. Large multi-divisional, multi-departmental firms may require more than the average time to comply. However, there are smaller firms that are less complicated, and these firms may have a simpler process that requires less time.</w:t>
      </w:r>
    </w:p>
    <w:p w:rsidR="007E2E3C" w:rsidRPr="00962957" w:rsidP="007E2E3C" w14:paraId="17110494" w14:textId="77777777">
      <w:pPr>
        <w:pStyle w:val="ListParagraph"/>
        <w:widowControl w:val="0"/>
        <w:ind w:left="0"/>
        <w:rPr>
          <w:rFonts w:ascii="Calibri" w:hAnsi="Calibri" w:cs="Calibri"/>
          <w:color w:val="000000"/>
          <w:szCs w:val="24"/>
        </w:rPr>
      </w:pPr>
    </w:p>
    <w:p w:rsidR="007E2E3C" w:rsidRPr="00D83178" w:rsidP="007E2E3C" w14:paraId="02E94E21" w14:textId="77777777">
      <w:pPr>
        <w:pStyle w:val="ListParagraph"/>
        <w:widowControl w:val="0"/>
        <w:ind w:left="0"/>
        <w:rPr>
          <w:rFonts w:ascii="Calibri" w:hAnsi="Calibri" w:cs="Calibri"/>
          <w:color w:val="000000"/>
          <w:szCs w:val="24"/>
          <w:u w:val="single"/>
        </w:rPr>
      </w:pPr>
      <w:r w:rsidRPr="00D83178">
        <w:rPr>
          <w:rFonts w:ascii="Calibri" w:hAnsi="Calibri" w:cs="Calibri"/>
          <w:color w:val="000000"/>
          <w:szCs w:val="24"/>
          <w:u w:val="single"/>
        </w:rPr>
        <w:t>Estimating the Respondent Universe</w:t>
      </w:r>
    </w:p>
    <w:p w:rsidR="007E2E3C" w:rsidRPr="00962957" w:rsidP="007E2E3C" w14:paraId="4B66E97B" w14:textId="77777777">
      <w:pPr>
        <w:pStyle w:val="ListParagraph"/>
        <w:widowControl w:val="0"/>
        <w:ind w:left="0"/>
        <w:rPr>
          <w:rFonts w:ascii="Calibri" w:hAnsi="Calibri" w:cs="Calibri"/>
          <w:bCs/>
          <w:color w:val="000000"/>
          <w:szCs w:val="24"/>
        </w:rPr>
      </w:pPr>
    </w:p>
    <w:p w:rsidR="00D83178" w:rsidRPr="00962957" w:rsidP="00D83178" w14:paraId="35474FBB" w14:textId="13DA2611">
      <w:pPr>
        <w:pStyle w:val="ListParagraph"/>
        <w:widowControl w:val="0"/>
        <w:ind w:left="0"/>
        <w:rPr>
          <w:rFonts w:ascii="Calibri" w:hAnsi="Calibri" w:cs="Calibri"/>
          <w:color w:val="000000"/>
        </w:rPr>
      </w:pPr>
      <w:r w:rsidRPr="5F135418">
        <w:rPr>
          <w:rFonts w:ascii="Calibri" w:hAnsi="Calibri" w:cs="Calibri"/>
          <w:color w:val="000000" w:themeColor="text1"/>
        </w:rPr>
        <w:t xml:space="preserve">EPA has added a total of 348 chemicals to the list since 1996 (47 in 1996, 15 in 2004, 208 in 2006, 12 in 2008, 50 between 2018 and 2021, and 16 in 2025), which is an overall program historical average of approximately 12 chemicals per year. For estimates in this ICR, EPA assumes that the historical average of 12 chemicals per fiscal year will be added to the </w:t>
      </w:r>
      <w:r w:rsidRPr="5F135418" w:rsidR="1D794571">
        <w:rPr>
          <w:rFonts w:ascii="Calibri" w:hAnsi="Calibri" w:cs="Calibri"/>
          <w:color w:val="000000" w:themeColor="text1"/>
        </w:rPr>
        <w:t xml:space="preserve">TSCA </w:t>
      </w:r>
      <w:r w:rsidRPr="5F135418">
        <w:rPr>
          <w:rFonts w:ascii="Calibri" w:hAnsi="Calibri" w:cs="Calibri"/>
          <w:color w:val="000000" w:themeColor="text1"/>
        </w:rPr>
        <w:t>section 8(d) list. Based on the average number of firms impacted since 1996, EPA expects 75 chemical manufacturers and importers to be affected per year by this ICR (Table 13).</w:t>
      </w:r>
    </w:p>
    <w:p w:rsidR="00D83178" w:rsidRPr="00962957" w:rsidP="00D83178" w14:paraId="0BCA9938" w14:textId="77777777">
      <w:pPr>
        <w:pStyle w:val="ListParagraph"/>
        <w:widowControl w:val="0"/>
        <w:ind w:left="0"/>
        <w:rPr>
          <w:rFonts w:ascii="Calibri" w:hAnsi="Calibri" w:cs="Calibri"/>
          <w:bCs/>
          <w:color w:val="000000"/>
          <w:szCs w:val="24"/>
        </w:rPr>
      </w:pPr>
    </w:p>
    <w:p w:rsidR="00D83178" w:rsidRPr="00962957" w:rsidP="00D83178" w14:paraId="7664BC7A" w14:textId="344F1DC4">
      <w:pPr>
        <w:pStyle w:val="ListParagraph"/>
        <w:widowControl w:val="0"/>
        <w:ind w:left="0"/>
        <w:rPr>
          <w:rFonts w:ascii="Calibri" w:hAnsi="Calibri" w:cs="Calibri"/>
          <w:color w:val="000000" w:themeColor="text1"/>
        </w:rPr>
      </w:pPr>
      <w:r w:rsidRPr="21B32037">
        <w:rPr>
          <w:rFonts w:ascii="Calibri" w:hAnsi="Calibri" w:cs="Calibri"/>
          <w:color w:val="000000"/>
        </w:rPr>
        <w:t>Based on the reporting bas</w:t>
      </w:r>
      <w:r w:rsidRPr="731991B1">
        <w:rPr>
          <w:rFonts w:ascii="Calibri" w:hAnsi="Calibri" w:cs="Calibri"/>
          <w:color w:val="000000" w:themeColor="text1"/>
        </w:rPr>
        <w:t>i</w:t>
      </w:r>
      <w:r w:rsidRPr="21B32037">
        <w:rPr>
          <w:rFonts w:ascii="Calibri" w:hAnsi="Calibri" w:cs="Calibri"/>
          <w:color w:val="000000"/>
        </w:rPr>
        <w:t xml:space="preserve">s stated </w:t>
      </w:r>
      <w:r w:rsidRPr="731991B1">
        <w:rPr>
          <w:rFonts w:ascii="Calibri" w:hAnsi="Calibri" w:cs="Calibri"/>
          <w:color w:val="000000" w:themeColor="text1"/>
        </w:rPr>
        <w:t>i</w:t>
      </w:r>
      <w:r w:rsidRPr="21B32037">
        <w:rPr>
          <w:rFonts w:ascii="Calibri" w:hAnsi="Calibri" w:cs="Calibri"/>
          <w:color w:val="000000"/>
        </w:rPr>
        <w:t>n</w:t>
      </w:r>
      <w:r w:rsidRPr="21B32037">
        <w:rPr>
          <w:rFonts w:ascii="Calibri" w:hAnsi="Calibri" w:cs="Calibri"/>
          <w:color w:val="000000"/>
        </w:rPr>
        <w:fldChar w:fldCharType="begin"/>
      </w:r>
      <w:r w:rsidRPr="21B32037">
        <w:rPr>
          <w:rFonts w:ascii="Calibri" w:hAnsi="Calibri" w:cs="Calibri"/>
          <w:color w:val="000000"/>
        </w:rPr>
        <w:instrText xml:space="preserve"> REF _Ref96440159 \h  \* MERGEFORMAT </w:instrText>
      </w:r>
      <w:r w:rsidRPr="21B32037">
        <w:rPr>
          <w:rFonts w:ascii="Calibri" w:hAnsi="Calibri" w:cs="Calibri"/>
          <w:color w:val="000000"/>
        </w:rPr>
        <w:fldChar w:fldCharType="separate"/>
      </w:r>
      <w:r w:rsidRPr="21B32037">
        <w:rPr>
          <w:rFonts w:ascii="Calibri" w:hAnsi="Calibri" w:cs="Calibri"/>
          <w:color w:val="000000"/>
        </w:rPr>
        <w:fldChar w:fldCharType="end"/>
      </w:r>
      <w:r w:rsidRPr="731991B1">
        <w:rPr>
          <w:rFonts w:ascii="Calibri" w:hAnsi="Calibri" w:cs="Calibri"/>
          <w:color w:val="000000" w:themeColor="text1"/>
        </w:rPr>
        <w:t xml:space="preserve"> Table 1</w:t>
      </w:r>
      <w:r>
        <w:rPr>
          <w:rFonts w:ascii="Calibri" w:hAnsi="Calibri" w:cs="Calibri"/>
          <w:color w:val="000000" w:themeColor="text1"/>
        </w:rPr>
        <w:t>2</w:t>
      </w:r>
      <w:r w:rsidRPr="21B32037">
        <w:rPr>
          <w:rFonts w:ascii="Calibri" w:hAnsi="Calibri" w:cs="Calibri"/>
          <w:color w:val="000000"/>
        </w:rPr>
        <w:t xml:space="preserve">, EPA assumes that </w:t>
      </w:r>
      <w:r w:rsidRPr="731991B1">
        <w:rPr>
          <w:rFonts w:ascii="Calibri" w:hAnsi="Calibri" w:cs="Calibri"/>
          <w:color w:val="000000" w:themeColor="text1"/>
        </w:rPr>
        <w:t>43.1</w:t>
      </w:r>
      <w:r w:rsidRPr="21B32037">
        <w:rPr>
          <w:rFonts w:ascii="Calibri" w:hAnsi="Calibri" w:cs="Calibri"/>
          <w:color w:val="000000"/>
        </w:rPr>
        <w:t xml:space="preserve">% percent of the potentially affected manufacturers will submit studies each year, yielding </w:t>
      </w:r>
      <w:r w:rsidRPr="21B32037">
        <w:rPr>
          <w:rFonts w:ascii="Calibri" w:hAnsi="Calibri" w:cs="Calibri"/>
          <w:color w:val="000000" w:themeColor="text1"/>
        </w:rPr>
        <w:t>33</w:t>
      </w:r>
      <w:r w:rsidRPr="21B32037">
        <w:rPr>
          <w:rFonts w:ascii="Calibri" w:hAnsi="Calibri" w:cs="Calibri"/>
          <w:color w:val="000000"/>
        </w:rPr>
        <w:t xml:space="preserve"> firms submitting studies (0.</w:t>
      </w:r>
      <w:r w:rsidRPr="21B32037">
        <w:rPr>
          <w:rFonts w:ascii="Calibri" w:hAnsi="Calibri" w:cs="Calibri"/>
          <w:color w:val="000000" w:themeColor="text1"/>
        </w:rPr>
        <w:t>431</w:t>
      </w:r>
      <w:r w:rsidRPr="21B32037">
        <w:rPr>
          <w:rFonts w:ascii="Calibri" w:hAnsi="Calibri" w:cs="Calibri"/>
          <w:color w:val="000000"/>
        </w:rPr>
        <w:t xml:space="preserve"> * </w:t>
      </w:r>
      <w:r w:rsidRPr="21B32037">
        <w:rPr>
          <w:rFonts w:ascii="Calibri" w:hAnsi="Calibri" w:cs="Calibri"/>
          <w:color w:val="000000" w:themeColor="text1"/>
        </w:rPr>
        <w:t>75 firms</w:t>
      </w:r>
      <w:r w:rsidRPr="21B32037">
        <w:rPr>
          <w:rFonts w:ascii="Calibri" w:hAnsi="Calibri" w:cs="Calibri"/>
          <w:color w:val="000000"/>
        </w:rPr>
        <w:t>) and conduct</w:t>
      </w:r>
      <w:r w:rsidRPr="731991B1">
        <w:rPr>
          <w:rFonts w:ascii="Calibri" w:hAnsi="Calibri" w:cs="Calibri"/>
          <w:color w:val="000000" w:themeColor="text1"/>
        </w:rPr>
        <w:t>ing</w:t>
      </w:r>
      <w:r w:rsidRPr="21B32037">
        <w:rPr>
          <w:rFonts w:ascii="Calibri" w:hAnsi="Calibri" w:cs="Calibri"/>
          <w:color w:val="000000"/>
        </w:rPr>
        <w:t xml:space="preserve"> CBI review. Each firm is expected to submit a total of </w:t>
      </w:r>
      <w:r w:rsidRPr="731991B1">
        <w:rPr>
          <w:rFonts w:ascii="Calibri" w:hAnsi="Calibri" w:cs="Calibri"/>
          <w:color w:val="000000" w:themeColor="text1"/>
        </w:rPr>
        <w:t>174</w:t>
      </w:r>
      <w:r w:rsidRPr="21B32037">
        <w:rPr>
          <w:rFonts w:ascii="Calibri" w:hAnsi="Calibri" w:cs="Calibri"/>
          <w:color w:val="000000"/>
        </w:rPr>
        <w:t xml:space="preserve"> studies, yielding an estimated total of 5</w:t>
      </w:r>
      <w:r w:rsidR="007D4690">
        <w:rPr>
          <w:rFonts w:ascii="Calibri" w:hAnsi="Calibri" w:cs="Calibri"/>
          <w:color w:val="000000"/>
        </w:rPr>
        <w:t>,</w:t>
      </w:r>
      <w:r w:rsidRPr="731991B1">
        <w:rPr>
          <w:rFonts w:ascii="Calibri" w:hAnsi="Calibri" w:cs="Calibri"/>
          <w:color w:val="000000" w:themeColor="text1"/>
        </w:rPr>
        <w:t>7</w:t>
      </w:r>
      <w:r w:rsidRPr="21B32037">
        <w:rPr>
          <w:rFonts w:ascii="Calibri" w:hAnsi="Calibri" w:cs="Calibri"/>
          <w:color w:val="000000"/>
        </w:rPr>
        <w:t>4</w:t>
      </w:r>
      <w:r w:rsidRPr="731991B1">
        <w:rPr>
          <w:rFonts w:ascii="Calibri" w:hAnsi="Calibri" w:cs="Calibri"/>
          <w:color w:val="000000" w:themeColor="text1"/>
        </w:rPr>
        <w:t>2</w:t>
      </w:r>
      <w:r w:rsidRPr="21B32037">
        <w:rPr>
          <w:rFonts w:ascii="Calibri" w:hAnsi="Calibri" w:cs="Calibri"/>
          <w:color w:val="000000"/>
        </w:rPr>
        <w:t xml:space="preserve"> studies annually (</w:t>
      </w:r>
      <w:r w:rsidRPr="731991B1">
        <w:rPr>
          <w:rFonts w:ascii="Calibri" w:hAnsi="Calibri" w:cs="Calibri"/>
          <w:color w:val="000000" w:themeColor="text1"/>
        </w:rPr>
        <w:t>33</w:t>
      </w:r>
      <w:r w:rsidRPr="21B32037">
        <w:rPr>
          <w:rFonts w:ascii="Calibri" w:hAnsi="Calibri" w:cs="Calibri"/>
          <w:color w:val="000000"/>
        </w:rPr>
        <w:t xml:space="preserve"> firms * </w:t>
      </w:r>
      <w:r w:rsidRPr="21B32037">
        <w:rPr>
          <w:rFonts w:ascii="Calibri" w:hAnsi="Calibri" w:cs="Calibri"/>
          <w:color w:val="000000" w:themeColor="text1"/>
        </w:rPr>
        <w:t>174</w:t>
      </w:r>
      <w:r w:rsidRPr="21B32037">
        <w:rPr>
          <w:rFonts w:ascii="Calibri" w:hAnsi="Calibri" w:cs="Calibri"/>
          <w:color w:val="000000"/>
        </w:rPr>
        <w:t xml:space="preserve"> studies per firm). A total of </w:t>
      </w:r>
      <w:r w:rsidRPr="731991B1">
        <w:rPr>
          <w:rFonts w:ascii="Calibri" w:hAnsi="Calibri" w:cs="Calibri"/>
          <w:color w:val="000000" w:themeColor="text1"/>
        </w:rPr>
        <w:t>6</w:t>
      </w:r>
      <w:r w:rsidRPr="21B32037">
        <w:rPr>
          <w:rFonts w:ascii="Calibri" w:hAnsi="Calibri" w:cs="Calibri"/>
          <w:color w:val="000000"/>
        </w:rPr>
        <w:t xml:space="preserve">% of the studies are expected to contain robust summaries, yielding a total of 10 robust summaries per firm (174 studies * 0.06, and rounding up to 10); and approximately 10 firms (14% of 75 firms) is estimated to submit a second response (for a newly initiated or ongoing study) after the reporting period ends. </w:t>
      </w:r>
    </w:p>
    <w:p w:rsidR="00D83178" w:rsidRPr="00962957" w:rsidP="00D83178" w14:paraId="119F8AEF" w14:textId="77777777">
      <w:pPr>
        <w:pStyle w:val="ListParagraph"/>
        <w:widowControl w:val="0"/>
        <w:ind w:left="0"/>
        <w:rPr>
          <w:rFonts w:ascii="Calibri" w:hAnsi="Calibri" w:cs="Calibri"/>
          <w:bCs/>
          <w:color w:val="000000"/>
          <w:szCs w:val="24"/>
        </w:rPr>
      </w:pPr>
    </w:p>
    <w:p w:rsidR="007E2E3C" w:rsidRPr="00962957" w:rsidP="007E2E3C" w14:paraId="02E59AE1" w14:textId="0C894604">
      <w:pPr>
        <w:pStyle w:val="ListParagraph"/>
        <w:widowControl w:val="0"/>
        <w:ind w:left="0"/>
        <w:rPr>
          <w:rFonts w:ascii="Calibri" w:hAnsi="Calibri" w:cs="Calibri"/>
          <w:color w:val="000000"/>
          <w:szCs w:val="24"/>
        </w:rPr>
      </w:pPr>
      <w:r w:rsidRPr="21B32037">
        <w:rPr>
          <w:rFonts w:ascii="Calibri" w:hAnsi="Calibri" w:cs="Calibri"/>
          <w:color w:val="000000" w:themeColor="text1"/>
        </w:rPr>
        <w:t>The number of firms estimated to engage in the various reporting activities is summarized in Table 1</w:t>
      </w:r>
      <w:r>
        <w:rPr>
          <w:rFonts w:ascii="Calibri" w:hAnsi="Calibri" w:cs="Calibri"/>
          <w:color w:val="000000" w:themeColor="text1"/>
        </w:rPr>
        <w:t>3</w:t>
      </w:r>
      <w:r w:rsidRPr="21B32037">
        <w:rPr>
          <w:rFonts w:ascii="Calibri" w:hAnsi="Calibri" w:cs="Calibri"/>
          <w:color w:val="000000" w:themeColor="text1"/>
        </w:rPr>
        <w:t>. Note that not all respondents incur every aspect of reporting burden.</w:t>
      </w:r>
    </w:p>
    <w:p w:rsidR="007E2E3C" w:rsidRPr="00962957" w:rsidP="00D83178" w14:paraId="0F6F85C7" w14:textId="1C695402">
      <w:pPr>
        <w:pStyle w:val="Caption"/>
        <w:spacing w:before="0"/>
        <w:outlineLvl w:val="9"/>
        <w:rPr>
          <w:rFonts w:ascii="Calibri" w:hAnsi="Calibri" w:cs="Calibri"/>
          <w:bCs w:val="0"/>
          <w:color w:val="000000"/>
          <w:szCs w:val="24"/>
        </w:rPr>
      </w:pPr>
      <w:r w:rsidRPr="00962957">
        <w:rPr>
          <w:rFonts w:ascii="Calibri" w:hAnsi="Calibri" w:cs="Calibri"/>
        </w:rPr>
        <w:t xml:space="preserve">Table </w:t>
      </w:r>
      <w:r w:rsidRPr="00962957" w:rsidR="00D83178">
        <w:rPr>
          <w:rFonts w:ascii="Calibri" w:hAnsi="Calibri" w:cs="Calibri"/>
        </w:rPr>
        <w:fldChar w:fldCharType="begin"/>
      </w:r>
      <w:r w:rsidRPr="00962957" w:rsidR="00D83178">
        <w:rPr>
          <w:rFonts w:ascii="Calibri" w:hAnsi="Calibri" w:cs="Calibri"/>
        </w:rPr>
        <w:instrText>SEQ Table \* ARABIC</w:instrText>
      </w:r>
      <w:r w:rsidRPr="00962957" w:rsidR="00D83178">
        <w:rPr>
          <w:rFonts w:ascii="Calibri" w:hAnsi="Calibri" w:cs="Calibri"/>
        </w:rPr>
        <w:fldChar w:fldCharType="separate"/>
      </w:r>
      <w:r w:rsidRPr="00962957" w:rsidR="00D83178">
        <w:rPr>
          <w:rFonts w:ascii="Calibri" w:hAnsi="Calibri" w:cs="Calibri"/>
          <w:noProof/>
        </w:rPr>
        <w:t>1</w:t>
      </w:r>
      <w:r w:rsidRPr="00962957" w:rsidR="00D83178">
        <w:rPr>
          <w:rFonts w:ascii="Calibri" w:hAnsi="Calibri" w:cs="Calibri"/>
        </w:rPr>
        <w:fldChar w:fldCharType="end"/>
      </w:r>
      <w:r w:rsidR="00D83178">
        <w:rPr>
          <w:rFonts w:ascii="Calibri" w:hAnsi="Calibri" w:cs="Calibri"/>
        </w:rPr>
        <w:t>3</w:t>
      </w:r>
      <w:r w:rsidRPr="00962957">
        <w:rPr>
          <w:rFonts w:ascii="Calibri" w:hAnsi="Calibri" w:cs="Calibri"/>
        </w:rPr>
        <w:t>. Number of Firms Affected per Year, by Activity (1</w:t>
      </w:r>
      <w:r w:rsidR="00297DEB">
        <w:rPr>
          <w:rFonts w:ascii="Calibri" w:hAnsi="Calibri" w:cs="Calibri"/>
        </w:rPr>
        <w:t>2</w:t>
      </w:r>
      <w:r w:rsidRPr="00962957">
        <w:rPr>
          <w:rFonts w:ascii="Calibri" w:hAnsi="Calibri" w:cs="Calibri"/>
        </w:rPr>
        <w:t xml:space="preserve"> Chemicals Added Per Year) TSCA Section 8(d)</w:t>
      </w:r>
      <w:r w:rsidRPr="00306F0B" w:rsidR="00306F0B">
        <w:t xml:space="preserve"> </w:t>
      </w:r>
    </w:p>
    <w:tbl>
      <w:tblPr>
        <w:tblW w:w="6210" w:type="dxa"/>
        <w:tblLook w:val="04A0"/>
      </w:tblPr>
      <w:tblGrid>
        <w:gridCol w:w="4185"/>
        <w:gridCol w:w="2025"/>
      </w:tblGrid>
      <w:tr w14:paraId="269059E9" w14:textId="77777777" w:rsidTr="2D725C34">
        <w:tblPrEx>
          <w:tblW w:w="6210" w:type="dxa"/>
          <w:tblLook w:val="04A0"/>
        </w:tblPrEx>
        <w:trPr>
          <w:trHeight w:val="450"/>
        </w:trPr>
        <w:tc>
          <w:tcPr>
            <w:tcW w:w="4185" w:type="dxa"/>
            <w:tcBorders>
              <w:top w:val="double" w:sz="6" w:space="0" w:color="auto"/>
              <w:left w:val="double" w:sz="6" w:space="0" w:color="auto"/>
              <w:bottom w:val="double" w:sz="6" w:space="0" w:color="auto"/>
              <w:right w:val="single" w:sz="4" w:space="0" w:color="auto"/>
            </w:tcBorders>
            <w:shd w:val="clear" w:color="auto" w:fill="D9D9D9" w:themeFill="accent6" w:themeFillShade="D9"/>
            <w:noWrap/>
            <w:vAlign w:val="center"/>
            <w:hideMark/>
          </w:tcPr>
          <w:p w:rsidR="007E2E3C" w:rsidRPr="00962957" w:rsidP="2D725C34" w14:paraId="446BD319" w14:textId="77777777">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Collection Activity</w:t>
            </w:r>
          </w:p>
        </w:tc>
        <w:tc>
          <w:tcPr>
            <w:tcW w:w="2025" w:type="dxa"/>
            <w:tcBorders>
              <w:top w:val="double" w:sz="6" w:space="0" w:color="auto"/>
              <w:left w:val="nil"/>
              <w:bottom w:val="double" w:sz="6" w:space="0" w:color="auto"/>
              <w:right w:val="double" w:sz="6" w:space="0" w:color="auto"/>
            </w:tcBorders>
            <w:shd w:val="clear" w:color="auto" w:fill="D9D9D9" w:themeFill="accent6" w:themeFillShade="D9"/>
            <w:vAlign w:val="center"/>
            <w:hideMark/>
          </w:tcPr>
          <w:p w:rsidR="007E2E3C" w:rsidRPr="00962957" w:rsidP="2D725C34" w14:paraId="778E3B92" w14:textId="77777777">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No. of Firms</w:t>
            </w:r>
          </w:p>
        </w:tc>
      </w:tr>
      <w:tr w14:paraId="0A3DA6F9" w14:textId="77777777" w:rsidTr="2D725C34">
        <w:tblPrEx>
          <w:tblW w:w="6210" w:type="dxa"/>
          <w:tblLook w:val="04A0"/>
        </w:tblPrEx>
        <w:trPr>
          <w:trHeight w:val="300"/>
        </w:trPr>
        <w:tc>
          <w:tcPr>
            <w:tcW w:w="418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D83178" w:rsidRPr="00962957" w:rsidP="2D725C34" w14:paraId="0AD5FB84"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Review of Rule</w:t>
            </w:r>
          </w:p>
        </w:tc>
        <w:tc>
          <w:tcPr>
            <w:tcW w:w="2025" w:type="dxa"/>
            <w:tcBorders>
              <w:top w:val="double" w:sz="6" w:space="0" w:color="auto"/>
              <w:left w:val="nil"/>
              <w:bottom w:val="single" w:sz="4" w:space="0" w:color="auto"/>
              <w:right w:val="double" w:sz="6" w:space="0" w:color="auto"/>
            </w:tcBorders>
            <w:shd w:val="clear" w:color="auto" w:fill="auto"/>
            <w:noWrap/>
            <w:vAlign w:val="bottom"/>
            <w:hideMark/>
          </w:tcPr>
          <w:p w:rsidR="00D83178" w:rsidRPr="00962957" w:rsidP="2D725C34" w14:paraId="4E1EAF73" w14:textId="67589DC5">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75</w:t>
            </w:r>
          </w:p>
        </w:tc>
      </w:tr>
      <w:tr w14:paraId="4EC8124D" w14:textId="77777777" w:rsidTr="00B2051D">
        <w:tblPrEx>
          <w:tblW w:w="6210" w:type="dxa"/>
          <w:tblLook w:val="04A0"/>
        </w:tblPrEx>
        <w:trPr>
          <w:trHeight w:val="315"/>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D83178" w:rsidRPr="00962957" w:rsidP="2D725C34" w14:paraId="7A3B49EA"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Site Identification</w:t>
            </w:r>
          </w:p>
        </w:tc>
        <w:tc>
          <w:tcPr>
            <w:tcW w:w="2025" w:type="dxa"/>
            <w:tcBorders>
              <w:top w:val="nil"/>
              <w:left w:val="nil"/>
              <w:bottom w:val="single" w:sz="4" w:space="0" w:color="auto"/>
              <w:right w:val="double" w:sz="6" w:space="0" w:color="auto"/>
            </w:tcBorders>
            <w:shd w:val="clear" w:color="auto" w:fill="auto"/>
            <w:noWrap/>
            <w:vAlign w:val="bottom"/>
            <w:hideMark/>
          </w:tcPr>
          <w:p w:rsidR="00D83178" w:rsidRPr="00962957" w:rsidP="2D725C34" w14:paraId="4F8F7D55" w14:textId="4DA9791D">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75</w:t>
            </w:r>
          </w:p>
        </w:tc>
      </w:tr>
      <w:tr w14:paraId="3672AC8E" w14:textId="77777777" w:rsidTr="00B2051D">
        <w:tblPrEx>
          <w:tblW w:w="6210" w:type="dxa"/>
          <w:tblLook w:val="04A0"/>
        </w:tblPrEx>
        <w:trPr>
          <w:trHeight w:val="315"/>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D83178" w:rsidRPr="00962957" w:rsidP="2D725C34" w14:paraId="6C72E771"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Site File Search</w:t>
            </w:r>
          </w:p>
        </w:tc>
        <w:tc>
          <w:tcPr>
            <w:tcW w:w="2025" w:type="dxa"/>
            <w:tcBorders>
              <w:top w:val="nil"/>
              <w:left w:val="nil"/>
              <w:bottom w:val="single" w:sz="4" w:space="0" w:color="auto"/>
              <w:right w:val="double" w:sz="6" w:space="0" w:color="auto"/>
            </w:tcBorders>
            <w:shd w:val="clear" w:color="auto" w:fill="auto"/>
            <w:noWrap/>
            <w:vAlign w:val="bottom"/>
            <w:hideMark/>
          </w:tcPr>
          <w:p w:rsidR="00D83178" w:rsidRPr="00962957" w:rsidP="2D725C34" w14:paraId="0F25C13B" w14:textId="7998329C">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75</w:t>
            </w:r>
          </w:p>
        </w:tc>
      </w:tr>
      <w:tr w14:paraId="171EF7BA" w14:textId="77777777" w:rsidTr="00B2051D">
        <w:tblPrEx>
          <w:tblW w:w="6210" w:type="dxa"/>
          <w:tblLook w:val="04A0"/>
        </w:tblPrEx>
        <w:trPr>
          <w:trHeight w:val="315"/>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D83178" w:rsidRPr="00962957" w:rsidP="2D725C34" w14:paraId="68529F4C"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 xml:space="preserve">Robust Summaries </w:t>
            </w:r>
          </w:p>
        </w:tc>
        <w:tc>
          <w:tcPr>
            <w:tcW w:w="2025" w:type="dxa"/>
            <w:tcBorders>
              <w:top w:val="nil"/>
              <w:left w:val="nil"/>
              <w:bottom w:val="single" w:sz="4" w:space="0" w:color="auto"/>
              <w:right w:val="double" w:sz="6" w:space="0" w:color="auto"/>
            </w:tcBorders>
            <w:shd w:val="clear" w:color="auto" w:fill="auto"/>
            <w:noWrap/>
            <w:vAlign w:val="bottom"/>
            <w:hideMark/>
          </w:tcPr>
          <w:p w:rsidR="00D83178" w:rsidRPr="00962957" w:rsidP="2D725C34" w14:paraId="44B60D09" w14:textId="5EDA8C25">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33</w:t>
            </w:r>
          </w:p>
        </w:tc>
      </w:tr>
      <w:tr w14:paraId="5C864793" w14:textId="77777777" w:rsidTr="00B2051D">
        <w:tblPrEx>
          <w:tblW w:w="6210" w:type="dxa"/>
          <w:tblLook w:val="04A0"/>
        </w:tblPrEx>
        <w:trPr>
          <w:trHeight w:val="315"/>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D83178" w:rsidRPr="00962957" w:rsidP="2D725C34" w14:paraId="1A124BCD"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CBI Review</w:t>
            </w:r>
          </w:p>
        </w:tc>
        <w:tc>
          <w:tcPr>
            <w:tcW w:w="2025" w:type="dxa"/>
            <w:tcBorders>
              <w:top w:val="nil"/>
              <w:left w:val="nil"/>
              <w:bottom w:val="single" w:sz="4" w:space="0" w:color="auto"/>
              <w:right w:val="double" w:sz="6" w:space="0" w:color="auto"/>
            </w:tcBorders>
            <w:shd w:val="clear" w:color="auto" w:fill="auto"/>
            <w:noWrap/>
            <w:vAlign w:val="bottom"/>
            <w:hideMark/>
          </w:tcPr>
          <w:p w:rsidR="00D83178" w:rsidRPr="00962957" w:rsidP="2D725C34" w14:paraId="4AF2B7E9" w14:textId="013F62DA">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33</w:t>
            </w:r>
          </w:p>
        </w:tc>
      </w:tr>
      <w:tr w14:paraId="0DCB2EED" w14:textId="77777777" w:rsidTr="00B2051D">
        <w:tblPrEx>
          <w:tblW w:w="6210" w:type="dxa"/>
          <w:tblLook w:val="04A0"/>
        </w:tblPrEx>
        <w:trPr>
          <w:trHeight w:val="368"/>
        </w:trPr>
        <w:tc>
          <w:tcPr>
            <w:tcW w:w="4185" w:type="dxa"/>
            <w:tcBorders>
              <w:top w:val="nil"/>
              <w:left w:val="double" w:sz="6" w:space="0" w:color="auto"/>
              <w:bottom w:val="double" w:sz="6" w:space="0" w:color="auto"/>
              <w:right w:val="single" w:sz="4" w:space="0" w:color="auto"/>
            </w:tcBorders>
            <w:shd w:val="clear" w:color="auto" w:fill="auto"/>
            <w:noWrap/>
            <w:vAlign w:val="bottom"/>
            <w:hideMark/>
          </w:tcPr>
          <w:p w:rsidR="00D83178" w:rsidRPr="00962957" w:rsidP="2D725C34" w14:paraId="2674BBC1"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Post-Reporting Period Submission</w:t>
            </w:r>
          </w:p>
        </w:tc>
        <w:tc>
          <w:tcPr>
            <w:tcW w:w="2025" w:type="dxa"/>
            <w:tcBorders>
              <w:top w:val="nil"/>
              <w:left w:val="nil"/>
              <w:bottom w:val="double" w:sz="6" w:space="0" w:color="auto"/>
              <w:right w:val="double" w:sz="6" w:space="0" w:color="auto"/>
            </w:tcBorders>
            <w:shd w:val="clear" w:color="auto" w:fill="auto"/>
            <w:noWrap/>
            <w:vAlign w:val="bottom"/>
            <w:hideMark/>
          </w:tcPr>
          <w:p w:rsidR="00D83178" w:rsidRPr="00962957" w:rsidP="2D725C34" w14:paraId="67539D6C" w14:textId="77BFFEE3">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5</w:t>
            </w:r>
          </w:p>
        </w:tc>
      </w:tr>
    </w:tbl>
    <w:p w:rsidR="007E2E3C" w:rsidRPr="00962957" w:rsidP="007E2E3C" w14:paraId="46D3E2C9" w14:textId="77777777">
      <w:pPr>
        <w:pStyle w:val="ListParagraph"/>
        <w:widowControl w:val="0"/>
        <w:ind w:left="1080"/>
        <w:rPr>
          <w:rFonts w:ascii="Calibri" w:hAnsi="Calibri" w:cs="Calibri"/>
          <w:color w:val="000000"/>
          <w:szCs w:val="24"/>
        </w:rPr>
      </w:pPr>
    </w:p>
    <w:p w:rsidR="007E2E3C" w:rsidP="007E2E3C" w14:paraId="49B004B2" w14:textId="5B9A9C43">
      <w:pPr>
        <w:pStyle w:val="ListParagraph"/>
        <w:widowControl w:val="0"/>
        <w:ind w:left="0"/>
        <w:rPr>
          <w:rFonts w:ascii="Calibri" w:hAnsi="Calibri" w:cs="Calibri"/>
          <w:color w:val="000000"/>
          <w:szCs w:val="24"/>
        </w:rPr>
      </w:pPr>
      <w:r w:rsidRPr="00962957">
        <w:rPr>
          <w:rFonts w:ascii="Calibri" w:hAnsi="Calibri" w:cs="Calibri"/>
          <w:color w:val="000000"/>
          <w:szCs w:val="24"/>
        </w:rPr>
        <w:t xml:space="preserve">The number of firms or studies described above is combined with the estimated average unit burden hours and wages </w:t>
      </w:r>
      <w:r w:rsidRPr="00962957">
        <w:rPr>
          <w:rFonts w:ascii="Calibri" w:hAnsi="Calibri" w:cs="Calibri"/>
          <w:color w:val="000000"/>
          <w:szCs w:val="24"/>
        </w:rPr>
        <w:fldChar w:fldCharType="begin"/>
      </w:r>
      <w:r w:rsidRPr="00962957">
        <w:rPr>
          <w:rFonts w:ascii="Calibri" w:hAnsi="Calibri" w:cs="Calibri"/>
          <w:color w:val="000000"/>
          <w:szCs w:val="24"/>
        </w:rPr>
        <w:instrText xml:space="preserve"> REF _Ref96440159 \h </w:instrText>
      </w:r>
      <w:r w:rsidR="00962957">
        <w:rPr>
          <w:rFonts w:ascii="Calibri" w:hAnsi="Calibri" w:cs="Calibri"/>
          <w:color w:val="000000"/>
          <w:szCs w:val="24"/>
        </w:rPr>
        <w:instrText xml:space="preserve"> \* MERGEFORMAT </w:instrText>
      </w:r>
      <w:r w:rsidRPr="00962957">
        <w:rPr>
          <w:rFonts w:ascii="Calibri" w:hAnsi="Calibri" w:cs="Calibri"/>
          <w:color w:val="000000"/>
          <w:szCs w:val="24"/>
        </w:rPr>
        <w:fldChar w:fldCharType="separate"/>
      </w:r>
      <w:r w:rsidRPr="00962957">
        <w:rPr>
          <w:rFonts w:ascii="Calibri" w:hAnsi="Calibri" w:cs="Calibri"/>
        </w:rPr>
        <w:t xml:space="preserve">Table </w:t>
      </w:r>
      <w:r w:rsidRPr="00962957">
        <w:rPr>
          <w:rFonts w:ascii="Calibri" w:hAnsi="Calibri" w:cs="Calibri"/>
          <w:noProof/>
        </w:rPr>
        <w:t>12</w:t>
      </w:r>
      <w:r w:rsidRPr="00962957">
        <w:rPr>
          <w:rFonts w:ascii="Calibri" w:hAnsi="Calibri" w:cs="Calibri"/>
          <w:color w:val="000000"/>
          <w:szCs w:val="24"/>
        </w:rPr>
        <w:fldChar w:fldCharType="end"/>
      </w:r>
      <w:r w:rsidRPr="00962957">
        <w:rPr>
          <w:rFonts w:ascii="Calibri" w:hAnsi="Calibri" w:cs="Calibri"/>
          <w:color w:val="000000"/>
          <w:szCs w:val="24"/>
        </w:rPr>
        <w:t xml:space="preserve"> and Table 1, respectively, to estimate the total burden hours and cost per year based on three types of response activities: searching files, submitting studies during the reporting period, and submitting studies after the reporting period. </w:t>
      </w:r>
    </w:p>
    <w:p w:rsidR="007E2E3C" w:rsidRPr="001843C5" w:rsidP="001843C5" w14:paraId="5C772301" w14:textId="232C0ABC">
      <w:pPr>
        <w:rPr>
          <w:rFonts w:ascii="Calibri" w:hAnsi="Calibri" w:cs="Calibri"/>
          <w:b/>
          <w:bCs/>
          <w:color w:val="000000" w:themeColor="text1"/>
        </w:rPr>
      </w:pPr>
      <w:bookmarkStart w:id="35" w:name="_Ref96441297"/>
      <w:r w:rsidRPr="001843C5">
        <w:rPr>
          <w:rFonts w:ascii="Calibri" w:hAnsi="Calibri" w:cs="Calibri"/>
          <w:b/>
          <w:bCs/>
        </w:rPr>
        <w:t xml:space="preserve">Table </w:t>
      </w:r>
      <w:bookmarkEnd w:id="35"/>
      <w:r w:rsidRPr="001843C5">
        <w:rPr>
          <w:rFonts w:ascii="Calibri" w:hAnsi="Calibri" w:cs="Calibri"/>
          <w:b/>
          <w:bCs/>
        </w:rPr>
        <w:t>1</w:t>
      </w:r>
      <w:r w:rsidRPr="001843C5" w:rsidR="00074165">
        <w:rPr>
          <w:rFonts w:ascii="Calibri" w:hAnsi="Calibri" w:cs="Calibri"/>
          <w:b/>
          <w:bCs/>
        </w:rPr>
        <w:t>4</w:t>
      </w:r>
      <w:r w:rsidRPr="001843C5">
        <w:rPr>
          <w:rFonts w:ascii="Calibri" w:hAnsi="Calibri" w:cs="Calibri"/>
          <w:b/>
          <w:bCs/>
        </w:rPr>
        <w:t>. Annual Respondent Burden Hour and Cost Estimates TSCA Section 8(d) (</w:t>
      </w:r>
      <w:r w:rsidRPr="001843C5" w:rsidR="00AD1195">
        <w:rPr>
          <w:rFonts w:ascii="Calibri" w:hAnsi="Calibri" w:cs="Calibri"/>
          <w:b/>
          <w:bCs/>
        </w:rPr>
        <w:t>2024</w:t>
      </w:r>
      <w:r w:rsidRPr="001843C5">
        <w:rPr>
          <w:rFonts w:ascii="Calibri" w:hAnsi="Calibri" w:cs="Calibri"/>
          <w:b/>
          <w:bCs/>
        </w:rPr>
        <w:t>$)</w:t>
      </w:r>
    </w:p>
    <w:tbl>
      <w:tblPr>
        <w:tblW w:w="9861" w:type="dxa"/>
        <w:tblLayout w:type="fixed"/>
        <w:tblCellMar>
          <w:top w:w="15" w:type="dxa"/>
          <w:bottom w:w="15" w:type="dxa"/>
        </w:tblCellMar>
        <w:tblLook w:val="04A0"/>
      </w:tblPr>
      <w:tblGrid>
        <w:gridCol w:w="1395"/>
        <w:gridCol w:w="1423"/>
        <w:gridCol w:w="1127"/>
        <w:gridCol w:w="1258"/>
        <w:gridCol w:w="1024"/>
        <w:gridCol w:w="1153"/>
        <w:gridCol w:w="1019"/>
        <w:gridCol w:w="1226"/>
        <w:gridCol w:w="236"/>
      </w:tblGrid>
      <w:tr w14:paraId="3E715A81" w14:textId="77777777" w:rsidTr="001F7E98">
        <w:tblPrEx>
          <w:tblW w:w="9861" w:type="dxa"/>
          <w:tblLayout w:type="fixed"/>
          <w:tblCellMar>
            <w:top w:w="15" w:type="dxa"/>
            <w:bottom w:w="15" w:type="dxa"/>
          </w:tblCellMar>
          <w:tblLook w:val="04A0"/>
        </w:tblPrEx>
        <w:trPr>
          <w:gridAfter w:val="1"/>
          <w:wAfter w:w="222" w:type="dxa"/>
          <w:trHeight w:val="780"/>
        </w:trPr>
        <w:tc>
          <w:tcPr>
            <w:tcW w:w="1397" w:type="dxa"/>
            <w:tcBorders>
              <w:top w:val="double" w:sz="6" w:space="0" w:color="000000" w:themeColor="text1"/>
              <w:left w:val="double" w:sz="6" w:space="0" w:color="000000" w:themeColor="text1"/>
              <w:bottom w:val="single" w:sz="4" w:space="0" w:color="auto"/>
              <w:right w:val="single" w:sz="8" w:space="0" w:color="auto"/>
            </w:tcBorders>
            <w:shd w:val="clear" w:color="auto" w:fill="D9D9D9" w:themeFill="accent6" w:themeFillShade="D9"/>
            <w:vAlign w:val="center"/>
            <w:hideMark/>
          </w:tcPr>
          <w:p w:rsidR="00AD1195" w:rsidRPr="00AD1195" w:rsidP="00AD1195" w14:paraId="05506745"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Information Collections</w:t>
            </w:r>
          </w:p>
        </w:tc>
        <w:tc>
          <w:tcPr>
            <w:tcW w:w="1425" w:type="dxa"/>
            <w:tcBorders>
              <w:top w:val="double" w:sz="6" w:space="0" w:color="000000" w:themeColor="text1"/>
              <w:left w:val="nil"/>
              <w:bottom w:val="single" w:sz="4" w:space="0" w:color="auto"/>
              <w:right w:val="single" w:sz="8" w:space="0" w:color="auto"/>
            </w:tcBorders>
            <w:shd w:val="clear" w:color="auto" w:fill="D9D9D9" w:themeFill="accent6" w:themeFillShade="D9"/>
            <w:vAlign w:val="center"/>
            <w:hideMark/>
          </w:tcPr>
          <w:p w:rsidR="00AD1195" w:rsidRPr="00AD1195" w:rsidP="00AD1195" w14:paraId="7896837A"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Response Activities</w:t>
            </w:r>
          </w:p>
        </w:tc>
        <w:tc>
          <w:tcPr>
            <w:tcW w:w="1129" w:type="dxa"/>
            <w:tcBorders>
              <w:top w:val="double" w:sz="6" w:space="0" w:color="000000" w:themeColor="text1"/>
              <w:left w:val="nil"/>
              <w:bottom w:val="single" w:sz="4" w:space="0" w:color="auto"/>
              <w:right w:val="single" w:sz="8" w:space="0" w:color="auto"/>
            </w:tcBorders>
            <w:shd w:val="clear" w:color="auto" w:fill="D9D9D9" w:themeFill="accent6" w:themeFillShade="D9"/>
            <w:vAlign w:val="center"/>
            <w:hideMark/>
          </w:tcPr>
          <w:p w:rsidR="00AD1195" w:rsidRPr="00AD1195" w:rsidP="00AD1195" w14:paraId="413ECF1D"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Burden per Response (Hours)</w:t>
            </w:r>
          </w:p>
        </w:tc>
        <w:tc>
          <w:tcPr>
            <w:tcW w:w="1260" w:type="dxa"/>
            <w:tcBorders>
              <w:top w:val="double" w:sz="6" w:space="0" w:color="000000" w:themeColor="text1"/>
              <w:left w:val="nil"/>
              <w:bottom w:val="single" w:sz="4" w:space="0" w:color="auto"/>
              <w:right w:val="single" w:sz="8" w:space="0" w:color="auto"/>
            </w:tcBorders>
            <w:shd w:val="clear" w:color="auto" w:fill="D9D9D9" w:themeFill="accent6" w:themeFillShade="D9"/>
            <w:vAlign w:val="center"/>
            <w:hideMark/>
          </w:tcPr>
          <w:p w:rsidR="00AD1195" w:rsidRPr="00AD1195" w:rsidP="00AD1195" w14:paraId="219C65AD"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Labor Category</w:t>
            </w:r>
          </w:p>
        </w:tc>
        <w:tc>
          <w:tcPr>
            <w:tcW w:w="1025" w:type="dxa"/>
            <w:tcBorders>
              <w:top w:val="double" w:sz="6" w:space="0" w:color="000000" w:themeColor="text1"/>
              <w:left w:val="nil"/>
              <w:bottom w:val="single" w:sz="4" w:space="0" w:color="auto"/>
              <w:right w:val="single" w:sz="8" w:space="0" w:color="auto"/>
            </w:tcBorders>
            <w:shd w:val="clear" w:color="auto" w:fill="D9D9D9" w:themeFill="accent6" w:themeFillShade="D9"/>
            <w:vAlign w:val="center"/>
            <w:hideMark/>
          </w:tcPr>
          <w:p w:rsidR="00AD1195" w:rsidRPr="00AD1195" w:rsidP="00AD1195" w14:paraId="07F56509"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Cost per Response</w:t>
            </w:r>
          </w:p>
        </w:tc>
        <w:tc>
          <w:tcPr>
            <w:tcW w:w="1155" w:type="dxa"/>
            <w:tcBorders>
              <w:top w:val="double" w:sz="6" w:space="0" w:color="000000" w:themeColor="text1"/>
              <w:left w:val="nil"/>
              <w:bottom w:val="single" w:sz="4" w:space="0" w:color="auto"/>
              <w:right w:val="single" w:sz="8" w:space="0" w:color="auto"/>
            </w:tcBorders>
            <w:shd w:val="clear" w:color="auto" w:fill="D9D9D9" w:themeFill="accent6" w:themeFillShade="D9"/>
            <w:vAlign w:val="center"/>
            <w:hideMark/>
          </w:tcPr>
          <w:p w:rsidR="00AD1195" w:rsidRPr="00AD1195" w:rsidP="00AD1195" w14:paraId="6C31ACCF"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Number of Responses</w:t>
            </w:r>
          </w:p>
        </w:tc>
        <w:tc>
          <w:tcPr>
            <w:tcW w:w="1020" w:type="dxa"/>
            <w:tcBorders>
              <w:top w:val="double" w:sz="6" w:space="0" w:color="000000" w:themeColor="text1"/>
              <w:left w:val="nil"/>
              <w:bottom w:val="single" w:sz="4" w:space="0" w:color="auto"/>
              <w:right w:val="single" w:sz="8" w:space="0" w:color="auto"/>
            </w:tcBorders>
            <w:shd w:val="clear" w:color="auto" w:fill="D9D9D9" w:themeFill="accent6" w:themeFillShade="D9"/>
            <w:vAlign w:val="center"/>
            <w:hideMark/>
          </w:tcPr>
          <w:p w:rsidR="00AD1195" w:rsidRPr="00AD1195" w:rsidP="00AD1195" w14:paraId="48BF7749"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Total Burden (Hours)</w:t>
            </w:r>
          </w:p>
        </w:tc>
        <w:tc>
          <w:tcPr>
            <w:tcW w:w="1228" w:type="dxa"/>
            <w:tcBorders>
              <w:top w:val="double" w:sz="6" w:space="0" w:color="000000" w:themeColor="text1"/>
              <w:left w:val="nil"/>
              <w:bottom w:val="single" w:sz="4" w:space="0" w:color="auto"/>
              <w:right w:val="double" w:sz="6" w:space="0" w:color="000000" w:themeColor="text1"/>
            </w:tcBorders>
            <w:shd w:val="clear" w:color="auto" w:fill="D9D9D9" w:themeFill="accent6" w:themeFillShade="D9"/>
            <w:vAlign w:val="center"/>
            <w:hideMark/>
          </w:tcPr>
          <w:p w:rsidR="00AD1195" w:rsidRPr="00AD1195" w:rsidP="00AD1195" w14:paraId="74500F8C"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Total Cost</w:t>
            </w:r>
          </w:p>
        </w:tc>
      </w:tr>
      <w:tr w14:paraId="7D2FC5DF" w14:textId="77777777" w:rsidTr="001F7E98">
        <w:tblPrEx>
          <w:tblW w:w="9861" w:type="dxa"/>
          <w:tblLayout w:type="fixed"/>
          <w:tblCellMar>
            <w:top w:w="15" w:type="dxa"/>
            <w:bottom w:w="15" w:type="dxa"/>
          </w:tblCellMar>
          <w:tblLook w:val="04A0"/>
        </w:tblPrEx>
        <w:trPr>
          <w:gridAfter w:val="1"/>
          <w:wAfter w:w="222" w:type="dxa"/>
          <w:trHeight w:val="458"/>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DA9EF64"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Compliance determination and data search</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B5191B8"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Rule review</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34FF0C6"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2</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CD4A6DC"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51211FA"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$40,463 </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148654E"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75</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163581A"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36,523 </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B378D2C"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$3,053,400 </w:t>
            </w:r>
          </w:p>
        </w:tc>
      </w:tr>
      <w:tr w14:paraId="547F6559"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CC6EF1A"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6CF9248"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42BCC31"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F454D30"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0AF1F08"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9461B4B"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191FE96"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8E0ACD8"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2E5380C2" w14:textId="77777777">
            <w:pPr>
              <w:spacing w:after="0" w:line="240" w:lineRule="auto"/>
              <w:jc w:val="center"/>
              <w:rPr>
                <w:rFonts w:ascii="Calibri" w:eastAsia="Times New Roman" w:hAnsi="Calibri" w:cs="Calibri"/>
                <w:color w:val="000000"/>
                <w:sz w:val="20"/>
                <w:szCs w:val="20"/>
              </w:rPr>
            </w:pPr>
          </w:p>
        </w:tc>
      </w:tr>
      <w:tr w14:paraId="722E053A" w14:textId="77777777" w:rsidTr="001F7E98">
        <w:tblPrEx>
          <w:tblW w:w="9861" w:type="dxa"/>
          <w:tblLayout w:type="fixed"/>
          <w:tblCellMar>
            <w:top w:w="15" w:type="dxa"/>
            <w:bottom w:w="15" w:type="dxa"/>
          </w:tblCellMar>
          <w:tblLook w:val="04A0"/>
        </w:tblPrEx>
        <w:trPr>
          <w:trHeight w:val="28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65FDD20" w14:textId="77777777">
            <w:pPr>
              <w:spacing w:after="0" w:line="240" w:lineRule="auto"/>
              <w:rPr>
                <w:rFonts w:ascii="Calibri" w:eastAsia="Times New Roman" w:hAnsi="Calibri" w:cs="Calibri"/>
                <w:color w:val="000000"/>
                <w:sz w:val="20"/>
                <w:szCs w:val="20"/>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6B2EDA5"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Site Identification </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9537E53"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3221683"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DC669B3"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FD19DCB"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79F3D33"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2FBC02B"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7F080829" w14:textId="77777777">
            <w:pPr>
              <w:spacing w:after="0" w:line="240" w:lineRule="auto"/>
              <w:rPr>
                <w:rFonts w:ascii="Times New Roman" w:eastAsia="Times New Roman" w:hAnsi="Times New Roman" w:cs="Times New Roman"/>
                <w:sz w:val="20"/>
                <w:szCs w:val="20"/>
              </w:rPr>
            </w:pPr>
          </w:p>
        </w:tc>
      </w:tr>
      <w:tr w14:paraId="18435EA1"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A8B777B"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3739BCE"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52CD374"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3B8C3A9"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236FEEB"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2DE2CA7"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063CDBF"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FD90961"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0449A4C9" w14:textId="77777777">
            <w:pPr>
              <w:spacing w:after="0" w:line="240" w:lineRule="auto"/>
              <w:jc w:val="center"/>
              <w:rPr>
                <w:rFonts w:ascii="Calibri" w:eastAsia="Times New Roman" w:hAnsi="Calibri" w:cs="Calibri"/>
                <w:color w:val="000000"/>
                <w:sz w:val="20"/>
                <w:szCs w:val="20"/>
              </w:rPr>
            </w:pPr>
          </w:p>
        </w:tc>
      </w:tr>
      <w:tr w14:paraId="5AF12006" w14:textId="77777777" w:rsidTr="001F7E98">
        <w:tblPrEx>
          <w:tblW w:w="9861" w:type="dxa"/>
          <w:tblLayout w:type="fixed"/>
          <w:tblCellMar>
            <w:top w:w="15" w:type="dxa"/>
            <w:bottom w:w="15" w:type="dxa"/>
          </w:tblCellMar>
          <w:tblLook w:val="04A0"/>
        </w:tblPrEx>
        <w:trPr>
          <w:trHeight w:val="28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B921563" w14:textId="77777777">
            <w:pPr>
              <w:spacing w:after="0" w:line="240" w:lineRule="auto"/>
              <w:rPr>
                <w:rFonts w:ascii="Calibri" w:eastAsia="Times New Roman" w:hAnsi="Calibri" w:cs="Calibri"/>
                <w:color w:val="000000"/>
                <w:sz w:val="20"/>
                <w:szCs w:val="20"/>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E4B5B11"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File Search</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BF18ECB"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479</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CFFBFA3"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Technical </w:t>
            </w:r>
            <w:r w:rsidRPr="00AD1195">
              <w:rPr>
                <w:rFonts w:ascii="Calibri" w:eastAsia="Times New Roman" w:hAnsi="Calibri" w:cs="Calibri"/>
                <w:color w:val="000000"/>
                <w:sz w:val="20"/>
                <w:szCs w:val="20"/>
              </w:rPr>
              <w:br/>
              <w:t>($83.54/hr)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A67AB68"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6276A6E"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12AD9E5"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3F62187"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6470EAEB" w14:textId="77777777">
            <w:pPr>
              <w:spacing w:after="0" w:line="240" w:lineRule="auto"/>
              <w:rPr>
                <w:rFonts w:ascii="Times New Roman" w:eastAsia="Times New Roman" w:hAnsi="Times New Roman" w:cs="Times New Roman"/>
                <w:sz w:val="20"/>
                <w:szCs w:val="20"/>
              </w:rPr>
            </w:pPr>
          </w:p>
        </w:tc>
      </w:tr>
      <w:tr w14:paraId="301CE209"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F665A2C"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49E3B93"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5605E55"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D0F93E1"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9A91700"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6E422EF"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91CECB0"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5B0E8D1"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6EE05B56" w14:textId="77777777">
            <w:pPr>
              <w:spacing w:after="0" w:line="240" w:lineRule="auto"/>
              <w:jc w:val="center"/>
              <w:rPr>
                <w:rFonts w:ascii="Calibri" w:eastAsia="Times New Roman" w:hAnsi="Calibri" w:cs="Calibri"/>
                <w:color w:val="000000"/>
                <w:sz w:val="20"/>
                <w:szCs w:val="20"/>
              </w:rPr>
            </w:pPr>
          </w:p>
        </w:tc>
      </w:tr>
      <w:tr w14:paraId="02062D66" w14:textId="77777777" w:rsidTr="001F7E98">
        <w:tblPrEx>
          <w:tblW w:w="9861" w:type="dxa"/>
          <w:tblLayout w:type="fixed"/>
          <w:tblCellMar>
            <w:top w:w="15" w:type="dxa"/>
            <w:bottom w:w="15" w:type="dxa"/>
          </w:tblCellMar>
          <w:tblLook w:val="04A0"/>
        </w:tblPrEx>
        <w:trPr>
          <w:trHeight w:val="285"/>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F184D68"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Submission of health and safety studies during the reporting period and CBI Substantiation </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25E7C54"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Robust summaries</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DD46B6C"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12</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929DDF6"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Technical </w:t>
            </w:r>
            <w:r w:rsidRPr="00AD1195">
              <w:rPr>
                <w:rFonts w:ascii="Calibri" w:eastAsia="Times New Roman" w:hAnsi="Calibri" w:cs="Calibri"/>
                <w:color w:val="000000"/>
                <w:sz w:val="20"/>
                <w:szCs w:val="20"/>
              </w:rPr>
              <w:br/>
              <w:t>($83.54/hr)</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634E408"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$26,402 </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61CF38D"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33</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8E4CF2" w14:paraId="7FB850BE" w14:textId="2AB29549">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9,785</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CFE9823"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$871,251 </w:t>
            </w:r>
          </w:p>
        </w:tc>
        <w:tc>
          <w:tcPr>
            <w:tcW w:w="222" w:type="dxa"/>
            <w:tcBorders>
              <w:left w:val="single" w:sz="4" w:space="0" w:color="auto"/>
            </w:tcBorders>
            <w:vAlign w:val="center"/>
            <w:hideMark/>
          </w:tcPr>
          <w:p w:rsidR="00AD1195" w:rsidRPr="00AD1195" w:rsidP="00AD1195" w14:paraId="2E1F4E28" w14:textId="77777777">
            <w:pPr>
              <w:spacing w:after="0" w:line="240" w:lineRule="auto"/>
              <w:rPr>
                <w:rFonts w:ascii="Times New Roman" w:eastAsia="Times New Roman" w:hAnsi="Times New Roman" w:cs="Times New Roman"/>
                <w:sz w:val="20"/>
                <w:szCs w:val="20"/>
              </w:rPr>
            </w:pPr>
          </w:p>
        </w:tc>
      </w:tr>
      <w:tr w14:paraId="0A1B6710"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20865DD"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738B7E3"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5F35FD3"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4AFEBC1"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BF43D9A"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3EC2BC3"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657CA8D"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10286F3"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78FFD856" w14:textId="77777777">
            <w:pPr>
              <w:spacing w:after="0" w:line="240" w:lineRule="auto"/>
              <w:jc w:val="center"/>
              <w:rPr>
                <w:rFonts w:ascii="Calibri" w:eastAsia="Times New Roman" w:hAnsi="Calibri" w:cs="Calibri"/>
                <w:color w:val="000000"/>
                <w:sz w:val="20"/>
                <w:szCs w:val="20"/>
              </w:rPr>
            </w:pPr>
          </w:p>
        </w:tc>
      </w:tr>
      <w:tr w14:paraId="47279680" w14:textId="77777777" w:rsidTr="001F7E98">
        <w:tblPrEx>
          <w:tblW w:w="9861" w:type="dxa"/>
          <w:tblLayout w:type="fixed"/>
          <w:tblCellMar>
            <w:top w:w="15" w:type="dxa"/>
            <w:bottom w:w="15" w:type="dxa"/>
          </w:tblCellMar>
          <w:tblLook w:val="04A0"/>
        </w:tblPrEx>
        <w:trPr>
          <w:trHeight w:val="28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84D8230" w14:textId="77777777">
            <w:pPr>
              <w:spacing w:after="0" w:line="240" w:lineRule="auto"/>
              <w:rPr>
                <w:rFonts w:ascii="Calibri" w:eastAsia="Times New Roman" w:hAnsi="Calibri" w:cs="Calibri"/>
                <w:color w:val="000000"/>
                <w:sz w:val="20"/>
                <w:szCs w:val="20"/>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088602D"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OECD Harmonized Templates</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ADE7809"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109</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3AFDB5E"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C7F86C8"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3627422"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30E0F27"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D67F3A1"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27FA44A1" w14:textId="77777777">
            <w:pPr>
              <w:spacing w:after="0" w:line="240" w:lineRule="auto"/>
              <w:rPr>
                <w:rFonts w:ascii="Times New Roman" w:eastAsia="Times New Roman" w:hAnsi="Times New Roman" w:cs="Times New Roman"/>
                <w:sz w:val="20"/>
                <w:szCs w:val="20"/>
              </w:rPr>
            </w:pPr>
          </w:p>
        </w:tc>
      </w:tr>
      <w:tr w14:paraId="6F07CB1E"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4C58750"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8E4E799"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095A2C3"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791E5EF"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32EEC86"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A349D54"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F8498C0"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CE4D3B2"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619A1440" w14:textId="77777777">
            <w:pPr>
              <w:spacing w:after="0" w:line="240" w:lineRule="auto"/>
              <w:jc w:val="center"/>
              <w:rPr>
                <w:rFonts w:ascii="Calibri" w:eastAsia="Times New Roman" w:hAnsi="Calibri" w:cs="Calibri"/>
                <w:color w:val="000000"/>
                <w:sz w:val="20"/>
                <w:szCs w:val="20"/>
              </w:rPr>
            </w:pPr>
          </w:p>
        </w:tc>
      </w:tr>
      <w:tr w14:paraId="33519E14" w14:textId="77777777" w:rsidTr="001F7E98">
        <w:tblPrEx>
          <w:tblW w:w="9861" w:type="dxa"/>
          <w:tblLayout w:type="fixed"/>
          <w:tblCellMar>
            <w:top w:w="15" w:type="dxa"/>
            <w:bottom w:w="15" w:type="dxa"/>
          </w:tblCellMar>
          <w:tblLook w:val="04A0"/>
        </w:tblPrEx>
        <w:trPr>
          <w:trHeight w:val="28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9081F02" w14:textId="77777777">
            <w:pPr>
              <w:spacing w:after="0" w:line="240" w:lineRule="auto"/>
              <w:rPr>
                <w:rFonts w:ascii="Calibri" w:eastAsia="Times New Roman" w:hAnsi="Calibri" w:cs="Calibri"/>
                <w:color w:val="000000"/>
                <w:sz w:val="20"/>
                <w:szCs w:val="20"/>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79A52C9"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CBI Review </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666D8AA"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174</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292BDF6"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28E55CA"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97E14E8"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4F4B8AF"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B5DF873"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5F113CAD" w14:textId="77777777">
            <w:pPr>
              <w:spacing w:after="0" w:line="240" w:lineRule="auto"/>
              <w:rPr>
                <w:rFonts w:ascii="Times New Roman" w:eastAsia="Times New Roman" w:hAnsi="Times New Roman" w:cs="Times New Roman"/>
                <w:sz w:val="20"/>
                <w:szCs w:val="20"/>
              </w:rPr>
            </w:pPr>
          </w:p>
        </w:tc>
      </w:tr>
      <w:tr w14:paraId="7020E079"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D2A27F3"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54B8871"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DBE37DC"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571C078"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7F1BBB9"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FBB730F"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539F1E5"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B01CA51"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7EBB3D05" w14:textId="77777777">
            <w:pPr>
              <w:spacing w:after="0" w:line="240" w:lineRule="auto"/>
              <w:jc w:val="center"/>
              <w:rPr>
                <w:rFonts w:ascii="Calibri" w:eastAsia="Times New Roman" w:hAnsi="Calibri" w:cs="Calibri"/>
                <w:color w:val="000000"/>
                <w:sz w:val="20"/>
                <w:szCs w:val="20"/>
              </w:rPr>
            </w:pPr>
          </w:p>
        </w:tc>
      </w:tr>
      <w:tr w14:paraId="09901D9F" w14:textId="77777777" w:rsidTr="001F7E98">
        <w:tblPrEx>
          <w:tblW w:w="9861" w:type="dxa"/>
          <w:tblLayout w:type="fixed"/>
          <w:tblCellMar>
            <w:top w:w="15" w:type="dxa"/>
            <w:bottom w:w="15" w:type="dxa"/>
          </w:tblCellMar>
          <w:tblLook w:val="04A0"/>
        </w:tblPrEx>
        <w:trPr>
          <w:trHeight w:val="28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850854F" w14:textId="77777777">
            <w:pPr>
              <w:spacing w:after="0" w:line="240" w:lineRule="auto"/>
              <w:rPr>
                <w:rFonts w:ascii="Calibri" w:eastAsia="Times New Roman" w:hAnsi="Calibri" w:cs="Calibri"/>
                <w:color w:val="000000"/>
                <w:sz w:val="20"/>
                <w:szCs w:val="20"/>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416EB37"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CBI Legal Review and Confidential Business Substantiation</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E4A4357"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0.75</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20660D0"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9BCB6F2"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7C34246"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8D25889"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89B6932"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0D1F6C73" w14:textId="77777777">
            <w:pPr>
              <w:spacing w:after="0" w:line="240" w:lineRule="auto"/>
              <w:rPr>
                <w:rFonts w:ascii="Times New Roman" w:eastAsia="Times New Roman" w:hAnsi="Times New Roman" w:cs="Times New Roman"/>
                <w:sz w:val="20"/>
                <w:szCs w:val="20"/>
              </w:rPr>
            </w:pPr>
          </w:p>
        </w:tc>
      </w:tr>
      <w:tr w14:paraId="103791A2"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8CD05D2"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C6537CE"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21AD70C"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AB8888D"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45B74F8"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3A34693"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9D7789A"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A3A87E2"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727BBE11" w14:textId="77777777">
            <w:pPr>
              <w:spacing w:after="0" w:line="240" w:lineRule="auto"/>
              <w:jc w:val="center"/>
              <w:rPr>
                <w:rFonts w:ascii="Calibri" w:eastAsia="Times New Roman" w:hAnsi="Calibri" w:cs="Calibri"/>
                <w:color w:val="000000"/>
                <w:sz w:val="20"/>
                <w:szCs w:val="20"/>
              </w:rPr>
            </w:pPr>
          </w:p>
        </w:tc>
      </w:tr>
      <w:tr w14:paraId="5E43B678"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EDAA647"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529D4FF" w14:textId="77777777">
            <w:pPr>
              <w:spacing w:after="0" w:line="240" w:lineRule="auto"/>
              <w:rPr>
                <w:rFonts w:ascii="Calibri" w:eastAsia="Times New Roman" w:hAnsi="Calibri" w:cs="Calibri"/>
                <w:color w:val="000000"/>
                <w:sz w:val="20"/>
                <w:szCs w:val="20"/>
              </w:rPr>
            </w:pP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0DD275C"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0.75</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F3BBD68"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Attorney </w:t>
            </w:r>
            <w:r w:rsidRPr="00AD1195">
              <w:rPr>
                <w:rFonts w:ascii="Calibri" w:eastAsia="Times New Roman" w:hAnsi="Calibri" w:cs="Calibri"/>
                <w:color w:val="000000"/>
                <w:sz w:val="20"/>
                <w:szCs w:val="20"/>
              </w:rPr>
              <w:br/>
              <w:t>($133.14/hr)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1DDEF1D"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A2AE515"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AA31D4B"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EA7755F"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794EC760" w14:textId="77777777">
            <w:pPr>
              <w:spacing w:after="0" w:line="240" w:lineRule="auto"/>
              <w:rPr>
                <w:rFonts w:ascii="Times New Roman" w:eastAsia="Times New Roman" w:hAnsi="Times New Roman" w:cs="Times New Roman"/>
                <w:sz w:val="20"/>
                <w:szCs w:val="20"/>
              </w:rPr>
            </w:pPr>
          </w:p>
        </w:tc>
      </w:tr>
      <w:tr w14:paraId="3D6E0A9C"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6BBF887"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43A3233"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7A4C297"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6CA028E"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ED0EA68"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FBD9C67"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82608BE"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62A1506"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07756345" w14:textId="77777777">
            <w:pPr>
              <w:spacing w:after="0" w:line="240" w:lineRule="auto"/>
              <w:jc w:val="center"/>
              <w:rPr>
                <w:rFonts w:ascii="Calibri" w:eastAsia="Times New Roman" w:hAnsi="Calibri" w:cs="Calibri"/>
                <w:color w:val="000000"/>
                <w:sz w:val="20"/>
                <w:szCs w:val="20"/>
              </w:rPr>
            </w:pPr>
          </w:p>
        </w:tc>
      </w:tr>
      <w:tr w14:paraId="4905EF97" w14:textId="77777777" w:rsidTr="001F7E98">
        <w:tblPrEx>
          <w:tblW w:w="9861" w:type="dxa"/>
          <w:tblLayout w:type="fixed"/>
          <w:tblCellMar>
            <w:top w:w="15" w:type="dxa"/>
            <w:bottom w:w="15" w:type="dxa"/>
          </w:tblCellMar>
          <w:tblLook w:val="04A0"/>
        </w:tblPrEx>
        <w:trPr>
          <w:trHeight w:val="285"/>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199D385"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Notification and submission of health and safety studies initiated and/or completed after the reporting period</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5546EC8"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Post-reporting period submission</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32AC3D9"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AA849D4"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525165F"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$89 </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AD7F182"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5</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958EE81"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5</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3C2A261"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$446 </w:t>
            </w:r>
          </w:p>
        </w:tc>
        <w:tc>
          <w:tcPr>
            <w:tcW w:w="222" w:type="dxa"/>
            <w:tcBorders>
              <w:left w:val="single" w:sz="4" w:space="0" w:color="auto"/>
            </w:tcBorders>
            <w:vAlign w:val="center"/>
            <w:hideMark/>
          </w:tcPr>
          <w:p w:rsidR="00AD1195" w:rsidRPr="00AD1195" w:rsidP="00AD1195" w14:paraId="1CDC4313" w14:textId="77777777">
            <w:pPr>
              <w:spacing w:after="0" w:line="240" w:lineRule="auto"/>
              <w:rPr>
                <w:rFonts w:ascii="Times New Roman" w:eastAsia="Times New Roman" w:hAnsi="Times New Roman" w:cs="Times New Roman"/>
                <w:sz w:val="20"/>
                <w:szCs w:val="20"/>
              </w:rPr>
            </w:pPr>
          </w:p>
        </w:tc>
      </w:tr>
      <w:tr w14:paraId="45F8D270" w14:textId="77777777" w:rsidTr="001F7E98">
        <w:tblPrEx>
          <w:tblW w:w="9861" w:type="dxa"/>
          <w:tblLayout w:type="fixed"/>
          <w:tblCellMar>
            <w:top w:w="15" w:type="dxa"/>
            <w:bottom w:w="15" w:type="dxa"/>
          </w:tblCellMar>
          <w:tblLook w:val="04A0"/>
        </w:tblPrEx>
        <w:trPr>
          <w:trHeight w:val="76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3C55CD6"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5871D36"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B78858B"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9A8190A"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0D54BB5"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1C625A2"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99EB19D"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8108DE2"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1E1FD345" w14:textId="77777777">
            <w:pPr>
              <w:spacing w:after="0" w:line="240" w:lineRule="auto"/>
              <w:jc w:val="center"/>
              <w:rPr>
                <w:rFonts w:ascii="Calibri" w:eastAsia="Times New Roman" w:hAnsi="Calibri" w:cs="Calibri"/>
                <w:color w:val="000000"/>
                <w:sz w:val="20"/>
                <w:szCs w:val="20"/>
              </w:rPr>
            </w:pPr>
          </w:p>
        </w:tc>
      </w:tr>
      <w:tr w14:paraId="2329E104" w14:textId="77777777" w:rsidTr="001F7E98">
        <w:tblPrEx>
          <w:tblW w:w="9861" w:type="dxa"/>
          <w:tblLayout w:type="fixed"/>
          <w:tblCellMar>
            <w:top w:w="15" w:type="dxa"/>
            <w:bottom w:w="15" w:type="dxa"/>
          </w:tblCellMar>
          <w:tblLook w:val="04A0"/>
        </w:tblPrEx>
        <w:trPr>
          <w:trHeight w:val="300"/>
        </w:trPr>
        <w:tc>
          <w:tcPr>
            <w:tcW w:w="6236" w:type="dxa"/>
            <w:gridSpan w:val="5"/>
            <w:tcBorders>
              <w:top w:val="single" w:sz="4" w:space="0" w:color="auto"/>
              <w:left w:val="double" w:sz="6" w:space="0" w:color="000000" w:themeColor="text1"/>
              <w:bottom w:val="single" w:sz="4" w:space="0" w:color="auto"/>
              <w:right w:val="nil"/>
            </w:tcBorders>
            <w:vAlign w:val="center"/>
            <w:hideMark/>
          </w:tcPr>
          <w:p w:rsidR="00AD1195" w:rsidRPr="00AD1195" w:rsidP="00AD1195" w14:paraId="75ADDA64" w14:textId="77777777">
            <w:pPr>
              <w:spacing w:after="0" w:line="240" w:lineRule="auto"/>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Subtotal</w:t>
            </w:r>
          </w:p>
        </w:tc>
        <w:tc>
          <w:tcPr>
            <w:tcW w:w="1155" w:type="dxa"/>
            <w:tcBorders>
              <w:top w:val="single" w:sz="4" w:space="0" w:color="auto"/>
              <w:left w:val="nil"/>
              <w:bottom w:val="single" w:sz="4" w:space="0" w:color="auto"/>
              <w:right w:val="single" w:sz="8" w:space="0" w:color="auto"/>
            </w:tcBorders>
            <w:vAlign w:val="center"/>
            <w:hideMark/>
          </w:tcPr>
          <w:p w:rsidR="00AD1195" w:rsidRPr="00AD1195" w:rsidP="00AD1195" w14:paraId="29A02803" w14:textId="77777777">
            <w:pPr>
              <w:spacing w:after="0" w:line="240" w:lineRule="auto"/>
              <w:rPr>
                <w:rFonts w:ascii="Calibri" w:eastAsia="Times New Roman" w:hAnsi="Calibri" w:cs="Calibri"/>
                <w:b/>
                <w:bCs/>
                <w:color w:val="000000"/>
                <w:sz w:val="20"/>
                <w:szCs w:val="20"/>
              </w:rPr>
            </w:pPr>
          </w:p>
        </w:tc>
        <w:tc>
          <w:tcPr>
            <w:tcW w:w="1020" w:type="dxa"/>
            <w:tcBorders>
              <w:top w:val="single" w:sz="4" w:space="0" w:color="auto"/>
              <w:left w:val="nil"/>
              <w:bottom w:val="single" w:sz="4" w:space="0" w:color="auto"/>
              <w:right w:val="single" w:sz="8" w:space="0" w:color="auto"/>
            </w:tcBorders>
            <w:vAlign w:val="center"/>
            <w:hideMark/>
          </w:tcPr>
          <w:p w:rsidR="00AD1195" w:rsidRPr="00AD1195" w:rsidP="00AD1195" w14:paraId="002BD455"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 xml:space="preserve">46,313 </w:t>
            </w:r>
          </w:p>
        </w:tc>
        <w:tc>
          <w:tcPr>
            <w:tcW w:w="1228" w:type="dxa"/>
            <w:tcBorders>
              <w:top w:val="single" w:sz="4" w:space="0" w:color="auto"/>
              <w:left w:val="nil"/>
              <w:bottom w:val="single" w:sz="4" w:space="0" w:color="auto"/>
              <w:right w:val="double" w:sz="6" w:space="0" w:color="000000" w:themeColor="text1"/>
            </w:tcBorders>
            <w:vAlign w:val="center"/>
            <w:hideMark/>
          </w:tcPr>
          <w:p w:rsidR="00AD1195" w:rsidRPr="00AD1195" w:rsidP="00AD1195" w14:paraId="2C7D812B"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 xml:space="preserve">$3,925,097 </w:t>
            </w:r>
          </w:p>
        </w:tc>
        <w:tc>
          <w:tcPr>
            <w:tcW w:w="222" w:type="dxa"/>
            <w:vAlign w:val="center"/>
            <w:hideMark/>
          </w:tcPr>
          <w:p w:rsidR="00AD1195" w:rsidRPr="00AD1195" w:rsidP="00AD1195" w14:paraId="65D1229D" w14:textId="77777777">
            <w:pPr>
              <w:spacing w:after="0" w:line="240" w:lineRule="auto"/>
              <w:rPr>
                <w:rFonts w:ascii="Times New Roman" w:eastAsia="Times New Roman" w:hAnsi="Times New Roman" w:cs="Times New Roman"/>
                <w:sz w:val="20"/>
                <w:szCs w:val="20"/>
              </w:rPr>
            </w:pPr>
          </w:p>
        </w:tc>
      </w:tr>
      <w:tr w14:paraId="6B3B88D6" w14:textId="77777777" w:rsidTr="001F7E98">
        <w:tblPrEx>
          <w:tblW w:w="9861" w:type="dxa"/>
          <w:tblLayout w:type="fixed"/>
          <w:tblCellMar>
            <w:top w:w="15" w:type="dxa"/>
            <w:bottom w:w="15" w:type="dxa"/>
          </w:tblCellMar>
          <w:tblLook w:val="04A0"/>
        </w:tblPrEx>
        <w:trPr>
          <w:trHeight w:val="300"/>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8AA1339" w14:textId="77777777">
            <w:pPr>
              <w:spacing w:after="0" w:line="240" w:lineRule="auto"/>
              <w:rPr>
                <w:rFonts w:ascii="Calibri" w:eastAsia="Times New Roman" w:hAnsi="Calibri" w:cs="Calibri"/>
                <w:color w:val="000000"/>
                <w:sz w:val="20"/>
                <w:szCs w:val="20"/>
              </w:rPr>
            </w:pPr>
            <w:r w:rsidRPr="00AD1195">
              <w:rPr>
                <w:rFonts w:ascii="Calibri" w:eastAsia="Times New Roman" w:hAnsi="Calibri" w:cs="Calibri"/>
                <w:color w:val="000000"/>
                <w:sz w:val="20"/>
                <w:szCs w:val="20"/>
              </w:rPr>
              <w:t>CDX Registration &amp; E-signature</w:t>
            </w:r>
          </w:p>
        </w:tc>
        <w:tc>
          <w:tcPr>
            <w:tcW w:w="1425" w:type="dxa"/>
            <w:vMerge w:val="restart"/>
            <w:tcBorders>
              <w:top w:val="single" w:sz="4" w:space="0" w:color="auto"/>
              <w:left w:val="single" w:sz="4" w:space="0" w:color="auto"/>
              <w:bottom w:val="single" w:sz="4" w:space="0" w:color="auto"/>
              <w:right w:val="single" w:sz="4" w:space="0" w:color="auto"/>
            </w:tcBorders>
            <w:noWrap/>
            <w:vAlign w:val="center"/>
            <w:hideMark/>
          </w:tcPr>
          <w:p w:rsidR="00AD1195" w:rsidRPr="00AD1195" w:rsidP="00AD1195" w14:paraId="4FB03119" w14:textId="77777777">
            <w:pPr>
              <w:spacing w:after="0" w:line="240" w:lineRule="auto"/>
              <w:rPr>
                <w:rFonts w:ascii="Calibri" w:eastAsia="Times New Roman" w:hAnsi="Calibri" w:cs="Calibri"/>
                <w:color w:val="000000"/>
                <w:sz w:val="20"/>
                <w:szCs w:val="20"/>
              </w:rPr>
            </w:pP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558592F"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0.93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9623665"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Managerial </w:t>
            </w:r>
            <w:r w:rsidRPr="00AD1195">
              <w:rPr>
                <w:rFonts w:ascii="Calibri" w:eastAsia="Times New Roman" w:hAnsi="Calibri" w:cs="Calibri"/>
                <w:color w:val="000000"/>
                <w:sz w:val="20"/>
                <w:szCs w:val="20"/>
              </w:rPr>
              <w:br/>
              <w:t>($89.16/hr)</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7CD7DC2"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$227 </w:t>
            </w:r>
          </w:p>
        </w:tc>
        <w:tc>
          <w:tcPr>
            <w:tcW w:w="1155" w:type="dxa"/>
            <w:vMerge w:val="restart"/>
            <w:tcBorders>
              <w:top w:val="single" w:sz="4" w:space="0" w:color="auto"/>
              <w:left w:val="single" w:sz="4" w:space="0" w:color="auto"/>
              <w:bottom w:val="single" w:sz="4" w:space="0" w:color="auto"/>
              <w:right w:val="single" w:sz="4" w:space="0" w:color="auto"/>
            </w:tcBorders>
            <w:noWrap/>
            <w:vAlign w:val="center"/>
            <w:hideMark/>
          </w:tcPr>
          <w:p w:rsidR="00AD1195" w:rsidRPr="00AD1195" w:rsidP="00AD1195" w14:paraId="515E56BD"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69</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rsidR="00AD1195" w:rsidRPr="00AD1195" w:rsidP="00AD1195" w14:paraId="2B3273A4"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184</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98B3265"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$15,694 </w:t>
            </w:r>
          </w:p>
        </w:tc>
        <w:tc>
          <w:tcPr>
            <w:tcW w:w="222" w:type="dxa"/>
            <w:tcBorders>
              <w:left w:val="single" w:sz="4" w:space="0" w:color="auto"/>
            </w:tcBorders>
            <w:vAlign w:val="center"/>
            <w:hideMark/>
          </w:tcPr>
          <w:p w:rsidR="00AD1195" w:rsidRPr="00AD1195" w:rsidP="00AD1195" w14:paraId="7C192208" w14:textId="77777777">
            <w:pPr>
              <w:spacing w:after="0" w:line="240" w:lineRule="auto"/>
              <w:rPr>
                <w:rFonts w:ascii="Times New Roman" w:eastAsia="Times New Roman" w:hAnsi="Times New Roman" w:cs="Times New Roman"/>
                <w:sz w:val="20"/>
                <w:szCs w:val="20"/>
              </w:rPr>
            </w:pPr>
          </w:p>
        </w:tc>
      </w:tr>
      <w:tr w14:paraId="51476CB8"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5FD645D"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5002FE8"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33AB53E"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E47DCD1"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5EF4133"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6A5245B"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870A74E"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4CF128F"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0707CCC6" w14:textId="77777777">
            <w:pPr>
              <w:spacing w:after="0" w:line="240" w:lineRule="auto"/>
              <w:jc w:val="center"/>
              <w:rPr>
                <w:rFonts w:ascii="Calibri" w:eastAsia="Times New Roman" w:hAnsi="Calibri" w:cs="Calibri"/>
                <w:color w:val="000000"/>
                <w:sz w:val="20"/>
                <w:szCs w:val="20"/>
              </w:rPr>
            </w:pPr>
          </w:p>
        </w:tc>
      </w:tr>
      <w:tr w14:paraId="191E1541" w14:textId="77777777" w:rsidTr="001F7E98">
        <w:tblPrEx>
          <w:tblW w:w="9861" w:type="dxa"/>
          <w:tblLayout w:type="fixed"/>
          <w:tblCellMar>
            <w:top w:w="15" w:type="dxa"/>
            <w:bottom w:w="15" w:type="dxa"/>
          </w:tblCellMar>
          <w:tblLook w:val="04A0"/>
        </w:tblPrEx>
        <w:trPr>
          <w:trHeight w:val="285"/>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C22AFCD"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9BF26F6" w14:textId="77777777">
            <w:pPr>
              <w:spacing w:after="0" w:line="240" w:lineRule="auto"/>
              <w:rPr>
                <w:rFonts w:ascii="Calibri" w:eastAsia="Times New Roman" w:hAnsi="Calibri" w:cs="Calibri"/>
                <w:color w:val="000000"/>
                <w:sz w:val="20"/>
                <w:szCs w:val="20"/>
              </w:rPr>
            </w:pP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5467CE3"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1.73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C320249" w14:textId="77777777">
            <w:pPr>
              <w:spacing w:after="0" w:line="240" w:lineRule="auto"/>
              <w:jc w:val="center"/>
              <w:rPr>
                <w:rFonts w:ascii="Calibri" w:eastAsia="Times New Roman" w:hAnsi="Calibri" w:cs="Calibri"/>
                <w:color w:val="000000"/>
                <w:sz w:val="20"/>
                <w:szCs w:val="20"/>
              </w:rPr>
            </w:pPr>
            <w:r w:rsidRPr="00AD1195">
              <w:rPr>
                <w:rFonts w:ascii="Calibri" w:eastAsia="Times New Roman" w:hAnsi="Calibri" w:cs="Calibri"/>
                <w:color w:val="000000"/>
                <w:sz w:val="20"/>
                <w:szCs w:val="20"/>
              </w:rPr>
              <w:t xml:space="preserve">Technical </w:t>
            </w:r>
            <w:r w:rsidRPr="00AD1195">
              <w:rPr>
                <w:rFonts w:ascii="Calibri" w:eastAsia="Times New Roman" w:hAnsi="Calibri" w:cs="Calibri"/>
                <w:color w:val="000000"/>
                <w:sz w:val="20"/>
                <w:szCs w:val="20"/>
              </w:rPr>
              <w:br/>
              <w:t>($83.54/hr)</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58E5A9F"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1377720"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7E20015"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42A1067" w14:textId="77777777">
            <w:pPr>
              <w:spacing w:after="0" w:line="240" w:lineRule="auto"/>
              <w:rPr>
                <w:rFonts w:ascii="Calibri" w:eastAsia="Times New Roman" w:hAnsi="Calibri" w:cs="Calibri"/>
                <w:color w:val="000000"/>
                <w:sz w:val="20"/>
                <w:szCs w:val="20"/>
              </w:rPr>
            </w:pPr>
          </w:p>
        </w:tc>
        <w:tc>
          <w:tcPr>
            <w:tcW w:w="222" w:type="dxa"/>
            <w:tcBorders>
              <w:left w:val="single" w:sz="4" w:space="0" w:color="auto"/>
            </w:tcBorders>
            <w:vAlign w:val="center"/>
            <w:hideMark/>
          </w:tcPr>
          <w:p w:rsidR="00AD1195" w:rsidRPr="00AD1195" w:rsidP="00AD1195" w14:paraId="4CC4131D" w14:textId="77777777">
            <w:pPr>
              <w:spacing w:after="0" w:line="240" w:lineRule="auto"/>
              <w:rPr>
                <w:rFonts w:ascii="Times New Roman" w:eastAsia="Times New Roman" w:hAnsi="Times New Roman" w:cs="Times New Roman"/>
                <w:sz w:val="20"/>
                <w:szCs w:val="20"/>
              </w:rPr>
            </w:pPr>
          </w:p>
        </w:tc>
      </w:tr>
      <w:tr w14:paraId="0109B3E1" w14:textId="77777777" w:rsidTr="001F7E98">
        <w:tblPrEx>
          <w:tblW w:w="9861" w:type="dxa"/>
          <w:tblLayout w:type="fixed"/>
          <w:tblCellMar>
            <w:top w:w="15" w:type="dxa"/>
            <w:bottom w:w="15" w:type="dxa"/>
          </w:tblCellMar>
          <w:tblLook w:val="04A0"/>
        </w:tblPrEx>
        <w:trPr>
          <w:trHeight w:val="30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22230A9" w14:textId="77777777">
            <w:pPr>
              <w:spacing w:after="0" w:line="240" w:lineRule="auto"/>
              <w:rPr>
                <w:rFonts w:ascii="Calibri" w:eastAsia="Times New Roman" w:hAnsi="Calibri" w:cs="Calibri"/>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64B19943" w14:textId="77777777">
            <w:pPr>
              <w:spacing w:after="0" w:line="240" w:lineRule="auto"/>
              <w:rPr>
                <w:rFonts w:ascii="Calibri" w:eastAsia="Times New Roman" w:hAnsi="Calibri" w:cs="Calibri"/>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0C517F54" w14:textId="77777777">
            <w:pPr>
              <w:spacing w:after="0" w:line="240" w:lineRule="auto"/>
              <w:rPr>
                <w:rFonts w:ascii="Calibri" w:eastAsia="Times New Roman" w:hAnsi="Calibri" w:cs="Calibri"/>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D8E60C8" w14:textId="77777777">
            <w:pPr>
              <w:spacing w:after="0" w:line="240" w:lineRule="auto"/>
              <w:rPr>
                <w:rFonts w:ascii="Calibri" w:eastAsia="Times New Roman" w:hAnsi="Calibri" w:cs="Calibri"/>
                <w:color w:val="000000"/>
                <w:sz w:val="20"/>
                <w:szCs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4A239306" w14:textId="77777777">
            <w:pPr>
              <w:spacing w:after="0" w:line="240" w:lineRule="auto"/>
              <w:rPr>
                <w:rFonts w:ascii="Calibri" w:eastAsia="Times New Roman" w:hAnsi="Calibri" w:cs="Calibri"/>
                <w:color w:val="00000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1CC3A20" w14:textId="77777777">
            <w:pPr>
              <w:spacing w:after="0" w:line="240" w:lineRule="auto"/>
              <w:rPr>
                <w:rFonts w:ascii="Calibri" w:eastAsia="Times New Roman" w:hAnsi="Calibri" w:cs="Calibri"/>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22DEBB83" w14:textId="77777777">
            <w:pPr>
              <w:spacing w:after="0" w:line="240" w:lineRule="auto"/>
              <w:rPr>
                <w:rFonts w:ascii="Calibri" w:eastAsia="Times New Roman" w:hAnsi="Calibri" w:cs="Calibri"/>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5CC5AEB" w14:textId="77777777">
            <w:pPr>
              <w:spacing w:after="0" w:line="240" w:lineRule="auto"/>
              <w:rPr>
                <w:rFonts w:ascii="Calibri" w:eastAsia="Times New Roman" w:hAnsi="Calibri" w:cs="Calibri"/>
                <w:color w:val="000000"/>
                <w:sz w:val="20"/>
                <w:szCs w:val="20"/>
              </w:rPr>
            </w:pPr>
          </w:p>
        </w:tc>
        <w:tc>
          <w:tcPr>
            <w:tcW w:w="222" w:type="dxa"/>
            <w:tcBorders>
              <w:top w:val="nil"/>
              <w:left w:val="single" w:sz="4" w:space="0" w:color="auto"/>
              <w:bottom w:val="nil"/>
              <w:right w:val="nil"/>
            </w:tcBorders>
            <w:noWrap/>
            <w:vAlign w:val="bottom"/>
            <w:hideMark/>
          </w:tcPr>
          <w:p w:rsidR="00AD1195" w:rsidRPr="00AD1195" w:rsidP="00AD1195" w14:paraId="1BC8CA68" w14:textId="77777777">
            <w:pPr>
              <w:spacing w:after="0" w:line="240" w:lineRule="auto"/>
              <w:jc w:val="center"/>
              <w:rPr>
                <w:rFonts w:ascii="Calibri" w:eastAsia="Times New Roman" w:hAnsi="Calibri" w:cs="Calibri"/>
                <w:color w:val="000000"/>
                <w:sz w:val="20"/>
                <w:szCs w:val="20"/>
              </w:rPr>
            </w:pPr>
          </w:p>
        </w:tc>
      </w:tr>
      <w:tr w14:paraId="451ED97E" w14:textId="77777777" w:rsidTr="001F7E98">
        <w:tblPrEx>
          <w:tblW w:w="9861" w:type="dxa"/>
          <w:tblLayout w:type="fixed"/>
          <w:tblCellMar>
            <w:top w:w="15" w:type="dxa"/>
            <w:bottom w:w="15" w:type="dxa"/>
          </w:tblCellMar>
          <w:tblLook w:val="04A0"/>
        </w:tblPrEx>
        <w:trPr>
          <w:trHeight w:val="300"/>
        </w:trPr>
        <w:tc>
          <w:tcPr>
            <w:tcW w:w="6236" w:type="dxa"/>
            <w:gridSpan w:val="5"/>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12BEDD43" w14:textId="77777777">
            <w:pPr>
              <w:spacing w:after="0" w:line="240" w:lineRule="auto"/>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Subtotal</w:t>
            </w:r>
          </w:p>
        </w:tc>
        <w:tc>
          <w:tcPr>
            <w:tcW w:w="1155" w:type="dxa"/>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3F3AFDE6" w14:textId="77777777">
            <w:pPr>
              <w:spacing w:after="0" w:line="240" w:lineRule="auto"/>
              <w:rPr>
                <w:rFonts w:ascii="Calibri" w:eastAsia="Times New Roman" w:hAnsi="Calibri" w:cs="Calibri"/>
                <w:b/>
                <w:bCs/>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552B40FD"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 xml:space="preserve">184 </w:t>
            </w:r>
          </w:p>
        </w:tc>
        <w:tc>
          <w:tcPr>
            <w:tcW w:w="1228" w:type="dxa"/>
            <w:tcBorders>
              <w:top w:val="single" w:sz="4" w:space="0" w:color="auto"/>
              <w:left w:val="single" w:sz="4" w:space="0" w:color="auto"/>
              <w:bottom w:val="single" w:sz="4" w:space="0" w:color="auto"/>
              <w:right w:val="single" w:sz="4" w:space="0" w:color="auto"/>
            </w:tcBorders>
            <w:vAlign w:val="center"/>
            <w:hideMark/>
          </w:tcPr>
          <w:p w:rsidR="00AD1195" w:rsidRPr="00AD1195" w:rsidP="00AD1195" w14:paraId="7768FAFB"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 xml:space="preserve">$15,694 </w:t>
            </w:r>
          </w:p>
        </w:tc>
        <w:tc>
          <w:tcPr>
            <w:tcW w:w="222" w:type="dxa"/>
            <w:tcBorders>
              <w:left w:val="single" w:sz="4" w:space="0" w:color="auto"/>
            </w:tcBorders>
            <w:vAlign w:val="center"/>
            <w:hideMark/>
          </w:tcPr>
          <w:p w:rsidR="00AD1195" w:rsidRPr="00AD1195" w:rsidP="00AD1195" w14:paraId="11715D8E" w14:textId="77777777">
            <w:pPr>
              <w:spacing w:after="0" w:line="240" w:lineRule="auto"/>
              <w:rPr>
                <w:rFonts w:ascii="Times New Roman" w:eastAsia="Times New Roman" w:hAnsi="Times New Roman" w:cs="Times New Roman"/>
                <w:sz w:val="20"/>
                <w:szCs w:val="20"/>
              </w:rPr>
            </w:pPr>
          </w:p>
        </w:tc>
      </w:tr>
      <w:tr w14:paraId="089FD9FD" w14:textId="77777777" w:rsidTr="001F7E98">
        <w:tblPrEx>
          <w:tblW w:w="9861" w:type="dxa"/>
          <w:tblLayout w:type="fixed"/>
          <w:tblCellMar>
            <w:top w:w="15" w:type="dxa"/>
            <w:bottom w:w="15" w:type="dxa"/>
          </w:tblCellMar>
          <w:tblLook w:val="04A0"/>
        </w:tblPrEx>
        <w:trPr>
          <w:trHeight w:val="300"/>
        </w:trPr>
        <w:tc>
          <w:tcPr>
            <w:tcW w:w="6236" w:type="dxa"/>
            <w:gridSpan w:val="5"/>
            <w:tcBorders>
              <w:top w:val="single" w:sz="4" w:space="0" w:color="auto"/>
              <w:left w:val="double" w:sz="6" w:space="0" w:color="000000" w:themeColor="text1"/>
              <w:bottom w:val="double" w:sz="6" w:space="0" w:color="000000" w:themeColor="text1"/>
              <w:right w:val="nil"/>
            </w:tcBorders>
            <w:vAlign w:val="center"/>
            <w:hideMark/>
          </w:tcPr>
          <w:p w:rsidR="00AD1195" w:rsidRPr="00AD1195" w:rsidP="00AD1195" w14:paraId="4B8A867F" w14:textId="77777777">
            <w:pPr>
              <w:spacing w:after="0" w:line="240" w:lineRule="auto"/>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Total</w:t>
            </w:r>
          </w:p>
        </w:tc>
        <w:tc>
          <w:tcPr>
            <w:tcW w:w="1155" w:type="dxa"/>
            <w:tcBorders>
              <w:top w:val="single" w:sz="4" w:space="0" w:color="auto"/>
              <w:left w:val="nil"/>
              <w:bottom w:val="double" w:sz="6" w:space="0" w:color="000000" w:themeColor="text1"/>
              <w:right w:val="single" w:sz="8" w:space="0" w:color="auto"/>
            </w:tcBorders>
            <w:vAlign w:val="center"/>
            <w:hideMark/>
          </w:tcPr>
          <w:p w:rsidR="00AD1195" w:rsidRPr="00AD1195" w:rsidP="00AD1195" w14:paraId="1C569A2B" w14:textId="77777777">
            <w:pPr>
              <w:spacing w:after="0" w:line="240" w:lineRule="auto"/>
              <w:rPr>
                <w:rFonts w:ascii="Calibri" w:eastAsia="Times New Roman" w:hAnsi="Calibri" w:cs="Calibri"/>
                <w:b/>
                <w:bCs/>
                <w:color w:val="000000"/>
                <w:sz w:val="20"/>
                <w:szCs w:val="20"/>
              </w:rPr>
            </w:pPr>
          </w:p>
        </w:tc>
        <w:tc>
          <w:tcPr>
            <w:tcW w:w="1020" w:type="dxa"/>
            <w:tcBorders>
              <w:top w:val="single" w:sz="4" w:space="0" w:color="auto"/>
              <w:left w:val="nil"/>
              <w:bottom w:val="double" w:sz="6" w:space="0" w:color="000000" w:themeColor="text1"/>
              <w:right w:val="single" w:sz="8" w:space="0" w:color="auto"/>
            </w:tcBorders>
            <w:vAlign w:val="center"/>
            <w:hideMark/>
          </w:tcPr>
          <w:p w:rsidR="00AD1195" w:rsidRPr="00AD1195" w:rsidP="00AD1195" w14:paraId="416529E7"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 xml:space="preserve">46,496 </w:t>
            </w:r>
          </w:p>
        </w:tc>
        <w:tc>
          <w:tcPr>
            <w:tcW w:w="1228" w:type="dxa"/>
            <w:tcBorders>
              <w:top w:val="single" w:sz="4" w:space="0" w:color="auto"/>
              <w:left w:val="nil"/>
              <w:bottom w:val="double" w:sz="6" w:space="0" w:color="000000" w:themeColor="text1"/>
              <w:right w:val="double" w:sz="6" w:space="0" w:color="000000" w:themeColor="text1"/>
            </w:tcBorders>
            <w:vAlign w:val="center"/>
            <w:hideMark/>
          </w:tcPr>
          <w:p w:rsidR="00AD1195" w:rsidRPr="00AD1195" w:rsidP="00AD1195" w14:paraId="61056B4B" w14:textId="77777777">
            <w:pPr>
              <w:spacing w:after="0" w:line="240" w:lineRule="auto"/>
              <w:jc w:val="center"/>
              <w:rPr>
                <w:rFonts w:ascii="Calibri" w:eastAsia="Times New Roman" w:hAnsi="Calibri" w:cs="Calibri"/>
                <w:b/>
                <w:bCs/>
                <w:color w:val="000000"/>
                <w:sz w:val="20"/>
                <w:szCs w:val="20"/>
              </w:rPr>
            </w:pPr>
            <w:r w:rsidRPr="00AD1195">
              <w:rPr>
                <w:rFonts w:ascii="Calibri" w:eastAsia="Times New Roman" w:hAnsi="Calibri" w:cs="Calibri"/>
                <w:b/>
                <w:bCs/>
                <w:color w:val="000000"/>
                <w:sz w:val="20"/>
                <w:szCs w:val="20"/>
              </w:rPr>
              <w:t xml:space="preserve">$3,940,791 </w:t>
            </w:r>
          </w:p>
        </w:tc>
        <w:tc>
          <w:tcPr>
            <w:tcW w:w="222" w:type="dxa"/>
            <w:vAlign w:val="center"/>
            <w:hideMark/>
          </w:tcPr>
          <w:p w:rsidR="00AD1195" w:rsidRPr="00AD1195" w:rsidP="00AD1195" w14:paraId="27F1F710" w14:textId="77777777">
            <w:pPr>
              <w:spacing w:after="0" w:line="240" w:lineRule="auto"/>
              <w:rPr>
                <w:rFonts w:ascii="Times New Roman" w:eastAsia="Times New Roman" w:hAnsi="Times New Roman" w:cs="Times New Roman"/>
                <w:sz w:val="20"/>
                <w:szCs w:val="20"/>
              </w:rPr>
            </w:pPr>
          </w:p>
        </w:tc>
      </w:tr>
    </w:tbl>
    <w:p w:rsidR="00AD1195" w:rsidRPr="00962957" w:rsidP="007E2E3C" w14:paraId="4E889C85" w14:textId="77777777">
      <w:pPr>
        <w:pStyle w:val="ListParagraph"/>
        <w:ind w:left="0"/>
        <w:rPr>
          <w:rFonts w:ascii="Calibri" w:hAnsi="Calibri" w:cs="Calibri"/>
          <w:b/>
          <w:color w:val="000000"/>
          <w:szCs w:val="24"/>
        </w:rPr>
      </w:pPr>
    </w:p>
    <w:p w:rsidR="00074165" w:rsidRPr="00962957" w:rsidP="00074165" w14:paraId="6DB29153" w14:textId="14A90981">
      <w:pPr>
        <w:pStyle w:val="ListParagraph"/>
        <w:widowControl w:val="0"/>
        <w:ind w:left="0"/>
        <w:rPr>
          <w:rFonts w:ascii="Calibri" w:hAnsi="Calibri" w:cs="Calibri"/>
          <w:color w:val="000000"/>
        </w:rPr>
      </w:pPr>
      <w:r w:rsidRPr="3727C624">
        <w:rPr>
          <w:rFonts w:ascii="Calibri" w:hAnsi="Calibri" w:cs="Calibri"/>
          <w:color w:val="000000" w:themeColor="text1"/>
        </w:rPr>
        <w:t xml:space="preserve">A typical firm submitting a response is conservatively estimated to engage in review of the rule, site identification, site file search, preparing study title lists, </w:t>
      </w:r>
      <w:r w:rsidRPr="3B35C48A">
        <w:rPr>
          <w:rFonts w:ascii="Calibri" w:hAnsi="Calibri" w:cs="Calibri"/>
          <w:color w:val="000000" w:themeColor="text1"/>
        </w:rPr>
        <w:t>preparing OHTs, CBI</w:t>
      </w:r>
      <w:r w:rsidRPr="3727C624">
        <w:rPr>
          <w:rFonts w:ascii="Calibri" w:hAnsi="Calibri" w:cs="Calibri"/>
          <w:color w:val="000000" w:themeColor="text1"/>
        </w:rPr>
        <w:t xml:space="preserve"> review, CBI substantiation, and possibly submit a robust summary and/or a post-reporting period submission. Assuming 12 chemicals per year are added to the TSCA section 8(d), including the added CBI substantiation, the average annual burden and cost per response is </w:t>
      </w:r>
      <w:r w:rsidRPr="6B9A983E">
        <w:rPr>
          <w:rFonts w:ascii="Calibri" w:hAnsi="Calibri" w:cs="Calibri"/>
          <w:color w:val="000000" w:themeColor="text1"/>
        </w:rPr>
        <w:t>408</w:t>
      </w:r>
      <w:r>
        <w:rPr>
          <w:rFonts w:ascii="Calibri" w:hAnsi="Calibri" w:cs="Calibri"/>
          <w:color w:val="000000" w:themeColor="text1"/>
        </w:rPr>
        <w:t xml:space="preserve"> </w:t>
      </w:r>
      <w:r w:rsidRPr="6B9A983E">
        <w:rPr>
          <w:rFonts w:ascii="Calibri" w:hAnsi="Calibri" w:cs="Calibri"/>
          <w:color w:val="000000" w:themeColor="text1"/>
        </w:rPr>
        <w:t>hours</w:t>
      </w:r>
      <w:r w:rsidRPr="3727C624">
        <w:rPr>
          <w:rFonts w:ascii="Calibri" w:hAnsi="Calibri" w:cs="Calibri"/>
          <w:color w:val="000000" w:themeColor="text1"/>
        </w:rPr>
        <w:t xml:space="preserve"> and $</w:t>
      </w:r>
      <w:r w:rsidRPr="7244421A">
        <w:rPr>
          <w:rFonts w:ascii="Calibri" w:hAnsi="Calibri" w:cs="Calibri"/>
          <w:color w:val="000000" w:themeColor="text1"/>
        </w:rPr>
        <w:t>34</w:t>
      </w:r>
      <w:r w:rsidRPr="3CFBBCFA">
        <w:rPr>
          <w:rFonts w:ascii="Calibri" w:hAnsi="Calibri" w:cs="Calibri"/>
          <w:color w:val="000000" w:themeColor="text1"/>
        </w:rPr>
        <w:t>,594,</w:t>
      </w:r>
      <w:r w:rsidRPr="3727C624">
        <w:rPr>
          <w:rFonts w:ascii="Calibri" w:hAnsi="Calibri" w:cs="Calibri"/>
          <w:color w:val="000000" w:themeColor="text1"/>
        </w:rPr>
        <w:t xml:space="preserve"> respectively (using the subtotal values in Table 1</w:t>
      </w:r>
      <w:r>
        <w:rPr>
          <w:rFonts w:ascii="Calibri" w:hAnsi="Calibri" w:cs="Calibri"/>
          <w:color w:val="000000" w:themeColor="text1"/>
        </w:rPr>
        <w:t>4</w:t>
      </w:r>
      <w:r w:rsidRPr="3727C624">
        <w:rPr>
          <w:rFonts w:ascii="Calibri" w:hAnsi="Calibri" w:cs="Calibri"/>
          <w:color w:val="000000" w:themeColor="text1"/>
        </w:rPr>
        <w:t>).</w:t>
      </w:r>
    </w:p>
    <w:p w:rsidR="00962957" w:rsidRPr="00962957" w:rsidP="007E2E3C" w14:paraId="5BD8041A" w14:textId="3CEF53FC">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962957">
        <w:rPr>
          <w:rFonts w:ascii="Calibri" w:hAnsi="Calibri" w:cs="Calibri"/>
          <w:szCs w:val="24"/>
        </w:rPr>
        <w:t xml:space="preserve">Total estimated burden hours are </w:t>
      </w:r>
      <w:r w:rsidRPr="5D34D4F8" w:rsidR="00074165">
        <w:rPr>
          <w:rFonts w:ascii="Calibri" w:hAnsi="Calibri" w:cs="Calibri"/>
        </w:rPr>
        <w:t>46,496 hours and total estimated costs are $3,940,</w:t>
      </w:r>
      <w:r w:rsidRPr="2D046DF2" w:rsidR="00074165">
        <w:rPr>
          <w:rFonts w:ascii="Calibri" w:hAnsi="Calibri" w:cs="Calibri"/>
        </w:rPr>
        <w:t>791</w:t>
      </w:r>
      <w:r w:rsidR="00074165">
        <w:rPr>
          <w:rFonts w:ascii="Calibri" w:hAnsi="Calibri" w:cs="Calibri"/>
          <w:szCs w:val="24"/>
        </w:rPr>
        <w:t>.</w:t>
      </w:r>
      <w:r w:rsidRPr="00962957">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962957" w:rsidP="007A6D76" w14:paraId="43F50FB1" w14:textId="2B491C47">
      <w:pPr>
        <w:pStyle w:val="Heading3"/>
        <w:rPr>
          <w:rFonts w:ascii="Calibri" w:hAnsi="Calibri" w:cs="Calibri"/>
          <w:b w:val="0"/>
          <w:bCs/>
          <w:color w:val="000000"/>
        </w:rPr>
      </w:pPr>
      <w:r w:rsidRPr="002524E3">
        <w:rPr>
          <w:rFonts w:ascii="Calibri" w:hAnsi="Calibri" w:cs="Calibri"/>
        </w:rPr>
        <w:t>TSCA section 8(a) Nanomaterials</w:t>
      </w:r>
    </w:p>
    <w:p w:rsidR="00286AE5" w:rsidP="00286AE5" w14:paraId="154E9751" w14:textId="77777777">
      <w:pPr>
        <w:spacing w:after="0"/>
        <w:rPr>
          <w:rFonts w:ascii="Calibri" w:hAnsi="Calibri" w:cs="Calibri"/>
        </w:rPr>
      </w:pPr>
      <w:r w:rsidRPr="00962957">
        <w:rPr>
          <w:rFonts w:ascii="Calibri" w:hAnsi="Calibri" w:cs="Calibri"/>
        </w:rPr>
        <w:t xml:space="preserve">EPA received TSCA section 8(a) nanomaterials submissions from 37 </w:t>
      </w:r>
      <w:r w:rsidRPr="467399CF">
        <w:rPr>
          <w:rFonts w:ascii="Calibri" w:hAnsi="Calibri" w:cs="Calibri"/>
        </w:rPr>
        <w:t xml:space="preserve">unique </w:t>
      </w:r>
      <w:r w:rsidRPr="00962957">
        <w:rPr>
          <w:rFonts w:ascii="Calibri" w:hAnsi="Calibri" w:cs="Calibri"/>
        </w:rPr>
        <w:t xml:space="preserve">manufacturers and processors since 2017. </w:t>
      </w:r>
      <w:r w:rsidRPr="461299CC">
        <w:rPr>
          <w:rFonts w:ascii="Calibri" w:hAnsi="Calibri" w:cs="Calibri"/>
        </w:rPr>
        <w:t>Based</w:t>
      </w:r>
      <w:r w:rsidRPr="00962957">
        <w:rPr>
          <w:rFonts w:ascii="Calibri" w:hAnsi="Calibri" w:cs="Calibri"/>
        </w:rPr>
        <w:t xml:space="preserve"> on this observation, EPA estimates that a total of 5.3 respondents will submit responses per year. </w:t>
      </w:r>
      <w:r w:rsidRPr="46108FF1">
        <w:rPr>
          <w:rFonts w:ascii="Calibri" w:hAnsi="Calibri" w:cs="Calibri"/>
        </w:rPr>
        <w:t xml:space="preserve">EPA estimates that there are approximately 9 responses per year for TSCA section 8(a) Nanomaterials. </w:t>
      </w:r>
      <w:r w:rsidRPr="00962957">
        <w:rPr>
          <w:rFonts w:ascii="Calibri" w:hAnsi="Calibri" w:cs="Calibri"/>
        </w:rPr>
        <w:t>Given that the EPA received a total of 27 reports over the last three-year ICR period, EPA expects to receive 1.7 reports per respondent each year</w:t>
      </w:r>
      <w:r w:rsidRPr="70D42507">
        <w:rPr>
          <w:rFonts w:ascii="Calibri" w:hAnsi="Calibri" w:cs="Calibri"/>
        </w:rPr>
        <w:t xml:space="preserve"> (9 responses per year </w:t>
      </w:r>
      <w:r w:rsidRPr="33F7E15D">
        <w:rPr>
          <w:rFonts w:ascii="Calibri" w:hAnsi="Calibri" w:cs="Calibri"/>
        </w:rPr>
        <w:t xml:space="preserve">/ 5.3 </w:t>
      </w:r>
      <w:r w:rsidRPr="35CB7E7B">
        <w:rPr>
          <w:rFonts w:ascii="Calibri" w:hAnsi="Calibri" w:cs="Calibri"/>
        </w:rPr>
        <w:t>average annualized respondents).</w:t>
      </w:r>
      <w:r w:rsidRPr="00962957">
        <w:rPr>
          <w:rFonts w:ascii="Calibri" w:hAnsi="Calibri" w:cs="Calibri"/>
        </w:rPr>
        <w:t xml:space="preserve"> Table </w:t>
      </w:r>
      <w:r w:rsidRPr="0C7EE8FB">
        <w:rPr>
          <w:rFonts w:ascii="Calibri" w:hAnsi="Calibri" w:cs="Calibri"/>
        </w:rPr>
        <w:t>1</w:t>
      </w:r>
      <w:r>
        <w:rPr>
          <w:rFonts w:ascii="Calibri" w:hAnsi="Calibri" w:cs="Calibri"/>
        </w:rPr>
        <w:t>5</w:t>
      </w:r>
      <w:r w:rsidRPr="00962957">
        <w:rPr>
          <w:rFonts w:ascii="Calibri" w:hAnsi="Calibri" w:cs="Calibri"/>
        </w:rPr>
        <w:t xml:space="preserve"> shows the yearly number of responses for the various nanoscale materials for manufacturers and processors combined. </w:t>
      </w:r>
    </w:p>
    <w:p w:rsidR="00286AE5" w:rsidP="00286AE5" w14:paraId="375883EE" w14:textId="77777777">
      <w:pPr>
        <w:spacing w:after="0"/>
        <w:rPr>
          <w:rFonts w:ascii="Calibri" w:hAnsi="Calibri" w:cs="Calibri"/>
        </w:rPr>
      </w:pPr>
    </w:p>
    <w:p w:rsidR="00286AE5" w:rsidRPr="00962957" w:rsidP="0049070A" w14:paraId="32BE8FDD" w14:textId="06EA7C36">
      <w:pPr>
        <w:spacing w:after="0"/>
        <w:rPr>
          <w:rFonts w:ascii="Calibri" w:hAnsi="Calibri" w:cs="Calibri"/>
          <w:b/>
          <w:bCs/>
          <w:color w:val="000000"/>
        </w:rPr>
      </w:pPr>
      <w:r>
        <w:rPr>
          <w:rFonts w:ascii="Calibri" w:hAnsi="Calibri" w:cs="Calibri"/>
          <w:b/>
          <w:bCs/>
          <w:color w:val="000000"/>
        </w:rPr>
        <w:t xml:space="preserve">Table 15. Respondents during the current ICR period for TSCA section 8(a) Nanomaterials </w:t>
      </w:r>
    </w:p>
    <w:tbl>
      <w:tblPr>
        <w:tblW w:w="10380" w:type="dxa"/>
        <w:tblInd w:w="-5" w:type="dxa"/>
        <w:tblLayout w:type="fixed"/>
        <w:tblLook w:val="06A0"/>
      </w:tblPr>
      <w:tblGrid>
        <w:gridCol w:w="1350"/>
        <w:gridCol w:w="705"/>
        <w:gridCol w:w="705"/>
        <w:gridCol w:w="705"/>
        <w:gridCol w:w="690"/>
        <w:gridCol w:w="690"/>
        <w:gridCol w:w="735"/>
        <w:gridCol w:w="735"/>
        <w:gridCol w:w="1425"/>
        <w:gridCol w:w="1320"/>
        <w:gridCol w:w="1320"/>
      </w:tblGrid>
      <w:tr w14:paraId="1C7C1DDE" w14:textId="77777777" w:rsidTr="2D725C34">
        <w:tblPrEx>
          <w:tblW w:w="10380" w:type="dxa"/>
          <w:tblInd w:w="-5" w:type="dxa"/>
          <w:tblLayout w:type="fixed"/>
          <w:tblLook w:val="06A0"/>
        </w:tblPrEx>
        <w:trPr>
          <w:trHeight w:val="1275"/>
        </w:trPr>
        <w:tc>
          <w:tcPr>
            <w:tcW w:w="135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29572D26" w14:textId="365DA3DC">
            <w:pPr>
              <w:spacing w:after="0"/>
              <w:jc w:val="center"/>
              <w:rPr>
                <w:rFonts w:ascii="Calibri" w:eastAsia="Calibri" w:hAnsi="Calibri" w:cs="Calibri"/>
                <w:b/>
                <w:bCs/>
                <w:color w:val="000000" w:themeColor="text1"/>
                <w:sz w:val="20"/>
                <w:szCs w:val="20"/>
              </w:rPr>
            </w:pPr>
            <w:r w:rsidRPr="2D725C34">
              <w:rPr>
                <w:rFonts w:ascii="Calibri" w:eastAsia="Calibri" w:hAnsi="Calibri" w:cs="Calibri"/>
                <w:b/>
                <w:bCs/>
                <w:color w:val="000000" w:themeColor="text1"/>
                <w:sz w:val="20"/>
                <w:szCs w:val="20"/>
              </w:rPr>
              <w:t>P</w:t>
            </w:r>
            <w:r w:rsidRPr="2D725C34" w:rsidR="7A66BA16">
              <w:rPr>
                <w:rFonts w:ascii="Calibri" w:eastAsia="Calibri" w:hAnsi="Calibri" w:cs="Calibri"/>
                <w:b/>
                <w:bCs/>
                <w:color w:val="000000" w:themeColor="text1"/>
                <w:sz w:val="20"/>
                <w:szCs w:val="20"/>
              </w:rPr>
              <w:t>eriod</w:t>
            </w:r>
          </w:p>
        </w:tc>
        <w:tc>
          <w:tcPr>
            <w:tcW w:w="70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106BC866"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2017</w:t>
            </w:r>
          </w:p>
        </w:tc>
        <w:tc>
          <w:tcPr>
            <w:tcW w:w="70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11F3B05F"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2018</w:t>
            </w:r>
          </w:p>
        </w:tc>
        <w:tc>
          <w:tcPr>
            <w:tcW w:w="70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4CC1F2A5"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2019</w:t>
            </w:r>
          </w:p>
        </w:tc>
        <w:tc>
          <w:tcPr>
            <w:tcW w:w="69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47867E61"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2020</w:t>
            </w:r>
          </w:p>
        </w:tc>
        <w:tc>
          <w:tcPr>
            <w:tcW w:w="69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0DAB324C"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2021</w:t>
            </w:r>
          </w:p>
        </w:tc>
        <w:tc>
          <w:tcPr>
            <w:tcW w:w="73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7BB54607"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2022</w:t>
            </w:r>
          </w:p>
        </w:tc>
        <w:tc>
          <w:tcPr>
            <w:tcW w:w="73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744C7220"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2023</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33C331EF"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Total Respondents*</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7FB8B1E1"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Total Unique Respondents</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rsidR="00286AE5" w:rsidP="0049070A" w14:paraId="6B8D0816"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Average annualized respondents</w:t>
            </w:r>
          </w:p>
        </w:tc>
      </w:tr>
      <w:tr w14:paraId="1193B804" w14:textId="77777777" w:rsidTr="2D725C34">
        <w:tblPrEx>
          <w:tblW w:w="10380" w:type="dxa"/>
          <w:tblInd w:w="-5" w:type="dxa"/>
          <w:tblLayout w:type="fixed"/>
          <w:tblLook w:val="06A0"/>
        </w:tblPrEx>
        <w:trPr>
          <w:trHeight w:val="300"/>
        </w:trPr>
        <w:tc>
          <w:tcPr>
            <w:tcW w:w="1350" w:type="dxa"/>
            <w:tcBorders>
              <w:top w:val="single" w:sz="4" w:space="0" w:color="auto"/>
              <w:left w:val="single" w:sz="4" w:space="0" w:color="auto"/>
              <w:bottom w:val="single" w:sz="4" w:space="0" w:color="auto"/>
              <w:right w:val="single" w:sz="4" w:space="0" w:color="auto"/>
            </w:tcBorders>
            <w:vAlign w:val="center"/>
          </w:tcPr>
          <w:p w:rsidR="00286AE5" w:rsidP="004572B1" w14:paraId="60929A73" w14:textId="77777777">
            <w:pPr>
              <w:spacing w:after="0"/>
              <w:jc w:val="center"/>
              <w:rPr>
                <w:rFonts w:ascii="Calibri" w:eastAsia="Calibri" w:hAnsi="Calibri" w:cs="Calibri"/>
                <w:b/>
                <w:bCs/>
                <w:color w:val="000000" w:themeColor="text1"/>
                <w:sz w:val="20"/>
                <w:szCs w:val="20"/>
              </w:rPr>
            </w:pPr>
            <w:r w:rsidRPr="5512FEBD">
              <w:rPr>
                <w:rFonts w:ascii="Calibri" w:eastAsia="Calibri" w:hAnsi="Calibri" w:cs="Calibri"/>
                <w:b/>
                <w:bCs/>
                <w:color w:val="000000" w:themeColor="text1"/>
                <w:sz w:val="20"/>
                <w:szCs w:val="20"/>
              </w:rPr>
              <w:t>Number of respondents</w:t>
            </w:r>
          </w:p>
        </w:tc>
        <w:tc>
          <w:tcPr>
            <w:tcW w:w="705" w:type="dxa"/>
            <w:tcBorders>
              <w:top w:val="single" w:sz="4" w:space="0" w:color="auto"/>
              <w:left w:val="single" w:sz="4" w:space="0" w:color="auto"/>
              <w:bottom w:val="single" w:sz="4" w:space="0" w:color="auto"/>
              <w:right w:val="single" w:sz="4" w:space="0" w:color="auto"/>
            </w:tcBorders>
            <w:vAlign w:val="center"/>
          </w:tcPr>
          <w:p w:rsidR="00286AE5" w:rsidP="004572B1" w14:paraId="733C0E95"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CBI</w:t>
            </w:r>
          </w:p>
        </w:tc>
        <w:tc>
          <w:tcPr>
            <w:tcW w:w="705" w:type="dxa"/>
            <w:tcBorders>
              <w:top w:val="single" w:sz="4" w:space="0" w:color="auto"/>
              <w:left w:val="single" w:sz="4" w:space="0" w:color="auto"/>
              <w:bottom w:val="single" w:sz="4" w:space="0" w:color="auto"/>
              <w:right w:val="single" w:sz="4" w:space="0" w:color="auto"/>
            </w:tcBorders>
            <w:vAlign w:val="center"/>
          </w:tcPr>
          <w:p w:rsidR="00286AE5" w:rsidP="004572B1" w14:paraId="62085E0B"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CBI</w:t>
            </w:r>
          </w:p>
        </w:tc>
        <w:tc>
          <w:tcPr>
            <w:tcW w:w="705" w:type="dxa"/>
            <w:tcBorders>
              <w:top w:val="single" w:sz="4" w:space="0" w:color="auto"/>
              <w:left w:val="single" w:sz="4" w:space="0" w:color="auto"/>
              <w:bottom w:val="single" w:sz="4" w:space="0" w:color="auto"/>
              <w:right w:val="single" w:sz="4" w:space="0" w:color="auto"/>
            </w:tcBorders>
            <w:vAlign w:val="center"/>
          </w:tcPr>
          <w:p w:rsidR="00286AE5" w:rsidP="004572B1" w14:paraId="760CA5D5"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CBI</w:t>
            </w:r>
          </w:p>
        </w:tc>
        <w:tc>
          <w:tcPr>
            <w:tcW w:w="690" w:type="dxa"/>
            <w:tcBorders>
              <w:top w:val="single" w:sz="4" w:space="0" w:color="auto"/>
              <w:left w:val="single" w:sz="4" w:space="0" w:color="auto"/>
              <w:bottom w:val="single" w:sz="4" w:space="0" w:color="auto"/>
              <w:right w:val="single" w:sz="4" w:space="0" w:color="auto"/>
            </w:tcBorders>
            <w:vAlign w:val="center"/>
          </w:tcPr>
          <w:p w:rsidR="00286AE5" w:rsidP="004572B1" w14:paraId="5E42D46A"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20</w:t>
            </w:r>
          </w:p>
        </w:tc>
        <w:tc>
          <w:tcPr>
            <w:tcW w:w="690" w:type="dxa"/>
            <w:tcBorders>
              <w:top w:val="single" w:sz="4" w:space="0" w:color="auto"/>
              <w:left w:val="single" w:sz="4" w:space="0" w:color="auto"/>
              <w:bottom w:val="single" w:sz="4" w:space="0" w:color="auto"/>
              <w:right w:val="single" w:sz="4" w:space="0" w:color="auto"/>
            </w:tcBorders>
            <w:vAlign w:val="center"/>
          </w:tcPr>
          <w:p w:rsidR="00286AE5" w:rsidP="004572B1" w14:paraId="44DBC00C"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10</w:t>
            </w:r>
          </w:p>
        </w:tc>
        <w:tc>
          <w:tcPr>
            <w:tcW w:w="735" w:type="dxa"/>
            <w:tcBorders>
              <w:top w:val="single" w:sz="4" w:space="0" w:color="auto"/>
              <w:left w:val="single" w:sz="4" w:space="0" w:color="auto"/>
              <w:bottom w:val="single" w:sz="4" w:space="0" w:color="auto"/>
              <w:right w:val="single" w:sz="4" w:space="0" w:color="auto"/>
            </w:tcBorders>
            <w:vAlign w:val="center"/>
          </w:tcPr>
          <w:p w:rsidR="00286AE5" w:rsidP="004572B1" w14:paraId="3D636886"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10</w:t>
            </w:r>
          </w:p>
        </w:tc>
        <w:tc>
          <w:tcPr>
            <w:tcW w:w="735" w:type="dxa"/>
            <w:tcBorders>
              <w:top w:val="single" w:sz="4" w:space="0" w:color="auto"/>
              <w:left w:val="single" w:sz="4" w:space="0" w:color="auto"/>
              <w:bottom w:val="single" w:sz="4" w:space="0" w:color="auto"/>
              <w:right w:val="single" w:sz="4" w:space="0" w:color="auto"/>
            </w:tcBorders>
            <w:vAlign w:val="center"/>
          </w:tcPr>
          <w:p w:rsidR="00286AE5" w:rsidP="004572B1" w14:paraId="29ADA031" w14:textId="77777777">
            <w:pPr>
              <w:spacing w:after="0"/>
              <w:jc w:val="center"/>
              <w:rPr>
                <w:rFonts w:ascii="Calibri" w:eastAsia="Calibri" w:hAnsi="Calibri" w:cs="Calibri"/>
                <w:color w:val="000000" w:themeColor="text1"/>
                <w:sz w:val="20"/>
                <w:szCs w:val="20"/>
              </w:rPr>
            </w:pPr>
            <w:r w:rsidRPr="5512FEBD">
              <w:rPr>
                <w:rFonts w:ascii="Calibri" w:eastAsia="Calibri" w:hAnsi="Calibri" w:cs="Calibri"/>
                <w:color w:val="000000" w:themeColor="text1"/>
                <w:sz w:val="20"/>
                <w:szCs w:val="20"/>
              </w:rPr>
              <w:t>8</w:t>
            </w:r>
          </w:p>
        </w:tc>
        <w:tc>
          <w:tcPr>
            <w:tcW w:w="1425" w:type="dxa"/>
            <w:tcBorders>
              <w:top w:val="single" w:sz="4" w:space="0" w:color="auto"/>
              <w:left w:val="single" w:sz="4" w:space="0" w:color="auto"/>
              <w:bottom w:val="single" w:sz="4" w:space="0" w:color="auto"/>
              <w:right w:val="single" w:sz="4" w:space="0" w:color="auto"/>
            </w:tcBorders>
            <w:vAlign w:val="center"/>
          </w:tcPr>
          <w:p w:rsidR="00286AE5" w:rsidP="004572B1" w14:paraId="04E74488" w14:textId="77777777">
            <w:pPr>
              <w:spacing w:after="0"/>
              <w:jc w:val="center"/>
              <w:rPr>
                <w:rFonts w:ascii="Calibri" w:eastAsia="Calibri" w:hAnsi="Calibri" w:cs="Calibri"/>
                <w:b/>
                <w:bCs/>
                <w:color w:val="000000" w:themeColor="text1"/>
                <w:sz w:val="20"/>
                <w:szCs w:val="20"/>
              </w:rPr>
            </w:pPr>
            <w:r w:rsidRPr="5512FEBD">
              <w:rPr>
                <w:rFonts w:ascii="Calibri" w:eastAsia="Calibri" w:hAnsi="Calibri" w:cs="Calibri"/>
                <w:b/>
                <w:bCs/>
                <w:color w:val="000000" w:themeColor="text1"/>
                <w:sz w:val="20"/>
                <w:szCs w:val="20"/>
              </w:rPr>
              <w:t>48.0</w:t>
            </w:r>
          </w:p>
        </w:tc>
        <w:tc>
          <w:tcPr>
            <w:tcW w:w="1320" w:type="dxa"/>
            <w:tcBorders>
              <w:top w:val="single" w:sz="4" w:space="0" w:color="auto"/>
              <w:left w:val="single" w:sz="4" w:space="0" w:color="auto"/>
              <w:bottom w:val="single" w:sz="4" w:space="0" w:color="auto"/>
              <w:right w:val="single" w:sz="4" w:space="0" w:color="auto"/>
            </w:tcBorders>
            <w:vAlign w:val="center"/>
          </w:tcPr>
          <w:p w:rsidR="00286AE5" w:rsidP="004572B1" w14:paraId="31F357C6" w14:textId="77777777">
            <w:pPr>
              <w:spacing w:after="0"/>
              <w:jc w:val="center"/>
              <w:rPr>
                <w:rFonts w:ascii="Calibri" w:eastAsia="Calibri" w:hAnsi="Calibri" w:cs="Calibri"/>
                <w:b/>
                <w:bCs/>
                <w:color w:val="000000" w:themeColor="text1"/>
                <w:sz w:val="20"/>
                <w:szCs w:val="20"/>
              </w:rPr>
            </w:pPr>
            <w:r w:rsidRPr="5512FEBD">
              <w:rPr>
                <w:rFonts w:ascii="Calibri" w:eastAsia="Calibri" w:hAnsi="Calibri" w:cs="Calibri"/>
                <w:b/>
                <w:bCs/>
                <w:color w:val="000000" w:themeColor="text1"/>
                <w:sz w:val="20"/>
                <w:szCs w:val="20"/>
              </w:rPr>
              <w:t>37</w:t>
            </w:r>
          </w:p>
        </w:tc>
        <w:tc>
          <w:tcPr>
            <w:tcW w:w="1320" w:type="dxa"/>
            <w:tcBorders>
              <w:top w:val="single" w:sz="4" w:space="0" w:color="auto"/>
              <w:left w:val="single" w:sz="4" w:space="0" w:color="auto"/>
              <w:bottom w:val="single" w:sz="4" w:space="0" w:color="auto"/>
              <w:right w:val="single" w:sz="4" w:space="0" w:color="auto"/>
            </w:tcBorders>
            <w:vAlign w:val="center"/>
          </w:tcPr>
          <w:p w:rsidR="00286AE5" w:rsidP="004572B1" w14:paraId="5F7B2051" w14:textId="77777777">
            <w:pPr>
              <w:spacing w:after="0"/>
              <w:jc w:val="center"/>
              <w:rPr>
                <w:rFonts w:ascii="Calibri" w:eastAsia="Calibri" w:hAnsi="Calibri" w:cs="Calibri"/>
                <w:b/>
                <w:bCs/>
                <w:color w:val="000000" w:themeColor="text1"/>
                <w:sz w:val="20"/>
                <w:szCs w:val="20"/>
              </w:rPr>
            </w:pPr>
            <w:r w:rsidRPr="5512FEBD">
              <w:rPr>
                <w:rFonts w:ascii="Calibri" w:eastAsia="Calibri" w:hAnsi="Calibri" w:cs="Calibri"/>
                <w:b/>
                <w:bCs/>
                <w:color w:val="000000" w:themeColor="text1"/>
                <w:sz w:val="20"/>
                <w:szCs w:val="20"/>
              </w:rPr>
              <w:t>5.3</w:t>
            </w:r>
          </w:p>
        </w:tc>
      </w:tr>
    </w:tbl>
    <w:p w:rsidR="00D67EB2" w:rsidRPr="00962957" w:rsidP="00962957" w14:paraId="2C070078" w14:textId="77777777">
      <w:pPr>
        <w:pStyle w:val="NoSpacing"/>
        <w:rPr>
          <w:rFonts w:ascii="Calibri" w:hAnsi="Calibri" w:cs="Calibri"/>
        </w:rPr>
      </w:pPr>
    </w:p>
    <w:p w:rsidR="00962957" w:rsidRPr="00962957" w:rsidP="00962957" w14:paraId="697A112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962957">
        <w:rPr>
          <w:rFonts w:ascii="Calibri" w:hAnsi="Calibri" w:cs="Calibri"/>
          <w:b/>
          <w:bCs/>
        </w:rPr>
        <w:t>Estimating Respondent Burden</w:t>
      </w:r>
    </w:p>
    <w:p w:rsidR="00286AE5" w:rsidP="00B2051D" w14:paraId="3B178372" w14:textId="4A4648E0">
      <w:pPr>
        <w:spacing w:after="0"/>
        <w:rPr>
          <w:rFonts w:ascii="Calibri" w:hAnsi="Calibri" w:cs="Calibri"/>
          <w:b/>
          <w:bCs/>
        </w:rPr>
      </w:pPr>
      <w:r w:rsidRPr="00962957">
        <w:rPr>
          <w:rFonts w:ascii="Calibri" w:hAnsi="Calibri" w:cs="Calibri"/>
        </w:rPr>
        <w:t>Table</w:t>
      </w:r>
      <w:r w:rsidR="00D67EB2">
        <w:rPr>
          <w:rFonts w:ascii="Calibri" w:hAnsi="Calibri" w:cs="Calibri"/>
        </w:rPr>
        <w:t xml:space="preserve"> 16 </w:t>
      </w:r>
      <w:r w:rsidRPr="00962957">
        <w:rPr>
          <w:rFonts w:ascii="Calibri" w:hAnsi="Calibri" w:cs="Calibri"/>
        </w:rPr>
        <w:t xml:space="preserve">shows the estimated burden for five activities necessary to submit a TSCA 8(a) nanomaterials report to the EPA for nanoscale manufacturers, processors as well as the average estimated burden for any given respondent. This is estimated by assigning equal weights to manufacturer and processor burdens. This assumption is made given that the expected number of nanoscale manufacturers and processors in the previous ICR renewal were about the same. </w:t>
      </w:r>
    </w:p>
    <w:p w:rsidR="00B2051D" w:rsidP="00B2051D" w14:paraId="0F60FBAF" w14:textId="77777777">
      <w:pPr>
        <w:spacing w:after="0"/>
        <w:rPr>
          <w:rFonts w:ascii="Calibri" w:hAnsi="Calibri" w:cs="Calibri"/>
          <w:b/>
          <w:bCs/>
        </w:rPr>
      </w:pPr>
    </w:p>
    <w:p w:rsidR="00962957" w:rsidRPr="00962957" w:rsidP="00D67EB2" w14:paraId="54748F3C" w14:textId="10EED0D4">
      <w:pPr>
        <w:spacing w:after="0"/>
        <w:rPr>
          <w:rFonts w:ascii="Calibri" w:hAnsi="Calibri" w:cs="Calibri"/>
          <w:b/>
          <w:bCs/>
        </w:rPr>
      </w:pPr>
      <w:r w:rsidRPr="00962957">
        <w:rPr>
          <w:rFonts w:ascii="Calibri" w:hAnsi="Calibri" w:cs="Calibri"/>
          <w:b/>
          <w:bCs/>
        </w:rPr>
        <w:t xml:space="preserve">Table </w:t>
      </w:r>
      <w:r w:rsidR="00D67EB2">
        <w:rPr>
          <w:rFonts w:ascii="Calibri" w:hAnsi="Calibri" w:cs="Calibri"/>
          <w:b/>
          <w:bCs/>
        </w:rPr>
        <w:t>16</w:t>
      </w:r>
      <w:r w:rsidRPr="00962957">
        <w:rPr>
          <w:rFonts w:ascii="Calibri" w:hAnsi="Calibri" w:cs="Calibri"/>
          <w:b/>
          <w:bCs/>
        </w:rPr>
        <w:t xml:space="preserve">: </w:t>
      </w:r>
      <w:r w:rsidRPr="00AD1195" w:rsidR="00AD1195">
        <w:rPr>
          <w:rFonts w:ascii="Calibri" w:hAnsi="Calibri" w:cs="Calibri"/>
          <w:b/>
          <w:bCs/>
        </w:rPr>
        <w:t>Burden Per Year Per Respondent for TSCA Section 8(a) Nanomaterials</w:t>
      </w:r>
    </w:p>
    <w:tbl>
      <w:tblPr>
        <w:tblW w:w="3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4"/>
        <w:gridCol w:w="1891"/>
        <w:gridCol w:w="1583"/>
        <w:gridCol w:w="2021"/>
      </w:tblGrid>
      <w:tr w14:paraId="228EA864" w14:textId="77777777" w:rsidTr="55D022B7">
        <w:tblPrEx>
          <w:tblW w:w="3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321" w:type="pct"/>
            <w:shd w:val="clear" w:color="auto" w:fill="D9D9D9" w:themeFill="accent6" w:themeFillShade="D9"/>
            <w:vAlign w:val="center"/>
            <w:hideMark/>
          </w:tcPr>
          <w:p w:rsidR="00962957" w:rsidRPr="00962957" w14:paraId="16A7DD25" w14:textId="77777777">
            <w:pPr>
              <w:spacing w:after="0"/>
              <w:jc w:val="center"/>
              <w:rPr>
                <w:rFonts w:ascii="Calibri" w:eastAsia="Times New Roman" w:hAnsi="Calibri" w:cs="Calibri"/>
                <w:b/>
                <w:bCs/>
                <w:sz w:val="20"/>
                <w:szCs w:val="24"/>
              </w:rPr>
            </w:pPr>
            <w:r w:rsidRPr="00962957">
              <w:rPr>
                <w:rFonts w:ascii="Calibri" w:eastAsia="Times New Roman" w:hAnsi="Calibri" w:cs="Calibri"/>
                <w:b/>
                <w:bCs/>
                <w:sz w:val="20"/>
                <w:szCs w:val="24"/>
              </w:rPr>
              <w:t>Activity</w:t>
            </w:r>
          </w:p>
        </w:tc>
        <w:tc>
          <w:tcPr>
            <w:tcW w:w="1266" w:type="pct"/>
            <w:shd w:val="clear" w:color="auto" w:fill="D9D9D9" w:themeFill="accent6" w:themeFillShade="D9"/>
            <w:hideMark/>
          </w:tcPr>
          <w:p w:rsidR="00962957" w:rsidRPr="00962957" w14:paraId="40DBA0F2" w14:textId="77777777">
            <w:pPr>
              <w:spacing w:after="0"/>
              <w:jc w:val="center"/>
              <w:rPr>
                <w:rFonts w:ascii="Calibri" w:eastAsia="Times New Roman" w:hAnsi="Calibri" w:cs="Calibri"/>
                <w:b/>
                <w:bCs/>
                <w:sz w:val="20"/>
                <w:szCs w:val="24"/>
              </w:rPr>
            </w:pPr>
            <w:r w:rsidRPr="00962957">
              <w:rPr>
                <w:rFonts w:ascii="Calibri" w:eastAsia="Times New Roman" w:hAnsi="Calibri" w:cs="Calibri"/>
                <w:b/>
                <w:bCs/>
                <w:sz w:val="20"/>
                <w:szCs w:val="24"/>
              </w:rPr>
              <w:t>Manufacturer burden (hours/year)</w:t>
            </w:r>
          </w:p>
        </w:tc>
        <w:tc>
          <w:tcPr>
            <w:tcW w:w="1060" w:type="pct"/>
            <w:shd w:val="clear" w:color="auto" w:fill="D9D9D9" w:themeFill="accent6" w:themeFillShade="D9"/>
            <w:hideMark/>
          </w:tcPr>
          <w:p w:rsidR="00962957" w:rsidRPr="00962957" w14:paraId="44BA28D9" w14:textId="77777777">
            <w:pPr>
              <w:spacing w:after="0"/>
              <w:jc w:val="center"/>
              <w:rPr>
                <w:rFonts w:ascii="Calibri" w:eastAsia="Times New Roman" w:hAnsi="Calibri" w:cs="Calibri"/>
                <w:b/>
                <w:bCs/>
                <w:sz w:val="20"/>
                <w:szCs w:val="24"/>
              </w:rPr>
            </w:pPr>
            <w:r w:rsidRPr="00962957">
              <w:rPr>
                <w:rFonts w:ascii="Calibri" w:eastAsia="Times New Roman" w:hAnsi="Calibri" w:cs="Calibri"/>
                <w:b/>
                <w:bCs/>
                <w:sz w:val="20"/>
                <w:szCs w:val="24"/>
              </w:rPr>
              <w:t>Processor burden</w:t>
            </w:r>
          </w:p>
          <w:p w:rsidR="00962957" w:rsidRPr="00962957" w14:paraId="34BDEADE" w14:textId="77777777">
            <w:pPr>
              <w:pStyle w:val="NoSpacing"/>
              <w:jc w:val="center"/>
              <w:rPr>
                <w:rFonts w:ascii="Calibri" w:eastAsia="Times New Roman" w:hAnsi="Calibri" w:cs="Calibri"/>
                <w:b/>
                <w:bCs/>
                <w:sz w:val="20"/>
                <w:szCs w:val="24"/>
              </w:rPr>
            </w:pPr>
            <w:r w:rsidRPr="00962957">
              <w:rPr>
                <w:rFonts w:ascii="Calibri" w:eastAsia="Times New Roman" w:hAnsi="Calibri" w:cs="Calibri"/>
                <w:b/>
                <w:bCs/>
                <w:sz w:val="20"/>
                <w:szCs w:val="24"/>
              </w:rPr>
              <w:t>(hours/year)</w:t>
            </w:r>
          </w:p>
        </w:tc>
        <w:tc>
          <w:tcPr>
            <w:tcW w:w="1353" w:type="pct"/>
            <w:shd w:val="clear" w:color="auto" w:fill="D9D9D9" w:themeFill="accent6" w:themeFillShade="D9"/>
            <w:hideMark/>
          </w:tcPr>
          <w:p w:rsidR="00962957" w:rsidRPr="00962957" w14:paraId="74E81EE9" w14:textId="77777777">
            <w:pPr>
              <w:spacing w:after="0"/>
              <w:jc w:val="center"/>
              <w:rPr>
                <w:rFonts w:ascii="Calibri" w:eastAsia="Times New Roman" w:hAnsi="Calibri" w:cs="Calibri"/>
                <w:b/>
                <w:bCs/>
                <w:sz w:val="20"/>
                <w:szCs w:val="24"/>
              </w:rPr>
            </w:pPr>
            <w:r w:rsidRPr="00962957">
              <w:rPr>
                <w:rFonts w:ascii="Calibri" w:eastAsia="Times New Roman" w:hAnsi="Calibri" w:cs="Calibri"/>
                <w:b/>
                <w:bCs/>
                <w:sz w:val="20"/>
                <w:szCs w:val="24"/>
              </w:rPr>
              <w:t>Weighted burden per respondent</w:t>
            </w:r>
          </w:p>
          <w:p w:rsidR="00962957" w:rsidRPr="00962957" w14:paraId="07F6CFCD" w14:textId="77777777">
            <w:pPr>
              <w:pStyle w:val="NoSpacing"/>
              <w:jc w:val="center"/>
              <w:rPr>
                <w:rFonts w:ascii="Calibri" w:eastAsia="Times New Roman" w:hAnsi="Calibri" w:cs="Calibri"/>
                <w:b/>
                <w:bCs/>
                <w:sz w:val="20"/>
                <w:szCs w:val="24"/>
              </w:rPr>
            </w:pPr>
            <w:r w:rsidRPr="00962957">
              <w:rPr>
                <w:rFonts w:ascii="Calibri" w:eastAsia="Times New Roman" w:hAnsi="Calibri" w:cs="Calibri"/>
                <w:b/>
                <w:bCs/>
                <w:sz w:val="20"/>
                <w:szCs w:val="24"/>
              </w:rPr>
              <w:t>(hours/year)</w:t>
            </w:r>
          </w:p>
        </w:tc>
      </w:tr>
      <w:tr w14:paraId="769E7E41" w14:textId="77777777" w:rsidTr="2D725C34">
        <w:tblPrEx>
          <w:tblW w:w="3994" w:type="pct"/>
          <w:tblLayout w:type="fixed"/>
          <w:tblLook w:val="04A0"/>
        </w:tblPrEx>
        <w:trPr>
          <w:trHeight w:val="300"/>
        </w:trPr>
        <w:tc>
          <w:tcPr>
            <w:tcW w:w="1321" w:type="pct"/>
            <w:shd w:val="clear" w:color="auto" w:fill="auto"/>
            <w:hideMark/>
          </w:tcPr>
          <w:p w:rsidR="00D67EB2" w:rsidRPr="00962957" w:rsidP="00D67EB2" w14:paraId="55DED1A7" w14:textId="1265D96A">
            <w:pPr>
              <w:spacing w:after="0"/>
              <w:jc w:val="center"/>
              <w:rPr>
                <w:rFonts w:ascii="Calibri" w:eastAsia="Times New Roman" w:hAnsi="Calibri" w:cs="Calibri"/>
                <w:sz w:val="20"/>
                <w:szCs w:val="24"/>
              </w:rPr>
            </w:pPr>
            <w:r w:rsidRPr="7DB6F6EE">
              <w:rPr>
                <w:rFonts w:ascii="Calibri" w:eastAsia="Times New Roman" w:hAnsi="Calibri" w:cs="Calibri"/>
                <w:sz w:val="20"/>
                <w:szCs w:val="20"/>
              </w:rPr>
              <w:t>Rule familiarization</w:t>
            </w:r>
          </w:p>
        </w:tc>
        <w:tc>
          <w:tcPr>
            <w:tcW w:w="1266" w:type="pct"/>
            <w:shd w:val="clear" w:color="auto" w:fill="auto"/>
            <w:hideMark/>
          </w:tcPr>
          <w:p w:rsidR="00D67EB2" w:rsidRPr="00962957" w:rsidP="00045E43" w14:paraId="601DDEE4" w14:textId="64E2CF9E">
            <w:pPr>
              <w:spacing w:after="0"/>
              <w:jc w:val="right"/>
              <w:rPr>
                <w:rFonts w:ascii="Calibri" w:eastAsia="Times New Roman" w:hAnsi="Calibri" w:cs="Calibri"/>
                <w:sz w:val="20"/>
                <w:szCs w:val="20"/>
              </w:rPr>
            </w:pPr>
            <w:r w:rsidRPr="55D022B7">
              <w:rPr>
                <w:rFonts w:ascii="Calibri" w:eastAsia="Times New Roman" w:hAnsi="Calibri" w:cs="Calibri"/>
                <w:sz w:val="20"/>
                <w:szCs w:val="20"/>
              </w:rPr>
              <w:t>0</w:t>
            </w:r>
          </w:p>
        </w:tc>
        <w:tc>
          <w:tcPr>
            <w:tcW w:w="1060" w:type="pct"/>
            <w:shd w:val="clear" w:color="auto" w:fill="auto"/>
            <w:hideMark/>
          </w:tcPr>
          <w:p w:rsidR="00D67EB2" w:rsidRPr="00962957" w:rsidP="00045E43" w14:paraId="74FCA7E4" w14:textId="3CB9B8E7">
            <w:pPr>
              <w:spacing w:after="0"/>
              <w:jc w:val="right"/>
              <w:rPr>
                <w:rFonts w:ascii="Calibri" w:eastAsia="Times New Roman" w:hAnsi="Calibri" w:cs="Calibri"/>
                <w:sz w:val="20"/>
                <w:szCs w:val="24"/>
              </w:rPr>
            </w:pPr>
            <w:r w:rsidRPr="7DB6F6EE">
              <w:rPr>
                <w:rFonts w:ascii="Calibri" w:eastAsia="Times New Roman" w:hAnsi="Calibri" w:cs="Calibri"/>
                <w:sz w:val="20"/>
                <w:szCs w:val="20"/>
              </w:rPr>
              <w:t>0.82</w:t>
            </w:r>
          </w:p>
        </w:tc>
        <w:tc>
          <w:tcPr>
            <w:tcW w:w="1353" w:type="pct"/>
            <w:shd w:val="clear" w:color="auto" w:fill="auto"/>
            <w:hideMark/>
          </w:tcPr>
          <w:p w:rsidR="00D67EB2" w:rsidRPr="00962957" w:rsidP="00045E43" w14:paraId="1BC1D895" w14:textId="3BF73828">
            <w:pPr>
              <w:spacing w:after="0"/>
              <w:jc w:val="right"/>
              <w:rPr>
                <w:rFonts w:ascii="Calibri" w:eastAsia="Times New Roman" w:hAnsi="Calibri" w:cs="Calibri"/>
                <w:sz w:val="20"/>
                <w:szCs w:val="24"/>
              </w:rPr>
            </w:pPr>
            <w:r w:rsidRPr="7DB6F6EE">
              <w:rPr>
                <w:rFonts w:ascii="Calibri" w:eastAsia="Times New Roman" w:hAnsi="Calibri" w:cs="Calibri"/>
                <w:sz w:val="20"/>
                <w:szCs w:val="20"/>
              </w:rPr>
              <w:t>0.82</w:t>
            </w:r>
          </w:p>
        </w:tc>
      </w:tr>
      <w:tr w14:paraId="12FCF6EE" w14:textId="77777777" w:rsidTr="2D725C34">
        <w:tblPrEx>
          <w:tblW w:w="3994" w:type="pct"/>
          <w:tblLayout w:type="fixed"/>
          <w:tblLook w:val="04A0"/>
        </w:tblPrEx>
        <w:trPr>
          <w:trHeight w:val="300"/>
        </w:trPr>
        <w:tc>
          <w:tcPr>
            <w:tcW w:w="1321" w:type="pct"/>
            <w:shd w:val="clear" w:color="auto" w:fill="auto"/>
          </w:tcPr>
          <w:p w:rsidR="00D67EB2" w:rsidRPr="00962957" w:rsidP="00D67EB2" w14:paraId="395E714F" w14:textId="16321FE4">
            <w:pPr>
              <w:spacing w:after="0"/>
              <w:jc w:val="center"/>
              <w:rPr>
                <w:rFonts w:ascii="Calibri" w:eastAsia="Times New Roman" w:hAnsi="Calibri" w:cs="Calibri"/>
                <w:sz w:val="20"/>
                <w:szCs w:val="24"/>
              </w:rPr>
            </w:pPr>
            <w:r w:rsidRPr="00962957">
              <w:rPr>
                <w:rFonts w:ascii="Calibri" w:eastAsia="Times New Roman" w:hAnsi="Calibri" w:cs="Calibri"/>
                <w:sz w:val="20"/>
                <w:szCs w:val="24"/>
              </w:rPr>
              <w:t>Form completion</w:t>
            </w:r>
          </w:p>
        </w:tc>
        <w:tc>
          <w:tcPr>
            <w:tcW w:w="1266" w:type="pct"/>
            <w:shd w:val="clear" w:color="auto" w:fill="auto"/>
          </w:tcPr>
          <w:p w:rsidR="00D67EB2" w:rsidRPr="00962957" w:rsidP="00045E43" w14:paraId="772DBA8A" w14:textId="1BFE1AA3">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71 </w:t>
            </w:r>
          </w:p>
        </w:tc>
        <w:tc>
          <w:tcPr>
            <w:tcW w:w="1060" w:type="pct"/>
            <w:shd w:val="clear" w:color="auto" w:fill="auto"/>
          </w:tcPr>
          <w:p w:rsidR="00D67EB2" w:rsidRPr="00962957" w:rsidP="00045E43" w14:paraId="305A2DFB" w14:textId="7E50AA84">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136.6 </w:t>
            </w:r>
          </w:p>
        </w:tc>
        <w:tc>
          <w:tcPr>
            <w:tcW w:w="1353" w:type="pct"/>
            <w:shd w:val="clear" w:color="auto" w:fill="auto"/>
          </w:tcPr>
          <w:p w:rsidR="00D67EB2" w:rsidRPr="00962957" w:rsidP="00045E43" w14:paraId="0EA2B4C1" w14:textId="77AA78D8">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103.8 </w:t>
            </w:r>
          </w:p>
        </w:tc>
      </w:tr>
      <w:tr w14:paraId="3C5B009C" w14:textId="77777777" w:rsidTr="2D725C34">
        <w:tblPrEx>
          <w:tblW w:w="3994" w:type="pct"/>
          <w:tblLayout w:type="fixed"/>
          <w:tblLook w:val="04A0"/>
        </w:tblPrEx>
        <w:trPr>
          <w:trHeight w:val="300"/>
        </w:trPr>
        <w:tc>
          <w:tcPr>
            <w:tcW w:w="1321" w:type="pct"/>
            <w:shd w:val="clear" w:color="auto" w:fill="auto"/>
          </w:tcPr>
          <w:p w:rsidR="00D67EB2" w:rsidRPr="00962957" w:rsidP="00D67EB2" w14:paraId="0D99BF63" w14:textId="61EAF013">
            <w:pPr>
              <w:spacing w:after="0"/>
              <w:jc w:val="center"/>
              <w:rPr>
                <w:rFonts w:ascii="Calibri" w:eastAsia="Times New Roman" w:hAnsi="Calibri" w:cs="Calibri"/>
                <w:sz w:val="20"/>
                <w:szCs w:val="24"/>
              </w:rPr>
            </w:pPr>
            <w:r w:rsidRPr="00962957">
              <w:rPr>
                <w:rFonts w:ascii="Calibri" w:eastAsia="Times New Roman" w:hAnsi="Calibri" w:cs="Calibri"/>
                <w:sz w:val="20"/>
                <w:szCs w:val="24"/>
              </w:rPr>
              <w:t>CBI substantiation</w:t>
            </w:r>
          </w:p>
        </w:tc>
        <w:tc>
          <w:tcPr>
            <w:tcW w:w="1266" w:type="pct"/>
            <w:shd w:val="clear" w:color="auto" w:fill="auto"/>
          </w:tcPr>
          <w:p w:rsidR="00D67EB2" w:rsidRPr="00962957" w:rsidP="00045E43" w14:paraId="5E4FF1E9" w14:textId="0D09019E">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0.78 </w:t>
            </w:r>
          </w:p>
        </w:tc>
        <w:tc>
          <w:tcPr>
            <w:tcW w:w="1060" w:type="pct"/>
            <w:shd w:val="clear" w:color="auto" w:fill="auto"/>
          </w:tcPr>
          <w:p w:rsidR="00D67EB2" w:rsidRPr="00962957" w:rsidP="00045E43" w14:paraId="3C005348" w14:textId="2D8FAF6A">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1.5 </w:t>
            </w:r>
          </w:p>
        </w:tc>
        <w:tc>
          <w:tcPr>
            <w:tcW w:w="1353" w:type="pct"/>
            <w:shd w:val="clear" w:color="auto" w:fill="auto"/>
          </w:tcPr>
          <w:p w:rsidR="00D67EB2" w:rsidRPr="00962957" w:rsidP="00045E43" w14:paraId="7387D09D" w14:textId="7C494501">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1.14 </w:t>
            </w:r>
          </w:p>
        </w:tc>
      </w:tr>
      <w:tr w14:paraId="09352E1B" w14:textId="77777777" w:rsidTr="2D725C34">
        <w:tblPrEx>
          <w:tblW w:w="3994" w:type="pct"/>
          <w:tblLayout w:type="fixed"/>
          <w:tblLook w:val="04A0"/>
        </w:tblPrEx>
        <w:trPr>
          <w:trHeight w:val="300"/>
        </w:trPr>
        <w:tc>
          <w:tcPr>
            <w:tcW w:w="1321" w:type="pct"/>
            <w:shd w:val="clear" w:color="auto" w:fill="auto"/>
            <w:noWrap/>
          </w:tcPr>
          <w:p w:rsidR="00D67EB2" w:rsidRPr="00962957" w:rsidP="00D67EB2" w14:paraId="0A3337F8" w14:textId="21E92CDA">
            <w:pPr>
              <w:spacing w:after="0"/>
              <w:jc w:val="center"/>
              <w:rPr>
                <w:rFonts w:ascii="Calibri" w:eastAsia="Times New Roman" w:hAnsi="Calibri" w:cs="Calibri"/>
                <w:sz w:val="20"/>
                <w:szCs w:val="24"/>
              </w:rPr>
            </w:pPr>
            <w:r w:rsidRPr="00962957">
              <w:rPr>
                <w:rFonts w:ascii="Calibri" w:eastAsia="Times New Roman" w:hAnsi="Calibri" w:cs="Calibri"/>
                <w:sz w:val="20"/>
                <w:szCs w:val="24"/>
              </w:rPr>
              <w:t>Form submission</w:t>
            </w:r>
          </w:p>
        </w:tc>
        <w:tc>
          <w:tcPr>
            <w:tcW w:w="1266" w:type="pct"/>
            <w:shd w:val="clear" w:color="auto" w:fill="auto"/>
            <w:noWrap/>
          </w:tcPr>
          <w:p w:rsidR="00D67EB2" w:rsidRPr="00962957" w:rsidP="00045E43" w14:paraId="69F6C9A8" w14:textId="096A79D8">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0.17 </w:t>
            </w:r>
          </w:p>
        </w:tc>
        <w:tc>
          <w:tcPr>
            <w:tcW w:w="1060" w:type="pct"/>
            <w:shd w:val="clear" w:color="auto" w:fill="auto"/>
            <w:noWrap/>
          </w:tcPr>
          <w:p w:rsidR="00D67EB2" w:rsidRPr="00962957" w:rsidP="00045E43" w14:paraId="3BA32473" w14:textId="54D1145B">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1.42 </w:t>
            </w:r>
          </w:p>
        </w:tc>
        <w:tc>
          <w:tcPr>
            <w:tcW w:w="1353" w:type="pct"/>
            <w:shd w:val="clear" w:color="auto" w:fill="auto"/>
            <w:noWrap/>
          </w:tcPr>
          <w:p w:rsidR="00D67EB2" w:rsidRPr="00962957" w:rsidP="00045E43" w14:paraId="7CBA1143" w14:textId="7406CC6F">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0.80 </w:t>
            </w:r>
          </w:p>
        </w:tc>
      </w:tr>
      <w:tr w14:paraId="68305DD8" w14:textId="77777777" w:rsidTr="2D725C34">
        <w:tblPrEx>
          <w:tblW w:w="3994" w:type="pct"/>
          <w:tblLayout w:type="fixed"/>
          <w:tblLook w:val="04A0"/>
        </w:tblPrEx>
        <w:trPr>
          <w:trHeight w:val="300"/>
        </w:trPr>
        <w:tc>
          <w:tcPr>
            <w:tcW w:w="1321" w:type="pct"/>
            <w:shd w:val="clear" w:color="auto" w:fill="auto"/>
            <w:noWrap/>
          </w:tcPr>
          <w:p w:rsidR="00D67EB2" w:rsidRPr="00962957" w:rsidP="00D67EB2" w14:paraId="58367189" w14:textId="2B8182A0">
            <w:pPr>
              <w:spacing w:after="0"/>
              <w:jc w:val="center"/>
              <w:rPr>
                <w:rFonts w:ascii="Calibri" w:eastAsia="Times New Roman" w:hAnsi="Calibri" w:cs="Calibri"/>
                <w:sz w:val="20"/>
                <w:szCs w:val="24"/>
              </w:rPr>
            </w:pPr>
            <w:r w:rsidRPr="00962957">
              <w:rPr>
                <w:rFonts w:ascii="Calibri" w:eastAsia="Times New Roman" w:hAnsi="Calibri" w:cs="Calibri"/>
                <w:sz w:val="20"/>
                <w:szCs w:val="24"/>
              </w:rPr>
              <w:t>Recordkeeping</w:t>
            </w:r>
          </w:p>
        </w:tc>
        <w:tc>
          <w:tcPr>
            <w:tcW w:w="1266" w:type="pct"/>
            <w:shd w:val="clear" w:color="auto" w:fill="auto"/>
            <w:noWrap/>
          </w:tcPr>
          <w:p w:rsidR="00D67EB2" w:rsidRPr="00962957" w:rsidP="00045E43" w14:paraId="3BAE89A9" w14:textId="227CEF52">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0.5 </w:t>
            </w:r>
          </w:p>
        </w:tc>
        <w:tc>
          <w:tcPr>
            <w:tcW w:w="1060" w:type="pct"/>
            <w:shd w:val="clear" w:color="auto" w:fill="auto"/>
            <w:noWrap/>
          </w:tcPr>
          <w:p w:rsidR="00D67EB2" w:rsidRPr="00962957" w:rsidP="00045E43" w14:paraId="31E3D9A9" w14:textId="2DF5E34C">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1 </w:t>
            </w:r>
          </w:p>
        </w:tc>
        <w:tc>
          <w:tcPr>
            <w:tcW w:w="1353" w:type="pct"/>
            <w:shd w:val="clear" w:color="auto" w:fill="auto"/>
            <w:noWrap/>
          </w:tcPr>
          <w:p w:rsidR="00D67EB2" w:rsidRPr="00962957" w:rsidP="00045E43" w14:paraId="0D21E3E4" w14:textId="4D1DB187">
            <w:pPr>
              <w:spacing w:after="0"/>
              <w:jc w:val="right"/>
              <w:rPr>
                <w:rFonts w:ascii="Calibri" w:eastAsia="Times New Roman" w:hAnsi="Calibri" w:cs="Calibri"/>
                <w:sz w:val="20"/>
                <w:szCs w:val="24"/>
              </w:rPr>
            </w:pPr>
            <w:r w:rsidRPr="00962957">
              <w:rPr>
                <w:rFonts w:ascii="Calibri" w:eastAsia="Times New Roman" w:hAnsi="Calibri" w:cs="Calibri"/>
                <w:sz w:val="20"/>
                <w:szCs w:val="24"/>
              </w:rPr>
              <w:t xml:space="preserve">0.75 </w:t>
            </w:r>
          </w:p>
        </w:tc>
      </w:tr>
    </w:tbl>
    <w:p w:rsidR="00962957" w:rsidRPr="00962957" w:rsidP="00962957" w14:paraId="228D1444" w14:textId="4F7393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Calibri" w:hAnsi="Calibri" w:cs="Calibri"/>
        </w:rPr>
      </w:pPr>
      <w:r w:rsidRPr="00962957">
        <w:rPr>
          <w:rFonts w:ascii="Calibri" w:hAnsi="Calibri" w:cs="Calibri"/>
        </w:rPr>
        <w:t xml:space="preserve">Table </w:t>
      </w:r>
      <w:r>
        <w:rPr>
          <w:rFonts w:ascii="Calibri" w:hAnsi="Calibri" w:cs="Calibri"/>
        </w:rPr>
        <w:t>17</w:t>
      </w:r>
      <w:r w:rsidRPr="00962957">
        <w:rPr>
          <w:rFonts w:ascii="Calibri" w:hAnsi="Calibri" w:cs="Calibri"/>
        </w:rPr>
        <w:t xml:space="preserve"> provides a summary of typical respondent burden by activity for rule familiarization, completion of a report, CBI claim substantiation, and recordkeeping</w:t>
      </w:r>
      <w:r w:rsidRPr="00962957">
        <w:rPr>
          <w:rFonts w:ascii="Calibri" w:hAnsi="Calibri" w:cs="Calibri"/>
        </w:rPr>
        <w:t>.</w:t>
      </w:r>
    </w:p>
    <w:p w:rsidR="00962957" w:rsidRPr="00962957" w:rsidP="00D67EB2" w14:paraId="194F44A8" w14:textId="14FC81F0">
      <w:pPr>
        <w:spacing w:after="0"/>
        <w:rPr>
          <w:rFonts w:ascii="Calibri" w:hAnsi="Calibri" w:cs="Calibri"/>
          <w:b/>
          <w:bCs/>
        </w:rPr>
      </w:pPr>
      <w:r w:rsidRPr="00962957">
        <w:rPr>
          <w:rFonts w:ascii="Calibri" w:hAnsi="Calibri" w:cs="Calibri"/>
          <w:b/>
          <w:bCs/>
        </w:rPr>
        <w:t xml:space="preserve">Table </w:t>
      </w:r>
      <w:r w:rsidR="009200C4">
        <w:rPr>
          <w:rFonts w:ascii="Calibri" w:hAnsi="Calibri" w:cs="Calibri"/>
          <w:b/>
          <w:bCs/>
        </w:rPr>
        <w:t>1</w:t>
      </w:r>
      <w:r w:rsidR="00D67EB2">
        <w:rPr>
          <w:rFonts w:ascii="Calibri" w:hAnsi="Calibri" w:cs="Calibri"/>
          <w:b/>
          <w:bCs/>
        </w:rPr>
        <w:t>7</w:t>
      </w:r>
      <w:r w:rsidRPr="00962957">
        <w:rPr>
          <w:rFonts w:ascii="Calibri" w:hAnsi="Calibri" w:cs="Calibri"/>
          <w:b/>
          <w:bCs/>
        </w:rPr>
        <w:t xml:space="preserve">: </w:t>
      </w:r>
      <w:r w:rsidRPr="00AD1195" w:rsidR="00AD1195">
        <w:rPr>
          <w:rFonts w:ascii="Calibri" w:hAnsi="Calibri" w:cs="Calibri"/>
          <w:b/>
          <w:bCs/>
        </w:rPr>
        <w:t>Industry Burden per year, by activity for TSCA 8(a) Nanomaterials</w:t>
      </w:r>
    </w:p>
    <w:tbl>
      <w:tblPr>
        <w:tblW w:w="4846" w:type="pct"/>
        <w:tblLayout w:type="fixed"/>
        <w:tblLook w:val="04A0"/>
      </w:tblPr>
      <w:tblGrid>
        <w:gridCol w:w="3037"/>
        <w:gridCol w:w="1205"/>
        <w:gridCol w:w="1205"/>
        <w:gridCol w:w="1301"/>
        <w:gridCol w:w="1109"/>
        <w:gridCol w:w="1205"/>
      </w:tblGrid>
      <w:tr w14:paraId="710AC05D" w14:textId="77777777" w:rsidTr="00B2051D">
        <w:tblPrEx>
          <w:tblW w:w="4846" w:type="pct"/>
          <w:tblLayout w:type="fixed"/>
          <w:tblLook w:val="04A0"/>
        </w:tblPrEx>
        <w:trPr>
          <w:trHeight w:val="300"/>
        </w:trPr>
        <w:tc>
          <w:tcPr>
            <w:tcW w:w="16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2957" w:rsidRPr="00962957" w14:paraId="11098D3E" w14:textId="77777777">
            <w:pPr>
              <w:spacing w:after="0"/>
              <w:jc w:val="center"/>
              <w:rPr>
                <w:rFonts w:ascii="Calibri" w:eastAsia="Times New Roman" w:hAnsi="Calibri" w:cs="Calibri"/>
                <w:b/>
                <w:sz w:val="20"/>
                <w:szCs w:val="24"/>
              </w:rPr>
            </w:pPr>
            <w:r w:rsidRPr="00962957">
              <w:rPr>
                <w:rFonts w:ascii="Calibri" w:eastAsia="Times New Roman" w:hAnsi="Calibri" w:cs="Calibri"/>
                <w:b/>
                <w:sz w:val="20"/>
                <w:szCs w:val="24"/>
              </w:rPr>
              <w:t>Activity</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2957" w:rsidRPr="00962957" w14:paraId="367C3D72" w14:textId="77777777">
            <w:pPr>
              <w:spacing w:after="0"/>
              <w:jc w:val="center"/>
              <w:rPr>
                <w:rFonts w:ascii="Calibri" w:eastAsia="Times New Roman" w:hAnsi="Calibri" w:cs="Calibri"/>
                <w:b/>
                <w:sz w:val="20"/>
                <w:szCs w:val="24"/>
              </w:rPr>
            </w:pPr>
            <w:r w:rsidRPr="00962957">
              <w:rPr>
                <w:rFonts w:ascii="Calibri" w:eastAsia="Times New Roman" w:hAnsi="Calibri" w:cs="Calibri"/>
                <w:b/>
                <w:sz w:val="20"/>
                <w:szCs w:val="24"/>
              </w:rPr>
              <w:t>Clerical Burden</w:t>
            </w:r>
          </w:p>
          <w:p w:rsidR="00962957" w:rsidRPr="00962957" w14:paraId="574E018C" w14:textId="77777777">
            <w:pPr>
              <w:spacing w:after="0"/>
              <w:jc w:val="center"/>
              <w:rPr>
                <w:rFonts w:ascii="Calibri" w:eastAsia="Times New Roman" w:hAnsi="Calibri" w:cs="Calibri"/>
                <w:b/>
                <w:sz w:val="20"/>
                <w:szCs w:val="24"/>
              </w:rPr>
            </w:pPr>
            <w:r w:rsidRPr="00962957">
              <w:rPr>
                <w:rFonts w:ascii="Calibri" w:eastAsia="Times New Roman" w:hAnsi="Calibri" w:cs="Calibri"/>
                <w:b/>
                <w:bCs/>
                <w:sz w:val="20"/>
                <w:szCs w:val="16"/>
              </w:rPr>
              <w:t>(hours)</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2957" w:rsidRPr="00962957" w14:paraId="669E4E78" w14:textId="77777777">
            <w:pPr>
              <w:spacing w:after="0"/>
              <w:jc w:val="center"/>
              <w:rPr>
                <w:rFonts w:ascii="Calibri" w:eastAsia="Times New Roman" w:hAnsi="Calibri" w:cs="Calibri"/>
                <w:b/>
                <w:sz w:val="20"/>
                <w:szCs w:val="24"/>
              </w:rPr>
            </w:pPr>
            <w:r w:rsidRPr="00962957">
              <w:rPr>
                <w:rFonts w:ascii="Calibri" w:eastAsia="Times New Roman" w:hAnsi="Calibri" w:cs="Calibri"/>
                <w:b/>
                <w:sz w:val="20"/>
                <w:szCs w:val="24"/>
              </w:rPr>
              <w:t>Technical Burden</w:t>
            </w:r>
          </w:p>
          <w:p w:rsidR="00962957" w:rsidRPr="00962957" w14:paraId="62354009" w14:textId="77777777">
            <w:pPr>
              <w:spacing w:after="0"/>
              <w:jc w:val="center"/>
              <w:rPr>
                <w:rFonts w:ascii="Calibri" w:eastAsia="Times New Roman" w:hAnsi="Calibri" w:cs="Calibri"/>
                <w:sz w:val="20"/>
                <w:szCs w:val="24"/>
              </w:rPr>
            </w:pPr>
            <w:r w:rsidRPr="00962957">
              <w:rPr>
                <w:rFonts w:ascii="Calibri" w:eastAsia="Times New Roman" w:hAnsi="Calibri" w:cs="Calibri"/>
                <w:b/>
                <w:bCs/>
                <w:sz w:val="20"/>
                <w:szCs w:val="16"/>
              </w:rPr>
              <w:t>(hours)</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2957" w:rsidRPr="00962957" w14:paraId="2FE68F6F" w14:textId="77777777">
            <w:pPr>
              <w:spacing w:after="0"/>
              <w:jc w:val="center"/>
              <w:rPr>
                <w:rFonts w:ascii="Calibri" w:eastAsia="Times New Roman" w:hAnsi="Calibri" w:cs="Calibri"/>
                <w:b/>
                <w:sz w:val="20"/>
                <w:szCs w:val="24"/>
              </w:rPr>
            </w:pPr>
            <w:r w:rsidRPr="00962957">
              <w:rPr>
                <w:rFonts w:ascii="Calibri" w:eastAsia="Times New Roman" w:hAnsi="Calibri" w:cs="Calibri"/>
                <w:b/>
                <w:sz w:val="20"/>
                <w:szCs w:val="24"/>
              </w:rPr>
              <w:t>Managerial Burden</w:t>
            </w:r>
          </w:p>
          <w:p w:rsidR="00962957" w:rsidRPr="00962957" w14:paraId="3B1959F6" w14:textId="77777777">
            <w:pPr>
              <w:spacing w:after="0"/>
              <w:jc w:val="center"/>
              <w:rPr>
                <w:rFonts w:ascii="Calibri" w:eastAsia="Times New Roman" w:hAnsi="Calibri" w:cs="Calibri"/>
                <w:sz w:val="20"/>
                <w:szCs w:val="24"/>
              </w:rPr>
            </w:pPr>
            <w:r w:rsidRPr="00962957">
              <w:rPr>
                <w:rFonts w:ascii="Calibri" w:eastAsia="Times New Roman" w:hAnsi="Calibri" w:cs="Calibri"/>
                <w:b/>
                <w:bCs/>
                <w:sz w:val="20"/>
                <w:szCs w:val="16"/>
              </w:rPr>
              <w:t>(hours)</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2957" w:rsidRPr="00962957" w14:paraId="569CF487" w14:textId="77777777">
            <w:pPr>
              <w:spacing w:after="0"/>
              <w:jc w:val="center"/>
              <w:rPr>
                <w:rFonts w:ascii="Calibri" w:eastAsia="Times New Roman" w:hAnsi="Calibri" w:cs="Calibri"/>
                <w:b/>
                <w:bCs/>
                <w:sz w:val="20"/>
                <w:szCs w:val="16"/>
              </w:rPr>
            </w:pPr>
            <w:r w:rsidRPr="00962957">
              <w:rPr>
                <w:rFonts w:ascii="Calibri" w:eastAsia="Times New Roman" w:hAnsi="Calibri" w:cs="Calibri"/>
                <w:b/>
                <w:bCs/>
                <w:sz w:val="20"/>
                <w:szCs w:val="16"/>
              </w:rPr>
              <w:t>Attorney Burden</w:t>
            </w:r>
          </w:p>
          <w:p w:rsidR="00962957" w:rsidRPr="00962957" w14:paraId="5E5DC7CB" w14:textId="77777777">
            <w:pPr>
              <w:spacing w:after="0"/>
              <w:jc w:val="center"/>
              <w:rPr>
                <w:rFonts w:ascii="Calibri" w:eastAsia="Times New Roman" w:hAnsi="Calibri" w:cs="Calibri"/>
                <w:bCs/>
                <w:sz w:val="20"/>
                <w:szCs w:val="16"/>
              </w:rPr>
            </w:pPr>
            <w:r w:rsidRPr="00962957">
              <w:rPr>
                <w:rFonts w:ascii="Calibri" w:eastAsia="Times New Roman" w:hAnsi="Calibri" w:cs="Calibri"/>
                <w:b/>
                <w:bCs/>
                <w:sz w:val="20"/>
                <w:szCs w:val="16"/>
              </w:rPr>
              <w:t>(hours)</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2957" w:rsidRPr="00962957" w14:paraId="4EC68E09" w14:textId="77777777">
            <w:pPr>
              <w:spacing w:after="0"/>
              <w:jc w:val="center"/>
              <w:rPr>
                <w:rFonts w:ascii="Calibri" w:eastAsia="Times New Roman" w:hAnsi="Calibri" w:cs="Calibri"/>
                <w:b/>
                <w:sz w:val="20"/>
                <w:szCs w:val="24"/>
              </w:rPr>
            </w:pPr>
            <w:r w:rsidRPr="00962957">
              <w:rPr>
                <w:rFonts w:ascii="Calibri" w:eastAsia="Times New Roman" w:hAnsi="Calibri" w:cs="Calibri"/>
                <w:b/>
                <w:sz w:val="20"/>
                <w:szCs w:val="24"/>
              </w:rPr>
              <w:t xml:space="preserve">Total Burden </w:t>
            </w:r>
          </w:p>
          <w:p w:rsidR="00962957" w:rsidRPr="00962957" w14:paraId="3243E090" w14:textId="77777777">
            <w:pPr>
              <w:spacing w:after="0"/>
              <w:jc w:val="center"/>
              <w:rPr>
                <w:rFonts w:ascii="Calibri" w:eastAsia="Times New Roman" w:hAnsi="Calibri" w:cs="Calibri"/>
                <w:b/>
                <w:sz w:val="20"/>
                <w:szCs w:val="24"/>
              </w:rPr>
            </w:pPr>
            <w:r w:rsidRPr="00962957">
              <w:rPr>
                <w:rFonts w:ascii="Calibri" w:eastAsia="Times New Roman" w:hAnsi="Calibri" w:cs="Calibri"/>
                <w:b/>
                <w:bCs/>
                <w:sz w:val="20"/>
                <w:szCs w:val="16"/>
              </w:rPr>
              <w:t>(hours)</w:t>
            </w:r>
          </w:p>
        </w:tc>
      </w:tr>
      <w:tr w14:paraId="65795BA4" w14:textId="77777777" w:rsidTr="00B2051D">
        <w:tblPrEx>
          <w:tblW w:w="4846" w:type="pct"/>
          <w:tblLayout w:type="fixed"/>
          <w:tblLook w:val="04A0"/>
        </w:tblPrEx>
        <w:trPr>
          <w:trHeight w:val="315"/>
        </w:trPr>
        <w:tc>
          <w:tcPr>
            <w:tcW w:w="1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448297A3" w14:textId="77777777">
            <w:pPr>
              <w:spacing w:after="0"/>
              <w:rPr>
                <w:rFonts w:ascii="Calibri" w:eastAsia="Times New Roman" w:hAnsi="Calibri" w:cs="Calibri"/>
                <w:sz w:val="20"/>
                <w:szCs w:val="24"/>
              </w:rPr>
            </w:pPr>
            <w:r w:rsidRPr="00962957">
              <w:rPr>
                <w:rFonts w:ascii="Calibri" w:eastAsia="Times New Roman" w:hAnsi="Calibri" w:cs="Calibri"/>
                <w:sz w:val="20"/>
                <w:szCs w:val="24"/>
              </w:rPr>
              <w:t>Rule Familiarization</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610018C3"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5BC2D4CB"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0.55</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5C6A556C"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0.27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765BFCBA"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41FB6C5F"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0.82</w:t>
            </w:r>
          </w:p>
        </w:tc>
      </w:tr>
      <w:tr w14:paraId="16864EA0" w14:textId="77777777" w:rsidTr="00B2051D">
        <w:tblPrEx>
          <w:tblW w:w="4846" w:type="pct"/>
          <w:tblLayout w:type="fixed"/>
          <w:tblLook w:val="04A0"/>
        </w:tblPrEx>
        <w:trPr>
          <w:trHeight w:val="360"/>
        </w:trPr>
        <w:tc>
          <w:tcPr>
            <w:tcW w:w="1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7BBD8854" w14:textId="77777777">
            <w:pPr>
              <w:spacing w:after="0"/>
              <w:rPr>
                <w:rFonts w:ascii="Calibri" w:eastAsia="Times New Roman" w:hAnsi="Calibri" w:cs="Calibri"/>
                <w:sz w:val="20"/>
                <w:szCs w:val="24"/>
              </w:rPr>
            </w:pPr>
            <w:r w:rsidRPr="00962957">
              <w:rPr>
                <w:rFonts w:ascii="Calibri" w:eastAsia="Times New Roman" w:hAnsi="Calibri" w:cs="Calibri"/>
                <w:sz w:val="20"/>
                <w:szCs w:val="24"/>
              </w:rPr>
              <w:t>Form Completion</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3123F1FB"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4B070093"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79.93</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66ADF1CC"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23.87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3A221C9D"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49B09664"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103.8</w:t>
            </w:r>
          </w:p>
        </w:tc>
      </w:tr>
      <w:tr w14:paraId="737EFE07" w14:textId="77777777" w:rsidTr="00B2051D">
        <w:tblPrEx>
          <w:tblW w:w="4846" w:type="pct"/>
          <w:tblLayout w:type="fixed"/>
          <w:tblLook w:val="04A0"/>
        </w:tblPrEx>
        <w:trPr>
          <w:trHeight w:val="315"/>
        </w:trPr>
        <w:tc>
          <w:tcPr>
            <w:tcW w:w="1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398310DD" w14:textId="77777777">
            <w:pPr>
              <w:spacing w:after="0"/>
              <w:rPr>
                <w:rFonts w:ascii="Calibri" w:eastAsia="Times New Roman" w:hAnsi="Calibri" w:cs="Calibri"/>
                <w:bCs/>
                <w:sz w:val="20"/>
                <w:szCs w:val="16"/>
              </w:rPr>
            </w:pPr>
            <w:r w:rsidRPr="00962957">
              <w:rPr>
                <w:rFonts w:ascii="Calibri" w:eastAsia="Times New Roman" w:hAnsi="Calibri" w:cs="Calibri"/>
                <w:bCs/>
                <w:sz w:val="20"/>
                <w:szCs w:val="16"/>
              </w:rPr>
              <w:t>CBI Claim Substantiation</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742AC5B9"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27F04970"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483E11A6"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0.57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1037DD7B"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0.57</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957" w:rsidRPr="00962957" w14:paraId="4A3878CC"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1.14</w:t>
            </w:r>
          </w:p>
        </w:tc>
      </w:tr>
      <w:tr w14:paraId="7D826D9D" w14:textId="77777777" w:rsidTr="00B2051D">
        <w:tblPrEx>
          <w:tblW w:w="4846" w:type="pct"/>
          <w:tblLayout w:type="fixed"/>
          <w:tblLook w:val="04A0"/>
        </w:tblPrEx>
        <w:trPr>
          <w:trHeight w:val="259"/>
        </w:trPr>
        <w:tc>
          <w:tcPr>
            <w:tcW w:w="1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69E43D2A" w14:textId="77777777">
            <w:pPr>
              <w:spacing w:after="0"/>
              <w:rPr>
                <w:rFonts w:ascii="Calibri" w:eastAsia="Times New Roman" w:hAnsi="Calibri" w:cs="Calibri"/>
                <w:sz w:val="20"/>
                <w:szCs w:val="24"/>
              </w:rPr>
            </w:pPr>
            <w:r w:rsidRPr="00962957">
              <w:rPr>
                <w:rFonts w:ascii="Calibri" w:eastAsia="Times New Roman" w:hAnsi="Calibri" w:cs="Calibri"/>
                <w:sz w:val="20"/>
                <w:szCs w:val="24"/>
              </w:rPr>
              <w:t>Recordkeeping</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740B6060"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0.37</w:t>
            </w:r>
            <w:r w:rsidRPr="00962957">
              <w:rPr>
                <w:rFonts w:ascii="Calibri" w:eastAsia="Times New Roman" w:hAnsi="Calibri" w:cs="Calibri"/>
                <w:bCs/>
                <w:sz w:val="20"/>
                <w:szCs w:val="16"/>
              </w:rPr>
              <w:t>5</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737D4732"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0.37</w:t>
            </w:r>
            <w:r w:rsidRPr="00962957">
              <w:rPr>
                <w:rFonts w:ascii="Calibri" w:eastAsia="Times New Roman" w:hAnsi="Calibri" w:cs="Calibri"/>
                <w:bCs/>
                <w:sz w:val="20"/>
                <w:szCs w:val="16"/>
              </w:rPr>
              <w:t>5</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282140FA"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1EC67B62" w14:textId="77777777">
            <w:pPr>
              <w:spacing w:after="0"/>
              <w:jc w:val="right"/>
              <w:rPr>
                <w:rFonts w:ascii="Calibri" w:eastAsia="Times New Roman" w:hAnsi="Calibri" w:cs="Calibri"/>
                <w:bCs/>
                <w:sz w:val="20"/>
                <w:szCs w:val="16"/>
              </w:rPr>
            </w:pPr>
            <w:r w:rsidRPr="00962957">
              <w:rPr>
                <w:rFonts w:ascii="Calibri" w:eastAsia="Times New Roman" w:hAnsi="Calibri" w:cs="Calibri"/>
                <w:bCs/>
                <w:sz w:val="20"/>
                <w:szCs w:val="16"/>
              </w:rPr>
              <w:t>0 </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3F7819CC" w14:textId="77777777">
            <w:pPr>
              <w:spacing w:after="0"/>
              <w:jc w:val="right"/>
              <w:rPr>
                <w:rFonts w:ascii="Calibri" w:eastAsia="Times New Roman" w:hAnsi="Calibri" w:cs="Calibri"/>
                <w:sz w:val="20"/>
                <w:szCs w:val="24"/>
              </w:rPr>
            </w:pPr>
            <w:r w:rsidRPr="00962957">
              <w:rPr>
                <w:rFonts w:ascii="Calibri" w:eastAsia="Times New Roman" w:hAnsi="Calibri" w:cs="Calibri"/>
                <w:sz w:val="20"/>
                <w:szCs w:val="24"/>
              </w:rPr>
              <w:t>0.75</w:t>
            </w:r>
          </w:p>
        </w:tc>
      </w:tr>
      <w:tr w14:paraId="2A23782E" w14:textId="77777777" w:rsidTr="00B2051D">
        <w:tblPrEx>
          <w:tblW w:w="4846" w:type="pct"/>
          <w:tblLayout w:type="fixed"/>
          <w:tblLook w:val="04A0"/>
        </w:tblPrEx>
        <w:trPr>
          <w:trHeight w:val="315"/>
        </w:trPr>
        <w:tc>
          <w:tcPr>
            <w:tcW w:w="1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0FB41D52" w14:textId="77777777">
            <w:pPr>
              <w:spacing w:after="0"/>
              <w:rPr>
                <w:rFonts w:ascii="Calibri" w:eastAsia="Times New Roman" w:hAnsi="Calibri" w:cs="Calibri"/>
                <w:b/>
                <w:sz w:val="20"/>
                <w:szCs w:val="24"/>
              </w:rPr>
            </w:pPr>
            <w:r w:rsidRPr="00962957">
              <w:rPr>
                <w:rFonts w:ascii="Calibri" w:eastAsia="Times New Roman" w:hAnsi="Calibri" w:cs="Calibri"/>
                <w:b/>
                <w:sz w:val="20"/>
                <w:szCs w:val="24"/>
              </w:rPr>
              <w:t>Total Burden per Report</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0BD57AE1" w14:textId="77777777">
            <w:pPr>
              <w:spacing w:after="0"/>
              <w:jc w:val="right"/>
              <w:rPr>
                <w:rFonts w:ascii="Calibri" w:eastAsia="Times New Roman" w:hAnsi="Calibri" w:cs="Calibri"/>
                <w:b/>
                <w:sz w:val="20"/>
                <w:szCs w:val="24"/>
              </w:rPr>
            </w:pPr>
            <w:r w:rsidRPr="00962957">
              <w:rPr>
                <w:rFonts w:ascii="Calibri" w:eastAsia="Times New Roman" w:hAnsi="Calibri" w:cs="Calibri"/>
                <w:b/>
                <w:sz w:val="20"/>
                <w:szCs w:val="24"/>
              </w:rPr>
              <w:t>0.37</w:t>
            </w:r>
            <w:r w:rsidRPr="00962957">
              <w:rPr>
                <w:rFonts w:ascii="Calibri" w:eastAsia="Times New Roman" w:hAnsi="Calibri" w:cs="Calibri"/>
                <w:b/>
                <w:bCs/>
                <w:sz w:val="20"/>
                <w:szCs w:val="16"/>
              </w:rPr>
              <w:t>5</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17D7C409" w14:textId="77777777">
            <w:pPr>
              <w:spacing w:after="0"/>
              <w:jc w:val="right"/>
              <w:rPr>
                <w:rFonts w:ascii="Calibri" w:eastAsia="Times New Roman" w:hAnsi="Calibri" w:cs="Calibri"/>
                <w:b/>
                <w:sz w:val="20"/>
                <w:szCs w:val="24"/>
              </w:rPr>
            </w:pPr>
            <w:r w:rsidRPr="00962957">
              <w:rPr>
                <w:rFonts w:ascii="Calibri" w:eastAsia="Times New Roman" w:hAnsi="Calibri" w:cs="Calibri"/>
                <w:b/>
                <w:sz w:val="20"/>
                <w:szCs w:val="24"/>
              </w:rPr>
              <w:t>80.85</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4B884CE2" w14:textId="77777777">
            <w:pPr>
              <w:spacing w:after="0"/>
              <w:jc w:val="right"/>
              <w:rPr>
                <w:rFonts w:ascii="Calibri" w:eastAsia="Times New Roman" w:hAnsi="Calibri" w:cs="Calibri"/>
                <w:b/>
                <w:sz w:val="20"/>
                <w:szCs w:val="24"/>
              </w:rPr>
            </w:pPr>
            <w:r w:rsidRPr="00962957">
              <w:rPr>
                <w:rFonts w:ascii="Calibri" w:eastAsia="Times New Roman" w:hAnsi="Calibri" w:cs="Calibri"/>
                <w:b/>
                <w:sz w:val="20"/>
                <w:szCs w:val="24"/>
              </w:rPr>
              <w:t>24.71</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46FA5C1C" w14:textId="77777777">
            <w:pPr>
              <w:spacing w:after="0"/>
              <w:jc w:val="right"/>
              <w:rPr>
                <w:rFonts w:ascii="Calibri" w:eastAsia="Times New Roman" w:hAnsi="Calibri" w:cs="Calibri"/>
                <w:b/>
                <w:sz w:val="20"/>
                <w:szCs w:val="24"/>
              </w:rPr>
            </w:pPr>
            <w:r w:rsidRPr="00962957">
              <w:rPr>
                <w:rFonts w:ascii="Calibri" w:eastAsia="Times New Roman" w:hAnsi="Calibri" w:cs="Calibri"/>
                <w:b/>
                <w:bCs/>
                <w:sz w:val="20"/>
                <w:szCs w:val="16"/>
              </w:rPr>
              <w:t>0.57 </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57" w:rsidRPr="00962957" w14:paraId="0DAC6821" w14:textId="77777777">
            <w:pPr>
              <w:spacing w:after="0"/>
              <w:jc w:val="right"/>
              <w:rPr>
                <w:rFonts w:ascii="Calibri" w:eastAsia="Times New Roman" w:hAnsi="Calibri" w:cs="Calibri"/>
                <w:b/>
                <w:bCs/>
                <w:sz w:val="20"/>
                <w:szCs w:val="16"/>
              </w:rPr>
            </w:pPr>
            <w:r w:rsidRPr="00962957">
              <w:rPr>
                <w:rFonts w:ascii="Calibri" w:eastAsia="Times New Roman" w:hAnsi="Calibri" w:cs="Calibri"/>
                <w:b/>
                <w:bCs/>
                <w:sz w:val="20"/>
                <w:szCs w:val="16"/>
              </w:rPr>
              <w:t>106.5</w:t>
            </w:r>
          </w:p>
        </w:tc>
      </w:tr>
      <w:tr w14:paraId="2B9480AC" w14:textId="77777777" w:rsidTr="00B2051D">
        <w:tblPrEx>
          <w:tblW w:w="4846" w:type="pct"/>
          <w:tblLayout w:type="fixed"/>
          <w:tblLook w:val="04A0"/>
        </w:tblPrEx>
        <w:trPr>
          <w:trHeight w:val="133"/>
        </w:trPr>
        <w:tc>
          <w:tcPr>
            <w:tcW w:w="5000" w:type="pct"/>
            <w:gridSpan w:val="6"/>
            <w:tcBorders>
              <w:top w:val="single" w:sz="4" w:space="0" w:color="auto"/>
              <w:bottom w:val="nil"/>
            </w:tcBorders>
            <w:shd w:val="clear" w:color="auto" w:fill="auto"/>
            <w:noWrap/>
          </w:tcPr>
          <w:p w:rsidR="00962957" w:rsidRPr="00962957" w14:paraId="2DC64D69" w14:textId="77777777">
            <w:pPr>
              <w:spacing w:after="0"/>
              <w:rPr>
                <w:rFonts w:ascii="Calibri" w:eastAsia="Times New Roman" w:hAnsi="Calibri" w:cs="Calibri"/>
                <w:bCs/>
                <w:sz w:val="20"/>
                <w:szCs w:val="16"/>
              </w:rPr>
            </w:pPr>
            <w:r w:rsidRPr="00962957">
              <w:rPr>
                <w:rFonts w:ascii="Calibri" w:hAnsi="Calibri" w:cs="Calibri"/>
                <w:sz w:val="18"/>
                <w:szCs w:val="20"/>
              </w:rPr>
              <w:t>Values may not sum due to rounding.</w:t>
            </w:r>
          </w:p>
        </w:tc>
      </w:tr>
    </w:tbl>
    <w:p w:rsidR="00962957" w:rsidRPr="00962957" w:rsidP="00962957" w14:paraId="7B1923EB" w14:textId="2D7A97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Calibri" w:hAnsi="Calibri" w:cs="Calibri"/>
        </w:rPr>
      </w:pPr>
      <w:bookmarkStart w:id="36" w:name="_Hlk21425244"/>
      <w:r w:rsidRPr="00962957">
        <w:rPr>
          <w:rFonts w:ascii="Calibri" w:hAnsi="Calibri" w:cs="Calibri"/>
        </w:rPr>
        <w:t xml:space="preserve">The burden associated with electronic submission is presented in Table </w:t>
      </w:r>
      <w:r w:rsidR="00D67EB2">
        <w:rPr>
          <w:rFonts w:ascii="Calibri" w:hAnsi="Calibri" w:cs="Calibri"/>
        </w:rPr>
        <w:t>18</w:t>
      </w:r>
      <w:r w:rsidRPr="00962957">
        <w:rPr>
          <w:rFonts w:ascii="Calibri" w:hAnsi="Calibri" w:cs="Calibri"/>
        </w:rPr>
        <w:t xml:space="preserve">. This burden depends on whether a firm is registering for the first time with CDX or has previously registered with CDX. </w:t>
      </w:r>
    </w:p>
    <w:p w:rsidR="00962957" w:rsidRPr="00962957" w:rsidP="00D67EB2" w14:paraId="0E83DB9F" w14:textId="58BE0C90">
      <w:pPr>
        <w:keepNext/>
        <w:spacing w:after="0"/>
        <w:rPr>
          <w:rFonts w:ascii="Calibri" w:hAnsi="Calibri" w:cs="Calibri"/>
          <w:b/>
          <w:bCs/>
        </w:rPr>
      </w:pPr>
      <w:r w:rsidRPr="00962957">
        <w:rPr>
          <w:rFonts w:ascii="Calibri" w:hAnsi="Calibri" w:cs="Calibri"/>
          <w:b/>
          <w:bCs/>
        </w:rPr>
        <w:t xml:space="preserve">Table </w:t>
      </w:r>
      <w:r w:rsidR="00D67EB2">
        <w:rPr>
          <w:rFonts w:ascii="Calibri" w:hAnsi="Calibri" w:cs="Calibri"/>
          <w:b/>
          <w:bCs/>
        </w:rPr>
        <w:t>18</w:t>
      </w:r>
      <w:r w:rsidRPr="00962957">
        <w:rPr>
          <w:rFonts w:ascii="Calibri" w:hAnsi="Calibri" w:cs="Calibri"/>
          <w:b/>
          <w:bCs/>
        </w:rPr>
        <w:t>: Industry Burden, by Activity for Electronic 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8"/>
        <w:gridCol w:w="1217"/>
        <w:gridCol w:w="1219"/>
        <w:gridCol w:w="1217"/>
        <w:gridCol w:w="1219"/>
        <w:gridCol w:w="1560"/>
      </w:tblGrid>
      <w:tr w14:paraId="6F39619C" w14:textId="77777777" w:rsidTr="2D725C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60" w:type="pct"/>
            <w:shd w:val="clear" w:color="auto" w:fill="D9D9D9" w:themeFill="accent6" w:themeFillShade="D9"/>
            <w:vAlign w:val="center"/>
          </w:tcPr>
          <w:bookmarkEnd w:id="36"/>
          <w:p w:rsidR="00962957" w:rsidRPr="00962957" w14:paraId="738D0FF1"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Activity</w:t>
            </w:r>
          </w:p>
        </w:tc>
        <w:tc>
          <w:tcPr>
            <w:tcW w:w="651" w:type="pct"/>
            <w:shd w:val="clear" w:color="auto" w:fill="D9D9D9" w:themeFill="accent6" w:themeFillShade="D9"/>
            <w:vAlign w:val="center"/>
          </w:tcPr>
          <w:p w:rsidR="00962957" w:rsidRPr="00962957" w14:paraId="05A97EB3"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Clerical Burden</w:t>
            </w:r>
          </w:p>
          <w:p w:rsidR="00962957" w:rsidRPr="00962957" w14:paraId="526E4D1A"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(hours)</w:t>
            </w:r>
          </w:p>
        </w:tc>
        <w:tc>
          <w:tcPr>
            <w:tcW w:w="652" w:type="pct"/>
            <w:shd w:val="clear" w:color="auto" w:fill="D9D9D9" w:themeFill="accent6" w:themeFillShade="D9"/>
            <w:vAlign w:val="center"/>
          </w:tcPr>
          <w:p w:rsidR="00962957" w:rsidRPr="00962957" w14:paraId="6C90C180"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Technical Burden</w:t>
            </w:r>
          </w:p>
          <w:p w:rsidR="00962957" w:rsidRPr="00962957" w14:paraId="085C2A4A"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(hours)</w:t>
            </w:r>
          </w:p>
        </w:tc>
        <w:tc>
          <w:tcPr>
            <w:tcW w:w="651" w:type="pct"/>
            <w:shd w:val="clear" w:color="auto" w:fill="D9D9D9" w:themeFill="accent6" w:themeFillShade="D9"/>
            <w:vAlign w:val="center"/>
          </w:tcPr>
          <w:p w:rsidR="00962957" w:rsidRPr="00962957" w14:paraId="52CF03D1"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Managerial Burden (hours)</w:t>
            </w:r>
          </w:p>
        </w:tc>
        <w:tc>
          <w:tcPr>
            <w:tcW w:w="652" w:type="pct"/>
            <w:shd w:val="clear" w:color="auto" w:fill="D9D9D9" w:themeFill="accent6" w:themeFillShade="D9"/>
            <w:vAlign w:val="center"/>
          </w:tcPr>
          <w:p w:rsidR="00962957" w:rsidRPr="00962957" w14:paraId="6AD245D6"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Number of Annual Activities</w:t>
            </w:r>
          </w:p>
        </w:tc>
        <w:tc>
          <w:tcPr>
            <w:tcW w:w="834" w:type="pct"/>
            <w:shd w:val="clear" w:color="auto" w:fill="D9D9D9" w:themeFill="accent6" w:themeFillShade="D9"/>
            <w:vAlign w:val="center"/>
          </w:tcPr>
          <w:p w:rsidR="00962957" w:rsidRPr="00962957" w14:paraId="1FCE0593"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Total Burden</w:t>
            </w:r>
          </w:p>
          <w:p w:rsidR="00962957" w:rsidRPr="00962957" w14:paraId="3DB8A25B" w14:textId="77777777">
            <w:pPr>
              <w:spacing w:after="0"/>
              <w:jc w:val="center"/>
              <w:rPr>
                <w:rFonts w:ascii="Calibri" w:eastAsia="Times New Roman" w:hAnsi="Calibri" w:cs="Calibri"/>
                <w:b/>
                <w:sz w:val="20"/>
                <w:szCs w:val="20"/>
              </w:rPr>
            </w:pPr>
            <w:r w:rsidRPr="00962957">
              <w:rPr>
                <w:rFonts w:ascii="Calibri" w:eastAsia="Times New Roman" w:hAnsi="Calibri" w:cs="Calibri"/>
                <w:b/>
                <w:sz w:val="20"/>
                <w:szCs w:val="20"/>
              </w:rPr>
              <w:t>(hours)</w:t>
            </w:r>
          </w:p>
        </w:tc>
      </w:tr>
      <w:tr w14:paraId="6BF0BBE6" w14:textId="77777777">
        <w:tblPrEx>
          <w:tblW w:w="5000" w:type="pct"/>
          <w:tblLayout w:type="fixed"/>
          <w:tblLook w:val="04A0"/>
        </w:tblPrEx>
        <w:tc>
          <w:tcPr>
            <w:tcW w:w="5000" w:type="pct"/>
            <w:gridSpan w:val="6"/>
            <w:shd w:val="clear" w:color="auto" w:fill="auto"/>
          </w:tcPr>
          <w:p w:rsidR="00962957" w:rsidRPr="00962957" w14:paraId="076294BD" w14:textId="77777777">
            <w:pPr>
              <w:spacing w:after="0"/>
              <w:rPr>
                <w:rFonts w:ascii="Calibri" w:eastAsia="Times New Roman" w:hAnsi="Calibri" w:cs="Calibri"/>
                <w:sz w:val="20"/>
                <w:szCs w:val="24"/>
              </w:rPr>
            </w:pPr>
            <w:r w:rsidRPr="00962957">
              <w:rPr>
                <w:rFonts w:ascii="Calibri" w:eastAsia="Times New Roman" w:hAnsi="Calibri" w:cs="Calibri"/>
                <w:b/>
                <w:bCs/>
                <w:sz w:val="20"/>
                <w:szCs w:val="20"/>
              </w:rPr>
              <w:t>First-time registration</w:t>
            </w:r>
          </w:p>
        </w:tc>
      </w:tr>
      <w:tr w14:paraId="38603452" w14:textId="77777777">
        <w:tblPrEx>
          <w:tblW w:w="5000" w:type="pct"/>
          <w:tblLayout w:type="fixed"/>
          <w:tblLook w:val="04A0"/>
        </w:tblPrEx>
        <w:tc>
          <w:tcPr>
            <w:tcW w:w="1560" w:type="pct"/>
            <w:shd w:val="clear" w:color="auto" w:fill="auto"/>
          </w:tcPr>
          <w:p w:rsidR="00962957" w:rsidRPr="00962957" w14:paraId="0D654AF6" w14:textId="77777777">
            <w:pPr>
              <w:spacing w:after="0"/>
              <w:rPr>
                <w:rFonts w:ascii="Calibri" w:eastAsia="Times New Roman" w:hAnsi="Calibri" w:cs="Calibri"/>
                <w:sz w:val="20"/>
                <w:szCs w:val="20"/>
              </w:rPr>
            </w:pPr>
            <w:r w:rsidRPr="00962957">
              <w:rPr>
                <w:rFonts w:ascii="Calibri" w:eastAsia="Times New Roman" w:hAnsi="Calibri" w:cs="Calibri"/>
                <w:bCs/>
                <w:sz w:val="20"/>
                <w:szCs w:val="20"/>
              </w:rPr>
              <w:t>CDX Registration</w:t>
            </w:r>
          </w:p>
        </w:tc>
        <w:tc>
          <w:tcPr>
            <w:tcW w:w="651" w:type="pct"/>
            <w:shd w:val="clear" w:color="auto" w:fill="auto"/>
            <w:vAlign w:val="center"/>
          </w:tcPr>
          <w:p w:rsidR="00962957" w:rsidRPr="00962957" w:rsidP="00B2051D" w14:paraId="01F9822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5C01FFC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0.67</w:t>
            </w:r>
          </w:p>
        </w:tc>
        <w:tc>
          <w:tcPr>
            <w:tcW w:w="651" w:type="pct"/>
            <w:shd w:val="clear" w:color="auto" w:fill="auto"/>
            <w:vAlign w:val="center"/>
          </w:tcPr>
          <w:p w:rsidR="00962957" w:rsidRPr="00962957" w:rsidP="00B2051D" w14:paraId="53BD922A"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0.17</w:t>
            </w:r>
          </w:p>
        </w:tc>
        <w:tc>
          <w:tcPr>
            <w:tcW w:w="652" w:type="pct"/>
            <w:shd w:val="clear" w:color="auto" w:fill="auto"/>
            <w:vAlign w:val="center"/>
          </w:tcPr>
          <w:p w:rsidR="00962957" w:rsidRPr="00962957" w:rsidP="00B2051D" w14:paraId="2A9D3A30"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1.00</w:t>
            </w:r>
          </w:p>
        </w:tc>
        <w:tc>
          <w:tcPr>
            <w:tcW w:w="834" w:type="pct"/>
            <w:shd w:val="clear" w:color="auto" w:fill="auto"/>
            <w:vAlign w:val="center"/>
          </w:tcPr>
          <w:p w:rsidR="00962957" w:rsidRPr="00962957" w:rsidP="00B2051D" w14:paraId="6CCE109C"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0.84</w:t>
            </w:r>
          </w:p>
        </w:tc>
      </w:tr>
      <w:tr w14:paraId="70CF2265" w14:textId="77777777">
        <w:tblPrEx>
          <w:tblW w:w="5000" w:type="pct"/>
          <w:tblLayout w:type="fixed"/>
          <w:tblLook w:val="04A0"/>
        </w:tblPrEx>
        <w:tc>
          <w:tcPr>
            <w:tcW w:w="1560" w:type="pct"/>
            <w:shd w:val="clear" w:color="auto" w:fill="auto"/>
          </w:tcPr>
          <w:p w:rsidR="00962957" w:rsidRPr="00962957" w14:paraId="5DC40D2C" w14:textId="77777777">
            <w:pPr>
              <w:spacing w:after="0"/>
              <w:rPr>
                <w:rFonts w:ascii="Calibri" w:eastAsia="Times New Roman" w:hAnsi="Calibri" w:cs="Calibri"/>
                <w:sz w:val="20"/>
                <w:szCs w:val="20"/>
              </w:rPr>
            </w:pPr>
            <w:r w:rsidRPr="00962957">
              <w:rPr>
                <w:rFonts w:ascii="Calibri" w:eastAsia="Times New Roman" w:hAnsi="Calibri" w:cs="Calibri"/>
                <w:bCs/>
                <w:sz w:val="20"/>
                <w:szCs w:val="20"/>
              </w:rPr>
              <w:t>Electronic Subscriber Agreement/ Electronic Signature</w:t>
            </w:r>
          </w:p>
        </w:tc>
        <w:tc>
          <w:tcPr>
            <w:tcW w:w="651" w:type="pct"/>
            <w:shd w:val="clear" w:color="auto" w:fill="auto"/>
            <w:vAlign w:val="center"/>
          </w:tcPr>
          <w:p w:rsidR="00962957" w:rsidRPr="00962957" w:rsidP="00B2051D" w14:paraId="453A3397"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64DA0331"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1" w:type="pct"/>
            <w:shd w:val="clear" w:color="auto" w:fill="auto"/>
            <w:vAlign w:val="center"/>
          </w:tcPr>
          <w:p w:rsidR="00962957" w:rsidRPr="00962957" w:rsidP="00B2051D" w14:paraId="1AB958C1"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0.25</w:t>
            </w:r>
          </w:p>
        </w:tc>
        <w:tc>
          <w:tcPr>
            <w:tcW w:w="652" w:type="pct"/>
            <w:shd w:val="clear" w:color="auto" w:fill="auto"/>
            <w:vAlign w:val="center"/>
          </w:tcPr>
          <w:p w:rsidR="00962957" w:rsidRPr="00962957" w:rsidP="00B2051D" w14:paraId="538E917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1.00</w:t>
            </w:r>
          </w:p>
        </w:tc>
        <w:tc>
          <w:tcPr>
            <w:tcW w:w="834" w:type="pct"/>
            <w:shd w:val="clear" w:color="auto" w:fill="auto"/>
            <w:vAlign w:val="center"/>
          </w:tcPr>
          <w:p w:rsidR="00962957" w:rsidRPr="00962957" w:rsidP="00B2051D" w14:paraId="1F6E982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0.25</w:t>
            </w:r>
          </w:p>
        </w:tc>
      </w:tr>
      <w:tr w14:paraId="137AA8A5" w14:textId="77777777">
        <w:tblPrEx>
          <w:tblW w:w="5000" w:type="pct"/>
          <w:tblLayout w:type="fixed"/>
          <w:tblLook w:val="04A0"/>
        </w:tblPrEx>
        <w:tc>
          <w:tcPr>
            <w:tcW w:w="1560" w:type="pct"/>
            <w:shd w:val="clear" w:color="auto" w:fill="auto"/>
          </w:tcPr>
          <w:p w:rsidR="00962957" w:rsidRPr="00962957" w14:paraId="556778EC" w14:textId="77777777">
            <w:pPr>
              <w:spacing w:after="0"/>
              <w:rPr>
                <w:rFonts w:ascii="Calibri" w:eastAsia="Times New Roman" w:hAnsi="Calibri" w:cs="Calibri"/>
                <w:sz w:val="20"/>
                <w:szCs w:val="20"/>
              </w:rPr>
            </w:pPr>
            <w:r w:rsidRPr="00962957">
              <w:rPr>
                <w:rFonts w:ascii="Calibri" w:eastAsia="Times New Roman" w:hAnsi="Calibri" w:cs="Calibri"/>
                <w:bCs/>
                <w:sz w:val="20"/>
                <w:szCs w:val="20"/>
              </w:rPr>
              <w:t>Help Desk</w:t>
            </w:r>
          </w:p>
        </w:tc>
        <w:tc>
          <w:tcPr>
            <w:tcW w:w="651" w:type="pct"/>
            <w:shd w:val="clear" w:color="auto" w:fill="auto"/>
            <w:vAlign w:val="center"/>
          </w:tcPr>
          <w:p w:rsidR="00962957" w:rsidRPr="00962957" w:rsidP="00B2051D" w14:paraId="7D96D5DD"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1E978137"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0.24</w:t>
            </w:r>
          </w:p>
        </w:tc>
        <w:tc>
          <w:tcPr>
            <w:tcW w:w="651" w:type="pct"/>
            <w:shd w:val="clear" w:color="auto" w:fill="auto"/>
            <w:vAlign w:val="center"/>
          </w:tcPr>
          <w:p w:rsidR="00962957" w:rsidRPr="00962957" w:rsidP="00B2051D" w14:paraId="3544CD4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0.06</w:t>
            </w:r>
          </w:p>
        </w:tc>
        <w:tc>
          <w:tcPr>
            <w:tcW w:w="652" w:type="pct"/>
            <w:shd w:val="clear" w:color="auto" w:fill="auto"/>
            <w:vAlign w:val="center"/>
          </w:tcPr>
          <w:p w:rsidR="00962957" w:rsidRPr="00962957" w:rsidP="00B2051D" w14:paraId="2B83323F"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1.00</w:t>
            </w:r>
          </w:p>
        </w:tc>
        <w:tc>
          <w:tcPr>
            <w:tcW w:w="834" w:type="pct"/>
            <w:shd w:val="clear" w:color="auto" w:fill="auto"/>
            <w:vAlign w:val="center"/>
          </w:tcPr>
          <w:p w:rsidR="00962957" w:rsidRPr="00962957" w:rsidP="00B2051D" w14:paraId="632B697C"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0.30</w:t>
            </w:r>
          </w:p>
        </w:tc>
      </w:tr>
      <w:tr w14:paraId="4B1777BA" w14:textId="77777777">
        <w:tblPrEx>
          <w:tblW w:w="5000" w:type="pct"/>
          <w:tblLayout w:type="fixed"/>
          <w:tblLook w:val="04A0"/>
        </w:tblPrEx>
        <w:tc>
          <w:tcPr>
            <w:tcW w:w="1560" w:type="pct"/>
            <w:shd w:val="clear" w:color="auto" w:fill="auto"/>
          </w:tcPr>
          <w:p w:rsidR="00962957" w:rsidRPr="00962957" w14:paraId="63A47950" w14:textId="77777777">
            <w:pPr>
              <w:spacing w:after="0"/>
              <w:rPr>
                <w:rFonts w:ascii="Calibri" w:eastAsia="Times New Roman" w:hAnsi="Calibri" w:cs="Calibri"/>
                <w:sz w:val="20"/>
                <w:szCs w:val="20"/>
              </w:rPr>
            </w:pPr>
            <w:r w:rsidRPr="00962957">
              <w:rPr>
                <w:rFonts w:ascii="Calibri" w:eastAsia="Times New Roman" w:hAnsi="Calibri" w:cs="Calibri"/>
                <w:bCs/>
                <w:sz w:val="20"/>
                <w:szCs w:val="20"/>
              </w:rPr>
              <w:t>Problem Resolution</w:t>
            </w:r>
          </w:p>
        </w:tc>
        <w:tc>
          <w:tcPr>
            <w:tcW w:w="651" w:type="pct"/>
            <w:shd w:val="clear" w:color="auto" w:fill="auto"/>
            <w:vAlign w:val="center"/>
          </w:tcPr>
          <w:p w:rsidR="00962957" w:rsidRPr="00962957" w:rsidP="00B2051D" w14:paraId="37CED4D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14C73F34"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1.00</w:t>
            </w:r>
          </w:p>
        </w:tc>
        <w:tc>
          <w:tcPr>
            <w:tcW w:w="651" w:type="pct"/>
            <w:shd w:val="clear" w:color="auto" w:fill="auto"/>
            <w:vAlign w:val="center"/>
          </w:tcPr>
          <w:p w:rsidR="00962957" w:rsidRPr="00962957" w:rsidP="00B2051D" w14:paraId="3AD0693C"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6861F73D"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0.03</w:t>
            </w:r>
          </w:p>
        </w:tc>
        <w:tc>
          <w:tcPr>
            <w:tcW w:w="834" w:type="pct"/>
            <w:shd w:val="clear" w:color="auto" w:fill="auto"/>
            <w:vAlign w:val="center"/>
          </w:tcPr>
          <w:p w:rsidR="00962957" w:rsidRPr="00962957" w:rsidP="00B2051D" w14:paraId="1156D434"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0.03</w:t>
            </w:r>
          </w:p>
        </w:tc>
      </w:tr>
      <w:tr w14:paraId="32A1BAA5" w14:textId="77777777">
        <w:tblPrEx>
          <w:tblW w:w="5000" w:type="pct"/>
          <w:tblLayout w:type="fixed"/>
          <w:tblLook w:val="04A0"/>
        </w:tblPrEx>
        <w:tc>
          <w:tcPr>
            <w:tcW w:w="4166" w:type="pct"/>
            <w:gridSpan w:val="5"/>
            <w:shd w:val="clear" w:color="auto" w:fill="auto"/>
          </w:tcPr>
          <w:p w:rsidR="00962957" w:rsidRPr="00962957" w14:paraId="5E58F42F" w14:textId="77777777">
            <w:pPr>
              <w:spacing w:after="0"/>
              <w:jc w:val="right"/>
              <w:rPr>
                <w:rFonts w:ascii="Calibri" w:eastAsia="Times New Roman" w:hAnsi="Calibri" w:cs="Calibri"/>
                <w:b/>
                <w:sz w:val="20"/>
                <w:szCs w:val="20"/>
              </w:rPr>
            </w:pPr>
            <w:r w:rsidRPr="00962957">
              <w:rPr>
                <w:rFonts w:ascii="Calibri" w:eastAsia="Times New Roman" w:hAnsi="Calibri" w:cs="Calibri"/>
                <w:b/>
                <w:sz w:val="20"/>
                <w:szCs w:val="20"/>
              </w:rPr>
              <w:t>Total First Time Burden per firm</w:t>
            </w:r>
          </w:p>
        </w:tc>
        <w:tc>
          <w:tcPr>
            <w:tcW w:w="834" w:type="pct"/>
            <w:shd w:val="clear" w:color="auto" w:fill="auto"/>
            <w:vAlign w:val="center"/>
          </w:tcPr>
          <w:p w:rsidR="00962957" w:rsidRPr="00962957" w14:paraId="159C9235" w14:textId="77777777">
            <w:pPr>
              <w:spacing w:after="0"/>
              <w:jc w:val="right"/>
              <w:rPr>
                <w:rFonts w:ascii="Calibri" w:eastAsia="Times New Roman" w:hAnsi="Calibri" w:cs="Calibri"/>
                <w:b/>
                <w:sz w:val="20"/>
                <w:szCs w:val="20"/>
              </w:rPr>
            </w:pPr>
            <w:r w:rsidRPr="00962957">
              <w:rPr>
                <w:rFonts w:ascii="Calibri" w:eastAsia="Times New Roman" w:hAnsi="Calibri" w:cs="Calibri"/>
                <w:b/>
                <w:sz w:val="20"/>
                <w:szCs w:val="20"/>
              </w:rPr>
              <w:t>1.42</w:t>
            </w:r>
          </w:p>
        </w:tc>
      </w:tr>
      <w:tr w14:paraId="7707914F" w14:textId="77777777">
        <w:tblPrEx>
          <w:tblW w:w="5000" w:type="pct"/>
          <w:tblLayout w:type="fixed"/>
          <w:tblLook w:val="04A0"/>
        </w:tblPrEx>
        <w:tc>
          <w:tcPr>
            <w:tcW w:w="5000" w:type="pct"/>
            <w:gridSpan w:val="6"/>
            <w:shd w:val="clear" w:color="auto" w:fill="auto"/>
          </w:tcPr>
          <w:p w:rsidR="00962957" w:rsidRPr="00962957" w14:paraId="0182190C" w14:textId="77777777">
            <w:pPr>
              <w:spacing w:after="0"/>
              <w:rPr>
                <w:rFonts w:ascii="Calibri" w:eastAsia="Times New Roman" w:hAnsi="Calibri" w:cs="Calibri"/>
                <w:sz w:val="20"/>
                <w:szCs w:val="24"/>
              </w:rPr>
            </w:pPr>
            <w:r w:rsidRPr="00962957">
              <w:rPr>
                <w:rFonts w:ascii="Calibri" w:eastAsia="Times New Roman" w:hAnsi="Calibri" w:cs="Calibri"/>
                <w:b/>
                <w:bCs/>
                <w:sz w:val="20"/>
                <w:szCs w:val="20"/>
              </w:rPr>
              <w:t>Subsequent registration</w:t>
            </w:r>
          </w:p>
        </w:tc>
      </w:tr>
      <w:tr w14:paraId="3A2AE750" w14:textId="77777777">
        <w:tblPrEx>
          <w:tblW w:w="5000" w:type="pct"/>
          <w:tblLayout w:type="fixed"/>
          <w:tblLook w:val="04A0"/>
        </w:tblPrEx>
        <w:tc>
          <w:tcPr>
            <w:tcW w:w="1560" w:type="pct"/>
            <w:shd w:val="clear" w:color="auto" w:fill="auto"/>
          </w:tcPr>
          <w:p w:rsidR="00962957" w:rsidRPr="00962957" w14:paraId="785E8D7E" w14:textId="77777777">
            <w:pPr>
              <w:spacing w:after="0"/>
              <w:rPr>
                <w:rFonts w:ascii="Calibri" w:eastAsia="Times New Roman" w:hAnsi="Calibri" w:cs="Calibri"/>
                <w:bCs/>
                <w:sz w:val="20"/>
                <w:szCs w:val="20"/>
              </w:rPr>
            </w:pPr>
            <w:r w:rsidRPr="00962957">
              <w:rPr>
                <w:rFonts w:ascii="Calibri" w:eastAsia="Times New Roman" w:hAnsi="Calibri" w:cs="Calibri"/>
                <w:bCs/>
                <w:sz w:val="20"/>
                <w:szCs w:val="20"/>
              </w:rPr>
              <w:t>CDX Registration</w:t>
            </w:r>
          </w:p>
        </w:tc>
        <w:tc>
          <w:tcPr>
            <w:tcW w:w="651" w:type="pct"/>
            <w:shd w:val="clear" w:color="auto" w:fill="auto"/>
            <w:vAlign w:val="center"/>
          </w:tcPr>
          <w:p w:rsidR="00962957" w:rsidRPr="00962957" w:rsidP="00B2051D" w14:paraId="5E6701A6"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30B72648"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0.67</w:t>
            </w:r>
          </w:p>
        </w:tc>
        <w:tc>
          <w:tcPr>
            <w:tcW w:w="651" w:type="pct"/>
            <w:shd w:val="clear" w:color="auto" w:fill="auto"/>
            <w:vAlign w:val="center"/>
          </w:tcPr>
          <w:p w:rsidR="00962957" w:rsidRPr="00962957" w:rsidP="00B2051D" w14:paraId="7D445DFC"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0.17</w:t>
            </w:r>
          </w:p>
        </w:tc>
        <w:tc>
          <w:tcPr>
            <w:tcW w:w="652" w:type="pct"/>
            <w:shd w:val="clear" w:color="auto" w:fill="auto"/>
            <w:vAlign w:val="center"/>
          </w:tcPr>
          <w:p w:rsidR="00962957" w:rsidRPr="00962957" w:rsidP="00B2051D" w14:paraId="42D697D7"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0.10</w:t>
            </w:r>
          </w:p>
        </w:tc>
        <w:tc>
          <w:tcPr>
            <w:tcW w:w="834" w:type="pct"/>
            <w:shd w:val="clear" w:color="auto" w:fill="auto"/>
            <w:vAlign w:val="center"/>
          </w:tcPr>
          <w:p w:rsidR="00962957" w:rsidRPr="00962957" w:rsidP="00B2051D" w14:paraId="3D8BE05B"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0.08</w:t>
            </w:r>
          </w:p>
        </w:tc>
      </w:tr>
      <w:tr w14:paraId="64222A95" w14:textId="77777777">
        <w:tblPrEx>
          <w:tblW w:w="5000" w:type="pct"/>
          <w:tblLayout w:type="fixed"/>
          <w:tblLook w:val="04A0"/>
        </w:tblPrEx>
        <w:tc>
          <w:tcPr>
            <w:tcW w:w="1560" w:type="pct"/>
            <w:shd w:val="clear" w:color="auto" w:fill="auto"/>
          </w:tcPr>
          <w:p w:rsidR="00962957" w:rsidRPr="00962957" w14:paraId="1AF8C341" w14:textId="77777777">
            <w:pPr>
              <w:spacing w:after="0"/>
              <w:rPr>
                <w:rFonts w:ascii="Calibri" w:eastAsia="Times New Roman" w:hAnsi="Calibri" w:cs="Calibri"/>
                <w:bCs/>
                <w:sz w:val="20"/>
                <w:szCs w:val="20"/>
              </w:rPr>
            </w:pPr>
            <w:r w:rsidRPr="00962957">
              <w:rPr>
                <w:rFonts w:ascii="Calibri" w:eastAsia="Times New Roman" w:hAnsi="Calibri" w:cs="Calibri"/>
                <w:bCs/>
                <w:sz w:val="20"/>
                <w:szCs w:val="20"/>
              </w:rPr>
              <w:t>Electronic Subscriber Agreement/Electronic Signature</w:t>
            </w:r>
          </w:p>
        </w:tc>
        <w:tc>
          <w:tcPr>
            <w:tcW w:w="651" w:type="pct"/>
            <w:shd w:val="clear" w:color="auto" w:fill="auto"/>
            <w:vAlign w:val="center"/>
          </w:tcPr>
          <w:p w:rsidR="00962957" w:rsidRPr="00962957" w:rsidP="00B2051D" w14:paraId="54674A43"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1998C848"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1" w:type="pct"/>
            <w:shd w:val="clear" w:color="auto" w:fill="auto"/>
            <w:vAlign w:val="center"/>
          </w:tcPr>
          <w:p w:rsidR="00962957" w:rsidRPr="00962957" w:rsidP="00B2051D" w14:paraId="154820C4"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0.25</w:t>
            </w:r>
          </w:p>
        </w:tc>
        <w:tc>
          <w:tcPr>
            <w:tcW w:w="652" w:type="pct"/>
            <w:shd w:val="clear" w:color="auto" w:fill="auto"/>
            <w:vAlign w:val="center"/>
          </w:tcPr>
          <w:p w:rsidR="00962957" w:rsidRPr="00962957" w:rsidP="00B2051D" w14:paraId="0B1DB1EF"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0.10</w:t>
            </w:r>
          </w:p>
        </w:tc>
        <w:tc>
          <w:tcPr>
            <w:tcW w:w="834" w:type="pct"/>
            <w:shd w:val="clear" w:color="auto" w:fill="auto"/>
            <w:vAlign w:val="center"/>
          </w:tcPr>
          <w:p w:rsidR="00962957" w:rsidRPr="00962957" w:rsidP="00B2051D" w14:paraId="0D3FD02E"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0.03</w:t>
            </w:r>
          </w:p>
        </w:tc>
      </w:tr>
      <w:tr w14:paraId="4519E6E2" w14:textId="77777777">
        <w:tblPrEx>
          <w:tblW w:w="5000" w:type="pct"/>
          <w:tblLayout w:type="fixed"/>
          <w:tblLook w:val="04A0"/>
        </w:tblPrEx>
        <w:tc>
          <w:tcPr>
            <w:tcW w:w="1560" w:type="pct"/>
            <w:shd w:val="clear" w:color="auto" w:fill="auto"/>
          </w:tcPr>
          <w:p w:rsidR="00962957" w:rsidRPr="00962957" w14:paraId="0DC886F9" w14:textId="77777777">
            <w:pPr>
              <w:spacing w:after="0"/>
              <w:rPr>
                <w:rFonts w:ascii="Calibri" w:eastAsia="Times New Roman" w:hAnsi="Calibri" w:cs="Calibri"/>
                <w:bCs/>
                <w:sz w:val="20"/>
                <w:szCs w:val="20"/>
              </w:rPr>
            </w:pPr>
            <w:r w:rsidRPr="00962957">
              <w:rPr>
                <w:rFonts w:ascii="Calibri" w:eastAsia="Times New Roman" w:hAnsi="Calibri" w:cs="Calibri"/>
                <w:bCs/>
                <w:sz w:val="20"/>
                <w:szCs w:val="20"/>
              </w:rPr>
              <w:t>Help Desk</w:t>
            </w:r>
          </w:p>
        </w:tc>
        <w:tc>
          <w:tcPr>
            <w:tcW w:w="651" w:type="pct"/>
            <w:shd w:val="clear" w:color="auto" w:fill="auto"/>
            <w:vAlign w:val="center"/>
          </w:tcPr>
          <w:p w:rsidR="00962957" w:rsidRPr="00962957" w:rsidP="00B2051D" w14:paraId="60EEC710"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43578B07" w14:textId="77777777">
            <w:pPr>
              <w:tabs>
                <w:tab w:val="center" w:pos="990"/>
              </w:tabs>
              <w:spacing w:after="0"/>
              <w:jc w:val="center"/>
              <w:rPr>
                <w:rFonts w:ascii="Calibri" w:eastAsia="Times New Roman" w:hAnsi="Calibri" w:cs="Calibri"/>
                <w:sz w:val="20"/>
                <w:szCs w:val="20"/>
              </w:rPr>
            </w:pPr>
            <w:r w:rsidRPr="00962957">
              <w:rPr>
                <w:rFonts w:ascii="Calibri" w:eastAsia="Times New Roman" w:hAnsi="Calibri" w:cs="Calibri"/>
                <w:sz w:val="20"/>
                <w:szCs w:val="20"/>
              </w:rPr>
              <w:t>0.24</w:t>
            </w:r>
          </w:p>
        </w:tc>
        <w:tc>
          <w:tcPr>
            <w:tcW w:w="651" w:type="pct"/>
            <w:shd w:val="clear" w:color="auto" w:fill="auto"/>
            <w:vAlign w:val="center"/>
          </w:tcPr>
          <w:p w:rsidR="00962957" w:rsidRPr="00962957" w:rsidP="00B2051D" w14:paraId="107D59B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0.06</w:t>
            </w:r>
          </w:p>
        </w:tc>
        <w:tc>
          <w:tcPr>
            <w:tcW w:w="652" w:type="pct"/>
            <w:shd w:val="clear" w:color="auto" w:fill="auto"/>
            <w:vAlign w:val="center"/>
          </w:tcPr>
          <w:p w:rsidR="00962957" w:rsidRPr="00962957" w:rsidP="00B2051D" w14:paraId="33E6C673"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0.10</w:t>
            </w:r>
          </w:p>
        </w:tc>
        <w:tc>
          <w:tcPr>
            <w:tcW w:w="834" w:type="pct"/>
            <w:shd w:val="clear" w:color="auto" w:fill="auto"/>
            <w:vAlign w:val="center"/>
          </w:tcPr>
          <w:p w:rsidR="00962957" w:rsidRPr="00962957" w:rsidP="00B2051D" w14:paraId="3757F9E0"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0.03</w:t>
            </w:r>
          </w:p>
        </w:tc>
      </w:tr>
      <w:tr w14:paraId="0433A914" w14:textId="77777777">
        <w:tblPrEx>
          <w:tblW w:w="5000" w:type="pct"/>
          <w:tblLayout w:type="fixed"/>
          <w:tblLook w:val="04A0"/>
        </w:tblPrEx>
        <w:tc>
          <w:tcPr>
            <w:tcW w:w="1560" w:type="pct"/>
            <w:shd w:val="clear" w:color="auto" w:fill="auto"/>
          </w:tcPr>
          <w:p w:rsidR="00962957" w:rsidRPr="00962957" w14:paraId="0DBB4425" w14:textId="77777777">
            <w:pPr>
              <w:spacing w:after="0"/>
              <w:rPr>
                <w:rFonts w:ascii="Calibri" w:eastAsia="Times New Roman" w:hAnsi="Calibri" w:cs="Calibri"/>
                <w:bCs/>
                <w:sz w:val="20"/>
                <w:szCs w:val="20"/>
              </w:rPr>
            </w:pPr>
            <w:r w:rsidRPr="00962957">
              <w:rPr>
                <w:rFonts w:ascii="Calibri" w:eastAsia="Times New Roman" w:hAnsi="Calibri" w:cs="Calibri"/>
                <w:bCs/>
                <w:sz w:val="20"/>
                <w:szCs w:val="20"/>
              </w:rPr>
              <w:t>Report Compromised Signature</w:t>
            </w:r>
          </w:p>
        </w:tc>
        <w:tc>
          <w:tcPr>
            <w:tcW w:w="651" w:type="pct"/>
            <w:shd w:val="clear" w:color="auto" w:fill="auto"/>
            <w:vAlign w:val="center"/>
          </w:tcPr>
          <w:p w:rsidR="00962957" w:rsidRPr="00962957" w:rsidP="00B2051D" w14:paraId="64320353"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6DB676B8"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1" w:type="pct"/>
            <w:shd w:val="clear" w:color="auto" w:fill="auto"/>
            <w:vAlign w:val="center"/>
          </w:tcPr>
          <w:p w:rsidR="00962957" w:rsidRPr="00962957" w:rsidP="00B2051D" w14:paraId="0BF55C7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0.40</w:t>
            </w:r>
          </w:p>
        </w:tc>
        <w:tc>
          <w:tcPr>
            <w:tcW w:w="652" w:type="pct"/>
            <w:shd w:val="clear" w:color="auto" w:fill="auto"/>
            <w:vAlign w:val="center"/>
          </w:tcPr>
          <w:p w:rsidR="00962957" w:rsidRPr="00962957" w:rsidP="00B2051D" w14:paraId="5EE82E98"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0.01</w:t>
            </w:r>
          </w:p>
        </w:tc>
        <w:tc>
          <w:tcPr>
            <w:tcW w:w="834" w:type="pct"/>
            <w:shd w:val="clear" w:color="auto" w:fill="auto"/>
            <w:vAlign w:val="center"/>
          </w:tcPr>
          <w:p w:rsidR="00962957" w:rsidRPr="00962957" w:rsidP="00B2051D" w14:paraId="0C506B5E"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r>
      <w:tr w14:paraId="55947012" w14:textId="77777777">
        <w:tblPrEx>
          <w:tblW w:w="5000" w:type="pct"/>
          <w:tblLayout w:type="fixed"/>
          <w:tblLook w:val="04A0"/>
        </w:tblPrEx>
        <w:tc>
          <w:tcPr>
            <w:tcW w:w="1560" w:type="pct"/>
            <w:shd w:val="clear" w:color="auto" w:fill="auto"/>
          </w:tcPr>
          <w:p w:rsidR="00962957" w:rsidRPr="00962957" w14:paraId="4CEA1305" w14:textId="77777777">
            <w:pPr>
              <w:spacing w:after="0"/>
              <w:rPr>
                <w:rFonts w:ascii="Calibri" w:eastAsia="Times New Roman" w:hAnsi="Calibri" w:cs="Calibri"/>
                <w:bCs/>
                <w:sz w:val="20"/>
                <w:szCs w:val="20"/>
              </w:rPr>
            </w:pPr>
            <w:r w:rsidRPr="00962957">
              <w:rPr>
                <w:rFonts w:ascii="Calibri" w:eastAsia="Times New Roman" w:hAnsi="Calibri" w:cs="Calibri"/>
                <w:bCs/>
                <w:sz w:val="20"/>
                <w:szCs w:val="20"/>
              </w:rPr>
              <w:t>Problem Resolution</w:t>
            </w:r>
          </w:p>
        </w:tc>
        <w:tc>
          <w:tcPr>
            <w:tcW w:w="651" w:type="pct"/>
            <w:shd w:val="clear" w:color="auto" w:fill="auto"/>
            <w:vAlign w:val="center"/>
          </w:tcPr>
          <w:p w:rsidR="00962957" w:rsidRPr="00962957" w:rsidP="00B2051D" w14:paraId="4AE88DD8"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569667F1"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1.00</w:t>
            </w:r>
          </w:p>
        </w:tc>
        <w:tc>
          <w:tcPr>
            <w:tcW w:w="651" w:type="pct"/>
            <w:shd w:val="clear" w:color="auto" w:fill="auto"/>
            <w:vAlign w:val="center"/>
          </w:tcPr>
          <w:p w:rsidR="00962957" w:rsidRPr="00962957" w:rsidP="00B2051D" w14:paraId="631E6589"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0.00</w:t>
            </w:r>
          </w:p>
        </w:tc>
        <w:tc>
          <w:tcPr>
            <w:tcW w:w="652" w:type="pct"/>
            <w:shd w:val="clear" w:color="auto" w:fill="auto"/>
            <w:vAlign w:val="center"/>
          </w:tcPr>
          <w:p w:rsidR="00962957" w:rsidRPr="00962957" w:rsidP="00B2051D" w14:paraId="202A2292"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0.03</w:t>
            </w:r>
          </w:p>
        </w:tc>
        <w:tc>
          <w:tcPr>
            <w:tcW w:w="834" w:type="pct"/>
            <w:shd w:val="clear" w:color="auto" w:fill="auto"/>
            <w:vAlign w:val="center"/>
          </w:tcPr>
          <w:p w:rsidR="00962957" w:rsidRPr="00962957" w:rsidP="00B2051D" w14:paraId="0B7D00CD" w14:textId="77777777">
            <w:pPr>
              <w:spacing w:after="0"/>
              <w:jc w:val="center"/>
              <w:rPr>
                <w:rFonts w:ascii="Calibri" w:eastAsia="Times New Roman" w:hAnsi="Calibri" w:cs="Calibri"/>
                <w:sz w:val="20"/>
                <w:szCs w:val="20"/>
              </w:rPr>
            </w:pPr>
            <w:r w:rsidRPr="00962957">
              <w:rPr>
                <w:rFonts w:ascii="Calibri" w:eastAsia="Times New Roman" w:hAnsi="Calibri" w:cs="Calibri"/>
                <w:sz w:val="20"/>
                <w:szCs w:val="20"/>
              </w:rPr>
              <w:t>0.03</w:t>
            </w:r>
          </w:p>
        </w:tc>
      </w:tr>
      <w:tr w14:paraId="09176A81" w14:textId="77777777">
        <w:tblPrEx>
          <w:tblW w:w="5000" w:type="pct"/>
          <w:tblLayout w:type="fixed"/>
          <w:tblLook w:val="04A0"/>
        </w:tblPrEx>
        <w:tc>
          <w:tcPr>
            <w:tcW w:w="4166" w:type="pct"/>
            <w:gridSpan w:val="5"/>
            <w:shd w:val="clear" w:color="auto" w:fill="auto"/>
          </w:tcPr>
          <w:p w:rsidR="00962957" w:rsidRPr="00962957" w14:paraId="3A9C33D6" w14:textId="77777777">
            <w:pPr>
              <w:widowControl w:val="0"/>
              <w:spacing w:after="0"/>
              <w:jc w:val="right"/>
              <w:rPr>
                <w:rFonts w:ascii="Calibri" w:eastAsia="Times New Roman" w:hAnsi="Calibri" w:cs="Calibri"/>
                <w:b/>
                <w:sz w:val="20"/>
                <w:szCs w:val="20"/>
              </w:rPr>
            </w:pPr>
            <w:r w:rsidRPr="00962957">
              <w:rPr>
                <w:rFonts w:ascii="Calibri" w:eastAsia="Times New Roman" w:hAnsi="Calibri" w:cs="Calibri"/>
                <w:b/>
                <w:sz w:val="20"/>
                <w:szCs w:val="20"/>
              </w:rPr>
              <w:t>Total Subsequent Burden per firm</w:t>
            </w:r>
          </w:p>
        </w:tc>
        <w:tc>
          <w:tcPr>
            <w:tcW w:w="834" w:type="pct"/>
            <w:shd w:val="clear" w:color="auto" w:fill="auto"/>
            <w:vAlign w:val="center"/>
          </w:tcPr>
          <w:p w:rsidR="00962957" w:rsidRPr="00962957" w:rsidP="00B2051D" w14:paraId="157D75A8" w14:textId="77777777">
            <w:pPr>
              <w:widowControl w:val="0"/>
              <w:spacing w:after="0"/>
              <w:jc w:val="center"/>
              <w:rPr>
                <w:rFonts w:ascii="Calibri" w:eastAsia="Times New Roman" w:hAnsi="Calibri" w:cs="Calibri"/>
                <w:b/>
                <w:sz w:val="20"/>
                <w:szCs w:val="20"/>
              </w:rPr>
            </w:pPr>
            <w:r w:rsidRPr="00962957">
              <w:rPr>
                <w:rFonts w:ascii="Calibri" w:eastAsia="Times New Roman" w:hAnsi="Calibri" w:cs="Calibri"/>
                <w:b/>
                <w:sz w:val="20"/>
                <w:szCs w:val="20"/>
              </w:rPr>
              <w:t>0.17</w:t>
            </w:r>
          </w:p>
        </w:tc>
      </w:tr>
    </w:tbl>
    <w:p w:rsidR="00D67EB2" w:rsidRPr="00962957" w:rsidP="00D67EB2" w14:paraId="586833D3" w14:textId="10333B7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Calibri" w:hAnsi="Calibri" w:cs="Calibri"/>
        </w:rPr>
      </w:pPr>
      <w:r w:rsidRPr="7A6AE82A">
        <w:rPr>
          <w:rFonts w:ascii="Calibri" w:hAnsi="Calibri" w:cs="Calibri"/>
        </w:rPr>
        <w:t>The</w:t>
      </w:r>
      <w:r w:rsidRPr="00962957">
        <w:rPr>
          <w:rFonts w:ascii="Calibri" w:hAnsi="Calibri" w:cs="Calibri"/>
        </w:rPr>
        <w:t xml:space="preserve"> total burden for one firm to complete one form </w:t>
      </w:r>
      <w:r w:rsidRPr="6F8693BD">
        <w:rPr>
          <w:rFonts w:ascii="Calibri" w:hAnsi="Calibri" w:cs="Calibri"/>
        </w:rPr>
        <w:t xml:space="preserve">is </w:t>
      </w:r>
      <w:r w:rsidRPr="56356B30">
        <w:rPr>
          <w:rFonts w:ascii="Calibri" w:hAnsi="Calibri" w:cs="Calibri"/>
        </w:rPr>
        <w:t xml:space="preserve">approximately </w:t>
      </w:r>
      <w:r w:rsidRPr="19512DD1">
        <w:rPr>
          <w:rFonts w:ascii="Calibri" w:hAnsi="Calibri" w:cs="Calibri"/>
        </w:rPr>
        <w:t>107.3 hours</w:t>
      </w:r>
      <w:r w:rsidR="001F17C0">
        <w:rPr>
          <w:rFonts w:ascii="Calibri" w:hAnsi="Calibri" w:cs="Calibri"/>
        </w:rPr>
        <w:t>.</w:t>
      </w:r>
      <w:r w:rsidRPr="19512DD1">
        <w:rPr>
          <w:rFonts w:ascii="Calibri" w:hAnsi="Calibri" w:cs="Calibri"/>
        </w:rPr>
        <w:t xml:space="preserve"> </w:t>
      </w:r>
      <w:r w:rsidR="001F17C0">
        <w:rPr>
          <w:rFonts w:ascii="Calibri" w:hAnsi="Calibri" w:cs="Calibri"/>
        </w:rPr>
        <w:t>T</w:t>
      </w:r>
      <w:r w:rsidRPr="19512DD1">
        <w:rPr>
          <w:rFonts w:ascii="Calibri" w:hAnsi="Calibri" w:cs="Calibri"/>
        </w:rPr>
        <w:t xml:space="preserve">his is based on </w:t>
      </w:r>
      <w:r w:rsidRPr="6F8693BD">
        <w:rPr>
          <w:rFonts w:ascii="Calibri" w:hAnsi="Calibri" w:cs="Calibri"/>
        </w:rPr>
        <w:t xml:space="preserve">the sum of the total burden per report </w:t>
      </w:r>
      <w:r w:rsidR="00985AD5">
        <w:rPr>
          <w:rFonts w:ascii="Calibri" w:hAnsi="Calibri" w:cs="Calibri"/>
        </w:rPr>
        <w:t>(</w:t>
      </w:r>
      <w:r w:rsidRPr="1A53A705">
        <w:rPr>
          <w:rFonts w:ascii="Calibri" w:hAnsi="Calibri" w:cs="Calibri"/>
        </w:rPr>
        <w:t>106.5</w:t>
      </w:r>
      <w:r w:rsidR="00985AD5">
        <w:rPr>
          <w:rFonts w:ascii="Calibri" w:hAnsi="Calibri" w:cs="Calibri"/>
        </w:rPr>
        <w:t>)</w:t>
      </w:r>
      <w:r w:rsidRPr="1A53A705">
        <w:rPr>
          <w:rFonts w:ascii="Calibri" w:hAnsi="Calibri" w:cs="Calibri"/>
        </w:rPr>
        <w:t xml:space="preserve"> </w:t>
      </w:r>
      <w:r w:rsidRPr="6F8693BD">
        <w:rPr>
          <w:rFonts w:ascii="Calibri" w:hAnsi="Calibri" w:cs="Calibri"/>
        </w:rPr>
        <w:t>(</w:t>
      </w:r>
      <w:r w:rsidRPr="56356B30">
        <w:rPr>
          <w:rFonts w:ascii="Calibri" w:hAnsi="Calibri" w:cs="Calibri"/>
        </w:rPr>
        <w:t xml:space="preserve">Table </w:t>
      </w:r>
      <w:r w:rsidRPr="73AF5AB6" w:rsidR="00AD1195">
        <w:rPr>
          <w:rFonts w:ascii="Calibri" w:hAnsi="Calibri" w:cs="Calibri"/>
        </w:rPr>
        <w:t>1</w:t>
      </w:r>
      <w:r w:rsidR="00AD1195">
        <w:rPr>
          <w:rFonts w:ascii="Calibri" w:hAnsi="Calibri" w:cs="Calibri"/>
        </w:rPr>
        <w:t>7</w:t>
      </w:r>
      <w:r w:rsidRPr="1A53A705">
        <w:rPr>
          <w:rFonts w:ascii="Calibri" w:hAnsi="Calibri" w:cs="Calibri"/>
        </w:rPr>
        <w:t>),</w:t>
      </w:r>
      <w:r w:rsidRPr="73AF5AB6">
        <w:rPr>
          <w:rFonts w:ascii="Calibri" w:hAnsi="Calibri" w:cs="Calibri"/>
        </w:rPr>
        <w:t xml:space="preserve"> plus the burden for form submission </w:t>
      </w:r>
      <w:r w:rsidR="003F5126">
        <w:rPr>
          <w:rFonts w:ascii="Calibri" w:hAnsi="Calibri" w:cs="Calibri"/>
        </w:rPr>
        <w:t>(</w:t>
      </w:r>
      <w:r w:rsidRPr="1A53A705">
        <w:rPr>
          <w:rFonts w:ascii="Calibri" w:hAnsi="Calibri" w:cs="Calibri"/>
        </w:rPr>
        <w:t>0.80</w:t>
      </w:r>
      <w:r w:rsidR="0062310D">
        <w:rPr>
          <w:rFonts w:ascii="Calibri" w:hAnsi="Calibri" w:cs="Calibri"/>
        </w:rPr>
        <w:t>)</w:t>
      </w:r>
      <w:r w:rsidRPr="64A15B86">
        <w:rPr>
          <w:rFonts w:ascii="Calibri" w:hAnsi="Calibri" w:cs="Calibri"/>
        </w:rPr>
        <w:t xml:space="preserve"> </w:t>
      </w:r>
      <w:r w:rsidRPr="2BFE315A">
        <w:rPr>
          <w:rFonts w:ascii="Calibri" w:hAnsi="Calibri" w:cs="Calibri"/>
        </w:rPr>
        <w:t xml:space="preserve">(Table </w:t>
      </w:r>
      <w:r w:rsidRPr="2BFE315A" w:rsidR="00AD1195">
        <w:rPr>
          <w:rFonts w:ascii="Calibri" w:hAnsi="Calibri" w:cs="Calibri"/>
        </w:rPr>
        <w:t>1</w:t>
      </w:r>
      <w:r w:rsidR="00AD1195">
        <w:rPr>
          <w:rFonts w:ascii="Calibri" w:hAnsi="Calibri" w:cs="Calibri"/>
        </w:rPr>
        <w:t>6</w:t>
      </w:r>
      <w:r w:rsidRPr="64A15B86">
        <w:rPr>
          <w:rFonts w:ascii="Calibri" w:hAnsi="Calibri" w:cs="Calibri"/>
        </w:rPr>
        <w:t>)</w:t>
      </w:r>
      <w:r w:rsidRPr="00962957">
        <w:rPr>
          <w:rFonts w:ascii="Calibri" w:hAnsi="Calibri" w:cs="Calibri"/>
        </w:rPr>
        <w:t xml:space="preserve">. </w:t>
      </w:r>
    </w:p>
    <w:p w:rsidR="00962957" w:rsidRPr="00962957" w:rsidP="00962957" w14:paraId="124B59D8" w14:textId="3A8FD140">
      <w:pPr>
        <w:rPr>
          <w:rFonts w:ascii="Calibri" w:hAnsi="Calibri" w:cs="Calibri"/>
          <w:sz w:val="20"/>
          <w:szCs w:val="20"/>
        </w:rPr>
      </w:pPr>
      <w:r w:rsidRPr="00962957">
        <w:rPr>
          <w:rFonts w:ascii="Calibri" w:hAnsi="Calibri" w:cs="Calibri"/>
        </w:rPr>
        <w:t xml:space="preserve">Given the expectation that each respondent will submit 1.7 reports per year, the burden per year per respondent is </w:t>
      </w:r>
      <w:r w:rsidRPr="483F05F1">
        <w:rPr>
          <w:rFonts w:ascii="Calibri" w:hAnsi="Calibri" w:cs="Calibri"/>
        </w:rPr>
        <w:t xml:space="preserve">181.29 hours. This is </w:t>
      </w:r>
      <w:r w:rsidRPr="00962957">
        <w:rPr>
          <w:rFonts w:ascii="Calibri" w:hAnsi="Calibri" w:cs="Calibri"/>
        </w:rPr>
        <w:t xml:space="preserve">estimated by </w:t>
      </w:r>
      <w:r w:rsidR="008415CA">
        <w:rPr>
          <w:rFonts w:ascii="Calibri" w:hAnsi="Calibri" w:cs="Calibri"/>
        </w:rPr>
        <w:t>adding</w:t>
      </w:r>
      <w:r w:rsidRPr="1C4DBB37">
        <w:rPr>
          <w:rFonts w:ascii="Calibri" w:hAnsi="Calibri" w:cs="Calibri"/>
        </w:rPr>
        <w:t xml:space="preserve"> the </w:t>
      </w:r>
      <w:r w:rsidRPr="437358D7">
        <w:rPr>
          <w:rFonts w:ascii="Calibri" w:hAnsi="Calibri" w:cs="Calibri"/>
        </w:rPr>
        <w:t>burden</w:t>
      </w:r>
      <w:r w:rsidRPr="633A099F">
        <w:rPr>
          <w:rFonts w:ascii="Calibri" w:hAnsi="Calibri" w:cs="Calibri"/>
        </w:rPr>
        <w:t xml:space="preserve"> for </w:t>
      </w:r>
      <w:r w:rsidRPr="437358D7">
        <w:rPr>
          <w:rFonts w:ascii="Calibri" w:hAnsi="Calibri" w:cs="Calibri"/>
        </w:rPr>
        <w:t xml:space="preserve">rule </w:t>
      </w:r>
      <w:r w:rsidRPr="059D3818">
        <w:rPr>
          <w:rFonts w:ascii="Calibri" w:hAnsi="Calibri" w:cs="Calibri"/>
        </w:rPr>
        <w:t xml:space="preserve">familiarization and form submission </w:t>
      </w:r>
      <w:r w:rsidR="00D6409A">
        <w:rPr>
          <w:rFonts w:ascii="Calibri" w:hAnsi="Calibri" w:cs="Calibri"/>
        </w:rPr>
        <w:t>to</w:t>
      </w:r>
      <w:r w:rsidRPr="059D3818">
        <w:rPr>
          <w:rFonts w:ascii="Calibri" w:hAnsi="Calibri" w:cs="Calibri"/>
        </w:rPr>
        <w:t xml:space="preserve"> the sum of </w:t>
      </w:r>
      <w:r w:rsidRPr="633A099F">
        <w:rPr>
          <w:rFonts w:ascii="Calibri" w:hAnsi="Calibri" w:cs="Calibri"/>
        </w:rPr>
        <w:t>form completion</w:t>
      </w:r>
      <w:r w:rsidRPr="00962957">
        <w:rPr>
          <w:rFonts w:ascii="Calibri" w:hAnsi="Calibri" w:cs="Calibri"/>
        </w:rPr>
        <w:t xml:space="preserve">, CBI </w:t>
      </w:r>
      <w:r w:rsidRPr="633A099F">
        <w:rPr>
          <w:rFonts w:ascii="Calibri" w:hAnsi="Calibri" w:cs="Calibri"/>
        </w:rPr>
        <w:t>claim substantiation, and recordkeeping</w:t>
      </w:r>
      <w:r w:rsidRPr="5FE30812">
        <w:rPr>
          <w:rFonts w:ascii="Calibri" w:hAnsi="Calibri" w:cs="Calibri"/>
        </w:rPr>
        <w:t xml:space="preserve"> and multiplying it by the </w:t>
      </w:r>
      <w:r w:rsidRPr="4070CA93">
        <w:rPr>
          <w:rFonts w:ascii="Calibri" w:hAnsi="Calibri" w:cs="Calibri"/>
        </w:rPr>
        <w:t xml:space="preserve">1.7 </w:t>
      </w:r>
      <w:r w:rsidRPr="2F68D4E3">
        <w:rPr>
          <w:rFonts w:ascii="Calibri" w:hAnsi="Calibri" w:cs="Calibri"/>
        </w:rPr>
        <w:t>reports</w:t>
      </w:r>
      <w:r w:rsidRPr="5FE30812">
        <w:rPr>
          <w:rFonts w:ascii="Calibri" w:hAnsi="Calibri" w:cs="Calibri"/>
        </w:rPr>
        <w:t xml:space="preserve"> per year</w:t>
      </w:r>
      <w:r w:rsidRPr="0F4597C4">
        <w:rPr>
          <w:rFonts w:ascii="Calibri" w:hAnsi="Calibri" w:cs="Calibri"/>
        </w:rPr>
        <w:t xml:space="preserve"> per respondent</w:t>
      </w:r>
      <w:r w:rsidRPr="483F05F1">
        <w:rPr>
          <w:rFonts w:ascii="Calibri" w:hAnsi="Calibri" w:cs="Calibri"/>
        </w:rPr>
        <w:t xml:space="preserve"> (0.82 + 0.80 + 1.7*(103.8 + 1.14 + 0.75)). </w:t>
      </w:r>
      <w:r w:rsidR="00D6409A">
        <w:rPr>
          <w:rFonts w:ascii="Calibri" w:hAnsi="Calibri" w:cs="Calibri"/>
        </w:rPr>
        <w:t>T</w:t>
      </w:r>
      <w:r w:rsidRPr="483F05F1">
        <w:rPr>
          <w:rFonts w:ascii="Calibri" w:hAnsi="Calibri" w:cs="Calibri"/>
        </w:rPr>
        <w:t>his yields a total respondent burden per year of 961 (5.3 annual number of respondents * 181.29 burden per respondent per year).</w:t>
      </w:r>
    </w:p>
    <w:p w:rsidR="00962957" w:rsidRPr="00D67EB2" w:rsidP="00AC08D1" w14:paraId="6FC27EEC" w14:textId="77777777">
      <w:pPr>
        <w:rPr>
          <w:rFonts w:ascii="Calibri" w:hAnsi="Calibri" w:cs="Calibri"/>
          <w:b/>
          <w:bCs/>
        </w:rPr>
      </w:pPr>
      <w:r w:rsidRPr="00D67EB2">
        <w:rPr>
          <w:rFonts w:ascii="Calibri" w:hAnsi="Calibri" w:cs="Calibri"/>
          <w:b/>
          <w:bCs/>
        </w:rPr>
        <w:t>Estimating Cost</w:t>
      </w:r>
    </w:p>
    <w:p w:rsidR="00D67EB2" w:rsidP="00D67EB2" w14:paraId="0BE11B2C" w14:textId="77777777">
      <w:pPr>
        <w:pStyle w:val="NoSpacing"/>
        <w:rPr>
          <w:rFonts w:ascii="Calibri" w:hAnsi="Calibri" w:cs="Calibri"/>
        </w:rPr>
      </w:pPr>
      <w:r w:rsidRPr="00962957">
        <w:rPr>
          <w:rFonts w:ascii="Calibri" w:hAnsi="Calibri" w:cs="Calibri"/>
        </w:rPr>
        <w:t>Table</w:t>
      </w:r>
      <w:r>
        <w:rPr>
          <w:rFonts w:ascii="Calibri" w:hAnsi="Calibri" w:cs="Calibri"/>
        </w:rPr>
        <w:t xml:space="preserve"> 19</w:t>
      </w:r>
      <w:r w:rsidRPr="00962957">
        <w:rPr>
          <w:rFonts w:ascii="Calibri" w:hAnsi="Calibri" w:cs="Calibri"/>
        </w:rPr>
        <w:t xml:space="preserve"> contains the cost per activity of completing a form for one respondent. Burden hours presented in Table </w:t>
      </w:r>
      <w:r>
        <w:rPr>
          <w:rFonts w:ascii="Calibri" w:hAnsi="Calibri" w:cs="Calibri"/>
        </w:rPr>
        <w:t>16</w:t>
      </w:r>
      <w:r w:rsidRPr="00962957">
        <w:rPr>
          <w:rFonts w:ascii="Calibri" w:hAnsi="Calibri" w:cs="Calibri"/>
        </w:rPr>
        <w:t xml:space="preserve"> were multiplied by the corresponding loaded wage </w:t>
      </w:r>
      <w:r w:rsidRPr="5D8A275D">
        <w:rPr>
          <w:rFonts w:ascii="Calibri" w:hAnsi="Calibri" w:cs="Calibri"/>
        </w:rPr>
        <w:t>rates</w:t>
      </w:r>
      <w:r w:rsidRPr="1B71E762">
        <w:rPr>
          <w:rFonts w:ascii="Calibri" w:hAnsi="Calibri" w:cs="Calibri"/>
        </w:rPr>
        <w:t xml:space="preserve"> in Table 1.</w:t>
      </w:r>
      <w:r w:rsidRPr="00962957">
        <w:rPr>
          <w:rFonts w:ascii="Calibri" w:hAnsi="Calibri" w:cs="Calibri"/>
        </w:rPr>
        <w:t xml:space="preserve"> EPA estimates that the total cost </w:t>
      </w:r>
      <w:r w:rsidRPr="4D0E0AB5">
        <w:rPr>
          <w:rFonts w:ascii="Calibri" w:hAnsi="Calibri" w:cs="Calibri"/>
        </w:rPr>
        <w:t>per</w:t>
      </w:r>
      <w:r w:rsidRPr="00962957">
        <w:rPr>
          <w:rFonts w:ascii="Calibri" w:hAnsi="Calibri" w:cs="Calibri"/>
        </w:rPr>
        <w:t xml:space="preserve"> report is approximately $</w:t>
      </w:r>
      <w:r w:rsidRPr="4D0E0AB5">
        <w:rPr>
          <w:rFonts w:ascii="Calibri" w:hAnsi="Calibri" w:cs="Calibri"/>
        </w:rPr>
        <w:t>9,050 (</w:t>
      </w:r>
      <w:r w:rsidRPr="5F0F0B7F">
        <w:rPr>
          <w:rFonts w:ascii="Calibri" w:hAnsi="Calibri" w:cs="Calibri"/>
        </w:rPr>
        <w:t>Table 1</w:t>
      </w:r>
      <w:r>
        <w:rPr>
          <w:rFonts w:ascii="Calibri" w:hAnsi="Calibri" w:cs="Calibri"/>
        </w:rPr>
        <w:t>9)</w:t>
      </w:r>
      <w:r w:rsidRPr="5F0F0B7F">
        <w:rPr>
          <w:rFonts w:ascii="Calibri" w:hAnsi="Calibri" w:cs="Calibri"/>
        </w:rPr>
        <w:t xml:space="preserve">. </w:t>
      </w:r>
    </w:p>
    <w:p w:rsidR="00AD1195" w:rsidP="00D67EB2" w14:paraId="19C75D51" w14:textId="77777777">
      <w:pPr>
        <w:pStyle w:val="NoSpacing"/>
        <w:rPr>
          <w:rFonts w:ascii="Calibri" w:hAnsi="Calibri" w:cs="Calibri"/>
          <w:b/>
        </w:rPr>
      </w:pPr>
    </w:p>
    <w:p w:rsidR="00962957" w:rsidP="00D67EB2" w14:paraId="7DC3A414" w14:textId="00255754">
      <w:pPr>
        <w:pStyle w:val="NoSpacing"/>
        <w:rPr>
          <w:rFonts w:ascii="Calibri" w:hAnsi="Calibri" w:cs="Calibri"/>
          <w:b/>
        </w:rPr>
      </w:pPr>
      <w:r w:rsidRPr="00962957">
        <w:rPr>
          <w:rFonts w:ascii="Calibri" w:hAnsi="Calibri" w:cs="Calibri"/>
          <w:b/>
        </w:rPr>
        <w:t xml:space="preserve">Table </w:t>
      </w:r>
      <w:r w:rsidR="009200C4">
        <w:rPr>
          <w:rFonts w:ascii="Calibri" w:hAnsi="Calibri" w:cs="Calibri"/>
          <w:b/>
        </w:rPr>
        <w:t>1</w:t>
      </w:r>
      <w:r w:rsidR="00D67EB2">
        <w:rPr>
          <w:rFonts w:ascii="Calibri" w:hAnsi="Calibri" w:cs="Calibri"/>
          <w:b/>
        </w:rPr>
        <w:t>9</w:t>
      </w:r>
      <w:r w:rsidRPr="00962957">
        <w:rPr>
          <w:rFonts w:ascii="Calibri" w:hAnsi="Calibri" w:cs="Calibri"/>
          <w:b/>
        </w:rPr>
        <w:t xml:space="preserve">: </w:t>
      </w:r>
      <w:r w:rsidRPr="0093630F" w:rsidR="004572B1">
        <w:rPr>
          <w:rFonts w:ascii="Calibri" w:hAnsi="Calibri" w:cs="Calibri"/>
          <w:b/>
          <w:bCs/>
        </w:rPr>
        <w:t>Annual Respondent Costs for TSCA Section 8(a) Nan</w:t>
      </w:r>
      <w:r w:rsidR="004572B1">
        <w:rPr>
          <w:rFonts w:ascii="Calibri" w:hAnsi="Calibri" w:cs="Calibri"/>
          <w:b/>
          <w:bCs/>
        </w:rPr>
        <w:t>o</w:t>
      </w:r>
      <w:r w:rsidRPr="0093630F" w:rsidR="004572B1">
        <w:rPr>
          <w:rFonts w:ascii="Calibri" w:hAnsi="Calibri" w:cs="Calibri"/>
          <w:b/>
          <w:bCs/>
        </w:rPr>
        <w:t>materials (2024$)</w:t>
      </w:r>
    </w:p>
    <w:tbl>
      <w:tblPr>
        <w:tblW w:w="9492" w:type="dxa"/>
        <w:tblLayout w:type="fixed"/>
        <w:tblLook w:val="06A0"/>
      </w:tblPr>
      <w:tblGrid>
        <w:gridCol w:w="2430"/>
        <w:gridCol w:w="1455"/>
        <w:gridCol w:w="1354"/>
        <w:gridCol w:w="1365"/>
        <w:gridCol w:w="1470"/>
        <w:gridCol w:w="1418"/>
      </w:tblGrid>
      <w:tr w14:paraId="32397307" w14:textId="77777777" w:rsidTr="000B1354">
        <w:tblPrEx>
          <w:tblW w:w="9492" w:type="dxa"/>
          <w:tblLayout w:type="fixed"/>
          <w:tblLook w:val="06A0"/>
        </w:tblPrEx>
        <w:trPr>
          <w:trHeight w:val="1035"/>
        </w:trPr>
        <w:tc>
          <w:tcPr>
            <w:tcW w:w="2430" w:type="dxa"/>
            <w:tcBorders>
              <w:top w:val="single" w:sz="8" w:space="0" w:color="auto"/>
              <w:left w:val="single" w:sz="8" w:space="0" w:color="auto"/>
              <w:bottom w:val="single" w:sz="8" w:space="0" w:color="auto"/>
              <w:right w:val="nil"/>
            </w:tcBorders>
            <w:shd w:val="clear" w:color="auto" w:fill="F2F2F2" w:themeFill="accent6" w:themeFillShade="F2"/>
            <w:vAlign w:val="center"/>
          </w:tcPr>
          <w:p w:rsidR="004572B1" w:rsidP="004572B1" w14:paraId="7A13B8BF"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Activity</w:t>
            </w:r>
          </w:p>
        </w:tc>
        <w:tc>
          <w:tcPr>
            <w:tcW w:w="1455" w:type="dxa"/>
            <w:tcBorders>
              <w:top w:val="single" w:sz="8" w:space="0" w:color="auto"/>
              <w:left w:val="single" w:sz="8" w:space="0" w:color="auto"/>
              <w:bottom w:val="single" w:sz="8" w:space="0" w:color="auto"/>
              <w:right w:val="nil"/>
            </w:tcBorders>
            <w:shd w:val="clear" w:color="auto" w:fill="F2F2F2" w:themeFill="accent6" w:themeFillShade="F2"/>
            <w:vAlign w:val="center"/>
          </w:tcPr>
          <w:p w:rsidR="004572B1" w:rsidP="004572B1" w14:paraId="61A3714B"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Clerical ($42.28/hr)</w:t>
            </w:r>
          </w:p>
        </w:tc>
        <w:tc>
          <w:tcPr>
            <w:tcW w:w="1354" w:type="dxa"/>
            <w:tcBorders>
              <w:top w:val="single" w:sz="8" w:space="0" w:color="auto"/>
              <w:left w:val="single" w:sz="8" w:space="0" w:color="auto"/>
              <w:bottom w:val="single" w:sz="8" w:space="0" w:color="auto"/>
              <w:right w:val="single" w:sz="8" w:space="0" w:color="auto"/>
            </w:tcBorders>
            <w:shd w:val="clear" w:color="auto" w:fill="F2F2F2" w:themeFill="accent6" w:themeFillShade="F2"/>
            <w:vAlign w:val="center"/>
          </w:tcPr>
          <w:p w:rsidR="004572B1" w:rsidP="004572B1" w14:paraId="563E3877"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Technical </w:t>
            </w:r>
            <w:r>
              <w:br/>
            </w:r>
            <w:r w:rsidRPr="40498199">
              <w:rPr>
                <w:rFonts w:ascii="Calibri" w:eastAsia="Calibri" w:hAnsi="Calibri" w:cs="Calibri"/>
                <w:b/>
                <w:bCs/>
                <w:color w:val="000000" w:themeColor="text1"/>
                <w:sz w:val="20"/>
                <w:szCs w:val="20"/>
              </w:rPr>
              <w:t>($83.54/hr)</w:t>
            </w:r>
          </w:p>
        </w:tc>
        <w:tc>
          <w:tcPr>
            <w:tcW w:w="1365" w:type="dxa"/>
            <w:tcBorders>
              <w:top w:val="single" w:sz="8" w:space="0" w:color="auto"/>
              <w:left w:val="single" w:sz="8" w:space="0" w:color="auto"/>
              <w:bottom w:val="single" w:sz="8" w:space="0" w:color="auto"/>
              <w:right w:val="nil"/>
            </w:tcBorders>
            <w:shd w:val="clear" w:color="auto" w:fill="F2F2F2" w:themeFill="accent6" w:themeFillShade="F2"/>
            <w:vAlign w:val="center"/>
          </w:tcPr>
          <w:p w:rsidR="004572B1" w:rsidP="004572B1" w14:paraId="2C090E7D"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Managerial </w:t>
            </w:r>
            <w:r>
              <w:br/>
            </w:r>
            <w:r w:rsidRPr="40498199">
              <w:rPr>
                <w:rFonts w:ascii="Calibri" w:eastAsia="Calibri" w:hAnsi="Calibri" w:cs="Calibri"/>
                <w:b/>
                <w:bCs/>
                <w:color w:val="000000" w:themeColor="text1"/>
                <w:sz w:val="20"/>
                <w:szCs w:val="20"/>
              </w:rPr>
              <w:t>($89.16/hr)</w:t>
            </w:r>
          </w:p>
        </w:tc>
        <w:tc>
          <w:tcPr>
            <w:tcW w:w="1470" w:type="dxa"/>
            <w:tcBorders>
              <w:top w:val="single" w:sz="8" w:space="0" w:color="auto"/>
              <w:left w:val="single" w:sz="8" w:space="0" w:color="auto"/>
              <w:bottom w:val="single" w:sz="8" w:space="0" w:color="auto"/>
              <w:right w:val="single" w:sz="8" w:space="0" w:color="auto"/>
            </w:tcBorders>
            <w:shd w:val="clear" w:color="auto" w:fill="F2F2F2" w:themeFill="accent6" w:themeFillShade="F2"/>
            <w:vAlign w:val="center"/>
          </w:tcPr>
          <w:p w:rsidR="004572B1" w:rsidP="004572B1" w14:paraId="727DA268"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Attorney </w:t>
            </w:r>
            <w:r>
              <w:br/>
            </w:r>
            <w:r w:rsidRPr="40498199">
              <w:rPr>
                <w:rFonts w:ascii="Calibri" w:eastAsia="Calibri" w:hAnsi="Calibri" w:cs="Calibri"/>
                <w:b/>
                <w:bCs/>
                <w:color w:val="000000" w:themeColor="text1"/>
                <w:sz w:val="20"/>
                <w:szCs w:val="20"/>
              </w:rPr>
              <w:t>($133.14/hr)</w:t>
            </w:r>
          </w:p>
        </w:tc>
        <w:tc>
          <w:tcPr>
            <w:tcW w:w="1418" w:type="dxa"/>
            <w:tcBorders>
              <w:top w:val="single" w:sz="8" w:space="0" w:color="auto"/>
              <w:left w:val="single" w:sz="8" w:space="0" w:color="auto"/>
              <w:bottom w:val="single" w:sz="8" w:space="0" w:color="auto"/>
              <w:right w:val="single" w:sz="8" w:space="0" w:color="auto"/>
            </w:tcBorders>
            <w:shd w:val="clear" w:color="auto" w:fill="F2F2F2" w:themeFill="accent6" w:themeFillShade="F2"/>
            <w:vAlign w:val="center"/>
          </w:tcPr>
          <w:p w:rsidR="004572B1" w:rsidP="004572B1" w14:paraId="58CC572E"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Total Cost</w:t>
            </w:r>
          </w:p>
        </w:tc>
      </w:tr>
      <w:tr w14:paraId="25DF1CB8" w14:textId="77777777" w:rsidTr="000B1354">
        <w:tblPrEx>
          <w:tblW w:w="9492" w:type="dxa"/>
          <w:tblLayout w:type="fixed"/>
          <w:tblLook w:val="06A0"/>
        </w:tblPrEx>
        <w:trPr>
          <w:trHeight w:val="300"/>
        </w:trPr>
        <w:tc>
          <w:tcPr>
            <w:tcW w:w="2430" w:type="dxa"/>
            <w:tcBorders>
              <w:top w:val="single" w:sz="8" w:space="0" w:color="auto"/>
              <w:left w:val="single" w:sz="8" w:space="0" w:color="auto"/>
              <w:bottom w:val="single" w:sz="8" w:space="0" w:color="auto"/>
              <w:right w:val="single" w:sz="8" w:space="0" w:color="auto"/>
            </w:tcBorders>
            <w:vAlign w:val="center"/>
          </w:tcPr>
          <w:p w:rsidR="004572B1" w:rsidP="004572B1" w14:paraId="60FE9BEC" w14:textId="77777777">
            <w:pPr>
              <w:spacing w:after="0"/>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Rule Familiarization</w:t>
            </w:r>
          </w:p>
        </w:tc>
        <w:tc>
          <w:tcPr>
            <w:tcW w:w="1455" w:type="dxa"/>
            <w:tcBorders>
              <w:top w:val="single" w:sz="8" w:space="0" w:color="auto"/>
              <w:left w:val="single" w:sz="8" w:space="0" w:color="auto"/>
              <w:bottom w:val="single" w:sz="8" w:space="0" w:color="auto"/>
              <w:right w:val="single" w:sz="8" w:space="0" w:color="auto"/>
            </w:tcBorders>
            <w:vAlign w:val="center"/>
          </w:tcPr>
          <w:p w:rsidR="004572B1" w:rsidP="004572B1" w14:paraId="22B09869"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354" w:type="dxa"/>
            <w:tcBorders>
              <w:top w:val="single" w:sz="8" w:space="0" w:color="auto"/>
              <w:left w:val="single" w:sz="8" w:space="0" w:color="auto"/>
              <w:bottom w:val="single" w:sz="8" w:space="0" w:color="auto"/>
              <w:right w:val="single" w:sz="8" w:space="0" w:color="auto"/>
            </w:tcBorders>
            <w:vAlign w:val="center"/>
          </w:tcPr>
          <w:p w:rsidR="004572B1" w:rsidP="004572B1" w14:paraId="6BD3A84B"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$45.95 </w:t>
            </w:r>
          </w:p>
        </w:tc>
        <w:tc>
          <w:tcPr>
            <w:tcW w:w="1365" w:type="dxa"/>
            <w:tcBorders>
              <w:top w:val="single" w:sz="8" w:space="0" w:color="auto"/>
              <w:left w:val="single" w:sz="8" w:space="0" w:color="auto"/>
              <w:bottom w:val="single" w:sz="8" w:space="0" w:color="auto"/>
              <w:right w:val="single" w:sz="8" w:space="0" w:color="auto"/>
            </w:tcBorders>
            <w:vAlign w:val="center"/>
          </w:tcPr>
          <w:p w:rsidR="004572B1" w:rsidP="004572B1" w14:paraId="31EC2F45"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$24.07 </w:t>
            </w:r>
          </w:p>
        </w:tc>
        <w:tc>
          <w:tcPr>
            <w:tcW w:w="1470" w:type="dxa"/>
            <w:tcBorders>
              <w:top w:val="single" w:sz="8" w:space="0" w:color="auto"/>
              <w:left w:val="single" w:sz="8" w:space="0" w:color="auto"/>
              <w:bottom w:val="single" w:sz="8" w:space="0" w:color="auto"/>
              <w:right w:val="single" w:sz="8" w:space="0" w:color="auto"/>
            </w:tcBorders>
            <w:vAlign w:val="center"/>
          </w:tcPr>
          <w:p w:rsidR="004572B1" w:rsidP="004572B1" w14:paraId="4CDE44CE"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418" w:type="dxa"/>
            <w:tcBorders>
              <w:top w:val="single" w:sz="8" w:space="0" w:color="auto"/>
              <w:left w:val="single" w:sz="8" w:space="0" w:color="auto"/>
              <w:bottom w:val="single" w:sz="8" w:space="0" w:color="auto"/>
              <w:right w:val="single" w:sz="8" w:space="0" w:color="auto"/>
            </w:tcBorders>
            <w:vAlign w:val="center"/>
          </w:tcPr>
          <w:p w:rsidR="004572B1" w:rsidP="004572B1" w14:paraId="06026B68"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$70.02 </w:t>
            </w:r>
          </w:p>
        </w:tc>
      </w:tr>
      <w:tr w14:paraId="64DDAA07" w14:textId="77777777" w:rsidTr="000B1354">
        <w:tblPrEx>
          <w:tblW w:w="9492" w:type="dxa"/>
          <w:tblLayout w:type="fixed"/>
          <w:tblLook w:val="06A0"/>
        </w:tblPrEx>
        <w:trPr>
          <w:trHeight w:val="300"/>
        </w:trPr>
        <w:tc>
          <w:tcPr>
            <w:tcW w:w="2430" w:type="dxa"/>
            <w:tcBorders>
              <w:top w:val="single" w:sz="8" w:space="0" w:color="auto"/>
              <w:left w:val="single" w:sz="8" w:space="0" w:color="auto"/>
              <w:bottom w:val="single" w:sz="8" w:space="0" w:color="auto"/>
              <w:right w:val="single" w:sz="8" w:space="0" w:color="auto"/>
            </w:tcBorders>
            <w:vAlign w:val="center"/>
          </w:tcPr>
          <w:p w:rsidR="004572B1" w:rsidP="004572B1" w14:paraId="7B5D9190" w14:textId="77777777">
            <w:pPr>
              <w:spacing w:after="0"/>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Form Completion</w:t>
            </w:r>
          </w:p>
        </w:tc>
        <w:tc>
          <w:tcPr>
            <w:tcW w:w="1455" w:type="dxa"/>
            <w:tcBorders>
              <w:top w:val="single" w:sz="8" w:space="0" w:color="auto"/>
              <w:left w:val="single" w:sz="8" w:space="0" w:color="auto"/>
              <w:bottom w:val="single" w:sz="8" w:space="0" w:color="auto"/>
              <w:right w:val="single" w:sz="8" w:space="0" w:color="auto"/>
            </w:tcBorders>
            <w:vAlign w:val="center"/>
          </w:tcPr>
          <w:p w:rsidR="004572B1" w:rsidP="004572B1" w14:paraId="4FA62F88"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354" w:type="dxa"/>
            <w:tcBorders>
              <w:top w:val="single" w:sz="8" w:space="0" w:color="auto"/>
              <w:left w:val="single" w:sz="8" w:space="0" w:color="auto"/>
              <w:bottom w:val="single" w:sz="8" w:space="0" w:color="auto"/>
              <w:right w:val="single" w:sz="8" w:space="0" w:color="auto"/>
            </w:tcBorders>
            <w:vAlign w:val="center"/>
          </w:tcPr>
          <w:p w:rsidR="004572B1" w:rsidP="004572B1" w14:paraId="357A55BD"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$6,677.35 </w:t>
            </w:r>
          </w:p>
        </w:tc>
        <w:tc>
          <w:tcPr>
            <w:tcW w:w="1365" w:type="dxa"/>
            <w:tcBorders>
              <w:top w:val="single" w:sz="8" w:space="0" w:color="auto"/>
              <w:left w:val="single" w:sz="8" w:space="0" w:color="auto"/>
              <w:bottom w:val="single" w:sz="8" w:space="0" w:color="auto"/>
              <w:right w:val="single" w:sz="8" w:space="0" w:color="auto"/>
            </w:tcBorders>
            <w:vAlign w:val="center"/>
          </w:tcPr>
          <w:p w:rsidR="004572B1" w:rsidP="004572B1" w14:paraId="31380BA1"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$2,128.25 </w:t>
            </w:r>
          </w:p>
        </w:tc>
        <w:tc>
          <w:tcPr>
            <w:tcW w:w="1470" w:type="dxa"/>
            <w:tcBorders>
              <w:top w:val="single" w:sz="8" w:space="0" w:color="auto"/>
              <w:left w:val="single" w:sz="8" w:space="0" w:color="auto"/>
              <w:bottom w:val="single" w:sz="8" w:space="0" w:color="auto"/>
              <w:right w:val="single" w:sz="8" w:space="0" w:color="auto"/>
            </w:tcBorders>
            <w:vAlign w:val="center"/>
          </w:tcPr>
          <w:p w:rsidR="004572B1" w:rsidP="004572B1" w14:paraId="4E22DC68"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418" w:type="dxa"/>
            <w:tcBorders>
              <w:top w:val="single" w:sz="8" w:space="0" w:color="auto"/>
              <w:left w:val="single" w:sz="8" w:space="0" w:color="auto"/>
              <w:bottom w:val="single" w:sz="8" w:space="0" w:color="auto"/>
              <w:right w:val="single" w:sz="8" w:space="0" w:color="auto"/>
            </w:tcBorders>
            <w:vAlign w:val="center"/>
          </w:tcPr>
          <w:p w:rsidR="004572B1" w:rsidP="004572B1" w14:paraId="2A6E4F1C"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$8,805.60 </w:t>
            </w:r>
          </w:p>
        </w:tc>
      </w:tr>
      <w:tr w14:paraId="716DA341" w14:textId="77777777" w:rsidTr="000B1354">
        <w:tblPrEx>
          <w:tblW w:w="9492" w:type="dxa"/>
          <w:tblLayout w:type="fixed"/>
          <w:tblLook w:val="06A0"/>
        </w:tblPrEx>
        <w:trPr>
          <w:trHeight w:val="300"/>
        </w:trPr>
        <w:tc>
          <w:tcPr>
            <w:tcW w:w="2430" w:type="dxa"/>
            <w:tcBorders>
              <w:top w:val="single" w:sz="8" w:space="0" w:color="auto"/>
              <w:left w:val="single" w:sz="8" w:space="0" w:color="auto"/>
              <w:bottom w:val="single" w:sz="8" w:space="0" w:color="auto"/>
              <w:right w:val="single" w:sz="8" w:space="0" w:color="auto"/>
            </w:tcBorders>
            <w:vAlign w:val="center"/>
          </w:tcPr>
          <w:p w:rsidR="004572B1" w:rsidP="004572B1" w14:paraId="26D0CBFA" w14:textId="77777777">
            <w:pPr>
              <w:spacing w:after="0"/>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CBI Claim Substantiation</w:t>
            </w:r>
          </w:p>
        </w:tc>
        <w:tc>
          <w:tcPr>
            <w:tcW w:w="1455" w:type="dxa"/>
            <w:tcBorders>
              <w:top w:val="single" w:sz="8" w:space="0" w:color="auto"/>
              <w:left w:val="single" w:sz="8" w:space="0" w:color="auto"/>
              <w:bottom w:val="single" w:sz="8" w:space="0" w:color="auto"/>
              <w:right w:val="single" w:sz="8" w:space="0" w:color="auto"/>
            </w:tcBorders>
            <w:vAlign w:val="center"/>
          </w:tcPr>
          <w:p w:rsidR="004572B1" w:rsidP="004572B1" w14:paraId="332DEBD8"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354" w:type="dxa"/>
            <w:tcBorders>
              <w:top w:val="single" w:sz="8" w:space="0" w:color="auto"/>
              <w:left w:val="single" w:sz="8" w:space="0" w:color="auto"/>
              <w:bottom w:val="single" w:sz="8" w:space="0" w:color="auto"/>
              <w:right w:val="single" w:sz="8" w:space="0" w:color="auto"/>
            </w:tcBorders>
            <w:vAlign w:val="center"/>
          </w:tcPr>
          <w:p w:rsidR="004572B1" w:rsidP="004572B1" w14:paraId="03BD95E3"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365" w:type="dxa"/>
            <w:tcBorders>
              <w:top w:val="single" w:sz="8" w:space="0" w:color="auto"/>
              <w:left w:val="single" w:sz="8" w:space="0" w:color="auto"/>
              <w:bottom w:val="single" w:sz="8" w:space="0" w:color="auto"/>
              <w:right w:val="single" w:sz="8" w:space="0" w:color="auto"/>
            </w:tcBorders>
            <w:vAlign w:val="center"/>
          </w:tcPr>
          <w:p w:rsidR="004572B1" w:rsidP="004572B1" w14:paraId="1B2BE5D5"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$50.82 </w:t>
            </w:r>
          </w:p>
        </w:tc>
        <w:tc>
          <w:tcPr>
            <w:tcW w:w="1470" w:type="dxa"/>
            <w:tcBorders>
              <w:top w:val="single" w:sz="8" w:space="0" w:color="auto"/>
              <w:left w:val="single" w:sz="8" w:space="0" w:color="auto"/>
              <w:bottom w:val="single" w:sz="8" w:space="0" w:color="auto"/>
              <w:right w:val="single" w:sz="8" w:space="0" w:color="auto"/>
            </w:tcBorders>
            <w:vAlign w:val="center"/>
          </w:tcPr>
          <w:p w:rsidR="004572B1" w:rsidP="004572B1" w14:paraId="7E1CD0FA"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$75.89 </w:t>
            </w:r>
          </w:p>
        </w:tc>
        <w:tc>
          <w:tcPr>
            <w:tcW w:w="1418" w:type="dxa"/>
            <w:tcBorders>
              <w:top w:val="single" w:sz="8" w:space="0" w:color="auto"/>
              <w:left w:val="single" w:sz="8" w:space="0" w:color="auto"/>
              <w:bottom w:val="single" w:sz="8" w:space="0" w:color="auto"/>
              <w:right w:val="single" w:sz="8" w:space="0" w:color="auto"/>
            </w:tcBorders>
            <w:vAlign w:val="center"/>
          </w:tcPr>
          <w:p w:rsidR="004572B1" w:rsidP="004572B1" w14:paraId="3289F44B"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$126.71 </w:t>
            </w:r>
          </w:p>
        </w:tc>
      </w:tr>
      <w:tr w14:paraId="5ECC2311" w14:textId="77777777" w:rsidTr="000B1354">
        <w:tblPrEx>
          <w:tblW w:w="9492" w:type="dxa"/>
          <w:tblLayout w:type="fixed"/>
          <w:tblLook w:val="06A0"/>
        </w:tblPrEx>
        <w:trPr>
          <w:trHeight w:val="300"/>
        </w:trPr>
        <w:tc>
          <w:tcPr>
            <w:tcW w:w="2430" w:type="dxa"/>
            <w:tcBorders>
              <w:top w:val="single" w:sz="8" w:space="0" w:color="auto"/>
              <w:left w:val="single" w:sz="8" w:space="0" w:color="auto"/>
              <w:bottom w:val="single" w:sz="8" w:space="0" w:color="auto"/>
              <w:right w:val="single" w:sz="8" w:space="0" w:color="auto"/>
            </w:tcBorders>
            <w:vAlign w:val="center"/>
          </w:tcPr>
          <w:p w:rsidR="004572B1" w:rsidP="004572B1" w14:paraId="161CF5CB" w14:textId="77777777">
            <w:pPr>
              <w:spacing w:after="0"/>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Recordkeeping</w:t>
            </w:r>
          </w:p>
        </w:tc>
        <w:tc>
          <w:tcPr>
            <w:tcW w:w="1455" w:type="dxa"/>
            <w:tcBorders>
              <w:top w:val="single" w:sz="8" w:space="0" w:color="auto"/>
              <w:left w:val="single" w:sz="8" w:space="0" w:color="auto"/>
              <w:bottom w:val="single" w:sz="8" w:space="0" w:color="auto"/>
              <w:right w:val="single" w:sz="8" w:space="0" w:color="auto"/>
            </w:tcBorders>
            <w:vAlign w:val="center"/>
          </w:tcPr>
          <w:p w:rsidR="004572B1" w:rsidP="004572B1" w14:paraId="700E25EA"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$15.86 </w:t>
            </w:r>
          </w:p>
        </w:tc>
        <w:tc>
          <w:tcPr>
            <w:tcW w:w="1354" w:type="dxa"/>
            <w:tcBorders>
              <w:top w:val="single" w:sz="8" w:space="0" w:color="auto"/>
              <w:left w:val="single" w:sz="8" w:space="0" w:color="auto"/>
              <w:bottom w:val="single" w:sz="8" w:space="0" w:color="auto"/>
              <w:right w:val="single" w:sz="8" w:space="0" w:color="auto"/>
            </w:tcBorders>
            <w:vAlign w:val="center"/>
          </w:tcPr>
          <w:p w:rsidR="004572B1" w:rsidP="004572B1" w14:paraId="69D1728C"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$31.33 </w:t>
            </w:r>
          </w:p>
        </w:tc>
        <w:tc>
          <w:tcPr>
            <w:tcW w:w="1365" w:type="dxa"/>
            <w:tcBorders>
              <w:top w:val="single" w:sz="8" w:space="0" w:color="auto"/>
              <w:left w:val="single" w:sz="8" w:space="0" w:color="auto"/>
              <w:bottom w:val="single" w:sz="8" w:space="0" w:color="auto"/>
              <w:right w:val="single" w:sz="8" w:space="0" w:color="auto"/>
            </w:tcBorders>
            <w:vAlign w:val="center"/>
          </w:tcPr>
          <w:p w:rsidR="004572B1" w:rsidP="004572B1" w14:paraId="23245E78"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470" w:type="dxa"/>
            <w:tcBorders>
              <w:top w:val="single" w:sz="8" w:space="0" w:color="auto"/>
              <w:left w:val="single" w:sz="8" w:space="0" w:color="auto"/>
              <w:bottom w:val="single" w:sz="8" w:space="0" w:color="auto"/>
              <w:right w:val="single" w:sz="8" w:space="0" w:color="auto"/>
            </w:tcBorders>
            <w:vAlign w:val="center"/>
          </w:tcPr>
          <w:p w:rsidR="004572B1" w:rsidP="004572B1" w14:paraId="4548F3DD"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$0.00 </w:t>
            </w:r>
          </w:p>
        </w:tc>
        <w:tc>
          <w:tcPr>
            <w:tcW w:w="1418" w:type="dxa"/>
            <w:tcBorders>
              <w:top w:val="single" w:sz="8" w:space="0" w:color="auto"/>
              <w:left w:val="single" w:sz="8" w:space="0" w:color="auto"/>
              <w:bottom w:val="single" w:sz="8" w:space="0" w:color="auto"/>
              <w:right w:val="single" w:sz="8" w:space="0" w:color="auto"/>
            </w:tcBorders>
            <w:vAlign w:val="center"/>
          </w:tcPr>
          <w:p w:rsidR="004572B1" w:rsidP="004572B1" w14:paraId="1AC05010" w14:textId="77777777">
            <w:pPr>
              <w:spacing w:after="0"/>
              <w:jc w:val="center"/>
              <w:rPr>
                <w:rFonts w:ascii="Calibri" w:eastAsia="Calibri" w:hAnsi="Calibri" w:cs="Calibri"/>
                <w:color w:val="000000" w:themeColor="text1"/>
                <w:sz w:val="20"/>
                <w:szCs w:val="20"/>
              </w:rPr>
            </w:pPr>
            <w:r w:rsidRPr="40498199">
              <w:rPr>
                <w:rFonts w:ascii="Calibri" w:eastAsia="Calibri" w:hAnsi="Calibri" w:cs="Calibri"/>
                <w:color w:val="000000" w:themeColor="text1"/>
                <w:sz w:val="20"/>
                <w:szCs w:val="20"/>
              </w:rPr>
              <w:t xml:space="preserve">$47.18 </w:t>
            </w:r>
          </w:p>
        </w:tc>
      </w:tr>
      <w:tr w14:paraId="4DA4A623" w14:textId="77777777" w:rsidTr="000B1354">
        <w:tblPrEx>
          <w:tblW w:w="9492" w:type="dxa"/>
          <w:tblLayout w:type="fixed"/>
          <w:tblLook w:val="06A0"/>
        </w:tblPrEx>
        <w:trPr>
          <w:trHeight w:val="300"/>
        </w:trPr>
        <w:tc>
          <w:tcPr>
            <w:tcW w:w="2430" w:type="dxa"/>
            <w:tcBorders>
              <w:top w:val="single" w:sz="8" w:space="0" w:color="auto"/>
              <w:left w:val="single" w:sz="8" w:space="0" w:color="auto"/>
              <w:bottom w:val="single" w:sz="8" w:space="0" w:color="auto"/>
              <w:right w:val="single" w:sz="8" w:space="0" w:color="auto"/>
            </w:tcBorders>
            <w:vAlign w:val="center"/>
          </w:tcPr>
          <w:p w:rsidR="004572B1" w:rsidP="004572B1" w14:paraId="586A384A" w14:textId="77777777">
            <w:pPr>
              <w:spacing w:after="0"/>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Total </w:t>
            </w:r>
            <w:r w:rsidRPr="0E2EC959">
              <w:rPr>
                <w:rFonts w:ascii="Calibri" w:eastAsia="Calibri" w:hAnsi="Calibri" w:cs="Calibri"/>
                <w:b/>
                <w:bCs/>
                <w:color w:val="000000" w:themeColor="text1"/>
                <w:sz w:val="20"/>
                <w:szCs w:val="20"/>
              </w:rPr>
              <w:t>Cost per</w:t>
            </w:r>
            <w:r w:rsidRPr="40498199">
              <w:rPr>
                <w:rFonts w:ascii="Calibri" w:eastAsia="Calibri" w:hAnsi="Calibri" w:cs="Calibri"/>
                <w:b/>
                <w:bCs/>
                <w:color w:val="000000" w:themeColor="text1"/>
                <w:sz w:val="20"/>
                <w:szCs w:val="20"/>
              </w:rPr>
              <w:t xml:space="preserve"> Report</w:t>
            </w:r>
          </w:p>
        </w:tc>
        <w:tc>
          <w:tcPr>
            <w:tcW w:w="1455" w:type="dxa"/>
            <w:tcBorders>
              <w:top w:val="single" w:sz="8" w:space="0" w:color="auto"/>
              <w:left w:val="single" w:sz="8" w:space="0" w:color="auto"/>
              <w:bottom w:val="single" w:sz="8" w:space="0" w:color="auto"/>
              <w:right w:val="single" w:sz="8" w:space="0" w:color="auto"/>
            </w:tcBorders>
            <w:vAlign w:val="center"/>
          </w:tcPr>
          <w:p w:rsidR="004572B1" w:rsidP="004572B1" w14:paraId="7DFE450C"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$15.86 </w:t>
            </w:r>
          </w:p>
        </w:tc>
        <w:tc>
          <w:tcPr>
            <w:tcW w:w="1354" w:type="dxa"/>
            <w:tcBorders>
              <w:top w:val="single" w:sz="8" w:space="0" w:color="auto"/>
              <w:left w:val="single" w:sz="8" w:space="0" w:color="auto"/>
              <w:bottom w:val="single" w:sz="8" w:space="0" w:color="auto"/>
              <w:right w:val="single" w:sz="8" w:space="0" w:color="auto"/>
            </w:tcBorders>
            <w:vAlign w:val="center"/>
          </w:tcPr>
          <w:p w:rsidR="004572B1" w:rsidP="004572B1" w14:paraId="1EABD938"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$6,754.63 </w:t>
            </w:r>
          </w:p>
        </w:tc>
        <w:tc>
          <w:tcPr>
            <w:tcW w:w="1365" w:type="dxa"/>
            <w:tcBorders>
              <w:top w:val="single" w:sz="8" w:space="0" w:color="auto"/>
              <w:left w:val="single" w:sz="8" w:space="0" w:color="auto"/>
              <w:bottom w:val="single" w:sz="8" w:space="0" w:color="auto"/>
              <w:right w:val="single" w:sz="8" w:space="0" w:color="auto"/>
            </w:tcBorders>
            <w:vAlign w:val="center"/>
          </w:tcPr>
          <w:p w:rsidR="004572B1" w:rsidP="004572B1" w14:paraId="41B8F68F"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$2,203.14 </w:t>
            </w:r>
          </w:p>
        </w:tc>
        <w:tc>
          <w:tcPr>
            <w:tcW w:w="1470" w:type="dxa"/>
            <w:tcBorders>
              <w:top w:val="single" w:sz="8" w:space="0" w:color="auto"/>
              <w:left w:val="single" w:sz="8" w:space="0" w:color="auto"/>
              <w:bottom w:val="single" w:sz="8" w:space="0" w:color="auto"/>
              <w:right w:val="single" w:sz="8" w:space="0" w:color="auto"/>
            </w:tcBorders>
            <w:vAlign w:val="center"/>
          </w:tcPr>
          <w:p w:rsidR="004572B1" w:rsidP="004572B1" w14:paraId="6FD7B525"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$75.89 </w:t>
            </w:r>
          </w:p>
        </w:tc>
        <w:tc>
          <w:tcPr>
            <w:tcW w:w="1418" w:type="dxa"/>
            <w:tcBorders>
              <w:top w:val="single" w:sz="8" w:space="0" w:color="auto"/>
              <w:left w:val="single" w:sz="8" w:space="0" w:color="auto"/>
              <w:bottom w:val="single" w:sz="8" w:space="0" w:color="auto"/>
              <w:right w:val="single" w:sz="8" w:space="0" w:color="auto"/>
            </w:tcBorders>
            <w:vAlign w:val="center"/>
          </w:tcPr>
          <w:p w:rsidR="004572B1" w:rsidP="004572B1" w14:paraId="414D4D8B" w14:textId="77777777">
            <w:pPr>
              <w:spacing w:after="0"/>
              <w:jc w:val="center"/>
              <w:rPr>
                <w:rFonts w:ascii="Calibri" w:eastAsia="Calibri" w:hAnsi="Calibri" w:cs="Calibri"/>
                <w:b/>
                <w:bCs/>
                <w:color w:val="000000" w:themeColor="text1"/>
                <w:sz w:val="20"/>
                <w:szCs w:val="20"/>
              </w:rPr>
            </w:pPr>
            <w:r w:rsidRPr="40498199">
              <w:rPr>
                <w:rFonts w:ascii="Calibri" w:eastAsia="Calibri" w:hAnsi="Calibri" w:cs="Calibri"/>
                <w:b/>
                <w:bCs/>
                <w:color w:val="000000" w:themeColor="text1"/>
                <w:sz w:val="20"/>
                <w:szCs w:val="20"/>
              </w:rPr>
              <w:t xml:space="preserve">$9,050 </w:t>
            </w:r>
          </w:p>
        </w:tc>
      </w:tr>
      <w:tr w14:paraId="7E69CF25" w14:textId="77777777" w:rsidTr="000B1354">
        <w:tblPrEx>
          <w:tblW w:w="9492" w:type="dxa"/>
          <w:tblLayout w:type="fixed"/>
          <w:tblLook w:val="06A0"/>
        </w:tblPrEx>
        <w:trPr>
          <w:trHeight w:val="300"/>
        </w:trPr>
        <w:tc>
          <w:tcPr>
            <w:tcW w:w="9492" w:type="dxa"/>
            <w:gridSpan w:val="6"/>
            <w:tcBorders>
              <w:top w:val="single" w:sz="8" w:space="0" w:color="auto"/>
              <w:left w:val="nil"/>
              <w:bottom w:val="nil"/>
              <w:right w:val="nil"/>
            </w:tcBorders>
            <w:vAlign w:val="center"/>
          </w:tcPr>
          <w:p w:rsidR="004572B1" w:rsidP="004572B1" w14:paraId="408661FC" w14:textId="77777777">
            <w:pPr>
              <w:spacing w:after="0"/>
              <w:rPr>
                <w:rFonts w:ascii="Calibri" w:eastAsia="Calibri" w:hAnsi="Calibri" w:cs="Calibri"/>
                <w:color w:val="000000" w:themeColor="text1"/>
                <w:sz w:val="18"/>
                <w:szCs w:val="18"/>
              </w:rPr>
            </w:pPr>
            <w:r w:rsidRPr="40498199">
              <w:rPr>
                <w:rFonts w:ascii="Calibri" w:eastAsia="Calibri" w:hAnsi="Calibri" w:cs="Calibri"/>
                <w:color w:val="000000" w:themeColor="text1"/>
                <w:sz w:val="18"/>
                <w:szCs w:val="18"/>
              </w:rPr>
              <w:t>Values may not sum due to rounding.</w:t>
            </w:r>
          </w:p>
        </w:tc>
      </w:tr>
    </w:tbl>
    <w:p w:rsidR="00962957" w:rsidP="00AD1195" w14:paraId="448E3813" w14:textId="5FD65F01">
      <w:pPr>
        <w:spacing w:after="0"/>
        <w:rPr>
          <w:rFonts w:ascii="Calibri" w:eastAsia="Times New Roman" w:hAnsi="Calibri" w:cs="Calibri"/>
          <w:szCs w:val="24"/>
        </w:rPr>
      </w:pPr>
      <w:r w:rsidRPr="00962957">
        <w:rPr>
          <w:rFonts w:ascii="Calibri" w:hAnsi="Calibri" w:cs="Calibri"/>
        </w:rPr>
        <w:t xml:space="preserve">Electronic reporting costs are presented in Table </w:t>
      </w:r>
      <w:r>
        <w:rPr>
          <w:rFonts w:ascii="Calibri" w:hAnsi="Calibri" w:cs="Calibri"/>
        </w:rPr>
        <w:t>20</w:t>
      </w:r>
      <w:r w:rsidRPr="00962957">
        <w:rPr>
          <w:rFonts w:ascii="Calibri" w:hAnsi="Calibri" w:cs="Calibri"/>
        </w:rPr>
        <w:t>. Because not all firms are expected to incur all costs, the number of annual activities per firm may be less than one. Electronic reporting costs for first time registrants are estimated to be $1</w:t>
      </w:r>
      <w:r w:rsidRPr="4247BBDF">
        <w:rPr>
          <w:rFonts w:ascii="Calibri" w:hAnsi="Calibri" w:cs="Calibri"/>
        </w:rPr>
        <w:t>21</w:t>
      </w:r>
      <w:r w:rsidRPr="00962957">
        <w:rPr>
          <w:rFonts w:ascii="Calibri" w:hAnsi="Calibri" w:cs="Calibri"/>
        </w:rPr>
        <w:t>.</w:t>
      </w:r>
      <w:r w:rsidRPr="4247BBDF">
        <w:rPr>
          <w:rFonts w:ascii="Calibri" w:hAnsi="Calibri" w:cs="Calibri"/>
        </w:rPr>
        <w:t>33</w:t>
      </w:r>
      <w:r w:rsidRPr="00962957">
        <w:rPr>
          <w:rFonts w:ascii="Calibri" w:hAnsi="Calibri" w:cs="Calibri"/>
        </w:rPr>
        <w:t xml:space="preserve"> per firm</w:t>
      </w:r>
      <w:r w:rsidR="005C179F">
        <w:rPr>
          <w:rFonts w:ascii="Calibri" w:hAnsi="Calibri" w:cs="Calibri"/>
        </w:rPr>
        <w:t>,</w:t>
      </w:r>
      <w:r w:rsidRPr="00962957">
        <w:rPr>
          <w:rFonts w:ascii="Calibri" w:hAnsi="Calibri" w:cs="Calibri"/>
        </w:rPr>
        <w:t xml:space="preserve"> and subsequent year costs are to be $1</w:t>
      </w:r>
      <w:r w:rsidRPr="4247BBDF">
        <w:rPr>
          <w:rFonts w:ascii="Calibri" w:hAnsi="Calibri" w:cs="Calibri"/>
        </w:rPr>
        <w:t>4.75</w:t>
      </w:r>
      <w:r w:rsidRPr="00962957">
        <w:rPr>
          <w:rFonts w:ascii="Calibri" w:hAnsi="Calibri" w:cs="Calibri"/>
        </w:rPr>
        <w:t xml:space="preserve"> per firm. More information on the derivation of these costs is found in the</w:t>
      </w:r>
      <w:r w:rsidRPr="32BD5B9B">
        <w:rPr>
          <w:rFonts w:ascii="Calibri" w:eastAsia="Times New Roman" w:hAnsi="Calibri" w:cs="Calibri"/>
        </w:rPr>
        <w:t xml:space="preserve"> </w:t>
      </w:r>
      <w:r w:rsidRPr="32BD5B9B">
        <w:rPr>
          <w:rFonts w:ascii="Calibri" w:eastAsia="Times New Roman" w:hAnsi="Calibri" w:cs="Calibri"/>
          <w:i/>
        </w:rPr>
        <w:t>Economic Analysis for the Final TSCA Section 8(a) Reporting Requirements for Certain Chemical Substances as Nanoscale Materials</w:t>
      </w:r>
      <w:r w:rsidRPr="32BD5B9B">
        <w:rPr>
          <w:rFonts w:ascii="Calibri" w:eastAsia="Times New Roman" w:hAnsi="Calibri" w:cs="Calibri"/>
        </w:rPr>
        <w:t xml:space="preserve"> (EPA, 2016).</w:t>
      </w:r>
    </w:p>
    <w:p w:rsidR="00AD1195" w:rsidP="004572B1" w14:paraId="063F97EE" w14:textId="77777777">
      <w:pPr>
        <w:spacing w:after="0"/>
        <w:rPr>
          <w:rFonts w:ascii="Calibri" w:eastAsia="Times New Roman" w:hAnsi="Calibri" w:cs="Calibri"/>
        </w:rPr>
      </w:pPr>
    </w:p>
    <w:p w:rsidR="00AD1195" w:rsidRPr="00286AE5" w:rsidP="004572B1" w14:paraId="6DC34865" w14:textId="7EA6CD89">
      <w:pPr>
        <w:spacing w:after="0"/>
        <w:rPr>
          <w:rFonts w:ascii="Calibri" w:eastAsia="Times New Roman" w:hAnsi="Calibri" w:cs="Calibri"/>
          <w:b/>
          <w:bCs/>
        </w:rPr>
      </w:pPr>
      <w:r w:rsidRPr="00286AE5">
        <w:rPr>
          <w:rFonts w:ascii="Calibri" w:eastAsia="Times New Roman" w:hAnsi="Calibri" w:cs="Calibri"/>
          <w:b/>
          <w:bCs/>
        </w:rPr>
        <w:t xml:space="preserve">Table 20: Industry Cost for Electronic Reporting (2024$) </w:t>
      </w:r>
    </w:p>
    <w:tbl>
      <w:tblPr>
        <w:tblW w:w="0" w:type="auto"/>
        <w:tblInd w:w="-10" w:type="dxa"/>
        <w:tblLayout w:type="fixed"/>
        <w:tblLook w:val="06A0"/>
      </w:tblPr>
      <w:tblGrid>
        <w:gridCol w:w="2820"/>
        <w:gridCol w:w="1245"/>
        <w:gridCol w:w="1353"/>
        <w:gridCol w:w="1344"/>
        <w:gridCol w:w="1284"/>
        <w:gridCol w:w="1211"/>
      </w:tblGrid>
      <w:tr w14:paraId="5868B6CE" w14:textId="77777777" w:rsidTr="2D725C34">
        <w:tblPrEx>
          <w:tblW w:w="0" w:type="auto"/>
          <w:tblInd w:w="-10" w:type="dxa"/>
          <w:tblLayout w:type="fixed"/>
          <w:tblLook w:val="06A0"/>
        </w:tblPrEx>
        <w:trPr>
          <w:trHeight w:val="1035"/>
        </w:trPr>
        <w:tc>
          <w:tcPr>
            <w:tcW w:w="2820" w:type="dxa"/>
            <w:tcBorders>
              <w:top w:val="single" w:sz="4" w:space="0" w:color="auto"/>
              <w:left w:val="single" w:sz="4" w:space="0" w:color="auto"/>
              <w:bottom w:val="single" w:sz="4" w:space="0" w:color="auto"/>
              <w:right w:val="single" w:sz="4" w:space="0" w:color="auto"/>
            </w:tcBorders>
            <w:shd w:val="clear" w:color="auto" w:fill="F2F2F2" w:themeFill="accent6" w:themeFillShade="F2"/>
            <w:vAlign w:val="center"/>
          </w:tcPr>
          <w:p w:rsidR="004572B1" w:rsidRPr="00AD1195" w:rsidP="004572B1" w14:paraId="190677E3" w14:textId="77777777">
            <w:pPr>
              <w:spacing w:after="0"/>
              <w:jc w:val="center"/>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Activity</w:t>
            </w:r>
          </w:p>
        </w:tc>
        <w:tc>
          <w:tcPr>
            <w:tcW w:w="1245" w:type="dxa"/>
            <w:tcBorders>
              <w:top w:val="single" w:sz="4" w:space="0" w:color="auto"/>
              <w:left w:val="single" w:sz="4" w:space="0" w:color="auto"/>
              <w:bottom w:val="single" w:sz="4" w:space="0" w:color="auto"/>
              <w:right w:val="single" w:sz="4" w:space="0" w:color="auto"/>
            </w:tcBorders>
            <w:shd w:val="clear" w:color="auto" w:fill="F2F2F2" w:themeFill="accent6" w:themeFillShade="F2"/>
            <w:vAlign w:val="center"/>
          </w:tcPr>
          <w:p w:rsidR="004572B1" w:rsidRPr="00AD1195" w:rsidP="004572B1" w14:paraId="2831F6FD" w14:textId="77777777">
            <w:pPr>
              <w:spacing w:after="0"/>
              <w:jc w:val="center"/>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Clerical ($42.28/hr)</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accent6" w:themeFillShade="F2"/>
            <w:vAlign w:val="center"/>
          </w:tcPr>
          <w:p w:rsidR="004572B1" w:rsidRPr="00AD1195" w:rsidP="004572B1" w14:paraId="1FDD123E" w14:textId="77777777">
            <w:pPr>
              <w:spacing w:after="0"/>
              <w:jc w:val="center"/>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 xml:space="preserve">Technical </w:t>
            </w:r>
            <w:r w:rsidRPr="00AD1195">
              <w:rPr>
                <w:rFonts w:ascii="Calibri" w:hAnsi="Calibri" w:cs="Calibri"/>
              </w:rPr>
              <w:br/>
            </w:r>
            <w:r w:rsidRPr="00AD1195">
              <w:rPr>
                <w:rFonts w:ascii="Calibri" w:eastAsia="Times New Roman" w:hAnsi="Calibri" w:cs="Calibri"/>
                <w:b/>
                <w:bCs/>
                <w:color w:val="000000" w:themeColor="text1"/>
                <w:sz w:val="20"/>
                <w:szCs w:val="20"/>
              </w:rPr>
              <w:t>($83.54/hr)</w:t>
            </w:r>
          </w:p>
        </w:tc>
        <w:tc>
          <w:tcPr>
            <w:tcW w:w="1344" w:type="dxa"/>
            <w:tcBorders>
              <w:top w:val="single" w:sz="4" w:space="0" w:color="auto"/>
              <w:left w:val="single" w:sz="4" w:space="0" w:color="auto"/>
              <w:bottom w:val="single" w:sz="4" w:space="0" w:color="auto"/>
              <w:right w:val="single" w:sz="4" w:space="0" w:color="auto"/>
            </w:tcBorders>
            <w:shd w:val="clear" w:color="auto" w:fill="F2F2F2" w:themeFill="accent6" w:themeFillShade="F2"/>
            <w:vAlign w:val="center"/>
          </w:tcPr>
          <w:p w:rsidR="004572B1" w:rsidRPr="00AD1195" w:rsidP="004572B1" w14:paraId="7F118F30" w14:textId="77777777">
            <w:pPr>
              <w:spacing w:after="0"/>
              <w:jc w:val="center"/>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 xml:space="preserve">Managerial </w:t>
            </w:r>
            <w:r w:rsidRPr="00AD1195">
              <w:rPr>
                <w:rFonts w:ascii="Calibri" w:hAnsi="Calibri" w:cs="Calibri"/>
              </w:rPr>
              <w:br/>
            </w:r>
            <w:r w:rsidRPr="00AD1195">
              <w:rPr>
                <w:rFonts w:ascii="Calibri" w:eastAsia="Times New Roman" w:hAnsi="Calibri" w:cs="Calibri"/>
                <w:b/>
                <w:bCs/>
                <w:color w:val="000000" w:themeColor="text1"/>
                <w:sz w:val="20"/>
                <w:szCs w:val="20"/>
              </w:rPr>
              <w:t>($89.16/hr)</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accent6" w:themeFillShade="F2"/>
            <w:vAlign w:val="center"/>
          </w:tcPr>
          <w:p w:rsidR="004572B1" w:rsidRPr="00AD1195" w:rsidP="004572B1" w14:paraId="5FAF2D41" w14:textId="77777777">
            <w:pPr>
              <w:spacing w:after="0"/>
              <w:jc w:val="center"/>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Number of Annual Activities</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accent6" w:themeFillShade="F2"/>
            <w:vAlign w:val="center"/>
          </w:tcPr>
          <w:p w:rsidR="004572B1" w:rsidRPr="00AD1195" w:rsidP="004572B1" w14:paraId="5E680A87" w14:textId="77777777">
            <w:pPr>
              <w:spacing w:after="0"/>
              <w:jc w:val="center"/>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Total Cost</w:t>
            </w:r>
          </w:p>
        </w:tc>
      </w:tr>
      <w:tr w14:paraId="7D68946D" w14:textId="77777777" w:rsidTr="2D725C34">
        <w:tblPrEx>
          <w:tblW w:w="0" w:type="auto"/>
          <w:tblInd w:w="-10" w:type="dxa"/>
          <w:tblLayout w:type="fixed"/>
          <w:tblLook w:val="06A0"/>
        </w:tblPrEx>
        <w:trPr>
          <w:trHeight w:val="300"/>
        </w:trPr>
        <w:tc>
          <w:tcPr>
            <w:tcW w:w="9257" w:type="dxa"/>
            <w:gridSpan w:val="6"/>
            <w:tcBorders>
              <w:top w:val="single" w:sz="4" w:space="0" w:color="auto"/>
              <w:left w:val="single" w:sz="4" w:space="0" w:color="auto"/>
              <w:bottom w:val="single" w:sz="4" w:space="0" w:color="auto"/>
              <w:right w:val="single" w:sz="4" w:space="0" w:color="auto"/>
            </w:tcBorders>
            <w:vAlign w:val="center"/>
          </w:tcPr>
          <w:p w:rsidR="004572B1" w:rsidRPr="00AD1195" w:rsidP="004572B1" w14:paraId="4439EDE7" w14:textId="77777777">
            <w:pPr>
              <w:spacing w:after="0"/>
              <w:jc w:val="center"/>
              <w:rPr>
                <w:rFonts w:ascii="Calibri" w:eastAsia="Times New Roman" w:hAnsi="Calibri" w:cs="Calibri"/>
                <w:b/>
                <w:bCs/>
                <w:i/>
                <w:iCs/>
                <w:color w:val="000000" w:themeColor="text1"/>
                <w:sz w:val="20"/>
                <w:szCs w:val="20"/>
              </w:rPr>
            </w:pPr>
            <w:r w:rsidRPr="00AD1195">
              <w:rPr>
                <w:rFonts w:ascii="Calibri" w:eastAsia="Times New Roman" w:hAnsi="Calibri" w:cs="Calibri"/>
                <w:b/>
                <w:bCs/>
                <w:i/>
                <w:iCs/>
                <w:color w:val="000000" w:themeColor="text1"/>
                <w:sz w:val="20"/>
                <w:szCs w:val="20"/>
              </w:rPr>
              <w:t>ELECTRONIC REPORTING</w:t>
            </w:r>
          </w:p>
        </w:tc>
      </w:tr>
      <w:tr w14:paraId="6605B3E9" w14:textId="77777777" w:rsidTr="2D725C34">
        <w:tblPrEx>
          <w:tblW w:w="0" w:type="auto"/>
          <w:tblInd w:w="-10" w:type="dxa"/>
          <w:tblLayout w:type="fixed"/>
          <w:tblLook w:val="06A0"/>
        </w:tblPrEx>
        <w:trPr>
          <w:trHeight w:val="300"/>
        </w:trPr>
        <w:tc>
          <w:tcPr>
            <w:tcW w:w="9257" w:type="dxa"/>
            <w:gridSpan w:val="6"/>
            <w:tcBorders>
              <w:top w:val="single" w:sz="4" w:space="0" w:color="auto"/>
              <w:left w:val="single" w:sz="4" w:space="0" w:color="auto"/>
              <w:bottom w:val="single" w:sz="4" w:space="0" w:color="auto"/>
              <w:right w:val="single" w:sz="4" w:space="0" w:color="auto"/>
            </w:tcBorders>
            <w:vAlign w:val="center"/>
          </w:tcPr>
          <w:p w:rsidR="004572B1" w:rsidRPr="00AD1195" w:rsidP="004572B1" w14:paraId="30130DD0" w14:textId="77777777">
            <w:pPr>
              <w:spacing w:after="0"/>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First-time registration</w:t>
            </w:r>
          </w:p>
        </w:tc>
      </w:tr>
      <w:tr w14:paraId="241803A0" w14:textId="77777777" w:rsidTr="2D725C34">
        <w:tblPrEx>
          <w:tblW w:w="0" w:type="auto"/>
          <w:tblInd w:w="-10" w:type="dxa"/>
          <w:tblLayout w:type="fixed"/>
          <w:tblLook w:val="06A0"/>
        </w:tblPrEx>
        <w:trPr>
          <w:trHeight w:val="300"/>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3D3D933"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CDX Registration</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1402E0D"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6338F39"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$55.97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30A6A21"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$15.16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1964776"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D403AAD"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$71.13 </w:t>
            </w:r>
          </w:p>
        </w:tc>
      </w:tr>
      <w:tr w14:paraId="4057C870" w14:textId="77777777" w:rsidTr="2D725C34">
        <w:tblPrEx>
          <w:tblW w:w="0" w:type="auto"/>
          <w:tblInd w:w="-10" w:type="dxa"/>
          <w:tblLayout w:type="fixed"/>
          <w:tblLook w:val="06A0"/>
        </w:tblPrEx>
        <w:trPr>
          <w:trHeight w:val="780"/>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84FCB0B"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Electronic Subscriber Agreement/ Electronic Signature</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82D4E7F"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D292E63"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FE5540B"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$22.29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BD62028"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09C899A"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$22.29 </w:t>
            </w:r>
          </w:p>
        </w:tc>
      </w:tr>
      <w:tr w14:paraId="78045AEC" w14:textId="77777777" w:rsidTr="2D725C34">
        <w:tblPrEx>
          <w:tblW w:w="0" w:type="auto"/>
          <w:tblInd w:w="-10" w:type="dxa"/>
          <w:tblLayout w:type="fixed"/>
          <w:tblLook w:val="06A0"/>
        </w:tblPrEx>
        <w:trPr>
          <w:trHeight w:val="435"/>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2B15552"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Help Desk</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822DC17"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1C624C21"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$20.05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20F5C71"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$5.35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225A1559"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4F1B6F2"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$25.40 </w:t>
            </w:r>
          </w:p>
        </w:tc>
      </w:tr>
      <w:tr w14:paraId="072DA650" w14:textId="77777777" w:rsidTr="2D725C34">
        <w:tblPrEx>
          <w:tblW w:w="0" w:type="auto"/>
          <w:tblInd w:w="-10" w:type="dxa"/>
          <w:tblLayout w:type="fixed"/>
          <w:tblLook w:val="06A0"/>
        </w:tblPrEx>
        <w:trPr>
          <w:trHeight w:val="495"/>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5A20F70F"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Problem Resolution</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DB2E6DF"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134FCC7C"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$83.54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76471DB"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370E354"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0.03</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CCE089F"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$2.51 </w:t>
            </w:r>
          </w:p>
        </w:tc>
      </w:tr>
      <w:tr w14:paraId="58E628C1" w14:textId="77777777" w:rsidTr="2D725C34">
        <w:tblPrEx>
          <w:tblW w:w="0" w:type="auto"/>
          <w:tblInd w:w="-10" w:type="dxa"/>
          <w:tblLayout w:type="fixed"/>
          <w:tblLook w:val="06A0"/>
        </w:tblPrEx>
        <w:trPr>
          <w:trHeight w:val="315"/>
        </w:trPr>
        <w:tc>
          <w:tcPr>
            <w:tcW w:w="8046" w:type="dxa"/>
            <w:gridSpan w:val="5"/>
            <w:tcBorders>
              <w:top w:val="single" w:sz="4" w:space="0" w:color="auto"/>
              <w:left w:val="single" w:sz="4" w:space="0" w:color="auto"/>
              <w:bottom w:val="single" w:sz="4" w:space="0" w:color="auto"/>
              <w:right w:val="single" w:sz="4" w:space="0" w:color="auto"/>
            </w:tcBorders>
            <w:vAlign w:val="center"/>
          </w:tcPr>
          <w:p w:rsidR="004572B1" w:rsidRPr="00AD1195" w:rsidP="004572B1" w14:paraId="7D5209ED" w14:textId="77777777">
            <w:pPr>
              <w:spacing w:after="0"/>
              <w:jc w:val="right"/>
              <w:rPr>
                <w:rFonts w:ascii="Calibri" w:eastAsia="Times New Roman" w:hAnsi="Calibri" w:cs="Calibri"/>
                <w:b/>
                <w:color w:val="000000" w:themeColor="text1"/>
                <w:sz w:val="20"/>
                <w:szCs w:val="20"/>
              </w:rPr>
            </w:pPr>
            <w:r w:rsidRPr="2D725C34">
              <w:rPr>
                <w:rFonts w:ascii="Calibri" w:eastAsia="Times New Roman" w:hAnsi="Calibri" w:cs="Calibri"/>
                <w:b/>
                <w:color w:val="000000" w:themeColor="text1"/>
                <w:sz w:val="20"/>
                <w:szCs w:val="20"/>
              </w:rPr>
              <w:t>Total First Time Cost per firm</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F53B226" w14:textId="77777777">
            <w:pPr>
              <w:spacing w:after="0"/>
              <w:jc w:val="center"/>
              <w:rPr>
                <w:rFonts w:ascii="Calibri" w:eastAsia="Times New Roman" w:hAnsi="Calibri" w:cs="Calibri"/>
                <w:b/>
                <w:color w:val="000000" w:themeColor="text1"/>
                <w:sz w:val="20"/>
                <w:szCs w:val="20"/>
              </w:rPr>
            </w:pPr>
            <w:r w:rsidRPr="2D725C34">
              <w:rPr>
                <w:rFonts w:ascii="Calibri" w:eastAsia="Times New Roman" w:hAnsi="Calibri" w:cs="Calibri"/>
                <w:b/>
                <w:color w:val="000000" w:themeColor="text1"/>
                <w:sz w:val="20"/>
                <w:szCs w:val="20"/>
              </w:rPr>
              <w:t xml:space="preserve">$121.33 </w:t>
            </w:r>
          </w:p>
        </w:tc>
      </w:tr>
      <w:tr w14:paraId="3FFB573B" w14:textId="77777777" w:rsidTr="2D725C34">
        <w:tblPrEx>
          <w:tblW w:w="0" w:type="auto"/>
          <w:tblInd w:w="-10" w:type="dxa"/>
          <w:tblLayout w:type="fixed"/>
          <w:tblLook w:val="06A0"/>
        </w:tblPrEx>
        <w:trPr>
          <w:trHeight w:val="525"/>
        </w:trPr>
        <w:tc>
          <w:tcPr>
            <w:tcW w:w="9257" w:type="dxa"/>
            <w:gridSpan w:val="6"/>
            <w:tcBorders>
              <w:top w:val="single" w:sz="4" w:space="0" w:color="auto"/>
              <w:left w:val="single" w:sz="4" w:space="0" w:color="auto"/>
              <w:bottom w:val="single" w:sz="4" w:space="0" w:color="auto"/>
              <w:right w:val="single" w:sz="4" w:space="0" w:color="auto"/>
            </w:tcBorders>
            <w:vAlign w:val="center"/>
          </w:tcPr>
          <w:p w:rsidR="004572B1" w:rsidRPr="00AD1195" w:rsidP="004572B1" w14:paraId="10B662DC" w14:textId="77777777">
            <w:pPr>
              <w:spacing w:after="0"/>
              <w:rPr>
                <w:rFonts w:ascii="Calibri" w:eastAsia="Times New Roman" w:hAnsi="Calibri" w:cs="Calibri"/>
                <w:b/>
                <w:bCs/>
                <w:color w:val="000000" w:themeColor="text1"/>
                <w:sz w:val="20"/>
                <w:szCs w:val="20"/>
              </w:rPr>
            </w:pPr>
            <w:r w:rsidRPr="00AD1195">
              <w:rPr>
                <w:rFonts w:ascii="Calibri" w:eastAsia="Times New Roman" w:hAnsi="Calibri" w:cs="Calibri"/>
                <w:b/>
                <w:bCs/>
                <w:color w:val="000000" w:themeColor="text1"/>
                <w:sz w:val="20"/>
                <w:szCs w:val="20"/>
              </w:rPr>
              <w:t>Subsequent registration</w:t>
            </w:r>
          </w:p>
        </w:tc>
      </w:tr>
      <w:tr w14:paraId="63D0865D" w14:textId="77777777" w:rsidTr="2D725C34">
        <w:tblPrEx>
          <w:tblW w:w="0" w:type="auto"/>
          <w:tblInd w:w="-10" w:type="dxa"/>
          <w:tblLayout w:type="fixed"/>
          <w:tblLook w:val="06A0"/>
        </w:tblPrEx>
        <w:trPr>
          <w:trHeight w:val="315"/>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284E4CF3"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CDX Registration</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5EEAC9F0"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051D6D9"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$55.97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EAC3ACC"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$15.16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058503F"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0.1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570B33D6"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$7.11 </w:t>
            </w:r>
          </w:p>
        </w:tc>
      </w:tr>
      <w:tr w14:paraId="3C9FFFFC" w14:textId="77777777" w:rsidTr="2D725C34">
        <w:tblPrEx>
          <w:tblW w:w="0" w:type="auto"/>
          <w:tblInd w:w="-10" w:type="dxa"/>
          <w:tblLayout w:type="fixed"/>
          <w:tblLook w:val="06A0"/>
        </w:tblPrEx>
        <w:trPr>
          <w:trHeight w:val="780"/>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51BF7C0B"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Electronic Subscriber Agreement/Electronic Signature</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A069F2B"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2B15010D"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5FD60DB0"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$22.29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1D7FB18"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0.1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5C89F9C"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$2.23 </w:t>
            </w:r>
          </w:p>
        </w:tc>
      </w:tr>
      <w:tr w14:paraId="1F1D00D2" w14:textId="77777777" w:rsidTr="2D725C34">
        <w:tblPrEx>
          <w:tblW w:w="0" w:type="auto"/>
          <w:tblInd w:w="-10" w:type="dxa"/>
          <w:tblLayout w:type="fixed"/>
          <w:tblLook w:val="06A0"/>
        </w:tblPrEx>
        <w:trPr>
          <w:trHeight w:val="435"/>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12C37FE"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Help Desk</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86CF61E"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72ADDDB"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$20.05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128DBEE7"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$5.35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2E15B10"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0.1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A6F6906"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$2.54 </w:t>
            </w:r>
          </w:p>
        </w:tc>
      </w:tr>
      <w:tr w14:paraId="5F5C9C98" w14:textId="77777777" w:rsidTr="2D725C34">
        <w:tblPrEx>
          <w:tblW w:w="0" w:type="auto"/>
          <w:tblInd w:w="-10" w:type="dxa"/>
          <w:tblLayout w:type="fixed"/>
          <w:tblLook w:val="06A0"/>
        </w:tblPrEx>
        <w:trPr>
          <w:trHeight w:val="525"/>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6B532A9"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Report Compromised Signature</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06543FA"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27EDABB5"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3E10915"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$35.66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4B264BA9"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0.01</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173174DA"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$0.36 </w:t>
            </w:r>
          </w:p>
        </w:tc>
      </w:tr>
      <w:tr w14:paraId="14AD6827" w14:textId="77777777" w:rsidTr="2D725C34">
        <w:tblPrEx>
          <w:tblW w:w="0" w:type="auto"/>
          <w:tblInd w:w="-10" w:type="dxa"/>
          <w:tblLayout w:type="fixed"/>
          <w:tblLook w:val="06A0"/>
        </w:tblPrEx>
        <w:trPr>
          <w:trHeight w:val="300"/>
        </w:trPr>
        <w:tc>
          <w:tcPr>
            <w:tcW w:w="2820"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EF06568" w14:textId="77777777">
            <w:pPr>
              <w:spacing w:after="0"/>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Problem Resolution</w:t>
            </w:r>
          </w:p>
        </w:tc>
        <w:tc>
          <w:tcPr>
            <w:tcW w:w="1245"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676F4017"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353"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31FA8F31"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$83.54 </w:t>
            </w:r>
          </w:p>
        </w:tc>
        <w:tc>
          <w:tcPr>
            <w:tcW w:w="134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45426A9"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$0.00 </w:t>
            </w:r>
          </w:p>
        </w:tc>
        <w:tc>
          <w:tcPr>
            <w:tcW w:w="1284"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5B5C15C2"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0.03</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76BB90C2" w14:textId="77777777">
            <w:pPr>
              <w:spacing w:after="0"/>
              <w:jc w:val="center"/>
              <w:rPr>
                <w:rFonts w:ascii="Calibri" w:eastAsia="Times New Roman" w:hAnsi="Calibri" w:cs="Calibri"/>
                <w:color w:val="000000" w:themeColor="text1"/>
                <w:sz w:val="20"/>
                <w:szCs w:val="20"/>
              </w:rPr>
            </w:pPr>
            <w:r w:rsidRPr="00AD1195">
              <w:rPr>
                <w:rFonts w:ascii="Calibri" w:eastAsia="Times New Roman" w:hAnsi="Calibri" w:cs="Calibri"/>
                <w:color w:val="000000" w:themeColor="text1"/>
                <w:sz w:val="20"/>
                <w:szCs w:val="20"/>
              </w:rPr>
              <w:t xml:space="preserve">$2.51 </w:t>
            </w:r>
          </w:p>
        </w:tc>
      </w:tr>
      <w:tr w14:paraId="20D4F7CE" w14:textId="77777777" w:rsidTr="2D725C34">
        <w:tblPrEx>
          <w:tblW w:w="0" w:type="auto"/>
          <w:tblInd w:w="-10" w:type="dxa"/>
          <w:tblLayout w:type="fixed"/>
          <w:tblLook w:val="06A0"/>
        </w:tblPrEx>
        <w:trPr>
          <w:trHeight w:val="315"/>
        </w:trPr>
        <w:tc>
          <w:tcPr>
            <w:tcW w:w="8046" w:type="dxa"/>
            <w:gridSpan w:val="5"/>
            <w:tcBorders>
              <w:top w:val="single" w:sz="4" w:space="0" w:color="auto"/>
              <w:left w:val="single" w:sz="4" w:space="0" w:color="auto"/>
              <w:bottom w:val="single" w:sz="4" w:space="0" w:color="auto"/>
              <w:right w:val="single" w:sz="4" w:space="0" w:color="auto"/>
            </w:tcBorders>
            <w:vAlign w:val="center"/>
          </w:tcPr>
          <w:p w:rsidR="004572B1" w:rsidRPr="00AD1195" w:rsidP="004572B1" w14:paraId="5B815571" w14:textId="77777777">
            <w:pPr>
              <w:spacing w:after="0"/>
              <w:jc w:val="right"/>
              <w:rPr>
                <w:rFonts w:ascii="Calibri" w:eastAsia="Times New Roman" w:hAnsi="Calibri" w:cs="Calibri"/>
                <w:b/>
                <w:color w:val="000000" w:themeColor="text1"/>
                <w:sz w:val="20"/>
                <w:szCs w:val="20"/>
              </w:rPr>
            </w:pPr>
            <w:r w:rsidRPr="2D725C34">
              <w:rPr>
                <w:rFonts w:ascii="Calibri" w:eastAsia="Times New Roman" w:hAnsi="Calibri" w:cs="Calibri"/>
                <w:b/>
                <w:color w:val="000000" w:themeColor="text1"/>
                <w:sz w:val="20"/>
                <w:szCs w:val="20"/>
              </w:rPr>
              <w:t>Total Subsequent Cost per firm</w:t>
            </w:r>
          </w:p>
        </w:tc>
        <w:tc>
          <w:tcPr>
            <w:tcW w:w="1211" w:type="dxa"/>
            <w:tcBorders>
              <w:top w:val="single" w:sz="4" w:space="0" w:color="auto"/>
              <w:left w:val="single" w:sz="4" w:space="0" w:color="auto"/>
              <w:bottom w:val="single" w:sz="4" w:space="0" w:color="auto"/>
              <w:right w:val="single" w:sz="4" w:space="0" w:color="auto"/>
            </w:tcBorders>
            <w:vAlign w:val="center"/>
          </w:tcPr>
          <w:p w:rsidR="004572B1" w:rsidRPr="00AD1195" w:rsidP="004572B1" w14:paraId="0BB7AF83" w14:textId="77777777">
            <w:pPr>
              <w:spacing w:after="0"/>
              <w:jc w:val="center"/>
              <w:rPr>
                <w:rFonts w:ascii="Calibri" w:eastAsia="Times New Roman" w:hAnsi="Calibri" w:cs="Calibri"/>
                <w:b/>
                <w:color w:val="000000" w:themeColor="text1"/>
                <w:sz w:val="20"/>
                <w:szCs w:val="20"/>
              </w:rPr>
            </w:pPr>
            <w:r w:rsidRPr="2D725C34">
              <w:rPr>
                <w:rFonts w:ascii="Calibri" w:eastAsia="Times New Roman" w:hAnsi="Calibri" w:cs="Calibri"/>
                <w:b/>
                <w:color w:val="000000" w:themeColor="text1"/>
                <w:sz w:val="20"/>
                <w:szCs w:val="20"/>
              </w:rPr>
              <w:t xml:space="preserve">$14.75 </w:t>
            </w:r>
          </w:p>
        </w:tc>
      </w:tr>
      <w:tr w14:paraId="3BC52C43" w14:textId="77777777" w:rsidTr="2D725C34">
        <w:tblPrEx>
          <w:tblW w:w="0" w:type="auto"/>
          <w:tblInd w:w="-10" w:type="dxa"/>
          <w:tblLayout w:type="fixed"/>
          <w:tblLook w:val="06A0"/>
        </w:tblPrEx>
        <w:trPr>
          <w:trHeight w:val="285"/>
        </w:trPr>
        <w:tc>
          <w:tcPr>
            <w:tcW w:w="9257" w:type="dxa"/>
            <w:gridSpan w:val="6"/>
            <w:tcBorders>
              <w:top w:val="single" w:sz="4" w:space="0" w:color="auto"/>
              <w:left w:val="nil"/>
              <w:bottom w:val="nil"/>
              <w:right w:val="nil"/>
            </w:tcBorders>
            <w:vAlign w:val="center"/>
          </w:tcPr>
          <w:p w:rsidR="004572B1" w:rsidRPr="00AD1195" w:rsidP="004572B1" w14:paraId="25334AB1" w14:textId="77777777">
            <w:pPr>
              <w:spacing w:after="0"/>
              <w:rPr>
                <w:rFonts w:ascii="Calibri" w:eastAsia="Times New Roman" w:hAnsi="Calibri" w:cs="Calibri"/>
                <w:color w:val="000000" w:themeColor="text1"/>
                <w:sz w:val="18"/>
                <w:szCs w:val="18"/>
              </w:rPr>
            </w:pPr>
            <w:r w:rsidRPr="00AD1195">
              <w:rPr>
                <w:rFonts w:ascii="Calibri" w:eastAsia="Times New Roman" w:hAnsi="Calibri" w:cs="Calibri"/>
                <w:color w:val="000000" w:themeColor="text1"/>
                <w:sz w:val="18"/>
                <w:szCs w:val="18"/>
              </w:rPr>
              <w:t>Values may not sum due to rounding.</w:t>
            </w:r>
          </w:p>
        </w:tc>
      </w:tr>
    </w:tbl>
    <w:p w:rsidR="00EC4305" w:rsidRPr="00F93A42" w:rsidP="0068004C" w14:paraId="175774F0" w14:textId="38844BF0">
      <w:pPr>
        <w:pStyle w:val="Heading2"/>
        <w:rPr>
          <w:rFonts w:ascii="Calibri" w:hAnsi="Calibri" w:cs="Calibri"/>
        </w:rPr>
      </w:pPr>
      <w:r w:rsidRPr="00F93A42">
        <w:rPr>
          <w:rFonts w:ascii="Calibri" w:hAnsi="Calibri" w:cs="Calibri"/>
        </w:rPr>
        <w:t xml:space="preserve">13. </w:t>
      </w:r>
      <w:r w:rsidRPr="00F93A42">
        <w:rPr>
          <w:rFonts w:ascii="Calibri" w:hAnsi="Calibri" w:cs="Calibri"/>
        </w:rPr>
        <w:t>Provide an estimate for the total annual cost burden to respondents or recordkeepers resulting from the collection of information.</w:t>
      </w:r>
    </w:p>
    <w:p w:rsidR="00B975C3" w:rsidRPr="00F93A42" w:rsidP="0036096F" w14:paraId="2423989E" w14:textId="77777777">
      <w:pPr>
        <w:pStyle w:val="ListParagraph"/>
        <w:numPr>
          <w:ilvl w:val="0"/>
          <w:numId w:val="4"/>
        </w:numPr>
        <w:spacing w:after="200" w:line="240" w:lineRule="auto"/>
        <w:contextualSpacing w:val="0"/>
        <w:rPr>
          <w:rFonts w:ascii="Calibri" w:hAnsi="Calibri" w:cs="Calibri"/>
          <w:b/>
          <w:bCs/>
        </w:rPr>
      </w:pPr>
      <w:r w:rsidRPr="00F93A42">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F93A42" w:rsidP="0036096F" w14:paraId="04A2AF48" w14:textId="77777777">
      <w:pPr>
        <w:pStyle w:val="ListParagraph"/>
        <w:numPr>
          <w:ilvl w:val="0"/>
          <w:numId w:val="4"/>
        </w:numPr>
        <w:spacing w:after="200" w:line="240" w:lineRule="auto"/>
        <w:contextualSpacing w:val="0"/>
        <w:rPr>
          <w:rFonts w:ascii="Calibri" w:hAnsi="Calibri" w:cs="Calibri"/>
          <w:b/>
          <w:bCs/>
        </w:rPr>
      </w:pPr>
      <w:r w:rsidRPr="00F93A42">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F93A42" w:rsidP="0036096F" w14:paraId="46620EAE" w14:textId="002A6683">
      <w:pPr>
        <w:pStyle w:val="ListParagraph"/>
        <w:numPr>
          <w:ilvl w:val="0"/>
          <w:numId w:val="4"/>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RPr="00F93A42" w:rsidP="00EC4305" w14:paraId="24D22B28" w14:textId="34F8249D">
      <w:pPr>
        <w:rPr>
          <w:rFonts w:ascii="Calibri" w:hAnsi="Calibri" w:cs="Calibri"/>
        </w:rPr>
      </w:pPr>
      <w:r w:rsidRPr="00F93A42">
        <w:rPr>
          <w:rFonts w:ascii="Calibri" w:hAnsi="Calibri" w:cs="Calibri"/>
        </w:rPr>
        <w:t>There are no operational and/or maintenance costs.</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37" w:name="_Hlk82508788"/>
      <w:r w:rsidRPr="00F93A42">
        <w:rPr>
          <w:rFonts w:ascii="Calibri" w:hAnsi="Calibri" w:cs="Calibri"/>
        </w:rPr>
        <w:t>estimates of annualized cost to the Federal government.</w:t>
      </w:r>
      <w:bookmarkEnd w:id="37"/>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4305" w:rsidRPr="00AC08D1" w:rsidP="001F2DF7" w14:paraId="3863D26E" w14:textId="245C67C1">
      <w:pPr>
        <w:rPr>
          <w:rFonts w:ascii="Calibri" w:hAnsi="Calibri" w:cs="Calibri"/>
        </w:rPr>
      </w:pPr>
      <w:r w:rsidRPr="00AC08D1">
        <w:rPr>
          <w:rFonts w:ascii="Calibri" w:hAnsi="Calibri" w:cs="Calibri"/>
        </w:rPr>
        <w:t xml:space="preserve">Table </w:t>
      </w:r>
      <w:r w:rsidRPr="000B1354" w:rsidR="009200C4">
        <w:rPr>
          <w:rFonts w:ascii="Calibri" w:hAnsi="Calibri" w:cs="Calibri"/>
        </w:rPr>
        <w:t>2</w:t>
      </w:r>
      <w:r w:rsidR="000B1354">
        <w:rPr>
          <w:rFonts w:ascii="Calibri" w:hAnsi="Calibri" w:cs="Calibri"/>
        </w:rPr>
        <w:t>1</w:t>
      </w:r>
      <w:r w:rsidRPr="000B1354" w:rsidR="009200C4">
        <w:rPr>
          <w:rFonts w:ascii="Calibri" w:hAnsi="Calibri" w:cs="Calibri"/>
        </w:rPr>
        <w:t xml:space="preserve"> </w:t>
      </w:r>
      <w:r w:rsidRPr="00AC08D1">
        <w:rPr>
          <w:rFonts w:ascii="Calibri" w:hAnsi="Calibri" w:cs="Calibri"/>
        </w:rPr>
        <w:t>provides annual agency wage rates for multiple GS and step levels for agency federal staff in the Washington-Baltimore-Northern Virginia-West Virginia locality pay region.</w:t>
      </w:r>
    </w:p>
    <w:p w:rsidR="007E2E3C" w:rsidRPr="003429AF" w:rsidP="003429AF" w14:paraId="42DE1004" w14:textId="56E093B1">
      <w:pPr>
        <w:pStyle w:val="Caption"/>
        <w:outlineLvl w:val="9"/>
        <w:rPr>
          <w:rFonts w:ascii="Calibri" w:hAnsi="Calibri" w:cs="Calibri"/>
        </w:rPr>
      </w:pPr>
      <w:r w:rsidRPr="00AC08D1">
        <w:rPr>
          <w:rFonts w:ascii="Calibri" w:hAnsi="Calibri" w:cs="Calibri"/>
        </w:rPr>
        <w:t xml:space="preserve">Table </w:t>
      </w:r>
      <w:r w:rsidRPr="003429AF" w:rsidR="009200C4">
        <w:rPr>
          <w:rFonts w:ascii="Calibri" w:hAnsi="Calibri" w:cs="Calibri"/>
        </w:rPr>
        <w:t>2</w:t>
      </w:r>
      <w:r w:rsidR="00286AE5">
        <w:rPr>
          <w:rFonts w:ascii="Calibri" w:hAnsi="Calibri" w:cs="Calibri"/>
        </w:rPr>
        <w:t>1</w:t>
      </w:r>
      <w:r w:rsidRPr="003429AF">
        <w:rPr>
          <w:rFonts w:ascii="Calibri" w:hAnsi="Calibri" w:cs="Calibri"/>
        </w:rPr>
        <w:t>. Agency Wage Rates (</w:t>
      </w:r>
      <w:r w:rsidRPr="003429AF" w:rsidR="000B1354">
        <w:rPr>
          <w:rFonts w:ascii="Calibri" w:hAnsi="Calibri" w:cs="Calibri"/>
        </w:rPr>
        <w:t>202</w:t>
      </w:r>
      <w:r w:rsidR="000B1354">
        <w:rPr>
          <w:rFonts w:ascii="Calibri" w:hAnsi="Calibri" w:cs="Calibri"/>
        </w:rPr>
        <w:t>4</w:t>
      </w:r>
      <w:r w:rsidRPr="003429AF">
        <w:rPr>
          <w:rFonts w:ascii="Calibri" w:hAnsi="Calibri" w:cs="Calibri"/>
        </w:rPr>
        <w:t>$)</w:t>
      </w: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011"/>
        <w:gridCol w:w="923"/>
        <w:gridCol w:w="895"/>
        <w:gridCol w:w="878"/>
        <w:gridCol w:w="1450"/>
        <w:gridCol w:w="1452"/>
        <w:gridCol w:w="1041"/>
        <w:gridCol w:w="968"/>
      </w:tblGrid>
      <w:tr w14:paraId="776068BF" w14:textId="77777777" w:rsidTr="2D725C34">
        <w:tblPrEx>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68"/>
        </w:trPr>
        <w:tc>
          <w:tcPr>
            <w:tcW w:w="921" w:type="dxa"/>
            <w:vMerge w:val="restart"/>
            <w:shd w:val="clear" w:color="auto" w:fill="D9D9D9" w:themeFill="accent6" w:themeFillShade="D9"/>
            <w:vAlign w:val="center"/>
            <w:hideMark/>
          </w:tcPr>
          <w:p w:rsidR="007E2E3C" w:rsidRPr="000B1354" w14:paraId="5C193D4C"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Labor Category</w:t>
            </w:r>
          </w:p>
        </w:tc>
        <w:tc>
          <w:tcPr>
            <w:tcW w:w="2265" w:type="dxa"/>
            <w:vMerge w:val="restart"/>
            <w:shd w:val="clear" w:color="auto" w:fill="D9D9D9" w:themeFill="accent6" w:themeFillShade="D9"/>
            <w:vAlign w:val="center"/>
            <w:hideMark/>
          </w:tcPr>
          <w:p w:rsidR="007E2E3C" w:rsidRPr="000B1354" w14:paraId="4F517043"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Data Source for Wage Information (Annual federal staff cost: OPM Washington-Baltimore-Northern Virginia, DC-MD-PA-VA-WV area)</w:t>
            </w:r>
          </w:p>
        </w:tc>
        <w:tc>
          <w:tcPr>
            <w:tcW w:w="923" w:type="dxa"/>
            <w:shd w:val="clear" w:color="auto" w:fill="D9D9D9" w:themeFill="accent6" w:themeFillShade="D9"/>
            <w:vAlign w:val="center"/>
            <w:hideMark/>
          </w:tcPr>
          <w:p w:rsidR="007E2E3C" w:rsidRPr="000B1354" w14:paraId="024CAA83"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Wage ($/hour)</w:t>
            </w:r>
          </w:p>
        </w:tc>
        <w:tc>
          <w:tcPr>
            <w:tcW w:w="924" w:type="dxa"/>
            <w:shd w:val="clear" w:color="auto" w:fill="D9D9D9" w:themeFill="accent6" w:themeFillShade="D9"/>
            <w:vAlign w:val="center"/>
            <w:hideMark/>
          </w:tcPr>
          <w:p w:rsidR="007E2E3C" w:rsidRPr="000B1354" w14:paraId="523613D8"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Fringes as % wage</w:t>
            </w:r>
            <w:r w:rsidRPr="2D725C34">
              <w:rPr>
                <w:rFonts w:ascii="Calibri" w:eastAsia="Calibri" w:hAnsi="Calibri" w:cs="Calibri"/>
                <w:b/>
                <w:color w:val="000000" w:themeColor="text1"/>
                <w:sz w:val="20"/>
                <w:szCs w:val="20"/>
                <w:vertAlign w:val="superscript"/>
              </w:rPr>
              <w:t>b</w:t>
            </w:r>
          </w:p>
        </w:tc>
        <w:tc>
          <w:tcPr>
            <w:tcW w:w="899" w:type="dxa"/>
            <w:shd w:val="clear" w:color="auto" w:fill="D9D9D9" w:themeFill="accent6" w:themeFillShade="D9"/>
            <w:vAlign w:val="center"/>
            <w:hideMark/>
          </w:tcPr>
          <w:p w:rsidR="007E2E3C" w:rsidRPr="000B1354" w14:paraId="7FA41E68"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Fringe Benefit</w:t>
            </w:r>
          </w:p>
        </w:tc>
        <w:tc>
          <w:tcPr>
            <w:tcW w:w="1461" w:type="dxa"/>
            <w:shd w:val="clear" w:color="auto" w:fill="D9D9D9" w:themeFill="accent6" w:themeFillShade="D9"/>
            <w:vAlign w:val="center"/>
            <w:hideMark/>
          </w:tcPr>
          <w:p w:rsidR="007E2E3C" w:rsidRPr="000B1354" w14:paraId="562F83ED"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Total Compensation</w:t>
            </w:r>
          </w:p>
        </w:tc>
        <w:tc>
          <w:tcPr>
            <w:tcW w:w="1140" w:type="dxa"/>
            <w:shd w:val="clear" w:color="auto" w:fill="D9D9D9" w:themeFill="accent6" w:themeFillShade="D9"/>
            <w:vAlign w:val="center"/>
            <w:hideMark/>
          </w:tcPr>
          <w:p w:rsidR="007E2E3C" w:rsidRPr="000B1354" w14:paraId="77E4F695"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Overhead as % total compensation</w:t>
            </w:r>
            <w:r w:rsidRPr="2D725C34">
              <w:rPr>
                <w:rFonts w:ascii="Calibri" w:eastAsia="Calibri" w:hAnsi="Calibri" w:cs="Calibri"/>
                <w:b/>
                <w:color w:val="000000" w:themeColor="text1"/>
                <w:sz w:val="20"/>
                <w:szCs w:val="20"/>
                <w:vertAlign w:val="superscript"/>
              </w:rPr>
              <w:t>c</w:t>
            </w:r>
          </w:p>
        </w:tc>
        <w:tc>
          <w:tcPr>
            <w:tcW w:w="1044" w:type="dxa"/>
            <w:shd w:val="clear" w:color="auto" w:fill="D9D9D9" w:themeFill="accent6" w:themeFillShade="D9"/>
            <w:vAlign w:val="center"/>
            <w:hideMark/>
          </w:tcPr>
          <w:p w:rsidR="007E2E3C" w:rsidRPr="000B1354" w14:paraId="25D4AA04"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Overhead</w:t>
            </w:r>
          </w:p>
        </w:tc>
        <w:tc>
          <w:tcPr>
            <w:tcW w:w="1000" w:type="dxa"/>
            <w:shd w:val="clear" w:color="auto" w:fill="D9D9D9" w:themeFill="accent6" w:themeFillShade="D9"/>
            <w:vAlign w:val="center"/>
            <w:hideMark/>
          </w:tcPr>
          <w:p w:rsidR="007E2E3C" w:rsidRPr="000B1354" w14:paraId="6A8B26E7"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Loaded Wage ($/hr)</w:t>
            </w:r>
          </w:p>
        </w:tc>
      </w:tr>
      <w:tr w14:paraId="203EDDBE" w14:textId="77777777" w:rsidTr="2D725C34">
        <w:tblPrEx>
          <w:tblW w:w="10577" w:type="dxa"/>
          <w:tblLook w:val="04A0"/>
        </w:tblPrEx>
        <w:trPr>
          <w:trHeight w:val="492"/>
        </w:trPr>
        <w:tc>
          <w:tcPr>
            <w:tcW w:w="921" w:type="dxa"/>
            <w:vMerge/>
            <w:vAlign w:val="center"/>
            <w:hideMark/>
          </w:tcPr>
          <w:p w:rsidR="007E2E3C" w:rsidRPr="000B1354" w14:paraId="489F58C1" w14:textId="77777777">
            <w:pPr>
              <w:spacing w:after="0" w:line="240" w:lineRule="auto"/>
              <w:rPr>
                <w:rFonts w:ascii="Calibri" w:eastAsia="Times New Roman" w:hAnsi="Calibri" w:cs="Calibri"/>
                <w:b/>
                <w:bCs/>
                <w:color w:val="000000"/>
                <w:sz w:val="18"/>
                <w:szCs w:val="18"/>
              </w:rPr>
            </w:pPr>
          </w:p>
        </w:tc>
        <w:tc>
          <w:tcPr>
            <w:tcW w:w="2265" w:type="dxa"/>
            <w:vMerge/>
            <w:vAlign w:val="center"/>
            <w:hideMark/>
          </w:tcPr>
          <w:p w:rsidR="007E2E3C" w:rsidRPr="000B1354" w14:paraId="241CB736" w14:textId="77777777">
            <w:pPr>
              <w:spacing w:after="0" w:line="240" w:lineRule="auto"/>
              <w:rPr>
                <w:rFonts w:ascii="Calibri" w:eastAsia="Times New Roman" w:hAnsi="Calibri" w:cs="Calibri"/>
                <w:b/>
                <w:bCs/>
                <w:color w:val="000000"/>
                <w:sz w:val="18"/>
                <w:szCs w:val="18"/>
              </w:rPr>
            </w:pPr>
          </w:p>
        </w:tc>
        <w:tc>
          <w:tcPr>
            <w:tcW w:w="923" w:type="dxa"/>
            <w:shd w:val="clear" w:color="auto" w:fill="D9D9D9" w:themeFill="accent6" w:themeFillShade="D9"/>
            <w:vAlign w:val="center"/>
            <w:hideMark/>
          </w:tcPr>
          <w:p w:rsidR="007E2E3C" w:rsidRPr="000B1354" w14:paraId="7CAD56F3"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(a)</w:t>
            </w:r>
          </w:p>
        </w:tc>
        <w:tc>
          <w:tcPr>
            <w:tcW w:w="924" w:type="dxa"/>
            <w:shd w:val="clear" w:color="auto" w:fill="D9D9D9" w:themeFill="accent6" w:themeFillShade="D9"/>
            <w:vAlign w:val="center"/>
            <w:hideMark/>
          </w:tcPr>
          <w:p w:rsidR="007E2E3C" w:rsidRPr="000B1354" w14:paraId="20ED9B4B"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(b)</w:t>
            </w:r>
          </w:p>
        </w:tc>
        <w:tc>
          <w:tcPr>
            <w:tcW w:w="899" w:type="dxa"/>
            <w:shd w:val="clear" w:color="auto" w:fill="D9D9D9" w:themeFill="accent6" w:themeFillShade="D9"/>
            <w:vAlign w:val="center"/>
            <w:hideMark/>
          </w:tcPr>
          <w:p w:rsidR="007E2E3C" w:rsidRPr="000B1354" w14:paraId="566B5F31"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(c) = (a)*(b)</w:t>
            </w:r>
          </w:p>
        </w:tc>
        <w:tc>
          <w:tcPr>
            <w:tcW w:w="1461" w:type="dxa"/>
            <w:shd w:val="clear" w:color="auto" w:fill="D9D9D9" w:themeFill="accent6" w:themeFillShade="D9"/>
            <w:vAlign w:val="center"/>
            <w:hideMark/>
          </w:tcPr>
          <w:p w:rsidR="007E2E3C" w:rsidRPr="000B1354" w14:paraId="702FB78F"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(d) = (a)+(c)</w:t>
            </w:r>
          </w:p>
        </w:tc>
        <w:tc>
          <w:tcPr>
            <w:tcW w:w="1140" w:type="dxa"/>
            <w:shd w:val="clear" w:color="auto" w:fill="D9D9D9" w:themeFill="accent6" w:themeFillShade="D9"/>
            <w:vAlign w:val="center"/>
            <w:hideMark/>
          </w:tcPr>
          <w:p w:rsidR="007E2E3C" w:rsidRPr="000B1354" w14:paraId="71A1E434"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(e)</w:t>
            </w:r>
          </w:p>
        </w:tc>
        <w:tc>
          <w:tcPr>
            <w:tcW w:w="1044" w:type="dxa"/>
            <w:shd w:val="clear" w:color="auto" w:fill="D9D9D9" w:themeFill="accent6" w:themeFillShade="D9"/>
            <w:vAlign w:val="center"/>
            <w:hideMark/>
          </w:tcPr>
          <w:p w:rsidR="007E2E3C" w:rsidRPr="000B1354" w14:paraId="6ABC9773"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 xml:space="preserve">(f) = (d)*(e) </w:t>
            </w:r>
          </w:p>
        </w:tc>
        <w:tc>
          <w:tcPr>
            <w:tcW w:w="1000" w:type="dxa"/>
            <w:shd w:val="clear" w:color="auto" w:fill="D9D9D9" w:themeFill="accent6" w:themeFillShade="D9"/>
            <w:vAlign w:val="center"/>
            <w:hideMark/>
          </w:tcPr>
          <w:p w:rsidR="007E2E3C" w:rsidRPr="000B1354" w14:paraId="600AFAA8" w14:textId="77777777">
            <w:pPr>
              <w:spacing w:after="0" w:line="240" w:lineRule="auto"/>
              <w:jc w:val="center"/>
              <w:rPr>
                <w:rFonts w:ascii="Calibri" w:eastAsia="Calibri" w:hAnsi="Calibri" w:cs="Calibri"/>
                <w:b/>
                <w:color w:val="000000"/>
                <w:sz w:val="20"/>
                <w:szCs w:val="20"/>
              </w:rPr>
            </w:pPr>
            <w:r w:rsidRPr="2D725C34">
              <w:rPr>
                <w:rFonts w:ascii="Calibri" w:eastAsia="Calibri" w:hAnsi="Calibri" w:cs="Calibri"/>
                <w:b/>
                <w:color w:val="000000" w:themeColor="text1"/>
                <w:sz w:val="20"/>
                <w:szCs w:val="20"/>
              </w:rPr>
              <w:t>(g) = (d)+(f)</w:t>
            </w:r>
          </w:p>
        </w:tc>
      </w:tr>
      <w:tr w14:paraId="6329FCFF" w14:textId="77777777" w:rsidTr="2D725C34">
        <w:tblPrEx>
          <w:tblW w:w="10577" w:type="dxa"/>
          <w:tblLook w:val="04A0"/>
        </w:tblPrEx>
        <w:trPr>
          <w:trHeight w:val="399"/>
        </w:trPr>
        <w:tc>
          <w:tcPr>
            <w:tcW w:w="921" w:type="dxa"/>
            <w:vMerge w:val="restart"/>
            <w:shd w:val="clear" w:color="auto" w:fill="auto"/>
            <w:vAlign w:val="center"/>
            <w:hideMark/>
          </w:tcPr>
          <w:p w:rsidR="000B1354" w:rsidRPr="000B1354" w:rsidP="000B1354" w14:paraId="26CD8C47" w14:textId="77777777">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EPA staff</w:t>
            </w:r>
          </w:p>
        </w:tc>
        <w:tc>
          <w:tcPr>
            <w:tcW w:w="2265" w:type="dxa"/>
            <w:shd w:val="clear" w:color="auto" w:fill="auto"/>
            <w:vAlign w:val="center"/>
            <w:hideMark/>
          </w:tcPr>
          <w:p w:rsidR="000B1354" w:rsidRPr="000B1354" w:rsidP="000B1354" w14:paraId="368B59DC" w14:textId="77777777">
            <w:pPr>
              <w:spacing w:after="0" w:line="240" w:lineRule="auto"/>
              <w:rPr>
                <w:rFonts w:ascii="Calibri" w:eastAsia="Calibri" w:hAnsi="Calibri" w:cs="Calibri"/>
                <w:color w:val="000000"/>
                <w:sz w:val="20"/>
                <w:szCs w:val="20"/>
              </w:rPr>
            </w:pPr>
            <w:r w:rsidRPr="2D725C34">
              <w:rPr>
                <w:rFonts w:ascii="Calibri" w:eastAsia="Calibri" w:hAnsi="Calibri" w:cs="Calibri"/>
                <w:b/>
                <w:color w:val="000000" w:themeColor="text1"/>
                <w:sz w:val="20"/>
                <w:szCs w:val="20"/>
              </w:rPr>
              <w:t>GS-12 Step 1</w:t>
            </w:r>
            <w:r w:rsidRPr="2D725C34">
              <w:rPr>
                <w:rFonts w:ascii="Calibri" w:eastAsia="Calibri" w:hAnsi="Calibri" w:cs="Calibri"/>
                <w:color w:val="000000" w:themeColor="text1"/>
                <w:sz w:val="20"/>
                <w:szCs w:val="20"/>
              </w:rPr>
              <w:t xml:space="preserve"> pay rates </w:t>
            </w:r>
            <w:r w:rsidRPr="2D725C34">
              <w:rPr>
                <w:rFonts w:ascii="Calibri" w:eastAsia="Calibri" w:hAnsi="Calibri" w:cs="Calibri"/>
                <w:color w:val="000000" w:themeColor="text1"/>
                <w:sz w:val="20"/>
                <w:szCs w:val="20"/>
                <w:vertAlign w:val="superscript"/>
              </w:rPr>
              <w:t>a</w:t>
            </w:r>
          </w:p>
        </w:tc>
        <w:tc>
          <w:tcPr>
            <w:tcW w:w="923" w:type="dxa"/>
            <w:shd w:val="clear" w:color="auto" w:fill="auto"/>
            <w:vAlign w:val="center"/>
            <w:hideMark/>
          </w:tcPr>
          <w:p w:rsidR="000B1354" w:rsidRPr="000B1354" w:rsidP="000B1354" w14:paraId="1B030D23" w14:textId="3D34CA9E">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 xml:space="preserve">$47.53 </w:t>
            </w:r>
          </w:p>
        </w:tc>
        <w:tc>
          <w:tcPr>
            <w:tcW w:w="924" w:type="dxa"/>
            <w:shd w:val="clear" w:color="auto" w:fill="auto"/>
            <w:vAlign w:val="center"/>
            <w:hideMark/>
          </w:tcPr>
          <w:p w:rsidR="000B1354" w:rsidRPr="000B1354" w:rsidP="000B1354" w14:paraId="5F1BC4BD" w14:textId="5433BF46">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63.90</w:t>
            </w:r>
          </w:p>
        </w:tc>
        <w:tc>
          <w:tcPr>
            <w:tcW w:w="899" w:type="dxa"/>
            <w:shd w:val="clear" w:color="auto" w:fill="auto"/>
            <w:vAlign w:val="center"/>
            <w:hideMark/>
          </w:tcPr>
          <w:p w:rsidR="000B1354" w:rsidRPr="000B1354" w:rsidP="000B1354" w14:paraId="47577C5F" w14:textId="32CB8AC4">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$30.37</w:t>
            </w:r>
          </w:p>
        </w:tc>
        <w:tc>
          <w:tcPr>
            <w:tcW w:w="1461" w:type="dxa"/>
            <w:shd w:val="clear" w:color="auto" w:fill="auto"/>
            <w:vAlign w:val="center"/>
            <w:hideMark/>
          </w:tcPr>
          <w:p w:rsidR="000B1354" w:rsidRPr="000B1354" w:rsidP="00E35954" w14:paraId="024B3011" w14:textId="7AF23AAB">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$77.90</w:t>
            </w:r>
          </w:p>
        </w:tc>
        <w:tc>
          <w:tcPr>
            <w:tcW w:w="1140" w:type="dxa"/>
            <w:shd w:val="clear" w:color="auto" w:fill="auto"/>
            <w:vAlign w:val="center"/>
            <w:hideMark/>
          </w:tcPr>
          <w:p w:rsidR="000B1354" w:rsidRPr="000B1354" w:rsidP="00E35954" w14:paraId="197FB0B4" w14:textId="0AD4C86A">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20%</w:t>
            </w:r>
          </w:p>
        </w:tc>
        <w:tc>
          <w:tcPr>
            <w:tcW w:w="1044" w:type="dxa"/>
            <w:shd w:val="clear" w:color="auto" w:fill="auto"/>
            <w:vAlign w:val="center"/>
            <w:hideMark/>
          </w:tcPr>
          <w:p w:rsidR="000B1354" w:rsidRPr="000B1354" w:rsidP="00E35954" w14:paraId="52AAA988" w14:textId="39C1A25D">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$15.58</w:t>
            </w:r>
          </w:p>
        </w:tc>
        <w:tc>
          <w:tcPr>
            <w:tcW w:w="1000" w:type="dxa"/>
            <w:shd w:val="clear" w:color="auto" w:fill="auto"/>
            <w:vAlign w:val="center"/>
            <w:hideMark/>
          </w:tcPr>
          <w:p w:rsidR="000B1354" w:rsidRPr="000B1354" w:rsidP="00E35954" w14:paraId="7836A377" w14:textId="547EA785">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$93.48</w:t>
            </w:r>
          </w:p>
        </w:tc>
      </w:tr>
      <w:tr w14:paraId="4482FEEE" w14:textId="77777777" w:rsidTr="2D725C34">
        <w:tblPrEx>
          <w:tblW w:w="10577" w:type="dxa"/>
          <w:tblLook w:val="04A0"/>
        </w:tblPrEx>
        <w:trPr>
          <w:trHeight w:val="399"/>
        </w:trPr>
        <w:tc>
          <w:tcPr>
            <w:tcW w:w="921" w:type="dxa"/>
            <w:vMerge/>
            <w:vAlign w:val="center"/>
            <w:hideMark/>
          </w:tcPr>
          <w:p w:rsidR="000B1354" w:rsidRPr="000B1354" w:rsidP="000B1354" w14:paraId="5CDBAAB6" w14:textId="77777777">
            <w:pPr>
              <w:spacing w:after="0" w:line="240" w:lineRule="auto"/>
              <w:rPr>
                <w:rFonts w:ascii="Calibri" w:eastAsia="Times New Roman" w:hAnsi="Calibri" w:cs="Calibri"/>
                <w:color w:val="000000"/>
                <w:sz w:val="18"/>
                <w:szCs w:val="18"/>
              </w:rPr>
            </w:pPr>
          </w:p>
        </w:tc>
        <w:tc>
          <w:tcPr>
            <w:tcW w:w="2265" w:type="dxa"/>
            <w:shd w:val="clear" w:color="auto" w:fill="auto"/>
            <w:vAlign w:val="center"/>
            <w:hideMark/>
          </w:tcPr>
          <w:p w:rsidR="000B1354" w:rsidRPr="000B1354" w:rsidP="000B1354" w14:paraId="7230ED6B" w14:textId="77777777">
            <w:pPr>
              <w:spacing w:after="0" w:line="240" w:lineRule="auto"/>
              <w:rPr>
                <w:rFonts w:ascii="Calibri" w:eastAsia="Calibri" w:hAnsi="Calibri" w:cs="Calibri"/>
                <w:color w:val="000000"/>
                <w:sz w:val="20"/>
                <w:szCs w:val="20"/>
              </w:rPr>
            </w:pPr>
            <w:r w:rsidRPr="2D725C34">
              <w:rPr>
                <w:rFonts w:ascii="Calibri" w:eastAsia="Calibri" w:hAnsi="Calibri" w:cs="Calibri"/>
                <w:b/>
                <w:color w:val="000000" w:themeColor="text1"/>
                <w:sz w:val="20"/>
                <w:szCs w:val="20"/>
              </w:rPr>
              <w:t>GS-13 Step 1</w:t>
            </w:r>
            <w:r w:rsidRPr="2D725C34">
              <w:rPr>
                <w:rFonts w:ascii="Calibri" w:eastAsia="Calibri" w:hAnsi="Calibri" w:cs="Calibri"/>
                <w:color w:val="000000" w:themeColor="text1"/>
                <w:sz w:val="20"/>
                <w:szCs w:val="20"/>
              </w:rPr>
              <w:t xml:space="preserve"> pay rates </w:t>
            </w:r>
            <w:r w:rsidRPr="2D725C34">
              <w:rPr>
                <w:rFonts w:ascii="Calibri" w:eastAsia="Calibri" w:hAnsi="Calibri" w:cs="Calibri"/>
                <w:color w:val="000000" w:themeColor="text1"/>
                <w:sz w:val="20"/>
                <w:szCs w:val="20"/>
                <w:vertAlign w:val="superscript"/>
              </w:rPr>
              <w:t>a</w:t>
            </w:r>
          </w:p>
        </w:tc>
        <w:tc>
          <w:tcPr>
            <w:tcW w:w="923" w:type="dxa"/>
            <w:shd w:val="clear" w:color="auto" w:fill="auto"/>
            <w:vAlign w:val="center"/>
            <w:hideMark/>
          </w:tcPr>
          <w:p w:rsidR="000B1354" w:rsidRPr="000B1354" w:rsidP="000B1354" w14:paraId="5A1111E3" w14:textId="1EB0F37E">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 xml:space="preserve">$56.52 </w:t>
            </w:r>
          </w:p>
        </w:tc>
        <w:tc>
          <w:tcPr>
            <w:tcW w:w="924" w:type="dxa"/>
            <w:shd w:val="clear" w:color="auto" w:fill="auto"/>
            <w:vAlign w:val="center"/>
            <w:hideMark/>
          </w:tcPr>
          <w:p w:rsidR="000B1354" w:rsidRPr="000B1354" w:rsidP="000B1354" w14:paraId="5BE82095" w14:textId="05A24D10">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63.90</w:t>
            </w:r>
          </w:p>
        </w:tc>
        <w:tc>
          <w:tcPr>
            <w:tcW w:w="899" w:type="dxa"/>
            <w:shd w:val="clear" w:color="auto" w:fill="auto"/>
            <w:vAlign w:val="center"/>
            <w:hideMark/>
          </w:tcPr>
          <w:p w:rsidR="000B1354" w:rsidRPr="000B1354" w:rsidP="000B1354" w14:paraId="7336DC47" w14:textId="21FBCE3D">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$36.12</w:t>
            </w:r>
          </w:p>
        </w:tc>
        <w:tc>
          <w:tcPr>
            <w:tcW w:w="1461" w:type="dxa"/>
            <w:shd w:val="clear" w:color="auto" w:fill="auto"/>
            <w:vAlign w:val="center"/>
            <w:hideMark/>
          </w:tcPr>
          <w:p w:rsidR="000B1354" w:rsidRPr="000B1354" w:rsidP="00E35954" w14:paraId="1AAD7C11" w14:textId="19ED7C13">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$92.64</w:t>
            </w:r>
          </w:p>
        </w:tc>
        <w:tc>
          <w:tcPr>
            <w:tcW w:w="1140" w:type="dxa"/>
            <w:shd w:val="clear" w:color="auto" w:fill="auto"/>
            <w:vAlign w:val="center"/>
            <w:hideMark/>
          </w:tcPr>
          <w:p w:rsidR="000B1354" w:rsidRPr="000B1354" w:rsidP="00E35954" w14:paraId="0C7D5DCA" w14:textId="46A9F556">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20%</w:t>
            </w:r>
          </w:p>
        </w:tc>
        <w:tc>
          <w:tcPr>
            <w:tcW w:w="1044" w:type="dxa"/>
            <w:shd w:val="clear" w:color="auto" w:fill="auto"/>
            <w:vAlign w:val="center"/>
            <w:hideMark/>
          </w:tcPr>
          <w:p w:rsidR="000B1354" w:rsidRPr="000B1354" w:rsidP="00E35954" w14:paraId="4083B80B" w14:textId="46BDA7D0">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$18.53</w:t>
            </w:r>
          </w:p>
        </w:tc>
        <w:tc>
          <w:tcPr>
            <w:tcW w:w="1000" w:type="dxa"/>
            <w:shd w:val="clear" w:color="auto" w:fill="auto"/>
            <w:vAlign w:val="center"/>
            <w:hideMark/>
          </w:tcPr>
          <w:p w:rsidR="000B1354" w:rsidRPr="000B1354" w:rsidP="00E35954" w14:paraId="1838578A" w14:textId="74DBB844">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$111.16</w:t>
            </w:r>
          </w:p>
        </w:tc>
      </w:tr>
      <w:tr w14:paraId="1CC947D4" w14:textId="77777777" w:rsidTr="2D725C34">
        <w:tblPrEx>
          <w:tblW w:w="10577" w:type="dxa"/>
          <w:tblLook w:val="04A0"/>
        </w:tblPrEx>
        <w:trPr>
          <w:trHeight w:val="399"/>
        </w:trPr>
        <w:tc>
          <w:tcPr>
            <w:tcW w:w="921" w:type="dxa"/>
            <w:vMerge/>
            <w:vAlign w:val="center"/>
            <w:hideMark/>
          </w:tcPr>
          <w:p w:rsidR="000B1354" w:rsidRPr="000B1354" w:rsidP="000B1354" w14:paraId="707ADA55" w14:textId="77777777">
            <w:pPr>
              <w:spacing w:after="0" w:line="240" w:lineRule="auto"/>
              <w:rPr>
                <w:rFonts w:ascii="Calibri" w:eastAsia="Times New Roman" w:hAnsi="Calibri" w:cs="Calibri"/>
                <w:color w:val="000000"/>
                <w:sz w:val="18"/>
                <w:szCs w:val="18"/>
              </w:rPr>
            </w:pPr>
          </w:p>
        </w:tc>
        <w:tc>
          <w:tcPr>
            <w:tcW w:w="2265" w:type="dxa"/>
            <w:shd w:val="clear" w:color="auto" w:fill="auto"/>
            <w:vAlign w:val="center"/>
            <w:hideMark/>
          </w:tcPr>
          <w:p w:rsidR="000B1354" w:rsidRPr="000B1354" w:rsidP="000B1354" w14:paraId="3416E1F8" w14:textId="77777777">
            <w:pPr>
              <w:spacing w:after="0" w:line="240" w:lineRule="auto"/>
              <w:rPr>
                <w:rFonts w:ascii="Calibri" w:eastAsia="Calibri" w:hAnsi="Calibri" w:cs="Calibri"/>
                <w:color w:val="000000"/>
                <w:sz w:val="20"/>
                <w:szCs w:val="20"/>
              </w:rPr>
            </w:pPr>
            <w:r w:rsidRPr="2D725C34">
              <w:rPr>
                <w:rFonts w:ascii="Calibri" w:eastAsia="Calibri" w:hAnsi="Calibri" w:cs="Calibri"/>
                <w:b/>
                <w:color w:val="000000" w:themeColor="text1"/>
                <w:sz w:val="20"/>
                <w:szCs w:val="20"/>
              </w:rPr>
              <w:t>GS-13 Step 5</w:t>
            </w:r>
            <w:r w:rsidRPr="2D725C34">
              <w:rPr>
                <w:rFonts w:ascii="Calibri" w:eastAsia="Calibri" w:hAnsi="Calibri" w:cs="Calibri"/>
                <w:color w:val="000000" w:themeColor="text1"/>
                <w:sz w:val="20"/>
                <w:szCs w:val="20"/>
              </w:rPr>
              <w:t xml:space="preserve"> pay rates </w:t>
            </w:r>
            <w:r w:rsidRPr="2D725C34">
              <w:rPr>
                <w:rFonts w:ascii="Calibri" w:eastAsia="Calibri" w:hAnsi="Calibri" w:cs="Calibri"/>
                <w:color w:val="000000" w:themeColor="text1"/>
                <w:sz w:val="20"/>
                <w:szCs w:val="20"/>
                <w:vertAlign w:val="superscript"/>
              </w:rPr>
              <w:t>a</w:t>
            </w:r>
          </w:p>
        </w:tc>
        <w:tc>
          <w:tcPr>
            <w:tcW w:w="923" w:type="dxa"/>
            <w:shd w:val="clear" w:color="auto" w:fill="auto"/>
            <w:vAlign w:val="center"/>
            <w:hideMark/>
          </w:tcPr>
          <w:p w:rsidR="000B1354" w:rsidRPr="000B1354" w:rsidP="000B1354" w14:paraId="6CE7C0EE" w14:textId="5AAB9933">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 xml:space="preserve">$64.06 </w:t>
            </w:r>
          </w:p>
        </w:tc>
        <w:tc>
          <w:tcPr>
            <w:tcW w:w="924" w:type="dxa"/>
            <w:shd w:val="clear" w:color="auto" w:fill="auto"/>
            <w:vAlign w:val="center"/>
            <w:hideMark/>
          </w:tcPr>
          <w:p w:rsidR="000B1354" w:rsidRPr="000B1354" w:rsidP="000B1354" w14:paraId="11E16280" w14:textId="36813A13">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63.90</w:t>
            </w:r>
          </w:p>
        </w:tc>
        <w:tc>
          <w:tcPr>
            <w:tcW w:w="899" w:type="dxa"/>
            <w:shd w:val="clear" w:color="auto" w:fill="auto"/>
            <w:vAlign w:val="center"/>
            <w:hideMark/>
          </w:tcPr>
          <w:p w:rsidR="000B1354" w:rsidRPr="000B1354" w:rsidP="000B1354" w14:paraId="0E8C7BAE" w14:textId="70532479">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$40.93</w:t>
            </w:r>
          </w:p>
        </w:tc>
        <w:tc>
          <w:tcPr>
            <w:tcW w:w="1461" w:type="dxa"/>
            <w:shd w:val="clear" w:color="auto" w:fill="auto"/>
            <w:vAlign w:val="center"/>
            <w:hideMark/>
          </w:tcPr>
          <w:p w:rsidR="000B1354" w:rsidRPr="000B1354" w:rsidP="00E35954" w14:paraId="3E717803" w14:textId="2C390383">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$104.99</w:t>
            </w:r>
          </w:p>
        </w:tc>
        <w:tc>
          <w:tcPr>
            <w:tcW w:w="1140" w:type="dxa"/>
            <w:shd w:val="clear" w:color="auto" w:fill="auto"/>
            <w:vAlign w:val="center"/>
            <w:hideMark/>
          </w:tcPr>
          <w:p w:rsidR="000B1354" w:rsidRPr="000B1354" w:rsidP="00E35954" w14:paraId="2215CE9A" w14:textId="5B7463B6">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20%</w:t>
            </w:r>
          </w:p>
        </w:tc>
        <w:tc>
          <w:tcPr>
            <w:tcW w:w="1044" w:type="dxa"/>
            <w:shd w:val="clear" w:color="auto" w:fill="auto"/>
            <w:vAlign w:val="center"/>
            <w:hideMark/>
          </w:tcPr>
          <w:p w:rsidR="000B1354" w:rsidRPr="000B1354" w:rsidP="00E35954" w14:paraId="39A3B6AC" w14:textId="22488757">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$21.00</w:t>
            </w:r>
          </w:p>
        </w:tc>
        <w:tc>
          <w:tcPr>
            <w:tcW w:w="1000" w:type="dxa"/>
            <w:shd w:val="clear" w:color="auto" w:fill="auto"/>
            <w:vAlign w:val="center"/>
            <w:hideMark/>
          </w:tcPr>
          <w:p w:rsidR="000B1354" w:rsidRPr="000B1354" w:rsidP="00E35954" w14:paraId="58A3BE52" w14:textId="537CEAC6">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$125.99</w:t>
            </w:r>
          </w:p>
        </w:tc>
      </w:tr>
      <w:tr w14:paraId="22164E59" w14:textId="77777777" w:rsidTr="2D725C34">
        <w:tblPrEx>
          <w:tblW w:w="10577" w:type="dxa"/>
          <w:tblLook w:val="04A0"/>
        </w:tblPrEx>
        <w:trPr>
          <w:trHeight w:val="399"/>
        </w:trPr>
        <w:tc>
          <w:tcPr>
            <w:tcW w:w="921" w:type="dxa"/>
            <w:vMerge/>
            <w:vAlign w:val="center"/>
            <w:hideMark/>
          </w:tcPr>
          <w:p w:rsidR="000B1354" w:rsidRPr="000B1354" w:rsidP="000B1354" w14:paraId="70D5430A" w14:textId="77777777">
            <w:pPr>
              <w:spacing w:after="0" w:line="240" w:lineRule="auto"/>
              <w:rPr>
                <w:rFonts w:ascii="Calibri" w:eastAsia="Times New Roman" w:hAnsi="Calibri" w:cs="Calibri"/>
                <w:color w:val="000000"/>
                <w:sz w:val="18"/>
                <w:szCs w:val="18"/>
              </w:rPr>
            </w:pPr>
          </w:p>
        </w:tc>
        <w:tc>
          <w:tcPr>
            <w:tcW w:w="2265" w:type="dxa"/>
            <w:shd w:val="clear" w:color="auto" w:fill="auto"/>
            <w:vAlign w:val="center"/>
            <w:hideMark/>
          </w:tcPr>
          <w:p w:rsidR="000B1354" w:rsidRPr="000B1354" w:rsidP="000B1354" w14:paraId="4079CB39" w14:textId="77777777">
            <w:pPr>
              <w:spacing w:after="0" w:line="240" w:lineRule="auto"/>
              <w:rPr>
                <w:rFonts w:ascii="Calibri" w:eastAsia="Calibri" w:hAnsi="Calibri" w:cs="Calibri"/>
                <w:color w:val="000000"/>
                <w:sz w:val="20"/>
                <w:szCs w:val="20"/>
              </w:rPr>
            </w:pPr>
            <w:r w:rsidRPr="2D725C34">
              <w:rPr>
                <w:rFonts w:ascii="Calibri" w:eastAsia="Calibri" w:hAnsi="Calibri" w:cs="Calibri"/>
                <w:b/>
                <w:color w:val="000000" w:themeColor="text1"/>
                <w:sz w:val="20"/>
                <w:szCs w:val="20"/>
              </w:rPr>
              <w:t>GS-15 Step 1</w:t>
            </w:r>
            <w:r w:rsidRPr="2D725C34">
              <w:rPr>
                <w:rFonts w:ascii="Calibri" w:eastAsia="Calibri" w:hAnsi="Calibri" w:cs="Calibri"/>
                <w:color w:val="000000" w:themeColor="text1"/>
                <w:sz w:val="20"/>
                <w:szCs w:val="20"/>
              </w:rPr>
              <w:t xml:space="preserve"> pay rates </w:t>
            </w:r>
            <w:r w:rsidRPr="2D725C34">
              <w:rPr>
                <w:rFonts w:ascii="Calibri" w:eastAsia="Calibri" w:hAnsi="Calibri" w:cs="Calibri"/>
                <w:color w:val="000000" w:themeColor="text1"/>
                <w:sz w:val="20"/>
                <w:szCs w:val="20"/>
                <w:vertAlign w:val="superscript"/>
              </w:rPr>
              <w:t>a</w:t>
            </w:r>
          </w:p>
        </w:tc>
        <w:tc>
          <w:tcPr>
            <w:tcW w:w="923" w:type="dxa"/>
            <w:shd w:val="clear" w:color="auto" w:fill="auto"/>
            <w:vAlign w:val="center"/>
            <w:hideMark/>
          </w:tcPr>
          <w:p w:rsidR="000B1354" w:rsidRPr="000B1354" w:rsidP="000B1354" w14:paraId="1B761576" w14:textId="4F867C53">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 xml:space="preserve">$78.56 </w:t>
            </w:r>
          </w:p>
        </w:tc>
        <w:tc>
          <w:tcPr>
            <w:tcW w:w="924" w:type="dxa"/>
            <w:shd w:val="clear" w:color="auto" w:fill="auto"/>
            <w:vAlign w:val="center"/>
            <w:hideMark/>
          </w:tcPr>
          <w:p w:rsidR="000B1354" w:rsidRPr="000B1354" w:rsidP="000B1354" w14:paraId="1C221BD9" w14:textId="1A3F7B97">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63.90</w:t>
            </w:r>
          </w:p>
        </w:tc>
        <w:tc>
          <w:tcPr>
            <w:tcW w:w="899" w:type="dxa"/>
            <w:shd w:val="clear" w:color="auto" w:fill="auto"/>
            <w:vAlign w:val="center"/>
            <w:hideMark/>
          </w:tcPr>
          <w:p w:rsidR="000B1354" w:rsidRPr="000B1354" w:rsidP="000B1354" w14:paraId="63930E59" w14:textId="381AC199">
            <w:pPr>
              <w:spacing w:after="0" w:line="240" w:lineRule="auto"/>
              <w:jc w:val="right"/>
              <w:rPr>
                <w:rFonts w:ascii="Calibri" w:eastAsia="Calibri" w:hAnsi="Calibri" w:cs="Calibri"/>
                <w:color w:val="000000"/>
                <w:sz w:val="20"/>
                <w:szCs w:val="20"/>
              </w:rPr>
            </w:pPr>
            <w:r w:rsidRPr="2D725C34">
              <w:rPr>
                <w:rFonts w:ascii="Calibri" w:eastAsia="Calibri" w:hAnsi="Calibri" w:cs="Calibri"/>
                <w:color w:val="000000" w:themeColor="text1"/>
                <w:sz w:val="20"/>
                <w:szCs w:val="20"/>
              </w:rPr>
              <w:t>$50.20</w:t>
            </w:r>
          </w:p>
        </w:tc>
        <w:tc>
          <w:tcPr>
            <w:tcW w:w="1461" w:type="dxa"/>
            <w:shd w:val="clear" w:color="auto" w:fill="auto"/>
            <w:vAlign w:val="center"/>
            <w:hideMark/>
          </w:tcPr>
          <w:p w:rsidR="000B1354" w:rsidRPr="000B1354" w:rsidP="00E35954" w14:paraId="1B9A6738" w14:textId="7A47836B">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$128.76</w:t>
            </w:r>
          </w:p>
        </w:tc>
        <w:tc>
          <w:tcPr>
            <w:tcW w:w="1140" w:type="dxa"/>
            <w:shd w:val="clear" w:color="auto" w:fill="auto"/>
            <w:vAlign w:val="center"/>
            <w:hideMark/>
          </w:tcPr>
          <w:p w:rsidR="000B1354" w:rsidRPr="000B1354" w:rsidP="00E35954" w14:paraId="0D767EA0" w14:textId="204D3ADB">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20%</w:t>
            </w:r>
          </w:p>
        </w:tc>
        <w:tc>
          <w:tcPr>
            <w:tcW w:w="1044" w:type="dxa"/>
            <w:shd w:val="clear" w:color="auto" w:fill="auto"/>
            <w:vAlign w:val="center"/>
            <w:hideMark/>
          </w:tcPr>
          <w:p w:rsidR="000B1354" w:rsidRPr="000B1354" w:rsidP="00E35954" w14:paraId="15E48B35" w14:textId="2489A9BE">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$25.75</w:t>
            </w:r>
          </w:p>
        </w:tc>
        <w:tc>
          <w:tcPr>
            <w:tcW w:w="1000" w:type="dxa"/>
            <w:shd w:val="clear" w:color="auto" w:fill="auto"/>
            <w:vAlign w:val="center"/>
            <w:hideMark/>
          </w:tcPr>
          <w:p w:rsidR="000B1354" w:rsidRPr="000B1354" w:rsidP="00E35954" w14:paraId="7BBD23E0" w14:textId="504199E4">
            <w:pPr>
              <w:spacing w:after="0" w:line="240" w:lineRule="auto"/>
              <w:jc w:val="center"/>
              <w:rPr>
                <w:rFonts w:ascii="Calibri" w:eastAsia="Calibri" w:hAnsi="Calibri" w:cs="Calibri"/>
                <w:color w:val="000000"/>
                <w:sz w:val="20"/>
                <w:szCs w:val="20"/>
              </w:rPr>
            </w:pPr>
            <w:r w:rsidRPr="2D725C34">
              <w:rPr>
                <w:rFonts w:ascii="Calibri" w:eastAsia="Calibri" w:hAnsi="Calibri" w:cs="Calibri"/>
                <w:color w:val="000000" w:themeColor="text1"/>
                <w:sz w:val="20"/>
                <w:szCs w:val="20"/>
              </w:rPr>
              <w:t>$154.51</w:t>
            </w:r>
          </w:p>
        </w:tc>
      </w:tr>
    </w:tbl>
    <w:p w:rsidR="00B2051D" w:rsidRPr="00E35954" w:rsidP="00B2051D" w14:paraId="65C3988E" w14:textId="41B13DE5">
      <w:pPr>
        <w:pStyle w:val="BodyTextFirstIndent"/>
        <w:spacing w:after="0"/>
        <w:ind w:firstLine="0"/>
        <w:rPr>
          <w:rFonts w:ascii="Calibri" w:hAnsi="Calibri" w:cs="Calibri"/>
          <w:color w:val="000000"/>
          <w:sz w:val="14"/>
          <w:szCs w:val="14"/>
        </w:rPr>
      </w:pPr>
      <w:r w:rsidRPr="55D022B7">
        <w:rPr>
          <w:rFonts w:ascii="Calibri" w:hAnsi="Calibri" w:cs="Calibri"/>
          <w:color w:val="000000" w:themeColor="text1"/>
          <w:sz w:val="14"/>
          <w:szCs w:val="14"/>
        </w:rPr>
        <w:t>a Source: U.S. Office of Personnel Management. (202</w:t>
      </w:r>
      <w:r w:rsidRPr="55D022B7" w:rsidR="28534600">
        <w:rPr>
          <w:rFonts w:ascii="Calibri" w:hAnsi="Calibri" w:cs="Calibri"/>
          <w:color w:val="000000" w:themeColor="text1"/>
          <w:sz w:val="14"/>
          <w:szCs w:val="14"/>
        </w:rPr>
        <w:t>4</w:t>
      </w:r>
      <w:r w:rsidRPr="55D022B7">
        <w:rPr>
          <w:rFonts w:ascii="Calibri" w:hAnsi="Calibri" w:cs="Calibri"/>
          <w:color w:val="000000" w:themeColor="text1"/>
          <w:sz w:val="14"/>
          <w:szCs w:val="14"/>
        </w:rPr>
        <w:t>). Salary Table 202</w:t>
      </w:r>
      <w:r w:rsidRPr="55D022B7" w:rsidR="70C3AE7F">
        <w:rPr>
          <w:rFonts w:ascii="Calibri" w:hAnsi="Calibri" w:cs="Calibri"/>
          <w:color w:val="000000" w:themeColor="text1"/>
          <w:sz w:val="14"/>
          <w:szCs w:val="14"/>
        </w:rPr>
        <w:t>4</w:t>
      </w:r>
      <w:r w:rsidRPr="55D022B7">
        <w:rPr>
          <w:rFonts w:ascii="Calibri" w:hAnsi="Calibri" w:cs="Calibri"/>
          <w:color w:val="000000" w:themeColor="text1"/>
          <w:sz w:val="14"/>
          <w:szCs w:val="14"/>
        </w:rPr>
        <w:t xml:space="preserve">-DCB. Retrieved February </w:t>
      </w:r>
      <w:r w:rsidRPr="55D022B7" w:rsidR="24684830">
        <w:rPr>
          <w:rFonts w:ascii="Calibri" w:hAnsi="Calibri" w:cs="Calibri"/>
          <w:color w:val="000000" w:themeColor="text1"/>
          <w:sz w:val="14"/>
          <w:szCs w:val="14"/>
        </w:rPr>
        <w:t>3,</w:t>
      </w:r>
      <w:r w:rsidRPr="55D022B7">
        <w:rPr>
          <w:rFonts w:ascii="Calibri" w:hAnsi="Calibri" w:cs="Calibri"/>
          <w:color w:val="000000" w:themeColor="text1"/>
          <w:sz w:val="14"/>
          <w:szCs w:val="14"/>
        </w:rPr>
        <w:t xml:space="preserve"> 202</w:t>
      </w:r>
      <w:r w:rsidRPr="55D022B7" w:rsidR="22E91FAA">
        <w:rPr>
          <w:rFonts w:ascii="Calibri" w:hAnsi="Calibri" w:cs="Calibri"/>
          <w:color w:val="000000" w:themeColor="text1"/>
          <w:sz w:val="14"/>
          <w:szCs w:val="14"/>
        </w:rPr>
        <w:t>5</w:t>
      </w:r>
      <w:r w:rsidRPr="55D022B7">
        <w:rPr>
          <w:rFonts w:ascii="Calibri" w:hAnsi="Calibri" w:cs="Calibri"/>
          <w:color w:val="000000" w:themeColor="text1"/>
          <w:sz w:val="14"/>
          <w:szCs w:val="14"/>
        </w:rPr>
        <w:t xml:space="preserve"> from Pay &amp; Leave: Salaries &amp; Wages: </w:t>
      </w:r>
      <w:hyperlink r:id="rId20" w:history="1">
        <w:r w:rsidRPr="17F9EFDC">
          <w:rPr>
            <w:rStyle w:val="Hyperlink"/>
            <w:rFonts w:ascii="Calibri" w:hAnsi="Calibri" w:cs="Calibri"/>
            <w:sz w:val="14"/>
            <w:szCs w:val="14"/>
          </w:rPr>
          <w:t>https://www.opm.gov/policy-data-oversight/pay-leave/salaries-wages/salary-tables/</w:t>
        </w:r>
      </w:hyperlink>
      <w:r w:rsidRPr="17F9EFDC" w:rsidR="089B78D6">
        <w:rPr>
          <w:rFonts w:ascii="Calibri" w:hAnsi="Calibri" w:cs="Calibri"/>
          <w:color w:val="000000" w:themeColor="text1"/>
          <w:sz w:val="14"/>
          <w:szCs w:val="14"/>
        </w:rPr>
        <w:t>pdf/2024/</w:t>
      </w:r>
      <w:r w:rsidRPr="17F9EFDC">
        <w:rPr>
          <w:rFonts w:ascii="Calibri" w:hAnsi="Calibri" w:cs="Calibri"/>
          <w:color w:val="000000" w:themeColor="text1"/>
          <w:sz w:val="14"/>
          <w:szCs w:val="14"/>
        </w:rPr>
        <w:t>/DCB_h.</w:t>
      </w:r>
      <w:r w:rsidRPr="17F9EFDC" w:rsidR="66687623">
        <w:rPr>
          <w:rFonts w:ascii="Calibri" w:hAnsi="Calibri" w:cs="Calibri"/>
          <w:color w:val="000000" w:themeColor="text1"/>
          <w:sz w:val="14"/>
          <w:szCs w:val="14"/>
        </w:rPr>
        <w:t>pdf</w:t>
      </w:r>
      <w:r w:rsidRPr="17F9EFDC">
        <w:rPr>
          <w:rFonts w:ascii="Calibri" w:hAnsi="Calibri" w:cs="Calibri"/>
          <w:color w:val="000000" w:themeColor="text1"/>
          <w:sz w:val="14"/>
          <w:szCs w:val="14"/>
        </w:rPr>
        <w:t>.</w:t>
      </w:r>
    </w:p>
    <w:p w:rsidR="00B2051D" w:rsidRPr="00E35954" w:rsidP="00B2051D" w14:paraId="16325859" w14:textId="02DC4B12">
      <w:pPr>
        <w:pStyle w:val="BodyTextFirstIndent"/>
        <w:spacing w:after="0"/>
        <w:ind w:firstLine="0"/>
        <w:rPr>
          <w:rStyle w:val="Hyperlink"/>
          <w:rFonts w:ascii="Calibri" w:hAnsi="Calibri" w:cs="Calibri"/>
          <w:sz w:val="14"/>
          <w:szCs w:val="14"/>
        </w:rPr>
      </w:pPr>
      <w:r w:rsidRPr="00E35954">
        <w:rPr>
          <w:rFonts w:ascii="Calibri" w:hAnsi="Calibri" w:cs="Calibri"/>
          <w:color w:val="000000"/>
          <w:sz w:val="14"/>
          <w:szCs w:val="14"/>
        </w:rPr>
        <w:t xml:space="preserve">b Source: Falk, J. 2012. “Comparing Benefits and Total Compensation in the Federal Government and the Private Sector.” Congressional Budget Office Working Paper Series. </w:t>
      </w:r>
      <w:hyperlink r:id="rId21" w:history="1">
        <w:r w:rsidRPr="00E35954">
          <w:rPr>
            <w:rStyle w:val="Hyperlink"/>
            <w:rFonts w:ascii="Calibri" w:hAnsi="Calibri" w:cs="Calibri"/>
            <w:sz w:val="14"/>
            <w:szCs w:val="14"/>
          </w:rPr>
          <w:t>https://www.cbo.gov/sites/default/files/112th-congress-2011-2012/workingpaper/2012-04fedbenefitswp0.pdf</w:t>
        </w:r>
      </w:hyperlink>
    </w:p>
    <w:p w:rsidR="00B2051D" w:rsidRPr="00E35954" w:rsidP="00B2051D" w14:paraId="46A243E2" w14:textId="77777777">
      <w:pPr>
        <w:spacing w:after="0" w:line="240" w:lineRule="auto"/>
        <w:rPr>
          <w:rFonts w:ascii="Calibri" w:eastAsia="Times New Roman" w:hAnsi="Calibri" w:cs="Calibri"/>
          <w:color w:val="000000"/>
          <w:sz w:val="14"/>
          <w:szCs w:val="14"/>
        </w:rPr>
      </w:pPr>
      <w:r w:rsidRPr="00E35954">
        <w:rPr>
          <w:rFonts w:ascii="Calibri" w:eastAsia="Times New Roman" w:hAnsi="Calibri" w:cs="Calibri"/>
          <w:color w:val="000000"/>
          <w:sz w:val="14"/>
          <w:szCs w:val="14"/>
          <w:vertAlign w:val="superscript"/>
        </w:rPr>
        <w:t>c</w:t>
      </w:r>
      <w:r w:rsidRPr="00E35954">
        <w:rPr>
          <w:rFonts w:ascii="Calibri" w:eastAsia="Times New Roman" w:hAnsi="Calibri" w:cs="Calibri"/>
          <w:color w:val="000000"/>
          <w:sz w:val="14"/>
          <w:szCs w:val="14"/>
        </w:rPr>
        <w:t xml:space="preserve"> An overhead rate of 20% is used based on assumptions in Handbook on Valuing Changes in Time Use Induced by Regulatory Requirements and Other U.S. EPA Actions (EPA 2020).</w:t>
      </w:r>
    </w:p>
    <w:p w:rsidR="00B2051D" w:rsidP="007E2E3C" w14:paraId="062C00A6" w14:textId="77777777">
      <w:pPr>
        <w:pStyle w:val="BodyTextFirstIndent"/>
        <w:ind w:firstLine="0"/>
        <w:rPr>
          <w:rFonts w:ascii="Calibri" w:hAnsi="Calibri" w:cs="Calibri"/>
        </w:rPr>
      </w:pPr>
    </w:p>
    <w:p w:rsidR="006100DD" w:rsidRPr="00286AE5" w:rsidP="00286AE5" w14:paraId="548046BF" w14:textId="56C84328">
      <w:pPr>
        <w:pStyle w:val="Heading3"/>
        <w:rPr>
          <w:rFonts w:ascii="Calibri" w:hAnsi="Calibri" w:cs="Calibri"/>
          <w:szCs w:val="24"/>
        </w:rPr>
      </w:pPr>
      <w:r w:rsidRPr="00286AE5">
        <w:rPr>
          <w:rFonts w:ascii="Calibri" w:hAnsi="Calibri" w:cs="Calibri"/>
        </w:rPr>
        <w:t>TSCA Section 8(a) Preliminary Assessment Information Rule (PAIR)</w:t>
      </w:r>
    </w:p>
    <w:p w:rsidR="007E2E3C" w:rsidRPr="00AC08D1" w:rsidP="007E2E3C" w14:paraId="534FF14D" w14:textId="53407E8F">
      <w:pPr>
        <w:rPr>
          <w:rFonts w:ascii="Calibri" w:hAnsi="Calibri" w:cs="Calibri"/>
        </w:rPr>
      </w:pPr>
      <w:r w:rsidRPr="00AC08D1">
        <w:rPr>
          <w:rFonts w:ascii="Calibri" w:hAnsi="Calibri" w:cs="Calibri"/>
        </w:rPr>
        <w:t>Although it will be unlikely that the EPA will issue a PAIR rule in this renewal cycle because EPA will most likely use other rulemakings such as the Chemical Data Reporting (CDR) rule to collect similar data, the following describes the EPA’s burden if such an event were to occur. The activities routinely conducted by EPA related to the rule development, processing, analysis and storage of the information collected under a PAIR rule (40 CFR part 712) and subpart B of 40 CFR 766 are as follows:</w:t>
      </w:r>
    </w:p>
    <w:p w:rsidR="007E2E3C" w:rsidRPr="00AC08D1" w:rsidP="0036096F" w14:paraId="410768B8" w14:textId="77777777">
      <w:pPr>
        <w:pStyle w:val="ListParagraph"/>
        <w:numPr>
          <w:ilvl w:val="0"/>
          <w:numId w:val="12"/>
        </w:numPr>
        <w:autoSpaceDE w:val="0"/>
        <w:autoSpaceDN w:val="0"/>
        <w:adjustRightInd w:val="0"/>
        <w:spacing w:after="200" w:line="276" w:lineRule="auto"/>
        <w:rPr>
          <w:rFonts w:ascii="Calibri" w:hAnsi="Calibri" w:cs="Calibri"/>
          <w:szCs w:val="24"/>
        </w:rPr>
      </w:pPr>
      <w:r w:rsidRPr="00AC08D1">
        <w:rPr>
          <w:rFonts w:ascii="Calibri" w:hAnsi="Calibri" w:cs="Calibri"/>
          <w:szCs w:val="24"/>
        </w:rPr>
        <w:t>Chemical nomination, review and selection;</w:t>
      </w:r>
    </w:p>
    <w:p w:rsidR="007E2E3C" w:rsidRPr="00AC08D1" w:rsidP="0036096F" w14:paraId="54493F06" w14:textId="77777777">
      <w:pPr>
        <w:pStyle w:val="ListParagraph"/>
        <w:numPr>
          <w:ilvl w:val="0"/>
          <w:numId w:val="12"/>
        </w:numPr>
        <w:autoSpaceDE w:val="0"/>
        <w:autoSpaceDN w:val="0"/>
        <w:adjustRightInd w:val="0"/>
        <w:spacing w:after="200" w:line="276" w:lineRule="auto"/>
        <w:rPr>
          <w:rFonts w:ascii="Calibri" w:hAnsi="Calibri" w:cs="Calibri"/>
          <w:szCs w:val="24"/>
        </w:rPr>
      </w:pPr>
      <w:r w:rsidRPr="00AC08D1">
        <w:rPr>
          <w:rFonts w:ascii="Calibri" w:hAnsi="Calibri" w:cs="Calibri"/>
          <w:szCs w:val="24"/>
        </w:rPr>
        <w:t>Rule development;</w:t>
      </w:r>
    </w:p>
    <w:p w:rsidR="007E2E3C" w:rsidRPr="00AC08D1" w:rsidP="0036096F" w14:paraId="19039D67" w14:textId="77777777">
      <w:pPr>
        <w:pStyle w:val="ListParagraph"/>
        <w:numPr>
          <w:ilvl w:val="0"/>
          <w:numId w:val="12"/>
        </w:numPr>
        <w:autoSpaceDE w:val="0"/>
        <w:autoSpaceDN w:val="0"/>
        <w:adjustRightInd w:val="0"/>
        <w:spacing w:after="200" w:line="276" w:lineRule="auto"/>
        <w:rPr>
          <w:rFonts w:ascii="Calibri" w:hAnsi="Calibri" w:cs="Calibri"/>
          <w:szCs w:val="24"/>
        </w:rPr>
      </w:pPr>
      <w:r w:rsidRPr="00AC08D1">
        <w:rPr>
          <w:rFonts w:ascii="Calibri" w:hAnsi="Calibri" w:cs="Calibri"/>
          <w:szCs w:val="24"/>
        </w:rPr>
        <w:t>Evaluation of the rule (including impact assessments);</w:t>
      </w:r>
    </w:p>
    <w:p w:rsidR="007E2E3C" w:rsidRPr="00AC08D1" w:rsidP="0036096F" w14:paraId="3ABA3230" w14:textId="77777777">
      <w:pPr>
        <w:pStyle w:val="ListParagraph"/>
        <w:numPr>
          <w:ilvl w:val="0"/>
          <w:numId w:val="12"/>
        </w:numPr>
        <w:autoSpaceDE w:val="0"/>
        <w:autoSpaceDN w:val="0"/>
        <w:adjustRightInd w:val="0"/>
        <w:spacing w:after="200" w:line="276" w:lineRule="auto"/>
        <w:rPr>
          <w:rFonts w:ascii="Calibri" w:hAnsi="Calibri" w:cs="Calibri"/>
          <w:szCs w:val="24"/>
        </w:rPr>
      </w:pPr>
      <w:r w:rsidRPr="00AC08D1">
        <w:rPr>
          <w:rFonts w:ascii="Calibri" w:hAnsi="Calibri" w:cs="Calibri"/>
          <w:szCs w:val="24"/>
        </w:rPr>
        <w:t>Industry/public assistance;</w:t>
      </w:r>
    </w:p>
    <w:p w:rsidR="007E2E3C" w:rsidRPr="00AC08D1" w:rsidP="0036096F" w14:paraId="14243701" w14:textId="77777777">
      <w:pPr>
        <w:pStyle w:val="ListParagraph"/>
        <w:numPr>
          <w:ilvl w:val="0"/>
          <w:numId w:val="12"/>
        </w:numPr>
        <w:autoSpaceDE w:val="0"/>
        <w:autoSpaceDN w:val="0"/>
        <w:adjustRightInd w:val="0"/>
        <w:spacing w:after="200" w:line="276" w:lineRule="auto"/>
        <w:rPr>
          <w:rFonts w:ascii="Calibri" w:hAnsi="Calibri" w:cs="Calibri"/>
          <w:szCs w:val="24"/>
        </w:rPr>
      </w:pPr>
      <w:r w:rsidRPr="00AC08D1">
        <w:rPr>
          <w:rFonts w:ascii="Calibri" w:hAnsi="Calibri" w:cs="Calibri"/>
          <w:szCs w:val="24"/>
        </w:rPr>
        <w:t>Compliance monitoring; and</w:t>
      </w:r>
    </w:p>
    <w:p w:rsidR="007E2E3C" w:rsidRPr="00AC08D1" w:rsidP="0036096F" w14:paraId="4C5ED37D" w14:textId="77777777">
      <w:pPr>
        <w:pStyle w:val="ListParagraph"/>
        <w:numPr>
          <w:ilvl w:val="0"/>
          <w:numId w:val="12"/>
        </w:numPr>
        <w:autoSpaceDE w:val="0"/>
        <w:autoSpaceDN w:val="0"/>
        <w:adjustRightInd w:val="0"/>
        <w:spacing w:after="200" w:line="276" w:lineRule="auto"/>
        <w:rPr>
          <w:rFonts w:ascii="Calibri" w:hAnsi="Calibri" w:cs="Calibri"/>
          <w:szCs w:val="24"/>
        </w:rPr>
      </w:pPr>
      <w:r w:rsidRPr="00AC08D1">
        <w:rPr>
          <w:rFonts w:ascii="Calibri" w:hAnsi="Calibri" w:cs="Calibri"/>
          <w:szCs w:val="24"/>
        </w:rPr>
        <w:t>Processing of data received for listed chemicals (includes receipt, dissemination, evaluation, etc.).</w:t>
      </w:r>
    </w:p>
    <w:p w:rsidR="007E2E3C" w:rsidRPr="00AC08D1" w:rsidP="007E2E3C" w14:paraId="6CE4501A" w14:textId="5F912F44">
      <w:pPr>
        <w:pStyle w:val="ListParagraph"/>
        <w:autoSpaceDE w:val="0"/>
        <w:autoSpaceDN w:val="0"/>
        <w:adjustRightInd w:val="0"/>
        <w:ind w:left="0"/>
        <w:rPr>
          <w:rFonts w:ascii="Calibri" w:hAnsi="Calibri" w:cs="Calibri"/>
        </w:rPr>
      </w:pPr>
    </w:p>
    <w:p w:rsidR="007E2E3C" w:rsidRPr="00AC08D1" w:rsidP="007E2E3C" w14:paraId="3CE8FEF9" w14:textId="224972D6">
      <w:pPr>
        <w:pStyle w:val="ListParagraph"/>
        <w:autoSpaceDE w:val="0"/>
        <w:autoSpaceDN w:val="0"/>
        <w:adjustRightInd w:val="0"/>
        <w:ind w:left="0"/>
        <w:rPr>
          <w:rFonts w:ascii="Calibri" w:hAnsi="Calibri" w:cs="Calibri"/>
        </w:rPr>
      </w:pPr>
      <w:r w:rsidRPr="5C525A91">
        <w:rPr>
          <w:rFonts w:ascii="Calibri" w:hAnsi="Calibri" w:cs="Calibri"/>
        </w:rPr>
        <w:t xml:space="preserve">This analysis assumes that an annual average of </w:t>
      </w:r>
      <w:r w:rsidRPr="5C525A91" w:rsidR="00AD55ED">
        <w:rPr>
          <w:rFonts w:ascii="Calibri" w:hAnsi="Calibri" w:cs="Calibri"/>
        </w:rPr>
        <w:t>one</w:t>
      </w:r>
      <w:r w:rsidRPr="5C525A91">
        <w:rPr>
          <w:rFonts w:ascii="Calibri" w:hAnsi="Calibri" w:cs="Calibri"/>
        </w:rPr>
        <w:t xml:space="preserve"> report will be submitted over the three-year period of the ICR. Personnel burden and costs associated with industry/public assistance and data processing activities have been adjusted based on that estimate. From the 1989 PAIR ICR update it has been derived that industry/public assistance required approximately 1.5 hours per report or 0.000</w:t>
      </w:r>
      <w:r w:rsidR="00014EB1">
        <w:rPr>
          <w:rFonts w:ascii="Calibri" w:hAnsi="Calibri" w:cs="Calibri"/>
        </w:rPr>
        <w:t>7</w:t>
      </w:r>
      <w:r w:rsidRPr="5C525A91">
        <w:rPr>
          <w:rFonts w:ascii="Calibri" w:hAnsi="Calibri" w:cs="Calibri"/>
        </w:rPr>
        <w:t xml:space="preserve"> FTE. Similarly, the 1989 PAIR ICR update estimated that about 3.75 hours, or 0.00</w:t>
      </w:r>
      <w:r w:rsidRPr="5C525A91" w:rsidR="00EA7B6F">
        <w:rPr>
          <w:rFonts w:ascii="Calibri" w:hAnsi="Calibri" w:cs="Calibri"/>
        </w:rPr>
        <w:t>19</w:t>
      </w:r>
      <w:r w:rsidRPr="5C525A91">
        <w:rPr>
          <w:rFonts w:ascii="Calibri" w:hAnsi="Calibri" w:cs="Calibri"/>
        </w:rPr>
        <w:t xml:space="preserve"> FTE, of data processing/system support personnel time would be required per report.</w:t>
      </w:r>
    </w:p>
    <w:p w:rsidR="007E2E3C" w:rsidRPr="00AC08D1" w:rsidP="007E2E3C" w14:paraId="3026B83A" w14:textId="309127EB">
      <w:pPr>
        <w:pStyle w:val="ListParagraph"/>
        <w:autoSpaceDE w:val="0"/>
        <w:autoSpaceDN w:val="0"/>
        <w:adjustRightInd w:val="0"/>
        <w:ind w:left="0"/>
        <w:rPr>
          <w:rFonts w:ascii="Calibri" w:hAnsi="Calibri" w:cs="Calibri"/>
        </w:rPr>
      </w:pPr>
    </w:p>
    <w:p w:rsidR="003429AF" w:rsidRPr="00301560" w:rsidP="003429AF" w14:paraId="36EEC231" w14:textId="77777777">
      <w:pPr>
        <w:pStyle w:val="ListParagraph"/>
        <w:autoSpaceDE w:val="0"/>
        <w:autoSpaceDN w:val="0"/>
        <w:adjustRightInd w:val="0"/>
        <w:ind w:left="0"/>
        <w:rPr>
          <w:rFonts w:ascii="Calibri" w:hAnsi="Calibri" w:cs="Calibri"/>
        </w:rPr>
      </w:pPr>
      <w:r w:rsidRPr="00301560">
        <w:rPr>
          <w:rFonts w:ascii="Calibri" w:hAnsi="Calibri" w:cs="Calibri"/>
        </w:rPr>
        <w:t>Data processing costs have been updated from 2017 to average 202</w:t>
      </w:r>
      <w:r w:rsidRPr="471BACB0">
        <w:rPr>
          <w:rFonts w:ascii="Calibri" w:hAnsi="Calibri" w:cs="Calibri"/>
        </w:rPr>
        <w:t>4</w:t>
      </w:r>
      <w:r w:rsidRPr="00301560">
        <w:rPr>
          <w:rFonts w:ascii="Calibri" w:hAnsi="Calibri" w:cs="Calibri"/>
        </w:rPr>
        <w:t xml:space="preserve"> dollars using the GDP implicit price deflator</w:t>
      </w:r>
      <w:r w:rsidRPr="471BACB0">
        <w:rPr>
          <w:rFonts w:ascii="Calibri" w:hAnsi="Calibri" w:cs="Calibri"/>
        </w:rPr>
        <w:t xml:space="preserve"> (IPD)</w:t>
      </w:r>
      <w:r w:rsidRPr="00301560">
        <w:rPr>
          <w:rFonts w:ascii="Calibri" w:hAnsi="Calibri" w:cs="Calibri"/>
        </w:rPr>
        <w:t xml:space="preserve"> from the Bureau of Economic Analysis (BEA). The BEA GDP </w:t>
      </w:r>
      <w:r w:rsidRPr="471BACB0">
        <w:rPr>
          <w:rFonts w:ascii="Calibri" w:hAnsi="Calibri" w:cs="Calibri"/>
        </w:rPr>
        <w:t xml:space="preserve">IPD </w:t>
      </w:r>
      <w:r w:rsidRPr="00301560">
        <w:rPr>
          <w:rFonts w:ascii="Calibri" w:hAnsi="Calibri" w:cs="Calibri"/>
        </w:rPr>
        <w:t>series with a base of 201</w:t>
      </w:r>
      <w:r w:rsidRPr="471BACB0">
        <w:rPr>
          <w:rFonts w:ascii="Calibri" w:hAnsi="Calibri" w:cs="Calibri"/>
        </w:rPr>
        <w:t>7</w:t>
      </w:r>
      <w:r w:rsidRPr="00301560">
        <w:rPr>
          <w:rFonts w:ascii="Calibri" w:hAnsi="Calibri" w:cs="Calibri"/>
        </w:rPr>
        <w:t xml:space="preserve"> = 100 has the 202</w:t>
      </w:r>
      <w:r w:rsidRPr="471BACB0">
        <w:rPr>
          <w:rFonts w:ascii="Calibri" w:hAnsi="Calibri" w:cs="Calibri"/>
        </w:rPr>
        <w:t>4</w:t>
      </w:r>
      <w:r w:rsidRPr="00301560">
        <w:rPr>
          <w:rFonts w:ascii="Calibri" w:hAnsi="Calibri" w:cs="Calibri"/>
        </w:rPr>
        <w:t xml:space="preserve"> index at 1</w:t>
      </w:r>
      <w:r w:rsidRPr="471BACB0">
        <w:rPr>
          <w:rFonts w:ascii="Calibri" w:hAnsi="Calibri" w:cs="Calibri"/>
        </w:rPr>
        <w:t>25</w:t>
      </w:r>
      <w:r w:rsidRPr="00301560">
        <w:rPr>
          <w:rFonts w:ascii="Calibri" w:hAnsi="Calibri" w:cs="Calibri"/>
        </w:rPr>
        <w:t>.</w:t>
      </w:r>
      <w:r w:rsidRPr="471BACB0">
        <w:rPr>
          <w:rFonts w:ascii="Calibri" w:hAnsi="Calibri" w:cs="Calibri"/>
        </w:rPr>
        <w:t xml:space="preserve">220 </w:t>
      </w:r>
      <w:r w:rsidRPr="00301560">
        <w:rPr>
          <w:rFonts w:ascii="Calibri" w:hAnsi="Calibri" w:cs="Calibri"/>
        </w:rPr>
        <w:t>so the adjustment factor from 2017 to 202</w:t>
      </w:r>
      <w:r w:rsidRPr="471BACB0">
        <w:rPr>
          <w:rFonts w:ascii="Calibri" w:hAnsi="Calibri" w:cs="Calibri"/>
        </w:rPr>
        <w:t>4</w:t>
      </w:r>
      <w:r w:rsidRPr="00301560">
        <w:rPr>
          <w:rFonts w:ascii="Calibri" w:hAnsi="Calibri" w:cs="Calibri"/>
        </w:rPr>
        <w:t xml:space="preserve"> is 1.</w:t>
      </w:r>
      <w:r w:rsidRPr="471BACB0">
        <w:rPr>
          <w:rFonts w:ascii="Calibri" w:hAnsi="Calibri" w:cs="Calibri"/>
        </w:rPr>
        <w:t>2522</w:t>
      </w:r>
      <w:r w:rsidRPr="00301560">
        <w:rPr>
          <w:rFonts w:ascii="Calibri" w:hAnsi="Calibri" w:cs="Calibri"/>
        </w:rPr>
        <w:t xml:space="preserve"> (1</w:t>
      </w:r>
      <w:r w:rsidRPr="471BACB0">
        <w:rPr>
          <w:rFonts w:ascii="Calibri" w:hAnsi="Calibri" w:cs="Calibri"/>
        </w:rPr>
        <w:t>00</w:t>
      </w:r>
      <w:r w:rsidRPr="00301560">
        <w:rPr>
          <w:rFonts w:ascii="Calibri" w:hAnsi="Calibri" w:cs="Calibri"/>
        </w:rPr>
        <w:t>/1</w:t>
      </w:r>
      <w:r w:rsidRPr="471BACB0">
        <w:rPr>
          <w:rFonts w:ascii="Calibri" w:hAnsi="Calibri" w:cs="Calibri"/>
        </w:rPr>
        <w:t>25</w:t>
      </w:r>
      <w:r w:rsidRPr="00301560">
        <w:rPr>
          <w:rFonts w:ascii="Calibri" w:hAnsi="Calibri" w:cs="Calibri"/>
        </w:rPr>
        <w:t>.</w:t>
      </w:r>
      <w:r w:rsidRPr="471BACB0">
        <w:rPr>
          <w:rFonts w:ascii="Calibri" w:hAnsi="Calibri" w:cs="Calibri"/>
        </w:rPr>
        <w:t>220</w:t>
      </w:r>
      <w:r w:rsidRPr="00301560">
        <w:rPr>
          <w:rFonts w:ascii="Calibri" w:hAnsi="Calibri" w:cs="Calibri"/>
        </w:rPr>
        <w:t>= 1.</w:t>
      </w:r>
      <w:r w:rsidRPr="471BACB0">
        <w:rPr>
          <w:rFonts w:ascii="Calibri" w:hAnsi="Calibri" w:cs="Calibri"/>
        </w:rPr>
        <w:t>2522</w:t>
      </w:r>
      <w:r w:rsidRPr="00301560">
        <w:rPr>
          <w:rFonts w:ascii="Calibri" w:hAnsi="Calibri" w:cs="Calibri"/>
        </w:rPr>
        <w:t>). Data processing costs for the 2017 PAIR ICR update were estimated to be approximately $295.01 per report. Adjusting this number to 2021 with the GDP implicit price deflator yields an adjusted data processing cost of $3</w:t>
      </w:r>
      <w:r w:rsidRPr="471BACB0">
        <w:rPr>
          <w:rFonts w:ascii="Calibri" w:hAnsi="Calibri" w:cs="Calibri"/>
        </w:rPr>
        <w:t>69</w:t>
      </w:r>
      <w:r w:rsidRPr="00301560">
        <w:rPr>
          <w:rFonts w:ascii="Calibri" w:hAnsi="Calibri" w:cs="Calibri"/>
        </w:rPr>
        <w:t>.</w:t>
      </w:r>
      <w:r w:rsidRPr="471BACB0">
        <w:rPr>
          <w:rFonts w:ascii="Calibri" w:hAnsi="Calibri" w:cs="Calibri"/>
        </w:rPr>
        <w:t xml:space="preserve">41 </w:t>
      </w:r>
      <w:r w:rsidRPr="00301560">
        <w:rPr>
          <w:rFonts w:ascii="Calibri" w:hAnsi="Calibri" w:cs="Calibri"/>
        </w:rPr>
        <w:t>per report (i.e., $295.01 x 1.</w:t>
      </w:r>
      <w:r w:rsidRPr="471BACB0">
        <w:rPr>
          <w:rFonts w:ascii="Calibri" w:hAnsi="Calibri" w:cs="Calibri"/>
        </w:rPr>
        <w:t>2522</w:t>
      </w:r>
      <w:r w:rsidRPr="00301560">
        <w:rPr>
          <w:rFonts w:ascii="Calibri" w:hAnsi="Calibri" w:cs="Calibri"/>
        </w:rPr>
        <w:t xml:space="preserve"> = $3</w:t>
      </w:r>
      <w:r w:rsidRPr="471BACB0">
        <w:rPr>
          <w:rFonts w:ascii="Calibri" w:hAnsi="Calibri" w:cs="Calibri"/>
        </w:rPr>
        <w:t>69</w:t>
      </w:r>
      <w:r w:rsidRPr="00301560">
        <w:rPr>
          <w:rFonts w:ascii="Calibri" w:hAnsi="Calibri" w:cs="Calibri"/>
        </w:rPr>
        <w:t>.</w:t>
      </w:r>
      <w:r w:rsidRPr="471BACB0">
        <w:rPr>
          <w:rFonts w:ascii="Calibri" w:hAnsi="Calibri" w:cs="Calibri"/>
        </w:rPr>
        <w:t>41</w:t>
      </w:r>
      <w:r w:rsidRPr="00301560">
        <w:rPr>
          <w:rFonts w:ascii="Calibri" w:hAnsi="Calibri" w:cs="Calibri"/>
        </w:rPr>
        <w:t>).</w:t>
      </w:r>
    </w:p>
    <w:p w:rsidR="007E2E3C" w:rsidRPr="00AC08D1" w:rsidP="007E2E3C" w14:paraId="4DAC999F" w14:textId="77777777">
      <w:pPr>
        <w:pStyle w:val="ListParagraph"/>
        <w:autoSpaceDE w:val="0"/>
        <w:autoSpaceDN w:val="0"/>
        <w:adjustRightInd w:val="0"/>
        <w:ind w:left="0"/>
        <w:rPr>
          <w:rFonts w:ascii="Calibri" w:hAnsi="Calibri" w:cs="Calibri"/>
          <w:szCs w:val="24"/>
        </w:rPr>
      </w:pPr>
    </w:p>
    <w:p w:rsidR="000D10B5" w:rsidP="003429AF" w14:paraId="325BCAC6" w14:textId="718A8045">
      <w:pPr>
        <w:pStyle w:val="ListParagraph"/>
        <w:autoSpaceDE w:val="0"/>
        <w:autoSpaceDN w:val="0"/>
        <w:adjustRightInd w:val="0"/>
        <w:spacing w:after="0"/>
        <w:ind w:left="0"/>
        <w:rPr>
          <w:rFonts w:ascii="Calibri" w:hAnsi="Calibri" w:cs="Calibri"/>
          <w:szCs w:val="24"/>
        </w:rPr>
      </w:pPr>
      <w:r w:rsidRPr="00AC08D1">
        <w:rPr>
          <w:rFonts w:ascii="Calibri" w:hAnsi="Calibri" w:cs="Calibri"/>
          <w:szCs w:val="24"/>
        </w:rPr>
        <w:t xml:space="preserve">Table </w:t>
      </w:r>
      <w:r w:rsidR="009200C4">
        <w:rPr>
          <w:rFonts w:ascii="Calibri" w:hAnsi="Calibri" w:cs="Calibri"/>
          <w:szCs w:val="24"/>
        </w:rPr>
        <w:t>2</w:t>
      </w:r>
      <w:r w:rsidR="00286AE5">
        <w:rPr>
          <w:rFonts w:ascii="Calibri" w:hAnsi="Calibri" w:cs="Calibri"/>
          <w:szCs w:val="24"/>
        </w:rPr>
        <w:t>2</w:t>
      </w:r>
      <w:r w:rsidRPr="000B1354" w:rsidR="009200C4">
        <w:rPr>
          <w:rFonts w:ascii="Calibri" w:hAnsi="Calibri" w:cs="Calibri"/>
          <w:szCs w:val="24"/>
        </w:rPr>
        <w:t xml:space="preserve"> </w:t>
      </w:r>
      <w:r w:rsidRPr="000B1354">
        <w:rPr>
          <w:rFonts w:ascii="Calibri" w:hAnsi="Calibri" w:cs="Calibri"/>
          <w:szCs w:val="24"/>
        </w:rPr>
        <w:t>summarizes the government’s activities in developing and administrating the PAIR and subpart B of 40 CFR 766. The required FTEs per activity are retained from the 1996 PAIR ICR update and from the previous 8(a) PAIR ICR renewal analyses for all activities except for the recalculation of the burden associated with industry/public assistance and data processing/system support personnel time. Costs are calculated assuming agency staff at GS 12 Step 1 would perform these activities</w:t>
      </w:r>
      <w:r w:rsidR="005D6967">
        <w:rPr>
          <w:rFonts w:ascii="Calibri" w:hAnsi="Calibri" w:cs="Calibri"/>
          <w:szCs w:val="24"/>
        </w:rPr>
        <w:t>.</w:t>
      </w:r>
      <w:r w:rsidRPr="000B1354">
        <w:rPr>
          <w:rFonts w:ascii="Calibri" w:hAnsi="Calibri" w:cs="Calibri"/>
          <w:szCs w:val="24"/>
        </w:rPr>
        <w:t xml:space="preserve"> </w:t>
      </w:r>
      <w:r w:rsidR="005D6967">
        <w:rPr>
          <w:rFonts w:ascii="Calibri" w:hAnsi="Calibri" w:cs="Calibri"/>
          <w:szCs w:val="24"/>
        </w:rPr>
        <w:t>T</w:t>
      </w:r>
      <w:r w:rsidRPr="000B1354">
        <w:rPr>
          <w:rFonts w:ascii="Calibri" w:hAnsi="Calibri" w:cs="Calibri"/>
          <w:szCs w:val="24"/>
        </w:rPr>
        <w:t xml:space="preserve">he loaded wage rate is in </w:t>
      </w:r>
      <w:r w:rsidRPr="003429AF" w:rsidR="009200C4">
        <w:rPr>
          <w:rFonts w:ascii="Calibri" w:hAnsi="Calibri" w:cs="Calibri"/>
          <w:szCs w:val="24"/>
        </w:rPr>
        <w:fldChar w:fldCharType="begin"/>
      </w:r>
      <w:r w:rsidRPr="003429AF" w:rsidR="009200C4">
        <w:rPr>
          <w:rFonts w:ascii="Calibri" w:hAnsi="Calibri" w:cs="Calibri"/>
          <w:szCs w:val="24"/>
        </w:rPr>
        <w:instrText xml:space="preserve"> REF _Ref94265890 \h </w:instrText>
      </w:r>
      <w:r w:rsidR="009200C4">
        <w:rPr>
          <w:rFonts w:ascii="Calibri" w:hAnsi="Calibri" w:cs="Calibri"/>
          <w:szCs w:val="24"/>
        </w:rPr>
        <w:instrText xml:space="preserve"> \* MERGEFORMAT </w:instrText>
      </w:r>
      <w:r w:rsidRPr="003429AF" w:rsidR="009200C4">
        <w:rPr>
          <w:rFonts w:ascii="Calibri" w:hAnsi="Calibri" w:cs="Calibri"/>
          <w:szCs w:val="24"/>
        </w:rPr>
        <w:fldChar w:fldCharType="separate"/>
      </w:r>
      <w:r w:rsidRPr="003429AF" w:rsidR="009200C4">
        <w:rPr>
          <w:rFonts w:ascii="Calibri" w:hAnsi="Calibri" w:cs="Calibri"/>
        </w:rPr>
        <w:t xml:space="preserve">Table </w:t>
      </w:r>
      <w:r w:rsidR="009200C4">
        <w:rPr>
          <w:rFonts w:ascii="Calibri" w:hAnsi="Calibri" w:cs="Calibri"/>
          <w:noProof/>
        </w:rPr>
        <w:t>20</w:t>
      </w:r>
      <w:r w:rsidRPr="003429AF" w:rsidR="009200C4">
        <w:rPr>
          <w:rFonts w:ascii="Calibri" w:hAnsi="Calibri" w:cs="Calibri"/>
          <w:szCs w:val="24"/>
        </w:rPr>
        <w:fldChar w:fldCharType="end"/>
      </w:r>
      <w:r w:rsidRPr="003429AF">
        <w:rPr>
          <w:rFonts w:ascii="Calibri" w:hAnsi="Calibri" w:cs="Calibri"/>
          <w:szCs w:val="24"/>
        </w:rPr>
        <w:t>.</w:t>
      </w:r>
      <w:bookmarkStart w:id="38" w:name="_Ref95922119"/>
    </w:p>
    <w:p w:rsidR="00C17A81" w:rsidP="003429AF" w14:paraId="5AF6077F" w14:textId="77777777">
      <w:pPr>
        <w:pStyle w:val="Caption"/>
        <w:spacing w:before="0"/>
        <w:outlineLvl w:val="9"/>
        <w:rPr>
          <w:rFonts w:ascii="Calibri" w:hAnsi="Calibri" w:cs="Calibri"/>
        </w:rPr>
      </w:pPr>
    </w:p>
    <w:p w:rsidR="007E2E3C" w:rsidRPr="003429AF" w:rsidP="003429AF" w14:paraId="7B6CAACB" w14:textId="3094E3DB">
      <w:pPr>
        <w:pStyle w:val="Caption"/>
        <w:spacing w:before="0"/>
        <w:outlineLvl w:val="9"/>
        <w:rPr>
          <w:rFonts w:ascii="Calibri" w:hAnsi="Calibri" w:cs="Calibri"/>
          <w:szCs w:val="24"/>
        </w:rPr>
      </w:pPr>
      <w:r w:rsidRPr="003429AF">
        <w:rPr>
          <w:rFonts w:ascii="Calibri" w:hAnsi="Calibri" w:cs="Calibri"/>
        </w:rPr>
        <w:t xml:space="preserve">Table </w:t>
      </w:r>
      <w:bookmarkEnd w:id="38"/>
      <w:r w:rsidRPr="003429AF" w:rsidR="009200C4">
        <w:rPr>
          <w:rFonts w:ascii="Calibri" w:hAnsi="Calibri" w:cs="Calibri"/>
        </w:rPr>
        <w:t>2</w:t>
      </w:r>
      <w:r w:rsidR="00286AE5">
        <w:rPr>
          <w:rFonts w:ascii="Calibri" w:hAnsi="Calibri" w:cs="Calibri"/>
        </w:rPr>
        <w:t>2</w:t>
      </w:r>
      <w:r w:rsidRPr="003429AF">
        <w:rPr>
          <w:rFonts w:ascii="Calibri" w:hAnsi="Calibri" w:cs="Calibri"/>
        </w:rPr>
        <w:t>. Agency Burden Summary for TSCA Section 8(a) PAIR (202</w:t>
      </w:r>
      <w:r w:rsidR="00E35954">
        <w:rPr>
          <w:rFonts w:ascii="Calibri" w:hAnsi="Calibri" w:cs="Calibri"/>
        </w:rPr>
        <w:t>4</w:t>
      </w:r>
      <w:r w:rsidRPr="003429AF">
        <w:rPr>
          <w:rFonts w:ascii="Calibri" w:hAnsi="Calibri" w:cs="Calibri"/>
        </w:rPr>
        <w:t>$)</w:t>
      </w:r>
    </w:p>
    <w:tbl>
      <w:tblPr>
        <w:tblW w:w="7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0"/>
        <w:gridCol w:w="1900"/>
        <w:gridCol w:w="1580"/>
      </w:tblGrid>
      <w:tr w14:paraId="4F87839B" w14:textId="77777777" w:rsidTr="2D725C34">
        <w:tblPrEx>
          <w:tblW w:w="7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4080" w:type="dxa"/>
            <w:shd w:val="clear" w:color="auto" w:fill="D9D9D9" w:themeFill="accent6" w:themeFillShade="D9"/>
            <w:vAlign w:val="center"/>
            <w:hideMark/>
          </w:tcPr>
          <w:p w:rsidR="007E2E3C" w:rsidRPr="003429AF" w14:paraId="12E12243"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Activity</w:t>
            </w:r>
          </w:p>
        </w:tc>
        <w:tc>
          <w:tcPr>
            <w:tcW w:w="1900" w:type="dxa"/>
            <w:shd w:val="clear" w:color="auto" w:fill="D9D9D9" w:themeFill="accent6" w:themeFillShade="D9"/>
            <w:vAlign w:val="center"/>
            <w:hideMark/>
          </w:tcPr>
          <w:p w:rsidR="007E2E3C" w:rsidRPr="003429AF" w14:paraId="61EC2932"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Annual Burden</w:t>
            </w:r>
          </w:p>
        </w:tc>
        <w:tc>
          <w:tcPr>
            <w:tcW w:w="1580" w:type="dxa"/>
            <w:shd w:val="clear" w:color="auto" w:fill="D9D9D9" w:themeFill="accent6" w:themeFillShade="D9"/>
            <w:vAlign w:val="center"/>
            <w:hideMark/>
          </w:tcPr>
          <w:p w:rsidR="007E2E3C" w:rsidRPr="003429AF" w14:paraId="3BF56098"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Annual Cost</w:t>
            </w:r>
          </w:p>
        </w:tc>
      </w:tr>
      <w:tr w14:paraId="059E4F7E"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1CD0A9BA" w14:textId="7E097E5A">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Chemical nomination, review, and selection</w:t>
            </w:r>
          </w:p>
        </w:tc>
        <w:tc>
          <w:tcPr>
            <w:tcW w:w="1900" w:type="dxa"/>
            <w:shd w:val="clear" w:color="auto" w:fill="auto"/>
            <w:vAlign w:val="center"/>
            <w:hideMark/>
          </w:tcPr>
          <w:p w:rsidR="003429AF" w:rsidRPr="003429AF" w:rsidP="003429AF" w14:paraId="0C0C04F0" w14:textId="3376D877">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0.25</w:t>
            </w:r>
          </w:p>
        </w:tc>
        <w:tc>
          <w:tcPr>
            <w:tcW w:w="1580" w:type="dxa"/>
            <w:vMerge w:val="restart"/>
            <w:shd w:val="clear" w:color="auto" w:fill="auto"/>
            <w:vAlign w:val="center"/>
            <w:hideMark/>
          </w:tcPr>
          <w:p w:rsidR="003429AF" w:rsidRPr="003429AF" w:rsidP="003429AF" w14:paraId="44261FCA" w14:textId="5F4A1B85">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 xml:space="preserve">$253,300 </w:t>
            </w:r>
          </w:p>
        </w:tc>
      </w:tr>
      <w:tr w14:paraId="32B51BFC"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255C56B6" w14:textId="6484F077">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Rule development</w:t>
            </w:r>
          </w:p>
        </w:tc>
        <w:tc>
          <w:tcPr>
            <w:tcW w:w="1900" w:type="dxa"/>
            <w:shd w:val="clear" w:color="auto" w:fill="auto"/>
            <w:vAlign w:val="center"/>
            <w:hideMark/>
          </w:tcPr>
          <w:p w:rsidR="003429AF" w:rsidRPr="003429AF" w:rsidP="003429AF" w14:paraId="627757F6" w14:textId="57808A71">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0.9</w:t>
            </w:r>
          </w:p>
        </w:tc>
        <w:tc>
          <w:tcPr>
            <w:tcW w:w="1580" w:type="dxa"/>
            <w:vMerge/>
            <w:vAlign w:val="center"/>
            <w:hideMark/>
          </w:tcPr>
          <w:p w:rsidR="003429AF" w:rsidRPr="003429AF" w:rsidP="003429AF" w14:paraId="17765C06" w14:textId="77777777">
            <w:pPr>
              <w:spacing w:after="0" w:line="240" w:lineRule="auto"/>
              <w:rPr>
                <w:rFonts w:ascii="Calibri" w:eastAsia="Times New Roman" w:hAnsi="Calibri" w:cs="Calibri"/>
                <w:color w:val="000000"/>
                <w:szCs w:val="24"/>
              </w:rPr>
            </w:pPr>
          </w:p>
        </w:tc>
      </w:tr>
      <w:tr w14:paraId="5B9F38D0"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68FF6929" w14:textId="10317003">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Evaluation of rule</w:t>
            </w:r>
          </w:p>
        </w:tc>
        <w:tc>
          <w:tcPr>
            <w:tcW w:w="1900" w:type="dxa"/>
            <w:shd w:val="clear" w:color="auto" w:fill="auto"/>
            <w:vAlign w:val="center"/>
            <w:hideMark/>
          </w:tcPr>
          <w:p w:rsidR="003429AF" w:rsidRPr="003429AF" w:rsidP="003429AF" w14:paraId="29724933" w14:textId="6A08AF25">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0.05</w:t>
            </w:r>
          </w:p>
        </w:tc>
        <w:tc>
          <w:tcPr>
            <w:tcW w:w="1580" w:type="dxa"/>
            <w:vMerge/>
            <w:vAlign w:val="center"/>
            <w:hideMark/>
          </w:tcPr>
          <w:p w:rsidR="003429AF" w:rsidRPr="003429AF" w:rsidP="003429AF" w14:paraId="206EF44F" w14:textId="77777777">
            <w:pPr>
              <w:spacing w:after="0" w:line="240" w:lineRule="auto"/>
              <w:rPr>
                <w:rFonts w:ascii="Calibri" w:eastAsia="Times New Roman" w:hAnsi="Calibri" w:cs="Calibri"/>
                <w:color w:val="000000"/>
                <w:szCs w:val="24"/>
              </w:rPr>
            </w:pPr>
          </w:p>
        </w:tc>
      </w:tr>
      <w:tr w14:paraId="3A3492D6"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065373A9" w14:textId="5B9DD55D">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Industry/public assistance</w:t>
            </w:r>
          </w:p>
        </w:tc>
        <w:tc>
          <w:tcPr>
            <w:tcW w:w="1900" w:type="dxa"/>
            <w:shd w:val="clear" w:color="auto" w:fill="auto"/>
            <w:vAlign w:val="center"/>
            <w:hideMark/>
          </w:tcPr>
          <w:p w:rsidR="003429AF" w:rsidRPr="003429AF" w:rsidP="003429AF" w14:paraId="4A88C3AE" w14:textId="2A325DBD">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0.0007</w:t>
            </w:r>
          </w:p>
        </w:tc>
        <w:tc>
          <w:tcPr>
            <w:tcW w:w="1580" w:type="dxa"/>
            <w:vMerge/>
            <w:vAlign w:val="center"/>
            <w:hideMark/>
          </w:tcPr>
          <w:p w:rsidR="003429AF" w:rsidRPr="003429AF" w:rsidP="003429AF" w14:paraId="7BC7C745" w14:textId="77777777">
            <w:pPr>
              <w:spacing w:after="0" w:line="240" w:lineRule="auto"/>
              <w:rPr>
                <w:rFonts w:ascii="Calibri" w:eastAsia="Times New Roman" w:hAnsi="Calibri" w:cs="Calibri"/>
                <w:color w:val="000000"/>
                <w:szCs w:val="24"/>
              </w:rPr>
            </w:pPr>
          </w:p>
        </w:tc>
      </w:tr>
      <w:tr w14:paraId="63958E38"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0DF1DD75" w14:textId="15B2275B">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Compliance monitoring</w:t>
            </w:r>
          </w:p>
        </w:tc>
        <w:tc>
          <w:tcPr>
            <w:tcW w:w="1900" w:type="dxa"/>
            <w:shd w:val="clear" w:color="auto" w:fill="auto"/>
            <w:vAlign w:val="center"/>
            <w:hideMark/>
          </w:tcPr>
          <w:p w:rsidR="003429AF" w:rsidRPr="003429AF" w:rsidP="003429AF" w14:paraId="12C99072" w14:textId="246B0BE9">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0.1</w:t>
            </w:r>
          </w:p>
        </w:tc>
        <w:tc>
          <w:tcPr>
            <w:tcW w:w="1580" w:type="dxa"/>
            <w:vMerge/>
            <w:vAlign w:val="center"/>
            <w:hideMark/>
          </w:tcPr>
          <w:p w:rsidR="003429AF" w:rsidRPr="003429AF" w:rsidP="003429AF" w14:paraId="59B72F11" w14:textId="77777777">
            <w:pPr>
              <w:spacing w:after="0" w:line="240" w:lineRule="auto"/>
              <w:rPr>
                <w:rFonts w:ascii="Calibri" w:eastAsia="Times New Roman" w:hAnsi="Calibri" w:cs="Calibri"/>
                <w:color w:val="000000"/>
                <w:szCs w:val="24"/>
              </w:rPr>
            </w:pPr>
          </w:p>
        </w:tc>
      </w:tr>
      <w:tr w14:paraId="675ACC63"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7B7DDB86" w14:textId="6E6BB2FD">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Data processing and system support personnel</w:t>
            </w:r>
          </w:p>
        </w:tc>
        <w:tc>
          <w:tcPr>
            <w:tcW w:w="1900" w:type="dxa"/>
            <w:shd w:val="clear" w:color="auto" w:fill="auto"/>
            <w:vAlign w:val="center"/>
            <w:hideMark/>
          </w:tcPr>
          <w:p w:rsidR="003429AF" w:rsidRPr="003429AF" w:rsidP="003429AF" w14:paraId="265B9413" w14:textId="41822E90">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0.002</w:t>
            </w:r>
          </w:p>
        </w:tc>
        <w:tc>
          <w:tcPr>
            <w:tcW w:w="1580" w:type="dxa"/>
            <w:vMerge/>
            <w:vAlign w:val="center"/>
            <w:hideMark/>
          </w:tcPr>
          <w:p w:rsidR="003429AF" w:rsidRPr="003429AF" w:rsidP="003429AF" w14:paraId="224C6210" w14:textId="77777777">
            <w:pPr>
              <w:spacing w:after="0" w:line="240" w:lineRule="auto"/>
              <w:rPr>
                <w:rFonts w:ascii="Calibri" w:eastAsia="Times New Roman" w:hAnsi="Calibri" w:cs="Calibri"/>
                <w:color w:val="000000"/>
                <w:szCs w:val="24"/>
              </w:rPr>
            </w:pPr>
          </w:p>
        </w:tc>
      </w:tr>
      <w:tr w14:paraId="2A3D48CD"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215FE43C" w14:textId="62DB39E9">
            <w:pPr>
              <w:spacing w:after="0" w:line="240" w:lineRule="auto"/>
              <w:rPr>
                <w:rFonts w:ascii="Calibri" w:eastAsia="Times New Roman" w:hAnsi="Calibri" w:cs="Calibri"/>
                <w:color w:val="000000"/>
                <w:sz w:val="20"/>
                <w:szCs w:val="20"/>
              </w:rPr>
            </w:pPr>
            <w:r w:rsidRPr="2D725C34">
              <w:rPr>
                <w:rFonts w:ascii="Calibri" w:hAnsi="Calibri" w:cs="Calibri"/>
                <w:color w:val="000000" w:themeColor="text1"/>
                <w:sz w:val="20"/>
                <w:szCs w:val="20"/>
              </w:rPr>
              <w:t>Government data processing cost</w:t>
            </w:r>
          </w:p>
        </w:tc>
        <w:tc>
          <w:tcPr>
            <w:tcW w:w="1900" w:type="dxa"/>
            <w:shd w:val="clear" w:color="auto" w:fill="auto"/>
            <w:vAlign w:val="center"/>
            <w:hideMark/>
          </w:tcPr>
          <w:p w:rsidR="003429AF" w:rsidRPr="003429AF" w:rsidP="003429AF" w14:paraId="76C38558" w14:textId="4CB1A0FF">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N/A</w:t>
            </w:r>
          </w:p>
        </w:tc>
        <w:tc>
          <w:tcPr>
            <w:tcW w:w="1580" w:type="dxa"/>
            <w:shd w:val="clear" w:color="auto" w:fill="auto"/>
            <w:vAlign w:val="center"/>
            <w:hideMark/>
          </w:tcPr>
          <w:p w:rsidR="003429AF" w:rsidRPr="003429AF" w:rsidP="003429AF" w14:paraId="45DF7FF9" w14:textId="6D9C0ABE">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 xml:space="preserve">$369.41 </w:t>
            </w:r>
          </w:p>
        </w:tc>
      </w:tr>
      <w:tr w14:paraId="2847839B" w14:textId="77777777" w:rsidTr="2D725C34">
        <w:tblPrEx>
          <w:tblW w:w="7560" w:type="dxa"/>
          <w:tblInd w:w="5" w:type="dxa"/>
          <w:tblLook w:val="04A0"/>
        </w:tblPrEx>
        <w:trPr>
          <w:trHeight w:val="300"/>
        </w:trPr>
        <w:tc>
          <w:tcPr>
            <w:tcW w:w="4080" w:type="dxa"/>
            <w:shd w:val="clear" w:color="auto" w:fill="auto"/>
            <w:vAlign w:val="center"/>
            <w:hideMark/>
          </w:tcPr>
          <w:p w:rsidR="003429AF" w:rsidRPr="003429AF" w:rsidP="003429AF" w14:paraId="0C1EB60B" w14:textId="4D40F8C5">
            <w:pPr>
              <w:spacing w:after="0" w:line="240" w:lineRule="auto"/>
              <w:rPr>
                <w:rFonts w:ascii="Calibri" w:eastAsia="Times New Roman" w:hAnsi="Calibri" w:cs="Calibri"/>
                <w:b/>
                <w:color w:val="000000"/>
                <w:sz w:val="20"/>
                <w:szCs w:val="20"/>
              </w:rPr>
            </w:pPr>
            <w:r w:rsidRPr="2D725C34">
              <w:rPr>
                <w:rFonts w:ascii="Calibri" w:hAnsi="Calibri" w:cs="Calibri"/>
                <w:b/>
                <w:color w:val="000000" w:themeColor="text1"/>
                <w:sz w:val="20"/>
                <w:szCs w:val="20"/>
              </w:rPr>
              <w:t>Total</w:t>
            </w:r>
          </w:p>
        </w:tc>
        <w:tc>
          <w:tcPr>
            <w:tcW w:w="1900" w:type="dxa"/>
            <w:shd w:val="clear" w:color="auto" w:fill="auto"/>
            <w:vAlign w:val="center"/>
            <w:hideMark/>
          </w:tcPr>
          <w:p w:rsidR="003429AF" w:rsidRPr="003429AF" w:rsidP="003429AF" w14:paraId="113A881C" w14:textId="73D3DCAB">
            <w:pPr>
              <w:spacing w:after="0" w:line="240" w:lineRule="auto"/>
              <w:jc w:val="center"/>
              <w:rPr>
                <w:rFonts w:ascii="Calibri" w:eastAsia="Times New Roman" w:hAnsi="Calibri" w:cs="Calibri"/>
                <w:b/>
                <w:color w:val="000000"/>
                <w:sz w:val="20"/>
                <w:szCs w:val="20"/>
              </w:rPr>
            </w:pPr>
            <w:r w:rsidRPr="2D725C34">
              <w:rPr>
                <w:rFonts w:ascii="Calibri" w:hAnsi="Calibri" w:cs="Calibri"/>
                <w:b/>
                <w:color w:val="000000" w:themeColor="text1"/>
                <w:sz w:val="20"/>
                <w:szCs w:val="20"/>
              </w:rPr>
              <w:t>1.3</w:t>
            </w:r>
          </w:p>
        </w:tc>
        <w:tc>
          <w:tcPr>
            <w:tcW w:w="1580" w:type="dxa"/>
            <w:shd w:val="clear" w:color="auto" w:fill="auto"/>
            <w:vAlign w:val="center"/>
            <w:hideMark/>
          </w:tcPr>
          <w:p w:rsidR="003429AF" w:rsidRPr="003429AF" w:rsidP="003429AF" w14:paraId="0D8451EC" w14:textId="25917147">
            <w:pPr>
              <w:spacing w:after="0" w:line="240" w:lineRule="auto"/>
              <w:jc w:val="center"/>
              <w:rPr>
                <w:rFonts w:ascii="Calibri" w:eastAsia="Times New Roman" w:hAnsi="Calibri" w:cs="Calibri"/>
                <w:b/>
                <w:color w:val="000000"/>
                <w:sz w:val="20"/>
                <w:szCs w:val="20"/>
              </w:rPr>
            </w:pPr>
            <w:r w:rsidRPr="2D725C34">
              <w:rPr>
                <w:rFonts w:ascii="Calibri" w:hAnsi="Calibri" w:cs="Calibri"/>
                <w:b/>
                <w:color w:val="000000" w:themeColor="text1"/>
                <w:sz w:val="20"/>
                <w:szCs w:val="20"/>
              </w:rPr>
              <w:t xml:space="preserve">$253,669 </w:t>
            </w:r>
          </w:p>
        </w:tc>
      </w:tr>
    </w:tbl>
    <w:p w:rsidR="007E2E3C" w:rsidRPr="00AC08D1" w:rsidP="00E35954" w14:paraId="5A90A5FA" w14:textId="77777777">
      <w:pPr>
        <w:autoSpaceDE w:val="0"/>
        <w:autoSpaceDN w:val="0"/>
        <w:adjustRightInd w:val="0"/>
        <w:spacing w:after="0"/>
        <w:rPr>
          <w:rFonts w:ascii="Calibri" w:hAnsi="Calibri" w:cs="Calibri"/>
          <w:szCs w:val="24"/>
        </w:rPr>
      </w:pPr>
    </w:p>
    <w:p w:rsidR="007E2E3C" w:rsidRPr="00AC08D1" w:rsidP="007E2E3C" w14:paraId="7A3C4B66" w14:textId="6A8B2090">
      <w:pPr>
        <w:pStyle w:val="ListParagraph"/>
        <w:autoSpaceDE w:val="0"/>
        <w:autoSpaceDN w:val="0"/>
        <w:adjustRightInd w:val="0"/>
        <w:ind w:left="0"/>
        <w:rPr>
          <w:rFonts w:ascii="Calibri" w:hAnsi="Calibri" w:cs="Calibri"/>
          <w:szCs w:val="24"/>
        </w:rPr>
      </w:pPr>
      <w:r w:rsidRPr="003429AF">
        <w:rPr>
          <w:rFonts w:ascii="Calibri" w:hAnsi="Calibri" w:cs="Calibri"/>
          <w:szCs w:val="24"/>
        </w:rPr>
        <w:t xml:space="preserve">Table </w:t>
      </w:r>
      <w:r w:rsidR="009200C4">
        <w:rPr>
          <w:rFonts w:ascii="Calibri" w:hAnsi="Calibri" w:cs="Calibri"/>
          <w:szCs w:val="24"/>
        </w:rPr>
        <w:t>2</w:t>
      </w:r>
      <w:r w:rsidR="00286AE5">
        <w:rPr>
          <w:rFonts w:ascii="Calibri" w:hAnsi="Calibri" w:cs="Calibri"/>
          <w:szCs w:val="24"/>
        </w:rPr>
        <w:t>3</w:t>
      </w:r>
      <w:r w:rsidRPr="003429AF" w:rsidR="009200C4">
        <w:rPr>
          <w:rFonts w:ascii="Calibri" w:hAnsi="Calibri" w:cs="Calibri"/>
          <w:szCs w:val="24"/>
        </w:rPr>
        <w:t xml:space="preserve"> </w:t>
      </w:r>
      <w:r w:rsidRPr="003429AF">
        <w:rPr>
          <w:rFonts w:ascii="Calibri" w:hAnsi="Calibri" w:cs="Calibri"/>
          <w:szCs w:val="24"/>
        </w:rPr>
        <w:t xml:space="preserve">presents </w:t>
      </w:r>
      <w:r w:rsidRPr="00AC08D1">
        <w:rPr>
          <w:rFonts w:ascii="Calibri" w:hAnsi="Calibri" w:cs="Calibri"/>
          <w:szCs w:val="24"/>
        </w:rPr>
        <w:t>a summary of the costs to the federal government for TSCA Section 8(a) PAIR information collection. The full-time work year is considered 2,080 hours, and there are 2,710 annual burden hours associated with 1.3 FTE.</w:t>
      </w:r>
    </w:p>
    <w:p w:rsidR="007E2E3C" w:rsidRPr="00AC08D1" w:rsidP="003429AF" w14:paraId="76257140" w14:textId="29874A4F">
      <w:pPr>
        <w:pStyle w:val="Caption"/>
        <w:outlineLvl w:val="9"/>
        <w:rPr>
          <w:rFonts w:ascii="Calibri" w:hAnsi="Calibri" w:cs="Calibri"/>
          <w:szCs w:val="24"/>
        </w:rPr>
      </w:pPr>
      <w:bookmarkStart w:id="39" w:name="_Ref94547080"/>
      <w:r w:rsidRPr="00AC08D1">
        <w:rPr>
          <w:rFonts w:ascii="Calibri" w:hAnsi="Calibri" w:cs="Calibri"/>
        </w:rPr>
        <w:t xml:space="preserve">Table </w:t>
      </w:r>
      <w:bookmarkEnd w:id="39"/>
      <w:r w:rsidR="009200C4">
        <w:rPr>
          <w:rFonts w:ascii="Calibri" w:hAnsi="Calibri" w:cs="Calibri"/>
        </w:rPr>
        <w:t>2</w:t>
      </w:r>
      <w:r w:rsidR="00286AE5">
        <w:rPr>
          <w:rFonts w:ascii="Calibri" w:hAnsi="Calibri" w:cs="Calibri"/>
        </w:rPr>
        <w:t>3</w:t>
      </w:r>
      <w:r w:rsidRPr="003429AF">
        <w:rPr>
          <w:rFonts w:ascii="Calibri" w:hAnsi="Calibri" w:cs="Calibri"/>
        </w:rPr>
        <w:t xml:space="preserve">. </w:t>
      </w:r>
      <w:r w:rsidRPr="00AC08D1">
        <w:rPr>
          <w:rFonts w:ascii="Calibri" w:hAnsi="Calibri" w:cs="Calibri"/>
        </w:rPr>
        <w:t>Government Estimated Annual Burden and Cost Summary for TSCA Section 8(a) PAIR (</w:t>
      </w:r>
      <w:r w:rsidRPr="00AC08D1" w:rsidR="003429AF">
        <w:rPr>
          <w:rFonts w:ascii="Calibri" w:hAnsi="Calibri" w:cs="Calibri"/>
        </w:rPr>
        <w:t>202</w:t>
      </w:r>
      <w:r w:rsidR="003429AF">
        <w:rPr>
          <w:rFonts w:ascii="Calibri" w:hAnsi="Calibri" w:cs="Calibri"/>
        </w:rPr>
        <w:t>4</w:t>
      </w:r>
      <w:r w:rsidRPr="00AC08D1">
        <w:rPr>
          <w:rFonts w:ascii="Calibri" w:hAnsi="Calibri" w:cs="Calibri"/>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0"/>
        <w:gridCol w:w="2120"/>
      </w:tblGrid>
      <w:tr w14:paraId="69412682" w14:textId="77777777" w:rsidTr="00A674E4">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2"/>
        </w:trPr>
        <w:tc>
          <w:tcPr>
            <w:tcW w:w="3860" w:type="dxa"/>
            <w:shd w:val="clear" w:color="auto" w:fill="auto"/>
            <w:vAlign w:val="center"/>
            <w:hideMark/>
          </w:tcPr>
          <w:p w:rsidR="007E2E3C" w:rsidRPr="00AC08D1" w14:paraId="1576A55B"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Total FTEs</w:t>
            </w:r>
          </w:p>
        </w:tc>
        <w:tc>
          <w:tcPr>
            <w:tcW w:w="2120" w:type="dxa"/>
            <w:shd w:val="clear" w:color="auto" w:fill="auto"/>
            <w:vAlign w:val="center"/>
            <w:hideMark/>
          </w:tcPr>
          <w:p w:rsidR="007E2E3C" w:rsidRPr="00AC08D1" w:rsidP="00A674E4" w14:paraId="03B24657"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1.3</w:t>
            </w:r>
          </w:p>
        </w:tc>
      </w:tr>
      <w:tr w14:paraId="033B5EA5" w14:textId="77777777" w:rsidTr="00A674E4">
        <w:tblPrEx>
          <w:tblW w:w="0" w:type="auto"/>
          <w:tblInd w:w="5" w:type="dxa"/>
          <w:tblLook w:val="04A0"/>
        </w:tblPrEx>
        <w:trPr>
          <w:trHeight w:val="312"/>
        </w:trPr>
        <w:tc>
          <w:tcPr>
            <w:tcW w:w="3860" w:type="dxa"/>
            <w:shd w:val="clear" w:color="auto" w:fill="auto"/>
            <w:vAlign w:val="center"/>
            <w:hideMark/>
          </w:tcPr>
          <w:p w:rsidR="007E2E3C" w:rsidRPr="00AC08D1" w14:paraId="036F3E32"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Annual burden hours</w:t>
            </w:r>
          </w:p>
        </w:tc>
        <w:tc>
          <w:tcPr>
            <w:tcW w:w="2120" w:type="dxa"/>
            <w:shd w:val="clear" w:color="auto" w:fill="auto"/>
            <w:vAlign w:val="center"/>
            <w:hideMark/>
          </w:tcPr>
          <w:p w:rsidR="007E2E3C" w:rsidRPr="00AC08D1" w:rsidP="00A674E4" w14:paraId="5DB1A608" w14:textId="584EF558">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2,710</w:t>
            </w:r>
          </w:p>
        </w:tc>
      </w:tr>
      <w:tr w14:paraId="30289AE1" w14:textId="77777777" w:rsidTr="00A674E4">
        <w:tblPrEx>
          <w:tblW w:w="0" w:type="auto"/>
          <w:tblInd w:w="5" w:type="dxa"/>
          <w:tblLook w:val="04A0"/>
        </w:tblPrEx>
        <w:trPr>
          <w:trHeight w:val="312"/>
        </w:trPr>
        <w:tc>
          <w:tcPr>
            <w:tcW w:w="3860" w:type="dxa"/>
            <w:shd w:val="clear" w:color="auto" w:fill="auto"/>
            <w:vAlign w:val="center"/>
            <w:hideMark/>
          </w:tcPr>
          <w:p w:rsidR="003429AF" w:rsidRPr="003429AF" w:rsidP="003429AF" w14:paraId="17AA9C56"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Loaded cost per FTE</w:t>
            </w:r>
          </w:p>
        </w:tc>
        <w:tc>
          <w:tcPr>
            <w:tcW w:w="2120" w:type="dxa"/>
            <w:shd w:val="clear" w:color="auto" w:fill="auto"/>
            <w:vAlign w:val="center"/>
            <w:hideMark/>
          </w:tcPr>
          <w:p w:rsidR="003429AF" w:rsidRPr="003429AF" w:rsidP="00A674E4" w14:paraId="073C5229" w14:textId="68272807">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$194,443</w:t>
            </w:r>
          </w:p>
        </w:tc>
      </w:tr>
      <w:tr w14:paraId="04504B2F" w14:textId="77777777" w:rsidTr="00A674E4">
        <w:tblPrEx>
          <w:tblW w:w="0" w:type="auto"/>
          <w:tblInd w:w="5" w:type="dxa"/>
          <w:tblLook w:val="04A0"/>
        </w:tblPrEx>
        <w:trPr>
          <w:trHeight w:val="312"/>
        </w:trPr>
        <w:tc>
          <w:tcPr>
            <w:tcW w:w="3860" w:type="dxa"/>
            <w:shd w:val="clear" w:color="auto" w:fill="auto"/>
            <w:vAlign w:val="center"/>
            <w:hideMark/>
          </w:tcPr>
          <w:p w:rsidR="003429AF" w:rsidRPr="003429AF" w:rsidP="003429AF" w14:paraId="20CA751E"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Government labor cost</w:t>
            </w:r>
          </w:p>
        </w:tc>
        <w:tc>
          <w:tcPr>
            <w:tcW w:w="2120" w:type="dxa"/>
            <w:shd w:val="clear" w:color="auto" w:fill="auto"/>
            <w:vAlign w:val="center"/>
            <w:hideMark/>
          </w:tcPr>
          <w:p w:rsidR="003429AF" w:rsidRPr="003429AF" w:rsidP="00A674E4" w14:paraId="11FBCF67" w14:textId="4137866F">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$253,300</w:t>
            </w:r>
          </w:p>
        </w:tc>
      </w:tr>
      <w:tr w14:paraId="5EF80413" w14:textId="77777777" w:rsidTr="00A674E4">
        <w:tblPrEx>
          <w:tblW w:w="0" w:type="auto"/>
          <w:tblInd w:w="5" w:type="dxa"/>
          <w:tblLook w:val="04A0"/>
        </w:tblPrEx>
        <w:trPr>
          <w:trHeight w:val="312"/>
        </w:trPr>
        <w:tc>
          <w:tcPr>
            <w:tcW w:w="3860" w:type="dxa"/>
            <w:shd w:val="clear" w:color="auto" w:fill="auto"/>
            <w:vAlign w:val="center"/>
            <w:hideMark/>
          </w:tcPr>
          <w:p w:rsidR="003429AF" w:rsidRPr="003429AF" w:rsidP="003429AF" w14:paraId="1760F65C"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Government data processing cost</w:t>
            </w:r>
          </w:p>
        </w:tc>
        <w:tc>
          <w:tcPr>
            <w:tcW w:w="2120" w:type="dxa"/>
            <w:shd w:val="clear" w:color="auto" w:fill="auto"/>
            <w:vAlign w:val="center"/>
            <w:hideMark/>
          </w:tcPr>
          <w:p w:rsidR="003429AF" w:rsidRPr="003429AF" w:rsidP="00A674E4" w14:paraId="7DD7E84E" w14:textId="0A2D2DC3">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$369</w:t>
            </w:r>
          </w:p>
        </w:tc>
      </w:tr>
      <w:tr w14:paraId="271D8F6A" w14:textId="77777777" w:rsidTr="00A674E4">
        <w:tblPrEx>
          <w:tblW w:w="0" w:type="auto"/>
          <w:tblInd w:w="5" w:type="dxa"/>
          <w:tblLook w:val="04A0"/>
        </w:tblPrEx>
        <w:trPr>
          <w:trHeight w:val="324"/>
        </w:trPr>
        <w:tc>
          <w:tcPr>
            <w:tcW w:w="3860" w:type="dxa"/>
            <w:shd w:val="clear" w:color="auto" w:fill="auto"/>
            <w:vAlign w:val="center"/>
            <w:hideMark/>
          </w:tcPr>
          <w:p w:rsidR="003429AF" w:rsidRPr="003429AF" w:rsidP="003429AF" w14:paraId="6BC143F6" w14:textId="77777777">
            <w:pPr>
              <w:spacing w:after="0" w:line="240" w:lineRule="auto"/>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Total annual government cost</w:t>
            </w:r>
          </w:p>
        </w:tc>
        <w:tc>
          <w:tcPr>
            <w:tcW w:w="2120" w:type="dxa"/>
            <w:shd w:val="clear" w:color="auto" w:fill="auto"/>
            <w:vAlign w:val="center"/>
            <w:hideMark/>
          </w:tcPr>
          <w:p w:rsidR="003429AF" w:rsidRPr="00AC08D1" w:rsidP="00A674E4" w14:paraId="70592641" w14:textId="024158BA">
            <w:pPr>
              <w:spacing w:after="0" w:line="240" w:lineRule="auto"/>
              <w:jc w:val="center"/>
              <w:rPr>
                <w:rFonts w:ascii="Calibri" w:eastAsia="Times New Roman" w:hAnsi="Calibri" w:cs="Calibri"/>
                <w:b/>
                <w:color w:val="000000"/>
                <w:sz w:val="20"/>
                <w:szCs w:val="20"/>
              </w:rPr>
            </w:pPr>
            <w:r w:rsidRPr="2D725C34">
              <w:rPr>
                <w:rFonts w:ascii="Calibri" w:hAnsi="Calibri" w:cs="Calibri"/>
                <w:b/>
                <w:color w:val="000000" w:themeColor="text1"/>
                <w:sz w:val="20"/>
                <w:szCs w:val="20"/>
              </w:rPr>
              <w:t>$253,670</w:t>
            </w:r>
          </w:p>
        </w:tc>
      </w:tr>
    </w:tbl>
    <w:p w:rsidR="007E2E3C" w:rsidRPr="003429AF" w:rsidP="00B2051D" w14:paraId="34139C77" w14:textId="77777777">
      <w:pPr>
        <w:autoSpaceDE w:val="0"/>
        <w:autoSpaceDN w:val="0"/>
        <w:adjustRightInd w:val="0"/>
        <w:spacing w:after="0"/>
        <w:rPr>
          <w:rFonts w:ascii="Calibri" w:hAnsi="Calibri" w:cs="Calibri"/>
          <w:szCs w:val="24"/>
        </w:rPr>
      </w:pPr>
    </w:p>
    <w:p w:rsidR="00ED1142" w:rsidRPr="00286AE5" w:rsidP="00286AE5" w14:paraId="394A1ADD" w14:textId="5A265E56">
      <w:pPr>
        <w:pStyle w:val="Heading3"/>
        <w:rPr>
          <w:rFonts w:ascii="Calibri" w:hAnsi="Calibri" w:cs="Calibri"/>
          <w:iCs/>
          <w:szCs w:val="24"/>
        </w:rPr>
      </w:pPr>
      <w:r w:rsidRPr="00286AE5">
        <w:rPr>
          <w:rFonts w:ascii="Calibri" w:hAnsi="Calibri" w:cs="Calibri"/>
        </w:rPr>
        <w:t xml:space="preserve">TSCA Section 8(a) Chemical-Specific Rules </w:t>
      </w:r>
    </w:p>
    <w:p w:rsidR="007E2E3C" w:rsidRPr="00AC08D1" w:rsidP="007E2E3C" w14:paraId="44D4B24E" w14:textId="77777777">
      <w:pPr>
        <w:rPr>
          <w:rFonts w:ascii="Calibri" w:hAnsi="Calibri" w:cs="Calibri"/>
          <w:szCs w:val="24"/>
        </w:rPr>
      </w:pPr>
      <w:r w:rsidRPr="00AC08D1">
        <w:rPr>
          <w:rFonts w:ascii="Calibri" w:hAnsi="Calibri" w:cs="Calibri"/>
          <w:szCs w:val="24"/>
        </w:rPr>
        <w:t>For any TSCA section 8(a) chemical-specific rule the Agency would have to perform a number of tasks. They are:</w:t>
      </w:r>
    </w:p>
    <w:p w:rsidR="007E2E3C" w:rsidRPr="00AC08D1" w:rsidP="0036096F" w14:paraId="2EC93D51" w14:textId="77777777">
      <w:pPr>
        <w:pStyle w:val="ListParagraph"/>
        <w:numPr>
          <w:ilvl w:val="0"/>
          <w:numId w:val="12"/>
        </w:numPr>
        <w:tabs>
          <w:tab w:val="left" w:pos="1080"/>
        </w:tabs>
        <w:spacing w:after="200" w:line="276" w:lineRule="auto"/>
        <w:rPr>
          <w:rFonts w:ascii="Calibri" w:hAnsi="Calibri" w:cs="Calibri"/>
          <w:szCs w:val="24"/>
        </w:rPr>
      </w:pPr>
      <w:r w:rsidRPr="00AC08D1">
        <w:rPr>
          <w:rFonts w:ascii="Calibri" w:hAnsi="Calibri" w:cs="Calibri"/>
          <w:szCs w:val="24"/>
        </w:rPr>
        <w:t>Industry/Public Assistance (answering questions regarding rule);</w:t>
      </w:r>
    </w:p>
    <w:p w:rsidR="007E2E3C" w:rsidRPr="00AC08D1" w:rsidP="0036096F" w14:paraId="7942243D" w14:textId="77777777">
      <w:pPr>
        <w:pStyle w:val="ListParagraph"/>
        <w:numPr>
          <w:ilvl w:val="0"/>
          <w:numId w:val="12"/>
        </w:numPr>
        <w:tabs>
          <w:tab w:val="left" w:pos="1080"/>
        </w:tabs>
        <w:spacing w:after="200" w:line="276" w:lineRule="auto"/>
        <w:rPr>
          <w:rFonts w:ascii="Calibri" w:hAnsi="Calibri" w:cs="Calibri"/>
          <w:szCs w:val="24"/>
        </w:rPr>
      </w:pPr>
      <w:r w:rsidRPr="00AC08D1">
        <w:rPr>
          <w:rFonts w:ascii="Calibri" w:hAnsi="Calibri" w:cs="Calibri"/>
          <w:szCs w:val="24"/>
        </w:rPr>
        <w:t>Data Processing and System Support Personnel;</w:t>
      </w:r>
    </w:p>
    <w:p w:rsidR="007E2E3C" w:rsidRPr="00AC08D1" w:rsidP="0036096F" w14:paraId="797533DD" w14:textId="77777777">
      <w:pPr>
        <w:pStyle w:val="ListParagraph"/>
        <w:numPr>
          <w:ilvl w:val="0"/>
          <w:numId w:val="12"/>
        </w:numPr>
        <w:tabs>
          <w:tab w:val="left" w:pos="1080"/>
        </w:tabs>
        <w:spacing w:after="200" w:line="276" w:lineRule="auto"/>
        <w:rPr>
          <w:rFonts w:ascii="Calibri" w:hAnsi="Calibri" w:cs="Calibri"/>
          <w:szCs w:val="24"/>
        </w:rPr>
      </w:pPr>
      <w:r w:rsidRPr="00AC08D1">
        <w:rPr>
          <w:rFonts w:ascii="Calibri" w:hAnsi="Calibri" w:cs="Calibri"/>
          <w:szCs w:val="24"/>
        </w:rPr>
        <w:t>Review the information submitted;</w:t>
      </w:r>
    </w:p>
    <w:p w:rsidR="007E2E3C" w:rsidRPr="00AC08D1" w:rsidP="0036096F" w14:paraId="2053A14B" w14:textId="71C096A8">
      <w:pPr>
        <w:pStyle w:val="ListParagraph"/>
        <w:numPr>
          <w:ilvl w:val="0"/>
          <w:numId w:val="12"/>
        </w:numPr>
        <w:tabs>
          <w:tab w:val="left" w:pos="1080"/>
        </w:tabs>
        <w:spacing w:after="200" w:line="276" w:lineRule="auto"/>
        <w:rPr>
          <w:rFonts w:ascii="Calibri" w:hAnsi="Calibri" w:cs="Calibri"/>
          <w:szCs w:val="24"/>
        </w:rPr>
      </w:pPr>
      <w:r w:rsidRPr="00AC08D1">
        <w:rPr>
          <w:rFonts w:ascii="Calibri" w:hAnsi="Calibri" w:cs="Calibri"/>
          <w:szCs w:val="24"/>
        </w:rPr>
        <w:t>Analyze submissions for confidentiality and provide appropriate protection for confidential data;</w:t>
      </w:r>
    </w:p>
    <w:p w:rsidR="007E2E3C" w:rsidRPr="00AC08D1" w:rsidP="0036096F" w14:paraId="435F8566" w14:textId="77777777">
      <w:pPr>
        <w:pStyle w:val="ListParagraph"/>
        <w:numPr>
          <w:ilvl w:val="0"/>
          <w:numId w:val="12"/>
        </w:numPr>
        <w:tabs>
          <w:tab w:val="left" w:pos="1080"/>
        </w:tabs>
        <w:spacing w:after="200" w:line="276" w:lineRule="auto"/>
        <w:rPr>
          <w:rFonts w:ascii="Calibri" w:hAnsi="Calibri" w:cs="Calibri"/>
          <w:szCs w:val="24"/>
        </w:rPr>
      </w:pPr>
      <w:r w:rsidRPr="00AC08D1">
        <w:rPr>
          <w:rFonts w:ascii="Calibri" w:hAnsi="Calibri" w:cs="Calibri"/>
          <w:szCs w:val="24"/>
        </w:rPr>
        <w:t>Storage and Distribution; and</w:t>
      </w:r>
    </w:p>
    <w:p w:rsidR="007E2E3C" w:rsidRPr="00AC08D1" w:rsidP="0036096F" w14:paraId="428D7B03" w14:textId="77777777">
      <w:pPr>
        <w:pStyle w:val="ListParagraph"/>
        <w:numPr>
          <w:ilvl w:val="0"/>
          <w:numId w:val="12"/>
        </w:numPr>
        <w:tabs>
          <w:tab w:val="left" w:pos="1080"/>
        </w:tabs>
        <w:spacing w:after="200" w:line="276" w:lineRule="auto"/>
        <w:rPr>
          <w:rFonts w:ascii="Calibri" w:hAnsi="Calibri" w:cs="Calibri"/>
          <w:szCs w:val="24"/>
        </w:rPr>
      </w:pPr>
      <w:r w:rsidRPr="00AC08D1">
        <w:rPr>
          <w:rFonts w:ascii="Calibri" w:hAnsi="Calibri" w:cs="Calibri"/>
          <w:szCs w:val="24"/>
        </w:rPr>
        <w:t>Compliance Monitoring.</w:t>
      </w:r>
    </w:p>
    <w:p w:rsidR="007E2E3C" w:rsidRPr="00AC08D1" w:rsidP="5F135418" w14:paraId="48B4FD94" w14:textId="4BAAE4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5F135418">
        <w:rPr>
          <w:rFonts w:ascii="Calibri" w:hAnsi="Calibri" w:cs="Calibri"/>
        </w:rPr>
        <w:t xml:space="preserve">The Agency has developed the following burden hour estimates for activities related to promulgating a </w:t>
      </w:r>
      <w:r w:rsidRPr="5F135418" w:rsidR="269CDC38">
        <w:rPr>
          <w:rFonts w:ascii="Calibri" w:hAnsi="Calibri" w:cs="Calibri"/>
        </w:rPr>
        <w:t xml:space="preserve">TSCA </w:t>
      </w:r>
      <w:r w:rsidRPr="5F135418">
        <w:rPr>
          <w:rFonts w:ascii="Calibri" w:hAnsi="Calibri" w:cs="Calibri"/>
        </w:rPr>
        <w:t>section 8(a) Chemical Specific rule.</w:t>
      </w:r>
    </w:p>
    <w:p w:rsidR="007E2E3C" w:rsidRPr="00AC08D1" w:rsidP="00AC08D1" w14:paraId="6270E849" w14:textId="75344F13">
      <w:pPr>
        <w:pStyle w:val="Caption"/>
        <w:outlineLvl w:val="9"/>
        <w:rPr>
          <w:rFonts w:ascii="Calibri" w:hAnsi="Calibri" w:cs="Calibri"/>
          <w:szCs w:val="24"/>
        </w:rPr>
      </w:pPr>
      <w:bookmarkStart w:id="40" w:name="_Ref94542136"/>
      <w:r w:rsidRPr="00AC08D1">
        <w:rPr>
          <w:rFonts w:ascii="Calibri" w:hAnsi="Calibri" w:cs="Calibri"/>
        </w:rPr>
        <w:t>Table</w:t>
      </w:r>
      <w:bookmarkEnd w:id="40"/>
      <w:r w:rsidR="009200C4">
        <w:rPr>
          <w:rFonts w:ascii="Calibri" w:hAnsi="Calibri" w:cs="Calibri"/>
        </w:rPr>
        <w:t xml:space="preserve"> 2</w:t>
      </w:r>
      <w:r w:rsidR="00286AE5">
        <w:rPr>
          <w:rFonts w:ascii="Calibri" w:hAnsi="Calibri" w:cs="Calibri"/>
        </w:rPr>
        <w:t>4</w:t>
      </w:r>
      <w:r w:rsidRPr="00AC08D1">
        <w:rPr>
          <w:rFonts w:ascii="Calibri" w:hAnsi="Calibri" w:cs="Calibri"/>
        </w:rPr>
        <w:t>. Agency Summary of Burden Hours and Cost Estimates</w:t>
      </w:r>
      <w:r w:rsidRPr="00AC08D1">
        <w:rPr>
          <w:rFonts w:ascii="Calibri" w:hAnsi="Calibri" w:cs="Calibri"/>
          <w:szCs w:val="24"/>
        </w:rPr>
        <w:t xml:space="preserve"> for TSCA Section 8(a) Chemical Specific</w:t>
      </w:r>
      <w:r w:rsidR="003429AF">
        <w:rPr>
          <w:rFonts w:ascii="Calibri" w:hAnsi="Calibri" w:cs="Calibri"/>
          <w:szCs w:val="24"/>
        </w:rPr>
        <w:t xml:space="preserve"> (2024$)</w:t>
      </w:r>
    </w:p>
    <w:tbl>
      <w:tblPr>
        <w:tblW w:w="9487" w:type="dxa"/>
        <w:tblLook w:val="04A0"/>
      </w:tblPr>
      <w:tblGrid>
        <w:gridCol w:w="5745"/>
        <w:gridCol w:w="1215"/>
        <w:gridCol w:w="1275"/>
        <w:gridCol w:w="1252"/>
      </w:tblGrid>
      <w:tr w14:paraId="709F85E2" w14:textId="77777777" w:rsidTr="2D725C34">
        <w:tblPrEx>
          <w:tblW w:w="9487" w:type="dxa"/>
          <w:tblLook w:val="04A0"/>
        </w:tblPrEx>
        <w:trPr>
          <w:trHeight w:val="636"/>
        </w:trPr>
        <w:tc>
          <w:tcPr>
            <w:tcW w:w="5745" w:type="dxa"/>
            <w:tcBorders>
              <w:top w:val="single" w:sz="8" w:space="0" w:color="auto"/>
              <w:left w:val="single" w:sz="8" w:space="0" w:color="auto"/>
              <w:bottom w:val="single" w:sz="8" w:space="0" w:color="auto"/>
              <w:right w:val="single" w:sz="8" w:space="0" w:color="auto"/>
            </w:tcBorders>
            <w:shd w:val="clear" w:color="auto" w:fill="D9D9D9" w:themeFill="accent6" w:themeFillShade="D9"/>
            <w:vAlign w:val="center"/>
            <w:hideMark/>
          </w:tcPr>
          <w:p w:rsidR="007E2E3C" w:rsidRPr="00AC08D1" w14:paraId="208C2A56"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Activity</w:t>
            </w:r>
          </w:p>
        </w:tc>
        <w:tc>
          <w:tcPr>
            <w:tcW w:w="1215" w:type="dxa"/>
            <w:tcBorders>
              <w:top w:val="single" w:sz="8" w:space="0" w:color="auto"/>
              <w:left w:val="nil"/>
              <w:bottom w:val="single" w:sz="8" w:space="0" w:color="auto"/>
              <w:right w:val="single" w:sz="8" w:space="0" w:color="auto"/>
            </w:tcBorders>
            <w:shd w:val="clear" w:color="auto" w:fill="D9D9D9" w:themeFill="accent6" w:themeFillShade="D9"/>
            <w:vAlign w:val="center"/>
            <w:hideMark/>
          </w:tcPr>
          <w:p w:rsidR="007E2E3C" w:rsidRPr="00AC08D1" w14:paraId="3C40FBB6"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Burden (FTE)</w:t>
            </w:r>
          </w:p>
        </w:tc>
        <w:tc>
          <w:tcPr>
            <w:tcW w:w="1275" w:type="dxa"/>
            <w:tcBorders>
              <w:top w:val="single" w:sz="8" w:space="0" w:color="auto"/>
              <w:left w:val="nil"/>
              <w:bottom w:val="single" w:sz="8" w:space="0" w:color="auto"/>
              <w:right w:val="single" w:sz="8" w:space="0" w:color="auto"/>
            </w:tcBorders>
            <w:shd w:val="clear" w:color="auto" w:fill="D9D9D9" w:themeFill="accent6" w:themeFillShade="D9"/>
            <w:vAlign w:val="center"/>
            <w:hideMark/>
          </w:tcPr>
          <w:p w:rsidR="007E2E3C" w:rsidRPr="00AC08D1" w14:paraId="2405401F"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Burden Hours</w:t>
            </w:r>
          </w:p>
        </w:tc>
        <w:tc>
          <w:tcPr>
            <w:tcW w:w="1252" w:type="dxa"/>
            <w:tcBorders>
              <w:top w:val="single" w:sz="8" w:space="0" w:color="auto"/>
              <w:left w:val="nil"/>
              <w:bottom w:val="single" w:sz="8" w:space="0" w:color="auto"/>
              <w:right w:val="single" w:sz="8" w:space="0" w:color="auto"/>
            </w:tcBorders>
            <w:shd w:val="clear" w:color="auto" w:fill="D9D9D9" w:themeFill="accent6" w:themeFillShade="D9"/>
            <w:vAlign w:val="center"/>
            <w:hideMark/>
          </w:tcPr>
          <w:p w:rsidR="007E2E3C" w:rsidRPr="00AC08D1" w14:paraId="7879B847"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Annual Cost</w:t>
            </w:r>
          </w:p>
        </w:tc>
      </w:tr>
      <w:tr w14:paraId="250AAB61" w14:textId="77777777" w:rsidTr="2D725C34">
        <w:tblPrEx>
          <w:tblW w:w="9487" w:type="dxa"/>
          <w:tblLook w:val="04A0"/>
        </w:tblPrEx>
        <w:trPr>
          <w:trHeight w:val="300"/>
        </w:trPr>
        <w:tc>
          <w:tcPr>
            <w:tcW w:w="5745" w:type="dxa"/>
            <w:tcBorders>
              <w:top w:val="nil"/>
              <w:left w:val="single" w:sz="8" w:space="0" w:color="auto"/>
              <w:bottom w:val="single" w:sz="8" w:space="0" w:color="auto"/>
              <w:right w:val="single" w:sz="8" w:space="0" w:color="auto"/>
            </w:tcBorders>
            <w:shd w:val="clear" w:color="auto" w:fill="auto"/>
            <w:vAlign w:val="center"/>
            <w:hideMark/>
          </w:tcPr>
          <w:p w:rsidR="003429AF" w:rsidRPr="003429AF" w:rsidP="003429AF" w14:paraId="32E02650"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 xml:space="preserve">Industry/Public Assistance </w:t>
            </w:r>
            <w:r w:rsidRPr="2D725C34">
              <w:rPr>
                <w:rFonts w:ascii="Calibri" w:eastAsia="Times New Roman" w:hAnsi="Calibri" w:cs="Calibri"/>
                <w:i/>
                <w:color w:val="000000" w:themeColor="text1"/>
                <w:sz w:val="20"/>
                <w:szCs w:val="20"/>
              </w:rPr>
              <w:t>(answering questions regarding the rule)</w:t>
            </w:r>
          </w:p>
        </w:tc>
        <w:tc>
          <w:tcPr>
            <w:tcW w:w="1215" w:type="dxa"/>
            <w:tcBorders>
              <w:top w:val="nil"/>
              <w:left w:val="nil"/>
              <w:bottom w:val="single" w:sz="8" w:space="0" w:color="auto"/>
              <w:right w:val="single" w:sz="8" w:space="0" w:color="auto"/>
            </w:tcBorders>
            <w:shd w:val="clear" w:color="auto" w:fill="auto"/>
            <w:vAlign w:val="center"/>
            <w:hideMark/>
          </w:tcPr>
          <w:p w:rsidR="003429AF" w:rsidRPr="003429AF" w:rsidP="00E35954" w14:paraId="5C2AA49A"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0.1</w:t>
            </w:r>
          </w:p>
        </w:tc>
        <w:tc>
          <w:tcPr>
            <w:tcW w:w="1275" w:type="dxa"/>
            <w:tcBorders>
              <w:top w:val="nil"/>
              <w:left w:val="nil"/>
              <w:bottom w:val="single" w:sz="8" w:space="0" w:color="auto"/>
              <w:right w:val="single" w:sz="8" w:space="0" w:color="auto"/>
            </w:tcBorders>
            <w:shd w:val="clear" w:color="auto" w:fill="auto"/>
            <w:vAlign w:val="center"/>
            <w:hideMark/>
          </w:tcPr>
          <w:p w:rsidR="003429AF" w:rsidRPr="003429AF" w:rsidP="00E35954" w14:paraId="6AF9841B"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208</w:t>
            </w:r>
          </w:p>
        </w:tc>
        <w:tc>
          <w:tcPr>
            <w:tcW w:w="1252" w:type="dxa"/>
            <w:tcBorders>
              <w:top w:val="nil"/>
              <w:left w:val="nil"/>
              <w:bottom w:val="single" w:sz="8" w:space="0" w:color="auto"/>
              <w:right w:val="single" w:sz="8" w:space="0" w:color="auto"/>
            </w:tcBorders>
            <w:shd w:val="clear" w:color="auto" w:fill="auto"/>
            <w:vAlign w:val="center"/>
            <w:hideMark/>
          </w:tcPr>
          <w:p w:rsidR="003429AF" w:rsidRPr="003429AF" w:rsidP="00E35954" w14:paraId="014DE9B0" w14:textId="00C6B241">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$19,444</w:t>
            </w:r>
          </w:p>
        </w:tc>
      </w:tr>
      <w:tr w14:paraId="4E83248A" w14:textId="77777777" w:rsidTr="2D725C34">
        <w:tblPrEx>
          <w:tblW w:w="9487" w:type="dxa"/>
          <w:tblLook w:val="04A0"/>
        </w:tblPrEx>
        <w:trPr>
          <w:trHeight w:val="300"/>
        </w:trPr>
        <w:tc>
          <w:tcPr>
            <w:tcW w:w="5745" w:type="dxa"/>
            <w:tcBorders>
              <w:top w:val="nil"/>
              <w:left w:val="single" w:sz="8" w:space="0" w:color="auto"/>
              <w:bottom w:val="single" w:sz="8" w:space="0" w:color="auto"/>
              <w:right w:val="single" w:sz="8" w:space="0" w:color="auto"/>
            </w:tcBorders>
            <w:shd w:val="clear" w:color="auto" w:fill="auto"/>
            <w:vAlign w:val="center"/>
            <w:hideMark/>
          </w:tcPr>
          <w:p w:rsidR="003429AF" w:rsidRPr="003429AF" w:rsidP="003429AF" w14:paraId="255D62AF"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Data processing and systems support personnel</w:t>
            </w:r>
          </w:p>
        </w:tc>
        <w:tc>
          <w:tcPr>
            <w:tcW w:w="1215" w:type="dxa"/>
            <w:tcBorders>
              <w:top w:val="nil"/>
              <w:left w:val="nil"/>
              <w:bottom w:val="single" w:sz="8" w:space="0" w:color="auto"/>
              <w:right w:val="single" w:sz="8" w:space="0" w:color="auto"/>
            </w:tcBorders>
            <w:shd w:val="clear" w:color="auto" w:fill="auto"/>
            <w:vAlign w:val="center"/>
            <w:hideMark/>
          </w:tcPr>
          <w:p w:rsidR="003429AF" w:rsidRPr="003429AF" w:rsidP="00E35954" w14:paraId="0A9FACA1"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0.2</w:t>
            </w:r>
          </w:p>
        </w:tc>
        <w:tc>
          <w:tcPr>
            <w:tcW w:w="1275" w:type="dxa"/>
            <w:tcBorders>
              <w:top w:val="nil"/>
              <w:left w:val="nil"/>
              <w:bottom w:val="single" w:sz="8" w:space="0" w:color="auto"/>
              <w:right w:val="single" w:sz="8" w:space="0" w:color="auto"/>
            </w:tcBorders>
            <w:shd w:val="clear" w:color="auto" w:fill="auto"/>
            <w:vAlign w:val="center"/>
            <w:hideMark/>
          </w:tcPr>
          <w:p w:rsidR="003429AF" w:rsidRPr="003429AF" w:rsidP="00E35954" w14:paraId="2AAE5E8A"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416</w:t>
            </w:r>
          </w:p>
        </w:tc>
        <w:tc>
          <w:tcPr>
            <w:tcW w:w="1252" w:type="dxa"/>
            <w:tcBorders>
              <w:top w:val="nil"/>
              <w:left w:val="nil"/>
              <w:bottom w:val="single" w:sz="8" w:space="0" w:color="auto"/>
              <w:right w:val="single" w:sz="8" w:space="0" w:color="auto"/>
            </w:tcBorders>
            <w:shd w:val="clear" w:color="auto" w:fill="auto"/>
            <w:vAlign w:val="center"/>
            <w:hideMark/>
          </w:tcPr>
          <w:p w:rsidR="003429AF" w:rsidRPr="003429AF" w:rsidP="00E35954" w14:paraId="7E6D9F3F" w14:textId="61B125BA">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$38,889</w:t>
            </w:r>
          </w:p>
        </w:tc>
      </w:tr>
      <w:tr w14:paraId="7A2342E4" w14:textId="77777777" w:rsidTr="2D725C34">
        <w:tblPrEx>
          <w:tblW w:w="9487" w:type="dxa"/>
          <w:tblLook w:val="04A0"/>
        </w:tblPrEx>
        <w:trPr>
          <w:trHeight w:val="300"/>
        </w:trPr>
        <w:tc>
          <w:tcPr>
            <w:tcW w:w="5745" w:type="dxa"/>
            <w:tcBorders>
              <w:top w:val="nil"/>
              <w:left w:val="single" w:sz="8" w:space="0" w:color="auto"/>
              <w:bottom w:val="single" w:sz="8" w:space="0" w:color="auto"/>
              <w:right w:val="single" w:sz="8" w:space="0" w:color="auto"/>
            </w:tcBorders>
            <w:shd w:val="clear" w:color="auto" w:fill="auto"/>
            <w:vAlign w:val="center"/>
            <w:hideMark/>
          </w:tcPr>
          <w:p w:rsidR="003429AF" w:rsidRPr="003429AF" w:rsidP="003429AF" w14:paraId="181DB2E7"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Storage and distribution</w:t>
            </w:r>
          </w:p>
        </w:tc>
        <w:tc>
          <w:tcPr>
            <w:tcW w:w="1215" w:type="dxa"/>
            <w:tcBorders>
              <w:top w:val="nil"/>
              <w:left w:val="nil"/>
              <w:bottom w:val="single" w:sz="8" w:space="0" w:color="auto"/>
              <w:right w:val="single" w:sz="8" w:space="0" w:color="auto"/>
            </w:tcBorders>
            <w:shd w:val="clear" w:color="auto" w:fill="auto"/>
            <w:vAlign w:val="center"/>
            <w:hideMark/>
          </w:tcPr>
          <w:p w:rsidR="003429AF" w:rsidRPr="003429AF" w:rsidP="00E35954" w14:paraId="4665098E"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0.1</w:t>
            </w:r>
          </w:p>
        </w:tc>
        <w:tc>
          <w:tcPr>
            <w:tcW w:w="1275" w:type="dxa"/>
            <w:tcBorders>
              <w:top w:val="nil"/>
              <w:left w:val="nil"/>
              <w:bottom w:val="single" w:sz="8" w:space="0" w:color="auto"/>
              <w:right w:val="single" w:sz="8" w:space="0" w:color="auto"/>
            </w:tcBorders>
            <w:shd w:val="clear" w:color="auto" w:fill="auto"/>
            <w:vAlign w:val="center"/>
            <w:hideMark/>
          </w:tcPr>
          <w:p w:rsidR="003429AF" w:rsidRPr="003429AF" w:rsidP="00E35954" w14:paraId="2D2C6AEC"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208</w:t>
            </w:r>
          </w:p>
        </w:tc>
        <w:tc>
          <w:tcPr>
            <w:tcW w:w="1252" w:type="dxa"/>
            <w:tcBorders>
              <w:top w:val="nil"/>
              <w:left w:val="nil"/>
              <w:bottom w:val="single" w:sz="8" w:space="0" w:color="auto"/>
              <w:right w:val="single" w:sz="8" w:space="0" w:color="auto"/>
            </w:tcBorders>
            <w:shd w:val="clear" w:color="auto" w:fill="auto"/>
            <w:vAlign w:val="center"/>
            <w:hideMark/>
          </w:tcPr>
          <w:p w:rsidR="003429AF" w:rsidRPr="003429AF" w:rsidP="00E35954" w14:paraId="1C0EAD83" w14:textId="640140AA">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$19,444</w:t>
            </w:r>
          </w:p>
        </w:tc>
      </w:tr>
      <w:tr w14:paraId="055CBEBD" w14:textId="77777777" w:rsidTr="2D725C34">
        <w:tblPrEx>
          <w:tblW w:w="9487" w:type="dxa"/>
          <w:tblLook w:val="04A0"/>
        </w:tblPrEx>
        <w:trPr>
          <w:trHeight w:val="300"/>
        </w:trPr>
        <w:tc>
          <w:tcPr>
            <w:tcW w:w="5745" w:type="dxa"/>
            <w:tcBorders>
              <w:top w:val="nil"/>
              <w:left w:val="single" w:sz="8" w:space="0" w:color="auto"/>
              <w:bottom w:val="single" w:sz="8" w:space="0" w:color="auto"/>
              <w:right w:val="single" w:sz="8" w:space="0" w:color="auto"/>
            </w:tcBorders>
            <w:shd w:val="clear" w:color="auto" w:fill="auto"/>
            <w:vAlign w:val="center"/>
            <w:hideMark/>
          </w:tcPr>
          <w:p w:rsidR="003429AF" w:rsidRPr="003429AF" w:rsidP="003429AF" w14:paraId="35CA2FE5"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Compliance monitoring</w:t>
            </w:r>
          </w:p>
        </w:tc>
        <w:tc>
          <w:tcPr>
            <w:tcW w:w="1215" w:type="dxa"/>
            <w:tcBorders>
              <w:top w:val="nil"/>
              <w:left w:val="nil"/>
              <w:bottom w:val="single" w:sz="8" w:space="0" w:color="auto"/>
              <w:right w:val="single" w:sz="8" w:space="0" w:color="auto"/>
            </w:tcBorders>
            <w:shd w:val="clear" w:color="auto" w:fill="auto"/>
            <w:vAlign w:val="center"/>
            <w:hideMark/>
          </w:tcPr>
          <w:p w:rsidR="003429AF" w:rsidRPr="003429AF" w:rsidP="00E35954" w14:paraId="289C42D4"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0.1</w:t>
            </w:r>
          </w:p>
        </w:tc>
        <w:tc>
          <w:tcPr>
            <w:tcW w:w="1275" w:type="dxa"/>
            <w:tcBorders>
              <w:top w:val="nil"/>
              <w:left w:val="nil"/>
              <w:bottom w:val="single" w:sz="8" w:space="0" w:color="auto"/>
              <w:right w:val="single" w:sz="8" w:space="0" w:color="auto"/>
            </w:tcBorders>
            <w:shd w:val="clear" w:color="auto" w:fill="auto"/>
            <w:vAlign w:val="center"/>
            <w:hideMark/>
          </w:tcPr>
          <w:p w:rsidR="003429AF" w:rsidRPr="003429AF" w:rsidP="00E35954" w14:paraId="0DBC824E"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208</w:t>
            </w:r>
          </w:p>
        </w:tc>
        <w:tc>
          <w:tcPr>
            <w:tcW w:w="1252" w:type="dxa"/>
            <w:tcBorders>
              <w:top w:val="nil"/>
              <w:left w:val="nil"/>
              <w:bottom w:val="single" w:sz="8" w:space="0" w:color="auto"/>
              <w:right w:val="single" w:sz="8" w:space="0" w:color="auto"/>
            </w:tcBorders>
            <w:shd w:val="clear" w:color="auto" w:fill="auto"/>
            <w:vAlign w:val="center"/>
            <w:hideMark/>
          </w:tcPr>
          <w:p w:rsidR="003429AF" w:rsidRPr="003429AF" w:rsidP="00E35954" w14:paraId="13DFA229" w14:textId="1F1A94DF">
            <w:pPr>
              <w:spacing w:after="0" w:line="240" w:lineRule="auto"/>
              <w:jc w:val="center"/>
              <w:rPr>
                <w:rFonts w:ascii="Calibri" w:eastAsia="Times New Roman" w:hAnsi="Calibri" w:cs="Calibri"/>
                <w:color w:val="000000"/>
                <w:sz w:val="20"/>
                <w:szCs w:val="20"/>
              </w:rPr>
            </w:pPr>
            <w:r w:rsidRPr="2D725C34">
              <w:rPr>
                <w:rFonts w:ascii="Calibri" w:hAnsi="Calibri" w:cs="Calibri"/>
                <w:color w:val="000000" w:themeColor="text1"/>
                <w:sz w:val="20"/>
                <w:szCs w:val="20"/>
              </w:rPr>
              <w:t>$19,444</w:t>
            </w:r>
          </w:p>
        </w:tc>
      </w:tr>
      <w:tr w14:paraId="6CA8DA76" w14:textId="77777777" w:rsidTr="2D725C34">
        <w:tblPrEx>
          <w:tblW w:w="9487" w:type="dxa"/>
          <w:tblLook w:val="04A0"/>
        </w:tblPrEx>
        <w:trPr>
          <w:trHeight w:val="300"/>
        </w:trPr>
        <w:tc>
          <w:tcPr>
            <w:tcW w:w="5745" w:type="dxa"/>
            <w:tcBorders>
              <w:top w:val="nil"/>
              <w:left w:val="single" w:sz="8" w:space="0" w:color="auto"/>
              <w:bottom w:val="single" w:sz="8" w:space="0" w:color="auto"/>
              <w:right w:val="single" w:sz="8" w:space="0" w:color="auto"/>
            </w:tcBorders>
            <w:shd w:val="clear" w:color="auto" w:fill="auto"/>
            <w:vAlign w:val="center"/>
            <w:hideMark/>
          </w:tcPr>
          <w:p w:rsidR="007E2E3C" w:rsidRPr="00AC08D1" w14:paraId="520E02D8" w14:textId="77777777">
            <w:pPr>
              <w:spacing w:after="0" w:line="240" w:lineRule="auto"/>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Total</w:t>
            </w:r>
          </w:p>
        </w:tc>
        <w:tc>
          <w:tcPr>
            <w:tcW w:w="1215" w:type="dxa"/>
            <w:tcBorders>
              <w:top w:val="nil"/>
              <w:left w:val="nil"/>
              <w:bottom w:val="single" w:sz="8" w:space="0" w:color="auto"/>
              <w:right w:val="single" w:sz="8" w:space="0" w:color="auto"/>
            </w:tcBorders>
            <w:shd w:val="clear" w:color="auto" w:fill="auto"/>
            <w:vAlign w:val="center"/>
            <w:hideMark/>
          </w:tcPr>
          <w:p w:rsidR="007E2E3C" w:rsidRPr="00AC08D1" w:rsidP="00E35954" w14:paraId="7E8FFC6B"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0.5</w:t>
            </w:r>
          </w:p>
        </w:tc>
        <w:tc>
          <w:tcPr>
            <w:tcW w:w="1275" w:type="dxa"/>
            <w:tcBorders>
              <w:top w:val="nil"/>
              <w:left w:val="nil"/>
              <w:bottom w:val="single" w:sz="8" w:space="0" w:color="auto"/>
              <w:right w:val="single" w:sz="8" w:space="0" w:color="auto"/>
            </w:tcBorders>
            <w:shd w:val="clear" w:color="auto" w:fill="auto"/>
            <w:vAlign w:val="center"/>
            <w:hideMark/>
          </w:tcPr>
          <w:p w:rsidR="007E2E3C" w:rsidRPr="00AC08D1" w:rsidP="00E35954" w14:paraId="74D3A0E9" w14:textId="59CE040E">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1,040</w:t>
            </w:r>
          </w:p>
        </w:tc>
        <w:tc>
          <w:tcPr>
            <w:tcW w:w="1252" w:type="dxa"/>
            <w:tcBorders>
              <w:top w:val="nil"/>
              <w:left w:val="nil"/>
              <w:bottom w:val="single" w:sz="8" w:space="0" w:color="auto"/>
              <w:right w:val="single" w:sz="8" w:space="0" w:color="auto"/>
            </w:tcBorders>
            <w:shd w:val="clear" w:color="auto" w:fill="auto"/>
            <w:vAlign w:val="center"/>
            <w:hideMark/>
          </w:tcPr>
          <w:p w:rsidR="007E2E3C" w:rsidRPr="00AC08D1" w:rsidP="00E35954" w14:paraId="75D0F736" w14:textId="4F7E6D25">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w:t>
            </w:r>
            <w:r w:rsidRPr="2D725C34" w:rsidR="003429AF">
              <w:rPr>
                <w:rFonts w:ascii="Calibri" w:eastAsia="Times New Roman" w:hAnsi="Calibri" w:cs="Calibri"/>
                <w:b/>
                <w:color w:val="000000" w:themeColor="text1"/>
                <w:sz w:val="20"/>
                <w:szCs w:val="20"/>
              </w:rPr>
              <w:t>97,221</w:t>
            </w:r>
          </w:p>
        </w:tc>
      </w:tr>
    </w:tbl>
    <w:p w:rsidR="007E2E3C" w:rsidRPr="00AC08D1" w:rsidP="00AC08D1" w14:paraId="24D1C6D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libri" w:hAnsi="Calibri" w:cs="Calibri"/>
          <w:szCs w:val="24"/>
        </w:rPr>
      </w:pPr>
    </w:p>
    <w:p w:rsidR="007E2E3C" w:rsidP="007E2E3C" w14:paraId="1EC62E8D" w14:textId="5A64B6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AC08D1">
        <w:rPr>
          <w:rFonts w:ascii="Calibri" w:hAnsi="Calibri" w:cs="Calibri"/>
        </w:rPr>
        <w:t>OPPT bases its burden hour and labor cost estimates on prior experience in gathering and processing information associated with other information collections. Because these activities involve a team approach, the Agency has used a composite burden hour estimate containing workers at various GS levels and calculated hourly costs based upon the wage rate for a GS-12 Step 1 employee (</w:t>
      </w:r>
      <w:r w:rsidRPr="003429AF">
        <w:rPr>
          <w:rFonts w:ascii="Calibri" w:hAnsi="Calibri" w:cs="Calibri"/>
        </w:rPr>
        <w:t xml:space="preserve">Table </w:t>
      </w:r>
      <w:r w:rsidRPr="003429AF" w:rsidR="009200C4">
        <w:rPr>
          <w:rFonts w:ascii="Calibri" w:hAnsi="Calibri" w:cs="Calibri"/>
        </w:rPr>
        <w:t>2</w:t>
      </w:r>
      <w:r w:rsidR="00286AE5">
        <w:rPr>
          <w:rFonts w:ascii="Calibri" w:hAnsi="Calibri" w:cs="Calibri"/>
        </w:rPr>
        <w:t>4</w:t>
      </w:r>
      <w:r w:rsidRPr="00AC08D1">
        <w:rPr>
          <w:rFonts w:ascii="Calibri" w:hAnsi="Calibri" w:cs="Calibri"/>
        </w:rPr>
        <w:t>). The full-time work year is considered 2,080 hours, so there are 1,040 burden hours associated with 0.5 FTE at a cost of $</w:t>
      </w:r>
      <w:r w:rsidR="003429AF">
        <w:rPr>
          <w:rFonts w:ascii="Calibri" w:hAnsi="Calibri" w:cs="Calibri"/>
        </w:rPr>
        <w:t>97,221</w:t>
      </w:r>
      <w:r w:rsidRPr="00AC08D1">
        <w:rPr>
          <w:rFonts w:ascii="Calibri" w:hAnsi="Calibri" w:cs="Calibri"/>
        </w:rPr>
        <w:t>.</w:t>
      </w:r>
    </w:p>
    <w:p w:rsidR="00ED1142" w:rsidRPr="00286AE5" w:rsidP="00286AE5" w14:paraId="582CDD9F" w14:textId="44243AFE">
      <w:pPr>
        <w:pStyle w:val="Heading3"/>
        <w:rPr>
          <w:rFonts w:ascii="Calibri" w:hAnsi="Calibri" w:cs="Calibri"/>
          <w:iCs/>
          <w:szCs w:val="24"/>
        </w:rPr>
      </w:pPr>
      <w:r w:rsidRPr="00286AE5">
        <w:rPr>
          <w:rFonts w:ascii="Calibri" w:hAnsi="Calibri" w:cs="Calibri"/>
        </w:rPr>
        <w:t>TSCA Section 8(c) Recordkeeping and Reporting Requirements for Allegations of Significant Adverse Reactions to Human Health or the Environment</w:t>
      </w:r>
    </w:p>
    <w:p w:rsidR="007E2E3C" w:rsidRPr="00AC08D1" w:rsidP="007E2E3C" w14:paraId="4BE373E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AC08D1">
        <w:rPr>
          <w:rFonts w:ascii="Calibri" w:hAnsi="Calibri" w:cs="Calibri"/>
          <w:color w:val="000000"/>
          <w:szCs w:val="24"/>
        </w:rPr>
        <w:t xml:space="preserve">The information collected by employers under 8(c) on employee health effects will involve the following activities: </w:t>
      </w:r>
    </w:p>
    <w:p w:rsidR="007E2E3C" w:rsidRPr="00AC08D1" w:rsidP="0036096F" w14:paraId="6FE12972" w14:textId="77777777">
      <w:pPr>
        <w:pStyle w:val="ListParagraph"/>
        <w:widowControl w:val="0"/>
        <w:numPr>
          <w:ilvl w:val="0"/>
          <w:numId w:val="13"/>
        </w:numPr>
        <w:spacing w:after="200" w:line="276" w:lineRule="auto"/>
        <w:rPr>
          <w:rFonts w:ascii="Calibri" w:hAnsi="Calibri" w:cs="Calibri"/>
          <w:color w:val="000000"/>
          <w:szCs w:val="24"/>
        </w:rPr>
      </w:pPr>
      <w:r w:rsidRPr="00AC08D1">
        <w:rPr>
          <w:rFonts w:ascii="Calibri" w:hAnsi="Calibri" w:cs="Calibri"/>
          <w:color w:val="000000"/>
          <w:szCs w:val="24"/>
        </w:rPr>
        <w:t>Monitoring recordkeeping by employer.</w:t>
      </w:r>
    </w:p>
    <w:p w:rsidR="007E2E3C" w:rsidRPr="00AC08D1" w:rsidP="0036096F" w14:paraId="2BFFE8C9" w14:textId="77777777">
      <w:pPr>
        <w:pStyle w:val="ListParagraph"/>
        <w:widowControl w:val="0"/>
        <w:numPr>
          <w:ilvl w:val="0"/>
          <w:numId w:val="13"/>
        </w:numPr>
        <w:spacing w:after="200" w:line="276" w:lineRule="auto"/>
        <w:rPr>
          <w:rFonts w:ascii="Calibri" w:hAnsi="Calibri" w:cs="Calibri"/>
          <w:color w:val="000000"/>
          <w:szCs w:val="24"/>
        </w:rPr>
      </w:pPr>
      <w:r w:rsidRPr="00AC08D1">
        <w:rPr>
          <w:rFonts w:ascii="Calibri" w:hAnsi="Calibri" w:cs="Calibri"/>
          <w:color w:val="000000"/>
          <w:szCs w:val="24"/>
        </w:rPr>
        <w:t>Initiating requests that employer report employee health effects.</w:t>
      </w:r>
    </w:p>
    <w:p w:rsidR="007E2E3C" w:rsidRPr="00AC08D1" w:rsidP="0036096F" w14:paraId="13922FEE" w14:textId="77777777">
      <w:pPr>
        <w:pStyle w:val="ListParagraph"/>
        <w:widowControl w:val="0"/>
        <w:numPr>
          <w:ilvl w:val="0"/>
          <w:numId w:val="13"/>
        </w:numPr>
        <w:spacing w:after="200" w:line="276" w:lineRule="auto"/>
        <w:rPr>
          <w:rFonts w:ascii="Calibri" w:hAnsi="Calibri" w:cs="Calibri"/>
          <w:color w:val="000000"/>
          <w:szCs w:val="24"/>
        </w:rPr>
      </w:pPr>
      <w:r w:rsidRPr="00AC08D1">
        <w:rPr>
          <w:rFonts w:ascii="Calibri" w:hAnsi="Calibri" w:cs="Calibri"/>
          <w:color w:val="000000"/>
          <w:szCs w:val="24"/>
        </w:rPr>
        <w:t>Reviewing responses of employer to EPA’s requests.</w:t>
      </w:r>
    </w:p>
    <w:p w:rsidR="007E2E3C" w:rsidRPr="00AC08D1" w:rsidP="0036096F" w14:paraId="6A4566D2" w14:textId="77777777">
      <w:pPr>
        <w:pStyle w:val="ListParagraph"/>
        <w:widowControl w:val="0"/>
        <w:numPr>
          <w:ilvl w:val="0"/>
          <w:numId w:val="13"/>
        </w:numPr>
        <w:spacing w:after="200" w:line="276" w:lineRule="auto"/>
        <w:rPr>
          <w:rFonts w:ascii="Calibri" w:hAnsi="Calibri" w:cs="Calibri"/>
          <w:color w:val="000000"/>
          <w:szCs w:val="24"/>
        </w:rPr>
      </w:pPr>
      <w:r w:rsidRPr="00AC08D1">
        <w:rPr>
          <w:rFonts w:ascii="Calibri" w:hAnsi="Calibri" w:cs="Calibri"/>
          <w:color w:val="000000"/>
          <w:szCs w:val="24"/>
        </w:rPr>
        <w:t>Logging in submissions and reviewing them for confidentiality considerations.</w:t>
      </w:r>
    </w:p>
    <w:p w:rsidR="007E2E3C" w:rsidRPr="00AC08D1" w:rsidP="0036096F" w14:paraId="03866A53" w14:textId="77777777">
      <w:pPr>
        <w:pStyle w:val="ListParagraph"/>
        <w:widowControl w:val="0"/>
        <w:numPr>
          <w:ilvl w:val="0"/>
          <w:numId w:val="13"/>
        </w:numPr>
        <w:spacing w:after="200" w:line="276" w:lineRule="auto"/>
        <w:rPr>
          <w:rFonts w:ascii="Calibri" w:hAnsi="Calibri" w:cs="Calibri"/>
          <w:color w:val="000000"/>
          <w:szCs w:val="24"/>
        </w:rPr>
      </w:pPr>
      <w:r w:rsidRPr="00AC08D1">
        <w:rPr>
          <w:rFonts w:ascii="Calibri" w:hAnsi="Calibri" w:cs="Calibri"/>
          <w:color w:val="000000"/>
          <w:szCs w:val="24"/>
        </w:rPr>
        <w:t>Making copies of submissions available to offices within OPPT that are assessing the substances of concern.</w:t>
      </w:r>
    </w:p>
    <w:p w:rsidR="007E2E3C" w:rsidRPr="00AC08D1" w:rsidP="0036096F" w14:paraId="56A99212" w14:textId="77777777">
      <w:pPr>
        <w:pStyle w:val="ListParagraph"/>
        <w:numPr>
          <w:ilvl w:val="0"/>
          <w:numId w:val="13"/>
        </w:numPr>
        <w:tabs>
          <w:tab w:val="left" w:pos="1080"/>
        </w:tabs>
        <w:spacing w:after="200" w:line="276" w:lineRule="auto"/>
        <w:rPr>
          <w:rFonts w:ascii="Calibri" w:hAnsi="Calibri" w:cs="Calibri"/>
          <w:szCs w:val="24"/>
        </w:rPr>
      </w:pPr>
      <w:r w:rsidRPr="00AC08D1">
        <w:rPr>
          <w:rFonts w:ascii="Calibri" w:hAnsi="Calibri" w:cs="Calibri"/>
          <w:color w:val="000000"/>
          <w:szCs w:val="24"/>
        </w:rPr>
        <w:t>Placing non-confidential versions of the submissions in a public docket and making them available for review by other government agencies and the public.</w:t>
      </w:r>
      <w:r w:rsidRPr="00AC08D1">
        <w:rPr>
          <w:rFonts w:ascii="Calibri" w:hAnsi="Calibri" w:cs="Calibri"/>
          <w:szCs w:val="24"/>
        </w:rPr>
        <w:t xml:space="preserve"> </w:t>
      </w:r>
    </w:p>
    <w:p w:rsidR="003429AF" w:rsidRPr="00301560" w:rsidP="003429AF" w14:paraId="5699F3C9" w14:textId="35F4A2D7">
      <w:pPr>
        <w:rPr>
          <w:rFonts w:ascii="Calibri" w:hAnsi="Calibri" w:cs="Calibri"/>
          <w:szCs w:val="24"/>
        </w:rPr>
      </w:pPr>
      <w:r w:rsidRPr="00301560">
        <w:rPr>
          <w:rFonts w:ascii="Calibri" w:hAnsi="Calibri" w:cs="Calibri"/>
        </w:rPr>
        <w:t>The total annual cost to EPA for TSCA section 8(c) for each of the three years covered by this ICR is estimated to be $</w:t>
      </w:r>
      <w:r w:rsidRPr="20B58B42">
        <w:rPr>
          <w:rFonts w:ascii="Calibri" w:hAnsi="Calibri" w:cs="Calibri"/>
          <w:color w:val="000000"/>
        </w:rPr>
        <w:t>125</w:t>
      </w:r>
      <w:r w:rsidRPr="00301560">
        <w:rPr>
          <w:rFonts w:ascii="Calibri" w:hAnsi="Calibri" w:cs="Calibri"/>
          <w:color w:val="000000"/>
        </w:rPr>
        <w:t>,2</w:t>
      </w:r>
      <w:r w:rsidRPr="20B58B42">
        <w:rPr>
          <w:rFonts w:ascii="Calibri" w:hAnsi="Calibri" w:cs="Calibri"/>
          <w:color w:val="000000"/>
        </w:rPr>
        <w:t>26</w:t>
      </w:r>
      <w:r w:rsidRPr="00301560">
        <w:rPr>
          <w:rFonts w:ascii="Calibri" w:hAnsi="Calibri" w:cs="Calibri"/>
        </w:rPr>
        <w:t xml:space="preserve">. This figure is based on activities identified in the 1986 and 1989 ICRs. Costs are estimated based on wages for GS-15 Step 1, GS-13 Step 1, and GS-12 Step 1 employees shown in </w:t>
      </w:r>
      <w:r w:rsidRPr="20EE0D44">
        <w:rPr>
          <w:rFonts w:ascii="Calibri" w:hAnsi="Calibri" w:cs="Calibri"/>
        </w:rPr>
        <w:fldChar w:fldCharType="begin"/>
      </w:r>
      <w:r w:rsidRPr="20EE0D44">
        <w:rPr>
          <w:rFonts w:ascii="Calibri" w:hAnsi="Calibri" w:cs="Calibri"/>
        </w:rPr>
        <w:instrText xml:space="preserve"> REF _Ref94265890 \h  \* MERGEFORMAT </w:instrText>
      </w:r>
      <w:r w:rsidRPr="20EE0D44">
        <w:rPr>
          <w:rFonts w:ascii="Calibri" w:hAnsi="Calibri" w:cs="Calibri"/>
        </w:rPr>
        <w:fldChar w:fldCharType="separate"/>
      </w:r>
      <w:r w:rsidRPr="00301560">
        <w:rPr>
          <w:rFonts w:ascii="Calibri" w:hAnsi="Calibri" w:cs="Calibri"/>
        </w:rPr>
        <w:t xml:space="preserve">Table </w:t>
      </w:r>
      <w:r w:rsidRPr="00301560">
        <w:rPr>
          <w:rFonts w:ascii="Calibri" w:hAnsi="Calibri" w:cs="Calibri"/>
          <w:noProof/>
        </w:rPr>
        <w:t>20</w:t>
      </w:r>
      <w:r w:rsidRPr="20EE0D44">
        <w:rPr>
          <w:rFonts w:ascii="Calibri" w:hAnsi="Calibri" w:cs="Calibri"/>
        </w:rPr>
        <w:fldChar w:fldCharType="end"/>
      </w:r>
      <w:r w:rsidRPr="00301560">
        <w:rPr>
          <w:rFonts w:ascii="Calibri" w:hAnsi="Calibri" w:cs="Calibri"/>
        </w:rPr>
        <w:t xml:space="preserve">. </w:t>
      </w:r>
    </w:p>
    <w:p w:rsidR="003429AF" w:rsidRPr="00301560" w:rsidP="003429AF" w14:paraId="6B2A53CA" w14:textId="77777777">
      <w:pPr>
        <w:rPr>
          <w:rFonts w:ascii="Calibri" w:hAnsi="Calibri" w:cs="Calibri"/>
        </w:rPr>
      </w:pPr>
      <w:r w:rsidRPr="00301560">
        <w:rPr>
          <w:rFonts w:ascii="Calibri" w:hAnsi="Calibri" w:cs="Calibri"/>
        </w:rPr>
        <w:t>Annual costs to EPA associated with the recordkeeping portion of the rule include general administration of the rule, education and outreach activities, and compliance monitoring. Costs associated with reporting involve preparation of reporting notices, Federal Register printing costs, and document review. Annual costs to EPA are derived based on an analysis of the cost of performing these various activities. The various factors that contribute to EPA costs include:</w:t>
      </w:r>
    </w:p>
    <w:p w:rsidR="00286AE5" w:rsidP="00286AE5" w14:paraId="32457DFA" w14:textId="77777777">
      <w:pPr>
        <w:pStyle w:val="Level1"/>
        <w:numPr>
          <w:ilvl w:val="0"/>
          <w:numId w:val="0"/>
        </w:numPr>
        <w:tabs>
          <w:tab w:val="left" w:pos="720"/>
        </w:tabs>
        <w:ind w:left="720" w:hanging="720"/>
        <w:outlineLvl w:val="9"/>
        <w:rPr>
          <w:rFonts w:ascii="Calibri" w:hAnsi="Calibri" w:cs="Calibri"/>
        </w:rPr>
      </w:pPr>
      <w:r w:rsidRPr="00301560">
        <w:rPr>
          <w:rFonts w:ascii="Calibri" w:hAnsi="Calibri" w:cs="Calibri"/>
        </w:rPr>
        <w:t>Each year, general administration of the rule involves approximately one-tenth of a staff</w:t>
      </w:r>
    </w:p>
    <w:p w:rsidR="00286AE5" w:rsidP="00286AE5" w14:paraId="5616BF20" w14:textId="77777777">
      <w:pPr>
        <w:pStyle w:val="Level1"/>
        <w:numPr>
          <w:ilvl w:val="0"/>
          <w:numId w:val="0"/>
        </w:numPr>
        <w:tabs>
          <w:tab w:val="left" w:pos="720"/>
        </w:tabs>
        <w:ind w:left="720" w:hanging="720"/>
        <w:outlineLvl w:val="9"/>
        <w:rPr>
          <w:rFonts w:ascii="Calibri" w:hAnsi="Calibri" w:cs="Calibri"/>
        </w:rPr>
      </w:pPr>
      <w:r w:rsidRPr="00301560">
        <w:rPr>
          <w:rFonts w:ascii="Calibri" w:hAnsi="Calibri" w:cs="Calibri"/>
        </w:rPr>
        <w:t>specialist’s time plus approximately one week’s time each for two management personnel at</w:t>
      </w:r>
    </w:p>
    <w:p w:rsidR="003429AF" w:rsidP="00286AE5" w14:paraId="51DD4A31" w14:textId="1BE768AB">
      <w:pPr>
        <w:pStyle w:val="Level1"/>
        <w:numPr>
          <w:ilvl w:val="0"/>
          <w:numId w:val="0"/>
        </w:numPr>
        <w:tabs>
          <w:tab w:val="left" w:pos="720"/>
        </w:tabs>
        <w:ind w:left="720" w:hanging="720"/>
        <w:outlineLvl w:val="9"/>
        <w:rPr>
          <w:rFonts w:ascii="Calibri" w:hAnsi="Calibri" w:cs="Calibri"/>
        </w:rPr>
      </w:pPr>
      <w:r w:rsidRPr="00301560">
        <w:rPr>
          <w:rFonts w:ascii="Calibri" w:hAnsi="Calibri" w:cs="Calibri"/>
        </w:rPr>
        <w:t>the branch, division</w:t>
      </w:r>
      <w:r w:rsidR="00512809">
        <w:rPr>
          <w:rFonts w:ascii="Calibri" w:hAnsi="Calibri" w:cs="Calibri"/>
        </w:rPr>
        <w:t>,</w:t>
      </w:r>
      <w:r w:rsidRPr="00301560">
        <w:rPr>
          <w:rFonts w:ascii="Calibri" w:hAnsi="Calibri" w:cs="Calibri"/>
        </w:rPr>
        <w:t xml:space="preserve"> and OPPT Office Director’s level.</w:t>
      </w:r>
    </w:p>
    <w:p w:rsidR="00286AE5" w:rsidRPr="00301560" w:rsidP="00286AE5" w14:paraId="5D5119F0" w14:textId="77777777">
      <w:pPr>
        <w:pStyle w:val="Level1"/>
        <w:numPr>
          <w:ilvl w:val="0"/>
          <w:numId w:val="0"/>
        </w:numPr>
        <w:tabs>
          <w:tab w:val="left" w:pos="720"/>
        </w:tabs>
        <w:ind w:left="720" w:hanging="720"/>
        <w:outlineLvl w:val="9"/>
        <w:rPr>
          <w:rFonts w:ascii="Calibri" w:hAnsi="Calibri" w:cs="Calibri"/>
        </w:rPr>
      </w:pPr>
    </w:p>
    <w:p w:rsidR="003429AF" w:rsidRPr="00301560" w:rsidP="003429AF" w14:paraId="31742387" w14:textId="7E177EDF">
      <w:pPr>
        <w:rPr>
          <w:rFonts w:ascii="Calibri" w:hAnsi="Calibri" w:cs="Calibri"/>
        </w:rPr>
      </w:pPr>
      <w:r w:rsidRPr="00301560">
        <w:rPr>
          <w:rFonts w:ascii="Calibri" w:eastAsia="Times New Roman" w:hAnsi="Calibri" w:cs="Calibri"/>
          <w:szCs w:val="24"/>
          <w:lang w:eastAsia="ko-KR"/>
        </w:rPr>
        <w:t>Education and outreach activities will include ongoing rule support</w:t>
      </w:r>
      <w:r>
        <w:rPr>
          <w:rFonts w:ascii="Calibri" w:hAnsi="Calibri" w:cs="Calibri"/>
        </w:rPr>
        <w:t xml:space="preserve"> and could potentially include testing of reporting applications and CDX (both by EPA and support contractors, and potentially voluntarily by external testers if appropriate)</w:t>
      </w:r>
      <w:r w:rsidRPr="00301560">
        <w:rPr>
          <w:rFonts w:ascii="Calibri" w:eastAsia="Times New Roman" w:hAnsi="Calibri" w:cs="Calibri"/>
          <w:szCs w:val="24"/>
          <w:lang w:eastAsia="ko-KR"/>
        </w:rPr>
        <w:t>.</w:t>
      </w:r>
      <w:r>
        <w:rPr>
          <w:rFonts w:ascii="Calibri" w:hAnsi="Calibri" w:cs="Calibri"/>
        </w:rPr>
        <w:t xml:space="preserve"> </w:t>
      </w:r>
      <w:r w:rsidRPr="00301560">
        <w:rPr>
          <w:rFonts w:ascii="Calibri" w:hAnsi="Calibri" w:cs="Calibri"/>
        </w:rPr>
        <w:t>Compliance monitoring costs primarily involve the costs of the TSCA section 8(c) portion of inspection carried out by regional personnel and other administrative costs for headquarters personnel to target and review results of such inspections.</w:t>
      </w:r>
      <w:r w:rsidRPr="000376AD">
        <w:rPr>
          <w:rFonts w:ascii="Calibri" w:hAnsi="Calibri" w:cs="Calibri"/>
        </w:rPr>
        <w:t xml:space="preserve"> </w:t>
      </w:r>
      <w:r w:rsidRPr="00301560">
        <w:rPr>
          <w:rFonts w:ascii="Calibri" w:hAnsi="Calibri" w:cs="Calibri"/>
        </w:rPr>
        <w:t xml:space="preserve">To date, a total of only 31 reports have been received. Based on historical data, over the life of the rule an average of only 0.08 notices have been issued per year and an average of only 1.3 reports received. EPA expects that reporting activity under TSCA section 8(c) will remain at low levels during the period covered by this ICR renewal. EPA costs associated with reporting have been adjusted to reflect this large decrease in the level of expected activity. Labor involved in developing the reporting notices will require decision </w:t>
      </w:r>
      <w:r w:rsidRPr="00301560">
        <w:rPr>
          <w:rFonts w:ascii="Calibri" w:hAnsi="Calibri" w:cs="Calibri"/>
        </w:rPr>
        <w:t>meetings and either the development of letters, separate Federal Register notices, or the insertion of boilerplate segments in other rule preambles.</w:t>
      </w:r>
    </w:p>
    <w:p w:rsidR="00286AE5" w:rsidP="00286AE5" w14:paraId="753869D8" w14:textId="77777777">
      <w:pPr>
        <w:pStyle w:val="Level1"/>
        <w:numPr>
          <w:ilvl w:val="0"/>
          <w:numId w:val="19"/>
        </w:numPr>
        <w:tabs>
          <w:tab w:val="left" w:pos="720"/>
        </w:tabs>
        <w:spacing w:after="200" w:line="276" w:lineRule="auto"/>
        <w:outlineLvl w:val="9"/>
        <w:rPr>
          <w:rFonts w:ascii="Calibri" w:hAnsi="Calibri" w:cs="Calibri"/>
        </w:rPr>
      </w:pPr>
      <w:r w:rsidRPr="00301560">
        <w:rPr>
          <w:rFonts w:ascii="Calibri" w:hAnsi="Calibri" w:cs="Calibri"/>
        </w:rPr>
        <w:t>Time will be required to process submissions based upon reporting requirements and to review them for confidentiality considerations.</w:t>
      </w:r>
    </w:p>
    <w:p w:rsidR="00286AE5" w:rsidP="00286AE5" w14:paraId="2923D81F" w14:textId="77777777">
      <w:pPr>
        <w:pStyle w:val="Level1"/>
        <w:numPr>
          <w:ilvl w:val="0"/>
          <w:numId w:val="19"/>
        </w:numPr>
        <w:tabs>
          <w:tab w:val="left" w:pos="720"/>
        </w:tabs>
        <w:spacing w:after="200" w:line="276" w:lineRule="auto"/>
        <w:outlineLvl w:val="9"/>
        <w:rPr>
          <w:rFonts w:ascii="Calibri" w:hAnsi="Calibri" w:cs="Calibri"/>
        </w:rPr>
      </w:pPr>
      <w:r w:rsidRPr="00286AE5">
        <w:rPr>
          <w:rFonts w:ascii="Calibri" w:hAnsi="Calibri" w:cs="Calibri"/>
        </w:rPr>
        <w:t>The Federal Register notices will be reviewed by the office directly requesting the information as well as by OPPT.</w:t>
      </w:r>
    </w:p>
    <w:p w:rsidR="007E2E3C" w:rsidRPr="00286AE5" w:rsidP="00286AE5" w14:paraId="5D2BA469" w14:textId="6CCA54CB">
      <w:pPr>
        <w:pStyle w:val="Level1"/>
        <w:numPr>
          <w:ilvl w:val="0"/>
          <w:numId w:val="0"/>
        </w:numPr>
        <w:tabs>
          <w:tab w:val="left" w:pos="720"/>
        </w:tabs>
        <w:spacing w:after="200" w:line="276" w:lineRule="auto"/>
        <w:outlineLvl w:val="9"/>
        <w:rPr>
          <w:rFonts w:ascii="Calibri" w:hAnsi="Calibri" w:cs="Calibri"/>
        </w:rPr>
      </w:pPr>
      <w:r w:rsidRPr="00286AE5">
        <w:rPr>
          <w:rFonts w:ascii="Calibri" w:hAnsi="Calibri" w:cs="Calibri"/>
        </w:rPr>
        <w:fldChar w:fldCharType="begin"/>
      </w:r>
      <w:r w:rsidRPr="00286AE5">
        <w:rPr>
          <w:rFonts w:ascii="Calibri" w:hAnsi="Calibri" w:cs="Calibri"/>
        </w:rPr>
        <w:instrText xml:space="preserve"> REF _Ref94265890 \h  \* MERGEFORMAT </w:instrText>
      </w:r>
      <w:r w:rsidRPr="00286AE5">
        <w:rPr>
          <w:rFonts w:ascii="Calibri" w:hAnsi="Calibri" w:cs="Calibri"/>
        </w:rPr>
        <w:fldChar w:fldCharType="separate"/>
      </w:r>
      <w:r w:rsidRPr="00286AE5">
        <w:rPr>
          <w:rFonts w:ascii="Calibri" w:hAnsi="Calibri" w:cs="Calibri"/>
        </w:rPr>
        <w:fldChar w:fldCharType="end"/>
      </w:r>
      <w:r w:rsidRPr="00286AE5">
        <w:rPr>
          <w:rFonts w:ascii="Calibri" w:hAnsi="Calibri" w:eastAsiaTheme="minorHAnsi" w:cs="Calibri"/>
          <w:szCs w:val="22"/>
          <w:lang w:eastAsia="en-US"/>
        </w:rPr>
        <w:t xml:space="preserve">Table </w:t>
      </w:r>
      <w:r w:rsidRPr="00286AE5">
        <w:rPr>
          <w:rFonts w:ascii="Calibri" w:hAnsi="Calibri" w:cs="Calibri"/>
        </w:rPr>
        <w:t>2</w:t>
      </w:r>
      <w:r w:rsidRPr="00286AE5" w:rsidR="00286AE5">
        <w:rPr>
          <w:rFonts w:ascii="Calibri" w:hAnsi="Calibri" w:cs="Calibri"/>
        </w:rPr>
        <w:t>5</w:t>
      </w:r>
      <w:r w:rsidRPr="00286AE5">
        <w:rPr>
          <w:rFonts w:ascii="Calibri" w:hAnsi="Calibri" w:eastAsiaTheme="minorHAnsi" w:cs="Calibri"/>
          <w:szCs w:val="22"/>
          <w:lang w:eastAsia="en-US"/>
        </w:rPr>
        <w:t xml:space="preserve"> presents a summary of Agency annual burden and costs with burden totaling as 1,258 hours with an annual cost of $1</w:t>
      </w:r>
      <w:r w:rsidRPr="00286AE5">
        <w:rPr>
          <w:rFonts w:ascii="Calibri" w:hAnsi="Calibri" w:cs="Calibri"/>
        </w:rPr>
        <w:t>25,226</w:t>
      </w:r>
      <w:r w:rsidRPr="00286AE5">
        <w:rPr>
          <w:rFonts w:ascii="Calibri" w:hAnsi="Calibri" w:cs="Calibri"/>
        </w:rPr>
        <w:t>.</w:t>
      </w:r>
    </w:p>
    <w:p w:rsidR="007E2E3C" w:rsidRPr="00AC08D1" w:rsidP="00AC08D1" w14:paraId="6E4F25A3" w14:textId="42A62152">
      <w:pPr>
        <w:pStyle w:val="Caption"/>
        <w:outlineLvl w:val="9"/>
        <w:rPr>
          <w:rFonts w:ascii="Calibri" w:hAnsi="Calibri" w:cs="Calibri"/>
          <w:szCs w:val="24"/>
        </w:rPr>
      </w:pPr>
      <w:bookmarkStart w:id="41" w:name="_Ref95925911"/>
      <w:r w:rsidRPr="00AC08D1">
        <w:rPr>
          <w:rFonts w:ascii="Calibri" w:hAnsi="Calibri" w:cs="Calibri"/>
        </w:rPr>
        <w:t xml:space="preserve">Table </w:t>
      </w:r>
      <w:bookmarkEnd w:id="41"/>
      <w:r w:rsidRPr="00AC08D1" w:rsidR="009200C4">
        <w:rPr>
          <w:rFonts w:ascii="Calibri" w:hAnsi="Calibri" w:cs="Calibri"/>
        </w:rPr>
        <w:t>2</w:t>
      </w:r>
      <w:r w:rsidR="00286AE5">
        <w:rPr>
          <w:rFonts w:ascii="Calibri" w:hAnsi="Calibri" w:cs="Calibri"/>
        </w:rPr>
        <w:t>5</w:t>
      </w:r>
      <w:r w:rsidRPr="00AC08D1">
        <w:rPr>
          <w:rFonts w:ascii="Calibri" w:hAnsi="Calibri" w:cs="Calibri"/>
        </w:rPr>
        <w:t>. Agency Annual Burden and Cost Estimates for TSCA Section 8(c)</w:t>
      </w:r>
    </w:p>
    <w:tbl>
      <w:tblPr>
        <w:tblW w:w="9480" w:type="dxa"/>
        <w:tblInd w:w="5" w:type="dxa"/>
        <w:tblLook w:val="04A0"/>
      </w:tblPr>
      <w:tblGrid>
        <w:gridCol w:w="4645"/>
        <w:gridCol w:w="2344"/>
        <w:gridCol w:w="1056"/>
        <w:gridCol w:w="1435"/>
      </w:tblGrid>
      <w:tr w14:paraId="2BDE249F" w14:textId="77777777" w:rsidTr="2D725C34">
        <w:tblPrEx>
          <w:tblW w:w="9480" w:type="dxa"/>
          <w:tblInd w:w="5" w:type="dxa"/>
          <w:tblLook w:val="04A0"/>
        </w:tblPrEx>
        <w:trPr>
          <w:trHeight w:val="636"/>
        </w:trPr>
        <w:tc>
          <w:tcPr>
            <w:tcW w:w="464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AC08D1" w14:paraId="6D63C1B8"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Activity</w:t>
            </w:r>
          </w:p>
        </w:tc>
        <w:tc>
          <w:tcPr>
            <w:tcW w:w="2344"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AC08D1" w14:paraId="270B9214"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GS-Level</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AC08D1" w14:paraId="01EFC1D7"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Burden Hours</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hideMark/>
          </w:tcPr>
          <w:p w:rsidR="007E2E3C" w:rsidRPr="00AC08D1" w14:paraId="65EC0DE6"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Annual Cost</w:t>
            </w:r>
          </w:p>
        </w:tc>
      </w:tr>
      <w:tr w14:paraId="2DE5800C" w14:textId="77777777" w:rsidTr="2D725C34">
        <w:tblPrEx>
          <w:tblW w:w="9480" w:type="dxa"/>
          <w:tblInd w:w="5" w:type="dxa"/>
          <w:tblLook w:val="04A0"/>
        </w:tblPrEx>
        <w:trPr>
          <w:trHeight w:val="300"/>
        </w:trPr>
        <w:tc>
          <w:tcPr>
            <w:tcW w:w="4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042FC01B"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Administrative maintenance</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36E98534"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GS-13 Step 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37A7FAFA"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208</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42540F8E" w14:textId="07CEB4D9">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$23,122</w:t>
            </w:r>
          </w:p>
        </w:tc>
      </w:tr>
      <w:tr w14:paraId="1655535E" w14:textId="77777777" w:rsidTr="2D725C34">
        <w:tblPrEx>
          <w:tblW w:w="9480" w:type="dxa"/>
          <w:tblInd w:w="5" w:type="dxa"/>
          <w:tblLook w:val="04A0"/>
        </w:tblPrEx>
        <w:trPr>
          <w:trHeight w:val="300"/>
        </w:trPr>
        <w:tc>
          <w:tcPr>
            <w:tcW w:w="4645" w:type="dxa"/>
            <w:vMerge/>
            <w:vAlign w:val="center"/>
            <w:hideMark/>
          </w:tcPr>
          <w:p w:rsidR="007E2E3C" w:rsidRPr="00AC08D1" w14:paraId="586E0E72" w14:textId="77777777">
            <w:pPr>
              <w:spacing w:after="0" w:line="240" w:lineRule="auto"/>
              <w:rPr>
                <w:rFonts w:ascii="Calibri" w:eastAsia="Times New Roman" w:hAnsi="Calibri" w:cs="Calibri"/>
                <w:color w:val="000000"/>
                <w:szCs w:val="24"/>
              </w:rPr>
            </w:pP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112D0D33"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GS-15 Step 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08601295"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80</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68B58251" w14:textId="3AFA47B0">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w:t>
            </w:r>
            <w:r w:rsidRPr="2D725C34" w:rsidR="003429AF">
              <w:rPr>
                <w:rFonts w:ascii="Calibri" w:eastAsia="Times New Roman" w:hAnsi="Calibri" w:cs="Calibri"/>
                <w:color w:val="000000" w:themeColor="text1"/>
                <w:sz w:val="20"/>
                <w:szCs w:val="20"/>
              </w:rPr>
              <w:t>12,361</w:t>
            </w:r>
          </w:p>
        </w:tc>
      </w:tr>
      <w:tr w14:paraId="453E4496" w14:textId="77777777" w:rsidTr="2D725C34">
        <w:tblPrEx>
          <w:tblW w:w="9480" w:type="dxa"/>
          <w:tblInd w:w="5" w:type="dxa"/>
          <w:tblLook w:val="04A0"/>
        </w:tblPrEx>
        <w:trPr>
          <w:trHeight w:val="300"/>
        </w:trPr>
        <w:tc>
          <w:tcPr>
            <w:tcW w:w="6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626BECE0" w14:textId="77777777">
            <w:pPr>
              <w:spacing w:after="0" w:line="240" w:lineRule="auto"/>
              <w:rPr>
                <w:rFonts w:ascii="Calibri" w:eastAsia="Times New Roman" w:hAnsi="Calibri" w:cs="Calibri"/>
                <w:i/>
                <w:color w:val="000000"/>
                <w:sz w:val="20"/>
                <w:szCs w:val="20"/>
              </w:rPr>
            </w:pPr>
            <w:r w:rsidRPr="2D725C34">
              <w:rPr>
                <w:rFonts w:ascii="Calibri" w:eastAsia="Times New Roman" w:hAnsi="Calibri" w:cs="Calibri"/>
                <w:i/>
                <w:color w:val="000000" w:themeColor="text1"/>
                <w:sz w:val="20"/>
                <w:szCs w:val="20"/>
              </w:rPr>
              <w:t>Subtotal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616B4243"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288</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6AD9EBF7" w14:textId="2E9CF3FE">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w:t>
            </w:r>
            <w:r w:rsidRPr="2D725C34" w:rsidR="003429AF">
              <w:rPr>
                <w:rFonts w:ascii="Calibri" w:eastAsia="Times New Roman" w:hAnsi="Calibri" w:cs="Calibri"/>
                <w:color w:val="000000" w:themeColor="text1"/>
                <w:sz w:val="20"/>
                <w:szCs w:val="20"/>
              </w:rPr>
              <w:t>35,483</w:t>
            </w:r>
          </w:p>
        </w:tc>
      </w:tr>
      <w:tr w14:paraId="3B68B21C" w14:textId="77777777" w:rsidTr="2D725C34">
        <w:tblPrEx>
          <w:tblW w:w="9480" w:type="dxa"/>
          <w:tblInd w:w="5" w:type="dxa"/>
          <w:tblLook w:val="04A0"/>
        </w:tblPrEx>
        <w:trPr>
          <w:trHeight w:val="300"/>
        </w:trPr>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00DA1107"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Education/Outreach</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48CBE78C"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GS-12 Step 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517ED3EE"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240</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09953040" w14:textId="6755D792">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w:t>
            </w:r>
            <w:r w:rsidRPr="2D725C34" w:rsidR="00AC08D1">
              <w:rPr>
                <w:rFonts w:ascii="Calibri" w:eastAsia="Times New Roman" w:hAnsi="Calibri" w:cs="Calibri"/>
                <w:color w:val="000000" w:themeColor="text1"/>
                <w:sz w:val="20"/>
                <w:szCs w:val="20"/>
              </w:rPr>
              <w:t>22,436</w:t>
            </w:r>
          </w:p>
        </w:tc>
      </w:tr>
      <w:tr w14:paraId="64ED5CF5" w14:textId="77777777" w:rsidTr="2D725C34">
        <w:tblPrEx>
          <w:tblW w:w="9480" w:type="dxa"/>
          <w:tblInd w:w="5" w:type="dxa"/>
          <w:tblLook w:val="04A0"/>
        </w:tblPrEx>
        <w:trPr>
          <w:trHeight w:val="300"/>
        </w:trPr>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3A85B21E"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Compliance monitoring</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360EE97D"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GS-12 Step 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752029E9"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400</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6DF4D71D" w14:textId="564934EF">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w:t>
            </w:r>
            <w:r w:rsidRPr="2D725C34" w:rsidR="00AC08D1">
              <w:rPr>
                <w:rFonts w:ascii="Calibri" w:eastAsia="Times New Roman" w:hAnsi="Calibri" w:cs="Calibri"/>
                <w:color w:val="000000" w:themeColor="text1"/>
                <w:sz w:val="20"/>
                <w:szCs w:val="20"/>
              </w:rPr>
              <w:t>37,393</w:t>
            </w:r>
          </w:p>
        </w:tc>
      </w:tr>
      <w:tr w14:paraId="6493D6BE" w14:textId="77777777" w:rsidTr="2D725C34">
        <w:tblPrEx>
          <w:tblW w:w="9480" w:type="dxa"/>
          <w:tblInd w:w="5" w:type="dxa"/>
          <w:tblLook w:val="04A0"/>
        </w:tblPrEx>
        <w:trPr>
          <w:trHeight w:val="300"/>
        </w:trPr>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011412BA" w14:textId="77777777">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Develop reporting notices</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7A1F1660"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GS-12 Step 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15AA528C"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160</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422D72A4" w14:textId="5180909C">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w:t>
            </w:r>
            <w:r w:rsidRPr="2D725C34" w:rsidR="00AC08D1">
              <w:rPr>
                <w:rFonts w:ascii="Calibri" w:eastAsia="Times New Roman" w:hAnsi="Calibri" w:cs="Calibri"/>
                <w:color w:val="000000" w:themeColor="text1"/>
                <w:sz w:val="20"/>
                <w:szCs w:val="20"/>
              </w:rPr>
              <w:t>14,957</w:t>
            </w:r>
          </w:p>
        </w:tc>
      </w:tr>
      <w:tr w14:paraId="168E9CE8" w14:textId="77777777" w:rsidTr="2D725C34">
        <w:tblPrEx>
          <w:tblW w:w="9480" w:type="dxa"/>
          <w:tblInd w:w="5" w:type="dxa"/>
          <w:tblLook w:val="04A0"/>
        </w:tblPrEx>
        <w:trPr>
          <w:trHeight w:val="300"/>
        </w:trPr>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16A216B6" w14:textId="0460A04C">
            <w:pPr>
              <w:spacing w:after="0" w:line="240" w:lineRule="auto"/>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Notice review, referral, and data entry</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634DF5DE"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GS-12 Step 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40DE36DE" w14:textId="77777777">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160</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27EBA7BC" w14:textId="4C389E11">
            <w:pPr>
              <w:spacing w:after="0" w:line="240" w:lineRule="auto"/>
              <w:jc w:val="center"/>
              <w:rPr>
                <w:rFonts w:ascii="Calibri" w:eastAsia="Times New Roman" w:hAnsi="Calibri" w:cs="Calibri"/>
                <w:color w:val="000000"/>
                <w:sz w:val="20"/>
                <w:szCs w:val="20"/>
              </w:rPr>
            </w:pPr>
            <w:r w:rsidRPr="2D725C34">
              <w:rPr>
                <w:rFonts w:ascii="Calibri" w:eastAsia="Times New Roman" w:hAnsi="Calibri" w:cs="Calibri"/>
                <w:color w:val="000000" w:themeColor="text1"/>
                <w:sz w:val="20"/>
                <w:szCs w:val="20"/>
              </w:rPr>
              <w:t>$</w:t>
            </w:r>
            <w:r w:rsidRPr="2D725C34" w:rsidR="00AC08D1">
              <w:rPr>
                <w:rFonts w:ascii="Calibri" w:eastAsia="Times New Roman" w:hAnsi="Calibri" w:cs="Calibri"/>
                <w:color w:val="000000" w:themeColor="text1"/>
                <w:sz w:val="20"/>
                <w:szCs w:val="20"/>
              </w:rPr>
              <w:t>14,957</w:t>
            </w:r>
          </w:p>
        </w:tc>
      </w:tr>
      <w:tr w14:paraId="7457BB96" w14:textId="77777777" w:rsidTr="2D725C34">
        <w:tblPrEx>
          <w:tblW w:w="9480" w:type="dxa"/>
          <w:tblInd w:w="5" w:type="dxa"/>
          <w:tblLook w:val="04A0"/>
        </w:tblPrEx>
        <w:trPr>
          <w:trHeight w:val="300"/>
        </w:trPr>
        <w:tc>
          <w:tcPr>
            <w:tcW w:w="6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14:paraId="7826404D" w14:textId="77777777">
            <w:pPr>
              <w:spacing w:after="0" w:line="240" w:lineRule="auto"/>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Total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6E7DC9DF" w14:textId="77777777">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1,258</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3C" w:rsidRPr="00AC08D1" w:rsidP="007479B4" w14:paraId="6AB6729C" w14:textId="3314D382">
            <w:pPr>
              <w:spacing w:after="0" w:line="240" w:lineRule="auto"/>
              <w:jc w:val="center"/>
              <w:rPr>
                <w:rFonts w:ascii="Calibri" w:eastAsia="Times New Roman" w:hAnsi="Calibri" w:cs="Calibri"/>
                <w:b/>
                <w:color w:val="000000"/>
                <w:sz w:val="20"/>
                <w:szCs w:val="20"/>
              </w:rPr>
            </w:pPr>
            <w:r w:rsidRPr="2D725C34">
              <w:rPr>
                <w:rFonts w:ascii="Calibri" w:eastAsia="Times New Roman" w:hAnsi="Calibri" w:cs="Calibri"/>
                <w:b/>
                <w:color w:val="000000" w:themeColor="text1"/>
                <w:sz w:val="20"/>
                <w:szCs w:val="20"/>
              </w:rPr>
              <w:t>$</w:t>
            </w:r>
            <w:r w:rsidRPr="2D725C34" w:rsidR="00AC08D1">
              <w:rPr>
                <w:rFonts w:ascii="Calibri" w:eastAsia="Times New Roman" w:hAnsi="Calibri" w:cs="Calibri"/>
                <w:b/>
                <w:color w:val="000000" w:themeColor="text1"/>
                <w:sz w:val="20"/>
                <w:szCs w:val="20"/>
              </w:rPr>
              <w:t>125,226</w:t>
            </w:r>
          </w:p>
        </w:tc>
      </w:tr>
    </w:tbl>
    <w:p w:rsidR="007E2E3C" w:rsidP="007E2E3C" w14:paraId="64C45F6D" w14:textId="77777777">
      <w:pPr>
        <w:widowControl w:val="0"/>
        <w:rPr>
          <w:rFonts w:ascii="Calibri" w:hAnsi="Calibri" w:cs="Calibri"/>
          <w:color w:val="000000"/>
          <w:szCs w:val="24"/>
        </w:rPr>
      </w:pPr>
    </w:p>
    <w:p w:rsidR="006C193A" w:rsidRPr="00CF79A0" w:rsidP="00CF79A0" w14:paraId="3189BF65" w14:textId="0E602CC6">
      <w:pPr>
        <w:pStyle w:val="Heading3"/>
        <w:rPr>
          <w:rFonts w:ascii="Calibri" w:hAnsi="Calibri" w:cs="Calibri"/>
          <w:iCs/>
          <w:szCs w:val="24"/>
        </w:rPr>
      </w:pPr>
      <w:r w:rsidRPr="00CF79A0">
        <w:rPr>
          <w:rFonts w:ascii="Calibri" w:hAnsi="Calibri" w:cs="Calibri"/>
        </w:rPr>
        <w:t>TSCA Section 8(d) Health and Safety Data Reporting, Submission of Lists and Copies of Health and Safety Studies</w:t>
      </w:r>
    </w:p>
    <w:p w:rsidR="007E2E3C" w:rsidRPr="00AC08D1" w:rsidP="007E2E3C" w14:paraId="4F024414" w14:textId="77777777">
      <w:pPr>
        <w:pStyle w:val="ListParagraph"/>
        <w:widowControl w:val="0"/>
        <w:ind w:left="0"/>
        <w:rPr>
          <w:rFonts w:ascii="Calibri" w:hAnsi="Calibri" w:cs="Calibri"/>
          <w:color w:val="000000"/>
          <w:szCs w:val="24"/>
        </w:rPr>
      </w:pPr>
      <w:r w:rsidRPr="00AC08D1">
        <w:rPr>
          <w:rFonts w:ascii="Calibri" w:hAnsi="Calibri" w:cs="Calibri"/>
          <w:color w:val="000000"/>
          <w:szCs w:val="24"/>
        </w:rPr>
        <w:t>The activities routinely conducted by EPA related to the rule development, processing, analysis and storage of the information collected under this rule include the following:</w:t>
      </w:r>
    </w:p>
    <w:p w:rsidR="007E2E3C" w:rsidRPr="00AC08D1" w:rsidP="0036096F" w14:paraId="24FA95E0" w14:textId="77777777">
      <w:pPr>
        <w:pStyle w:val="a"/>
        <w:numPr>
          <w:ilvl w:val="0"/>
          <w:numId w:val="20"/>
        </w:numPr>
        <w:spacing w:after="200" w:line="276" w:lineRule="auto"/>
        <w:rPr>
          <w:rFonts w:ascii="Calibri" w:hAnsi="Calibri" w:cs="Calibri"/>
          <w:color w:val="000000"/>
          <w:szCs w:val="24"/>
        </w:rPr>
      </w:pPr>
      <w:r w:rsidRPr="00AC08D1">
        <w:rPr>
          <w:rFonts w:ascii="Calibri" w:hAnsi="Calibri" w:cs="Calibri"/>
          <w:color w:val="000000"/>
          <w:szCs w:val="24"/>
        </w:rPr>
        <w:t>Review and select chemicals;</w:t>
      </w:r>
    </w:p>
    <w:p w:rsidR="007E2E3C" w:rsidRPr="00AC08D1" w:rsidP="0036096F" w14:paraId="3C54675A" w14:textId="666B35A2">
      <w:pPr>
        <w:pStyle w:val="a"/>
        <w:numPr>
          <w:ilvl w:val="0"/>
          <w:numId w:val="20"/>
        </w:numPr>
        <w:spacing w:after="200" w:line="276" w:lineRule="auto"/>
        <w:rPr>
          <w:rFonts w:ascii="Calibri" w:hAnsi="Calibri" w:cs="Calibri"/>
          <w:color w:val="000000"/>
          <w:szCs w:val="24"/>
        </w:rPr>
      </w:pPr>
      <w:r w:rsidRPr="00AC08D1">
        <w:rPr>
          <w:rFonts w:ascii="Calibri" w:hAnsi="Calibri" w:cs="Calibri"/>
          <w:color w:val="000000"/>
          <w:szCs w:val="24"/>
        </w:rPr>
        <w:t>Develop and issue an amendment to the TSCA section 8(d) rule to add the substances or mixtures;</w:t>
      </w:r>
    </w:p>
    <w:p w:rsidR="007E2E3C" w:rsidRPr="00AC08D1" w:rsidP="0036096F" w14:paraId="0D0DAB49" w14:textId="77777777">
      <w:pPr>
        <w:pStyle w:val="a"/>
        <w:numPr>
          <w:ilvl w:val="0"/>
          <w:numId w:val="20"/>
        </w:numPr>
        <w:spacing w:after="200" w:line="276" w:lineRule="auto"/>
        <w:rPr>
          <w:rFonts w:ascii="Calibri" w:hAnsi="Calibri" w:cs="Calibri"/>
          <w:color w:val="000000"/>
          <w:szCs w:val="24"/>
        </w:rPr>
      </w:pPr>
      <w:r w:rsidRPr="00AC08D1">
        <w:rPr>
          <w:rFonts w:ascii="Calibri" w:hAnsi="Calibri" w:cs="Calibri"/>
          <w:color w:val="000000"/>
          <w:szCs w:val="24"/>
        </w:rPr>
        <w:t>Answer respondents’ questions;</w:t>
      </w:r>
    </w:p>
    <w:p w:rsidR="007E2E3C" w:rsidRPr="00AC08D1" w:rsidP="0036096F" w14:paraId="6070BCD9" w14:textId="77777777">
      <w:pPr>
        <w:pStyle w:val="a"/>
        <w:numPr>
          <w:ilvl w:val="0"/>
          <w:numId w:val="20"/>
        </w:numPr>
        <w:spacing w:after="200" w:line="276" w:lineRule="auto"/>
        <w:rPr>
          <w:rFonts w:ascii="Calibri" w:hAnsi="Calibri" w:cs="Calibri"/>
          <w:color w:val="000000"/>
          <w:szCs w:val="24"/>
        </w:rPr>
      </w:pPr>
      <w:r w:rsidRPr="00AC08D1">
        <w:rPr>
          <w:rFonts w:ascii="Calibri" w:hAnsi="Calibri" w:cs="Calibri"/>
          <w:color w:val="000000"/>
          <w:szCs w:val="24"/>
        </w:rPr>
        <w:t>Process and analyze rule submissions;</w:t>
      </w:r>
    </w:p>
    <w:p w:rsidR="007E2E3C" w:rsidRPr="00AC08D1" w:rsidP="0036096F" w14:paraId="6009CCE9" w14:textId="77777777">
      <w:pPr>
        <w:pStyle w:val="a"/>
        <w:numPr>
          <w:ilvl w:val="0"/>
          <w:numId w:val="20"/>
        </w:numPr>
        <w:spacing w:after="200" w:line="276" w:lineRule="auto"/>
        <w:rPr>
          <w:rFonts w:ascii="Calibri" w:hAnsi="Calibri" w:cs="Calibri"/>
          <w:color w:val="000000"/>
          <w:szCs w:val="24"/>
        </w:rPr>
      </w:pPr>
      <w:r w:rsidRPr="00AC08D1">
        <w:rPr>
          <w:rFonts w:ascii="Calibri" w:hAnsi="Calibri" w:cs="Calibri"/>
          <w:color w:val="000000"/>
          <w:szCs w:val="24"/>
        </w:rPr>
        <w:t xml:space="preserve">Maintain and distribute the data; and </w:t>
      </w:r>
    </w:p>
    <w:p w:rsidR="007E2E3C" w:rsidRPr="00AC08D1" w:rsidP="0036096F" w14:paraId="7306FF0D" w14:textId="09F2416E">
      <w:pPr>
        <w:pStyle w:val="a"/>
        <w:numPr>
          <w:ilvl w:val="0"/>
          <w:numId w:val="20"/>
        </w:numPr>
        <w:spacing w:after="200" w:line="276" w:lineRule="auto"/>
        <w:rPr>
          <w:rFonts w:ascii="Calibri" w:hAnsi="Calibri" w:cs="Calibri"/>
          <w:color w:val="000000"/>
          <w:szCs w:val="24"/>
        </w:rPr>
      </w:pPr>
      <w:r w:rsidRPr="00AC08D1">
        <w:rPr>
          <w:rFonts w:ascii="Calibri" w:hAnsi="Calibri" w:cs="Calibri"/>
          <w:color w:val="000000"/>
          <w:szCs w:val="24"/>
        </w:rPr>
        <w:t xml:space="preserve">Analyze submissions for confidentiality and analyze the information provided to </w:t>
      </w:r>
      <w:r w:rsidRPr="00AC08D1">
        <w:rPr>
          <w:rFonts w:ascii="Calibri" w:hAnsi="Calibri" w:cs="Calibri"/>
          <w:color w:val="000000"/>
          <w:szCs w:val="24"/>
        </w:rPr>
        <w:t>substantiate the confidentiality claim.</w:t>
      </w:r>
    </w:p>
    <w:p w:rsidR="00AC08D1" w:rsidRPr="00AC08D1" w:rsidP="00AC08D1" w14:paraId="70D3049A" w14:textId="54D753AF">
      <w:pPr>
        <w:widowControl w:val="0"/>
        <w:rPr>
          <w:rFonts w:ascii="Calibri" w:hAnsi="Calibri" w:cs="Calibri"/>
          <w:color w:val="000000"/>
          <w:szCs w:val="24"/>
        </w:rPr>
      </w:pPr>
      <w:r w:rsidRPr="00AC08D1">
        <w:rPr>
          <w:rFonts w:ascii="Calibri" w:hAnsi="Calibri" w:cs="Calibri"/>
          <w:color w:val="000000"/>
          <w:szCs w:val="24"/>
        </w:rPr>
        <w:t xml:space="preserve">The activities routinely conducted by EPA related to processing and storage of the information collected under this rule include processing and analyzing the materials submitted under the rule, including requests for confidentiality; and maintaining and distributing data. </w:t>
      </w:r>
    </w:p>
    <w:p w:rsidR="00AC08D1" w:rsidRPr="00AC08D1" w:rsidP="00AC08D1" w14:paraId="6A6483F3" w14:textId="3927F01A">
      <w:pPr>
        <w:widowControl w:val="0"/>
        <w:rPr>
          <w:rFonts w:ascii="Calibri" w:hAnsi="Calibri" w:cs="Calibri"/>
          <w:color w:val="000000"/>
        </w:rPr>
      </w:pPr>
      <w:r w:rsidRPr="00AC08D1">
        <w:rPr>
          <w:rFonts w:ascii="Calibri" w:hAnsi="Calibri" w:cs="Calibri"/>
          <w:color w:val="000000"/>
        </w:rPr>
        <w:t xml:space="preserve">The activities associated with Agency responses to TSCA </w:t>
      </w:r>
      <w:r w:rsidRPr="00AC08D1" w:rsidR="6FAE820E">
        <w:rPr>
          <w:rFonts w:ascii="Calibri" w:hAnsi="Calibri" w:cs="Calibri"/>
          <w:color w:val="000000"/>
        </w:rPr>
        <w:t>s</w:t>
      </w:r>
      <w:r w:rsidRPr="00AC08D1">
        <w:rPr>
          <w:rFonts w:ascii="Calibri" w:hAnsi="Calibri" w:cs="Calibri"/>
          <w:color w:val="000000"/>
        </w:rPr>
        <w:t xml:space="preserve">ection 8(d) listings are assumed to be accomplished by a GS 13 Step 5 federal employee, and the 2024 loaded hourly wage rate for this </w:t>
      </w:r>
      <w:r w:rsidRPr="00AC08D1">
        <w:rPr>
          <w:rFonts w:ascii="Calibri" w:hAnsi="Calibri" w:cs="Calibri"/>
        </w:rPr>
        <w:t xml:space="preserve">GS and step level </w:t>
      </w:r>
      <w:r w:rsidRPr="00AC08D1">
        <w:rPr>
          <w:rFonts w:ascii="Calibri" w:hAnsi="Calibri" w:cs="Calibri"/>
          <w:color w:val="000000"/>
        </w:rPr>
        <w:t xml:space="preserve">is shown in </w:t>
      </w:r>
      <w:r w:rsidRPr="00AC08D1">
        <w:rPr>
          <w:rFonts w:ascii="Calibri" w:hAnsi="Calibri" w:cs="Calibri"/>
          <w:color w:val="000000" w:themeColor="text1"/>
        </w:rPr>
        <w:fldChar w:fldCharType="begin"/>
      </w:r>
      <w:r w:rsidRPr="00AC08D1">
        <w:rPr>
          <w:rFonts w:ascii="Calibri" w:hAnsi="Calibri" w:cs="Calibri"/>
          <w:color w:val="000000" w:themeColor="text1"/>
        </w:rPr>
        <w:instrText xml:space="preserve"> REF _Ref94265890 \h  \* MERGEFORMAT </w:instrText>
      </w:r>
      <w:r w:rsidRPr="00AC08D1">
        <w:rPr>
          <w:rFonts w:ascii="Calibri" w:hAnsi="Calibri" w:cs="Calibri"/>
          <w:color w:val="000000" w:themeColor="text1"/>
        </w:rPr>
        <w:fldChar w:fldCharType="separate"/>
      </w:r>
      <w:r w:rsidRPr="00AC08D1">
        <w:rPr>
          <w:rFonts w:ascii="Calibri" w:hAnsi="Calibri" w:cs="Calibri"/>
        </w:rPr>
        <w:t xml:space="preserve">Table </w:t>
      </w:r>
      <w:r w:rsidRPr="00AC08D1">
        <w:rPr>
          <w:rFonts w:ascii="Calibri" w:hAnsi="Calibri" w:cs="Calibri"/>
          <w:noProof/>
        </w:rPr>
        <w:t>20</w:t>
      </w:r>
      <w:r w:rsidRPr="00AC08D1">
        <w:rPr>
          <w:rFonts w:ascii="Calibri" w:hAnsi="Calibri" w:cs="Calibri"/>
          <w:color w:val="000000" w:themeColor="text1"/>
        </w:rPr>
        <w:fldChar w:fldCharType="end"/>
      </w:r>
      <w:r w:rsidRPr="00AC08D1">
        <w:rPr>
          <w:rFonts w:ascii="Calibri" w:hAnsi="Calibri" w:cs="Calibri"/>
          <w:color w:val="000000"/>
        </w:rPr>
        <w:t xml:space="preserve">. </w:t>
      </w:r>
    </w:p>
    <w:p w:rsidR="007E2E3C" w:rsidRPr="00AC08D1" w:rsidP="007E2E3C" w14:paraId="27EFF251" w14:textId="47140238">
      <w:pPr>
        <w:widowControl w:val="0"/>
        <w:rPr>
          <w:rFonts w:ascii="Calibri" w:hAnsi="Calibri" w:cs="Calibri"/>
          <w:color w:val="000000"/>
          <w:szCs w:val="24"/>
        </w:rPr>
      </w:pPr>
      <w:r w:rsidRPr="00AC08D1">
        <w:rPr>
          <w:rFonts w:ascii="Calibri" w:hAnsi="Calibri" w:cs="Calibri"/>
          <w:color w:val="000000" w:themeColor="text1"/>
        </w:rPr>
        <w:t>The estimated annual cost to the federal government for TSCA section 8(d) data collection totals $7,364 for 58.45 hours, as presented in Table 2</w:t>
      </w:r>
      <w:r w:rsidR="00CF79A0">
        <w:rPr>
          <w:rFonts w:ascii="Calibri" w:hAnsi="Calibri" w:cs="Calibri"/>
          <w:color w:val="000000" w:themeColor="text1"/>
        </w:rPr>
        <w:t>6</w:t>
      </w:r>
      <w:r w:rsidRPr="00AC08D1">
        <w:rPr>
          <w:rFonts w:ascii="Calibri" w:hAnsi="Calibri" w:cs="Calibri"/>
          <w:color w:val="000000"/>
          <w:szCs w:val="24"/>
        </w:rPr>
        <w:t>.</w:t>
      </w:r>
      <w:bookmarkStart w:id="42" w:name="_Ref94020985"/>
    </w:p>
    <w:p w:rsidR="007E2E3C" w:rsidRPr="00AC08D1" w:rsidP="5F135418" w14:paraId="3B2FD163" w14:textId="0997453D">
      <w:pPr>
        <w:pStyle w:val="Caption"/>
        <w:rPr>
          <w:rFonts w:ascii="Calibri" w:hAnsi="Calibri" w:cs="Calibri"/>
          <w:color w:val="000000"/>
        </w:rPr>
      </w:pPr>
      <w:r w:rsidRPr="5F135418">
        <w:rPr>
          <w:rFonts w:ascii="Calibri" w:hAnsi="Calibri" w:cs="Calibri"/>
        </w:rPr>
        <w:t>Table</w:t>
      </w:r>
      <w:bookmarkEnd w:id="42"/>
      <w:r w:rsidRPr="5F135418" w:rsidR="009200C4">
        <w:rPr>
          <w:rFonts w:ascii="Calibri" w:hAnsi="Calibri" w:cs="Calibri"/>
        </w:rPr>
        <w:t xml:space="preserve"> 2</w:t>
      </w:r>
      <w:r w:rsidRPr="5F135418" w:rsidR="00CF79A0">
        <w:rPr>
          <w:rFonts w:ascii="Calibri" w:hAnsi="Calibri" w:cs="Calibri"/>
        </w:rPr>
        <w:t>6</w:t>
      </w:r>
      <w:r w:rsidRPr="5F135418">
        <w:rPr>
          <w:rFonts w:ascii="Calibri" w:hAnsi="Calibri" w:cs="Calibri"/>
        </w:rPr>
        <w:t xml:space="preserve">. Agency Annual Burden and Cost Estimates for TSCA </w:t>
      </w:r>
      <w:r w:rsidRPr="5F135418" w:rsidR="26101AD0">
        <w:rPr>
          <w:rFonts w:ascii="Calibri" w:hAnsi="Calibri" w:cs="Calibri"/>
        </w:rPr>
        <w:t>S</w:t>
      </w:r>
      <w:r w:rsidRPr="5F135418">
        <w:rPr>
          <w:rFonts w:ascii="Calibri" w:hAnsi="Calibri" w:cs="Calibri"/>
        </w:rPr>
        <w:t>ection 8(d)</w:t>
      </w:r>
    </w:p>
    <w:tbl>
      <w:tblPr>
        <w:tblW w:w="9252" w:type="dxa"/>
        <w:tblLook w:val="04A0"/>
      </w:tblPr>
      <w:tblGrid>
        <w:gridCol w:w="5120"/>
        <w:gridCol w:w="964"/>
        <w:gridCol w:w="1278"/>
        <w:gridCol w:w="1890"/>
      </w:tblGrid>
      <w:tr w14:paraId="361EAE5A" w14:textId="77777777" w:rsidTr="2D725C34">
        <w:tblPrEx>
          <w:tblW w:w="9252" w:type="dxa"/>
          <w:tblLook w:val="04A0"/>
        </w:tblPrEx>
        <w:trPr>
          <w:cantSplit/>
          <w:trHeight w:val="300"/>
        </w:trPr>
        <w:tc>
          <w:tcPr>
            <w:tcW w:w="51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E2E3C" w:rsidRPr="00AC08D1" w:rsidP="2D725C34" w14:paraId="34809324" w14:textId="77777777">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Collection Activity</w:t>
            </w:r>
          </w:p>
        </w:tc>
        <w:tc>
          <w:tcPr>
            <w:tcW w:w="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E2E3C" w:rsidRPr="00AC08D1" w:rsidP="2D725C34" w14:paraId="43998D31" w14:textId="77777777">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 xml:space="preserve">FTEs </w:t>
            </w:r>
          </w:p>
        </w:tc>
        <w:tc>
          <w:tcPr>
            <w:tcW w:w="12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E2E3C" w:rsidRPr="00AC08D1" w:rsidP="2D725C34" w14:paraId="74CA64B8" w14:textId="2D5AD828">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Hours</w:t>
            </w: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E2E3C" w:rsidRPr="00AC08D1" w:rsidP="2D725C34" w14:paraId="1386D178" w14:textId="77777777">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Annual Cost</w:t>
            </w:r>
          </w:p>
        </w:tc>
      </w:tr>
      <w:tr w14:paraId="1A036EEB" w14:textId="77777777" w:rsidTr="2D725C34">
        <w:tblPrEx>
          <w:tblW w:w="9252" w:type="dxa"/>
          <w:tblLook w:val="04A0"/>
        </w:tblPrEx>
        <w:trPr>
          <w:cantSplit/>
          <w:trHeight w:val="300"/>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521390A8"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Data processing and system support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53A14E54" w14:textId="77777777">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0.025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6E46C96D" w14:textId="6B0CF304">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299.00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2CAA3D6E" w14:textId="6AD3E05A">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$37,672</w:t>
            </w:r>
          </w:p>
        </w:tc>
      </w:tr>
      <w:tr w14:paraId="4B5D7CB3" w14:textId="77777777" w:rsidTr="00AC08D1">
        <w:tblPrEx>
          <w:tblW w:w="9252" w:type="dxa"/>
          <w:tblLook w:val="04A0"/>
        </w:tblPrEx>
        <w:trPr>
          <w:cantSplit/>
          <w:trHeight w:val="330"/>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10C2EB91" w14:textId="77777777">
            <w:pPr>
              <w:spacing w:after="0" w:line="240" w:lineRule="auto"/>
              <w:rPr>
                <w:rFonts w:ascii="Calibri" w:hAnsi="Calibri" w:cs="Calibri"/>
                <w:color w:val="000000"/>
                <w:sz w:val="20"/>
                <w:szCs w:val="20"/>
              </w:rPr>
            </w:pPr>
            <w:r w:rsidRPr="2D725C34">
              <w:rPr>
                <w:rFonts w:ascii="Calibri" w:hAnsi="Calibri" w:cs="Calibri"/>
                <w:color w:val="000000" w:themeColor="text1"/>
                <w:sz w:val="20"/>
                <w:szCs w:val="20"/>
              </w:rPr>
              <w:t>Storage and distribution</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20D3C403" w14:textId="77777777">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0.010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7713729D" w14:textId="5D52DF4B">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119.60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4020F4D6" w14:textId="61F73D96">
            <w:pPr>
              <w:spacing w:after="0" w:line="240" w:lineRule="auto"/>
              <w:jc w:val="center"/>
              <w:rPr>
                <w:rFonts w:ascii="Calibri" w:hAnsi="Calibri" w:cs="Calibri"/>
                <w:color w:val="000000"/>
                <w:sz w:val="20"/>
                <w:szCs w:val="20"/>
              </w:rPr>
            </w:pPr>
            <w:r w:rsidRPr="2D725C34">
              <w:rPr>
                <w:rFonts w:ascii="Calibri" w:hAnsi="Calibri" w:cs="Calibri"/>
                <w:color w:val="000000" w:themeColor="text1"/>
                <w:sz w:val="20"/>
                <w:szCs w:val="20"/>
              </w:rPr>
              <w:t>$15,069</w:t>
            </w:r>
          </w:p>
        </w:tc>
      </w:tr>
      <w:tr w14:paraId="0007719A" w14:textId="77777777" w:rsidTr="00AC08D1">
        <w:tblPrEx>
          <w:tblW w:w="9252" w:type="dxa"/>
          <w:tblLook w:val="04A0"/>
        </w:tblPrEx>
        <w:trPr>
          <w:cantSplit/>
          <w:trHeight w:val="330"/>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5C85B964" w14:textId="77777777">
            <w:pPr>
              <w:spacing w:after="0" w:line="240" w:lineRule="auto"/>
              <w:rPr>
                <w:rFonts w:ascii="Calibri" w:hAnsi="Calibri" w:cs="Calibri"/>
                <w:b/>
                <w:color w:val="000000"/>
                <w:sz w:val="20"/>
                <w:szCs w:val="20"/>
              </w:rPr>
            </w:pPr>
            <w:r w:rsidRPr="2D725C34">
              <w:rPr>
                <w:rFonts w:ascii="Calibri" w:hAnsi="Calibri" w:cs="Calibri"/>
                <w:b/>
                <w:color w:val="000000" w:themeColor="text1"/>
                <w:sz w:val="20"/>
                <w:szCs w:val="20"/>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11260D6B" w14:textId="77777777">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0.035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7BDD7E69" w14:textId="3E67E008">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418.6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8D1" w:rsidRPr="00AC08D1" w:rsidP="2D725C34" w14:paraId="7B47795A" w14:textId="1A3851EA">
            <w:pPr>
              <w:spacing w:after="0" w:line="240" w:lineRule="auto"/>
              <w:jc w:val="center"/>
              <w:rPr>
                <w:rFonts w:ascii="Calibri" w:hAnsi="Calibri" w:cs="Calibri"/>
                <w:b/>
                <w:color w:val="000000"/>
                <w:sz w:val="20"/>
                <w:szCs w:val="20"/>
              </w:rPr>
            </w:pPr>
            <w:r w:rsidRPr="2D725C34">
              <w:rPr>
                <w:rFonts w:ascii="Calibri" w:hAnsi="Calibri" w:cs="Calibri"/>
                <w:b/>
                <w:color w:val="000000" w:themeColor="text1"/>
                <w:sz w:val="20"/>
                <w:szCs w:val="20"/>
              </w:rPr>
              <w:t>$52,741</w:t>
            </w:r>
          </w:p>
        </w:tc>
      </w:tr>
    </w:tbl>
    <w:p w:rsidR="00962957" w:rsidRPr="00E62A83" w:rsidP="00E35954" w14:paraId="1F312875" w14:textId="74AF3397">
      <w:pPr>
        <w:spacing w:after="0"/>
        <w:rPr>
          <w:rFonts w:ascii="Calibri" w:hAnsi="Calibri" w:cs="Calibri"/>
        </w:rPr>
      </w:pPr>
    </w:p>
    <w:p w:rsidR="00642746" w:rsidP="00E35954" w14:paraId="2958D524" w14:textId="0DE9C016">
      <w:pPr>
        <w:pStyle w:val="Heading2"/>
        <w:spacing w:after="0"/>
        <w:rPr>
          <w:rFonts w:ascii="Calibri" w:hAnsi="Calibri" w:cs="Calibri"/>
        </w:rPr>
      </w:pPr>
      <w:r w:rsidRPr="00E62A83">
        <w:rPr>
          <w:rFonts w:ascii="Calibri" w:hAnsi="Calibri" w:cs="Calibri"/>
        </w:rPr>
        <w:t xml:space="preserve">15. </w:t>
      </w:r>
      <w:r w:rsidRPr="00E62A83" w:rsidR="004A3A85">
        <w:rPr>
          <w:rFonts w:ascii="Calibri" w:hAnsi="Calibri" w:cs="Calibri"/>
        </w:rPr>
        <w:t>Explain the reasons for any program changes or adjustments reported on the burden worksheet.</w:t>
      </w:r>
    </w:p>
    <w:p w:rsidR="00163F27" w:rsidRPr="00163F27" w:rsidP="00163F27" w14:paraId="7CA54383" w14:textId="77777777">
      <w:pPr>
        <w:spacing w:after="0"/>
      </w:pPr>
    </w:p>
    <w:p w:rsidR="0009074F" w:rsidP="001F2DF7" w14:paraId="44142F0E" w14:textId="467CEF68">
      <w:pPr>
        <w:rPr>
          <w:rFonts w:ascii="Calibri" w:hAnsi="Calibri" w:cs="Calibri"/>
        </w:rPr>
      </w:pPr>
      <w:bookmarkStart w:id="43" w:name="_Hlk26358529"/>
      <w:r w:rsidRPr="00C76B89">
        <w:rPr>
          <w:rFonts w:ascii="Calibri" w:hAnsi="Calibri" w:cs="Calibri"/>
        </w:rPr>
        <w:t xml:space="preserve">This ICR renewal includes the consolidation of multiple ICRs. Accordingly, for this particular ICR, the overall number of hours will increase to reflect the consolidation whereas EPA will </w:t>
      </w:r>
      <w:r w:rsidR="00E54C91">
        <w:rPr>
          <w:rFonts w:ascii="Calibri" w:hAnsi="Calibri" w:cs="Calibri"/>
        </w:rPr>
        <w:t xml:space="preserve">discontinue </w:t>
      </w:r>
      <w:r w:rsidRPr="00C76B89">
        <w:rPr>
          <w:rFonts w:ascii="Calibri" w:hAnsi="Calibri" w:cs="Calibri"/>
        </w:rPr>
        <w:t xml:space="preserve">the ICRs that are being consolidated into this ICR (i.e., an increase of 647 hours in information collection activities associated with </w:t>
      </w:r>
      <w:r w:rsidRPr="009E3A00">
        <w:rPr>
          <w:rFonts w:ascii="Calibri" w:hAnsi="Calibri" w:cs="Calibri"/>
          <w:i/>
          <w:iCs/>
        </w:rPr>
        <w:t>Chemical-Specific Rules under TSCA section 8(a); Certain Nanoscale Materials</w:t>
      </w:r>
      <w:r w:rsidRPr="00C76B89">
        <w:rPr>
          <w:rFonts w:ascii="Calibri" w:hAnsi="Calibri" w:cs="Calibri"/>
        </w:rPr>
        <w:t xml:space="preserve"> (OMB Control No. 2070-0194) and </w:t>
      </w:r>
      <w:r w:rsidRPr="009E3A00">
        <w:rPr>
          <w:rFonts w:ascii="Calibri" w:hAnsi="Calibri" w:cs="Calibri"/>
          <w:i/>
          <w:iCs/>
        </w:rPr>
        <w:t>TSCA section 8(a) Reporting and Recordkeeping Requirements for Asbestos</w:t>
      </w:r>
      <w:r w:rsidRPr="00C76B89">
        <w:rPr>
          <w:rFonts w:ascii="Calibri" w:hAnsi="Calibri" w:cs="Calibri"/>
        </w:rPr>
        <w:t xml:space="preserve"> (OMB Control No. 2070-0222)). </w:t>
      </w:r>
    </w:p>
    <w:p w:rsidR="00C76B89" w:rsidP="001F2DF7" w14:paraId="61130F90" w14:textId="20359EA7">
      <w:pPr>
        <w:rPr>
          <w:rFonts w:ascii="Calibri" w:hAnsi="Calibri" w:cs="Calibri"/>
        </w:rPr>
      </w:pPr>
      <w:r w:rsidRPr="00C76B89">
        <w:rPr>
          <w:rFonts w:ascii="Calibri" w:hAnsi="Calibri" w:cs="Calibri"/>
        </w:rPr>
        <w:t>EPA also notes that a recent TSCA section 8(d) rulemaking, published on December 13, 2024 (89 FR 100756), incorporated an increase of associated burden arising out of a requirement to report studies showing any measurable content of the subject chemicals. In response to that proposed rulemaking, stakeholders provided information indicating that the file search burden would incur additional burden. Accordingly, for that rulemaking, EPA increased the associated estimate for file search in the economic analysis for the rule. This increase in burden would apply only where the Agency, via the applicable regulations, requires reporting of studies at any measurable content. EPA does not anticipate promulgating 8(d) rules requiring such reporting in this ICR’s renewal period. Thus, any 8(d) rules promulgated during this renewal period would not reflect this increase in burden.</w:t>
      </w:r>
    </w:p>
    <w:bookmarkEnd w:id="43"/>
    <w:p w:rsidR="00B41A83" w:rsidRPr="00E62A83" w:rsidP="0068004C" w14:paraId="66BB1DC4" w14:textId="7E0CEA6F">
      <w:pPr>
        <w:pStyle w:val="Heading2"/>
        <w:rPr>
          <w:rFonts w:ascii="Calibri" w:hAnsi="Calibri" w:cs="Calibri"/>
        </w:rPr>
      </w:pPr>
      <w:r w:rsidRPr="00E62A83">
        <w:rPr>
          <w:rFonts w:ascii="Calibri" w:hAnsi="Calibri" w:cs="Calibri"/>
        </w:rPr>
        <w:t xml:space="preserve">16. </w:t>
      </w:r>
      <w:r w:rsidRPr="00E62A83" w:rsidR="00EC4305">
        <w:rPr>
          <w:rFonts w:ascii="Calibri" w:hAnsi="Calibri" w:cs="Calibri"/>
        </w:rPr>
        <w:t>For collections whose results will be published, outline the plans for tabulation and publication.</w:t>
      </w:r>
      <w:r w:rsidRPr="00E62A83">
        <w:rPr>
          <w:rFonts w:ascii="Calibri" w:hAnsi="Calibri" w:cs="Calibri"/>
        </w:rPr>
        <w:t xml:space="preserve"> </w:t>
      </w:r>
      <w:r w:rsidRPr="00E62A83"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E62A83" w:rsidP="00E56A4F" w14:paraId="6CC460C1" w14:textId="1CDFA6DE">
      <w:pPr>
        <w:rPr>
          <w:rFonts w:ascii="Calibri" w:hAnsi="Calibri" w:cs="Calibri"/>
          <w:lang w:bidi="en-US"/>
        </w:rPr>
      </w:pPr>
      <w:r w:rsidRPr="00E62A83">
        <w:rPr>
          <w:rFonts w:ascii="Calibri" w:hAnsi="Calibri" w:cs="Calibri"/>
          <w:lang w:bidi="en-US"/>
        </w:rPr>
        <w:t>The Agency does not intend to publish results of this information collection.</w:t>
      </w:r>
    </w:p>
    <w:p w:rsidR="00B41A83" w:rsidRPr="00E62A83" w:rsidP="0068004C" w14:paraId="2E9B2CC1" w14:textId="59965ACD">
      <w:pPr>
        <w:pStyle w:val="Heading2"/>
        <w:rPr>
          <w:rFonts w:ascii="Calibri" w:hAnsi="Calibri" w:cs="Calibri"/>
        </w:rPr>
      </w:pPr>
      <w:r w:rsidRPr="00E62A83">
        <w:rPr>
          <w:rFonts w:ascii="Calibri" w:hAnsi="Calibri" w:cs="Calibri"/>
        </w:rPr>
        <w:t xml:space="preserve">17. </w:t>
      </w:r>
      <w:r w:rsidRPr="00E62A83" w:rsidR="00EC4305">
        <w:rPr>
          <w:rFonts w:ascii="Calibri" w:hAnsi="Calibri" w:cs="Calibri"/>
        </w:rPr>
        <w:t>If seeking approval to not display the expiration date for OMB approval of the information collection, explain the reasons why display would be inappropriate.</w:t>
      </w:r>
      <w:r w:rsidRPr="00E62A83">
        <w:rPr>
          <w:rFonts w:ascii="Calibri" w:hAnsi="Calibri" w:cs="Calibri"/>
        </w:rPr>
        <w:t xml:space="preserve"> </w:t>
      </w:r>
    </w:p>
    <w:p w:rsidR="004F022F" w:rsidRPr="00AC08D1" w:rsidP="004F022F" w14:paraId="44456226" w14:textId="77777777">
      <w:pPr>
        <w:rPr>
          <w:rFonts w:ascii="Calibri" w:hAnsi="Calibri" w:cs="Calibri"/>
        </w:rPr>
      </w:pPr>
      <w:r w:rsidRPr="00AC08D1">
        <w:rPr>
          <w:rFonts w:ascii="Calibri" w:hAnsi="Calibri" w:cs="Calibri"/>
        </w:rPr>
        <w:t xml:space="preserve">This question is not applicable to this ICR. </w:t>
      </w:r>
    </w:p>
    <w:p w:rsidR="00B41A83" w:rsidRPr="00F93A42" w:rsidP="0068004C" w14:paraId="27638586" w14:textId="0A01900F">
      <w:pPr>
        <w:pStyle w:val="Heading2"/>
        <w:rPr>
          <w:rFonts w:ascii="Calibri" w:hAnsi="Calibri" w:cs="Calibri"/>
        </w:rPr>
      </w:pPr>
      <w:r w:rsidRPr="00E62A83">
        <w:rPr>
          <w:rFonts w:ascii="Calibri" w:hAnsi="Calibri" w:cs="Calibri"/>
        </w:rPr>
        <w:t xml:space="preserve">18. </w:t>
      </w:r>
      <w:r w:rsidRPr="00E62A83" w:rsidR="004A3A85">
        <w:rPr>
          <w:rFonts w:ascii="Calibri" w:hAnsi="Calibri" w:cs="Calibri"/>
        </w:rPr>
        <w:t>Explain each exception to the topics of the certification statement identified in “Certification for</w:t>
      </w:r>
      <w:r w:rsidRPr="00F93A42" w:rsidR="004A3A85">
        <w:rPr>
          <w:rFonts w:ascii="Calibri" w:hAnsi="Calibri" w:cs="Calibri"/>
        </w:rPr>
        <w:t xml:space="preserve"> Paperwork Reduction Act Submissions.”</w:t>
      </w:r>
    </w:p>
    <w:p w:rsidR="00EC4305" w:rsidRPr="00CC73B9" w:rsidP="001F2DF7" w14:paraId="13F2093C" w14:textId="62C4981E">
      <w:pPr>
        <w:rPr>
          <w:rFonts w:ascii="Calibri" w:hAnsi="Calibri" w:cs="Calibri"/>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71D2A888" w14:textId="5C05154C">
      <w:pPr>
        <w:rPr>
          <w:rFonts w:ascii="Calibri" w:hAnsi="Calibri" w:cs="Calibri"/>
          <w:u w:val="single"/>
        </w:rPr>
      </w:pPr>
      <w:bookmarkStart w:id="44" w:name="_Hlk98142152"/>
      <w:r w:rsidRPr="00F93A42">
        <w:rPr>
          <w:rFonts w:ascii="Calibri" w:hAnsi="Calibri" w:cs="Calibri"/>
          <w:u w:val="single"/>
        </w:rPr>
        <w:t xml:space="preserve">PRA Burden Statement </w:t>
      </w:r>
    </w:p>
    <w:p w:rsidR="00F71DB5" w:rsidP="00652C31" w14:paraId="2AF47771" w14:textId="4BCCA8C6">
      <w:pPr>
        <w:rPr>
          <w:rFonts w:ascii="Calibri" w:hAnsi="Calibri" w:cs="Calibri"/>
        </w:rPr>
      </w:pPr>
      <w:r w:rsidRPr="00F93A42">
        <w:rPr>
          <w:rFonts w:ascii="Calibri" w:hAnsi="Calibri" w:cs="Calibri"/>
        </w:rPr>
        <w:t>This collection of information is approved by OMB under the Paperwork Reduction Act, 44 U.S.C. 3501 et seq. (OMB Control No. 2070-</w:t>
      </w:r>
      <w:r w:rsidR="0036096F">
        <w:rPr>
          <w:rFonts w:ascii="Calibri" w:hAnsi="Calibri" w:cs="Calibri"/>
        </w:rPr>
        <w:t>0224</w:t>
      </w:r>
      <w:r w:rsidRPr="00F93A42">
        <w:rPr>
          <w:rFonts w:ascii="Calibri" w:hAnsi="Calibri" w:cs="Calibri"/>
        </w:rPr>
        <w:t>). Responses to this collection of information are mandatory for certain persons, as specified at 40 CFR Part</w:t>
      </w:r>
      <w:r w:rsidRPr="00F93A42" w:rsidR="007A5662">
        <w:rPr>
          <w:rFonts w:ascii="Calibri" w:hAnsi="Calibri" w:cs="Calibri"/>
        </w:rPr>
        <w:t xml:space="preserve">(s) </w:t>
      </w:r>
      <w:r w:rsidR="0036096F">
        <w:rPr>
          <w:rFonts w:ascii="Calibri" w:hAnsi="Calibri" w:cs="Calibri"/>
        </w:rPr>
        <w:t xml:space="preserve">704 and </w:t>
      </w:r>
      <w:r w:rsidRPr="0036096F" w:rsidR="0036096F">
        <w:rPr>
          <w:rFonts w:ascii="Calibri" w:hAnsi="Calibri" w:cs="Calibri"/>
        </w:rPr>
        <w:t>15 U.S.C. 2607</w:t>
      </w:r>
      <w:r w:rsidRPr="00F93A42">
        <w:rPr>
          <w:rFonts w:ascii="Calibri" w:hAnsi="Calibri" w:cs="Calibri"/>
        </w:rPr>
        <w:t>. An agency may not conduct or sponsor, and a person is not required to respond to, a collection of information unless it displays a currently valid OMB control number. The public reporting and recordkeeping burden for this collection of information is estimated to be</w:t>
      </w:r>
      <w:r w:rsidR="0036096F">
        <w:rPr>
          <w:rFonts w:ascii="Calibri" w:hAnsi="Calibri" w:cs="Calibri"/>
        </w:rPr>
        <w:t xml:space="preserve"> a range of </w:t>
      </w:r>
      <w:r w:rsidRPr="00347BAB" w:rsidR="0036096F">
        <w:rPr>
          <w:rFonts w:ascii="Calibri" w:hAnsi="Calibri" w:cs="Calibri"/>
        </w:rPr>
        <w:t>0.4 to 10</w:t>
      </w:r>
      <w:r w:rsidRPr="00347BAB" w:rsidR="00347BAB">
        <w:rPr>
          <w:rFonts w:ascii="Calibri" w:hAnsi="Calibri" w:cs="Calibri"/>
        </w:rPr>
        <w:t>6</w:t>
      </w:r>
      <w:r w:rsidRPr="00347BAB" w:rsidR="0036096F">
        <w:rPr>
          <w:rFonts w:ascii="Calibri" w:hAnsi="Calibri" w:cs="Calibri"/>
        </w:rPr>
        <w:t>.</w:t>
      </w:r>
      <w:r w:rsidRPr="00347BAB" w:rsidR="00347BAB">
        <w:rPr>
          <w:rFonts w:ascii="Calibri" w:hAnsi="Calibri" w:cs="Calibri"/>
        </w:rPr>
        <w:t>4</w:t>
      </w:r>
      <w:r w:rsidR="0036096F">
        <w:rPr>
          <w:rFonts w:ascii="Calibri" w:hAnsi="Calibri" w:cs="Calibri"/>
        </w:rPr>
        <w:t xml:space="preserve"> </w:t>
      </w:r>
      <w:r w:rsidRPr="00F93A42">
        <w:rPr>
          <w:rFonts w:ascii="Calibri" w:hAnsi="Calibri" w:cs="Calibri"/>
        </w:rPr>
        <w:t>hour</w:t>
      </w:r>
      <w:r w:rsidR="0036096F">
        <w:rPr>
          <w:rFonts w:ascii="Calibri" w:hAnsi="Calibri" w:cs="Calibri"/>
        </w:rPr>
        <w:t>s</w:t>
      </w:r>
      <w:r w:rsidRPr="00F93A42">
        <w:rPr>
          <w:rFonts w:ascii="Calibri" w:hAnsi="Calibri" w:cs="Calibri"/>
        </w:rPr>
        <w:t xml:space="preserve"> per response. Send comments on the Agency’s need for this information, the accuracy of the provided burden estimates and any suggested methods for minimizing respondent burden to the </w:t>
      </w:r>
      <w:r w:rsidR="00E31CC8">
        <w:rPr>
          <w:rFonts w:ascii="Calibri" w:hAnsi="Calibri" w:cs="Calibri"/>
        </w:rPr>
        <w:t>Information Engagement</w:t>
      </w:r>
      <w:r w:rsidRPr="00F93A42">
        <w:rPr>
          <w:rFonts w:ascii="Calibri" w:hAnsi="Calibri" w:cs="Calibri"/>
        </w:rPr>
        <w:t xml:space="preserve"> Division Director, U.S. Environmental Protection Agency (2821T), 1200 Pennsylvania Ave., NW, Washington, D.C. 20460. Include the OMB control number in any correspondence. Do not send the completed form to this address.</w:t>
      </w:r>
    </w:p>
    <w:p w:rsidR="00854A25" w:rsidRPr="00F93A42" w:rsidP="00854A25" w14:paraId="2EC0668F" w14:textId="77777777">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854A25" w:rsidRPr="00F93A42" w:rsidP="00652C31" w14:paraId="3DDBC730" w14:textId="361AC0B1">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w:t>
      </w:r>
      <w:r w:rsidRPr="00F93A42">
        <w:rPr>
          <w:rFonts w:ascii="Calibri" w:hAnsi="Calibri" w:cs="Calibri"/>
        </w:rPr>
        <w:t xml:space="preserve">restricted by statute. Do not submit electronically any information you consider to be CBI or other information whose disclosure is restricted by statute. </w:t>
      </w:r>
    </w:p>
    <w:bookmarkEnd w:id="44"/>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52B6673C">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E265D3" w:rsidR="004F022F">
        <w:rPr>
          <w:rFonts w:ascii="Calibri" w:hAnsi="Calibri" w:cs="Calibri"/>
          <w:bCs/>
          <w:szCs w:val="24"/>
        </w:rPr>
        <w:t>EPA-HQ-OPPT-2021-</w:t>
      </w:r>
      <w:sdt>
        <w:sdtPr>
          <w:rPr>
            <w:rFonts w:ascii="Calibri" w:hAnsi="Calibri" w:cs="Calibri"/>
            <w:bCs/>
            <w:szCs w:val="24"/>
          </w:rPr>
          <w:alias w:val="Docket Sequence"/>
          <w:tag w:val="Docket Sequence"/>
          <w:id w:val="-548155942"/>
          <w:placeholder>
            <w:docPart w:val="93FD96F6FE724C55ADD3C6261EE73E41"/>
          </w:placeholder>
          <w:text/>
        </w:sdtPr>
        <w:sdtContent>
          <w:r w:rsidRPr="00E265D3" w:rsidR="004F022F">
            <w:rPr>
              <w:rFonts w:ascii="Calibri" w:hAnsi="Calibri" w:cs="Calibri"/>
              <w:bCs/>
              <w:szCs w:val="24"/>
            </w:rPr>
            <w:t>07</w:t>
          </w:r>
          <w:r w:rsidR="00867E41">
            <w:rPr>
              <w:rFonts w:ascii="Calibri" w:hAnsi="Calibri" w:cs="Calibri"/>
              <w:bCs/>
              <w:szCs w:val="24"/>
            </w:rPr>
            <w:t>2</w:t>
          </w:r>
          <w:r w:rsidRPr="00E265D3" w:rsidR="004F022F">
            <w:rPr>
              <w:rFonts w:ascii="Calibri" w:hAnsi="Calibri" w:cs="Calibri"/>
              <w:bCs/>
              <w:szCs w:val="24"/>
            </w:rPr>
            <w:t>8</w:t>
          </w:r>
        </w:sdtContent>
      </w:sdt>
      <w:r w:rsidRPr="00F93A42">
        <w:rPr>
          <w:rFonts w:ascii="Calibri" w:hAnsi="Calibri" w:cs="Calibri"/>
        </w:rPr>
        <w:t>.</w:t>
      </w:r>
    </w:p>
    <w:tbl>
      <w:tblPr>
        <w:tblStyle w:val="TableGrid"/>
        <w:tblW w:w="9360"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1560"/>
        <w:gridCol w:w="7800"/>
      </w:tblGrid>
      <w:tr w14:paraId="0ACD8087" w14:textId="77777777" w:rsidTr="5F135418">
        <w:tblPrEx>
          <w:tblW w:w="9360" w:type="dxa"/>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560" w:type="dxa"/>
            <w:shd w:val="clear" w:color="auto" w:fill="auto"/>
          </w:tcPr>
          <w:p w:rsidR="00F92416" w:rsidRPr="00AC08D1" w:rsidP="00652C31" w14:paraId="43F85BF9" w14:textId="77777777">
            <w:pPr>
              <w:pStyle w:val="NoSpacing"/>
              <w:rPr>
                <w:rFonts w:ascii="Calibri" w:hAnsi="Calibri" w:cs="Calibri"/>
                <w:b/>
                <w:bCs/>
              </w:rPr>
            </w:pPr>
            <w:r w:rsidRPr="00AC08D1">
              <w:rPr>
                <w:rFonts w:ascii="Calibri" w:hAnsi="Calibri" w:cs="Calibri"/>
                <w:b/>
                <w:bCs/>
              </w:rPr>
              <w:t>Attachment</w:t>
            </w:r>
          </w:p>
        </w:tc>
        <w:tc>
          <w:tcPr>
            <w:tcW w:w="7800" w:type="dxa"/>
            <w:shd w:val="clear" w:color="auto" w:fill="auto"/>
          </w:tcPr>
          <w:p w:rsidR="00F92416" w:rsidRPr="00F93A42" w:rsidP="00652C31" w14:paraId="29ED2C69" w14:textId="7EE083DC">
            <w:pPr>
              <w:pStyle w:val="NoSpacing"/>
              <w:rPr>
                <w:rFonts w:ascii="Calibri" w:hAnsi="Calibri" w:cs="Calibri"/>
              </w:rPr>
            </w:pPr>
            <w:r w:rsidRPr="00F93A42">
              <w:rPr>
                <w:rFonts w:ascii="Calibri" w:hAnsi="Calibri" w:cs="Calibri"/>
              </w:rPr>
              <w:t>Description</w:t>
            </w:r>
          </w:p>
        </w:tc>
      </w:tr>
      <w:tr w14:paraId="487CF647" w14:textId="77777777" w:rsidTr="5F135418">
        <w:tblPrEx>
          <w:tblW w:w="9360" w:type="dxa"/>
          <w:tblLook w:val="04A0"/>
        </w:tblPrEx>
        <w:tc>
          <w:tcPr>
            <w:tcW w:w="1560" w:type="dxa"/>
          </w:tcPr>
          <w:p w:rsidR="00867E41" w:rsidRPr="00F93A42" w:rsidP="00867E41" w14:paraId="08C8805B" w14:textId="77777777">
            <w:pPr>
              <w:jc w:val="center"/>
              <w:rPr>
                <w:rFonts w:ascii="Calibri" w:hAnsi="Calibri" w:cs="Calibri"/>
                <w:sz w:val="22"/>
                <w:szCs w:val="20"/>
              </w:rPr>
            </w:pPr>
            <w:r w:rsidRPr="00F93A42">
              <w:rPr>
                <w:rFonts w:ascii="Calibri" w:hAnsi="Calibri" w:cs="Calibri"/>
                <w:sz w:val="22"/>
                <w:szCs w:val="20"/>
              </w:rPr>
              <w:t>A</w:t>
            </w:r>
          </w:p>
        </w:tc>
        <w:tc>
          <w:tcPr>
            <w:tcW w:w="7800" w:type="dxa"/>
          </w:tcPr>
          <w:p w:rsidR="00867E41" w:rsidRPr="00F93A42" w:rsidP="00867E41" w14:paraId="0EF0D736" w14:textId="21E2305A">
            <w:pPr>
              <w:rPr>
                <w:rFonts w:ascii="Calibri" w:hAnsi="Calibri" w:cs="Calibri"/>
              </w:rPr>
            </w:pPr>
            <w:r w:rsidRPr="00030B7F">
              <w:rPr>
                <w:rFonts w:ascii="Calibri" w:hAnsi="Calibri" w:cs="Calibri"/>
                <w:szCs w:val="24"/>
              </w:rPr>
              <w:t xml:space="preserve">EPA Form 7710-35 </w:t>
            </w:r>
            <w:r>
              <w:rPr>
                <w:rFonts w:ascii="Calibri" w:hAnsi="Calibri" w:cs="Calibri"/>
                <w:szCs w:val="24"/>
              </w:rPr>
              <w:t xml:space="preserve">TSCA Section 8(a) </w:t>
            </w:r>
            <w:r w:rsidRPr="00030B7F">
              <w:rPr>
                <w:rFonts w:ascii="Calibri" w:hAnsi="Calibri" w:cs="Calibri"/>
                <w:szCs w:val="24"/>
              </w:rPr>
              <w:t xml:space="preserve">PAIR </w:t>
            </w:r>
          </w:p>
        </w:tc>
      </w:tr>
      <w:tr w14:paraId="16D97976" w14:textId="77777777" w:rsidTr="5F135418">
        <w:tblPrEx>
          <w:tblW w:w="9360" w:type="dxa"/>
          <w:tblLook w:val="04A0"/>
        </w:tblPrEx>
        <w:tc>
          <w:tcPr>
            <w:tcW w:w="1560" w:type="dxa"/>
          </w:tcPr>
          <w:p w:rsidR="00867E41" w:rsidRPr="00F93A42" w:rsidP="00867E41" w14:paraId="027239DE" w14:textId="16D94EE2">
            <w:pPr>
              <w:jc w:val="center"/>
              <w:rPr>
                <w:rFonts w:ascii="Calibri" w:hAnsi="Calibri" w:cs="Calibri"/>
                <w:sz w:val="22"/>
                <w:szCs w:val="20"/>
              </w:rPr>
            </w:pPr>
            <w:r>
              <w:rPr>
                <w:rFonts w:ascii="Calibri" w:hAnsi="Calibri" w:cs="Calibri"/>
                <w:sz w:val="22"/>
                <w:szCs w:val="20"/>
              </w:rPr>
              <w:t>B</w:t>
            </w:r>
          </w:p>
        </w:tc>
        <w:tc>
          <w:tcPr>
            <w:tcW w:w="7800" w:type="dxa"/>
          </w:tcPr>
          <w:p w:rsidR="00867E41" w:rsidRPr="00AA03C8" w:rsidP="00867E41" w14:paraId="7322BDD5" w14:textId="49BE390E">
            <w:pPr>
              <w:tabs>
                <w:tab w:val="left" w:pos="690"/>
              </w:tabs>
              <w:rPr>
                <w:szCs w:val="24"/>
              </w:rPr>
            </w:pPr>
            <w:r w:rsidRPr="009D6878">
              <w:rPr>
                <w:rFonts w:ascii="Calibri" w:hAnsi="Calibri" w:cs="Calibri"/>
                <w:szCs w:val="24"/>
              </w:rPr>
              <w:t>EPA Form 9600-07</w:t>
            </w:r>
            <w:r>
              <w:rPr>
                <w:rFonts w:ascii="Calibri" w:hAnsi="Calibri" w:cs="Calibri"/>
                <w:szCs w:val="24"/>
              </w:rPr>
              <w:t xml:space="preserve"> Nanotechnology </w:t>
            </w:r>
          </w:p>
        </w:tc>
      </w:tr>
      <w:tr w14:paraId="66E8A658" w14:textId="77777777" w:rsidTr="5F135418">
        <w:tblPrEx>
          <w:tblW w:w="9360" w:type="dxa"/>
          <w:tblLook w:val="04A0"/>
        </w:tblPrEx>
        <w:tc>
          <w:tcPr>
            <w:tcW w:w="1560" w:type="dxa"/>
          </w:tcPr>
          <w:p w:rsidR="00867E41" w:rsidRPr="00F93A42" w:rsidP="00867E41" w14:paraId="1932DECD" w14:textId="590B1D6C">
            <w:pPr>
              <w:jc w:val="center"/>
              <w:rPr>
                <w:rFonts w:ascii="Calibri" w:hAnsi="Calibri" w:cs="Calibri"/>
                <w:sz w:val="22"/>
                <w:szCs w:val="20"/>
              </w:rPr>
            </w:pPr>
            <w:r>
              <w:rPr>
                <w:rFonts w:ascii="Calibri" w:hAnsi="Calibri" w:cs="Calibri"/>
                <w:sz w:val="22"/>
                <w:szCs w:val="20"/>
              </w:rPr>
              <w:t>C</w:t>
            </w:r>
          </w:p>
        </w:tc>
        <w:tc>
          <w:tcPr>
            <w:tcW w:w="7800" w:type="dxa"/>
          </w:tcPr>
          <w:p w:rsidR="00867E41" w:rsidRPr="00F93A42" w:rsidP="00867E41" w14:paraId="4F9A20C9" w14:textId="523F87C4">
            <w:pPr>
              <w:tabs>
                <w:tab w:val="left" w:pos="690"/>
              </w:tabs>
              <w:rPr>
                <w:rFonts w:ascii="Calibri" w:hAnsi="Calibri" w:cs="Calibri"/>
              </w:rPr>
            </w:pPr>
            <w:r>
              <w:rPr>
                <w:rFonts w:ascii="Calibri" w:hAnsi="Calibri" w:cs="Calibri"/>
                <w:szCs w:val="24"/>
              </w:rPr>
              <w:t xml:space="preserve">EPA Form 7710-25 Premanufacture Notice </w:t>
            </w:r>
          </w:p>
        </w:tc>
      </w:tr>
      <w:tr w14:paraId="23F34D2B" w14:textId="77777777" w:rsidTr="5F135418">
        <w:tblPrEx>
          <w:tblW w:w="9360" w:type="dxa"/>
          <w:tblLook w:val="04A0"/>
        </w:tblPrEx>
        <w:tc>
          <w:tcPr>
            <w:tcW w:w="1560" w:type="dxa"/>
          </w:tcPr>
          <w:p w:rsidR="00867E41" w:rsidRPr="00F93A42" w:rsidP="00867E41" w14:paraId="2509108A" w14:textId="3B88ECB0">
            <w:pPr>
              <w:jc w:val="center"/>
              <w:rPr>
                <w:rFonts w:ascii="Calibri" w:hAnsi="Calibri" w:cs="Calibri"/>
                <w:sz w:val="22"/>
                <w:szCs w:val="20"/>
              </w:rPr>
            </w:pPr>
            <w:r>
              <w:rPr>
                <w:rFonts w:ascii="Calibri" w:hAnsi="Calibri" w:cs="Calibri"/>
                <w:sz w:val="22"/>
                <w:szCs w:val="20"/>
              </w:rPr>
              <w:t>D</w:t>
            </w:r>
          </w:p>
        </w:tc>
        <w:tc>
          <w:tcPr>
            <w:tcW w:w="7800" w:type="dxa"/>
          </w:tcPr>
          <w:p w:rsidR="00867E41" w:rsidRPr="00AA03C8" w:rsidP="00867E41" w14:paraId="67CC4EAE" w14:textId="0BE71F49">
            <w:pPr>
              <w:tabs>
                <w:tab w:val="left" w:pos="690"/>
              </w:tabs>
              <w:rPr>
                <w:szCs w:val="24"/>
              </w:rPr>
            </w:pPr>
            <w:r w:rsidRPr="009D6878">
              <w:rPr>
                <w:rFonts w:ascii="Calibri" w:hAnsi="Calibri" w:cs="Calibri"/>
                <w:szCs w:val="24"/>
              </w:rPr>
              <w:t>EPA Form 7710-51 Dioxin/Furan</w:t>
            </w:r>
          </w:p>
        </w:tc>
      </w:tr>
      <w:tr w14:paraId="1FA86447" w14:textId="77777777" w:rsidTr="5F135418">
        <w:tblPrEx>
          <w:tblW w:w="9360" w:type="dxa"/>
          <w:tblLook w:val="04A0"/>
        </w:tblPrEx>
        <w:tc>
          <w:tcPr>
            <w:tcW w:w="1560" w:type="dxa"/>
          </w:tcPr>
          <w:p w:rsidR="00867E41" w:rsidP="00867E41" w14:paraId="521B794E" w14:textId="6D211007">
            <w:pPr>
              <w:jc w:val="center"/>
              <w:rPr>
                <w:rFonts w:ascii="Calibri" w:hAnsi="Calibri" w:cs="Calibri"/>
                <w:sz w:val="22"/>
                <w:szCs w:val="20"/>
              </w:rPr>
            </w:pPr>
            <w:r>
              <w:rPr>
                <w:rFonts w:ascii="Calibri" w:hAnsi="Calibri" w:cs="Calibri"/>
                <w:sz w:val="22"/>
                <w:szCs w:val="20"/>
              </w:rPr>
              <w:t>E</w:t>
            </w:r>
          </w:p>
        </w:tc>
        <w:tc>
          <w:tcPr>
            <w:tcW w:w="7800" w:type="dxa"/>
          </w:tcPr>
          <w:p w:rsidR="00867E41" w:rsidRPr="00D75278" w:rsidP="5F135418" w14:paraId="030987B9" w14:textId="5D9E0003">
            <w:pPr>
              <w:tabs>
                <w:tab w:val="left" w:pos="690"/>
              </w:tabs>
              <w:rPr>
                <w:rFonts w:ascii="Times New Roman" w:hAnsi="Times New Roman"/>
              </w:rPr>
            </w:pPr>
            <w:r w:rsidRPr="5F135418">
              <w:rPr>
                <w:rFonts w:ascii="Calibri" w:hAnsi="Calibri" w:cs="Calibri"/>
              </w:rPr>
              <w:t xml:space="preserve">EPA Form </w:t>
            </w:r>
            <w:r w:rsidR="00647E78">
              <w:rPr>
                <w:rFonts w:ascii="Calibri" w:hAnsi="Calibri" w:cs="Calibri"/>
              </w:rPr>
              <w:t>9600-032</w:t>
            </w:r>
            <w:r w:rsidRPr="5F135418">
              <w:rPr>
                <w:rFonts w:ascii="Calibri" w:hAnsi="Calibri" w:cs="Calibri"/>
              </w:rPr>
              <w:t xml:space="preserve"> TSCA </w:t>
            </w:r>
            <w:r w:rsidRPr="5F135418" w:rsidR="2572EC12">
              <w:rPr>
                <w:rFonts w:ascii="Calibri" w:hAnsi="Calibri" w:cs="Calibri"/>
              </w:rPr>
              <w:t>S</w:t>
            </w:r>
            <w:r w:rsidRPr="5F135418">
              <w:rPr>
                <w:rFonts w:ascii="Calibri" w:hAnsi="Calibri" w:cs="Calibri"/>
              </w:rPr>
              <w:t>ection 8(d) Health and Safety Data Screenshots</w:t>
            </w:r>
          </w:p>
        </w:tc>
      </w:tr>
      <w:tr w14:paraId="7F40FD40" w14:textId="77777777" w:rsidTr="5F135418">
        <w:tblPrEx>
          <w:tblW w:w="9360" w:type="dxa"/>
          <w:tblLook w:val="04A0"/>
        </w:tblPrEx>
        <w:tc>
          <w:tcPr>
            <w:tcW w:w="1560" w:type="dxa"/>
          </w:tcPr>
          <w:p w:rsidR="00867E41" w:rsidRPr="00F93A42" w:rsidP="00867E41" w14:paraId="273407D4" w14:textId="7C846CC3">
            <w:pPr>
              <w:jc w:val="center"/>
              <w:rPr>
                <w:rFonts w:ascii="Calibri" w:hAnsi="Calibri" w:cs="Calibri"/>
                <w:sz w:val="22"/>
                <w:szCs w:val="20"/>
              </w:rPr>
            </w:pPr>
            <w:r>
              <w:rPr>
                <w:rFonts w:ascii="Calibri" w:hAnsi="Calibri" w:cs="Calibri"/>
                <w:sz w:val="22"/>
                <w:szCs w:val="20"/>
              </w:rPr>
              <w:t>F</w:t>
            </w:r>
          </w:p>
        </w:tc>
        <w:tc>
          <w:tcPr>
            <w:tcW w:w="7800" w:type="dxa"/>
          </w:tcPr>
          <w:p w:rsidR="00867E41" w:rsidRPr="002E276E" w:rsidP="00867E41" w14:paraId="121D0B23" w14:textId="6947BBFB">
            <w:pPr>
              <w:rPr>
                <w:rFonts w:ascii="Calibri" w:hAnsi="Calibri" w:cs="Calibri"/>
                <w:i/>
                <w:iCs/>
                <w:sz w:val="22"/>
                <w:szCs w:val="20"/>
              </w:rPr>
            </w:pPr>
            <w:r w:rsidRPr="00EC4B0A">
              <w:rPr>
                <w:rFonts w:ascii="Calibri" w:hAnsi="Calibri" w:cs="Calibri"/>
                <w:bCs/>
                <w:szCs w:val="24"/>
              </w:rPr>
              <w:t>Consultation</w:t>
            </w:r>
          </w:p>
        </w:tc>
      </w:tr>
      <w:tr w14:paraId="4D8B93A2" w14:textId="77777777" w:rsidTr="5F135418">
        <w:tblPrEx>
          <w:tblW w:w="9360" w:type="dxa"/>
          <w:tblLook w:val="04A0"/>
        </w:tblPrEx>
        <w:tc>
          <w:tcPr>
            <w:tcW w:w="1560" w:type="dxa"/>
          </w:tcPr>
          <w:p w:rsidR="003B3335" w:rsidP="00867E41" w14:paraId="5D616927" w14:textId="7EAB9FAA">
            <w:pPr>
              <w:jc w:val="center"/>
              <w:rPr>
                <w:rFonts w:ascii="Calibri" w:hAnsi="Calibri" w:cs="Calibri"/>
                <w:sz w:val="22"/>
                <w:szCs w:val="20"/>
              </w:rPr>
            </w:pPr>
            <w:r>
              <w:rPr>
                <w:rFonts w:ascii="Calibri" w:hAnsi="Calibri" w:cs="Calibri"/>
                <w:sz w:val="22"/>
                <w:szCs w:val="20"/>
              </w:rPr>
              <w:t>G</w:t>
            </w:r>
          </w:p>
        </w:tc>
        <w:tc>
          <w:tcPr>
            <w:tcW w:w="7800" w:type="dxa"/>
          </w:tcPr>
          <w:p w:rsidR="003B3335" w:rsidRPr="00EC4B0A" w:rsidP="00867E41" w14:paraId="7D0BECE2" w14:textId="35F38F3D">
            <w:pPr>
              <w:rPr>
                <w:rFonts w:ascii="Calibri" w:hAnsi="Calibri" w:cs="Calibri"/>
                <w:bCs/>
                <w:szCs w:val="24"/>
              </w:rPr>
            </w:pPr>
            <w:r>
              <w:rPr>
                <w:rFonts w:ascii="Calibri" w:hAnsi="Calibri" w:cs="Calibri"/>
                <w:bCs/>
                <w:szCs w:val="24"/>
              </w:rPr>
              <w:t>Consultation Response</w:t>
            </w:r>
            <w:r w:rsidR="00C36A66">
              <w:rPr>
                <w:rFonts w:ascii="Calibri" w:hAnsi="Calibri" w:cs="Calibri"/>
                <w:bCs/>
                <w:szCs w:val="24"/>
              </w:rPr>
              <w:t>s</w:t>
            </w:r>
          </w:p>
        </w:tc>
      </w:tr>
    </w:tbl>
    <w:p w:rsidR="00867E41" w:rsidRPr="00867E41" w:rsidP="002E276E" w14:paraId="65D44E45" w14:textId="77777777">
      <w:pPr>
        <w:rPr>
          <w:b/>
          <w:bCs/>
        </w:rPr>
      </w:pPr>
      <w:r w:rsidRPr="00867E41">
        <w:rPr>
          <w:rFonts w:ascii="Calibri" w:hAnsi="Calibri" w:cs="Calibri"/>
          <w:b/>
          <w:bCs/>
        </w:rPr>
        <w:t xml:space="preserve">References </w:t>
      </w:r>
    </w:p>
    <w:p w:rsidR="00867E41" w:rsidRPr="006D6C31" w:rsidP="00867E41" w14:paraId="05BE1D62" w14:textId="77777777">
      <w:pPr>
        <w:rPr>
          <w:rFonts w:ascii="Calibri" w:hAnsi="Calibri" w:eastAsiaTheme="minorEastAsia" w:cs="Calibri"/>
        </w:rPr>
      </w:pPr>
      <w:hyperlink r:id="rId22" w:history="1">
        <w:r w:rsidRPr="006D6C31">
          <w:rPr>
            <w:rStyle w:val="Hyperlink"/>
            <w:rFonts w:ascii="Calibri" w:hAnsi="Calibri" w:eastAsiaTheme="minorEastAsia" w:cs="Calibri"/>
          </w:rPr>
          <w:t>15 U.S.C. 2603</w:t>
        </w:r>
      </w:hyperlink>
      <w:r w:rsidRPr="006D6C31">
        <w:rPr>
          <w:rFonts w:ascii="Calibri" w:hAnsi="Calibri" w:eastAsiaTheme="minorEastAsia" w:cs="Calibri"/>
        </w:rPr>
        <w:t xml:space="preserve"> </w:t>
      </w:r>
    </w:p>
    <w:p w:rsidR="00867E41" w:rsidRPr="006D6C31" w:rsidP="00867E41" w14:paraId="6979F897" w14:textId="77777777">
      <w:pPr>
        <w:rPr>
          <w:rStyle w:val="Hyperlink"/>
          <w:rFonts w:ascii="Calibri" w:hAnsi="Calibri" w:cs="Calibri"/>
          <w:lang w:bidi="en-US"/>
        </w:rPr>
      </w:pPr>
      <w:hyperlink r:id="rId23" w:history="1">
        <w:r w:rsidRPr="006D6C31">
          <w:rPr>
            <w:rStyle w:val="Hyperlink"/>
            <w:rFonts w:ascii="Calibri" w:hAnsi="Calibri" w:cs="Calibri"/>
            <w:lang w:bidi="en-US"/>
          </w:rPr>
          <w:t>15 U.S.C. 2607</w:t>
        </w:r>
      </w:hyperlink>
    </w:p>
    <w:p w:rsidR="00867E41" w:rsidRPr="006D6C31" w:rsidP="00867E41" w14:paraId="07429758" w14:textId="77777777">
      <w:pPr>
        <w:rPr>
          <w:rStyle w:val="Hyperlink"/>
          <w:rFonts w:ascii="Calibri" w:hAnsi="Calibri" w:cs="Calibri"/>
          <w:lang w:bidi="en-US"/>
        </w:rPr>
      </w:pPr>
      <w:hyperlink r:id="rId24" w:history="1">
        <w:r w:rsidRPr="006D6C31">
          <w:rPr>
            <w:rStyle w:val="Hyperlink"/>
            <w:rFonts w:ascii="Calibri" w:hAnsi="Calibri" w:cs="Calibri"/>
          </w:rPr>
          <w:t xml:space="preserve">15 U.S.C. 2625 </w:t>
        </w:r>
      </w:hyperlink>
    </w:p>
    <w:p w:rsidR="00867E41" w:rsidRPr="006D6C31" w:rsidP="00867E41" w14:paraId="20B4C052" w14:textId="77777777">
      <w:pPr>
        <w:rPr>
          <w:rStyle w:val="Hyperlink"/>
          <w:rFonts w:ascii="Calibri" w:hAnsi="Calibri" w:cs="Calibri"/>
        </w:rPr>
      </w:pPr>
      <w:hyperlink r:id="rId25" w:history="1">
        <w:r w:rsidRPr="006D6C31">
          <w:rPr>
            <w:rStyle w:val="Hyperlink"/>
            <w:rFonts w:ascii="Calibri" w:hAnsi="Calibri" w:cs="Calibri"/>
          </w:rPr>
          <w:t xml:space="preserve">40 CFR 712 </w:t>
        </w:r>
      </w:hyperlink>
      <w:r w:rsidRPr="006D6C31">
        <w:rPr>
          <w:rStyle w:val="Hyperlink"/>
          <w:rFonts w:ascii="Calibri" w:hAnsi="Calibri" w:cs="Calibri"/>
        </w:rPr>
        <w:t>8(a) Preliminary Assessment Information Rule (PAIR)</w:t>
      </w:r>
    </w:p>
    <w:p w:rsidR="00867E41" w:rsidRPr="006D6C31" w:rsidP="00867E41" w14:paraId="5142C9DA" w14:textId="34048D2B">
      <w:pPr>
        <w:rPr>
          <w:rFonts w:ascii="Calibri" w:hAnsi="Calibri" w:cs="Calibri"/>
          <w:szCs w:val="24"/>
        </w:rPr>
      </w:pPr>
      <w:hyperlink r:id="rId26" w:history="1">
        <w:r w:rsidRPr="006D6C31">
          <w:rPr>
            <w:rStyle w:val="Hyperlink"/>
            <w:rFonts w:ascii="Calibri" w:hAnsi="Calibri" w:cs="Calibri"/>
            <w:szCs w:val="24"/>
          </w:rPr>
          <w:t>40 CFR 766 8(a) PA</w:t>
        </w:r>
        <w:r w:rsidR="009A0617">
          <w:rPr>
            <w:rStyle w:val="Hyperlink"/>
            <w:rFonts w:ascii="Calibri" w:hAnsi="Calibri" w:cs="Calibri"/>
            <w:szCs w:val="24"/>
          </w:rPr>
          <w:t>IR</w:t>
        </w:r>
        <w:r w:rsidRPr="006D6C31">
          <w:rPr>
            <w:rStyle w:val="Hyperlink"/>
            <w:rFonts w:ascii="Calibri" w:hAnsi="Calibri" w:cs="Calibri"/>
            <w:szCs w:val="24"/>
          </w:rPr>
          <w:t xml:space="preserve"> and Dibenxo-para-dioxins/dibenzofurans</w:t>
        </w:r>
      </w:hyperlink>
    </w:p>
    <w:p w:rsidR="00867E41" w:rsidRPr="006D6C31" w:rsidP="00867E41" w14:paraId="0A4695A7" w14:textId="1048465F">
      <w:pPr>
        <w:rPr>
          <w:rFonts w:ascii="Calibri" w:hAnsi="Calibri" w:cs="Calibri"/>
          <w:szCs w:val="24"/>
        </w:rPr>
      </w:pPr>
      <w:hyperlink r:id="rId27" w:history="1">
        <w:r w:rsidRPr="006D6C31">
          <w:rPr>
            <w:rStyle w:val="Hyperlink"/>
            <w:rFonts w:ascii="Calibri" w:hAnsi="Calibri" w:cs="Calibri"/>
            <w:szCs w:val="24"/>
          </w:rPr>
          <w:t>40 CFR 703 Confidential</w:t>
        </w:r>
        <w:r w:rsidR="009A0617">
          <w:rPr>
            <w:rStyle w:val="Hyperlink"/>
            <w:rFonts w:ascii="Calibri" w:hAnsi="Calibri" w:cs="Calibri"/>
            <w:szCs w:val="24"/>
          </w:rPr>
          <w:t>it</w:t>
        </w:r>
        <w:r w:rsidRPr="006D6C31">
          <w:rPr>
            <w:rStyle w:val="Hyperlink"/>
            <w:rFonts w:ascii="Calibri" w:hAnsi="Calibri" w:cs="Calibri"/>
            <w:szCs w:val="24"/>
          </w:rPr>
          <w:t>y Claims</w:t>
        </w:r>
      </w:hyperlink>
      <w:r w:rsidRPr="006D6C31">
        <w:rPr>
          <w:rFonts w:ascii="Calibri" w:hAnsi="Calibri" w:cs="Calibri"/>
          <w:szCs w:val="24"/>
        </w:rPr>
        <w:t xml:space="preserve"> </w:t>
      </w:r>
    </w:p>
    <w:p w:rsidR="00867E41" w:rsidRPr="006D6C31" w:rsidP="00867E41" w14:paraId="50E7D8E5" w14:textId="77777777">
      <w:pPr>
        <w:rPr>
          <w:rStyle w:val="Hyperlink"/>
          <w:rFonts w:ascii="Calibri" w:hAnsi="Calibri" w:cs="Calibri"/>
        </w:rPr>
      </w:pPr>
      <w:hyperlink r:id="rId28" w:history="1">
        <w:r w:rsidRPr="006D6C31">
          <w:rPr>
            <w:rStyle w:val="Hyperlink"/>
            <w:rFonts w:ascii="Calibri" w:hAnsi="Calibri" w:cs="Calibri"/>
          </w:rPr>
          <w:t>40 CFR 704 Chemical Specific Rules</w:t>
        </w:r>
      </w:hyperlink>
      <w:r w:rsidRPr="006D6C31">
        <w:rPr>
          <w:rFonts w:ascii="Calibri" w:hAnsi="Calibri" w:cs="Calibri"/>
        </w:rPr>
        <w:t xml:space="preserve"> </w:t>
      </w:r>
    </w:p>
    <w:p w:rsidR="00867E41" w:rsidRPr="006D6C31" w:rsidP="00867E41" w14:paraId="6978AFFE" w14:textId="77777777">
      <w:pPr>
        <w:rPr>
          <w:rFonts w:ascii="Calibri" w:hAnsi="Calibri" w:cs="Calibri"/>
        </w:rPr>
      </w:pPr>
      <w:hyperlink r:id="rId29" w:history="1">
        <w:r w:rsidRPr="006D6C31">
          <w:rPr>
            <w:rStyle w:val="Hyperlink"/>
            <w:rFonts w:ascii="Calibri" w:hAnsi="Calibri" w:cs="Calibri"/>
          </w:rPr>
          <w:t>40 CFR 717 Allegations of Adverse Effects</w:t>
        </w:r>
      </w:hyperlink>
      <w:r w:rsidRPr="006D6C31">
        <w:rPr>
          <w:rFonts w:ascii="Calibri" w:hAnsi="Calibri" w:cs="Calibri"/>
        </w:rPr>
        <w:t xml:space="preserve"> </w:t>
      </w:r>
    </w:p>
    <w:p w:rsidR="00867E41" w:rsidRPr="008E374C" w:rsidP="00867E41" w14:paraId="56048534" w14:textId="7B8582D4">
      <w:pPr>
        <w:rPr>
          <w:rStyle w:val="Hyperlink"/>
          <w:rFonts w:ascii="Calibri" w:hAnsi="Calibri" w:cs="Calibri"/>
        </w:rPr>
      </w:pPr>
      <w:r>
        <w:rPr>
          <w:rFonts w:ascii="Calibri" w:hAnsi="Calibri" w:cs="Calibri"/>
          <w:i/>
        </w:rPr>
        <w:fldChar w:fldCharType="begin"/>
      </w:r>
      <w:r>
        <w:instrText>HYPERLINK "https://www.ecfr.gov/current/title-40/chapter-I/subchapter-R/part-716?toc=1"</w:instrText>
      </w:r>
      <w:r>
        <w:rPr>
          <w:rFonts w:ascii="Calibri" w:hAnsi="Calibri" w:cs="Calibri"/>
          <w:i/>
        </w:rPr>
        <w:fldChar w:fldCharType="separate"/>
      </w:r>
      <w:r w:rsidRPr="008E374C">
        <w:rPr>
          <w:rStyle w:val="Hyperlink"/>
          <w:rFonts w:ascii="Calibri" w:hAnsi="Calibri" w:cs="Calibri"/>
        </w:rPr>
        <w:t xml:space="preserve">40 CFR 716 Health and Safety Data Reporting </w:t>
      </w:r>
    </w:p>
    <w:p w:rsidR="00867E41" w:rsidRPr="006D6C31" w:rsidP="00867E41" w14:paraId="0677053E" w14:textId="4D4779FB">
      <w:pPr>
        <w:rPr>
          <w:rFonts w:ascii="Calibri" w:hAnsi="Calibri" w:eastAsiaTheme="minorEastAsia" w:cs="Calibri"/>
        </w:rPr>
      </w:pPr>
      <w:r>
        <w:rPr>
          <w:rFonts w:ascii="Calibri" w:hAnsi="Calibri" w:cs="Calibri"/>
          <w:i/>
        </w:rPr>
        <w:fldChar w:fldCharType="end"/>
      </w:r>
      <w:hyperlink r:id="rId30" w:history="1">
        <w:r w:rsidRPr="006D6C31">
          <w:rPr>
            <w:rStyle w:val="Hyperlink"/>
            <w:rFonts w:ascii="Calibri" w:hAnsi="Calibri" w:cs="Calibri"/>
            <w:szCs w:val="24"/>
          </w:rPr>
          <w:t xml:space="preserve">40 CFR 792 </w:t>
        </w:r>
      </w:hyperlink>
      <w:r w:rsidRPr="006D6C31">
        <w:rPr>
          <w:rStyle w:val="Hyperlink"/>
          <w:rFonts w:ascii="Calibri" w:hAnsi="Calibri" w:cs="Calibri"/>
          <w:szCs w:val="24"/>
        </w:rPr>
        <w:t xml:space="preserve">Good Laboratory Practice Standards </w:t>
      </w:r>
    </w:p>
    <w:p w:rsidR="002E276E" w:rsidRPr="006D6C31" w:rsidP="5F135418" w14:paraId="1B4C3796" w14:textId="4D4FE244">
      <w:pPr>
        <w:ind w:left="720" w:hanging="720"/>
        <w:rPr>
          <w:rFonts w:ascii="Calibri" w:hAnsi="Calibri" w:eastAsiaTheme="minorEastAsia" w:cs="Calibri"/>
        </w:rPr>
      </w:pPr>
      <w:r w:rsidRPr="5F135418">
        <w:rPr>
          <w:rFonts w:ascii="Calibri" w:hAnsi="Calibri" w:eastAsiaTheme="minorEastAsia" w:cs="Calibri"/>
        </w:rPr>
        <w:t xml:space="preserve">Rice, C. (2002). </w:t>
      </w:r>
      <w:r w:rsidRPr="5F135418">
        <w:rPr>
          <w:rFonts w:ascii="Calibri" w:hAnsi="Calibri" w:eastAsiaTheme="minorEastAsia" w:cs="Calibri"/>
          <w:i/>
          <w:iCs/>
        </w:rPr>
        <w:t>Wage Rates for Economic Analysis of the Toxic Release Inventory Program.</w:t>
      </w:r>
      <w:r w:rsidRPr="5F135418">
        <w:rPr>
          <w:rFonts w:ascii="Calibri" w:hAnsi="Calibri" w:eastAsiaTheme="minorEastAsia" w:cs="Calibri"/>
        </w:rPr>
        <w:t xml:space="preserve"> Washington, D.C.: U.S. EPA, Office of Pollution Prevention and Toxics, Economics and Policy Analysis Branch.</w:t>
      </w:r>
    </w:p>
    <w:p w:rsidR="00AA5B45" w:rsidP="5F135418" w14:paraId="3FCC404E" w14:textId="29868320">
      <w:pPr>
        <w:spacing w:after="0" w:line="240" w:lineRule="auto"/>
        <w:ind w:left="720" w:hanging="720"/>
        <w:rPr>
          <w:rFonts w:cs="Arial"/>
        </w:rPr>
      </w:pPr>
      <w:r w:rsidRPr="5F135418">
        <w:rPr>
          <w:rFonts w:ascii="Calibri" w:hAnsi="Calibri" w:eastAsiaTheme="minorEastAsia" w:cs="Calibri"/>
        </w:rPr>
        <w:t xml:space="preserve">U.S. Bureau of Labor Statistics. (2022). </w:t>
      </w:r>
      <w:r w:rsidRPr="5F135418">
        <w:rPr>
          <w:rFonts w:ascii="Calibri" w:hAnsi="Calibri" w:eastAsiaTheme="minorEastAsia" w:cs="Calibri"/>
          <w:i/>
          <w:iCs/>
        </w:rPr>
        <w:t xml:space="preserve">May 2022 National Industry-Specific Occupational Employment and Wage Estimates. </w:t>
      </w:r>
      <w:r w:rsidRPr="5F135418">
        <w:rPr>
          <w:rFonts w:ascii="Calibri" w:hAnsi="Calibri" w:eastAsiaTheme="minorEastAsia" w:cs="Calibri"/>
        </w:rPr>
        <w:t>Retrieved January 9, 2024 from</w:t>
      </w:r>
      <w:r>
        <w:tab/>
      </w:r>
      <w:r w:rsidRPr="5F135418">
        <w:rPr>
          <w:rFonts w:cs="Arial"/>
        </w:rPr>
        <w:t>.</w:t>
      </w:r>
      <w:r w:rsidRPr="5F135418" w:rsidR="00B5200A">
        <w:rPr>
          <w:rFonts w:cs="Arial"/>
        </w:rPr>
        <w:t xml:space="preserve"> </w:t>
      </w:r>
    </w:p>
    <w:p w:rsidR="002E276E" w:rsidRPr="006D6C31" w:rsidP="00AE7497" w14:paraId="55FD35DB" w14:textId="7DE9A0FC">
      <w:pPr>
        <w:spacing w:after="0" w:line="240" w:lineRule="auto"/>
        <w:ind w:left="360" w:firstLine="360"/>
        <w:rPr>
          <w:rFonts w:ascii="Calibri" w:hAnsi="Calibri" w:cs="Calibri"/>
        </w:rPr>
      </w:pPr>
      <w:hyperlink r:id="rId31" w:anchor="23-0000" w:history="1">
        <w:r w:rsidRPr="00AA5B45">
          <w:rPr>
            <w:rStyle w:val="Hyperlink"/>
            <w:rFonts w:ascii="Calibri" w:hAnsi="Calibri" w:cs="Calibri"/>
          </w:rPr>
          <w:t>https://www.bls.gov/oes/current/oes_nat.htm#23-0000</w:t>
        </w:r>
      </w:hyperlink>
      <w:r w:rsidRPr="006D6C31">
        <w:rPr>
          <w:rFonts w:ascii="Calibri" w:hAnsi="Calibri" w:cs="Calibri"/>
        </w:rPr>
        <w:t xml:space="preserve"> .</w:t>
      </w:r>
    </w:p>
    <w:p w:rsidR="00AA5B45" w:rsidRPr="006D6C31" w:rsidP="00CA12AD" w14:paraId="48D51103" w14:textId="77777777">
      <w:pPr>
        <w:spacing w:after="0" w:line="240" w:lineRule="auto"/>
        <w:ind w:left="360" w:firstLine="360"/>
        <w:rPr>
          <w:rFonts w:ascii="Calibri" w:hAnsi="Calibri" w:cs="Calibri"/>
        </w:rPr>
      </w:pPr>
    </w:p>
    <w:p w:rsidR="002E276E" w:rsidRPr="006D6C31" w:rsidP="002E276E" w14:paraId="6E07ED85" w14:textId="77777777">
      <w:pPr>
        <w:pStyle w:val="BodyTextIndent2"/>
        <w:spacing w:line="240" w:lineRule="auto"/>
        <w:ind w:left="720" w:hanging="720"/>
        <w:rPr>
          <w:rFonts w:ascii="Calibri" w:hAnsi="Calibri" w:eastAsiaTheme="minorEastAsia" w:cs="Calibri"/>
          <w:i/>
        </w:rPr>
      </w:pPr>
      <w:bookmarkStart w:id="45" w:name="_Hlk22023000"/>
      <w:r w:rsidRPr="006D6C31">
        <w:rPr>
          <w:rFonts w:ascii="Calibri" w:hAnsi="Calibri" w:eastAsiaTheme="minorEastAsia" w:cs="Calibri"/>
        </w:rPr>
        <w:t>U.S. Bureau of Labor Statistics (2022).</w:t>
      </w:r>
      <w:r w:rsidRPr="006D6C31">
        <w:rPr>
          <w:rFonts w:ascii="Calibri" w:hAnsi="Calibri" w:cs="Calibri"/>
        </w:rPr>
        <w:t xml:space="preserve"> </w:t>
      </w:r>
      <w:r w:rsidRPr="006D6C31">
        <w:rPr>
          <w:rFonts w:ascii="Calibri" w:hAnsi="Calibri" w:eastAsiaTheme="minorEastAsia" w:cs="Calibri"/>
          <w:i/>
        </w:rPr>
        <w:t>Employer Costs for Employee Compensation (ECEC) Supplemental Tables.</w:t>
      </w:r>
    </w:p>
    <w:bookmarkEnd w:id="45"/>
    <w:p w:rsidR="002E276E" w:rsidRPr="006D6C31" w:rsidP="002E276E" w14:paraId="412FF4C9" w14:textId="77777777">
      <w:pPr>
        <w:ind w:left="720" w:hanging="720"/>
        <w:rPr>
          <w:rFonts w:ascii="Calibri" w:eastAsia="Times New Roman" w:hAnsi="Calibri" w:cs="Calibri"/>
          <w:szCs w:val="24"/>
        </w:rPr>
      </w:pPr>
      <w:r w:rsidRPr="006D6C31">
        <w:rPr>
          <w:rFonts w:ascii="Calibri" w:eastAsia="Times New Roman" w:hAnsi="Calibri" w:cs="Calibri"/>
          <w:szCs w:val="24"/>
        </w:rPr>
        <w:t xml:space="preserve">U.S. EPA. (2002). </w:t>
      </w:r>
      <w:r w:rsidRPr="006D6C31">
        <w:rPr>
          <w:rFonts w:ascii="Calibri" w:eastAsia="Times New Roman" w:hAnsi="Calibri" w:cs="Calibri"/>
          <w:i/>
          <w:szCs w:val="24"/>
        </w:rPr>
        <w:t>Revised Economic Analysis for the Amended Inventory Update Rule: Final Report (EPA-HQ-OPPT-2002-0054-0279).</w:t>
      </w:r>
      <w:r w:rsidRPr="006D6C31">
        <w:rPr>
          <w:rFonts w:ascii="Calibri" w:eastAsia="Times New Roman" w:hAnsi="Calibri" w:cs="Calibri"/>
          <w:szCs w:val="24"/>
        </w:rPr>
        <w:t xml:space="preserve"> Washington, D.C.: Office of Pollution Prevention and Toxics, Economics and Policy Analysis Branch.</w:t>
      </w:r>
    </w:p>
    <w:p w:rsidR="002E276E" w:rsidRPr="006D6C31" w:rsidP="002E276E" w14:paraId="67CEAB64" w14:textId="77777777">
      <w:pPr>
        <w:autoSpaceDE w:val="0"/>
        <w:autoSpaceDN w:val="0"/>
        <w:adjustRightInd w:val="0"/>
        <w:ind w:left="720" w:hanging="720"/>
        <w:rPr>
          <w:rFonts w:ascii="Calibri" w:eastAsia="Times New Roman" w:hAnsi="Calibri" w:cs="Calibri"/>
          <w:szCs w:val="24"/>
        </w:rPr>
      </w:pPr>
      <w:r w:rsidRPr="006D6C31">
        <w:rPr>
          <w:rFonts w:ascii="Calibri" w:eastAsia="Times New Roman" w:hAnsi="Calibri" w:cs="Calibri"/>
          <w:color w:val="222222"/>
          <w:szCs w:val="24"/>
          <w:shd w:val="clear" w:color="auto" w:fill="FFFFFF"/>
        </w:rPr>
        <w:t xml:space="preserve">U.S. EPA, (2009a). </w:t>
      </w:r>
      <w:r w:rsidRPr="006D6C31">
        <w:rPr>
          <w:rFonts w:ascii="Calibri" w:eastAsia="Times New Roman" w:hAnsi="Calibri" w:cs="Calibri"/>
          <w:i/>
          <w:color w:val="222222"/>
          <w:szCs w:val="24"/>
          <w:shd w:val="clear" w:color="auto" w:fill="FFFFFF"/>
        </w:rPr>
        <w:t>ICR Handbook EPA’s Guide to Writing Information Collection Requests under the Paperwork Reduction Act of 1995. </w:t>
      </w:r>
      <w:r w:rsidRPr="006D6C31">
        <w:rPr>
          <w:rFonts w:ascii="Calibri" w:eastAsia="Times New Roman" w:hAnsi="Calibri" w:cs="Calibri"/>
          <w:color w:val="222222"/>
          <w:szCs w:val="24"/>
          <w:shd w:val="clear" w:color="auto" w:fill="FFFFFF"/>
        </w:rPr>
        <w:t>Revised 10/2009 Washington, D.C.: U.S. EPA, Office of Environmental Information.</w:t>
      </w:r>
    </w:p>
    <w:p w:rsidR="002E276E" w:rsidRPr="006D6C31" w:rsidP="008747BC" w14:paraId="7E921C80" w14:textId="77777777">
      <w:pPr>
        <w:ind w:left="720" w:hanging="720"/>
        <w:rPr>
          <w:rFonts w:ascii="Calibri" w:hAnsi="Calibri" w:eastAsiaTheme="minorEastAsia" w:cs="Calibri"/>
        </w:rPr>
      </w:pPr>
      <w:r w:rsidRPr="006D6C31">
        <w:rPr>
          <w:rFonts w:ascii="Calibri" w:hAnsi="Calibri" w:eastAsiaTheme="minorEastAsia" w:cs="Calibri"/>
        </w:rPr>
        <w:t xml:space="preserve">U.S. EPA. (2019). Economic Analysis for the Proposed Rule: Procedures for Review of </w:t>
      </w:r>
      <w:r w:rsidRPr="006D6C31">
        <w:rPr>
          <w:rFonts w:ascii="Calibri" w:hAnsi="Calibri" w:eastAsiaTheme="minorEastAsia" w:cs="Calibri"/>
        </w:rPr>
        <w:tab/>
        <w:t>CBI Claims for the Identity of Chemicals on the TSCA Inventory (April 2, 2019).</w:t>
      </w:r>
    </w:p>
    <w:p w:rsidR="002E276E" w:rsidRPr="006D6C31" w:rsidP="002E276E" w14:paraId="465C6066" w14:textId="77777777">
      <w:pPr>
        <w:spacing w:after="180" w:line="264" w:lineRule="auto"/>
        <w:ind w:left="720" w:hanging="720"/>
        <w:rPr>
          <w:rFonts w:ascii="Calibri" w:hAnsi="Calibri" w:cs="Calibri"/>
        </w:rPr>
      </w:pPr>
      <w:bookmarkStart w:id="46" w:name="_Hlk22021724"/>
      <w:r w:rsidRPr="006D6C31">
        <w:rPr>
          <w:rFonts w:ascii="Calibri" w:eastAsia="Times New Roman" w:hAnsi="Calibri" w:cs="Calibri"/>
          <w:szCs w:val="24"/>
        </w:rPr>
        <w:t xml:space="preserve">U.S. Office of Personnel Management. (2023). </w:t>
      </w:r>
      <w:r w:rsidRPr="006D6C31">
        <w:rPr>
          <w:rFonts w:ascii="Calibri" w:eastAsia="Times New Roman" w:hAnsi="Calibri" w:cs="Calibri"/>
          <w:i/>
          <w:szCs w:val="24"/>
        </w:rPr>
        <w:t>Salary Table 2018-</w:t>
      </w:r>
      <w:r w:rsidRPr="006D6C31">
        <w:rPr>
          <w:rFonts w:ascii="Calibri" w:eastAsia="Times New Roman" w:hAnsi="Calibri" w:cs="Calibri"/>
          <w:szCs w:val="24"/>
        </w:rPr>
        <w:t xml:space="preserve"> </w:t>
      </w:r>
      <w:r w:rsidRPr="006D6C31">
        <w:rPr>
          <w:rFonts w:ascii="Calibri" w:eastAsia="Times New Roman" w:hAnsi="Calibri" w:cs="Calibri"/>
          <w:i/>
          <w:szCs w:val="24"/>
        </w:rPr>
        <w:t>DCB, Washington-Baltimore-Northern Virginia, DC-MD-PA-VA-WV</w:t>
      </w:r>
      <w:r w:rsidRPr="006D6C31">
        <w:rPr>
          <w:rFonts w:ascii="Calibri" w:eastAsia="Times New Roman" w:hAnsi="Calibri" w:cs="Calibri"/>
          <w:szCs w:val="24"/>
        </w:rPr>
        <w:t>. Retrieved January 9, 2024 from Pay &amp; Leave: Salaries &amp; Wages:</w:t>
      </w:r>
      <w:r w:rsidRPr="006D6C31">
        <w:rPr>
          <w:rFonts w:ascii="Calibri" w:hAnsi="Calibri" w:cs="Calibri"/>
        </w:rPr>
        <w:t xml:space="preserve"> </w:t>
      </w:r>
      <w:bookmarkEnd w:id="46"/>
      <w:hyperlink r:id="rId32" w:history="1">
        <w:r w:rsidRPr="006D6C31">
          <w:rPr>
            <w:rStyle w:val="Hyperlink"/>
            <w:rFonts w:ascii="Calibri" w:hAnsi="Calibri" w:eastAsiaTheme="minorEastAsia" w:cs="Calibri"/>
          </w:rPr>
          <w:t>https://www.opm.gov/policy-data-oversight/pay-leave/salaries-wages/salary-tables/23Tables/html/DCB_h.aspx</w:t>
        </w:r>
      </w:hyperlink>
    </w:p>
    <w:p w:rsidR="000116C4" w:rsidP="00191AAC" w14:paraId="64A450C6" w14:textId="77777777">
      <w:pPr>
        <w:tabs>
          <w:tab w:val="left" w:pos="810"/>
        </w:tabs>
        <w:spacing w:after="0" w:line="240" w:lineRule="auto"/>
        <w:rPr>
          <w:rFonts w:ascii="Calibri" w:hAnsi="Calibri" w:cs="Calibri"/>
          <w:szCs w:val="24"/>
        </w:rPr>
      </w:pPr>
      <w:r w:rsidRPr="00191AAC">
        <w:rPr>
          <w:rFonts w:ascii="Calibri" w:hAnsi="Calibri" w:cs="Calibri"/>
          <w:szCs w:val="24"/>
        </w:rPr>
        <w:t>U.S. EPA. (2023). Economic Analysis for the Final Rule: Procedures for Review of CBI Claims for</w:t>
      </w:r>
    </w:p>
    <w:p w:rsidR="00A27B63" w:rsidRPr="00191AAC" w:rsidP="5F135418" w14:paraId="11D3A605" w14:textId="0EBBA6C8">
      <w:pPr>
        <w:tabs>
          <w:tab w:val="left" w:pos="810"/>
        </w:tabs>
        <w:spacing w:after="0" w:line="240" w:lineRule="auto"/>
        <w:rPr>
          <w:rFonts w:ascii="Calibri" w:hAnsi="Calibri" w:cs="Calibri"/>
        </w:rPr>
      </w:pPr>
      <w:r>
        <w:rPr>
          <w:rFonts w:ascii="Calibri" w:hAnsi="Calibri" w:cs="Calibri"/>
          <w:szCs w:val="24"/>
        </w:rPr>
        <w:tab/>
      </w:r>
      <w:r w:rsidRPr="5F135418">
        <w:rPr>
          <w:rFonts w:ascii="Calibri" w:hAnsi="Calibri" w:cs="Calibri"/>
        </w:rPr>
        <w:t>the Identity of Chemicals on the TSCA Inventory (April 2, 2023).</w:t>
      </w:r>
    </w:p>
    <w:sectPr w:rsidSect="00947E69">
      <w:headerReference w:type="default" r:id="rId33"/>
      <w:footerReference w:type="default" r:id="rId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rPr>
      <w:id w:val="1649858543"/>
      <w:docPartObj>
        <w:docPartGallery w:val="Page Numbers (Bottom of Page)"/>
        <w:docPartUnique/>
      </w:docPartObj>
    </w:sdtPr>
    <w:sdtContent>
      <w:p w:rsidR="007E2E3C" w:rsidRPr="008B3910" w14:paraId="087539D0" w14:textId="77777777">
        <w:pPr>
          <w:pStyle w:val="Footer"/>
          <w:rPr>
            <w:rFonts w:ascii="Calibri" w:hAnsi="Calibri" w:cs="Calibri"/>
          </w:rPr>
        </w:pPr>
        <w:r w:rsidRPr="008B3910">
          <w:rPr>
            <w:rFonts w:ascii="Calibri" w:hAnsi="Calibri" w:cs="Calibri"/>
          </w:rPr>
          <w:fldChar w:fldCharType="begin"/>
        </w:r>
        <w:r w:rsidRPr="008B3910">
          <w:rPr>
            <w:rFonts w:ascii="Calibri" w:hAnsi="Calibri" w:cs="Calibri"/>
          </w:rPr>
          <w:instrText xml:space="preserve"> PAGE   \* MERGEFORMAT </w:instrText>
        </w:r>
        <w:r w:rsidRPr="008B3910">
          <w:rPr>
            <w:rFonts w:ascii="Calibri" w:hAnsi="Calibri" w:cs="Calibri"/>
          </w:rPr>
          <w:fldChar w:fldCharType="separate"/>
        </w:r>
        <w:r w:rsidRPr="008B3910">
          <w:rPr>
            <w:rFonts w:ascii="Calibri" w:hAnsi="Calibri" w:cs="Calibri"/>
            <w:noProof/>
          </w:rPr>
          <w:t>2</w:t>
        </w:r>
        <w:r w:rsidRPr="008B3910">
          <w:rPr>
            <w:rFonts w:ascii="Calibri" w:hAnsi="Calibri" w:cs="Calibri"/>
            <w:noProof/>
          </w:rPr>
          <w:fldChar w:fldCharType="end"/>
        </w:r>
      </w:p>
    </w:sdtContent>
  </w:sdt>
  <w:p w:rsidR="007E2E3C" w:rsidRPr="00375035" w14:paraId="1437A294" w14:textId="77777777">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2456319"/>
      <w:docPartObj>
        <w:docPartGallery w:val="Page Numbers (Bottom of Page)"/>
        <w:docPartUnique/>
      </w:docPartObj>
    </w:sdtPr>
    <w:sdtEndPr>
      <w:rPr>
        <w:noProof/>
      </w:rPr>
    </w:sdtEndPr>
    <w:sdtContent>
      <w:p w:rsidR="00070955" w14:paraId="35D8E8CD" w14:textId="2DD12AAB">
        <w:pPr>
          <w:pStyle w:val="Footer"/>
        </w:pPr>
        <w:r>
          <w:fldChar w:fldCharType="begin"/>
        </w:r>
        <w:r>
          <w:instrText xml:space="preserve"> PAGE   \* MERGEFORMAT </w:instrText>
        </w:r>
        <w:r>
          <w:fldChar w:fldCharType="separate"/>
        </w:r>
        <w:r>
          <w:rPr>
            <w:noProof/>
          </w:rPr>
          <w:t>2</w:t>
        </w:r>
        <w:r>
          <w:rPr>
            <w:noProof/>
          </w:rPr>
          <w:fldChar w:fldCharType="end"/>
        </w:r>
      </w:p>
    </w:sdtContent>
  </w:sdt>
  <w:p w:rsidR="007E2E3C" w14:paraId="74956983" w14:textId="7F8BEB90">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606924"/>
      <w:docPartObj>
        <w:docPartGallery w:val="Page Numbers (Bottom of Page)"/>
        <w:docPartUnique/>
      </w:docPartObj>
    </w:sdtPr>
    <w:sdtEndPr>
      <w:rPr>
        <w:noProof/>
      </w:rPr>
    </w:sdtEndPr>
    <w:sdtContent>
      <w:p w:rsidR="00AF0046" w14:paraId="276B1022" w14:textId="1561C38A">
        <w:pPr>
          <w:pStyle w:val="Footer"/>
        </w:pPr>
        <w:r>
          <w:fldChar w:fldCharType="begin"/>
        </w:r>
        <w:r>
          <w:instrText xml:space="preserve"> PAGE   \* MERGEFORMAT </w:instrText>
        </w:r>
        <w:r>
          <w:fldChar w:fldCharType="separate"/>
        </w:r>
        <w:r>
          <w:rPr>
            <w:noProof/>
          </w:rPr>
          <w:t>2</w:t>
        </w:r>
        <w:r>
          <w:rPr>
            <w:noProof/>
          </w:rPr>
          <w:fldChar w:fldCharType="end"/>
        </w:r>
      </w:p>
    </w:sdtContent>
  </w:sdt>
  <w:p w:rsidR="007E2E3C" w14:paraId="51010F1E" w14:textId="4978358F">
    <w:pPr>
      <w:pStyle w:val="Footer"/>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eastAsia="Calibri" w:hAnsi="Calibri" w:cs="Calibri"/>
        <w:sz w:val="20"/>
        <w:szCs w:val="20"/>
      </w:rPr>
      <w:id w:val="-1449382630"/>
      <w:docPartObj>
        <w:docPartGallery w:val="Page Numbers (Bottom of Page)"/>
        <w:docPartUnique/>
      </w:docPartObj>
    </w:sdtPr>
    <w:sdtContent>
      <w:sdt>
        <w:sdtPr>
          <w:rPr>
            <w:rFonts w:ascii="Calibri" w:eastAsia="Calibri" w:hAnsi="Calibri" w:cs="Calibri"/>
            <w:sz w:val="20"/>
            <w:szCs w:val="20"/>
          </w:rPr>
          <w:id w:val="-1705238520"/>
          <w:docPartObj>
            <w:docPartGallery w:val="Page Numbers (Top of Page)"/>
            <w:docPartUnique/>
          </w:docPartObj>
        </w:sdtPr>
        <w:sdtContent>
          <w:p w:rsidR="004F2BBA" w:rsidRPr="00041E4F" w:rsidP="00041E4F" w14:paraId="7F6369D3" w14:textId="7FFBEFA8">
            <w:pPr>
              <w:pStyle w:val="Footer"/>
              <w:rPr>
                <w:rFonts w:ascii="Calibri" w:eastAsia="Calibri" w:hAnsi="Calibri" w:cs="Calibri"/>
                <w:sz w:val="20"/>
                <w:szCs w:val="20"/>
              </w:rPr>
            </w:pPr>
            <w:r w:rsidRPr="2D725C34">
              <w:rPr>
                <w:rFonts w:ascii="Calibri" w:eastAsia="Calibri" w:hAnsi="Calibri" w:cs="Calibri"/>
                <w:sz w:val="20"/>
                <w:szCs w:val="20"/>
              </w:rPr>
              <w:fldChar w:fldCharType="begin"/>
            </w:r>
            <w:r w:rsidRPr="00041E4F">
              <w:instrText xml:space="preserve"> PAGE </w:instrText>
            </w:r>
            <w:r w:rsidRPr="2D725C34">
              <w:fldChar w:fldCharType="separate"/>
            </w:r>
            <w:r w:rsidRPr="2D725C34">
              <w:rPr>
                <w:rFonts w:ascii="Calibri" w:eastAsia="Calibri" w:hAnsi="Calibri" w:cs="Calibri"/>
                <w:sz w:val="20"/>
                <w:szCs w:val="20"/>
              </w:rPr>
              <w:t>2</w:t>
            </w:r>
            <w:r w:rsidRPr="2D725C34">
              <w:rPr>
                <w:rFonts w:ascii="Calibri" w:eastAsia="Calibri" w:hAnsi="Calibri" w:cs="Calibr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2EDB" w:rsidP="00B41A83" w14:paraId="4038B901" w14:textId="77777777">
      <w:pPr>
        <w:spacing w:after="0" w:line="240" w:lineRule="auto"/>
      </w:pPr>
      <w:r>
        <w:separator/>
      </w:r>
    </w:p>
  </w:footnote>
  <w:footnote w:type="continuationSeparator" w:id="1">
    <w:p w:rsidR="00AE2EDB" w:rsidP="00B41A83" w14:paraId="3078E2BD" w14:textId="77777777">
      <w:pPr>
        <w:spacing w:after="0" w:line="240" w:lineRule="auto"/>
      </w:pPr>
      <w:r>
        <w:continuationSeparator/>
      </w:r>
    </w:p>
  </w:footnote>
  <w:footnote w:type="continuationNotice" w:id="2">
    <w:p w:rsidR="00AE2EDB" w14:paraId="7D445D80" w14:textId="77777777">
      <w:pPr>
        <w:spacing w:after="0" w:line="240" w:lineRule="auto"/>
      </w:pPr>
    </w:p>
  </w:footnote>
  <w:footnote w:id="3">
    <w:p w:rsidR="007E2E3C" w:rsidRPr="00841F98" w:rsidP="007E2E3C" w14:paraId="767F465F" w14:textId="77777777">
      <w:pPr>
        <w:autoSpaceDE w:val="0"/>
        <w:autoSpaceDN w:val="0"/>
        <w:adjustRightInd w:val="0"/>
        <w:spacing w:after="0" w:line="240" w:lineRule="auto"/>
        <w:rPr>
          <w:rFonts w:ascii="Calibri" w:hAnsi="Calibri" w:cs="Calibri"/>
          <w:color w:val="000000"/>
          <w:sz w:val="20"/>
          <w:szCs w:val="20"/>
        </w:rPr>
      </w:pPr>
      <w:r w:rsidRPr="00867E41">
        <w:rPr>
          <w:rStyle w:val="FootnoteReference"/>
          <w:rFonts w:ascii="Calibri" w:hAnsi="Calibri" w:cs="Calibri"/>
        </w:rPr>
        <w:footnoteRef/>
      </w:r>
      <w:r w:rsidRPr="00841F98">
        <w:rPr>
          <w:rFonts w:ascii="Calibri" w:hAnsi="Calibri" w:cs="Calibri"/>
        </w:rPr>
        <w:t xml:space="preserve"> </w:t>
      </w:r>
      <w:r w:rsidRPr="00841F98">
        <w:rPr>
          <w:rFonts w:ascii="Calibri" w:hAnsi="Calibri" w:cs="Calibri"/>
          <w:color w:val="000000"/>
          <w:sz w:val="20"/>
          <w:szCs w:val="20"/>
        </w:rPr>
        <w:t>Economic Impact and Small Business Definition Analysis for the Final TSCA Section 8(a) Preliminary Assessment Information Rule, Final Report, prepared for the EPA by ICF, Inc., Washington, D.C., 1981.</w:t>
      </w:r>
    </w:p>
  </w:footnote>
  <w:footnote w:id="4">
    <w:p w:rsidR="007E2E3C" w:rsidRPr="00DB07AB" w:rsidP="007E2E3C" w14:paraId="0BBBB056" w14:textId="77777777">
      <w:pPr>
        <w:pStyle w:val="FootnoteText"/>
        <w:rPr>
          <w:rFonts w:ascii="Calibri" w:hAnsi="Calibri" w:cs="Calibri"/>
        </w:rPr>
      </w:pPr>
      <w:r w:rsidRPr="00DB07AB">
        <w:rPr>
          <w:rStyle w:val="FootnoteReference"/>
          <w:rFonts w:ascii="Calibri" w:hAnsi="Calibri" w:cs="Calibri"/>
        </w:rPr>
        <w:footnoteRef/>
      </w:r>
      <w:r w:rsidRPr="00DB07AB">
        <w:rPr>
          <w:rFonts w:ascii="Calibri" w:hAnsi="Calibri" w:cs="Calibri"/>
        </w:rPr>
        <w:t xml:space="preserve"> </w:t>
      </w:r>
      <w:r w:rsidRPr="00DB07AB">
        <w:rPr>
          <w:rFonts w:ascii="Calibri" w:hAnsi="Calibri" w:cs="Calibri"/>
          <w:color w:val="000000"/>
        </w:rPr>
        <w:t>40 CFR 712.28 (July 1, 1993).</w:t>
      </w:r>
    </w:p>
  </w:footnote>
  <w:footnote w:id="5">
    <w:p w:rsidR="007E2E3C" w:rsidP="007E2E3C" w14:paraId="3A68969A" w14:textId="77777777">
      <w:pPr>
        <w:autoSpaceDE w:val="0"/>
        <w:autoSpaceDN w:val="0"/>
        <w:adjustRightInd w:val="0"/>
        <w:spacing w:after="0" w:line="240" w:lineRule="auto"/>
      </w:pPr>
      <w:r w:rsidRPr="00DB07AB">
        <w:rPr>
          <w:rStyle w:val="FootnoteReference"/>
          <w:rFonts w:ascii="Calibri" w:hAnsi="Calibri" w:cs="Calibri"/>
        </w:rPr>
        <w:footnoteRef/>
      </w:r>
      <w:r w:rsidRPr="00DB07AB">
        <w:rPr>
          <w:rFonts w:ascii="Calibri" w:hAnsi="Calibri" w:cs="Calibri"/>
        </w:rPr>
        <w:t xml:space="preserve"> </w:t>
      </w:r>
      <w:r w:rsidRPr="00DB07AB">
        <w:rPr>
          <w:rFonts w:ascii="Calibri" w:hAnsi="Calibri" w:cs="Calibri"/>
          <w:color w:val="000000"/>
          <w:sz w:val="20"/>
          <w:szCs w:val="20"/>
        </w:rPr>
        <w:t>Burden Hour and Cost Estimates for PAIR Section 8(a) Reporting (1994 Update), internal U.S. EPA memorandum from Carol Rawie, Economics, Exposure, and Technology Division to Karen Boswell, Chemical Testing and Information Branch, May 16, 1994.</w:t>
      </w:r>
    </w:p>
  </w:footnote>
  <w:footnote w:id="6">
    <w:p w:rsidR="007E2E3C" w:rsidRPr="008E5F9C" w:rsidP="007E2E3C" w14:paraId="59667719" w14:textId="77777777">
      <w:pPr>
        <w:pStyle w:val="FootnoteText"/>
        <w:rPr>
          <w:rFonts w:ascii="Calibri" w:hAnsi="Calibri" w:cs="Calibri"/>
        </w:rPr>
      </w:pPr>
      <w:r w:rsidRPr="008E5F9C">
        <w:rPr>
          <w:rStyle w:val="FootnoteReference"/>
          <w:rFonts w:ascii="Calibri" w:hAnsi="Calibri" w:cs="Calibri"/>
          <w:sz w:val="16"/>
          <w:szCs w:val="16"/>
        </w:rPr>
        <w:footnoteRef/>
      </w:r>
      <w:r w:rsidRPr="008E5F9C">
        <w:rPr>
          <w:rFonts w:ascii="Calibri" w:hAnsi="Calibri" w:cs="Calibri"/>
          <w:sz w:val="16"/>
          <w:szCs w:val="16"/>
        </w:rPr>
        <w:t xml:space="preserve"> TSCA, Sec. 14(c)(1)(B), (C)</w:t>
      </w:r>
    </w:p>
  </w:footnote>
  <w:footnote w:id="7">
    <w:p w:rsidR="007E2E3C" w:rsidRPr="002F1765" w:rsidP="007E2E3C" w14:paraId="4AF3DC2A" w14:textId="77777777">
      <w:pPr>
        <w:pStyle w:val="FootnoteText"/>
        <w:rPr>
          <w:rFonts w:ascii="Calibri" w:hAnsi="Calibri" w:cs="Calibri"/>
          <w:sz w:val="16"/>
          <w:szCs w:val="16"/>
        </w:rPr>
      </w:pPr>
      <w:r w:rsidRPr="002F1765">
        <w:rPr>
          <w:rStyle w:val="FootnoteReference"/>
          <w:rFonts w:ascii="Calibri" w:hAnsi="Calibri" w:cs="Calibri"/>
          <w:sz w:val="16"/>
          <w:szCs w:val="16"/>
        </w:rPr>
        <w:footnoteRef/>
      </w:r>
      <w:r w:rsidRPr="002F1765">
        <w:rPr>
          <w:rFonts w:ascii="Calibri" w:hAnsi="Calibri" w:cs="Calibri"/>
          <w:sz w:val="16"/>
          <w:szCs w:val="16"/>
        </w:rPr>
        <w:t xml:space="preserve"> EPA has used this methodology from 2006 forward because the data source is publicly available, making the analysis more transparent. In the program’s initial ICR burden analysis, EPA used Dun’s Market Identifiers (DMI) from a Dun and Bradstreet database (see U.S. EPA, “Comparison of Data Sources for Characterizing Manufacturers and Processors,” Draft Report, Prepared by Centaur Associates, Inc under EPA contract No. 68-02-3980, Washington, DC; November 6, 1986).</w:t>
      </w:r>
    </w:p>
  </w:footnote>
  <w:footnote w:id="8">
    <w:p w:rsidR="007E2E3C" w:rsidRPr="002F1765" w:rsidP="007E2E3C" w14:paraId="0852082F" w14:textId="39A344F7">
      <w:pPr>
        <w:pStyle w:val="FootnoteText"/>
        <w:rPr>
          <w:rFonts w:ascii="Calibri" w:hAnsi="Calibri" w:cs="Calibri"/>
          <w:sz w:val="16"/>
          <w:szCs w:val="16"/>
        </w:rPr>
      </w:pPr>
      <w:r w:rsidRPr="002F1765">
        <w:rPr>
          <w:rStyle w:val="FootnoteReference"/>
          <w:rFonts w:ascii="Calibri" w:hAnsi="Calibri" w:cs="Calibri"/>
          <w:sz w:val="16"/>
          <w:szCs w:val="16"/>
        </w:rPr>
        <w:footnoteRef/>
      </w:r>
      <w:r w:rsidRPr="002F1765">
        <w:rPr>
          <w:rFonts w:ascii="Calibri" w:hAnsi="Calibri" w:cs="Calibri"/>
          <w:sz w:val="16"/>
          <w:szCs w:val="16"/>
        </w:rPr>
        <w:t xml:space="preserve"> U.S.EPA. “Chemical on Reporting Rules Database (CORR),” CCD and CSB, June 1990; and U.S.EPA. “Chemical on Reporting Rules Database (CORR): Update,” CCD and CSB; October 31, 1992</w:t>
      </w:r>
      <w:r w:rsidRPr="002F1765" w:rsidR="000E5A67">
        <w:rPr>
          <w:rFonts w:ascii="Calibri" w:hAnsi="Calibri" w:cs="Calibri"/>
          <w:sz w:val="16"/>
          <w:szCs w:val="16"/>
        </w:rPr>
        <w:t>, and U.S.EPA “4,4′-Methylene bis(2-chloroaniline); Request Under the Toxic Substances Control Act (TSCA) for Records and Reports of Significant Adverse Reactions to Health or the Environment,” December 2023.</w:t>
      </w:r>
    </w:p>
  </w:footnote>
  <w:footnote w:id="9">
    <w:p w:rsidR="007E2E3C" w:rsidRPr="002F1765" w:rsidP="007E2E3C" w14:paraId="4E10AD25" w14:textId="77777777">
      <w:pPr>
        <w:pStyle w:val="FootnoteText"/>
        <w:rPr>
          <w:rFonts w:ascii="Calibri" w:hAnsi="Calibri" w:cs="Calibri"/>
          <w:sz w:val="16"/>
          <w:szCs w:val="16"/>
        </w:rPr>
      </w:pPr>
      <w:r w:rsidRPr="002F1765">
        <w:rPr>
          <w:rStyle w:val="FootnoteReference"/>
          <w:rFonts w:ascii="Calibri" w:hAnsi="Calibri" w:cs="Calibri"/>
          <w:sz w:val="16"/>
          <w:szCs w:val="16"/>
        </w:rPr>
        <w:footnoteRef/>
      </w:r>
      <w:r w:rsidRPr="002F1765">
        <w:rPr>
          <w:rFonts w:ascii="Calibri" w:hAnsi="Calibri" w:cs="Calibri"/>
          <w:sz w:val="16"/>
          <w:szCs w:val="16"/>
        </w:rPr>
        <w:t xml:space="preserve"> U.S.EPA. [Untitled Computer Printout], IMD; June 3, 1992.</w:t>
      </w:r>
    </w:p>
  </w:footnote>
  <w:footnote w:id="10">
    <w:p w:rsidR="007E2E3C" w:rsidRPr="002F1765" w:rsidP="007E2E3C" w14:paraId="70CF3583" w14:textId="56AEE0C6">
      <w:pPr>
        <w:pStyle w:val="FootnoteText"/>
        <w:rPr>
          <w:rFonts w:ascii="Calibri" w:hAnsi="Calibri" w:cs="Calibri"/>
          <w:sz w:val="16"/>
          <w:szCs w:val="16"/>
        </w:rPr>
      </w:pPr>
      <w:r w:rsidRPr="002F1765">
        <w:rPr>
          <w:rStyle w:val="FootnoteReference"/>
          <w:rFonts w:ascii="Calibri" w:hAnsi="Calibri" w:cs="Calibri"/>
          <w:sz w:val="16"/>
          <w:szCs w:val="16"/>
        </w:rPr>
        <w:footnoteRef/>
      </w:r>
      <w:r w:rsidRPr="002F1765">
        <w:rPr>
          <w:rFonts w:ascii="Calibri" w:hAnsi="Calibri" w:cs="Calibri"/>
          <w:sz w:val="16"/>
          <w:szCs w:val="16"/>
        </w:rPr>
        <w:t xml:space="preserve"> Sherlock, Scott, Information Management Division. Phone conversation with Wendy Hoffman based upon “TSCA Reports to Congress for EPA Fiscal Years 1992-93;” August 1994.</w:t>
      </w:r>
    </w:p>
  </w:footnote>
  <w:footnote w:id="11">
    <w:p w:rsidR="007E2E3C" w:rsidP="007E2E3C" w14:paraId="5844D0F5" w14:textId="5830796B">
      <w:r w:rsidRPr="002F1765">
        <w:rPr>
          <w:rStyle w:val="FootnoteReference"/>
          <w:rFonts w:ascii="Calibri" w:hAnsi="Calibri" w:cs="Calibri"/>
          <w:sz w:val="16"/>
          <w:szCs w:val="16"/>
        </w:rPr>
        <w:footnoteRef/>
      </w:r>
      <w:r w:rsidRPr="002F1765">
        <w:rPr>
          <w:rFonts w:ascii="Calibri" w:hAnsi="Calibri" w:cs="Calibri"/>
          <w:sz w:val="16"/>
          <w:szCs w:val="16"/>
        </w:rPr>
        <w:t xml:space="preserve"> </w:t>
      </w:r>
      <w:r w:rsidRPr="002F1765">
        <w:rPr>
          <w:rFonts w:ascii="Calibri" w:hAnsi="Calibri" w:cs="Calibri"/>
          <w:color w:val="000000"/>
          <w:sz w:val="16"/>
          <w:szCs w:val="16"/>
        </w:rPr>
        <w:t>U.S.EPA. “Economic Analysis of TSCA Section 8(c) Significant Adverse Reaction Recordkeeping Rule, OTS/ETD/RIB.” January 1983.</w:t>
      </w:r>
    </w:p>
  </w:footnote>
  <w:footnote w:id="12">
    <w:p w:rsidR="00D83178" w:rsidRPr="002F66B7" w:rsidP="00D83178" w14:paraId="282DFA6E" w14:textId="77777777">
      <w:pPr>
        <w:pStyle w:val="FootnoteText"/>
        <w:rPr>
          <w:rFonts w:ascii="Calibri" w:hAnsi="Calibri" w:cs="Calibri"/>
        </w:rPr>
      </w:pPr>
      <w:r w:rsidRPr="002F66B7">
        <w:rPr>
          <w:rStyle w:val="FootnoteReference"/>
          <w:rFonts w:ascii="Calibri" w:hAnsi="Calibri" w:cs="Calibri"/>
          <w:sz w:val="18"/>
          <w:szCs w:val="18"/>
          <w:shd w:val="clear" w:color="auto" w:fill="FFFFFF" w:themeFill="background1"/>
        </w:rPr>
        <w:footnoteRef/>
      </w:r>
      <w:r w:rsidRPr="002F66B7">
        <w:rPr>
          <w:rFonts w:ascii="Calibri" w:hAnsi="Calibri" w:cs="Calibri"/>
          <w:sz w:val="18"/>
          <w:szCs w:val="18"/>
          <w:shd w:val="clear" w:color="auto" w:fill="FFFFFF" w:themeFill="background1"/>
        </w:rPr>
        <w:t xml:space="preserve"> According to 40 CFR 716.5, persons are required to report under a TSCA section 8(d) rule if, during the 10 years preceding the effective date of the rule, they manufactured (including imported) or planned to manufacture (including import) a listed chemical. The CDR data for this analysis is not limited to reporting from chemical manufacturers and petroleum refiners. This scope does not affect the accuracy of the results, given that only firms regulated under TSCA 8(d) submit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7B006B7" w14:textId="77777777" w:rsidTr="2D725C34">
      <w:tblPrEx>
        <w:tblW w:w="0" w:type="auto"/>
        <w:tblLayout w:type="fixed"/>
        <w:tblLook w:val="06A0"/>
      </w:tblPrEx>
      <w:trPr>
        <w:trHeight w:val="300"/>
      </w:trPr>
      <w:tc>
        <w:tcPr>
          <w:tcW w:w="4320" w:type="dxa"/>
        </w:tcPr>
        <w:p w:rsidR="2D725C34" w:rsidP="2D725C34" w14:paraId="7354D017" w14:textId="7B33A35F">
          <w:pPr>
            <w:pStyle w:val="Header"/>
            <w:ind w:left="-115"/>
            <w:jc w:val="left"/>
          </w:pPr>
        </w:p>
      </w:tc>
      <w:tc>
        <w:tcPr>
          <w:tcW w:w="4320" w:type="dxa"/>
        </w:tcPr>
        <w:p w:rsidR="2D725C34" w:rsidP="2D725C34" w14:paraId="60AFB0C7" w14:textId="52310495">
          <w:pPr>
            <w:pStyle w:val="Header"/>
            <w:jc w:val="center"/>
          </w:pPr>
        </w:p>
      </w:tc>
      <w:tc>
        <w:tcPr>
          <w:tcW w:w="4320" w:type="dxa"/>
        </w:tcPr>
        <w:p w:rsidR="2D725C34" w:rsidP="2D725C34" w14:paraId="3D0B7A56" w14:textId="67C82EDD">
          <w:pPr>
            <w:pStyle w:val="Header"/>
            <w:ind w:right="-115"/>
          </w:pPr>
        </w:p>
      </w:tc>
    </w:tr>
  </w:tbl>
  <w:p w:rsidR="00D2469E" w14:paraId="63497163" w14:textId="4F02A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546B86" w14:textId="77777777" w:rsidTr="2D725C34">
      <w:tblPrEx>
        <w:tblW w:w="0" w:type="auto"/>
        <w:tblLayout w:type="fixed"/>
        <w:tblLook w:val="06A0"/>
      </w:tblPrEx>
      <w:trPr>
        <w:trHeight w:val="300"/>
      </w:trPr>
      <w:tc>
        <w:tcPr>
          <w:tcW w:w="3120" w:type="dxa"/>
        </w:tcPr>
        <w:p w:rsidR="2D725C34" w:rsidP="2D725C34" w14:paraId="768B94F5" w14:textId="5C0349A4">
          <w:pPr>
            <w:pStyle w:val="Header"/>
            <w:ind w:left="-115"/>
            <w:jc w:val="left"/>
          </w:pPr>
        </w:p>
      </w:tc>
      <w:tc>
        <w:tcPr>
          <w:tcW w:w="3120" w:type="dxa"/>
        </w:tcPr>
        <w:p w:rsidR="2D725C34" w:rsidP="2D725C34" w14:paraId="6A2D0083" w14:textId="010D093A">
          <w:pPr>
            <w:pStyle w:val="Header"/>
            <w:jc w:val="center"/>
          </w:pPr>
        </w:p>
      </w:tc>
      <w:tc>
        <w:tcPr>
          <w:tcW w:w="3120" w:type="dxa"/>
        </w:tcPr>
        <w:p w:rsidR="2D725C34" w:rsidP="2D725C34" w14:paraId="5AB4E376" w14:textId="34BC1D1E">
          <w:pPr>
            <w:pStyle w:val="Header"/>
            <w:ind w:right="-115"/>
          </w:pPr>
        </w:p>
      </w:tc>
    </w:tr>
  </w:tbl>
  <w:p w:rsidR="00D2469E" w14:paraId="00BA9F0A" w14:textId="7CE5F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E3C" w:rsidRPr="00FB384A" w:rsidP="00FB384A" w14:paraId="7A676698" w14:textId="18CF6F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3E7E69AD" w14:textId="77777777" w:rsidTr="2D725C34">
      <w:tblPrEx>
        <w:tblW w:w="0" w:type="auto"/>
        <w:tblLayout w:type="fixed"/>
        <w:tblLook w:val="06A0"/>
      </w:tblPrEx>
      <w:trPr>
        <w:trHeight w:val="300"/>
      </w:trPr>
      <w:tc>
        <w:tcPr>
          <w:tcW w:w="4320" w:type="dxa"/>
        </w:tcPr>
        <w:p w:rsidR="2D725C34" w:rsidP="2D725C34" w14:paraId="6D9DB18E" w14:textId="0AB1FAB3">
          <w:pPr>
            <w:pStyle w:val="Header"/>
            <w:ind w:left="-115"/>
            <w:jc w:val="left"/>
          </w:pPr>
        </w:p>
      </w:tc>
      <w:tc>
        <w:tcPr>
          <w:tcW w:w="4320" w:type="dxa"/>
        </w:tcPr>
        <w:p w:rsidR="2D725C34" w:rsidP="2D725C34" w14:paraId="025F3AE5" w14:textId="755F541B">
          <w:pPr>
            <w:pStyle w:val="Header"/>
            <w:jc w:val="center"/>
          </w:pPr>
        </w:p>
      </w:tc>
      <w:tc>
        <w:tcPr>
          <w:tcW w:w="4320" w:type="dxa"/>
        </w:tcPr>
        <w:p w:rsidR="2D725C34" w:rsidP="2D725C34" w14:paraId="156F47A8" w14:textId="46F3A3C0">
          <w:pPr>
            <w:pStyle w:val="Header"/>
            <w:ind w:right="-115"/>
          </w:pPr>
        </w:p>
      </w:tc>
    </w:tr>
  </w:tbl>
  <w:p w:rsidR="00D2469E" w14:paraId="405AD981" w14:textId="16093C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FB384A" w:rsidP="00FB384A" w14:paraId="6AD744E1" w14:textId="74045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9A6D99"/>
    <w:multiLevelType w:val="hybridMultilevel"/>
    <w:tmpl w:val="CBE0C52A"/>
    <w:lvl w:ilvl="0">
      <w:start w:val="1"/>
      <w:numFmt w:val="bullet"/>
      <w:lvlText w:val=""/>
      <w:lvlJc w:val="left"/>
      <w:pPr>
        <w:ind w:left="1085" w:hanging="360"/>
      </w:pPr>
      <w:rPr>
        <w:rFonts w:ascii="Symbol" w:hAnsi="Symbol"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2">
    <w:nsid w:val="036B3C30"/>
    <w:multiLevelType w:val="hybridMultilevel"/>
    <w:tmpl w:val="5AB098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D1164"/>
    <w:multiLevelType w:val="hybridMultilevel"/>
    <w:tmpl w:val="B07642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A7B72"/>
    <w:multiLevelType w:val="hybridMultilevel"/>
    <w:tmpl w:val="0994F0AC"/>
    <w:lvl w:ilvl="0">
      <w:start w:val="1"/>
      <w:numFmt w:val="bullet"/>
      <w:lvlText w:val=""/>
      <w:lvlJc w:val="left"/>
      <w:pPr>
        <w:ind w:left="1080" w:hanging="360"/>
      </w:pPr>
      <w:rPr>
        <w:rFonts w:ascii="Symbol" w:hAnsi="Symbol" w:hint="default"/>
      </w:r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DC13C6"/>
    <w:multiLevelType w:val="hybridMultilevel"/>
    <w:tmpl w:val="90C66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1601A"/>
    <w:multiLevelType w:val="hybridMultilevel"/>
    <w:tmpl w:val="2848D4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6B2454B"/>
    <w:multiLevelType w:val="hybridMultilevel"/>
    <w:tmpl w:val="0832BD10"/>
    <w:lvl w:ilvl="0">
      <w:start w:val="1"/>
      <w:numFmt w:val="bullet"/>
      <w:lvlText w:val=""/>
      <w:lvlJc w:val="left"/>
      <w:pPr>
        <w:ind w:left="1080" w:hanging="360"/>
      </w:pPr>
      <w:rPr>
        <w:rFonts w:ascii="Symbol" w:hAnsi="Symbol"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0D4BFD"/>
    <w:multiLevelType w:val="hybridMultilevel"/>
    <w:tmpl w:val="CE423860"/>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9920FFF"/>
    <w:multiLevelType w:val="hybridMultilevel"/>
    <w:tmpl w:val="C4A0A9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5942B8"/>
    <w:multiLevelType w:val="hybridMultilevel"/>
    <w:tmpl w:val="B3CC24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5970E88"/>
    <w:multiLevelType w:val="hybridMultilevel"/>
    <w:tmpl w:val="C33ED68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F7081C"/>
    <w:multiLevelType w:val="hybridMultilevel"/>
    <w:tmpl w:val="0242DF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591F93"/>
    <w:multiLevelType w:val="hybridMultilevel"/>
    <w:tmpl w:val="F56E0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1A0C2F"/>
    <w:multiLevelType w:val="hybridMultilevel"/>
    <w:tmpl w:val="286AE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92C6C3C"/>
    <w:multiLevelType w:val="hybridMultilevel"/>
    <w:tmpl w:val="284EBE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FAF37E8"/>
    <w:multiLevelType w:val="hybridMultilevel"/>
    <w:tmpl w:val="3662D12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F179B8"/>
    <w:multiLevelType w:val="hybridMultilevel"/>
    <w:tmpl w:val="628ACA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8F4D5A"/>
    <w:multiLevelType w:val="hybridMultilevel"/>
    <w:tmpl w:val="F474B4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684323">
    <w:abstractNumId w:val="22"/>
  </w:num>
  <w:num w:numId="2" w16cid:durableId="84354613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15130927">
    <w:abstractNumId w:val="4"/>
  </w:num>
  <w:num w:numId="4" w16cid:durableId="1471746833">
    <w:abstractNumId w:val="19"/>
  </w:num>
  <w:num w:numId="5" w16cid:durableId="338705517">
    <w:abstractNumId w:val="16"/>
  </w:num>
  <w:num w:numId="6" w16cid:durableId="1913419373">
    <w:abstractNumId w:val="2"/>
  </w:num>
  <w:num w:numId="7" w16cid:durableId="1941444593">
    <w:abstractNumId w:val="13"/>
  </w:num>
  <w:num w:numId="8" w16cid:durableId="548152286">
    <w:abstractNumId w:val="8"/>
  </w:num>
  <w:num w:numId="9" w16cid:durableId="952173298">
    <w:abstractNumId w:val="21"/>
  </w:num>
  <w:num w:numId="10" w16cid:durableId="757215578">
    <w:abstractNumId w:val="9"/>
  </w:num>
  <w:num w:numId="11" w16cid:durableId="274216184">
    <w:abstractNumId w:val="5"/>
  </w:num>
  <w:num w:numId="12" w16cid:durableId="1003435284">
    <w:abstractNumId w:val="12"/>
  </w:num>
  <w:num w:numId="13" w16cid:durableId="2001928754">
    <w:abstractNumId w:val="20"/>
  </w:num>
  <w:num w:numId="14" w16cid:durableId="1976718929">
    <w:abstractNumId w:val="3"/>
  </w:num>
  <w:num w:numId="15" w16cid:durableId="617874788">
    <w:abstractNumId w:val="15"/>
  </w:num>
  <w:num w:numId="16" w16cid:durableId="2106225964">
    <w:abstractNumId w:val="17"/>
  </w:num>
  <w:num w:numId="17" w16cid:durableId="2084259643">
    <w:abstractNumId w:val="11"/>
  </w:num>
  <w:num w:numId="18" w16cid:durableId="1671643117">
    <w:abstractNumId w:val="18"/>
  </w:num>
  <w:num w:numId="19" w16cid:durableId="941764160">
    <w:abstractNumId w:val="6"/>
  </w:num>
  <w:num w:numId="20" w16cid:durableId="271481228">
    <w:abstractNumId w:val="10"/>
  </w:num>
  <w:num w:numId="21" w16cid:durableId="856650528">
    <w:abstractNumId w:val="1"/>
  </w:num>
  <w:num w:numId="22" w16cid:durableId="1550074109">
    <w:abstractNumId w:val="14"/>
  </w:num>
  <w:num w:numId="23" w16cid:durableId="815492124">
    <w:abstractNumId w:val="23"/>
  </w:num>
  <w:num w:numId="24" w16cid:durableId="93566977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2C74"/>
    <w:rsid w:val="0000386C"/>
    <w:rsid w:val="00003B6E"/>
    <w:rsid w:val="00003E2E"/>
    <w:rsid w:val="0000587D"/>
    <w:rsid w:val="000067D1"/>
    <w:rsid w:val="00007041"/>
    <w:rsid w:val="0000716F"/>
    <w:rsid w:val="000077D0"/>
    <w:rsid w:val="00007D20"/>
    <w:rsid w:val="000116C4"/>
    <w:rsid w:val="00011C87"/>
    <w:rsid w:val="00014EB1"/>
    <w:rsid w:val="00016C6D"/>
    <w:rsid w:val="00020A48"/>
    <w:rsid w:val="00021C98"/>
    <w:rsid w:val="00022461"/>
    <w:rsid w:val="00022AF5"/>
    <w:rsid w:val="00022BA3"/>
    <w:rsid w:val="000236E3"/>
    <w:rsid w:val="000236ED"/>
    <w:rsid w:val="00024D59"/>
    <w:rsid w:val="000250E8"/>
    <w:rsid w:val="00026180"/>
    <w:rsid w:val="00026477"/>
    <w:rsid w:val="0002748D"/>
    <w:rsid w:val="00030B7F"/>
    <w:rsid w:val="00030C18"/>
    <w:rsid w:val="0003289A"/>
    <w:rsid w:val="000340BB"/>
    <w:rsid w:val="00035467"/>
    <w:rsid w:val="00036D6F"/>
    <w:rsid w:val="000376AD"/>
    <w:rsid w:val="00041E4F"/>
    <w:rsid w:val="00042286"/>
    <w:rsid w:val="00043A06"/>
    <w:rsid w:val="00044754"/>
    <w:rsid w:val="000454A8"/>
    <w:rsid w:val="00045E43"/>
    <w:rsid w:val="00046A91"/>
    <w:rsid w:val="00050544"/>
    <w:rsid w:val="0005195E"/>
    <w:rsid w:val="00053569"/>
    <w:rsid w:val="0005463F"/>
    <w:rsid w:val="00056B43"/>
    <w:rsid w:val="00056C7F"/>
    <w:rsid w:val="00057A0B"/>
    <w:rsid w:val="00057CDC"/>
    <w:rsid w:val="00057D75"/>
    <w:rsid w:val="00062C63"/>
    <w:rsid w:val="00064785"/>
    <w:rsid w:val="0006517D"/>
    <w:rsid w:val="00065962"/>
    <w:rsid w:val="0006691F"/>
    <w:rsid w:val="00066D45"/>
    <w:rsid w:val="000675B2"/>
    <w:rsid w:val="00067A4A"/>
    <w:rsid w:val="00070955"/>
    <w:rsid w:val="0007164A"/>
    <w:rsid w:val="00071884"/>
    <w:rsid w:val="000729B1"/>
    <w:rsid w:val="00072DCE"/>
    <w:rsid w:val="00074165"/>
    <w:rsid w:val="000752C2"/>
    <w:rsid w:val="00075A3F"/>
    <w:rsid w:val="00075E80"/>
    <w:rsid w:val="000762A3"/>
    <w:rsid w:val="00076C3C"/>
    <w:rsid w:val="00077BAB"/>
    <w:rsid w:val="00080AB3"/>
    <w:rsid w:val="00080FC8"/>
    <w:rsid w:val="000818DF"/>
    <w:rsid w:val="000836F8"/>
    <w:rsid w:val="000839FB"/>
    <w:rsid w:val="000845CF"/>
    <w:rsid w:val="00084967"/>
    <w:rsid w:val="00085235"/>
    <w:rsid w:val="00086797"/>
    <w:rsid w:val="000872AA"/>
    <w:rsid w:val="00087D3E"/>
    <w:rsid w:val="0009074F"/>
    <w:rsid w:val="00091F30"/>
    <w:rsid w:val="000931EA"/>
    <w:rsid w:val="00093538"/>
    <w:rsid w:val="00093E12"/>
    <w:rsid w:val="00094A52"/>
    <w:rsid w:val="0009602C"/>
    <w:rsid w:val="000977BF"/>
    <w:rsid w:val="000A1894"/>
    <w:rsid w:val="000A19B7"/>
    <w:rsid w:val="000A1A58"/>
    <w:rsid w:val="000A47C1"/>
    <w:rsid w:val="000A49C4"/>
    <w:rsid w:val="000A6DC1"/>
    <w:rsid w:val="000A74E0"/>
    <w:rsid w:val="000A7E0D"/>
    <w:rsid w:val="000B1354"/>
    <w:rsid w:val="000B2901"/>
    <w:rsid w:val="000B3324"/>
    <w:rsid w:val="000B48D8"/>
    <w:rsid w:val="000B4E1A"/>
    <w:rsid w:val="000B4F8E"/>
    <w:rsid w:val="000B5106"/>
    <w:rsid w:val="000B55ED"/>
    <w:rsid w:val="000B6506"/>
    <w:rsid w:val="000B7E39"/>
    <w:rsid w:val="000B7F4F"/>
    <w:rsid w:val="000C1115"/>
    <w:rsid w:val="000C19A6"/>
    <w:rsid w:val="000C1C30"/>
    <w:rsid w:val="000C2991"/>
    <w:rsid w:val="000C2A95"/>
    <w:rsid w:val="000C318E"/>
    <w:rsid w:val="000C4068"/>
    <w:rsid w:val="000C5664"/>
    <w:rsid w:val="000C6000"/>
    <w:rsid w:val="000C75A1"/>
    <w:rsid w:val="000C77CC"/>
    <w:rsid w:val="000D10B5"/>
    <w:rsid w:val="000D1ADB"/>
    <w:rsid w:val="000D2A1A"/>
    <w:rsid w:val="000D2E5A"/>
    <w:rsid w:val="000D4EBA"/>
    <w:rsid w:val="000D5739"/>
    <w:rsid w:val="000D62EA"/>
    <w:rsid w:val="000D6489"/>
    <w:rsid w:val="000D6C53"/>
    <w:rsid w:val="000D6FE5"/>
    <w:rsid w:val="000D74CA"/>
    <w:rsid w:val="000D7865"/>
    <w:rsid w:val="000E006F"/>
    <w:rsid w:val="000E16C7"/>
    <w:rsid w:val="000E18FF"/>
    <w:rsid w:val="000E262F"/>
    <w:rsid w:val="000E2C5B"/>
    <w:rsid w:val="000E327E"/>
    <w:rsid w:val="000E4160"/>
    <w:rsid w:val="000E48FB"/>
    <w:rsid w:val="000E5126"/>
    <w:rsid w:val="000E5903"/>
    <w:rsid w:val="000E5A67"/>
    <w:rsid w:val="000E61A9"/>
    <w:rsid w:val="000E6825"/>
    <w:rsid w:val="000E74A7"/>
    <w:rsid w:val="000F0292"/>
    <w:rsid w:val="000F2838"/>
    <w:rsid w:val="000F4CED"/>
    <w:rsid w:val="000F5A67"/>
    <w:rsid w:val="000F6820"/>
    <w:rsid w:val="000F7192"/>
    <w:rsid w:val="000F731C"/>
    <w:rsid w:val="0010064B"/>
    <w:rsid w:val="001007DC"/>
    <w:rsid w:val="001011BE"/>
    <w:rsid w:val="00102BFA"/>
    <w:rsid w:val="00103B7C"/>
    <w:rsid w:val="00103C75"/>
    <w:rsid w:val="00104178"/>
    <w:rsid w:val="00104257"/>
    <w:rsid w:val="00104543"/>
    <w:rsid w:val="00105A52"/>
    <w:rsid w:val="00105F78"/>
    <w:rsid w:val="001063DA"/>
    <w:rsid w:val="001069DF"/>
    <w:rsid w:val="00107192"/>
    <w:rsid w:val="00110324"/>
    <w:rsid w:val="001120D9"/>
    <w:rsid w:val="001129F4"/>
    <w:rsid w:val="00114C43"/>
    <w:rsid w:val="00115118"/>
    <w:rsid w:val="00115A91"/>
    <w:rsid w:val="00116AA9"/>
    <w:rsid w:val="00117093"/>
    <w:rsid w:val="0012029F"/>
    <w:rsid w:val="00121173"/>
    <w:rsid w:val="001215F6"/>
    <w:rsid w:val="001221C1"/>
    <w:rsid w:val="00124276"/>
    <w:rsid w:val="0012582F"/>
    <w:rsid w:val="001261FA"/>
    <w:rsid w:val="0012653A"/>
    <w:rsid w:val="00126A20"/>
    <w:rsid w:val="00127544"/>
    <w:rsid w:val="0013038F"/>
    <w:rsid w:val="00130675"/>
    <w:rsid w:val="00132670"/>
    <w:rsid w:val="00132A85"/>
    <w:rsid w:val="00133336"/>
    <w:rsid w:val="00133789"/>
    <w:rsid w:val="0013456F"/>
    <w:rsid w:val="00135157"/>
    <w:rsid w:val="00135AB8"/>
    <w:rsid w:val="00136444"/>
    <w:rsid w:val="00136539"/>
    <w:rsid w:val="00140206"/>
    <w:rsid w:val="001408AC"/>
    <w:rsid w:val="001445AD"/>
    <w:rsid w:val="001455E5"/>
    <w:rsid w:val="00145727"/>
    <w:rsid w:val="001458B2"/>
    <w:rsid w:val="00145FFC"/>
    <w:rsid w:val="001460FA"/>
    <w:rsid w:val="00147444"/>
    <w:rsid w:val="001474F7"/>
    <w:rsid w:val="00147507"/>
    <w:rsid w:val="00147C02"/>
    <w:rsid w:val="0015025C"/>
    <w:rsid w:val="00151CDE"/>
    <w:rsid w:val="00152A97"/>
    <w:rsid w:val="00154F52"/>
    <w:rsid w:val="00157E2C"/>
    <w:rsid w:val="001612CA"/>
    <w:rsid w:val="00161679"/>
    <w:rsid w:val="001622C1"/>
    <w:rsid w:val="00162383"/>
    <w:rsid w:val="001628D4"/>
    <w:rsid w:val="00163476"/>
    <w:rsid w:val="00163F27"/>
    <w:rsid w:val="001663E5"/>
    <w:rsid w:val="00166675"/>
    <w:rsid w:val="00166E2F"/>
    <w:rsid w:val="001673B1"/>
    <w:rsid w:val="001727A3"/>
    <w:rsid w:val="001728C8"/>
    <w:rsid w:val="0017317E"/>
    <w:rsid w:val="00173ED7"/>
    <w:rsid w:val="00173F8C"/>
    <w:rsid w:val="00174E94"/>
    <w:rsid w:val="00175022"/>
    <w:rsid w:val="00175A98"/>
    <w:rsid w:val="00175EAC"/>
    <w:rsid w:val="00176AFA"/>
    <w:rsid w:val="0018197C"/>
    <w:rsid w:val="00181F08"/>
    <w:rsid w:val="001823A8"/>
    <w:rsid w:val="001830D0"/>
    <w:rsid w:val="001833D0"/>
    <w:rsid w:val="00183442"/>
    <w:rsid w:val="00184102"/>
    <w:rsid w:val="001843C5"/>
    <w:rsid w:val="0018536F"/>
    <w:rsid w:val="001854F2"/>
    <w:rsid w:val="00191AAC"/>
    <w:rsid w:val="00193A58"/>
    <w:rsid w:val="00194D55"/>
    <w:rsid w:val="001956CB"/>
    <w:rsid w:val="00196210"/>
    <w:rsid w:val="001A17B0"/>
    <w:rsid w:val="001A1A03"/>
    <w:rsid w:val="001A1D72"/>
    <w:rsid w:val="001A2D54"/>
    <w:rsid w:val="001A3392"/>
    <w:rsid w:val="001A3669"/>
    <w:rsid w:val="001A3E81"/>
    <w:rsid w:val="001A47AE"/>
    <w:rsid w:val="001A5F3D"/>
    <w:rsid w:val="001A693D"/>
    <w:rsid w:val="001B02B8"/>
    <w:rsid w:val="001B1936"/>
    <w:rsid w:val="001B2710"/>
    <w:rsid w:val="001B5FB9"/>
    <w:rsid w:val="001B6E97"/>
    <w:rsid w:val="001C0818"/>
    <w:rsid w:val="001C187A"/>
    <w:rsid w:val="001C25D8"/>
    <w:rsid w:val="001C28C1"/>
    <w:rsid w:val="001C2A8D"/>
    <w:rsid w:val="001C325B"/>
    <w:rsid w:val="001C5A02"/>
    <w:rsid w:val="001C7095"/>
    <w:rsid w:val="001C7DEB"/>
    <w:rsid w:val="001D00F0"/>
    <w:rsid w:val="001D0FB4"/>
    <w:rsid w:val="001D15CB"/>
    <w:rsid w:val="001D2CE8"/>
    <w:rsid w:val="001D3225"/>
    <w:rsid w:val="001D35B5"/>
    <w:rsid w:val="001D35CC"/>
    <w:rsid w:val="001D3657"/>
    <w:rsid w:val="001D38D2"/>
    <w:rsid w:val="001D7335"/>
    <w:rsid w:val="001D735F"/>
    <w:rsid w:val="001D7A2D"/>
    <w:rsid w:val="001E1AC7"/>
    <w:rsid w:val="001E2688"/>
    <w:rsid w:val="001E2CFA"/>
    <w:rsid w:val="001E3B05"/>
    <w:rsid w:val="001E44B2"/>
    <w:rsid w:val="001E6E32"/>
    <w:rsid w:val="001F0DA0"/>
    <w:rsid w:val="001F17C0"/>
    <w:rsid w:val="001F1995"/>
    <w:rsid w:val="001F1A0A"/>
    <w:rsid w:val="001F29EA"/>
    <w:rsid w:val="001F2DF7"/>
    <w:rsid w:val="001F3029"/>
    <w:rsid w:val="001F4139"/>
    <w:rsid w:val="001F439B"/>
    <w:rsid w:val="001F59B1"/>
    <w:rsid w:val="001F5E6A"/>
    <w:rsid w:val="001F613C"/>
    <w:rsid w:val="001F71BF"/>
    <w:rsid w:val="001F7E98"/>
    <w:rsid w:val="00200A28"/>
    <w:rsid w:val="0020184B"/>
    <w:rsid w:val="00202B28"/>
    <w:rsid w:val="00202F32"/>
    <w:rsid w:val="00203CD9"/>
    <w:rsid w:val="00204272"/>
    <w:rsid w:val="00206A3A"/>
    <w:rsid w:val="00206D51"/>
    <w:rsid w:val="00206F14"/>
    <w:rsid w:val="00207890"/>
    <w:rsid w:val="00207984"/>
    <w:rsid w:val="00207ACE"/>
    <w:rsid w:val="00210673"/>
    <w:rsid w:val="0021208D"/>
    <w:rsid w:val="0021223A"/>
    <w:rsid w:val="00213713"/>
    <w:rsid w:val="002137E0"/>
    <w:rsid w:val="00214EDB"/>
    <w:rsid w:val="00216ADE"/>
    <w:rsid w:val="0021733A"/>
    <w:rsid w:val="0021777F"/>
    <w:rsid w:val="002210DB"/>
    <w:rsid w:val="00222DFD"/>
    <w:rsid w:val="0022397C"/>
    <w:rsid w:val="00224C30"/>
    <w:rsid w:val="00225047"/>
    <w:rsid w:val="00230184"/>
    <w:rsid w:val="00230AE4"/>
    <w:rsid w:val="00231B5A"/>
    <w:rsid w:val="002321A7"/>
    <w:rsid w:val="002338E8"/>
    <w:rsid w:val="00233E9E"/>
    <w:rsid w:val="00233ED6"/>
    <w:rsid w:val="00234D66"/>
    <w:rsid w:val="00235402"/>
    <w:rsid w:val="0023667C"/>
    <w:rsid w:val="00237688"/>
    <w:rsid w:val="00243B96"/>
    <w:rsid w:val="00244210"/>
    <w:rsid w:val="00244AEE"/>
    <w:rsid w:val="0024524B"/>
    <w:rsid w:val="00245D1F"/>
    <w:rsid w:val="00246B21"/>
    <w:rsid w:val="00246C64"/>
    <w:rsid w:val="00246D95"/>
    <w:rsid w:val="0024727A"/>
    <w:rsid w:val="002524E3"/>
    <w:rsid w:val="002528BC"/>
    <w:rsid w:val="002530B2"/>
    <w:rsid w:val="00253EC8"/>
    <w:rsid w:val="0025713D"/>
    <w:rsid w:val="0026000B"/>
    <w:rsid w:val="0026039E"/>
    <w:rsid w:val="00260C22"/>
    <w:rsid w:val="002610B1"/>
    <w:rsid w:val="00262409"/>
    <w:rsid w:val="00263304"/>
    <w:rsid w:val="00263ACA"/>
    <w:rsid w:val="0026446D"/>
    <w:rsid w:val="00264E8B"/>
    <w:rsid w:val="00265114"/>
    <w:rsid w:val="002654CE"/>
    <w:rsid w:val="002655CB"/>
    <w:rsid w:val="00265E00"/>
    <w:rsid w:val="0026605D"/>
    <w:rsid w:val="00266584"/>
    <w:rsid w:val="00267123"/>
    <w:rsid w:val="002701A2"/>
    <w:rsid w:val="00272DD2"/>
    <w:rsid w:val="00273127"/>
    <w:rsid w:val="0027330C"/>
    <w:rsid w:val="00273EC0"/>
    <w:rsid w:val="00273EF6"/>
    <w:rsid w:val="00274622"/>
    <w:rsid w:val="002749C0"/>
    <w:rsid w:val="00274B10"/>
    <w:rsid w:val="00274EF8"/>
    <w:rsid w:val="002758D1"/>
    <w:rsid w:val="00276328"/>
    <w:rsid w:val="002765B7"/>
    <w:rsid w:val="00277175"/>
    <w:rsid w:val="00280301"/>
    <w:rsid w:val="0028215E"/>
    <w:rsid w:val="002822B2"/>
    <w:rsid w:val="00283FE1"/>
    <w:rsid w:val="00284785"/>
    <w:rsid w:val="0028482E"/>
    <w:rsid w:val="00284BBA"/>
    <w:rsid w:val="00285164"/>
    <w:rsid w:val="00285228"/>
    <w:rsid w:val="00285D6D"/>
    <w:rsid w:val="00285D7C"/>
    <w:rsid w:val="00285DEA"/>
    <w:rsid w:val="00286AE5"/>
    <w:rsid w:val="00286D05"/>
    <w:rsid w:val="00287CDD"/>
    <w:rsid w:val="00291524"/>
    <w:rsid w:val="00291D21"/>
    <w:rsid w:val="00291F84"/>
    <w:rsid w:val="00292F9D"/>
    <w:rsid w:val="00293951"/>
    <w:rsid w:val="00293FDD"/>
    <w:rsid w:val="00294374"/>
    <w:rsid w:val="00295F43"/>
    <w:rsid w:val="00297DEB"/>
    <w:rsid w:val="002A1140"/>
    <w:rsid w:val="002A1D65"/>
    <w:rsid w:val="002A523B"/>
    <w:rsid w:val="002A526E"/>
    <w:rsid w:val="002A635C"/>
    <w:rsid w:val="002A67C6"/>
    <w:rsid w:val="002A68AE"/>
    <w:rsid w:val="002B0100"/>
    <w:rsid w:val="002B0499"/>
    <w:rsid w:val="002B158B"/>
    <w:rsid w:val="002B221F"/>
    <w:rsid w:val="002B327C"/>
    <w:rsid w:val="002B4455"/>
    <w:rsid w:val="002B590B"/>
    <w:rsid w:val="002B611C"/>
    <w:rsid w:val="002B6C63"/>
    <w:rsid w:val="002B6CBF"/>
    <w:rsid w:val="002C072F"/>
    <w:rsid w:val="002C0E5B"/>
    <w:rsid w:val="002C1F86"/>
    <w:rsid w:val="002C20F2"/>
    <w:rsid w:val="002C6BB2"/>
    <w:rsid w:val="002D0C17"/>
    <w:rsid w:val="002D2211"/>
    <w:rsid w:val="002D29A1"/>
    <w:rsid w:val="002D34BC"/>
    <w:rsid w:val="002D43B9"/>
    <w:rsid w:val="002D4E6D"/>
    <w:rsid w:val="002D5490"/>
    <w:rsid w:val="002D5D43"/>
    <w:rsid w:val="002D7037"/>
    <w:rsid w:val="002E047C"/>
    <w:rsid w:val="002E15BB"/>
    <w:rsid w:val="002E18F1"/>
    <w:rsid w:val="002E1B60"/>
    <w:rsid w:val="002E276E"/>
    <w:rsid w:val="002E3F89"/>
    <w:rsid w:val="002E410B"/>
    <w:rsid w:val="002E4645"/>
    <w:rsid w:val="002E46F3"/>
    <w:rsid w:val="002E4CFD"/>
    <w:rsid w:val="002E68AA"/>
    <w:rsid w:val="002E6946"/>
    <w:rsid w:val="002E6DBF"/>
    <w:rsid w:val="002E6F9F"/>
    <w:rsid w:val="002E7457"/>
    <w:rsid w:val="002E75EA"/>
    <w:rsid w:val="002F0E7F"/>
    <w:rsid w:val="002F15E6"/>
    <w:rsid w:val="002F1765"/>
    <w:rsid w:val="002F2178"/>
    <w:rsid w:val="002F265A"/>
    <w:rsid w:val="002F3EB0"/>
    <w:rsid w:val="002F4351"/>
    <w:rsid w:val="002F5223"/>
    <w:rsid w:val="002F5BFB"/>
    <w:rsid w:val="002F5DC3"/>
    <w:rsid w:val="002F66B7"/>
    <w:rsid w:val="002F7443"/>
    <w:rsid w:val="00301560"/>
    <w:rsid w:val="00301C74"/>
    <w:rsid w:val="00302157"/>
    <w:rsid w:val="003024AC"/>
    <w:rsid w:val="00303334"/>
    <w:rsid w:val="00303C2C"/>
    <w:rsid w:val="003052B5"/>
    <w:rsid w:val="0030534C"/>
    <w:rsid w:val="00305CF1"/>
    <w:rsid w:val="00305E7E"/>
    <w:rsid w:val="00306C85"/>
    <w:rsid w:val="00306F0B"/>
    <w:rsid w:val="00310DA2"/>
    <w:rsid w:val="00312864"/>
    <w:rsid w:val="00313586"/>
    <w:rsid w:val="00313FB9"/>
    <w:rsid w:val="00314387"/>
    <w:rsid w:val="003143B4"/>
    <w:rsid w:val="00314CCE"/>
    <w:rsid w:val="003166C6"/>
    <w:rsid w:val="00316789"/>
    <w:rsid w:val="00317039"/>
    <w:rsid w:val="003176F9"/>
    <w:rsid w:val="00320342"/>
    <w:rsid w:val="0032216E"/>
    <w:rsid w:val="0032287A"/>
    <w:rsid w:val="00322C01"/>
    <w:rsid w:val="00323364"/>
    <w:rsid w:val="00323471"/>
    <w:rsid w:val="0032383D"/>
    <w:rsid w:val="00325606"/>
    <w:rsid w:val="00325C96"/>
    <w:rsid w:val="00326D02"/>
    <w:rsid w:val="00330327"/>
    <w:rsid w:val="00330519"/>
    <w:rsid w:val="00330623"/>
    <w:rsid w:val="00331A33"/>
    <w:rsid w:val="00335583"/>
    <w:rsid w:val="0033694A"/>
    <w:rsid w:val="003429AF"/>
    <w:rsid w:val="003442E8"/>
    <w:rsid w:val="003445F0"/>
    <w:rsid w:val="00344FB0"/>
    <w:rsid w:val="003452FB"/>
    <w:rsid w:val="003459A5"/>
    <w:rsid w:val="00345A63"/>
    <w:rsid w:val="0034639D"/>
    <w:rsid w:val="003471C5"/>
    <w:rsid w:val="00347BAB"/>
    <w:rsid w:val="003500E5"/>
    <w:rsid w:val="00350A1C"/>
    <w:rsid w:val="00350C70"/>
    <w:rsid w:val="003518CE"/>
    <w:rsid w:val="003525C6"/>
    <w:rsid w:val="003537F6"/>
    <w:rsid w:val="003538F9"/>
    <w:rsid w:val="0035393E"/>
    <w:rsid w:val="003545D8"/>
    <w:rsid w:val="00354E24"/>
    <w:rsid w:val="00355518"/>
    <w:rsid w:val="003565CB"/>
    <w:rsid w:val="00356AD8"/>
    <w:rsid w:val="00356E1D"/>
    <w:rsid w:val="0035727A"/>
    <w:rsid w:val="003602CD"/>
    <w:rsid w:val="0036096F"/>
    <w:rsid w:val="0036321D"/>
    <w:rsid w:val="003633FE"/>
    <w:rsid w:val="00363F3C"/>
    <w:rsid w:val="00364A79"/>
    <w:rsid w:val="00364A82"/>
    <w:rsid w:val="0036508D"/>
    <w:rsid w:val="00365D63"/>
    <w:rsid w:val="0036676D"/>
    <w:rsid w:val="00366EEC"/>
    <w:rsid w:val="003679B0"/>
    <w:rsid w:val="00370BD1"/>
    <w:rsid w:val="00370C46"/>
    <w:rsid w:val="00370EBF"/>
    <w:rsid w:val="00370F31"/>
    <w:rsid w:val="00372EED"/>
    <w:rsid w:val="00373495"/>
    <w:rsid w:val="00374AEF"/>
    <w:rsid w:val="00375035"/>
    <w:rsid w:val="00375600"/>
    <w:rsid w:val="0037739D"/>
    <w:rsid w:val="003776A7"/>
    <w:rsid w:val="003801DC"/>
    <w:rsid w:val="003860CB"/>
    <w:rsid w:val="00386DB3"/>
    <w:rsid w:val="00387B98"/>
    <w:rsid w:val="003905A7"/>
    <w:rsid w:val="003911D7"/>
    <w:rsid w:val="00391852"/>
    <w:rsid w:val="00392A3E"/>
    <w:rsid w:val="00393527"/>
    <w:rsid w:val="0039352F"/>
    <w:rsid w:val="0039460A"/>
    <w:rsid w:val="00394FE3"/>
    <w:rsid w:val="00394FF6"/>
    <w:rsid w:val="00395D60"/>
    <w:rsid w:val="003A03D2"/>
    <w:rsid w:val="003A0934"/>
    <w:rsid w:val="003A096E"/>
    <w:rsid w:val="003A1612"/>
    <w:rsid w:val="003A38C0"/>
    <w:rsid w:val="003A53CE"/>
    <w:rsid w:val="003A5D50"/>
    <w:rsid w:val="003B0C5C"/>
    <w:rsid w:val="003B1414"/>
    <w:rsid w:val="003B1852"/>
    <w:rsid w:val="003B1C03"/>
    <w:rsid w:val="003B1D14"/>
    <w:rsid w:val="003B2270"/>
    <w:rsid w:val="003B2A7A"/>
    <w:rsid w:val="003B2E2B"/>
    <w:rsid w:val="003B3335"/>
    <w:rsid w:val="003B33B7"/>
    <w:rsid w:val="003B3CDB"/>
    <w:rsid w:val="003B4546"/>
    <w:rsid w:val="003B4A6D"/>
    <w:rsid w:val="003B4C34"/>
    <w:rsid w:val="003B5AC6"/>
    <w:rsid w:val="003B6718"/>
    <w:rsid w:val="003C072E"/>
    <w:rsid w:val="003C1718"/>
    <w:rsid w:val="003C2A0B"/>
    <w:rsid w:val="003C3AC4"/>
    <w:rsid w:val="003C3B1C"/>
    <w:rsid w:val="003C4EA6"/>
    <w:rsid w:val="003C5D4C"/>
    <w:rsid w:val="003C6937"/>
    <w:rsid w:val="003D1BF9"/>
    <w:rsid w:val="003D1F88"/>
    <w:rsid w:val="003D219B"/>
    <w:rsid w:val="003D3FAA"/>
    <w:rsid w:val="003D66F2"/>
    <w:rsid w:val="003D6864"/>
    <w:rsid w:val="003D69D8"/>
    <w:rsid w:val="003D6B9D"/>
    <w:rsid w:val="003D7148"/>
    <w:rsid w:val="003D7984"/>
    <w:rsid w:val="003E0890"/>
    <w:rsid w:val="003E216C"/>
    <w:rsid w:val="003E31C2"/>
    <w:rsid w:val="003E3286"/>
    <w:rsid w:val="003E3DDF"/>
    <w:rsid w:val="003E4182"/>
    <w:rsid w:val="003E4559"/>
    <w:rsid w:val="003E470B"/>
    <w:rsid w:val="003E4879"/>
    <w:rsid w:val="003E4CE6"/>
    <w:rsid w:val="003E6D00"/>
    <w:rsid w:val="003E78DD"/>
    <w:rsid w:val="003F02A0"/>
    <w:rsid w:val="003F06A4"/>
    <w:rsid w:val="003F0E65"/>
    <w:rsid w:val="003F2292"/>
    <w:rsid w:val="003F2BDD"/>
    <w:rsid w:val="003F2FEB"/>
    <w:rsid w:val="003F3073"/>
    <w:rsid w:val="003F3586"/>
    <w:rsid w:val="003F37C3"/>
    <w:rsid w:val="003F38AA"/>
    <w:rsid w:val="003F47A8"/>
    <w:rsid w:val="003F4AA6"/>
    <w:rsid w:val="003F5126"/>
    <w:rsid w:val="003F5774"/>
    <w:rsid w:val="003F5CDD"/>
    <w:rsid w:val="003F61FB"/>
    <w:rsid w:val="003F6E56"/>
    <w:rsid w:val="003F736D"/>
    <w:rsid w:val="0040064C"/>
    <w:rsid w:val="004016B5"/>
    <w:rsid w:val="00401ED7"/>
    <w:rsid w:val="004044D7"/>
    <w:rsid w:val="00404787"/>
    <w:rsid w:val="00404E87"/>
    <w:rsid w:val="00405144"/>
    <w:rsid w:val="00406897"/>
    <w:rsid w:val="0040774E"/>
    <w:rsid w:val="00407A14"/>
    <w:rsid w:val="00410A27"/>
    <w:rsid w:val="00410F75"/>
    <w:rsid w:val="00411160"/>
    <w:rsid w:val="00411AD6"/>
    <w:rsid w:val="00411E78"/>
    <w:rsid w:val="004125FE"/>
    <w:rsid w:val="00412C9B"/>
    <w:rsid w:val="00420082"/>
    <w:rsid w:val="00420174"/>
    <w:rsid w:val="00421C6D"/>
    <w:rsid w:val="00421CD7"/>
    <w:rsid w:val="00422146"/>
    <w:rsid w:val="00422549"/>
    <w:rsid w:val="004250BE"/>
    <w:rsid w:val="0042533C"/>
    <w:rsid w:val="0042683F"/>
    <w:rsid w:val="00426CAB"/>
    <w:rsid w:val="00427D07"/>
    <w:rsid w:val="0043099B"/>
    <w:rsid w:val="00430FCB"/>
    <w:rsid w:val="00432950"/>
    <w:rsid w:val="00434ACE"/>
    <w:rsid w:val="00435F0B"/>
    <w:rsid w:val="00437C7A"/>
    <w:rsid w:val="00437CFE"/>
    <w:rsid w:val="004403AD"/>
    <w:rsid w:val="00440DE0"/>
    <w:rsid w:val="00441F11"/>
    <w:rsid w:val="004423C5"/>
    <w:rsid w:val="004432D7"/>
    <w:rsid w:val="0044416C"/>
    <w:rsid w:val="004446CA"/>
    <w:rsid w:val="00444EED"/>
    <w:rsid w:val="00447265"/>
    <w:rsid w:val="00447586"/>
    <w:rsid w:val="004475BA"/>
    <w:rsid w:val="00447E5B"/>
    <w:rsid w:val="004507BA"/>
    <w:rsid w:val="004512A1"/>
    <w:rsid w:val="00451808"/>
    <w:rsid w:val="00451874"/>
    <w:rsid w:val="00452DD7"/>
    <w:rsid w:val="00454B8A"/>
    <w:rsid w:val="0045729C"/>
    <w:rsid w:val="004572B1"/>
    <w:rsid w:val="00457546"/>
    <w:rsid w:val="0046012C"/>
    <w:rsid w:val="00460E7C"/>
    <w:rsid w:val="00462956"/>
    <w:rsid w:val="00462F37"/>
    <w:rsid w:val="004660C4"/>
    <w:rsid w:val="004668AB"/>
    <w:rsid w:val="00466BE9"/>
    <w:rsid w:val="004671FA"/>
    <w:rsid w:val="0046738E"/>
    <w:rsid w:val="0047390E"/>
    <w:rsid w:val="0047506A"/>
    <w:rsid w:val="00475A5F"/>
    <w:rsid w:val="00476247"/>
    <w:rsid w:val="00480965"/>
    <w:rsid w:val="00480A26"/>
    <w:rsid w:val="0048192F"/>
    <w:rsid w:val="00482536"/>
    <w:rsid w:val="00483A24"/>
    <w:rsid w:val="0048460B"/>
    <w:rsid w:val="00484B4F"/>
    <w:rsid w:val="00485469"/>
    <w:rsid w:val="00487717"/>
    <w:rsid w:val="00487F8F"/>
    <w:rsid w:val="0049070A"/>
    <w:rsid w:val="00490BA8"/>
    <w:rsid w:val="00491E9B"/>
    <w:rsid w:val="00492C66"/>
    <w:rsid w:val="00493B03"/>
    <w:rsid w:val="004942DD"/>
    <w:rsid w:val="0049534E"/>
    <w:rsid w:val="00496559"/>
    <w:rsid w:val="00496D8B"/>
    <w:rsid w:val="004A1089"/>
    <w:rsid w:val="004A18B0"/>
    <w:rsid w:val="004A3711"/>
    <w:rsid w:val="004A3A85"/>
    <w:rsid w:val="004A3EE7"/>
    <w:rsid w:val="004A4334"/>
    <w:rsid w:val="004A59DF"/>
    <w:rsid w:val="004A6DEB"/>
    <w:rsid w:val="004A74C6"/>
    <w:rsid w:val="004A7A3E"/>
    <w:rsid w:val="004A7F3B"/>
    <w:rsid w:val="004B1C2C"/>
    <w:rsid w:val="004B1C54"/>
    <w:rsid w:val="004B250B"/>
    <w:rsid w:val="004B284B"/>
    <w:rsid w:val="004B3A37"/>
    <w:rsid w:val="004B57B0"/>
    <w:rsid w:val="004B5CC5"/>
    <w:rsid w:val="004B68D9"/>
    <w:rsid w:val="004B7949"/>
    <w:rsid w:val="004C034E"/>
    <w:rsid w:val="004C1131"/>
    <w:rsid w:val="004C4345"/>
    <w:rsid w:val="004C4647"/>
    <w:rsid w:val="004C4805"/>
    <w:rsid w:val="004C50E6"/>
    <w:rsid w:val="004C5BAC"/>
    <w:rsid w:val="004C680B"/>
    <w:rsid w:val="004C69C5"/>
    <w:rsid w:val="004C6DDD"/>
    <w:rsid w:val="004C74FC"/>
    <w:rsid w:val="004D1334"/>
    <w:rsid w:val="004D26DE"/>
    <w:rsid w:val="004D2E77"/>
    <w:rsid w:val="004D34B4"/>
    <w:rsid w:val="004D4326"/>
    <w:rsid w:val="004D5A1F"/>
    <w:rsid w:val="004D5B72"/>
    <w:rsid w:val="004D6087"/>
    <w:rsid w:val="004D63B9"/>
    <w:rsid w:val="004D6685"/>
    <w:rsid w:val="004D7516"/>
    <w:rsid w:val="004D7BD8"/>
    <w:rsid w:val="004E0137"/>
    <w:rsid w:val="004E0F7D"/>
    <w:rsid w:val="004E1354"/>
    <w:rsid w:val="004E3049"/>
    <w:rsid w:val="004E5479"/>
    <w:rsid w:val="004E5C7C"/>
    <w:rsid w:val="004E6E29"/>
    <w:rsid w:val="004E793D"/>
    <w:rsid w:val="004F00E2"/>
    <w:rsid w:val="004F022F"/>
    <w:rsid w:val="004F1370"/>
    <w:rsid w:val="004F16FB"/>
    <w:rsid w:val="004F2047"/>
    <w:rsid w:val="004F2765"/>
    <w:rsid w:val="004F2BBA"/>
    <w:rsid w:val="004F35C6"/>
    <w:rsid w:val="004F3940"/>
    <w:rsid w:val="004F522F"/>
    <w:rsid w:val="004F7BD7"/>
    <w:rsid w:val="004F7F9C"/>
    <w:rsid w:val="005005E0"/>
    <w:rsid w:val="005008E8"/>
    <w:rsid w:val="00502825"/>
    <w:rsid w:val="00503379"/>
    <w:rsid w:val="0050357B"/>
    <w:rsid w:val="0050366F"/>
    <w:rsid w:val="00503F3D"/>
    <w:rsid w:val="0050406F"/>
    <w:rsid w:val="00505EB4"/>
    <w:rsid w:val="00511568"/>
    <w:rsid w:val="00511F4E"/>
    <w:rsid w:val="005126C2"/>
    <w:rsid w:val="00512809"/>
    <w:rsid w:val="00516C8A"/>
    <w:rsid w:val="00520C62"/>
    <w:rsid w:val="00521767"/>
    <w:rsid w:val="00521D26"/>
    <w:rsid w:val="005249F7"/>
    <w:rsid w:val="005250D5"/>
    <w:rsid w:val="00525F97"/>
    <w:rsid w:val="00530594"/>
    <w:rsid w:val="0053107F"/>
    <w:rsid w:val="00531569"/>
    <w:rsid w:val="00531745"/>
    <w:rsid w:val="00533190"/>
    <w:rsid w:val="00533364"/>
    <w:rsid w:val="0053354D"/>
    <w:rsid w:val="0053385F"/>
    <w:rsid w:val="00534D3B"/>
    <w:rsid w:val="0053526E"/>
    <w:rsid w:val="00535FD8"/>
    <w:rsid w:val="005362A8"/>
    <w:rsid w:val="005365E6"/>
    <w:rsid w:val="0053753F"/>
    <w:rsid w:val="00540654"/>
    <w:rsid w:val="00541993"/>
    <w:rsid w:val="00543137"/>
    <w:rsid w:val="00543771"/>
    <w:rsid w:val="00544048"/>
    <w:rsid w:val="00544D59"/>
    <w:rsid w:val="00544EE7"/>
    <w:rsid w:val="00547E8C"/>
    <w:rsid w:val="00550611"/>
    <w:rsid w:val="005508A7"/>
    <w:rsid w:val="005514F7"/>
    <w:rsid w:val="00552827"/>
    <w:rsid w:val="00553D04"/>
    <w:rsid w:val="00554435"/>
    <w:rsid w:val="00554F2A"/>
    <w:rsid w:val="0055525C"/>
    <w:rsid w:val="0055539F"/>
    <w:rsid w:val="00555B26"/>
    <w:rsid w:val="00561FA8"/>
    <w:rsid w:val="0056253B"/>
    <w:rsid w:val="00565399"/>
    <w:rsid w:val="00570E09"/>
    <w:rsid w:val="00571240"/>
    <w:rsid w:val="00571CD3"/>
    <w:rsid w:val="005721E2"/>
    <w:rsid w:val="0057342F"/>
    <w:rsid w:val="00574657"/>
    <w:rsid w:val="00575662"/>
    <w:rsid w:val="00575882"/>
    <w:rsid w:val="00576B57"/>
    <w:rsid w:val="005800EB"/>
    <w:rsid w:val="005802F8"/>
    <w:rsid w:val="00580E0D"/>
    <w:rsid w:val="005811A6"/>
    <w:rsid w:val="0058132E"/>
    <w:rsid w:val="0058136C"/>
    <w:rsid w:val="005838DB"/>
    <w:rsid w:val="00583C2A"/>
    <w:rsid w:val="005841CD"/>
    <w:rsid w:val="0058442D"/>
    <w:rsid w:val="0058476A"/>
    <w:rsid w:val="00585611"/>
    <w:rsid w:val="00586904"/>
    <w:rsid w:val="00587C09"/>
    <w:rsid w:val="00590120"/>
    <w:rsid w:val="00590181"/>
    <w:rsid w:val="00591208"/>
    <w:rsid w:val="005918CC"/>
    <w:rsid w:val="00592BCA"/>
    <w:rsid w:val="005935E7"/>
    <w:rsid w:val="005939D8"/>
    <w:rsid w:val="0059409B"/>
    <w:rsid w:val="005943AA"/>
    <w:rsid w:val="005944FF"/>
    <w:rsid w:val="0059509D"/>
    <w:rsid w:val="00596839"/>
    <w:rsid w:val="00597248"/>
    <w:rsid w:val="00597FD4"/>
    <w:rsid w:val="005A0321"/>
    <w:rsid w:val="005A05C7"/>
    <w:rsid w:val="005A0901"/>
    <w:rsid w:val="005A2B32"/>
    <w:rsid w:val="005A329C"/>
    <w:rsid w:val="005A459C"/>
    <w:rsid w:val="005A46FE"/>
    <w:rsid w:val="005A5032"/>
    <w:rsid w:val="005A5776"/>
    <w:rsid w:val="005A614D"/>
    <w:rsid w:val="005A6C95"/>
    <w:rsid w:val="005B01E1"/>
    <w:rsid w:val="005B2CD6"/>
    <w:rsid w:val="005B3515"/>
    <w:rsid w:val="005B3818"/>
    <w:rsid w:val="005B3A24"/>
    <w:rsid w:val="005B5094"/>
    <w:rsid w:val="005B5243"/>
    <w:rsid w:val="005B67E3"/>
    <w:rsid w:val="005C0C32"/>
    <w:rsid w:val="005C179F"/>
    <w:rsid w:val="005C1B81"/>
    <w:rsid w:val="005C1C9C"/>
    <w:rsid w:val="005C42C2"/>
    <w:rsid w:val="005C56EF"/>
    <w:rsid w:val="005C59B2"/>
    <w:rsid w:val="005C6510"/>
    <w:rsid w:val="005C73AD"/>
    <w:rsid w:val="005C7662"/>
    <w:rsid w:val="005D1100"/>
    <w:rsid w:val="005D2B5B"/>
    <w:rsid w:val="005D56D7"/>
    <w:rsid w:val="005D6703"/>
    <w:rsid w:val="005D6967"/>
    <w:rsid w:val="005D779E"/>
    <w:rsid w:val="005D7B27"/>
    <w:rsid w:val="005E162F"/>
    <w:rsid w:val="005E20CB"/>
    <w:rsid w:val="005E4693"/>
    <w:rsid w:val="005E495D"/>
    <w:rsid w:val="005E7751"/>
    <w:rsid w:val="005E7B30"/>
    <w:rsid w:val="005F1473"/>
    <w:rsid w:val="005F2954"/>
    <w:rsid w:val="005F359E"/>
    <w:rsid w:val="005F3B9B"/>
    <w:rsid w:val="005F3BF5"/>
    <w:rsid w:val="005F5DBE"/>
    <w:rsid w:val="005F6D35"/>
    <w:rsid w:val="005F6E03"/>
    <w:rsid w:val="00600178"/>
    <w:rsid w:val="006006AE"/>
    <w:rsid w:val="006027B8"/>
    <w:rsid w:val="00602824"/>
    <w:rsid w:val="006030E0"/>
    <w:rsid w:val="0060332E"/>
    <w:rsid w:val="00605B08"/>
    <w:rsid w:val="00606D8C"/>
    <w:rsid w:val="006079B6"/>
    <w:rsid w:val="006100DD"/>
    <w:rsid w:val="00611139"/>
    <w:rsid w:val="00612843"/>
    <w:rsid w:val="006128B2"/>
    <w:rsid w:val="00613850"/>
    <w:rsid w:val="00613A49"/>
    <w:rsid w:val="006140B1"/>
    <w:rsid w:val="00614CCD"/>
    <w:rsid w:val="0061547E"/>
    <w:rsid w:val="00617F9C"/>
    <w:rsid w:val="006205B5"/>
    <w:rsid w:val="00620E3E"/>
    <w:rsid w:val="00620F25"/>
    <w:rsid w:val="00621E5C"/>
    <w:rsid w:val="006229A6"/>
    <w:rsid w:val="006229DA"/>
    <w:rsid w:val="0062310D"/>
    <w:rsid w:val="00623D3D"/>
    <w:rsid w:val="0062464E"/>
    <w:rsid w:val="00625B6F"/>
    <w:rsid w:val="0062717A"/>
    <w:rsid w:val="00630A47"/>
    <w:rsid w:val="00630E2C"/>
    <w:rsid w:val="006325E4"/>
    <w:rsid w:val="00633187"/>
    <w:rsid w:val="006337C6"/>
    <w:rsid w:val="00634F03"/>
    <w:rsid w:val="00635BE9"/>
    <w:rsid w:val="00635E52"/>
    <w:rsid w:val="0063621F"/>
    <w:rsid w:val="00636695"/>
    <w:rsid w:val="00636DEB"/>
    <w:rsid w:val="00640016"/>
    <w:rsid w:val="00641176"/>
    <w:rsid w:val="00642705"/>
    <w:rsid w:val="00642746"/>
    <w:rsid w:val="006433F6"/>
    <w:rsid w:val="00643CA7"/>
    <w:rsid w:val="00643ECA"/>
    <w:rsid w:val="0064649D"/>
    <w:rsid w:val="00646949"/>
    <w:rsid w:val="0064728A"/>
    <w:rsid w:val="00647E78"/>
    <w:rsid w:val="00650022"/>
    <w:rsid w:val="00650060"/>
    <w:rsid w:val="006505B3"/>
    <w:rsid w:val="0065139F"/>
    <w:rsid w:val="006516C3"/>
    <w:rsid w:val="006528B8"/>
    <w:rsid w:val="00652C31"/>
    <w:rsid w:val="00653B02"/>
    <w:rsid w:val="006549DB"/>
    <w:rsid w:val="00655F65"/>
    <w:rsid w:val="00657302"/>
    <w:rsid w:val="00660293"/>
    <w:rsid w:val="00661043"/>
    <w:rsid w:val="00664093"/>
    <w:rsid w:val="00664909"/>
    <w:rsid w:val="00664946"/>
    <w:rsid w:val="00665733"/>
    <w:rsid w:val="006658A6"/>
    <w:rsid w:val="00666398"/>
    <w:rsid w:val="006667AA"/>
    <w:rsid w:val="006670EC"/>
    <w:rsid w:val="006705DF"/>
    <w:rsid w:val="00670A7F"/>
    <w:rsid w:val="00670FE7"/>
    <w:rsid w:val="006714E0"/>
    <w:rsid w:val="0067253F"/>
    <w:rsid w:val="00673F58"/>
    <w:rsid w:val="0067457A"/>
    <w:rsid w:val="0067650D"/>
    <w:rsid w:val="00677536"/>
    <w:rsid w:val="00677565"/>
    <w:rsid w:val="00677753"/>
    <w:rsid w:val="0068004C"/>
    <w:rsid w:val="00680B93"/>
    <w:rsid w:val="00681778"/>
    <w:rsid w:val="00681F15"/>
    <w:rsid w:val="00682E94"/>
    <w:rsid w:val="0068359A"/>
    <w:rsid w:val="006865DC"/>
    <w:rsid w:val="006867EF"/>
    <w:rsid w:val="00686D0C"/>
    <w:rsid w:val="006879B4"/>
    <w:rsid w:val="006911FB"/>
    <w:rsid w:val="00694113"/>
    <w:rsid w:val="006943E8"/>
    <w:rsid w:val="006953BA"/>
    <w:rsid w:val="00695FAF"/>
    <w:rsid w:val="006964CD"/>
    <w:rsid w:val="00696A47"/>
    <w:rsid w:val="006975C1"/>
    <w:rsid w:val="006979AC"/>
    <w:rsid w:val="006979E0"/>
    <w:rsid w:val="00697F02"/>
    <w:rsid w:val="006A1037"/>
    <w:rsid w:val="006A13CB"/>
    <w:rsid w:val="006A15CA"/>
    <w:rsid w:val="006A2807"/>
    <w:rsid w:val="006A3578"/>
    <w:rsid w:val="006A3978"/>
    <w:rsid w:val="006A5F05"/>
    <w:rsid w:val="006A74C4"/>
    <w:rsid w:val="006B052B"/>
    <w:rsid w:val="006B0E76"/>
    <w:rsid w:val="006B15D9"/>
    <w:rsid w:val="006B2136"/>
    <w:rsid w:val="006B336F"/>
    <w:rsid w:val="006B3966"/>
    <w:rsid w:val="006B472E"/>
    <w:rsid w:val="006B4C26"/>
    <w:rsid w:val="006C0299"/>
    <w:rsid w:val="006C0A6E"/>
    <w:rsid w:val="006C125D"/>
    <w:rsid w:val="006C149E"/>
    <w:rsid w:val="006C193A"/>
    <w:rsid w:val="006C28EB"/>
    <w:rsid w:val="006C3DD3"/>
    <w:rsid w:val="006C522B"/>
    <w:rsid w:val="006C7D76"/>
    <w:rsid w:val="006D0724"/>
    <w:rsid w:val="006D1DB8"/>
    <w:rsid w:val="006D200E"/>
    <w:rsid w:val="006D23BC"/>
    <w:rsid w:val="006D29F3"/>
    <w:rsid w:val="006D36D2"/>
    <w:rsid w:val="006D4065"/>
    <w:rsid w:val="006D5517"/>
    <w:rsid w:val="006D6C31"/>
    <w:rsid w:val="006E078A"/>
    <w:rsid w:val="006E0892"/>
    <w:rsid w:val="006E31A6"/>
    <w:rsid w:val="006E42DB"/>
    <w:rsid w:val="006E4307"/>
    <w:rsid w:val="006E43C0"/>
    <w:rsid w:val="006E4588"/>
    <w:rsid w:val="006E5B0A"/>
    <w:rsid w:val="006E5B44"/>
    <w:rsid w:val="006E611B"/>
    <w:rsid w:val="006E68DD"/>
    <w:rsid w:val="006F1B4D"/>
    <w:rsid w:val="006F2182"/>
    <w:rsid w:val="006F28B0"/>
    <w:rsid w:val="006F538F"/>
    <w:rsid w:val="006F67E2"/>
    <w:rsid w:val="007000D3"/>
    <w:rsid w:val="00703027"/>
    <w:rsid w:val="007031FF"/>
    <w:rsid w:val="007047F9"/>
    <w:rsid w:val="007057DA"/>
    <w:rsid w:val="0070696F"/>
    <w:rsid w:val="00706B94"/>
    <w:rsid w:val="00706FE4"/>
    <w:rsid w:val="007078AE"/>
    <w:rsid w:val="00710767"/>
    <w:rsid w:val="00712466"/>
    <w:rsid w:val="00712FB0"/>
    <w:rsid w:val="00713124"/>
    <w:rsid w:val="00713DA6"/>
    <w:rsid w:val="0071415E"/>
    <w:rsid w:val="007142A4"/>
    <w:rsid w:val="0071443F"/>
    <w:rsid w:val="00714756"/>
    <w:rsid w:val="00714C84"/>
    <w:rsid w:val="00714F2B"/>
    <w:rsid w:val="007159B4"/>
    <w:rsid w:val="007175D6"/>
    <w:rsid w:val="00717A09"/>
    <w:rsid w:val="00717C76"/>
    <w:rsid w:val="0072047D"/>
    <w:rsid w:val="0072063F"/>
    <w:rsid w:val="00721533"/>
    <w:rsid w:val="00722B99"/>
    <w:rsid w:val="00725D82"/>
    <w:rsid w:val="00726C21"/>
    <w:rsid w:val="00726DBD"/>
    <w:rsid w:val="00727057"/>
    <w:rsid w:val="0072777E"/>
    <w:rsid w:val="00727AA2"/>
    <w:rsid w:val="00730CB6"/>
    <w:rsid w:val="00731318"/>
    <w:rsid w:val="007330AB"/>
    <w:rsid w:val="00733887"/>
    <w:rsid w:val="007338CA"/>
    <w:rsid w:val="00735FDC"/>
    <w:rsid w:val="00736797"/>
    <w:rsid w:val="00736D10"/>
    <w:rsid w:val="0073730E"/>
    <w:rsid w:val="00737597"/>
    <w:rsid w:val="00737700"/>
    <w:rsid w:val="00740E46"/>
    <w:rsid w:val="007422E6"/>
    <w:rsid w:val="00745A85"/>
    <w:rsid w:val="00745D8A"/>
    <w:rsid w:val="00746ADE"/>
    <w:rsid w:val="007479B4"/>
    <w:rsid w:val="00747D44"/>
    <w:rsid w:val="00747D5F"/>
    <w:rsid w:val="00751AE8"/>
    <w:rsid w:val="00751DAE"/>
    <w:rsid w:val="007522E9"/>
    <w:rsid w:val="00753076"/>
    <w:rsid w:val="0075350B"/>
    <w:rsid w:val="00755CA7"/>
    <w:rsid w:val="00756AD4"/>
    <w:rsid w:val="00757AA4"/>
    <w:rsid w:val="00760202"/>
    <w:rsid w:val="0076083D"/>
    <w:rsid w:val="007631FF"/>
    <w:rsid w:val="007634E7"/>
    <w:rsid w:val="00765270"/>
    <w:rsid w:val="00766D75"/>
    <w:rsid w:val="0076777D"/>
    <w:rsid w:val="00770186"/>
    <w:rsid w:val="007709FC"/>
    <w:rsid w:val="00770A32"/>
    <w:rsid w:val="0077205E"/>
    <w:rsid w:val="00773450"/>
    <w:rsid w:val="00774E80"/>
    <w:rsid w:val="00775D07"/>
    <w:rsid w:val="0077740B"/>
    <w:rsid w:val="007801E8"/>
    <w:rsid w:val="00781431"/>
    <w:rsid w:val="007814AD"/>
    <w:rsid w:val="007815B4"/>
    <w:rsid w:val="00782C72"/>
    <w:rsid w:val="007855DD"/>
    <w:rsid w:val="00785FD1"/>
    <w:rsid w:val="0078687D"/>
    <w:rsid w:val="0078714F"/>
    <w:rsid w:val="00790171"/>
    <w:rsid w:val="00791002"/>
    <w:rsid w:val="00791C9E"/>
    <w:rsid w:val="00793046"/>
    <w:rsid w:val="00794553"/>
    <w:rsid w:val="007948E9"/>
    <w:rsid w:val="007952E1"/>
    <w:rsid w:val="00795BEB"/>
    <w:rsid w:val="00795F82"/>
    <w:rsid w:val="0079686E"/>
    <w:rsid w:val="00797664"/>
    <w:rsid w:val="00797ECB"/>
    <w:rsid w:val="007A0098"/>
    <w:rsid w:val="007A2878"/>
    <w:rsid w:val="007A2919"/>
    <w:rsid w:val="007A2954"/>
    <w:rsid w:val="007A34FF"/>
    <w:rsid w:val="007A4200"/>
    <w:rsid w:val="007A4823"/>
    <w:rsid w:val="007A5662"/>
    <w:rsid w:val="007A6D76"/>
    <w:rsid w:val="007A70B8"/>
    <w:rsid w:val="007A7748"/>
    <w:rsid w:val="007B19D3"/>
    <w:rsid w:val="007B3077"/>
    <w:rsid w:val="007B3DA9"/>
    <w:rsid w:val="007B4840"/>
    <w:rsid w:val="007B5434"/>
    <w:rsid w:val="007B7876"/>
    <w:rsid w:val="007B7928"/>
    <w:rsid w:val="007B7BB8"/>
    <w:rsid w:val="007C09E2"/>
    <w:rsid w:val="007C0AFC"/>
    <w:rsid w:val="007C1EC6"/>
    <w:rsid w:val="007C2115"/>
    <w:rsid w:val="007C4A9C"/>
    <w:rsid w:val="007C4B3B"/>
    <w:rsid w:val="007C5178"/>
    <w:rsid w:val="007C5F55"/>
    <w:rsid w:val="007C611C"/>
    <w:rsid w:val="007C6D5C"/>
    <w:rsid w:val="007C76A0"/>
    <w:rsid w:val="007D11C0"/>
    <w:rsid w:val="007D3856"/>
    <w:rsid w:val="007D3A72"/>
    <w:rsid w:val="007D4690"/>
    <w:rsid w:val="007D5707"/>
    <w:rsid w:val="007D6B27"/>
    <w:rsid w:val="007D6E43"/>
    <w:rsid w:val="007D7324"/>
    <w:rsid w:val="007E0D97"/>
    <w:rsid w:val="007E1DEB"/>
    <w:rsid w:val="007E2B58"/>
    <w:rsid w:val="007E2E3C"/>
    <w:rsid w:val="007E358F"/>
    <w:rsid w:val="007E4258"/>
    <w:rsid w:val="007E4D0B"/>
    <w:rsid w:val="007E588D"/>
    <w:rsid w:val="007E5AD0"/>
    <w:rsid w:val="007E5E1E"/>
    <w:rsid w:val="007E61EC"/>
    <w:rsid w:val="007E7C9E"/>
    <w:rsid w:val="007F39C2"/>
    <w:rsid w:val="007F3AA7"/>
    <w:rsid w:val="007F4A94"/>
    <w:rsid w:val="007F4BAD"/>
    <w:rsid w:val="007F4CDD"/>
    <w:rsid w:val="007F5030"/>
    <w:rsid w:val="007F5572"/>
    <w:rsid w:val="007F5B14"/>
    <w:rsid w:val="007F71B4"/>
    <w:rsid w:val="00801238"/>
    <w:rsid w:val="00801607"/>
    <w:rsid w:val="00801776"/>
    <w:rsid w:val="00801AC6"/>
    <w:rsid w:val="00802DC2"/>
    <w:rsid w:val="00807231"/>
    <w:rsid w:val="008077B6"/>
    <w:rsid w:val="00810156"/>
    <w:rsid w:val="00810997"/>
    <w:rsid w:val="00811251"/>
    <w:rsid w:val="00812689"/>
    <w:rsid w:val="008131E7"/>
    <w:rsid w:val="00813864"/>
    <w:rsid w:val="00813BE6"/>
    <w:rsid w:val="00813C8A"/>
    <w:rsid w:val="00814475"/>
    <w:rsid w:val="0081536C"/>
    <w:rsid w:val="00815653"/>
    <w:rsid w:val="00815795"/>
    <w:rsid w:val="0081666C"/>
    <w:rsid w:val="008177A6"/>
    <w:rsid w:val="00821842"/>
    <w:rsid w:val="00821DB6"/>
    <w:rsid w:val="00822077"/>
    <w:rsid w:val="008220D2"/>
    <w:rsid w:val="00823217"/>
    <w:rsid w:val="0082559A"/>
    <w:rsid w:val="00825EEE"/>
    <w:rsid w:val="0082632F"/>
    <w:rsid w:val="008303D0"/>
    <w:rsid w:val="0083067A"/>
    <w:rsid w:val="00831274"/>
    <w:rsid w:val="008330E3"/>
    <w:rsid w:val="008337B2"/>
    <w:rsid w:val="00835F86"/>
    <w:rsid w:val="008375BE"/>
    <w:rsid w:val="008412A8"/>
    <w:rsid w:val="008415CA"/>
    <w:rsid w:val="008416C0"/>
    <w:rsid w:val="0084192B"/>
    <w:rsid w:val="00841F98"/>
    <w:rsid w:val="00843347"/>
    <w:rsid w:val="00844E1C"/>
    <w:rsid w:val="00845255"/>
    <w:rsid w:val="008457A0"/>
    <w:rsid w:val="00847FFB"/>
    <w:rsid w:val="0085077C"/>
    <w:rsid w:val="00850DB2"/>
    <w:rsid w:val="00851637"/>
    <w:rsid w:val="00851F76"/>
    <w:rsid w:val="00852084"/>
    <w:rsid w:val="00852BD1"/>
    <w:rsid w:val="008535B7"/>
    <w:rsid w:val="00853D6D"/>
    <w:rsid w:val="008547B6"/>
    <w:rsid w:val="00854A25"/>
    <w:rsid w:val="008550CF"/>
    <w:rsid w:val="00856020"/>
    <w:rsid w:val="008575F6"/>
    <w:rsid w:val="008576D2"/>
    <w:rsid w:val="0085790C"/>
    <w:rsid w:val="00861A09"/>
    <w:rsid w:val="00861D4F"/>
    <w:rsid w:val="00862873"/>
    <w:rsid w:val="00862B4D"/>
    <w:rsid w:val="00864E56"/>
    <w:rsid w:val="0086544E"/>
    <w:rsid w:val="00865E55"/>
    <w:rsid w:val="00866AB9"/>
    <w:rsid w:val="00867255"/>
    <w:rsid w:val="00867E41"/>
    <w:rsid w:val="00870D5F"/>
    <w:rsid w:val="00871511"/>
    <w:rsid w:val="0087157C"/>
    <w:rsid w:val="00872744"/>
    <w:rsid w:val="00872953"/>
    <w:rsid w:val="00872D5B"/>
    <w:rsid w:val="0087478E"/>
    <w:rsid w:val="008747BC"/>
    <w:rsid w:val="00874A45"/>
    <w:rsid w:val="00874B21"/>
    <w:rsid w:val="00875C78"/>
    <w:rsid w:val="0087609C"/>
    <w:rsid w:val="008761DD"/>
    <w:rsid w:val="00880A9C"/>
    <w:rsid w:val="00880F92"/>
    <w:rsid w:val="008835BE"/>
    <w:rsid w:val="00883A7F"/>
    <w:rsid w:val="00885853"/>
    <w:rsid w:val="00885F6B"/>
    <w:rsid w:val="00886E8C"/>
    <w:rsid w:val="00890299"/>
    <w:rsid w:val="00890440"/>
    <w:rsid w:val="00890C4C"/>
    <w:rsid w:val="00891CEA"/>
    <w:rsid w:val="008927AD"/>
    <w:rsid w:val="00892DDD"/>
    <w:rsid w:val="00893380"/>
    <w:rsid w:val="00893996"/>
    <w:rsid w:val="00893CF5"/>
    <w:rsid w:val="00893FA1"/>
    <w:rsid w:val="00894848"/>
    <w:rsid w:val="00894AD1"/>
    <w:rsid w:val="00895363"/>
    <w:rsid w:val="0089788D"/>
    <w:rsid w:val="008A0452"/>
    <w:rsid w:val="008A0A1B"/>
    <w:rsid w:val="008A2005"/>
    <w:rsid w:val="008A274A"/>
    <w:rsid w:val="008A2C28"/>
    <w:rsid w:val="008A37BA"/>
    <w:rsid w:val="008A4E1C"/>
    <w:rsid w:val="008A6B3A"/>
    <w:rsid w:val="008A7A10"/>
    <w:rsid w:val="008A7D74"/>
    <w:rsid w:val="008B00E0"/>
    <w:rsid w:val="008B01A0"/>
    <w:rsid w:val="008B2861"/>
    <w:rsid w:val="008B3910"/>
    <w:rsid w:val="008B3B12"/>
    <w:rsid w:val="008B4F39"/>
    <w:rsid w:val="008B506C"/>
    <w:rsid w:val="008B6962"/>
    <w:rsid w:val="008B6A63"/>
    <w:rsid w:val="008B7C9F"/>
    <w:rsid w:val="008C0C78"/>
    <w:rsid w:val="008C1723"/>
    <w:rsid w:val="008C1C49"/>
    <w:rsid w:val="008C1F09"/>
    <w:rsid w:val="008C251D"/>
    <w:rsid w:val="008C38D9"/>
    <w:rsid w:val="008C3B2F"/>
    <w:rsid w:val="008C56EF"/>
    <w:rsid w:val="008C6A4E"/>
    <w:rsid w:val="008C6C23"/>
    <w:rsid w:val="008D0743"/>
    <w:rsid w:val="008D09E1"/>
    <w:rsid w:val="008D3741"/>
    <w:rsid w:val="008D7A5A"/>
    <w:rsid w:val="008D7B88"/>
    <w:rsid w:val="008E01DE"/>
    <w:rsid w:val="008E051C"/>
    <w:rsid w:val="008E0D76"/>
    <w:rsid w:val="008E13E6"/>
    <w:rsid w:val="008E13F2"/>
    <w:rsid w:val="008E1D60"/>
    <w:rsid w:val="008E265C"/>
    <w:rsid w:val="008E374C"/>
    <w:rsid w:val="008E3B8F"/>
    <w:rsid w:val="008E3EE5"/>
    <w:rsid w:val="008E4CF2"/>
    <w:rsid w:val="008E4D04"/>
    <w:rsid w:val="008E526E"/>
    <w:rsid w:val="008E5BC0"/>
    <w:rsid w:val="008E5F9C"/>
    <w:rsid w:val="008E6B6F"/>
    <w:rsid w:val="008E79F0"/>
    <w:rsid w:val="008E7AF0"/>
    <w:rsid w:val="008F0D7A"/>
    <w:rsid w:val="008F141B"/>
    <w:rsid w:val="008F19B1"/>
    <w:rsid w:val="008F1A4C"/>
    <w:rsid w:val="008F1E63"/>
    <w:rsid w:val="008F5636"/>
    <w:rsid w:val="008F5A2F"/>
    <w:rsid w:val="008F5B49"/>
    <w:rsid w:val="008F5D5E"/>
    <w:rsid w:val="008F7E96"/>
    <w:rsid w:val="00900AC3"/>
    <w:rsid w:val="0090146A"/>
    <w:rsid w:val="0090232A"/>
    <w:rsid w:val="00902A64"/>
    <w:rsid w:val="00902B31"/>
    <w:rsid w:val="00902E7C"/>
    <w:rsid w:val="00904663"/>
    <w:rsid w:val="00904906"/>
    <w:rsid w:val="00905FF3"/>
    <w:rsid w:val="00906BFD"/>
    <w:rsid w:val="009073FC"/>
    <w:rsid w:val="00911210"/>
    <w:rsid w:val="009112AA"/>
    <w:rsid w:val="009118FE"/>
    <w:rsid w:val="00913213"/>
    <w:rsid w:val="00913EE0"/>
    <w:rsid w:val="009148FF"/>
    <w:rsid w:val="009150B7"/>
    <w:rsid w:val="0091656A"/>
    <w:rsid w:val="00917046"/>
    <w:rsid w:val="00917DF3"/>
    <w:rsid w:val="009200C4"/>
    <w:rsid w:val="00920373"/>
    <w:rsid w:val="00920A81"/>
    <w:rsid w:val="009213BB"/>
    <w:rsid w:val="00921BFB"/>
    <w:rsid w:val="00922FA6"/>
    <w:rsid w:val="009233F7"/>
    <w:rsid w:val="009234A4"/>
    <w:rsid w:val="00926B18"/>
    <w:rsid w:val="009277F1"/>
    <w:rsid w:val="00930E0F"/>
    <w:rsid w:val="00933055"/>
    <w:rsid w:val="00933854"/>
    <w:rsid w:val="00933B19"/>
    <w:rsid w:val="00934C8F"/>
    <w:rsid w:val="0093630F"/>
    <w:rsid w:val="00936700"/>
    <w:rsid w:val="00936757"/>
    <w:rsid w:val="0093681F"/>
    <w:rsid w:val="0093771C"/>
    <w:rsid w:val="00940C7C"/>
    <w:rsid w:val="00941677"/>
    <w:rsid w:val="009417E6"/>
    <w:rsid w:val="009431EF"/>
    <w:rsid w:val="0094383F"/>
    <w:rsid w:val="00943E0D"/>
    <w:rsid w:val="0094538F"/>
    <w:rsid w:val="00947906"/>
    <w:rsid w:val="00947E69"/>
    <w:rsid w:val="009506A4"/>
    <w:rsid w:val="009523A6"/>
    <w:rsid w:val="00952C4F"/>
    <w:rsid w:val="00955CFE"/>
    <w:rsid w:val="00956477"/>
    <w:rsid w:val="00957521"/>
    <w:rsid w:val="00960C37"/>
    <w:rsid w:val="009615E3"/>
    <w:rsid w:val="00961BFA"/>
    <w:rsid w:val="009628F7"/>
    <w:rsid w:val="00962957"/>
    <w:rsid w:val="00962AE3"/>
    <w:rsid w:val="00962D6C"/>
    <w:rsid w:val="00964E63"/>
    <w:rsid w:val="009660E5"/>
    <w:rsid w:val="0096740F"/>
    <w:rsid w:val="00967A06"/>
    <w:rsid w:val="0097177F"/>
    <w:rsid w:val="00971DA6"/>
    <w:rsid w:val="00972D97"/>
    <w:rsid w:val="009730C1"/>
    <w:rsid w:val="00973607"/>
    <w:rsid w:val="00973863"/>
    <w:rsid w:val="00976CB0"/>
    <w:rsid w:val="00976F8B"/>
    <w:rsid w:val="00980036"/>
    <w:rsid w:val="009803AC"/>
    <w:rsid w:val="00980DC1"/>
    <w:rsid w:val="00980E77"/>
    <w:rsid w:val="00982D67"/>
    <w:rsid w:val="00982F76"/>
    <w:rsid w:val="00983154"/>
    <w:rsid w:val="00985AD5"/>
    <w:rsid w:val="009862C0"/>
    <w:rsid w:val="00986934"/>
    <w:rsid w:val="00986E3F"/>
    <w:rsid w:val="00987076"/>
    <w:rsid w:val="009877C4"/>
    <w:rsid w:val="00990F11"/>
    <w:rsid w:val="00990F85"/>
    <w:rsid w:val="00991CB2"/>
    <w:rsid w:val="0099299A"/>
    <w:rsid w:val="00992FD6"/>
    <w:rsid w:val="00995C27"/>
    <w:rsid w:val="00995E75"/>
    <w:rsid w:val="00996110"/>
    <w:rsid w:val="00996565"/>
    <w:rsid w:val="009969E7"/>
    <w:rsid w:val="00996F52"/>
    <w:rsid w:val="00997655"/>
    <w:rsid w:val="009A0617"/>
    <w:rsid w:val="009A11A6"/>
    <w:rsid w:val="009A137B"/>
    <w:rsid w:val="009A161E"/>
    <w:rsid w:val="009A33AB"/>
    <w:rsid w:val="009A3C3B"/>
    <w:rsid w:val="009A4962"/>
    <w:rsid w:val="009A4DF0"/>
    <w:rsid w:val="009A4F5C"/>
    <w:rsid w:val="009A54DB"/>
    <w:rsid w:val="009A6F3A"/>
    <w:rsid w:val="009A71CE"/>
    <w:rsid w:val="009B1592"/>
    <w:rsid w:val="009B17BD"/>
    <w:rsid w:val="009B30D6"/>
    <w:rsid w:val="009B3546"/>
    <w:rsid w:val="009B3667"/>
    <w:rsid w:val="009B4F23"/>
    <w:rsid w:val="009B520F"/>
    <w:rsid w:val="009B58A1"/>
    <w:rsid w:val="009B5C86"/>
    <w:rsid w:val="009B7B29"/>
    <w:rsid w:val="009B7DEA"/>
    <w:rsid w:val="009C0659"/>
    <w:rsid w:val="009C0941"/>
    <w:rsid w:val="009C0CA7"/>
    <w:rsid w:val="009C0EB5"/>
    <w:rsid w:val="009C15F8"/>
    <w:rsid w:val="009C1F2D"/>
    <w:rsid w:val="009C1FCF"/>
    <w:rsid w:val="009C3985"/>
    <w:rsid w:val="009C55ED"/>
    <w:rsid w:val="009C56CB"/>
    <w:rsid w:val="009C62BD"/>
    <w:rsid w:val="009C7F7C"/>
    <w:rsid w:val="009D2A59"/>
    <w:rsid w:val="009D3480"/>
    <w:rsid w:val="009D3FFB"/>
    <w:rsid w:val="009D598B"/>
    <w:rsid w:val="009D5F55"/>
    <w:rsid w:val="009D6878"/>
    <w:rsid w:val="009D6CA8"/>
    <w:rsid w:val="009D72BE"/>
    <w:rsid w:val="009E19EC"/>
    <w:rsid w:val="009E34E0"/>
    <w:rsid w:val="009E3A00"/>
    <w:rsid w:val="009E42DD"/>
    <w:rsid w:val="009E42EE"/>
    <w:rsid w:val="009E6178"/>
    <w:rsid w:val="009E647A"/>
    <w:rsid w:val="009E64B6"/>
    <w:rsid w:val="009F12F5"/>
    <w:rsid w:val="009F28BA"/>
    <w:rsid w:val="009F2A90"/>
    <w:rsid w:val="009F3C4F"/>
    <w:rsid w:val="009F405D"/>
    <w:rsid w:val="009F4595"/>
    <w:rsid w:val="009F4E4A"/>
    <w:rsid w:val="009F5A5E"/>
    <w:rsid w:val="009F67CD"/>
    <w:rsid w:val="009F6DE2"/>
    <w:rsid w:val="00A016B8"/>
    <w:rsid w:val="00A01D16"/>
    <w:rsid w:val="00A02336"/>
    <w:rsid w:val="00A027A3"/>
    <w:rsid w:val="00A03E82"/>
    <w:rsid w:val="00A04DB5"/>
    <w:rsid w:val="00A0580B"/>
    <w:rsid w:val="00A060D6"/>
    <w:rsid w:val="00A0678C"/>
    <w:rsid w:val="00A10278"/>
    <w:rsid w:val="00A10498"/>
    <w:rsid w:val="00A12329"/>
    <w:rsid w:val="00A12BCC"/>
    <w:rsid w:val="00A1353E"/>
    <w:rsid w:val="00A13B17"/>
    <w:rsid w:val="00A13D8C"/>
    <w:rsid w:val="00A14422"/>
    <w:rsid w:val="00A1471E"/>
    <w:rsid w:val="00A15BE2"/>
    <w:rsid w:val="00A16071"/>
    <w:rsid w:val="00A1653D"/>
    <w:rsid w:val="00A16923"/>
    <w:rsid w:val="00A20278"/>
    <w:rsid w:val="00A2040B"/>
    <w:rsid w:val="00A21E91"/>
    <w:rsid w:val="00A226BD"/>
    <w:rsid w:val="00A2358F"/>
    <w:rsid w:val="00A23C30"/>
    <w:rsid w:val="00A2689C"/>
    <w:rsid w:val="00A26BB5"/>
    <w:rsid w:val="00A27B63"/>
    <w:rsid w:val="00A27CFD"/>
    <w:rsid w:val="00A302BE"/>
    <w:rsid w:val="00A304B8"/>
    <w:rsid w:val="00A30E64"/>
    <w:rsid w:val="00A33BA4"/>
    <w:rsid w:val="00A3418A"/>
    <w:rsid w:val="00A342B5"/>
    <w:rsid w:val="00A34D80"/>
    <w:rsid w:val="00A36206"/>
    <w:rsid w:val="00A36311"/>
    <w:rsid w:val="00A36671"/>
    <w:rsid w:val="00A37728"/>
    <w:rsid w:val="00A37D03"/>
    <w:rsid w:val="00A40F99"/>
    <w:rsid w:val="00A416D0"/>
    <w:rsid w:val="00A4362C"/>
    <w:rsid w:val="00A436F9"/>
    <w:rsid w:val="00A44C3E"/>
    <w:rsid w:val="00A45268"/>
    <w:rsid w:val="00A4537D"/>
    <w:rsid w:val="00A46CAE"/>
    <w:rsid w:val="00A46D73"/>
    <w:rsid w:val="00A47582"/>
    <w:rsid w:val="00A47E42"/>
    <w:rsid w:val="00A502DF"/>
    <w:rsid w:val="00A51323"/>
    <w:rsid w:val="00A51D56"/>
    <w:rsid w:val="00A51E4F"/>
    <w:rsid w:val="00A52074"/>
    <w:rsid w:val="00A520E4"/>
    <w:rsid w:val="00A5237F"/>
    <w:rsid w:val="00A52A2C"/>
    <w:rsid w:val="00A5423D"/>
    <w:rsid w:val="00A54E6D"/>
    <w:rsid w:val="00A55B90"/>
    <w:rsid w:val="00A55E04"/>
    <w:rsid w:val="00A568E8"/>
    <w:rsid w:val="00A56E60"/>
    <w:rsid w:val="00A56E69"/>
    <w:rsid w:val="00A5782C"/>
    <w:rsid w:val="00A61B43"/>
    <w:rsid w:val="00A63C09"/>
    <w:rsid w:val="00A63DC7"/>
    <w:rsid w:val="00A640A9"/>
    <w:rsid w:val="00A65B59"/>
    <w:rsid w:val="00A666F6"/>
    <w:rsid w:val="00A674E4"/>
    <w:rsid w:val="00A725F2"/>
    <w:rsid w:val="00A726B5"/>
    <w:rsid w:val="00A74997"/>
    <w:rsid w:val="00A74D1F"/>
    <w:rsid w:val="00A76C75"/>
    <w:rsid w:val="00A76DD7"/>
    <w:rsid w:val="00A76EDE"/>
    <w:rsid w:val="00A76F2F"/>
    <w:rsid w:val="00A80AEB"/>
    <w:rsid w:val="00A82628"/>
    <w:rsid w:val="00A82875"/>
    <w:rsid w:val="00A83E86"/>
    <w:rsid w:val="00A85030"/>
    <w:rsid w:val="00A878D5"/>
    <w:rsid w:val="00A87F2C"/>
    <w:rsid w:val="00A90CE3"/>
    <w:rsid w:val="00A918D7"/>
    <w:rsid w:val="00A91C62"/>
    <w:rsid w:val="00A934D4"/>
    <w:rsid w:val="00A93837"/>
    <w:rsid w:val="00A95149"/>
    <w:rsid w:val="00A96352"/>
    <w:rsid w:val="00A96FC8"/>
    <w:rsid w:val="00A971A6"/>
    <w:rsid w:val="00A97472"/>
    <w:rsid w:val="00AA03C8"/>
    <w:rsid w:val="00AA123E"/>
    <w:rsid w:val="00AA127A"/>
    <w:rsid w:val="00AA4311"/>
    <w:rsid w:val="00AA58CF"/>
    <w:rsid w:val="00AA5B45"/>
    <w:rsid w:val="00AA627C"/>
    <w:rsid w:val="00AA62CF"/>
    <w:rsid w:val="00AA6C26"/>
    <w:rsid w:val="00AA7351"/>
    <w:rsid w:val="00AA79D6"/>
    <w:rsid w:val="00AB044F"/>
    <w:rsid w:val="00AB0E70"/>
    <w:rsid w:val="00AB1195"/>
    <w:rsid w:val="00AB1638"/>
    <w:rsid w:val="00AB2A8E"/>
    <w:rsid w:val="00AB2CD2"/>
    <w:rsid w:val="00AB31AE"/>
    <w:rsid w:val="00AB3FF7"/>
    <w:rsid w:val="00AB6751"/>
    <w:rsid w:val="00AB7461"/>
    <w:rsid w:val="00AB764C"/>
    <w:rsid w:val="00AB7C08"/>
    <w:rsid w:val="00AC08D1"/>
    <w:rsid w:val="00AC0DA6"/>
    <w:rsid w:val="00AC1CAD"/>
    <w:rsid w:val="00AC2B98"/>
    <w:rsid w:val="00AD0EEC"/>
    <w:rsid w:val="00AD1195"/>
    <w:rsid w:val="00AD16A0"/>
    <w:rsid w:val="00AD1A5A"/>
    <w:rsid w:val="00AD356A"/>
    <w:rsid w:val="00AD3D9A"/>
    <w:rsid w:val="00AD4B1C"/>
    <w:rsid w:val="00AD532A"/>
    <w:rsid w:val="00AD55ED"/>
    <w:rsid w:val="00AD581A"/>
    <w:rsid w:val="00AE03AE"/>
    <w:rsid w:val="00AE06FF"/>
    <w:rsid w:val="00AE0702"/>
    <w:rsid w:val="00AE1C6D"/>
    <w:rsid w:val="00AE1C84"/>
    <w:rsid w:val="00AE1D84"/>
    <w:rsid w:val="00AE2456"/>
    <w:rsid w:val="00AE2EDB"/>
    <w:rsid w:val="00AE3CFA"/>
    <w:rsid w:val="00AE4786"/>
    <w:rsid w:val="00AE4DAA"/>
    <w:rsid w:val="00AE7438"/>
    <w:rsid w:val="00AE7497"/>
    <w:rsid w:val="00AE74ED"/>
    <w:rsid w:val="00AF0046"/>
    <w:rsid w:val="00AF056A"/>
    <w:rsid w:val="00AF26D5"/>
    <w:rsid w:val="00AF291A"/>
    <w:rsid w:val="00AF32DF"/>
    <w:rsid w:val="00AF409D"/>
    <w:rsid w:val="00AF413B"/>
    <w:rsid w:val="00AF528D"/>
    <w:rsid w:val="00AF52E4"/>
    <w:rsid w:val="00AF531A"/>
    <w:rsid w:val="00AF6263"/>
    <w:rsid w:val="00B00AC4"/>
    <w:rsid w:val="00B03110"/>
    <w:rsid w:val="00B0494F"/>
    <w:rsid w:val="00B051B1"/>
    <w:rsid w:val="00B062C3"/>
    <w:rsid w:val="00B06397"/>
    <w:rsid w:val="00B06D6E"/>
    <w:rsid w:val="00B07DE4"/>
    <w:rsid w:val="00B11D17"/>
    <w:rsid w:val="00B128F0"/>
    <w:rsid w:val="00B129BB"/>
    <w:rsid w:val="00B133D9"/>
    <w:rsid w:val="00B1421A"/>
    <w:rsid w:val="00B144EB"/>
    <w:rsid w:val="00B1591B"/>
    <w:rsid w:val="00B169EB"/>
    <w:rsid w:val="00B2051D"/>
    <w:rsid w:val="00B21D4A"/>
    <w:rsid w:val="00B227BE"/>
    <w:rsid w:val="00B22A24"/>
    <w:rsid w:val="00B2333B"/>
    <w:rsid w:val="00B25127"/>
    <w:rsid w:val="00B257B4"/>
    <w:rsid w:val="00B258EC"/>
    <w:rsid w:val="00B25FE1"/>
    <w:rsid w:val="00B261CB"/>
    <w:rsid w:val="00B26580"/>
    <w:rsid w:val="00B26E00"/>
    <w:rsid w:val="00B27A2E"/>
    <w:rsid w:val="00B27FB2"/>
    <w:rsid w:val="00B300DA"/>
    <w:rsid w:val="00B304BC"/>
    <w:rsid w:val="00B31F4C"/>
    <w:rsid w:val="00B327AE"/>
    <w:rsid w:val="00B3353C"/>
    <w:rsid w:val="00B33764"/>
    <w:rsid w:val="00B34B5B"/>
    <w:rsid w:val="00B354CC"/>
    <w:rsid w:val="00B371D7"/>
    <w:rsid w:val="00B37541"/>
    <w:rsid w:val="00B40071"/>
    <w:rsid w:val="00B40360"/>
    <w:rsid w:val="00B40526"/>
    <w:rsid w:val="00B40AD7"/>
    <w:rsid w:val="00B40CE9"/>
    <w:rsid w:val="00B40D66"/>
    <w:rsid w:val="00B413BE"/>
    <w:rsid w:val="00B4167D"/>
    <w:rsid w:val="00B416D0"/>
    <w:rsid w:val="00B41A09"/>
    <w:rsid w:val="00B41A83"/>
    <w:rsid w:val="00B428D5"/>
    <w:rsid w:val="00B4677D"/>
    <w:rsid w:val="00B46BFE"/>
    <w:rsid w:val="00B46E42"/>
    <w:rsid w:val="00B46F72"/>
    <w:rsid w:val="00B47BA7"/>
    <w:rsid w:val="00B50A23"/>
    <w:rsid w:val="00B512C3"/>
    <w:rsid w:val="00B51C68"/>
    <w:rsid w:val="00B5200A"/>
    <w:rsid w:val="00B538DC"/>
    <w:rsid w:val="00B543DC"/>
    <w:rsid w:val="00B557CD"/>
    <w:rsid w:val="00B55B73"/>
    <w:rsid w:val="00B55EE1"/>
    <w:rsid w:val="00B5756C"/>
    <w:rsid w:val="00B575D0"/>
    <w:rsid w:val="00B575E2"/>
    <w:rsid w:val="00B613C2"/>
    <w:rsid w:val="00B6152A"/>
    <w:rsid w:val="00B6335F"/>
    <w:rsid w:val="00B63C60"/>
    <w:rsid w:val="00B64413"/>
    <w:rsid w:val="00B65262"/>
    <w:rsid w:val="00B65717"/>
    <w:rsid w:val="00B65A66"/>
    <w:rsid w:val="00B6631A"/>
    <w:rsid w:val="00B66E04"/>
    <w:rsid w:val="00B67097"/>
    <w:rsid w:val="00B7044D"/>
    <w:rsid w:val="00B70AE0"/>
    <w:rsid w:val="00B717CA"/>
    <w:rsid w:val="00B74921"/>
    <w:rsid w:val="00B75338"/>
    <w:rsid w:val="00B80DD8"/>
    <w:rsid w:val="00B815BD"/>
    <w:rsid w:val="00B82165"/>
    <w:rsid w:val="00B8337A"/>
    <w:rsid w:val="00B83986"/>
    <w:rsid w:val="00B8506B"/>
    <w:rsid w:val="00B90B55"/>
    <w:rsid w:val="00B911FE"/>
    <w:rsid w:val="00B91871"/>
    <w:rsid w:val="00B9360E"/>
    <w:rsid w:val="00B94864"/>
    <w:rsid w:val="00B957A8"/>
    <w:rsid w:val="00B959EF"/>
    <w:rsid w:val="00B9680D"/>
    <w:rsid w:val="00B97489"/>
    <w:rsid w:val="00B975C3"/>
    <w:rsid w:val="00BA121E"/>
    <w:rsid w:val="00BA124E"/>
    <w:rsid w:val="00BA26FE"/>
    <w:rsid w:val="00BA2C3D"/>
    <w:rsid w:val="00BA3B37"/>
    <w:rsid w:val="00BA3CAB"/>
    <w:rsid w:val="00BA44E8"/>
    <w:rsid w:val="00BA5505"/>
    <w:rsid w:val="00BA73F4"/>
    <w:rsid w:val="00BA7B06"/>
    <w:rsid w:val="00BA7C42"/>
    <w:rsid w:val="00BB07DB"/>
    <w:rsid w:val="00BB097A"/>
    <w:rsid w:val="00BB1271"/>
    <w:rsid w:val="00BB139B"/>
    <w:rsid w:val="00BB1944"/>
    <w:rsid w:val="00BB2106"/>
    <w:rsid w:val="00BB2BC8"/>
    <w:rsid w:val="00BB2DA4"/>
    <w:rsid w:val="00BB3008"/>
    <w:rsid w:val="00BB3347"/>
    <w:rsid w:val="00BB7AB8"/>
    <w:rsid w:val="00BC0951"/>
    <w:rsid w:val="00BC27C2"/>
    <w:rsid w:val="00BC28FF"/>
    <w:rsid w:val="00BC2C52"/>
    <w:rsid w:val="00BC3FC3"/>
    <w:rsid w:val="00BC523C"/>
    <w:rsid w:val="00BD087C"/>
    <w:rsid w:val="00BD120B"/>
    <w:rsid w:val="00BD16A0"/>
    <w:rsid w:val="00BD1A1A"/>
    <w:rsid w:val="00BD2669"/>
    <w:rsid w:val="00BD388F"/>
    <w:rsid w:val="00BD3BF6"/>
    <w:rsid w:val="00BD47C9"/>
    <w:rsid w:val="00BD4A82"/>
    <w:rsid w:val="00BD4C25"/>
    <w:rsid w:val="00BD4F97"/>
    <w:rsid w:val="00BD63AA"/>
    <w:rsid w:val="00BD7A0D"/>
    <w:rsid w:val="00BE0334"/>
    <w:rsid w:val="00BE03DC"/>
    <w:rsid w:val="00BE21E1"/>
    <w:rsid w:val="00BE222A"/>
    <w:rsid w:val="00BE390D"/>
    <w:rsid w:val="00BE4B4D"/>
    <w:rsid w:val="00BE50B9"/>
    <w:rsid w:val="00BE5103"/>
    <w:rsid w:val="00BE5C6F"/>
    <w:rsid w:val="00BE76CD"/>
    <w:rsid w:val="00BE7946"/>
    <w:rsid w:val="00BF0022"/>
    <w:rsid w:val="00BF04D9"/>
    <w:rsid w:val="00BF09FD"/>
    <w:rsid w:val="00BF0CA4"/>
    <w:rsid w:val="00BF1C1D"/>
    <w:rsid w:val="00BF22B3"/>
    <w:rsid w:val="00BF330E"/>
    <w:rsid w:val="00BF3980"/>
    <w:rsid w:val="00BF3AC7"/>
    <w:rsid w:val="00BF5269"/>
    <w:rsid w:val="00BF5F9B"/>
    <w:rsid w:val="00BF6568"/>
    <w:rsid w:val="00BF7348"/>
    <w:rsid w:val="00BF77E1"/>
    <w:rsid w:val="00BF78E6"/>
    <w:rsid w:val="00C0252E"/>
    <w:rsid w:val="00C03C16"/>
    <w:rsid w:val="00C03CB4"/>
    <w:rsid w:val="00C04A8E"/>
    <w:rsid w:val="00C05FA5"/>
    <w:rsid w:val="00C075F6"/>
    <w:rsid w:val="00C10327"/>
    <w:rsid w:val="00C107CD"/>
    <w:rsid w:val="00C1234B"/>
    <w:rsid w:val="00C14378"/>
    <w:rsid w:val="00C14E40"/>
    <w:rsid w:val="00C161B7"/>
    <w:rsid w:val="00C16A03"/>
    <w:rsid w:val="00C17024"/>
    <w:rsid w:val="00C17366"/>
    <w:rsid w:val="00C17A81"/>
    <w:rsid w:val="00C204EC"/>
    <w:rsid w:val="00C20CC4"/>
    <w:rsid w:val="00C20D3F"/>
    <w:rsid w:val="00C20D89"/>
    <w:rsid w:val="00C2251F"/>
    <w:rsid w:val="00C226F1"/>
    <w:rsid w:val="00C2380D"/>
    <w:rsid w:val="00C2583F"/>
    <w:rsid w:val="00C263AA"/>
    <w:rsid w:val="00C26553"/>
    <w:rsid w:val="00C27466"/>
    <w:rsid w:val="00C27CBD"/>
    <w:rsid w:val="00C300D2"/>
    <w:rsid w:val="00C31099"/>
    <w:rsid w:val="00C31402"/>
    <w:rsid w:val="00C32A7D"/>
    <w:rsid w:val="00C33380"/>
    <w:rsid w:val="00C3339E"/>
    <w:rsid w:val="00C333D6"/>
    <w:rsid w:val="00C334EA"/>
    <w:rsid w:val="00C33574"/>
    <w:rsid w:val="00C345D5"/>
    <w:rsid w:val="00C3496A"/>
    <w:rsid w:val="00C36166"/>
    <w:rsid w:val="00C36A66"/>
    <w:rsid w:val="00C4037E"/>
    <w:rsid w:val="00C404F3"/>
    <w:rsid w:val="00C40E50"/>
    <w:rsid w:val="00C425D2"/>
    <w:rsid w:val="00C43690"/>
    <w:rsid w:val="00C43C4A"/>
    <w:rsid w:val="00C45915"/>
    <w:rsid w:val="00C45E14"/>
    <w:rsid w:val="00C463D3"/>
    <w:rsid w:val="00C47A20"/>
    <w:rsid w:val="00C47B64"/>
    <w:rsid w:val="00C51747"/>
    <w:rsid w:val="00C51B31"/>
    <w:rsid w:val="00C534FF"/>
    <w:rsid w:val="00C5735C"/>
    <w:rsid w:val="00C57609"/>
    <w:rsid w:val="00C579D9"/>
    <w:rsid w:val="00C57B56"/>
    <w:rsid w:val="00C57DF7"/>
    <w:rsid w:val="00C60A60"/>
    <w:rsid w:val="00C61715"/>
    <w:rsid w:val="00C61B57"/>
    <w:rsid w:val="00C65140"/>
    <w:rsid w:val="00C65CC9"/>
    <w:rsid w:val="00C70A89"/>
    <w:rsid w:val="00C70C1E"/>
    <w:rsid w:val="00C76B89"/>
    <w:rsid w:val="00C77D7D"/>
    <w:rsid w:val="00C80545"/>
    <w:rsid w:val="00C808FE"/>
    <w:rsid w:val="00C81D17"/>
    <w:rsid w:val="00C8342A"/>
    <w:rsid w:val="00C8378A"/>
    <w:rsid w:val="00C847BF"/>
    <w:rsid w:val="00C848C7"/>
    <w:rsid w:val="00C8563F"/>
    <w:rsid w:val="00C866B2"/>
    <w:rsid w:val="00C90039"/>
    <w:rsid w:val="00C90916"/>
    <w:rsid w:val="00C9104A"/>
    <w:rsid w:val="00C9229E"/>
    <w:rsid w:val="00C92BC8"/>
    <w:rsid w:val="00C9354A"/>
    <w:rsid w:val="00C94A1B"/>
    <w:rsid w:val="00C950FB"/>
    <w:rsid w:val="00C970AD"/>
    <w:rsid w:val="00C97D75"/>
    <w:rsid w:val="00CA12AD"/>
    <w:rsid w:val="00CA1FAA"/>
    <w:rsid w:val="00CA2097"/>
    <w:rsid w:val="00CA2582"/>
    <w:rsid w:val="00CA41CB"/>
    <w:rsid w:val="00CA42DA"/>
    <w:rsid w:val="00CA4349"/>
    <w:rsid w:val="00CA4956"/>
    <w:rsid w:val="00CA64EC"/>
    <w:rsid w:val="00CA6600"/>
    <w:rsid w:val="00CA6D64"/>
    <w:rsid w:val="00CA7912"/>
    <w:rsid w:val="00CB05EE"/>
    <w:rsid w:val="00CB0CC3"/>
    <w:rsid w:val="00CB186F"/>
    <w:rsid w:val="00CB1C1E"/>
    <w:rsid w:val="00CB1F0E"/>
    <w:rsid w:val="00CB5722"/>
    <w:rsid w:val="00CB5A36"/>
    <w:rsid w:val="00CB5F73"/>
    <w:rsid w:val="00CB6800"/>
    <w:rsid w:val="00CB6BF9"/>
    <w:rsid w:val="00CB6FFD"/>
    <w:rsid w:val="00CC29B8"/>
    <w:rsid w:val="00CC2C84"/>
    <w:rsid w:val="00CC2EC0"/>
    <w:rsid w:val="00CC2FD5"/>
    <w:rsid w:val="00CC390B"/>
    <w:rsid w:val="00CC3C7C"/>
    <w:rsid w:val="00CC465F"/>
    <w:rsid w:val="00CC5DB1"/>
    <w:rsid w:val="00CC6B1E"/>
    <w:rsid w:val="00CC73B9"/>
    <w:rsid w:val="00CC7CD1"/>
    <w:rsid w:val="00CD05A4"/>
    <w:rsid w:val="00CD181A"/>
    <w:rsid w:val="00CD243A"/>
    <w:rsid w:val="00CD420E"/>
    <w:rsid w:val="00CD5820"/>
    <w:rsid w:val="00CD5862"/>
    <w:rsid w:val="00CD6902"/>
    <w:rsid w:val="00CD6A60"/>
    <w:rsid w:val="00CD7718"/>
    <w:rsid w:val="00CD798F"/>
    <w:rsid w:val="00CE1725"/>
    <w:rsid w:val="00CE186C"/>
    <w:rsid w:val="00CE1B25"/>
    <w:rsid w:val="00CE2404"/>
    <w:rsid w:val="00CE27E8"/>
    <w:rsid w:val="00CE3F52"/>
    <w:rsid w:val="00CE4320"/>
    <w:rsid w:val="00CE5E37"/>
    <w:rsid w:val="00CE6677"/>
    <w:rsid w:val="00CF1787"/>
    <w:rsid w:val="00CF2780"/>
    <w:rsid w:val="00CF41E9"/>
    <w:rsid w:val="00CF4801"/>
    <w:rsid w:val="00CF4B0A"/>
    <w:rsid w:val="00CF79A0"/>
    <w:rsid w:val="00CF7ABB"/>
    <w:rsid w:val="00D0080F"/>
    <w:rsid w:val="00D019DE"/>
    <w:rsid w:val="00D03537"/>
    <w:rsid w:val="00D04097"/>
    <w:rsid w:val="00D04407"/>
    <w:rsid w:val="00D0459D"/>
    <w:rsid w:val="00D057EF"/>
    <w:rsid w:val="00D05BDD"/>
    <w:rsid w:val="00D05ECF"/>
    <w:rsid w:val="00D06562"/>
    <w:rsid w:val="00D06F3E"/>
    <w:rsid w:val="00D070CC"/>
    <w:rsid w:val="00D108CB"/>
    <w:rsid w:val="00D11AAE"/>
    <w:rsid w:val="00D126AE"/>
    <w:rsid w:val="00D130DE"/>
    <w:rsid w:val="00D130E4"/>
    <w:rsid w:val="00D13E09"/>
    <w:rsid w:val="00D14019"/>
    <w:rsid w:val="00D141B5"/>
    <w:rsid w:val="00D146FA"/>
    <w:rsid w:val="00D15596"/>
    <w:rsid w:val="00D15847"/>
    <w:rsid w:val="00D15CB1"/>
    <w:rsid w:val="00D16C24"/>
    <w:rsid w:val="00D17534"/>
    <w:rsid w:val="00D177BA"/>
    <w:rsid w:val="00D200DB"/>
    <w:rsid w:val="00D2199D"/>
    <w:rsid w:val="00D21AFF"/>
    <w:rsid w:val="00D22B95"/>
    <w:rsid w:val="00D23158"/>
    <w:rsid w:val="00D23EBF"/>
    <w:rsid w:val="00D2469E"/>
    <w:rsid w:val="00D25BA7"/>
    <w:rsid w:val="00D26A8C"/>
    <w:rsid w:val="00D26AAD"/>
    <w:rsid w:val="00D26BB7"/>
    <w:rsid w:val="00D26BDF"/>
    <w:rsid w:val="00D26C02"/>
    <w:rsid w:val="00D26CEE"/>
    <w:rsid w:val="00D2762B"/>
    <w:rsid w:val="00D27960"/>
    <w:rsid w:val="00D27D00"/>
    <w:rsid w:val="00D30922"/>
    <w:rsid w:val="00D30E10"/>
    <w:rsid w:val="00D316D2"/>
    <w:rsid w:val="00D32DB4"/>
    <w:rsid w:val="00D32ED4"/>
    <w:rsid w:val="00D33998"/>
    <w:rsid w:val="00D35257"/>
    <w:rsid w:val="00D36070"/>
    <w:rsid w:val="00D373B8"/>
    <w:rsid w:val="00D37523"/>
    <w:rsid w:val="00D401C9"/>
    <w:rsid w:val="00D41797"/>
    <w:rsid w:val="00D41B00"/>
    <w:rsid w:val="00D432D7"/>
    <w:rsid w:val="00D43C62"/>
    <w:rsid w:val="00D44F5B"/>
    <w:rsid w:val="00D45A29"/>
    <w:rsid w:val="00D45A92"/>
    <w:rsid w:val="00D46953"/>
    <w:rsid w:val="00D50F16"/>
    <w:rsid w:val="00D5137E"/>
    <w:rsid w:val="00D52635"/>
    <w:rsid w:val="00D5320F"/>
    <w:rsid w:val="00D541E4"/>
    <w:rsid w:val="00D551AA"/>
    <w:rsid w:val="00D5532F"/>
    <w:rsid w:val="00D56196"/>
    <w:rsid w:val="00D56679"/>
    <w:rsid w:val="00D62A16"/>
    <w:rsid w:val="00D62EA2"/>
    <w:rsid w:val="00D632EB"/>
    <w:rsid w:val="00D635A8"/>
    <w:rsid w:val="00D63FDD"/>
    <w:rsid w:val="00D6409A"/>
    <w:rsid w:val="00D6440F"/>
    <w:rsid w:val="00D64570"/>
    <w:rsid w:val="00D67AF8"/>
    <w:rsid w:val="00D67EB2"/>
    <w:rsid w:val="00D70B6D"/>
    <w:rsid w:val="00D70C88"/>
    <w:rsid w:val="00D7146A"/>
    <w:rsid w:val="00D72D70"/>
    <w:rsid w:val="00D73294"/>
    <w:rsid w:val="00D75278"/>
    <w:rsid w:val="00D759E2"/>
    <w:rsid w:val="00D777FE"/>
    <w:rsid w:val="00D802CF"/>
    <w:rsid w:val="00D8049B"/>
    <w:rsid w:val="00D80D7E"/>
    <w:rsid w:val="00D82ECD"/>
    <w:rsid w:val="00D83178"/>
    <w:rsid w:val="00D83DA1"/>
    <w:rsid w:val="00D84353"/>
    <w:rsid w:val="00D845A3"/>
    <w:rsid w:val="00D84BC0"/>
    <w:rsid w:val="00D8599C"/>
    <w:rsid w:val="00D85DD1"/>
    <w:rsid w:val="00D872F0"/>
    <w:rsid w:val="00D87841"/>
    <w:rsid w:val="00D90D98"/>
    <w:rsid w:val="00D919DF"/>
    <w:rsid w:val="00D9439A"/>
    <w:rsid w:val="00D956BF"/>
    <w:rsid w:val="00D9616F"/>
    <w:rsid w:val="00D9619D"/>
    <w:rsid w:val="00D97CA7"/>
    <w:rsid w:val="00DA2DE0"/>
    <w:rsid w:val="00DA3681"/>
    <w:rsid w:val="00DA3A99"/>
    <w:rsid w:val="00DA4406"/>
    <w:rsid w:val="00DA56EF"/>
    <w:rsid w:val="00DA58AB"/>
    <w:rsid w:val="00DA6A65"/>
    <w:rsid w:val="00DA6B65"/>
    <w:rsid w:val="00DA7448"/>
    <w:rsid w:val="00DB07AB"/>
    <w:rsid w:val="00DB09B5"/>
    <w:rsid w:val="00DB0F11"/>
    <w:rsid w:val="00DB1044"/>
    <w:rsid w:val="00DB1133"/>
    <w:rsid w:val="00DB1D74"/>
    <w:rsid w:val="00DB3E1D"/>
    <w:rsid w:val="00DB4297"/>
    <w:rsid w:val="00DB6482"/>
    <w:rsid w:val="00DC2880"/>
    <w:rsid w:val="00DC53FD"/>
    <w:rsid w:val="00DC5AA4"/>
    <w:rsid w:val="00DD0B63"/>
    <w:rsid w:val="00DD0C28"/>
    <w:rsid w:val="00DD1291"/>
    <w:rsid w:val="00DD1680"/>
    <w:rsid w:val="00DD1889"/>
    <w:rsid w:val="00DD26ED"/>
    <w:rsid w:val="00DD2702"/>
    <w:rsid w:val="00DD3D54"/>
    <w:rsid w:val="00DD4443"/>
    <w:rsid w:val="00DD66A2"/>
    <w:rsid w:val="00DD6BB4"/>
    <w:rsid w:val="00DD6C46"/>
    <w:rsid w:val="00DE0724"/>
    <w:rsid w:val="00DE0DC2"/>
    <w:rsid w:val="00DE12E0"/>
    <w:rsid w:val="00DE199C"/>
    <w:rsid w:val="00DE1C8C"/>
    <w:rsid w:val="00DE29B7"/>
    <w:rsid w:val="00DE2D95"/>
    <w:rsid w:val="00DE3150"/>
    <w:rsid w:val="00DE42A2"/>
    <w:rsid w:val="00DE4851"/>
    <w:rsid w:val="00DE63B6"/>
    <w:rsid w:val="00DE69ED"/>
    <w:rsid w:val="00DF1465"/>
    <w:rsid w:val="00DF1B46"/>
    <w:rsid w:val="00DF3EB3"/>
    <w:rsid w:val="00DF57F9"/>
    <w:rsid w:val="00DF6173"/>
    <w:rsid w:val="00DF66F7"/>
    <w:rsid w:val="00DF7F34"/>
    <w:rsid w:val="00E0096D"/>
    <w:rsid w:val="00E01748"/>
    <w:rsid w:val="00E019F7"/>
    <w:rsid w:val="00E01CF7"/>
    <w:rsid w:val="00E03F2C"/>
    <w:rsid w:val="00E052E9"/>
    <w:rsid w:val="00E05E50"/>
    <w:rsid w:val="00E067A5"/>
    <w:rsid w:val="00E0688A"/>
    <w:rsid w:val="00E06AD3"/>
    <w:rsid w:val="00E11C23"/>
    <w:rsid w:val="00E125B1"/>
    <w:rsid w:val="00E128ED"/>
    <w:rsid w:val="00E12A5D"/>
    <w:rsid w:val="00E13B3C"/>
    <w:rsid w:val="00E148B1"/>
    <w:rsid w:val="00E169B3"/>
    <w:rsid w:val="00E16B34"/>
    <w:rsid w:val="00E16D6D"/>
    <w:rsid w:val="00E2182C"/>
    <w:rsid w:val="00E2261E"/>
    <w:rsid w:val="00E227C4"/>
    <w:rsid w:val="00E24018"/>
    <w:rsid w:val="00E24086"/>
    <w:rsid w:val="00E2414C"/>
    <w:rsid w:val="00E2457D"/>
    <w:rsid w:val="00E25AE8"/>
    <w:rsid w:val="00E26270"/>
    <w:rsid w:val="00E265D3"/>
    <w:rsid w:val="00E267D1"/>
    <w:rsid w:val="00E30025"/>
    <w:rsid w:val="00E30759"/>
    <w:rsid w:val="00E3123A"/>
    <w:rsid w:val="00E31A4F"/>
    <w:rsid w:val="00E31CC8"/>
    <w:rsid w:val="00E31F81"/>
    <w:rsid w:val="00E33B57"/>
    <w:rsid w:val="00E351B1"/>
    <w:rsid w:val="00E35954"/>
    <w:rsid w:val="00E36EEB"/>
    <w:rsid w:val="00E376AE"/>
    <w:rsid w:val="00E42336"/>
    <w:rsid w:val="00E43676"/>
    <w:rsid w:val="00E43D8C"/>
    <w:rsid w:val="00E4586E"/>
    <w:rsid w:val="00E464FD"/>
    <w:rsid w:val="00E51F72"/>
    <w:rsid w:val="00E526B3"/>
    <w:rsid w:val="00E52E2A"/>
    <w:rsid w:val="00E54C66"/>
    <w:rsid w:val="00E54C91"/>
    <w:rsid w:val="00E56A4F"/>
    <w:rsid w:val="00E57BAB"/>
    <w:rsid w:val="00E57CB3"/>
    <w:rsid w:val="00E6036A"/>
    <w:rsid w:val="00E60DED"/>
    <w:rsid w:val="00E61E88"/>
    <w:rsid w:val="00E61F8D"/>
    <w:rsid w:val="00E626AB"/>
    <w:rsid w:val="00E62A83"/>
    <w:rsid w:val="00E6412A"/>
    <w:rsid w:val="00E649E5"/>
    <w:rsid w:val="00E64EBB"/>
    <w:rsid w:val="00E65926"/>
    <w:rsid w:val="00E6686B"/>
    <w:rsid w:val="00E66AD3"/>
    <w:rsid w:val="00E66C00"/>
    <w:rsid w:val="00E6742D"/>
    <w:rsid w:val="00E679B3"/>
    <w:rsid w:val="00E67E6B"/>
    <w:rsid w:val="00E70060"/>
    <w:rsid w:val="00E70DBE"/>
    <w:rsid w:val="00E721BC"/>
    <w:rsid w:val="00E73B05"/>
    <w:rsid w:val="00E745E5"/>
    <w:rsid w:val="00E745F0"/>
    <w:rsid w:val="00E74C47"/>
    <w:rsid w:val="00E75534"/>
    <w:rsid w:val="00E758B6"/>
    <w:rsid w:val="00E76339"/>
    <w:rsid w:val="00E8009F"/>
    <w:rsid w:val="00E8185E"/>
    <w:rsid w:val="00E8220A"/>
    <w:rsid w:val="00E82F37"/>
    <w:rsid w:val="00E834FF"/>
    <w:rsid w:val="00E836E4"/>
    <w:rsid w:val="00E83AC3"/>
    <w:rsid w:val="00E8407A"/>
    <w:rsid w:val="00E84FE8"/>
    <w:rsid w:val="00E86E9E"/>
    <w:rsid w:val="00E87A7E"/>
    <w:rsid w:val="00E87E25"/>
    <w:rsid w:val="00E905C3"/>
    <w:rsid w:val="00E908BC"/>
    <w:rsid w:val="00E909C9"/>
    <w:rsid w:val="00E93F34"/>
    <w:rsid w:val="00E941C9"/>
    <w:rsid w:val="00E94587"/>
    <w:rsid w:val="00E94A23"/>
    <w:rsid w:val="00E95002"/>
    <w:rsid w:val="00E97175"/>
    <w:rsid w:val="00E97B2B"/>
    <w:rsid w:val="00EA09FF"/>
    <w:rsid w:val="00EA0DBB"/>
    <w:rsid w:val="00EA2289"/>
    <w:rsid w:val="00EA2F77"/>
    <w:rsid w:val="00EA3069"/>
    <w:rsid w:val="00EA46C4"/>
    <w:rsid w:val="00EA5BB8"/>
    <w:rsid w:val="00EA69E2"/>
    <w:rsid w:val="00EA7245"/>
    <w:rsid w:val="00EA7B6F"/>
    <w:rsid w:val="00EA7DFD"/>
    <w:rsid w:val="00EB2F6F"/>
    <w:rsid w:val="00EB3479"/>
    <w:rsid w:val="00EB371C"/>
    <w:rsid w:val="00EB431C"/>
    <w:rsid w:val="00EB4837"/>
    <w:rsid w:val="00EB4FFA"/>
    <w:rsid w:val="00EB55CF"/>
    <w:rsid w:val="00EB5699"/>
    <w:rsid w:val="00EB71B7"/>
    <w:rsid w:val="00EB7A3B"/>
    <w:rsid w:val="00EC1DA7"/>
    <w:rsid w:val="00EC2D25"/>
    <w:rsid w:val="00EC3886"/>
    <w:rsid w:val="00EC3EDE"/>
    <w:rsid w:val="00EC4305"/>
    <w:rsid w:val="00EC4A96"/>
    <w:rsid w:val="00EC4B0A"/>
    <w:rsid w:val="00EC4D09"/>
    <w:rsid w:val="00EC623D"/>
    <w:rsid w:val="00EC64CD"/>
    <w:rsid w:val="00EC689E"/>
    <w:rsid w:val="00ED0EFF"/>
    <w:rsid w:val="00ED0F76"/>
    <w:rsid w:val="00ED1142"/>
    <w:rsid w:val="00ED2398"/>
    <w:rsid w:val="00ED3218"/>
    <w:rsid w:val="00ED32BC"/>
    <w:rsid w:val="00ED370E"/>
    <w:rsid w:val="00ED4338"/>
    <w:rsid w:val="00ED4857"/>
    <w:rsid w:val="00ED51E5"/>
    <w:rsid w:val="00ED7744"/>
    <w:rsid w:val="00EE08DE"/>
    <w:rsid w:val="00EE293F"/>
    <w:rsid w:val="00EE3833"/>
    <w:rsid w:val="00EE4AB5"/>
    <w:rsid w:val="00EE5DFD"/>
    <w:rsid w:val="00EE6438"/>
    <w:rsid w:val="00EE6DCC"/>
    <w:rsid w:val="00EF04A5"/>
    <w:rsid w:val="00EF1AF0"/>
    <w:rsid w:val="00EF1CB8"/>
    <w:rsid w:val="00EF3A22"/>
    <w:rsid w:val="00EF3BBB"/>
    <w:rsid w:val="00EF44B6"/>
    <w:rsid w:val="00EF7BA6"/>
    <w:rsid w:val="00F00321"/>
    <w:rsid w:val="00F00341"/>
    <w:rsid w:val="00F00388"/>
    <w:rsid w:val="00F00447"/>
    <w:rsid w:val="00F006D9"/>
    <w:rsid w:val="00F00E16"/>
    <w:rsid w:val="00F02996"/>
    <w:rsid w:val="00F032CC"/>
    <w:rsid w:val="00F038DD"/>
    <w:rsid w:val="00F04EB1"/>
    <w:rsid w:val="00F06227"/>
    <w:rsid w:val="00F065B5"/>
    <w:rsid w:val="00F0717A"/>
    <w:rsid w:val="00F07541"/>
    <w:rsid w:val="00F07E61"/>
    <w:rsid w:val="00F10135"/>
    <w:rsid w:val="00F10EB7"/>
    <w:rsid w:val="00F10EC9"/>
    <w:rsid w:val="00F11E78"/>
    <w:rsid w:val="00F12867"/>
    <w:rsid w:val="00F1312B"/>
    <w:rsid w:val="00F13173"/>
    <w:rsid w:val="00F13377"/>
    <w:rsid w:val="00F13E2B"/>
    <w:rsid w:val="00F15E2B"/>
    <w:rsid w:val="00F17042"/>
    <w:rsid w:val="00F17715"/>
    <w:rsid w:val="00F17EC3"/>
    <w:rsid w:val="00F22113"/>
    <w:rsid w:val="00F22198"/>
    <w:rsid w:val="00F22F59"/>
    <w:rsid w:val="00F23097"/>
    <w:rsid w:val="00F237A3"/>
    <w:rsid w:val="00F241F0"/>
    <w:rsid w:val="00F27253"/>
    <w:rsid w:val="00F301B3"/>
    <w:rsid w:val="00F3094F"/>
    <w:rsid w:val="00F32D93"/>
    <w:rsid w:val="00F33387"/>
    <w:rsid w:val="00F34764"/>
    <w:rsid w:val="00F34F84"/>
    <w:rsid w:val="00F35332"/>
    <w:rsid w:val="00F360CB"/>
    <w:rsid w:val="00F36682"/>
    <w:rsid w:val="00F36980"/>
    <w:rsid w:val="00F373F8"/>
    <w:rsid w:val="00F37636"/>
    <w:rsid w:val="00F37F15"/>
    <w:rsid w:val="00F42727"/>
    <w:rsid w:val="00F43F4A"/>
    <w:rsid w:val="00F4417B"/>
    <w:rsid w:val="00F44B08"/>
    <w:rsid w:val="00F46698"/>
    <w:rsid w:val="00F475DC"/>
    <w:rsid w:val="00F5090E"/>
    <w:rsid w:val="00F50D94"/>
    <w:rsid w:val="00F511A2"/>
    <w:rsid w:val="00F52549"/>
    <w:rsid w:val="00F52C60"/>
    <w:rsid w:val="00F53C48"/>
    <w:rsid w:val="00F54C94"/>
    <w:rsid w:val="00F54DBF"/>
    <w:rsid w:val="00F557EF"/>
    <w:rsid w:val="00F55F71"/>
    <w:rsid w:val="00F5676B"/>
    <w:rsid w:val="00F5683E"/>
    <w:rsid w:val="00F57A66"/>
    <w:rsid w:val="00F61D8E"/>
    <w:rsid w:val="00F61F09"/>
    <w:rsid w:val="00F62688"/>
    <w:rsid w:val="00F6315E"/>
    <w:rsid w:val="00F63AE4"/>
    <w:rsid w:val="00F64DDB"/>
    <w:rsid w:val="00F65613"/>
    <w:rsid w:val="00F65AFA"/>
    <w:rsid w:val="00F70443"/>
    <w:rsid w:val="00F7091A"/>
    <w:rsid w:val="00F711EA"/>
    <w:rsid w:val="00F71DB5"/>
    <w:rsid w:val="00F735BE"/>
    <w:rsid w:val="00F7397A"/>
    <w:rsid w:val="00F7457A"/>
    <w:rsid w:val="00F752B0"/>
    <w:rsid w:val="00F75CC0"/>
    <w:rsid w:val="00F77B3D"/>
    <w:rsid w:val="00F811BD"/>
    <w:rsid w:val="00F81A7F"/>
    <w:rsid w:val="00F8480E"/>
    <w:rsid w:val="00F84A18"/>
    <w:rsid w:val="00F84AD8"/>
    <w:rsid w:val="00F9099A"/>
    <w:rsid w:val="00F91566"/>
    <w:rsid w:val="00F91DCE"/>
    <w:rsid w:val="00F923CF"/>
    <w:rsid w:val="00F92416"/>
    <w:rsid w:val="00F92ABA"/>
    <w:rsid w:val="00F92F19"/>
    <w:rsid w:val="00F9392F"/>
    <w:rsid w:val="00F93A42"/>
    <w:rsid w:val="00F94E0D"/>
    <w:rsid w:val="00F94F1B"/>
    <w:rsid w:val="00F95B04"/>
    <w:rsid w:val="00F969E2"/>
    <w:rsid w:val="00F96F21"/>
    <w:rsid w:val="00FA1245"/>
    <w:rsid w:val="00FA14AF"/>
    <w:rsid w:val="00FA338B"/>
    <w:rsid w:val="00FA3487"/>
    <w:rsid w:val="00FA3BDF"/>
    <w:rsid w:val="00FA5580"/>
    <w:rsid w:val="00FA6925"/>
    <w:rsid w:val="00FA7176"/>
    <w:rsid w:val="00FB1B84"/>
    <w:rsid w:val="00FB384A"/>
    <w:rsid w:val="00FB3ACE"/>
    <w:rsid w:val="00FB45A8"/>
    <w:rsid w:val="00FB5C12"/>
    <w:rsid w:val="00FB6215"/>
    <w:rsid w:val="00FB6AEB"/>
    <w:rsid w:val="00FC03D2"/>
    <w:rsid w:val="00FC1AC7"/>
    <w:rsid w:val="00FC209A"/>
    <w:rsid w:val="00FC21D1"/>
    <w:rsid w:val="00FC2861"/>
    <w:rsid w:val="00FC4F79"/>
    <w:rsid w:val="00FC5348"/>
    <w:rsid w:val="00FC5BB1"/>
    <w:rsid w:val="00FC6033"/>
    <w:rsid w:val="00FC6895"/>
    <w:rsid w:val="00FC68BA"/>
    <w:rsid w:val="00FD1D91"/>
    <w:rsid w:val="00FD2228"/>
    <w:rsid w:val="00FD3305"/>
    <w:rsid w:val="00FD40DC"/>
    <w:rsid w:val="00FD5655"/>
    <w:rsid w:val="00FD57B6"/>
    <w:rsid w:val="00FD5E32"/>
    <w:rsid w:val="00FD72C4"/>
    <w:rsid w:val="00FE0B4D"/>
    <w:rsid w:val="00FE177E"/>
    <w:rsid w:val="00FE2B60"/>
    <w:rsid w:val="00FE2FCF"/>
    <w:rsid w:val="00FE30EB"/>
    <w:rsid w:val="00FE34AC"/>
    <w:rsid w:val="00FE360C"/>
    <w:rsid w:val="00FE3BAF"/>
    <w:rsid w:val="00FE4270"/>
    <w:rsid w:val="00FE5B08"/>
    <w:rsid w:val="00FE5E23"/>
    <w:rsid w:val="00FE784F"/>
    <w:rsid w:val="00FF0A1F"/>
    <w:rsid w:val="00FF0ADC"/>
    <w:rsid w:val="00FF0FC5"/>
    <w:rsid w:val="00FF2283"/>
    <w:rsid w:val="00FF2ED2"/>
    <w:rsid w:val="00FF3DA9"/>
    <w:rsid w:val="00FF404A"/>
    <w:rsid w:val="00FF4AF1"/>
    <w:rsid w:val="00FF55C7"/>
    <w:rsid w:val="00FF5827"/>
    <w:rsid w:val="00FF5BAF"/>
    <w:rsid w:val="00FF6F65"/>
    <w:rsid w:val="00FF74E5"/>
    <w:rsid w:val="010B3653"/>
    <w:rsid w:val="01563F36"/>
    <w:rsid w:val="0174DB57"/>
    <w:rsid w:val="01D747DB"/>
    <w:rsid w:val="01DE7A2B"/>
    <w:rsid w:val="0207EAB4"/>
    <w:rsid w:val="0228A504"/>
    <w:rsid w:val="023803F9"/>
    <w:rsid w:val="02844171"/>
    <w:rsid w:val="02CE2EBE"/>
    <w:rsid w:val="02DF6F4F"/>
    <w:rsid w:val="031941CB"/>
    <w:rsid w:val="0331ECF8"/>
    <w:rsid w:val="038F5BDD"/>
    <w:rsid w:val="03B0306F"/>
    <w:rsid w:val="03C33536"/>
    <w:rsid w:val="03DADFC9"/>
    <w:rsid w:val="03E1EF2C"/>
    <w:rsid w:val="0566458D"/>
    <w:rsid w:val="0586FD62"/>
    <w:rsid w:val="059D3818"/>
    <w:rsid w:val="05D67BC2"/>
    <w:rsid w:val="065A3E26"/>
    <w:rsid w:val="06E43443"/>
    <w:rsid w:val="0781A9F2"/>
    <w:rsid w:val="07886659"/>
    <w:rsid w:val="07A5D652"/>
    <w:rsid w:val="07BE98CC"/>
    <w:rsid w:val="07DD39B8"/>
    <w:rsid w:val="089B78D6"/>
    <w:rsid w:val="08DD6F78"/>
    <w:rsid w:val="08F5A7FC"/>
    <w:rsid w:val="09296C7E"/>
    <w:rsid w:val="097EED79"/>
    <w:rsid w:val="09859218"/>
    <w:rsid w:val="09D64820"/>
    <w:rsid w:val="0A148CE4"/>
    <w:rsid w:val="0A1943A4"/>
    <w:rsid w:val="0A208E6A"/>
    <w:rsid w:val="0AEEC510"/>
    <w:rsid w:val="0B4816BD"/>
    <w:rsid w:val="0B7467EB"/>
    <w:rsid w:val="0B78BD53"/>
    <w:rsid w:val="0B7E0FEC"/>
    <w:rsid w:val="0B8D2732"/>
    <w:rsid w:val="0BA6BEA4"/>
    <w:rsid w:val="0C7EE8FB"/>
    <w:rsid w:val="0C824E7B"/>
    <w:rsid w:val="0CF7A46C"/>
    <w:rsid w:val="0D26E71F"/>
    <w:rsid w:val="0D484592"/>
    <w:rsid w:val="0D883ECA"/>
    <w:rsid w:val="0D8D5727"/>
    <w:rsid w:val="0DFC065E"/>
    <w:rsid w:val="0E2EC959"/>
    <w:rsid w:val="0E459722"/>
    <w:rsid w:val="0F073C54"/>
    <w:rsid w:val="0F170132"/>
    <w:rsid w:val="0F2E9ACF"/>
    <w:rsid w:val="0F32C40E"/>
    <w:rsid w:val="0F37FD77"/>
    <w:rsid w:val="0F43C3D6"/>
    <w:rsid w:val="0F4597C4"/>
    <w:rsid w:val="0F5E0C4F"/>
    <w:rsid w:val="0F7072F3"/>
    <w:rsid w:val="100C6438"/>
    <w:rsid w:val="101CFBA1"/>
    <w:rsid w:val="10824F77"/>
    <w:rsid w:val="10B82CF0"/>
    <w:rsid w:val="10EADE16"/>
    <w:rsid w:val="10EFAE47"/>
    <w:rsid w:val="10F321D9"/>
    <w:rsid w:val="11007EE4"/>
    <w:rsid w:val="114BD3EA"/>
    <w:rsid w:val="117CA455"/>
    <w:rsid w:val="11A35FFC"/>
    <w:rsid w:val="11AFE0E6"/>
    <w:rsid w:val="11C9D2E0"/>
    <w:rsid w:val="11DE0211"/>
    <w:rsid w:val="124CA29E"/>
    <w:rsid w:val="125EC8B9"/>
    <w:rsid w:val="126D3D24"/>
    <w:rsid w:val="12AC9ADD"/>
    <w:rsid w:val="12E69FC7"/>
    <w:rsid w:val="12F59D94"/>
    <w:rsid w:val="1391552C"/>
    <w:rsid w:val="13B1428E"/>
    <w:rsid w:val="150496BC"/>
    <w:rsid w:val="15118185"/>
    <w:rsid w:val="155E61DE"/>
    <w:rsid w:val="158EB323"/>
    <w:rsid w:val="1596812D"/>
    <w:rsid w:val="15C4C3E0"/>
    <w:rsid w:val="15D76F42"/>
    <w:rsid w:val="15F604BF"/>
    <w:rsid w:val="16353C9A"/>
    <w:rsid w:val="1645C81D"/>
    <w:rsid w:val="164CBC7E"/>
    <w:rsid w:val="164D49F1"/>
    <w:rsid w:val="16686AFA"/>
    <w:rsid w:val="1687CA74"/>
    <w:rsid w:val="168C016B"/>
    <w:rsid w:val="16A6C506"/>
    <w:rsid w:val="16EA6AEC"/>
    <w:rsid w:val="170A6281"/>
    <w:rsid w:val="177136AF"/>
    <w:rsid w:val="177972AB"/>
    <w:rsid w:val="177B3DE6"/>
    <w:rsid w:val="17F9EFDC"/>
    <w:rsid w:val="1840012F"/>
    <w:rsid w:val="188C17BA"/>
    <w:rsid w:val="1896FBEF"/>
    <w:rsid w:val="18CBF5B7"/>
    <w:rsid w:val="18D17519"/>
    <w:rsid w:val="1949C3E8"/>
    <w:rsid w:val="19512DD1"/>
    <w:rsid w:val="1965DE93"/>
    <w:rsid w:val="19808229"/>
    <w:rsid w:val="1987A745"/>
    <w:rsid w:val="199FE3F2"/>
    <w:rsid w:val="1A53A705"/>
    <w:rsid w:val="1AEF25DB"/>
    <w:rsid w:val="1B11B501"/>
    <w:rsid w:val="1B1F6DEF"/>
    <w:rsid w:val="1B2455A1"/>
    <w:rsid w:val="1B644B8F"/>
    <w:rsid w:val="1B71E762"/>
    <w:rsid w:val="1BA08B7F"/>
    <w:rsid w:val="1BD0FAB9"/>
    <w:rsid w:val="1BF11C6A"/>
    <w:rsid w:val="1C172170"/>
    <w:rsid w:val="1C4DBB37"/>
    <w:rsid w:val="1C51C6B0"/>
    <w:rsid w:val="1C6EDA63"/>
    <w:rsid w:val="1C778E4A"/>
    <w:rsid w:val="1CC60992"/>
    <w:rsid w:val="1CF07B64"/>
    <w:rsid w:val="1D673DEF"/>
    <w:rsid w:val="1D794571"/>
    <w:rsid w:val="1DDE0A99"/>
    <w:rsid w:val="1DDE6387"/>
    <w:rsid w:val="1DE5DC88"/>
    <w:rsid w:val="1DF09174"/>
    <w:rsid w:val="1DF94848"/>
    <w:rsid w:val="1E5CF5F8"/>
    <w:rsid w:val="1E615640"/>
    <w:rsid w:val="1E804772"/>
    <w:rsid w:val="1E9A3ECC"/>
    <w:rsid w:val="1EB5C237"/>
    <w:rsid w:val="1EBC6E73"/>
    <w:rsid w:val="1EC97952"/>
    <w:rsid w:val="1EED59F1"/>
    <w:rsid w:val="1F263DBF"/>
    <w:rsid w:val="1F347A2D"/>
    <w:rsid w:val="1F68C54C"/>
    <w:rsid w:val="1FD0C359"/>
    <w:rsid w:val="1FFDDE03"/>
    <w:rsid w:val="202A319F"/>
    <w:rsid w:val="203A0F84"/>
    <w:rsid w:val="207DB98A"/>
    <w:rsid w:val="20B58B42"/>
    <w:rsid w:val="20C4330A"/>
    <w:rsid w:val="20EE0D44"/>
    <w:rsid w:val="20FAAA63"/>
    <w:rsid w:val="2143BF78"/>
    <w:rsid w:val="21562B21"/>
    <w:rsid w:val="216D3EC3"/>
    <w:rsid w:val="2182C511"/>
    <w:rsid w:val="21B32037"/>
    <w:rsid w:val="22510234"/>
    <w:rsid w:val="22978263"/>
    <w:rsid w:val="22A40585"/>
    <w:rsid w:val="22AAA7E5"/>
    <w:rsid w:val="22B11BFE"/>
    <w:rsid w:val="22C5FA5E"/>
    <w:rsid w:val="22DD23C6"/>
    <w:rsid w:val="22DF8994"/>
    <w:rsid w:val="22E91FAA"/>
    <w:rsid w:val="23063F3F"/>
    <w:rsid w:val="2308CB40"/>
    <w:rsid w:val="231DBFA5"/>
    <w:rsid w:val="23374710"/>
    <w:rsid w:val="2414795C"/>
    <w:rsid w:val="2417FA81"/>
    <w:rsid w:val="24277831"/>
    <w:rsid w:val="24463A9F"/>
    <w:rsid w:val="24684830"/>
    <w:rsid w:val="2471D5F2"/>
    <w:rsid w:val="24BB8834"/>
    <w:rsid w:val="2572EC12"/>
    <w:rsid w:val="25A745EE"/>
    <w:rsid w:val="25BDCA68"/>
    <w:rsid w:val="25E18181"/>
    <w:rsid w:val="26096D8A"/>
    <w:rsid w:val="26101AD0"/>
    <w:rsid w:val="265883DF"/>
    <w:rsid w:val="268F4F00"/>
    <w:rsid w:val="269CDC38"/>
    <w:rsid w:val="26A5B182"/>
    <w:rsid w:val="26D66234"/>
    <w:rsid w:val="26FB2BB7"/>
    <w:rsid w:val="27064767"/>
    <w:rsid w:val="2728688D"/>
    <w:rsid w:val="27FB8B41"/>
    <w:rsid w:val="2805124B"/>
    <w:rsid w:val="2805EAEE"/>
    <w:rsid w:val="281DF330"/>
    <w:rsid w:val="2822C323"/>
    <w:rsid w:val="28389043"/>
    <w:rsid w:val="28534600"/>
    <w:rsid w:val="2880B291"/>
    <w:rsid w:val="28AEB175"/>
    <w:rsid w:val="2923DD44"/>
    <w:rsid w:val="29BE3B88"/>
    <w:rsid w:val="2A04283E"/>
    <w:rsid w:val="2A34858A"/>
    <w:rsid w:val="2A84BA8B"/>
    <w:rsid w:val="2AF57E90"/>
    <w:rsid w:val="2B1F2535"/>
    <w:rsid w:val="2B5E6F97"/>
    <w:rsid w:val="2B740D2E"/>
    <w:rsid w:val="2B775874"/>
    <w:rsid w:val="2B81F3BA"/>
    <w:rsid w:val="2B854048"/>
    <w:rsid w:val="2B860F30"/>
    <w:rsid w:val="2BA313DD"/>
    <w:rsid w:val="2BB10472"/>
    <w:rsid w:val="2BEA29AF"/>
    <w:rsid w:val="2BFE315A"/>
    <w:rsid w:val="2C33D86E"/>
    <w:rsid w:val="2C6476E0"/>
    <w:rsid w:val="2C827B0A"/>
    <w:rsid w:val="2CDFA1E1"/>
    <w:rsid w:val="2CE7E668"/>
    <w:rsid w:val="2CF5D25D"/>
    <w:rsid w:val="2CF99F90"/>
    <w:rsid w:val="2D046DF2"/>
    <w:rsid w:val="2D509338"/>
    <w:rsid w:val="2D725C34"/>
    <w:rsid w:val="2D83CF43"/>
    <w:rsid w:val="2DBA4A46"/>
    <w:rsid w:val="2E0E3C0C"/>
    <w:rsid w:val="2E6ED76A"/>
    <w:rsid w:val="2E82827E"/>
    <w:rsid w:val="2EA869C2"/>
    <w:rsid w:val="2EC998A8"/>
    <w:rsid w:val="2EE9CF63"/>
    <w:rsid w:val="2F2C9B4D"/>
    <w:rsid w:val="2F68D4E3"/>
    <w:rsid w:val="2FAE0190"/>
    <w:rsid w:val="2FE165F6"/>
    <w:rsid w:val="2FF387E1"/>
    <w:rsid w:val="2FFCD842"/>
    <w:rsid w:val="3029A734"/>
    <w:rsid w:val="302E6446"/>
    <w:rsid w:val="30691936"/>
    <w:rsid w:val="30841F0B"/>
    <w:rsid w:val="30D80E14"/>
    <w:rsid w:val="30F67F0B"/>
    <w:rsid w:val="3104E998"/>
    <w:rsid w:val="31317AB6"/>
    <w:rsid w:val="313EC744"/>
    <w:rsid w:val="3195FA35"/>
    <w:rsid w:val="31A16A25"/>
    <w:rsid w:val="31DB9193"/>
    <w:rsid w:val="31F72B8E"/>
    <w:rsid w:val="320BF2D8"/>
    <w:rsid w:val="322A9E6B"/>
    <w:rsid w:val="32BD5B9B"/>
    <w:rsid w:val="32C7D2DB"/>
    <w:rsid w:val="32F0760D"/>
    <w:rsid w:val="33510358"/>
    <w:rsid w:val="337A4092"/>
    <w:rsid w:val="33CD681A"/>
    <w:rsid w:val="33CDE0E0"/>
    <w:rsid w:val="33F7E15D"/>
    <w:rsid w:val="342DB2EE"/>
    <w:rsid w:val="34724033"/>
    <w:rsid w:val="34861AAF"/>
    <w:rsid w:val="34DAC241"/>
    <w:rsid w:val="34F0187E"/>
    <w:rsid w:val="352E379E"/>
    <w:rsid w:val="35350D4B"/>
    <w:rsid w:val="3553F844"/>
    <w:rsid w:val="3579A6EB"/>
    <w:rsid w:val="3581489D"/>
    <w:rsid w:val="35BD79B1"/>
    <w:rsid w:val="35CB7E7B"/>
    <w:rsid w:val="36664235"/>
    <w:rsid w:val="36850791"/>
    <w:rsid w:val="3685AD23"/>
    <w:rsid w:val="369F7FA8"/>
    <w:rsid w:val="36C5210A"/>
    <w:rsid w:val="36CB79A5"/>
    <w:rsid w:val="36D01AA0"/>
    <w:rsid w:val="3714EA6D"/>
    <w:rsid w:val="3727C624"/>
    <w:rsid w:val="3741CE49"/>
    <w:rsid w:val="379BECB1"/>
    <w:rsid w:val="3802167D"/>
    <w:rsid w:val="3881DA7D"/>
    <w:rsid w:val="38CB077F"/>
    <w:rsid w:val="390103FB"/>
    <w:rsid w:val="3913AC19"/>
    <w:rsid w:val="39275CD8"/>
    <w:rsid w:val="39752DEE"/>
    <w:rsid w:val="398809F7"/>
    <w:rsid w:val="39913F62"/>
    <w:rsid w:val="39931222"/>
    <w:rsid w:val="39A03715"/>
    <w:rsid w:val="39D0D7A5"/>
    <w:rsid w:val="39D29366"/>
    <w:rsid w:val="3B171B8E"/>
    <w:rsid w:val="3B312A77"/>
    <w:rsid w:val="3B35C48A"/>
    <w:rsid w:val="3B4603AA"/>
    <w:rsid w:val="3C5307E0"/>
    <w:rsid w:val="3C86893C"/>
    <w:rsid w:val="3CC0637C"/>
    <w:rsid w:val="3CFBBCFA"/>
    <w:rsid w:val="3D1C66FD"/>
    <w:rsid w:val="3D1F5818"/>
    <w:rsid w:val="3D2A5E8D"/>
    <w:rsid w:val="3D84FFA2"/>
    <w:rsid w:val="3DCBA1E1"/>
    <w:rsid w:val="3E36D0C2"/>
    <w:rsid w:val="3E52BF46"/>
    <w:rsid w:val="3E8738E2"/>
    <w:rsid w:val="3F37D2F1"/>
    <w:rsid w:val="3F8EC5FE"/>
    <w:rsid w:val="3FB83173"/>
    <w:rsid w:val="3FD97531"/>
    <w:rsid w:val="3FF579B0"/>
    <w:rsid w:val="40419BB5"/>
    <w:rsid w:val="404497DE"/>
    <w:rsid w:val="40498199"/>
    <w:rsid w:val="4054263A"/>
    <w:rsid w:val="4070CA93"/>
    <w:rsid w:val="4070E6FA"/>
    <w:rsid w:val="4081B6F0"/>
    <w:rsid w:val="412764C1"/>
    <w:rsid w:val="4130A91D"/>
    <w:rsid w:val="414B846F"/>
    <w:rsid w:val="418A0044"/>
    <w:rsid w:val="41AC532C"/>
    <w:rsid w:val="41BB7203"/>
    <w:rsid w:val="41D08AD0"/>
    <w:rsid w:val="4205ADFF"/>
    <w:rsid w:val="424214C0"/>
    <w:rsid w:val="4247BBDF"/>
    <w:rsid w:val="4264E12B"/>
    <w:rsid w:val="42A9EAF3"/>
    <w:rsid w:val="42B2BA0C"/>
    <w:rsid w:val="42E3BF0B"/>
    <w:rsid w:val="431502CA"/>
    <w:rsid w:val="43404D0A"/>
    <w:rsid w:val="437358D7"/>
    <w:rsid w:val="4379396A"/>
    <w:rsid w:val="4399E8F0"/>
    <w:rsid w:val="43F1D57F"/>
    <w:rsid w:val="44FBB873"/>
    <w:rsid w:val="45927003"/>
    <w:rsid w:val="45B313F0"/>
    <w:rsid w:val="45BFBEDF"/>
    <w:rsid w:val="45C51F52"/>
    <w:rsid w:val="460B20DD"/>
    <w:rsid w:val="46108FF1"/>
    <w:rsid w:val="461299CC"/>
    <w:rsid w:val="462ADC81"/>
    <w:rsid w:val="465AFB94"/>
    <w:rsid w:val="46664FC7"/>
    <w:rsid w:val="467399CF"/>
    <w:rsid w:val="46767D3F"/>
    <w:rsid w:val="46A565B5"/>
    <w:rsid w:val="46FB9A77"/>
    <w:rsid w:val="471BACB0"/>
    <w:rsid w:val="47B9F0CC"/>
    <w:rsid w:val="480E5D4F"/>
    <w:rsid w:val="482401B3"/>
    <w:rsid w:val="483F05F1"/>
    <w:rsid w:val="48619972"/>
    <w:rsid w:val="489A0A64"/>
    <w:rsid w:val="48D4B305"/>
    <w:rsid w:val="48E5A010"/>
    <w:rsid w:val="4911E731"/>
    <w:rsid w:val="4922C617"/>
    <w:rsid w:val="49733313"/>
    <w:rsid w:val="499272DF"/>
    <w:rsid w:val="49DA5C98"/>
    <w:rsid w:val="4A1CF369"/>
    <w:rsid w:val="4A1F4F45"/>
    <w:rsid w:val="4A3521B5"/>
    <w:rsid w:val="4B2AD621"/>
    <w:rsid w:val="4B5C776F"/>
    <w:rsid w:val="4B71ED85"/>
    <w:rsid w:val="4B8D9784"/>
    <w:rsid w:val="4BA409FC"/>
    <w:rsid w:val="4BDBF86F"/>
    <w:rsid w:val="4BF8B854"/>
    <w:rsid w:val="4C2F8C00"/>
    <w:rsid w:val="4C65D3C7"/>
    <w:rsid w:val="4C70BA37"/>
    <w:rsid w:val="4C7E8B7B"/>
    <w:rsid w:val="4C831237"/>
    <w:rsid w:val="4C92222B"/>
    <w:rsid w:val="4C95E45A"/>
    <w:rsid w:val="4CF50226"/>
    <w:rsid w:val="4D06786D"/>
    <w:rsid w:val="4D0E0AB5"/>
    <w:rsid w:val="4D597911"/>
    <w:rsid w:val="4DA8BA67"/>
    <w:rsid w:val="4E68343E"/>
    <w:rsid w:val="4E6D4237"/>
    <w:rsid w:val="4E785F9D"/>
    <w:rsid w:val="4E7EE547"/>
    <w:rsid w:val="4F12403F"/>
    <w:rsid w:val="4F4271C6"/>
    <w:rsid w:val="4F56B7B7"/>
    <w:rsid w:val="4FCD2E87"/>
    <w:rsid w:val="508B474C"/>
    <w:rsid w:val="5097E8C2"/>
    <w:rsid w:val="50B9808F"/>
    <w:rsid w:val="50BA6ED8"/>
    <w:rsid w:val="5174E25F"/>
    <w:rsid w:val="517A9D6D"/>
    <w:rsid w:val="5189A6B9"/>
    <w:rsid w:val="51995FE7"/>
    <w:rsid w:val="51A76336"/>
    <w:rsid w:val="51F1D3E2"/>
    <w:rsid w:val="52140CB1"/>
    <w:rsid w:val="52379844"/>
    <w:rsid w:val="5293A194"/>
    <w:rsid w:val="5298E057"/>
    <w:rsid w:val="52B38D71"/>
    <w:rsid w:val="52B6A879"/>
    <w:rsid w:val="52E7B7F9"/>
    <w:rsid w:val="5301A8CC"/>
    <w:rsid w:val="5326185B"/>
    <w:rsid w:val="5330B05E"/>
    <w:rsid w:val="53528566"/>
    <w:rsid w:val="53676436"/>
    <w:rsid w:val="53DF63D4"/>
    <w:rsid w:val="540B30F1"/>
    <w:rsid w:val="544C6E72"/>
    <w:rsid w:val="54C7C0DB"/>
    <w:rsid w:val="54CDEC6C"/>
    <w:rsid w:val="55120C0D"/>
    <w:rsid w:val="5512FEBD"/>
    <w:rsid w:val="551DF3A1"/>
    <w:rsid w:val="555E2536"/>
    <w:rsid w:val="557768AF"/>
    <w:rsid w:val="55AF63F3"/>
    <w:rsid w:val="55C2AEAA"/>
    <w:rsid w:val="55C892D4"/>
    <w:rsid w:val="55D022B7"/>
    <w:rsid w:val="561DABF4"/>
    <w:rsid w:val="56262895"/>
    <w:rsid w:val="56327822"/>
    <w:rsid w:val="56356B30"/>
    <w:rsid w:val="568632E7"/>
    <w:rsid w:val="568F177C"/>
    <w:rsid w:val="56E2E0AD"/>
    <w:rsid w:val="56F7EB1F"/>
    <w:rsid w:val="57528760"/>
    <w:rsid w:val="57A27126"/>
    <w:rsid w:val="57FA26E4"/>
    <w:rsid w:val="58517CF3"/>
    <w:rsid w:val="5863CC39"/>
    <w:rsid w:val="58D2478C"/>
    <w:rsid w:val="58DF6F9B"/>
    <w:rsid w:val="5914BA7C"/>
    <w:rsid w:val="5963630D"/>
    <w:rsid w:val="59B77B47"/>
    <w:rsid w:val="59D03A14"/>
    <w:rsid w:val="5A2576DF"/>
    <w:rsid w:val="5A39B9F7"/>
    <w:rsid w:val="5A3D45F2"/>
    <w:rsid w:val="5A6CB102"/>
    <w:rsid w:val="5A734F12"/>
    <w:rsid w:val="5A8B8C67"/>
    <w:rsid w:val="5ACFE688"/>
    <w:rsid w:val="5ADB77A5"/>
    <w:rsid w:val="5AF0E6B6"/>
    <w:rsid w:val="5B776840"/>
    <w:rsid w:val="5B907A1B"/>
    <w:rsid w:val="5B9C401F"/>
    <w:rsid w:val="5BC0E0E6"/>
    <w:rsid w:val="5BEAD592"/>
    <w:rsid w:val="5C525A91"/>
    <w:rsid w:val="5C9DBBE9"/>
    <w:rsid w:val="5CC69A0B"/>
    <w:rsid w:val="5CDA098C"/>
    <w:rsid w:val="5D34D4F8"/>
    <w:rsid w:val="5D3ABC34"/>
    <w:rsid w:val="5D736FC8"/>
    <w:rsid w:val="5D8A275D"/>
    <w:rsid w:val="5D9B5133"/>
    <w:rsid w:val="5DA4CACB"/>
    <w:rsid w:val="5E140CED"/>
    <w:rsid w:val="5E656BEA"/>
    <w:rsid w:val="5EAF3572"/>
    <w:rsid w:val="5EC8206B"/>
    <w:rsid w:val="5EEFC20A"/>
    <w:rsid w:val="5EF5B003"/>
    <w:rsid w:val="5F0F0B7F"/>
    <w:rsid w:val="5F135418"/>
    <w:rsid w:val="5F730260"/>
    <w:rsid w:val="5FE30812"/>
    <w:rsid w:val="5FF35983"/>
    <w:rsid w:val="6024C653"/>
    <w:rsid w:val="60AF3596"/>
    <w:rsid w:val="60B00824"/>
    <w:rsid w:val="60D371CD"/>
    <w:rsid w:val="6100D6CE"/>
    <w:rsid w:val="61614A6E"/>
    <w:rsid w:val="617B1B58"/>
    <w:rsid w:val="618FB575"/>
    <w:rsid w:val="61CCA3F1"/>
    <w:rsid w:val="62079E9F"/>
    <w:rsid w:val="6211B37A"/>
    <w:rsid w:val="62565B94"/>
    <w:rsid w:val="626F45C2"/>
    <w:rsid w:val="62888740"/>
    <w:rsid w:val="62B55BFF"/>
    <w:rsid w:val="6302944D"/>
    <w:rsid w:val="63202D21"/>
    <w:rsid w:val="633A099F"/>
    <w:rsid w:val="63683CC8"/>
    <w:rsid w:val="63AD34DA"/>
    <w:rsid w:val="6446DE66"/>
    <w:rsid w:val="644F5DE8"/>
    <w:rsid w:val="64A15B86"/>
    <w:rsid w:val="64A33218"/>
    <w:rsid w:val="64C5797F"/>
    <w:rsid w:val="64E7C9E5"/>
    <w:rsid w:val="65174A65"/>
    <w:rsid w:val="65210622"/>
    <w:rsid w:val="653291F6"/>
    <w:rsid w:val="655862EF"/>
    <w:rsid w:val="65A72AD5"/>
    <w:rsid w:val="65B10DC7"/>
    <w:rsid w:val="65C50297"/>
    <w:rsid w:val="65D22851"/>
    <w:rsid w:val="65E2D485"/>
    <w:rsid w:val="6600C6C2"/>
    <w:rsid w:val="665F4F05"/>
    <w:rsid w:val="66687623"/>
    <w:rsid w:val="6688D391"/>
    <w:rsid w:val="668BF79C"/>
    <w:rsid w:val="66A1B75C"/>
    <w:rsid w:val="66C6CDF9"/>
    <w:rsid w:val="66DCAD0E"/>
    <w:rsid w:val="6712E17C"/>
    <w:rsid w:val="6746E7D5"/>
    <w:rsid w:val="6784E317"/>
    <w:rsid w:val="679BA69E"/>
    <w:rsid w:val="67EECF25"/>
    <w:rsid w:val="67F32303"/>
    <w:rsid w:val="681A378F"/>
    <w:rsid w:val="68279844"/>
    <w:rsid w:val="68343D7E"/>
    <w:rsid w:val="68476273"/>
    <w:rsid w:val="68577F66"/>
    <w:rsid w:val="6917C192"/>
    <w:rsid w:val="6957F236"/>
    <w:rsid w:val="69ED5E51"/>
    <w:rsid w:val="6A51CC37"/>
    <w:rsid w:val="6A5A4C4A"/>
    <w:rsid w:val="6A9DF51C"/>
    <w:rsid w:val="6AA16C9B"/>
    <w:rsid w:val="6ADD6E12"/>
    <w:rsid w:val="6B5D5200"/>
    <w:rsid w:val="6B9A983E"/>
    <w:rsid w:val="6BACF94B"/>
    <w:rsid w:val="6BD8276F"/>
    <w:rsid w:val="6BDCCFDE"/>
    <w:rsid w:val="6C448D1E"/>
    <w:rsid w:val="6C9F11A8"/>
    <w:rsid w:val="6CC24A90"/>
    <w:rsid w:val="6CDEF268"/>
    <w:rsid w:val="6D06DE3C"/>
    <w:rsid w:val="6D1AC9D5"/>
    <w:rsid w:val="6D60DFF6"/>
    <w:rsid w:val="6D89C55F"/>
    <w:rsid w:val="6D9B065C"/>
    <w:rsid w:val="6DA824C6"/>
    <w:rsid w:val="6DDC3028"/>
    <w:rsid w:val="6DDFA89F"/>
    <w:rsid w:val="6E513086"/>
    <w:rsid w:val="6E7696C5"/>
    <w:rsid w:val="6F27E3A9"/>
    <w:rsid w:val="6F2AF4AB"/>
    <w:rsid w:val="6F44B081"/>
    <w:rsid w:val="6F52C86A"/>
    <w:rsid w:val="6F8693BD"/>
    <w:rsid w:val="6FAE820E"/>
    <w:rsid w:val="6FB6C6D6"/>
    <w:rsid w:val="701ACDEA"/>
    <w:rsid w:val="702E27B2"/>
    <w:rsid w:val="704FBFA9"/>
    <w:rsid w:val="707921FB"/>
    <w:rsid w:val="70C3AE7F"/>
    <w:rsid w:val="70D162F1"/>
    <w:rsid w:val="70D42507"/>
    <w:rsid w:val="7114228E"/>
    <w:rsid w:val="711FDA32"/>
    <w:rsid w:val="7128DC2B"/>
    <w:rsid w:val="7167255D"/>
    <w:rsid w:val="71795EF1"/>
    <w:rsid w:val="71EBCA09"/>
    <w:rsid w:val="7244421A"/>
    <w:rsid w:val="72C2F914"/>
    <w:rsid w:val="72C419A1"/>
    <w:rsid w:val="72E43035"/>
    <w:rsid w:val="72FFC1CD"/>
    <w:rsid w:val="7316E73E"/>
    <w:rsid w:val="731991B1"/>
    <w:rsid w:val="7341A7C4"/>
    <w:rsid w:val="73AF5AB6"/>
    <w:rsid w:val="73E78824"/>
    <w:rsid w:val="73F8B8AA"/>
    <w:rsid w:val="7407EBE1"/>
    <w:rsid w:val="74250A55"/>
    <w:rsid w:val="74807288"/>
    <w:rsid w:val="748236A4"/>
    <w:rsid w:val="748B1864"/>
    <w:rsid w:val="749F56CF"/>
    <w:rsid w:val="74C48508"/>
    <w:rsid w:val="74C98A00"/>
    <w:rsid w:val="74CD961E"/>
    <w:rsid w:val="74D98804"/>
    <w:rsid w:val="75243FE8"/>
    <w:rsid w:val="7524F24F"/>
    <w:rsid w:val="756A5B85"/>
    <w:rsid w:val="75BD9FF6"/>
    <w:rsid w:val="75C6E703"/>
    <w:rsid w:val="75D233AC"/>
    <w:rsid w:val="75FC35C7"/>
    <w:rsid w:val="77062BE6"/>
    <w:rsid w:val="775193A3"/>
    <w:rsid w:val="77A863C3"/>
    <w:rsid w:val="77DA5AC3"/>
    <w:rsid w:val="78351753"/>
    <w:rsid w:val="78582BBF"/>
    <w:rsid w:val="786241B8"/>
    <w:rsid w:val="788EDAE4"/>
    <w:rsid w:val="78A64CB9"/>
    <w:rsid w:val="78C7633A"/>
    <w:rsid w:val="78CC0B5B"/>
    <w:rsid w:val="78D30487"/>
    <w:rsid w:val="794A9511"/>
    <w:rsid w:val="795FC039"/>
    <w:rsid w:val="799802D9"/>
    <w:rsid w:val="79CB4F21"/>
    <w:rsid w:val="79D1350C"/>
    <w:rsid w:val="79E85EB8"/>
    <w:rsid w:val="7A051740"/>
    <w:rsid w:val="7A07F573"/>
    <w:rsid w:val="7A2363A8"/>
    <w:rsid w:val="7A66BA16"/>
    <w:rsid w:val="7A6AE82A"/>
    <w:rsid w:val="7A8327AE"/>
    <w:rsid w:val="7A87E15E"/>
    <w:rsid w:val="7AC53016"/>
    <w:rsid w:val="7B02A8CA"/>
    <w:rsid w:val="7BB57F04"/>
    <w:rsid w:val="7BE5E9E9"/>
    <w:rsid w:val="7C0B2C63"/>
    <w:rsid w:val="7C509B0A"/>
    <w:rsid w:val="7CEC9A87"/>
    <w:rsid w:val="7D535B25"/>
    <w:rsid w:val="7DB6F6EE"/>
    <w:rsid w:val="7DDFECA8"/>
    <w:rsid w:val="7E2D86B8"/>
    <w:rsid w:val="7E4DD954"/>
    <w:rsid w:val="7E519458"/>
    <w:rsid w:val="7E668C75"/>
    <w:rsid w:val="7EF213C6"/>
    <w:rsid w:val="7F2827A7"/>
    <w:rsid w:val="7F31AEE3"/>
    <w:rsid w:val="7F96D492"/>
    <w:rsid w:val="7F9DF3C6"/>
    <w:rsid w:val="7FA478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4C852304-C0BF-45AE-8311-C79F05E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uiPriority w:val="9"/>
    <w:semiHidden/>
    <w:unhideWhenUsed/>
    <w:qFormat/>
    <w:rsid w:val="007E2E3C"/>
    <w:pPr>
      <w:keepNext/>
      <w:keepLines/>
      <w:numPr>
        <w:ilvl w:val="4"/>
        <w:numId w:val="5"/>
      </w:numPr>
      <w:spacing w:before="200" w:after="0" w:line="276" w:lineRule="auto"/>
      <w:outlineLvl w:val="4"/>
    </w:pPr>
    <w:rPr>
      <w:rFonts w:asciiTheme="majorHAnsi" w:eastAsiaTheme="majorEastAsia" w:hAnsiTheme="majorHAnsi" w:cstheme="majorBidi"/>
      <w:color w:val="00007F" w:themeColor="accent1" w:themeShade="7F"/>
    </w:rPr>
  </w:style>
  <w:style w:type="paragraph" w:styleId="Heading6">
    <w:name w:val="heading 6"/>
    <w:basedOn w:val="Normal"/>
    <w:next w:val="Normal"/>
    <w:link w:val="Heading6Char"/>
    <w:uiPriority w:val="9"/>
    <w:semiHidden/>
    <w:unhideWhenUsed/>
    <w:qFormat/>
    <w:rsid w:val="007E2E3C"/>
    <w:pPr>
      <w:keepNext/>
      <w:keepLines/>
      <w:numPr>
        <w:ilvl w:val="5"/>
        <w:numId w:val="5"/>
      </w:numPr>
      <w:spacing w:before="200" w:after="0" w:line="276" w:lineRule="auto"/>
      <w:outlineLvl w:val="5"/>
    </w:pPr>
    <w:rPr>
      <w:rFonts w:asciiTheme="majorHAnsi" w:eastAsiaTheme="majorEastAsia" w:hAnsiTheme="majorHAnsi" w:cstheme="majorBidi"/>
      <w:i/>
      <w:iCs/>
      <w:color w:val="00007F" w:themeColor="accent1" w:themeShade="7F"/>
    </w:rPr>
  </w:style>
  <w:style w:type="paragraph" w:styleId="Heading7">
    <w:name w:val="heading 7"/>
    <w:basedOn w:val="Normal"/>
    <w:next w:val="Normal"/>
    <w:link w:val="Heading7Char"/>
    <w:uiPriority w:val="9"/>
    <w:semiHidden/>
    <w:unhideWhenUsed/>
    <w:qFormat/>
    <w:rsid w:val="007E2E3C"/>
    <w:pPr>
      <w:keepNext/>
      <w:keepLines/>
      <w:numPr>
        <w:ilvl w:val="6"/>
        <w:numId w:val="5"/>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2E3C"/>
    <w:pPr>
      <w:keepNext/>
      <w:keepLines/>
      <w:numPr>
        <w:ilvl w:val="7"/>
        <w:numId w:val="5"/>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2E3C"/>
    <w:pPr>
      <w:keepNext/>
      <w:keepLines/>
      <w:numPr>
        <w:ilvl w:val="8"/>
        <w:numId w:val="5"/>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aliases w:val="Primary Bullet List"/>
    <w:basedOn w:val="Normal"/>
    <w:link w:val="ListParagraphChar"/>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uiPriority w:val="99"/>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character" w:customStyle="1" w:styleId="Heading5Char">
    <w:name w:val="Heading 5 Char"/>
    <w:basedOn w:val="DefaultParagraphFont"/>
    <w:link w:val="Heading5"/>
    <w:uiPriority w:val="9"/>
    <w:semiHidden/>
    <w:rsid w:val="007E2E3C"/>
    <w:rPr>
      <w:rFonts w:asciiTheme="majorHAnsi" w:eastAsiaTheme="majorEastAsia" w:hAnsiTheme="majorHAnsi" w:cstheme="majorBidi"/>
      <w:color w:val="00007F" w:themeColor="accent1" w:themeShade="7F"/>
      <w:sz w:val="24"/>
    </w:rPr>
  </w:style>
  <w:style w:type="character" w:customStyle="1" w:styleId="Heading6Char">
    <w:name w:val="Heading 6 Char"/>
    <w:basedOn w:val="DefaultParagraphFont"/>
    <w:link w:val="Heading6"/>
    <w:uiPriority w:val="9"/>
    <w:semiHidden/>
    <w:rsid w:val="007E2E3C"/>
    <w:rPr>
      <w:rFonts w:asciiTheme="majorHAnsi" w:eastAsiaTheme="majorEastAsia" w:hAnsiTheme="majorHAnsi" w:cstheme="majorBidi"/>
      <w:i/>
      <w:iCs/>
      <w:color w:val="00007F" w:themeColor="accent1" w:themeShade="7F"/>
      <w:sz w:val="24"/>
    </w:rPr>
  </w:style>
  <w:style w:type="character" w:customStyle="1" w:styleId="Heading7Char">
    <w:name w:val="Heading 7 Char"/>
    <w:basedOn w:val="DefaultParagraphFont"/>
    <w:link w:val="Heading7"/>
    <w:uiPriority w:val="9"/>
    <w:semiHidden/>
    <w:rsid w:val="007E2E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E2E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2E3C"/>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7E2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E3C"/>
    <w:rPr>
      <w:rFonts w:ascii="Segoe UI" w:hAnsi="Segoe UI" w:cs="Segoe UI"/>
      <w:sz w:val="18"/>
      <w:szCs w:val="18"/>
    </w:rPr>
  </w:style>
  <w:style w:type="character" w:customStyle="1" w:styleId="EndnoteTextChar">
    <w:name w:val="Endnote Text Char"/>
    <w:basedOn w:val="DefaultParagraphFont"/>
    <w:link w:val="EndnoteText"/>
    <w:uiPriority w:val="99"/>
    <w:semiHidden/>
    <w:rsid w:val="007E2E3C"/>
    <w:rPr>
      <w:rFonts w:ascii="Arial" w:hAnsi="Arial"/>
      <w:sz w:val="20"/>
      <w:szCs w:val="20"/>
    </w:rPr>
  </w:style>
  <w:style w:type="paragraph" w:styleId="EndnoteText">
    <w:name w:val="endnote text"/>
    <w:basedOn w:val="Normal"/>
    <w:link w:val="EndnoteTextChar"/>
    <w:uiPriority w:val="99"/>
    <w:semiHidden/>
    <w:unhideWhenUsed/>
    <w:rsid w:val="007E2E3C"/>
    <w:pPr>
      <w:spacing w:after="0" w:line="240" w:lineRule="auto"/>
    </w:pPr>
    <w:rPr>
      <w:sz w:val="20"/>
      <w:szCs w:val="20"/>
    </w:rPr>
  </w:style>
  <w:style w:type="character" w:customStyle="1" w:styleId="EndnoteTextChar1">
    <w:name w:val="Endnote Text Char1"/>
    <w:basedOn w:val="DefaultParagraphFont"/>
    <w:uiPriority w:val="99"/>
    <w:semiHidden/>
    <w:rsid w:val="007E2E3C"/>
    <w:rPr>
      <w:rFonts w:ascii="Arial" w:hAnsi="Arial"/>
      <w:sz w:val="20"/>
      <w:szCs w:val="20"/>
    </w:rPr>
  </w:style>
  <w:style w:type="character" w:customStyle="1" w:styleId="HTMLPreformattedChar">
    <w:name w:val="HTML Preformatted Char"/>
    <w:basedOn w:val="DefaultParagraphFont"/>
    <w:link w:val="HTMLPreformatted"/>
    <w:uiPriority w:val="99"/>
    <w:semiHidden/>
    <w:rsid w:val="007E2E3C"/>
    <w:rPr>
      <w:rFonts w:ascii="Consolas" w:hAnsi="Consolas"/>
      <w:sz w:val="20"/>
      <w:szCs w:val="20"/>
    </w:rPr>
  </w:style>
  <w:style w:type="paragraph" w:styleId="HTMLPreformatted">
    <w:name w:val="HTML Preformatted"/>
    <w:basedOn w:val="Normal"/>
    <w:link w:val="HTMLPreformattedChar"/>
    <w:uiPriority w:val="99"/>
    <w:semiHidden/>
    <w:unhideWhenUsed/>
    <w:rsid w:val="007E2E3C"/>
    <w:pPr>
      <w:spacing w:after="0" w:line="240" w:lineRule="auto"/>
    </w:pPr>
    <w:rPr>
      <w:rFonts w:ascii="Consolas" w:hAnsi="Consolas"/>
      <w:sz w:val="20"/>
      <w:szCs w:val="20"/>
    </w:rPr>
  </w:style>
  <w:style w:type="character" w:customStyle="1" w:styleId="HTMLPreformattedChar1">
    <w:name w:val="HTML Preformatted Char1"/>
    <w:basedOn w:val="DefaultParagraphFont"/>
    <w:uiPriority w:val="99"/>
    <w:semiHidden/>
    <w:rsid w:val="007E2E3C"/>
    <w:rPr>
      <w:rFonts w:ascii="Consolas" w:hAnsi="Consolas"/>
      <w:sz w:val="20"/>
      <w:szCs w:val="20"/>
    </w:rPr>
  </w:style>
  <w:style w:type="paragraph" w:styleId="BodyText">
    <w:name w:val="Body Text"/>
    <w:basedOn w:val="Normal"/>
    <w:link w:val="BodyTextChar"/>
    <w:uiPriority w:val="99"/>
    <w:rsid w:val="007E2E3C"/>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uiPriority w:val="99"/>
    <w:rsid w:val="007E2E3C"/>
    <w:rPr>
      <w:rFonts w:ascii="Arial" w:eastAsia="Times New Roman" w:hAnsi="Arial" w:cs="Times New Roman"/>
      <w:sz w:val="24"/>
      <w:szCs w:val="20"/>
    </w:rPr>
  </w:style>
  <w:style w:type="paragraph" w:styleId="BodyTextFirstIndent">
    <w:name w:val="Body Text First Indent"/>
    <w:basedOn w:val="BodyText"/>
    <w:link w:val="BodyTextFirstIndentChar"/>
    <w:qFormat/>
    <w:rsid w:val="007E2E3C"/>
    <w:pPr>
      <w:ind w:firstLine="210"/>
    </w:pPr>
  </w:style>
  <w:style w:type="character" w:customStyle="1" w:styleId="BodyTextFirstIndentChar">
    <w:name w:val="Body Text First Indent Char"/>
    <w:basedOn w:val="BodyTextChar"/>
    <w:link w:val="BodyTextFirstIndent"/>
    <w:rsid w:val="007E2E3C"/>
    <w:rPr>
      <w:rFonts w:ascii="Arial" w:eastAsia="Times New Roman" w:hAnsi="Arial" w:cs="Times New Roman"/>
      <w:sz w:val="24"/>
      <w:szCs w:val="20"/>
    </w:rPr>
  </w:style>
  <w:style w:type="paragraph" w:styleId="Bibliography">
    <w:name w:val="Bibliography"/>
    <w:basedOn w:val="Normal"/>
    <w:next w:val="Normal"/>
    <w:uiPriority w:val="37"/>
    <w:unhideWhenUsed/>
    <w:rsid w:val="007E2E3C"/>
    <w:pPr>
      <w:spacing w:after="0" w:line="240" w:lineRule="auto"/>
      <w:ind w:left="720" w:hanging="720"/>
    </w:pPr>
  </w:style>
  <w:style w:type="paragraph" w:styleId="TOCHeading">
    <w:name w:val="TOC Heading"/>
    <w:basedOn w:val="Heading1"/>
    <w:next w:val="Normal"/>
    <w:uiPriority w:val="39"/>
    <w:unhideWhenUsed/>
    <w:qFormat/>
    <w:rsid w:val="007E2E3C"/>
    <w:pPr>
      <w:keepNext w:val="0"/>
      <w:keepLines w:val="0"/>
      <w:pBdr>
        <w:top w:val="none" w:sz="0" w:space="0" w:color="auto"/>
      </w:pBdr>
      <w:spacing w:after="0"/>
      <w:outlineLvl w:val="9"/>
    </w:pPr>
    <w:rPr>
      <w:rFonts w:asciiTheme="majorHAnsi" w:hAnsiTheme="majorHAnsi" w:cstheme="majorBidi"/>
      <w:b w:val="0"/>
      <w:bCs w:val="0"/>
      <w:caps/>
      <w:color w:val="0000BF" w:themeColor="accent1" w:themeShade="BF"/>
      <w:sz w:val="32"/>
    </w:rPr>
  </w:style>
  <w:style w:type="paragraph" w:styleId="TOC1">
    <w:name w:val="toc 1"/>
    <w:basedOn w:val="Normal"/>
    <w:next w:val="Normal"/>
    <w:autoRedefine/>
    <w:uiPriority w:val="39"/>
    <w:unhideWhenUsed/>
    <w:rsid w:val="007E2E3C"/>
    <w:pPr>
      <w:spacing w:after="100" w:line="276" w:lineRule="auto"/>
    </w:pPr>
  </w:style>
  <w:style w:type="paragraph" w:styleId="TOC2">
    <w:name w:val="toc 2"/>
    <w:basedOn w:val="Normal"/>
    <w:next w:val="Normal"/>
    <w:autoRedefine/>
    <w:uiPriority w:val="39"/>
    <w:unhideWhenUsed/>
    <w:rsid w:val="007E2E3C"/>
    <w:pPr>
      <w:spacing w:after="100" w:line="276" w:lineRule="auto"/>
      <w:ind w:left="240"/>
    </w:pPr>
  </w:style>
  <w:style w:type="paragraph" w:styleId="TOC3">
    <w:name w:val="toc 3"/>
    <w:basedOn w:val="Normal"/>
    <w:next w:val="Normal"/>
    <w:autoRedefine/>
    <w:uiPriority w:val="39"/>
    <w:unhideWhenUsed/>
    <w:rsid w:val="007E2E3C"/>
    <w:pPr>
      <w:spacing w:after="100" w:line="276" w:lineRule="auto"/>
      <w:ind w:left="480"/>
    </w:pPr>
  </w:style>
  <w:style w:type="paragraph" w:styleId="PlainText">
    <w:name w:val="Plain Text"/>
    <w:basedOn w:val="Normal"/>
    <w:link w:val="PlainTextChar"/>
    <w:uiPriority w:val="99"/>
    <w:unhideWhenUsed/>
    <w:rsid w:val="007E2E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E2E3C"/>
    <w:rPr>
      <w:rFonts w:ascii="Consolas" w:hAnsi="Consolas"/>
      <w:sz w:val="21"/>
      <w:szCs w:val="21"/>
    </w:rPr>
  </w:style>
  <w:style w:type="character" w:customStyle="1" w:styleId="apple-converted-space">
    <w:name w:val="apple-converted-space"/>
    <w:basedOn w:val="DefaultParagraphFont"/>
    <w:rsid w:val="007E2E3C"/>
  </w:style>
  <w:style w:type="paragraph" w:customStyle="1" w:styleId="a">
    <w:name w:val="آ"/>
    <w:basedOn w:val="Normal"/>
    <w:rsid w:val="007E2E3C"/>
    <w:pPr>
      <w:widowControl w:val="0"/>
      <w:spacing w:after="0" w:line="240" w:lineRule="auto"/>
    </w:pPr>
    <w:rPr>
      <w:rFonts w:ascii="Times New Roman" w:eastAsia="Times New Roman" w:hAnsi="Times New Roman" w:cs="Times New Roman"/>
      <w:szCs w:val="20"/>
    </w:rPr>
  </w:style>
  <w:style w:type="character" w:styleId="EndnoteReference">
    <w:name w:val="endnote reference"/>
    <w:basedOn w:val="DefaultParagraphFont"/>
    <w:uiPriority w:val="99"/>
    <w:semiHidden/>
    <w:unhideWhenUsed/>
    <w:rsid w:val="007E2E3C"/>
    <w:rPr>
      <w:vertAlign w:val="superscript"/>
    </w:rPr>
  </w:style>
  <w:style w:type="character" w:styleId="PageNumber">
    <w:name w:val="page number"/>
    <w:basedOn w:val="DefaultParagraphFont"/>
    <w:rsid w:val="007E2E3C"/>
  </w:style>
  <w:style w:type="character" w:customStyle="1" w:styleId="UnresolvedMention1">
    <w:name w:val="Unresolved Mention1"/>
    <w:basedOn w:val="DefaultParagraphFont"/>
    <w:uiPriority w:val="99"/>
    <w:semiHidden/>
    <w:unhideWhenUsed/>
    <w:rsid w:val="007E2E3C"/>
    <w:rPr>
      <w:color w:val="808080"/>
      <w:shd w:val="clear" w:color="auto" w:fill="E6E6E6"/>
    </w:rPr>
  </w:style>
  <w:style w:type="character" w:customStyle="1" w:styleId="text">
    <w:name w:val="text"/>
    <w:basedOn w:val="DefaultParagraphFont"/>
    <w:rsid w:val="007E2E3C"/>
  </w:style>
  <w:style w:type="character" w:customStyle="1" w:styleId="normaltextrun">
    <w:name w:val="normaltextrun"/>
    <w:basedOn w:val="DefaultParagraphFont"/>
    <w:rsid w:val="007E2E3C"/>
  </w:style>
  <w:style w:type="character" w:styleId="SubtleEmphasis">
    <w:name w:val="Subtle Emphasis"/>
    <w:basedOn w:val="DefaultParagraphFont"/>
    <w:uiPriority w:val="19"/>
    <w:qFormat/>
    <w:rsid w:val="00962957"/>
    <w:rPr>
      <w:i/>
      <w:iCs/>
      <w:color w:val="404040" w:themeColor="text1" w:themeTint="BF"/>
    </w:rPr>
  </w:style>
  <w:style w:type="paragraph" w:styleId="BodyTextIndent2">
    <w:name w:val="Body Text Indent 2"/>
    <w:basedOn w:val="Normal"/>
    <w:link w:val="BodyTextIndent2Char"/>
    <w:uiPriority w:val="99"/>
    <w:semiHidden/>
    <w:unhideWhenUsed/>
    <w:rsid w:val="002E276E"/>
    <w:pPr>
      <w:spacing w:after="120" w:line="480" w:lineRule="auto"/>
      <w:ind w:left="360"/>
    </w:pPr>
  </w:style>
  <w:style w:type="character" w:customStyle="1" w:styleId="BodyTextIndent2Char">
    <w:name w:val="Body Text Indent 2 Char"/>
    <w:basedOn w:val="DefaultParagraphFont"/>
    <w:link w:val="BodyTextIndent2"/>
    <w:uiPriority w:val="99"/>
    <w:semiHidden/>
    <w:rsid w:val="002E276E"/>
    <w:rPr>
      <w:rFonts w:ascii="Arial" w:hAnsi="Arial"/>
      <w:sz w:val="24"/>
    </w:rPr>
  </w:style>
  <w:style w:type="character" w:customStyle="1" w:styleId="ListParagraphChar">
    <w:name w:val="List Paragraph Char"/>
    <w:aliases w:val="Primary Bullet List Char"/>
    <w:link w:val="ListParagraph"/>
    <w:uiPriority w:val="34"/>
    <w:locked/>
    <w:rsid w:val="0067756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ecd.org/en/topics/sub-issues/assessment-of-chemicals/harmonised-templates.html" TargetMode="External" /><Relationship Id="rId11" Type="http://schemas.openxmlformats.org/officeDocument/2006/relationships/hyperlink" Target="http://csrc.nist.gov/publications/PubsFIPS.html" TargetMode="External" /><Relationship Id="rId12" Type="http://schemas.openxmlformats.org/officeDocument/2006/relationships/hyperlink" Target="http://www.cdx.epa.gov"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hyperlink" Target="https://www.opm.gov/policy-data-oversight/pay-leave/salaries-wages/salary-tables/21Tables/html/DCB_h.aspx" TargetMode="External" /><Relationship Id="rId21" Type="http://schemas.openxmlformats.org/officeDocument/2006/relationships/hyperlink" Target="https://www.cbo.gov/sites/default/files/112th-congress-2011-2012/workingpaper/2012-04fedbenefitswp0.pdf" TargetMode="External" /><Relationship Id="rId22" Type="http://schemas.openxmlformats.org/officeDocument/2006/relationships/hyperlink" Target="https://uscode.house.gov/view.xhtml?req=granuleid:USC-1999-title15-section2603&amp;num=0&amp;edition=1999" TargetMode="External" /><Relationship Id="rId23" Type="http://schemas.openxmlformats.org/officeDocument/2006/relationships/hyperlink" Target="https://www.govinfo.gov/content/pkg/USCODE-2012-title15/pdf/USCODE-2012-title15-chap53-subchapI-sec2607.pdf" TargetMode="External" /><Relationship Id="rId24" Type="http://schemas.openxmlformats.org/officeDocument/2006/relationships/hyperlink" Target="https://www.govinfo.gov/content/pkg/USCODE-2016-title15/pdf/USCODE-2016-title15-chap53-subchapI-sec2625.pdf" TargetMode="External" /><Relationship Id="rId25" Type="http://schemas.openxmlformats.org/officeDocument/2006/relationships/hyperlink" Target="https://www.ecfr.gov/current/title-40/chapter-I/subchapter-R/part-712?toc=1" TargetMode="External" /><Relationship Id="rId26" Type="http://schemas.openxmlformats.org/officeDocument/2006/relationships/hyperlink" Target="https://www.ecfr.gov/current/title-40/chapter-I/subchapter-R/part-766" TargetMode="External" /><Relationship Id="rId27" Type="http://schemas.openxmlformats.org/officeDocument/2006/relationships/hyperlink" Target="https://www.ecfr.gov/current/title-40/chapter-I/subchapter-R/part-703" TargetMode="External" /><Relationship Id="rId28" Type="http://schemas.openxmlformats.org/officeDocument/2006/relationships/hyperlink" Target="https://www.ecfr.gov/current/title-40/chapter-I/subchapter-R/part-704" TargetMode="External" /><Relationship Id="rId29" Type="http://schemas.openxmlformats.org/officeDocument/2006/relationships/hyperlink" Target="https://www.ecfr.gov/current/title-40/chapter-I/subchapter-R/part-717" TargetMode="External" /><Relationship Id="rId3" Type="http://schemas.openxmlformats.org/officeDocument/2006/relationships/webSettings" Target="webSettings.xml" /><Relationship Id="rId30" Type="http://schemas.openxmlformats.org/officeDocument/2006/relationships/hyperlink" Target="https://www.ecfr.gov/current/title-40/chapter-I/subchapter-R/part-792" TargetMode="External" /><Relationship Id="rId31" Type="http://schemas.openxmlformats.org/officeDocument/2006/relationships/hyperlink" Target="https://www.bls.gov/oes/current/oes_nat.htm" TargetMode="External" /><Relationship Id="rId32" Type="http://schemas.openxmlformats.org/officeDocument/2006/relationships/hyperlink" Target="https://www.opm.gov/policy-data-oversight/pay-leave/salaries-wages/salary-tables/23Tables/html/DCB_h.aspx" TargetMode="External" /><Relationship Id="rId33" Type="http://schemas.openxmlformats.org/officeDocument/2006/relationships/header" Target="header5.xml" /><Relationship Id="rId34" Type="http://schemas.openxmlformats.org/officeDocument/2006/relationships/footer" Target="footer4.xml" /><Relationship Id="rId35" Type="http://schemas.openxmlformats.org/officeDocument/2006/relationships/glossaryDocument" Target="glossary/document.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156082"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
      <w:docPartPr>
        <w:name w:val="93FD96F6FE724C55ADD3C6261EE73E41"/>
        <w:category>
          <w:name w:val="General"/>
          <w:gallery w:val="placeholder"/>
        </w:category>
        <w:types>
          <w:type w:val="bbPlcHdr"/>
        </w:types>
        <w:behaviors>
          <w:behavior w:val="content"/>
        </w:behaviors>
        <w:guid w:val="{484C8D80-1C4F-4760-8868-84938E15FDB1}"/>
      </w:docPartPr>
      <w:docPartBody>
        <w:p w:rsidR="0022397C" w:rsidP="0022397C">
          <w:pPr>
            <w:pStyle w:val="93FD96F6FE724C55ADD3C6261EE73E41"/>
          </w:pPr>
          <w:r w:rsidRPr="001F2DF7">
            <w:rPr>
              <w:color w:val="156082"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B454B"/>
    <w:rsid w:val="000F7192"/>
    <w:rsid w:val="001862B2"/>
    <w:rsid w:val="00187A8E"/>
    <w:rsid w:val="001B17DA"/>
    <w:rsid w:val="001C28C1"/>
    <w:rsid w:val="001F1543"/>
    <w:rsid w:val="001F1ACD"/>
    <w:rsid w:val="001F4813"/>
    <w:rsid w:val="001F6197"/>
    <w:rsid w:val="0021208D"/>
    <w:rsid w:val="0021512F"/>
    <w:rsid w:val="0022397C"/>
    <w:rsid w:val="00244C4F"/>
    <w:rsid w:val="00251F28"/>
    <w:rsid w:val="0026446D"/>
    <w:rsid w:val="00270929"/>
    <w:rsid w:val="00276204"/>
    <w:rsid w:val="002839EF"/>
    <w:rsid w:val="00285D6D"/>
    <w:rsid w:val="002B6CBF"/>
    <w:rsid w:val="002F4088"/>
    <w:rsid w:val="003633FE"/>
    <w:rsid w:val="00390D9E"/>
    <w:rsid w:val="003D4B8A"/>
    <w:rsid w:val="003F02A0"/>
    <w:rsid w:val="00400601"/>
    <w:rsid w:val="00404E87"/>
    <w:rsid w:val="004266EB"/>
    <w:rsid w:val="0045729C"/>
    <w:rsid w:val="004A3711"/>
    <w:rsid w:val="004A708C"/>
    <w:rsid w:val="005126C2"/>
    <w:rsid w:val="00555B26"/>
    <w:rsid w:val="00570E09"/>
    <w:rsid w:val="00584BF9"/>
    <w:rsid w:val="005A6669"/>
    <w:rsid w:val="00613013"/>
    <w:rsid w:val="00633564"/>
    <w:rsid w:val="00650022"/>
    <w:rsid w:val="00677753"/>
    <w:rsid w:val="006B67E1"/>
    <w:rsid w:val="006B6F25"/>
    <w:rsid w:val="006C396D"/>
    <w:rsid w:val="006C5019"/>
    <w:rsid w:val="006D5D4F"/>
    <w:rsid w:val="007000D3"/>
    <w:rsid w:val="00717C76"/>
    <w:rsid w:val="00737700"/>
    <w:rsid w:val="007417DD"/>
    <w:rsid w:val="00791C9E"/>
    <w:rsid w:val="007D0038"/>
    <w:rsid w:val="007E4258"/>
    <w:rsid w:val="007F0600"/>
    <w:rsid w:val="00800270"/>
    <w:rsid w:val="00801AC6"/>
    <w:rsid w:val="00820A42"/>
    <w:rsid w:val="00821842"/>
    <w:rsid w:val="00853174"/>
    <w:rsid w:val="0089394B"/>
    <w:rsid w:val="008A14F4"/>
    <w:rsid w:val="008C1723"/>
    <w:rsid w:val="008E13F2"/>
    <w:rsid w:val="008F5B49"/>
    <w:rsid w:val="00906580"/>
    <w:rsid w:val="00992FD6"/>
    <w:rsid w:val="009C0941"/>
    <w:rsid w:val="009E1D13"/>
    <w:rsid w:val="009E5416"/>
    <w:rsid w:val="009E64B6"/>
    <w:rsid w:val="009E7AA2"/>
    <w:rsid w:val="009F3C4F"/>
    <w:rsid w:val="00A016B8"/>
    <w:rsid w:val="00A10498"/>
    <w:rsid w:val="00A15BE2"/>
    <w:rsid w:val="00A55B90"/>
    <w:rsid w:val="00A814CF"/>
    <w:rsid w:val="00AB6D36"/>
    <w:rsid w:val="00AE2B92"/>
    <w:rsid w:val="00AF52E4"/>
    <w:rsid w:val="00B22EC4"/>
    <w:rsid w:val="00B4332E"/>
    <w:rsid w:val="00BB2BC8"/>
    <w:rsid w:val="00BC5E24"/>
    <w:rsid w:val="00BE5C6F"/>
    <w:rsid w:val="00BF77E1"/>
    <w:rsid w:val="00C04744"/>
    <w:rsid w:val="00C10121"/>
    <w:rsid w:val="00C26AE5"/>
    <w:rsid w:val="00C32A7D"/>
    <w:rsid w:val="00C47B64"/>
    <w:rsid w:val="00C57609"/>
    <w:rsid w:val="00C823EF"/>
    <w:rsid w:val="00C9229E"/>
    <w:rsid w:val="00D23EBF"/>
    <w:rsid w:val="00D37700"/>
    <w:rsid w:val="00D50D8A"/>
    <w:rsid w:val="00E0096D"/>
    <w:rsid w:val="00E21AE1"/>
    <w:rsid w:val="00E262B1"/>
    <w:rsid w:val="00E758B6"/>
    <w:rsid w:val="00E8220A"/>
    <w:rsid w:val="00E909C9"/>
    <w:rsid w:val="00E95002"/>
    <w:rsid w:val="00EA23AD"/>
    <w:rsid w:val="00F13E2B"/>
    <w:rsid w:val="00F23E5F"/>
    <w:rsid w:val="00F55379"/>
    <w:rsid w:val="00F6426F"/>
    <w:rsid w:val="00FC1E9C"/>
    <w:rsid w:val="00FF5B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 w:type="paragraph" w:customStyle="1" w:styleId="93FD96F6FE724C55ADD3C6261EE73E41">
    <w:name w:val="93FD96F6FE724C55ADD3C6261EE73E41"/>
    <w:rsid w:val="0022397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5322</FRN_x0020_List_x0020_Item_x0020_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BA9-8F2A-4A70-B4D3-BA0B43B88B65}">
  <ds:schemaRefs>
    <ds:schemaRef ds:uri="Microsoft.SharePoint.Taxonomy.ContentTypeSync"/>
  </ds:schemaRefs>
</ds:datastoreItem>
</file>

<file path=customXml/itemProps2.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3.xml><?xml version="1.0" encoding="utf-8"?>
<ds:datastoreItem xmlns:ds="http://schemas.openxmlformats.org/officeDocument/2006/customXml" ds:itemID="{8AEA36E3-2A8D-479A-9FD3-0A26FECA8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C76EA-381F-485B-AAEB-CECCAE595265}">
  <ds:schemaRefs>
    <ds:schemaRef ds:uri="http://purl.org/dc/elements/1.1/"/>
    <ds:schemaRef ds:uri="a5d1ca4e-0a3f-4119-b619-e20b93ebd1aa"/>
    <ds:schemaRef ds:uri="http://purl.org/dc/dcmitype/"/>
    <ds:schemaRef ds:uri="http://schemas.microsoft.com/sharepoint.v3"/>
    <ds:schemaRef ds:uri="4ffa91fb-a0ff-4ac5-b2db-65c790d184a4"/>
    <ds:schemaRef ds:uri="http://schemas.microsoft.com/office/2006/documentManagement/types"/>
    <ds:schemaRef ds:uri="http://purl.org/dc/terms/"/>
    <ds:schemaRef ds:uri="http://schemas.microsoft.com/office/infopath/2007/PartnerControls"/>
    <ds:schemaRef ds:uri="http://schemas.microsoft.com/sharepoint/v3"/>
    <ds:schemaRef ds:uri="http://schemas.openxmlformats.org/package/2006/metadata/core-properties"/>
    <ds:schemaRef ds:uri="118f882f-1e32-4cf2-ad69-9de43d57f4c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62</Pages>
  <Words>21652</Words>
  <Characters>123422</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2</cp:revision>
  <dcterms:created xsi:type="dcterms:W3CDTF">2025-11-28T20:30:00Z</dcterms:created>
  <dcterms:modified xsi:type="dcterms:W3CDTF">2025-11-28T20:30:00Z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