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071B69" w:rsidP="11AB4B38" w14:paraId="46692DEB" w14:textId="18E8CE09">
      <w:pPr>
        <w:spacing w:after="0"/>
        <w:jc w:val="center"/>
        <w:rPr>
          <w:rFonts w:cstheme="minorHAnsi"/>
          <w:sz w:val="32"/>
          <w:szCs w:val="32"/>
        </w:rPr>
      </w:pPr>
      <w:bookmarkStart w:id="0" w:name="_Toc49148152"/>
      <w:r w:rsidRPr="00071B69">
        <w:rPr>
          <w:rFonts w:cstheme="minorHAnsi"/>
          <w:sz w:val="32"/>
          <w:szCs w:val="32"/>
        </w:rPr>
        <w:t>U.S. Environmental Protection Agency</w:t>
      </w:r>
    </w:p>
    <w:p w:rsidR="00DE4E0C" w:rsidRPr="00071B69" w:rsidP="11AB4B38" w14:paraId="1A3CA841" w14:textId="4B14E2EE">
      <w:pPr>
        <w:jc w:val="center"/>
        <w:rPr>
          <w:rFonts w:cstheme="minorHAnsi"/>
          <w:sz w:val="32"/>
          <w:szCs w:val="32"/>
        </w:rPr>
      </w:pPr>
      <w:r w:rsidRPr="00071B69">
        <w:rPr>
          <w:rFonts w:cstheme="minorHAnsi"/>
          <w:sz w:val="32"/>
          <w:szCs w:val="32"/>
        </w:rPr>
        <w:t>Information Collection Request</w:t>
      </w:r>
    </w:p>
    <w:p w:rsidR="00EA0D20" w:rsidRPr="00071B69" w:rsidP="00BB432F" w14:paraId="77D1C27C" w14:textId="77777777">
      <w:pPr>
        <w:rPr>
          <w:rFonts w:cstheme="minorHAnsi"/>
          <w:b/>
          <w:bCs/>
        </w:rPr>
      </w:pPr>
    </w:p>
    <w:p w:rsidR="00BB432F" w:rsidRPr="00071B69" w:rsidP="00B50602" w14:paraId="7B82FD92" w14:textId="0AB00971">
      <w:pPr>
        <w:pBdr>
          <w:top w:val="single" w:sz="6" w:space="0" w:color="FFFFFF"/>
          <w:left w:val="single" w:sz="6" w:space="0" w:color="FFFFFF"/>
          <w:bottom w:val="single" w:sz="6" w:space="0" w:color="FFFFFF"/>
          <w:right w:val="single" w:sz="6" w:space="0" w:color="FFFFFF"/>
        </w:pBdr>
        <w:outlineLvl w:val="1"/>
        <w:rPr>
          <w:rFonts w:cstheme="minorHAnsi"/>
        </w:rPr>
      </w:pPr>
      <w:r w:rsidRPr="00071B69">
        <w:rPr>
          <w:rFonts w:cstheme="minorHAnsi"/>
          <w:b/>
          <w:bCs/>
        </w:rPr>
        <w:t>Title:</w:t>
      </w:r>
      <w:r w:rsidRPr="00071B69" w:rsidR="001F34A5">
        <w:rPr>
          <w:rFonts w:cstheme="minorHAnsi"/>
        </w:rPr>
        <w:t xml:space="preserve"> </w:t>
      </w:r>
      <w:r w:rsidRPr="00071B69" w:rsidR="009866CA">
        <w:rPr>
          <w:rFonts w:cstheme="minorHAnsi"/>
        </w:rPr>
        <w:t>NESHAP for Taconite Iron Ore Processing (40 CFR Part 63, Subpart RRRRR) (2023 Proposed Rule)</w:t>
      </w:r>
    </w:p>
    <w:p w:rsidR="00EE2403" w:rsidRPr="00071B69" w:rsidP="00B50602" w14:paraId="71D5121E" w14:textId="019E2AE9">
      <w:pPr>
        <w:pBdr>
          <w:top w:val="single" w:sz="6" w:space="0" w:color="FFFFFF"/>
          <w:left w:val="single" w:sz="6" w:space="0" w:color="FFFFFF"/>
          <w:bottom w:val="single" w:sz="6" w:space="0" w:color="FFFFFF"/>
          <w:right w:val="single" w:sz="6" w:space="0" w:color="FFFFFF"/>
        </w:pBdr>
        <w:outlineLvl w:val="1"/>
        <w:rPr>
          <w:rFonts w:cstheme="minorHAnsi"/>
        </w:rPr>
      </w:pPr>
      <w:r w:rsidRPr="00071B69">
        <w:rPr>
          <w:rFonts w:cstheme="minorHAnsi"/>
          <w:b/>
          <w:bCs/>
        </w:rPr>
        <w:t>OMB Control Number:</w:t>
      </w:r>
      <w:r w:rsidRPr="00071B69" w:rsidR="00BB432F">
        <w:rPr>
          <w:rFonts w:cstheme="minorHAnsi"/>
        </w:rPr>
        <w:t xml:space="preserve"> </w:t>
      </w:r>
      <w:r w:rsidRPr="00071B69" w:rsidR="00977BBF">
        <w:rPr>
          <w:rFonts w:cstheme="minorHAnsi"/>
        </w:rPr>
        <w:t>2060-0538</w:t>
      </w:r>
    </w:p>
    <w:p w:rsidR="00EE2403" w:rsidRPr="00071B69" w:rsidP="00B50602" w14:paraId="4FB77BCA" w14:textId="15B8D6E1">
      <w:pPr>
        <w:pBdr>
          <w:top w:val="single" w:sz="6" w:space="0" w:color="FFFFFF"/>
          <w:left w:val="single" w:sz="6" w:space="0" w:color="FFFFFF"/>
          <w:bottom w:val="single" w:sz="6" w:space="0" w:color="FFFFFF"/>
          <w:right w:val="single" w:sz="6" w:space="0" w:color="FFFFFF"/>
        </w:pBdr>
        <w:outlineLvl w:val="1"/>
        <w:rPr>
          <w:rFonts w:cstheme="minorHAnsi"/>
        </w:rPr>
      </w:pPr>
      <w:r w:rsidRPr="00071B69">
        <w:rPr>
          <w:rFonts w:cstheme="minorHAnsi"/>
          <w:b/>
          <w:bCs/>
        </w:rPr>
        <w:t>EPA ICR Number:</w:t>
      </w:r>
      <w:r w:rsidRPr="00071B69" w:rsidR="00BB432F">
        <w:rPr>
          <w:rFonts w:cstheme="minorHAnsi"/>
        </w:rPr>
        <w:t xml:space="preserve"> </w:t>
      </w:r>
      <w:r w:rsidRPr="00071B69" w:rsidR="009866CA">
        <w:rPr>
          <w:rFonts w:cstheme="minorHAnsi"/>
        </w:rPr>
        <w:t>2050.1</w:t>
      </w:r>
      <w:r w:rsidR="00137D4F">
        <w:rPr>
          <w:rFonts w:cstheme="minorHAnsi"/>
        </w:rPr>
        <w:t>2</w:t>
      </w:r>
    </w:p>
    <w:p w:rsidR="009866CA" w:rsidRPr="00071B69" w:rsidP="00B50602" w14:paraId="4830D15B" w14:textId="77777777">
      <w:pPr>
        <w:pBdr>
          <w:top w:val="single" w:sz="6" w:space="0" w:color="FFFFFF"/>
          <w:left w:val="single" w:sz="6" w:space="0" w:color="FFFFFF"/>
          <w:bottom w:val="single" w:sz="6" w:space="0" w:color="FFFFFF"/>
          <w:right w:val="single" w:sz="6" w:space="0" w:color="FFFFFF"/>
        </w:pBdr>
        <w:outlineLvl w:val="1"/>
        <w:rPr>
          <w:rFonts w:cstheme="minorHAnsi"/>
        </w:rPr>
      </w:pPr>
      <w:r w:rsidRPr="00071B69">
        <w:rPr>
          <w:rFonts w:cstheme="minorHAnsi"/>
          <w:b/>
          <w:bCs/>
        </w:rPr>
        <w:t>Abstract:</w:t>
      </w:r>
      <w:r w:rsidRPr="00071B69" w:rsidR="00BB432F">
        <w:rPr>
          <w:rFonts w:cstheme="minorHAnsi"/>
        </w:rPr>
        <w:t xml:space="preserve"> </w:t>
      </w:r>
      <w:r w:rsidRPr="00071B69">
        <w:rPr>
          <w:rFonts w:cstheme="minorHAnsi"/>
        </w:rPr>
        <w:t xml:space="preserve">The National Emission Standards for Hazardous Air Pollutants (NESHAP) for Taconite Iron Ore Processing was proposed on December 18, 2002 and promulgated on October 30, 2003. The NESHAP is codified at 40 CFR Part 63, Subpart RRRRR. The regulations apply to existing facilities and new facilities that either emit or has the potential to emit any single hazardous air pollutant (HAP) at a rate of 9.07 megagrams (10 tons) or more per year or any combination of HAP at a rate of 22.68 megagrams (25 tons) or more per year from all emission sources at the plant site. Affected sources include each new or existing ore crushing and handling operation, ore dryer, indurating furnace, and finished pellet handling operation. The pollutants regulated include HAP metals, using particulate matter (PM) as a surrogate. New facilities include those that commenced construction or reconstruction after the date of the original proposal (December 18, 2002). The NESHAP was last amended in 2020 as part of the residual risk and technology review of the regulation (85 FR 45476, July 28, 2020). The Environmental Protection Agency (EPA) is proposing to add emission standards for mercury, hydrogen chloride and hydrogen fluoride for taconite iron ore indurating furnaces and to require additional notifications and reports to help ensure compliance with the proposed standards. This ICR summaries the estimated burden and costs for the proposed amendments. </w:t>
      </w:r>
    </w:p>
    <w:p w:rsidR="009866CA" w:rsidRPr="00071B69" w:rsidP="009866CA" w14:paraId="0C66D0BE" w14:textId="77777777">
      <w:pPr>
        <w:spacing w:before="240"/>
        <w:ind w:firstLine="720"/>
        <w:rPr>
          <w:rFonts w:cstheme="minorHAnsi"/>
        </w:rPr>
      </w:pPr>
      <w:r w:rsidRPr="00071B69">
        <w:rPr>
          <w:rFonts w:cstheme="minorHAnsi"/>
        </w:rPr>
        <w:t xml:space="preserve">In general, all NESHAP require initial notifications, performance tests, and periodic reports by the owners/operators of the affected facilities. Owners/operators are also required to maintain records of the occurrence and duration of any failures to meet applicable standards, or any period during which the monitoring system is inoperative. In addition to the notifications, a semiannual report is also required. These notifications, reports, and records are essential in determining compliance, and are required of all sources subject to NESHAP. </w:t>
      </w:r>
    </w:p>
    <w:p w:rsidR="009866CA" w:rsidRPr="00071B69" w:rsidP="009866CA" w14:paraId="6CC06B52" w14:textId="77777777">
      <w:pPr>
        <w:spacing w:before="240"/>
        <w:ind w:firstLine="720"/>
        <w:rPr>
          <w:rFonts w:cstheme="minorHAnsi"/>
        </w:rPr>
      </w:pPr>
      <w:r w:rsidRPr="00071B69">
        <w:rPr>
          <w:rFonts w:cstheme="minorHAnsi"/>
        </w:rPr>
        <w:t>Any owner or operator subject to the provisions of this part shall maintain a file of these measurements and retain the file for at least 5 years following the date of such measurements, maintenance reports, and records. All reports are sent to the delegated state or local authority. In the event there is no such delegated authority, the reports are sent directly to the United States EPA regional office.</w:t>
      </w:r>
    </w:p>
    <w:p w:rsidR="009866CA" w:rsidRPr="00071B69" w:rsidP="009866CA" w14:paraId="1D6042CC" w14:textId="77777777">
      <w:pPr>
        <w:spacing w:before="240"/>
        <w:ind w:firstLine="720"/>
        <w:rPr>
          <w:rFonts w:cstheme="minorHAnsi"/>
        </w:rPr>
      </w:pPr>
      <w:r w:rsidRPr="00071B69">
        <w:rPr>
          <w:rFonts w:cstheme="minorHAnsi"/>
        </w:rPr>
        <w:t xml:space="preserve">There are 7 major source facilities subject to the standard. These estimates are based on EPA research. One of these 7 plants has been idle for the past year; however, the plant owners have indicated the plant will recommence operations in 2023. One plant has not operated since 2016 and the plant is not expected to operate in the next 3 years. The EPA is aware of one new major source that began construction several years ago. However, construction was suspended due to legal questions </w:t>
      </w:r>
      <w:r w:rsidRPr="00071B69">
        <w:rPr>
          <w:rFonts w:cstheme="minorHAnsi"/>
        </w:rPr>
        <w:t>concerning mineral rights and availability of financing. We do not expect this facility or any other new taconite plants to be constructed and begin operating within the next 3 years.</w:t>
      </w:r>
    </w:p>
    <w:p w:rsidR="009866CA" w:rsidRPr="00071B69" w:rsidP="009866CA" w14:paraId="460827EC" w14:textId="77777777">
      <w:pPr>
        <w:spacing w:before="240"/>
        <w:ind w:firstLine="720"/>
        <w:rPr>
          <w:rFonts w:cstheme="minorHAnsi"/>
        </w:rPr>
      </w:pPr>
      <w:r w:rsidRPr="00071B69">
        <w:rPr>
          <w:rFonts w:cstheme="minorHAnsi"/>
        </w:rPr>
        <w:t>None of the Taconite Iron Ore Processing facilities in the United States are owned by state, local, or tribal governments or the Federal government. They are owned and operated by privately owned for-profit businesses.</w:t>
      </w:r>
    </w:p>
    <w:p w:rsidR="00DE4E0C" w:rsidRPr="00071B69" w:rsidP="00B50602" w14:paraId="12DA0580" w14:textId="3A9EBC77">
      <w:pPr>
        <w:pBdr>
          <w:top w:val="single" w:sz="6" w:space="0" w:color="FFFFFF"/>
          <w:left w:val="single" w:sz="6" w:space="0" w:color="FFFFFF"/>
          <w:bottom w:val="single" w:sz="6" w:space="0" w:color="FFFFFF"/>
          <w:right w:val="single" w:sz="6" w:space="0" w:color="FFFFFF"/>
        </w:pBdr>
        <w:outlineLvl w:val="1"/>
        <w:rPr>
          <w:rFonts w:cstheme="minorHAnsi"/>
          <w:b/>
          <w:bCs/>
          <w:u w:val="single"/>
        </w:rPr>
      </w:pPr>
      <w:r w:rsidRPr="00071B69">
        <w:rPr>
          <w:rFonts w:cstheme="minorHAnsi"/>
          <w:b/>
          <w:bCs/>
          <w:u w:val="single"/>
        </w:rPr>
        <w:t>Supporting Statement A</w:t>
      </w:r>
      <w:bookmarkEnd w:id="0"/>
    </w:p>
    <w:p w:rsidR="00D47CB3" w:rsidRPr="00071B69" w:rsidP="00B50602" w14:paraId="73FF37C3" w14:textId="77C3FA07">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1" w:name="_Toc156593368"/>
      <w:r w:rsidRPr="00071B69">
        <w:rPr>
          <w:rFonts w:cstheme="minorHAnsi"/>
          <w:b/>
          <w:bCs/>
        </w:rPr>
        <w:t>NEED AND AUTHORITY FOR THE COLLECTION</w:t>
      </w:r>
      <w:bookmarkEnd w:id="1"/>
    </w:p>
    <w:p w:rsidR="00A27E5C" w:rsidRPr="00071B69" w:rsidP="00854AAE" w14:paraId="0D31D853" w14:textId="354D5D40">
      <w:pPr>
        <w:pBdr>
          <w:bottom w:val="single" w:sz="4" w:space="1" w:color="auto"/>
        </w:pBdr>
        <w:spacing w:before="60"/>
        <w:rPr>
          <w:rFonts w:cstheme="minorHAnsi"/>
          <w:i/>
          <w:iCs/>
        </w:rPr>
      </w:pPr>
      <w:r w:rsidRPr="00071B69">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EA5450" w:rsidRPr="00071B69" w:rsidP="00EA5450" w14:paraId="4AB9742B" w14:textId="77777777">
      <w:pPr>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EA5450" w:rsidRPr="00071B69" w:rsidP="00EA5450" w14:paraId="6F6EDFF4" w14:textId="77777777">
      <w:pPr>
        <w:pBdr>
          <w:top w:val="single" w:sz="6" w:space="0" w:color="FFFFFF"/>
          <w:left w:val="single" w:sz="6" w:space="0" w:color="FFFFFF"/>
          <w:bottom w:val="single" w:sz="6" w:space="0" w:color="FFFFFF"/>
          <w:right w:val="single" w:sz="6" w:space="0" w:color="FFFFFF"/>
        </w:pBdr>
        <w:ind w:left="720" w:right="1170"/>
        <w:rPr>
          <w:rFonts w:cstheme="minorHAnsi"/>
        </w:rPr>
      </w:pPr>
      <w:r w:rsidRPr="00071B69">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071B69" w:rsidP="00EA5450" w14:paraId="61662F16" w14:textId="0D398585">
      <w:pPr>
        <w:keepNext/>
        <w:ind w:firstLine="720"/>
        <w:rPr>
          <w:rFonts w:cstheme="minorHAnsi"/>
        </w:rPr>
      </w:pPr>
      <w:r w:rsidRPr="00071B69">
        <w:rPr>
          <w:rFonts w:cstheme="minorHAnsi"/>
        </w:rPr>
        <w:t>In the Administrator's judgment, hazardous air pollutant emissions from taconite iron ore processing facilities either cause or contribute to air pollution that may reasonably be anticipated to endanger public health and/or welfare. Therefore, the NESHAP were promulgated for this source category at 40 CFR Part 63, Subpart RRRRR.</w:t>
      </w:r>
    </w:p>
    <w:p w:rsidR="00D47CB3" w:rsidRPr="00071B69" w:rsidP="00B50602" w14:paraId="24F38A28" w14:textId="345BCCC4">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2" w:name="_Toc156593369"/>
      <w:r w:rsidRPr="00071B69">
        <w:rPr>
          <w:rFonts w:cstheme="minorHAnsi"/>
          <w:b/>
          <w:bCs/>
        </w:rPr>
        <w:t>PRACTICAL UTILITY/USERS OF THE DATA</w:t>
      </w:r>
      <w:bookmarkEnd w:id="2"/>
    </w:p>
    <w:p w:rsidR="004252C1" w:rsidRPr="00071B69" w:rsidP="00854AAE" w14:paraId="3E2FC7F8" w14:textId="1DCB8D2C">
      <w:pPr>
        <w:pBdr>
          <w:bottom w:val="single" w:sz="4" w:space="1" w:color="auto"/>
        </w:pBdr>
        <w:spacing w:before="60"/>
        <w:rPr>
          <w:rFonts w:cstheme="minorHAnsi"/>
          <w:i/>
          <w:iCs/>
          <w:color w:val="000000"/>
          <w:shd w:val="clear" w:color="auto" w:fill="FFFFFF"/>
        </w:rPr>
      </w:pPr>
      <w:r w:rsidRPr="00071B69">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0317B" w:rsidRPr="00071B69" w:rsidP="00B0317B" w14:paraId="4FCD04D9" w14:textId="77777777">
      <w:pPr>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rPr>
        <w:t xml:space="preserve">The recordkeeping and reporting requirements in these standards ensure compliance with the applicable regulations which were promulgated in accordance with the Clean Air Act. The collected information is also used for targeting inspections and as evidence in legal proceedings. Performance tests are required to determine an affected facility’s initial capability to comply with these emission standards. Performance testing of indurating furnaces is required twice every five years. Performance testing of other emissions sources is required once every five years.  </w:t>
      </w:r>
    </w:p>
    <w:p w:rsidR="00B0317B" w:rsidRPr="00071B69" w:rsidP="00B0317B" w14:paraId="073FE196" w14:textId="77777777">
      <w:pPr>
        <w:pBdr>
          <w:top w:val="single" w:sz="6" w:space="0" w:color="FFFFFF"/>
          <w:left w:val="single" w:sz="6" w:space="0" w:color="FFFFFF"/>
          <w:bottom w:val="single" w:sz="6" w:space="0" w:color="FFFFFF"/>
          <w:right w:val="single" w:sz="6" w:space="0" w:color="FFFFFF"/>
        </w:pBdr>
        <w:rPr>
          <w:rFonts w:cstheme="minorHAnsi"/>
        </w:rPr>
      </w:pPr>
    </w:p>
    <w:p w:rsidR="00B0317B" w:rsidRPr="00071B69" w:rsidP="00B0317B" w14:paraId="38BDE86C" w14:textId="77777777">
      <w:pPr>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rPr>
        <w:t>The notifications required in these standards are used to inform either the Agency or its delegated authority when a source becomes subject to the requirements of the regulations. The reviewing authority may then inspect the source to check if the pollution control devices are properly installed and operated, leaks are being detected and repaired, and that these standards are being met. The performance test may also be observed.</w:t>
      </w:r>
    </w:p>
    <w:p w:rsidR="00BB432F" w:rsidRPr="00071B69" w:rsidP="00B0317B" w14:paraId="1E879A61" w14:textId="1B191150">
      <w:pPr>
        <w:pBdr>
          <w:top w:val="single" w:sz="6" w:space="0" w:color="FFFFFF"/>
          <w:left w:val="single" w:sz="6" w:space="0" w:color="FFFFFF"/>
          <w:bottom w:val="single" w:sz="6" w:space="0" w:color="FFFFFF"/>
          <w:right w:val="single" w:sz="6" w:space="0" w:color="FFFFFF"/>
        </w:pBdr>
        <w:ind w:firstLine="720"/>
        <w:rPr>
          <w:rFonts w:cstheme="minorHAnsi"/>
          <w:color w:val="FF0000"/>
        </w:rPr>
      </w:pPr>
      <w:r w:rsidRPr="00071B69">
        <w:rPr>
          <w:rFonts w:cstheme="minorHAnsi"/>
        </w:rPr>
        <w:t>The required semiannual reports are used to determine periods of excess emissions, identify problems at the facility, verify operation/maintenance procedures and for compliance determinations.</w:t>
      </w:r>
    </w:p>
    <w:p w:rsidR="00074917" w:rsidRPr="00071B69" w:rsidP="00B50602" w14:paraId="1522D565" w14:textId="553E3A2D">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3" w:name="_Toc156593370"/>
      <w:r w:rsidRPr="00071B69">
        <w:rPr>
          <w:rFonts w:cstheme="minorHAnsi"/>
          <w:b/>
          <w:bCs/>
        </w:rPr>
        <w:t>USE OF TECHNOLOGY</w:t>
      </w:r>
      <w:bookmarkEnd w:id="3"/>
    </w:p>
    <w:p w:rsidR="00D47CB3" w:rsidRPr="00071B69" w:rsidP="00854AAE" w14:paraId="50A4BA09" w14:textId="2FD9C2D1">
      <w:pPr>
        <w:pBdr>
          <w:bottom w:val="single" w:sz="4" w:space="1" w:color="auto"/>
        </w:pBdr>
        <w:spacing w:before="60"/>
        <w:rPr>
          <w:rFonts w:cstheme="minorHAnsi"/>
          <w:i/>
          <w:iCs/>
        </w:rPr>
      </w:pPr>
      <w:r w:rsidRPr="00071B69">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55098" w:rsidRPr="00071B69" w:rsidP="00D55098" w14:paraId="41B66880" w14:textId="77777777">
      <w:pPr>
        <w:keepNext/>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w:t>
      </w:r>
      <w:r w:rsidRPr="00071B69">
        <w:rPr>
          <w:rFonts w:cstheme="minorHAnsi"/>
          <w:color w:val="000000"/>
        </w:rPr>
        <w:t xml:space="preserve">Data and records maintained by the respondents are tabulated and published for use in compliance and enforcement programs. </w:t>
      </w:r>
      <w:r w:rsidRPr="00071B69">
        <w:rPr>
          <w:rFonts w:cstheme="minorHAnsi"/>
        </w:rPr>
        <w:t>The semiannual reports</w:t>
      </w:r>
      <w:r w:rsidRPr="00071B69">
        <w:rPr>
          <w:rFonts w:cstheme="minorHAnsi"/>
          <w:color w:val="FF0000"/>
        </w:rPr>
        <w:t xml:space="preserve"> </w:t>
      </w:r>
      <w:r w:rsidRPr="00071B69">
        <w:rPr>
          <w:rFonts w:cstheme="minorHAnsi"/>
        </w:rPr>
        <w:t>are used for problem identification, as a check on source operation and maintenance, and for compliance determinations.</w:t>
      </w:r>
    </w:p>
    <w:p w:rsidR="00D55098" w:rsidRPr="00071B69" w:rsidP="00D55098" w14:paraId="13289D0E" w14:textId="77777777">
      <w:pPr>
        <w:keepNext/>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D55098" w:rsidRPr="00071B69" w:rsidP="00D55098" w14:paraId="4C93BB9A"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 xml:space="preserve">The records required by this regulation must be retained by the owner/operator for </w:t>
      </w:r>
      <w:r w:rsidRPr="00071B69">
        <w:rPr>
          <w:rFonts w:cstheme="minorHAnsi"/>
        </w:rPr>
        <w:t>5 </w:t>
      </w:r>
      <w:r w:rsidRPr="00071B69">
        <w:rPr>
          <w:rFonts w:cstheme="minorHAnsi"/>
          <w:color w:val="000000"/>
        </w:rPr>
        <w:t>years.</w:t>
      </w:r>
    </w:p>
    <w:p w:rsidR="009F1E00" w:rsidRPr="00071B69" w:rsidP="004F55CE" w14:paraId="7B30150C" w14:textId="35071B9D">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bdr w:val="none" w:sz="0" w:space="0" w:color="auto" w:frame="1"/>
          <w:shd w:val="clear" w:color="auto" w:fill="FFFFFF"/>
        </w:rPr>
        <w:t xml:space="preserve"> </w:t>
      </w:r>
      <w:r w:rsidRPr="00071B69" w:rsidR="004F55CE">
        <w:rPr>
          <w:rFonts w:cstheme="minorHAnsi"/>
          <w:color w:val="000000"/>
        </w:rPr>
        <w:t xml:space="preserve">Currently, sources are using monitoring equipment that provides automated parameter data (e.g., continuous opacity or control device parameter monitoring). Although personnel at the facilities still need to evaluate the data, this type of monitoring equipment has significantly reduced the burden associated with monitoring and recordkeeping. Modern taconite iron ore processing facilities employ distributive controls on their manufacturing process and have integrated many of the compliance recordkeeping and reporting requirements into their systems. In addition, regulatory agencies are setting up electronic reporting systems to allow sources to report electronically, which is reducing the reporting burden. Facilities are required to </w:t>
      </w:r>
      <w:r w:rsidRPr="00071B69" w:rsidR="004F55CE">
        <w:rPr>
          <w:rFonts w:cstheme="minorHAnsi"/>
        </w:rPr>
        <w:t xml:space="preserve">use the EPA’s Electronic Reporting Tool (ERT) to </w:t>
      </w:r>
      <w:r w:rsidRPr="00071B69" w:rsidR="004F55CE">
        <w:rPr>
          <w:rFonts w:cstheme="minorHAnsi"/>
          <w:color w:val="000000"/>
        </w:rPr>
        <w:t xml:space="preserve">submit performance test reports </w:t>
      </w:r>
      <w:r w:rsidRPr="00071B69" w:rsidR="004F55CE">
        <w:rPr>
          <w:rFonts w:cstheme="minorHAnsi"/>
        </w:rPr>
        <w:t xml:space="preserve">for test methods supported by the ERT. Respondents are also required to submit notifications and semiannual reports through the EPA’s </w:t>
      </w:r>
      <w:bookmarkStart w:id="4" w:name="_Hlk4401151"/>
      <w:r w:rsidRPr="00071B69" w:rsidR="004F55CE">
        <w:rPr>
          <w:rFonts w:cstheme="minorHAnsi"/>
        </w:rPr>
        <w:t>Compliance and Emissions Data Reporting Interface (CEDRI)</w:t>
      </w:r>
      <w:bookmarkEnd w:id="4"/>
      <w:r w:rsidRPr="00071B69" w:rsidR="004F55CE">
        <w:rPr>
          <w:rFonts w:cstheme="minorHAnsi"/>
        </w:rPr>
        <w:t>.</w:t>
      </w:r>
    </w:p>
    <w:p w:rsidR="005263EC" w:rsidRPr="00071B69" w:rsidP="00B50602" w14:paraId="2CB3B868" w14:textId="58CBB947">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5" w:name="_Toc156593371"/>
      <w:r w:rsidRPr="00071B69">
        <w:rPr>
          <w:rFonts w:cstheme="minorHAnsi"/>
          <w:b/>
          <w:bCs/>
        </w:rPr>
        <w:t>EFFORTS TO IDENTIFY DUPLICATION</w:t>
      </w:r>
      <w:bookmarkEnd w:id="5"/>
    </w:p>
    <w:p w:rsidR="00D47CB3" w:rsidRPr="00071B69" w:rsidP="00854AAE" w14:paraId="15DFF081" w14:textId="57054C58">
      <w:pPr>
        <w:pBdr>
          <w:bottom w:val="single" w:sz="4" w:space="1" w:color="auto"/>
        </w:pBdr>
        <w:spacing w:before="60"/>
        <w:rPr>
          <w:rFonts w:cstheme="minorHAnsi"/>
          <w:i/>
          <w:iCs/>
        </w:rPr>
      </w:pPr>
      <w:r w:rsidRPr="00071B69">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F0712C" w:rsidRPr="00071B69" w:rsidP="00F0712C" w14:paraId="4FB1441E"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251151" w:rsidRPr="00071B69" w:rsidP="00B50602" w14:paraId="79D36B3F" w14:textId="440DD77F">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6" w:name="_Toc156593372"/>
      <w:r w:rsidRPr="00071B69">
        <w:rPr>
          <w:rFonts w:cstheme="minorHAnsi"/>
          <w:b/>
          <w:bCs/>
        </w:rPr>
        <w:t xml:space="preserve">MINIMIZING BURDEN ON SMALL </w:t>
      </w:r>
      <w:r w:rsidRPr="00071B69" w:rsidR="0F43C128">
        <w:rPr>
          <w:rFonts w:cstheme="minorHAnsi"/>
          <w:b/>
          <w:bCs/>
        </w:rPr>
        <w:t xml:space="preserve">BUSINESSES AND SMALL </w:t>
      </w:r>
      <w:r w:rsidRPr="00071B69">
        <w:rPr>
          <w:rFonts w:cstheme="minorHAnsi"/>
          <w:b/>
          <w:bCs/>
        </w:rPr>
        <w:t>ENTITIES</w:t>
      </w:r>
      <w:bookmarkEnd w:id="6"/>
    </w:p>
    <w:p w:rsidR="00D47CB3" w:rsidRPr="00071B69" w:rsidP="00854AAE" w14:paraId="3D612A53" w14:textId="12EBD254">
      <w:pPr>
        <w:pBdr>
          <w:bottom w:val="single" w:sz="4" w:space="1" w:color="auto"/>
        </w:pBdr>
        <w:spacing w:before="60"/>
        <w:rPr>
          <w:rFonts w:cstheme="minorHAnsi"/>
          <w:i/>
          <w:iCs/>
        </w:rPr>
      </w:pPr>
      <w:r w:rsidRPr="00071B69">
        <w:rPr>
          <w:rFonts w:cstheme="minorHAnsi"/>
          <w:i/>
          <w:iCs/>
          <w:color w:val="000000"/>
          <w:shd w:val="clear" w:color="auto" w:fill="FFFFFF"/>
        </w:rPr>
        <w:t>If the collection of information impacts small businesses or other small entities, describe any methods used to minimize burden.</w:t>
      </w:r>
    </w:p>
    <w:p w:rsidR="00ED57A4" w:rsidRPr="00071B69" w:rsidP="00F0712C" w14:paraId="518B46AB" w14:textId="0A7E6437">
      <w:pPr>
        <w:ind w:firstLine="720"/>
        <w:rPr>
          <w:rFonts w:cstheme="minorHAnsi"/>
        </w:rPr>
      </w:pPr>
      <w:r w:rsidRPr="00071B69">
        <w:rPr>
          <w:rFonts w:cstheme="minorHAnsi"/>
        </w:rPr>
        <w:t>All the respondents are large entities (i.e., large businesses). There are no small businesses operating Taconite Iron Ore Processing facilities.</w:t>
      </w:r>
    </w:p>
    <w:p w:rsidR="004252C1" w:rsidRPr="00071B69" w:rsidP="00B50602" w14:paraId="1FF5A778" w14:textId="02F91DFF">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7" w:name="_Toc156593373"/>
      <w:r w:rsidRPr="00071B69">
        <w:rPr>
          <w:rFonts w:cstheme="minorHAnsi"/>
          <w:b/>
          <w:bCs/>
        </w:rPr>
        <w:t>CONSEQUENCES</w:t>
      </w:r>
      <w:r w:rsidRPr="00071B69" w:rsidR="00061A77">
        <w:rPr>
          <w:rFonts w:cstheme="minorHAnsi"/>
          <w:b/>
          <w:bCs/>
        </w:rPr>
        <w:t xml:space="preserve"> OF LESS FREQUENT COLLECTION</w:t>
      </w:r>
      <w:bookmarkEnd w:id="7"/>
    </w:p>
    <w:p w:rsidR="00D47CB3" w:rsidRPr="00071B69" w:rsidP="00854AAE" w14:paraId="00E27992" w14:textId="51FE3814">
      <w:pPr>
        <w:pBdr>
          <w:bottom w:val="single" w:sz="4" w:space="1" w:color="auto"/>
        </w:pBdr>
        <w:tabs>
          <w:tab w:val="left" w:pos="921"/>
        </w:tabs>
        <w:spacing w:before="60"/>
        <w:rPr>
          <w:rFonts w:cstheme="minorHAnsi"/>
          <w:i/>
          <w:iCs/>
        </w:rPr>
      </w:pPr>
      <w:r w:rsidRPr="00071B69">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071B69" w:rsidP="00722E1B" w14:paraId="5934FB28" w14:textId="4F0E4E30">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 proposed new standards for mercury, hydrogen chloride and hydrogen fluoride is collected less frequently, the proper operation and maintenance of control equipment and the possibility of detecting violations would be less likely.</w:t>
      </w:r>
    </w:p>
    <w:p w:rsidR="00A233E0" w:rsidRPr="00071B69" w:rsidP="00B50602" w14:paraId="27596CC0" w14:textId="77777777">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8" w:name="_Toc156593374"/>
      <w:r w:rsidRPr="00071B69">
        <w:rPr>
          <w:rFonts w:cstheme="minorHAnsi"/>
          <w:b/>
          <w:bCs/>
        </w:rPr>
        <w:t>GENERAL GUIDELINES</w:t>
      </w:r>
      <w:bookmarkEnd w:id="8"/>
    </w:p>
    <w:p w:rsidR="00A233E0" w:rsidRPr="00071B69" w:rsidP="00854AAE" w14:paraId="7754F228" w14:textId="2EAFBFAF">
      <w:pPr>
        <w:pBdr>
          <w:bottom w:val="single" w:sz="4" w:space="1" w:color="auto"/>
        </w:pBdr>
        <w:spacing w:before="60"/>
        <w:rPr>
          <w:rFonts w:cstheme="minorHAnsi"/>
        </w:rPr>
      </w:pPr>
      <w:r w:rsidRPr="00071B69">
        <w:rPr>
          <w:rFonts w:cstheme="minorHAnsi"/>
          <w:i/>
          <w:iCs/>
        </w:rPr>
        <w:t>Explain any special circumstances that require the collection to be conducted in a manner inconsistent with OMB guidelines.</w:t>
      </w:r>
    </w:p>
    <w:p w:rsidR="00D27D53" w:rsidRPr="00071B69" w:rsidP="00D27D53" w14:paraId="2E1813CE" w14:textId="5D422111">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The proposed collection does not create special circumstances requiring justification under 5 CFR 1320.5.</w:t>
      </w:r>
    </w:p>
    <w:p w:rsidR="00111663" w:rsidRPr="00071B69" w:rsidP="00D27D53" w14:paraId="775EDF16" w14:textId="196F16BB">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rPr>
        <w:t>The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071B69" w:rsidP="00B50602" w14:paraId="02EE9B8D" w14:textId="77777777">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9" w:name="_Toc156593375"/>
      <w:r w:rsidRPr="00071B69">
        <w:rPr>
          <w:rFonts w:cstheme="minorHAnsi"/>
          <w:b/>
          <w:bCs/>
        </w:rPr>
        <w:t>PUBLIC COMMENT AND CONSULTATIONS</w:t>
      </w:r>
      <w:bookmarkStart w:id="10" w:name="_Toc156593376"/>
      <w:bookmarkEnd w:id="9"/>
    </w:p>
    <w:p w:rsidR="00DD2682" w:rsidRPr="00071B69" w:rsidP="00854AAE" w14:paraId="4922639E" w14:textId="016E742A">
      <w:pPr>
        <w:spacing w:before="120" w:after="0"/>
        <w:rPr>
          <w:rFonts w:cstheme="minorHAnsi"/>
          <w:b/>
          <w:bCs/>
        </w:rPr>
      </w:pPr>
      <w:r w:rsidRPr="00071B69">
        <w:rPr>
          <w:rFonts w:cstheme="minorHAnsi"/>
          <w:b/>
          <w:bCs/>
        </w:rPr>
        <w:t xml:space="preserve">8a. </w:t>
      </w:r>
      <w:r w:rsidRPr="00071B69" w:rsidR="00A82647">
        <w:rPr>
          <w:rFonts w:cstheme="minorHAnsi"/>
          <w:b/>
          <w:bCs/>
        </w:rPr>
        <w:t>Public Comment</w:t>
      </w:r>
      <w:bookmarkStart w:id="11" w:name="_Toc156593377"/>
      <w:bookmarkEnd w:id="10"/>
    </w:p>
    <w:p w:rsidR="00A233E0" w:rsidRPr="00071B69" w:rsidP="00854AAE" w14:paraId="4D2D25D5" w14:textId="77777777">
      <w:pPr>
        <w:spacing w:line="240" w:lineRule="auto"/>
        <w:rPr>
          <w:rFonts w:cstheme="minorHAnsi"/>
          <w:i/>
          <w:iCs/>
        </w:rPr>
      </w:pPr>
      <w:r w:rsidRPr="00071B69">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01B33" w:rsidRPr="00071B69" w:rsidP="00201B33" w14:paraId="1EBF3CA6" w14:textId="48472FCF">
      <w:pPr>
        <w:pBdr>
          <w:top w:val="single" w:sz="6" w:space="0" w:color="FFFFFF"/>
          <w:left w:val="single" w:sz="6" w:space="0" w:color="FFFFFF"/>
          <w:bottom w:val="single" w:sz="6" w:space="0" w:color="FFFFFF"/>
          <w:right w:val="single" w:sz="6" w:space="0" w:color="FFFFFF"/>
        </w:pBdr>
        <w:ind w:firstLine="720"/>
        <w:rPr>
          <w:rFonts w:cstheme="minorHAnsi"/>
          <w:color w:val="000000"/>
        </w:rPr>
      </w:pPr>
      <w:r>
        <w:rPr>
          <w:rFonts w:cstheme="minorHAnsi"/>
          <w:color w:val="000000"/>
        </w:rPr>
        <w:t>EPA is submitting this proposed rule for public consideration</w:t>
      </w:r>
      <w:r w:rsidR="008D0660">
        <w:rPr>
          <w:rFonts w:cstheme="minorHAnsi"/>
          <w:color w:val="000000"/>
        </w:rPr>
        <w:t xml:space="preserve"> on May 15, 2023 (88 FR 30917).</w:t>
      </w:r>
      <w:r>
        <w:rPr>
          <w:rFonts w:cstheme="minorHAnsi"/>
          <w:color w:val="000000"/>
        </w:rPr>
        <w:t xml:space="preserve"> Comments received during the proposed rule comment period will be considered as the Agency develops its final rule. </w:t>
      </w:r>
    </w:p>
    <w:p w:rsidR="00DB7775" w:rsidRPr="00071B69" w:rsidP="00854AAE" w14:paraId="71A9B3CC" w14:textId="77087A05">
      <w:pPr>
        <w:spacing w:before="120" w:after="0"/>
        <w:rPr>
          <w:rFonts w:cstheme="minorHAnsi"/>
          <w:b/>
          <w:bCs/>
        </w:rPr>
      </w:pPr>
      <w:r w:rsidRPr="00071B69">
        <w:rPr>
          <w:rFonts w:cstheme="minorHAnsi"/>
          <w:b/>
          <w:bCs/>
        </w:rPr>
        <w:t xml:space="preserve">8b. </w:t>
      </w:r>
      <w:r w:rsidRPr="00071B69" w:rsidR="0061689C">
        <w:rPr>
          <w:rFonts w:cstheme="minorHAnsi"/>
          <w:b/>
          <w:bCs/>
        </w:rPr>
        <w:t>C</w:t>
      </w:r>
      <w:bookmarkEnd w:id="11"/>
      <w:r w:rsidRPr="00071B69" w:rsidR="005D140B">
        <w:rPr>
          <w:rFonts w:cstheme="minorHAnsi"/>
          <w:b/>
          <w:bCs/>
        </w:rPr>
        <w:t>onsultations</w:t>
      </w:r>
    </w:p>
    <w:p w:rsidR="00A233E0" w:rsidRPr="00071B69" w:rsidP="00854AAE" w14:paraId="04F99483" w14:textId="77777777">
      <w:pPr>
        <w:rPr>
          <w:rFonts w:cstheme="minorHAnsi"/>
          <w:i/>
          <w:iCs/>
        </w:rPr>
      </w:pPr>
      <w:r w:rsidRPr="00071B69">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071B69" w:rsidP="00522D88" w14:paraId="5E198479" w14:textId="126E662B">
      <w:pPr>
        <w:ind w:firstLine="720"/>
        <w:rPr>
          <w:rFonts w:cstheme="minorHAnsi"/>
        </w:rPr>
      </w:pPr>
      <w:r w:rsidRPr="00071B69">
        <w:rPr>
          <w:rFonts w:cstheme="minorHAnsi"/>
        </w:rPr>
        <w:t xml:space="preserve">Stakeholder outreach occurred with tribal governments as well as with industry groups including American Iron and Steel Institute (AISI) and member companies of this organization. Further stakeholder and public input is expected through public comment following publication of the proposed amendments to 40 CFR part 64, subpart RRRRR in the </w:t>
      </w:r>
      <w:r w:rsidRPr="00071B69">
        <w:rPr>
          <w:rFonts w:cstheme="minorHAnsi"/>
          <w:i/>
        </w:rPr>
        <w:t>Federal Register</w:t>
      </w:r>
      <w:r w:rsidRPr="00071B69">
        <w:rPr>
          <w:rFonts w:cstheme="minorHAnsi"/>
        </w:rPr>
        <w:t xml:space="preserve"> and follow-up meetings with interested stakeholders.</w:t>
      </w:r>
    </w:p>
    <w:p w:rsidR="00A233E0" w:rsidRPr="00071B69" w:rsidP="00B50602" w14:paraId="191560B2" w14:textId="77777777">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12" w:name="_Toc156593378"/>
      <w:r w:rsidRPr="00071B69">
        <w:rPr>
          <w:rFonts w:cstheme="minorHAnsi"/>
          <w:b/>
          <w:bCs/>
        </w:rPr>
        <w:t>PAYMENTS OR GIFTS TO RESPONDENTS</w:t>
      </w:r>
      <w:bookmarkEnd w:id="12"/>
    </w:p>
    <w:p w:rsidR="00D47CB3" w:rsidRPr="00071B69" w:rsidP="00854AAE" w14:paraId="5B1B6C7F" w14:textId="1A951D95">
      <w:pPr>
        <w:pBdr>
          <w:bottom w:val="single" w:sz="4" w:space="1" w:color="auto"/>
        </w:pBdr>
        <w:spacing w:before="60"/>
        <w:rPr>
          <w:rFonts w:cstheme="minorHAnsi"/>
        </w:rPr>
      </w:pPr>
      <w:r w:rsidRPr="00071B69">
        <w:rPr>
          <w:rFonts w:cstheme="minorHAnsi"/>
          <w:i/>
          <w:iCs/>
        </w:rPr>
        <w:t>Explain any decisions to provide payments or gifts to respondents, other than remuneration of contractors or grantees.</w:t>
      </w:r>
    </w:p>
    <w:p w:rsidR="00ED57A4" w:rsidRPr="00071B69" w:rsidP="00854AAE" w14:paraId="0D75D3D3" w14:textId="62989F05">
      <w:pPr>
        <w:rPr>
          <w:rFonts w:cstheme="minorHAnsi"/>
        </w:rPr>
      </w:pPr>
      <w:r w:rsidRPr="00071B69">
        <w:rPr>
          <w:rFonts w:cstheme="minorHAnsi"/>
        </w:rPr>
        <w:t>The Agency does not intend to provide payments or gifts to respondents as part of this collection.</w:t>
      </w:r>
    </w:p>
    <w:p w:rsidR="4C04BBF2" w:rsidRPr="00071B69" w:rsidP="00B50602" w14:paraId="333FE36D" w14:textId="45DEA41F">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cstheme="minorHAnsi"/>
          <w:b/>
          <w:bCs/>
        </w:rPr>
        <w:t>ASSURANCE OF CONFIDENTIALITY</w:t>
      </w:r>
    </w:p>
    <w:p w:rsidR="00A233E0" w:rsidRPr="00071B69" w:rsidP="00854AAE" w14:paraId="429AF986" w14:textId="40745D8B">
      <w:pPr>
        <w:pBdr>
          <w:bottom w:val="single" w:sz="4" w:space="1" w:color="auto"/>
        </w:pBdr>
        <w:spacing w:before="60"/>
        <w:rPr>
          <w:rFonts w:cstheme="minorHAnsi"/>
        </w:rPr>
      </w:pPr>
      <w:r w:rsidRPr="00071B69">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071B69" w:rsidP="00E234ED" w14:paraId="3676EBC5" w14:textId="5A92E4CA">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071B69" w:rsidP="00B50602" w14:paraId="36FBAEFB" w14:textId="77777777">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13" w:name="_Toc156593380"/>
      <w:r w:rsidRPr="00071B69">
        <w:rPr>
          <w:rFonts w:cstheme="minorHAnsi"/>
          <w:b/>
          <w:bCs/>
        </w:rPr>
        <w:t>JUSTIFICATION FOR SENSITIVE QUESTIONS</w:t>
      </w:r>
      <w:bookmarkEnd w:id="13"/>
    </w:p>
    <w:p w:rsidR="00A233E0" w:rsidRPr="00071B69" w:rsidP="00854AAE" w14:paraId="6E3B78D8" w14:textId="5C334C1C">
      <w:pPr>
        <w:pBdr>
          <w:bottom w:val="single" w:sz="4" w:space="1" w:color="auto"/>
        </w:pBdr>
        <w:spacing w:before="60"/>
        <w:rPr>
          <w:rFonts w:cstheme="minorHAnsi"/>
        </w:rPr>
      </w:pPr>
      <w:r w:rsidRPr="00071B69">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071B69">
        <w:rPr>
          <w:rFonts w:cstheme="minorHAnsi"/>
          <w:i/>
          <w:iCs/>
        </w:rPr>
        <w:t>made of the information, the explanation to be given to persons from whom the information is requested, and any steps to be taken to obtain their consent.</w:t>
      </w:r>
    </w:p>
    <w:p w:rsidR="009F1E00" w:rsidRPr="00071B69" w:rsidP="00BE5679" w14:paraId="77467D05" w14:textId="1F5585B5">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None of the reporting or recordkeeping requirements or the proposed amendments contain sensitive questions.</w:t>
      </w:r>
    </w:p>
    <w:p w:rsidR="001172FE" w:rsidRPr="00071B69" w:rsidP="00B50602" w14:paraId="637A8E82" w14:textId="77777777">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14" w:name="_Toc156593381"/>
      <w:r w:rsidRPr="00071B69">
        <w:rPr>
          <w:rFonts w:cstheme="minorHAnsi"/>
          <w:b/>
          <w:bCs/>
        </w:rPr>
        <w:t>RESPONDENT BURDEN HOURS</w:t>
      </w:r>
      <w:r w:rsidRPr="00071B69" w:rsidR="00DB799B">
        <w:rPr>
          <w:rFonts w:cstheme="minorHAnsi"/>
          <w:b/>
          <w:bCs/>
        </w:rPr>
        <w:t xml:space="preserve"> &amp; LABOR COSTS</w:t>
      </w:r>
      <w:bookmarkStart w:id="15" w:name="_Toc156593382"/>
      <w:bookmarkEnd w:id="14"/>
    </w:p>
    <w:p w:rsidR="00A233E0" w:rsidRPr="00071B69" w:rsidP="00163C69" w14:paraId="71F2FC12" w14:textId="77777777">
      <w:pPr>
        <w:pStyle w:val="ListParagraph"/>
        <w:ind w:left="0"/>
        <w:rPr>
          <w:rFonts w:cstheme="minorHAnsi"/>
          <w:i/>
          <w:iCs/>
        </w:rPr>
      </w:pPr>
      <w:r w:rsidRPr="00071B69">
        <w:rPr>
          <w:rFonts w:cstheme="minorHAnsi"/>
          <w:i/>
          <w:iCs/>
        </w:rPr>
        <w:t>Provide estimates of the hour burden of the collection of information. The statement should:</w:t>
      </w:r>
    </w:p>
    <w:p w:rsidR="00A233E0" w:rsidRPr="00071B69" w:rsidP="006E197A" w14:paraId="11BD2D70" w14:textId="77777777">
      <w:pPr>
        <w:pStyle w:val="ListParagraph"/>
        <w:numPr>
          <w:ilvl w:val="0"/>
          <w:numId w:val="14"/>
        </w:numPr>
        <w:ind w:left="446"/>
        <w:rPr>
          <w:rFonts w:cstheme="minorHAnsi"/>
          <w:i/>
          <w:iCs/>
        </w:rPr>
      </w:pPr>
      <w:r w:rsidRPr="00071B69">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071B69" w:rsidP="001F0834" w14:paraId="2184CE92" w14:textId="77777777">
      <w:pPr>
        <w:pStyle w:val="ListParagraph"/>
        <w:numPr>
          <w:ilvl w:val="0"/>
          <w:numId w:val="14"/>
        </w:numPr>
        <w:ind w:left="450"/>
        <w:rPr>
          <w:rFonts w:cstheme="minorHAnsi"/>
          <w:i/>
          <w:iCs/>
        </w:rPr>
      </w:pPr>
      <w:r w:rsidRPr="00071B69">
        <w:rPr>
          <w:rFonts w:cstheme="minorHAnsi"/>
          <w:i/>
          <w:iCs/>
        </w:rPr>
        <w:t>If this request for approval covers more than one form, provide separate hour burden estimates for each form and the aggregate the hour burdens.</w:t>
      </w:r>
    </w:p>
    <w:p w:rsidR="00A233E0" w:rsidRPr="00071B69" w:rsidP="00854AAE" w14:paraId="7EF5894F" w14:textId="5EEBA470">
      <w:pPr>
        <w:pStyle w:val="ListParagraph"/>
        <w:numPr>
          <w:ilvl w:val="0"/>
          <w:numId w:val="14"/>
        </w:numPr>
        <w:pBdr>
          <w:bottom w:val="single" w:sz="4" w:space="1" w:color="auto"/>
        </w:pBdr>
        <w:ind w:left="446"/>
        <w:rPr>
          <w:rFonts w:cstheme="minorHAnsi"/>
          <w:i/>
          <w:iCs/>
        </w:rPr>
      </w:pPr>
      <w:r w:rsidRPr="00071B69">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071B69" w:rsidR="001F0834">
        <w:rPr>
          <w:rFonts w:cstheme="minorHAnsi"/>
          <w:i/>
          <w:iCs/>
        </w:rPr>
        <w:t>.</w:t>
      </w:r>
    </w:p>
    <w:p w:rsidR="001172FE" w:rsidRPr="00071B69" w:rsidP="00B50602" w14:paraId="571186E5" w14:textId="2917827F">
      <w:p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cstheme="minorHAnsi"/>
          <w:b/>
          <w:bCs/>
        </w:rPr>
        <w:t xml:space="preserve">12a. </w:t>
      </w:r>
      <w:r w:rsidRPr="00071B69" w:rsidR="00557E8F">
        <w:rPr>
          <w:rFonts w:cstheme="minorHAnsi"/>
          <w:b/>
          <w:bCs/>
        </w:rPr>
        <w:t>Respondents/NAICS Codes</w:t>
      </w:r>
      <w:bookmarkStart w:id="16" w:name="_Toc156593383"/>
      <w:bookmarkEnd w:id="15"/>
    </w:p>
    <w:p w:rsidR="00475C19" w:rsidRPr="00071B69" w:rsidP="00475C19" w14:paraId="3CCB82CC" w14:textId="3B830F62">
      <w:pPr>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color w:val="000000"/>
        </w:rPr>
        <w:t xml:space="preserve">The respondents to the recordkeeping and reporting requirements are taconite iron ore processing facilities. </w:t>
      </w:r>
      <w:r w:rsidRPr="00071B69">
        <w:rPr>
          <w:rFonts w:cstheme="minorHAnsi"/>
        </w:rPr>
        <w:t>The North American Industry Classification System (NAICS) code for respondents affected by the standards is listed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6561"/>
        <w:gridCol w:w="2781"/>
      </w:tblGrid>
      <w:tr w14:paraId="0BFF5952" w14:textId="77777777" w:rsidTr="004C2B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rHeight w:val="63"/>
        </w:trPr>
        <w:tc>
          <w:tcPr>
            <w:tcW w:w="6561" w:type="dxa"/>
          </w:tcPr>
          <w:p w:rsidR="00475C19" w:rsidRPr="00071B69" w:rsidP="00475C19" w14:paraId="6665971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rPr>
            </w:pPr>
            <w:r w:rsidRPr="00071B69">
              <w:rPr>
                <w:rFonts w:cstheme="minorHAnsi"/>
                <w:b/>
                <w:bCs/>
                <w:color w:val="000000"/>
              </w:rPr>
              <w:t>Standard (40 CFR Part 63, Subpart RRRRR)</w:t>
            </w:r>
          </w:p>
        </w:tc>
        <w:tc>
          <w:tcPr>
            <w:tcW w:w="2781" w:type="dxa"/>
          </w:tcPr>
          <w:p w:rsidR="00475C19" w:rsidRPr="00071B69" w:rsidP="00475C19" w14:paraId="6263068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rPr>
            </w:pPr>
            <w:r w:rsidRPr="00071B69">
              <w:rPr>
                <w:rFonts w:cstheme="minorHAnsi"/>
                <w:b/>
                <w:bCs/>
                <w:color w:val="000000"/>
              </w:rPr>
              <w:t>NAICS Codes</w:t>
            </w:r>
          </w:p>
        </w:tc>
      </w:tr>
      <w:tr w14:paraId="4E674B7E" w14:textId="77777777" w:rsidTr="004C2B62">
        <w:tblPrEx>
          <w:tblW w:w="0" w:type="auto"/>
          <w:tblLayout w:type="fixed"/>
          <w:tblCellMar>
            <w:left w:w="112" w:type="dxa"/>
            <w:right w:w="112" w:type="dxa"/>
          </w:tblCellMar>
          <w:tblLook w:val="0000"/>
        </w:tblPrEx>
        <w:tc>
          <w:tcPr>
            <w:tcW w:w="6561" w:type="dxa"/>
          </w:tcPr>
          <w:p w:rsidR="00475C19" w:rsidRPr="00071B69" w:rsidP="00475C19" w14:paraId="5E12493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071B69">
              <w:rPr>
                <w:rFonts w:cstheme="minorHAnsi"/>
              </w:rPr>
              <w:t>Taconite Iron Ore Processing</w:t>
            </w:r>
          </w:p>
        </w:tc>
        <w:tc>
          <w:tcPr>
            <w:tcW w:w="2781" w:type="dxa"/>
          </w:tcPr>
          <w:p w:rsidR="00475C19" w:rsidRPr="00071B69" w:rsidP="00475C19" w14:paraId="7E8EFC0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rPr>
            </w:pPr>
            <w:r w:rsidRPr="00071B69">
              <w:rPr>
                <w:rFonts w:cstheme="minorHAnsi"/>
              </w:rPr>
              <w:t>21221</w:t>
            </w:r>
          </w:p>
        </w:tc>
      </w:tr>
    </w:tbl>
    <w:p w:rsidR="00626C80" w:rsidP="00626C80" w14:paraId="1686506E" w14:textId="77777777">
      <w:pPr>
        <w:pBdr>
          <w:top w:val="single" w:sz="6" w:space="0" w:color="FFFFFF"/>
          <w:left w:val="single" w:sz="6" w:space="0" w:color="FFFFFF"/>
          <w:bottom w:val="single" w:sz="6" w:space="0" w:color="FFFFFF"/>
          <w:right w:val="single" w:sz="6" w:space="0" w:color="FFFFFF"/>
        </w:pBdr>
        <w:spacing w:after="0" w:line="240" w:lineRule="auto"/>
        <w:ind w:firstLine="720"/>
        <w:rPr>
          <w:rFonts w:cstheme="minorHAnsi"/>
          <w:color w:val="000000"/>
        </w:rPr>
      </w:pPr>
    </w:p>
    <w:p w:rsidR="00C85770" w:rsidRPr="00071B69" w:rsidP="00626C80" w14:paraId="5202381B" w14:textId="78C772A6">
      <w:pPr>
        <w:pBdr>
          <w:top w:val="single" w:sz="6" w:space="0" w:color="FFFFFF"/>
          <w:left w:val="single" w:sz="6" w:space="0" w:color="FFFFFF"/>
          <w:bottom w:val="single" w:sz="6" w:space="0" w:color="FFFFFF"/>
          <w:right w:val="single" w:sz="6" w:space="0" w:color="FFFFFF"/>
        </w:pBdr>
        <w:spacing w:after="0" w:line="240" w:lineRule="auto"/>
        <w:ind w:firstLine="720"/>
        <w:rPr>
          <w:rFonts w:cstheme="minorHAnsi"/>
          <w:color w:val="000000"/>
        </w:rPr>
      </w:pPr>
      <w:r w:rsidRPr="00071B69">
        <w:rPr>
          <w:rFonts w:cstheme="minorHAnsi"/>
          <w:color w:val="000000"/>
        </w:rPr>
        <w:t>Based on our research for this ICR, there are approximately 7 existing sources currently subject to the standard, all of which will keep records and submit reports. Six are currently operating, while one plant has been idled for several months. This plant is expected to begin operating in 2023. One additional facility has been shut down since 2016 and is not expected to operate within the next 3 years. The average number of respondents is calculated using the following table that addresses the 3 years covered by this ICR.</w:t>
      </w:r>
    </w:p>
    <w:tbl>
      <w:tblPr>
        <w:tblW w:w="9478" w:type="dxa"/>
        <w:tblInd w:w="-9" w:type="dxa"/>
        <w:tblLayout w:type="fixed"/>
        <w:tblCellMar>
          <w:left w:w="110" w:type="dxa"/>
          <w:right w:w="110" w:type="dxa"/>
        </w:tblCellMar>
        <w:tblLook w:val="0000"/>
      </w:tblPr>
      <w:tblGrid>
        <w:gridCol w:w="1019"/>
        <w:gridCol w:w="1597"/>
        <w:gridCol w:w="1344"/>
        <w:gridCol w:w="2008"/>
        <w:gridCol w:w="1952"/>
        <w:gridCol w:w="1558"/>
      </w:tblGrid>
      <w:tr w14:paraId="64AB06B7" w14:textId="77777777" w:rsidTr="004C2B62">
        <w:tblPrEx>
          <w:tblW w:w="9478" w:type="dxa"/>
          <w:tblInd w:w="-9" w:type="dxa"/>
          <w:tblLayout w:type="fixed"/>
          <w:tblCellMar>
            <w:left w:w="110" w:type="dxa"/>
            <w:right w:w="110" w:type="dxa"/>
          </w:tblCellMar>
          <w:tblLook w:val="0000"/>
        </w:tblPrEx>
        <w:trPr>
          <w:tblHeader/>
        </w:trPr>
        <w:tc>
          <w:tcPr>
            <w:tcW w:w="9478" w:type="dxa"/>
            <w:gridSpan w:val="6"/>
            <w:tcBorders>
              <w:top w:val="single" w:sz="7" w:space="0" w:color="000000"/>
              <w:left w:val="single" w:sz="7" w:space="0" w:color="000000"/>
              <w:bottom w:val="single" w:sz="6" w:space="0" w:color="FFFFFF"/>
              <w:right w:val="single" w:sz="7" w:space="0" w:color="000000"/>
            </w:tcBorders>
          </w:tcPr>
          <w:p w:rsidR="00C85770" w:rsidRPr="00071B69" w:rsidP="00C85770" w14:paraId="3FE8E521"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071B69">
              <w:rPr>
                <w:rFonts w:cstheme="minorHAnsi"/>
                <w:b/>
                <w:bCs/>
                <w:color w:val="000000"/>
                <w:sz w:val="20"/>
                <w:szCs w:val="20"/>
              </w:rPr>
              <w:t>Number of Respondents</w:t>
            </w:r>
          </w:p>
        </w:tc>
      </w:tr>
      <w:tr w14:paraId="222634EC" w14:textId="77777777" w:rsidTr="004C2B62">
        <w:tblPrEx>
          <w:tblW w:w="9478" w:type="dxa"/>
          <w:tblInd w:w="-9" w:type="dxa"/>
          <w:tblLayout w:type="fixed"/>
          <w:tblCellMar>
            <w:left w:w="110" w:type="dxa"/>
            <w:right w:w="110" w:type="dxa"/>
          </w:tblCellMar>
          <w:tblLook w:val="0000"/>
        </w:tblPrEx>
        <w:tc>
          <w:tcPr>
            <w:tcW w:w="1019" w:type="dxa"/>
            <w:tcBorders>
              <w:top w:val="single" w:sz="7" w:space="0" w:color="000000"/>
              <w:left w:val="single" w:sz="7" w:space="0" w:color="000000"/>
              <w:bottom w:val="single" w:sz="6" w:space="0" w:color="FFFFFF"/>
              <w:right w:val="single" w:sz="6" w:space="0" w:color="FFFFFF"/>
            </w:tcBorders>
          </w:tcPr>
          <w:p w:rsidR="00C85770" w:rsidRPr="00071B69" w:rsidP="00C85770" w14:paraId="102D919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tc>
        <w:tc>
          <w:tcPr>
            <w:tcW w:w="2941" w:type="dxa"/>
            <w:gridSpan w:val="2"/>
            <w:tcBorders>
              <w:top w:val="single" w:sz="7" w:space="0" w:color="000000"/>
              <w:left w:val="single" w:sz="7" w:space="0" w:color="000000"/>
              <w:bottom w:val="single" w:sz="6" w:space="0" w:color="FFFFFF"/>
              <w:right w:val="single" w:sz="6" w:space="0" w:color="FFFFFF"/>
            </w:tcBorders>
            <w:vAlign w:val="bottom"/>
          </w:tcPr>
          <w:p w:rsidR="00C85770" w:rsidRPr="00071B69" w:rsidP="00C85770" w14:paraId="3F382CE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vAlign w:val="bottom"/>
          </w:tcPr>
          <w:p w:rsidR="00C85770" w:rsidRPr="00071B69" w:rsidP="00C85770" w14:paraId="691F2681"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vAlign w:val="bottom"/>
          </w:tcPr>
          <w:p w:rsidR="00C85770" w:rsidRPr="00071B69" w:rsidP="00C85770" w14:paraId="6B15107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p>
        </w:tc>
      </w:tr>
      <w:tr w14:paraId="63543B61" w14:textId="77777777" w:rsidTr="004C2B62">
        <w:tblPrEx>
          <w:tblW w:w="9478" w:type="dxa"/>
          <w:tblInd w:w="-9" w:type="dxa"/>
          <w:tblLayout w:type="fixed"/>
          <w:tblCellMar>
            <w:left w:w="110" w:type="dxa"/>
            <w:right w:w="110" w:type="dxa"/>
          </w:tblCellMar>
          <w:tblLook w:val="0000"/>
        </w:tblPrEx>
        <w:tc>
          <w:tcPr>
            <w:tcW w:w="1019" w:type="dxa"/>
            <w:tcBorders>
              <w:top w:val="single" w:sz="7" w:space="0" w:color="000000"/>
              <w:left w:val="single" w:sz="7" w:space="0" w:color="000000"/>
              <w:bottom w:val="single" w:sz="8" w:space="0" w:color="000000"/>
              <w:right w:val="single" w:sz="6" w:space="0" w:color="FFFFFF"/>
            </w:tcBorders>
            <w:vAlign w:val="bottom"/>
          </w:tcPr>
          <w:p w:rsidR="00C85770" w:rsidRPr="00071B69" w:rsidP="00C85770" w14:paraId="2EC90D7D" w14:textId="77777777">
            <w:pPr>
              <w:spacing w:after="0" w:line="240" w:lineRule="auto"/>
              <w:contextualSpacing/>
              <w:jc w:val="center"/>
              <w:rPr>
                <w:rFonts w:cstheme="minorHAnsi"/>
                <w:b/>
                <w:color w:val="000000"/>
                <w:sz w:val="20"/>
                <w:szCs w:val="20"/>
              </w:rPr>
            </w:pPr>
          </w:p>
          <w:p w:rsidR="00C85770" w:rsidRPr="00071B69" w:rsidP="00C85770" w14:paraId="7217406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bottom"/>
          </w:tcPr>
          <w:p w:rsidR="00C85770" w:rsidRPr="00071B69" w:rsidP="00C85770" w14:paraId="010DF6D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(A)</w:t>
            </w:r>
          </w:p>
          <w:p w:rsidR="00C85770" w:rsidRPr="00071B69" w:rsidP="00C85770" w14:paraId="0FC3B76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 xml:space="preserve">Number of New Respondents </w:t>
            </w:r>
            <w:r w:rsidRPr="00071B69">
              <w:rPr>
                <w:rFonts w:cstheme="minorHAnsi"/>
                <w:b/>
                <w:color w:val="000000"/>
                <w:sz w:val="20"/>
                <w:szCs w:val="20"/>
                <w:vertAlign w:val="superscript"/>
              </w:rPr>
              <w:t>a</w:t>
            </w:r>
          </w:p>
        </w:tc>
        <w:tc>
          <w:tcPr>
            <w:tcW w:w="1344" w:type="dxa"/>
            <w:tcBorders>
              <w:top w:val="single" w:sz="7" w:space="0" w:color="000000"/>
              <w:left w:val="single" w:sz="7" w:space="0" w:color="000000"/>
              <w:bottom w:val="single" w:sz="8" w:space="0" w:color="000000"/>
              <w:right w:val="single" w:sz="6" w:space="0" w:color="FFFFFF"/>
            </w:tcBorders>
            <w:vAlign w:val="bottom"/>
          </w:tcPr>
          <w:p w:rsidR="00C85770" w:rsidRPr="00071B69" w:rsidP="00C85770" w14:paraId="6260AD3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(B)</w:t>
            </w:r>
          </w:p>
          <w:p w:rsidR="00C85770" w:rsidRPr="00071B69" w:rsidP="00C85770" w14:paraId="31E1C31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Number of Existing Respondents</w:t>
            </w:r>
          </w:p>
        </w:tc>
        <w:tc>
          <w:tcPr>
            <w:tcW w:w="2008" w:type="dxa"/>
            <w:tcBorders>
              <w:top w:val="single" w:sz="7" w:space="0" w:color="000000"/>
              <w:left w:val="single" w:sz="7" w:space="0" w:color="000000"/>
              <w:bottom w:val="single" w:sz="8" w:space="0" w:color="000000"/>
              <w:right w:val="single" w:sz="8" w:space="0" w:color="000000"/>
            </w:tcBorders>
            <w:vAlign w:val="bottom"/>
          </w:tcPr>
          <w:p w:rsidR="00C85770" w:rsidRPr="00071B69" w:rsidP="00C85770" w14:paraId="3D0598F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(C)</w:t>
            </w:r>
          </w:p>
          <w:p w:rsidR="00C85770" w:rsidRPr="00071B69" w:rsidP="00C85770" w14:paraId="1AC9957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Number of Existing Respondents that keep records but do not submit reports</w:t>
            </w:r>
          </w:p>
        </w:tc>
        <w:tc>
          <w:tcPr>
            <w:tcW w:w="1952" w:type="dxa"/>
            <w:tcBorders>
              <w:top w:val="single" w:sz="8" w:space="0" w:color="000000"/>
              <w:left w:val="single" w:sz="8" w:space="0" w:color="000000"/>
              <w:bottom w:val="single" w:sz="8" w:space="0" w:color="000000"/>
              <w:right w:val="single" w:sz="4" w:space="0" w:color="auto"/>
            </w:tcBorders>
            <w:vAlign w:val="bottom"/>
          </w:tcPr>
          <w:p w:rsidR="00C85770" w:rsidRPr="00071B69" w:rsidP="00C85770" w14:paraId="4276F0D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(D)</w:t>
            </w:r>
          </w:p>
          <w:p w:rsidR="00C85770" w:rsidRPr="00071B69" w:rsidP="00C85770" w14:paraId="6802F57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Number of Existing Respondents That Are Also New Respondents</w:t>
            </w:r>
          </w:p>
        </w:tc>
        <w:tc>
          <w:tcPr>
            <w:tcW w:w="1558" w:type="dxa"/>
            <w:tcBorders>
              <w:top w:val="single" w:sz="7" w:space="0" w:color="000000"/>
              <w:left w:val="single" w:sz="4" w:space="0" w:color="auto"/>
              <w:bottom w:val="single" w:sz="8" w:space="0" w:color="000000"/>
              <w:right w:val="single" w:sz="7" w:space="0" w:color="000000"/>
            </w:tcBorders>
            <w:vAlign w:val="bottom"/>
          </w:tcPr>
          <w:p w:rsidR="00C85770" w:rsidRPr="00071B69" w:rsidP="00C85770" w14:paraId="548FFCB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(E)</w:t>
            </w:r>
          </w:p>
          <w:p w:rsidR="00C85770" w:rsidRPr="00071B69" w:rsidP="00C85770" w14:paraId="32DF0FE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Number of Respondents</w:t>
            </w:r>
          </w:p>
          <w:p w:rsidR="00C85770" w:rsidRPr="00071B69" w:rsidP="00C85770" w14:paraId="32723B2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(E=A+B+C-D)</w:t>
            </w:r>
          </w:p>
        </w:tc>
      </w:tr>
      <w:tr w14:paraId="75C8034C" w14:textId="77777777" w:rsidTr="004C2B62">
        <w:tblPrEx>
          <w:tblW w:w="9478" w:type="dxa"/>
          <w:tblInd w:w="-9" w:type="dxa"/>
          <w:tblLayout w:type="fixed"/>
          <w:tblCellMar>
            <w:left w:w="110" w:type="dxa"/>
            <w:right w:w="110" w:type="dxa"/>
          </w:tblCellMar>
          <w:tblLook w:val="0000"/>
        </w:tblPrEx>
        <w:tc>
          <w:tcPr>
            <w:tcW w:w="1019" w:type="dxa"/>
            <w:tcBorders>
              <w:top w:val="single" w:sz="8" w:space="0" w:color="000000"/>
              <w:left w:val="single" w:sz="8" w:space="0" w:color="000000"/>
              <w:bottom w:val="single" w:sz="6" w:space="0" w:color="000000"/>
              <w:right w:val="single" w:sz="6" w:space="0" w:color="000000"/>
            </w:tcBorders>
          </w:tcPr>
          <w:p w:rsidR="00C85770" w:rsidRPr="00071B69" w:rsidP="00C85770" w14:paraId="3176EDE0" w14:textId="77777777">
            <w:pPr>
              <w:spacing w:after="0" w:line="240" w:lineRule="auto"/>
              <w:contextualSpacing/>
              <w:rPr>
                <w:rFonts w:cstheme="minorHAnsi"/>
                <w:color w:val="000000"/>
                <w:sz w:val="20"/>
                <w:szCs w:val="20"/>
              </w:rPr>
            </w:pPr>
          </w:p>
          <w:p w:rsidR="00C85770" w:rsidRPr="00071B69" w:rsidP="00C85770" w14:paraId="3A908AF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85770" w:rsidRPr="00071B69" w:rsidP="00C85770" w14:paraId="562FB80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344" w:type="dxa"/>
            <w:tcBorders>
              <w:top w:val="single" w:sz="8" w:space="0" w:color="000000"/>
              <w:left w:val="single" w:sz="6" w:space="0" w:color="000000"/>
              <w:bottom w:val="single" w:sz="6" w:space="0" w:color="000000"/>
              <w:right w:val="single" w:sz="6" w:space="0" w:color="000000"/>
            </w:tcBorders>
            <w:vAlign w:val="center"/>
          </w:tcPr>
          <w:p w:rsidR="00C85770" w:rsidRPr="00071B69" w:rsidP="00C85770" w14:paraId="7FB3313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color w:val="000000"/>
                <w:sz w:val="20"/>
                <w:szCs w:val="20"/>
              </w:rPr>
              <w:t>7</w:t>
            </w:r>
          </w:p>
        </w:tc>
        <w:tc>
          <w:tcPr>
            <w:tcW w:w="2008" w:type="dxa"/>
            <w:tcBorders>
              <w:top w:val="single" w:sz="8" w:space="0" w:color="000000"/>
              <w:left w:val="single" w:sz="6" w:space="0" w:color="000000"/>
              <w:bottom w:val="single" w:sz="6" w:space="0" w:color="000000"/>
              <w:right w:val="single" w:sz="6" w:space="0" w:color="000000"/>
            </w:tcBorders>
            <w:vAlign w:val="center"/>
          </w:tcPr>
          <w:p w:rsidR="00C85770" w:rsidRPr="00071B69" w:rsidP="00C85770" w14:paraId="1873FAE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952" w:type="dxa"/>
            <w:tcBorders>
              <w:top w:val="single" w:sz="8" w:space="0" w:color="000000"/>
              <w:left w:val="single" w:sz="6" w:space="0" w:color="000000"/>
              <w:bottom w:val="single" w:sz="6" w:space="0" w:color="000000"/>
              <w:right w:val="single" w:sz="6" w:space="0" w:color="000000"/>
            </w:tcBorders>
            <w:vAlign w:val="center"/>
          </w:tcPr>
          <w:p w:rsidR="00C85770" w:rsidRPr="00071B69" w:rsidP="00C85770" w14:paraId="346E17F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558" w:type="dxa"/>
            <w:tcBorders>
              <w:top w:val="single" w:sz="8" w:space="0" w:color="000000"/>
              <w:left w:val="single" w:sz="6" w:space="0" w:color="000000"/>
              <w:bottom w:val="single" w:sz="6" w:space="0" w:color="000000"/>
              <w:right w:val="single" w:sz="8" w:space="0" w:color="000000"/>
            </w:tcBorders>
            <w:vAlign w:val="center"/>
          </w:tcPr>
          <w:p w:rsidR="00C85770" w:rsidRPr="00071B69" w:rsidP="00C85770" w14:paraId="7E9A053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color w:val="000000"/>
                <w:sz w:val="20"/>
                <w:szCs w:val="20"/>
              </w:rPr>
              <w:t>7</w:t>
            </w:r>
          </w:p>
        </w:tc>
      </w:tr>
      <w:tr w14:paraId="41CAEF63" w14:textId="77777777" w:rsidTr="004C2B62">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6" w:space="0" w:color="000000"/>
              <w:right w:val="single" w:sz="6" w:space="0" w:color="000000"/>
            </w:tcBorders>
          </w:tcPr>
          <w:p w:rsidR="00C85770" w:rsidRPr="00071B69" w:rsidP="00C85770" w14:paraId="15336A7B" w14:textId="77777777">
            <w:pPr>
              <w:spacing w:after="0" w:line="240" w:lineRule="auto"/>
              <w:contextualSpacing/>
              <w:rPr>
                <w:rFonts w:cstheme="minorHAnsi"/>
                <w:color w:val="000000"/>
                <w:sz w:val="20"/>
                <w:szCs w:val="20"/>
              </w:rPr>
            </w:pPr>
          </w:p>
          <w:p w:rsidR="00C85770" w:rsidRPr="00071B69" w:rsidP="00C85770" w14:paraId="7088AB8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85770" w:rsidRPr="00071B69" w:rsidP="00C85770" w14:paraId="46283DE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344" w:type="dxa"/>
            <w:tcBorders>
              <w:top w:val="single" w:sz="6" w:space="0" w:color="000000"/>
              <w:left w:val="single" w:sz="6" w:space="0" w:color="000000"/>
              <w:bottom w:val="single" w:sz="6" w:space="0" w:color="000000"/>
              <w:right w:val="single" w:sz="6" w:space="0" w:color="000000"/>
            </w:tcBorders>
            <w:vAlign w:val="center"/>
          </w:tcPr>
          <w:p w:rsidR="00C85770" w:rsidRPr="00071B69" w:rsidP="00C85770" w14:paraId="10DB3F5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color w:val="000000"/>
                <w:sz w:val="20"/>
                <w:szCs w:val="20"/>
              </w:rPr>
              <w:t>7</w:t>
            </w:r>
          </w:p>
        </w:tc>
        <w:tc>
          <w:tcPr>
            <w:tcW w:w="2008" w:type="dxa"/>
            <w:tcBorders>
              <w:top w:val="single" w:sz="6" w:space="0" w:color="000000"/>
              <w:left w:val="single" w:sz="6" w:space="0" w:color="000000"/>
              <w:bottom w:val="single" w:sz="6" w:space="0" w:color="000000"/>
              <w:right w:val="single" w:sz="6" w:space="0" w:color="000000"/>
            </w:tcBorders>
            <w:vAlign w:val="center"/>
          </w:tcPr>
          <w:p w:rsidR="00C85770" w:rsidRPr="00071B69" w:rsidP="00C85770" w14:paraId="461A2C4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952" w:type="dxa"/>
            <w:tcBorders>
              <w:top w:val="single" w:sz="6" w:space="0" w:color="000000"/>
              <w:left w:val="single" w:sz="6" w:space="0" w:color="000000"/>
              <w:bottom w:val="single" w:sz="6" w:space="0" w:color="000000"/>
              <w:right w:val="single" w:sz="6" w:space="0" w:color="000000"/>
            </w:tcBorders>
            <w:vAlign w:val="center"/>
          </w:tcPr>
          <w:p w:rsidR="00C85770" w:rsidRPr="00071B69" w:rsidP="00C85770" w14:paraId="7521455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558" w:type="dxa"/>
            <w:tcBorders>
              <w:top w:val="single" w:sz="6" w:space="0" w:color="000000"/>
              <w:left w:val="single" w:sz="6" w:space="0" w:color="000000"/>
              <w:bottom w:val="single" w:sz="6" w:space="0" w:color="000000"/>
              <w:right w:val="single" w:sz="8" w:space="0" w:color="000000"/>
            </w:tcBorders>
            <w:vAlign w:val="center"/>
          </w:tcPr>
          <w:p w:rsidR="00C85770" w:rsidRPr="00071B69" w:rsidP="00C85770" w14:paraId="186DA7C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7</w:t>
            </w:r>
          </w:p>
        </w:tc>
      </w:tr>
      <w:tr w14:paraId="53BA1235" w14:textId="77777777" w:rsidTr="004C2B62">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6" w:space="0" w:color="000000"/>
              <w:right w:val="single" w:sz="6" w:space="0" w:color="000000"/>
            </w:tcBorders>
          </w:tcPr>
          <w:p w:rsidR="00C85770" w:rsidRPr="00071B69" w:rsidP="00C85770" w14:paraId="214E7E3C" w14:textId="77777777">
            <w:pPr>
              <w:spacing w:after="0" w:line="240" w:lineRule="auto"/>
              <w:contextualSpacing/>
              <w:rPr>
                <w:rFonts w:cstheme="minorHAnsi"/>
                <w:color w:val="000000"/>
                <w:sz w:val="20"/>
                <w:szCs w:val="20"/>
              </w:rPr>
            </w:pPr>
          </w:p>
          <w:p w:rsidR="00C85770" w:rsidRPr="00071B69" w:rsidP="00C85770" w14:paraId="5B4D926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85770" w:rsidRPr="00071B69" w:rsidP="00C85770" w14:paraId="49F61B4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344" w:type="dxa"/>
            <w:tcBorders>
              <w:top w:val="single" w:sz="6" w:space="0" w:color="000000"/>
              <w:left w:val="single" w:sz="6" w:space="0" w:color="000000"/>
              <w:bottom w:val="single" w:sz="6" w:space="0" w:color="000000"/>
              <w:right w:val="single" w:sz="6" w:space="0" w:color="000000"/>
            </w:tcBorders>
            <w:vAlign w:val="center"/>
          </w:tcPr>
          <w:p w:rsidR="00C85770" w:rsidRPr="00071B69" w:rsidP="00C85770" w14:paraId="01819D4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7</w:t>
            </w:r>
          </w:p>
        </w:tc>
        <w:tc>
          <w:tcPr>
            <w:tcW w:w="2008" w:type="dxa"/>
            <w:tcBorders>
              <w:top w:val="single" w:sz="6" w:space="0" w:color="000000"/>
              <w:left w:val="single" w:sz="6" w:space="0" w:color="000000"/>
              <w:bottom w:val="single" w:sz="6" w:space="0" w:color="000000"/>
              <w:right w:val="single" w:sz="6" w:space="0" w:color="000000"/>
            </w:tcBorders>
            <w:vAlign w:val="center"/>
          </w:tcPr>
          <w:p w:rsidR="00C85770" w:rsidRPr="00071B69" w:rsidP="00C85770" w14:paraId="647AA95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952" w:type="dxa"/>
            <w:tcBorders>
              <w:top w:val="single" w:sz="6" w:space="0" w:color="000000"/>
              <w:left w:val="single" w:sz="6" w:space="0" w:color="000000"/>
              <w:bottom w:val="single" w:sz="6" w:space="0" w:color="000000"/>
              <w:right w:val="single" w:sz="6" w:space="0" w:color="000000"/>
            </w:tcBorders>
            <w:vAlign w:val="center"/>
          </w:tcPr>
          <w:p w:rsidR="00C85770" w:rsidRPr="00071B69" w:rsidP="00C85770" w14:paraId="50C0646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0</w:t>
            </w:r>
          </w:p>
        </w:tc>
        <w:tc>
          <w:tcPr>
            <w:tcW w:w="1558" w:type="dxa"/>
            <w:tcBorders>
              <w:top w:val="single" w:sz="6" w:space="0" w:color="000000"/>
              <w:left w:val="single" w:sz="6" w:space="0" w:color="000000"/>
              <w:bottom w:val="single" w:sz="6" w:space="0" w:color="000000"/>
              <w:right w:val="single" w:sz="8" w:space="0" w:color="000000"/>
            </w:tcBorders>
            <w:vAlign w:val="center"/>
          </w:tcPr>
          <w:p w:rsidR="00C85770" w:rsidRPr="00071B69" w:rsidP="00C85770" w14:paraId="7FD9706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071B69">
              <w:rPr>
                <w:rFonts w:cstheme="minorHAnsi"/>
                <w:sz w:val="20"/>
                <w:szCs w:val="20"/>
              </w:rPr>
              <w:t>7</w:t>
            </w:r>
          </w:p>
        </w:tc>
      </w:tr>
      <w:tr w14:paraId="5719219C" w14:textId="77777777" w:rsidTr="004C2B62">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8" w:space="0" w:color="000000"/>
              <w:right w:val="single" w:sz="6" w:space="0" w:color="000000"/>
            </w:tcBorders>
          </w:tcPr>
          <w:p w:rsidR="00C85770" w:rsidRPr="00071B69" w:rsidP="00C85770" w14:paraId="24595F96" w14:textId="77777777">
            <w:pPr>
              <w:spacing w:after="0" w:line="240" w:lineRule="auto"/>
              <w:contextualSpacing/>
              <w:rPr>
                <w:rFonts w:cstheme="minorHAnsi"/>
                <w:b/>
                <w:color w:val="000000"/>
                <w:sz w:val="20"/>
                <w:szCs w:val="20"/>
              </w:rPr>
            </w:pPr>
          </w:p>
          <w:p w:rsidR="00C85770" w:rsidRPr="00071B69" w:rsidP="00C85770" w14:paraId="13B4B94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85770" w:rsidRPr="00071B69" w:rsidP="00C85770" w14:paraId="1734FD6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sz w:val="20"/>
                <w:szCs w:val="20"/>
              </w:rPr>
              <w:t>0</w:t>
            </w:r>
          </w:p>
        </w:tc>
        <w:tc>
          <w:tcPr>
            <w:tcW w:w="1344" w:type="dxa"/>
            <w:tcBorders>
              <w:top w:val="single" w:sz="6" w:space="0" w:color="000000"/>
              <w:left w:val="single" w:sz="6" w:space="0" w:color="000000"/>
              <w:bottom w:val="single" w:sz="8" w:space="0" w:color="000000"/>
              <w:right w:val="single" w:sz="6" w:space="0" w:color="000000"/>
            </w:tcBorders>
            <w:vAlign w:val="center"/>
          </w:tcPr>
          <w:p w:rsidR="00C85770" w:rsidRPr="00071B69" w:rsidP="00C85770" w14:paraId="66EA817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sz w:val="20"/>
                <w:szCs w:val="20"/>
              </w:rPr>
              <w:t>7</w:t>
            </w:r>
          </w:p>
        </w:tc>
        <w:tc>
          <w:tcPr>
            <w:tcW w:w="2008" w:type="dxa"/>
            <w:tcBorders>
              <w:top w:val="single" w:sz="6" w:space="0" w:color="000000"/>
              <w:left w:val="single" w:sz="6" w:space="0" w:color="000000"/>
              <w:bottom w:val="single" w:sz="8" w:space="0" w:color="000000"/>
              <w:right w:val="single" w:sz="6" w:space="0" w:color="000000"/>
            </w:tcBorders>
            <w:vAlign w:val="center"/>
          </w:tcPr>
          <w:p w:rsidR="00C85770" w:rsidRPr="00071B69" w:rsidP="00C85770" w14:paraId="4D7536F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sz w:val="20"/>
                <w:szCs w:val="20"/>
              </w:rPr>
              <w:t>0</w:t>
            </w:r>
          </w:p>
        </w:tc>
        <w:tc>
          <w:tcPr>
            <w:tcW w:w="1952" w:type="dxa"/>
            <w:tcBorders>
              <w:top w:val="single" w:sz="6" w:space="0" w:color="000000"/>
              <w:left w:val="single" w:sz="6" w:space="0" w:color="000000"/>
              <w:bottom w:val="single" w:sz="8" w:space="0" w:color="000000"/>
              <w:right w:val="single" w:sz="6" w:space="0" w:color="000000"/>
            </w:tcBorders>
            <w:vAlign w:val="center"/>
          </w:tcPr>
          <w:p w:rsidR="00C85770" w:rsidRPr="00071B69" w:rsidP="00C85770" w14:paraId="24C9F321"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sz w:val="20"/>
                <w:szCs w:val="20"/>
              </w:rPr>
              <w:t>0</w:t>
            </w:r>
          </w:p>
        </w:tc>
        <w:tc>
          <w:tcPr>
            <w:tcW w:w="1558" w:type="dxa"/>
            <w:tcBorders>
              <w:top w:val="single" w:sz="6" w:space="0" w:color="000000"/>
              <w:left w:val="single" w:sz="6" w:space="0" w:color="000000"/>
              <w:bottom w:val="single" w:sz="8" w:space="0" w:color="000000"/>
              <w:right w:val="single" w:sz="8" w:space="0" w:color="000000"/>
            </w:tcBorders>
            <w:vAlign w:val="center"/>
          </w:tcPr>
          <w:p w:rsidR="00C85770" w:rsidRPr="00071B69" w:rsidP="00C85770" w14:paraId="7280ED3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sz w:val="20"/>
                <w:szCs w:val="20"/>
              </w:rPr>
            </w:pPr>
            <w:r w:rsidRPr="00071B69">
              <w:rPr>
                <w:rFonts w:cstheme="minorHAnsi"/>
                <w:b/>
                <w:sz w:val="20"/>
                <w:szCs w:val="20"/>
              </w:rPr>
              <w:t>7</w:t>
            </w:r>
          </w:p>
        </w:tc>
      </w:tr>
    </w:tbl>
    <w:p w:rsidR="00C85770" w:rsidRPr="00071B69" w:rsidP="00C85770" w14:paraId="7A2B3436" w14:textId="77777777">
      <w:pPr>
        <w:pBdr>
          <w:top w:val="single" w:sz="6" w:space="0" w:color="FFFFFF"/>
          <w:left w:val="single" w:sz="6" w:space="0" w:color="FFFFFF"/>
          <w:bottom w:val="single" w:sz="6" w:space="0" w:color="FFFFFF"/>
          <w:right w:val="single" w:sz="6" w:space="0" w:color="FFFFFF"/>
        </w:pBdr>
        <w:rPr>
          <w:rFonts w:cstheme="minorHAnsi"/>
          <w:sz w:val="20"/>
          <w:szCs w:val="20"/>
        </w:rPr>
      </w:pPr>
      <w:r w:rsidRPr="00071B69">
        <w:rPr>
          <w:rFonts w:cstheme="minorHAnsi"/>
          <w:color w:val="000000"/>
          <w:vertAlign w:val="superscript"/>
        </w:rPr>
        <w:t>a</w:t>
      </w:r>
      <w:r w:rsidRPr="00071B69">
        <w:rPr>
          <w:rFonts w:cstheme="minorHAnsi"/>
          <w:color w:val="000000"/>
        </w:rPr>
        <w:t xml:space="preserve"> </w:t>
      </w:r>
      <w:r w:rsidRPr="00071B69">
        <w:rPr>
          <w:rFonts w:cstheme="minorHAnsi"/>
          <w:color w:val="000000"/>
          <w:sz w:val="20"/>
          <w:szCs w:val="20"/>
        </w:rPr>
        <w:t>New respondents include sources with constructed and reconstructed affected facilities.</w:t>
      </w:r>
    </w:p>
    <w:p w:rsidR="00C85770" w:rsidRPr="00071B69" w:rsidP="00C85770" w14:paraId="2F61A6B1"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Column D is subtracted to avoid double-counting respondents. As shown above, the average Number of Respondents over the 3-year period of this ICR is 7.</w:t>
      </w:r>
    </w:p>
    <w:p w:rsidR="00C85770" w:rsidRPr="00071B69" w:rsidP="00AA0E29" w14:paraId="4731ADCE" w14:textId="031F7E90">
      <w:pPr>
        <w:pBdr>
          <w:top w:val="single" w:sz="6" w:space="0" w:color="FFFFFF"/>
          <w:left w:val="single" w:sz="6" w:space="0" w:color="FFFFFF"/>
          <w:bottom w:val="single" w:sz="6" w:space="0" w:color="FFFFFF"/>
          <w:right w:val="single" w:sz="6" w:space="0" w:color="FFFFFF"/>
        </w:pBdr>
        <w:rPr>
          <w:rFonts w:cstheme="minorHAnsi"/>
          <w:color w:val="000000"/>
        </w:rPr>
      </w:pPr>
      <w:r w:rsidRPr="00071B69">
        <w:rPr>
          <w:rFonts w:cstheme="minorHAnsi"/>
          <w:color w:val="000000"/>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29CC3704" w14:textId="77777777" w:rsidTr="004C2B62">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85770" w:rsidRPr="00071B69" w:rsidP="00C85770" w14:paraId="1C37F55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sz w:val="18"/>
                <w:szCs w:val="18"/>
              </w:rPr>
            </w:pPr>
            <w:r w:rsidRPr="00071B69">
              <w:rPr>
                <w:rFonts w:cstheme="minorHAnsi"/>
                <w:b/>
                <w:bCs/>
              </w:rPr>
              <w:t>Total Annual Responses</w:t>
            </w:r>
          </w:p>
        </w:tc>
      </w:tr>
      <w:tr w14:paraId="7FD81965" w14:textId="77777777" w:rsidTr="004C2B62">
        <w:tblPrEx>
          <w:tblW w:w="9180" w:type="dxa"/>
          <w:tblInd w:w="201" w:type="dxa"/>
          <w:tblLayout w:type="fixed"/>
          <w:tblCellMar>
            <w:left w:w="111" w:type="dxa"/>
            <w:right w:w="111" w:type="dxa"/>
          </w:tblCellMar>
          <w:tblLook w:val="0000"/>
        </w:tblPrEx>
        <w:tc>
          <w:tcPr>
            <w:tcW w:w="2700" w:type="dxa"/>
            <w:vAlign w:val="bottom"/>
          </w:tcPr>
          <w:p w:rsidR="00C85770" w:rsidRPr="00071B69" w:rsidP="00C85770" w14:paraId="1A676C9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(A)</w:t>
            </w:r>
          </w:p>
          <w:p w:rsidR="00C85770" w:rsidRPr="00071B69" w:rsidP="00C85770" w14:paraId="0CBCE7E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p>
          <w:p w:rsidR="00C85770" w:rsidRPr="00071B69" w:rsidP="00C85770" w14:paraId="4619014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Information Collection Activity</w:t>
            </w:r>
          </w:p>
        </w:tc>
        <w:tc>
          <w:tcPr>
            <w:tcW w:w="1260" w:type="dxa"/>
            <w:vAlign w:val="bottom"/>
          </w:tcPr>
          <w:p w:rsidR="00C85770" w:rsidRPr="00071B69" w:rsidP="00C85770" w14:paraId="4852C66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(B)</w:t>
            </w:r>
          </w:p>
          <w:p w:rsidR="00C85770" w:rsidRPr="00071B69" w:rsidP="00C85770" w14:paraId="2A922D71"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p>
          <w:p w:rsidR="00C85770" w:rsidRPr="00071B69" w:rsidP="00C85770" w14:paraId="44E6219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Number of Respondents</w:t>
            </w:r>
          </w:p>
        </w:tc>
        <w:tc>
          <w:tcPr>
            <w:tcW w:w="1260" w:type="dxa"/>
            <w:vAlign w:val="bottom"/>
          </w:tcPr>
          <w:p w:rsidR="00C85770" w:rsidRPr="00071B69" w:rsidP="00C85770" w14:paraId="4BA37A0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(C)</w:t>
            </w:r>
          </w:p>
          <w:p w:rsidR="00C85770" w:rsidRPr="00071B69" w:rsidP="00C85770" w14:paraId="598CD55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p>
          <w:p w:rsidR="00C85770" w:rsidRPr="00071B69" w:rsidP="00C85770" w14:paraId="0AE0C43F"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Number of Responses</w:t>
            </w:r>
          </w:p>
        </w:tc>
        <w:tc>
          <w:tcPr>
            <w:tcW w:w="1890" w:type="dxa"/>
            <w:vAlign w:val="bottom"/>
          </w:tcPr>
          <w:p w:rsidR="00C85770" w:rsidRPr="00071B69" w:rsidP="00C85770" w14:paraId="6BD5585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(D)</w:t>
            </w:r>
          </w:p>
          <w:p w:rsidR="00C85770" w:rsidRPr="00071B69" w:rsidP="00C85770" w14:paraId="72ABB97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Number of Existing Respondents That Keep Records But Do Not Submit Reports</w:t>
            </w:r>
          </w:p>
        </w:tc>
        <w:tc>
          <w:tcPr>
            <w:tcW w:w="2070" w:type="dxa"/>
            <w:vAlign w:val="bottom"/>
          </w:tcPr>
          <w:p w:rsidR="00C85770" w:rsidRPr="00071B69" w:rsidP="00C85770" w14:paraId="40F6970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lang w:val="pt-BR"/>
              </w:rPr>
            </w:pPr>
            <w:r w:rsidRPr="00071B69">
              <w:rPr>
                <w:rFonts w:cstheme="minorHAnsi"/>
                <w:sz w:val="20"/>
                <w:szCs w:val="20"/>
                <w:lang w:val="pt-BR"/>
              </w:rPr>
              <w:t>(E)</w:t>
            </w:r>
          </w:p>
          <w:p w:rsidR="00C85770" w:rsidRPr="00071B69" w:rsidP="00C85770" w14:paraId="4F0D5D3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lang w:val="pt-BR"/>
              </w:rPr>
            </w:pPr>
            <w:r w:rsidRPr="00071B69">
              <w:rPr>
                <w:rFonts w:cstheme="minorHAnsi"/>
                <w:sz w:val="20"/>
                <w:szCs w:val="20"/>
                <w:lang w:val="pt-BR"/>
              </w:rPr>
              <w:t>Total Annual Responses</w:t>
            </w:r>
          </w:p>
          <w:p w:rsidR="00C85770" w:rsidRPr="00071B69" w:rsidP="00C85770" w14:paraId="4EBE914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lang w:val="pt-BR"/>
              </w:rPr>
            </w:pPr>
            <w:r w:rsidRPr="00071B69">
              <w:rPr>
                <w:rFonts w:cstheme="minorHAnsi"/>
                <w:sz w:val="20"/>
                <w:szCs w:val="20"/>
                <w:lang w:val="pt-BR"/>
              </w:rPr>
              <w:t>E=(BxC)+D</w:t>
            </w:r>
          </w:p>
        </w:tc>
      </w:tr>
      <w:tr w14:paraId="741B0E69" w14:textId="77777777" w:rsidTr="004C2B62">
        <w:tblPrEx>
          <w:tblW w:w="9180" w:type="dxa"/>
          <w:tblInd w:w="201" w:type="dxa"/>
          <w:tblLayout w:type="fixed"/>
          <w:tblCellMar>
            <w:left w:w="111" w:type="dxa"/>
            <w:right w:w="111" w:type="dxa"/>
          </w:tblCellMar>
          <w:tblLook w:val="0000"/>
        </w:tblPrEx>
        <w:trPr>
          <w:trHeight w:val="366"/>
        </w:trPr>
        <w:tc>
          <w:tcPr>
            <w:tcW w:w="2700" w:type="dxa"/>
            <w:vAlign w:val="center"/>
          </w:tcPr>
          <w:p w:rsidR="00C85770" w:rsidRPr="00071B69" w:rsidP="00C85770" w14:paraId="2053384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71B69">
              <w:rPr>
                <w:rFonts w:cstheme="minorHAnsi"/>
                <w:sz w:val="20"/>
                <w:szCs w:val="20"/>
              </w:rPr>
              <w:t>Notification of performance tests</w:t>
            </w:r>
          </w:p>
        </w:tc>
        <w:tc>
          <w:tcPr>
            <w:tcW w:w="1260" w:type="dxa"/>
            <w:vAlign w:val="center"/>
          </w:tcPr>
          <w:p w:rsidR="00C85770" w:rsidRPr="00071B69" w:rsidP="00C85770" w14:paraId="33A27D3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c>
          <w:tcPr>
            <w:tcW w:w="1260" w:type="dxa"/>
            <w:vAlign w:val="center"/>
          </w:tcPr>
          <w:p w:rsidR="00C85770" w:rsidRPr="00071B69" w:rsidP="00C85770" w14:paraId="7BAA922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1.03</w:t>
            </w:r>
          </w:p>
        </w:tc>
        <w:tc>
          <w:tcPr>
            <w:tcW w:w="1890" w:type="dxa"/>
            <w:vAlign w:val="center"/>
          </w:tcPr>
          <w:p w:rsidR="00C85770" w:rsidRPr="00071B69" w:rsidP="00C85770" w14:paraId="59B4CC1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0</w:t>
            </w:r>
          </w:p>
        </w:tc>
        <w:tc>
          <w:tcPr>
            <w:tcW w:w="2070" w:type="dxa"/>
            <w:vAlign w:val="center"/>
          </w:tcPr>
          <w:p w:rsidR="00C85770" w:rsidRPr="00071B69" w:rsidP="00C85770" w14:paraId="0806489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r>
      <w:tr w14:paraId="6267F153" w14:textId="77777777" w:rsidTr="004C2B62">
        <w:tblPrEx>
          <w:tblW w:w="9180" w:type="dxa"/>
          <w:tblInd w:w="201" w:type="dxa"/>
          <w:tblLayout w:type="fixed"/>
          <w:tblCellMar>
            <w:left w:w="111" w:type="dxa"/>
            <w:right w:w="111" w:type="dxa"/>
          </w:tblCellMar>
          <w:tblLook w:val="0000"/>
        </w:tblPrEx>
        <w:trPr>
          <w:trHeight w:val="366"/>
        </w:trPr>
        <w:tc>
          <w:tcPr>
            <w:tcW w:w="2700" w:type="dxa"/>
            <w:vAlign w:val="center"/>
          </w:tcPr>
          <w:p w:rsidR="00C85770" w:rsidRPr="00071B69" w:rsidP="00C85770" w14:paraId="4D04B84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71B69">
              <w:rPr>
                <w:rFonts w:cstheme="minorHAnsi"/>
                <w:sz w:val="20"/>
                <w:szCs w:val="20"/>
              </w:rPr>
              <w:t>Operation, maintenance, and monitoring plans</w:t>
            </w:r>
          </w:p>
        </w:tc>
        <w:tc>
          <w:tcPr>
            <w:tcW w:w="1260" w:type="dxa"/>
            <w:vAlign w:val="center"/>
          </w:tcPr>
          <w:p w:rsidR="00C85770" w:rsidRPr="00071B69" w:rsidP="00C85770" w14:paraId="491E1F1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c>
          <w:tcPr>
            <w:tcW w:w="1260" w:type="dxa"/>
            <w:vAlign w:val="center"/>
          </w:tcPr>
          <w:p w:rsidR="00C85770" w:rsidRPr="00071B69" w:rsidP="00C85770" w14:paraId="239B57A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1</w:t>
            </w:r>
          </w:p>
        </w:tc>
        <w:tc>
          <w:tcPr>
            <w:tcW w:w="1890" w:type="dxa"/>
            <w:vAlign w:val="center"/>
          </w:tcPr>
          <w:p w:rsidR="00C85770" w:rsidRPr="00071B69" w:rsidP="00C85770" w14:paraId="197F42A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0</w:t>
            </w:r>
          </w:p>
        </w:tc>
        <w:tc>
          <w:tcPr>
            <w:tcW w:w="2070" w:type="dxa"/>
            <w:vAlign w:val="center"/>
          </w:tcPr>
          <w:p w:rsidR="00C85770" w:rsidRPr="00071B69" w:rsidP="00C85770" w14:paraId="422D642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r>
      <w:tr w14:paraId="518813CF" w14:textId="77777777" w:rsidTr="004C2B62">
        <w:tblPrEx>
          <w:tblW w:w="9180" w:type="dxa"/>
          <w:tblInd w:w="201" w:type="dxa"/>
          <w:tblLayout w:type="fixed"/>
          <w:tblCellMar>
            <w:left w:w="111" w:type="dxa"/>
            <w:right w:w="111" w:type="dxa"/>
          </w:tblCellMar>
          <w:tblLook w:val="0000"/>
        </w:tblPrEx>
        <w:trPr>
          <w:trHeight w:val="366"/>
        </w:trPr>
        <w:tc>
          <w:tcPr>
            <w:tcW w:w="2700" w:type="dxa"/>
            <w:vAlign w:val="center"/>
          </w:tcPr>
          <w:p w:rsidR="00C85770" w:rsidRPr="00071B69" w:rsidP="00C85770" w14:paraId="48A1F01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71B69">
              <w:rPr>
                <w:rFonts w:cstheme="minorHAnsi"/>
                <w:sz w:val="20"/>
                <w:szCs w:val="20"/>
              </w:rPr>
              <w:t>Site-specific monitoring plan</w:t>
            </w:r>
          </w:p>
        </w:tc>
        <w:tc>
          <w:tcPr>
            <w:tcW w:w="1260" w:type="dxa"/>
            <w:vAlign w:val="center"/>
          </w:tcPr>
          <w:p w:rsidR="00C85770" w:rsidRPr="00071B69" w:rsidP="00C85770" w14:paraId="078494A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c>
          <w:tcPr>
            <w:tcW w:w="1260" w:type="dxa"/>
            <w:vAlign w:val="center"/>
          </w:tcPr>
          <w:p w:rsidR="00C85770" w:rsidRPr="00071B69" w:rsidP="00C85770" w14:paraId="044671A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1</w:t>
            </w:r>
          </w:p>
        </w:tc>
        <w:tc>
          <w:tcPr>
            <w:tcW w:w="1890" w:type="dxa"/>
            <w:vAlign w:val="center"/>
          </w:tcPr>
          <w:p w:rsidR="00C85770" w:rsidRPr="00071B69" w:rsidP="00C85770" w14:paraId="1D83D27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0</w:t>
            </w:r>
          </w:p>
        </w:tc>
        <w:tc>
          <w:tcPr>
            <w:tcW w:w="2070" w:type="dxa"/>
            <w:vAlign w:val="center"/>
          </w:tcPr>
          <w:p w:rsidR="00C85770" w:rsidRPr="00071B69" w:rsidP="00C85770" w14:paraId="652EDAA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r>
      <w:tr w14:paraId="1E3D598D" w14:textId="77777777" w:rsidTr="004C2B62">
        <w:tblPrEx>
          <w:tblW w:w="9180" w:type="dxa"/>
          <w:tblInd w:w="201" w:type="dxa"/>
          <w:tblLayout w:type="fixed"/>
          <w:tblCellMar>
            <w:left w:w="111" w:type="dxa"/>
            <w:right w:w="111" w:type="dxa"/>
          </w:tblCellMar>
          <w:tblLook w:val="0000"/>
        </w:tblPrEx>
        <w:trPr>
          <w:trHeight w:val="366"/>
        </w:trPr>
        <w:tc>
          <w:tcPr>
            <w:tcW w:w="2700" w:type="dxa"/>
            <w:vAlign w:val="center"/>
          </w:tcPr>
          <w:p w:rsidR="00C85770" w:rsidRPr="00071B69" w:rsidP="00C85770" w14:paraId="6C6CDAC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71B69">
              <w:rPr>
                <w:rFonts w:cstheme="minorHAnsi"/>
                <w:sz w:val="20"/>
                <w:szCs w:val="20"/>
              </w:rPr>
              <w:t>Site-specific test plan</w:t>
            </w:r>
          </w:p>
        </w:tc>
        <w:tc>
          <w:tcPr>
            <w:tcW w:w="1260" w:type="dxa"/>
            <w:vAlign w:val="center"/>
          </w:tcPr>
          <w:p w:rsidR="00C85770" w:rsidRPr="00071B69" w:rsidP="00C85770" w14:paraId="27127B7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c>
          <w:tcPr>
            <w:tcW w:w="1260" w:type="dxa"/>
            <w:vAlign w:val="center"/>
          </w:tcPr>
          <w:p w:rsidR="00C85770" w:rsidRPr="00071B69" w:rsidP="00C85770" w14:paraId="0B18008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1.03</w:t>
            </w:r>
          </w:p>
        </w:tc>
        <w:tc>
          <w:tcPr>
            <w:tcW w:w="1890" w:type="dxa"/>
            <w:vAlign w:val="center"/>
          </w:tcPr>
          <w:p w:rsidR="00C85770" w:rsidRPr="00071B69" w:rsidP="00C85770" w14:paraId="32D891D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0</w:t>
            </w:r>
          </w:p>
        </w:tc>
        <w:tc>
          <w:tcPr>
            <w:tcW w:w="2070" w:type="dxa"/>
            <w:vAlign w:val="center"/>
          </w:tcPr>
          <w:p w:rsidR="00C85770" w:rsidRPr="00071B69" w:rsidP="00C85770" w14:paraId="395F75F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r>
      <w:tr w14:paraId="2E5A040C" w14:textId="77777777" w:rsidTr="004C2B62">
        <w:tblPrEx>
          <w:tblW w:w="9180" w:type="dxa"/>
          <w:tblInd w:w="201" w:type="dxa"/>
          <w:tblLayout w:type="fixed"/>
          <w:tblCellMar>
            <w:left w:w="111" w:type="dxa"/>
            <w:right w:w="111" w:type="dxa"/>
          </w:tblCellMar>
          <w:tblLook w:val="0000"/>
        </w:tblPrEx>
        <w:trPr>
          <w:trHeight w:val="366"/>
        </w:trPr>
        <w:tc>
          <w:tcPr>
            <w:tcW w:w="2700" w:type="dxa"/>
            <w:vAlign w:val="center"/>
          </w:tcPr>
          <w:p w:rsidR="00C85770" w:rsidRPr="00071B69" w:rsidP="00C85770" w14:paraId="32A1416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71B69">
              <w:rPr>
                <w:rFonts w:cstheme="minorHAnsi"/>
                <w:sz w:val="20"/>
                <w:szCs w:val="20"/>
              </w:rPr>
              <w:t>Notification of special compliance requirements</w:t>
            </w:r>
          </w:p>
        </w:tc>
        <w:tc>
          <w:tcPr>
            <w:tcW w:w="1260" w:type="dxa"/>
            <w:vAlign w:val="center"/>
          </w:tcPr>
          <w:p w:rsidR="00C85770" w:rsidRPr="00071B69" w:rsidP="00C85770" w14:paraId="6F55E0D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3</w:t>
            </w:r>
          </w:p>
        </w:tc>
        <w:tc>
          <w:tcPr>
            <w:tcW w:w="1260" w:type="dxa"/>
            <w:vAlign w:val="center"/>
          </w:tcPr>
          <w:p w:rsidR="00C85770" w:rsidRPr="00071B69" w:rsidP="00C85770" w14:paraId="4C9F26D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0.3</w:t>
            </w:r>
          </w:p>
        </w:tc>
        <w:tc>
          <w:tcPr>
            <w:tcW w:w="1890" w:type="dxa"/>
            <w:vAlign w:val="center"/>
          </w:tcPr>
          <w:p w:rsidR="00C85770" w:rsidRPr="00071B69" w:rsidP="00C85770" w14:paraId="10A2E44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0</w:t>
            </w:r>
          </w:p>
        </w:tc>
        <w:tc>
          <w:tcPr>
            <w:tcW w:w="2070" w:type="dxa"/>
            <w:vAlign w:val="center"/>
          </w:tcPr>
          <w:p w:rsidR="00C85770" w:rsidRPr="00071B69" w:rsidP="00C85770" w14:paraId="541B174F"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1</w:t>
            </w:r>
          </w:p>
        </w:tc>
      </w:tr>
      <w:tr w14:paraId="3E953947" w14:textId="77777777" w:rsidTr="004C2B62">
        <w:tblPrEx>
          <w:tblW w:w="9180" w:type="dxa"/>
          <w:tblInd w:w="201" w:type="dxa"/>
          <w:tblLayout w:type="fixed"/>
          <w:tblCellMar>
            <w:left w:w="111" w:type="dxa"/>
            <w:right w:w="111" w:type="dxa"/>
          </w:tblCellMar>
          <w:tblLook w:val="0000"/>
        </w:tblPrEx>
        <w:trPr>
          <w:trHeight w:val="366"/>
        </w:trPr>
        <w:tc>
          <w:tcPr>
            <w:tcW w:w="2700" w:type="dxa"/>
            <w:vAlign w:val="center"/>
          </w:tcPr>
          <w:p w:rsidR="00C85770" w:rsidRPr="00071B69" w:rsidP="00C85770" w14:paraId="4E5A0BB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71B69">
              <w:rPr>
                <w:rFonts w:cstheme="minorHAnsi"/>
                <w:sz w:val="20"/>
                <w:szCs w:val="20"/>
              </w:rPr>
              <w:t>Semiannual compliance reports</w:t>
            </w:r>
          </w:p>
        </w:tc>
        <w:tc>
          <w:tcPr>
            <w:tcW w:w="1260" w:type="dxa"/>
            <w:vAlign w:val="center"/>
          </w:tcPr>
          <w:p w:rsidR="00C85770" w:rsidRPr="00071B69" w:rsidP="00C85770" w14:paraId="6F81212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c>
          <w:tcPr>
            <w:tcW w:w="1260" w:type="dxa"/>
            <w:vAlign w:val="center"/>
          </w:tcPr>
          <w:p w:rsidR="00C85770" w:rsidRPr="00071B69" w:rsidP="00C85770" w14:paraId="47E1F10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2</w:t>
            </w:r>
          </w:p>
        </w:tc>
        <w:tc>
          <w:tcPr>
            <w:tcW w:w="1890" w:type="dxa"/>
            <w:vAlign w:val="center"/>
          </w:tcPr>
          <w:p w:rsidR="00C85770" w:rsidRPr="00071B69" w:rsidP="00C85770" w14:paraId="41E81F7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0</w:t>
            </w:r>
          </w:p>
        </w:tc>
        <w:tc>
          <w:tcPr>
            <w:tcW w:w="2070" w:type="dxa"/>
            <w:vAlign w:val="center"/>
          </w:tcPr>
          <w:p w:rsidR="00C85770" w:rsidRPr="00071B69" w:rsidP="00C85770" w14:paraId="010BD91F"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14</w:t>
            </w:r>
          </w:p>
        </w:tc>
      </w:tr>
      <w:tr w14:paraId="5D5B5F05" w14:textId="77777777" w:rsidTr="004C2B62">
        <w:tblPrEx>
          <w:tblW w:w="9180" w:type="dxa"/>
          <w:tblInd w:w="201" w:type="dxa"/>
          <w:tblLayout w:type="fixed"/>
          <w:tblCellMar>
            <w:left w:w="111" w:type="dxa"/>
            <w:right w:w="111" w:type="dxa"/>
          </w:tblCellMar>
          <w:tblLook w:val="0000"/>
        </w:tblPrEx>
        <w:trPr>
          <w:trHeight w:val="366"/>
        </w:trPr>
        <w:tc>
          <w:tcPr>
            <w:tcW w:w="2700" w:type="dxa"/>
            <w:vAlign w:val="center"/>
          </w:tcPr>
          <w:p w:rsidR="00C85770" w:rsidRPr="00071B69" w:rsidP="00C85770" w14:paraId="7DC3296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71B69">
              <w:rPr>
                <w:rFonts w:cstheme="minorHAnsi"/>
                <w:sz w:val="20"/>
                <w:szCs w:val="20"/>
              </w:rPr>
              <w:t>Performance test reports</w:t>
            </w:r>
          </w:p>
        </w:tc>
        <w:tc>
          <w:tcPr>
            <w:tcW w:w="1260" w:type="dxa"/>
            <w:vAlign w:val="center"/>
          </w:tcPr>
          <w:p w:rsidR="00C85770" w:rsidRPr="00071B69" w:rsidP="00C85770" w14:paraId="4318BDE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c>
          <w:tcPr>
            <w:tcW w:w="1260" w:type="dxa"/>
            <w:vAlign w:val="center"/>
          </w:tcPr>
          <w:p w:rsidR="00C85770" w:rsidRPr="00071B69" w:rsidP="00C85770" w14:paraId="2739D3B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1.03</w:t>
            </w:r>
          </w:p>
        </w:tc>
        <w:tc>
          <w:tcPr>
            <w:tcW w:w="1890" w:type="dxa"/>
            <w:vAlign w:val="center"/>
          </w:tcPr>
          <w:p w:rsidR="00C85770" w:rsidRPr="00071B69" w:rsidP="00C85770" w14:paraId="707C891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0</w:t>
            </w:r>
          </w:p>
        </w:tc>
        <w:tc>
          <w:tcPr>
            <w:tcW w:w="2070" w:type="dxa"/>
            <w:vAlign w:val="center"/>
          </w:tcPr>
          <w:p w:rsidR="00C85770" w:rsidRPr="00071B69" w:rsidP="00C85770" w14:paraId="74A4479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20"/>
                <w:szCs w:val="20"/>
              </w:rPr>
            </w:pPr>
            <w:r w:rsidRPr="00071B69">
              <w:rPr>
                <w:rFonts w:cstheme="minorHAnsi"/>
                <w:sz w:val="20"/>
                <w:szCs w:val="20"/>
              </w:rPr>
              <w:t>7</w:t>
            </w:r>
          </w:p>
        </w:tc>
      </w:tr>
      <w:tr w14:paraId="49A36DBE" w14:textId="77777777" w:rsidTr="004C2B62">
        <w:tblPrEx>
          <w:tblW w:w="9180" w:type="dxa"/>
          <w:tblInd w:w="201" w:type="dxa"/>
          <w:tblLayout w:type="fixed"/>
          <w:tblCellMar>
            <w:left w:w="111" w:type="dxa"/>
            <w:right w:w="111" w:type="dxa"/>
          </w:tblCellMar>
          <w:tblLook w:val="0000"/>
        </w:tblPrEx>
        <w:trPr>
          <w:trHeight w:val="366"/>
        </w:trPr>
        <w:tc>
          <w:tcPr>
            <w:tcW w:w="2700" w:type="dxa"/>
            <w:vAlign w:val="center"/>
          </w:tcPr>
          <w:p w:rsidR="00C85770" w:rsidRPr="00071B69" w:rsidP="00C85770" w14:paraId="155923B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18"/>
                <w:szCs w:val="18"/>
              </w:rPr>
            </w:pPr>
          </w:p>
        </w:tc>
        <w:tc>
          <w:tcPr>
            <w:tcW w:w="1260" w:type="dxa"/>
            <w:vAlign w:val="center"/>
          </w:tcPr>
          <w:p w:rsidR="00C85770" w:rsidRPr="00071B69" w:rsidP="00C85770" w14:paraId="17BB5E8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18"/>
                <w:szCs w:val="18"/>
              </w:rPr>
            </w:pPr>
          </w:p>
        </w:tc>
        <w:tc>
          <w:tcPr>
            <w:tcW w:w="1260" w:type="dxa"/>
            <w:vAlign w:val="center"/>
          </w:tcPr>
          <w:p w:rsidR="00C85770" w:rsidRPr="00071B69" w:rsidP="00C85770" w14:paraId="0A26F68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sz w:val="18"/>
                <w:szCs w:val="18"/>
              </w:rPr>
            </w:pPr>
          </w:p>
        </w:tc>
        <w:tc>
          <w:tcPr>
            <w:tcW w:w="1890" w:type="dxa"/>
            <w:vAlign w:val="center"/>
          </w:tcPr>
          <w:p w:rsidR="00C85770" w:rsidRPr="00071B69" w:rsidP="00C85770" w14:paraId="13CB7DF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sz w:val="20"/>
                <w:szCs w:val="20"/>
              </w:rPr>
            </w:pPr>
            <w:r w:rsidRPr="00071B69">
              <w:rPr>
                <w:rFonts w:cstheme="minorHAnsi"/>
                <w:b/>
                <w:bCs/>
                <w:sz w:val="20"/>
                <w:szCs w:val="20"/>
              </w:rPr>
              <w:t>Total</w:t>
            </w:r>
          </w:p>
        </w:tc>
        <w:tc>
          <w:tcPr>
            <w:tcW w:w="2070" w:type="dxa"/>
            <w:vAlign w:val="center"/>
          </w:tcPr>
          <w:p w:rsidR="00C85770" w:rsidRPr="00071B69" w:rsidP="00C85770" w14:paraId="00AB608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sz w:val="20"/>
                <w:szCs w:val="20"/>
              </w:rPr>
            </w:pPr>
            <w:r w:rsidRPr="00071B69">
              <w:rPr>
                <w:rFonts w:cstheme="minorHAnsi"/>
                <w:b/>
                <w:bCs/>
                <w:sz w:val="20"/>
                <w:szCs w:val="20"/>
              </w:rPr>
              <w:t>51</w:t>
            </w:r>
          </w:p>
        </w:tc>
      </w:tr>
    </w:tbl>
    <w:p w:rsidR="00C85770" w:rsidRPr="00071B69" w:rsidP="00C85770" w14:paraId="1DB5E32D" w14:textId="77777777">
      <w:pPr>
        <w:pBdr>
          <w:top w:val="single" w:sz="6" w:space="0" w:color="FFFFFF"/>
          <w:left w:val="single" w:sz="6" w:space="0" w:color="FFFFFF"/>
          <w:bottom w:val="single" w:sz="6" w:space="0" w:color="FFFFFF"/>
          <w:right w:val="single" w:sz="6" w:space="0" w:color="FFFFFF"/>
        </w:pBdr>
        <w:ind w:left="180"/>
        <w:rPr>
          <w:rFonts w:cstheme="minorHAnsi"/>
          <w:color w:val="000000"/>
          <w:sz w:val="20"/>
          <w:szCs w:val="20"/>
        </w:rPr>
      </w:pPr>
      <w:r w:rsidRPr="00071B69">
        <w:rPr>
          <w:rFonts w:cstheme="minorHAnsi"/>
          <w:color w:val="000000"/>
          <w:sz w:val="20"/>
          <w:szCs w:val="20"/>
          <w:vertAlign w:val="superscript"/>
        </w:rPr>
        <w:t>a</w:t>
      </w:r>
      <w:r w:rsidRPr="00071B69">
        <w:rPr>
          <w:rFonts w:cstheme="minorHAnsi"/>
          <w:color w:val="000000"/>
          <w:sz w:val="20"/>
          <w:szCs w:val="20"/>
        </w:rPr>
        <w:t xml:space="preserve"> Notifications and semiannual reports submitted through CEDRI. Report of performance test/retest submitted through ERT.</w:t>
      </w:r>
    </w:p>
    <w:p w:rsidR="00C85770" w:rsidRPr="00071B69" w:rsidP="00E93419" w14:paraId="070B3F10" w14:textId="3DCFBB10">
      <w:pPr>
        <w:pBdr>
          <w:top w:val="single" w:sz="6" w:space="0" w:color="FFFFFF"/>
          <w:left w:val="single" w:sz="6" w:space="0" w:color="FFFFFF"/>
          <w:bottom w:val="single" w:sz="6" w:space="0" w:color="FFFFFF"/>
          <w:right w:val="single" w:sz="6" w:space="0" w:color="FFFFFF"/>
        </w:pBdr>
        <w:rPr>
          <w:rFonts w:cstheme="minorHAnsi"/>
          <w:color w:val="000000"/>
        </w:rPr>
      </w:pPr>
      <w:r w:rsidRPr="00071B69">
        <w:rPr>
          <w:rFonts w:cstheme="minorHAnsi"/>
          <w:color w:val="000000"/>
        </w:rPr>
        <w:t>The number of Total Annual Responses is 51, all of which will be submitted electronically.</w:t>
      </w:r>
    </w:p>
    <w:p w:rsidR="00ED57A4" w:rsidRPr="00071B69" w:rsidP="00B50602" w14:paraId="24D360E5" w14:textId="6DF33794">
      <w:p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cstheme="minorHAnsi"/>
          <w:b/>
          <w:bCs/>
        </w:rPr>
        <w:t xml:space="preserve">12b. </w:t>
      </w:r>
      <w:r w:rsidRPr="00071B69" w:rsidR="00BB7DA0">
        <w:rPr>
          <w:rFonts w:cstheme="minorHAnsi"/>
          <w:b/>
          <w:bCs/>
        </w:rPr>
        <w:t>Information Requested</w:t>
      </w:r>
      <w:bookmarkStart w:id="17" w:name="_Toc156593384"/>
      <w:bookmarkEnd w:id="16"/>
    </w:p>
    <w:p w:rsidR="00CE624C" w:rsidRPr="00071B69" w:rsidP="00CE624C" w14:paraId="5C06AEFD" w14:textId="77777777">
      <w:pPr>
        <w:keepNext/>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color w:val="000000"/>
        </w:rPr>
        <w:t xml:space="preserve">This ICR includes all recorded and/or reported data </w:t>
      </w:r>
      <w:r w:rsidRPr="00071B69">
        <w:rPr>
          <w:rFonts w:cstheme="minorHAnsi"/>
        </w:rPr>
        <w:t>required by the proposed amendments to 40 CFR Part 63, Subpart RRRRR. Subpart RRRRR references 40 CFR Part 63, Subpart A for several general reporting and recordkeeping requirements that apply for all NESHAP</w:t>
      </w:r>
      <w:r w:rsidRPr="00071B69">
        <w:rPr>
          <w:rFonts w:cstheme="minorHAnsi"/>
          <w:bCs/>
        </w:rPr>
        <w:t>.</w:t>
      </w:r>
    </w:p>
    <w:p w:rsidR="00CE624C" w:rsidRPr="00071B69" w:rsidP="00B13B6A" w14:paraId="2E1566EA" w14:textId="5B6C2E01">
      <w:pPr>
        <w:pBdr>
          <w:top w:val="single" w:sz="6" w:space="0" w:color="FFFFFF"/>
          <w:left w:val="single" w:sz="6" w:space="0" w:color="FFFFFF"/>
          <w:bottom w:val="single" w:sz="6" w:space="0" w:color="FFFFFF"/>
          <w:right w:val="single" w:sz="6" w:space="0" w:color="FFFFFF"/>
        </w:pBdr>
        <w:rPr>
          <w:rFonts w:cstheme="minorHAnsi"/>
          <w:color w:val="000000"/>
        </w:rPr>
      </w:pPr>
      <w:r w:rsidRPr="00071B69">
        <w:rPr>
          <w:rFonts w:cstheme="minorHAnsi"/>
          <w:color w:val="000000"/>
        </w:rPr>
        <w:t>A source must make the following notifications and reports:</w:t>
      </w:r>
    </w:p>
    <w:tbl>
      <w:tblPr>
        <w:tblW w:w="4998" w:type="pct"/>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6364"/>
        <w:gridCol w:w="3012"/>
      </w:tblGrid>
      <w:tr w14:paraId="44F40505" w14:textId="77777777" w:rsidTr="006F365D">
        <w:tblPrEx>
          <w:tblW w:w="4998" w:type="pct"/>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529"/>
        </w:trPr>
        <w:tc>
          <w:tcPr>
            <w:tcW w:w="3394" w:type="pct"/>
          </w:tcPr>
          <w:p w:rsidR="00CE624C" w:rsidRPr="00071B69" w:rsidP="00CE624C" w14:paraId="0619DD34" w14:textId="77777777">
            <w:pPr>
              <w:spacing w:after="0" w:line="240" w:lineRule="auto"/>
              <w:ind w:left="120" w:right="104"/>
              <w:contextualSpacing/>
              <w:rPr>
                <w:rFonts w:eastAsia="Arial" w:cstheme="minorHAnsi"/>
                <w:b/>
                <w:bCs/>
              </w:rPr>
            </w:pPr>
            <w:r w:rsidRPr="00071B69">
              <w:rPr>
                <w:rFonts w:eastAsia="Arial" w:cstheme="minorHAnsi"/>
                <w:b/>
                <w:bCs/>
              </w:rPr>
              <w:t>Requirement</w:t>
            </w:r>
          </w:p>
        </w:tc>
        <w:tc>
          <w:tcPr>
            <w:tcW w:w="1606" w:type="pct"/>
          </w:tcPr>
          <w:p w:rsidR="00CE624C" w:rsidRPr="00071B69" w:rsidP="00CE624C" w14:paraId="2947BE3A" w14:textId="77777777">
            <w:pPr>
              <w:spacing w:after="0" w:line="240" w:lineRule="auto"/>
              <w:contextualSpacing/>
              <w:rPr>
                <w:rFonts w:eastAsia="Arial" w:cstheme="minorHAnsi"/>
                <w:b/>
                <w:bCs/>
              </w:rPr>
            </w:pPr>
            <w:r w:rsidRPr="00071B69">
              <w:rPr>
                <w:rFonts w:eastAsia="Arial" w:cstheme="minorHAnsi"/>
                <w:b/>
                <w:bCs/>
              </w:rPr>
              <w:t>Regulation Reference</w:t>
            </w:r>
          </w:p>
          <w:p w:rsidR="00CE624C" w:rsidRPr="00071B69" w:rsidP="00CE624C" w14:paraId="40598299" w14:textId="77777777">
            <w:pPr>
              <w:spacing w:after="0" w:line="240" w:lineRule="auto"/>
              <w:contextualSpacing/>
              <w:rPr>
                <w:rFonts w:eastAsia="Arial" w:cstheme="minorHAnsi"/>
              </w:rPr>
            </w:pPr>
            <w:r w:rsidRPr="00071B69">
              <w:rPr>
                <w:rFonts w:eastAsia="Arial" w:cstheme="minorHAnsi"/>
                <w:b/>
                <w:bCs/>
              </w:rPr>
              <w:t>(40 CFR Part 63)</w:t>
            </w:r>
          </w:p>
        </w:tc>
      </w:tr>
      <w:tr w14:paraId="773E416B" w14:textId="77777777" w:rsidTr="006F365D">
        <w:tblPrEx>
          <w:tblW w:w="4998" w:type="pct"/>
          <w:tblInd w:w="4" w:type="dxa"/>
          <w:tblCellMar>
            <w:left w:w="0" w:type="dxa"/>
            <w:right w:w="0" w:type="dxa"/>
          </w:tblCellMar>
          <w:tblLook w:val="01E0"/>
        </w:tblPrEx>
        <w:trPr>
          <w:trHeight w:val="250"/>
        </w:trPr>
        <w:tc>
          <w:tcPr>
            <w:tcW w:w="5000" w:type="pct"/>
            <w:gridSpan w:val="2"/>
          </w:tcPr>
          <w:p w:rsidR="00CE624C" w:rsidRPr="00071B69" w:rsidP="00CE624C" w14:paraId="607157B2" w14:textId="77777777">
            <w:pPr>
              <w:spacing w:after="0" w:line="240" w:lineRule="auto"/>
              <w:contextualSpacing/>
              <w:jc w:val="center"/>
              <w:rPr>
                <w:rFonts w:eastAsia="Arial" w:cstheme="minorHAnsi"/>
              </w:rPr>
            </w:pPr>
            <w:r w:rsidRPr="00071B69">
              <w:rPr>
                <w:rFonts w:eastAsia="Arial" w:cstheme="minorHAnsi"/>
                <w:b/>
              </w:rPr>
              <w:t>Performance Testing</w:t>
            </w:r>
          </w:p>
        </w:tc>
      </w:tr>
      <w:tr w14:paraId="5AE1217F" w14:textId="77777777" w:rsidTr="00CE624C">
        <w:tblPrEx>
          <w:tblW w:w="4998" w:type="pct"/>
          <w:tblInd w:w="4" w:type="dxa"/>
          <w:tblCellMar>
            <w:left w:w="0" w:type="dxa"/>
            <w:right w:w="0" w:type="dxa"/>
          </w:tblCellMar>
          <w:tblLook w:val="01E0"/>
        </w:tblPrEx>
        <w:trPr>
          <w:trHeight w:val="340"/>
        </w:trPr>
        <w:tc>
          <w:tcPr>
            <w:tcW w:w="3394" w:type="pct"/>
          </w:tcPr>
          <w:p w:rsidR="00CE624C" w:rsidRPr="00071B69" w:rsidP="00CE624C" w14:paraId="2A60AC72" w14:textId="77777777">
            <w:pPr>
              <w:spacing w:after="0" w:line="240" w:lineRule="auto"/>
              <w:ind w:left="120" w:right="104"/>
              <w:contextualSpacing/>
              <w:rPr>
                <w:rFonts w:eastAsia="Arial" w:cstheme="minorHAnsi"/>
              </w:rPr>
            </w:pPr>
            <w:r w:rsidRPr="00071B69">
              <w:rPr>
                <w:rFonts w:eastAsia="Arial" w:cstheme="minorHAnsi"/>
              </w:rPr>
              <w:t>Initial performance test</w:t>
            </w:r>
          </w:p>
        </w:tc>
        <w:tc>
          <w:tcPr>
            <w:tcW w:w="1606" w:type="pct"/>
          </w:tcPr>
          <w:p w:rsidR="00CE624C" w:rsidRPr="00071B69" w:rsidP="00CE624C" w14:paraId="59C44D95" w14:textId="77777777">
            <w:pPr>
              <w:spacing w:after="0" w:line="240" w:lineRule="auto"/>
              <w:contextualSpacing/>
              <w:rPr>
                <w:rFonts w:eastAsia="Arial" w:cstheme="minorHAnsi"/>
              </w:rPr>
            </w:pPr>
            <w:r w:rsidRPr="00071B69">
              <w:rPr>
                <w:rFonts w:eastAsia="Arial" w:cstheme="minorHAnsi"/>
              </w:rPr>
              <w:t xml:space="preserve"> </w:t>
            </w:r>
            <w:r w:rsidRPr="00071B69">
              <w:rPr>
                <w:rFonts w:cstheme="minorHAnsi"/>
              </w:rPr>
              <w:t>§</w:t>
            </w:r>
            <w:r w:rsidRPr="00071B69">
              <w:rPr>
                <w:rFonts w:eastAsia="Arial" w:cstheme="minorHAnsi"/>
              </w:rPr>
              <w:t>63.9620(a)-(g) and (k)</w:t>
            </w:r>
          </w:p>
        </w:tc>
      </w:tr>
      <w:tr w14:paraId="50A9DFA4" w14:textId="77777777" w:rsidTr="00CE624C">
        <w:tblPrEx>
          <w:tblW w:w="4998" w:type="pct"/>
          <w:tblInd w:w="4" w:type="dxa"/>
          <w:tblCellMar>
            <w:left w:w="0" w:type="dxa"/>
            <w:right w:w="0" w:type="dxa"/>
          </w:tblCellMar>
          <w:tblLook w:val="01E0"/>
        </w:tblPrEx>
        <w:trPr>
          <w:trHeight w:val="331"/>
        </w:trPr>
        <w:tc>
          <w:tcPr>
            <w:tcW w:w="3394" w:type="pct"/>
          </w:tcPr>
          <w:p w:rsidR="00CE624C" w:rsidRPr="00071B69" w:rsidP="00CE624C" w14:paraId="09CEF336" w14:textId="77777777">
            <w:pPr>
              <w:spacing w:after="0" w:line="240" w:lineRule="auto"/>
              <w:ind w:left="115" w:right="245"/>
              <w:contextualSpacing/>
              <w:rPr>
                <w:rFonts w:eastAsia="Arial" w:cstheme="minorHAnsi"/>
              </w:rPr>
            </w:pPr>
            <w:r w:rsidRPr="00071B69">
              <w:rPr>
                <w:rFonts w:eastAsia="Arial" w:cstheme="minorHAnsi"/>
              </w:rPr>
              <w:t>Subsequent performance tests</w:t>
            </w:r>
          </w:p>
        </w:tc>
        <w:tc>
          <w:tcPr>
            <w:tcW w:w="1606" w:type="pct"/>
          </w:tcPr>
          <w:p w:rsidR="00CE624C" w:rsidRPr="00071B69" w:rsidP="00CE624C" w14:paraId="63550B93" w14:textId="77777777">
            <w:pPr>
              <w:spacing w:after="0" w:line="240" w:lineRule="auto"/>
              <w:ind w:right="104"/>
              <w:contextualSpacing/>
              <w:rPr>
                <w:rFonts w:eastAsia="Arial" w:cstheme="minorHAnsi"/>
              </w:rPr>
            </w:pPr>
            <w:r w:rsidRPr="00071B69">
              <w:rPr>
                <w:rFonts w:eastAsia="Arial" w:cstheme="minorHAnsi"/>
              </w:rPr>
              <w:t xml:space="preserve"> </w:t>
            </w:r>
            <w:r w:rsidRPr="00071B69">
              <w:rPr>
                <w:rFonts w:cstheme="minorHAnsi"/>
              </w:rPr>
              <w:t>§</w:t>
            </w:r>
            <w:r w:rsidRPr="00071B69">
              <w:rPr>
                <w:rFonts w:eastAsia="Arial" w:cstheme="minorHAnsi"/>
              </w:rPr>
              <w:t>63.9630</w:t>
            </w:r>
          </w:p>
        </w:tc>
      </w:tr>
      <w:tr w14:paraId="27D2146E" w14:textId="77777777" w:rsidTr="004C2B62">
        <w:tblPrEx>
          <w:tblW w:w="4998" w:type="pct"/>
          <w:tblInd w:w="4" w:type="dxa"/>
          <w:tblCellMar>
            <w:left w:w="0" w:type="dxa"/>
            <w:right w:w="0" w:type="dxa"/>
          </w:tblCellMar>
          <w:tblLook w:val="01E0"/>
        </w:tblPrEx>
        <w:trPr>
          <w:trHeight w:val="412"/>
        </w:trPr>
        <w:tc>
          <w:tcPr>
            <w:tcW w:w="5000" w:type="pct"/>
            <w:gridSpan w:val="2"/>
          </w:tcPr>
          <w:p w:rsidR="00CE624C" w:rsidRPr="00071B69" w:rsidP="00CE624C" w14:paraId="1FF57D3B" w14:textId="77777777">
            <w:pPr>
              <w:spacing w:after="0" w:line="240" w:lineRule="auto"/>
              <w:contextualSpacing/>
              <w:jc w:val="center"/>
              <w:rPr>
                <w:rFonts w:eastAsia="Arial" w:cstheme="minorHAnsi"/>
              </w:rPr>
            </w:pPr>
            <w:r w:rsidRPr="00071B69">
              <w:rPr>
                <w:rFonts w:eastAsia="Arial" w:cstheme="minorHAnsi"/>
                <w:b/>
              </w:rPr>
              <w:t>Notifications</w:t>
            </w:r>
          </w:p>
        </w:tc>
      </w:tr>
      <w:tr w14:paraId="303FFF27" w14:textId="77777777" w:rsidTr="004C2B62">
        <w:tblPrEx>
          <w:tblW w:w="4998" w:type="pct"/>
          <w:tblInd w:w="4" w:type="dxa"/>
          <w:tblCellMar>
            <w:left w:w="0" w:type="dxa"/>
            <w:right w:w="0" w:type="dxa"/>
          </w:tblCellMar>
          <w:tblLook w:val="01E0"/>
        </w:tblPrEx>
        <w:trPr>
          <w:trHeight w:val="706"/>
        </w:trPr>
        <w:tc>
          <w:tcPr>
            <w:tcW w:w="3394" w:type="pct"/>
          </w:tcPr>
          <w:p w:rsidR="00CE624C" w:rsidRPr="00071B69" w:rsidP="00CE624C" w14:paraId="41668B30" w14:textId="77777777">
            <w:pPr>
              <w:tabs>
                <w:tab w:val="left" w:pos="2003"/>
              </w:tabs>
              <w:spacing w:after="0" w:line="240" w:lineRule="auto"/>
              <w:ind w:left="130" w:right="275"/>
              <w:contextualSpacing/>
              <w:rPr>
                <w:rFonts w:eastAsia="Arial" w:cstheme="minorHAnsi"/>
              </w:rPr>
            </w:pPr>
            <w:r w:rsidRPr="00071B69">
              <w:rPr>
                <w:rFonts w:eastAsia="Arial" w:cstheme="minorHAnsi"/>
              </w:rPr>
              <w:t>Notifications (initial, special compliance requirements, performance testing, CMS, and compliance status) and requests (alternative monitoring methods and extension of compliance)</w:t>
            </w:r>
          </w:p>
        </w:tc>
        <w:tc>
          <w:tcPr>
            <w:tcW w:w="1606" w:type="pct"/>
          </w:tcPr>
          <w:p w:rsidR="00CE624C" w:rsidRPr="00071B69" w:rsidP="00CE624C" w14:paraId="15F6985E" w14:textId="77777777">
            <w:pPr>
              <w:spacing w:after="0" w:line="240" w:lineRule="auto"/>
              <w:ind w:left="122" w:right="104"/>
              <w:contextualSpacing/>
              <w:rPr>
                <w:rFonts w:eastAsia="Arial" w:cstheme="minorHAnsi"/>
              </w:rPr>
            </w:pPr>
            <w:r w:rsidRPr="00071B69">
              <w:rPr>
                <w:rFonts w:cstheme="minorHAnsi"/>
              </w:rPr>
              <w:t>§</w:t>
            </w:r>
            <w:r w:rsidRPr="00071B69">
              <w:rPr>
                <w:rFonts w:eastAsia="Arial" w:cstheme="minorHAnsi"/>
              </w:rPr>
              <w:t xml:space="preserve">63.9640, </w:t>
            </w:r>
            <w:r w:rsidRPr="00071B69">
              <w:rPr>
                <w:rFonts w:cstheme="minorHAnsi"/>
              </w:rPr>
              <w:t>§</w:t>
            </w:r>
            <w:r w:rsidRPr="00071B69">
              <w:rPr>
                <w:rFonts w:eastAsia="Arial" w:cstheme="minorHAnsi"/>
              </w:rPr>
              <w:t xml:space="preserve">63.9590(c), </w:t>
            </w:r>
            <w:r w:rsidRPr="00071B69">
              <w:rPr>
                <w:rFonts w:cstheme="minorHAnsi"/>
              </w:rPr>
              <w:t>§</w:t>
            </w:r>
            <w:r w:rsidRPr="00071B69">
              <w:rPr>
                <w:rFonts w:eastAsia="Arial" w:cstheme="minorHAnsi"/>
              </w:rPr>
              <w:t xml:space="preserve">63.7(b)-(c), </w:t>
            </w:r>
            <w:r w:rsidRPr="00071B69">
              <w:rPr>
                <w:rFonts w:cstheme="minorHAnsi"/>
              </w:rPr>
              <w:t>§</w:t>
            </w:r>
            <w:r w:rsidRPr="00071B69">
              <w:rPr>
                <w:rFonts w:eastAsia="Arial" w:cstheme="minorHAnsi"/>
              </w:rPr>
              <w:t xml:space="preserve">63.8(f)(4), </w:t>
            </w:r>
            <w:r w:rsidRPr="00071B69">
              <w:rPr>
                <w:rFonts w:cstheme="minorHAnsi"/>
              </w:rPr>
              <w:t>§</w:t>
            </w:r>
            <w:r w:rsidRPr="00071B69">
              <w:rPr>
                <w:rFonts w:eastAsia="Arial" w:cstheme="minorHAnsi"/>
              </w:rPr>
              <w:t>63.9(b)-(h)</w:t>
            </w:r>
          </w:p>
        </w:tc>
      </w:tr>
      <w:tr w14:paraId="32BBED09" w14:textId="77777777" w:rsidTr="00CE624C">
        <w:tblPrEx>
          <w:tblW w:w="4998" w:type="pct"/>
          <w:tblInd w:w="4" w:type="dxa"/>
          <w:tblCellMar>
            <w:left w:w="0" w:type="dxa"/>
            <w:right w:w="0" w:type="dxa"/>
          </w:tblCellMar>
          <w:tblLook w:val="01E0"/>
        </w:tblPrEx>
        <w:trPr>
          <w:trHeight w:val="250"/>
        </w:trPr>
        <w:tc>
          <w:tcPr>
            <w:tcW w:w="3394" w:type="pct"/>
          </w:tcPr>
          <w:p w:rsidR="00CE624C" w:rsidRPr="00071B69" w:rsidP="00CE624C" w14:paraId="222C4D11" w14:textId="77777777">
            <w:pPr>
              <w:spacing w:after="0" w:line="240" w:lineRule="auto"/>
              <w:ind w:left="130" w:right="114"/>
              <w:contextualSpacing/>
              <w:rPr>
                <w:rFonts w:eastAsia="Arial" w:cstheme="minorHAnsi"/>
              </w:rPr>
            </w:pPr>
            <w:r w:rsidRPr="00071B69">
              <w:rPr>
                <w:rFonts w:eastAsia="Arial" w:cstheme="minorHAnsi"/>
              </w:rPr>
              <w:t>Initial notification due date - existing sources</w:t>
            </w:r>
          </w:p>
        </w:tc>
        <w:tc>
          <w:tcPr>
            <w:tcW w:w="1606" w:type="pct"/>
          </w:tcPr>
          <w:p w:rsidR="00CE624C" w:rsidRPr="00071B69" w:rsidP="00CE624C" w14:paraId="18954D1C" w14:textId="77777777">
            <w:pPr>
              <w:spacing w:after="0" w:line="240" w:lineRule="auto"/>
              <w:ind w:left="123" w:right="104"/>
              <w:contextualSpacing/>
              <w:rPr>
                <w:rFonts w:eastAsia="Arial" w:cstheme="minorHAnsi"/>
              </w:rPr>
            </w:pPr>
            <w:r w:rsidRPr="00071B69">
              <w:rPr>
                <w:rFonts w:cstheme="minorHAnsi"/>
              </w:rPr>
              <w:t>§</w:t>
            </w:r>
            <w:r w:rsidRPr="00071B69">
              <w:rPr>
                <w:rFonts w:eastAsia="Arial" w:cstheme="minorHAnsi"/>
              </w:rPr>
              <w:t xml:space="preserve">63.9640(b), </w:t>
            </w:r>
            <w:r w:rsidRPr="00071B69">
              <w:rPr>
                <w:rFonts w:cstheme="minorHAnsi"/>
              </w:rPr>
              <w:t>§</w:t>
            </w:r>
            <w:r w:rsidRPr="00071B69">
              <w:rPr>
                <w:rFonts w:eastAsia="Arial" w:cstheme="minorHAnsi"/>
              </w:rPr>
              <w:t>63.9(b)(2)</w:t>
            </w:r>
          </w:p>
        </w:tc>
      </w:tr>
      <w:tr w14:paraId="5DD86BD9" w14:textId="77777777" w:rsidTr="00CE624C">
        <w:tblPrEx>
          <w:tblW w:w="4998" w:type="pct"/>
          <w:tblInd w:w="4" w:type="dxa"/>
          <w:tblCellMar>
            <w:left w:w="0" w:type="dxa"/>
            <w:right w:w="0" w:type="dxa"/>
          </w:tblCellMar>
          <w:tblLook w:val="01E0"/>
        </w:tblPrEx>
        <w:trPr>
          <w:trHeight w:val="241"/>
        </w:trPr>
        <w:tc>
          <w:tcPr>
            <w:tcW w:w="3394" w:type="pct"/>
          </w:tcPr>
          <w:p w:rsidR="00CE624C" w:rsidRPr="00071B69" w:rsidP="00CE624C" w14:paraId="6E813F25" w14:textId="77777777">
            <w:pPr>
              <w:spacing w:after="0" w:line="240" w:lineRule="auto"/>
              <w:ind w:left="130" w:right="114"/>
              <w:contextualSpacing/>
              <w:rPr>
                <w:rFonts w:eastAsia="Arial" w:cstheme="minorHAnsi"/>
              </w:rPr>
            </w:pPr>
            <w:r w:rsidRPr="00071B69">
              <w:rPr>
                <w:rFonts w:eastAsia="Arial" w:cstheme="minorHAnsi"/>
              </w:rPr>
              <w:t>Initial notification due date - new sources</w:t>
            </w:r>
          </w:p>
        </w:tc>
        <w:tc>
          <w:tcPr>
            <w:tcW w:w="1606" w:type="pct"/>
          </w:tcPr>
          <w:p w:rsidR="00CE624C" w:rsidRPr="00071B69" w:rsidP="00CE624C" w14:paraId="6F605637" w14:textId="77777777">
            <w:pPr>
              <w:spacing w:after="0" w:line="240" w:lineRule="auto"/>
              <w:ind w:left="123" w:right="104"/>
              <w:contextualSpacing/>
              <w:rPr>
                <w:rFonts w:eastAsia="Arial" w:cstheme="minorHAnsi"/>
              </w:rPr>
            </w:pPr>
            <w:r w:rsidRPr="00071B69">
              <w:rPr>
                <w:rFonts w:cstheme="minorHAnsi"/>
              </w:rPr>
              <w:t>§</w:t>
            </w:r>
            <w:r w:rsidRPr="00071B69">
              <w:rPr>
                <w:rFonts w:eastAsia="Arial" w:cstheme="minorHAnsi"/>
              </w:rPr>
              <w:t xml:space="preserve">63.9640(c), </w:t>
            </w:r>
            <w:r w:rsidRPr="00071B69">
              <w:rPr>
                <w:rFonts w:cstheme="minorHAnsi"/>
              </w:rPr>
              <w:t>§</w:t>
            </w:r>
            <w:r w:rsidRPr="00071B69">
              <w:rPr>
                <w:rFonts w:eastAsia="Arial" w:cstheme="minorHAnsi"/>
              </w:rPr>
              <w:t>63.9(b)(3)</w:t>
            </w:r>
          </w:p>
        </w:tc>
      </w:tr>
      <w:tr w14:paraId="7A737E34" w14:textId="77777777" w:rsidTr="00CE624C">
        <w:tblPrEx>
          <w:tblW w:w="4998" w:type="pct"/>
          <w:tblInd w:w="4" w:type="dxa"/>
          <w:tblCellMar>
            <w:left w:w="0" w:type="dxa"/>
            <w:right w:w="0" w:type="dxa"/>
          </w:tblCellMar>
          <w:tblLook w:val="01E0"/>
        </w:tblPrEx>
        <w:trPr>
          <w:trHeight w:val="223"/>
        </w:trPr>
        <w:tc>
          <w:tcPr>
            <w:tcW w:w="3394" w:type="pct"/>
          </w:tcPr>
          <w:p w:rsidR="00CE624C" w:rsidRPr="00071B69" w:rsidP="00CE624C" w14:paraId="52AE4503" w14:textId="77777777">
            <w:pPr>
              <w:spacing w:after="0" w:line="240" w:lineRule="auto"/>
              <w:ind w:left="130" w:right="131"/>
              <w:contextualSpacing/>
              <w:rPr>
                <w:rFonts w:eastAsia="Arial" w:cstheme="minorHAnsi"/>
              </w:rPr>
            </w:pPr>
            <w:r w:rsidRPr="00071B69">
              <w:rPr>
                <w:rFonts w:eastAsia="Arial" w:cstheme="minorHAnsi"/>
              </w:rPr>
              <w:t>Notification of intent to conduct a performance test due date</w:t>
            </w:r>
          </w:p>
        </w:tc>
        <w:tc>
          <w:tcPr>
            <w:tcW w:w="1606" w:type="pct"/>
          </w:tcPr>
          <w:p w:rsidR="00CE624C" w:rsidRPr="00071B69" w:rsidP="00CE624C" w14:paraId="029A747D" w14:textId="77777777">
            <w:pPr>
              <w:spacing w:after="0" w:line="240" w:lineRule="auto"/>
              <w:ind w:left="123" w:right="104"/>
              <w:contextualSpacing/>
              <w:rPr>
                <w:rFonts w:eastAsia="Arial" w:cstheme="minorHAnsi"/>
              </w:rPr>
            </w:pPr>
            <w:r w:rsidRPr="00071B69">
              <w:rPr>
                <w:rFonts w:cstheme="minorHAnsi"/>
              </w:rPr>
              <w:t>§</w:t>
            </w:r>
            <w:r w:rsidRPr="00071B69">
              <w:rPr>
                <w:rFonts w:eastAsia="Arial" w:cstheme="minorHAnsi"/>
              </w:rPr>
              <w:t xml:space="preserve">63.9640(d), </w:t>
            </w:r>
            <w:r w:rsidRPr="00071B69">
              <w:rPr>
                <w:rFonts w:cstheme="minorHAnsi"/>
              </w:rPr>
              <w:t>§</w:t>
            </w:r>
            <w:r w:rsidRPr="00071B69">
              <w:rPr>
                <w:rFonts w:eastAsia="Arial" w:cstheme="minorHAnsi"/>
              </w:rPr>
              <w:t>63.7(b)(1)</w:t>
            </w:r>
          </w:p>
        </w:tc>
      </w:tr>
      <w:tr w14:paraId="2F78523D" w14:textId="77777777" w:rsidTr="006F365D">
        <w:tblPrEx>
          <w:tblW w:w="4998" w:type="pct"/>
          <w:tblInd w:w="4" w:type="dxa"/>
          <w:tblCellMar>
            <w:left w:w="0" w:type="dxa"/>
            <w:right w:w="0" w:type="dxa"/>
          </w:tblCellMar>
          <w:tblLook w:val="01E0"/>
        </w:tblPrEx>
        <w:trPr>
          <w:trHeight w:val="286"/>
        </w:trPr>
        <w:tc>
          <w:tcPr>
            <w:tcW w:w="3394" w:type="pct"/>
          </w:tcPr>
          <w:p w:rsidR="00CE624C" w:rsidRPr="00071B69" w:rsidP="00CE624C" w14:paraId="3BBD83D5" w14:textId="77777777">
            <w:pPr>
              <w:pStyle w:val="TableParagraph"/>
              <w:spacing w:before="0"/>
              <w:ind w:left="130" w:right="258"/>
              <w:contextualSpacing/>
              <w:jc w:val="left"/>
              <w:rPr>
                <w:rFonts w:asciiTheme="minorHAnsi" w:hAnsiTheme="minorHAnsi" w:cstheme="minorHAnsi"/>
              </w:rPr>
            </w:pPr>
            <w:r w:rsidRPr="00071B69">
              <w:rPr>
                <w:rFonts w:asciiTheme="minorHAnsi" w:hAnsiTheme="minorHAnsi" w:cstheme="minorHAnsi"/>
              </w:rPr>
              <w:t>Initial notification of compliance status due date</w:t>
            </w:r>
          </w:p>
        </w:tc>
        <w:tc>
          <w:tcPr>
            <w:tcW w:w="1606" w:type="pct"/>
          </w:tcPr>
          <w:p w:rsidR="00CE624C" w:rsidRPr="00071B69" w:rsidP="00CE624C" w14:paraId="7077655B" w14:textId="77777777">
            <w:pPr>
              <w:pStyle w:val="TableParagraph"/>
              <w:spacing w:before="0"/>
              <w:ind w:left="148" w:right="184"/>
              <w:contextualSpacing/>
              <w:jc w:val="left"/>
              <w:rPr>
                <w:rFonts w:asciiTheme="minorHAnsi" w:hAnsiTheme="minorHAnsi" w:cstheme="minorHAnsi"/>
              </w:rPr>
            </w:pPr>
            <w:r w:rsidRPr="00071B69">
              <w:rPr>
                <w:rFonts w:asciiTheme="minorHAnsi" w:hAnsiTheme="minorHAnsi" w:cstheme="minorHAnsi"/>
              </w:rPr>
              <w:t>§63.9640(e), §63.9(h)(2)(ii)</w:t>
            </w:r>
          </w:p>
        </w:tc>
      </w:tr>
      <w:tr w14:paraId="0387C370" w14:textId="77777777" w:rsidTr="006F365D">
        <w:tblPrEx>
          <w:tblW w:w="4998" w:type="pct"/>
          <w:tblInd w:w="4" w:type="dxa"/>
          <w:tblCellMar>
            <w:left w:w="0" w:type="dxa"/>
            <w:right w:w="0" w:type="dxa"/>
          </w:tblCellMar>
          <w:tblLook w:val="01E0"/>
        </w:tblPrEx>
        <w:trPr>
          <w:trHeight w:val="520"/>
        </w:trPr>
        <w:tc>
          <w:tcPr>
            <w:tcW w:w="3394" w:type="pct"/>
          </w:tcPr>
          <w:p w:rsidR="00CE624C" w:rsidRPr="00071B69" w:rsidP="00CE624C" w14:paraId="35F7C381"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Notification of request to conduct a performance test to revise the operating limit</w:t>
            </w:r>
          </w:p>
        </w:tc>
        <w:tc>
          <w:tcPr>
            <w:tcW w:w="1606" w:type="pct"/>
          </w:tcPr>
          <w:p w:rsidR="00CE624C" w:rsidRPr="00071B69" w:rsidP="00CE624C" w14:paraId="7D14016E" w14:textId="77777777">
            <w:pPr>
              <w:spacing w:after="0" w:line="240" w:lineRule="auto"/>
              <w:ind w:left="123" w:right="104"/>
              <w:contextualSpacing/>
              <w:rPr>
                <w:rFonts w:cstheme="minorHAnsi"/>
              </w:rPr>
            </w:pPr>
            <w:r w:rsidRPr="00071B69">
              <w:rPr>
                <w:rFonts w:cstheme="minorHAnsi"/>
              </w:rPr>
              <w:t>§63.9622(f)</w:t>
            </w:r>
          </w:p>
        </w:tc>
      </w:tr>
      <w:tr w14:paraId="30EED883" w14:textId="77777777" w:rsidTr="00CE624C">
        <w:tblPrEx>
          <w:tblW w:w="4998" w:type="pct"/>
          <w:tblInd w:w="4" w:type="dxa"/>
          <w:tblCellMar>
            <w:left w:w="0" w:type="dxa"/>
            <w:right w:w="0" w:type="dxa"/>
          </w:tblCellMar>
          <w:tblLook w:val="01E0"/>
        </w:tblPrEx>
        <w:trPr>
          <w:trHeight w:val="286"/>
        </w:trPr>
        <w:tc>
          <w:tcPr>
            <w:tcW w:w="3394" w:type="pct"/>
          </w:tcPr>
          <w:p w:rsidR="00CE624C" w:rsidRPr="00071B69" w:rsidP="00CE624C" w14:paraId="0A615783"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Implementation Plan for Mercury Emissions Averaging</w:t>
            </w:r>
          </w:p>
        </w:tc>
        <w:tc>
          <w:tcPr>
            <w:tcW w:w="1606" w:type="pct"/>
          </w:tcPr>
          <w:p w:rsidR="00CE624C" w:rsidRPr="00071B69" w:rsidP="00CE624C" w14:paraId="5366FC6E" w14:textId="77777777">
            <w:pPr>
              <w:spacing w:after="0" w:line="240" w:lineRule="auto"/>
              <w:ind w:left="123" w:right="104"/>
              <w:contextualSpacing/>
              <w:rPr>
                <w:rFonts w:cstheme="minorHAnsi"/>
              </w:rPr>
            </w:pPr>
            <w:r w:rsidRPr="00071B69">
              <w:rPr>
                <w:rFonts w:cstheme="minorHAnsi"/>
              </w:rPr>
              <w:t>§63.9623(d)(2),</w:t>
            </w:r>
          </w:p>
        </w:tc>
      </w:tr>
      <w:tr w14:paraId="2CEFE564" w14:textId="77777777" w:rsidTr="006F365D">
        <w:tblPrEx>
          <w:tblW w:w="4998" w:type="pct"/>
          <w:tblInd w:w="4" w:type="dxa"/>
          <w:tblCellMar>
            <w:left w:w="0" w:type="dxa"/>
            <w:right w:w="0" w:type="dxa"/>
          </w:tblCellMar>
          <w:tblLook w:val="01E0"/>
        </w:tblPrEx>
        <w:trPr>
          <w:trHeight w:val="277"/>
        </w:trPr>
        <w:tc>
          <w:tcPr>
            <w:tcW w:w="5000" w:type="pct"/>
            <w:gridSpan w:val="2"/>
          </w:tcPr>
          <w:p w:rsidR="00CE624C" w:rsidRPr="00071B69" w:rsidP="00CE624C" w14:paraId="55F4D72E" w14:textId="77777777">
            <w:pPr>
              <w:spacing w:after="0" w:line="240" w:lineRule="auto"/>
              <w:ind w:left="123" w:right="104"/>
              <w:contextualSpacing/>
              <w:jc w:val="center"/>
              <w:rPr>
                <w:rFonts w:cstheme="minorHAnsi"/>
              </w:rPr>
            </w:pPr>
            <w:r w:rsidRPr="00071B69">
              <w:rPr>
                <w:rFonts w:cstheme="minorHAnsi"/>
                <w:b/>
              </w:rPr>
              <w:t>Reports</w:t>
            </w:r>
          </w:p>
        </w:tc>
      </w:tr>
      <w:tr w14:paraId="0D232365" w14:textId="77777777" w:rsidTr="00CE624C">
        <w:tblPrEx>
          <w:tblW w:w="4998" w:type="pct"/>
          <w:tblInd w:w="4" w:type="dxa"/>
          <w:tblCellMar>
            <w:left w:w="0" w:type="dxa"/>
            <w:right w:w="0" w:type="dxa"/>
          </w:tblCellMar>
          <w:tblLook w:val="01E0"/>
        </w:tblPrEx>
        <w:trPr>
          <w:trHeight w:val="277"/>
        </w:trPr>
        <w:tc>
          <w:tcPr>
            <w:tcW w:w="3394" w:type="pct"/>
          </w:tcPr>
          <w:p w:rsidR="00CE624C" w:rsidRPr="00071B69" w:rsidP="00CE624C" w14:paraId="0A3FF377" w14:textId="77777777">
            <w:pPr>
              <w:pStyle w:val="TableParagraph"/>
              <w:spacing w:before="0"/>
              <w:ind w:left="130" w:right="114"/>
              <w:contextualSpacing/>
              <w:jc w:val="left"/>
              <w:rPr>
                <w:rFonts w:asciiTheme="minorHAnsi" w:hAnsiTheme="minorHAnsi" w:cstheme="minorHAnsi"/>
                <w:b/>
              </w:rPr>
            </w:pPr>
            <w:r w:rsidRPr="00071B69">
              <w:rPr>
                <w:rFonts w:asciiTheme="minorHAnsi" w:hAnsiTheme="minorHAnsi" w:cstheme="minorHAnsi"/>
              </w:rPr>
              <w:t>Semiannual compliance report due date</w:t>
            </w:r>
          </w:p>
        </w:tc>
        <w:tc>
          <w:tcPr>
            <w:tcW w:w="1606" w:type="pct"/>
          </w:tcPr>
          <w:p w:rsidR="00CE624C" w:rsidRPr="00071B69" w:rsidP="00CE624C" w14:paraId="526BD04E" w14:textId="77777777">
            <w:pPr>
              <w:spacing w:after="0" w:line="240" w:lineRule="auto"/>
              <w:ind w:left="123" w:right="104"/>
              <w:contextualSpacing/>
              <w:rPr>
                <w:rFonts w:cstheme="minorHAnsi"/>
              </w:rPr>
            </w:pPr>
            <w:r w:rsidRPr="00071B69">
              <w:rPr>
                <w:rFonts w:cstheme="minorHAnsi"/>
              </w:rPr>
              <w:t>§63.9641(a), §63.8(c)(7)-(8)</w:t>
            </w:r>
          </w:p>
        </w:tc>
      </w:tr>
      <w:tr w14:paraId="49116F6B" w14:textId="77777777" w:rsidTr="00CE624C">
        <w:tblPrEx>
          <w:tblW w:w="4998" w:type="pct"/>
          <w:tblInd w:w="4" w:type="dxa"/>
          <w:tblCellMar>
            <w:left w:w="0" w:type="dxa"/>
            <w:right w:w="0" w:type="dxa"/>
          </w:tblCellMar>
          <w:tblLook w:val="01E0"/>
        </w:tblPrEx>
        <w:trPr>
          <w:trHeight w:val="421"/>
        </w:trPr>
        <w:tc>
          <w:tcPr>
            <w:tcW w:w="3394" w:type="pct"/>
          </w:tcPr>
          <w:p w:rsidR="00CE624C" w:rsidRPr="00071B69" w:rsidP="00CE624C" w14:paraId="1811921D" w14:textId="77777777">
            <w:pPr>
              <w:pStyle w:val="TableParagraph"/>
              <w:spacing w:before="0"/>
              <w:ind w:left="130" w:right="114"/>
              <w:contextualSpacing/>
              <w:jc w:val="left"/>
              <w:rPr>
                <w:rFonts w:asciiTheme="minorHAnsi" w:hAnsiTheme="minorHAnsi" w:cstheme="minorHAnsi"/>
                <w:b/>
              </w:rPr>
            </w:pPr>
            <w:r w:rsidRPr="00071B69">
              <w:rPr>
                <w:rFonts w:asciiTheme="minorHAnsi" w:hAnsiTheme="minorHAnsi" w:cstheme="minorHAnsi"/>
              </w:rPr>
              <w:t>Semiannual compliance report contents</w:t>
            </w:r>
          </w:p>
        </w:tc>
        <w:tc>
          <w:tcPr>
            <w:tcW w:w="1606" w:type="pct"/>
          </w:tcPr>
          <w:p w:rsidR="00CE624C" w:rsidRPr="00071B69" w:rsidP="00CE624C" w14:paraId="751F33C1" w14:textId="77777777">
            <w:pPr>
              <w:spacing w:after="0" w:line="240" w:lineRule="auto"/>
              <w:ind w:left="123" w:right="104"/>
              <w:contextualSpacing/>
              <w:rPr>
                <w:rFonts w:cstheme="minorHAnsi"/>
              </w:rPr>
            </w:pPr>
            <w:r w:rsidRPr="00071B69">
              <w:rPr>
                <w:rFonts w:cstheme="minorHAnsi"/>
              </w:rPr>
              <w:t>§63.9641(b), §63.8(c)(7)-(8)</w:t>
            </w:r>
          </w:p>
        </w:tc>
      </w:tr>
      <w:tr w14:paraId="0024E388" w14:textId="77777777" w:rsidTr="00CE624C">
        <w:tblPrEx>
          <w:tblW w:w="4998" w:type="pct"/>
          <w:tblInd w:w="4" w:type="dxa"/>
          <w:tblCellMar>
            <w:left w:w="0" w:type="dxa"/>
            <w:right w:w="0" w:type="dxa"/>
          </w:tblCellMar>
          <w:tblLook w:val="01E0"/>
        </w:tblPrEx>
        <w:trPr>
          <w:trHeight w:val="331"/>
        </w:trPr>
        <w:tc>
          <w:tcPr>
            <w:tcW w:w="3394" w:type="pct"/>
          </w:tcPr>
          <w:p w:rsidR="00CE624C" w:rsidRPr="00071B69" w:rsidP="00CE624C" w14:paraId="3CEC42E6"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Part 70 monitoring report</w:t>
            </w:r>
          </w:p>
        </w:tc>
        <w:tc>
          <w:tcPr>
            <w:tcW w:w="1606" w:type="pct"/>
          </w:tcPr>
          <w:p w:rsidR="00CE624C" w:rsidRPr="00071B69" w:rsidP="00CE624C" w14:paraId="4ECF4207" w14:textId="77777777">
            <w:pPr>
              <w:spacing w:after="0" w:line="240" w:lineRule="auto"/>
              <w:ind w:left="123" w:right="104"/>
              <w:contextualSpacing/>
              <w:rPr>
                <w:rFonts w:cstheme="minorHAnsi"/>
              </w:rPr>
            </w:pPr>
            <w:r w:rsidRPr="00071B69">
              <w:rPr>
                <w:rFonts w:cstheme="minorHAnsi"/>
              </w:rPr>
              <w:t>§63.9641(d)</w:t>
            </w:r>
          </w:p>
        </w:tc>
      </w:tr>
      <w:tr w14:paraId="397D646B" w14:textId="77777777" w:rsidTr="00CE624C">
        <w:tblPrEx>
          <w:tblW w:w="4998" w:type="pct"/>
          <w:tblInd w:w="4" w:type="dxa"/>
          <w:tblCellMar>
            <w:left w:w="0" w:type="dxa"/>
            <w:right w:w="0" w:type="dxa"/>
          </w:tblCellMar>
          <w:tblLook w:val="01E0"/>
        </w:tblPrEx>
        <w:trPr>
          <w:trHeight w:val="268"/>
        </w:trPr>
        <w:tc>
          <w:tcPr>
            <w:tcW w:w="3394" w:type="pct"/>
          </w:tcPr>
          <w:p w:rsidR="00CE624C" w:rsidRPr="00071B69" w:rsidP="00CE624C" w14:paraId="22399BD8"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Fugitive dust emissions control plan</w:t>
            </w:r>
          </w:p>
        </w:tc>
        <w:tc>
          <w:tcPr>
            <w:tcW w:w="1606" w:type="pct"/>
          </w:tcPr>
          <w:p w:rsidR="00CE624C" w:rsidRPr="00071B69" w:rsidP="00CE624C" w14:paraId="171C733B" w14:textId="77777777">
            <w:pPr>
              <w:spacing w:after="0" w:line="240" w:lineRule="auto"/>
              <w:ind w:left="123" w:right="104"/>
              <w:contextualSpacing/>
              <w:rPr>
                <w:rFonts w:cstheme="minorHAnsi"/>
              </w:rPr>
            </w:pPr>
            <w:r w:rsidRPr="00071B69">
              <w:rPr>
                <w:rFonts w:cstheme="minorHAnsi"/>
              </w:rPr>
              <w:t>§63.9591</w:t>
            </w:r>
          </w:p>
        </w:tc>
      </w:tr>
      <w:tr w14:paraId="7B4A3F3B" w14:textId="77777777" w:rsidTr="00CE624C">
        <w:tblPrEx>
          <w:tblW w:w="4998" w:type="pct"/>
          <w:tblInd w:w="4" w:type="dxa"/>
          <w:tblCellMar>
            <w:left w:w="0" w:type="dxa"/>
            <w:right w:w="0" w:type="dxa"/>
          </w:tblCellMar>
          <w:tblLook w:val="01E0"/>
        </w:tblPrEx>
        <w:trPr>
          <w:trHeight w:val="322"/>
        </w:trPr>
        <w:tc>
          <w:tcPr>
            <w:tcW w:w="3394" w:type="pct"/>
          </w:tcPr>
          <w:p w:rsidR="00CE624C" w:rsidRPr="00071B69" w:rsidP="00CE624C" w14:paraId="1A822960"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Operation and maintenance plan</w:t>
            </w:r>
          </w:p>
        </w:tc>
        <w:tc>
          <w:tcPr>
            <w:tcW w:w="1606" w:type="pct"/>
          </w:tcPr>
          <w:p w:rsidR="00CE624C" w:rsidRPr="00071B69" w:rsidP="00CE624C" w14:paraId="0E7A0CD0" w14:textId="77777777">
            <w:pPr>
              <w:spacing w:after="0" w:line="240" w:lineRule="auto"/>
              <w:ind w:left="123" w:right="104"/>
              <w:contextualSpacing/>
              <w:rPr>
                <w:rFonts w:cstheme="minorHAnsi"/>
              </w:rPr>
            </w:pPr>
            <w:r w:rsidRPr="00071B69">
              <w:rPr>
                <w:rFonts w:cstheme="minorHAnsi"/>
              </w:rPr>
              <w:t>§63.9600(b)</w:t>
            </w:r>
          </w:p>
        </w:tc>
      </w:tr>
      <w:tr w14:paraId="16B57DE5" w14:textId="77777777" w:rsidTr="00CE624C">
        <w:tblPrEx>
          <w:tblW w:w="4998" w:type="pct"/>
          <w:tblInd w:w="4" w:type="dxa"/>
          <w:tblCellMar>
            <w:left w:w="0" w:type="dxa"/>
            <w:right w:w="0" w:type="dxa"/>
          </w:tblCellMar>
          <w:tblLook w:val="01E0"/>
        </w:tblPrEx>
        <w:trPr>
          <w:trHeight w:val="331"/>
        </w:trPr>
        <w:tc>
          <w:tcPr>
            <w:tcW w:w="3394" w:type="pct"/>
          </w:tcPr>
          <w:p w:rsidR="00CE624C" w:rsidRPr="00071B69" w:rsidP="00CE624C" w14:paraId="6A68B90F"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Testing Plan for testing representative units</w:t>
            </w:r>
          </w:p>
        </w:tc>
        <w:tc>
          <w:tcPr>
            <w:tcW w:w="1606" w:type="pct"/>
          </w:tcPr>
          <w:p w:rsidR="00CE624C" w:rsidRPr="00071B69" w:rsidP="00CE624C" w14:paraId="4E9073C0" w14:textId="77777777">
            <w:pPr>
              <w:pStyle w:val="TableParagraph"/>
              <w:spacing w:before="0"/>
              <w:ind w:left="123" w:right="104"/>
              <w:contextualSpacing/>
              <w:jc w:val="left"/>
              <w:rPr>
                <w:rFonts w:asciiTheme="minorHAnsi" w:hAnsiTheme="minorHAnsi" w:cstheme="minorHAnsi"/>
              </w:rPr>
            </w:pPr>
            <w:r w:rsidRPr="00071B69">
              <w:rPr>
                <w:rFonts w:asciiTheme="minorHAnsi" w:hAnsiTheme="minorHAnsi" w:cstheme="minorHAnsi"/>
              </w:rPr>
              <w:t>§63.9620(e)-(g)</w:t>
            </w:r>
          </w:p>
        </w:tc>
      </w:tr>
      <w:tr w14:paraId="2408A39D" w14:textId="77777777" w:rsidTr="00CE624C">
        <w:tblPrEx>
          <w:tblW w:w="4998" w:type="pct"/>
          <w:tblInd w:w="4" w:type="dxa"/>
          <w:tblCellMar>
            <w:left w:w="0" w:type="dxa"/>
            <w:right w:w="0" w:type="dxa"/>
          </w:tblCellMar>
          <w:tblLook w:val="01E0"/>
        </w:tblPrEx>
        <w:trPr>
          <w:trHeight w:val="340"/>
        </w:trPr>
        <w:tc>
          <w:tcPr>
            <w:tcW w:w="3394" w:type="pct"/>
          </w:tcPr>
          <w:p w:rsidR="00CE624C" w:rsidRPr="00071B69" w:rsidP="00CE624C" w14:paraId="4BAB784E"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Testing Plan for plants without a Title V permit</w:t>
            </w:r>
          </w:p>
        </w:tc>
        <w:tc>
          <w:tcPr>
            <w:tcW w:w="1606" w:type="pct"/>
          </w:tcPr>
          <w:p w:rsidR="00CE624C" w:rsidRPr="00071B69" w:rsidP="00CE624C" w14:paraId="0C33386F" w14:textId="77777777">
            <w:pPr>
              <w:pStyle w:val="TableParagraph"/>
              <w:spacing w:before="0"/>
              <w:ind w:left="133"/>
              <w:contextualSpacing/>
              <w:jc w:val="left"/>
              <w:rPr>
                <w:rFonts w:asciiTheme="minorHAnsi" w:hAnsiTheme="minorHAnsi" w:cstheme="minorHAnsi"/>
              </w:rPr>
            </w:pPr>
            <w:r w:rsidRPr="00071B69">
              <w:rPr>
                <w:rFonts w:asciiTheme="minorHAnsi" w:hAnsiTheme="minorHAnsi" w:cstheme="minorHAnsi"/>
              </w:rPr>
              <w:t>§63.9630(a)-(e)</w:t>
            </w:r>
          </w:p>
        </w:tc>
      </w:tr>
      <w:tr w14:paraId="6D8D2D1A" w14:textId="77777777" w:rsidTr="00CE624C">
        <w:tblPrEx>
          <w:tblW w:w="4998" w:type="pct"/>
          <w:tblInd w:w="4" w:type="dxa"/>
          <w:tblCellMar>
            <w:left w:w="0" w:type="dxa"/>
            <w:right w:w="0" w:type="dxa"/>
          </w:tblCellMar>
          <w:tblLook w:val="01E0"/>
        </w:tblPrEx>
        <w:trPr>
          <w:trHeight w:val="349"/>
        </w:trPr>
        <w:tc>
          <w:tcPr>
            <w:tcW w:w="3394" w:type="pct"/>
          </w:tcPr>
          <w:p w:rsidR="00CE624C" w:rsidRPr="00071B69" w:rsidP="00CE624C" w14:paraId="7A7974BB"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Site-specific monitoring plan for controls not listed</w:t>
            </w:r>
          </w:p>
        </w:tc>
        <w:tc>
          <w:tcPr>
            <w:tcW w:w="1606" w:type="pct"/>
          </w:tcPr>
          <w:p w:rsidR="00CE624C" w:rsidRPr="00071B69" w:rsidP="00CE624C" w14:paraId="20801AB4" w14:textId="77777777">
            <w:pPr>
              <w:spacing w:after="0" w:line="240" w:lineRule="auto"/>
              <w:ind w:left="123" w:right="104"/>
              <w:contextualSpacing/>
              <w:rPr>
                <w:rFonts w:cstheme="minorHAnsi"/>
              </w:rPr>
            </w:pPr>
            <w:r w:rsidRPr="00071B69">
              <w:rPr>
                <w:rFonts w:cstheme="minorHAnsi"/>
              </w:rPr>
              <w:t>§63.9631(f)</w:t>
            </w:r>
          </w:p>
        </w:tc>
      </w:tr>
      <w:tr w14:paraId="05A9CC77" w14:textId="77777777" w:rsidTr="00CE624C">
        <w:tblPrEx>
          <w:tblW w:w="4998" w:type="pct"/>
          <w:tblInd w:w="4" w:type="dxa"/>
          <w:tblCellMar>
            <w:left w:w="0" w:type="dxa"/>
            <w:right w:w="0" w:type="dxa"/>
          </w:tblCellMar>
          <w:tblLook w:val="01E0"/>
        </w:tblPrEx>
        <w:trPr>
          <w:trHeight w:val="250"/>
        </w:trPr>
        <w:tc>
          <w:tcPr>
            <w:tcW w:w="3394" w:type="pct"/>
          </w:tcPr>
          <w:p w:rsidR="00CE624C" w:rsidRPr="00071B69" w:rsidP="00CE624C" w14:paraId="5C0823BF"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Site-specific monitoring plan for CPMS</w:t>
            </w:r>
          </w:p>
        </w:tc>
        <w:tc>
          <w:tcPr>
            <w:tcW w:w="1606" w:type="pct"/>
          </w:tcPr>
          <w:p w:rsidR="00CE624C" w:rsidRPr="00071B69" w:rsidP="00CE624C" w14:paraId="3F504668" w14:textId="77777777">
            <w:pPr>
              <w:spacing w:after="0" w:line="240" w:lineRule="auto"/>
              <w:ind w:left="123" w:right="104"/>
              <w:contextualSpacing/>
              <w:rPr>
                <w:rFonts w:cstheme="minorHAnsi"/>
              </w:rPr>
            </w:pPr>
            <w:r w:rsidRPr="00071B69">
              <w:rPr>
                <w:rFonts w:cstheme="minorHAnsi"/>
              </w:rPr>
              <w:t>§63.9632(b)</w:t>
            </w:r>
          </w:p>
        </w:tc>
      </w:tr>
      <w:tr w14:paraId="526C0945" w14:textId="77777777" w:rsidTr="00CE624C">
        <w:tblPrEx>
          <w:tblW w:w="4998" w:type="pct"/>
          <w:tblInd w:w="4" w:type="dxa"/>
          <w:tblCellMar>
            <w:left w:w="0" w:type="dxa"/>
            <w:right w:w="0" w:type="dxa"/>
          </w:tblCellMar>
          <w:tblLook w:val="01E0"/>
        </w:tblPrEx>
        <w:trPr>
          <w:trHeight w:val="313"/>
        </w:trPr>
        <w:tc>
          <w:tcPr>
            <w:tcW w:w="3394" w:type="pct"/>
          </w:tcPr>
          <w:p w:rsidR="00CE624C" w:rsidRPr="00071B69" w:rsidP="00CE624C" w14:paraId="5E15AC0C"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Site-specific monitoring plan for baghouses</w:t>
            </w:r>
          </w:p>
        </w:tc>
        <w:tc>
          <w:tcPr>
            <w:tcW w:w="1606" w:type="pct"/>
          </w:tcPr>
          <w:p w:rsidR="00CE624C" w:rsidRPr="00071B69" w:rsidP="00CE624C" w14:paraId="007638C2" w14:textId="77777777">
            <w:pPr>
              <w:spacing w:after="0" w:line="240" w:lineRule="auto"/>
              <w:ind w:left="123" w:right="104"/>
              <w:contextualSpacing/>
              <w:rPr>
                <w:rFonts w:cstheme="minorHAnsi"/>
              </w:rPr>
            </w:pPr>
            <w:r w:rsidRPr="00071B69">
              <w:rPr>
                <w:rFonts w:cstheme="minorHAnsi"/>
              </w:rPr>
              <w:t>§63.9632(a)(5)</w:t>
            </w:r>
          </w:p>
        </w:tc>
      </w:tr>
      <w:tr w14:paraId="17F71719" w14:textId="77777777" w:rsidTr="006F365D">
        <w:tblPrEx>
          <w:tblW w:w="4998" w:type="pct"/>
          <w:tblInd w:w="4" w:type="dxa"/>
          <w:tblCellMar>
            <w:left w:w="0" w:type="dxa"/>
            <w:right w:w="0" w:type="dxa"/>
          </w:tblCellMar>
          <w:tblLook w:val="01E0"/>
        </w:tblPrEx>
        <w:trPr>
          <w:trHeight w:val="250"/>
        </w:trPr>
        <w:tc>
          <w:tcPr>
            <w:tcW w:w="5000" w:type="pct"/>
            <w:gridSpan w:val="2"/>
          </w:tcPr>
          <w:p w:rsidR="00CE624C" w:rsidRPr="00071B69" w:rsidP="00CE624C" w14:paraId="15AC8F03" w14:textId="77777777">
            <w:pPr>
              <w:spacing w:after="0" w:line="240" w:lineRule="auto"/>
              <w:ind w:left="123" w:right="104"/>
              <w:contextualSpacing/>
              <w:jc w:val="center"/>
              <w:rPr>
                <w:rFonts w:cstheme="minorHAnsi"/>
              </w:rPr>
            </w:pPr>
            <w:r w:rsidRPr="00071B69">
              <w:rPr>
                <w:rFonts w:cstheme="minorHAnsi"/>
                <w:b/>
              </w:rPr>
              <w:t>Recordkeeping</w:t>
            </w:r>
          </w:p>
        </w:tc>
      </w:tr>
      <w:tr w14:paraId="4BA6ACBE" w14:textId="77777777" w:rsidTr="006F365D">
        <w:tblPrEx>
          <w:tblW w:w="4998" w:type="pct"/>
          <w:tblInd w:w="4" w:type="dxa"/>
          <w:tblCellMar>
            <w:left w:w="0" w:type="dxa"/>
            <w:right w:w="0" w:type="dxa"/>
          </w:tblCellMar>
          <w:tblLook w:val="01E0"/>
        </w:tblPrEx>
        <w:trPr>
          <w:trHeight w:val="511"/>
        </w:trPr>
        <w:tc>
          <w:tcPr>
            <w:tcW w:w="3394" w:type="pct"/>
          </w:tcPr>
          <w:p w:rsidR="00CE624C" w:rsidRPr="00071B69" w:rsidP="00CE624C" w14:paraId="7D3DC59D"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Notifications and reports</w:t>
            </w:r>
          </w:p>
        </w:tc>
        <w:tc>
          <w:tcPr>
            <w:tcW w:w="1606" w:type="pct"/>
          </w:tcPr>
          <w:p w:rsidR="00CE624C" w:rsidRPr="00071B69" w:rsidP="00CE624C" w14:paraId="45D30654" w14:textId="77777777">
            <w:pPr>
              <w:pStyle w:val="TableParagraph"/>
              <w:spacing w:before="0"/>
              <w:ind w:left="148" w:right="184"/>
              <w:contextualSpacing/>
              <w:jc w:val="left"/>
              <w:rPr>
                <w:rFonts w:asciiTheme="minorHAnsi" w:hAnsiTheme="minorHAnsi" w:cstheme="minorHAnsi"/>
              </w:rPr>
            </w:pPr>
            <w:r w:rsidRPr="00071B69">
              <w:rPr>
                <w:rFonts w:asciiTheme="minorHAnsi" w:hAnsiTheme="minorHAnsi" w:cstheme="minorHAnsi"/>
              </w:rPr>
              <w:t>§63.9642(a)(1), §63.10(b)(2)(xiv)</w:t>
            </w:r>
          </w:p>
        </w:tc>
      </w:tr>
      <w:tr w14:paraId="3E62924F" w14:textId="77777777" w:rsidTr="006F365D">
        <w:tblPrEx>
          <w:tblW w:w="4998" w:type="pct"/>
          <w:tblInd w:w="4" w:type="dxa"/>
          <w:tblCellMar>
            <w:left w:w="0" w:type="dxa"/>
            <w:right w:w="0" w:type="dxa"/>
          </w:tblCellMar>
          <w:tblLook w:val="01E0"/>
        </w:tblPrEx>
        <w:trPr>
          <w:trHeight w:val="493"/>
        </w:trPr>
        <w:tc>
          <w:tcPr>
            <w:tcW w:w="3394" w:type="pct"/>
          </w:tcPr>
          <w:p w:rsidR="00CE624C" w:rsidRPr="00071B69" w:rsidP="00CE624C" w14:paraId="543DC1E6"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Performance tests</w:t>
            </w:r>
          </w:p>
        </w:tc>
        <w:tc>
          <w:tcPr>
            <w:tcW w:w="1606" w:type="pct"/>
          </w:tcPr>
          <w:p w:rsidR="00CE624C" w:rsidRPr="00071B69" w:rsidP="00CE624C" w14:paraId="60447C54" w14:textId="77777777">
            <w:pPr>
              <w:pStyle w:val="TableParagraph"/>
              <w:spacing w:before="0"/>
              <w:ind w:left="148" w:right="183"/>
              <w:contextualSpacing/>
              <w:jc w:val="left"/>
              <w:rPr>
                <w:rFonts w:asciiTheme="minorHAnsi" w:hAnsiTheme="minorHAnsi" w:cstheme="minorHAnsi"/>
              </w:rPr>
            </w:pPr>
            <w:r w:rsidRPr="00071B69">
              <w:rPr>
                <w:rFonts w:asciiTheme="minorHAnsi" w:hAnsiTheme="minorHAnsi" w:cstheme="minorHAnsi"/>
              </w:rPr>
              <w:t xml:space="preserve">§63.9642(a)(3)-(6), §63.10(b)(2)(viii) </w:t>
            </w:r>
          </w:p>
        </w:tc>
      </w:tr>
      <w:tr w14:paraId="08998CCB" w14:textId="77777777" w:rsidTr="006F365D">
        <w:tblPrEx>
          <w:tblW w:w="4998" w:type="pct"/>
          <w:tblInd w:w="4" w:type="dxa"/>
          <w:tblCellMar>
            <w:left w:w="0" w:type="dxa"/>
            <w:right w:w="0" w:type="dxa"/>
          </w:tblCellMar>
          <w:tblLook w:val="01E0"/>
        </w:tblPrEx>
        <w:trPr>
          <w:trHeight w:val="484"/>
        </w:trPr>
        <w:tc>
          <w:tcPr>
            <w:tcW w:w="3394" w:type="pct"/>
          </w:tcPr>
          <w:p w:rsidR="00CE624C" w:rsidRPr="00071B69" w:rsidP="00CE624C" w14:paraId="6693BAD6"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Records for COMS</w:t>
            </w:r>
          </w:p>
        </w:tc>
        <w:tc>
          <w:tcPr>
            <w:tcW w:w="1606" w:type="pct"/>
          </w:tcPr>
          <w:p w:rsidR="00CE624C" w:rsidRPr="00071B69" w:rsidP="00CE624C" w14:paraId="4C739149" w14:textId="77777777">
            <w:pPr>
              <w:pStyle w:val="TableParagraph"/>
              <w:spacing w:before="0"/>
              <w:ind w:left="133"/>
              <w:contextualSpacing/>
              <w:jc w:val="left"/>
              <w:rPr>
                <w:rFonts w:asciiTheme="minorHAnsi" w:hAnsiTheme="minorHAnsi" w:cstheme="minorHAnsi"/>
              </w:rPr>
            </w:pPr>
            <w:r w:rsidRPr="00071B69">
              <w:rPr>
                <w:rFonts w:asciiTheme="minorHAnsi" w:hAnsiTheme="minorHAnsi" w:cstheme="minorHAnsi"/>
              </w:rPr>
              <w:t>§63.9642(b), §63.6(h)(7)(i)-(ii), §63.8(d)(3), §63.10(b)(2)(vi)</w:t>
            </w:r>
          </w:p>
        </w:tc>
      </w:tr>
      <w:tr w14:paraId="46820A63" w14:textId="77777777" w:rsidTr="00CE624C">
        <w:tblPrEx>
          <w:tblW w:w="4998" w:type="pct"/>
          <w:tblInd w:w="4" w:type="dxa"/>
          <w:tblCellMar>
            <w:left w:w="0" w:type="dxa"/>
            <w:right w:w="0" w:type="dxa"/>
          </w:tblCellMar>
          <w:tblLook w:val="01E0"/>
        </w:tblPrEx>
        <w:trPr>
          <w:trHeight w:val="223"/>
        </w:trPr>
        <w:tc>
          <w:tcPr>
            <w:tcW w:w="3394" w:type="pct"/>
          </w:tcPr>
          <w:p w:rsidR="00CE624C" w:rsidRPr="00071B69" w:rsidP="00CE624C" w14:paraId="05BAF11C" w14:textId="77777777">
            <w:pPr>
              <w:pStyle w:val="TableParagraph"/>
              <w:spacing w:before="0"/>
              <w:ind w:left="130" w:right="114"/>
              <w:contextualSpacing/>
              <w:jc w:val="left"/>
              <w:rPr>
                <w:rFonts w:asciiTheme="minorHAnsi" w:hAnsiTheme="minorHAnsi" w:cstheme="minorHAnsi"/>
              </w:rPr>
            </w:pPr>
            <w:r w:rsidRPr="00071B69">
              <w:rPr>
                <w:rFonts w:asciiTheme="minorHAnsi" w:hAnsiTheme="minorHAnsi" w:cstheme="minorHAnsi"/>
              </w:rPr>
              <w:t>Records required to demonstrate continuous compliance</w:t>
            </w:r>
          </w:p>
        </w:tc>
        <w:tc>
          <w:tcPr>
            <w:tcW w:w="1606" w:type="pct"/>
          </w:tcPr>
          <w:p w:rsidR="00CE624C" w:rsidRPr="00071B69" w:rsidP="00CE624C" w14:paraId="6FC07CD6" w14:textId="77777777">
            <w:pPr>
              <w:spacing w:after="0" w:line="240" w:lineRule="auto"/>
              <w:ind w:left="123" w:right="104"/>
              <w:contextualSpacing/>
              <w:rPr>
                <w:rFonts w:cstheme="minorHAnsi"/>
              </w:rPr>
            </w:pPr>
            <w:r w:rsidRPr="00071B69">
              <w:rPr>
                <w:rFonts w:cstheme="minorHAnsi"/>
              </w:rPr>
              <w:t>§63.9642(c), §63.10(b)(2)(vii)</w:t>
            </w:r>
          </w:p>
        </w:tc>
      </w:tr>
    </w:tbl>
    <w:p w:rsidR="00BB3410" w:rsidRPr="00071B69" w:rsidP="00854AAE" w14:paraId="42074A5E" w14:textId="4FCE674C">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071B69" w:rsidP="00B50602" w14:paraId="7B8A0ACD" w14:textId="27119692">
      <w:p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cstheme="minorHAnsi"/>
          <w:b/>
          <w:bCs/>
        </w:rPr>
        <w:t xml:space="preserve">12c. </w:t>
      </w:r>
      <w:r w:rsidRPr="00071B69" w:rsidR="00DD718B">
        <w:rPr>
          <w:rFonts w:cstheme="minorHAnsi"/>
          <w:b/>
          <w:bCs/>
        </w:rPr>
        <w:t>Respondent Activities</w:t>
      </w:r>
      <w:bookmarkStart w:id="18" w:name="_Toc156593385"/>
      <w:bookmarkEnd w:id="17"/>
    </w:p>
    <w:p w:rsidR="009F1E00" w:rsidRPr="00071B69" w:rsidP="00854AAE" w14:paraId="3C4B52CA" w14:textId="0CDB7CAD">
      <w:pPr>
        <w:spacing w:before="60"/>
        <w:rPr>
          <w:rFonts w:cstheme="minorHAnsi"/>
          <w:color w:val="000000"/>
        </w:rPr>
      </w:pPr>
      <w:r w:rsidRPr="00071B69">
        <w:rPr>
          <w:rFonts w:cstheme="minorHAnsi"/>
          <w:color w:val="000000"/>
        </w:rPr>
        <w:t>The respondent activities required by Subpart RRRRR are listed here:</w:t>
      </w:r>
    </w:p>
    <w:p w:rsidR="00C774ED" w:rsidRPr="00071B69" w:rsidP="00C774ED" w14:paraId="11BC6982" w14:textId="77777777">
      <w:pPr>
        <w:pStyle w:val="ListParagraph"/>
        <w:numPr>
          <w:ilvl w:val="0"/>
          <w:numId w:val="28"/>
        </w:numPr>
        <w:spacing w:before="60"/>
        <w:rPr>
          <w:rFonts w:cstheme="minorHAnsi"/>
        </w:rPr>
      </w:pPr>
      <w:r w:rsidRPr="00071B69">
        <w:rPr>
          <w:rFonts w:cstheme="minorHAnsi"/>
        </w:rPr>
        <w:t>Familiarization with the regulatory requirements.</w:t>
      </w:r>
    </w:p>
    <w:p w:rsidR="00C774ED" w:rsidRPr="00071B69" w:rsidP="00C774ED" w14:paraId="1B4AE49D" w14:textId="77777777">
      <w:pPr>
        <w:pStyle w:val="ListParagraph"/>
        <w:numPr>
          <w:ilvl w:val="0"/>
          <w:numId w:val="28"/>
        </w:numPr>
        <w:spacing w:before="60"/>
        <w:rPr>
          <w:rFonts w:cstheme="minorHAnsi"/>
        </w:rPr>
      </w:pPr>
      <w:r w:rsidRPr="00071B69">
        <w:rPr>
          <w:rFonts w:cstheme="minorHAnsi"/>
        </w:rPr>
        <w:t>Install, calibrate, maintain, and operate CPMS: pH monitors on wet scrubbers and wet ESP; activated carbon injection rate monitors on activated carbon injection (ACI) systems; sorbent injection rate monitors on dry sorbent injection (DSI) systems.</w:t>
      </w:r>
    </w:p>
    <w:p w:rsidR="00C774ED" w:rsidRPr="00071B69" w:rsidP="00C774ED" w14:paraId="30B81334" w14:textId="77777777">
      <w:pPr>
        <w:pStyle w:val="ListParagraph"/>
        <w:numPr>
          <w:ilvl w:val="0"/>
          <w:numId w:val="28"/>
        </w:numPr>
        <w:spacing w:before="60"/>
        <w:rPr>
          <w:rFonts w:cstheme="minorHAnsi"/>
        </w:rPr>
      </w:pPr>
      <w:r w:rsidRPr="00071B69">
        <w:rPr>
          <w:rFonts w:cstheme="minorHAnsi"/>
        </w:rPr>
        <w:t xml:space="preserve">Conduct performance tests on taconite indurating furnaces for mercury, hydrogen chloride and hydrogen fluoride using EPA Reference Methods and repeat performance tests if necessary. </w:t>
      </w:r>
    </w:p>
    <w:p w:rsidR="00C774ED" w:rsidRPr="00071B69" w:rsidP="00C774ED" w14:paraId="560CD0EA" w14:textId="77777777">
      <w:pPr>
        <w:pStyle w:val="ListParagraph"/>
        <w:numPr>
          <w:ilvl w:val="0"/>
          <w:numId w:val="28"/>
        </w:numPr>
        <w:spacing w:before="60"/>
        <w:rPr>
          <w:rFonts w:cstheme="minorHAnsi"/>
        </w:rPr>
      </w:pPr>
      <w:r w:rsidRPr="00071B69">
        <w:rPr>
          <w:rFonts w:cstheme="minorHAnsi"/>
        </w:rPr>
        <w:t>Write the notifications and reports listed above.</w:t>
      </w:r>
    </w:p>
    <w:p w:rsidR="00C774ED" w:rsidRPr="00071B69" w:rsidP="00C774ED" w14:paraId="4F71D72C" w14:textId="77777777">
      <w:pPr>
        <w:pStyle w:val="ListParagraph"/>
        <w:numPr>
          <w:ilvl w:val="0"/>
          <w:numId w:val="28"/>
        </w:numPr>
        <w:spacing w:before="60"/>
        <w:rPr>
          <w:rFonts w:cstheme="minorHAnsi"/>
        </w:rPr>
      </w:pPr>
      <w:r w:rsidRPr="00071B69">
        <w:rPr>
          <w:rFonts w:cstheme="minorHAnsi"/>
        </w:rPr>
        <w:t>Enter information required to be recorded above.</w:t>
      </w:r>
    </w:p>
    <w:p w:rsidR="00C774ED" w:rsidRPr="00071B69" w:rsidP="00C774ED" w14:paraId="2C892503" w14:textId="77777777">
      <w:pPr>
        <w:pStyle w:val="ListParagraph"/>
        <w:numPr>
          <w:ilvl w:val="0"/>
          <w:numId w:val="28"/>
        </w:numPr>
        <w:spacing w:before="60"/>
        <w:rPr>
          <w:rFonts w:cstheme="minorHAnsi"/>
        </w:rPr>
      </w:pPr>
      <w:r w:rsidRPr="00071B69">
        <w:rPr>
          <w:rFonts w:cstheme="minorHAnsi"/>
        </w:rPr>
        <w:t>Submit the required reports developing, acquiring, installing, and utilizing technology and systems for the purpose of collecting, validating, and verifying information.</w:t>
      </w:r>
    </w:p>
    <w:p w:rsidR="00C774ED" w:rsidRPr="00071B69" w:rsidP="00C774ED" w14:paraId="3775115D" w14:textId="77777777">
      <w:pPr>
        <w:pStyle w:val="ListParagraph"/>
        <w:numPr>
          <w:ilvl w:val="0"/>
          <w:numId w:val="28"/>
        </w:numPr>
        <w:spacing w:before="60"/>
        <w:rPr>
          <w:rFonts w:cstheme="minorHAnsi"/>
        </w:rPr>
      </w:pPr>
      <w:r w:rsidRPr="00071B69">
        <w:rPr>
          <w:rFonts w:cstheme="minorHAnsi"/>
        </w:rPr>
        <w:t>Develop, acquire, install, and utilize technology and systems for the purpose of processing and maintaining information.</w:t>
      </w:r>
    </w:p>
    <w:p w:rsidR="00C774ED" w:rsidRPr="00071B69" w:rsidP="00C774ED" w14:paraId="139ABBE8" w14:textId="77777777">
      <w:pPr>
        <w:pStyle w:val="ListParagraph"/>
        <w:numPr>
          <w:ilvl w:val="0"/>
          <w:numId w:val="28"/>
        </w:numPr>
        <w:spacing w:before="60"/>
        <w:rPr>
          <w:rFonts w:cstheme="minorHAnsi"/>
        </w:rPr>
      </w:pPr>
      <w:r w:rsidRPr="00071B69">
        <w:rPr>
          <w:rFonts w:cstheme="minorHAnsi"/>
        </w:rPr>
        <w:t>Develop, acquire, install, and utilize technology and systems for the purpose of disclosing and providing information.</w:t>
      </w:r>
    </w:p>
    <w:p w:rsidR="00C774ED" w:rsidRPr="00071B69" w:rsidP="00C774ED" w14:paraId="2CC63057" w14:textId="77777777">
      <w:pPr>
        <w:pStyle w:val="ListParagraph"/>
        <w:numPr>
          <w:ilvl w:val="0"/>
          <w:numId w:val="28"/>
        </w:numPr>
        <w:spacing w:before="60"/>
        <w:rPr>
          <w:rFonts w:cstheme="minorHAnsi"/>
        </w:rPr>
      </w:pPr>
      <w:r w:rsidRPr="00071B69">
        <w:rPr>
          <w:rFonts w:cstheme="minorHAnsi"/>
        </w:rPr>
        <w:t>Train personnel to be able to respond to a collection of information.</w:t>
      </w:r>
    </w:p>
    <w:p w:rsidR="00C774ED" w:rsidRPr="00071B69" w:rsidP="00C774ED" w14:paraId="5ACA5D6F" w14:textId="114C303B">
      <w:pPr>
        <w:pStyle w:val="ListParagraph"/>
        <w:numPr>
          <w:ilvl w:val="0"/>
          <w:numId w:val="28"/>
        </w:numPr>
        <w:spacing w:before="60"/>
        <w:rPr>
          <w:rFonts w:cstheme="minorHAnsi"/>
        </w:rPr>
      </w:pPr>
      <w:r w:rsidRPr="00071B69">
        <w:rPr>
          <w:rFonts w:cstheme="minorHAnsi"/>
        </w:rPr>
        <w:t>Transmit, or otherwise disclose the information.</w:t>
      </w:r>
    </w:p>
    <w:p w:rsidR="00C774ED" w:rsidRPr="00071B69" w:rsidP="00C774ED" w14:paraId="7119B134" w14:textId="7ECE24C0">
      <w:pPr>
        <w:spacing w:before="60"/>
        <w:ind w:firstLine="720"/>
        <w:rPr>
          <w:rFonts w:cstheme="minorHAnsi"/>
        </w:rPr>
      </w:pPr>
      <w:r w:rsidRPr="00071B69">
        <w:rPr>
          <w:rFonts w:cstheme="minorHAnsi"/>
        </w:rPr>
        <w:t>The specific frequency for each information collection activity within this request is shown below in Table 1: Average Annual Respondent Burden and Cost – NESHAP for Taconite Iron Ore Processing Facilities (40 CFR Part 63, Subpart RRRRR) (2023 Proposed Amendments).</w:t>
      </w:r>
    </w:p>
    <w:p w:rsidR="00D92ED6" w:rsidRPr="00071B69" w:rsidP="00B50602" w14:paraId="0B6BE1C2" w14:textId="3F49A8F0">
      <w:p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cstheme="minorHAnsi"/>
          <w:b/>
          <w:bCs/>
        </w:rPr>
        <w:t xml:space="preserve">12d. </w:t>
      </w:r>
      <w:r w:rsidRPr="00071B69">
        <w:rPr>
          <w:rFonts w:cstheme="minorHAnsi"/>
          <w:b/>
          <w:bCs/>
        </w:rPr>
        <w:t xml:space="preserve">Respondent </w:t>
      </w:r>
      <w:r w:rsidRPr="00071B69" w:rsidR="00BB2B15">
        <w:rPr>
          <w:rFonts w:cstheme="minorHAnsi"/>
          <w:b/>
          <w:bCs/>
        </w:rPr>
        <w:t xml:space="preserve">Burden </w:t>
      </w:r>
      <w:r w:rsidRPr="00071B69" w:rsidR="00B666CD">
        <w:rPr>
          <w:rFonts w:cstheme="minorHAnsi"/>
          <w:b/>
          <w:bCs/>
        </w:rPr>
        <w:t>Hour</w:t>
      </w:r>
      <w:r w:rsidRPr="00071B69" w:rsidR="00BB2B15">
        <w:rPr>
          <w:rFonts w:cstheme="minorHAnsi"/>
          <w:b/>
          <w:bCs/>
        </w:rPr>
        <w:t>s</w:t>
      </w:r>
      <w:r w:rsidRPr="00071B69" w:rsidR="00B666CD">
        <w:rPr>
          <w:rFonts w:cstheme="minorHAnsi"/>
          <w:b/>
          <w:bCs/>
        </w:rPr>
        <w:t xml:space="preserve"> and Labor </w:t>
      </w:r>
      <w:bookmarkEnd w:id="18"/>
      <w:r w:rsidRPr="00071B69" w:rsidR="00BB2B15">
        <w:rPr>
          <w:rFonts w:cstheme="minorHAnsi"/>
          <w:b/>
          <w:bCs/>
        </w:rPr>
        <w:t>Costs</w:t>
      </w:r>
    </w:p>
    <w:p w:rsidR="00ED57A4" w:rsidRPr="00071B69" w:rsidP="0048217A" w14:paraId="68F435BE" w14:textId="2E315694">
      <w:pPr>
        <w:spacing w:before="60"/>
        <w:ind w:firstLine="720"/>
        <w:rPr>
          <w:rFonts w:cstheme="minorHAnsi"/>
          <w:color w:val="000000"/>
        </w:rPr>
      </w:pPr>
      <w:r w:rsidRPr="00071B69">
        <w:rPr>
          <w:rFonts w:cstheme="minorHAnsi"/>
          <w:color w:val="000000"/>
        </w:rPr>
        <w:t xml:space="preserve">The average annual burden to industry over the next 3 years for the recordkeeping and reporting requirements for the proposed amendments is estimated to be 1,580 hours per year (Total Labor Hours from Table 1). These hours are based on Agency studies and background documents from the development of the regulation, Agency knowledge and experience with the </w:t>
      </w:r>
      <w:r w:rsidRPr="00071B69">
        <w:rPr>
          <w:rFonts w:cstheme="minorHAnsi"/>
        </w:rPr>
        <w:t>NESHAP</w:t>
      </w:r>
      <w:r w:rsidRPr="00071B69">
        <w:rPr>
          <w:rFonts w:cstheme="minorHAnsi"/>
          <w:color w:val="FF0000"/>
        </w:rPr>
        <w:t xml:space="preserve"> </w:t>
      </w:r>
      <w:r w:rsidRPr="00071B69">
        <w:rPr>
          <w:rFonts w:cstheme="minorHAnsi"/>
          <w:color w:val="000000"/>
        </w:rPr>
        <w:t>program, the previously approved ICR for Subpart RRRRR, and any comments received.</w:t>
      </w:r>
    </w:p>
    <w:p w:rsidR="00A4654E" w:rsidRPr="00071B69" w:rsidP="00A4654E" w14:paraId="73CF9DCF" w14:textId="70254873">
      <w:pPr>
        <w:pBdr>
          <w:top w:val="single" w:sz="6" w:space="1" w:color="FFFFFF"/>
          <w:left w:val="single" w:sz="6" w:space="0" w:color="FFFFFF"/>
          <w:bottom w:val="single" w:sz="6" w:space="0" w:color="FFFFFF"/>
          <w:right w:val="single" w:sz="6" w:space="0" w:color="FFFFFF"/>
        </w:pBdr>
        <w:rPr>
          <w:rFonts w:cstheme="minorHAnsi"/>
          <w:color w:val="000000"/>
        </w:rPr>
      </w:pPr>
      <w:r w:rsidRPr="00071B69">
        <w:rPr>
          <w:rFonts w:cstheme="minorHAnsi"/>
          <w:color w:val="000000"/>
        </w:rPr>
        <w:t>This ICR uses the following labor rates:</w:t>
      </w:r>
    </w:p>
    <w:tbl>
      <w:tblPr>
        <w:tblW w:w="9272" w:type="dxa"/>
        <w:tblInd w:w="108" w:type="dxa"/>
        <w:tblLook w:val="04A0"/>
      </w:tblPr>
      <w:tblGrid>
        <w:gridCol w:w="2857"/>
        <w:gridCol w:w="2520"/>
        <w:gridCol w:w="1890"/>
        <w:gridCol w:w="2005"/>
      </w:tblGrid>
      <w:tr w14:paraId="7E67995B" w14:textId="77777777" w:rsidTr="00A4654E">
        <w:tblPrEx>
          <w:tblW w:w="9272" w:type="dxa"/>
          <w:tblInd w:w="108" w:type="dxa"/>
          <w:tblLook w:val="04A0"/>
        </w:tblPrEx>
        <w:trPr>
          <w:trHeight w:val="288"/>
        </w:trPr>
        <w:tc>
          <w:tcPr>
            <w:tcW w:w="2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54E" w:rsidRPr="00071B69" w:rsidP="00A4654E" w14:paraId="7EE60EB3" w14:textId="77777777">
            <w:pPr>
              <w:keepNext/>
              <w:spacing w:after="0" w:line="240" w:lineRule="auto"/>
              <w:contextualSpacing/>
              <w:rPr>
                <w:rFonts w:cstheme="minorHAnsi"/>
                <w:b/>
                <w:bCs/>
              </w:rPr>
            </w:pPr>
            <w:r w:rsidRPr="00071B69">
              <w:rPr>
                <w:rFonts w:cstheme="minorHAnsi"/>
                <w:b/>
                <w:bCs/>
              </w:rPr>
              <w:t>Civilian Worker Rates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A4654E" w:rsidRPr="00071B69" w:rsidP="00A4654E" w14:paraId="5ACED6A5" w14:textId="77777777">
            <w:pPr>
              <w:keepNext/>
              <w:spacing w:after="0" w:line="240" w:lineRule="auto"/>
              <w:contextualSpacing/>
              <w:jc w:val="center"/>
              <w:rPr>
                <w:rFonts w:cstheme="minorHAnsi"/>
                <w:b/>
                <w:bCs/>
              </w:rPr>
            </w:pPr>
            <w:r w:rsidRPr="00071B69">
              <w:rPr>
                <w:rFonts w:cstheme="minorHAnsi"/>
                <w:b/>
                <w:bCs/>
              </w:rPr>
              <w:t>Labor Rates, $/hr</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A4654E" w:rsidRPr="00071B69" w:rsidP="00A4654E" w14:paraId="4C0D6E41" w14:textId="77777777">
            <w:pPr>
              <w:keepNext/>
              <w:spacing w:after="0" w:line="240" w:lineRule="auto"/>
              <w:contextualSpacing/>
              <w:jc w:val="center"/>
              <w:rPr>
                <w:rFonts w:cstheme="minorHAnsi"/>
                <w:b/>
                <w:bCs/>
              </w:rPr>
            </w:pPr>
            <w:r w:rsidRPr="00071B69">
              <w:rPr>
                <w:rFonts w:cstheme="minorHAnsi"/>
                <w:b/>
                <w:bCs/>
              </w:rPr>
              <w:t>110% Overhead</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rsidR="00A4654E" w:rsidRPr="00071B69" w:rsidP="00A4654E" w14:paraId="3A4B862F" w14:textId="77777777">
            <w:pPr>
              <w:keepNext/>
              <w:spacing w:after="0" w:line="240" w:lineRule="auto"/>
              <w:contextualSpacing/>
              <w:jc w:val="center"/>
              <w:rPr>
                <w:rFonts w:cstheme="minorHAnsi"/>
                <w:b/>
                <w:bCs/>
              </w:rPr>
            </w:pPr>
            <w:r w:rsidRPr="00071B69">
              <w:rPr>
                <w:rFonts w:cstheme="minorHAnsi"/>
                <w:b/>
                <w:bCs/>
              </w:rPr>
              <w:t>Total, $/hr</w:t>
            </w:r>
          </w:p>
        </w:tc>
      </w:tr>
      <w:tr w14:paraId="0A894998" w14:textId="77777777" w:rsidTr="00A4654E">
        <w:tblPrEx>
          <w:tblW w:w="9272" w:type="dxa"/>
          <w:tblInd w:w="108" w:type="dxa"/>
          <w:tblLook w:val="04A0"/>
        </w:tblPrEx>
        <w:trPr>
          <w:trHeight w:val="288"/>
        </w:trPr>
        <w:tc>
          <w:tcPr>
            <w:tcW w:w="2857" w:type="dxa"/>
            <w:tcBorders>
              <w:top w:val="nil"/>
              <w:left w:val="single" w:sz="4" w:space="0" w:color="auto"/>
              <w:bottom w:val="single" w:sz="4" w:space="0" w:color="auto"/>
              <w:right w:val="single" w:sz="4" w:space="0" w:color="auto"/>
            </w:tcBorders>
            <w:shd w:val="clear" w:color="auto" w:fill="auto"/>
            <w:noWrap/>
            <w:vAlign w:val="bottom"/>
            <w:hideMark/>
          </w:tcPr>
          <w:p w:rsidR="00A4654E" w:rsidRPr="00071B69" w:rsidP="00A4654E" w14:paraId="6773218E" w14:textId="77777777">
            <w:pPr>
              <w:keepNext/>
              <w:spacing w:after="0" w:line="240" w:lineRule="auto"/>
              <w:contextualSpacing/>
              <w:rPr>
                <w:rFonts w:cstheme="minorHAnsi"/>
                <w:color w:val="000000"/>
              </w:rPr>
            </w:pPr>
            <w:r w:rsidRPr="00071B69">
              <w:rPr>
                <w:rFonts w:cstheme="minorHAnsi"/>
                <w:color w:val="000000"/>
              </w:rPr>
              <w:t>Managerial</w:t>
            </w:r>
          </w:p>
        </w:tc>
        <w:tc>
          <w:tcPr>
            <w:tcW w:w="2520" w:type="dxa"/>
            <w:tcBorders>
              <w:top w:val="nil"/>
              <w:left w:val="nil"/>
              <w:bottom w:val="single" w:sz="4" w:space="0" w:color="auto"/>
              <w:right w:val="single" w:sz="4" w:space="0" w:color="auto"/>
            </w:tcBorders>
            <w:shd w:val="clear" w:color="auto" w:fill="auto"/>
            <w:noWrap/>
            <w:hideMark/>
          </w:tcPr>
          <w:p w:rsidR="00A4654E" w:rsidRPr="00071B69" w:rsidP="00A4654E" w14:paraId="46DB3B33" w14:textId="77777777">
            <w:pPr>
              <w:keepNext/>
              <w:spacing w:after="0" w:line="240" w:lineRule="auto"/>
              <w:contextualSpacing/>
              <w:jc w:val="center"/>
              <w:rPr>
                <w:rFonts w:cstheme="minorHAnsi"/>
              </w:rPr>
            </w:pPr>
            <w:r w:rsidRPr="00071B69">
              <w:rPr>
                <w:rFonts w:cstheme="minorHAnsi"/>
              </w:rPr>
              <w:t>$67.99</w:t>
            </w:r>
          </w:p>
        </w:tc>
        <w:tc>
          <w:tcPr>
            <w:tcW w:w="1890" w:type="dxa"/>
            <w:tcBorders>
              <w:top w:val="nil"/>
              <w:left w:val="nil"/>
              <w:bottom w:val="single" w:sz="4" w:space="0" w:color="auto"/>
              <w:right w:val="single" w:sz="4" w:space="0" w:color="auto"/>
            </w:tcBorders>
            <w:shd w:val="clear" w:color="auto" w:fill="auto"/>
            <w:noWrap/>
            <w:hideMark/>
          </w:tcPr>
          <w:p w:rsidR="00A4654E" w:rsidRPr="00071B69" w:rsidP="00A4654E" w14:paraId="637ADB9B" w14:textId="77777777">
            <w:pPr>
              <w:keepNext/>
              <w:spacing w:after="0" w:line="240" w:lineRule="auto"/>
              <w:contextualSpacing/>
              <w:jc w:val="center"/>
              <w:rPr>
                <w:rFonts w:cstheme="minorHAnsi"/>
              </w:rPr>
            </w:pPr>
            <w:r w:rsidRPr="00071B69">
              <w:rPr>
                <w:rFonts w:cstheme="minorHAnsi"/>
              </w:rPr>
              <w:t>$74.79</w:t>
            </w:r>
          </w:p>
        </w:tc>
        <w:tc>
          <w:tcPr>
            <w:tcW w:w="2005" w:type="dxa"/>
            <w:tcBorders>
              <w:top w:val="nil"/>
              <w:left w:val="nil"/>
              <w:bottom w:val="single" w:sz="4" w:space="0" w:color="auto"/>
              <w:right w:val="single" w:sz="4" w:space="0" w:color="auto"/>
            </w:tcBorders>
            <w:shd w:val="clear" w:color="auto" w:fill="auto"/>
            <w:noWrap/>
            <w:hideMark/>
          </w:tcPr>
          <w:p w:rsidR="00A4654E" w:rsidRPr="00071B69" w:rsidP="00A4654E" w14:paraId="7B47BF78" w14:textId="77777777">
            <w:pPr>
              <w:keepNext/>
              <w:spacing w:after="0" w:line="240" w:lineRule="auto"/>
              <w:contextualSpacing/>
              <w:jc w:val="center"/>
              <w:rPr>
                <w:rFonts w:cstheme="minorHAnsi"/>
              </w:rPr>
            </w:pPr>
            <w:r w:rsidRPr="00071B69">
              <w:rPr>
                <w:rFonts w:cstheme="minorHAnsi"/>
              </w:rPr>
              <w:t>$142.78</w:t>
            </w:r>
          </w:p>
        </w:tc>
      </w:tr>
      <w:tr w14:paraId="31C29158" w14:textId="77777777" w:rsidTr="00A4654E">
        <w:tblPrEx>
          <w:tblW w:w="9272" w:type="dxa"/>
          <w:tblInd w:w="108" w:type="dxa"/>
          <w:tblLook w:val="04A0"/>
        </w:tblPrEx>
        <w:trPr>
          <w:trHeight w:val="288"/>
        </w:trPr>
        <w:tc>
          <w:tcPr>
            <w:tcW w:w="2857" w:type="dxa"/>
            <w:tcBorders>
              <w:top w:val="nil"/>
              <w:left w:val="single" w:sz="4" w:space="0" w:color="auto"/>
              <w:bottom w:val="single" w:sz="4" w:space="0" w:color="auto"/>
              <w:right w:val="single" w:sz="4" w:space="0" w:color="auto"/>
            </w:tcBorders>
            <w:shd w:val="clear" w:color="auto" w:fill="auto"/>
            <w:noWrap/>
            <w:vAlign w:val="bottom"/>
            <w:hideMark/>
          </w:tcPr>
          <w:p w:rsidR="00A4654E" w:rsidRPr="00071B69" w:rsidP="00A4654E" w14:paraId="4FD90E61" w14:textId="77777777">
            <w:pPr>
              <w:keepNext/>
              <w:spacing w:after="0" w:line="240" w:lineRule="auto"/>
              <w:contextualSpacing/>
              <w:rPr>
                <w:rFonts w:cstheme="minorHAnsi"/>
                <w:color w:val="000000"/>
              </w:rPr>
            </w:pPr>
            <w:r w:rsidRPr="00071B69">
              <w:rPr>
                <w:rFonts w:cstheme="minorHAnsi"/>
                <w:color w:val="000000"/>
              </w:rPr>
              <w:t>Technical</w:t>
            </w:r>
          </w:p>
        </w:tc>
        <w:tc>
          <w:tcPr>
            <w:tcW w:w="2520" w:type="dxa"/>
            <w:tcBorders>
              <w:top w:val="nil"/>
              <w:left w:val="nil"/>
              <w:bottom w:val="single" w:sz="4" w:space="0" w:color="auto"/>
              <w:right w:val="single" w:sz="4" w:space="0" w:color="auto"/>
            </w:tcBorders>
            <w:shd w:val="clear" w:color="auto" w:fill="auto"/>
            <w:noWrap/>
            <w:hideMark/>
          </w:tcPr>
          <w:p w:rsidR="00A4654E" w:rsidRPr="00071B69" w:rsidP="00A4654E" w14:paraId="550987FD" w14:textId="77777777">
            <w:pPr>
              <w:keepNext/>
              <w:spacing w:after="0" w:line="240" w:lineRule="auto"/>
              <w:contextualSpacing/>
              <w:jc w:val="center"/>
              <w:rPr>
                <w:rFonts w:cstheme="minorHAnsi"/>
              </w:rPr>
            </w:pPr>
            <w:r w:rsidRPr="00071B69">
              <w:rPr>
                <w:rFonts w:cstheme="minorHAnsi"/>
              </w:rPr>
              <w:t>$55.65</w:t>
            </w:r>
          </w:p>
        </w:tc>
        <w:tc>
          <w:tcPr>
            <w:tcW w:w="1890" w:type="dxa"/>
            <w:tcBorders>
              <w:top w:val="nil"/>
              <w:left w:val="nil"/>
              <w:bottom w:val="single" w:sz="4" w:space="0" w:color="auto"/>
              <w:right w:val="single" w:sz="4" w:space="0" w:color="auto"/>
            </w:tcBorders>
            <w:shd w:val="clear" w:color="auto" w:fill="auto"/>
            <w:noWrap/>
            <w:hideMark/>
          </w:tcPr>
          <w:p w:rsidR="00A4654E" w:rsidRPr="00071B69" w:rsidP="00A4654E" w14:paraId="69B2CC33" w14:textId="77777777">
            <w:pPr>
              <w:keepNext/>
              <w:spacing w:after="0" w:line="240" w:lineRule="auto"/>
              <w:contextualSpacing/>
              <w:jc w:val="center"/>
              <w:rPr>
                <w:rFonts w:cstheme="minorHAnsi"/>
              </w:rPr>
            </w:pPr>
            <w:r w:rsidRPr="00071B69">
              <w:rPr>
                <w:rFonts w:cstheme="minorHAnsi"/>
              </w:rPr>
              <w:t>$61.22</w:t>
            </w:r>
          </w:p>
        </w:tc>
        <w:tc>
          <w:tcPr>
            <w:tcW w:w="2005" w:type="dxa"/>
            <w:tcBorders>
              <w:top w:val="nil"/>
              <w:left w:val="nil"/>
              <w:bottom w:val="single" w:sz="4" w:space="0" w:color="auto"/>
              <w:right w:val="single" w:sz="4" w:space="0" w:color="auto"/>
            </w:tcBorders>
            <w:shd w:val="clear" w:color="auto" w:fill="auto"/>
            <w:noWrap/>
            <w:hideMark/>
          </w:tcPr>
          <w:p w:rsidR="00A4654E" w:rsidRPr="00071B69" w:rsidP="00A4654E" w14:paraId="0B50B1D3" w14:textId="77777777">
            <w:pPr>
              <w:keepNext/>
              <w:spacing w:after="0" w:line="240" w:lineRule="auto"/>
              <w:contextualSpacing/>
              <w:jc w:val="center"/>
              <w:rPr>
                <w:rFonts w:cstheme="minorHAnsi"/>
              </w:rPr>
            </w:pPr>
            <w:r w:rsidRPr="00071B69">
              <w:rPr>
                <w:rFonts w:cstheme="minorHAnsi"/>
              </w:rPr>
              <w:t>$116.87</w:t>
            </w:r>
          </w:p>
        </w:tc>
      </w:tr>
      <w:tr w14:paraId="5B536BC5" w14:textId="77777777" w:rsidTr="00A4654E">
        <w:tblPrEx>
          <w:tblW w:w="9272" w:type="dxa"/>
          <w:tblInd w:w="108" w:type="dxa"/>
          <w:tblLook w:val="04A0"/>
        </w:tblPrEx>
        <w:trPr>
          <w:trHeight w:val="288"/>
        </w:trPr>
        <w:tc>
          <w:tcPr>
            <w:tcW w:w="2857" w:type="dxa"/>
            <w:tcBorders>
              <w:top w:val="nil"/>
              <w:left w:val="single" w:sz="4" w:space="0" w:color="auto"/>
              <w:bottom w:val="single" w:sz="4" w:space="0" w:color="auto"/>
              <w:right w:val="single" w:sz="4" w:space="0" w:color="auto"/>
            </w:tcBorders>
            <w:shd w:val="clear" w:color="auto" w:fill="auto"/>
            <w:noWrap/>
            <w:vAlign w:val="bottom"/>
            <w:hideMark/>
          </w:tcPr>
          <w:p w:rsidR="00A4654E" w:rsidRPr="00071B69" w:rsidP="00A4654E" w14:paraId="104E9E76" w14:textId="77777777">
            <w:pPr>
              <w:spacing w:after="0" w:line="240" w:lineRule="auto"/>
              <w:contextualSpacing/>
              <w:rPr>
                <w:rFonts w:cstheme="minorHAnsi"/>
                <w:color w:val="000000"/>
              </w:rPr>
            </w:pPr>
            <w:r w:rsidRPr="00071B69">
              <w:rPr>
                <w:rFonts w:cstheme="minorHAnsi"/>
                <w:color w:val="000000"/>
              </w:rPr>
              <w:t>Clerical</w:t>
            </w:r>
          </w:p>
        </w:tc>
        <w:tc>
          <w:tcPr>
            <w:tcW w:w="2520" w:type="dxa"/>
            <w:tcBorders>
              <w:top w:val="nil"/>
              <w:left w:val="nil"/>
              <w:bottom w:val="single" w:sz="4" w:space="0" w:color="auto"/>
              <w:right w:val="single" w:sz="4" w:space="0" w:color="auto"/>
            </w:tcBorders>
            <w:shd w:val="clear" w:color="auto" w:fill="auto"/>
            <w:noWrap/>
            <w:hideMark/>
          </w:tcPr>
          <w:p w:rsidR="00A4654E" w:rsidRPr="00071B69" w:rsidP="00A4654E" w14:paraId="3321BEE7" w14:textId="77777777">
            <w:pPr>
              <w:spacing w:after="0" w:line="240" w:lineRule="auto"/>
              <w:contextualSpacing/>
              <w:jc w:val="center"/>
              <w:rPr>
                <w:rFonts w:cstheme="minorHAnsi"/>
              </w:rPr>
            </w:pPr>
            <w:r w:rsidRPr="00071B69">
              <w:rPr>
                <w:rFonts w:cstheme="minorHAnsi"/>
              </w:rPr>
              <w:t>$20.88</w:t>
            </w:r>
          </w:p>
        </w:tc>
        <w:tc>
          <w:tcPr>
            <w:tcW w:w="1890" w:type="dxa"/>
            <w:tcBorders>
              <w:top w:val="nil"/>
              <w:left w:val="nil"/>
              <w:bottom w:val="single" w:sz="4" w:space="0" w:color="auto"/>
              <w:right w:val="single" w:sz="4" w:space="0" w:color="auto"/>
            </w:tcBorders>
            <w:shd w:val="clear" w:color="auto" w:fill="auto"/>
            <w:noWrap/>
            <w:hideMark/>
          </w:tcPr>
          <w:p w:rsidR="00A4654E" w:rsidRPr="00071B69" w:rsidP="00A4654E" w14:paraId="30A579F0" w14:textId="77777777">
            <w:pPr>
              <w:spacing w:after="0" w:line="240" w:lineRule="auto"/>
              <w:contextualSpacing/>
              <w:jc w:val="center"/>
              <w:rPr>
                <w:rFonts w:cstheme="minorHAnsi"/>
              </w:rPr>
            </w:pPr>
            <w:r w:rsidRPr="00071B69">
              <w:rPr>
                <w:rFonts w:cstheme="minorHAnsi"/>
              </w:rPr>
              <w:t>$22.97</w:t>
            </w:r>
          </w:p>
        </w:tc>
        <w:tc>
          <w:tcPr>
            <w:tcW w:w="2005" w:type="dxa"/>
            <w:tcBorders>
              <w:top w:val="nil"/>
              <w:left w:val="nil"/>
              <w:bottom w:val="single" w:sz="4" w:space="0" w:color="auto"/>
              <w:right w:val="single" w:sz="4" w:space="0" w:color="auto"/>
            </w:tcBorders>
            <w:shd w:val="clear" w:color="auto" w:fill="auto"/>
            <w:noWrap/>
            <w:hideMark/>
          </w:tcPr>
          <w:p w:rsidR="00A4654E" w:rsidRPr="00071B69" w:rsidP="00A4654E" w14:paraId="5743B3BE" w14:textId="77777777">
            <w:pPr>
              <w:spacing w:after="0" w:line="240" w:lineRule="auto"/>
              <w:contextualSpacing/>
              <w:jc w:val="center"/>
              <w:rPr>
                <w:rFonts w:cstheme="minorHAnsi"/>
              </w:rPr>
            </w:pPr>
            <w:r w:rsidRPr="00071B69">
              <w:rPr>
                <w:rFonts w:cstheme="minorHAnsi"/>
              </w:rPr>
              <w:t>$43.85</w:t>
            </w:r>
          </w:p>
        </w:tc>
      </w:tr>
    </w:tbl>
    <w:p w:rsidR="0048217A" w:rsidRPr="00071B69" w:rsidP="00A4654E" w14:paraId="52CC0F9D" w14:textId="6CC817A9">
      <w:pPr>
        <w:spacing w:before="60"/>
        <w:ind w:firstLine="720"/>
        <w:rPr>
          <w:rFonts w:cstheme="minorHAnsi"/>
          <w:color w:val="000000"/>
        </w:rPr>
      </w:pPr>
      <w:r w:rsidRPr="00071B69">
        <w:rPr>
          <w:rFonts w:cstheme="minorHAnsi"/>
          <w:color w:val="000000"/>
        </w:rPr>
        <w:t xml:space="preserve">These rates are from the United States Department of Labor, Bureau of Labor Statistics, May 2021. The wage categories "Technical," "Clerical," and "Managerial" refer to the labor category codes 11-3051, 43-6010, and 11-1021, respectively, in the United States Department of Labor, Bureau of Labor Statistics table titled "May 2021 National Industry-Specific Occupational Employment and Wage Estimates NAICS 331100 - Iron and Steel Mills and Ferroalloy Manufacturing," (see </w:t>
      </w:r>
      <w:r w:rsidRPr="00071B69">
        <w:rPr>
          <w:rFonts w:cstheme="minorHAnsi"/>
        </w:rPr>
        <w:t>https://www.bls.gov/oes/current/naics4_331100.htm</w:t>
      </w:r>
      <w:r w:rsidRPr="00071B69">
        <w:rPr>
          <w:rFonts w:cstheme="minorHAnsi"/>
          <w:color w:val="000000"/>
        </w:rPr>
        <w:t>). The rates have been increased by 110 percent to account for the benefit packages available to those employed by private industry.</w:t>
      </w:r>
    </w:p>
    <w:p w:rsidR="00CD1B9B" w:rsidRPr="00071B69" w:rsidP="00CD1B9B" w14:paraId="6FB598B0"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 xml:space="preserve">For the proposed amendments, the estimated total annual labor hours and cost are 1,580 hours and $177,000, respectively. The burden is estimated to average 31 hours per response. Details regarding these estimates may be found in </w:t>
      </w:r>
      <w:r w:rsidRPr="00071B69">
        <w:rPr>
          <w:rFonts w:cstheme="minorHAnsi"/>
        </w:rPr>
        <w:t xml:space="preserve">Table 1: Average Annual Respondent Burden and Cost – </w:t>
      </w:r>
      <w:r w:rsidRPr="00071B69">
        <w:rPr>
          <w:rFonts w:cstheme="minorHAnsi"/>
          <w:bCs/>
        </w:rPr>
        <w:t>NESHAP for Taconite Iron Ore Processing facilities (40 CFR Part 63, Subpart RRRRR) (2023 Proposed Amendments)</w:t>
      </w:r>
      <w:r w:rsidRPr="00071B69">
        <w:rPr>
          <w:rFonts w:cstheme="minorHAnsi"/>
          <w:color w:val="000000"/>
        </w:rPr>
        <w:t xml:space="preserve">. </w:t>
      </w:r>
    </w:p>
    <w:p w:rsidR="00CD1B9B" w:rsidRPr="00071B69" w:rsidP="00CD1B9B" w14:paraId="3E754981" w14:textId="7FBA0B68">
      <w:pPr>
        <w:spacing w:before="60"/>
        <w:ind w:firstLine="720"/>
        <w:rPr>
          <w:rFonts w:cstheme="minorHAnsi"/>
        </w:rPr>
      </w:pPr>
      <w:r w:rsidRPr="00071B69">
        <w:rPr>
          <w:rFonts w:cstheme="minorHAnsi"/>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BB2B15" w:rsidRPr="00071B69" w:rsidP="00B50602" w14:paraId="5D1B71A2" w14:textId="2ADBBFA0">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caps/>
        </w:rPr>
      </w:pPr>
      <w:bookmarkStart w:id="19" w:name="_Toc156593386"/>
      <w:r w:rsidRPr="00071B69">
        <w:rPr>
          <w:rFonts w:cstheme="minorHAnsi"/>
          <w:b/>
          <w:bCs/>
          <w:caps/>
        </w:rPr>
        <w:t>Respondent</w:t>
      </w:r>
      <w:r w:rsidRPr="00071B69" w:rsidR="009A09EC">
        <w:rPr>
          <w:rFonts w:cstheme="minorHAnsi"/>
          <w:b/>
          <w:bCs/>
          <w:caps/>
        </w:rPr>
        <w:t xml:space="preserve"> </w:t>
      </w:r>
      <w:r w:rsidRPr="00071B69" w:rsidR="00D17BB9">
        <w:rPr>
          <w:rFonts w:cstheme="minorHAnsi"/>
          <w:b/>
          <w:bCs/>
          <w:caps/>
        </w:rPr>
        <w:t xml:space="preserve">CAPITAL AND O&amp;m </w:t>
      </w:r>
      <w:r w:rsidRPr="00071B69" w:rsidR="004E3CB0">
        <w:rPr>
          <w:rFonts w:cstheme="minorHAnsi"/>
          <w:b/>
          <w:bCs/>
          <w:caps/>
        </w:rPr>
        <w:t>Cost</w:t>
      </w:r>
      <w:r w:rsidRPr="00071B69" w:rsidR="00D17BB9">
        <w:rPr>
          <w:rFonts w:cstheme="minorHAnsi"/>
          <w:b/>
          <w:bCs/>
          <w:caps/>
        </w:rPr>
        <w:t>S</w:t>
      </w:r>
      <w:bookmarkEnd w:id="19"/>
      <w:r w:rsidRPr="00071B69" w:rsidR="004E3CB0">
        <w:rPr>
          <w:rFonts w:cstheme="minorHAnsi"/>
          <w:b/>
          <w:bCs/>
          <w:caps/>
        </w:rPr>
        <w:t xml:space="preserve"> </w:t>
      </w:r>
    </w:p>
    <w:p w:rsidR="00F92596" w:rsidRPr="00071B69" w:rsidP="00F92596" w14:paraId="0925DF34" w14:textId="77777777">
      <w:pPr>
        <w:spacing w:after="0" w:line="240" w:lineRule="auto"/>
        <w:rPr>
          <w:rFonts w:cstheme="minorHAnsi"/>
          <w:i/>
          <w:iCs/>
        </w:rPr>
      </w:pPr>
      <w:r w:rsidRPr="00071B69">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071B69" w:rsidP="00163C69" w14:paraId="026BDBA4" w14:textId="77777777">
      <w:pPr>
        <w:spacing w:before="120" w:after="0" w:line="240" w:lineRule="auto"/>
        <w:rPr>
          <w:rFonts w:cstheme="minorHAnsi"/>
          <w:i/>
          <w:iCs/>
        </w:rPr>
      </w:pPr>
      <w:r w:rsidRPr="00071B69">
        <w:rPr>
          <w:rFonts w:cstheme="minorHAnsi"/>
          <w:i/>
          <w:iCs/>
        </w:rPr>
        <w:t>The cost estimate should be split into two components: (a) a total capital and start-up cost</w:t>
      </w:r>
    </w:p>
    <w:p w:rsidR="00F92596" w:rsidRPr="00071B69" w:rsidP="00F92596" w14:paraId="7ED5E3E9" w14:textId="77777777">
      <w:pPr>
        <w:spacing w:after="0" w:line="240" w:lineRule="auto"/>
        <w:rPr>
          <w:rFonts w:cstheme="minorHAnsi"/>
          <w:i/>
          <w:iCs/>
        </w:rPr>
      </w:pPr>
      <w:r w:rsidRPr="00071B69">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071B69" w:rsidP="00163C69" w14:paraId="761690A4" w14:textId="77777777">
      <w:pPr>
        <w:spacing w:line="240" w:lineRule="auto"/>
        <w:rPr>
          <w:rFonts w:cstheme="minorHAnsi"/>
          <w:i/>
          <w:iCs/>
        </w:rPr>
      </w:pPr>
      <w:r w:rsidRPr="00071B69">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071B69" w:rsidP="00163C69" w14:paraId="577731C5" w14:textId="77777777">
      <w:pPr>
        <w:pBdr>
          <w:bottom w:val="single" w:sz="4" w:space="1" w:color="auto"/>
        </w:pBdr>
        <w:spacing w:line="240" w:lineRule="auto"/>
        <w:rPr>
          <w:rFonts w:cstheme="minorHAnsi"/>
          <w:i/>
          <w:iCs/>
        </w:rPr>
      </w:pPr>
      <w:r w:rsidRPr="00071B69">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471CE" w:rsidRPr="00071B69" w:rsidP="00A471CE" w14:paraId="15C85D78" w14:textId="77777777">
      <w:pPr>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rPr>
        <w:t>The type of industry costs associated with the information collection activities in the subject standard are both labor costs (which are addressed elsewhere in this ICR) and the costs associated with continuous monitoring and other compliance activities. Each respondent subject to the Taconite Iron Ore Processing NESHAP must conduct initial and subsequent performance testing in accordance with the proposed emission standards. The annual operation and maintenance costs are the ongoing costs associated with the various air pollution control devices (APCD) required to comply with the NESHAP.</w:t>
      </w:r>
    </w:p>
    <w:p w:rsidR="00BB3410" w:rsidRPr="00071B69" w:rsidP="00A471CE" w14:paraId="678BA42F" w14:textId="1D9212E6">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The total capital/startup costs and total operation and maintenance (O&amp;M) costs for this ICR are estimated to be $46 million. The average annual cost for capital/startup and operation and maintenance costs to industry over the next three years of the ICR is estimated to be $15.4 million per year.</w:t>
      </w:r>
    </w:p>
    <w:p w:rsidR="00B17847" w:rsidRPr="00071B69" w:rsidP="00A471CE" w14:paraId="1B1FAAE9" w14:textId="15420D04">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The estimated total annual labor costs for the proposed amendments is $177,000 or $25,000 per facility. Details regarding these estimates may be found below in Table 1: Average Annual Respondent Burden and Cost – NESHAP for Taconite Iron Ore Processing facilities (40 CFR Part 63, Subpart RRRRR) (2023 Proposed Amendments).</w:t>
      </w:r>
    </w:p>
    <w:p w:rsidR="00023EFE" w:rsidRPr="00071B69" w:rsidP="00B50602" w14:paraId="7D2BF7DE" w14:textId="77777777">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20" w:name="_Toc156593387"/>
      <w:r w:rsidRPr="00071B69">
        <w:rPr>
          <w:rFonts w:cstheme="minorHAnsi"/>
          <w:b/>
          <w:bCs/>
        </w:rPr>
        <w:t xml:space="preserve">AGENCY </w:t>
      </w:r>
      <w:bookmarkStart w:id="21" w:name="_Toc156593388"/>
      <w:bookmarkEnd w:id="20"/>
      <w:r w:rsidRPr="00071B69" w:rsidR="00BB2B15">
        <w:rPr>
          <w:rFonts w:cstheme="minorHAnsi"/>
          <w:b/>
          <w:bCs/>
        </w:rPr>
        <w:t>COSTS</w:t>
      </w:r>
    </w:p>
    <w:p w:rsidR="001F0834" w:rsidRPr="00071B69" w:rsidP="00854AAE" w14:paraId="3D696CEA" w14:textId="77777777">
      <w:pPr>
        <w:pBdr>
          <w:bottom w:val="single" w:sz="4" w:space="1" w:color="auto"/>
        </w:pBdr>
        <w:rPr>
          <w:rFonts w:cstheme="minorHAnsi"/>
          <w:bCs/>
          <w:i/>
          <w:iCs/>
        </w:rPr>
      </w:pPr>
      <w:r w:rsidRPr="00071B69">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071B69" w:rsidP="00B50602" w14:paraId="1D8BBDEC" w14:textId="7D3333D9">
      <w:p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eastAsiaTheme="majorEastAsia" w:cstheme="minorHAnsi"/>
          <w:b/>
          <w:bCs/>
        </w:rPr>
        <w:t xml:space="preserve">14a. </w:t>
      </w:r>
      <w:r w:rsidRPr="00071B69" w:rsidR="00BB2B15">
        <w:rPr>
          <w:rFonts w:eastAsiaTheme="majorEastAsia" w:cstheme="minorHAnsi"/>
          <w:b/>
          <w:bCs/>
        </w:rPr>
        <w:t>Agency Activities</w:t>
      </w:r>
    </w:p>
    <w:p w:rsidR="009F1E00" w:rsidRPr="00071B69" w:rsidP="00854AAE" w14:paraId="647FDC77" w14:textId="3FD5205E">
      <w:pPr>
        <w:keepNext/>
        <w:keepLines/>
        <w:spacing w:before="60"/>
        <w:rPr>
          <w:rFonts w:cstheme="minorHAnsi"/>
          <w:color w:val="000000"/>
        </w:rPr>
      </w:pPr>
      <w:r w:rsidRPr="00071B69">
        <w:rPr>
          <w:rFonts w:cstheme="minorHAnsi"/>
          <w:color w:val="000000"/>
        </w:rPr>
        <w:t>The EPA conducts the following activities in connection with the acquisition, analysis, storage, and distribution of the required information.</w:t>
      </w:r>
    </w:p>
    <w:p w:rsidR="00807EFF" w:rsidRPr="00071B69" w:rsidP="00807EFF" w14:paraId="5219A780" w14:textId="77777777">
      <w:pPr>
        <w:pStyle w:val="ListParagraph"/>
        <w:keepNext/>
        <w:keepLines/>
        <w:numPr>
          <w:ilvl w:val="0"/>
          <w:numId w:val="29"/>
        </w:numPr>
        <w:spacing w:before="60"/>
        <w:rPr>
          <w:rFonts w:cstheme="minorHAnsi"/>
        </w:rPr>
      </w:pPr>
      <w:r w:rsidRPr="00071B69">
        <w:rPr>
          <w:rFonts w:cstheme="minorHAnsi"/>
        </w:rPr>
        <w:t>Observe performance tests and repeat performance tests, if necessary.</w:t>
      </w:r>
    </w:p>
    <w:p w:rsidR="00807EFF" w:rsidRPr="00071B69" w:rsidP="00807EFF" w14:paraId="3D3BBBBB" w14:textId="77777777">
      <w:pPr>
        <w:pStyle w:val="ListParagraph"/>
        <w:keepNext/>
        <w:keepLines/>
        <w:numPr>
          <w:ilvl w:val="0"/>
          <w:numId w:val="29"/>
        </w:numPr>
        <w:spacing w:before="60"/>
        <w:rPr>
          <w:rFonts w:cstheme="minorHAnsi"/>
        </w:rPr>
      </w:pPr>
      <w:r w:rsidRPr="00071B69">
        <w:rPr>
          <w:rFonts w:cstheme="minorHAnsi"/>
        </w:rPr>
        <w:t>Review notifications and reports, including performance test reports, and excess emissions reports, required to be submitted by industry.</w:t>
      </w:r>
    </w:p>
    <w:p w:rsidR="00807EFF" w:rsidRPr="00071B69" w:rsidP="00807EFF" w14:paraId="3CD2EAF0" w14:textId="77777777">
      <w:pPr>
        <w:pStyle w:val="ListParagraph"/>
        <w:keepNext/>
        <w:keepLines/>
        <w:numPr>
          <w:ilvl w:val="0"/>
          <w:numId w:val="29"/>
        </w:numPr>
        <w:spacing w:before="60"/>
        <w:rPr>
          <w:rFonts w:cstheme="minorHAnsi"/>
        </w:rPr>
      </w:pPr>
      <w:r w:rsidRPr="00071B69">
        <w:rPr>
          <w:rFonts w:cstheme="minorHAnsi"/>
        </w:rPr>
        <w:t>Audit facility records.</w:t>
      </w:r>
    </w:p>
    <w:p w:rsidR="00807EFF" w:rsidRPr="00071B69" w:rsidP="00807EFF" w14:paraId="03C57DF9" w14:textId="2EAAB419">
      <w:pPr>
        <w:pStyle w:val="ListParagraph"/>
        <w:keepNext/>
        <w:keepLines/>
        <w:numPr>
          <w:ilvl w:val="0"/>
          <w:numId w:val="29"/>
        </w:numPr>
        <w:spacing w:before="60"/>
        <w:rPr>
          <w:rFonts w:cstheme="minorHAnsi"/>
        </w:rPr>
      </w:pPr>
      <w:r w:rsidRPr="00071B69">
        <w:rPr>
          <w:rFonts w:cstheme="minorHAnsi"/>
        </w:rPr>
        <w:t>Input, analyze, and maintain data in the Enforcement and Compliance History Online (ECHO) and Integrated Compliance Information System (ICIS).</w:t>
      </w:r>
    </w:p>
    <w:p w:rsidR="00023EFE" w:rsidRPr="00071B69" w:rsidP="00B50602" w14:paraId="30F74537" w14:textId="3975E491">
      <w:p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eastAsiaTheme="majorEastAsia" w:cstheme="minorHAnsi"/>
          <w:b/>
          <w:bCs/>
        </w:rPr>
        <w:t xml:space="preserve">14b. </w:t>
      </w:r>
      <w:r w:rsidRPr="00071B69" w:rsidR="00BB2B15">
        <w:rPr>
          <w:rFonts w:eastAsiaTheme="majorEastAsia" w:cstheme="minorHAnsi"/>
          <w:b/>
          <w:bCs/>
        </w:rPr>
        <w:t>Agency Labor Cost</w:t>
      </w:r>
    </w:p>
    <w:p w:rsidR="00347973" w:rsidRPr="00071B69" w:rsidP="00347973" w14:paraId="2D8E1925"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The only costs to the Agency are costs associated with observation of the initial performance tests and analysis of the reported information. Publication and distribution of the information are part of the ECHO program. Examination of records to be maintained by the respondents will occur as part of the periodic inspection of sources, which is part of the EPA’s overall compliance and enforcement program. The average annual Agency cost during the 3 years of the ICR is estimated to be $7,460 for the proposed amendments.</w:t>
      </w:r>
    </w:p>
    <w:p w:rsidR="00347973" w:rsidRPr="00071B69" w:rsidP="00347973" w14:paraId="604B7C13" w14:textId="5879CD67">
      <w:pPr>
        <w:keepNext/>
        <w:pBdr>
          <w:top w:val="single" w:sz="6" w:space="0" w:color="FFFFFF"/>
          <w:left w:val="single" w:sz="6" w:space="0" w:color="FFFFFF"/>
          <w:bottom w:val="single" w:sz="6" w:space="0" w:color="FFFFFF"/>
          <w:right w:val="single" w:sz="6" w:space="0" w:color="FFFFFF"/>
        </w:pBdr>
        <w:rPr>
          <w:rFonts w:cstheme="minorHAnsi"/>
          <w:color w:val="000000"/>
        </w:rPr>
      </w:pPr>
      <w:r w:rsidRPr="00071B69">
        <w:rPr>
          <w:rFonts w:cstheme="minorHAnsi"/>
          <w:color w:val="000000"/>
        </w:rPr>
        <w:t>This cost is based on the average hourly labor rate as follows:</w:t>
      </w:r>
    </w:p>
    <w:tbl>
      <w:tblPr>
        <w:tblW w:w="5000" w:type="pct"/>
        <w:tblLook w:val="04A0"/>
      </w:tblPr>
      <w:tblGrid>
        <w:gridCol w:w="3931"/>
        <w:gridCol w:w="2229"/>
        <w:gridCol w:w="1892"/>
        <w:gridCol w:w="1524"/>
      </w:tblGrid>
      <w:tr w14:paraId="456D3901" w14:textId="77777777" w:rsidTr="004C2B62">
        <w:tblPrEx>
          <w:tblW w:w="5000" w:type="pct"/>
          <w:tblLook w:val="04A0"/>
        </w:tblPrEx>
        <w:trPr>
          <w:trHeight w:val="288"/>
        </w:trPr>
        <w:tc>
          <w:tcPr>
            <w:tcW w:w="20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973" w:rsidRPr="00071B69" w:rsidP="004C2B62" w14:paraId="4AE3C2A3" w14:textId="77777777">
            <w:pPr>
              <w:keepNext/>
              <w:rPr>
                <w:rFonts w:cstheme="minorHAnsi"/>
                <w:b/>
                <w:bCs/>
                <w:color w:val="000000"/>
              </w:rPr>
            </w:pPr>
            <w:r w:rsidRPr="00071B69">
              <w:rPr>
                <w:rFonts w:cstheme="minorHAnsi"/>
                <w:b/>
                <w:bCs/>
                <w:color w:val="000000"/>
              </w:rPr>
              <w:t>Agency Worker Rates</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347973" w:rsidRPr="00071B69" w:rsidP="004C2B62" w14:paraId="1EAEC9F9" w14:textId="77777777">
            <w:pPr>
              <w:keepNext/>
              <w:jc w:val="center"/>
              <w:rPr>
                <w:rFonts w:cstheme="minorHAnsi"/>
                <w:b/>
                <w:bCs/>
                <w:color w:val="000000"/>
              </w:rPr>
            </w:pPr>
            <w:r w:rsidRPr="00071B69">
              <w:rPr>
                <w:rFonts w:cstheme="minorHAnsi"/>
                <w:b/>
                <w:bCs/>
                <w:color w:val="000000"/>
              </w:rPr>
              <w:t xml:space="preserve">Labor Rates, $/hr </w:t>
            </w:r>
            <w:r w:rsidRPr="00071B69">
              <w:rPr>
                <w:rFonts w:cstheme="minorHAnsi"/>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rsidR="00347973" w:rsidRPr="00071B69" w:rsidP="004C2B62" w14:paraId="3287185F" w14:textId="77777777">
            <w:pPr>
              <w:keepNext/>
              <w:jc w:val="center"/>
              <w:rPr>
                <w:rFonts w:cstheme="minorHAnsi"/>
                <w:b/>
                <w:bCs/>
                <w:color w:val="000000"/>
              </w:rPr>
            </w:pPr>
            <w:r w:rsidRPr="00071B69">
              <w:rPr>
                <w:rFonts w:cstheme="minorHAnsi"/>
                <w:b/>
                <w:bCs/>
                <w:color w:val="000000"/>
              </w:rPr>
              <w:t>60% Overhead</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rsidR="00347973" w:rsidRPr="00071B69" w:rsidP="004C2B62" w14:paraId="03BEAFDC" w14:textId="77777777">
            <w:pPr>
              <w:keepNext/>
              <w:jc w:val="center"/>
              <w:rPr>
                <w:rFonts w:cstheme="minorHAnsi"/>
                <w:b/>
                <w:bCs/>
                <w:color w:val="000000"/>
              </w:rPr>
            </w:pPr>
            <w:r w:rsidRPr="00071B69">
              <w:rPr>
                <w:rFonts w:cstheme="minorHAnsi"/>
                <w:b/>
                <w:bCs/>
                <w:color w:val="000000"/>
              </w:rPr>
              <w:t>Total, $/hr</w:t>
            </w:r>
          </w:p>
        </w:tc>
      </w:tr>
      <w:tr w14:paraId="4FE2D02C" w14:textId="77777777" w:rsidTr="004C2B6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347973" w:rsidRPr="00071B69" w:rsidP="004C2B62" w14:paraId="0A30AA0B" w14:textId="77777777">
            <w:pPr>
              <w:keepNext/>
              <w:rPr>
                <w:rFonts w:cstheme="minorHAnsi"/>
                <w:color w:val="000000"/>
              </w:rPr>
            </w:pPr>
            <w:r w:rsidRPr="00071B69">
              <w:rPr>
                <w:rFonts w:cstheme="minorHAnsi"/>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07F810D6" w14:textId="77777777">
            <w:pPr>
              <w:keepNext/>
              <w:jc w:val="center"/>
              <w:rPr>
                <w:rFonts w:cstheme="minorHAnsi"/>
                <w:color w:val="000000"/>
              </w:rPr>
            </w:pPr>
            <w:r w:rsidRPr="00071B69">
              <w:rPr>
                <w:rFonts w:cstheme="minorHAnsi"/>
                <w:color w:val="000000"/>
              </w:rPr>
              <w:t>$43.15</w:t>
            </w:r>
          </w:p>
        </w:tc>
        <w:tc>
          <w:tcPr>
            <w:tcW w:w="988"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52AA94FE" w14:textId="77777777">
            <w:pPr>
              <w:keepNext/>
              <w:jc w:val="center"/>
              <w:rPr>
                <w:rFonts w:cstheme="minorHAnsi"/>
              </w:rPr>
            </w:pPr>
            <w:r w:rsidRPr="00071B69">
              <w:rPr>
                <w:rFonts w:cstheme="minorHAnsi"/>
              </w:rPr>
              <w:t>$25.89</w:t>
            </w:r>
          </w:p>
        </w:tc>
        <w:tc>
          <w:tcPr>
            <w:tcW w:w="797"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7522B767" w14:textId="77777777">
            <w:pPr>
              <w:keepNext/>
              <w:jc w:val="center"/>
              <w:rPr>
                <w:rFonts w:cstheme="minorHAnsi"/>
              </w:rPr>
            </w:pPr>
            <w:r w:rsidRPr="00071B69">
              <w:rPr>
                <w:rFonts w:cstheme="minorHAnsi"/>
              </w:rPr>
              <w:t>$69.04</w:t>
            </w:r>
          </w:p>
        </w:tc>
      </w:tr>
      <w:tr w14:paraId="060D5AF9" w14:textId="77777777" w:rsidTr="004C2B6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347973" w:rsidRPr="00071B69" w:rsidP="004C2B62" w14:paraId="4B58F53C" w14:textId="77777777">
            <w:pPr>
              <w:keepNext/>
              <w:rPr>
                <w:rFonts w:cstheme="minorHAnsi"/>
                <w:color w:val="000000"/>
              </w:rPr>
            </w:pPr>
            <w:r w:rsidRPr="00071B69">
              <w:rPr>
                <w:rFonts w:cstheme="minorHAnsi"/>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2EC4E30D" w14:textId="77777777">
            <w:pPr>
              <w:keepNext/>
              <w:jc w:val="center"/>
              <w:rPr>
                <w:rFonts w:cstheme="minorHAnsi"/>
                <w:color w:val="000000"/>
              </w:rPr>
            </w:pPr>
            <w:r w:rsidRPr="00071B69">
              <w:rPr>
                <w:rFonts w:cstheme="minorHAnsi"/>
                <w:color w:val="000000"/>
              </w:rPr>
              <w:t>$32.02</w:t>
            </w:r>
          </w:p>
        </w:tc>
        <w:tc>
          <w:tcPr>
            <w:tcW w:w="988"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524744E9" w14:textId="77777777">
            <w:pPr>
              <w:keepNext/>
              <w:jc w:val="center"/>
              <w:rPr>
                <w:rFonts w:cstheme="minorHAnsi"/>
              </w:rPr>
            </w:pPr>
            <w:r w:rsidRPr="00071B69">
              <w:rPr>
                <w:rFonts w:cstheme="minorHAnsi"/>
              </w:rPr>
              <w:t>$19.21</w:t>
            </w:r>
          </w:p>
        </w:tc>
        <w:tc>
          <w:tcPr>
            <w:tcW w:w="797"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132B7AA9" w14:textId="77777777">
            <w:pPr>
              <w:keepNext/>
              <w:jc w:val="center"/>
              <w:rPr>
                <w:rFonts w:cstheme="minorHAnsi"/>
              </w:rPr>
            </w:pPr>
            <w:r w:rsidRPr="00071B69">
              <w:rPr>
                <w:rFonts w:cstheme="minorHAnsi"/>
              </w:rPr>
              <w:t>$51.24</w:t>
            </w:r>
          </w:p>
        </w:tc>
      </w:tr>
      <w:tr w14:paraId="36BC50E9" w14:textId="77777777" w:rsidTr="004C2B6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347973" w:rsidRPr="00071B69" w:rsidP="004C2B62" w14:paraId="4967B110" w14:textId="77777777">
            <w:pPr>
              <w:keepNext/>
              <w:rPr>
                <w:rFonts w:cstheme="minorHAnsi"/>
                <w:color w:val="000000"/>
              </w:rPr>
            </w:pPr>
            <w:r w:rsidRPr="00071B69">
              <w:rPr>
                <w:rFonts w:cstheme="minorHAnsi"/>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2A008BE7" w14:textId="77777777">
            <w:pPr>
              <w:keepNext/>
              <w:jc w:val="center"/>
              <w:rPr>
                <w:rFonts w:cstheme="minorHAnsi"/>
                <w:color w:val="000000"/>
              </w:rPr>
            </w:pPr>
            <w:r w:rsidRPr="00071B69">
              <w:rPr>
                <w:rFonts w:cstheme="minorHAnsi"/>
                <w:color w:val="000000"/>
              </w:rPr>
              <w:t>$17.33</w:t>
            </w:r>
          </w:p>
        </w:tc>
        <w:tc>
          <w:tcPr>
            <w:tcW w:w="988"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7203F5A1" w14:textId="77777777">
            <w:pPr>
              <w:keepNext/>
              <w:jc w:val="center"/>
              <w:rPr>
                <w:rFonts w:cstheme="minorHAnsi"/>
              </w:rPr>
            </w:pPr>
            <w:r w:rsidRPr="00071B69">
              <w:rPr>
                <w:rFonts w:cstheme="minorHAnsi"/>
              </w:rPr>
              <w:t>$10.40</w:t>
            </w:r>
          </w:p>
        </w:tc>
        <w:tc>
          <w:tcPr>
            <w:tcW w:w="797" w:type="pct"/>
            <w:tcBorders>
              <w:top w:val="nil"/>
              <w:left w:val="nil"/>
              <w:bottom w:val="single" w:sz="4" w:space="0" w:color="auto"/>
              <w:right w:val="single" w:sz="4" w:space="0" w:color="auto"/>
            </w:tcBorders>
            <w:shd w:val="clear" w:color="auto" w:fill="auto"/>
            <w:noWrap/>
            <w:vAlign w:val="bottom"/>
            <w:hideMark/>
          </w:tcPr>
          <w:p w:rsidR="00347973" w:rsidRPr="00071B69" w:rsidP="004C2B62" w14:paraId="1CF32417" w14:textId="77777777">
            <w:pPr>
              <w:keepNext/>
              <w:jc w:val="center"/>
              <w:rPr>
                <w:rFonts w:cstheme="minorHAnsi"/>
              </w:rPr>
            </w:pPr>
            <w:r w:rsidRPr="00071B69">
              <w:rPr>
                <w:rFonts w:cstheme="minorHAnsi"/>
              </w:rPr>
              <w:t>$27.73</w:t>
            </w:r>
          </w:p>
        </w:tc>
      </w:tr>
    </w:tbl>
    <w:p w:rsidR="00347973" w:rsidRPr="00071B69" w:rsidP="00347973" w14:paraId="7178CA37" w14:textId="638DF088">
      <w:pPr>
        <w:keepNext/>
        <w:pBdr>
          <w:top w:val="single" w:sz="6" w:space="0" w:color="FFFFFF"/>
          <w:left w:val="single" w:sz="6" w:space="0" w:color="FFFFFF"/>
          <w:bottom w:val="single" w:sz="6" w:space="0" w:color="FFFFFF"/>
          <w:right w:val="single" w:sz="6" w:space="0" w:color="FFFFFF"/>
        </w:pBdr>
        <w:rPr>
          <w:rFonts w:cstheme="minorHAnsi"/>
          <w:lang w:val="pt-BR"/>
        </w:rPr>
      </w:pPr>
      <w:r w:rsidRPr="00071B69">
        <w:rPr>
          <w:rFonts w:cstheme="minorHAnsi"/>
          <w:color w:val="000000"/>
          <w:vertAlign w:val="superscript"/>
          <w:lang w:val="pt-BR"/>
        </w:rPr>
        <w:t>a</w:t>
      </w:r>
      <w:r w:rsidRPr="00071B69">
        <w:rPr>
          <w:rFonts w:cstheme="minorHAnsi"/>
          <w:color w:val="000000"/>
          <w:lang w:val="pt-BR"/>
        </w:rPr>
        <w:t xml:space="preserve"> </w:t>
      </w:r>
      <w:r w:rsidRPr="00071B69">
        <w:rPr>
          <w:rFonts w:cstheme="minorHAnsi"/>
          <w:lang w:val="pt-BR"/>
        </w:rPr>
        <w:t>https://www.opm.gov/policy-data-oversight/pay-leave/salaries-wages/salary-tables/21Tables/html/GS_h.aspx</w:t>
      </w:r>
    </w:p>
    <w:p w:rsidR="00347973" w:rsidRPr="00071B69" w:rsidP="00F440DB" w14:paraId="61004982" w14:textId="19DDB233">
      <w:pPr>
        <w:pBdr>
          <w:top w:val="single" w:sz="6" w:space="0" w:color="FFFFFF"/>
          <w:left w:val="single" w:sz="6" w:space="0" w:color="FFFFFF"/>
          <w:bottom w:val="single" w:sz="6" w:space="0" w:color="FFFFFF"/>
          <w:right w:val="single" w:sz="6" w:space="0" w:color="FFFFFF"/>
        </w:pBdr>
        <w:spacing w:before="60"/>
        <w:ind w:firstLine="720"/>
        <w:rPr>
          <w:rFonts w:cstheme="minorHAnsi"/>
        </w:rPr>
      </w:pPr>
      <w:r w:rsidRPr="00071B69">
        <w:rPr>
          <w:rFonts w:cstheme="minorHAnsi"/>
          <w:color w:val="000000"/>
        </w:rPr>
        <w:t>These rates are from the Office of Personnel Management (OPM), 2021 General Schedule, which excludes locality rates of pay. The rates have been increased by 60 percent to account for the benefit packages available to government employees</w:t>
      </w:r>
      <w:r w:rsidRPr="00071B69">
        <w:rPr>
          <w:rFonts w:cstheme="minorHAnsi"/>
        </w:rPr>
        <w:t xml:space="preserve">. </w:t>
      </w:r>
      <w:r w:rsidRPr="00071B69">
        <w:rPr>
          <w:rFonts w:cstheme="minorHAnsi"/>
          <w:color w:val="000000"/>
        </w:rPr>
        <w:t xml:space="preserve">Details upon which this estimate is based appear below in </w:t>
      </w:r>
      <w:r w:rsidRPr="00071B69">
        <w:rPr>
          <w:rFonts w:cstheme="minorHAnsi"/>
        </w:rPr>
        <w:t xml:space="preserve">Table 2: Average Annual EPA Burden and Cost – </w:t>
      </w:r>
      <w:r w:rsidRPr="00071B69">
        <w:rPr>
          <w:rFonts w:cstheme="minorHAnsi"/>
          <w:bCs/>
        </w:rPr>
        <w:t>NESHAP for Taconite Iron Ore Processing Facilities (40 CFR Part 63, Subpart RRRRR) (2023 Proposed Amendments)</w:t>
      </w:r>
      <w:r w:rsidRPr="00071B69">
        <w:rPr>
          <w:rFonts w:cstheme="minorHAnsi"/>
        </w:rPr>
        <w:t>.</w:t>
      </w:r>
    </w:p>
    <w:p w:rsidR="00F440DB" w:rsidRPr="00071B69" w:rsidP="00F440DB" w14:paraId="79A4500A" w14:textId="6A82F4FE">
      <w:pPr>
        <w:pBdr>
          <w:top w:val="single" w:sz="6" w:space="0" w:color="FFFFFF"/>
          <w:left w:val="single" w:sz="6" w:space="0" w:color="FFFFFF"/>
          <w:bottom w:val="single" w:sz="6" w:space="0" w:color="FFFFFF"/>
          <w:right w:val="single" w:sz="6" w:space="0" w:color="FFFFFF"/>
        </w:pBdr>
        <w:spacing w:before="60"/>
        <w:ind w:firstLine="720"/>
        <w:rPr>
          <w:rFonts w:cstheme="minorHAnsi"/>
        </w:rPr>
      </w:pPr>
      <w:r w:rsidRPr="00071B69">
        <w:rPr>
          <w:rFonts w:cstheme="minorHAnsi"/>
        </w:rPr>
        <w:t>The average annual Agency burden and cost over next three years is estimated to be 150 labor hours at a cost of $7,460, on average for the proposed amendments. Table 2: Average Annual EPA Burden and Cost – NESHAP for Taconite Iron Ore Processing (40 CFR Part 63, Subpart RRRRR (2023 Proposed Amendments) shows the itemized costs. 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D17BB9" w:rsidRPr="00071B69" w:rsidP="00B50602" w14:paraId="164B7E2B" w14:textId="2BCAACF4">
      <w:p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eastAsiaTheme="majorEastAsia" w:cstheme="minorHAnsi"/>
          <w:b/>
          <w:bCs/>
        </w:rPr>
        <w:t xml:space="preserve">14c. </w:t>
      </w:r>
      <w:r w:rsidRPr="00071B69">
        <w:rPr>
          <w:rFonts w:eastAsiaTheme="majorEastAsia" w:cstheme="minorHAnsi"/>
          <w:b/>
          <w:bCs/>
        </w:rPr>
        <w:t>Agency Non-Labor Costs</w:t>
      </w:r>
    </w:p>
    <w:p w:rsidR="00BB3410" w:rsidRPr="00071B69" w:rsidP="00854AAE" w14:paraId="7FCA1ABF" w14:textId="57277E5B">
      <w:pPr>
        <w:spacing w:before="60"/>
        <w:rPr>
          <w:rFonts w:cstheme="minorHAnsi"/>
        </w:rPr>
      </w:pPr>
      <w:r w:rsidRPr="00071B69">
        <w:rPr>
          <w:rFonts w:cstheme="minorHAnsi"/>
        </w:rPr>
        <w:t>There are no anticipated non-labor costs for the Agency.</w:t>
      </w:r>
    </w:p>
    <w:p w:rsidR="004620CA" w:rsidRPr="00071B69" w:rsidP="00B50602" w14:paraId="3144CC9D" w14:textId="72F4E703">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cstheme="minorHAnsi"/>
          <w:b/>
          <w:bCs/>
        </w:rPr>
        <w:t xml:space="preserve">REASONS FOR </w:t>
      </w:r>
      <w:r w:rsidRPr="00071B69" w:rsidR="00AD46F7">
        <w:rPr>
          <w:rFonts w:cstheme="minorHAnsi"/>
          <w:b/>
          <w:bCs/>
        </w:rPr>
        <w:t>CHANGE IN BURDEN</w:t>
      </w:r>
      <w:bookmarkEnd w:id="21"/>
    </w:p>
    <w:p w:rsidR="001F0834" w:rsidRPr="00071B69" w:rsidP="00854AAE" w14:paraId="567B01FE" w14:textId="77777777">
      <w:pPr>
        <w:pBdr>
          <w:bottom w:val="single" w:sz="12" w:space="1" w:color="auto"/>
        </w:pBdr>
        <w:spacing w:before="60"/>
        <w:rPr>
          <w:rFonts w:cstheme="minorHAnsi"/>
          <w:bCs/>
          <w:i/>
          <w:iCs/>
        </w:rPr>
      </w:pPr>
      <w:r w:rsidRPr="00071B69">
        <w:rPr>
          <w:rFonts w:cstheme="minorHAnsi"/>
          <w:bCs/>
          <w:i/>
          <w:iCs/>
        </w:rPr>
        <w:t>Explain the reasons for any program changes or adjustments reported in the burden or capital/O&amp;M cost estimates.</w:t>
      </w:r>
    </w:p>
    <w:p w:rsidR="00ED57A4" w:rsidRPr="00071B69" w:rsidP="00780955" w14:paraId="18F76AB6" w14:textId="20C03AD2">
      <w:pPr>
        <w:pBdr>
          <w:top w:val="single" w:sz="6" w:space="0" w:color="FFFFFF"/>
          <w:left w:val="single" w:sz="6" w:space="0" w:color="FFFFFF"/>
          <w:bottom w:val="single" w:sz="6" w:space="0" w:color="FFFFFF"/>
          <w:right w:val="single" w:sz="6" w:space="0" w:color="FFFFFF"/>
        </w:pBdr>
        <w:ind w:firstLine="720"/>
        <w:rPr>
          <w:rFonts w:cstheme="minorHAnsi"/>
          <w:color w:val="FF0000"/>
        </w:rPr>
      </w:pPr>
      <w:r w:rsidRPr="00071B69">
        <w:rPr>
          <w:rFonts w:cstheme="minorHAnsi"/>
        </w:rPr>
        <w:t>This assessment differs from the current OMB Inventory of Approved Burdens. This assessment represents the burden associated with the 2023 proposed rule amendments to the Taconite Iron Ore Processing NESHAP.</w:t>
      </w:r>
    </w:p>
    <w:p w:rsidR="005D140B" w:rsidRPr="00071B69" w:rsidP="00B50602" w14:paraId="3604F417" w14:textId="5D0F3160">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22" w:name="_Toc156593389"/>
      <w:r w:rsidRPr="00071B69">
        <w:rPr>
          <w:rFonts w:cstheme="minorHAnsi"/>
          <w:b/>
          <w:bCs/>
        </w:rPr>
        <w:t xml:space="preserve">PUBLICATION OF </w:t>
      </w:r>
      <w:bookmarkStart w:id="23" w:name="_Toc156593390"/>
      <w:bookmarkEnd w:id="22"/>
      <w:r w:rsidRPr="00071B69" w:rsidR="00E73E81">
        <w:rPr>
          <w:rFonts w:cstheme="minorHAnsi"/>
          <w:b/>
          <w:bCs/>
        </w:rPr>
        <w:t>DATA</w:t>
      </w:r>
    </w:p>
    <w:p w:rsidR="001F0834" w:rsidRPr="00071B69" w:rsidP="00854AAE" w14:paraId="21A4F990" w14:textId="77777777">
      <w:pPr>
        <w:pBdr>
          <w:bottom w:val="single" w:sz="12" w:space="1" w:color="auto"/>
        </w:pBdr>
        <w:spacing w:before="60"/>
        <w:rPr>
          <w:rFonts w:cstheme="minorHAnsi"/>
          <w:bCs/>
          <w:i/>
          <w:iCs/>
        </w:rPr>
      </w:pPr>
      <w:r w:rsidRPr="00071B69">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071B69" w:rsidP="006E05C2" w14:paraId="5CBE5491" w14:textId="01424A21">
      <w:pPr>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627768" w:rsidRPr="00071B69" w:rsidP="00B50602" w14:paraId="54E9D2D0" w14:textId="67124984">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r w:rsidRPr="00071B69">
        <w:rPr>
          <w:rFonts w:cstheme="minorHAnsi"/>
          <w:b/>
          <w:bCs/>
        </w:rPr>
        <w:t xml:space="preserve">DISPLAY </w:t>
      </w:r>
      <w:r w:rsidRPr="00071B69" w:rsidR="00644EBE">
        <w:rPr>
          <w:rFonts w:cstheme="minorHAnsi"/>
          <w:b/>
          <w:bCs/>
        </w:rPr>
        <w:t xml:space="preserve">OF </w:t>
      </w:r>
      <w:r w:rsidRPr="00071B69" w:rsidR="000D5863">
        <w:rPr>
          <w:rFonts w:cstheme="minorHAnsi"/>
          <w:b/>
          <w:bCs/>
        </w:rPr>
        <w:t>EXPIRATION DATE</w:t>
      </w:r>
      <w:bookmarkEnd w:id="23"/>
      <w:r w:rsidRPr="00071B69" w:rsidR="00644EBE">
        <w:rPr>
          <w:rFonts w:cstheme="minorHAnsi"/>
          <w:b/>
          <w:bCs/>
        </w:rPr>
        <w:t xml:space="preserve"> </w:t>
      </w:r>
    </w:p>
    <w:p w:rsidR="001F0834" w:rsidRPr="00071B69" w:rsidP="00854AAE" w14:paraId="23256265" w14:textId="77777777">
      <w:pPr>
        <w:pBdr>
          <w:bottom w:val="single" w:sz="12" w:space="1" w:color="auto"/>
        </w:pBdr>
        <w:spacing w:before="60"/>
        <w:rPr>
          <w:rFonts w:cstheme="minorHAnsi"/>
          <w:i/>
          <w:iCs/>
        </w:rPr>
      </w:pPr>
      <w:r w:rsidRPr="00071B69">
        <w:rPr>
          <w:rFonts w:cstheme="minorHAnsi"/>
          <w:i/>
          <w:iCs/>
        </w:rPr>
        <w:t>If seeking approval to not display the expiration date for OMB approval of the information collection, explain the reasons that display would be inappropriate.</w:t>
      </w:r>
    </w:p>
    <w:p w:rsidR="00ED57A4" w:rsidRPr="00071B69" w:rsidP="00E43D15" w14:paraId="38543EA2" w14:textId="453E8E33">
      <w:pPr>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rPr>
        <w:t>The Agency plans to display the expiration date for OMB approval of the information collection on all instruments.</w:t>
      </w:r>
    </w:p>
    <w:p w:rsidR="00691828" w:rsidRPr="00071B69" w:rsidP="00B50602" w14:paraId="7CCB26DD" w14:textId="4CB12282">
      <w:pPr>
        <w:pStyle w:val="ListParagraph"/>
        <w:numPr>
          <w:ilvl w:val="0"/>
          <w:numId w:val="30"/>
        </w:numPr>
        <w:pBdr>
          <w:top w:val="single" w:sz="6" w:space="0" w:color="FFFFFF"/>
          <w:left w:val="single" w:sz="6" w:space="0" w:color="FFFFFF"/>
          <w:bottom w:val="single" w:sz="6" w:space="0" w:color="FFFFFF"/>
          <w:right w:val="single" w:sz="6" w:space="0" w:color="FFFFFF"/>
        </w:pBdr>
        <w:outlineLvl w:val="1"/>
        <w:rPr>
          <w:rFonts w:cstheme="minorHAnsi"/>
          <w:b/>
          <w:bCs/>
        </w:rPr>
      </w:pPr>
      <w:bookmarkStart w:id="24" w:name="_Toc156593391"/>
      <w:r w:rsidRPr="00071B69">
        <w:rPr>
          <w:rFonts w:cstheme="minorHAnsi"/>
          <w:b/>
          <w:bCs/>
        </w:rPr>
        <w:t>CERTIFICATION STATEMENT</w:t>
      </w:r>
      <w:bookmarkEnd w:id="24"/>
    </w:p>
    <w:p w:rsidR="001F0834" w:rsidRPr="00071B69" w:rsidP="00854AAE" w14:paraId="59893047" w14:textId="77777777">
      <w:pPr>
        <w:pBdr>
          <w:bottom w:val="single" w:sz="12" w:space="1" w:color="auto"/>
        </w:pBdr>
        <w:spacing w:before="60"/>
        <w:rPr>
          <w:rFonts w:cstheme="minorHAnsi"/>
          <w:i/>
          <w:iCs/>
        </w:rPr>
      </w:pPr>
      <w:r w:rsidRPr="00071B69">
        <w:rPr>
          <w:rFonts w:cstheme="minorHAnsi"/>
          <w:i/>
          <w:iCs/>
        </w:rPr>
        <w:t>Explain each exception to the topics of the certification statement identified in “Certification for Paperwork Reduction Act Submissions.”</w:t>
      </w:r>
    </w:p>
    <w:p w:rsidR="00ED57A4" w:rsidRPr="00071B69" w:rsidP="00E43D15" w14:paraId="2765D073" w14:textId="6417AD91">
      <w:pPr>
        <w:pBdr>
          <w:top w:val="single" w:sz="6" w:space="0" w:color="FFFFFF"/>
          <w:left w:val="single" w:sz="6" w:space="0" w:color="FFFFFF"/>
          <w:bottom w:val="single" w:sz="6" w:space="0" w:color="FFFFFF"/>
          <w:right w:val="single" w:sz="6" w:space="0" w:color="FFFFFF"/>
        </w:pBdr>
        <w:ind w:firstLine="720"/>
        <w:rPr>
          <w:rFonts w:cstheme="minorHAnsi"/>
        </w:rPr>
      </w:pPr>
      <w:r w:rsidRPr="00071B69">
        <w:rPr>
          <w:rFonts w:cstheme="minorHAnsi"/>
        </w:rPr>
        <w:t>This information collection complies with all provisions of the Certification for Paperwork Reduction Act Submissions.</w:t>
      </w:r>
    </w:p>
    <w:p w:rsidR="00977BBF" w:rsidRPr="00071B69" w:rsidP="00977BBF" w14:paraId="568B17F9" w14:textId="0C18CC5E">
      <w:pPr>
        <w:pBdr>
          <w:top w:val="single" w:sz="6" w:space="0" w:color="FFFFFF"/>
          <w:left w:val="single" w:sz="6" w:space="0" w:color="FFFFFF"/>
          <w:bottom w:val="single" w:sz="6" w:space="0" w:color="FFFFFF"/>
          <w:right w:val="single" w:sz="6" w:space="0" w:color="FFFFFF"/>
        </w:pBdr>
        <w:outlineLvl w:val="1"/>
        <w:rPr>
          <w:rFonts w:cstheme="minorHAnsi"/>
          <w:color w:val="000000"/>
        </w:rPr>
      </w:pPr>
      <w:r w:rsidRPr="00071B69">
        <w:rPr>
          <w:rFonts w:cstheme="minorHAnsi"/>
          <w:b/>
          <w:bCs/>
          <w:color w:val="000000"/>
        </w:rPr>
        <w:t>BURDEN STATEMENT</w:t>
      </w:r>
    </w:p>
    <w:p w:rsidR="00977BBF" w:rsidRPr="00071B69" w:rsidP="00977BBF" w14:paraId="3E77DB58"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The annual public reporting and recordkeeping burden for this collection of information is estimated to average 31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977BBF" w:rsidRPr="00071B69" w:rsidP="00977BBF" w14:paraId="409E3967"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71B69">
        <w:rPr>
          <w:rFonts w:cstheme="minorHAnsi"/>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977BBF" w:rsidRPr="00071B69" w:rsidP="00977BBF" w14:paraId="21FBE7C8" w14:textId="1C2EA569">
      <w:pPr>
        <w:pBdr>
          <w:top w:val="single" w:sz="6" w:space="0" w:color="FFFFFF"/>
          <w:left w:val="single" w:sz="6" w:space="0" w:color="FFFFFF"/>
          <w:bottom w:val="single" w:sz="6" w:space="0" w:color="FFFFFF"/>
          <w:right w:val="single" w:sz="6" w:space="0" w:color="FFFFFF"/>
        </w:pBdr>
        <w:rPr>
          <w:rFonts w:cstheme="minorHAnsi"/>
        </w:rPr>
      </w:pPr>
      <w:r w:rsidRPr="00071B69">
        <w:rPr>
          <w:rFonts w:cstheme="minorHAnsi"/>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071B69">
        <w:rPr>
          <w:rFonts w:cstheme="minorHAnsi"/>
          <w:bCs/>
        </w:rPr>
        <w:t>EPA-HQ-OAR-2017-0664</w:t>
      </w:r>
      <w:r w:rsidRPr="00071B69">
        <w:rPr>
          <w:rFonts w:cstheme="minorHAnsi"/>
        </w:rPr>
        <w:t xml:space="preserve">. An electronic version of the public docket is available at </w:t>
      </w:r>
      <w:r w:rsidRPr="00F931E0">
        <w:rPr>
          <w:rFonts w:cstheme="minorHAnsi"/>
        </w:rPr>
        <w:t>http://www.regulations.gov/</w:t>
      </w:r>
      <w:r w:rsidRPr="00071B69">
        <w:rPr>
          <w:rFonts w:cstheme="minorHAnsi"/>
        </w:rPr>
        <w:t>, which may be used to obtain a copy of the draft collection of information, submit or view public comments, access the index listing of the contents of the docket, and to access those documents in the public docket that are available electronically. When in the system</w:t>
      </w:r>
      <w:r w:rsidRPr="00071B69">
        <w:rPr>
          <w:rStyle w:val="1"/>
          <w:rFonts w:cstheme="minorHAnsi"/>
        </w:rPr>
        <w:t xml:space="preserve">, select “search,” then key in the docket ID number identified in this document. The documents are also </w:t>
      </w:r>
      <w:r w:rsidRPr="00071B69">
        <w:rPr>
          <w:rFonts w:cstheme="minorHAnsi"/>
        </w:rPr>
        <w:t xml:space="preserve">available for public viewing at the Enforcement and Compliance Docket and Information Center in the EPA Docket Center (EPA/DC), WJC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566-1752. Also, you can send comments to the Office of Information and Regulatory Affairs, Office of Management and Budget, 725 17th Street, NW, Washington, DC 20503, Attention: Desk Officer for EPA. Please include the Docket ID Number </w:t>
      </w:r>
      <w:r w:rsidRPr="00071B69">
        <w:rPr>
          <w:rFonts w:cstheme="minorHAnsi"/>
          <w:bCs/>
        </w:rPr>
        <w:t xml:space="preserve">EPA-HQ-OAR-2017-0664 </w:t>
      </w:r>
      <w:r w:rsidRPr="00071B69">
        <w:rPr>
          <w:rFonts w:cstheme="minorHAnsi"/>
        </w:rPr>
        <w:t xml:space="preserve">and OMB Control </w:t>
      </w:r>
      <w:r w:rsidRPr="00B1771E">
        <w:rPr>
          <w:rFonts w:cstheme="minorHAnsi"/>
        </w:rPr>
        <w:t>Number [</w:t>
      </w:r>
      <w:r w:rsidRPr="00B1771E" w:rsidR="000B732F">
        <w:rPr>
          <w:rFonts w:cstheme="minorHAnsi"/>
        </w:rPr>
        <w:t>2060-0538</w:t>
      </w:r>
      <w:r w:rsidRPr="00B1771E">
        <w:rPr>
          <w:rFonts w:cstheme="minorHAnsi"/>
        </w:rPr>
        <w:t>]</w:t>
      </w:r>
      <w:r w:rsidRPr="00071B69">
        <w:rPr>
          <w:rFonts w:cstheme="minorHAnsi"/>
        </w:rPr>
        <w:t xml:space="preserve"> in any correspondence.</w:t>
      </w:r>
    </w:p>
    <w:p w:rsidR="00BB3410" w:rsidRPr="00071B69" w:rsidP="00BB3410" w14:paraId="0F10E677" w14:textId="43CACB1D">
      <w:pPr>
        <w:rPr>
          <w:rFonts w:cstheme="minorHAnsi"/>
          <w:color w:val="000000"/>
          <w:shd w:val="clear" w:color="auto" w:fill="FFFFFF"/>
        </w:rPr>
        <w:sectPr>
          <w:footerReference w:type="default" r:id="rId9"/>
          <w:pgSz w:w="12240" w:h="15840"/>
          <w:pgMar w:top="1440" w:right="1440" w:bottom="1440" w:left="1440" w:header="720" w:footer="720" w:gutter="0"/>
          <w:cols w:space="720"/>
          <w:docGrid w:linePitch="360"/>
        </w:sectPr>
      </w:pPr>
      <w:r w:rsidRPr="00071B69">
        <w:rPr>
          <w:rStyle w:val="normaltextrun"/>
          <w:rFonts w:cstheme="minorHAnsi"/>
          <w:color w:val="000000"/>
          <w:shd w:val="clear" w:color="auto" w:fill="FFFFFF"/>
        </w:rPr>
        <w:br w:type="page"/>
      </w:r>
    </w:p>
    <w:p w:rsidR="00B50602" w:rsidRPr="00071B69" w:rsidP="00B50602" w14:paraId="38F42B17" w14:textId="58AD8DA1">
      <w:pPr>
        <w:outlineLvl w:val="0"/>
        <w:rPr>
          <w:rFonts w:cstheme="minorHAnsi"/>
          <w:b/>
          <w:bCs/>
          <w:color w:val="000000"/>
        </w:rPr>
      </w:pPr>
      <w:r w:rsidRPr="00071B69">
        <w:rPr>
          <w:rFonts w:cstheme="minorHAnsi"/>
          <w:b/>
          <w:bCs/>
          <w:color w:val="000000"/>
        </w:rPr>
        <w:t xml:space="preserve">Table 1: Average Annual Respondent Burden and Cost – NESHAP for Taconite Iron Ore Processing Facilities (40 CFR Part 63, Subpart </w:t>
      </w:r>
      <w:r w:rsidRPr="00071B69">
        <w:rPr>
          <w:rFonts w:cstheme="minorHAnsi"/>
          <w:b/>
          <w:bCs/>
        </w:rPr>
        <w:t>RRRRR</w:t>
      </w:r>
      <w:r w:rsidRPr="00071B69">
        <w:rPr>
          <w:rFonts w:cstheme="minorHAnsi"/>
          <w:b/>
          <w:bCs/>
          <w:color w:val="000000"/>
        </w:rPr>
        <w:t>) (2023 Proposed Amendments)</w:t>
      </w:r>
    </w:p>
    <w:tbl>
      <w:tblPr>
        <w:tblW w:w="13395" w:type="dxa"/>
        <w:tblLook w:val="04A0"/>
      </w:tblPr>
      <w:tblGrid>
        <w:gridCol w:w="3806"/>
        <w:gridCol w:w="1160"/>
        <w:gridCol w:w="899"/>
        <w:gridCol w:w="339"/>
        <w:gridCol w:w="825"/>
        <w:gridCol w:w="350"/>
        <w:gridCol w:w="577"/>
        <w:gridCol w:w="729"/>
        <w:gridCol w:w="119"/>
        <w:gridCol w:w="931"/>
        <w:gridCol w:w="43"/>
        <w:gridCol w:w="848"/>
        <w:gridCol w:w="447"/>
        <w:gridCol w:w="401"/>
        <w:gridCol w:w="848"/>
        <w:gridCol w:w="1013"/>
        <w:gridCol w:w="60"/>
      </w:tblGrid>
      <w:tr w14:paraId="00BE8C7C" w14:textId="77777777" w:rsidTr="00B50602">
        <w:tblPrEx>
          <w:tblW w:w="13395" w:type="dxa"/>
          <w:tblLook w:val="04A0"/>
        </w:tblPrEx>
        <w:trPr>
          <w:gridAfter w:val="1"/>
          <w:wAfter w:w="57" w:type="dxa"/>
          <w:trHeight w:val="238"/>
          <w:tblHeader/>
        </w:trPr>
        <w:tc>
          <w:tcPr>
            <w:tcW w:w="3806" w:type="dxa"/>
            <w:vMerge w:val="restart"/>
            <w:tcBorders>
              <w:top w:val="single" w:sz="4" w:space="0" w:color="auto"/>
              <w:left w:val="single" w:sz="4" w:space="0" w:color="auto"/>
              <w:bottom w:val="nil"/>
              <w:right w:val="single" w:sz="4" w:space="0" w:color="auto"/>
            </w:tcBorders>
            <w:shd w:val="clear" w:color="auto" w:fill="auto"/>
            <w:vAlign w:val="center"/>
            <w:hideMark/>
          </w:tcPr>
          <w:p w:rsidR="00B50602" w:rsidRPr="00071B69" w:rsidP="00B50602" w14:paraId="0A25E02F" w14:textId="77777777">
            <w:pPr>
              <w:spacing w:after="0" w:line="240" w:lineRule="auto"/>
              <w:contextualSpacing/>
              <w:jc w:val="center"/>
              <w:rPr>
                <w:rFonts w:cstheme="minorHAnsi"/>
                <w:b/>
                <w:bCs/>
                <w:sz w:val="20"/>
                <w:szCs w:val="20"/>
              </w:rPr>
            </w:pPr>
            <w:r w:rsidRPr="00071B69">
              <w:rPr>
                <w:rFonts w:cstheme="minorHAnsi"/>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6A1621D8" w14:textId="77777777">
            <w:pPr>
              <w:spacing w:after="0" w:line="240" w:lineRule="auto"/>
              <w:contextualSpacing/>
              <w:jc w:val="center"/>
              <w:rPr>
                <w:rFonts w:cstheme="minorHAnsi"/>
                <w:b/>
                <w:bCs/>
                <w:sz w:val="20"/>
                <w:szCs w:val="20"/>
              </w:rPr>
            </w:pPr>
            <w:r w:rsidRPr="00071B69">
              <w:rPr>
                <w:rFonts w:cstheme="minorHAnsi"/>
                <w:b/>
                <w:bCs/>
                <w:sz w:val="20"/>
                <w:szCs w:val="20"/>
              </w:rPr>
              <w:t>(A)</w:t>
            </w:r>
          </w:p>
        </w:tc>
        <w:tc>
          <w:tcPr>
            <w:tcW w:w="1238"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6E1D5334" w14:textId="77777777">
            <w:pPr>
              <w:spacing w:after="0" w:line="240" w:lineRule="auto"/>
              <w:contextualSpacing/>
              <w:jc w:val="center"/>
              <w:rPr>
                <w:rFonts w:cstheme="minorHAnsi"/>
                <w:b/>
                <w:bCs/>
                <w:sz w:val="20"/>
                <w:szCs w:val="20"/>
              </w:rPr>
            </w:pPr>
            <w:r w:rsidRPr="00071B69">
              <w:rPr>
                <w:rFonts w:cstheme="minorHAnsi"/>
                <w:b/>
                <w:bCs/>
                <w:sz w:val="20"/>
                <w:szCs w:val="20"/>
              </w:rPr>
              <w:t>(B)</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760DD5C4" w14:textId="77777777">
            <w:pPr>
              <w:spacing w:after="0" w:line="240" w:lineRule="auto"/>
              <w:contextualSpacing/>
              <w:jc w:val="center"/>
              <w:rPr>
                <w:rFonts w:cstheme="minorHAnsi"/>
                <w:b/>
                <w:bCs/>
                <w:sz w:val="20"/>
                <w:szCs w:val="20"/>
              </w:rPr>
            </w:pPr>
            <w:r w:rsidRPr="00071B69">
              <w:rPr>
                <w:rFonts w:cstheme="minorHAnsi"/>
                <w:b/>
                <w:bCs/>
                <w:sz w:val="20"/>
                <w:szCs w:val="20"/>
              </w:rPr>
              <w:t>(C)</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0BCEC55B" w14:textId="77777777">
            <w:pPr>
              <w:spacing w:after="0" w:line="240" w:lineRule="auto"/>
              <w:contextualSpacing/>
              <w:jc w:val="center"/>
              <w:rPr>
                <w:rFonts w:cstheme="minorHAnsi"/>
                <w:b/>
                <w:bCs/>
                <w:sz w:val="20"/>
                <w:szCs w:val="20"/>
              </w:rPr>
            </w:pPr>
            <w:r w:rsidRPr="00071B69">
              <w:rPr>
                <w:rFonts w:cstheme="minorHAnsi"/>
                <w:b/>
                <w:bCs/>
                <w:sz w:val="20"/>
                <w:szCs w:val="20"/>
              </w:rPr>
              <w:t>(D)</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1675DEFF" w14:textId="77777777">
            <w:pPr>
              <w:spacing w:after="0" w:line="240" w:lineRule="auto"/>
              <w:contextualSpacing/>
              <w:jc w:val="center"/>
              <w:rPr>
                <w:rFonts w:cstheme="minorHAnsi"/>
                <w:b/>
                <w:bCs/>
                <w:sz w:val="20"/>
                <w:szCs w:val="20"/>
              </w:rPr>
            </w:pPr>
            <w:r w:rsidRPr="00071B69">
              <w:rPr>
                <w:rFonts w:cstheme="minorHAnsi"/>
                <w:b/>
                <w:bCs/>
                <w:sz w:val="20"/>
                <w:szCs w:val="20"/>
              </w:rPr>
              <w:t>(E)</w:t>
            </w:r>
          </w:p>
        </w:tc>
        <w:tc>
          <w:tcPr>
            <w:tcW w:w="1338" w:type="dxa"/>
            <w:gridSpan w:val="3"/>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42F8932F" w14:textId="77777777">
            <w:pPr>
              <w:spacing w:after="0" w:line="240" w:lineRule="auto"/>
              <w:contextualSpacing/>
              <w:jc w:val="center"/>
              <w:rPr>
                <w:rFonts w:cstheme="minorHAnsi"/>
                <w:b/>
                <w:bCs/>
                <w:sz w:val="20"/>
                <w:szCs w:val="20"/>
              </w:rPr>
            </w:pPr>
            <w:r w:rsidRPr="00071B69">
              <w:rPr>
                <w:rFonts w:cstheme="minorHAnsi"/>
                <w:b/>
                <w:bCs/>
                <w:sz w:val="20"/>
                <w:szCs w:val="20"/>
              </w:rPr>
              <w:t>(F)</w:t>
            </w:r>
          </w:p>
        </w:tc>
        <w:tc>
          <w:tcPr>
            <w:tcW w:w="1252"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553354E7" w14:textId="77777777">
            <w:pPr>
              <w:spacing w:after="0" w:line="240" w:lineRule="auto"/>
              <w:contextualSpacing/>
              <w:jc w:val="center"/>
              <w:rPr>
                <w:rFonts w:cstheme="minorHAnsi"/>
                <w:b/>
                <w:bCs/>
                <w:sz w:val="20"/>
                <w:szCs w:val="20"/>
              </w:rPr>
            </w:pPr>
            <w:r w:rsidRPr="00071B69">
              <w:rPr>
                <w:rFonts w:cstheme="minorHAnsi"/>
                <w:b/>
                <w:bCs/>
                <w:sz w:val="20"/>
                <w:szCs w:val="20"/>
              </w:rPr>
              <w:t>(G)</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2D4D1229" w14:textId="77777777">
            <w:pPr>
              <w:spacing w:after="0" w:line="240" w:lineRule="auto"/>
              <w:contextualSpacing/>
              <w:jc w:val="center"/>
              <w:rPr>
                <w:rFonts w:cstheme="minorHAnsi"/>
                <w:b/>
                <w:bCs/>
                <w:sz w:val="20"/>
                <w:szCs w:val="20"/>
              </w:rPr>
            </w:pPr>
            <w:r w:rsidRPr="00071B69">
              <w:rPr>
                <w:rFonts w:cstheme="minorHAnsi"/>
                <w:b/>
                <w:bCs/>
                <w:sz w:val="20"/>
                <w:szCs w:val="20"/>
              </w:rPr>
              <w:t>(H)</w:t>
            </w:r>
          </w:p>
        </w:tc>
      </w:tr>
      <w:tr w14:paraId="34DD6FC4" w14:textId="77777777" w:rsidTr="00B50602">
        <w:tblPrEx>
          <w:tblW w:w="13395" w:type="dxa"/>
          <w:tblLook w:val="04A0"/>
        </w:tblPrEx>
        <w:trPr>
          <w:gridAfter w:val="1"/>
          <w:wAfter w:w="57" w:type="dxa"/>
          <w:trHeight w:val="1192"/>
          <w:tblHeader/>
        </w:trPr>
        <w:tc>
          <w:tcPr>
            <w:tcW w:w="3806" w:type="dxa"/>
            <w:vMerge/>
            <w:tcBorders>
              <w:top w:val="single" w:sz="4" w:space="0" w:color="auto"/>
              <w:left w:val="single" w:sz="4" w:space="0" w:color="auto"/>
              <w:bottom w:val="nil"/>
              <w:right w:val="single" w:sz="4" w:space="0" w:color="auto"/>
            </w:tcBorders>
            <w:vAlign w:val="center"/>
            <w:hideMark/>
          </w:tcPr>
          <w:p w:rsidR="00B50602" w:rsidRPr="00071B69" w:rsidP="00B50602" w14:paraId="29201F81" w14:textId="77777777">
            <w:pPr>
              <w:spacing w:after="0" w:line="240" w:lineRule="auto"/>
              <w:contextualSpacing/>
              <w:rPr>
                <w:rFonts w:cstheme="minorHAnsi"/>
                <w:b/>
                <w:bCs/>
                <w:sz w:val="20"/>
                <w:szCs w:val="20"/>
              </w:rPr>
            </w:pPr>
          </w:p>
        </w:tc>
        <w:tc>
          <w:tcPr>
            <w:tcW w:w="1160" w:type="dxa"/>
            <w:tcBorders>
              <w:top w:val="nil"/>
              <w:left w:val="nil"/>
              <w:bottom w:val="single" w:sz="4" w:space="0" w:color="auto"/>
              <w:right w:val="single" w:sz="4" w:space="0" w:color="auto"/>
            </w:tcBorders>
            <w:shd w:val="clear" w:color="auto" w:fill="auto"/>
            <w:vAlign w:val="bottom"/>
            <w:hideMark/>
          </w:tcPr>
          <w:p w:rsidR="00B50602" w:rsidRPr="00071B69" w:rsidP="00B50602" w14:paraId="50656304" w14:textId="77777777">
            <w:pPr>
              <w:spacing w:after="0" w:line="240" w:lineRule="auto"/>
              <w:contextualSpacing/>
              <w:jc w:val="center"/>
              <w:rPr>
                <w:rFonts w:cstheme="minorHAnsi"/>
                <w:b/>
                <w:bCs/>
                <w:sz w:val="20"/>
                <w:szCs w:val="20"/>
              </w:rPr>
            </w:pPr>
            <w:r w:rsidRPr="00071B69">
              <w:rPr>
                <w:rFonts w:cstheme="minorHAnsi"/>
                <w:b/>
                <w:bCs/>
                <w:sz w:val="20"/>
                <w:szCs w:val="20"/>
              </w:rPr>
              <w:t>Person hours per occurrence</w:t>
            </w:r>
          </w:p>
        </w:tc>
        <w:tc>
          <w:tcPr>
            <w:tcW w:w="1238" w:type="dxa"/>
            <w:gridSpan w:val="2"/>
            <w:tcBorders>
              <w:top w:val="nil"/>
              <w:left w:val="nil"/>
              <w:bottom w:val="single" w:sz="4" w:space="0" w:color="auto"/>
              <w:right w:val="single" w:sz="4" w:space="0" w:color="auto"/>
            </w:tcBorders>
            <w:shd w:val="clear" w:color="auto" w:fill="auto"/>
            <w:vAlign w:val="bottom"/>
            <w:hideMark/>
          </w:tcPr>
          <w:p w:rsidR="00B50602" w:rsidRPr="00071B69" w:rsidP="00B50602" w14:paraId="5C947CE9" w14:textId="77777777">
            <w:pPr>
              <w:spacing w:after="0" w:line="240" w:lineRule="auto"/>
              <w:contextualSpacing/>
              <w:jc w:val="center"/>
              <w:rPr>
                <w:rFonts w:cstheme="minorHAnsi"/>
                <w:b/>
                <w:bCs/>
                <w:sz w:val="20"/>
                <w:szCs w:val="20"/>
              </w:rPr>
            </w:pPr>
            <w:r w:rsidRPr="00071B69">
              <w:rPr>
                <w:rFonts w:cstheme="minorHAnsi"/>
                <w:b/>
                <w:bCs/>
                <w:sz w:val="20"/>
                <w:szCs w:val="20"/>
              </w:rPr>
              <w:t xml:space="preserve">No. of occurrences per respondent </w:t>
            </w:r>
          </w:p>
        </w:tc>
        <w:tc>
          <w:tcPr>
            <w:tcW w:w="1175" w:type="dxa"/>
            <w:gridSpan w:val="2"/>
            <w:tcBorders>
              <w:top w:val="nil"/>
              <w:left w:val="nil"/>
              <w:bottom w:val="single" w:sz="4" w:space="0" w:color="auto"/>
              <w:right w:val="single" w:sz="4" w:space="0" w:color="auto"/>
            </w:tcBorders>
            <w:shd w:val="clear" w:color="auto" w:fill="auto"/>
            <w:vAlign w:val="bottom"/>
            <w:hideMark/>
          </w:tcPr>
          <w:p w:rsidR="00B50602" w:rsidRPr="00071B69" w:rsidP="00B50602" w14:paraId="4788E0BE" w14:textId="77777777">
            <w:pPr>
              <w:spacing w:after="0" w:line="240" w:lineRule="auto"/>
              <w:contextualSpacing/>
              <w:jc w:val="center"/>
              <w:rPr>
                <w:rFonts w:cstheme="minorHAnsi"/>
                <w:b/>
                <w:bCs/>
                <w:sz w:val="20"/>
                <w:szCs w:val="20"/>
              </w:rPr>
            </w:pPr>
            <w:r w:rsidRPr="00071B69">
              <w:rPr>
                <w:rFonts w:cstheme="minorHAnsi"/>
                <w:b/>
                <w:bCs/>
                <w:sz w:val="20"/>
                <w:szCs w:val="20"/>
              </w:rPr>
              <w:t>Person hours per respondent per year (C=AxB)</w:t>
            </w:r>
          </w:p>
        </w:tc>
        <w:tc>
          <w:tcPr>
            <w:tcW w:w="1306" w:type="dxa"/>
            <w:gridSpan w:val="2"/>
            <w:tcBorders>
              <w:top w:val="nil"/>
              <w:left w:val="nil"/>
              <w:bottom w:val="single" w:sz="4" w:space="0" w:color="auto"/>
              <w:right w:val="single" w:sz="4" w:space="0" w:color="auto"/>
            </w:tcBorders>
            <w:shd w:val="clear" w:color="auto" w:fill="auto"/>
            <w:vAlign w:val="bottom"/>
            <w:hideMark/>
          </w:tcPr>
          <w:p w:rsidR="00B50602" w:rsidRPr="00071B69" w:rsidP="00B50602" w14:paraId="6922BAA7" w14:textId="77777777">
            <w:pPr>
              <w:spacing w:after="0" w:line="240" w:lineRule="auto"/>
              <w:contextualSpacing/>
              <w:jc w:val="center"/>
              <w:rPr>
                <w:rFonts w:cstheme="minorHAnsi"/>
                <w:b/>
                <w:bCs/>
                <w:sz w:val="20"/>
                <w:szCs w:val="20"/>
              </w:rPr>
            </w:pPr>
            <w:r w:rsidRPr="00071B69">
              <w:rPr>
                <w:rFonts w:cstheme="minorHAnsi"/>
                <w:b/>
                <w:bCs/>
                <w:sz w:val="20"/>
                <w:szCs w:val="20"/>
              </w:rPr>
              <w:t xml:space="preserve">Respondents per year </w:t>
            </w:r>
            <w:r w:rsidRPr="00071B69">
              <w:rPr>
                <w:rFonts w:cstheme="minorHAnsi"/>
                <w:b/>
                <w:bCs/>
                <w:sz w:val="20"/>
                <w:szCs w:val="20"/>
                <w:vertAlign w:val="superscript"/>
              </w:rPr>
              <w:t>a</w:t>
            </w:r>
          </w:p>
        </w:tc>
        <w:tc>
          <w:tcPr>
            <w:tcW w:w="1050" w:type="dxa"/>
            <w:gridSpan w:val="2"/>
            <w:tcBorders>
              <w:top w:val="nil"/>
              <w:left w:val="nil"/>
              <w:bottom w:val="single" w:sz="4" w:space="0" w:color="auto"/>
              <w:right w:val="single" w:sz="4" w:space="0" w:color="auto"/>
            </w:tcBorders>
            <w:shd w:val="clear" w:color="auto" w:fill="auto"/>
            <w:vAlign w:val="bottom"/>
            <w:hideMark/>
          </w:tcPr>
          <w:p w:rsidR="00B50602" w:rsidRPr="00071B69" w:rsidP="00B50602" w14:paraId="745F8C81" w14:textId="77777777">
            <w:pPr>
              <w:spacing w:after="0" w:line="240" w:lineRule="auto"/>
              <w:contextualSpacing/>
              <w:jc w:val="center"/>
              <w:rPr>
                <w:rFonts w:cstheme="minorHAnsi"/>
                <w:b/>
                <w:bCs/>
                <w:sz w:val="20"/>
                <w:szCs w:val="20"/>
              </w:rPr>
            </w:pPr>
            <w:r w:rsidRPr="00071B69">
              <w:rPr>
                <w:rFonts w:cstheme="minorHAnsi"/>
                <w:b/>
                <w:bCs/>
                <w:sz w:val="20"/>
                <w:szCs w:val="20"/>
              </w:rPr>
              <w:t>Technical person- hours per year (E=CxD)</w:t>
            </w:r>
          </w:p>
        </w:tc>
        <w:tc>
          <w:tcPr>
            <w:tcW w:w="1338" w:type="dxa"/>
            <w:gridSpan w:val="3"/>
            <w:tcBorders>
              <w:top w:val="nil"/>
              <w:left w:val="nil"/>
              <w:bottom w:val="single" w:sz="4" w:space="0" w:color="auto"/>
              <w:right w:val="single" w:sz="4" w:space="0" w:color="auto"/>
            </w:tcBorders>
            <w:shd w:val="clear" w:color="auto" w:fill="auto"/>
            <w:vAlign w:val="bottom"/>
            <w:hideMark/>
          </w:tcPr>
          <w:p w:rsidR="00B50602" w:rsidRPr="00071B69" w:rsidP="00B50602" w14:paraId="109E2A07" w14:textId="77777777">
            <w:pPr>
              <w:spacing w:after="0" w:line="240" w:lineRule="auto"/>
              <w:contextualSpacing/>
              <w:jc w:val="center"/>
              <w:rPr>
                <w:rFonts w:cstheme="minorHAnsi"/>
                <w:b/>
                <w:bCs/>
                <w:sz w:val="20"/>
                <w:szCs w:val="20"/>
              </w:rPr>
            </w:pPr>
            <w:r w:rsidRPr="00071B69">
              <w:rPr>
                <w:rFonts w:cstheme="minorHAnsi"/>
                <w:b/>
                <w:bCs/>
                <w:sz w:val="20"/>
                <w:szCs w:val="20"/>
              </w:rPr>
              <w:t>Management person hours per year (Ex0.05)</w:t>
            </w:r>
          </w:p>
        </w:tc>
        <w:tc>
          <w:tcPr>
            <w:tcW w:w="1252" w:type="dxa"/>
            <w:gridSpan w:val="2"/>
            <w:tcBorders>
              <w:top w:val="nil"/>
              <w:left w:val="nil"/>
              <w:bottom w:val="single" w:sz="4" w:space="0" w:color="auto"/>
              <w:right w:val="single" w:sz="4" w:space="0" w:color="auto"/>
            </w:tcBorders>
            <w:shd w:val="clear" w:color="auto" w:fill="auto"/>
            <w:vAlign w:val="bottom"/>
            <w:hideMark/>
          </w:tcPr>
          <w:p w:rsidR="00B50602" w:rsidRPr="00071B69" w:rsidP="00B50602" w14:paraId="1EBEF715" w14:textId="77777777">
            <w:pPr>
              <w:spacing w:after="0" w:line="240" w:lineRule="auto"/>
              <w:contextualSpacing/>
              <w:jc w:val="center"/>
              <w:rPr>
                <w:rFonts w:cstheme="minorHAnsi"/>
                <w:b/>
                <w:bCs/>
                <w:sz w:val="20"/>
                <w:szCs w:val="20"/>
              </w:rPr>
            </w:pPr>
            <w:r w:rsidRPr="00071B69">
              <w:rPr>
                <w:rFonts w:cstheme="minorHAnsi"/>
                <w:b/>
                <w:bCs/>
                <w:sz w:val="20"/>
                <w:szCs w:val="20"/>
              </w:rPr>
              <w:t>Clerical person hours per year (Ex0.1)</w:t>
            </w:r>
          </w:p>
        </w:tc>
        <w:tc>
          <w:tcPr>
            <w:tcW w:w="1013" w:type="dxa"/>
            <w:tcBorders>
              <w:top w:val="nil"/>
              <w:left w:val="nil"/>
              <w:bottom w:val="single" w:sz="4" w:space="0" w:color="auto"/>
              <w:right w:val="single" w:sz="4" w:space="0" w:color="auto"/>
            </w:tcBorders>
            <w:shd w:val="clear" w:color="auto" w:fill="auto"/>
            <w:vAlign w:val="bottom"/>
            <w:hideMark/>
          </w:tcPr>
          <w:p w:rsidR="00B50602" w:rsidRPr="00071B69" w:rsidP="00B50602" w14:paraId="1F199E5F" w14:textId="77777777">
            <w:pPr>
              <w:spacing w:after="0" w:line="240" w:lineRule="auto"/>
              <w:contextualSpacing/>
              <w:jc w:val="center"/>
              <w:rPr>
                <w:rFonts w:cstheme="minorHAnsi"/>
                <w:b/>
                <w:bCs/>
                <w:sz w:val="20"/>
                <w:szCs w:val="20"/>
              </w:rPr>
            </w:pPr>
            <w:r w:rsidRPr="00071B69">
              <w:rPr>
                <w:rFonts w:cstheme="minorHAnsi"/>
                <w:b/>
                <w:bCs/>
                <w:sz w:val="20"/>
                <w:szCs w:val="20"/>
              </w:rPr>
              <w:t xml:space="preserve">Total Cost Per year </w:t>
            </w:r>
            <w:r w:rsidRPr="00071B69">
              <w:rPr>
                <w:rFonts w:cstheme="minorHAnsi"/>
                <w:b/>
                <w:bCs/>
                <w:sz w:val="20"/>
                <w:szCs w:val="20"/>
                <w:vertAlign w:val="superscript"/>
              </w:rPr>
              <w:t>b</w:t>
            </w:r>
          </w:p>
        </w:tc>
      </w:tr>
      <w:tr w14:paraId="02A893A1" w14:textId="77777777" w:rsidTr="00B50602">
        <w:tblPrEx>
          <w:tblW w:w="13395" w:type="dxa"/>
          <w:tblLook w:val="04A0"/>
        </w:tblPrEx>
        <w:trPr>
          <w:gridAfter w:val="1"/>
          <w:wAfter w:w="57" w:type="dxa"/>
          <w:trHeight w:val="238"/>
        </w:trPr>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0602" w:rsidRPr="00071B69" w:rsidP="00B50602" w14:paraId="2E157018" w14:textId="77777777">
            <w:pPr>
              <w:spacing w:after="0" w:line="240" w:lineRule="auto"/>
              <w:contextualSpacing/>
              <w:rPr>
                <w:rFonts w:cstheme="minorHAnsi"/>
                <w:sz w:val="20"/>
                <w:szCs w:val="20"/>
              </w:rPr>
            </w:pPr>
            <w:r w:rsidRPr="00071B69">
              <w:rPr>
                <w:rFonts w:cstheme="minorHAnsi"/>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077A23E9" w14:textId="77777777">
            <w:pPr>
              <w:spacing w:after="0" w:line="240" w:lineRule="auto"/>
              <w:contextualSpacing/>
              <w:jc w:val="center"/>
              <w:rPr>
                <w:rFonts w:cstheme="minorHAnsi"/>
                <w:sz w:val="20"/>
                <w:szCs w:val="20"/>
              </w:rPr>
            </w:pPr>
            <w:r w:rsidRPr="00071B69">
              <w:rPr>
                <w:rFonts w:cstheme="minorHAnsi"/>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3C0574A" w14:textId="77777777">
            <w:pPr>
              <w:spacing w:after="0" w:line="240" w:lineRule="auto"/>
              <w:ind w:firstLine="200" w:firstLineChars="100"/>
              <w:contextualSpacing/>
              <w:rPr>
                <w:rFonts w:cstheme="minorHAnsi"/>
                <w:sz w:val="20"/>
                <w:szCs w:val="20"/>
              </w:rPr>
            </w:pPr>
            <w:r w:rsidRPr="00071B69">
              <w:rPr>
                <w:rFonts w:cstheme="minorHAnsi"/>
                <w:sz w:val="20"/>
                <w:szCs w:val="20"/>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4E1B42F"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1CA441E"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7A412F5"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4C781599"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5E16B32"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23DA2420" w14:textId="77777777">
            <w:pPr>
              <w:spacing w:after="0" w:line="240" w:lineRule="auto"/>
              <w:contextualSpacing/>
              <w:rPr>
                <w:rFonts w:cstheme="minorHAnsi"/>
                <w:sz w:val="20"/>
                <w:szCs w:val="20"/>
              </w:rPr>
            </w:pPr>
            <w:r w:rsidRPr="00071B69">
              <w:rPr>
                <w:rFonts w:cstheme="minorHAnsi"/>
                <w:sz w:val="20"/>
                <w:szCs w:val="20"/>
              </w:rPr>
              <w:t> </w:t>
            </w:r>
          </w:p>
        </w:tc>
      </w:tr>
      <w:tr w14:paraId="7E596D23"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18343D37" w14:textId="77777777">
            <w:pPr>
              <w:spacing w:after="0" w:line="240" w:lineRule="auto"/>
              <w:contextualSpacing/>
              <w:rPr>
                <w:rFonts w:cstheme="minorHAnsi"/>
                <w:sz w:val="20"/>
                <w:szCs w:val="20"/>
              </w:rPr>
            </w:pPr>
            <w:r w:rsidRPr="00071B69">
              <w:rPr>
                <w:rFonts w:cstheme="minorHAnsi"/>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271D2387" w14:textId="77777777">
            <w:pPr>
              <w:spacing w:after="0" w:line="240" w:lineRule="auto"/>
              <w:contextualSpacing/>
              <w:jc w:val="center"/>
              <w:rPr>
                <w:rFonts w:cstheme="minorHAnsi"/>
                <w:sz w:val="20"/>
                <w:szCs w:val="20"/>
              </w:rPr>
            </w:pPr>
            <w:r w:rsidRPr="00071B69">
              <w:rPr>
                <w:rFonts w:cstheme="minorHAnsi"/>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3E8B388" w14:textId="77777777">
            <w:pPr>
              <w:spacing w:after="0" w:line="240" w:lineRule="auto"/>
              <w:ind w:firstLine="200" w:firstLineChars="100"/>
              <w:contextualSpacing/>
              <w:rPr>
                <w:rFonts w:cstheme="minorHAnsi"/>
                <w:sz w:val="20"/>
                <w:szCs w:val="20"/>
              </w:rPr>
            </w:pPr>
            <w:r w:rsidRPr="00071B69">
              <w:rPr>
                <w:rFonts w:cstheme="minorHAnsi"/>
                <w:sz w:val="20"/>
                <w:szCs w:val="20"/>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13C38CE"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E5C0CDA"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C65F51D"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4E79455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D669C83"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048F0903" w14:textId="77777777">
            <w:pPr>
              <w:spacing w:after="0" w:line="240" w:lineRule="auto"/>
              <w:contextualSpacing/>
              <w:rPr>
                <w:rFonts w:cstheme="minorHAnsi"/>
                <w:sz w:val="20"/>
                <w:szCs w:val="20"/>
              </w:rPr>
            </w:pPr>
            <w:r w:rsidRPr="00071B69">
              <w:rPr>
                <w:rFonts w:cstheme="minorHAnsi"/>
                <w:sz w:val="20"/>
                <w:szCs w:val="20"/>
              </w:rPr>
              <w:t> </w:t>
            </w:r>
          </w:p>
        </w:tc>
      </w:tr>
      <w:tr w14:paraId="65163F3C"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47BCC8A2" w14:textId="77777777">
            <w:pPr>
              <w:spacing w:after="0" w:line="240" w:lineRule="auto"/>
              <w:contextualSpacing/>
              <w:rPr>
                <w:rFonts w:cstheme="minorHAnsi"/>
                <w:sz w:val="20"/>
                <w:szCs w:val="20"/>
              </w:rPr>
            </w:pPr>
            <w:r w:rsidRPr="00071B69">
              <w:rPr>
                <w:rFonts w:cstheme="minorHAnsi"/>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3069BE80"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3BE118F"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DB48BB8"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260D37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79DF405"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41A73198"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6265C86"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48B86562" w14:textId="77777777">
            <w:pPr>
              <w:spacing w:after="0" w:line="240" w:lineRule="auto"/>
              <w:contextualSpacing/>
              <w:rPr>
                <w:rFonts w:cstheme="minorHAnsi"/>
                <w:sz w:val="20"/>
                <w:szCs w:val="20"/>
              </w:rPr>
            </w:pPr>
            <w:r w:rsidRPr="00071B69">
              <w:rPr>
                <w:rFonts w:cstheme="minorHAnsi"/>
                <w:sz w:val="20"/>
                <w:szCs w:val="20"/>
              </w:rPr>
              <w:t> </w:t>
            </w:r>
          </w:p>
        </w:tc>
      </w:tr>
      <w:tr w14:paraId="7B8F097B"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2184CA73" w14:textId="77777777">
            <w:pPr>
              <w:spacing w:after="0" w:line="240" w:lineRule="auto"/>
              <w:contextualSpacing/>
              <w:rPr>
                <w:rFonts w:cstheme="minorHAnsi"/>
                <w:sz w:val="20"/>
                <w:szCs w:val="20"/>
              </w:rPr>
            </w:pPr>
            <w:r w:rsidRPr="00071B69">
              <w:rPr>
                <w:rFonts w:cstheme="minorHAnsi"/>
                <w:sz w:val="20"/>
                <w:szCs w:val="20"/>
              </w:rPr>
              <w:t>A.  Familiarization with rule requirements</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7E575598" w14:textId="77777777">
            <w:pPr>
              <w:spacing w:after="0" w:line="240" w:lineRule="auto"/>
              <w:contextualSpacing/>
              <w:jc w:val="center"/>
              <w:rPr>
                <w:rFonts w:cstheme="minorHAnsi"/>
                <w:sz w:val="20"/>
                <w:szCs w:val="20"/>
              </w:rPr>
            </w:pPr>
            <w:r w:rsidRPr="00071B69">
              <w:rPr>
                <w:rFonts w:cstheme="minorHAnsi"/>
                <w:sz w:val="20"/>
                <w:szCs w:val="20"/>
              </w:rPr>
              <w:t>2</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77BB4C8" w14:textId="77777777">
            <w:pPr>
              <w:spacing w:after="0" w:line="240" w:lineRule="auto"/>
              <w:contextualSpacing/>
              <w:jc w:val="center"/>
              <w:rPr>
                <w:rFonts w:cstheme="minorHAnsi"/>
                <w:sz w:val="20"/>
                <w:szCs w:val="20"/>
              </w:rPr>
            </w:pPr>
            <w:r w:rsidRPr="00071B69">
              <w:rPr>
                <w:rFonts w:cstheme="minorHAnsi"/>
                <w:sz w:val="20"/>
                <w:szCs w:val="20"/>
              </w:rPr>
              <w:t>1</w:t>
            </w:r>
          </w:p>
        </w:tc>
        <w:tc>
          <w:tcPr>
            <w:tcW w:w="1175"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FD35391" w14:textId="77777777">
            <w:pPr>
              <w:spacing w:after="0" w:line="240" w:lineRule="auto"/>
              <w:contextualSpacing/>
              <w:jc w:val="center"/>
              <w:rPr>
                <w:rFonts w:cstheme="minorHAnsi"/>
                <w:sz w:val="20"/>
                <w:szCs w:val="20"/>
              </w:rPr>
            </w:pPr>
            <w:r w:rsidRPr="00071B69">
              <w:rPr>
                <w:rFonts w:cstheme="minorHAnsi"/>
                <w:sz w:val="20"/>
                <w:szCs w:val="20"/>
              </w:rPr>
              <w:t>2.0</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939C5B4" w14:textId="77777777">
            <w:pPr>
              <w:spacing w:after="0" w:line="240" w:lineRule="auto"/>
              <w:contextualSpacing/>
              <w:jc w:val="center"/>
              <w:rPr>
                <w:rFonts w:cstheme="minorHAnsi"/>
                <w:sz w:val="20"/>
                <w:szCs w:val="20"/>
              </w:rPr>
            </w:pPr>
            <w:r w:rsidRPr="00071B69">
              <w:rPr>
                <w:rFonts w:cstheme="minorHAnsi"/>
                <w:sz w:val="20"/>
                <w:szCs w:val="20"/>
              </w:rPr>
              <w:t>7</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8627709" w14:textId="77777777">
            <w:pPr>
              <w:spacing w:after="0" w:line="240" w:lineRule="auto"/>
              <w:contextualSpacing/>
              <w:jc w:val="center"/>
              <w:rPr>
                <w:rFonts w:cstheme="minorHAnsi"/>
                <w:sz w:val="20"/>
                <w:szCs w:val="20"/>
              </w:rPr>
            </w:pPr>
            <w:r w:rsidRPr="00071B69">
              <w:rPr>
                <w:rFonts w:cstheme="minorHAnsi"/>
                <w:sz w:val="20"/>
                <w:szCs w:val="20"/>
              </w:rPr>
              <w:t>14</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047D7CA6" w14:textId="77777777">
            <w:pPr>
              <w:spacing w:after="0" w:line="240" w:lineRule="auto"/>
              <w:contextualSpacing/>
              <w:jc w:val="center"/>
              <w:rPr>
                <w:rFonts w:cstheme="minorHAnsi"/>
                <w:sz w:val="20"/>
                <w:szCs w:val="20"/>
              </w:rPr>
            </w:pPr>
            <w:r w:rsidRPr="00071B69">
              <w:rPr>
                <w:rFonts w:cstheme="minorHAnsi"/>
                <w:sz w:val="20"/>
                <w:szCs w:val="20"/>
              </w:rPr>
              <w:t>0.7</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D23A0C1" w14:textId="77777777">
            <w:pPr>
              <w:spacing w:after="0" w:line="240" w:lineRule="auto"/>
              <w:contextualSpacing/>
              <w:jc w:val="center"/>
              <w:rPr>
                <w:rFonts w:cstheme="minorHAnsi"/>
                <w:sz w:val="20"/>
                <w:szCs w:val="20"/>
              </w:rPr>
            </w:pPr>
            <w:r w:rsidRPr="00071B69">
              <w:rPr>
                <w:rFonts w:cstheme="minorHAnsi"/>
                <w:sz w:val="20"/>
                <w:szCs w:val="20"/>
              </w:rPr>
              <w:t>1.4</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3ADAEBA6" w14:textId="77777777">
            <w:pPr>
              <w:spacing w:after="0" w:line="240" w:lineRule="auto"/>
              <w:contextualSpacing/>
              <w:jc w:val="right"/>
              <w:rPr>
                <w:rFonts w:cstheme="minorHAnsi"/>
                <w:sz w:val="20"/>
                <w:szCs w:val="20"/>
              </w:rPr>
            </w:pPr>
            <w:r w:rsidRPr="00071B69">
              <w:rPr>
                <w:rFonts w:cstheme="minorHAnsi"/>
                <w:sz w:val="20"/>
                <w:szCs w:val="20"/>
              </w:rPr>
              <w:t>$1,798</w:t>
            </w:r>
          </w:p>
        </w:tc>
      </w:tr>
      <w:tr w14:paraId="579BF587"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396BAD25" w14:textId="77777777">
            <w:pPr>
              <w:spacing w:after="0" w:line="240" w:lineRule="auto"/>
              <w:contextualSpacing/>
              <w:rPr>
                <w:rFonts w:cstheme="minorHAnsi"/>
                <w:sz w:val="20"/>
                <w:szCs w:val="20"/>
              </w:rPr>
            </w:pPr>
            <w:bookmarkStart w:id="25" w:name="RANGE!A9"/>
            <w:r w:rsidRPr="00071B69">
              <w:rPr>
                <w:rFonts w:cstheme="minorHAnsi"/>
                <w:sz w:val="20"/>
                <w:szCs w:val="20"/>
              </w:rPr>
              <w:t xml:space="preserve"> B.  Required activities</w:t>
            </w:r>
            <w:bookmarkEnd w:id="25"/>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72DE28D9"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FD206D1"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75C4EAD"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B431904"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82383F3"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2589BE6C"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05AF11A"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2BE0514E" w14:textId="77777777">
            <w:pPr>
              <w:spacing w:after="0" w:line="240" w:lineRule="auto"/>
              <w:contextualSpacing/>
              <w:rPr>
                <w:rFonts w:cstheme="minorHAnsi"/>
                <w:sz w:val="20"/>
                <w:szCs w:val="20"/>
              </w:rPr>
            </w:pPr>
            <w:r w:rsidRPr="00071B69">
              <w:rPr>
                <w:rFonts w:cstheme="minorHAnsi"/>
                <w:sz w:val="20"/>
                <w:szCs w:val="20"/>
              </w:rPr>
              <w:t> </w:t>
            </w:r>
          </w:p>
        </w:tc>
      </w:tr>
      <w:tr w14:paraId="2EF5BFE2"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15270DDE" w14:textId="77777777">
            <w:pPr>
              <w:spacing w:after="0" w:line="240" w:lineRule="auto"/>
              <w:contextualSpacing/>
              <w:rPr>
                <w:rFonts w:cstheme="minorHAnsi"/>
                <w:sz w:val="20"/>
                <w:szCs w:val="20"/>
              </w:rPr>
            </w:pPr>
            <w:r w:rsidRPr="00071B69">
              <w:rPr>
                <w:rFonts w:cstheme="minorHAnsi"/>
                <w:sz w:val="20"/>
                <w:szCs w:val="20"/>
              </w:rPr>
              <w:t xml:space="preserve">Preparation for performance test - facility labor </w:t>
            </w:r>
            <w:r w:rsidRPr="00071B69">
              <w:rPr>
                <w:rFonts w:cstheme="minorHAnsi"/>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164BBE9D" w14:textId="77777777">
            <w:pPr>
              <w:spacing w:after="0" w:line="240" w:lineRule="auto"/>
              <w:contextualSpacing/>
              <w:jc w:val="center"/>
              <w:rPr>
                <w:rFonts w:cstheme="minorHAnsi"/>
                <w:sz w:val="20"/>
                <w:szCs w:val="20"/>
              </w:rPr>
            </w:pPr>
            <w:r w:rsidRPr="00071B69">
              <w:rPr>
                <w:rFonts w:cstheme="minorHAnsi"/>
                <w:sz w:val="20"/>
                <w:szCs w:val="20"/>
              </w:rPr>
              <w:t>10</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2DC5304" w14:textId="77777777">
            <w:pPr>
              <w:spacing w:after="0" w:line="240" w:lineRule="auto"/>
              <w:contextualSpacing/>
              <w:jc w:val="center"/>
              <w:rPr>
                <w:rFonts w:cstheme="minorHAnsi"/>
                <w:sz w:val="20"/>
                <w:szCs w:val="20"/>
              </w:rPr>
            </w:pPr>
            <w:r w:rsidRPr="00071B69">
              <w:rPr>
                <w:rFonts w:cstheme="minorHAnsi"/>
                <w:sz w:val="20"/>
                <w:szCs w:val="20"/>
              </w:rPr>
              <w:t>1.03</w:t>
            </w:r>
          </w:p>
        </w:tc>
        <w:tc>
          <w:tcPr>
            <w:tcW w:w="1175"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969B352" w14:textId="77777777">
            <w:pPr>
              <w:spacing w:after="0" w:line="240" w:lineRule="auto"/>
              <w:contextualSpacing/>
              <w:jc w:val="center"/>
              <w:rPr>
                <w:rFonts w:cstheme="minorHAnsi"/>
                <w:sz w:val="20"/>
                <w:szCs w:val="20"/>
              </w:rPr>
            </w:pPr>
            <w:r w:rsidRPr="00071B69">
              <w:rPr>
                <w:rFonts w:cstheme="minorHAnsi"/>
                <w:sz w:val="20"/>
                <w:szCs w:val="20"/>
              </w:rPr>
              <w:t>10.3</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71115CD"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57E181D" w14:textId="77777777">
            <w:pPr>
              <w:spacing w:after="0" w:line="240" w:lineRule="auto"/>
              <w:contextualSpacing/>
              <w:jc w:val="center"/>
              <w:rPr>
                <w:rFonts w:cstheme="minorHAnsi"/>
                <w:sz w:val="20"/>
                <w:szCs w:val="20"/>
              </w:rPr>
            </w:pPr>
            <w:r w:rsidRPr="00071B69">
              <w:rPr>
                <w:rFonts w:cstheme="minorHAnsi"/>
                <w:sz w:val="20"/>
                <w:szCs w:val="20"/>
              </w:rPr>
              <w:t>72</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716FE4AD" w14:textId="77777777">
            <w:pPr>
              <w:spacing w:after="0" w:line="240" w:lineRule="auto"/>
              <w:contextualSpacing/>
              <w:jc w:val="center"/>
              <w:rPr>
                <w:rFonts w:cstheme="minorHAnsi"/>
                <w:sz w:val="20"/>
                <w:szCs w:val="20"/>
              </w:rPr>
            </w:pPr>
            <w:r w:rsidRPr="00071B69">
              <w:rPr>
                <w:rFonts w:cstheme="minorHAnsi"/>
                <w:sz w:val="20"/>
                <w:szCs w:val="20"/>
              </w:rPr>
              <w:t>3.6</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CA4C060" w14:textId="77777777">
            <w:pPr>
              <w:spacing w:after="0" w:line="240" w:lineRule="auto"/>
              <w:contextualSpacing/>
              <w:jc w:val="center"/>
              <w:rPr>
                <w:rFonts w:cstheme="minorHAnsi"/>
                <w:sz w:val="20"/>
                <w:szCs w:val="20"/>
              </w:rPr>
            </w:pPr>
            <w:r w:rsidRPr="00071B69">
              <w:rPr>
                <w:rFonts w:cstheme="minorHAnsi"/>
                <w:sz w:val="20"/>
                <w:szCs w:val="20"/>
              </w:rPr>
              <w:t>7.2</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077502B6" w14:textId="77777777">
            <w:pPr>
              <w:spacing w:after="0" w:line="240" w:lineRule="auto"/>
              <w:contextualSpacing/>
              <w:jc w:val="right"/>
              <w:rPr>
                <w:rFonts w:cstheme="minorHAnsi"/>
                <w:sz w:val="20"/>
                <w:szCs w:val="20"/>
              </w:rPr>
            </w:pPr>
            <w:r w:rsidRPr="00071B69">
              <w:rPr>
                <w:rFonts w:cstheme="minorHAnsi"/>
                <w:sz w:val="20"/>
                <w:szCs w:val="20"/>
              </w:rPr>
              <w:t>$9,244</w:t>
            </w:r>
          </w:p>
        </w:tc>
      </w:tr>
      <w:tr w14:paraId="086E8419"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24CF0AAF" w14:textId="77777777">
            <w:pPr>
              <w:spacing w:after="0" w:line="240" w:lineRule="auto"/>
              <w:contextualSpacing/>
              <w:rPr>
                <w:rFonts w:cstheme="minorHAnsi"/>
                <w:sz w:val="20"/>
                <w:szCs w:val="20"/>
              </w:rPr>
            </w:pPr>
            <w:r w:rsidRPr="00071B69">
              <w:rPr>
                <w:rFonts w:cstheme="minorHAnsi"/>
                <w:sz w:val="20"/>
                <w:szCs w:val="20"/>
              </w:rPr>
              <w:t>C.  Create information</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35D99D4A" w14:textId="77777777">
            <w:pPr>
              <w:spacing w:after="0" w:line="240" w:lineRule="auto"/>
              <w:contextualSpacing/>
              <w:jc w:val="center"/>
              <w:rPr>
                <w:rFonts w:cstheme="minorHAnsi"/>
                <w:sz w:val="20"/>
                <w:szCs w:val="20"/>
              </w:rPr>
            </w:pPr>
            <w:r w:rsidRPr="00071B69">
              <w:rPr>
                <w:rFonts w:cstheme="minorHAnsi"/>
                <w:sz w:val="20"/>
                <w:szCs w:val="20"/>
              </w:rPr>
              <w:t>N/A</w:t>
            </w:r>
          </w:p>
        </w:tc>
        <w:tc>
          <w:tcPr>
            <w:tcW w:w="1238" w:type="dxa"/>
            <w:gridSpan w:val="2"/>
            <w:tcBorders>
              <w:top w:val="nil"/>
              <w:left w:val="nil"/>
              <w:bottom w:val="single" w:sz="4" w:space="0" w:color="auto"/>
              <w:right w:val="single" w:sz="4" w:space="0" w:color="auto"/>
            </w:tcBorders>
            <w:shd w:val="clear" w:color="auto" w:fill="auto"/>
            <w:noWrap/>
            <w:vAlign w:val="bottom"/>
            <w:hideMark/>
          </w:tcPr>
          <w:p w:rsidR="00B50602" w:rsidRPr="00071B69" w:rsidP="00B50602" w14:paraId="7873DED2" w14:textId="77777777">
            <w:pPr>
              <w:spacing w:after="0" w:line="240" w:lineRule="auto"/>
              <w:contextualSpacing/>
              <w:rPr>
                <w:rFonts w:cstheme="minorHAnsi"/>
                <w:sz w:val="20"/>
                <w:szCs w:val="20"/>
              </w:rPr>
            </w:pPr>
            <w:r w:rsidRPr="00071B69">
              <w:rPr>
                <w:rFonts w:cstheme="minorHAnsi"/>
                <w:sz w:val="20"/>
                <w:szCs w:val="20"/>
              </w:rPr>
              <w:t> </w:t>
            </w:r>
          </w:p>
        </w:tc>
        <w:tc>
          <w:tcPr>
            <w:tcW w:w="1175" w:type="dxa"/>
            <w:gridSpan w:val="2"/>
            <w:tcBorders>
              <w:top w:val="nil"/>
              <w:left w:val="nil"/>
              <w:bottom w:val="nil"/>
              <w:right w:val="single" w:sz="4" w:space="0" w:color="auto"/>
            </w:tcBorders>
            <w:shd w:val="clear" w:color="auto" w:fill="auto"/>
            <w:vAlign w:val="center"/>
            <w:hideMark/>
          </w:tcPr>
          <w:p w:rsidR="00B50602" w:rsidRPr="00071B69" w:rsidP="00B50602" w14:paraId="10380E4F"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189B574"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B030B4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2ED50228"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CC07E11"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3FB11B3B" w14:textId="77777777">
            <w:pPr>
              <w:spacing w:after="0" w:line="240" w:lineRule="auto"/>
              <w:contextualSpacing/>
              <w:rPr>
                <w:rFonts w:cstheme="minorHAnsi"/>
                <w:sz w:val="20"/>
                <w:szCs w:val="20"/>
              </w:rPr>
            </w:pPr>
            <w:r w:rsidRPr="00071B69">
              <w:rPr>
                <w:rFonts w:cstheme="minorHAnsi"/>
                <w:sz w:val="20"/>
                <w:szCs w:val="20"/>
              </w:rPr>
              <w:t> </w:t>
            </w:r>
          </w:p>
        </w:tc>
      </w:tr>
      <w:tr w14:paraId="494F9AC0"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12CE6882" w14:textId="77777777">
            <w:pPr>
              <w:spacing w:after="0" w:line="240" w:lineRule="auto"/>
              <w:contextualSpacing/>
              <w:rPr>
                <w:rFonts w:cstheme="minorHAnsi"/>
                <w:sz w:val="20"/>
                <w:szCs w:val="20"/>
              </w:rPr>
            </w:pPr>
            <w:r w:rsidRPr="00071B69">
              <w:rPr>
                <w:rFonts w:cstheme="minorHAnsi"/>
                <w:sz w:val="20"/>
                <w:szCs w:val="20"/>
              </w:rPr>
              <w:t>D.  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138C0A43" w14:textId="77777777">
            <w:pPr>
              <w:spacing w:after="0" w:line="240" w:lineRule="auto"/>
              <w:contextualSpacing/>
              <w:jc w:val="center"/>
              <w:rPr>
                <w:rFonts w:cstheme="minorHAnsi"/>
                <w:sz w:val="20"/>
                <w:szCs w:val="20"/>
              </w:rPr>
            </w:pPr>
            <w:r w:rsidRPr="00071B69">
              <w:rPr>
                <w:rFonts w:cstheme="minorHAnsi"/>
                <w:sz w:val="20"/>
                <w:szCs w:val="20"/>
              </w:rPr>
              <w:t>N/A</w:t>
            </w:r>
          </w:p>
        </w:tc>
        <w:tc>
          <w:tcPr>
            <w:tcW w:w="1238" w:type="dxa"/>
            <w:gridSpan w:val="2"/>
            <w:tcBorders>
              <w:top w:val="nil"/>
              <w:left w:val="nil"/>
              <w:bottom w:val="single" w:sz="4" w:space="0" w:color="auto"/>
              <w:right w:val="single" w:sz="4" w:space="0" w:color="auto"/>
            </w:tcBorders>
            <w:shd w:val="clear" w:color="auto" w:fill="auto"/>
            <w:noWrap/>
            <w:vAlign w:val="bottom"/>
            <w:hideMark/>
          </w:tcPr>
          <w:p w:rsidR="00B50602" w:rsidRPr="00071B69" w:rsidP="00B50602" w14:paraId="7E72674E" w14:textId="77777777">
            <w:pPr>
              <w:spacing w:after="0" w:line="240" w:lineRule="auto"/>
              <w:contextualSpacing/>
              <w:rPr>
                <w:rFonts w:cstheme="minorHAnsi"/>
                <w:sz w:val="20"/>
                <w:szCs w:val="20"/>
              </w:rPr>
            </w:pPr>
            <w:r w:rsidRPr="00071B69">
              <w:rPr>
                <w:rFonts w:cstheme="minorHAnsi"/>
                <w:sz w:val="20"/>
                <w:szCs w:val="20"/>
              </w:rPr>
              <w:t> </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05F219A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3CF7230"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85C76B3"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4E429402"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B34E88A"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67C9F1D6" w14:textId="77777777">
            <w:pPr>
              <w:spacing w:after="0" w:line="240" w:lineRule="auto"/>
              <w:contextualSpacing/>
              <w:rPr>
                <w:rFonts w:cstheme="minorHAnsi"/>
                <w:sz w:val="20"/>
                <w:szCs w:val="20"/>
              </w:rPr>
            </w:pPr>
            <w:r w:rsidRPr="00071B69">
              <w:rPr>
                <w:rFonts w:cstheme="minorHAnsi"/>
                <w:sz w:val="20"/>
                <w:szCs w:val="20"/>
              </w:rPr>
              <w:t> </w:t>
            </w:r>
          </w:p>
        </w:tc>
      </w:tr>
      <w:tr w14:paraId="4C9FB9E6"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0DF082D5" w14:textId="77777777">
            <w:pPr>
              <w:spacing w:after="0" w:line="240" w:lineRule="auto"/>
              <w:contextualSpacing/>
              <w:rPr>
                <w:rFonts w:cstheme="minorHAnsi"/>
                <w:sz w:val="20"/>
                <w:szCs w:val="20"/>
              </w:rPr>
            </w:pPr>
            <w:r w:rsidRPr="00071B69">
              <w:rPr>
                <w:rFonts w:cstheme="minorHAnsi"/>
                <w:sz w:val="20"/>
                <w:szCs w:val="20"/>
              </w:rPr>
              <w:t>E.  Write report</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5ED7D901"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9ACDAF9"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nil"/>
              <w:left w:val="nil"/>
              <w:bottom w:val="nil"/>
              <w:right w:val="single" w:sz="4" w:space="0" w:color="auto"/>
            </w:tcBorders>
            <w:shd w:val="clear" w:color="auto" w:fill="auto"/>
            <w:vAlign w:val="center"/>
            <w:hideMark/>
          </w:tcPr>
          <w:p w:rsidR="00B50602" w:rsidRPr="00071B69" w:rsidP="00B50602" w14:paraId="1759539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8E93048"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4EE253C"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3F171190"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309A5F0"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542FE637" w14:textId="77777777">
            <w:pPr>
              <w:spacing w:after="0" w:line="240" w:lineRule="auto"/>
              <w:contextualSpacing/>
              <w:rPr>
                <w:rFonts w:cstheme="minorHAnsi"/>
                <w:sz w:val="20"/>
                <w:szCs w:val="20"/>
              </w:rPr>
            </w:pPr>
            <w:r w:rsidRPr="00071B69">
              <w:rPr>
                <w:rFonts w:cstheme="minorHAnsi"/>
                <w:sz w:val="20"/>
                <w:szCs w:val="20"/>
              </w:rPr>
              <w:t> </w:t>
            </w:r>
          </w:p>
        </w:tc>
      </w:tr>
      <w:tr w14:paraId="70F5D19D"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26AB984E" w14:textId="77777777">
            <w:pPr>
              <w:spacing w:after="0" w:line="240" w:lineRule="auto"/>
              <w:contextualSpacing/>
              <w:rPr>
                <w:rFonts w:cstheme="minorHAnsi"/>
                <w:sz w:val="20"/>
                <w:szCs w:val="20"/>
              </w:rPr>
            </w:pPr>
            <w:r w:rsidRPr="00071B69">
              <w:rPr>
                <w:rFonts w:cstheme="minorHAnsi"/>
                <w:sz w:val="20"/>
                <w:szCs w:val="20"/>
              </w:rPr>
              <w:t xml:space="preserve">Initial Notifications </w:t>
            </w:r>
            <w:r w:rsidRPr="00071B69">
              <w:rPr>
                <w:rFonts w:cstheme="minorHAnsi"/>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1FFEA375" w14:textId="77777777">
            <w:pPr>
              <w:spacing w:after="0" w:line="240" w:lineRule="auto"/>
              <w:contextualSpacing/>
              <w:jc w:val="center"/>
              <w:rPr>
                <w:rFonts w:cstheme="minorHAnsi"/>
                <w:sz w:val="20"/>
                <w:szCs w:val="20"/>
              </w:rPr>
            </w:pPr>
            <w:r w:rsidRPr="00071B69">
              <w:rPr>
                <w:rFonts w:cstheme="minorHAnsi"/>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6D17F0C"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2E03A409"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CB8BB58"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5F80326"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069D9D07"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79DCF50"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2C270BA0" w14:textId="77777777">
            <w:pPr>
              <w:spacing w:after="0" w:line="240" w:lineRule="auto"/>
              <w:contextualSpacing/>
              <w:rPr>
                <w:rFonts w:cstheme="minorHAnsi"/>
                <w:sz w:val="20"/>
                <w:szCs w:val="20"/>
              </w:rPr>
            </w:pPr>
            <w:r w:rsidRPr="00071B69">
              <w:rPr>
                <w:rFonts w:cstheme="minorHAnsi"/>
                <w:sz w:val="20"/>
                <w:szCs w:val="20"/>
              </w:rPr>
              <w:t> </w:t>
            </w:r>
          </w:p>
        </w:tc>
      </w:tr>
      <w:tr w14:paraId="1438D5A0"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217761BB" w14:textId="77777777">
            <w:pPr>
              <w:spacing w:after="0" w:line="240" w:lineRule="auto"/>
              <w:contextualSpacing/>
              <w:rPr>
                <w:rFonts w:cstheme="minorHAnsi"/>
                <w:sz w:val="20"/>
                <w:szCs w:val="20"/>
              </w:rPr>
            </w:pPr>
            <w:r w:rsidRPr="00071B69">
              <w:rPr>
                <w:rFonts w:cstheme="minorHAnsi"/>
                <w:sz w:val="20"/>
                <w:szCs w:val="20"/>
              </w:rPr>
              <w:t xml:space="preserve">ii.   Compliance Extension Request </w:t>
            </w:r>
            <w:r w:rsidRPr="00071B69">
              <w:rPr>
                <w:rFonts w:cstheme="minorHAnsi"/>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7BED19C6" w14:textId="77777777">
            <w:pPr>
              <w:spacing w:after="0" w:line="240" w:lineRule="auto"/>
              <w:contextualSpacing/>
              <w:jc w:val="center"/>
              <w:rPr>
                <w:rFonts w:cstheme="minorHAnsi"/>
                <w:sz w:val="20"/>
                <w:szCs w:val="20"/>
              </w:rPr>
            </w:pPr>
            <w:r w:rsidRPr="00071B69">
              <w:rPr>
                <w:rFonts w:cstheme="minorHAnsi"/>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202AEC6"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4BF7C6DC"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B94B318"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2A7A35F"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44332C88"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A404002"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0DE48E6E" w14:textId="77777777">
            <w:pPr>
              <w:spacing w:after="0" w:line="240" w:lineRule="auto"/>
              <w:contextualSpacing/>
              <w:rPr>
                <w:rFonts w:cstheme="minorHAnsi"/>
                <w:sz w:val="20"/>
                <w:szCs w:val="20"/>
              </w:rPr>
            </w:pPr>
            <w:r w:rsidRPr="00071B69">
              <w:rPr>
                <w:rFonts w:cstheme="minorHAnsi"/>
                <w:sz w:val="20"/>
                <w:szCs w:val="20"/>
              </w:rPr>
              <w:t> </w:t>
            </w:r>
          </w:p>
        </w:tc>
      </w:tr>
      <w:tr w14:paraId="67FD17EE"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63680F6C" w14:textId="77777777">
            <w:pPr>
              <w:spacing w:after="0" w:line="240" w:lineRule="auto"/>
              <w:contextualSpacing/>
              <w:rPr>
                <w:rFonts w:cstheme="minorHAnsi"/>
                <w:sz w:val="20"/>
                <w:szCs w:val="20"/>
              </w:rPr>
            </w:pPr>
            <w:r w:rsidRPr="00071B69">
              <w:rPr>
                <w:rFonts w:cstheme="minorHAnsi"/>
                <w:sz w:val="20"/>
                <w:szCs w:val="20"/>
              </w:rPr>
              <w:t>iv.  Site-specific Test Plan</w:t>
            </w:r>
            <w:r w:rsidRPr="00071B69">
              <w:rPr>
                <w:rFonts w:cstheme="minorHAnsi"/>
                <w:sz w:val="20"/>
                <w:szCs w:val="20"/>
                <w:vertAlign w:val="superscript"/>
              </w:rPr>
              <w:t xml:space="preserve"> c</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2A249A32" w14:textId="77777777">
            <w:pPr>
              <w:spacing w:after="0" w:line="240" w:lineRule="auto"/>
              <w:contextualSpacing/>
              <w:jc w:val="center"/>
              <w:rPr>
                <w:rFonts w:cstheme="minorHAnsi"/>
                <w:sz w:val="20"/>
                <w:szCs w:val="20"/>
              </w:rPr>
            </w:pPr>
            <w:r w:rsidRPr="00071B69">
              <w:rPr>
                <w:rFonts w:cstheme="minorHAnsi"/>
                <w:sz w:val="20"/>
                <w:szCs w:val="20"/>
              </w:rPr>
              <w:t>10</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93C4295" w14:textId="77777777">
            <w:pPr>
              <w:spacing w:after="0" w:line="240" w:lineRule="auto"/>
              <w:contextualSpacing/>
              <w:jc w:val="center"/>
              <w:rPr>
                <w:rFonts w:cstheme="minorHAnsi"/>
                <w:sz w:val="20"/>
                <w:szCs w:val="20"/>
              </w:rPr>
            </w:pPr>
            <w:r w:rsidRPr="00071B69">
              <w:rPr>
                <w:rFonts w:cstheme="minorHAnsi"/>
                <w:sz w:val="20"/>
                <w:szCs w:val="20"/>
              </w:rPr>
              <w:t>1.03</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77D346D6" w14:textId="77777777">
            <w:pPr>
              <w:spacing w:after="0" w:line="240" w:lineRule="auto"/>
              <w:contextualSpacing/>
              <w:jc w:val="center"/>
              <w:rPr>
                <w:rFonts w:cstheme="minorHAnsi"/>
                <w:sz w:val="20"/>
                <w:szCs w:val="20"/>
              </w:rPr>
            </w:pPr>
            <w:r w:rsidRPr="00071B69">
              <w:rPr>
                <w:rFonts w:cstheme="minorHAnsi"/>
                <w:sz w:val="20"/>
                <w:szCs w:val="20"/>
              </w:rPr>
              <w:t>10.3</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F51717B"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27B71B1" w14:textId="77777777">
            <w:pPr>
              <w:spacing w:after="0" w:line="240" w:lineRule="auto"/>
              <w:contextualSpacing/>
              <w:jc w:val="center"/>
              <w:rPr>
                <w:rFonts w:cstheme="minorHAnsi"/>
                <w:sz w:val="20"/>
                <w:szCs w:val="20"/>
              </w:rPr>
            </w:pPr>
            <w:r w:rsidRPr="00071B69">
              <w:rPr>
                <w:rFonts w:cstheme="minorHAnsi"/>
                <w:sz w:val="20"/>
                <w:szCs w:val="20"/>
              </w:rPr>
              <w:t>72</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04C596CE" w14:textId="77777777">
            <w:pPr>
              <w:spacing w:after="0" w:line="240" w:lineRule="auto"/>
              <w:contextualSpacing/>
              <w:jc w:val="center"/>
              <w:rPr>
                <w:rFonts w:cstheme="minorHAnsi"/>
                <w:sz w:val="20"/>
                <w:szCs w:val="20"/>
              </w:rPr>
            </w:pPr>
            <w:r w:rsidRPr="00071B69">
              <w:rPr>
                <w:rFonts w:cstheme="minorHAnsi"/>
                <w:sz w:val="20"/>
                <w:szCs w:val="20"/>
              </w:rPr>
              <w:t>3.6</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B3707EC" w14:textId="77777777">
            <w:pPr>
              <w:spacing w:after="0" w:line="240" w:lineRule="auto"/>
              <w:contextualSpacing/>
              <w:jc w:val="center"/>
              <w:rPr>
                <w:rFonts w:cstheme="minorHAnsi"/>
                <w:sz w:val="20"/>
                <w:szCs w:val="20"/>
              </w:rPr>
            </w:pPr>
            <w:r w:rsidRPr="00071B69">
              <w:rPr>
                <w:rFonts w:cstheme="minorHAnsi"/>
                <w:sz w:val="20"/>
                <w:szCs w:val="20"/>
              </w:rPr>
              <w:t>7.2</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7937AD37" w14:textId="77777777">
            <w:pPr>
              <w:spacing w:after="0" w:line="240" w:lineRule="auto"/>
              <w:contextualSpacing/>
              <w:jc w:val="right"/>
              <w:rPr>
                <w:rFonts w:cstheme="minorHAnsi"/>
                <w:sz w:val="20"/>
                <w:szCs w:val="20"/>
              </w:rPr>
            </w:pPr>
            <w:r w:rsidRPr="00071B69">
              <w:rPr>
                <w:rFonts w:cstheme="minorHAnsi"/>
                <w:sz w:val="20"/>
                <w:szCs w:val="20"/>
              </w:rPr>
              <w:t>$9,244</w:t>
            </w:r>
          </w:p>
        </w:tc>
      </w:tr>
      <w:tr w14:paraId="5A053676"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738BF686" w14:textId="77777777">
            <w:pPr>
              <w:spacing w:after="0" w:line="240" w:lineRule="auto"/>
              <w:contextualSpacing/>
              <w:rPr>
                <w:rFonts w:cstheme="minorHAnsi"/>
                <w:sz w:val="20"/>
                <w:szCs w:val="20"/>
              </w:rPr>
            </w:pPr>
            <w:r w:rsidRPr="00071B69">
              <w:rPr>
                <w:rFonts w:cstheme="minorHAnsi"/>
                <w:sz w:val="20"/>
                <w:szCs w:val="20"/>
              </w:rPr>
              <w:t xml:space="preserve">v.   Operation and Maintenance Plan </w:t>
            </w:r>
            <w:r w:rsidRPr="00071B69">
              <w:rPr>
                <w:rFonts w:cstheme="minorHAnsi"/>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5B7D768D" w14:textId="77777777">
            <w:pPr>
              <w:spacing w:after="0" w:line="240" w:lineRule="auto"/>
              <w:contextualSpacing/>
              <w:jc w:val="center"/>
              <w:rPr>
                <w:rFonts w:cstheme="minorHAnsi"/>
                <w:sz w:val="20"/>
                <w:szCs w:val="20"/>
              </w:rPr>
            </w:pPr>
            <w:r w:rsidRPr="00071B69">
              <w:rPr>
                <w:rFonts w:cstheme="minorHAnsi"/>
                <w:sz w:val="20"/>
                <w:szCs w:val="20"/>
              </w:rPr>
              <w:t>20</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739F36F" w14:textId="77777777">
            <w:pPr>
              <w:spacing w:after="0" w:line="240" w:lineRule="auto"/>
              <w:contextualSpacing/>
              <w:jc w:val="center"/>
              <w:rPr>
                <w:rFonts w:cstheme="minorHAnsi"/>
                <w:sz w:val="20"/>
                <w:szCs w:val="20"/>
              </w:rPr>
            </w:pPr>
            <w:r w:rsidRPr="00071B69">
              <w:rPr>
                <w:rFonts w:cstheme="minorHAnsi"/>
                <w:sz w:val="20"/>
                <w:szCs w:val="20"/>
              </w:rPr>
              <w:t>1</w:t>
            </w:r>
          </w:p>
        </w:tc>
        <w:tc>
          <w:tcPr>
            <w:tcW w:w="1175" w:type="dxa"/>
            <w:gridSpan w:val="2"/>
            <w:tcBorders>
              <w:top w:val="nil"/>
              <w:left w:val="nil"/>
              <w:bottom w:val="nil"/>
              <w:right w:val="single" w:sz="4" w:space="0" w:color="auto"/>
            </w:tcBorders>
            <w:shd w:val="clear" w:color="auto" w:fill="auto"/>
            <w:vAlign w:val="center"/>
            <w:hideMark/>
          </w:tcPr>
          <w:p w:rsidR="00B50602" w:rsidRPr="00071B69" w:rsidP="00B50602" w14:paraId="053CDEF7" w14:textId="77777777">
            <w:pPr>
              <w:spacing w:after="0" w:line="240" w:lineRule="auto"/>
              <w:contextualSpacing/>
              <w:jc w:val="center"/>
              <w:rPr>
                <w:rFonts w:cstheme="minorHAnsi"/>
                <w:sz w:val="20"/>
                <w:szCs w:val="20"/>
              </w:rPr>
            </w:pPr>
            <w:r w:rsidRPr="00071B69">
              <w:rPr>
                <w:rFonts w:cstheme="minorHAnsi"/>
                <w:sz w:val="20"/>
                <w:szCs w:val="20"/>
              </w:rPr>
              <w:t>20</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B42641A"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D070008" w14:textId="77777777">
            <w:pPr>
              <w:spacing w:after="0" w:line="240" w:lineRule="auto"/>
              <w:contextualSpacing/>
              <w:jc w:val="center"/>
              <w:rPr>
                <w:rFonts w:cstheme="minorHAnsi"/>
                <w:sz w:val="20"/>
                <w:szCs w:val="20"/>
              </w:rPr>
            </w:pPr>
            <w:r w:rsidRPr="00071B69">
              <w:rPr>
                <w:rFonts w:cstheme="minorHAnsi"/>
                <w:sz w:val="20"/>
                <w:szCs w:val="20"/>
              </w:rPr>
              <w:t>140.0</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6098EA6D"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566484A" w14:textId="77777777">
            <w:pPr>
              <w:spacing w:after="0" w:line="240" w:lineRule="auto"/>
              <w:contextualSpacing/>
              <w:jc w:val="center"/>
              <w:rPr>
                <w:rFonts w:cstheme="minorHAnsi"/>
                <w:sz w:val="20"/>
                <w:szCs w:val="20"/>
              </w:rPr>
            </w:pPr>
            <w:r w:rsidRPr="00071B69">
              <w:rPr>
                <w:rFonts w:cstheme="minorHAnsi"/>
                <w:sz w:val="20"/>
                <w:szCs w:val="20"/>
              </w:rPr>
              <w:t>14.0</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1FF01FEB" w14:textId="77777777">
            <w:pPr>
              <w:spacing w:after="0" w:line="240" w:lineRule="auto"/>
              <w:contextualSpacing/>
              <w:jc w:val="right"/>
              <w:rPr>
                <w:rFonts w:cstheme="minorHAnsi"/>
                <w:sz w:val="20"/>
                <w:szCs w:val="20"/>
              </w:rPr>
            </w:pPr>
            <w:r w:rsidRPr="00071B69">
              <w:rPr>
                <w:rFonts w:cstheme="minorHAnsi"/>
                <w:sz w:val="20"/>
                <w:szCs w:val="20"/>
              </w:rPr>
              <w:t>$17,975</w:t>
            </w:r>
          </w:p>
        </w:tc>
      </w:tr>
      <w:tr w14:paraId="27310F8C"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150740A2" w14:textId="77777777">
            <w:pPr>
              <w:spacing w:after="0" w:line="240" w:lineRule="auto"/>
              <w:contextualSpacing/>
              <w:rPr>
                <w:rFonts w:cstheme="minorHAnsi"/>
                <w:sz w:val="20"/>
                <w:szCs w:val="20"/>
              </w:rPr>
            </w:pPr>
            <w:r w:rsidRPr="00071B69">
              <w:rPr>
                <w:rFonts w:cstheme="minorHAnsi"/>
                <w:sz w:val="20"/>
                <w:szCs w:val="20"/>
              </w:rPr>
              <w:t xml:space="preserve">vi.  Fugitive Dust Emission Control Plan </w:t>
            </w:r>
            <w:r w:rsidRPr="00071B69">
              <w:rPr>
                <w:rFonts w:cstheme="minorHAnsi"/>
                <w:sz w:val="20"/>
                <w:szCs w:val="20"/>
                <w:vertAlign w:val="superscript"/>
              </w:rPr>
              <w:t>e</w:t>
            </w:r>
          </w:p>
        </w:tc>
        <w:tc>
          <w:tcPr>
            <w:tcW w:w="1160" w:type="dxa"/>
            <w:tcBorders>
              <w:top w:val="nil"/>
              <w:left w:val="nil"/>
              <w:bottom w:val="nil"/>
              <w:right w:val="single" w:sz="4" w:space="0" w:color="auto"/>
            </w:tcBorders>
            <w:shd w:val="clear" w:color="auto" w:fill="auto"/>
            <w:vAlign w:val="center"/>
            <w:hideMark/>
          </w:tcPr>
          <w:p w:rsidR="00B50602" w:rsidRPr="00071B69" w:rsidP="00B50602" w14:paraId="524752AE" w14:textId="77777777">
            <w:pPr>
              <w:spacing w:after="0" w:line="240" w:lineRule="auto"/>
              <w:contextualSpacing/>
              <w:jc w:val="center"/>
              <w:rPr>
                <w:rFonts w:cstheme="minorHAnsi"/>
                <w:sz w:val="20"/>
                <w:szCs w:val="20"/>
              </w:rPr>
            </w:pPr>
            <w:r w:rsidRPr="00071B69">
              <w:rPr>
                <w:rFonts w:cstheme="minorHAnsi"/>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53BB029"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2DE1CB4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A40D124"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3A42433"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3B0D955D"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327ECA6"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7DAE6A4D" w14:textId="77777777">
            <w:pPr>
              <w:spacing w:after="0" w:line="240" w:lineRule="auto"/>
              <w:contextualSpacing/>
              <w:rPr>
                <w:rFonts w:cstheme="minorHAnsi"/>
                <w:sz w:val="20"/>
                <w:szCs w:val="20"/>
              </w:rPr>
            </w:pPr>
            <w:r w:rsidRPr="00071B69">
              <w:rPr>
                <w:rFonts w:cstheme="minorHAnsi"/>
                <w:sz w:val="20"/>
                <w:szCs w:val="20"/>
              </w:rPr>
              <w:t> </w:t>
            </w:r>
          </w:p>
        </w:tc>
      </w:tr>
      <w:tr w14:paraId="480EA5A5"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202E4634" w14:textId="77777777">
            <w:pPr>
              <w:spacing w:after="0" w:line="240" w:lineRule="auto"/>
              <w:contextualSpacing/>
              <w:rPr>
                <w:rFonts w:cstheme="minorHAnsi"/>
                <w:sz w:val="20"/>
                <w:szCs w:val="20"/>
              </w:rPr>
            </w:pPr>
            <w:r w:rsidRPr="00071B69">
              <w:rPr>
                <w:rFonts w:cstheme="minorHAnsi"/>
                <w:sz w:val="20"/>
                <w:szCs w:val="20"/>
              </w:rPr>
              <w:t xml:space="preserve">vii. Site-specific Monitoring Plan </w:t>
            </w:r>
            <w:r w:rsidRPr="00071B69">
              <w:rPr>
                <w:rFonts w:cstheme="minorHAnsi"/>
                <w:sz w:val="20"/>
                <w:szCs w:val="20"/>
                <w:vertAlign w:val="superscript"/>
              </w:rPr>
              <w:t>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2A47F24A" w14:textId="77777777">
            <w:pPr>
              <w:spacing w:after="0" w:line="240" w:lineRule="auto"/>
              <w:contextualSpacing/>
              <w:jc w:val="center"/>
              <w:rPr>
                <w:rFonts w:cstheme="minorHAnsi"/>
                <w:sz w:val="20"/>
                <w:szCs w:val="20"/>
              </w:rPr>
            </w:pPr>
            <w:r w:rsidRPr="00071B69">
              <w:rPr>
                <w:rFonts w:cstheme="minorHAnsi"/>
                <w:sz w:val="20"/>
                <w:szCs w:val="20"/>
              </w:rPr>
              <w:t>20</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526B99B" w14:textId="77777777">
            <w:pPr>
              <w:spacing w:after="0" w:line="240" w:lineRule="auto"/>
              <w:contextualSpacing/>
              <w:jc w:val="center"/>
              <w:rPr>
                <w:rFonts w:cstheme="minorHAnsi"/>
                <w:sz w:val="20"/>
                <w:szCs w:val="20"/>
              </w:rPr>
            </w:pPr>
            <w:r w:rsidRPr="00071B69">
              <w:rPr>
                <w:rFonts w:cstheme="minorHAnsi"/>
                <w:sz w:val="20"/>
                <w:szCs w:val="20"/>
              </w:rPr>
              <w:t>1</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59AB360A" w14:textId="77777777">
            <w:pPr>
              <w:spacing w:after="0" w:line="240" w:lineRule="auto"/>
              <w:contextualSpacing/>
              <w:jc w:val="center"/>
              <w:rPr>
                <w:rFonts w:cstheme="minorHAnsi"/>
                <w:sz w:val="20"/>
                <w:szCs w:val="20"/>
              </w:rPr>
            </w:pPr>
            <w:r w:rsidRPr="00071B69">
              <w:rPr>
                <w:rFonts w:cstheme="minorHAnsi"/>
                <w:sz w:val="20"/>
                <w:szCs w:val="20"/>
              </w:rPr>
              <w:t>20</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8450975"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B888F98" w14:textId="77777777">
            <w:pPr>
              <w:spacing w:after="0" w:line="240" w:lineRule="auto"/>
              <w:contextualSpacing/>
              <w:jc w:val="center"/>
              <w:rPr>
                <w:rFonts w:cstheme="minorHAnsi"/>
                <w:sz w:val="20"/>
                <w:szCs w:val="20"/>
              </w:rPr>
            </w:pPr>
            <w:r w:rsidRPr="00071B69">
              <w:rPr>
                <w:rFonts w:cstheme="minorHAnsi"/>
                <w:sz w:val="20"/>
                <w:szCs w:val="20"/>
              </w:rPr>
              <w:t>140.0</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30F975A3"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D22C9A0" w14:textId="77777777">
            <w:pPr>
              <w:spacing w:after="0" w:line="240" w:lineRule="auto"/>
              <w:contextualSpacing/>
              <w:jc w:val="center"/>
              <w:rPr>
                <w:rFonts w:cstheme="minorHAnsi"/>
                <w:sz w:val="20"/>
                <w:szCs w:val="20"/>
              </w:rPr>
            </w:pPr>
            <w:r w:rsidRPr="00071B69">
              <w:rPr>
                <w:rFonts w:cstheme="minorHAnsi"/>
                <w:sz w:val="20"/>
                <w:szCs w:val="20"/>
              </w:rPr>
              <w:t>14.0</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6A9DF00A" w14:textId="77777777">
            <w:pPr>
              <w:spacing w:after="0" w:line="240" w:lineRule="auto"/>
              <w:contextualSpacing/>
              <w:jc w:val="right"/>
              <w:rPr>
                <w:rFonts w:cstheme="minorHAnsi"/>
                <w:sz w:val="20"/>
                <w:szCs w:val="20"/>
              </w:rPr>
            </w:pPr>
            <w:r w:rsidRPr="00071B69">
              <w:rPr>
                <w:rFonts w:cstheme="minorHAnsi"/>
                <w:sz w:val="20"/>
                <w:szCs w:val="20"/>
              </w:rPr>
              <w:t>$17,975</w:t>
            </w:r>
          </w:p>
        </w:tc>
      </w:tr>
      <w:tr w14:paraId="3469EFB3"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74F58800" w14:textId="77777777">
            <w:pPr>
              <w:spacing w:after="0" w:line="240" w:lineRule="auto"/>
              <w:contextualSpacing/>
              <w:rPr>
                <w:rFonts w:cstheme="minorHAnsi"/>
                <w:sz w:val="20"/>
                <w:szCs w:val="20"/>
              </w:rPr>
            </w:pPr>
            <w:r w:rsidRPr="00071B69">
              <w:rPr>
                <w:rFonts w:cstheme="minorHAnsi"/>
                <w:sz w:val="20"/>
                <w:szCs w:val="20"/>
              </w:rPr>
              <w:t xml:space="preserve">viii.  Notification of Special Compliance Requirements </w:t>
            </w:r>
            <w:r w:rsidRPr="00071B69">
              <w:rPr>
                <w:rFonts w:cstheme="minorHAnsi"/>
                <w:sz w:val="20"/>
                <w:szCs w:val="20"/>
                <w:vertAlign w:val="superscript"/>
              </w:rPr>
              <w:t>g</w:t>
            </w:r>
            <w:r w:rsidRPr="00071B69">
              <w:rPr>
                <w:rFonts w:cstheme="minorHAnsi"/>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0A6F58C5" w14:textId="77777777">
            <w:pPr>
              <w:spacing w:after="0" w:line="240" w:lineRule="auto"/>
              <w:contextualSpacing/>
              <w:jc w:val="center"/>
              <w:rPr>
                <w:rFonts w:cstheme="minorHAnsi"/>
                <w:sz w:val="20"/>
                <w:szCs w:val="20"/>
              </w:rPr>
            </w:pPr>
            <w:r w:rsidRPr="00071B69">
              <w:rPr>
                <w:rFonts w:cstheme="minorHAnsi"/>
                <w:sz w:val="20"/>
                <w:szCs w:val="20"/>
              </w:rPr>
              <w:t>40</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CAD3F47" w14:textId="77777777">
            <w:pPr>
              <w:spacing w:after="0" w:line="240" w:lineRule="auto"/>
              <w:contextualSpacing/>
              <w:jc w:val="center"/>
              <w:rPr>
                <w:rFonts w:cstheme="minorHAnsi"/>
                <w:sz w:val="20"/>
                <w:szCs w:val="20"/>
              </w:rPr>
            </w:pPr>
            <w:r w:rsidRPr="00071B69">
              <w:rPr>
                <w:rFonts w:cstheme="minorHAnsi"/>
                <w:sz w:val="20"/>
                <w:szCs w:val="20"/>
              </w:rPr>
              <w:t>0.3</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4D616C18" w14:textId="77777777">
            <w:pPr>
              <w:spacing w:after="0" w:line="240" w:lineRule="auto"/>
              <w:contextualSpacing/>
              <w:jc w:val="center"/>
              <w:rPr>
                <w:rFonts w:cstheme="minorHAnsi"/>
                <w:sz w:val="20"/>
                <w:szCs w:val="20"/>
              </w:rPr>
            </w:pPr>
            <w:r w:rsidRPr="00071B69">
              <w:rPr>
                <w:rFonts w:cstheme="minorHAnsi"/>
                <w:sz w:val="20"/>
                <w:szCs w:val="20"/>
              </w:rPr>
              <w:t>13.3</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D7CC4BD" w14:textId="77777777">
            <w:pPr>
              <w:spacing w:after="0" w:line="240" w:lineRule="auto"/>
              <w:contextualSpacing/>
              <w:jc w:val="center"/>
              <w:rPr>
                <w:rFonts w:cstheme="minorHAnsi"/>
                <w:sz w:val="20"/>
                <w:szCs w:val="20"/>
              </w:rPr>
            </w:pPr>
            <w:r w:rsidRPr="00071B69">
              <w:rPr>
                <w:rFonts w:cstheme="minorHAnsi"/>
                <w:sz w:val="20"/>
                <w:szCs w:val="20"/>
              </w:rPr>
              <w:t>3.0</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6944F58" w14:textId="77777777">
            <w:pPr>
              <w:spacing w:after="0" w:line="240" w:lineRule="auto"/>
              <w:contextualSpacing/>
              <w:jc w:val="center"/>
              <w:rPr>
                <w:rFonts w:cstheme="minorHAnsi"/>
                <w:sz w:val="20"/>
                <w:szCs w:val="20"/>
              </w:rPr>
            </w:pPr>
            <w:r w:rsidRPr="00071B69">
              <w:rPr>
                <w:rFonts w:cstheme="minorHAnsi"/>
                <w:sz w:val="20"/>
                <w:szCs w:val="20"/>
              </w:rPr>
              <w:t>40.0</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22B49DCA" w14:textId="77777777">
            <w:pPr>
              <w:spacing w:after="0" w:line="240" w:lineRule="auto"/>
              <w:contextualSpacing/>
              <w:jc w:val="center"/>
              <w:rPr>
                <w:rFonts w:cstheme="minorHAnsi"/>
                <w:sz w:val="20"/>
                <w:szCs w:val="20"/>
              </w:rPr>
            </w:pPr>
            <w:r w:rsidRPr="00071B69">
              <w:rPr>
                <w:rFonts w:cstheme="minorHAnsi"/>
                <w:sz w:val="20"/>
                <w:szCs w:val="20"/>
              </w:rPr>
              <w:t>2.0</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616186A" w14:textId="77777777">
            <w:pPr>
              <w:spacing w:after="0" w:line="240" w:lineRule="auto"/>
              <w:contextualSpacing/>
              <w:jc w:val="center"/>
              <w:rPr>
                <w:rFonts w:cstheme="minorHAnsi"/>
                <w:sz w:val="20"/>
                <w:szCs w:val="20"/>
              </w:rPr>
            </w:pPr>
            <w:r w:rsidRPr="00071B69">
              <w:rPr>
                <w:rFonts w:cstheme="minorHAnsi"/>
                <w:sz w:val="20"/>
                <w:szCs w:val="20"/>
              </w:rPr>
              <w:t>4.0</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18B35FAB" w14:textId="77777777">
            <w:pPr>
              <w:spacing w:after="0" w:line="240" w:lineRule="auto"/>
              <w:contextualSpacing/>
              <w:jc w:val="right"/>
              <w:rPr>
                <w:rFonts w:cstheme="minorHAnsi"/>
                <w:sz w:val="20"/>
                <w:szCs w:val="20"/>
              </w:rPr>
            </w:pPr>
            <w:r w:rsidRPr="00071B69">
              <w:rPr>
                <w:rFonts w:cstheme="minorHAnsi"/>
                <w:sz w:val="20"/>
                <w:szCs w:val="20"/>
              </w:rPr>
              <w:t>$5,136</w:t>
            </w:r>
          </w:p>
        </w:tc>
      </w:tr>
      <w:tr w14:paraId="68C903A5" w14:textId="77777777" w:rsidTr="00B50602">
        <w:tblPrEx>
          <w:tblW w:w="13395" w:type="dxa"/>
          <w:tblLook w:val="04A0"/>
        </w:tblPrEx>
        <w:trPr>
          <w:gridAfter w:val="1"/>
          <w:wAfter w:w="57" w:type="dxa"/>
          <w:trHeight w:val="294"/>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5F1D71EE" w14:textId="77777777">
            <w:pPr>
              <w:spacing w:after="0" w:line="240" w:lineRule="auto"/>
              <w:contextualSpacing/>
              <w:rPr>
                <w:rFonts w:cstheme="minorHAnsi"/>
                <w:sz w:val="20"/>
                <w:szCs w:val="20"/>
              </w:rPr>
            </w:pPr>
            <w:r w:rsidRPr="00071B69">
              <w:rPr>
                <w:rFonts w:cstheme="minorHAnsi"/>
                <w:sz w:val="20"/>
                <w:szCs w:val="20"/>
              </w:rPr>
              <w:t>ix.  Notification of Performance Test</w:t>
            </w:r>
            <w:r w:rsidRPr="00071B69">
              <w:rPr>
                <w:rFonts w:cstheme="minorHAnsi"/>
                <w:sz w:val="20"/>
                <w:szCs w:val="20"/>
                <w:vertAlign w:val="superscript"/>
              </w:rPr>
              <w:t xml:space="preserve"> c</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07A89161" w14:textId="77777777">
            <w:pPr>
              <w:spacing w:after="0" w:line="240" w:lineRule="auto"/>
              <w:contextualSpacing/>
              <w:jc w:val="center"/>
              <w:rPr>
                <w:rFonts w:cstheme="minorHAnsi"/>
                <w:sz w:val="20"/>
                <w:szCs w:val="20"/>
              </w:rPr>
            </w:pPr>
            <w:r w:rsidRPr="00071B69">
              <w:rPr>
                <w:rFonts w:cstheme="minorHAnsi"/>
                <w:sz w:val="20"/>
                <w:szCs w:val="20"/>
              </w:rPr>
              <w:t>1</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8DDE883" w14:textId="77777777">
            <w:pPr>
              <w:spacing w:after="0" w:line="240" w:lineRule="auto"/>
              <w:contextualSpacing/>
              <w:jc w:val="center"/>
              <w:rPr>
                <w:rFonts w:cstheme="minorHAnsi"/>
                <w:sz w:val="20"/>
                <w:szCs w:val="20"/>
              </w:rPr>
            </w:pPr>
            <w:r w:rsidRPr="00071B69">
              <w:rPr>
                <w:rFonts w:cstheme="minorHAnsi"/>
                <w:sz w:val="20"/>
                <w:szCs w:val="20"/>
              </w:rPr>
              <w:t>1.03</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242DE539" w14:textId="77777777">
            <w:pPr>
              <w:spacing w:after="0" w:line="240" w:lineRule="auto"/>
              <w:contextualSpacing/>
              <w:jc w:val="center"/>
              <w:rPr>
                <w:rFonts w:cstheme="minorHAnsi"/>
                <w:sz w:val="20"/>
                <w:szCs w:val="20"/>
              </w:rPr>
            </w:pPr>
            <w:r w:rsidRPr="00071B69">
              <w:rPr>
                <w:rFonts w:cstheme="minorHAnsi"/>
                <w:sz w:val="20"/>
                <w:szCs w:val="20"/>
              </w:rPr>
              <w:t>1.0</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FBF8A4F"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229C0EE" w14:textId="77777777">
            <w:pPr>
              <w:spacing w:after="0" w:line="240" w:lineRule="auto"/>
              <w:contextualSpacing/>
              <w:jc w:val="center"/>
              <w:rPr>
                <w:rFonts w:cstheme="minorHAnsi"/>
                <w:sz w:val="20"/>
                <w:szCs w:val="20"/>
              </w:rPr>
            </w:pPr>
            <w:r w:rsidRPr="00071B69">
              <w:rPr>
                <w:rFonts w:cstheme="minorHAnsi"/>
                <w:sz w:val="20"/>
                <w:szCs w:val="20"/>
              </w:rPr>
              <w:t>7.2</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56DB4832" w14:textId="77777777">
            <w:pPr>
              <w:spacing w:after="0" w:line="240" w:lineRule="auto"/>
              <w:contextualSpacing/>
              <w:jc w:val="center"/>
              <w:rPr>
                <w:rFonts w:cstheme="minorHAnsi"/>
                <w:sz w:val="20"/>
                <w:szCs w:val="20"/>
              </w:rPr>
            </w:pPr>
            <w:r w:rsidRPr="00071B69">
              <w:rPr>
                <w:rFonts w:cstheme="minorHAnsi"/>
                <w:sz w:val="20"/>
                <w:szCs w:val="20"/>
              </w:rPr>
              <w:t>0.4</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56D88EC" w14:textId="77777777">
            <w:pPr>
              <w:spacing w:after="0" w:line="240" w:lineRule="auto"/>
              <w:contextualSpacing/>
              <w:jc w:val="center"/>
              <w:rPr>
                <w:rFonts w:cstheme="minorHAnsi"/>
                <w:sz w:val="20"/>
                <w:szCs w:val="20"/>
              </w:rPr>
            </w:pPr>
            <w:r w:rsidRPr="00071B69">
              <w:rPr>
                <w:rFonts w:cstheme="minorHAnsi"/>
                <w:sz w:val="20"/>
                <w:szCs w:val="20"/>
              </w:rPr>
              <w:t>0.7</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462A88A5" w14:textId="77777777">
            <w:pPr>
              <w:spacing w:after="0" w:line="240" w:lineRule="auto"/>
              <w:contextualSpacing/>
              <w:jc w:val="right"/>
              <w:rPr>
                <w:rFonts w:cstheme="minorHAnsi"/>
                <w:sz w:val="20"/>
                <w:szCs w:val="20"/>
              </w:rPr>
            </w:pPr>
            <w:r w:rsidRPr="00071B69">
              <w:rPr>
                <w:rFonts w:cstheme="minorHAnsi"/>
                <w:sz w:val="20"/>
                <w:szCs w:val="20"/>
              </w:rPr>
              <w:t>$926</w:t>
            </w:r>
          </w:p>
        </w:tc>
      </w:tr>
      <w:tr w14:paraId="42C358EE"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029DCBC1" w14:textId="77777777">
            <w:pPr>
              <w:spacing w:after="0" w:line="240" w:lineRule="auto"/>
              <w:contextualSpacing/>
              <w:rPr>
                <w:rFonts w:cstheme="minorHAnsi"/>
                <w:sz w:val="20"/>
                <w:szCs w:val="20"/>
              </w:rPr>
            </w:pPr>
            <w:r w:rsidRPr="00071B69">
              <w:rPr>
                <w:rFonts w:cstheme="minorHAnsi"/>
                <w:sz w:val="20"/>
                <w:szCs w:val="20"/>
              </w:rPr>
              <w:t>x.  Semiannual compliance reports</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7A9E536C" w14:textId="77777777">
            <w:pPr>
              <w:spacing w:after="0" w:line="240" w:lineRule="auto"/>
              <w:contextualSpacing/>
              <w:jc w:val="center"/>
              <w:rPr>
                <w:rFonts w:cstheme="minorHAnsi"/>
                <w:sz w:val="20"/>
                <w:szCs w:val="20"/>
              </w:rPr>
            </w:pPr>
            <w:r w:rsidRPr="00071B69">
              <w:rPr>
                <w:rFonts w:cstheme="minorHAnsi"/>
                <w:sz w:val="20"/>
                <w:szCs w:val="20"/>
              </w:rPr>
              <w:t>4</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6F34BCD" w14:textId="77777777">
            <w:pPr>
              <w:spacing w:after="0" w:line="240" w:lineRule="auto"/>
              <w:contextualSpacing/>
              <w:jc w:val="center"/>
              <w:rPr>
                <w:rFonts w:cstheme="minorHAnsi"/>
                <w:sz w:val="20"/>
                <w:szCs w:val="20"/>
              </w:rPr>
            </w:pPr>
            <w:r w:rsidRPr="00071B69">
              <w:rPr>
                <w:rFonts w:cstheme="minorHAnsi"/>
                <w:sz w:val="20"/>
                <w:szCs w:val="20"/>
              </w:rPr>
              <w:t>2</w:t>
            </w:r>
          </w:p>
        </w:tc>
        <w:tc>
          <w:tcPr>
            <w:tcW w:w="1175" w:type="dxa"/>
            <w:gridSpan w:val="2"/>
            <w:tcBorders>
              <w:top w:val="nil"/>
              <w:left w:val="nil"/>
              <w:bottom w:val="nil"/>
              <w:right w:val="single" w:sz="4" w:space="0" w:color="auto"/>
            </w:tcBorders>
            <w:shd w:val="clear" w:color="auto" w:fill="auto"/>
            <w:vAlign w:val="center"/>
            <w:hideMark/>
          </w:tcPr>
          <w:p w:rsidR="00B50602" w:rsidRPr="00071B69" w:rsidP="00B50602" w14:paraId="5EAFC1BA" w14:textId="77777777">
            <w:pPr>
              <w:spacing w:after="0" w:line="240" w:lineRule="auto"/>
              <w:contextualSpacing/>
              <w:jc w:val="center"/>
              <w:rPr>
                <w:rFonts w:cstheme="minorHAnsi"/>
                <w:sz w:val="20"/>
                <w:szCs w:val="20"/>
              </w:rPr>
            </w:pPr>
            <w:r w:rsidRPr="00071B69">
              <w:rPr>
                <w:rFonts w:cstheme="minorHAnsi"/>
                <w:sz w:val="20"/>
                <w:szCs w:val="20"/>
              </w:rPr>
              <w:t>8</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7A7D6A3" w14:textId="77777777">
            <w:pPr>
              <w:spacing w:after="0" w:line="240" w:lineRule="auto"/>
              <w:contextualSpacing/>
              <w:jc w:val="center"/>
              <w:rPr>
                <w:rFonts w:cstheme="minorHAnsi"/>
                <w:sz w:val="20"/>
                <w:szCs w:val="20"/>
              </w:rPr>
            </w:pPr>
            <w:r w:rsidRPr="00071B69">
              <w:rPr>
                <w:rFonts w:cstheme="minorHAnsi"/>
                <w:sz w:val="20"/>
                <w:szCs w:val="20"/>
              </w:rPr>
              <w:t>7</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CE1EB6E" w14:textId="77777777">
            <w:pPr>
              <w:spacing w:after="0" w:line="240" w:lineRule="auto"/>
              <w:contextualSpacing/>
              <w:jc w:val="center"/>
              <w:rPr>
                <w:rFonts w:cstheme="minorHAnsi"/>
                <w:sz w:val="20"/>
                <w:szCs w:val="20"/>
              </w:rPr>
            </w:pPr>
            <w:r w:rsidRPr="00071B69">
              <w:rPr>
                <w:rFonts w:cstheme="minorHAnsi"/>
                <w:sz w:val="20"/>
                <w:szCs w:val="20"/>
              </w:rPr>
              <w:t>56.0</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2211A7FD" w14:textId="77777777">
            <w:pPr>
              <w:spacing w:after="0" w:line="240" w:lineRule="auto"/>
              <w:contextualSpacing/>
              <w:jc w:val="center"/>
              <w:rPr>
                <w:rFonts w:cstheme="minorHAnsi"/>
                <w:sz w:val="20"/>
                <w:szCs w:val="20"/>
              </w:rPr>
            </w:pPr>
            <w:r w:rsidRPr="00071B69">
              <w:rPr>
                <w:rFonts w:cstheme="minorHAnsi"/>
                <w:sz w:val="20"/>
                <w:szCs w:val="20"/>
              </w:rPr>
              <w:t>2.8</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A666443" w14:textId="77777777">
            <w:pPr>
              <w:spacing w:after="0" w:line="240" w:lineRule="auto"/>
              <w:contextualSpacing/>
              <w:jc w:val="center"/>
              <w:rPr>
                <w:rFonts w:cstheme="minorHAnsi"/>
                <w:sz w:val="20"/>
                <w:szCs w:val="20"/>
              </w:rPr>
            </w:pPr>
            <w:r w:rsidRPr="00071B69">
              <w:rPr>
                <w:rFonts w:cstheme="minorHAnsi"/>
                <w:sz w:val="20"/>
                <w:szCs w:val="20"/>
              </w:rPr>
              <w:t>5.6</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65211F87" w14:textId="77777777">
            <w:pPr>
              <w:spacing w:after="0" w:line="240" w:lineRule="auto"/>
              <w:contextualSpacing/>
              <w:jc w:val="right"/>
              <w:rPr>
                <w:rFonts w:cstheme="minorHAnsi"/>
                <w:sz w:val="20"/>
                <w:szCs w:val="20"/>
              </w:rPr>
            </w:pPr>
            <w:r w:rsidRPr="00071B69">
              <w:rPr>
                <w:rFonts w:cstheme="minorHAnsi"/>
                <w:sz w:val="20"/>
                <w:szCs w:val="20"/>
              </w:rPr>
              <w:t>$7,190</w:t>
            </w:r>
          </w:p>
        </w:tc>
      </w:tr>
      <w:tr w14:paraId="4ABC7DD5" w14:textId="77777777" w:rsidTr="00B50602">
        <w:tblPrEx>
          <w:tblW w:w="13395" w:type="dxa"/>
          <w:tblLook w:val="04A0"/>
        </w:tblPrEx>
        <w:trPr>
          <w:gridAfter w:val="1"/>
          <w:wAfter w:w="57" w:type="dxa"/>
          <w:trHeight w:val="266"/>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5B3788F6" w14:textId="77777777">
            <w:pPr>
              <w:spacing w:after="0" w:line="240" w:lineRule="auto"/>
              <w:contextualSpacing/>
              <w:rPr>
                <w:rFonts w:cstheme="minorHAnsi"/>
                <w:sz w:val="20"/>
                <w:szCs w:val="20"/>
              </w:rPr>
            </w:pPr>
            <w:r w:rsidRPr="00071B69">
              <w:rPr>
                <w:rFonts w:cstheme="minorHAnsi"/>
                <w:sz w:val="20"/>
                <w:szCs w:val="20"/>
              </w:rPr>
              <w:t xml:space="preserve">x. Report performance test (through CEDRI using ERT) </w:t>
            </w:r>
            <w:r w:rsidRPr="00071B69">
              <w:rPr>
                <w:rFonts w:cstheme="minorHAnsi"/>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7C8E31C9" w14:textId="77777777">
            <w:pPr>
              <w:spacing w:after="0" w:line="240" w:lineRule="auto"/>
              <w:contextualSpacing/>
              <w:jc w:val="center"/>
              <w:rPr>
                <w:rFonts w:cstheme="minorHAnsi"/>
                <w:sz w:val="20"/>
                <w:szCs w:val="20"/>
              </w:rPr>
            </w:pPr>
            <w:r w:rsidRPr="00071B69">
              <w:rPr>
                <w:rFonts w:cstheme="minorHAnsi"/>
                <w:sz w:val="20"/>
                <w:szCs w:val="20"/>
              </w:rPr>
              <w:t>2</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618E5DA" w14:textId="77777777">
            <w:pPr>
              <w:spacing w:after="0" w:line="240" w:lineRule="auto"/>
              <w:contextualSpacing/>
              <w:jc w:val="center"/>
              <w:rPr>
                <w:rFonts w:cstheme="minorHAnsi"/>
                <w:sz w:val="20"/>
                <w:szCs w:val="20"/>
              </w:rPr>
            </w:pPr>
            <w:r w:rsidRPr="00071B69">
              <w:rPr>
                <w:rFonts w:cstheme="minorHAnsi"/>
                <w:sz w:val="20"/>
                <w:szCs w:val="20"/>
              </w:rPr>
              <w:t>1.03</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3436C386" w14:textId="77777777">
            <w:pPr>
              <w:spacing w:after="0" w:line="240" w:lineRule="auto"/>
              <w:contextualSpacing/>
              <w:jc w:val="center"/>
              <w:rPr>
                <w:rFonts w:cstheme="minorHAnsi"/>
                <w:sz w:val="20"/>
                <w:szCs w:val="20"/>
              </w:rPr>
            </w:pPr>
            <w:r w:rsidRPr="00071B69">
              <w:rPr>
                <w:rFonts w:cstheme="minorHAnsi"/>
                <w:sz w:val="20"/>
                <w:szCs w:val="20"/>
              </w:rPr>
              <w:t>2.1</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3F7B1BD"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06A7321" w14:textId="77777777">
            <w:pPr>
              <w:spacing w:after="0" w:line="240" w:lineRule="auto"/>
              <w:contextualSpacing/>
              <w:jc w:val="center"/>
              <w:rPr>
                <w:rFonts w:cstheme="minorHAnsi"/>
                <w:sz w:val="20"/>
                <w:szCs w:val="20"/>
              </w:rPr>
            </w:pPr>
            <w:r w:rsidRPr="00071B69">
              <w:rPr>
                <w:rFonts w:cstheme="minorHAnsi"/>
                <w:sz w:val="20"/>
                <w:szCs w:val="20"/>
              </w:rPr>
              <w:t>14.4</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4ECFA02A" w14:textId="77777777">
            <w:pPr>
              <w:spacing w:after="0" w:line="240" w:lineRule="auto"/>
              <w:contextualSpacing/>
              <w:jc w:val="center"/>
              <w:rPr>
                <w:rFonts w:cstheme="minorHAnsi"/>
                <w:sz w:val="20"/>
                <w:szCs w:val="20"/>
              </w:rPr>
            </w:pPr>
            <w:r w:rsidRPr="00071B69">
              <w:rPr>
                <w:rFonts w:cstheme="minorHAnsi"/>
                <w:sz w:val="20"/>
                <w:szCs w:val="20"/>
              </w:rPr>
              <w:t>0.7</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E4049AC" w14:textId="77777777">
            <w:pPr>
              <w:spacing w:after="0" w:line="240" w:lineRule="auto"/>
              <w:contextualSpacing/>
              <w:jc w:val="center"/>
              <w:rPr>
                <w:rFonts w:cstheme="minorHAnsi"/>
                <w:sz w:val="20"/>
                <w:szCs w:val="20"/>
              </w:rPr>
            </w:pPr>
            <w:r w:rsidRPr="00071B69">
              <w:rPr>
                <w:rFonts w:cstheme="minorHAnsi"/>
                <w:sz w:val="20"/>
                <w:szCs w:val="20"/>
              </w:rPr>
              <w:t>1.4</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5356F9DD" w14:textId="77777777">
            <w:pPr>
              <w:spacing w:after="0" w:line="240" w:lineRule="auto"/>
              <w:contextualSpacing/>
              <w:jc w:val="right"/>
              <w:rPr>
                <w:rFonts w:cstheme="minorHAnsi"/>
                <w:sz w:val="20"/>
                <w:szCs w:val="20"/>
              </w:rPr>
            </w:pPr>
            <w:r w:rsidRPr="00071B69">
              <w:rPr>
                <w:rFonts w:cstheme="minorHAnsi"/>
                <w:sz w:val="20"/>
                <w:szCs w:val="20"/>
              </w:rPr>
              <w:t>$1,849</w:t>
            </w:r>
          </w:p>
        </w:tc>
      </w:tr>
      <w:tr w14:paraId="61F0FC5B"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3C343975" w14:textId="77777777">
            <w:pPr>
              <w:spacing w:after="0" w:line="240" w:lineRule="auto"/>
              <w:contextualSpacing/>
              <w:rPr>
                <w:rFonts w:cstheme="minorHAnsi"/>
                <w:b/>
                <w:bCs/>
                <w:sz w:val="20"/>
                <w:szCs w:val="20"/>
              </w:rPr>
            </w:pPr>
            <w:r w:rsidRPr="00071B69">
              <w:rPr>
                <w:rFonts w:cstheme="minorHAnsi"/>
                <w:b/>
                <w:bCs/>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3A8D189E"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1F63A71"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1175" w:type="dxa"/>
            <w:gridSpan w:val="2"/>
            <w:tcBorders>
              <w:top w:val="nil"/>
              <w:left w:val="nil"/>
              <w:bottom w:val="nil"/>
              <w:right w:val="single" w:sz="4" w:space="0" w:color="auto"/>
            </w:tcBorders>
            <w:shd w:val="clear" w:color="auto" w:fill="auto"/>
            <w:vAlign w:val="center"/>
            <w:hideMark/>
          </w:tcPr>
          <w:p w:rsidR="00B50602" w:rsidRPr="00071B69" w:rsidP="00B50602" w14:paraId="6E2CE11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AC4C3C4"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3640" w:type="dxa"/>
            <w:gridSpan w:val="7"/>
            <w:tcBorders>
              <w:top w:val="single" w:sz="4" w:space="0" w:color="auto"/>
              <w:left w:val="nil"/>
              <w:bottom w:val="single" w:sz="4" w:space="0" w:color="auto"/>
              <w:right w:val="single" w:sz="4" w:space="0" w:color="000000"/>
            </w:tcBorders>
            <w:shd w:val="clear" w:color="auto" w:fill="auto"/>
            <w:vAlign w:val="center"/>
            <w:hideMark/>
          </w:tcPr>
          <w:p w:rsidR="00B50602" w:rsidRPr="00071B69" w:rsidP="00B50602" w14:paraId="799712E3" w14:textId="77777777">
            <w:pPr>
              <w:spacing w:after="0" w:line="240" w:lineRule="auto"/>
              <w:contextualSpacing/>
              <w:jc w:val="center"/>
              <w:rPr>
                <w:rFonts w:cstheme="minorHAnsi"/>
                <w:b/>
                <w:bCs/>
                <w:sz w:val="20"/>
                <w:szCs w:val="20"/>
              </w:rPr>
            </w:pPr>
            <w:r w:rsidRPr="00071B69">
              <w:rPr>
                <w:rFonts w:cstheme="minorHAnsi"/>
                <w:b/>
                <w:bCs/>
                <w:sz w:val="20"/>
                <w:szCs w:val="20"/>
              </w:rPr>
              <w:t>639</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33BC82C1" w14:textId="77777777">
            <w:pPr>
              <w:spacing w:after="0" w:line="240" w:lineRule="auto"/>
              <w:contextualSpacing/>
              <w:jc w:val="right"/>
              <w:rPr>
                <w:rFonts w:cstheme="minorHAnsi"/>
                <w:b/>
                <w:bCs/>
                <w:sz w:val="20"/>
                <w:szCs w:val="20"/>
              </w:rPr>
            </w:pPr>
            <w:r w:rsidRPr="00071B69">
              <w:rPr>
                <w:rFonts w:cstheme="minorHAnsi"/>
                <w:b/>
                <w:bCs/>
                <w:sz w:val="20"/>
                <w:szCs w:val="20"/>
              </w:rPr>
              <w:t>$71,337</w:t>
            </w:r>
          </w:p>
        </w:tc>
      </w:tr>
      <w:tr w14:paraId="21BFDE8C"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750E0B84" w14:textId="77777777">
            <w:pPr>
              <w:spacing w:after="0" w:line="240" w:lineRule="auto"/>
              <w:ind w:firstLine="200" w:firstLineChars="100"/>
              <w:contextualSpacing/>
              <w:rPr>
                <w:rFonts w:cstheme="minorHAnsi"/>
                <w:sz w:val="20"/>
                <w:szCs w:val="20"/>
              </w:rPr>
            </w:pPr>
            <w:r w:rsidRPr="00071B69">
              <w:rPr>
                <w:rFonts w:cstheme="minorHAnsi"/>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36DCCCB3"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FA5D1B5"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276AEF10"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4C61F847"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57E8FDC"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4361E37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D60C97E"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251E9827" w14:textId="77777777">
            <w:pPr>
              <w:spacing w:after="0" w:line="240" w:lineRule="auto"/>
              <w:contextualSpacing/>
              <w:rPr>
                <w:rFonts w:cstheme="minorHAnsi"/>
                <w:sz w:val="20"/>
                <w:szCs w:val="20"/>
              </w:rPr>
            </w:pPr>
            <w:r w:rsidRPr="00071B69">
              <w:rPr>
                <w:rFonts w:cstheme="minorHAnsi"/>
                <w:sz w:val="20"/>
                <w:szCs w:val="20"/>
              </w:rPr>
              <w:t> </w:t>
            </w:r>
          </w:p>
        </w:tc>
      </w:tr>
      <w:tr w14:paraId="637FBBAD"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58C9542F" w14:textId="77777777">
            <w:pPr>
              <w:spacing w:after="0" w:line="240" w:lineRule="auto"/>
              <w:contextualSpacing/>
              <w:rPr>
                <w:rFonts w:cstheme="minorHAnsi"/>
                <w:sz w:val="20"/>
                <w:szCs w:val="20"/>
              </w:rPr>
            </w:pPr>
            <w:r w:rsidRPr="00071B69">
              <w:rPr>
                <w:rFonts w:cstheme="minorHAnsi"/>
                <w:sz w:val="20"/>
                <w:szCs w:val="20"/>
              </w:rPr>
              <w:t>A.  Familiarization with rule requirements</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3EAF792C" w14:textId="77777777">
            <w:pPr>
              <w:spacing w:after="0" w:line="240" w:lineRule="auto"/>
              <w:contextualSpacing/>
              <w:jc w:val="center"/>
              <w:rPr>
                <w:rFonts w:cstheme="minorHAnsi"/>
                <w:sz w:val="20"/>
                <w:szCs w:val="20"/>
              </w:rPr>
            </w:pPr>
            <w:r w:rsidRPr="00071B69">
              <w:rPr>
                <w:rFonts w:cstheme="minorHAnsi"/>
                <w:sz w:val="20"/>
                <w:szCs w:val="20"/>
              </w:rPr>
              <w:t>See 3A</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CC86E9D"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604870DF"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61F1452"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15B6A8E"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2B13781E"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4F3E906"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3C3F4D28" w14:textId="77777777">
            <w:pPr>
              <w:spacing w:after="0" w:line="240" w:lineRule="auto"/>
              <w:contextualSpacing/>
              <w:rPr>
                <w:rFonts w:cstheme="minorHAnsi"/>
                <w:sz w:val="20"/>
                <w:szCs w:val="20"/>
              </w:rPr>
            </w:pPr>
            <w:r w:rsidRPr="00071B69">
              <w:rPr>
                <w:rFonts w:cstheme="minorHAnsi"/>
                <w:sz w:val="20"/>
                <w:szCs w:val="20"/>
              </w:rPr>
              <w:t> </w:t>
            </w:r>
          </w:p>
        </w:tc>
      </w:tr>
      <w:tr w14:paraId="5B1C8D31"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364FD096" w14:textId="77777777">
            <w:pPr>
              <w:spacing w:after="0" w:line="240" w:lineRule="auto"/>
              <w:contextualSpacing/>
              <w:rPr>
                <w:rFonts w:cstheme="minorHAnsi"/>
                <w:sz w:val="20"/>
                <w:szCs w:val="20"/>
              </w:rPr>
            </w:pPr>
            <w:r w:rsidRPr="00071B69">
              <w:rPr>
                <w:rFonts w:cstheme="minorHAnsi"/>
                <w:sz w:val="20"/>
                <w:szCs w:val="20"/>
              </w:rPr>
              <w:t xml:space="preserve">B.  Plan activities </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2F01E42F" w14:textId="77777777">
            <w:pPr>
              <w:spacing w:after="0" w:line="240" w:lineRule="auto"/>
              <w:contextualSpacing/>
              <w:jc w:val="center"/>
              <w:rPr>
                <w:rFonts w:cstheme="minorHAnsi"/>
                <w:sz w:val="20"/>
                <w:szCs w:val="20"/>
              </w:rPr>
            </w:pPr>
            <w:r w:rsidRPr="00071B69">
              <w:rPr>
                <w:rFonts w:cstheme="minorHAnsi"/>
                <w:sz w:val="20"/>
                <w:szCs w:val="20"/>
              </w:rPr>
              <w:t>3</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69BA2CE" w14:textId="77777777">
            <w:pPr>
              <w:spacing w:after="0" w:line="240" w:lineRule="auto"/>
              <w:contextualSpacing/>
              <w:jc w:val="center"/>
              <w:rPr>
                <w:rFonts w:cstheme="minorHAnsi"/>
                <w:sz w:val="20"/>
                <w:szCs w:val="20"/>
              </w:rPr>
            </w:pPr>
            <w:r w:rsidRPr="00071B69">
              <w:rPr>
                <w:rFonts w:cstheme="minorHAnsi"/>
                <w:sz w:val="20"/>
                <w:szCs w:val="20"/>
              </w:rPr>
              <w:t>1</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4BC1C0D5" w14:textId="77777777">
            <w:pPr>
              <w:spacing w:after="0" w:line="240" w:lineRule="auto"/>
              <w:contextualSpacing/>
              <w:jc w:val="center"/>
              <w:rPr>
                <w:rFonts w:cstheme="minorHAnsi"/>
                <w:sz w:val="20"/>
                <w:szCs w:val="20"/>
              </w:rPr>
            </w:pPr>
            <w:r w:rsidRPr="00071B69">
              <w:rPr>
                <w:rFonts w:cstheme="minorHAnsi"/>
                <w:sz w:val="20"/>
                <w:szCs w:val="20"/>
              </w:rPr>
              <w:t>3</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30F78EE" w14:textId="77777777">
            <w:pPr>
              <w:spacing w:after="0" w:line="240" w:lineRule="auto"/>
              <w:contextualSpacing/>
              <w:jc w:val="center"/>
              <w:rPr>
                <w:rFonts w:cstheme="minorHAnsi"/>
                <w:sz w:val="20"/>
                <w:szCs w:val="20"/>
              </w:rPr>
            </w:pPr>
            <w:r w:rsidRPr="00071B69">
              <w:rPr>
                <w:rFonts w:cstheme="minorHAnsi"/>
                <w:sz w:val="20"/>
                <w:szCs w:val="20"/>
              </w:rPr>
              <w:t>7</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39F1C39" w14:textId="77777777">
            <w:pPr>
              <w:spacing w:after="0" w:line="240" w:lineRule="auto"/>
              <w:contextualSpacing/>
              <w:jc w:val="center"/>
              <w:rPr>
                <w:rFonts w:cstheme="minorHAnsi"/>
                <w:sz w:val="20"/>
                <w:szCs w:val="20"/>
              </w:rPr>
            </w:pPr>
            <w:r w:rsidRPr="00071B69">
              <w:rPr>
                <w:rFonts w:cstheme="minorHAnsi"/>
                <w:sz w:val="20"/>
                <w:szCs w:val="20"/>
              </w:rPr>
              <w:t>21</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6A0AA7C6" w14:textId="77777777">
            <w:pPr>
              <w:spacing w:after="0" w:line="240" w:lineRule="auto"/>
              <w:contextualSpacing/>
              <w:jc w:val="center"/>
              <w:rPr>
                <w:rFonts w:cstheme="minorHAnsi"/>
                <w:sz w:val="20"/>
                <w:szCs w:val="20"/>
              </w:rPr>
            </w:pPr>
            <w:r w:rsidRPr="00071B69">
              <w:rPr>
                <w:rFonts w:cstheme="minorHAnsi"/>
                <w:sz w:val="20"/>
                <w:szCs w:val="20"/>
              </w:rPr>
              <w:t>1.05</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5D33471" w14:textId="77777777">
            <w:pPr>
              <w:spacing w:after="0" w:line="240" w:lineRule="auto"/>
              <w:contextualSpacing/>
              <w:jc w:val="center"/>
              <w:rPr>
                <w:rFonts w:cstheme="minorHAnsi"/>
                <w:sz w:val="20"/>
                <w:szCs w:val="20"/>
              </w:rPr>
            </w:pPr>
            <w:r w:rsidRPr="00071B69">
              <w:rPr>
                <w:rFonts w:cstheme="minorHAnsi"/>
                <w:sz w:val="20"/>
                <w:szCs w:val="20"/>
              </w:rPr>
              <w:t>2.1</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028FA0E8" w14:textId="77777777">
            <w:pPr>
              <w:spacing w:after="0" w:line="240" w:lineRule="auto"/>
              <w:contextualSpacing/>
              <w:jc w:val="right"/>
              <w:rPr>
                <w:rFonts w:cstheme="minorHAnsi"/>
                <w:sz w:val="20"/>
                <w:szCs w:val="20"/>
              </w:rPr>
            </w:pPr>
            <w:r w:rsidRPr="00071B69">
              <w:rPr>
                <w:rFonts w:cstheme="minorHAnsi"/>
                <w:sz w:val="20"/>
                <w:szCs w:val="20"/>
              </w:rPr>
              <w:t>$2,696</w:t>
            </w:r>
          </w:p>
        </w:tc>
      </w:tr>
      <w:tr w14:paraId="13C9EA67"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71617162" w14:textId="77777777">
            <w:pPr>
              <w:spacing w:after="0" w:line="240" w:lineRule="auto"/>
              <w:contextualSpacing/>
              <w:rPr>
                <w:rFonts w:cstheme="minorHAnsi"/>
                <w:sz w:val="20"/>
                <w:szCs w:val="20"/>
              </w:rPr>
            </w:pPr>
            <w:r w:rsidRPr="00071B69">
              <w:rPr>
                <w:rFonts w:cstheme="minorHAnsi"/>
                <w:sz w:val="20"/>
                <w:szCs w:val="20"/>
              </w:rPr>
              <w:t>C.  Develop record system</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4247B29D" w14:textId="77777777">
            <w:pPr>
              <w:spacing w:after="0" w:line="240" w:lineRule="auto"/>
              <w:contextualSpacing/>
              <w:jc w:val="center"/>
              <w:rPr>
                <w:rFonts w:cstheme="minorHAnsi"/>
                <w:sz w:val="20"/>
                <w:szCs w:val="20"/>
              </w:rPr>
            </w:pPr>
            <w:r w:rsidRPr="00071B69">
              <w:rPr>
                <w:rFonts w:cstheme="minorHAnsi"/>
                <w:sz w:val="20"/>
                <w:szCs w:val="20"/>
              </w:rPr>
              <w:t>16</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39C0E2C" w14:textId="77777777">
            <w:pPr>
              <w:spacing w:after="0" w:line="240" w:lineRule="auto"/>
              <w:contextualSpacing/>
              <w:jc w:val="center"/>
              <w:rPr>
                <w:rFonts w:cstheme="minorHAnsi"/>
                <w:sz w:val="20"/>
                <w:szCs w:val="20"/>
              </w:rPr>
            </w:pPr>
            <w:r w:rsidRPr="00071B69">
              <w:rPr>
                <w:rFonts w:cstheme="minorHAnsi"/>
                <w:sz w:val="20"/>
                <w:szCs w:val="20"/>
              </w:rPr>
              <w:t>1</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24D87F5C" w14:textId="77777777">
            <w:pPr>
              <w:spacing w:after="0" w:line="240" w:lineRule="auto"/>
              <w:contextualSpacing/>
              <w:jc w:val="center"/>
              <w:rPr>
                <w:rFonts w:cstheme="minorHAnsi"/>
                <w:sz w:val="20"/>
                <w:szCs w:val="20"/>
              </w:rPr>
            </w:pPr>
            <w:r w:rsidRPr="00071B69">
              <w:rPr>
                <w:rFonts w:cstheme="minorHAnsi"/>
                <w:sz w:val="20"/>
                <w:szCs w:val="20"/>
              </w:rPr>
              <w:t>16</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09AA9F1" w14:textId="77777777">
            <w:pPr>
              <w:spacing w:after="0" w:line="240" w:lineRule="auto"/>
              <w:contextualSpacing/>
              <w:jc w:val="center"/>
              <w:rPr>
                <w:rFonts w:cstheme="minorHAnsi"/>
                <w:sz w:val="20"/>
                <w:szCs w:val="20"/>
              </w:rPr>
            </w:pPr>
            <w:r w:rsidRPr="00071B69">
              <w:rPr>
                <w:rFonts w:cstheme="minorHAnsi"/>
                <w:sz w:val="20"/>
                <w:szCs w:val="20"/>
              </w:rPr>
              <w:t>2.3</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8763AE5" w14:textId="77777777">
            <w:pPr>
              <w:spacing w:after="0" w:line="240" w:lineRule="auto"/>
              <w:contextualSpacing/>
              <w:jc w:val="center"/>
              <w:rPr>
                <w:rFonts w:cstheme="minorHAnsi"/>
                <w:sz w:val="20"/>
                <w:szCs w:val="20"/>
              </w:rPr>
            </w:pPr>
            <w:r w:rsidRPr="00071B69">
              <w:rPr>
                <w:rFonts w:cstheme="minorHAnsi"/>
                <w:sz w:val="20"/>
                <w:szCs w:val="20"/>
              </w:rPr>
              <w:t>37.3</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1ABE53D0" w14:textId="77777777">
            <w:pPr>
              <w:spacing w:after="0" w:line="240" w:lineRule="auto"/>
              <w:contextualSpacing/>
              <w:jc w:val="center"/>
              <w:rPr>
                <w:rFonts w:cstheme="minorHAnsi"/>
                <w:sz w:val="20"/>
                <w:szCs w:val="20"/>
              </w:rPr>
            </w:pPr>
            <w:r w:rsidRPr="00071B69">
              <w:rPr>
                <w:rFonts w:cstheme="minorHAnsi"/>
                <w:sz w:val="20"/>
                <w:szCs w:val="20"/>
              </w:rPr>
              <w:t>1.9</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2A20644" w14:textId="77777777">
            <w:pPr>
              <w:spacing w:after="0" w:line="240" w:lineRule="auto"/>
              <w:contextualSpacing/>
              <w:jc w:val="center"/>
              <w:rPr>
                <w:rFonts w:cstheme="minorHAnsi"/>
                <w:sz w:val="20"/>
                <w:szCs w:val="20"/>
              </w:rPr>
            </w:pPr>
            <w:r w:rsidRPr="00071B69">
              <w:rPr>
                <w:rFonts w:cstheme="minorHAnsi"/>
                <w:sz w:val="20"/>
                <w:szCs w:val="20"/>
              </w:rPr>
              <w:t>3.7</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6CD71EEA" w14:textId="77777777">
            <w:pPr>
              <w:spacing w:after="0" w:line="240" w:lineRule="auto"/>
              <w:contextualSpacing/>
              <w:jc w:val="right"/>
              <w:rPr>
                <w:rFonts w:cstheme="minorHAnsi"/>
                <w:sz w:val="20"/>
                <w:szCs w:val="20"/>
              </w:rPr>
            </w:pPr>
            <w:r w:rsidRPr="00071B69">
              <w:rPr>
                <w:rFonts w:cstheme="minorHAnsi"/>
                <w:sz w:val="20"/>
                <w:szCs w:val="20"/>
              </w:rPr>
              <w:t>$4,793</w:t>
            </w:r>
          </w:p>
        </w:tc>
      </w:tr>
      <w:tr w14:paraId="512BE7D3"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44321A67" w14:textId="77777777">
            <w:pPr>
              <w:spacing w:after="0" w:line="240" w:lineRule="auto"/>
              <w:contextualSpacing/>
              <w:rPr>
                <w:rFonts w:cstheme="minorHAnsi"/>
                <w:sz w:val="20"/>
                <w:szCs w:val="20"/>
              </w:rPr>
            </w:pPr>
            <w:r w:rsidRPr="00071B69">
              <w:rPr>
                <w:rFonts w:cstheme="minorHAnsi"/>
                <w:sz w:val="20"/>
                <w:szCs w:val="20"/>
              </w:rPr>
              <w:t>D.  Entering Information</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512BC8F8" w14:textId="77777777">
            <w:pPr>
              <w:spacing w:after="0" w:line="240" w:lineRule="auto"/>
              <w:contextualSpacing/>
              <w:jc w:val="center"/>
              <w:rPr>
                <w:rFonts w:cstheme="minorHAnsi"/>
                <w:sz w:val="20"/>
                <w:szCs w:val="20"/>
              </w:rPr>
            </w:pPr>
            <w:r w:rsidRPr="00071B69">
              <w:rPr>
                <w:rFonts w:cstheme="minorHAnsi"/>
                <w:sz w:val="20"/>
                <w:szCs w:val="20"/>
              </w:rPr>
              <w:t>2</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7C9ACFC" w14:textId="77777777">
            <w:pPr>
              <w:spacing w:after="0" w:line="240" w:lineRule="auto"/>
              <w:contextualSpacing/>
              <w:jc w:val="center"/>
              <w:rPr>
                <w:rFonts w:cstheme="minorHAnsi"/>
                <w:sz w:val="20"/>
                <w:szCs w:val="20"/>
              </w:rPr>
            </w:pPr>
            <w:r w:rsidRPr="00071B69">
              <w:rPr>
                <w:rFonts w:cstheme="minorHAnsi"/>
                <w:sz w:val="20"/>
                <w:szCs w:val="20"/>
              </w:rPr>
              <w:t>52</w:t>
            </w:r>
          </w:p>
        </w:tc>
        <w:tc>
          <w:tcPr>
            <w:tcW w:w="1175"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EFDFFB0" w14:textId="77777777">
            <w:pPr>
              <w:spacing w:after="0" w:line="240" w:lineRule="auto"/>
              <w:contextualSpacing/>
              <w:jc w:val="center"/>
              <w:rPr>
                <w:rFonts w:cstheme="minorHAnsi"/>
                <w:sz w:val="20"/>
                <w:szCs w:val="20"/>
              </w:rPr>
            </w:pPr>
            <w:r w:rsidRPr="00071B69">
              <w:rPr>
                <w:rFonts w:cstheme="minorHAnsi"/>
                <w:sz w:val="20"/>
                <w:szCs w:val="20"/>
              </w:rPr>
              <w:t>104</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146C8FE" w14:textId="77777777">
            <w:pPr>
              <w:spacing w:after="0" w:line="240" w:lineRule="auto"/>
              <w:contextualSpacing/>
              <w:jc w:val="center"/>
              <w:rPr>
                <w:rFonts w:cstheme="minorHAnsi"/>
                <w:sz w:val="20"/>
                <w:szCs w:val="20"/>
              </w:rPr>
            </w:pPr>
            <w:r w:rsidRPr="00071B69">
              <w:rPr>
                <w:rFonts w:cstheme="minorHAnsi"/>
                <w:sz w:val="20"/>
                <w:szCs w:val="20"/>
              </w:rPr>
              <w:t>7</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399B21B" w14:textId="77777777">
            <w:pPr>
              <w:spacing w:after="0" w:line="240" w:lineRule="auto"/>
              <w:contextualSpacing/>
              <w:jc w:val="center"/>
              <w:rPr>
                <w:rFonts w:cstheme="minorHAnsi"/>
                <w:sz w:val="20"/>
                <w:szCs w:val="20"/>
              </w:rPr>
            </w:pPr>
            <w:r w:rsidRPr="00071B69">
              <w:rPr>
                <w:rFonts w:cstheme="minorHAnsi"/>
                <w:sz w:val="20"/>
                <w:szCs w:val="20"/>
              </w:rPr>
              <w:t>728.0</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6A529CFC" w14:textId="77777777">
            <w:pPr>
              <w:spacing w:after="0" w:line="240" w:lineRule="auto"/>
              <w:contextualSpacing/>
              <w:jc w:val="center"/>
              <w:rPr>
                <w:rFonts w:cstheme="minorHAnsi"/>
                <w:sz w:val="20"/>
                <w:szCs w:val="20"/>
              </w:rPr>
            </w:pPr>
            <w:r w:rsidRPr="00071B69">
              <w:rPr>
                <w:rFonts w:cstheme="minorHAnsi"/>
                <w:sz w:val="20"/>
                <w:szCs w:val="20"/>
              </w:rPr>
              <w:t>36.4</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7E5D4E07" w14:textId="77777777">
            <w:pPr>
              <w:spacing w:after="0" w:line="240" w:lineRule="auto"/>
              <w:contextualSpacing/>
              <w:jc w:val="center"/>
              <w:rPr>
                <w:rFonts w:cstheme="minorHAnsi"/>
                <w:sz w:val="20"/>
                <w:szCs w:val="20"/>
              </w:rPr>
            </w:pPr>
            <w:r w:rsidRPr="00071B69">
              <w:rPr>
                <w:rFonts w:cstheme="minorHAnsi"/>
                <w:sz w:val="20"/>
                <w:szCs w:val="20"/>
              </w:rPr>
              <w:t>72.8</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5C87649E" w14:textId="77777777">
            <w:pPr>
              <w:spacing w:after="0" w:line="240" w:lineRule="auto"/>
              <w:contextualSpacing/>
              <w:jc w:val="right"/>
              <w:rPr>
                <w:rFonts w:cstheme="minorHAnsi"/>
                <w:sz w:val="20"/>
                <w:szCs w:val="20"/>
              </w:rPr>
            </w:pPr>
            <w:r w:rsidRPr="00071B69">
              <w:rPr>
                <w:rFonts w:cstheme="minorHAnsi"/>
                <w:sz w:val="20"/>
                <w:szCs w:val="20"/>
              </w:rPr>
              <w:t>$93,471</w:t>
            </w:r>
          </w:p>
        </w:tc>
      </w:tr>
      <w:tr w14:paraId="49A586E3"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1C696F1C" w14:textId="77777777">
            <w:pPr>
              <w:spacing w:after="0" w:line="240" w:lineRule="auto"/>
              <w:contextualSpacing/>
              <w:rPr>
                <w:rFonts w:cstheme="minorHAnsi"/>
                <w:sz w:val="20"/>
                <w:szCs w:val="20"/>
              </w:rPr>
            </w:pPr>
            <w:r w:rsidRPr="00071B69">
              <w:rPr>
                <w:rFonts w:cstheme="minorHAnsi"/>
                <w:sz w:val="20"/>
                <w:szCs w:val="20"/>
              </w:rPr>
              <w:t>E.  Time to train personnel</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13D83667" w14:textId="77777777">
            <w:pPr>
              <w:spacing w:after="0" w:line="240" w:lineRule="auto"/>
              <w:contextualSpacing/>
              <w:jc w:val="center"/>
              <w:rPr>
                <w:rFonts w:cstheme="minorHAnsi"/>
                <w:sz w:val="20"/>
                <w:szCs w:val="20"/>
              </w:rPr>
            </w:pPr>
            <w:r w:rsidRPr="00071B69">
              <w:rPr>
                <w:rFonts w:cstheme="minorHAnsi"/>
                <w:sz w:val="20"/>
                <w:szCs w:val="20"/>
              </w:rPr>
              <w:t>3</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68ABCDDB" w14:textId="77777777">
            <w:pPr>
              <w:spacing w:after="0" w:line="240" w:lineRule="auto"/>
              <w:contextualSpacing/>
              <w:jc w:val="center"/>
              <w:rPr>
                <w:rFonts w:cstheme="minorHAnsi"/>
                <w:sz w:val="20"/>
                <w:szCs w:val="20"/>
              </w:rPr>
            </w:pPr>
            <w:r w:rsidRPr="00071B69">
              <w:rPr>
                <w:rFonts w:cstheme="minorHAnsi"/>
                <w:sz w:val="20"/>
                <w:szCs w:val="20"/>
              </w:rPr>
              <w:t>1</w:t>
            </w:r>
          </w:p>
        </w:tc>
        <w:tc>
          <w:tcPr>
            <w:tcW w:w="1175" w:type="dxa"/>
            <w:gridSpan w:val="2"/>
            <w:tcBorders>
              <w:top w:val="nil"/>
              <w:left w:val="nil"/>
              <w:bottom w:val="nil"/>
              <w:right w:val="single" w:sz="4" w:space="0" w:color="auto"/>
            </w:tcBorders>
            <w:shd w:val="clear" w:color="auto" w:fill="auto"/>
            <w:vAlign w:val="center"/>
            <w:hideMark/>
          </w:tcPr>
          <w:p w:rsidR="00B50602" w:rsidRPr="00071B69" w:rsidP="00B50602" w14:paraId="22052C7E" w14:textId="77777777">
            <w:pPr>
              <w:spacing w:after="0" w:line="240" w:lineRule="auto"/>
              <w:contextualSpacing/>
              <w:jc w:val="center"/>
              <w:rPr>
                <w:rFonts w:cstheme="minorHAnsi"/>
                <w:sz w:val="20"/>
                <w:szCs w:val="20"/>
              </w:rPr>
            </w:pPr>
            <w:r w:rsidRPr="00071B69">
              <w:rPr>
                <w:rFonts w:cstheme="minorHAnsi"/>
                <w:sz w:val="20"/>
                <w:szCs w:val="20"/>
              </w:rPr>
              <w:t>3</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B88A0C3" w14:textId="77777777">
            <w:pPr>
              <w:spacing w:after="0" w:line="240" w:lineRule="auto"/>
              <w:contextualSpacing/>
              <w:jc w:val="center"/>
              <w:rPr>
                <w:rFonts w:cstheme="minorHAnsi"/>
                <w:sz w:val="20"/>
                <w:szCs w:val="20"/>
              </w:rPr>
            </w:pPr>
            <w:r w:rsidRPr="00071B69">
              <w:rPr>
                <w:rFonts w:cstheme="minorHAnsi"/>
                <w:sz w:val="20"/>
                <w:szCs w:val="20"/>
              </w:rPr>
              <w:t>7</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38C1B28" w14:textId="77777777">
            <w:pPr>
              <w:spacing w:after="0" w:line="240" w:lineRule="auto"/>
              <w:contextualSpacing/>
              <w:jc w:val="center"/>
              <w:rPr>
                <w:rFonts w:cstheme="minorHAnsi"/>
                <w:sz w:val="20"/>
                <w:szCs w:val="20"/>
              </w:rPr>
            </w:pPr>
            <w:r w:rsidRPr="00071B69">
              <w:rPr>
                <w:rFonts w:cstheme="minorHAnsi"/>
                <w:sz w:val="20"/>
                <w:szCs w:val="20"/>
              </w:rPr>
              <w:t>21</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30FA777E" w14:textId="77777777">
            <w:pPr>
              <w:spacing w:after="0" w:line="240" w:lineRule="auto"/>
              <w:contextualSpacing/>
              <w:jc w:val="center"/>
              <w:rPr>
                <w:rFonts w:cstheme="minorHAnsi"/>
                <w:sz w:val="20"/>
                <w:szCs w:val="20"/>
              </w:rPr>
            </w:pPr>
            <w:r w:rsidRPr="00071B69">
              <w:rPr>
                <w:rFonts w:cstheme="minorHAnsi"/>
                <w:sz w:val="20"/>
                <w:szCs w:val="20"/>
              </w:rPr>
              <w:t>1.05</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3C6EBD3" w14:textId="77777777">
            <w:pPr>
              <w:spacing w:after="0" w:line="240" w:lineRule="auto"/>
              <w:contextualSpacing/>
              <w:jc w:val="center"/>
              <w:rPr>
                <w:rFonts w:cstheme="minorHAnsi"/>
                <w:sz w:val="20"/>
                <w:szCs w:val="20"/>
              </w:rPr>
            </w:pPr>
            <w:r w:rsidRPr="00071B69">
              <w:rPr>
                <w:rFonts w:cstheme="minorHAnsi"/>
                <w:sz w:val="20"/>
                <w:szCs w:val="20"/>
              </w:rPr>
              <w:t>2.1</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5151C954" w14:textId="77777777">
            <w:pPr>
              <w:spacing w:after="0" w:line="240" w:lineRule="auto"/>
              <w:contextualSpacing/>
              <w:jc w:val="right"/>
              <w:rPr>
                <w:rFonts w:cstheme="minorHAnsi"/>
                <w:sz w:val="20"/>
                <w:szCs w:val="20"/>
              </w:rPr>
            </w:pPr>
            <w:r w:rsidRPr="00071B69">
              <w:rPr>
                <w:rFonts w:cstheme="minorHAnsi"/>
                <w:sz w:val="20"/>
                <w:szCs w:val="20"/>
              </w:rPr>
              <w:t>$2,696</w:t>
            </w:r>
          </w:p>
        </w:tc>
      </w:tr>
      <w:tr w14:paraId="760196AC"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6E349777" w14:textId="77777777">
            <w:pPr>
              <w:spacing w:after="0" w:line="240" w:lineRule="auto"/>
              <w:contextualSpacing/>
              <w:rPr>
                <w:rFonts w:cstheme="minorHAnsi"/>
                <w:sz w:val="20"/>
                <w:szCs w:val="20"/>
              </w:rPr>
            </w:pPr>
            <w:r w:rsidRPr="00071B69">
              <w:rPr>
                <w:rFonts w:cstheme="minorHAnsi"/>
                <w:sz w:val="20"/>
                <w:szCs w:val="20"/>
              </w:rPr>
              <w:t>F.  Recordkeeping for performance tests</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2A3AABC" w14:textId="77777777">
            <w:pPr>
              <w:spacing w:after="0" w:line="240" w:lineRule="auto"/>
              <w:contextualSpacing/>
              <w:jc w:val="center"/>
              <w:rPr>
                <w:rFonts w:cstheme="minorHAnsi"/>
                <w:sz w:val="20"/>
                <w:szCs w:val="20"/>
              </w:rPr>
            </w:pPr>
            <w:r w:rsidRPr="00071B69">
              <w:rPr>
                <w:rFonts w:cstheme="minorHAnsi"/>
                <w:sz w:val="20"/>
                <w:szCs w:val="20"/>
              </w:rPr>
              <w:t>2</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BD9EDE7" w14:textId="77777777">
            <w:pPr>
              <w:spacing w:after="0" w:line="240" w:lineRule="auto"/>
              <w:contextualSpacing/>
              <w:jc w:val="center"/>
              <w:rPr>
                <w:rFonts w:cstheme="minorHAnsi"/>
                <w:sz w:val="20"/>
                <w:szCs w:val="20"/>
              </w:rPr>
            </w:pPr>
            <w:r w:rsidRPr="00071B69">
              <w:rPr>
                <w:rFonts w:cstheme="minorHAnsi"/>
                <w:sz w:val="20"/>
                <w:szCs w:val="20"/>
              </w:rPr>
              <w:t>1.03</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42887748" w14:textId="77777777">
            <w:pPr>
              <w:spacing w:after="0" w:line="240" w:lineRule="auto"/>
              <w:contextualSpacing/>
              <w:jc w:val="center"/>
              <w:rPr>
                <w:rFonts w:cstheme="minorHAnsi"/>
                <w:sz w:val="20"/>
                <w:szCs w:val="20"/>
              </w:rPr>
            </w:pPr>
            <w:r w:rsidRPr="00071B69">
              <w:rPr>
                <w:rFonts w:cstheme="minorHAnsi"/>
                <w:sz w:val="20"/>
                <w:szCs w:val="20"/>
              </w:rPr>
              <w:t>2.1</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854E01F" w14:textId="77777777">
            <w:pPr>
              <w:spacing w:after="0" w:line="240" w:lineRule="auto"/>
              <w:contextualSpacing/>
              <w:jc w:val="center"/>
              <w:rPr>
                <w:rFonts w:cstheme="minorHAnsi"/>
                <w:sz w:val="20"/>
                <w:szCs w:val="20"/>
              </w:rPr>
            </w:pPr>
            <w:r w:rsidRPr="00071B69">
              <w:rPr>
                <w:rFonts w:cstheme="minorHAnsi"/>
                <w:sz w:val="20"/>
                <w:szCs w:val="20"/>
              </w:rPr>
              <w:t>7.0</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B26CC5F" w14:textId="77777777">
            <w:pPr>
              <w:spacing w:after="0" w:line="240" w:lineRule="auto"/>
              <w:contextualSpacing/>
              <w:jc w:val="center"/>
              <w:rPr>
                <w:rFonts w:cstheme="minorHAnsi"/>
                <w:sz w:val="20"/>
                <w:szCs w:val="20"/>
              </w:rPr>
            </w:pPr>
            <w:r w:rsidRPr="00071B69">
              <w:rPr>
                <w:rFonts w:cstheme="minorHAnsi"/>
                <w:sz w:val="20"/>
                <w:szCs w:val="20"/>
              </w:rPr>
              <w:t>14</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5A7B1A73" w14:textId="77777777">
            <w:pPr>
              <w:spacing w:after="0" w:line="240" w:lineRule="auto"/>
              <w:contextualSpacing/>
              <w:jc w:val="center"/>
              <w:rPr>
                <w:rFonts w:cstheme="minorHAnsi"/>
                <w:sz w:val="20"/>
                <w:szCs w:val="20"/>
              </w:rPr>
            </w:pPr>
            <w:r w:rsidRPr="00071B69">
              <w:rPr>
                <w:rFonts w:cstheme="minorHAnsi"/>
                <w:sz w:val="20"/>
                <w:szCs w:val="20"/>
              </w:rPr>
              <w:t>0.7</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FB2819F" w14:textId="77777777">
            <w:pPr>
              <w:spacing w:after="0" w:line="240" w:lineRule="auto"/>
              <w:contextualSpacing/>
              <w:jc w:val="center"/>
              <w:rPr>
                <w:rFonts w:cstheme="minorHAnsi"/>
                <w:sz w:val="20"/>
                <w:szCs w:val="20"/>
              </w:rPr>
            </w:pPr>
            <w:r w:rsidRPr="00071B69">
              <w:rPr>
                <w:rFonts w:cstheme="minorHAnsi"/>
                <w:sz w:val="20"/>
                <w:szCs w:val="20"/>
              </w:rPr>
              <w:t>1.4</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3E23946B" w14:textId="77777777">
            <w:pPr>
              <w:spacing w:after="0" w:line="240" w:lineRule="auto"/>
              <w:contextualSpacing/>
              <w:jc w:val="right"/>
              <w:rPr>
                <w:rFonts w:cstheme="minorHAnsi"/>
                <w:sz w:val="20"/>
                <w:szCs w:val="20"/>
              </w:rPr>
            </w:pPr>
            <w:r w:rsidRPr="00071B69">
              <w:rPr>
                <w:rFonts w:cstheme="minorHAnsi"/>
                <w:sz w:val="20"/>
                <w:szCs w:val="20"/>
              </w:rPr>
              <w:t>$1,849</w:t>
            </w:r>
          </w:p>
        </w:tc>
      </w:tr>
      <w:tr w14:paraId="389DC2E3" w14:textId="77777777" w:rsidTr="00B50602">
        <w:tblPrEx>
          <w:tblW w:w="13395" w:type="dxa"/>
          <w:tblLook w:val="04A0"/>
        </w:tblPrEx>
        <w:trPr>
          <w:gridAfter w:val="1"/>
          <w:wAfter w:w="57" w:type="dxa"/>
          <w:trHeight w:val="238"/>
        </w:trPr>
        <w:tc>
          <w:tcPr>
            <w:tcW w:w="3806" w:type="dxa"/>
            <w:tcBorders>
              <w:top w:val="nil"/>
              <w:left w:val="single" w:sz="4" w:space="0" w:color="000000"/>
              <w:bottom w:val="single" w:sz="4" w:space="0" w:color="000000"/>
              <w:right w:val="single" w:sz="4" w:space="0" w:color="000000"/>
            </w:tcBorders>
            <w:shd w:val="clear" w:color="auto" w:fill="auto"/>
            <w:vAlign w:val="center"/>
            <w:hideMark/>
          </w:tcPr>
          <w:p w:rsidR="00B50602" w:rsidRPr="00071B69" w:rsidP="00B50602" w14:paraId="35FE4177" w14:textId="77777777">
            <w:pPr>
              <w:spacing w:after="0" w:line="240" w:lineRule="auto"/>
              <w:contextualSpacing/>
              <w:rPr>
                <w:rFonts w:cstheme="minorHAnsi"/>
                <w:b/>
                <w:bCs/>
                <w:sz w:val="20"/>
                <w:szCs w:val="20"/>
              </w:rPr>
            </w:pPr>
            <w:r w:rsidRPr="00071B69">
              <w:rPr>
                <w:rFonts w:cstheme="minorHAnsi"/>
                <w:b/>
                <w:bCs/>
                <w:sz w:val="20"/>
                <w:szCs w:val="20"/>
              </w:rPr>
              <w:t xml:space="preserve">Subtotal for Recordkeeping Requirements  </w:t>
            </w:r>
          </w:p>
        </w:tc>
        <w:tc>
          <w:tcPr>
            <w:tcW w:w="1160" w:type="dxa"/>
            <w:tcBorders>
              <w:top w:val="nil"/>
              <w:left w:val="nil"/>
              <w:bottom w:val="single" w:sz="4" w:space="0" w:color="auto"/>
              <w:right w:val="single" w:sz="4" w:space="0" w:color="auto"/>
            </w:tcBorders>
            <w:shd w:val="clear" w:color="auto" w:fill="auto"/>
            <w:vAlign w:val="center"/>
            <w:hideMark/>
          </w:tcPr>
          <w:p w:rsidR="00B50602" w:rsidRPr="00071B69" w:rsidP="00B50602" w14:paraId="76224B2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1CAAA1C4"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nil"/>
              <w:left w:val="nil"/>
              <w:bottom w:val="nil"/>
              <w:right w:val="single" w:sz="4" w:space="0" w:color="auto"/>
            </w:tcBorders>
            <w:shd w:val="clear" w:color="auto" w:fill="auto"/>
            <w:vAlign w:val="center"/>
            <w:hideMark/>
          </w:tcPr>
          <w:p w:rsidR="00B50602" w:rsidRPr="00071B69" w:rsidP="00B50602" w14:paraId="590C9A78"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538EC542" w14:textId="77777777">
            <w:pPr>
              <w:spacing w:after="0" w:line="240" w:lineRule="auto"/>
              <w:contextualSpacing/>
              <w:jc w:val="center"/>
              <w:rPr>
                <w:rFonts w:cstheme="minorHAnsi"/>
                <w:sz w:val="20"/>
                <w:szCs w:val="20"/>
              </w:rPr>
            </w:pPr>
            <w:r w:rsidRPr="00071B69">
              <w:rPr>
                <w:rFonts w:cstheme="minorHAnsi"/>
                <w:sz w:val="20"/>
                <w:szCs w:val="20"/>
              </w:rPr>
              <w:t> </w:t>
            </w:r>
          </w:p>
        </w:tc>
        <w:tc>
          <w:tcPr>
            <w:tcW w:w="3640" w:type="dxa"/>
            <w:gridSpan w:val="7"/>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273262C0" w14:textId="77777777">
            <w:pPr>
              <w:spacing w:after="0" w:line="240" w:lineRule="auto"/>
              <w:contextualSpacing/>
              <w:jc w:val="center"/>
              <w:rPr>
                <w:rFonts w:cstheme="minorHAnsi"/>
                <w:b/>
                <w:bCs/>
                <w:sz w:val="20"/>
                <w:szCs w:val="20"/>
              </w:rPr>
            </w:pPr>
            <w:r w:rsidRPr="00071B69">
              <w:rPr>
                <w:rFonts w:cstheme="minorHAnsi"/>
                <w:b/>
                <w:bCs/>
                <w:sz w:val="20"/>
                <w:szCs w:val="20"/>
              </w:rPr>
              <w:t>945</w:t>
            </w:r>
          </w:p>
        </w:tc>
        <w:tc>
          <w:tcPr>
            <w:tcW w:w="1013" w:type="dxa"/>
            <w:tcBorders>
              <w:top w:val="nil"/>
              <w:left w:val="nil"/>
              <w:bottom w:val="single" w:sz="4" w:space="0" w:color="auto"/>
              <w:right w:val="single" w:sz="4" w:space="0" w:color="auto"/>
            </w:tcBorders>
            <w:shd w:val="clear" w:color="auto" w:fill="auto"/>
            <w:vAlign w:val="center"/>
            <w:hideMark/>
          </w:tcPr>
          <w:p w:rsidR="00B50602" w:rsidRPr="00071B69" w:rsidP="00B50602" w14:paraId="53031732" w14:textId="77777777">
            <w:pPr>
              <w:spacing w:after="0" w:line="240" w:lineRule="auto"/>
              <w:contextualSpacing/>
              <w:jc w:val="right"/>
              <w:rPr>
                <w:rFonts w:cstheme="minorHAnsi"/>
                <w:b/>
                <w:bCs/>
                <w:sz w:val="20"/>
                <w:szCs w:val="20"/>
              </w:rPr>
            </w:pPr>
            <w:r w:rsidRPr="00071B69">
              <w:rPr>
                <w:rFonts w:cstheme="minorHAnsi"/>
                <w:b/>
                <w:bCs/>
                <w:sz w:val="20"/>
                <w:szCs w:val="20"/>
              </w:rPr>
              <w:t>$105,506</w:t>
            </w:r>
          </w:p>
        </w:tc>
      </w:tr>
      <w:tr w14:paraId="0B5841DD" w14:textId="77777777" w:rsidTr="00B50602">
        <w:tblPrEx>
          <w:tblW w:w="13395" w:type="dxa"/>
          <w:tblLook w:val="04A0"/>
        </w:tblPrEx>
        <w:trPr>
          <w:gridAfter w:val="1"/>
          <w:wAfter w:w="57" w:type="dxa"/>
          <w:trHeight w:val="252"/>
        </w:trPr>
        <w:tc>
          <w:tcPr>
            <w:tcW w:w="3806" w:type="dxa"/>
            <w:tcBorders>
              <w:top w:val="nil"/>
              <w:left w:val="single" w:sz="4" w:space="0" w:color="000000"/>
              <w:bottom w:val="nil"/>
              <w:right w:val="single" w:sz="4" w:space="0" w:color="000000"/>
            </w:tcBorders>
            <w:shd w:val="clear" w:color="auto" w:fill="auto"/>
            <w:vAlign w:val="center"/>
            <w:hideMark/>
          </w:tcPr>
          <w:p w:rsidR="00B50602" w:rsidRPr="00071B69" w:rsidP="00B50602" w14:paraId="174A639F" w14:textId="77777777">
            <w:pPr>
              <w:spacing w:after="0" w:line="240" w:lineRule="auto"/>
              <w:ind w:firstLine="200" w:firstLineChars="100"/>
              <w:contextualSpacing/>
              <w:rPr>
                <w:rFonts w:cstheme="minorHAnsi"/>
                <w:b/>
                <w:bCs/>
                <w:i/>
                <w:iCs/>
                <w:sz w:val="20"/>
                <w:szCs w:val="20"/>
              </w:rPr>
            </w:pPr>
            <w:r w:rsidRPr="00071B69">
              <w:rPr>
                <w:rFonts w:cstheme="minorHAnsi"/>
                <w:b/>
                <w:bCs/>
                <w:i/>
                <w:iCs/>
                <w:sz w:val="20"/>
                <w:szCs w:val="20"/>
              </w:rPr>
              <w:t>TOTAL LABOR BURDEN AND COST (unrounded)</w:t>
            </w:r>
          </w:p>
        </w:tc>
        <w:tc>
          <w:tcPr>
            <w:tcW w:w="1160" w:type="dxa"/>
            <w:tcBorders>
              <w:top w:val="nil"/>
              <w:left w:val="nil"/>
              <w:bottom w:val="nil"/>
              <w:right w:val="single" w:sz="4" w:space="0" w:color="auto"/>
            </w:tcBorders>
            <w:shd w:val="clear" w:color="auto" w:fill="auto"/>
            <w:vAlign w:val="center"/>
            <w:hideMark/>
          </w:tcPr>
          <w:p w:rsidR="00B50602" w:rsidRPr="00071B69" w:rsidP="00B50602" w14:paraId="1BDC867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238" w:type="dxa"/>
            <w:gridSpan w:val="2"/>
            <w:tcBorders>
              <w:top w:val="nil"/>
              <w:left w:val="nil"/>
              <w:bottom w:val="nil"/>
              <w:right w:val="single" w:sz="4" w:space="0" w:color="auto"/>
            </w:tcBorders>
            <w:shd w:val="clear" w:color="auto" w:fill="auto"/>
            <w:vAlign w:val="center"/>
            <w:hideMark/>
          </w:tcPr>
          <w:p w:rsidR="00B50602" w:rsidRPr="00071B69" w:rsidP="00B50602" w14:paraId="761FED9A" w14:textId="77777777">
            <w:pPr>
              <w:spacing w:after="0" w:line="240" w:lineRule="auto"/>
              <w:contextualSpacing/>
              <w:jc w:val="center"/>
              <w:rPr>
                <w:rFonts w:cstheme="minorHAnsi"/>
                <w:sz w:val="20"/>
                <w:szCs w:val="20"/>
              </w:rPr>
            </w:pPr>
            <w:r w:rsidRPr="00071B69">
              <w:rPr>
                <w:rFonts w:cstheme="minorHAnsi"/>
                <w:sz w:val="20"/>
                <w:szCs w:val="20"/>
              </w:rPr>
              <w:t> </w:t>
            </w:r>
          </w:p>
        </w:tc>
        <w:tc>
          <w:tcPr>
            <w:tcW w:w="1175" w:type="dxa"/>
            <w:gridSpan w:val="2"/>
            <w:tcBorders>
              <w:top w:val="single" w:sz="4" w:space="0" w:color="auto"/>
              <w:left w:val="nil"/>
              <w:bottom w:val="nil"/>
              <w:right w:val="single" w:sz="4" w:space="0" w:color="auto"/>
            </w:tcBorders>
            <w:shd w:val="clear" w:color="auto" w:fill="auto"/>
            <w:vAlign w:val="center"/>
            <w:hideMark/>
          </w:tcPr>
          <w:p w:rsidR="00B50602" w:rsidRPr="00071B69" w:rsidP="00B50602" w14:paraId="41EB33BE" w14:textId="77777777">
            <w:pPr>
              <w:spacing w:after="0" w:line="240" w:lineRule="auto"/>
              <w:contextualSpacing/>
              <w:jc w:val="center"/>
              <w:rPr>
                <w:rFonts w:cstheme="minorHAnsi"/>
                <w:sz w:val="20"/>
                <w:szCs w:val="20"/>
              </w:rPr>
            </w:pPr>
            <w:r w:rsidRPr="00071B69">
              <w:rPr>
                <w:rFonts w:cstheme="minorHAnsi"/>
                <w:sz w:val="20"/>
                <w:szCs w:val="20"/>
              </w:rPr>
              <w:t> </w:t>
            </w:r>
          </w:p>
        </w:tc>
        <w:tc>
          <w:tcPr>
            <w:tcW w:w="1306" w:type="dxa"/>
            <w:gridSpan w:val="2"/>
            <w:tcBorders>
              <w:top w:val="nil"/>
              <w:left w:val="nil"/>
              <w:bottom w:val="nil"/>
              <w:right w:val="single" w:sz="4" w:space="0" w:color="auto"/>
            </w:tcBorders>
            <w:shd w:val="clear" w:color="auto" w:fill="auto"/>
            <w:vAlign w:val="center"/>
            <w:hideMark/>
          </w:tcPr>
          <w:p w:rsidR="00B50602" w:rsidRPr="00071B69" w:rsidP="00B50602" w14:paraId="772CD12B" w14:textId="77777777">
            <w:pPr>
              <w:spacing w:after="0" w:line="240" w:lineRule="auto"/>
              <w:contextualSpacing/>
              <w:jc w:val="center"/>
              <w:rPr>
                <w:rFonts w:cstheme="minorHAnsi"/>
                <w:sz w:val="20"/>
                <w:szCs w:val="20"/>
              </w:rPr>
            </w:pPr>
            <w:r w:rsidRPr="00071B69">
              <w:rPr>
                <w:rFonts w:cstheme="minorHAnsi"/>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0D6153F6"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B50602" w:rsidRPr="00071B69" w:rsidP="00B50602" w14:paraId="69DEC939"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125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22DA8D24"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1013" w:type="dxa"/>
            <w:tcBorders>
              <w:top w:val="nil"/>
              <w:left w:val="nil"/>
              <w:bottom w:val="nil"/>
              <w:right w:val="single" w:sz="4" w:space="0" w:color="auto"/>
            </w:tcBorders>
            <w:shd w:val="clear" w:color="auto" w:fill="auto"/>
            <w:vAlign w:val="center"/>
            <w:hideMark/>
          </w:tcPr>
          <w:p w:rsidR="00B50602" w:rsidRPr="00071B69" w:rsidP="00B50602" w14:paraId="3565541A" w14:textId="77777777">
            <w:pPr>
              <w:spacing w:after="0" w:line="240" w:lineRule="auto"/>
              <w:contextualSpacing/>
              <w:jc w:val="right"/>
              <w:rPr>
                <w:rFonts w:cstheme="minorHAnsi"/>
                <w:b/>
                <w:bCs/>
                <w:i/>
                <w:iCs/>
                <w:sz w:val="20"/>
                <w:szCs w:val="20"/>
              </w:rPr>
            </w:pPr>
            <w:r w:rsidRPr="00071B69">
              <w:rPr>
                <w:rFonts w:cstheme="minorHAnsi"/>
                <w:b/>
                <w:bCs/>
                <w:i/>
                <w:iCs/>
                <w:sz w:val="20"/>
                <w:szCs w:val="20"/>
              </w:rPr>
              <w:t>$176,843</w:t>
            </w:r>
          </w:p>
        </w:tc>
      </w:tr>
      <w:tr w14:paraId="75CE9F3F" w14:textId="77777777" w:rsidTr="00B50602">
        <w:tblPrEx>
          <w:tblW w:w="13395" w:type="dxa"/>
          <w:tblLook w:val="04A0"/>
        </w:tblPrEx>
        <w:trPr>
          <w:gridAfter w:val="1"/>
          <w:wAfter w:w="57" w:type="dxa"/>
          <w:trHeight w:val="294"/>
        </w:trPr>
        <w:tc>
          <w:tcPr>
            <w:tcW w:w="3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602" w:rsidRPr="00071B69" w:rsidP="00B50602" w14:paraId="53E37BA6" w14:textId="77777777">
            <w:pPr>
              <w:spacing w:after="0" w:line="240" w:lineRule="auto"/>
              <w:contextualSpacing/>
              <w:rPr>
                <w:rFonts w:cstheme="minorHAnsi"/>
                <w:b/>
                <w:bCs/>
                <w:sz w:val="20"/>
                <w:szCs w:val="20"/>
              </w:rPr>
            </w:pPr>
            <w:r w:rsidRPr="00071B69">
              <w:rPr>
                <w:rFonts w:cstheme="minorHAnsi"/>
                <w:b/>
                <w:bCs/>
                <w:sz w:val="20"/>
                <w:szCs w:val="20"/>
              </w:rPr>
              <w:t xml:space="preserve">TOTAL LABOR BURDEN AND COST (rounded) </w:t>
            </w:r>
            <w:r w:rsidRPr="00071B69">
              <w:rPr>
                <w:rFonts w:cstheme="minorHAnsi"/>
                <w:b/>
                <w:bCs/>
                <w:sz w:val="20"/>
                <w:szCs w:val="20"/>
                <w:vertAlign w:val="superscript"/>
              </w:rPr>
              <w:t>h</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590B6A44"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1238"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25F8A02D"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4E25A049"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1482E45E" w14:textId="77777777">
            <w:pPr>
              <w:spacing w:after="0" w:line="240" w:lineRule="auto"/>
              <w:contextualSpacing/>
              <w:jc w:val="center"/>
              <w:rPr>
                <w:rFonts w:cstheme="minorHAnsi"/>
                <w:b/>
                <w:bCs/>
                <w:sz w:val="20"/>
                <w:szCs w:val="20"/>
              </w:rPr>
            </w:pPr>
            <w:r w:rsidRPr="00071B69">
              <w:rPr>
                <w:rFonts w:cstheme="minorHAnsi"/>
                <w:b/>
                <w:bCs/>
                <w:sz w:val="20"/>
                <w:szCs w:val="20"/>
              </w:rPr>
              <w:t> </w:t>
            </w:r>
          </w:p>
        </w:tc>
        <w:tc>
          <w:tcPr>
            <w:tcW w:w="3640" w:type="dxa"/>
            <w:gridSpan w:val="7"/>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7C7FA770" w14:textId="77777777">
            <w:pPr>
              <w:spacing w:after="0" w:line="240" w:lineRule="auto"/>
              <w:contextualSpacing/>
              <w:jc w:val="center"/>
              <w:rPr>
                <w:rFonts w:cstheme="minorHAnsi"/>
                <w:b/>
                <w:bCs/>
                <w:sz w:val="20"/>
                <w:szCs w:val="20"/>
              </w:rPr>
            </w:pPr>
            <w:r w:rsidRPr="00071B69">
              <w:rPr>
                <w:rFonts w:cstheme="minorHAnsi"/>
                <w:b/>
                <w:bCs/>
                <w:sz w:val="20"/>
                <w:szCs w:val="20"/>
              </w:rPr>
              <w:t>1,580</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B50602" w:rsidRPr="00071B69" w:rsidP="00B50602" w14:paraId="484763DB" w14:textId="77777777">
            <w:pPr>
              <w:spacing w:after="0" w:line="240" w:lineRule="auto"/>
              <w:contextualSpacing/>
              <w:jc w:val="right"/>
              <w:rPr>
                <w:rFonts w:cstheme="minorHAnsi"/>
                <w:b/>
                <w:bCs/>
                <w:sz w:val="20"/>
                <w:szCs w:val="20"/>
              </w:rPr>
            </w:pPr>
            <w:r w:rsidRPr="00071B69">
              <w:rPr>
                <w:rFonts w:cstheme="minorHAnsi"/>
                <w:b/>
                <w:bCs/>
                <w:sz w:val="20"/>
                <w:szCs w:val="20"/>
              </w:rPr>
              <w:t>$177,000</w:t>
            </w:r>
          </w:p>
        </w:tc>
      </w:tr>
      <w:tr w14:paraId="5AF1009D" w14:textId="77777777" w:rsidTr="00B50602">
        <w:tblPrEx>
          <w:tblW w:w="13395" w:type="dxa"/>
          <w:tblLook w:val="04A0"/>
        </w:tblPrEx>
        <w:trPr>
          <w:trHeight w:val="259"/>
        </w:trPr>
        <w:tc>
          <w:tcPr>
            <w:tcW w:w="5865" w:type="dxa"/>
            <w:gridSpan w:val="3"/>
            <w:tcBorders>
              <w:top w:val="nil"/>
              <w:left w:val="nil"/>
              <w:bottom w:val="nil"/>
              <w:right w:val="nil"/>
            </w:tcBorders>
            <w:shd w:val="clear" w:color="auto" w:fill="auto"/>
            <w:noWrap/>
            <w:vAlign w:val="center"/>
            <w:hideMark/>
          </w:tcPr>
          <w:p w:rsidR="00B50602" w:rsidRPr="00071B69" w:rsidP="00B50602" w14:paraId="7FFE8F99" w14:textId="77777777">
            <w:pPr>
              <w:spacing w:after="0" w:line="240" w:lineRule="auto"/>
              <w:contextualSpacing/>
              <w:rPr>
                <w:rFonts w:cstheme="minorHAnsi"/>
                <w:b/>
                <w:bCs/>
                <w:sz w:val="20"/>
                <w:szCs w:val="20"/>
              </w:rPr>
            </w:pPr>
          </w:p>
          <w:p w:rsidR="00B50602" w:rsidRPr="00071B69" w:rsidP="00B50602" w14:paraId="7383FD8D" w14:textId="6CCFEE87">
            <w:pPr>
              <w:spacing w:after="0" w:line="240" w:lineRule="auto"/>
              <w:contextualSpacing/>
              <w:rPr>
                <w:rFonts w:cstheme="minorHAnsi"/>
                <w:b/>
                <w:bCs/>
                <w:sz w:val="20"/>
                <w:szCs w:val="20"/>
              </w:rPr>
            </w:pPr>
            <w:r w:rsidRPr="00071B69">
              <w:rPr>
                <w:rFonts w:cstheme="minorHAnsi"/>
                <w:b/>
                <w:bCs/>
                <w:sz w:val="20"/>
                <w:szCs w:val="20"/>
              </w:rPr>
              <w:t>Assumptions:</w:t>
            </w:r>
          </w:p>
        </w:tc>
        <w:tc>
          <w:tcPr>
            <w:tcW w:w="1164" w:type="dxa"/>
            <w:gridSpan w:val="2"/>
            <w:tcBorders>
              <w:top w:val="nil"/>
              <w:left w:val="nil"/>
              <w:bottom w:val="nil"/>
              <w:right w:val="nil"/>
            </w:tcBorders>
            <w:shd w:val="clear" w:color="auto" w:fill="auto"/>
            <w:noWrap/>
            <w:vAlign w:val="bottom"/>
            <w:hideMark/>
          </w:tcPr>
          <w:p w:rsidR="00B50602" w:rsidRPr="00071B69" w:rsidP="00B50602" w14:paraId="29A2EF14" w14:textId="77777777">
            <w:pPr>
              <w:spacing w:after="0" w:line="240" w:lineRule="auto"/>
              <w:contextualSpacing/>
              <w:rPr>
                <w:rFonts w:cstheme="minorHAnsi"/>
                <w:b/>
                <w:bCs/>
                <w:sz w:val="20"/>
                <w:szCs w:val="20"/>
              </w:rPr>
            </w:pPr>
          </w:p>
        </w:tc>
        <w:tc>
          <w:tcPr>
            <w:tcW w:w="927" w:type="dxa"/>
            <w:gridSpan w:val="2"/>
            <w:tcBorders>
              <w:top w:val="nil"/>
              <w:left w:val="nil"/>
              <w:bottom w:val="nil"/>
              <w:right w:val="nil"/>
            </w:tcBorders>
            <w:shd w:val="clear" w:color="auto" w:fill="auto"/>
            <w:noWrap/>
            <w:vAlign w:val="bottom"/>
            <w:hideMark/>
          </w:tcPr>
          <w:p w:rsidR="00B50602" w:rsidRPr="00071B69" w:rsidP="00B50602" w14:paraId="6ABA989F" w14:textId="77777777">
            <w:pPr>
              <w:spacing w:after="0" w:line="240" w:lineRule="auto"/>
              <w:contextualSpacing/>
              <w:rPr>
                <w:rFonts w:cstheme="minorHAnsi"/>
                <w:sz w:val="20"/>
                <w:szCs w:val="20"/>
              </w:rPr>
            </w:pPr>
          </w:p>
        </w:tc>
        <w:tc>
          <w:tcPr>
            <w:tcW w:w="848" w:type="dxa"/>
            <w:gridSpan w:val="2"/>
            <w:tcBorders>
              <w:top w:val="nil"/>
              <w:left w:val="nil"/>
              <w:bottom w:val="nil"/>
              <w:right w:val="nil"/>
            </w:tcBorders>
            <w:shd w:val="clear" w:color="auto" w:fill="auto"/>
            <w:noWrap/>
            <w:vAlign w:val="bottom"/>
            <w:hideMark/>
          </w:tcPr>
          <w:p w:rsidR="00B50602" w:rsidRPr="00071B69" w:rsidP="00B50602" w14:paraId="137DFB1C" w14:textId="77777777">
            <w:pPr>
              <w:spacing w:after="0" w:line="240" w:lineRule="auto"/>
              <w:contextualSpacing/>
              <w:rPr>
                <w:rFonts w:cstheme="minorHAnsi"/>
                <w:sz w:val="20"/>
                <w:szCs w:val="20"/>
              </w:rPr>
            </w:pPr>
          </w:p>
        </w:tc>
        <w:tc>
          <w:tcPr>
            <w:tcW w:w="974" w:type="dxa"/>
            <w:gridSpan w:val="2"/>
            <w:tcBorders>
              <w:top w:val="nil"/>
              <w:left w:val="nil"/>
              <w:bottom w:val="nil"/>
              <w:right w:val="nil"/>
            </w:tcBorders>
            <w:shd w:val="clear" w:color="auto" w:fill="auto"/>
            <w:noWrap/>
            <w:vAlign w:val="bottom"/>
            <w:hideMark/>
          </w:tcPr>
          <w:p w:rsidR="00B50602" w:rsidRPr="00071B69" w:rsidP="00B50602" w14:paraId="63171180" w14:textId="77777777">
            <w:pPr>
              <w:spacing w:after="0" w:line="240" w:lineRule="auto"/>
              <w:contextualSpacing/>
              <w:rPr>
                <w:rFonts w:cstheme="minorHAnsi"/>
                <w:sz w:val="20"/>
                <w:szCs w:val="20"/>
              </w:rPr>
            </w:pPr>
          </w:p>
        </w:tc>
        <w:tc>
          <w:tcPr>
            <w:tcW w:w="848" w:type="dxa"/>
            <w:tcBorders>
              <w:top w:val="nil"/>
              <w:left w:val="nil"/>
              <w:bottom w:val="nil"/>
              <w:right w:val="nil"/>
            </w:tcBorders>
            <w:shd w:val="clear" w:color="auto" w:fill="auto"/>
            <w:noWrap/>
            <w:vAlign w:val="bottom"/>
            <w:hideMark/>
          </w:tcPr>
          <w:p w:rsidR="00B50602" w:rsidRPr="00071B69" w:rsidP="00B50602" w14:paraId="07073B69" w14:textId="77777777">
            <w:pPr>
              <w:spacing w:after="0" w:line="240" w:lineRule="auto"/>
              <w:contextualSpacing/>
              <w:rPr>
                <w:rFonts w:cstheme="minorHAnsi"/>
                <w:sz w:val="20"/>
                <w:szCs w:val="20"/>
              </w:rPr>
            </w:pPr>
          </w:p>
        </w:tc>
        <w:tc>
          <w:tcPr>
            <w:tcW w:w="848" w:type="dxa"/>
            <w:gridSpan w:val="2"/>
            <w:tcBorders>
              <w:top w:val="nil"/>
              <w:left w:val="nil"/>
              <w:bottom w:val="nil"/>
              <w:right w:val="nil"/>
            </w:tcBorders>
            <w:shd w:val="clear" w:color="auto" w:fill="auto"/>
            <w:noWrap/>
            <w:vAlign w:val="bottom"/>
            <w:hideMark/>
          </w:tcPr>
          <w:p w:rsidR="00B50602" w:rsidRPr="00071B69" w:rsidP="00B50602" w14:paraId="3B7EF1CD" w14:textId="77777777">
            <w:pPr>
              <w:spacing w:after="0" w:line="240" w:lineRule="auto"/>
              <w:contextualSpacing/>
              <w:rPr>
                <w:rFonts w:cstheme="minorHAnsi"/>
                <w:sz w:val="20"/>
                <w:szCs w:val="20"/>
              </w:rPr>
            </w:pPr>
          </w:p>
        </w:tc>
        <w:tc>
          <w:tcPr>
            <w:tcW w:w="848" w:type="dxa"/>
            <w:tcBorders>
              <w:top w:val="nil"/>
              <w:left w:val="nil"/>
              <w:bottom w:val="nil"/>
              <w:right w:val="nil"/>
            </w:tcBorders>
            <w:shd w:val="clear" w:color="auto" w:fill="auto"/>
            <w:noWrap/>
            <w:vAlign w:val="bottom"/>
            <w:hideMark/>
          </w:tcPr>
          <w:p w:rsidR="00B50602" w:rsidRPr="00071B69" w:rsidP="00B50602" w14:paraId="100F2A54" w14:textId="77777777">
            <w:pPr>
              <w:spacing w:after="0" w:line="240" w:lineRule="auto"/>
              <w:contextualSpacing/>
              <w:rPr>
                <w:rFonts w:cstheme="minorHAnsi"/>
                <w:sz w:val="20"/>
                <w:szCs w:val="20"/>
              </w:rPr>
            </w:pPr>
          </w:p>
        </w:tc>
        <w:tc>
          <w:tcPr>
            <w:tcW w:w="1073" w:type="dxa"/>
            <w:gridSpan w:val="2"/>
            <w:tcBorders>
              <w:top w:val="nil"/>
              <w:left w:val="nil"/>
              <w:bottom w:val="nil"/>
              <w:right w:val="nil"/>
            </w:tcBorders>
            <w:shd w:val="clear" w:color="auto" w:fill="auto"/>
            <w:noWrap/>
            <w:vAlign w:val="bottom"/>
            <w:hideMark/>
          </w:tcPr>
          <w:p w:rsidR="00B50602" w:rsidRPr="00071B69" w:rsidP="00B50602" w14:paraId="30D79EBA" w14:textId="77777777">
            <w:pPr>
              <w:spacing w:after="0" w:line="240" w:lineRule="auto"/>
              <w:contextualSpacing/>
              <w:rPr>
                <w:rFonts w:cstheme="minorHAnsi"/>
                <w:sz w:val="20"/>
                <w:szCs w:val="20"/>
              </w:rPr>
            </w:pPr>
          </w:p>
        </w:tc>
      </w:tr>
      <w:tr w14:paraId="32A1BA41" w14:textId="77777777" w:rsidTr="00B50602">
        <w:tblPrEx>
          <w:tblW w:w="13395" w:type="dxa"/>
          <w:tblLook w:val="04A0"/>
        </w:tblPrEx>
        <w:trPr>
          <w:trHeight w:val="320"/>
        </w:trPr>
        <w:tc>
          <w:tcPr>
            <w:tcW w:w="13395" w:type="dxa"/>
            <w:gridSpan w:val="17"/>
            <w:tcBorders>
              <w:top w:val="nil"/>
              <w:left w:val="nil"/>
              <w:bottom w:val="nil"/>
              <w:right w:val="nil"/>
            </w:tcBorders>
            <w:shd w:val="clear" w:color="auto" w:fill="auto"/>
            <w:vAlign w:val="center"/>
            <w:hideMark/>
          </w:tcPr>
          <w:p w:rsidR="00B50602" w:rsidRPr="00071B69" w:rsidP="00B50602" w14:paraId="6AB165F8" w14:textId="77777777">
            <w:pPr>
              <w:spacing w:after="0" w:line="240" w:lineRule="auto"/>
              <w:contextualSpacing/>
              <w:rPr>
                <w:rFonts w:cstheme="minorHAnsi"/>
                <w:sz w:val="20"/>
                <w:szCs w:val="20"/>
              </w:rPr>
            </w:pPr>
            <w:r w:rsidRPr="00071B69">
              <w:rPr>
                <w:rFonts w:cstheme="minorHAnsi"/>
                <w:sz w:val="20"/>
                <w:szCs w:val="20"/>
              </w:rPr>
              <w:t>a. There are approximately 7 existing sources currently subject to this rule. We estimate there will be no additional new source that will become subject to the rule each year over the 3-year period of this ICR.</w:t>
            </w:r>
          </w:p>
        </w:tc>
      </w:tr>
      <w:tr w14:paraId="38386DC4" w14:textId="77777777" w:rsidTr="00B50602">
        <w:tblPrEx>
          <w:tblW w:w="13395" w:type="dxa"/>
          <w:tblLook w:val="04A0"/>
        </w:tblPrEx>
        <w:trPr>
          <w:trHeight w:val="1007"/>
        </w:trPr>
        <w:tc>
          <w:tcPr>
            <w:tcW w:w="13395" w:type="dxa"/>
            <w:gridSpan w:val="17"/>
            <w:tcBorders>
              <w:top w:val="nil"/>
              <w:left w:val="nil"/>
              <w:bottom w:val="nil"/>
              <w:right w:val="nil"/>
            </w:tcBorders>
            <w:shd w:val="clear" w:color="auto" w:fill="auto"/>
            <w:vAlign w:val="center"/>
            <w:hideMark/>
          </w:tcPr>
          <w:p w:rsidR="00B50602" w:rsidRPr="00071B69" w:rsidP="00B50602" w14:paraId="01731D51" w14:textId="77777777">
            <w:pPr>
              <w:spacing w:after="0" w:line="240" w:lineRule="auto"/>
              <w:contextualSpacing/>
              <w:rPr>
                <w:rFonts w:cstheme="minorHAnsi"/>
                <w:sz w:val="20"/>
                <w:szCs w:val="20"/>
              </w:rPr>
            </w:pPr>
            <w:r w:rsidRPr="00071B69">
              <w:rPr>
                <w:rFonts w:cstheme="minorHAnsi"/>
                <w:sz w:val="20"/>
                <w:szCs w:val="20"/>
              </w:rPr>
              <w:t>b. This ICR uses the following labor rates: $142.78 per hour for executive, administrative, and managerial labor; $116.87 per hour for technical labor, and $73.85 per hour for clerical labor.  These rates are from the United States Department of Labor, Bureau of Labor Statistics, May 2021, “Table 2. Civilian Workers, by Occupational and Industry group.”  The rates are from column 1, “Total Compensation.”  The rates have been increased by 110% to account for the benefit packages available to those employed by private industry.</w:t>
            </w:r>
          </w:p>
        </w:tc>
      </w:tr>
      <w:tr w14:paraId="5A20F57B" w14:textId="77777777" w:rsidTr="00B50602">
        <w:tblPrEx>
          <w:tblW w:w="13395" w:type="dxa"/>
          <w:tblLook w:val="04A0"/>
        </w:tblPrEx>
        <w:trPr>
          <w:trHeight w:val="305"/>
        </w:trPr>
        <w:tc>
          <w:tcPr>
            <w:tcW w:w="13395" w:type="dxa"/>
            <w:gridSpan w:val="17"/>
            <w:tcBorders>
              <w:top w:val="nil"/>
              <w:left w:val="nil"/>
              <w:bottom w:val="nil"/>
              <w:right w:val="nil"/>
            </w:tcBorders>
            <w:shd w:val="clear" w:color="auto" w:fill="auto"/>
            <w:vAlign w:val="center"/>
            <w:hideMark/>
          </w:tcPr>
          <w:p w:rsidR="00B50602" w:rsidRPr="00071B69" w:rsidP="00B50602" w14:paraId="67D7BAAA" w14:textId="77777777">
            <w:pPr>
              <w:spacing w:after="0" w:line="240" w:lineRule="auto"/>
              <w:contextualSpacing/>
              <w:rPr>
                <w:rFonts w:cstheme="minorHAnsi"/>
                <w:sz w:val="20"/>
                <w:szCs w:val="20"/>
              </w:rPr>
            </w:pPr>
            <w:r w:rsidRPr="00071B69">
              <w:rPr>
                <w:rFonts w:cstheme="minorHAnsi"/>
                <w:sz w:val="20"/>
                <w:szCs w:val="20"/>
              </w:rPr>
              <w:t>c. Assumes all sources will conduct performance testing for mercury, HCl and HF once every 2.5 years. Includes 20 hours per furnace to set up testing contractor, oversee tests, and write test plans. Hg, HCl and HF testing at 18 indurating furnaces or 1.03 tests per year per plant ((18 x 2/5)/7).</w:t>
            </w:r>
          </w:p>
        </w:tc>
      </w:tr>
      <w:tr w14:paraId="7FA177D2" w14:textId="77777777" w:rsidTr="00B50602">
        <w:tblPrEx>
          <w:tblW w:w="13395" w:type="dxa"/>
          <w:tblLook w:val="04A0"/>
        </w:tblPrEx>
        <w:trPr>
          <w:trHeight w:val="305"/>
        </w:trPr>
        <w:tc>
          <w:tcPr>
            <w:tcW w:w="13395" w:type="dxa"/>
            <w:gridSpan w:val="17"/>
            <w:tcBorders>
              <w:top w:val="nil"/>
              <w:left w:val="nil"/>
              <w:bottom w:val="nil"/>
              <w:right w:val="nil"/>
            </w:tcBorders>
            <w:shd w:val="clear" w:color="auto" w:fill="auto"/>
            <w:noWrap/>
            <w:vAlign w:val="bottom"/>
            <w:hideMark/>
          </w:tcPr>
          <w:p w:rsidR="00B50602" w:rsidRPr="00071B69" w:rsidP="00B50602" w14:paraId="3D7654D6" w14:textId="77777777">
            <w:pPr>
              <w:spacing w:after="0" w:line="240" w:lineRule="auto"/>
              <w:contextualSpacing/>
              <w:rPr>
                <w:rFonts w:cstheme="minorHAnsi"/>
                <w:color w:val="000000"/>
                <w:sz w:val="20"/>
                <w:szCs w:val="20"/>
              </w:rPr>
            </w:pPr>
            <w:r w:rsidRPr="00071B69">
              <w:rPr>
                <w:rFonts w:cstheme="minorHAnsi"/>
                <w:color w:val="000000"/>
                <w:sz w:val="20"/>
                <w:szCs w:val="20"/>
              </w:rPr>
              <w:t>d. Assumes 20 hours of labor for updating each plan to incorporate new monitoring and maintenance requirements for the control devices used to meet the proposed limits for mercury, HCl, and HF.</w:t>
            </w:r>
          </w:p>
        </w:tc>
      </w:tr>
      <w:tr w14:paraId="4662A9D6" w14:textId="77777777" w:rsidTr="00B50602">
        <w:tblPrEx>
          <w:tblW w:w="13395" w:type="dxa"/>
          <w:tblLook w:val="04A0"/>
        </w:tblPrEx>
        <w:trPr>
          <w:trHeight w:val="259"/>
        </w:trPr>
        <w:tc>
          <w:tcPr>
            <w:tcW w:w="13395" w:type="dxa"/>
            <w:gridSpan w:val="17"/>
            <w:tcBorders>
              <w:top w:val="nil"/>
              <w:left w:val="nil"/>
              <w:bottom w:val="nil"/>
              <w:right w:val="nil"/>
            </w:tcBorders>
            <w:shd w:val="clear" w:color="auto" w:fill="auto"/>
            <w:vAlign w:val="center"/>
            <w:hideMark/>
          </w:tcPr>
          <w:p w:rsidR="00B50602" w:rsidRPr="00071B69" w:rsidP="00B50602" w14:paraId="707EAA93" w14:textId="77777777">
            <w:pPr>
              <w:spacing w:after="0" w:line="240" w:lineRule="auto"/>
              <w:contextualSpacing/>
              <w:rPr>
                <w:rFonts w:cstheme="minorHAnsi"/>
                <w:sz w:val="20"/>
                <w:szCs w:val="20"/>
              </w:rPr>
            </w:pPr>
            <w:r w:rsidRPr="00071B69">
              <w:rPr>
                <w:rFonts w:cstheme="minorHAnsi"/>
                <w:sz w:val="20"/>
                <w:szCs w:val="20"/>
              </w:rPr>
              <w:t>e. These requirements are one-time requirements that apply to new respondents. There are no new respondents estimated over the 3-year period of this ICR.</w:t>
            </w:r>
          </w:p>
        </w:tc>
      </w:tr>
      <w:tr w14:paraId="5544C4CD" w14:textId="77777777" w:rsidTr="00B50602">
        <w:tblPrEx>
          <w:tblW w:w="13395" w:type="dxa"/>
          <w:tblLook w:val="04A0"/>
        </w:tblPrEx>
        <w:trPr>
          <w:trHeight w:val="259"/>
        </w:trPr>
        <w:tc>
          <w:tcPr>
            <w:tcW w:w="13395" w:type="dxa"/>
            <w:gridSpan w:val="17"/>
            <w:tcBorders>
              <w:top w:val="nil"/>
              <w:left w:val="nil"/>
              <w:bottom w:val="nil"/>
              <w:right w:val="nil"/>
            </w:tcBorders>
            <w:shd w:val="clear" w:color="auto" w:fill="auto"/>
            <w:vAlign w:val="center"/>
            <w:hideMark/>
          </w:tcPr>
          <w:p w:rsidR="00B50602" w:rsidRPr="00071B69" w:rsidP="00B50602" w14:paraId="521A47E4" w14:textId="77777777">
            <w:pPr>
              <w:spacing w:after="0" w:line="240" w:lineRule="auto"/>
              <w:contextualSpacing/>
              <w:rPr>
                <w:rFonts w:cstheme="minorHAnsi"/>
                <w:sz w:val="20"/>
                <w:szCs w:val="20"/>
              </w:rPr>
            </w:pPr>
            <w:r w:rsidRPr="00071B69">
              <w:rPr>
                <w:rFonts w:cstheme="minorHAnsi"/>
                <w:sz w:val="20"/>
                <w:szCs w:val="20"/>
              </w:rPr>
              <w:t xml:space="preserve">f. Submittal of performance test data through the EPA's CEDRI in ERT format is estimated to require 2 hours per furnace every 2.5 years </w:t>
            </w:r>
          </w:p>
        </w:tc>
      </w:tr>
      <w:tr w14:paraId="67DFDEFD" w14:textId="77777777" w:rsidTr="00B50602">
        <w:tblPrEx>
          <w:tblW w:w="13395" w:type="dxa"/>
          <w:tblLook w:val="04A0"/>
        </w:tblPrEx>
        <w:trPr>
          <w:trHeight w:val="259"/>
        </w:trPr>
        <w:tc>
          <w:tcPr>
            <w:tcW w:w="13395" w:type="dxa"/>
            <w:gridSpan w:val="17"/>
            <w:tcBorders>
              <w:top w:val="nil"/>
              <w:left w:val="nil"/>
              <w:bottom w:val="nil"/>
              <w:right w:val="nil"/>
            </w:tcBorders>
            <w:shd w:val="clear" w:color="auto" w:fill="auto"/>
            <w:noWrap/>
            <w:hideMark/>
          </w:tcPr>
          <w:p w:rsidR="00B50602" w:rsidRPr="00071B69" w:rsidP="00B50602" w14:paraId="4A3ED78B" w14:textId="77777777">
            <w:pPr>
              <w:spacing w:after="0" w:line="240" w:lineRule="auto"/>
              <w:contextualSpacing/>
              <w:rPr>
                <w:rFonts w:cstheme="minorHAnsi"/>
                <w:color w:val="000000"/>
                <w:sz w:val="20"/>
                <w:szCs w:val="20"/>
              </w:rPr>
            </w:pPr>
            <w:r w:rsidRPr="00071B69">
              <w:rPr>
                <w:rFonts w:cstheme="minorHAnsi"/>
                <w:color w:val="000000"/>
                <w:sz w:val="20"/>
                <w:szCs w:val="20"/>
              </w:rPr>
              <w:t>g.  Assumed that 3 plants will submit implementation plans for using emission averaging to comply with proposed mercury emissions standard once over the 3-year period.</w:t>
            </w:r>
          </w:p>
        </w:tc>
      </w:tr>
      <w:tr w14:paraId="7ED5A9CC" w14:textId="77777777" w:rsidTr="00B50602">
        <w:tblPrEx>
          <w:tblW w:w="13395" w:type="dxa"/>
          <w:tblLook w:val="04A0"/>
        </w:tblPrEx>
        <w:trPr>
          <w:trHeight w:val="259"/>
        </w:trPr>
        <w:tc>
          <w:tcPr>
            <w:tcW w:w="13395" w:type="dxa"/>
            <w:gridSpan w:val="17"/>
            <w:tcBorders>
              <w:top w:val="nil"/>
              <w:left w:val="nil"/>
              <w:bottom w:val="nil"/>
              <w:right w:val="nil"/>
            </w:tcBorders>
            <w:shd w:val="clear" w:color="auto" w:fill="auto"/>
            <w:noWrap/>
            <w:vAlign w:val="center"/>
            <w:hideMark/>
          </w:tcPr>
          <w:p w:rsidR="00B50602" w:rsidRPr="00071B69" w:rsidP="00B50602" w14:paraId="127A748B" w14:textId="77777777">
            <w:pPr>
              <w:spacing w:after="0" w:line="240" w:lineRule="auto"/>
              <w:contextualSpacing/>
              <w:rPr>
                <w:rFonts w:cstheme="minorHAnsi"/>
                <w:sz w:val="20"/>
                <w:szCs w:val="20"/>
              </w:rPr>
            </w:pPr>
            <w:r w:rsidRPr="00071B69">
              <w:rPr>
                <w:rFonts w:cstheme="minorHAnsi"/>
                <w:sz w:val="20"/>
                <w:szCs w:val="20"/>
              </w:rPr>
              <w:t>h. Totals have been rounded to 3 significant figures.  Figures may not add exactly due to rounding.</w:t>
            </w:r>
          </w:p>
        </w:tc>
      </w:tr>
    </w:tbl>
    <w:p w:rsidR="00B50602" w:rsidRPr="00071B69" w:rsidP="00B50602" w14:paraId="1CB8A9E7" w14:textId="77777777">
      <w:pPr>
        <w:spacing w:after="0" w:line="240" w:lineRule="auto"/>
        <w:contextualSpacing/>
        <w:rPr>
          <w:rFonts w:cstheme="minorHAnsi"/>
          <w:b/>
          <w:bCs/>
          <w:color w:val="000000"/>
          <w:sz w:val="20"/>
          <w:szCs w:val="20"/>
        </w:rPr>
      </w:pPr>
    </w:p>
    <w:p w:rsidR="00B50602" w:rsidRPr="00071B69" w:rsidP="00B50602" w14:paraId="052BA866" w14:textId="6F43F270">
      <w:pPr>
        <w:spacing w:after="0" w:line="240" w:lineRule="auto"/>
        <w:contextualSpacing/>
        <w:outlineLvl w:val="0"/>
        <w:rPr>
          <w:rFonts w:cstheme="minorHAnsi"/>
          <w:b/>
          <w:bCs/>
          <w:color w:val="000000"/>
        </w:rPr>
      </w:pPr>
      <w:r w:rsidRPr="00071B69">
        <w:rPr>
          <w:rFonts w:cstheme="minorHAnsi"/>
          <w:b/>
          <w:bCs/>
          <w:color w:val="000000"/>
        </w:rPr>
        <w:t xml:space="preserve">Table 2: Average Annual EPA Burden and Cost – NESHAP for Taconite Iron Ore Processing Facilities (40 CFR Part 63, Subpart </w:t>
      </w:r>
      <w:r w:rsidRPr="00071B69">
        <w:rPr>
          <w:rFonts w:cstheme="minorHAnsi"/>
          <w:b/>
          <w:bCs/>
        </w:rPr>
        <w:t>RRRRR</w:t>
      </w:r>
      <w:r w:rsidRPr="00071B69">
        <w:rPr>
          <w:rFonts w:cstheme="minorHAnsi"/>
          <w:b/>
          <w:bCs/>
          <w:color w:val="000000"/>
        </w:rPr>
        <w:t>) (2023 Proposed Amendments)</w:t>
      </w:r>
    </w:p>
    <w:tbl>
      <w:tblPr>
        <w:tblW w:w="13408" w:type="dxa"/>
        <w:tblLook w:val="04A0"/>
      </w:tblPr>
      <w:tblGrid>
        <w:gridCol w:w="3955"/>
        <w:gridCol w:w="1160"/>
        <w:gridCol w:w="1238"/>
        <w:gridCol w:w="1175"/>
        <w:gridCol w:w="827"/>
        <w:gridCol w:w="1050"/>
        <w:gridCol w:w="1338"/>
        <w:gridCol w:w="1103"/>
        <w:gridCol w:w="1409"/>
        <w:gridCol w:w="153"/>
      </w:tblGrid>
      <w:tr w14:paraId="214693B5" w14:textId="77777777" w:rsidTr="00D4586E">
        <w:tblPrEx>
          <w:tblW w:w="13408" w:type="dxa"/>
          <w:tblLook w:val="04A0"/>
        </w:tblPrEx>
        <w:trPr>
          <w:trHeight w:val="1434"/>
        </w:trPr>
        <w:tc>
          <w:tcPr>
            <w:tcW w:w="3955" w:type="dxa"/>
            <w:tcBorders>
              <w:top w:val="single" w:sz="4" w:space="0" w:color="auto"/>
              <w:left w:val="single" w:sz="4" w:space="0" w:color="auto"/>
              <w:bottom w:val="nil"/>
              <w:right w:val="single" w:sz="4" w:space="0" w:color="auto"/>
            </w:tcBorders>
            <w:shd w:val="clear" w:color="auto" w:fill="auto"/>
            <w:noWrap/>
            <w:vAlign w:val="bottom"/>
            <w:hideMark/>
          </w:tcPr>
          <w:p w:rsidR="00B50602" w:rsidRPr="00071B69" w:rsidP="00B50602" w14:paraId="76E7FF95"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Activity</w:t>
            </w:r>
          </w:p>
        </w:tc>
        <w:tc>
          <w:tcPr>
            <w:tcW w:w="1160" w:type="dxa"/>
            <w:tcBorders>
              <w:top w:val="single" w:sz="4" w:space="0" w:color="auto"/>
              <w:left w:val="nil"/>
              <w:bottom w:val="nil"/>
              <w:right w:val="single" w:sz="4" w:space="0" w:color="auto"/>
            </w:tcBorders>
            <w:shd w:val="clear" w:color="auto" w:fill="auto"/>
            <w:vAlign w:val="bottom"/>
            <w:hideMark/>
          </w:tcPr>
          <w:p w:rsidR="00B50602" w:rsidRPr="00071B69" w:rsidP="00B50602" w14:paraId="3D44EF9D"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(A)</w:t>
            </w:r>
            <w:r w:rsidRPr="00071B69">
              <w:rPr>
                <w:rFonts w:cstheme="minorHAnsi"/>
                <w:b/>
                <w:bCs/>
                <w:color w:val="000000"/>
                <w:sz w:val="20"/>
                <w:szCs w:val="20"/>
              </w:rPr>
              <w:br/>
              <w:t>EPA person hours per occurrence</w:t>
            </w:r>
          </w:p>
        </w:tc>
        <w:tc>
          <w:tcPr>
            <w:tcW w:w="1238" w:type="dxa"/>
            <w:tcBorders>
              <w:top w:val="single" w:sz="4" w:space="0" w:color="auto"/>
              <w:left w:val="nil"/>
              <w:bottom w:val="nil"/>
              <w:right w:val="single" w:sz="4" w:space="0" w:color="auto"/>
            </w:tcBorders>
            <w:shd w:val="clear" w:color="auto" w:fill="auto"/>
            <w:vAlign w:val="bottom"/>
            <w:hideMark/>
          </w:tcPr>
          <w:p w:rsidR="00B50602" w:rsidRPr="00071B69" w:rsidP="00B50602" w14:paraId="18A936E0"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(B)</w:t>
            </w:r>
            <w:r w:rsidRPr="00071B69">
              <w:rPr>
                <w:rFonts w:cstheme="minorHAnsi"/>
                <w:b/>
                <w:bCs/>
                <w:color w:val="000000"/>
                <w:sz w:val="20"/>
                <w:szCs w:val="20"/>
              </w:rPr>
              <w:br/>
              <w:t>No. of occurrences per plant per year</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rsidR="00B50602" w:rsidRPr="00071B69" w:rsidP="00B50602" w14:paraId="2EAAE4E0"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(C)</w:t>
            </w:r>
            <w:r w:rsidRPr="00071B69">
              <w:rPr>
                <w:rFonts w:cstheme="minorHAnsi"/>
                <w:b/>
                <w:bCs/>
                <w:color w:val="000000"/>
                <w:sz w:val="20"/>
                <w:szCs w:val="20"/>
              </w:rPr>
              <w:br/>
              <w:t xml:space="preserve">EPA person hours per respondent per year </w:t>
            </w:r>
            <w:r w:rsidRPr="00071B69">
              <w:rPr>
                <w:rFonts w:cstheme="minorHAnsi"/>
                <w:b/>
                <w:bCs/>
                <w:color w:val="000000"/>
                <w:sz w:val="20"/>
                <w:szCs w:val="20"/>
              </w:rPr>
              <w:br/>
              <w:t>(C=AxB)</w:t>
            </w:r>
          </w:p>
        </w:tc>
        <w:tc>
          <w:tcPr>
            <w:tcW w:w="827" w:type="dxa"/>
            <w:tcBorders>
              <w:top w:val="single" w:sz="4" w:space="0" w:color="auto"/>
              <w:left w:val="nil"/>
              <w:bottom w:val="single" w:sz="4" w:space="0" w:color="auto"/>
              <w:right w:val="single" w:sz="4" w:space="0" w:color="auto"/>
            </w:tcBorders>
            <w:shd w:val="clear" w:color="auto" w:fill="auto"/>
            <w:vAlign w:val="bottom"/>
            <w:hideMark/>
          </w:tcPr>
          <w:p w:rsidR="00B50602" w:rsidRPr="00071B69" w:rsidP="00B50602" w14:paraId="6D1B335F"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(D)</w:t>
            </w:r>
            <w:r w:rsidRPr="00071B69">
              <w:rPr>
                <w:rFonts w:cstheme="minorHAnsi"/>
                <w:b/>
                <w:bCs/>
                <w:color w:val="000000"/>
                <w:sz w:val="20"/>
                <w:szCs w:val="20"/>
              </w:rPr>
              <w:br/>
              <w:t xml:space="preserve">Plants per year </w:t>
            </w:r>
            <w:r w:rsidRPr="00071B69">
              <w:rPr>
                <w:rFonts w:cstheme="minorHAnsi"/>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rsidR="00B50602" w:rsidRPr="00071B69" w:rsidP="00B50602" w14:paraId="478EC716"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xml:space="preserve">(E) </w:t>
            </w:r>
            <w:r w:rsidRPr="00071B69">
              <w:rPr>
                <w:rFonts w:cstheme="minorHAnsi"/>
                <w:b/>
                <w:bCs/>
                <w:color w:val="000000"/>
                <w:sz w:val="20"/>
                <w:szCs w:val="20"/>
              </w:rPr>
              <w:br/>
              <w:t xml:space="preserve">Technical person- hours per year </w:t>
            </w:r>
            <w:r w:rsidRPr="00071B69">
              <w:rPr>
                <w:rFonts w:cstheme="minorHAnsi"/>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rsidR="00B50602" w:rsidRPr="00071B69" w:rsidP="00B50602" w14:paraId="4B786F55"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xml:space="preserve">(F) </w:t>
            </w:r>
            <w:r w:rsidRPr="00071B69">
              <w:rPr>
                <w:rFonts w:cstheme="minorHAnsi"/>
                <w:b/>
                <w:bCs/>
                <w:color w:val="000000"/>
                <w:sz w:val="20"/>
                <w:szCs w:val="20"/>
              </w:rPr>
              <w:br/>
              <w:t xml:space="preserve">Management person hours per year </w:t>
            </w:r>
            <w:r w:rsidRPr="00071B69">
              <w:rPr>
                <w:rFonts w:cstheme="minorHAnsi"/>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bottom"/>
            <w:hideMark/>
          </w:tcPr>
          <w:p w:rsidR="00B50602" w:rsidRPr="00071B69" w:rsidP="00B50602" w14:paraId="6653EFA3"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(G)</w:t>
            </w:r>
            <w:r w:rsidRPr="00071B69">
              <w:rPr>
                <w:rFonts w:cstheme="minorHAnsi"/>
                <w:b/>
                <w:bCs/>
                <w:color w:val="000000"/>
                <w:sz w:val="20"/>
                <w:szCs w:val="20"/>
              </w:rPr>
              <w:br/>
              <w:t xml:space="preserve">Clerical person hours per year </w:t>
            </w:r>
            <w:r w:rsidRPr="00071B69">
              <w:rPr>
                <w:rFonts w:cstheme="minorHAnsi"/>
                <w:b/>
                <w:bCs/>
                <w:color w:val="000000"/>
                <w:sz w:val="20"/>
                <w:szCs w:val="20"/>
              </w:rPr>
              <w:br/>
              <w:t>(G=Ex0.1)</w:t>
            </w:r>
          </w:p>
        </w:tc>
        <w:tc>
          <w:tcPr>
            <w:tcW w:w="1562" w:type="dxa"/>
            <w:gridSpan w:val="2"/>
            <w:tcBorders>
              <w:top w:val="single" w:sz="4" w:space="0" w:color="auto"/>
              <w:left w:val="nil"/>
              <w:bottom w:val="single" w:sz="4" w:space="0" w:color="auto"/>
              <w:right w:val="single" w:sz="4" w:space="0" w:color="auto"/>
            </w:tcBorders>
            <w:shd w:val="clear" w:color="auto" w:fill="auto"/>
            <w:vAlign w:val="bottom"/>
            <w:hideMark/>
          </w:tcPr>
          <w:p w:rsidR="00B50602" w:rsidRPr="00071B69" w:rsidP="00B50602" w14:paraId="3D1D1F4D"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(H)</w:t>
            </w:r>
            <w:r w:rsidRPr="00071B69">
              <w:rPr>
                <w:rFonts w:cstheme="minorHAnsi"/>
                <w:b/>
                <w:bCs/>
                <w:color w:val="000000"/>
                <w:sz w:val="20"/>
                <w:szCs w:val="20"/>
              </w:rPr>
              <w:br/>
              <w:t xml:space="preserve">Total Cost Per Year ($) </w:t>
            </w:r>
            <w:r w:rsidRPr="00071B69">
              <w:rPr>
                <w:rFonts w:cstheme="minorHAnsi"/>
                <w:b/>
                <w:bCs/>
                <w:color w:val="000000"/>
                <w:sz w:val="20"/>
                <w:szCs w:val="20"/>
                <w:vertAlign w:val="superscript"/>
              </w:rPr>
              <w:t>b</w:t>
            </w:r>
          </w:p>
        </w:tc>
      </w:tr>
      <w:tr w14:paraId="424F7D95" w14:textId="77777777" w:rsidTr="00D4586E">
        <w:tblPrEx>
          <w:tblW w:w="13408" w:type="dxa"/>
          <w:tblLook w:val="04A0"/>
        </w:tblPrEx>
        <w:trPr>
          <w:trHeight w:val="295"/>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602" w:rsidRPr="00071B69" w:rsidP="00B50602" w14:paraId="2B9D4C37" w14:textId="77777777">
            <w:pPr>
              <w:spacing w:after="0" w:line="240" w:lineRule="auto"/>
              <w:ind w:firstLine="200" w:firstLineChars="100"/>
              <w:contextualSpacing/>
              <w:rPr>
                <w:rFonts w:cstheme="minorHAnsi"/>
                <w:sz w:val="20"/>
                <w:szCs w:val="20"/>
              </w:rPr>
            </w:pPr>
            <w:r w:rsidRPr="00071B69">
              <w:rPr>
                <w:rFonts w:cstheme="minorHAnsi"/>
                <w:sz w:val="20"/>
                <w:szCs w:val="20"/>
              </w:rPr>
              <w:t xml:space="preserve">New Respondents </w:t>
            </w:r>
            <w:r w:rsidRPr="00071B69">
              <w:rPr>
                <w:rFonts w:cstheme="minorHAnsi"/>
                <w:sz w:val="20"/>
                <w:szCs w:val="20"/>
                <w:vertAlign w:val="superscript"/>
              </w:rPr>
              <w:t>c</w:t>
            </w:r>
          </w:p>
        </w:tc>
        <w:tc>
          <w:tcPr>
            <w:tcW w:w="1160" w:type="dxa"/>
            <w:tcBorders>
              <w:top w:val="single" w:sz="4" w:space="0" w:color="auto"/>
              <w:left w:val="nil"/>
              <w:bottom w:val="nil"/>
              <w:right w:val="single" w:sz="4" w:space="0" w:color="auto"/>
            </w:tcBorders>
            <w:shd w:val="clear" w:color="auto" w:fill="auto"/>
            <w:vAlign w:val="center"/>
            <w:hideMark/>
          </w:tcPr>
          <w:p w:rsidR="00B50602" w:rsidRPr="00071B69" w:rsidP="00B50602" w14:paraId="4C819C11"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w:t>
            </w:r>
          </w:p>
        </w:tc>
        <w:tc>
          <w:tcPr>
            <w:tcW w:w="1238" w:type="dxa"/>
            <w:tcBorders>
              <w:top w:val="single" w:sz="4" w:space="0" w:color="auto"/>
              <w:left w:val="nil"/>
              <w:bottom w:val="nil"/>
              <w:right w:val="single" w:sz="4" w:space="0" w:color="auto"/>
            </w:tcBorders>
            <w:shd w:val="clear" w:color="auto" w:fill="auto"/>
            <w:vAlign w:val="center"/>
            <w:hideMark/>
          </w:tcPr>
          <w:p w:rsidR="00B50602" w:rsidRPr="00071B69" w:rsidP="00B50602" w14:paraId="234D19F6"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w:t>
            </w:r>
          </w:p>
        </w:tc>
        <w:tc>
          <w:tcPr>
            <w:tcW w:w="1175" w:type="dxa"/>
            <w:tcBorders>
              <w:top w:val="nil"/>
              <w:left w:val="nil"/>
              <w:bottom w:val="single" w:sz="4" w:space="0" w:color="auto"/>
              <w:right w:val="nil"/>
            </w:tcBorders>
            <w:shd w:val="clear" w:color="auto" w:fill="auto"/>
            <w:vAlign w:val="center"/>
            <w:hideMark/>
          </w:tcPr>
          <w:p w:rsidR="00B50602" w:rsidRPr="00071B69" w:rsidP="00B50602" w14:paraId="5FE9A76A"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w:t>
            </w:r>
          </w:p>
        </w:tc>
        <w:tc>
          <w:tcPr>
            <w:tcW w:w="827" w:type="dxa"/>
            <w:tcBorders>
              <w:top w:val="nil"/>
              <w:left w:val="single" w:sz="4" w:space="0" w:color="auto"/>
              <w:bottom w:val="single" w:sz="4" w:space="0" w:color="auto"/>
              <w:right w:val="single" w:sz="4" w:space="0" w:color="auto"/>
            </w:tcBorders>
            <w:shd w:val="clear" w:color="auto" w:fill="auto"/>
            <w:vAlign w:val="center"/>
            <w:hideMark/>
          </w:tcPr>
          <w:p w:rsidR="00B50602" w:rsidRPr="00071B69" w:rsidP="00B50602" w14:paraId="21C87E6D"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B50602" w:rsidRPr="00071B69" w:rsidP="00B50602" w14:paraId="23A6EB2C"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50602" w:rsidRPr="00071B69" w:rsidP="00B50602" w14:paraId="5598CD13"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50602" w:rsidRPr="00071B69" w:rsidP="00B50602" w14:paraId="620046CA"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w:t>
            </w:r>
          </w:p>
        </w:tc>
        <w:tc>
          <w:tcPr>
            <w:tcW w:w="1562" w:type="dxa"/>
            <w:gridSpan w:val="2"/>
            <w:tcBorders>
              <w:top w:val="nil"/>
              <w:left w:val="nil"/>
              <w:bottom w:val="single" w:sz="4" w:space="0" w:color="auto"/>
              <w:right w:val="single" w:sz="4" w:space="0" w:color="auto"/>
            </w:tcBorders>
            <w:shd w:val="clear" w:color="auto" w:fill="auto"/>
            <w:vAlign w:val="center"/>
            <w:hideMark/>
          </w:tcPr>
          <w:p w:rsidR="00B50602" w:rsidRPr="00071B69" w:rsidP="00B50602" w14:paraId="3FA89B02"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 </w:t>
            </w:r>
          </w:p>
        </w:tc>
      </w:tr>
      <w:tr w14:paraId="536159F7" w14:textId="77777777" w:rsidTr="00D4586E">
        <w:tblPrEx>
          <w:tblW w:w="13408" w:type="dxa"/>
          <w:tblLook w:val="04A0"/>
        </w:tblPrEx>
        <w:trPr>
          <w:trHeight w:val="281"/>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7E919F82" w14:textId="77777777">
            <w:pPr>
              <w:spacing w:after="0" w:line="240" w:lineRule="auto"/>
              <w:ind w:firstLine="200" w:firstLineChars="100"/>
              <w:contextualSpacing/>
              <w:rPr>
                <w:rFonts w:cstheme="minorHAnsi"/>
                <w:sz w:val="20"/>
                <w:szCs w:val="20"/>
              </w:rPr>
            </w:pPr>
            <w:r w:rsidRPr="00071B69">
              <w:rPr>
                <w:rFonts w:cstheme="minorHAnsi"/>
                <w:sz w:val="20"/>
                <w:szCs w:val="20"/>
              </w:rPr>
              <w:t xml:space="preserve">i.    Notification of compliance status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50602" w:rsidRPr="00071B69" w:rsidP="00B50602" w14:paraId="33A12B06"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B50602" w:rsidRPr="00071B69" w:rsidP="00B50602" w14:paraId="48FC5521"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135AA59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178E3F3C"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471CA3E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30C9D813"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4A7318FC"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3C924B59"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w:t>
            </w:r>
          </w:p>
        </w:tc>
      </w:tr>
      <w:tr w14:paraId="2C7D4326" w14:textId="77777777" w:rsidTr="00D4586E">
        <w:tblPrEx>
          <w:tblW w:w="13408" w:type="dxa"/>
          <w:tblLook w:val="04A0"/>
        </w:tblPrEx>
        <w:trPr>
          <w:trHeight w:val="281"/>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50602" w:rsidRPr="00071B69" w:rsidP="00B50602" w14:paraId="58C54141" w14:textId="77777777">
            <w:pPr>
              <w:spacing w:after="0" w:line="240" w:lineRule="auto"/>
              <w:ind w:firstLine="200" w:firstLineChars="100"/>
              <w:contextualSpacing/>
              <w:rPr>
                <w:rFonts w:cstheme="minorHAnsi"/>
                <w:sz w:val="20"/>
                <w:szCs w:val="20"/>
              </w:rPr>
            </w:pPr>
            <w:r w:rsidRPr="00071B69">
              <w:rPr>
                <w:rFonts w:cstheme="minorHAnsi"/>
                <w:sz w:val="20"/>
                <w:szCs w:val="20"/>
              </w:rPr>
              <w:t xml:space="preserve">ii.   Notification of intent to construct a major source and review application </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2265435D"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21D61E1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2E4CB032"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4F103A37"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3C9637D5"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69E8B6C6"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1FB8C65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0E9CB29F"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w:t>
            </w:r>
          </w:p>
        </w:tc>
      </w:tr>
      <w:tr w14:paraId="688253B1" w14:textId="77777777" w:rsidTr="00D4586E">
        <w:tblPrEx>
          <w:tblW w:w="13408" w:type="dxa"/>
          <w:tblLook w:val="04A0"/>
        </w:tblPrEx>
        <w:trPr>
          <w:trHeight w:val="281"/>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50602" w:rsidRPr="00071B69" w:rsidP="00B50602" w14:paraId="5C85C3EC" w14:textId="77777777">
            <w:pPr>
              <w:spacing w:after="0" w:line="240" w:lineRule="auto"/>
              <w:ind w:firstLine="200" w:firstLineChars="100"/>
              <w:contextualSpacing/>
              <w:rPr>
                <w:rFonts w:cstheme="minorHAnsi"/>
                <w:sz w:val="20"/>
                <w:szCs w:val="20"/>
              </w:rPr>
            </w:pPr>
            <w:r w:rsidRPr="00071B69">
              <w:rPr>
                <w:rFonts w:cstheme="minorHAnsi"/>
                <w:sz w:val="20"/>
                <w:szCs w:val="20"/>
              </w:rPr>
              <w:t xml:space="preserve">iii.  Notification of start of construction </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12BA1AA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089CBA42"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7FA21DA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0959CD1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551ECC31"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198C5AE8"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3888275C"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5A5ACD49"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w:t>
            </w:r>
          </w:p>
        </w:tc>
      </w:tr>
      <w:tr w14:paraId="3782E0FA" w14:textId="77777777" w:rsidTr="00D4586E">
        <w:tblPrEx>
          <w:tblW w:w="13408" w:type="dxa"/>
          <w:tblLook w:val="04A0"/>
        </w:tblPrEx>
        <w:trPr>
          <w:trHeight w:val="281"/>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50602" w:rsidRPr="00071B69" w:rsidP="00B50602" w14:paraId="6AD195E6" w14:textId="77777777">
            <w:pPr>
              <w:spacing w:after="0" w:line="240" w:lineRule="auto"/>
              <w:ind w:firstLine="200" w:firstLineChars="100"/>
              <w:contextualSpacing/>
              <w:rPr>
                <w:rFonts w:cstheme="minorHAnsi"/>
                <w:sz w:val="20"/>
                <w:szCs w:val="20"/>
              </w:rPr>
            </w:pPr>
            <w:r w:rsidRPr="00071B69">
              <w:rPr>
                <w:rFonts w:cstheme="minorHAnsi"/>
                <w:sz w:val="20"/>
                <w:szCs w:val="20"/>
              </w:rPr>
              <w:t xml:space="preserve">iv.  Notification of actual startup </w:t>
            </w:r>
          </w:p>
        </w:tc>
        <w:tc>
          <w:tcPr>
            <w:tcW w:w="1160" w:type="dxa"/>
            <w:tcBorders>
              <w:top w:val="nil"/>
              <w:left w:val="nil"/>
              <w:bottom w:val="single" w:sz="4" w:space="0" w:color="auto"/>
              <w:right w:val="single" w:sz="4" w:space="0" w:color="auto"/>
            </w:tcBorders>
            <w:shd w:val="clear" w:color="000000" w:fill="FFFFFF"/>
            <w:noWrap/>
            <w:vAlign w:val="center"/>
            <w:hideMark/>
          </w:tcPr>
          <w:p w:rsidR="00B50602" w:rsidRPr="00071B69" w:rsidP="00B50602" w14:paraId="05708847"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N/A</w:t>
            </w:r>
          </w:p>
        </w:tc>
        <w:tc>
          <w:tcPr>
            <w:tcW w:w="1238" w:type="dxa"/>
            <w:tcBorders>
              <w:top w:val="nil"/>
              <w:left w:val="nil"/>
              <w:bottom w:val="single" w:sz="4" w:space="0" w:color="auto"/>
              <w:right w:val="single" w:sz="4" w:space="0" w:color="auto"/>
            </w:tcBorders>
            <w:shd w:val="clear" w:color="000000" w:fill="FFFFFF"/>
            <w:noWrap/>
            <w:vAlign w:val="center"/>
            <w:hideMark/>
          </w:tcPr>
          <w:p w:rsidR="00B50602" w:rsidRPr="00071B69" w:rsidP="00B50602" w14:paraId="4928B8AD" w14:textId="77777777">
            <w:pPr>
              <w:spacing w:after="0" w:line="240" w:lineRule="auto"/>
              <w:contextualSpacing/>
              <w:rPr>
                <w:rFonts w:cstheme="minorHAnsi"/>
                <w:color w:val="000000"/>
                <w:sz w:val="20"/>
                <w:szCs w:val="20"/>
              </w:rPr>
            </w:pPr>
            <w:r w:rsidRPr="00071B69">
              <w:rPr>
                <w:rFonts w:cstheme="minorHAnsi"/>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3A41971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827" w:type="dxa"/>
            <w:tcBorders>
              <w:top w:val="nil"/>
              <w:left w:val="single" w:sz="4" w:space="0" w:color="auto"/>
              <w:bottom w:val="single" w:sz="4" w:space="0" w:color="auto"/>
              <w:right w:val="single" w:sz="4" w:space="0" w:color="auto"/>
            </w:tcBorders>
            <w:shd w:val="clear" w:color="000000" w:fill="FFFFFF"/>
            <w:noWrap/>
            <w:vAlign w:val="center"/>
            <w:hideMark/>
          </w:tcPr>
          <w:p w:rsidR="00B50602" w:rsidRPr="00071B69" w:rsidP="00B50602" w14:paraId="014F44AD" w14:textId="77777777">
            <w:pPr>
              <w:spacing w:after="0" w:line="240" w:lineRule="auto"/>
              <w:contextualSpacing/>
              <w:rPr>
                <w:rFonts w:cstheme="minorHAnsi"/>
                <w:color w:val="000000"/>
                <w:sz w:val="20"/>
                <w:szCs w:val="20"/>
              </w:rPr>
            </w:pPr>
            <w:r w:rsidRPr="00071B69">
              <w:rPr>
                <w:rFonts w:cstheme="minorHAnsi"/>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590A4E1A"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B63308E"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274ABF95"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79A484AD"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w:t>
            </w:r>
          </w:p>
        </w:tc>
      </w:tr>
      <w:tr w14:paraId="6ECE077B" w14:textId="77777777" w:rsidTr="00D4586E">
        <w:tblPrEx>
          <w:tblW w:w="13408" w:type="dxa"/>
          <w:tblLook w:val="04A0"/>
        </w:tblPrEx>
        <w:trPr>
          <w:trHeight w:val="281"/>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50602" w:rsidRPr="00071B69" w:rsidP="00B50602" w14:paraId="32FDA1AD" w14:textId="77777777">
            <w:pPr>
              <w:spacing w:after="0" w:line="240" w:lineRule="auto"/>
              <w:ind w:firstLine="200" w:firstLineChars="100"/>
              <w:contextualSpacing/>
              <w:rPr>
                <w:rFonts w:cstheme="minorHAnsi"/>
                <w:sz w:val="20"/>
                <w:szCs w:val="20"/>
              </w:rPr>
            </w:pPr>
            <w:r w:rsidRPr="00071B69">
              <w:rPr>
                <w:rFonts w:cstheme="minorHAnsi"/>
                <w:sz w:val="20"/>
                <w:szCs w:val="20"/>
              </w:rPr>
              <w:t xml:space="preserve">v.   Notification of initial performance test and test plan </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47302EEE"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1E854C6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7AD20E58"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677D45D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4BEE583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11BC59BB"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01CB238B"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691F3F58"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w:t>
            </w:r>
          </w:p>
        </w:tc>
      </w:tr>
      <w:tr w14:paraId="3D4937C1" w14:textId="77777777" w:rsidTr="00D4586E">
        <w:tblPrEx>
          <w:tblW w:w="13408" w:type="dxa"/>
          <w:tblLook w:val="04A0"/>
        </w:tblPrEx>
        <w:trPr>
          <w:trHeight w:val="281"/>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7101FBD5" w14:textId="77777777">
            <w:pPr>
              <w:spacing w:after="0" w:line="240" w:lineRule="auto"/>
              <w:ind w:firstLine="200" w:firstLineChars="100"/>
              <w:contextualSpacing/>
              <w:rPr>
                <w:rFonts w:cstheme="minorHAnsi"/>
                <w:sz w:val="20"/>
                <w:szCs w:val="20"/>
              </w:rPr>
            </w:pPr>
            <w:r w:rsidRPr="00071B69">
              <w:rPr>
                <w:rFonts w:cstheme="minorHAnsi"/>
                <w:sz w:val="20"/>
                <w:szCs w:val="20"/>
              </w:rPr>
              <w:t>Existing Respondents</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42707D9"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1864F836"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7492E42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42471F95"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3D935D3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596ACDE8"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16A247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10057AEB"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w:t>
            </w:r>
          </w:p>
        </w:tc>
      </w:tr>
      <w:tr w14:paraId="5C5B62A2" w14:textId="77777777" w:rsidTr="00D4586E">
        <w:tblPrEx>
          <w:tblW w:w="13408" w:type="dxa"/>
          <w:tblLook w:val="04A0"/>
        </w:tblPrEx>
        <w:trPr>
          <w:trHeight w:val="29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3CECAB4C" w14:textId="77777777">
            <w:pPr>
              <w:spacing w:after="0" w:line="240" w:lineRule="auto"/>
              <w:ind w:firstLine="400" w:firstLineChars="200"/>
              <w:contextualSpacing/>
              <w:rPr>
                <w:rFonts w:cstheme="minorHAnsi"/>
                <w:color w:val="000000"/>
                <w:sz w:val="20"/>
                <w:szCs w:val="20"/>
              </w:rPr>
            </w:pPr>
            <w:r w:rsidRPr="00071B69">
              <w:rPr>
                <w:rFonts w:cstheme="minorHAnsi"/>
                <w:color w:val="000000"/>
                <w:sz w:val="20"/>
                <w:szCs w:val="20"/>
              </w:rPr>
              <w:t xml:space="preserve">Notifications of Performance Tests </w:t>
            </w:r>
            <w:r w:rsidRPr="00071B69">
              <w:rPr>
                <w:rFonts w:cstheme="minorHAnsi"/>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5E7467B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32BAA60D"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1.03</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3D8115C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4.1</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1C2CE04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7</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00A43EF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28.84</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380F337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1.442</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3A3516A5"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2.884</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21B29DC5"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xml:space="preserve">$1,657.29 </w:t>
            </w:r>
          </w:p>
        </w:tc>
      </w:tr>
      <w:tr w14:paraId="1E5695D6" w14:textId="77777777" w:rsidTr="00D4586E">
        <w:tblPrEx>
          <w:tblW w:w="13408" w:type="dxa"/>
          <w:tblLook w:val="04A0"/>
        </w:tblPrEx>
        <w:trPr>
          <w:trHeight w:val="29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50602" w:rsidRPr="00071B69" w:rsidP="00B50602" w14:paraId="38E3D969" w14:textId="77777777">
            <w:pPr>
              <w:spacing w:after="0" w:line="240" w:lineRule="auto"/>
              <w:ind w:firstLine="400" w:firstLineChars="200"/>
              <w:contextualSpacing/>
              <w:rPr>
                <w:rFonts w:cstheme="minorHAnsi"/>
                <w:color w:val="000000"/>
                <w:sz w:val="20"/>
                <w:szCs w:val="20"/>
              </w:rPr>
            </w:pPr>
            <w:r w:rsidRPr="00071B69">
              <w:rPr>
                <w:rFonts w:cstheme="minorHAnsi"/>
                <w:color w:val="000000"/>
                <w:sz w:val="20"/>
                <w:szCs w:val="20"/>
              </w:rPr>
              <w:t>Notification of Special Compliance Requirements</w:t>
            </w:r>
            <w:r w:rsidRPr="00071B69">
              <w:rPr>
                <w:rFonts w:cstheme="minorHAnsi"/>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181874F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D4B660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50959C31"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4</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1695DDA5"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0E64AE41"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1.33</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477DA6A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0.07</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3A6EAFCE"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0.13</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435B3D97"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xml:space="preserve">$76.62 </w:t>
            </w:r>
          </w:p>
        </w:tc>
      </w:tr>
      <w:tr w14:paraId="1B1D43D3" w14:textId="77777777" w:rsidTr="00D4586E">
        <w:tblPrEx>
          <w:tblW w:w="13408" w:type="dxa"/>
          <w:tblLook w:val="04A0"/>
        </w:tblPrEx>
        <w:trPr>
          <w:trHeight w:val="29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7ABEED42" w14:textId="77777777">
            <w:pPr>
              <w:spacing w:after="0" w:line="240" w:lineRule="auto"/>
              <w:ind w:firstLine="400" w:firstLineChars="200"/>
              <w:contextualSpacing/>
              <w:rPr>
                <w:rFonts w:cstheme="minorHAnsi"/>
                <w:color w:val="000000"/>
                <w:sz w:val="20"/>
                <w:szCs w:val="20"/>
              </w:rPr>
            </w:pPr>
            <w:r w:rsidRPr="00071B69">
              <w:rPr>
                <w:rFonts w:cstheme="minorHAnsi"/>
                <w:color w:val="000000"/>
                <w:sz w:val="20"/>
                <w:szCs w:val="20"/>
              </w:rPr>
              <w:t xml:space="preserve">Review of Performance Test Report for Hg, HCL and HF </w:t>
            </w:r>
            <w:r w:rsidRPr="00071B69">
              <w:rPr>
                <w:rFonts w:cstheme="minorHAnsi"/>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09A0F7DD"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F51889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1.03</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75F0EDC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8.2</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36DDDF41"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7</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8CA87DE"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57.68</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0CCB45E4"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2.884</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6D44E137"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5.768</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0680ED53"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xml:space="preserve">$3,314.58 </w:t>
            </w:r>
          </w:p>
        </w:tc>
      </w:tr>
      <w:tr w14:paraId="550E76BC" w14:textId="77777777" w:rsidTr="00D4586E">
        <w:tblPrEx>
          <w:tblW w:w="13408" w:type="dxa"/>
          <w:tblLook w:val="04A0"/>
        </w:tblPrEx>
        <w:trPr>
          <w:trHeight w:val="29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50602" w:rsidRPr="00071B69" w:rsidP="00B50602" w14:paraId="4CBFB1BF" w14:textId="77777777">
            <w:pPr>
              <w:spacing w:after="0" w:line="240" w:lineRule="auto"/>
              <w:ind w:firstLine="400" w:firstLineChars="200"/>
              <w:contextualSpacing/>
              <w:rPr>
                <w:rFonts w:cstheme="minorHAnsi"/>
                <w:color w:val="000000"/>
                <w:sz w:val="20"/>
                <w:szCs w:val="20"/>
              </w:rPr>
            </w:pPr>
            <w:r w:rsidRPr="00071B69">
              <w:rPr>
                <w:rFonts w:cstheme="minorHAnsi"/>
                <w:color w:val="000000"/>
                <w:sz w:val="20"/>
                <w:szCs w:val="20"/>
              </w:rPr>
              <w:t>Review of Notification of Compliance Status</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112B9C9"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766E4635"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7F88588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2.0</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2CBA6926"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7</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0660B2B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14.0</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46B5F7FE"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0.7</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4DF7A45D"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1.4</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30695C80"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xml:space="preserve">$804.51 </w:t>
            </w:r>
          </w:p>
        </w:tc>
      </w:tr>
      <w:tr w14:paraId="265F07EC" w14:textId="77777777" w:rsidTr="00D4586E">
        <w:tblPrEx>
          <w:tblW w:w="13408" w:type="dxa"/>
          <w:tblLook w:val="04A0"/>
        </w:tblPrEx>
        <w:trPr>
          <w:trHeight w:val="29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26EDFB24" w14:textId="77777777">
            <w:pPr>
              <w:spacing w:after="0" w:line="240" w:lineRule="auto"/>
              <w:ind w:firstLine="400" w:firstLineChars="200"/>
              <w:contextualSpacing/>
              <w:rPr>
                <w:rFonts w:cstheme="minorHAnsi"/>
                <w:color w:val="000000"/>
                <w:sz w:val="20"/>
                <w:szCs w:val="20"/>
              </w:rPr>
            </w:pPr>
            <w:r w:rsidRPr="00071B69">
              <w:rPr>
                <w:rFonts w:cstheme="minorHAnsi"/>
                <w:color w:val="000000"/>
                <w:sz w:val="20"/>
                <w:szCs w:val="20"/>
              </w:rPr>
              <w:t>Review of Semiannual Compliance Report</w:t>
            </w:r>
          </w:p>
        </w:tc>
        <w:tc>
          <w:tcPr>
            <w:tcW w:w="116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12C85CB0"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2B987FCA"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2</w:t>
            </w:r>
          </w:p>
        </w:tc>
        <w:tc>
          <w:tcPr>
            <w:tcW w:w="1175" w:type="dxa"/>
            <w:tcBorders>
              <w:top w:val="nil"/>
              <w:left w:val="nil"/>
              <w:bottom w:val="single" w:sz="4" w:space="0" w:color="auto"/>
              <w:right w:val="nil"/>
            </w:tcBorders>
            <w:shd w:val="clear" w:color="auto" w:fill="auto"/>
            <w:noWrap/>
            <w:vAlign w:val="center"/>
            <w:hideMark/>
          </w:tcPr>
          <w:p w:rsidR="00B50602" w:rsidRPr="00071B69" w:rsidP="00B50602" w14:paraId="146B3689"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4</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rsidR="00B50602" w:rsidRPr="00071B69" w:rsidP="00B50602" w14:paraId="7017EA8D"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7</w:t>
            </w:r>
          </w:p>
        </w:tc>
        <w:tc>
          <w:tcPr>
            <w:tcW w:w="1050"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608E19A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28</w:t>
            </w:r>
          </w:p>
        </w:tc>
        <w:tc>
          <w:tcPr>
            <w:tcW w:w="1338"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467C2F28"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2529F08B"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3</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B50602" w:rsidRPr="00071B69" w:rsidP="00B50602" w14:paraId="54FDC442" w14:textId="77777777">
            <w:pPr>
              <w:spacing w:after="0" w:line="240" w:lineRule="auto"/>
              <w:contextualSpacing/>
              <w:jc w:val="right"/>
              <w:rPr>
                <w:rFonts w:cstheme="minorHAnsi"/>
                <w:color w:val="000000"/>
                <w:sz w:val="20"/>
                <w:szCs w:val="20"/>
              </w:rPr>
            </w:pPr>
            <w:r w:rsidRPr="00071B69">
              <w:rPr>
                <w:rFonts w:cstheme="minorHAnsi"/>
                <w:color w:val="000000"/>
                <w:sz w:val="20"/>
                <w:szCs w:val="20"/>
              </w:rPr>
              <w:t xml:space="preserve">$1,609.02 </w:t>
            </w:r>
          </w:p>
        </w:tc>
      </w:tr>
      <w:tr w14:paraId="1F7EFF3A" w14:textId="77777777" w:rsidTr="00D4586E">
        <w:tblPrEx>
          <w:tblW w:w="13408" w:type="dxa"/>
          <w:tblLook w:val="04A0"/>
        </w:tblPrEx>
        <w:trPr>
          <w:trHeight w:val="29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50602" w:rsidRPr="00071B69" w:rsidP="00B50602" w14:paraId="26BFAA73" w14:textId="77777777">
            <w:pPr>
              <w:spacing w:after="0" w:line="240" w:lineRule="auto"/>
              <w:contextualSpacing/>
              <w:rPr>
                <w:rFonts w:cstheme="minorHAnsi"/>
                <w:b/>
                <w:bCs/>
                <w:sz w:val="20"/>
                <w:szCs w:val="20"/>
              </w:rPr>
            </w:pPr>
            <w:r w:rsidRPr="00071B69">
              <w:rPr>
                <w:rFonts w:cstheme="minorHAnsi"/>
                <w:b/>
                <w:bCs/>
                <w:sz w:val="20"/>
                <w:szCs w:val="20"/>
              </w:rPr>
              <w:t>Total (rounded)</w:t>
            </w:r>
            <w:r w:rsidRPr="00071B69">
              <w:rPr>
                <w:rFonts w:cstheme="minorHAnsi"/>
                <w:b/>
                <w:bCs/>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rsidR="00B50602" w:rsidRPr="00071B69" w:rsidP="00B50602" w14:paraId="21FABCB8" w14:textId="77777777">
            <w:pPr>
              <w:spacing w:after="0" w:line="240" w:lineRule="auto"/>
              <w:contextualSpacing/>
              <w:rPr>
                <w:rFonts w:cstheme="minorHAnsi"/>
                <w:color w:val="000000"/>
                <w:sz w:val="20"/>
                <w:szCs w:val="20"/>
              </w:rPr>
            </w:pPr>
            <w:r w:rsidRPr="00071B69">
              <w:rPr>
                <w:rFonts w:cstheme="minorHAns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B50602" w:rsidRPr="00071B69" w:rsidP="00B50602" w14:paraId="2B26A880" w14:textId="77777777">
            <w:pPr>
              <w:spacing w:after="0" w:line="240" w:lineRule="auto"/>
              <w:contextualSpacing/>
              <w:rPr>
                <w:rFonts w:cstheme="minorHAnsi"/>
                <w:color w:val="000000"/>
                <w:sz w:val="20"/>
                <w:szCs w:val="20"/>
              </w:rPr>
            </w:pPr>
            <w:r w:rsidRPr="00071B69">
              <w:rPr>
                <w:rFonts w:cstheme="minorHAnsi"/>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B50602" w:rsidRPr="00071B69" w:rsidP="00B50602" w14:paraId="051AFF2F" w14:textId="77777777">
            <w:pPr>
              <w:spacing w:after="0" w:line="240" w:lineRule="auto"/>
              <w:contextualSpacing/>
              <w:jc w:val="center"/>
              <w:rPr>
                <w:rFonts w:cstheme="minorHAnsi"/>
                <w:color w:val="000000"/>
                <w:sz w:val="20"/>
                <w:szCs w:val="20"/>
              </w:rPr>
            </w:pPr>
            <w:r w:rsidRPr="00071B69">
              <w:rPr>
                <w:rFonts w:cstheme="minorHAnsi"/>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rsidR="00B50602" w:rsidRPr="00071B69" w:rsidP="00B50602" w14:paraId="77BC68E4" w14:textId="77777777">
            <w:pPr>
              <w:spacing w:after="0" w:line="240" w:lineRule="auto"/>
              <w:contextualSpacing/>
              <w:rPr>
                <w:rFonts w:cstheme="minorHAnsi"/>
                <w:color w:val="000000"/>
                <w:sz w:val="20"/>
                <w:szCs w:val="20"/>
              </w:rPr>
            </w:pPr>
            <w:r w:rsidRPr="00071B69">
              <w:rPr>
                <w:rFonts w:cstheme="minorHAnsi"/>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bottom"/>
            <w:hideMark/>
          </w:tcPr>
          <w:p w:rsidR="00B50602" w:rsidRPr="00071B69" w:rsidP="00B50602" w14:paraId="1210E339" w14:textId="77777777">
            <w:pPr>
              <w:spacing w:after="0" w:line="240" w:lineRule="auto"/>
              <w:contextualSpacing/>
              <w:jc w:val="center"/>
              <w:rPr>
                <w:rFonts w:cstheme="minorHAnsi"/>
                <w:b/>
                <w:bCs/>
                <w:color w:val="000000"/>
                <w:sz w:val="20"/>
                <w:szCs w:val="20"/>
              </w:rPr>
            </w:pPr>
            <w:r w:rsidRPr="00071B69">
              <w:rPr>
                <w:rFonts w:cstheme="minorHAnsi"/>
                <w:b/>
                <w:bCs/>
                <w:color w:val="000000"/>
                <w:sz w:val="20"/>
                <w:szCs w:val="20"/>
              </w:rPr>
              <w:t>150</w:t>
            </w:r>
          </w:p>
        </w:tc>
        <w:tc>
          <w:tcPr>
            <w:tcW w:w="1562" w:type="dxa"/>
            <w:gridSpan w:val="2"/>
            <w:tcBorders>
              <w:top w:val="nil"/>
              <w:left w:val="nil"/>
              <w:bottom w:val="single" w:sz="4" w:space="0" w:color="auto"/>
              <w:right w:val="single" w:sz="4" w:space="0" w:color="auto"/>
            </w:tcBorders>
            <w:shd w:val="clear" w:color="auto" w:fill="auto"/>
            <w:noWrap/>
            <w:vAlign w:val="bottom"/>
            <w:hideMark/>
          </w:tcPr>
          <w:p w:rsidR="00B50602" w:rsidRPr="00071B69" w:rsidP="00B50602" w14:paraId="2CE9C6DE" w14:textId="77777777">
            <w:pPr>
              <w:spacing w:after="0" w:line="240" w:lineRule="auto"/>
              <w:contextualSpacing/>
              <w:jc w:val="right"/>
              <w:rPr>
                <w:rFonts w:cstheme="minorHAnsi"/>
                <w:b/>
                <w:bCs/>
                <w:color w:val="000000"/>
                <w:sz w:val="20"/>
                <w:szCs w:val="20"/>
              </w:rPr>
            </w:pPr>
            <w:r w:rsidRPr="00071B69">
              <w:rPr>
                <w:rFonts w:cstheme="minorHAnsi"/>
                <w:b/>
                <w:bCs/>
                <w:color w:val="000000"/>
                <w:sz w:val="20"/>
                <w:szCs w:val="20"/>
              </w:rPr>
              <w:t xml:space="preserve">$7,460 </w:t>
            </w:r>
          </w:p>
        </w:tc>
      </w:tr>
      <w:tr w14:paraId="65FEE36F" w14:textId="77777777" w:rsidTr="00D4586E">
        <w:tblPrEx>
          <w:tblW w:w="13408" w:type="dxa"/>
          <w:tblLook w:val="04A0"/>
        </w:tblPrEx>
        <w:trPr>
          <w:gridAfter w:val="1"/>
          <w:wAfter w:w="153" w:type="dxa"/>
          <w:trHeight w:val="238"/>
        </w:trPr>
        <w:tc>
          <w:tcPr>
            <w:tcW w:w="13255" w:type="dxa"/>
            <w:gridSpan w:val="9"/>
            <w:tcBorders>
              <w:top w:val="nil"/>
              <w:left w:val="nil"/>
              <w:bottom w:val="nil"/>
              <w:right w:val="nil"/>
            </w:tcBorders>
            <w:shd w:val="clear" w:color="auto" w:fill="auto"/>
            <w:noWrap/>
            <w:vAlign w:val="center"/>
            <w:hideMark/>
          </w:tcPr>
          <w:p w:rsidR="00D4586E" w:rsidRPr="00071B69" w:rsidP="00B50602" w14:paraId="060555A5" w14:textId="77777777">
            <w:pPr>
              <w:spacing w:after="0" w:line="240" w:lineRule="auto"/>
              <w:contextualSpacing/>
              <w:rPr>
                <w:rFonts w:cstheme="minorHAnsi"/>
                <w:b/>
                <w:bCs/>
                <w:color w:val="000000"/>
                <w:sz w:val="20"/>
                <w:szCs w:val="20"/>
              </w:rPr>
            </w:pPr>
          </w:p>
          <w:p w:rsidR="00B50602" w:rsidRPr="00071B69" w:rsidP="00B50602" w14:paraId="14ADAE28" w14:textId="5A1F8384">
            <w:pPr>
              <w:spacing w:after="0" w:line="240" w:lineRule="auto"/>
              <w:contextualSpacing/>
              <w:rPr>
                <w:rFonts w:cstheme="minorHAnsi"/>
                <w:b/>
                <w:bCs/>
                <w:color w:val="000000"/>
                <w:sz w:val="20"/>
                <w:szCs w:val="20"/>
              </w:rPr>
            </w:pPr>
            <w:r w:rsidRPr="00071B69">
              <w:rPr>
                <w:rFonts w:cstheme="minorHAnsi"/>
                <w:b/>
                <w:bCs/>
                <w:color w:val="000000"/>
                <w:sz w:val="20"/>
                <w:szCs w:val="20"/>
              </w:rPr>
              <w:t>Assumptions:</w:t>
            </w:r>
          </w:p>
        </w:tc>
      </w:tr>
      <w:tr w14:paraId="78F8F51C" w14:textId="77777777" w:rsidTr="00D4586E">
        <w:tblPrEx>
          <w:tblW w:w="13408" w:type="dxa"/>
          <w:tblLook w:val="04A0"/>
        </w:tblPrEx>
        <w:trPr>
          <w:gridAfter w:val="1"/>
          <w:wAfter w:w="153" w:type="dxa"/>
          <w:trHeight w:val="501"/>
        </w:trPr>
        <w:tc>
          <w:tcPr>
            <w:tcW w:w="13255" w:type="dxa"/>
            <w:gridSpan w:val="9"/>
            <w:tcBorders>
              <w:top w:val="nil"/>
              <w:left w:val="nil"/>
              <w:bottom w:val="nil"/>
              <w:right w:val="nil"/>
            </w:tcBorders>
            <w:shd w:val="clear" w:color="auto" w:fill="auto"/>
            <w:hideMark/>
          </w:tcPr>
          <w:p w:rsidR="00B50602" w:rsidRPr="00071B69" w:rsidP="00B50602" w14:paraId="7E680E49" w14:textId="77777777">
            <w:pPr>
              <w:spacing w:after="0" w:line="240" w:lineRule="auto"/>
              <w:contextualSpacing/>
              <w:rPr>
                <w:rFonts w:cstheme="minorHAnsi"/>
                <w:sz w:val="20"/>
                <w:szCs w:val="20"/>
              </w:rPr>
            </w:pPr>
            <w:r w:rsidRPr="00071B69">
              <w:rPr>
                <w:rFonts w:cstheme="minorHAnsi"/>
                <w:sz w:val="20"/>
                <w:szCs w:val="20"/>
              </w:rPr>
              <w:t>a.  Assumed that the average number of respondents that will be subject to the rule will be 7 existing respondents with a total of 18 indurating furnaces. There will be no new sources per year that will become subject to the rule over the three-year period of this ICR.</w:t>
            </w:r>
          </w:p>
        </w:tc>
      </w:tr>
      <w:tr w14:paraId="11B534E6" w14:textId="77777777" w:rsidTr="00D4586E">
        <w:tblPrEx>
          <w:tblW w:w="13408" w:type="dxa"/>
          <w:tblLook w:val="04A0"/>
        </w:tblPrEx>
        <w:trPr>
          <w:gridAfter w:val="1"/>
          <w:wAfter w:w="153" w:type="dxa"/>
          <w:trHeight w:val="441"/>
        </w:trPr>
        <w:tc>
          <w:tcPr>
            <w:tcW w:w="13255" w:type="dxa"/>
            <w:gridSpan w:val="9"/>
            <w:tcBorders>
              <w:top w:val="nil"/>
              <w:left w:val="nil"/>
              <w:bottom w:val="nil"/>
              <w:right w:val="nil"/>
            </w:tcBorders>
            <w:shd w:val="clear" w:color="auto" w:fill="auto"/>
            <w:hideMark/>
          </w:tcPr>
          <w:p w:rsidR="00B50602" w:rsidRPr="00071B69" w:rsidP="00B50602" w14:paraId="01E03746" w14:textId="77777777">
            <w:pPr>
              <w:spacing w:after="0" w:line="240" w:lineRule="auto"/>
              <w:contextualSpacing/>
              <w:rPr>
                <w:rFonts w:cstheme="minorHAnsi"/>
                <w:sz w:val="20"/>
                <w:szCs w:val="20"/>
              </w:rPr>
            </w:pPr>
            <w:r w:rsidRPr="00071B69">
              <w:rPr>
                <w:rFonts w:cstheme="minorHAnsi"/>
                <w:sz w:val="20"/>
                <w:szCs w:val="20"/>
              </w:rPr>
              <w:t>b.  This ICR uses the following labor rates:  $43.15 for managerial, $32.02 for technical, and $17.33 for clerical labor. These rates are from the Office of Personnel Management (OPM), 2022 General Schedule, which excludes locality rates of pay. The rates have been increased by 60 percent to account for the benefit packages available to government employees.</w:t>
            </w:r>
          </w:p>
        </w:tc>
      </w:tr>
      <w:tr w14:paraId="799807E9" w14:textId="77777777" w:rsidTr="00D4586E">
        <w:tblPrEx>
          <w:tblW w:w="13408" w:type="dxa"/>
          <w:tblLook w:val="04A0"/>
        </w:tblPrEx>
        <w:trPr>
          <w:gridAfter w:val="1"/>
          <w:wAfter w:w="153" w:type="dxa"/>
          <w:trHeight w:val="238"/>
        </w:trPr>
        <w:tc>
          <w:tcPr>
            <w:tcW w:w="13255" w:type="dxa"/>
            <w:gridSpan w:val="9"/>
            <w:tcBorders>
              <w:top w:val="nil"/>
              <w:left w:val="nil"/>
              <w:bottom w:val="nil"/>
              <w:right w:val="nil"/>
            </w:tcBorders>
            <w:shd w:val="clear" w:color="auto" w:fill="auto"/>
            <w:hideMark/>
          </w:tcPr>
          <w:p w:rsidR="00B50602" w:rsidRPr="00071B69" w:rsidP="00B50602" w14:paraId="6FBB256F" w14:textId="77777777">
            <w:pPr>
              <w:spacing w:after="0" w:line="240" w:lineRule="auto"/>
              <w:contextualSpacing/>
              <w:rPr>
                <w:rFonts w:cstheme="minorHAnsi"/>
                <w:sz w:val="20"/>
                <w:szCs w:val="20"/>
              </w:rPr>
            </w:pPr>
            <w:r w:rsidRPr="00071B69">
              <w:rPr>
                <w:rFonts w:cstheme="minorHAnsi"/>
                <w:sz w:val="20"/>
                <w:szCs w:val="20"/>
              </w:rPr>
              <w:t>c.  No new or reconstructed sources are expected within the next three years.</w:t>
            </w:r>
          </w:p>
        </w:tc>
      </w:tr>
      <w:tr w14:paraId="04BD6FE5" w14:textId="77777777" w:rsidTr="00D4586E">
        <w:tblPrEx>
          <w:tblW w:w="13408" w:type="dxa"/>
          <w:tblLook w:val="04A0"/>
        </w:tblPrEx>
        <w:trPr>
          <w:gridAfter w:val="1"/>
          <w:wAfter w:w="153" w:type="dxa"/>
          <w:trHeight w:val="477"/>
        </w:trPr>
        <w:tc>
          <w:tcPr>
            <w:tcW w:w="13255" w:type="dxa"/>
            <w:gridSpan w:val="9"/>
            <w:tcBorders>
              <w:top w:val="nil"/>
              <w:left w:val="nil"/>
              <w:bottom w:val="nil"/>
              <w:right w:val="nil"/>
            </w:tcBorders>
            <w:shd w:val="clear" w:color="auto" w:fill="auto"/>
            <w:hideMark/>
          </w:tcPr>
          <w:p w:rsidR="00B50602" w:rsidRPr="00071B69" w:rsidP="00B50602" w14:paraId="587467C2" w14:textId="77777777">
            <w:pPr>
              <w:spacing w:after="0" w:line="240" w:lineRule="auto"/>
              <w:contextualSpacing/>
              <w:rPr>
                <w:rFonts w:cstheme="minorHAnsi"/>
                <w:sz w:val="20"/>
                <w:szCs w:val="20"/>
              </w:rPr>
            </w:pPr>
            <w:r w:rsidRPr="00071B69">
              <w:rPr>
                <w:rFonts w:cstheme="minorHAnsi"/>
                <w:sz w:val="20"/>
                <w:szCs w:val="20"/>
              </w:rPr>
              <w:t xml:space="preserve">d.  To demonstrate compliance, plants must conduct performance tests every 2.5 years for Hg, HCl and HF at 18 indurating furnaces or 1.03 tests/year per plant ((18 x 2/5)/7). </w:t>
            </w:r>
          </w:p>
        </w:tc>
      </w:tr>
      <w:tr w14:paraId="5C9B949C" w14:textId="77777777" w:rsidTr="00D4586E">
        <w:tblPrEx>
          <w:tblW w:w="13408" w:type="dxa"/>
          <w:tblLook w:val="04A0"/>
        </w:tblPrEx>
        <w:trPr>
          <w:gridAfter w:val="1"/>
          <w:wAfter w:w="153" w:type="dxa"/>
          <w:trHeight w:val="238"/>
        </w:trPr>
        <w:tc>
          <w:tcPr>
            <w:tcW w:w="13255" w:type="dxa"/>
            <w:gridSpan w:val="9"/>
            <w:tcBorders>
              <w:top w:val="nil"/>
              <w:left w:val="nil"/>
              <w:bottom w:val="nil"/>
              <w:right w:val="nil"/>
            </w:tcBorders>
            <w:shd w:val="clear" w:color="auto" w:fill="auto"/>
            <w:noWrap/>
            <w:hideMark/>
          </w:tcPr>
          <w:p w:rsidR="00B50602" w:rsidRPr="00071B69" w:rsidP="00B50602" w14:paraId="727A65AD" w14:textId="77777777">
            <w:pPr>
              <w:spacing w:after="0" w:line="240" w:lineRule="auto"/>
              <w:contextualSpacing/>
              <w:rPr>
                <w:rFonts w:cstheme="minorHAnsi"/>
                <w:color w:val="000000"/>
                <w:sz w:val="20"/>
                <w:szCs w:val="20"/>
              </w:rPr>
            </w:pPr>
            <w:r w:rsidRPr="00071B69">
              <w:rPr>
                <w:rFonts w:cstheme="minorHAnsi"/>
                <w:color w:val="000000"/>
                <w:sz w:val="20"/>
                <w:szCs w:val="20"/>
              </w:rPr>
              <w:t>e.  Assumed 3 plants will submit implementation plans for compliance with mercury emission averaging standard once over the 3-year period.</w:t>
            </w:r>
          </w:p>
        </w:tc>
      </w:tr>
      <w:tr w14:paraId="55C0FFBA" w14:textId="77777777" w:rsidTr="00D4586E">
        <w:tblPrEx>
          <w:tblW w:w="13408" w:type="dxa"/>
          <w:tblLook w:val="04A0"/>
        </w:tblPrEx>
        <w:trPr>
          <w:gridAfter w:val="1"/>
          <w:wAfter w:w="153" w:type="dxa"/>
          <w:trHeight w:val="238"/>
        </w:trPr>
        <w:tc>
          <w:tcPr>
            <w:tcW w:w="13255" w:type="dxa"/>
            <w:gridSpan w:val="9"/>
            <w:tcBorders>
              <w:top w:val="nil"/>
              <w:left w:val="nil"/>
              <w:bottom w:val="nil"/>
              <w:right w:val="nil"/>
            </w:tcBorders>
            <w:shd w:val="clear" w:color="auto" w:fill="auto"/>
            <w:hideMark/>
          </w:tcPr>
          <w:p w:rsidR="00B50602" w:rsidRPr="00071B69" w:rsidP="00B50602" w14:paraId="57A0FAC3" w14:textId="77777777">
            <w:pPr>
              <w:spacing w:after="0" w:line="240" w:lineRule="auto"/>
              <w:contextualSpacing/>
              <w:rPr>
                <w:rFonts w:cstheme="minorHAnsi"/>
                <w:color w:val="000000"/>
                <w:sz w:val="20"/>
                <w:szCs w:val="20"/>
              </w:rPr>
            </w:pPr>
            <w:r w:rsidRPr="00071B69">
              <w:rPr>
                <w:rFonts w:cstheme="minorHAnsi"/>
                <w:color w:val="000000"/>
                <w:sz w:val="20"/>
                <w:szCs w:val="20"/>
              </w:rPr>
              <w:t>f.  Assumed 8 hours to review performance test reports once every 2.5 years.</w:t>
            </w:r>
          </w:p>
        </w:tc>
      </w:tr>
      <w:tr w14:paraId="1839E206" w14:textId="77777777" w:rsidTr="00D4586E">
        <w:tblPrEx>
          <w:tblW w:w="13408" w:type="dxa"/>
          <w:tblLook w:val="04A0"/>
        </w:tblPrEx>
        <w:trPr>
          <w:gridAfter w:val="1"/>
          <w:wAfter w:w="153" w:type="dxa"/>
          <w:trHeight w:val="238"/>
        </w:trPr>
        <w:tc>
          <w:tcPr>
            <w:tcW w:w="13255" w:type="dxa"/>
            <w:gridSpan w:val="9"/>
            <w:tcBorders>
              <w:top w:val="nil"/>
              <w:left w:val="nil"/>
              <w:bottom w:val="nil"/>
              <w:right w:val="nil"/>
            </w:tcBorders>
            <w:shd w:val="clear" w:color="auto" w:fill="auto"/>
            <w:hideMark/>
          </w:tcPr>
          <w:p w:rsidR="00B50602" w:rsidRPr="00071B69" w:rsidP="00B50602" w14:paraId="681F6A32" w14:textId="77777777">
            <w:pPr>
              <w:spacing w:after="0" w:line="240" w:lineRule="auto"/>
              <w:contextualSpacing/>
              <w:rPr>
                <w:rFonts w:cstheme="minorHAnsi"/>
                <w:color w:val="000000"/>
                <w:sz w:val="20"/>
                <w:szCs w:val="20"/>
              </w:rPr>
            </w:pPr>
            <w:r w:rsidRPr="00071B69">
              <w:rPr>
                <w:rFonts w:cstheme="minorHAnsi"/>
                <w:color w:val="000000"/>
                <w:sz w:val="20"/>
                <w:szCs w:val="20"/>
              </w:rPr>
              <w:t xml:space="preserve">g. Totals have been rounded to three significant figures. Figures may not add together exactly due to rounding. </w:t>
            </w:r>
          </w:p>
        </w:tc>
      </w:tr>
    </w:tbl>
    <w:p w:rsidR="00B50602" w:rsidRPr="00071B69" w:rsidP="00D4586E" w14:paraId="7FA0BC32" w14:textId="77777777">
      <w:pPr>
        <w:spacing w:after="0" w:line="240" w:lineRule="auto"/>
        <w:contextualSpacing/>
        <w:rPr>
          <w:rFonts w:cstheme="minorHAnsi"/>
          <w:b/>
          <w:bCs/>
          <w:color w:val="000000"/>
          <w:sz w:val="20"/>
          <w:szCs w:val="20"/>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3D7553"/>
    <w:multiLevelType w:val="hybridMultilevel"/>
    <w:tmpl w:val="9A7AAD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33568AB"/>
    <w:multiLevelType w:val="hybridMultilevel"/>
    <w:tmpl w:val="598CD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E64A88"/>
    <w:multiLevelType w:val="hybridMultilevel"/>
    <w:tmpl w:val="049C4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28"/>
  </w:num>
  <w:num w:numId="5" w16cid:durableId="2055687918">
    <w:abstractNumId w:val="18"/>
  </w:num>
  <w:num w:numId="6" w16cid:durableId="1603025219">
    <w:abstractNumId w:val="26"/>
  </w:num>
  <w:num w:numId="7" w16cid:durableId="423957196">
    <w:abstractNumId w:val="16"/>
  </w:num>
  <w:num w:numId="8" w16cid:durableId="2031829208">
    <w:abstractNumId w:val="21"/>
  </w:num>
  <w:num w:numId="9" w16cid:durableId="218439549">
    <w:abstractNumId w:val="9"/>
  </w:num>
  <w:num w:numId="10" w16cid:durableId="1285231924">
    <w:abstractNumId w:val="3"/>
  </w:num>
  <w:num w:numId="11" w16cid:durableId="327370686">
    <w:abstractNumId w:val="8"/>
  </w:num>
  <w:num w:numId="12" w16cid:durableId="1802993385">
    <w:abstractNumId w:val="11"/>
  </w:num>
  <w:num w:numId="13" w16cid:durableId="1792938267">
    <w:abstractNumId w:val="29"/>
  </w:num>
  <w:num w:numId="14" w16cid:durableId="239490726">
    <w:abstractNumId w:val="7"/>
  </w:num>
  <w:num w:numId="15" w16cid:durableId="1395350314">
    <w:abstractNumId w:val="10"/>
  </w:num>
  <w:num w:numId="16" w16cid:durableId="441535906">
    <w:abstractNumId w:val="14"/>
  </w:num>
  <w:num w:numId="17" w16cid:durableId="2008243381">
    <w:abstractNumId w:val="23"/>
  </w:num>
  <w:num w:numId="18" w16cid:durableId="840463183">
    <w:abstractNumId w:val="20"/>
  </w:num>
  <w:num w:numId="19" w16cid:durableId="469980091">
    <w:abstractNumId w:val="25"/>
  </w:num>
  <w:num w:numId="20" w16cid:durableId="2126730031">
    <w:abstractNumId w:val="12"/>
  </w:num>
  <w:num w:numId="21" w16cid:durableId="106124704">
    <w:abstractNumId w:val="1"/>
  </w:num>
  <w:num w:numId="22" w16cid:durableId="1552418013">
    <w:abstractNumId w:val="15"/>
  </w:num>
  <w:num w:numId="23" w16cid:durableId="1598828334">
    <w:abstractNumId w:val="27"/>
  </w:num>
  <w:num w:numId="24" w16cid:durableId="2051031068">
    <w:abstractNumId w:val="0"/>
  </w:num>
  <w:num w:numId="25" w16cid:durableId="258569098">
    <w:abstractNumId w:val="17"/>
  </w:num>
  <w:num w:numId="26" w16cid:durableId="331181582">
    <w:abstractNumId w:val="19"/>
  </w:num>
  <w:num w:numId="27" w16cid:durableId="1015961391">
    <w:abstractNumId w:val="24"/>
  </w:num>
  <w:num w:numId="28" w16cid:durableId="737555268">
    <w:abstractNumId w:val="22"/>
  </w:num>
  <w:num w:numId="29" w16cid:durableId="978341013">
    <w:abstractNumId w:val="5"/>
  </w:num>
  <w:num w:numId="30" w16cid:durableId="187315384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57"/>
    <w:rsid w:val="00070074"/>
    <w:rsid w:val="00071B69"/>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26D0"/>
    <w:rsid w:val="000B3576"/>
    <w:rsid w:val="000B461B"/>
    <w:rsid w:val="000B732F"/>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D4F"/>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429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52A0"/>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1B33"/>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5A3"/>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973"/>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647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37161"/>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41A"/>
    <w:rsid w:val="00466B43"/>
    <w:rsid w:val="00470E22"/>
    <w:rsid w:val="00472D33"/>
    <w:rsid w:val="00475BA6"/>
    <w:rsid w:val="00475C19"/>
    <w:rsid w:val="00477D70"/>
    <w:rsid w:val="0048217A"/>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049C"/>
    <w:rsid w:val="004C17A6"/>
    <w:rsid w:val="004C2B62"/>
    <w:rsid w:val="004C43EA"/>
    <w:rsid w:val="004C4445"/>
    <w:rsid w:val="004C4A88"/>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55CE"/>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2D88"/>
    <w:rsid w:val="00523389"/>
    <w:rsid w:val="00524059"/>
    <w:rsid w:val="00524476"/>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0099"/>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DE"/>
    <w:rsid w:val="005932EC"/>
    <w:rsid w:val="005966D8"/>
    <w:rsid w:val="0059769C"/>
    <w:rsid w:val="005A0F75"/>
    <w:rsid w:val="005A129A"/>
    <w:rsid w:val="005A35B4"/>
    <w:rsid w:val="005A422E"/>
    <w:rsid w:val="005A7235"/>
    <w:rsid w:val="005A7BA6"/>
    <w:rsid w:val="005B14B2"/>
    <w:rsid w:val="005B499E"/>
    <w:rsid w:val="005B6A8D"/>
    <w:rsid w:val="005C195D"/>
    <w:rsid w:val="005C2031"/>
    <w:rsid w:val="005D0ACB"/>
    <w:rsid w:val="005D140B"/>
    <w:rsid w:val="005D1691"/>
    <w:rsid w:val="005D1C36"/>
    <w:rsid w:val="005D1F2E"/>
    <w:rsid w:val="005D2654"/>
    <w:rsid w:val="005D2E6F"/>
    <w:rsid w:val="005D5624"/>
    <w:rsid w:val="005D5865"/>
    <w:rsid w:val="005D5F1D"/>
    <w:rsid w:val="005D7384"/>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2DBA"/>
    <w:rsid w:val="00623817"/>
    <w:rsid w:val="00624119"/>
    <w:rsid w:val="00624BE7"/>
    <w:rsid w:val="0062570F"/>
    <w:rsid w:val="006262C0"/>
    <w:rsid w:val="00626C8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5C2"/>
    <w:rsid w:val="006E0960"/>
    <w:rsid w:val="006E116F"/>
    <w:rsid w:val="006E13FF"/>
    <w:rsid w:val="006E197A"/>
    <w:rsid w:val="006E1DC0"/>
    <w:rsid w:val="006E4817"/>
    <w:rsid w:val="006E6819"/>
    <w:rsid w:val="006E6A2C"/>
    <w:rsid w:val="006E6C7E"/>
    <w:rsid w:val="006E7D37"/>
    <w:rsid w:val="006F1F1D"/>
    <w:rsid w:val="006F365D"/>
    <w:rsid w:val="006F4946"/>
    <w:rsid w:val="006F494C"/>
    <w:rsid w:val="00700983"/>
    <w:rsid w:val="007020F8"/>
    <w:rsid w:val="007029CB"/>
    <w:rsid w:val="00702E91"/>
    <w:rsid w:val="00702F36"/>
    <w:rsid w:val="00703FEF"/>
    <w:rsid w:val="0070409B"/>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174C0"/>
    <w:rsid w:val="00722E1B"/>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1D51"/>
    <w:rsid w:val="00772C87"/>
    <w:rsid w:val="00772D61"/>
    <w:rsid w:val="00775025"/>
    <w:rsid w:val="00776C0D"/>
    <w:rsid w:val="0077747C"/>
    <w:rsid w:val="00780787"/>
    <w:rsid w:val="00780955"/>
    <w:rsid w:val="007837C6"/>
    <w:rsid w:val="007838DA"/>
    <w:rsid w:val="0078463B"/>
    <w:rsid w:val="007853D4"/>
    <w:rsid w:val="007860F8"/>
    <w:rsid w:val="00786880"/>
    <w:rsid w:val="00791DFE"/>
    <w:rsid w:val="0079201F"/>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ABC"/>
    <w:rsid w:val="0080187D"/>
    <w:rsid w:val="00802495"/>
    <w:rsid w:val="0080293D"/>
    <w:rsid w:val="00803457"/>
    <w:rsid w:val="008042DB"/>
    <w:rsid w:val="00806D50"/>
    <w:rsid w:val="00807B4F"/>
    <w:rsid w:val="00807EFF"/>
    <w:rsid w:val="00811D22"/>
    <w:rsid w:val="00811FC2"/>
    <w:rsid w:val="008144DD"/>
    <w:rsid w:val="0081485B"/>
    <w:rsid w:val="00815A4C"/>
    <w:rsid w:val="00816010"/>
    <w:rsid w:val="008201BE"/>
    <w:rsid w:val="008202C9"/>
    <w:rsid w:val="008208CD"/>
    <w:rsid w:val="008219AA"/>
    <w:rsid w:val="00821CC7"/>
    <w:rsid w:val="008240E3"/>
    <w:rsid w:val="00824837"/>
    <w:rsid w:val="00827596"/>
    <w:rsid w:val="0082798D"/>
    <w:rsid w:val="00830F44"/>
    <w:rsid w:val="008310D5"/>
    <w:rsid w:val="008316D7"/>
    <w:rsid w:val="00831944"/>
    <w:rsid w:val="00831B47"/>
    <w:rsid w:val="008343F1"/>
    <w:rsid w:val="00836197"/>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24C"/>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0660"/>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927"/>
    <w:rsid w:val="008F7CEE"/>
    <w:rsid w:val="00900E6F"/>
    <w:rsid w:val="00901C53"/>
    <w:rsid w:val="00902767"/>
    <w:rsid w:val="00902BB7"/>
    <w:rsid w:val="009048BF"/>
    <w:rsid w:val="00911E06"/>
    <w:rsid w:val="009124E7"/>
    <w:rsid w:val="00912F15"/>
    <w:rsid w:val="00916658"/>
    <w:rsid w:val="00916674"/>
    <w:rsid w:val="00916D23"/>
    <w:rsid w:val="0091768B"/>
    <w:rsid w:val="0092038F"/>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77BBF"/>
    <w:rsid w:val="00980058"/>
    <w:rsid w:val="00982445"/>
    <w:rsid w:val="00982777"/>
    <w:rsid w:val="00982C40"/>
    <w:rsid w:val="0098375D"/>
    <w:rsid w:val="00986137"/>
    <w:rsid w:val="00986389"/>
    <w:rsid w:val="009866CA"/>
    <w:rsid w:val="009872CD"/>
    <w:rsid w:val="00987A8B"/>
    <w:rsid w:val="00990A46"/>
    <w:rsid w:val="00990AB9"/>
    <w:rsid w:val="009912BB"/>
    <w:rsid w:val="009920E2"/>
    <w:rsid w:val="00994217"/>
    <w:rsid w:val="00994618"/>
    <w:rsid w:val="00996CD5"/>
    <w:rsid w:val="00997E71"/>
    <w:rsid w:val="009A09EC"/>
    <w:rsid w:val="009A0B51"/>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4654E"/>
    <w:rsid w:val="00A471CE"/>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1A6"/>
    <w:rsid w:val="00A8542E"/>
    <w:rsid w:val="00A8593A"/>
    <w:rsid w:val="00A9188B"/>
    <w:rsid w:val="00A91EFC"/>
    <w:rsid w:val="00A955EC"/>
    <w:rsid w:val="00A9734E"/>
    <w:rsid w:val="00A975AC"/>
    <w:rsid w:val="00A97EE9"/>
    <w:rsid w:val="00AA0E29"/>
    <w:rsid w:val="00AA26C8"/>
    <w:rsid w:val="00AA2AE3"/>
    <w:rsid w:val="00AA3857"/>
    <w:rsid w:val="00AA4A5E"/>
    <w:rsid w:val="00AA4F24"/>
    <w:rsid w:val="00AA5BD7"/>
    <w:rsid w:val="00AA67A0"/>
    <w:rsid w:val="00AA6EFB"/>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317B"/>
    <w:rsid w:val="00B04655"/>
    <w:rsid w:val="00B06750"/>
    <w:rsid w:val="00B07337"/>
    <w:rsid w:val="00B11B2A"/>
    <w:rsid w:val="00B13545"/>
    <w:rsid w:val="00B13B6A"/>
    <w:rsid w:val="00B13DEC"/>
    <w:rsid w:val="00B15AEE"/>
    <w:rsid w:val="00B15B9E"/>
    <w:rsid w:val="00B1771E"/>
    <w:rsid w:val="00B17847"/>
    <w:rsid w:val="00B222EC"/>
    <w:rsid w:val="00B22810"/>
    <w:rsid w:val="00B22F84"/>
    <w:rsid w:val="00B2326A"/>
    <w:rsid w:val="00B23E0D"/>
    <w:rsid w:val="00B24852"/>
    <w:rsid w:val="00B26757"/>
    <w:rsid w:val="00B31C31"/>
    <w:rsid w:val="00B37C28"/>
    <w:rsid w:val="00B400AE"/>
    <w:rsid w:val="00B434D7"/>
    <w:rsid w:val="00B45BEF"/>
    <w:rsid w:val="00B47058"/>
    <w:rsid w:val="00B50602"/>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161"/>
    <w:rsid w:val="00B8742C"/>
    <w:rsid w:val="00B90437"/>
    <w:rsid w:val="00B92284"/>
    <w:rsid w:val="00B9379D"/>
    <w:rsid w:val="00B93F50"/>
    <w:rsid w:val="00B9424F"/>
    <w:rsid w:val="00B9504D"/>
    <w:rsid w:val="00B957FA"/>
    <w:rsid w:val="00B95BD0"/>
    <w:rsid w:val="00B9602F"/>
    <w:rsid w:val="00BA1A18"/>
    <w:rsid w:val="00BA45E6"/>
    <w:rsid w:val="00BA507F"/>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5679"/>
    <w:rsid w:val="00BE63D7"/>
    <w:rsid w:val="00BE6E67"/>
    <w:rsid w:val="00BF0CAD"/>
    <w:rsid w:val="00BF2700"/>
    <w:rsid w:val="00BF2A34"/>
    <w:rsid w:val="00BF2DF6"/>
    <w:rsid w:val="00BF5699"/>
    <w:rsid w:val="00BF6721"/>
    <w:rsid w:val="00BF6DC8"/>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CF5"/>
    <w:rsid w:val="00C54E17"/>
    <w:rsid w:val="00C54FDB"/>
    <w:rsid w:val="00C573BC"/>
    <w:rsid w:val="00C60DDA"/>
    <w:rsid w:val="00C6228D"/>
    <w:rsid w:val="00C63846"/>
    <w:rsid w:val="00C6527C"/>
    <w:rsid w:val="00C67D9C"/>
    <w:rsid w:val="00C706D7"/>
    <w:rsid w:val="00C72204"/>
    <w:rsid w:val="00C72590"/>
    <w:rsid w:val="00C72CCD"/>
    <w:rsid w:val="00C733F7"/>
    <w:rsid w:val="00C754FD"/>
    <w:rsid w:val="00C76FDB"/>
    <w:rsid w:val="00C774ED"/>
    <w:rsid w:val="00C80081"/>
    <w:rsid w:val="00C80E50"/>
    <w:rsid w:val="00C81982"/>
    <w:rsid w:val="00C81E8A"/>
    <w:rsid w:val="00C83ECD"/>
    <w:rsid w:val="00C8408B"/>
    <w:rsid w:val="00C85770"/>
    <w:rsid w:val="00C86ABE"/>
    <w:rsid w:val="00C8720B"/>
    <w:rsid w:val="00C87577"/>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738D"/>
    <w:rsid w:val="00CD1614"/>
    <w:rsid w:val="00CD1836"/>
    <w:rsid w:val="00CD1B9B"/>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24C"/>
    <w:rsid w:val="00CE6F2D"/>
    <w:rsid w:val="00CE7981"/>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5528"/>
    <w:rsid w:val="00D163B0"/>
    <w:rsid w:val="00D17BB9"/>
    <w:rsid w:val="00D210DB"/>
    <w:rsid w:val="00D225E2"/>
    <w:rsid w:val="00D234AD"/>
    <w:rsid w:val="00D24AC0"/>
    <w:rsid w:val="00D26124"/>
    <w:rsid w:val="00D27D53"/>
    <w:rsid w:val="00D31DCE"/>
    <w:rsid w:val="00D33817"/>
    <w:rsid w:val="00D36464"/>
    <w:rsid w:val="00D37D03"/>
    <w:rsid w:val="00D37D3F"/>
    <w:rsid w:val="00D414EB"/>
    <w:rsid w:val="00D4260C"/>
    <w:rsid w:val="00D43278"/>
    <w:rsid w:val="00D432B7"/>
    <w:rsid w:val="00D437E5"/>
    <w:rsid w:val="00D4483E"/>
    <w:rsid w:val="00D4586E"/>
    <w:rsid w:val="00D4591C"/>
    <w:rsid w:val="00D45C8A"/>
    <w:rsid w:val="00D47C16"/>
    <w:rsid w:val="00D47C2B"/>
    <w:rsid w:val="00D47CB3"/>
    <w:rsid w:val="00D50C3C"/>
    <w:rsid w:val="00D51356"/>
    <w:rsid w:val="00D517F0"/>
    <w:rsid w:val="00D5260D"/>
    <w:rsid w:val="00D53C9C"/>
    <w:rsid w:val="00D54334"/>
    <w:rsid w:val="00D544EC"/>
    <w:rsid w:val="00D55098"/>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1A34"/>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4ED"/>
    <w:rsid w:val="00E2389F"/>
    <w:rsid w:val="00E25157"/>
    <w:rsid w:val="00E27F78"/>
    <w:rsid w:val="00E30F8E"/>
    <w:rsid w:val="00E3122D"/>
    <w:rsid w:val="00E33FC1"/>
    <w:rsid w:val="00E3518D"/>
    <w:rsid w:val="00E35BF8"/>
    <w:rsid w:val="00E37A2B"/>
    <w:rsid w:val="00E40D81"/>
    <w:rsid w:val="00E42EA6"/>
    <w:rsid w:val="00E439D8"/>
    <w:rsid w:val="00E43D15"/>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5B73"/>
    <w:rsid w:val="00E87F99"/>
    <w:rsid w:val="00E87FCD"/>
    <w:rsid w:val="00E91C6A"/>
    <w:rsid w:val="00E93419"/>
    <w:rsid w:val="00E94E34"/>
    <w:rsid w:val="00E957A4"/>
    <w:rsid w:val="00E97093"/>
    <w:rsid w:val="00EA0CF2"/>
    <w:rsid w:val="00EA0D20"/>
    <w:rsid w:val="00EA3AE4"/>
    <w:rsid w:val="00EA4A33"/>
    <w:rsid w:val="00EA5450"/>
    <w:rsid w:val="00EA58E6"/>
    <w:rsid w:val="00EA5D83"/>
    <w:rsid w:val="00EA6184"/>
    <w:rsid w:val="00EA6BDC"/>
    <w:rsid w:val="00EB0C83"/>
    <w:rsid w:val="00EB1912"/>
    <w:rsid w:val="00EB1C08"/>
    <w:rsid w:val="00EB2A3A"/>
    <w:rsid w:val="00EB34A6"/>
    <w:rsid w:val="00EB3C8A"/>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68DC"/>
    <w:rsid w:val="00EF71E8"/>
    <w:rsid w:val="00EF7A31"/>
    <w:rsid w:val="00EF7B2E"/>
    <w:rsid w:val="00F0015C"/>
    <w:rsid w:val="00F02003"/>
    <w:rsid w:val="00F0705E"/>
    <w:rsid w:val="00F0712C"/>
    <w:rsid w:val="00F071BE"/>
    <w:rsid w:val="00F07745"/>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40DB"/>
    <w:rsid w:val="00F462DB"/>
    <w:rsid w:val="00F47EAC"/>
    <w:rsid w:val="00F5019F"/>
    <w:rsid w:val="00F50C29"/>
    <w:rsid w:val="00F51F05"/>
    <w:rsid w:val="00F56114"/>
    <w:rsid w:val="00F573CC"/>
    <w:rsid w:val="00F57EAD"/>
    <w:rsid w:val="00F57EAE"/>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1E0"/>
    <w:rsid w:val="00F95973"/>
    <w:rsid w:val="00FA0F0D"/>
    <w:rsid w:val="00FA12A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TableParagraph">
    <w:name w:val="Table Paragraph"/>
    <w:basedOn w:val="Normal"/>
    <w:uiPriority w:val="1"/>
    <w:qFormat/>
    <w:rsid w:val="00CE624C"/>
    <w:pPr>
      <w:widowControl w:val="0"/>
      <w:autoSpaceDE w:val="0"/>
      <w:autoSpaceDN w:val="0"/>
      <w:spacing w:before="6" w:after="0" w:line="240" w:lineRule="auto"/>
      <w:jc w:val="center"/>
    </w:pPr>
    <w:rPr>
      <w:rFonts w:ascii="Arial" w:eastAsia="Arial" w:hAnsi="Arial" w:cs="Arial"/>
    </w:rPr>
  </w:style>
  <w:style w:type="character" w:customStyle="1" w:styleId="1">
    <w:name w:val="1"/>
    <w:rsid w:val="0097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2025-03-20T17:02:53+00:00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D1C40C0F-12CA-4AFD-A5C3-23B07853E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78777-229E-4269-A994-CB6D9736F1C3}">
  <ds:schemaRefs>
    <ds:schemaRef ds:uri="Microsoft.SharePoint.Taxonomy.ContentTypeSync"/>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17</Pages>
  <Words>6292</Words>
  <Characters>35302</Characters>
  <Application>Microsoft Office Word</Application>
  <DocSecurity>0</DocSecurity>
  <Lines>1176</Lines>
  <Paragraphs>670</Paragraphs>
  <ScaleCrop>false</ScaleCrop>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90</cp:revision>
  <dcterms:created xsi:type="dcterms:W3CDTF">2024-03-01T17:59:00Z</dcterms:created>
  <dcterms:modified xsi:type="dcterms:W3CDTF">2025-03-26T17:47:00Z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