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1E4" w:rsidRPr="00C71E29" w:rsidP="00DE7A1C" w14:paraId="1639562C" w14:textId="77777777"/>
    <w:p w:rsidR="00041909" w:rsidP="00313D14" w14:paraId="30AB8AA9" w14:textId="3DA697DD">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3FF34378" w14:textId="77777777"/>
    <w:p w:rsidR="00D928FD" w:rsidP="00313D14" w14:paraId="727036C5" w14:textId="77777777">
      <w:r>
        <w:tab/>
      </w:r>
    </w:p>
    <w:p w:rsidR="00D928FD" w14:paraId="55F21E26" w14:textId="77777777"/>
    <w:p w:rsidR="00D928FD" w14:paraId="447B77F0" w14:textId="77777777"/>
    <w:p w:rsidR="00D928FD" w14:paraId="4FB50DC0" w14:textId="27FF4905">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226060</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textId="69B02691">
                            <w:pPr>
                              <w:spacing w:line="276" w:lineRule="auto"/>
                              <w:rPr>
                                <w:b/>
                                <w:sz w:val="60"/>
                                <w:szCs w:val="60"/>
                              </w:rPr>
                            </w:pPr>
                            <w:r w:rsidRPr="0074454A">
                              <w:rPr>
                                <w:rFonts w:ascii="Times New Roman" w:hAnsi="Times New Roman"/>
                                <w:b/>
                                <w:color w:val="139CD8"/>
                                <w:sz w:val="60"/>
                                <w:szCs w:val="60"/>
                              </w:rPr>
                              <w:t>Supporting Statement for Oil and Gas Reserves System Surveys</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393pt;height:138pt;margin-top:17.8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3E827C19" w14:textId="69B02691">
                      <w:pPr>
                        <w:spacing w:line="276" w:lineRule="auto"/>
                        <w:rPr>
                          <w:b/>
                          <w:sz w:val="60"/>
                          <w:szCs w:val="60"/>
                        </w:rPr>
                      </w:pPr>
                      <w:r w:rsidRPr="0074454A">
                        <w:rPr>
                          <w:rFonts w:ascii="Times New Roman" w:hAnsi="Times New Roman"/>
                          <w:b/>
                          <w:color w:val="139CD8"/>
                          <w:sz w:val="60"/>
                          <w:szCs w:val="60"/>
                        </w:rPr>
                        <w:t>Supporting Statement for Oil and Gas Reserves System Surveys</w:t>
                      </w:r>
                    </w:p>
                  </w:txbxContent>
                </v:textbox>
                <w10:wrap anchorx="margin"/>
              </v:shape>
            </w:pict>
          </mc:Fallback>
        </mc:AlternateContent>
      </w:r>
    </w:p>
    <w:p w:rsidR="001F3A8F" w:rsidP="00313D14" w14:paraId="6FDD573D" w14:textId="2AF2531E">
      <w:r>
        <w:rPr>
          <w:noProof/>
        </w:rPr>
        <mc:AlternateContent>
          <mc:Choice Requires="wps">
            <w:drawing>
              <wp:anchor distT="0" distB="0" distL="114300" distR="114300" simplePos="0" relativeHeight="251667456" behindDoc="0" locked="0" layoutInCell="1" allowOverlap="1">
                <wp:simplePos x="0" y="0"/>
                <wp:positionH relativeFrom="margin">
                  <wp:posOffset>389890</wp:posOffset>
                </wp:positionH>
                <wp:positionV relativeFrom="margin">
                  <wp:posOffset>4267200</wp:posOffset>
                </wp:positionV>
                <wp:extent cx="5680075" cy="339725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80075" cy="3397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77AF8A18">
                            <w:pPr>
                              <w:pStyle w:val="Boxtext"/>
                              <w:rPr>
                                <w:rFonts w:ascii="Times New Roman" w:hAnsi="Times New Roman"/>
                                <w:sz w:val="36"/>
                                <w:szCs w:val="36"/>
                              </w:rPr>
                            </w:pPr>
                            <w:bookmarkStart w:id="0" w:name="_Toc466046933"/>
                            <w:r w:rsidRPr="00A648C3">
                              <w:rPr>
                                <w:rFonts w:ascii="Times New Roman" w:hAnsi="Times New Roman"/>
                                <w:b/>
                                <w:bCs/>
                                <w:sz w:val="36"/>
                                <w:szCs w:val="36"/>
                              </w:rPr>
                              <w:t>Part A</w:t>
                            </w:r>
                            <w:r w:rsidRPr="00A648C3">
                              <w:rPr>
                                <w:rFonts w:ascii="Times New Roman" w:hAnsi="Times New Roman"/>
                                <w:b/>
                                <w:bCs/>
                                <w:sz w:val="36"/>
                                <w:szCs w:val="36"/>
                              </w:rPr>
                              <w:t>:</w:t>
                            </w:r>
                            <w:bookmarkEnd w:id="0"/>
                            <w:r w:rsidRPr="00A648C3" w:rsidR="00F43F66">
                              <w:rPr>
                                <w:rFonts w:ascii="Times New Roman" w:hAnsi="Times New Roman"/>
                                <w:b/>
                                <w:bCs/>
                                <w:sz w:val="36"/>
                                <w:szCs w:val="36"/>
                              </w:rPr>
                              <w:t>Justifications</w:t>
                            </w:r>
                            <w:r>
                              <w:br/>
                            </w:r>
                            <w:r w:rsidRPr="00E054DF">
                              <w:rPr>
                                <w:rFonts w:ascii="Times New Roman" w:hAnsi="Times New Roman"/>
                                <w:sz w:val="36"/>
                                <w:szCs w:val="36"/>
                              </w:rPr>
                              <w:t>OMB No. 1905-0</w:t>
                            </w:r>
                            <w:r w:rsidR="0074454A">
                              <w:rPr>
                                <w:rFonts w:ascii="Times New Roman" w:hAnsi="Times New Roman"/>
                                <w:sz w:val="36"/>
                                <w:szCs w:val="36"/>
                              </w:rPr>
                              <w:t>057</w:t>
                            </w:r>
                          </w:p>
                          <w:p w:rsidR="0074454A" w:rsidP="0074454A" w14:textId="032824E1">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t>Extension of Collection with change</w:t>
                            </w:r>
                            <w:r w:rsidR="002943D0">
                              <w:rPr>
                                <w:i/>
                                <w:sz w:val="28"/>
                                <w:szCs w:val="28"/>
                              </w:rPr>
                              <w:t>s</w:t>
                            </w:r>
                            <w:r>
                              <w:rPr>
                                <w:i/>
                                <w:sz w:val="28"/>
                                <w:szCs w:val="28"/>
                              </w:rPr>
                              <w:br/>
                            </w:r>
                          </w:p>
                          <w:p w:rsidR="0074454A" w:rsidP="0074454A" w14:textId="1AA94598">
                            <w:pPr>
                              <w:rPr>
                                <w:i/>
                                <w:sz w:val="28"/>
                                <w:szCs w:val="28"/>
                              </w:rPr>
                            </w:pPr>
                            <w:r>
                              <w:rPr>
                                <w:i/>
                                <w:sz w:val="28"/>
                                <w:szCs w:val="28"/>
                              </w:rPr>
                              <w:t xml:space="preserve">Form EIA-23S, Annual </w:t>
                            </w:r>
                            <w:r w:rsidR="008F08A7">
                              <w:rPr>
                                <w:i/>
                                <w:sz w:val="28"/>
                                <w:szCs w:val="28"/>
                              </w:rPr>
                              <w:t xml:space="preserve">Survey </w:t>
                            </w:r>
                            <w:r>
                              <w:rPr>
                                <w:i/>
                                <w:sz w:val="28"/>
                                <w:szCs w:val="28"/>
                              </w:rPr>
                              <w:t>of Domestic Oil and Gas Reserves</w:t>
                            </w:r>
                            <w:r>
                              <w:rPr>
                                <w:i/>
                                <w:sz w:val="28"/>
                                <w:szCs w:val="28"/>
                              </w:rPr>
                              <w:br/>
                              <w:t>Continuation of suspension</w:t>
                            </w:r>
                            <w:r>
                              <w:rPr>
                                <w:i/>
                                <w:sz w:val="28"/>
                                <w:szCs w:val="28"/>
                              </w:rPr>
                              <w:br/>
                              <w:t xml:space="preserve"> </w:t>
                            </w:r>
                          </w:p>
                          <w:p w:rsidR="0074454A" w:rsidRPr="0059212D" w:rsidP="0074454A" w14:textId="20633637">
                            <w:pPr>
                              <w:rPr>
                                <w:i/>
                                <w:sz w:val="28"/>
                                <w:szCs w:val="28"/>
                              </w:rPr>
                            </w:pPr>
                            <w:r>
                              <w:rPr>
                                <w:i/>
                                <w:sz w:val="28"/>
                                <w:szCs w:val="28"/>
                              </w:rPr>
                              <w:t>Form EIA-64A, Annual Report of the Origin of Natural Gas Liquids Production</w:t>
                            </w:r>
                            <w:r>
                              <w:rPr>
                                <w:i/>
                                <w:sz w:val="28"/>
                                <w:szCs w:val="28"/>
                              </w:rPr>
                              <w:br/>
                              <w:t>Extension of Collection with change</w:t>
                            </w:r>
                            <w:r w:rsidR="00987523">
                              <w:rPr>
                                <w:i/>
                                <w:sz w:val="28"/>
                                <w:szCs w:val="28"/>
                              </w:rPr>
                              <w:t>s</w:t>
                            </w:r>
                            <w:r>
                              <w:rPr>
                                <w:i/>
                                <w:sz w:val="28"/>
                                <w:szCs w:val="28"/>
                              </w:rPr>
                              <w:t xml:space="preserve"> </w:t>
                            </w:r>
                          </w:p>
                          <w:p w:rsidR="00E054DF" w:rsidRPr="0059212D" w:rsidP="0074454A" w14:textId="6B57C226">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447.25pt;height:267.5pt;margin-top:336pt;margin-left:30.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24E00943" w14:textId="77AF8A18">
                      <w:pPr>
                        <w:pStyle w:val="Boxtext"/>
                        <w:rPr>
                          <w:rFonts w:ascii="Times New Roman" w:hAnsi="Times New Roman"/>
                          <w:sz w:val="36"/>
                          <w:szCs w:val="36"/>
                        </w:rPr>
                      </w:pPr>
                      <w:bookmarkStart w:id="0" w:name="_Toc466046933"/>
                      <w:r w:rsidRPr="00A648C3">
                        <w:rPr>
                          <w:rFonts w:ascii="Times New Roman" w:hAnsi="Times New Roman"/>
                          <w:b/>
                          <w:bCs/>
                          <w:sz w:val="36"/>
                          <w:szCs w:val="36"/>
                        </w:rPr>
                        <w:t>Part A</w:t>
                      </w:r>
                      <w:r w:rsidRPr="00A648C3">
                        <w:rPr>
                          <w:rFonts w:ascii="Times New Roman" w:hAnsi="Times New Roman"/>
                          <w:b/>
                          <w:bCs/>
                          <w:sz w:val="36"/>
                          <w:szCs w:val="36"/>
                        </w:rPr>
                        <w:t>:</w:t>
                      </w:r>
                      <w:bookmarkEnd w:id="0"/>
                      <w:r w:rsidRPr="00A648C3" w:rsidR="00F43F66">
                        <w:rPr>
                          <w:rFonts w:ascii="Times New Roman" w:hAnsi="Times New Roman"/>
                          <w:b/>
                          <w:bCs/>
                          <w:sz w:val="36"/>
                          <w:szCs w:val="36"/>
                        </w:rPr>
                        <w:t>Justifications</w:t>
                      </w:r>
                      <w:r>
                        <w:br/>
                      </w:r>
                      <w:r w:rsidRPr="00E054DF">
                        <w:rPr>
                          <w:rFonts w:ascii="Times New Roman" w:hAnsi="Times New Roman"/>
                          <w:sz w:val="36"/>
                          <w:szCs w:val="36"/>
                        </w:rPr>
                        <w:t>OMB No. 1905-0</w:t>
                      </w:r>
                      <w:r w:rsidR="0074454A">
                        <w:rPr>
                          <w:rFonts w:ascii="Times New Roman" w:hAnsi="Times New Roman"/>
                          <w:sz w:val="36"/>
                          <w:szCs w:val="36"/>
                        </w:rPr>
                        <w:t>057</w:t>
                      </w:r>
                    </w:p>
                    <w:p w:rsidR="0074454A" w:rsidP="0074454A" w14:paraId="20C0165B" w14:textId="032824E1">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t>Extension of Collection with change</w:t>
                      </w:r>
                      <w:r w:rsidR="002943D0">
                        <w:rPr>
                          <w:i/>
                          <w:sz w:val="28"/>
                          <w:szCs w:val="28"/>
                        </w:rPr>
                        <w:t>s</w:t>
                      </w:r>
                      <w:r>
                        <w:rPr>
                          <w:i/>
                          <w:sz w:val="28"/>
                          <w:szCs w:val="28"/>
                        </w:rPr>
                        <w:br/>
                      </w:r>
                    </w:p>
                    <w:p w:rsidR="0074454A" w:rsidP="0074454A" w14:paraId="04265FED" w14:textId="1AA94598">
                      <w:pPr>
                        <w:rPr>
                          <w:i/>
                          <w:sz w:val="28"/>
                          <w:szCs w:val="28"/>
                        </w:rPr>
                      </w:pPr>
                      <w:r>
                        <w:rPr>
                          <w:i/>
                          <w:sz w:val="28"/>
                          <w:szCs w:val="28"/>
                        </w:rPr>
                        <w:t xml:space="preserve">Form EIA-23S, Annual </w:t>
                      </w:r>
                      <w:r w:rsidR="008F08A7">
                        <w:rPr>
                          <w:i/>
                          <w:sz w:val="28"/>
                          <w:szCs w:val="28"/>
                        </w:rPr>
                        <w:t xml:space="preserve">Survey </w:t>
                      </w:r>
                      <w:r>
                        <w:rPr>
                          <w:i/>
                          <w:sz w:val="28"/>
                          <w:szCs w:val="28"/>
                        </w:rPr>
                        <w:t>of Domestic Oil and Gas Reserves</w:t>
                      </w:r>
                      <w:r>
                        <w:rPr>
                          <w:i/>
                          <w:sz w:val="28"/>
                          <w:szCs w:val="28"/>
                        </w:rPr>
                        <w:br/>
                        <w:t>Continuation of suspension</w:t>
                      </w:r>
                      <w:r>
                        <w:rPr>
                          <w:i/>
                          <w:sz w:val="28"/>
                          <w:szCs w:val="28"/>
                        </w:rPr>
                        <w:br/>
                        <w:t xml:space="preserve"> </w:t>
                      </w:r>
                    </w:p>
                    <w:p w:rsidR="0074454A" w:rsidRPr="0059212D" w:rsidP="0074454A" w14:paraId="4F3AC9C9" w14:textId="20633637">
                      <w:pPr>
                        <w:rPr>
                          <w:i/>
                          <w:sz w:val="28"/>
                          <w:szCs w:val="28"/>
                        </w:rPr>
                      </w:pPr>
                      <w:r>
                        <w:rPr>
                          <w:i/>
                          <w:sz w:val="28"/>
                          <w:szCs w:val="28"/>
                        </w:rPr>
                        <w:t>Form EIA-64A, Annual Report of the Origin of Natural Gas Liquids Production</w:t>
                      </w:r>
                      <w:r>
                        <w:rPr>
                          <w:i/>
                          <w:sz w:val="28"/>
                          <w:szCs w:val="28"/>
                        </w:rPr>
                        <w:br/>
                        <w:t>Extension of Collection with change</w:t>
                      </w:r>
                      <w:r w:rsidR="00987523">
                        <w:rPr>
                          <w:i/>
                          <w:sz w:val="28"/>
                          <w:szCs w:val="28"/>
                        </w:rPr>
                        <w:t>s</w:t>
                      </w:r>
                      <w:r>
                        <w:rPr>
                          <w:i/>
                          <w:sz w:val="28"/>
                          <w:szCs w:val="28"/>
                        </w:rPr>
                        <w:t xml:space="preserve"> </w:t>
                      </w:r>
                    </w:p>
                    <w:p w:rsidR="00E054DF" w:rsidRPr="0059212D" w:rsidP="0074454A" w14:paraId="41D01F83" w14:textId="6B57C226">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363855</wp:posOffset>
                </wp:positionH>
                <wp:positionV relativeFrom="margin">
                  <wp:posOffset>3790950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0B6E2040">
                            <w:pPr>
                              <w:rPr>
                                <w:rFonts w:ascii="Franklin Gothic Medium" w:hAnsi="Franklin Gothic Medium"/>
                                <w:color w:val="7F7F7F"/>
                                <w:sz w:val="36"/>
                              </w:rPr>
                            </w:pPr>
                            <w:r>
                              <w:rPr>
                                <w:rFonts w:ascii="Franklin Gothic Medium" w:hAnsi="Franklin Gothic Medium"/>
                                <w:color w:val="7F7F7F"/>
                                <w:sz w:val="36"/>
                              </w:rPr>
                              <w:t>August</w:t>
                            </w:r>
                            <w:r w:rsidRPr="007E2F96" w:rsidR="0074454A">
                              <w:rPr>
                                <w:rFonts w:ascii="Franklin Gothic Medium" w:hAnsi="Franklin Gothic Medium"/>
                                <w:color w:val="7F7F7F"/>
                                <w:sz w:val="36"/>
                              </w:rPr>
                              <w:t xml:space="preserve"> </w:t>
                            </w:r>
                            <w:r w:rsidRPr="007E2F96" w:rsidR="00E054DF">
                              <w:rPr>
                                <w:rFonts w:ascii="Franklin Gothic Medium" w:hAnsi="Franklin Gothic Medium"/>
                                <w:color w:val="7F7F7F"/>
                                <w:sz w:val="36"/>
                              </w:rPr>
                              <w:t>202</w:t>
                            </w:r>
                            <w:r w:rsidRPr="007E2F96" w:rsidR="0074454A">
                              <w:rPr>
                                <w:rFonts w:ascii="Franklin Gothic Medium" w:hAnsi="Franklin Gothic Medium"/>
                                <w:color w:val="7F7F7F"/>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width:187.2pt;height:37.6pt;margin-top:298.5pt;margin-left:28.6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068AFEEA" w14:textId="0B6E2040">
                      <w:pPr>
                        <w:rPr>
                          <w:rFonts w:ascii="Franklin Gothic Medium" w:hAnsi="Franklin Gothic Medium"/>
                          <w:color w:val="7F7F7F"/>
                          <w:sz w:val="36"/>
                        </w:rPr>
                      </w:pPr>
                      <w:r>
                        <w:rPr>
                          <w:rFonts w:ascii="Franklin Gothic Medium" w:hAnsi="Franklin Gothic Medium"/>
                          <w:color w:val="7F7F7F"/>
                          <w:sz w:val="36"/>
                        </w:rPr>
                        <w:t>August</w:t>
                      </w:r>
                      <w:r w:rsidRPr="007E2F96" w:rsidR="0074454A">
                        <w:rPr>
                          <w:rFonts w:ascii="Franklin Gothic Medium" w:hAnsi="Franklin Gothic Medium"/>
                          <w:color w:val="7F7F7F"/>
                          <w:sz w:val="36"/>
                        </w:rPr>
                        <w:t xml:space="preserve"> </w:t>
                      </w:r>
                      <w:r w:rsidRPr="007E2F96" w:rsidR="00E054DF">
                        <w:rPr>
                          <w:rFonts w:ascii="Franklin Gothic Medium" w:hAnsi="Franklin Gothic Medium"/>
                          <w:color w:val="7F7F7F"/>
                          <w:sz w:val="36"/>
                        </w:rPr>
                        <w:t>202</w:t>
                      </w:r>
                      <w:r w:rsidRPr="007E2F96" w:rsidR="0074454A">
                        <w:rPr>
                          <w:rFonts w:ascii="Franklin Gothic Medium" w:hAnsi="Franklin Gothic Medium"/>
                          <w:color w:val="7F7F7F"/>
                          <w:sz w:val="36"/>
                        </w:rPr>
                        <w:t>5</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518AE8A7"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590C25A9"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420D99D0"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6204EA">
                            <w:r w:rsidRPr="00583CFD">
                              <w:rPr>
                                <w:noProof/>
                              </w:rPr>
                              <w:drawing>
                                <wp:inline distT="0" distB="0" distL="0" distR="0">
                                  <wp:extent cx="2162175" cy="476250"/>
                                  <wp:effectExtent l="0" t="0" r="0" b="0"/>
                                  <wp:docPr id="1092076872"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76872"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10E1AE70" w14:textId="776204EA">
                      <w:drawing>
                        <wp:inline distT="0" distB="0" distL="0" distR="0">
                          <wp:extent cx="2162175" cy="476250"/>
                          <wp:effectExtent l="0" t="0" r="0" b="0"/>
                          <wp:docPr id="3"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1F3A8F">
        <w:br w:type="page"/>
      </w:r>
    </w:p>
    <w:p w:rsidR="00755C3D" w14:paraId="1968ACDC"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5FBC2466" w14:textId="77777777"/>
    <w:p w:rsidR="001F3A8F" w14:paraId="4FCD4AE6" w14:textId="77777777"/>
    <w:p w:rsidR="001F3A8F" w14:paraId="11BF3E56" w14:textId="77777777"/>
    <w:p w:rsidR="001F3A8F" w14:paraId="70C7287B" w14:textId="77777777"/>
    <w:p w:rsidR="001F3A8F" w14:paraId="2368DC37" w14:textId="77777777"/>
    <w:p w:rsidR="001F3A8F" w14:paraId="08D4E241" w14:textId="77777777"/>
    <w:p w:rsidR="001F3A8F" w14:paraId="69F89AE6" w14:textId="77777777"/>
    <w:p w:rsidR="001F3A8F" w14:paraId="015B47BE" w14:textId="77777777"/>
    <w:p w:rsidR="001F3A8F" w14:paraId="25DC03DD" w14:textId="77777777"/>
    <w:p w:rsidR="001F3A8F" w14:paraId="048D05D7" w14:textId="77777777"/>
    <w:p w:rsidR="001F3A8F" w14:paraId="3125ABD6" w14:textId="77777777"/>
    <w:p w:rsidR="001F3A8F" w14:paraId="0D3DFEB5" w14:textId="77777777"/>
    <w:p w:rsidR="001F3A8F" w14:paraId="1E612C4D" w14:textId="77777777"/>
    <w:p w:rsidR="001F3A8F" w14:paraId="10ED4D32" w14:textId="77777777"/>
    <w:p w:rsidR="001F3A8F" w14:paraId="7AB7305E" w14:textId="77777777"/>
    <w:p w:rsidR="001F3A8F" w14:paraId="60C78D5B" w14:textId="77777777"/>
    <w:p w:rsidR="001F3A8F" w14:paraId="6286C063" w14:textId="77777777"/>
    <w:p w:rsidR="001F3A8F" w14:paraId="668F781E" w14:textId="77777777"/>
    <w:p w:rsidR="001F3A8F" w14:paraId="29001528" w14:textId="77777777"/>
    <w:p w:rsidR="001F3A8F" w14:paraId="0338557C" w14:textId="77777777"/>
    <w:p w:rsidR="001F3A8F" w:rsidP="00D928FD" w14:paraId="23342122" w14:textId="77777777"/>
    <w:p w:rsidR="005D602C" w14:paraId="21E7D9D7" w14:textId="77777777">
      <w:pPr>
        <w:pStyle w:val="Boxtext"/>
        <w:sectPr w:rsidSect="009F61F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5486E794" w14:textId="77777777"/>
    <w:p w:rsidR="0074454A" w:rsidRPr="0074454A" w:rsidP="0074454A" w14:paraId="24743D5C" w14:textId="77777777"/>
    <w:p w:rsidR="0074454A" w:rsidP="0074454A" w14:paraId="5B14FA14" w14:textId="54238DAA">
      <w:pPr>
        <w:tabs>
          <w:tab w:val="left" w:pos="3615"/>
        </w:tabs>
      </w:pPr>
      <w:r>
        <w:tab/>
      </w:r>
    </w:p>
    <w:p w:rsidR="0074454A" w:rsidRPr="0074454A" w:rsidP="0074454A" w14:paraId="569CD855" w14:textId="4ECAC63A">
      <w:pPr>
        <w:tabs>
          <w:tab w:val="left" w:pos="3615"/>
        </w:tabs>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tab/>
      </w:r>
    </w:p>
    <w:p w:rsidR="00AD6244" w:rsidP="00E054DF" w14:paraId="5A241CCE" w14:textId="77777777">
      <w:pPr>
        <w:pStyle w:val="TOCHeading"/>
      </w:pPr>
      <w:r>
        <w:t>Table of Contents</w:t>
      </w:r>
    </w:p>
    <w:p w:rsidR="00A648C3" w14:paraId="04C129C7" w14:textId="7BF5ECE1">
      <w:pPr>
        <w:pStyle w:val="TOC2"/>
        <w:rPr>
          <w:rFonts w:asciiTheme="minorHAnsi" w:eastAsiaTheme="minorEastAsia" w:hAnsiTheme="minorHAnsi" w:cstheme="minorBidi"/>
          <w:noProof/>
          <w:color w:val="auto"/>
          <w:kern w:val="2"/>
          <w:sz w:val="24"/>
          <w:szCs w:val="24"/>
          <w14:ligatures w14:val="standardContextual"/>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94474948" w:history="1">
        <w:r w:rsidRPr="006A2AA7">
          <w:rPr>
            <w:rStyle w:val="Hyperlink"/>
            <w:noProof/>
          </w:rPr>
          <w:t>Introduction</w:t>
        </w:r>
        <w:r>
          <w:rPr>
            <w:noProof/>
            <w:webHidden/>
          </w:rPr>
          <w:tab/>
        </w:r>
        <w:r>
          <w:rPr>
            <w:noProof/>
            <w:webHidden/>
          </w:rPr>
          <w:fldChar w:fldCharType="begin"/>
        </w:r>
        <w:r>
          <w:rPr>
            <w:noProof/>
            <w:webHidden/>
          </w:rPr>
          <w:instrText xml:space="preserve"> PAGEREF _Toc194474948 \h </w:instrText>
        </w:r>
        <w:r>
          <w:rPr>
            <w:noProof/>
            <w:webHidden/>
          </w:rPr>
          <w:fldChar w:fldCharType="separate"/>
        </w:r>
        <w:r>
          <w:rPr>
            <w:noProof/>
            <w:webHidden/>
          </w:rPr>
          <w:t>2</w:t>
        </w:r>
        <w:r>
          <w:rPr>
            <w:noProof/>
            <w:webHidden/>
          </w:rPr>
          <w:fldChar w:fldCharType="end"/>
        </w:r>
      </w:hyperlink>
    </w:p>
    <w:p w:rsidR="00A648C3" w14:paraId="016C5E2B" w14:textId="700D7AD3">
      <w:pPr>
        <w:pStyle w:val="TOC2"/>
        <w:rPr>
          <w:rFonts w:asciiTheme="minorHAnsi" w:eastAsiaTheme="minorEastAsia" w:hAnsiTheme="minorHAnsi" w:cstheme="minorBidi"/>
          <w:noProof/>
          <w:color w:val="auto"/>
          <w:kern w:val="2"/>
          <w:sz w:val="24"/>
          <w:szCs w:val="24"/>
          <w14:ligatures w14:val="standardContextual"/>
        </w:rPr>
      </w:pPr>
      <w:hyperlink w:anchor="_Toc194474949" w:history="1">
        <w:r w:rsidRPr="006A2AA7">
          <w:rPr>
            <w:rStyle w:val="Hyperlink"/>
            <w:noProof/>
          </w:rPr>
          <w:t>A.1. Legal Justification</w:t>
        </w:r>
        <w:r>
          <w:rPr>
            <w:noProof/>
            <w:webHidden/>
          </w:rPr>
          <w:tab/>
        </w:r>
        <w:r>
          <w:rPr>
            <w:noProof/>
            <w:webHidden/>
          </w:rPr>
          <w:fldChar w:fldCharType="begin"/>
        </w:r>
        <w:r>
          <w:rPr>
            <w:noProof/>
            <w:webHidden/>
          </w:rPr>
          <w:instrText xml:space="preserve"> PAGEREF _Toc194474949 \h </w:instrText>
        </w:r>
        <w:r>
          <w:rPr>
            <w:noProof/>
            <w:webHidden/>
          </w:rPr>
          <w:fldChar w:fldCharType="separate"/>
        </w:r>
        <w:r>
          <w:rPr>
            <w:noProof/>
            <w:webHidden/>
          </w:rPr>
          <w:t>3</w:t>
        </w:r>
        <w:r>
          <w:rPr>
            <w:noProof/>
            <w:webHidden/>
          </w:rPr>
          <w:fldChar w:fldCharType="end"/>
        </w:r>
      </w:hyperlink>
    </w:p>
    <w:p w:rsidR="00A648C3" w14:paraId="35653700" w14:textId="4910EF98">
      <w:pPr>
        <w:pStyle w:val="TOC2"/>
        <w:rPr>
          <w:rFonts w:asciiTheme="minorHAnsi" w:eastAsiaTheme="minorEastAsia" w:hAnsiTheme="minorHAnsi" w:cstheme="minorBidi"/>
          <w:noProof/>
          <w:color w:val="auto"/>
          <w:kern w:val="2"/>
          <w:sz w:val="24"/>
          <w:szCs w:val="24"/>
          <w14:ligatures w14:val="standardContextual"/>
        </w:rPr>
      </w:pPr>
      <w:hyperlink w:anchor="_Toc194474950" w:history="1">
        <w:r w:rsidRPr="006A2AA7">
          <w:rPr>
            <w:rStyle w:val="Hyperlink"/>
            <w:noProof/>
          </w:rPr>
          <w:t>A.2. Needs and Uses of Data</w:t>
        </w:r>
        <w:r>
          <w:rPr>
            <w:noProof/>
            <w:webHidden/>
          </w:rPr>
          <w:tab/>
        </w:r>
        <w:r>
          <w:rPr>
            <w:noProof/>
            <w:webHidden/>
          </w:rPr>
          <w:fldChar w:fldCharType="begin"/>
        </w:r>
        <w:r>
          <w:rPr>
            <w:noProof/>
            <w:webHidden/>
          </w:rPr>
          <w:instrText xml:space="preserve"> PAGEREF _Toc194474950 \h </w:instrText>
        </w:r>
        <w:r>
          <w:rPr>
            <w:noProof/>
            <w:webHidden/>
          </w:rPr>
          <w:fldChar w:fldCharType="separate"/>
        </w:r>
        <w:r>
          <w:rPr>
            <w:noProof/>
            <w:webHidden/>
          </w:rPr>
          <w:t>3</w:t>
        </w:r>
        <w:r>
          <w:rPr>
            <w:noProof/>
            <w:webHidden/>
          </w:rPr>
          <w:fldChar w:fldCharType="end"/>
        </w:r>
      </w:hyperlink>
    </w:p>
    <w:p w:rsidR="00A648C3" w14:paraId="06FBBA73" w14:textId="328C0A26">
      <w:pPr>
        <w:pStyle w:val="TOC2"/>
        <w:rPr>
          <w:rFonts w:asciiTheme="minorHAnsi" w:eastAsiaTheme="minorEastAsia" w:hAnsiTheme="minorHAnsi" w:cstheme="minorBidi"/>
          <w:noProof/>
          <w:color w:val="auto"/>
          <w:kern w:val="2"/>
          <w:sz w:val="24"/>
          <w:szCs w:val="24"/>
          <w14:ligatures w14:val="standardContextual"/>
        </w:rPr>
      </w:pPr>
      <w:hyperlink w:anchor="_Toc194474951" w:history="1">
        <w:r w:rsidRPr="006A2AA7">
          <w:rPr>
            <w:rStyle w:val="Hyperlink"/>
            <w:noProof/>
          </w:rPr>
          <w:t>A.3. Use of Technology</w:t>
        </w:r>
        <w:r>
          <w:rPr>
            <w:noProof/>
            <w:webHidden/>
          </w:rPr>
          <w:tab/>
        </w:r>
        <w:r>
          <w:rPr>
            <w:noProof/>
            <w:webHidden/>
          </w:rPr>
          <w:fldChar w:fldCharType="begin"/>
        </w:r>
        <w:r>
          <w:rPr>
            <w:noProof/>
            <w:webHidden/>
          </w:rPr>
          <w:instrText xml:space="preserve"> PAGEREF _Toc194474951 \h </w:instrText>
        </w:r>
        <w:r>
          <w:rPr>
            <w:noProof/>
            <w:webHidden/>
          </w:rPr>
          <w:fldChar w:fldCharType="separate"/>
        </w:r>
        <w:r>
          <w:rPr>
            <w:noProof/>
            <w:webHidden/>
          </w:rPr>
          <w:t>4</w:t>
        </w:r>
        <w:r>
          <w:rPr>
            <w:noProof/>
            <w:webHidden/>
          </w:rPr>
          <w:fldChar w:fldCharType="end"/>
        </w:r>
      </w:hyperlink>
    </w:p>
    <w:p w:rsidR="00A648C3" w14:paraId="022C8ED2" w14:textId="4695BDC3">
      <w:pPr>
        <w:pStyle w:val="TOC2"/>
        <w:rPr>
          <w:rFonts w:asciiTheme="minorHAnsi" w:eastAsiaTheme="minorEastAsia" w:hAnsiTheme="minorHAnsi" w:cstheme="minorBidi"/>
          <w:noProof/>
          <w:color w:val="auto"/>
          <w:kern w:val="2"/>
          <w:sz w:val="24"/>
          <w:szCs w:val="24"/>
          <w14:ligatures w14:val="standardContextual"/>
        </w:rPr>
      </w:pPr>
      <w:hyperlink w:anchor="_Toc194474952" w:history="1">
        <w:r w:rsidRPr="006A2AA7">
          <w:rPr>
            <w:rStyle w:val="Hyperlink"/>
            <w:noProof/>
          </w:rPr>
          <w:t>A.4. Efforts to Identify Duplication</w:t>
        </w:r>
        <w:r>
          <w:rPr>
            <w:noProof/>
            <w:webHidden/>
          </w:rPr>
          <w:tab/>
        </w:r>
        <w:r>
          <w:rPr>
            <w:noProof/>
            <w:webHidden/>
          </w:rPr>
          <w:fldChar w:fldCharType="begin"/>
        </w:r>
        <w:r>
          <w:rPr>
            <w:noProof/>
            <w:webHidden/>
          </w:rPr>
          <w:instrText xml:space="preserve"> PAGEREF _Toc194474952 \h </w:instrText>
        </w:r>
        <w:r>
          <w:rPr>
            <w:noProof/>
            <w:webHidden/>
          </w:rPr>
          <w:fldChar w:fldCharType="separate"/>
        </w:r>
        <w:r>
          <w:rPr>
            <w:noProof/>
            <w:webHidden/>
          </w:rPr>
          <w:t>5</w:t>
        </w:r>
        <w:r>
          <w:rPr>
            <w:noProof/>
            <w:webHidden/>
          </w:rPr>
          <w:fldChar w:fldCharType="end"/>
        </w:r>
      </w:hyperlink>
    </w:p>
    <w:p w:rsidR="00A648C3" w14:paraId="026FB4E2" w14:textId="444B803F">
      <w:pPr>
        <w:pStyle w:val="TOC2"/>
        <w:rPr>
          <w:rFonts w:asciiTheme="minorHAnsi" w:eastAsiaTheme="minorEastAsia" w:hAnsiTheme="minorHAnsi" w:cstheme="minorBidi"/>
          <w:noProof/>
          <w:color w:val="auto"/>
          <w:kern w:val="2"/>
          <w:sz w:val="24"/>
          <w:szCs w:val="24"/>
          <w14:ligatures w14:val="standardContextual"/>
        </w:rPr>
      </w:pPr>
      <w:hyperlink w:anchor="_Toc194474953" w:history="1">
        <w:r w:rsidRPr="006A2AA7">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_Toc194474953 \h </w:instrText>
        </w:r>
        <w:r>
          <w:rPr>
            <w:noProof/>
            <w:webHidden/>
          </w:rPr>
          <w:fldChar w:fldCharType="separate"/>
        </w:r>
        <w:r>
          <w:rPr>
            <w:noProof/>
            <w:webHidden/>
          </w:rPr>
          <w:t>5</w:t>
        </w:r>
        <w:r>
          <w:rPr>
            <w:noProof/>
            <w:webHidden/>
          </w:rPr>
          <w:fldChar w:fldCharType="end"/>
        </w:r>
      </w:hyperlink>
    </w:p>
    <w:p w:rsidR="00A648C3" w14:paraId="127AE420" w14:textId="4B3C7E10">
      <w:pPr>
        <w:pStyle w:val="TOC2"/>
        <w:rPr>
          <w:rFonts w:asciiTheme="minorHAnsi" w:eastAsiaTheme="minorEastAsia" w:hAnsiTheme="minorHAnsi" w:cstheme="minorBidi"/>
          <w:noProof/>
          <w:color w:val="auto"/>
          <w:kern w:val="2"/>
          <w:sz w:val="24"/>
          <w:szCs w:val="24"/>
          <w14:ligatures w14:val="standardContextual"/>
        </w:rPr>
      </w:pPr>
      <w:hyperlink w:anchor="_Toc194474954" w:history="1">
        <w:r w:rsidRPr="006A2AA7">
          <w:rPr>
            <w:rStyle w:val="Hyperlink"/>
            <w:noProof/>
          </w:rPr>
          <w:t>A.6. Consequences of Less-Frequent Reporting</w:t>
        </w:r>
        <w:r>
          <w:rPr>
            <w:noProof/>
            <w:webHidden/>
          </w:rPr>
          <w:tab/>
        </w:r>
        <w:r>
          <w:rPr>
            <w:noProof/>
            <w:webHidden/>
          </w:rPr>
          <w:fldChar w:fldCharType="begin"/>
        </w:r>
        <w:r>
          <w:rPr>
            <w:noProof/>
            <w:webHidden/>
          </w:rPr>
          <w:instrText xml:space="preserve"> PAGEREF _Toc194474954 \h </w:instrText>
        </w:r>
        <w:r>
          <w:rPr>
            <w:noProof/>
            <w:webHidden/>
          </w:rPr>
          <w:fldChar w:fldCharType="separate"/>
        </w:r>
        <w:r>
          <w:rPr>
            <w:noProof/>
            <w:webHidden/>
          </w:rPr>
          <w:t>6</w:t>
        </w:r>
        <w:r>
          <w:rPr>
            <w:noProof/>
            <w:webHidden/>
          </w:rPr>
          <w:fldChar w:fldCharType="end"/>
        </w:r>
      </w:hyperlink>
    </w:p>
    <w:p w:rsidR="00A648C3" w14:paraId="0F8E5592" w14:textId="7327DAA5">
      <w:pPr>
        <w:pStyle w:val="TOC2"/>
        <w:rPr>
          <w:rFonts w:asciiTheme="minorHAnsi" w:eastAsiaTheme="minorEastAsia" w:hAnsiTheme="minorHAnsi" w:cstheme="minorBidi"/>
          <w:noProof/>
          <w:color w:val="auto"/>
          <w:kern w:val="2"/>
          <w:sz w:val="24"/>
          <w:szCs w:val="24"/>
          <w14:ligatures w14:val="standardContextual"/>
        </w:rPr>
      </w:pPr>
      <w:hyperlink w:anchor="_Toc194474955" w:history="1">
        <w:r w:rsidRPr="006A2AA7">
          <w:rPr>
            <w:rStyle w:val="Hyperlink"/>
            <w:noProof/>
          </w:rPr>
          <w:t>A.7. Compliance with 5 CFR 1320.5</w:t>
        </w:r>
        <w:r>
          <w:rPr>
            <w:noProof/>
            <w:webHidden/>
          </w:rPr>
          <w:tab/>
        </w:r>
        <w:r>
          <w:rPr>
            <w:noProof/>
            <w:webHidden/>
          </w:rPr>
          <w:fldChar w:fldCharType="begin"/>
        </w:r>
        <w:r>
          <w:rPr>
            <w:noProof/>
            <w:webHidden/>
          </w:rPr>
          <w:instrText xml:space="preserve"> PAGEREF _Toc194474955 \h </w:instrText>
        </w:r>
        <w:r>
          <w:rPr>
            <w:noProof/>
            <w:webHidden/>
          </w:rPr>
          <w:fldChar w:fldCharType="separate"/>
        </w:r>
        <w:r>
          <w:rPr>
            <w:noProof/>
            <w:webHidden/>
          </w:rPr>
          <w:t>6</w:t>
        </w:r>
        <w:r>
          <w:rPr>
            <w:noProof/>
            <w:webHidden/>
          </w:rPr>
          <w:fldChar w:fldCharType="end"/>
        </w:r>
      </w:hyperlink>
    </w:p>
    <w:p w:rsidR="00A648C3" w14:paraId="62758BDC" w14:textId="45C518E9">
      <w:pPr>
        <w:pStyle w:val="TOC2"/>
        <w:rPr>
          <w:rFonts w:asciiTheme="minorHAnsi" w:eastAsiaTheme="minorEastAsia" w:hAnsiTheme="minorHAnsi" w:cstheme="minorBidi"/>
          <w:noProof/>
          <w:color w:val="auto"/>
          <w:kern w:val="2"/>
          <w:sz w:val="24"/>
          <w:szCs w:val="24"/>
          <w14:ligatures w14:val="standardContextual"/>
        </w:rPr>
      </w:pPr>
      <w:hyperlink w:anchor="_Toc194474956" w:history="1">
        <w:r w:rsidRPr="006A2AA7">
          <w:rPr>
            <w:rStyle w:val="Hyperlink"/>
            <w:noProof/>
          </w:rPr>
          <w:t>A.8. Summary of Consultations Outside of the Agency</w:t>
        </w:r>
        <w:r>
          <w:rPr>
            <w:noProof/>
            <w:webHidden/>
          </w:rPr>
          <w:tab/>
        </w:r>
        <w:r>
          <w:rPr>
            <w:noProof/>
            <w:webHidden/>
          </w:rPr>
          <w:fldChar w:fldCharType="begin"/>
        </w:r>
        <w:r>
          <w:rPr>
            <w:noProof/>
            <w:webHidden/>
          </w:rPr>
          <w:instrText xml:space="preserve"> PAGEREF _Toc194474956 \h </w:instrText>
        </w:r>
        <w:r>
          <w:rPr>
            <w:noProof/>
            <w:webHidden/>
          </w:rPr>
          <w:fldChar w:fldCharType="separate"/>
        </w:r>
        <w:r>
          <w:rPr>
            <w:noProof/>
            <w:webHidden/>
          </w:rPr>
          <w:t>6</w:t>
        </w:r>
        <w:r>
          <w:rPr>
            <w:noProof/>
            <w:webHidden/>
          </w:rPr>
          <w:fldChar w:fldCharType="end"/>
        </w:r>
      </w:hyperlink>
    </w:p>
    <w:p w:rsidR="00A648C3" w14:paraId="52836C0D" w14:textId="4A260BD1">
      <w:pPr>
        <w:pStyle w:val="TOC2"/>
        <w:rPr>
          <w:rFonts w:asciiTheme="minorHAnsi" w:eastAsiaTheme="minorEastAsia" w:hAnsiTheme="minorHAnsi" w:cstheme="minorBidi"/>
          <w:noProof/>
          <w:color w:val="auto"/>
          <w:kern w:val="2"/>
          <w:sz w:val="24"/>
          <w:szCs w:val="24"/>
          <w14:ligatures w14:val="standardContextual"/>
        </w:rPr>
      </w:pPr>
      <w:hyperlink w:anchor="_Toc194474957" w:history="1">
        <w:r w:rsidRPr="006A2AA7">
          <w:rPr>
            <w:rStyle w:val="Hyperlink"/>
            <w:noProof/>
          </w:rPr>
          <w:t>A.9. Payments or Gifts to Respondents</w:t>
        </w:r>
        <w:r>
          <w:rPr>
            <w:noProof/>
            <w:webHidden/>
          </w:rPr>
          <w:tab/>
        </w:r>
        <w:r>
          <w:rPr>
            <w:noProof/>
            <w:webHidden/>
          </w:rPr>
          <w:fldChar w:fldCharType="begin"/>
        </w:r>
        <w:r>
          <w:rPr>
            <w:noProof/>
            <w:webHidden/>
          </w:rPr>
          <w:instrText xml:space="preserve"> PAGEREF _Toc194474957 \h </w:instrText>
        </w:r>
        <w:r>
          <w:rPr>
            <w:noProof/>
            <w:webHidden/>
          </w:rPr>
          <w:fldChar w:fldCharType="separate"/>
        </w:r>
        <w:r>
          <w:rPr>
            <w:noProof/>
            <w:webHidden/>
          </w:rPr>
          <w:t>6</w:t>
        </w:r>
        <w:r>
          <w:rPr>
            <w:noProof/>
            <w:webHidden/>
          </w:rPr>
          <w:fldChar w:fldCharType="end"/>
        </w:r>
      </w:hyperlink>
    </w:p>
    <w:p w:rsidR="00A648C3" w14:paraId="16D52364" w14:textId="636E1BB1">
      <w:pPr>
        <w:pStyle w:val="TOC2"/>
        <w:rPr>
          <w:rFonts w:asciiTheme="minorHAnsi" w:eastAsiaTheme="minorEastAsia" w:hAnsiTheme="minorHAnsi" w:cstheme="minorBidi"/>
          <w:noProof/>
          <w:color w:val="auto"/>
          <w:kern w:val="2"/>
          <w:sz w:val="24"/>
          <w:szCs w:val="24"/>
          <w14:ligatures w14:val="standardContextual"/>
        </w:rPr>
      </w:pPr>
      <w:hyperlink w:anchor="_Toc194474958" w:history="1">
        <w:r w:rsidRPr="006A2AA7">
          <w:rPr>
            <w:rStyle w:val="Hyperlink"/>
            <w:noProof/>
          </w:rPr>
          <w:t>A.10. Provisions for Protection of Information</w:t>
        </w:r>
        <w:r>
          <w:rPr>
            <w:noProof/>
            <w:webHidden/>
          </w:rPr>
          <w:tab/>
        </w:r>
        <w:r>
          <w:rPr>
            <w:noProof/>
            <w:webHidden/>
          </w:rPr>
          <w:fldChar w:fldCharType="begin"/>
        </w:r>
        <w:r>
          <w:rPr>
            <w:noProof/>
            <w:webHidden/>
          </w:rPr>
          <w:instrText xml:space="preserve"> PAGEREF _Toc194474958 \h </w:instrText>
        </w:r>
        <w:r>
          <w:rPr>
            <w:noProof/>
            <w:webHidden/>
          </w:rPr>
          <w:fldChar w:fldCharType="separate"/>
        </w:r>
        <w:r>
          <w:rPr>
            <w:noProof/>
            <w:webHidden/>
          </w:rPr>
          <w:t>6</w:t>
        </w:r>
        <w:r>
          <w:rPr>
            <w:noProof/>
            <w:webHidden/>
          </w:rPr>
          <w:fldChar w:fldCharType="end"/>
        </w:r>
      </w:hyperlink>
    </w:p>
    <w:p w:rsidR="00A648C3" w14:paraId="09BB5FB0" w14:textId="028CA1B9">
      <w:pPr>
        <w:pStyle w:val="TOC3"/>
        <w:rPr>
          <w:rFonts w:asciiTheme="minorHAnsi" w:eastAsiaTheme="minorEastAsia" w:hAnsiTheme="minorHAnsi" w:cstheme="minorBidi"/>
          <w:noProof/>
          <w:color w:val="auto"/>
          <w:kern w:val="2"/>
          <w:sz w:val="24"/>
          <w:szCs w:val="24"/>
          <w14:ligatures w14:val="standardContextual"/>
        </w:rPr>
      </w:pPr>
      <w:hyperlink w:anchor="_Toc194474959" w:history="1">
        <w:r w:rsidRPr="006A2AA7">
          <w:rPr>
            <w:rStyle w:val="Hyperlink"/>
            <w:noProof/>
          </w:rPr>
          <w:t>A.10.1. Form EIA-23L</w:t>
        </w:r>
        <w:r>
          <w:rPr>
            <w:noProof/>
            <w:webHidden/>
          </w:rPr>
          <w:tab/>
        </w:r>
        <w:r>
          <w:rPr>
            <w:noProof/>
            <w:webHidden/>
          </w:rPr>
          <w:fldChar w:fldCharType="begin"/>
        </w:r>
        <w:r>
          <w:rPr>
            <w:noProof/>
            <w:webHidden/>
          </w:rPr>
          <w:instrText xml:space="preserve"> PAGEREF _Toc194474959 \h </w:instrText>
        </w:r>
        <w:r>
          <w:rPr>
            <w:noProof/>
            <w:webHidden/>
          </w:rPr>
          <w:fldChar w:fldCharType="separate"/>
        </w:r>
        <w:r>
          <w:rPr>
            <w:noProof/>
            <w:webHidden/>
          </w:rPr>
          <w:t>6</w:t>
        </w:r>
        <w:r>
          <w:rPr>
            <w:noProof/>
            <w:webHidden/>
          </w:rPr>
          <w:fldChar w:fldCharType="end"/>
        </w:r>
      </w:hyperlink>
    </w:p>
    <w:p w:rsidR="00A648C3" w14:paraId="7452AACA" w14:textId="55908809">
      <w:pPr>
        <w:pStyle w:val="TOC3"/>
        <w:rPr>
          <w:rFonts w:asciiTheme="minorHAnsi" w:eastAsiaTheme="minorEastAsia" w:hAnsiTheme="minorHAnsi" w:cstheme="minorBidi"/>
          <w:noProof/>
          <w:color w:val="auto"/>
          <w:kern w:val="2"/>
          <w:sz w:val="24"/>
          <w:szCs w:val="24"/>
          <w14:ligatures w14:val="standardContextual"/>
        </w:rPr>
      </w:pPr>
      <w:hyperlink w:anchor="_Toc194474960" w:history="1">
        <w:r w:rsidRPr="006A2AA7">
          <w:rPr>
            <w:rStyle w:val="Hyperlink"/>
            <w:noProof/>
          </w:rPr>
          <w:t>A.10.2. Form EIA-64A</w:t>
        </w:r>
        <w:r>
          <w:rPr>
            <w:noProof/>
            <w:webHidden/>
          </w:rPr>
          <w:tab/>
        </w:r>
        <w:r>
          <w:rPr>
            <w:noProof/>
            <w:webHidden/>
          </w:rPr>
          <w:fldChar w:fldCharType="begin"/>
        </w:r>
        <w:r>
          <w:rPr>
            <w:noProof/>
            <w:webHidden/>
          </w:rPr>
          <w:instrText xml:space="preserve"> PAGEREF _Toc194474960 \h </w:instrText>
        </w:r>
        <w:r>
          <w:rPr>
            <w:noProof/>
            <w:webHidden/>
          </w:rPr>
          <w:fldChar w:fldCharType="separate"/>
        </w:r>
        <w:r>
          <w:rPr>
            <w:noProof/>
            <w:webHidden/>
          </w:rPr>
          <w:t>7</w:t>
        </w:r>
        <w:r>
          <w:rPr>
            <w:noProof/>
            <w:webHidden/>
          </w:rPr>
          <w:fldChar w:fldCharType="end"/>
        </w:r>
      </w:hyperlink>
    </w:p>
    <w:p w:rsidR="00A648C3" w14:paraId="226F0F01" w14:textId="3A8C41DF">
      <w:pPr>
        <w:pStyle w:val="TOC2"/>
        <w:rPr>
          <w:rFonts w:asciiTheme="minorHAnsi" w:eastAsiaTheme="minorEastAsia" w:hAnsiTheme="minorHAnsi" w:cstheme="minorBidi"/>
          <w:noProof/>
          <w:color w:val="auto"/>
          <w:kern w:val="2"/>
          <w:sz w:val="24"/>
          <w:szCs w:val="24"/>
          <w14:ligatures w14:val="standardContextual"/>
        </w:rPr>
      </w:pPr>
      <w:hyperlink w:anchor="_Toc194474961" w:history="1">
        <w:r w:rsidRPr="006A2AA7">
          <w:rPr>
            <w:rStyle w:val="Hyperlink"/>
            <w:noProof/>
          </w:rPr>
          <w:t>A.11. Justification for Sensitive Questions</w:t>
        </w:r>
        <w:r>
          <w:rPr>
            <w:noProof/>
            <w:webHidden/>
          </w:rPr>
          <w:tab/>
        </w:r>
        <w:r>
          <w:rPr>
            <w:noProof/>
            <w:webHidden/>
          </w:rPr>
          <w:fldChar w:fldCharType="begin"/>
        </w:r>
        <w:r>
          <w:rPr>
            <w:noProof/>
            <w:webHidden/>
          </w:rPr>
          <w:instrText xml:space="preserve"> PAGEREF _Toc194474961 \h </w:instrText>
        </w:r>
        <w:r>
          <w:rPr>
            <w:noProof/>
            <w:webHidden/>
          </w:rPr>
          <w:fldChar w:fldCharType="separate"/>
        </w:r>
        <w:r>
          <w:rPr>
            <w:noProof/>
            <w:webHidden/>
          </w:rPr>
          <w:t>7</w:t>
        </w:r>
        <w:r>
          <w:rPr>
            <w:noProof/>
            <w:webHidden/>
          </w:rPr>
          <w:fldChar w:fldCharType="end"/>
        </w:r>
      </w:hyperlink>
    </w:p>
    <w:p w:rsidR="00A648C3" w14:paraId="199F6A83" w14:textId="13B6BE13">
      <w:pPr>
        <w:pStyle w:val="TOC2"/>
        <w:rPr>
          <w:rFonts w:asciiTheme="minorHAnsi" w:eastAsiaTheme="minorEastAsia" w:hAnsiTheme="minorHAnsi" w:cstheme="minorBidi"/>
          <w:noProof/>
          <w:color w:val="auto"/>
          <w:kern w:val="2"/>
          <w:sz w:val="24"/>
          <w:szCs w:val="24"/>
          <w14:ligatures w14:val="standardContextual"/>
        </w:rPr>
      </w:pPr>
      <w:hyperlink w:anchor="_Toc194474962" w:history="1">
        <w:r w:rsidRPr="006A2AA7">
          <w:rPr>
            <w:rStyle w:val="Hyperlink"/>
            <w:noProof/>
          </w:rPr>
          <w:t>A.12. Estimate of Respondent Burden Hours and Cost</w:t>
        </w:r>
        <w:r>
          <w:rPr>
            <w:noProof/>
            <w:webHidden/>
          </w:rPr>
          <w:tab/>
        </w:r>
        <w:r>
          <w:rPr>
            <w:noProof/>
            <w:webHidden/>
          </w:rPr>
          <w:fldChar w:fldCharType="begin"/>
        </w:r>
        <w:r>
          <w:rPr>
            <w:noProof/>
            <w:webHidden/>
          </w:rPr>
          <w:instrText xml:space="preserve"> PAGEREF _Toc194474962 \h </w:instrText>
        </w:r>
        <w:r>
          <w:rPr>
            <w:noProof/>
            <w:webHidden/>
          </w:rPr>
          <w:fldChar w:fldCharType="separate"/>
        </w:r>
        <w:r>
          <w:rPr>
            <w:noProof/>
            <w:webHidden/>
          </w:rPr>
          <w:t>8</w:t>
        </w:r>
        <w:r>
          <w:rPr>
            <w:noProof/>
            <w:webHidden/>
          </w:rPr>
          <w:fldChar w:fldCharType="end"/>
        </w:r>
      </w:hyperlink>
    </w:p>
    <w:p w:rsidR="00A648C3" w14:paraId="13C5F291" w14:textId="4A319227">
      <w:pPr>
        <w:pStyle w:val="TOC2"/>
        <w:rPr>
          <w:rFonts w:asciiTheme="minorHAnsi" w:eastAsiaTheme="minorEastAsia" w:hAnsiTheme="minorHAnsi" w:cstheme="minorBidi"/>
          <w:noProof/>
          <w:color w:val="auto"/>
          <w:kern w:val="2"/>
          <w:sz w:val="24"/>
          <w:szCs w:val="24"/>
          <w14:ligatures w14:val="standardContextual"/>
        </w:rPr>
      </w:pPr>
      <w:hyperlink w:anchor="_Toc194474963" w:history="1">
        <w:r w:rsidRPr="006A2AA7">
          <w:rPr>
            <w:rStyle w:val="Hyperlink"/>
            <w:noProof/>
          </w:rPr>
          <w:t>A.13. Annual Cost to the Federal Government</w:t>
        </w:r>
        <w:r>
          <w:rPr>
            <w:noProof/>
            <w:webHidden/>
          </w:rPr>
          <w:tab/>
        </w:r>
        <w:r>
          <w:rPr>
            <w:noProof/>
            <w:webHidden/>
          </w:rPr>
          <w:fldChar w:fldCharType="begin"/>
        </w:r>
        <w:r>
          <w:rPr>
            <w:noProof/>
            <w:webHidden/>
          </w:rPr>
          <w:instrText xml:space="preserve"> PAGEREF _Toc194474963 \h </w:instrText>
        </w:r>
        <w:r>
          <w:rPr>
            <w:noProof/>
            <w:webHidden/>
          </w:rPr>
          <w:fldChar w:fldCharType="separate"/>
        </w:r>
        <w:r>
          <w:rPr>
            <w:noProof/>
            <w:webHidden/>
          </w:rPr>
          <w:t>8</w:t>
        </w:r>
        <w:r>
          <w:rPr>
            <w:noProof/>
            <w:webHidden/>
          </w:rPr>
          <w:fldChar w:fldCharType="end"/>
        </w:r>
      </w:hyperlink>
    </w:p>
    <w:p w:rsidR="00A648C3" w14:paraId="2BF76963" w14:textId="1BDB59F3">
      <w:pPr>
        <w:pStyle w:val="TOC2"/>
        <w:rPr>
          <w:rFonts w:asciiTheme="minorHAnsi" w:eastAsiaTheme="minorEastAsia" w:hAnsiTheme="minorHAnsi" w:cstheme="minorBidi"/>
          <w:noProof/>
          <w:color w:val="auto"/>
          <w:kern w:val="2"/>
          <w:sz w:val="24"/>
          <w:szCs w:val="24"/>
          <w14:ligatures w14:val="standardContextual"/>
        </w:rPr>
      </w:pPr>
      <w:hyperlink w:anchor="_Toc194474964" w:history="1">
        <w:r w:rsidRPr="006A2AA7">
          <w:rPr>
            <w:rStyle w:val="Hyperlink"/>
            <w:noProof/>
          </w:rPr>
          <w:t>A.14. Changes in Burden</w:t>
        </w:r>
        <w:r>
          <w:rPr>
            <w:noProof/>
            <w:webHidden/>
          </w:rPr>
          <w:tab/>
        </w:r>
        <w:r>
          <w:rPr>
            <w:noProof/>
            <w:webHidden/>
          </w:rPr>
          <w:fldChar w:fldCharType="begin"/>
        </w:r>
        <w:r>
          <w:rPr>
            <w:noProof/>
            <w:webHidden/>
          </w:rPr>
          <w:instrText xml:space="preserve"> PAGEREF _Toc194474964 \h </w:instrText>
        </w:r>
        <w:r>
          <w:rPr>
            <w:noProof/>
            <w:webHidden/>
          </w:rPr>
          <w:fldChar w:fldCharType="separate"/>
        </w:r>
        <w:r>
          <w:rPr>
            <w:noProof/>
            <w:webHidden/>
          </w:rPr>
          <w:t>9</w:t>
        </w:r>
        <w:r>
          <w:rPr>
            <w:noProof/>
            <w:webHidden/>
          </w:rPr>
          <w:fldChar w:fldCharType="end"/>
        </w:r>
      </w:hyperlink>
    </w:p>
    <w:p w:rsidR="00A648C3" w14:paraId="4D92C418" w14:textId="2F9BBA57">
      <w:pPr>
        <w:pStyle w:val="TOC2"/>
        <w:rPr>
          <w:rFonts w:asciiTheme="minorHAnsi" w:eastAsiaTheme="minorEastAsia" w:hAnsiTheme="minorHAnsi" w:cstheme="minorBidi"/>
          <w:noProof/>
          <w:color w:val="auto"/>
          <w:kern w:val="2"/>
          <w:sz w:val="24"/>
          <w:szCs w:val="24"/>
          <w14:ligatures w14:val="standardContextual"/>
        </w:rPr>
      </w:pPr>
      <w:hyperlink w:anchor="_Toc194474965" w:history="1">
        <w:r w:rsidRPr="006A2AA7">
          <w:rPr>
            <w:rStyle w:val="Hyperlink"/>
            <w:noProof/>
          </w:rPr>
          <w:t>A.15. Reasons for Changes in Burden</w:t>
        </w:r>
        <w:r>
          <w:rPr>
            <w:noProof/>
            <w:webHidden/>
          </w:rPr>
          <w:tab/>
        </w:r>
        <w:r>
          <w:rPr>
            <w:noProof/>
            <w:webHidden/>
          </w:rPr>
          <w:fldChar w:fldCharType="begin"/>
        </w:r>
        <w:r>
          <w:rPr>
            <w:noProof/>
            <w:webHidden/>
          </w:rPr>
          <w:instrText xml:space="preserve"> PAGEREF _Toc194474965 \h </w:instrText>
        </w:r>
        <w:r>
          <w:rPr>
            <w:noProof/>
            <w:webHidden/>
          </w:rPr>
          <w:fldChar w:fldCharType="separate"/>
        </w:r>
        <w:r>
          <w:rPr>
            <w:noProof/>
            <w:webHidden/>
          </w:rPr>
          <w:t>10</w:t>
        </w:r>
        <w:r>
          <w:rPr>
            <w:noProof/>
            <w:webHidden/>
          </w:rPr>
          <w:fldChar w:fldCharType="end"/>
        </w:r>
      </w:hyperlink>
    </w:p>
    <w:p w:rsidR="00A648C3" w14:paraId="1279B15A" w14:textId="257D3795">
      <w:pPr>
        <w:pStyle w:val="TOC2"/>
        <w:rPr>
          <w:rFonts w:asciiTheme="minorHAnsi" w:eastAsiaTheme="minorEastAsia" w:hAnsiTheme="minorHAnsi" w:cstheme="minorBidi"/>
          <w:noProof/>
          <w:color w:val="auto"/>
          <w:kern w:val="2"/>
          <w:sz w:val="24"/>
          <w:szCs w:val="24"/>
          <w14:ligatures w14:val="standardContextual"/>
        </w:rPr>
      </w:pPr>
      <w:hyperlink w:anchor="_Toc194474966" w:history="1">
        <w:r w:rsidRPr="006A2AA7">
          <w:rPr>
            <w:rStyle w:val="Hyperlink"/>
            <w:noProof/>
          </w:rPr>
          <w:t>A.16. Collection, Tabulation, and Publication Plans</w:t>
        </w:r>
        <w:r>
          <w:rPr>
            <w:noProof/>
            <w:webHidden/>
          </w:rPr>
          <w:tab/>
        </w:r>
        <w:r>
          <w:rPr>
            <w:noProof/>
            <w:webHidden/>
          </w:rPr>
          <w:fldChar w:fldCharType="begin"/>
        </w:r>
        <w:r>
          <w:rPr>
            <w:noProof/>
            <w:webHidden/>
          </w:rPr>
          <w:instrText xml:space="preserve"> PAGEREF _Toc194474966 \h </w:instrText>
        </w:r>
        <w:r>
          <w:rPr>
            <w:noProof/>
            <w:webHidden/>
          </w:rPr>
          <w:fldChar w:fldCharType="separate"/>
        </w:r>
        <w:r>
          <w:rPr>
            <w:noProof/>
            <w:webHidden/>
          </w:rPr>
          <w:t>10</w:t>
        </w:r>
        <w:r>
          <w:rPr>
            <w:noProof/>
            <w:webHidden/>
          </w:rPr>
          <w:fldChar w:fldCharType="end"/>
        </w:r>
      </w:hyperlink>
    </w:p>
    <w:p w:rsidR="00A648C3" w14:paraId="61957AFF" w14:textId="15BDCC31">
      <w:pPr>
        <w:pStyle w:val="TOC2"/>
        <w:rPr>
          <w:rFonts w:asciiTheme="minorHAnsi" w:eastAsiaTheme="minorEastAsia" w:hAnsiTheme="minorHAnsi" w:cstheme="minorBidi"/>
          <w:noProof/>
          <w:color w:val="auto"/>
          <w:kern w:val="2"/>
          <w:sz w:val="24"/>
          <w:szCs w:val="24"/>
          <w14:ligatures w14:val="standardContextual"/>
        </w:rPr>
      </w:pPr>
      <w:hyperlink w:anchor="_Toc194474967" w:history="1">
        <w:r w:rsidRPr="006A2AA7">
          <w:rPr>
            <w:rStyle w:val="Hyperlink"/>
            <w:noProof/>
          </w:rPr>
          <w:t>A.17. OMB Number and Expiration Date</w:t>
        </w:r>
        <w:r>
          <w:rPr>
            <w:noProof/>
            <w:webHidden/>
          </w:rPr>
          <w:tab/>
        </w:r>
        <w:r>
          <w:rPr>
            <w:noProof/>
            <w:webHidden/>
          </w:rPr>
          <w:fldChar w:fldCharType="begin"/>
        </w:r>
        <w:r>
          <w:rPr>
            <w:noProof/>
            <w:webHidden/>
          </w:rPr>
          <w:instrText xml:space="preserve"> PAGEREF _Toc194474967 \h </w:instrText>
        </w:r>
        <w:r>
          <w:rPr>
            <w:noProof/>
            <w:webHidden/>
          </w:rPr>
          <w:fldChar w:fldCharType="separate"/>
        </w:r>
        <w:r>
          <w:rPr>
            <w:noProof/>
            <w:webHidden/>
          </w:rPr>
          <w:t>10</w:t>
        </w:r>
        <w:r>
          <w:rPr>
            <w:noProof/>
            <w:webHidden/>
          </w:rPr>
          <w:fldChar w:fldCharType="end"/>
        </w:r>
      </w:hyperlink>
    </w:p>
    <w:p w:rsidR="00A648C3" w14:paraId="3E9C7668" w14:textId="2D27C0A0">
      <w:pPr>
        <w:pStyle w:val="TOC2"/>
        <w:rPr>
          <w:rFonts w:asciiTheme="minorHAnsi" w:eastAsiaTheme="minorEastAsia" w:hAnsiTheme="minorHAnsi" w:cstheme="minorBidi"/>
          <w:noProof/>
          <w:color w:val="auto"/>
          <w:kern w:val="2"/>
          <w:sz w:val="24"/>
          <w:szCs w:val="24"/>
          <w14:ligatures w14:val="standardContextual"/>
        </w:rPr>
      </w:pPr>
      <w:hyperlink w:anchor="_Toc194474968" w:history="1">
        <w:r w:rsidRPr="006A2AA7">
          <w:rPr>
            <w:rStyle w:val="Hyperlink"/>
            <w:noProof/>
          </w:rPr>
          <w:t>A.18. Certification Statement</w:t>
        </w:r>
        <w:r>
          <w:rPr>
            <w:noProof/>
            <w:webHidden/>
          </w:rPr>
          <w:tab/>
        </w:r>
        <w:r>
          <w:rPr>
            <w:noProof/>
            <w:webHidden/>
          </w:rPr>
          <w:fldChar w:fldCharType="begin"/>
        </w:r>
        <w:r>
          <w:rPr>
            <w:noProof/>
            <w:webHidden/>
          </w:rPr>
          <w:instrText xml:space="preserve"> PAGEREF _Toc194474968 \h </w:instrText>
        </w:r>
        <w:r>
          <w:rPr>
            <w:noProof/>
            <w:webHidden/>
          </w:rPr>
          <w:fldChar w:fldCharType="separate"/>
        </w:r>
        <w:r>
          <w:rPr>
            <w:noProof/>
            <w:webHidden/>
          </w:rPr>
          <w:t>10</w:t>
        </w:r>
        <w:r>
          <w:rPr>
            <w:noProof/>
            <w:webHidden/>
          </w:rPr>
          <w:fldChar w:fldCharType="end"/>
        </w:r>
      </w:hyperlink>
    </w:p>
    <w:p w:rsidR="00AD6244" w14:paraId="2A137506" w14:textId="13775198">
      <w:r w:rsidRPr="00E054DF">
        <w:rPr>
          <w:b/>
          <w:bCs/>
          <w:noProof/>
          <w:color w:val="000000"/>
        </w:rPr>
        <w:fldChar w:fldCharType="end"/>
      </w:r>
    </w:p>
    <w:p w:rsidR="002542D4" w:rsidRPr="00BB64D7" w:rsidP="0074454A" w14:paraId="03AAFE4B" w14:textId="5F8286CC">
      <w:pPr>
        <w:pStyle w:val="Heading2"/>
        <w:rPr>
          <w:noProof/>
        </w:rPr>
      </w:pPr>
      <w:r>
        <w:rPr>
          <w:noProof/>
        </w:rPr>
        <w:br w:type="page"/>
      </w:r>
      <w:bookmarkStart w:id="1" w:name="_Toc492634200"/>
      <w:bookmarkStart w:id="2" w:name="_Toc194474948"/>
      <w:r w:rsidRPr="00BB64D7">
        <w:rPr>
          <w:noProof/>
        </w:rPr>
        <w:t>Introduction</w:t>
      </w:r>
      <w:bookmarkEnd w:id="1"/>
      <w:bookmarkEnd w:id="2"/>
    </w:p>
    <w:p w:rsidR="002542D4" w:rsidP="002542D4" w14:paraId="2059535B" w14:textId="6EAE141E">
      <w:pPr>
        <w:rPr>
          <w:i/>
          <w:noProof/>
        </w:rPr>
      </w:pPr>
      <w:r w:rsidRPr="0074454A">
        <w:rPr>
          <w:iCs/>
          <w:noProof/>
        </w:rP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sidRPr="002542D4">
        <w:rPr>
          <w:i/>
          <w:noProof/>
        </w:rPr>
        <w:t xml:space="preserve"> </w:t>
      </w:r>
    </w:p>
    <w:p w:rsidR="006C312B" w:rsidRPr="0054274A" w:rsidP="006C312B" w14:paraId="3BF668D4" w14:textId="1CE5CC9F">
      <w:r w:rsidRPr="006C312B">
        <w:t>EIA requests a three-year extension of collection authority</w:t>
      </w:r>
      <w:r>
        <w:t xml:space="preserve"> </w:t>
      </w:r>
      <w:r w:rsidRPr="006C312B">
        <w:t>for</w:t>
      </w:r>
      <w:r w:rsidR="00517367">
        <w:t xml:space="preserve"> the</w:t>
      </w:r>
      <w:r w:rsidRPr="006C312B">
        <w:t xml:space="preserve"> th</w:t>
      </w:r>
      <w:r>
        <w:t>re</w:t>
      </w:r>
      <w:r w:rsidRPr="006C312B">
        <w:t xml:space="preserve">e surveys </w:t>
      </w:r>
      <w:r>
        <w:t xml:space="preserve">that comprise the </w:t>
      </w:r>
      <w:r w:rsidRPr="0054274A">
        <w:t>Oil and Gas Reserves System Surveys (OMB No. 1905-0057). These surveys are:</w:t>
      </w:r>
    </w:p>
    <w:p w:rsidR="006C312B" w:rsidRPr="0054274A" w:rsidP="5F25B512" w14:paraId="77205BD6" w14:textId="51ABC24A">
      <w:pPr>
        <w:rPr>
          <w:i/>
          <w:iCs/>
          <w:color w:val="FF0000"/>
        </w:rPr>
      </w:pPr>
      <w:r>
        <w:t>•</w:t>
      </w:r>
      <w:r>
        <w:tab/>
        <w:t>EIA</w:t>
      </w:r>
      <w:r w:rsidR="00517367">
        <w:t>-</w:t>
      </w:r>
      <w:r>
        <w:t xml:space="preserve">23L, </w:t>
      </w:r>
      <w:r w:rsidRPr="5F25B512">
        <w:rPr>
          <w:i/>
          <w:iCs/>
        </w:rPr>
        <w:t xml:space="preserve">Annual Report of Domestic Oil and Gas Reserves </w:t>
      </w:r>
    </w:p>
    <w:p w:rsidR="006C312B" w:rsidRPr="0054274A" w:rsidP="006C312B" w14:paraId="2F70243E" w14:textId="597EA2E4">
      <w:r w:rsidRPr="0054274A">
        <w:t>•</w:t>
      </w:r>
      <w:r w:rsidRPr="0054274A">
        <w:tab/>
        <w:t xml:space="preserve">EIA-23S, </w:t>
      </w:r>
      <w:r w:rsidRPr="001E77F8">
        <w:rPr>
          <w:i/>
        </w:rPr>
        <w:t xml:space="preserve">Annual </w:t>
      </w:r>
      <w:r w:rsidR="004D1E8D">
        <w:rPr>
          <w:i/>
        </w:rPr>
        <w:t xml:space="preserve">Survey </w:t>
      </w:r>
      <w:r w:rsidRPr="001E77F8">
        <w:rPr>
          <w:i/>
        </w:rPr>
        <w:t>of Domestic Oil and Gas Reserves (Summary Version)</w:t>
      </w:r>
    </w:p>
    <w:p w:rsidR="006C312B" w:rsidRPr="005E379B" w:rsidP="006C312B" w14:paraId="0504412C" w14:textId="77777777">
      <w:pPr>
        <w:rPr>
          <w:i/>
          <w:iCs/>
        </w:rPr>
      </w:pPr>
      <w:r w:rsidRPr="0054274A">
        <w:t>•</w:t>
      </w:r>
      <w:r w:rsidRPr="0054274A">
        <w:tab/>
        <w:t xml:space="preserve">EIA-64A, </w:t>
      </w:r>
      <w:r w:rsidRPr="005E379B">
        <w:rPr>
          <w:i/>
          <w:iCs/>
        </w:rPr>
        <w:t>Annual Report of the Origin of Natural Gas Liquids Production</w:t>
      </w:r>
    </w:p>
    <w:p w:rsidR="006C312B" w:rsidP="006C312B" w14:paraId="199D194D" w14:textId="1DDF95E6">
      <w:pPr>
        <w:rPr>
          <w:iCs/>
        </w:rPr>
      </w:pPr>
      <w:r>
        <w:t xml:space="preserve">EIA requests a three-year extension with changes for </w:t>
      </w:r>
      <w:r w:rsidRPr="003C6570">
        <w:rPr>
          <w:iCs/>
        </w:rPr>
        <w:t>Form EIA-23L, Annual Survey of Domestic Oil and Gas Reserves</w:t>
      </w:r>
      <w:r>
        <w:rPr>
          <w:iCs/>
        </w:rPr>
        <w:t xml:space="preserve">. Form EIA-23L </w:t>
      </w:r>
      <w:r w:rsidRPr="003C6570">
        <w:rPr>
          <w:iCs/>
        </w:rPr>
        <w:t xml:space="preserve">collects data on domestic production and reserves of crude oil, condensate, and natural gas. Each </w:t>
      </w:r>
      <w:r>
        <w:rPr>
          <w:iCs/>
        </w:rPr>
        <w:t>respondent</w:t>
      </w:r>
      <w:r w:rsidRPr="003C6570">
        <w:rPr>
          <w:iCs/>
        </w:rPr>
        <w:t xml:space="preserve"> report</w:t>
      </w:r>
      <w:r>
        <w:rPr>
          <w:iCs/>
        </w:rPr>
        <w:t>s</w:t>
      </w:r>
      <w:r w:rsidRPr="003C6570">
        <w:rPr>
          <w:iCs/>
        </w:rPr>
        <w:t xml:space="preserve"> proved reserves and production for crude oil</w:t>
      </w:r>
      <w:r w:rsidRPr="001444B0">
        <w:rPr>
          <w:iCs/>
        </w:rPr>
        <w:t xml:space="preserve"> </w:t>
      </w:r>
      <w:r w:rsidRPr="003C6570">
        <w:rPr>
          <w:iCs/>
        </w:rPr>
        <w:t xml:space="preserve">and lease condensate, </w:t>
      </w:r>
      <w:r>
        <w:rPr>
          <w:iCs/>
        </w:rPr>
        <w:t xml:space="preserve">and </w:t>
      </w:r>
      <w:r w:rsidRPr="003C6570">
        <w:rPr>
          <w:iCs/>
        </w:rPr>
        <w:t xml:space="preserve">natural gas, by </w:t>
      </w:r>
      <w:r>
        <w:rPr>
          <w:iCs/>
        </w:rPr>
        <w:t>state/state subdivision</w:t>
      </w:r>
      <w:r w:rsidRPr="003C6570">
        <w:rPr>
          <w:iCs/>
        </w:rPr>
        <w:t xml:space="preserve"> in which it operates, as well as the reservoir type associated with the reserves. Shale </w:t>
      </w:r>
      <w:r>
        <w:rPr>
          <w:iCs/>
        </w:rPr>
        <w:t xml:space="preserve">and </w:t>
      </w:r>
      <w:r w:rsidRPr="003C6570">
        <w:rPr>
          <w:iCs/>
        </w:rPr>
        <w:t>conventional are the reservoir types reported by operators</w:t>
      </w:r>
      <w:r>
        <w:rPr>
          <w:iCs/>
        </w:rPr>
        <w:t xml:space="preserve"> in sections 4 and 5 of Form EIA-23L.</w:t>
      </w:r>
      <w:r w:rsidR="00517367">
        <w:rPr>
          <w:iCs/>
        </w:rPr>
        <w:t xml:space="preserve"> </w:t>
      </w:r>
      <w:r w:rsidR="007931C4">
        <w:rPr>
          <w:iCs/>
        </w:rPr>
        <w:t>EIA proposes a minor modification to Form EIA-23L instructions to</w:t>
      </w:r>
      <w:r w:rsidR="00A52EC6">
        <w:rPr>
          <w:iCs/>
        </w:rPr>
        <w:t xml:space="preserve"> align </w:t>
      </w:r>
      <w:r w:rsidR="00017E03">
        <w:rPr>
          <w:iCs/>
        </w:rPr>
        <w:t>the disclosure language with other EIA surveys</w:t>
      </w:r>
      <w:r w:rsidR="00BD2E69">
        <w:rPr>
          <w:iCs/>
        </w:rPr>
        <w:t>, without substantially changing the intention of the disclosure</w:t>
      </w:r>
      <w:r w:rsidR="006E77D6">
        <w:rPr>
          <w:iCs/>
        </w:rPr>
        <w:t xml:space="preserve"> language.</w:t>
      </w:r>
      <w:r w:rsidR="00517367">
        <w:rPr>
          <w:iCs/>
        </w:rPr>
        <w:t xml:space="preserve"> </w:t>
      </w:r>
    </w:p>
    <w:p w:rsidR="004A262B" w:rsidP="006C312B" w14:paraId="347FC23B" w14:textId="4A56542C">
      <w:pPr>
        <w:rPr>
          <w:iCs/>
        </w:rPr>
      </w:pPr>
      <w:r>
        <w:rPr>
          <w:iCs/>
        </w:rPr>
        <w:t>EIA suspended Form EIA-23S</w:t>
      </w:r>
      <w:r w:rsidR="00126963">
        <w:rPr>
          <w:iCs/>
        </w:rPr>
        <w:t>,</w:t>
      </w:r>
      <w:r w:rsidRPr="00126963" w:rsidR="00126963">
        <w:rPr>
          <w:iCs/>
        </w:rPr>
        <w:t xml:space="preserve"> </w:t>
      </w:r>
      <w:r w:rsidR="00126963">
        <w:rPr>
          <w:iCs/>
        </w:rPr>
        <w:t>Annual Survey of Domestic Oil and Gas Reserves (Summary Version)</w:t>
      </w:r>
      <w:r>
        <w:rPr>
          <w:iCs/>
        </w:rPr>
        <w:t xml:space="preserve"> in 2013 and requests a continued suspension of this data collection. Form EIA-2</w:t>
      </w:r>
      <w:r w:rsidR="004F1BD8">
        <w:rPr>
          <w:iCs/>
        </w:rPr>
        <w:t>3S</w:t>
      </w:r>
      <w:r>
        <w:rPr>
          <w:iCs/>
        </w:rPr>
        <w:t xml:space="preserve"> </w:t>
      </w:r>
      <w:r w:rsidR="00517367">
        <w:rPr>
          <w:iCs/>
        </w:rPr>
        <w:t xml:space="preserve">collects data on domestic production </w:t>
      </w:r>
      <w:r w:rsidRPr="003C6570" w:rsidR="00517367">
        <w:rPr>
          <w:iCs/>
        </w:rPr>
        <w:t>and reserves of crude oil, condensate, and natural gas</w:t>
      </w:r>
      <w:r w:rsidR="00517367">
        <w:rPr>
          <w:iCs/>
        </w:rPr>
        <w:t xml:space="preserve"> at a summary level from a sample of small operators (those that produce less than 400,000 barrels of crude oil or 2 </w:t>
      </w:r>
      <w:r w:rsidR="00517367">
        <w:t>bi</w:t>
      </w:r>
      <w:r w:rsidR="21B0CCF0">
        <w:t>ll</w:t>
      </w:r>
      <w:r w:rsidR="00517367">
        <w:t>ion</w:t>
      </w:r>
      <w:r w:rsidR="00517367">
        <w:rPr>
          <w:iCs/>
        </w:rPr>
        <w:t xml:space="preserve"> cubic feet of natural gas each year). </w:t>
      </w:r>
    </w:p>
    <w:p w:rsidR="006C312B" w:rsidP="006C312B" w14:paraId="5F5FED37" w14:textId="5781D002">
      <w:r>
        <w:t>EIA requests a three-year extension wit</w:t>
      </w:r>
      <w:r w:rsidR="002943D0">
        <w:t>h</w:t>
      </w:r>
      <w:r>
        <w:t xml:space="preserve"> changes for </w:t>
      </w:r>
      <w:r>
        <w:t xml:space="preserve">Form EIA-64A, </w:t>
      </w:r>
      <w:r>
        <w:t xml:space="preserve">Annual Report </w:t>
      </w:r>
      <w:r>
        <w:t>of</w:t>
      </w:r>
      <w:r>
        <w:t xml:space="preserve"> the Origin of Natural Gas Liquids Production. Form EIA-64A, </w:t>
      </w:r>
      <w:r>
        <w:t xml:space="preserve">complementary to Form EIA-23L, collects data on </w:t>
      </w:r>
      <w:r w:rsidR="00D13C24">
        <w:t xml:space="preserve">the </w:t>
      </w:r>
      <w:r>
        <w:t xml:space="preserve">production of natural gas liquids. The EIA-64A is a census of natural gas processing plants. All natural gas processing plant operators must file a Form EIA-64A for each plant that they own. Natural gas processing plants report natural gas liquids production by the area of origin of the natural gas processed. </w:t>
      </w:r>
      <w:r w:rsidR="00C07959">
        <w:t xml:space="preserve">EIA proposes </w:t>
      </w:r>
      <w:r w:rsidR="5DEB7E71">
        <w:t>six</w:t>
      </w:r>
      <w:r w:rsidR="00C07959">
        <w:t xml:space="preserve"> minor </w:t>
      </w:r>
      <w:r w:rsidR="001D1CF4">
        <w:t xml:space="preserve">modifications to Form EIA-64A instructions to clarify the </w:t>
      </w:r>
      <w:r w:rsidR="00A06629">
        <w:t>data requested:</w:t>
      </w:r>
    </w:p>
    <w:p w:rsidR="00A06629" w:rsidP="00A06629" w14:paraId="3A74C906" w14:textId="25A95BBC">
      <w:pPr>
        <w:pStyle w:val="ListParagraph"/>
      </w:pPr>
      <w:r>
        <w:t>P</w:t>
      </w:r>
      <w:r w:rsidR="00230EFD">
        <w:t xml:space="preserve">age 1 of the instructions describing </w:t>
      </w:r>
      <w:r w:rsidR="00865430">
        <w:t xml:space="preserve">who must file the form </w:t>
      </w:r>
      <w:r>
        <w:t xml:space="preserve">indicates that “facilities” refers to natural gas processing plants. EIA proposes adding “including sweeteners” </w:t>
      </w:r>
      <w:r w:rsidR="00583B87">
        <w:t>to clarify the respondent frame.</w:t>
      </w:r>
    </w:p>
    <w:p w:rsidR="00583B87" w:rsidP="00A06629" w14:paraId="0AE2E0FB" w14:textId="4C560F6F">
      <w:pPr>
        <w:pStyle w:val="ListParagraph"/>
      </w:pPr>
      <w:r>
        <w:t xml:space="preserve">Page 4 of the instructions includes a diagram </w:t>
      </w:r>
      <w:r w:rsidR="004162D4">
        <w:t>to assist respondents when filling out Section 2 of the form. EIA proposes defining residue gas</w:t>
      </w:r>
      <w:r w:rsidR="00195D4C">
        <w:t xml:space="preserve"> as “dry natural gas after liquids extraction” in the </w:t>
      </w:r>
      <w:r w:rsidR="00D322B0">
        <w:t>text describing the diagram. This is the first place EIA uses the term residue gas other than in the Section title.</w:t>
      </w:r>
    </w:p>
    <w:p w:rsidR="00D322B0" w:rsidP="00A06629" w14:paraId="744D7B98" w14:textId="13600CBE">
      <w:pPr>
        <w:pStyle w:val="ListParagraph"/>
      </w:pPr>
      <w:r>
        <w:t xml:space="preserve">Page 4 </w:t>
      </w:r>
      <w:r w:rsidR="020110D0">
        <w:t xml:space="preserve">of the </w:t>
      </w:r>
      <w:r w:rsidR="00D0494D">
        <w:t xml:space="preserve">instructions for </w:t>
      </w:r>
      <w:r>
        <w:t xml:space="preserve">Section </w:t>
      </w:r>
      <w:r w:rsidR="00DF4F40">
        <w:t xml:space="preserve">2.1 </w:t>
      </w:r>
      <w:r w:rsidR="00D13C24">
        <w:t>requests</w:t>
      </w:r>
      <w:r w:rsidR="00DF4F40">
        <w:t xml:space="preserve"> the total </w:t>
      </w:r>
      <w:r w:rsidR="002970A2">
        <w:t xml:space="preserve">outlet of residue natural gas. EIA proposes </w:t>
      </w:r>
      <w:r w:rsidR="00A92BCB">
        <w:t>clarify</w:t>
      </w:r>
      <w:r w:rsidR="002970A2">
        <w:t>ing the current definition of res</w:t>
      </w:r>
      <w:r w:rsidR="00A92BCB">
        <w:t>i</w:t>
      </w:r>
      <w:r w:rsidR="002970A2">
        <w:t xml:space="preserve">due </w:t>
      </w:r>
      <w:r w:rsidR="00A92BCB">
        <w:t xml:space="preserve">natural </w:t>
      </w:r>
      <w:r w:rsidR="002970A2">
        <w:t>gas</w:t>
      </w:r>
      <w:r w:rsidR="00A92BCB">
        <w:t xml:space="preserve"> from “dry gas” to “dry natural gas after liquids extraction”</w:t>
      </w:r>
      <w:r w:rsidR="00D0494D">
        <w:t>.</w:t>
      </w:r>
    </w:p>
    <w:p w:rsidR="00D0494D" w:rsidRPr="00A06629" w:rsidP="78CCB779" w14:paraId="4496AF48" w14:textId="7EBC7CC8">
      <w:pPr>
        <w:pStyle w:val="ListParagraph"/>
      </w:pPr>
      <w:r>
        <w:t>Page 4</w:t>
      </w:r>
      <w:r w:rsidR="6B198EB6">
        <w:t xml:space="preserve"> of the</w:t>
      </w:r>
      <w:r>
        <w:t xml:space="preserve"> instructions for Section 2.2 request</w:t>
      </w:r>
      <w:r w:rsidR="00D13C24">
        <w:t>s</w:t>
      </w:r>
      <w:r w:rsidR="0064549E">
        <w:t xml:space="preserve"> the total natural gas used on site as plant fuel. EIA proposes modifying the current instruction to </w:t>
      </w:r>
      <w:r w:rsidR="00B63FDB">
        <w:t>clarify that this data</w:t>
      </w:r>
      <w:r w:rsidR="003374AB">
        <w:t xml:space="preserve"> should include </w:t>
      </w:r>
      <w:r w:rsidR="00240B49">
        <w:t xml:space="preserve">natural gas that is used to generate electricity consumed </w:t>
      </w:r>
      <w:r w:rsidR="00EE657C">
        <w:t>by the plant.</w:t>
      </w:r>
    </w:p>
    <w:p w:rsidR="36370449" w:rsidP="78CCB779" w14:paraId="44F44C77" w14:textId="35098FB8">
      <w:pPr>
        <w:pStyle w:val="ListParagraph"/>
      </w:pPr>
      <w:r w:rsidRPr="78CCB779">
        <w:t>EIA proposes changing all instances of "residue gas" to "residue natural gas" for consistency within the instructions.</w:t>
      </w:r>
    </w:p>
    <w:p w:rsidR="36370449" w:rsidP="78CCB779" w14:paraId="494E15D4" w14:textId="77D66A1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78CCB779">
        <w:t xml:space="preserve">Pages 6 and 7 </w:t>
      </w:r>
      <w:r w:rsidRPr="78CCB779" w:rsidR="29DD26A0">
        <w:t xml:space="preserve">of the </w:t>
      </w:r>
      <w:r w:rsidRPr="78CCB779">
        <w:t>instructions include a form glossary. EIA proposes adding a definition to this glossary for gas sweetening plants: "A type of natural gas processing plant designed for removal of impurities such as hydrogen sulfide, carbon dioxide, sulfur, etc. from sour gas to make it suitable for transport and use."</w:t>
      </w:r>
    </w:p>
    <w:p w:rsidR="78CCB779" w:rsidP="78CCB779" w14:paraId="107184C6" w14:textId="2267F363">
      <w:pPr>
        <w:pStyle w:val="ListParagraph"/>
        <w:numPr>
          <w:ilvl w:val="0"/>
          <w:numId w:val="0"/>
        </w:numPr>
        <w:ind w:left="720" w:hanging="360"/>
      </w:pPr>
    </w:p>
    <w:p w:rsidR="002542D4" w:rsidRPr="00BB64D7" w:rsidP="00F43F66" w14:paraId="25D674CB" w14:textId="77777777">
      <w:pPr>
        <w:pStyle w:val="Heading2"/>
        <w:rPr>
          <w:noProof/>
        </w:rPr>
      </w:pPr>
      <w:bookmarkStart w:id="3" w:name="_Toc492634201"/>
      <w:bookmarkStart w:id="4" w:name="_Toc194474949"/>
      <w:r w:rsidRPr="00BB64D7">
        <w:rPr>
          <w:noProof/>
        </w:rPr>
        <w:t>A.1. Legal Justification</w:t>
      </w:r>
      <w:bookmarkEnd w:id="3"/>
      <w:bookmarkEnd w:id="4"/>
    </w:p>
    <w:p w:rsidR="004F36FE" w:rsidRPr="00CE690D" w:rsidP="004F36FE" w14:paraId="2D3D2FBA" w14:textId="4C0E4457">
      <w:pPr>
        <w:rPr>
          <w:bCs/>
        </w:rPr>
      </w:pPr>
      <w:r w:rsidRPr="00CE690D">
        <w:rPr>
          <w:bCs/>
        </w:rPr>
        <w:t xml:space="preserve">The </w:t>
      </w:r>
      <w:r w:rsidRPr="00CE690D" w:rsidR="00042019">
        <w:rPr>
          <w:bCs/>
        </w:rPr>
        <w:t>following provisions</w:t>
      </w:r>
      <w:r w:rsidR="00042019">
        <w:rPr>
          <w:bCs/>
        </w:rPr>
        <w:t xml:space="preserve"> provide</w:t>
      </w:r>
      <w:r w:rsidRPr="00CE690D" w:rsidR="00042019">
        <w:rPr>
          <w:bCs/>
        </w:rPr>
        <w:t xml:space="preserve"> </w:t>
      </w:r>
      <w:r w:rsidRPr="00CE690D">
        <w:rPr>
          <w:bCs/>
        </w:rPr>
        <w:t xml:space="preserve">authority for this </w:t>
      </w:r>
      <w:r w:rsidR="00042019">
        <w:rPr>
          <w:bCs/>
        </w:rPr>
        <w:t>data collection</w:t>
      </w:r>
      <w:r w:rsidRPr="00CE690D">
        <w:rPr>
          <w:bCs/>
        </w:rPr>
        <w:t>:</w:t>
      </w:r>
    </w:p>
    <w:p w:rsidR="004F36FE" w:rsidRPr="007A0679" w:rsidP="004F36FE" w14:paraId="42D90F52" w14:textId="5A60A621">
      <w:pPr>
        <w:numPr>
          <w:ilvl w:val="0"/>
          <w:numId w:val="21"/>
        </w:numPr>
        <w:spacing w:before="240"/>
        <w:contextualSpacing/>
        <w:jc w:val="both"/>
      </w:pPr>
      <w:r>
        <w:t>Title 15 U.S.C. §772(b)</w:t>
      </w:r>
      <w:r w:rsidR="00042019">
        <w:t>,</w:t>
      </w:r>
      <w:r w:rsidRPr="007A0679">
        <w:t xml:space="preserve"> which establishes the mandatory reporting requirement of owners and operators of businesses in the U.S. to make available energy supply and consumption data to the EIA Administrator.</w:t>
      </w:r>
    </w:p>
    <w:p w:rsidR="004F36FE" w:rsidRPr="007A0679" w:rsidP="004F36FE" w14:paraId="1C2D9C07" w14:textId="77777777">
      <w:pPr>
        <w:spacing w:before="240"/>
        <w:ind w:left="810"/>
        <w:contextualSpacing/>
        <w:jc w:val="both"/>
      </w:pPr>
    </w:p>
    <w:p w:rsidR="004F36FE" w:rsidRPr="007A0679" w:rsidP="004F36FE" w14:paraId="1CC766DA" w14:textId="29DFCC07">
      <w:pPr>
        <w:numPr>
          <w:ilvl w:val="0"/>
          <w:numId w:val="21"/>
        </w:numPr>
        <w:spacing w:before="240"/>
        <w:contextualSpacing/>
        <w:jc w:val="both"/>
      </w:pPr>
      <w:r>
        <w:t>Title 15 U.S.C. §764(</w:t>
      </w:r>
      <w:r w:rsidR="002554BB">
        <w:t>a, b</w:t>
      </w:r>
      <w:r>
        <w:t>)</w:t>
      </w:r>
      <w:r w:rsidRPr="007A0679">
        <w:t xml:space="preserve"> which establishes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004F36FE" w:rsidRPr="007A0679" w:rsidP="004F36FE" w14:paraId="28C1766A" w14:textId="77777777">
      <w:pPr>
        <w:ind w:left="810"/>
        <w:contextualSpacing/>
      </w:pPr>
    </w:p>
    <w:p w:rsidR="004F36FE" w:rsidP="004F36FE" w14:paraId="20E88359" w14:textId="1EB1B1A1">
      <w:pPr>
        <w:numPr>
          <w:ilvl w:val="0"/>
          <w:numId w:val="21"/>
        </w:numPr>
        <w:spacing w:before="240"/>
        <w:contextualSpacing/>
        <w:jc w:val="both"/>
      </w:pPr>
      <w:r>
        <w:t>Title 15 U.S.C. §790(a)</w:t>
      </w:r>
      <w:r w:rsidR="00042019">
        <w:t>,</w:t>
      </w:r>
      <w:r w:rsidRPr="007A0679">
        <w:t xml:space="preserve"> which establishes a National Energy Information System that is the enclave containing the energy data collected by EIA, which allows EIA to describe and analyze energy supply and consumption in the U.S</w:t>
      </w:r>
      <w:r w:rsidR="1DBA24E6">
        <w:t>.</w:t>
      </w:r>
      <w:r w:rsidR="00042019">
        <w:t xml:space="preserve"> </w:t>
      </w:r>
      <w:r w:rsidRPr="007A0679">
        <w:t>This enclave allows EIA to perform statistical and forecasting activities to meet the needs of the Department of Energy, Congress, and the States.</w:t>
      </w:r>
    </w:p>
    <w:p w:rsidR="004F36FE" w:rsidRPr="007A0679" w:rsidP="004F36FE" w14:paraId="1303A1B6" w14:textId="77777777">
      <w:pPr>
        <w:ind w:left="360"/>
        <w:rPr>
          <w:rFonts w:eastAsia="Times New Roman" w:cs="Calibri"/>
          <w:b/>
          <w:bCs/>
          <w:color w:val="000000"/>
        </w:rPr>
      </w:pPr>
    </w:p>
    <w:p w:rsidR="004F36FE" w:rsidRPr="007A0679" w:rsidP="004F36FE" w14:paraId="0D5F7553" w14:textId="664BE5F4">
      <w:pPr>
        <w:numPr>
          <w:ilvl w:val="0"/>
          <w:numId w:val="21"/>
        </w:numPr>
        <w:spacing w:before="240"/>
        <w:contextualSpacing/>
        <w:jc w:val="both"/>
      </w:pPr>
      <w:r w:rsidRPr="007A0679">
        <w:rPr>
          <w:rFonts w:eastAsia="Times New Roman" w:cs="Calibri"/>
          <w:bCs/>
          <w:color w:val="000000"/>
        </w:rPr>
        <w:t>Title 42 Section 6274</w:t>
      </w:r>
      <w:r w:rsidR="00042019">
        <w:rPr>
          <w:rFonts w:eastAsia="Times New Roman" w:cs="Calibri"/>
          <w:bCs/>
          <w:color w:val="000000"/>
        </w:rPr>
        <w:t>,</w:t>
      </w:r>
      <w:r w:rsidRPr="007A0679">
        <w:rPr>
          <w:rFonts w:eastAsia="Times New Roman" w:cs="Calibri"/>
          <w:bCs/>
          <w:color w:val="000000"/>
        </w:rPr>
        <w:t xml:space="preserve"> which continues Title 15 Section 772 in the context of transmitting data to the International Energy Agency</w:t>
      </w:r>
      <w:r w:rsidRPr="00276D29">
        <w:rPr>
          <w:rFonts w:eastAsia="Times New Roman" w:cs="Calibri"/>
          <w:bCs/>
          <w:color w:val="000000"/>
        </w:rPr>
        <w:t>,</w:t>
      </w:r>
      <w:r w:rsidR="00042019">
        <w:rPr>
          <w:rFonts w:eastAsia="Times New Roman" w:cs="Calibri"/>
          <w:bCs/>
          <w:color w:val="000000"/>
        </w:rPr>
        <w:t xml:space="preserve"> </w:t>
      </w:r>
      <w:r w:rsidRPr="007A0679">
        <w:rPr>
          <w:rFonts w:eastAsia="Times New Roman" w:cs="Calibri"/>
          <w:bCs/>
          <w:color w:val="000000"/>
        </w:rPr>
        <w:t>subject to limitations on the disclosure of identifiable information</w:t>
      </w:r>
      <w:r>
        <w:rPr>
          <w:rFonts w:eastAsia="Times New Roman" w:cs="Calibri"/>
          <w:bCs/>
          <w:color w:val="000000"/>
        </w:rPr>
        <w:t>.</w:t>
      </w:r>
    </w:p>
    <w:p w:rsidR="002542D4" w:rsidRPr="002542D4" w:rsidP="002542D4" w14:paraId="16940AD0" w14:textId="77777777">
      <w:pPr>
        <w:rPr>
          <w:noProof/>
        </w:rPr>
      </w:pPr>
    </w:p>
    <w:p w:rsidR="002542D4" w:rsidRPr="00BB64D7" w:rsidP="00F43F66" w14:paraId="486F9126" w14:textId="77777777">
      <w:pPr>
        <w:pStyle w:val="Heading2"/>
        <w:rPr>
          <w:noProof/>
        </w:rPr>
      </w:pPr>
      <w:bookmarkStart w:id="5" w:name="_Toc492634202"/>
      <w:bookmarkStart w:id="6" w:name="_Toc194474950"/>
      <w:r w:rsidRPr="00BB64D7">
        <w:rPr>
          <w:noProof/>
        </w:rPr>
        <w:t>A.2. Needs and Uses of Data</w:t>
      </w:r>
      <w:bookmarkEnd w:id="5"/>
      <w:bookmarkEnd w:id="6"/>
    </w:p>
    <w:p w:rsidR="00042019" w:rsidRPr="003E3129" w:rsidP="00042019" w14:paraId="7E01E474" w14:textId="77777777">
      <w:pPr>
        <w:rPr>
          <w:iCs/>
        </w:rPr>
      </w:pPr>
      <w:bookmarkStart w:id="7" w:name="_Toc492634203"/>
      <w:r w:rsidRPr="003E3129">
        <w:rPr>
          <w:iCs/>
        </w:rPr>
        <w:t>The information provided by the Oil and Gas Reserves System (OGRS) data collections is used by the Department of Energy as</w:t>
      </w:r>
      <w:r w:rsidRPr="003E3129">
        <w:rPr>
          <w:iCs/>
        </w:rPr>
        <w:t xml:space="preserve"> </w:t>
      </w:r>
      <w:r w:rsidRPr="003E3129">
        <w:rPr>
          <w:iCs/>
        </w:rPr>
        <w:t>input into the following web products issued by EIA:</w:t>
      </w:r>
    </w:p>
    <w:p w:rsidR="00042019" w:rsidRPr="003E3129" w:rsidP="00042019" w14:paraId="29A63F43" w14:textId="487DDA76">
      <w:pPr>
        <w:numPr>
          <w:ilvl w:val="0"/>
          <w:numId w:val="22"/>
        </w:numPr>
        <w:rPr>
          <w:iCs/>
        </w:rPr>
      </w:pPr>
      <w:hyperlink r:id="rId14" w:history="1">
        <w:r w:rsidRPr="00042019">
          <w:rPr>
            <w:rStyle w:val="Hyperlink"/>
            <w:iCs/>
          </w:rPr>
          <w:t>U.S. Crude Oil and Natural Gas Proved Reserves Annual Report</w:t>
        </w:r>
      </w:hyperlink>
    </w:p>
    <w:p w:rsidR="00042019" w:rsidRPr="00D87114" w:rsidP="00042019" w14:paraId="69D5B066" w14:textId="499662D1">
      <w:pPr>
        <w:numPr>
          <w:ilvl w:val="0"/>
          <w:numId w:val="22"/>
        </w:numPr>
        <w:rPr>
          <w:rStyle w:val="Hyperlink"/>
          <w:iCs/>
          <w:color w:val="auto"/>
        </w:rPr>
      </w:pPr>
      <w:hyperlink r:id="rId15" w:history="1">
        <w:r w:rsidRPr="00042019">
          <w:rPr>
            <w:rStyle w:val="Hyperlink"/>
            <w:iCs/>
          </w:rPr>
          <w:t>Natural Gas Monthly</w:t>
        </w:r>
      </w:hyperlink>
      <w:r w:rsidRPr="00D87114">
        <w:rPr>
          <w:rStyle w:val="Hyperlink"/>
          <w:iCs/>
          <w:color w:val="auto"/>
        </w:rPr>
        <w:t xml:space="preserve"> </w:t>
      </w:r>
    </w:p>
    <w:p w:rsidR="00042019" w:rsidRPr="003E3129" w:rsidP="00042019" w14:paraId="45DD28B3" w14:textId="788E28B9">
      <w:pPr>
        <w:numPr>
          <w:ilvl w:val="0"/>
          <w:numId w:val="22"/>
        </w:numPr>
        <w:rPr>
          <w:iCs/>
        </w:rPr>
      </w:pPr>
      <w:hyperlink r:id="rId16" w:history="1">
        <w:r w:rsidRPr="00042019">
          <w:rPr>
            <w:rStyle w:val="Hyperlink"/>
            <w:iCs/>
          </w:rPr>
          <w:t>Natural Gas Annual</w:t>
        </w:r>
      </w:hyperlink>
      <w:r w:rsidRPr="003E3129">
        <w:rPr>
          <w:iCs/>
        </w:rPr>
        <w:t xml:space="preserve"> </w:t>
      </w:r>
    </w:p>
    <w:p w:rsidR="00042019" w:rsidRPr="003E3129" w:rsidP="00042019" w14:paraId="506F273B" w14:textId="5004C5EC">
      <w:pPr>
        <w:numPr>
          <w:ilvl w:val="0"/>
          <w:numId w:val="22"/>
        </w:numPr>
        <w:rPr>
          <w:iCs/>
        </w:rPr>
      </w:pPr>
      <w:hyperlink r:id="rId17">
        <w:r>
          <w:rPr>
            <w:rStyle w:val="Hyperlink"/>
          </w:rPr>
          <w:t>Monthly</w:t>
        </w:r>
        <w:r w:rsidRPr="3E305368">
          <w:rPr>
            <w:rStyle w:val="Hyperlink"/>
          </w:rPr>
          <w:t xml:space="preserve"> Energy Review</w:t>
        </w:r>
      </w:hyperlink>
      <w:r>
        <w:t xml:space="preserve"> </w:t>
      </w:r>
    </w:p>
    <w:p w:rsidR="00042019" w:rsidRPr="003E3129" w:rsidP="00042019" w14:paraId="5340D1DB" w14:textId="3B55D045">
      <w:pPr>
        <w:numPr>
          <w:ilvl w:val="0"/>
          <w:numId w:val="22"/>
        </w:numPr>
        <w:rPr>
          <w:iCs/>
        </w:rPr>
      </w:pPr>
      <w:hyperlink r:id="rId18" w:history="1">
        <w:r w:rsidRPr="007E5E6C">
          <w:rPr>
            <w:rStyle w:val="Hyperlink"/>
            <w:iCs/>
          </w:rPr>
          <w:t>Annual Energy Outlook</w:t>
        </w:r>
      </w:hyperlink>
    </w:p>
    <w:p w:rsidR="00042019" w:rsidRPr="003E3129" w:rsidP="00042019" w14:paraId="78BFAD13" w14:textId="7782894C">
      <w:pPr>
        <w:numPr>
          <w:ilvl w:val="0"/>
          <w:numId w:val="22"/>
        </w:numPr>
        <w:rPr>
          <w:iCs/>
        </w:rPr>
      </w:pPr>
      <w:hyperlink r:id="rId19" w:history="1">
        <w:r w:rsidRPr="007E5E6C">
          <w:rPr>
            <w:rStyle w:val="Hyperlink"/>
            <w:iCs/>
          </w:rPr>
          <w:t>Short-Term Energy Outlook</w:t>
        </w:r>
      </w:hyperlink>
    </w:p>
    <w:p w:rsidR="00042019" w:rsidRPr="003E3129" w:rsidP="00042019" w14:paraId="6C5FAF08" w14:textId="20DFCD38">
      <w:pPr>
        <w:rPr>
          <w:iCs/>
        </w:rPr>
      </w:pPr>
      <w:r w:rsidRPr="003E3129">
        <w:rPr>
          <w:iCs/>
        </w:rPr>
        <w:t>Form EIA-23L provides credible, verifiable national and regional data on the proved reserves of crude oil</w:t>
      </w:r>
      <w:r>
        <w:rPr>
          <w:iCs/>
        </w:rPr>
        <w:t xml:space="preserve"> and</w:t>
      </w:r>
      <w:r w:rsidRPr="003E3129">
        <w:rPr>
          <w:iCs/>
        </w:rPr>
        <w:t xml:space="preserve"> natural gas. These data include proved reserves and production for crude oil</w:t>
      </w:r>
      <w:r>
        <w:rPr>
          <w:iCs/>
        </w:rPr>
        <w:t xml:space="preserve"> and</w:t>
      </w:r>
      <w:r w:rsidRPr="003E3129">
        <w:rPr>
          <w:iCs/>
        </w:rPr>
        <w:t xml:space="preserve"> lease condensate, and natural gas by state</w:t>
      </w:r>
      <w:r>
        <w:rPr>
          <w:iCs/>
        </w:rPr>
        <w:t>/state sub-division</w:t>
      </w:r>
      <w:r w:rsidRPr="003E3129">
        <w:rPr>
          <w:iCs/>
        </w:rPr>
        <w:t xml:space="preserve"> and federal offshore regions.</w:t>
      </w:r>
    </w:p>
    <w:p w:rsidR="00042019" w:rsidRPr="003E3129" w:rsidP="00042019" w14:paraId="2DCAACEF" w14:textId="44D0A068">
      <w:pPr>
        <w:rPr>
          <w:iCs/>
        </w:rPr>
      </w:pPr>
      <w:r w:rsidRPr="003E3129">
        <w:rPr>
          <w:iCs/>
        </w:rPr>
        <w:t>Form EIA-64A provides data that are used to estimate natural gas plant liquids production and reserves by state and federal offshore regions. Data collected are plant and respondent identification, origin of natural gas received</w:t>
      </w:r>
      <w:r>
        <w:rPr>
          <w:iCs/>
        </w:rPr>
        <w:t>,</w:t>
      </w:r>
      <w:r w:rsidRPr="003E3129">
        <w:rPr>
          <w:iCs/>
        </w:rPr>
        <w:t xml:space="preserve"> </w:t>
      </w:r>
      <w:r>
        <w:rPr>
          <w:iCs/>
        </w:rPr>
        <w:t xml:space="preserve">dry natural gas produced, </w:t>
      </w:r>
      <w:r w:rsidRPr="003E3129">
        <w:rPr>
          <w:iCs/>
        </w:rPr>
        <w:t xml:space="preserve">natural gas liquids produced, plant fuel use, </w:t>
      </w:r>
      <w:r>
        <w:rPr>
          <w:iCs/>
        </w:rPr>
        <w:t>and electricity purchased.</w:t>
      </w:r>
    </w:p>
    <w:p w:rsidR="00042019" w:rsidRPr="000C7F74" w:rsidP="00042019" w14:paraId="53591D5F" w14:textId="68C01AD7">
      <w:pPr>
        <w:rPr>
          <w:b/>
        </w:rPr>
      </w:pPr>
      <w:r>
        <w:rPr>
          <w:iCs/>
        </w:rPr>
        <w:t>EIA uses this data</w:t>
      </w:r>
      <w:r w:rsidRPr="003E3129">
        <w:rPr>
          <w:iCs/>
        </w:rPr>
        <w:t xml:space="preserve"> in many reports and analysis that discuss crude oil and natural gas reserves and production. </w:t>
      </w:r>
      <w:r>
        <w:rPr>
          <w:iCs/>
        </w:rPr>
        <w:t xml:space="preserve">EIA uses Form </w:t>
      </w:r>
      <w:r w:rsidRPr="003E3129">
        <w:rPr>
          <w:iCs/>
        </w:rPr>
        <w:t xml:space="preserve">EIA-64A data </w:t>
      </w:r>
      <w:r>
        <w:rPr>
          <w:iCs/>
        </w:rPr>
        <w:t>to</w:t>
      </w:r>
      <w:r w:rsidRPr="003E3129">
        <w:rPr>
          <w:iCs/>
        </w:rPr>
        <w:t xml:space="preserve"> generat</w:t>
      </w:r>
      <w:r>
        <w:rPr>
          <w:iCs/>
        </w:rPr>
        <w:t>e</w:t>
      </w:r>
      <w:r w:rsidRPr="003E3129">
        <w:rPr>
          <w:iCs/>
        </w:rPr>
        <w:t xml:space="preserve"> estimates of EIA's dry natural gas production (natural gas that remains after</w:t>
      </w:r>
      <w:r>
        <w:rPr>
          <w:iCs/>
        </w:rPr>
        <w:t xml:space="preserve"> extraction of</w:t>
      </w:r>
      <w:r w:rsidRPr="003E3129">
        <w:rPr>
          <w:iCs/>
        </w:rPr>
        <w:t xml:space="preserve"> natural gas liquids). </w:t>
      </w:r>
      <w:r>
        <w:rPr>
          <w:iCs/>
        </w:rPr>
        <w:t>EIA uses t</w:t>
      </w:r>
      <w:r w:rsidRPr="003E3129">
        <w:rPr>
          <w:iCs/>
        </w:rPr>
        <w:t xml:space="preserve">he estimate for production of total natural gas plant liquids (NGPL) generated from </w:t>
      </w:r>
      <w:r>
        <w:rPr>
          <w:iCs/>
        </w:rPr>
        <w:t>Form</w:t>
      </w:r>
      <w:r w:rsidRPr="003E3129">
        <w:rPr>
          <w:iCs/>
        </w:rPr>
        <w:t xml:space="preserve"> EIA-64A data to calculate </w:t>
      </w:r>
      <w:r w:rsidRPr="003E3129">
        <w:rPr>
          <w:iCs/>
        </w:rPr>
        <w:t>the extraction</w:t>
      </w:r>
      <w:r w:rsidRPr="003E3129">
        <w:rPr>
          <w:iCs/>
        </w:rPr>
        <w:t xml:space="preserve"> loss </w:t>
      </w:r>
      <w:r w:rsidRPr="003E3129">
        <w:rPr>
          <w:iCs/>
        </w:rPr>
        <w:t>from</w:t>
      </w:r>
      <w:r w:rsidRPr="003E3129">
        <w:rPr>
          <w:iCs/>
        </w:rPr>
        <w:t xml:space="preserve"> wet natural gas production so that EIA may accurately estimate dry natural gas production. All EIA publications are available on </w:t>
      </w:r>
      <w:hyperlink r:id="rId20" w:history="1">
        <w:r w:rsidRPr="007E5E6C">
          <w:rPr>
            <w:rStyle w:val="Hyperlink"/>
            <w:iCs/>
          </w:rPr>
          <w:t>EIA’s Internet site</w:t>
        </w:r>
      </w:hyperlink>
      <w:r w:rsidRPr="003E3129">
        <w:rPr>
          <w:iCs/>
        </w:rPr>
        <w:t>.</w:t>
      </w:r>
      <w:r>
        <w:rPr>
          <w:iCs/>
        </w:rPr>
        <w:br/>
      </w:r>
      <w:r>
        <w:rPr>
          <w:iCs/>
        </w:rPr>
        <w:br/>
      </w:r>
      <w:r w:rsidRPr="003E3129">
        <w:rPr>
          <w:iCs/>
        </w:rPr>
        <w:t xml:space="preserve">Every year the </w:t>
      </w:r>
      <w:hyperlink r:id="rId21" w:history="1">
        <w:r w:rsidRPr="007E5E6C">
          <w:rPr>
            <w:rStyle w:val="Hyperlink"/>
            <w:iCs/>
          </w:rPr>
          <w:t>Oil and Gas Journal</w:t>
        </w:r>
      </w:hyperlink>
      <w:r w:rsidRPr="003E3129">
        <w:rPr>
          <w:iCs/>
        </w:rPr>
        <w:t xml:space="preserve"> </w:t>
      </w:r>
      <w:r>
        <w:rPr>
          <w:iCs/>
        </w:rPr>
        <w:t xml:space="preserve">copies and </w:t>
      </w:r>
      <w:r w:rsidRPr="003E3129">
        <w:rPr>
          <w:iCs/>
        </w:rPr>
        <w:t xml:space="preserve">publishes the </w:t>
      </w:r>
      <w:r>
        <w:rPr>
          <w:iCs/>
        </w:rPr>
        <w:t xml:space="preserve">EIA’s proved </w:t>
      </w:r>
      <w:r w:rsidRPr="003E3129">
        <w:rPr>
          <w:iCs/>
        </w:rPr>
        <w:t>reserves estimates as the official reserve estimates for the U.S. as part of their coverage of international crude oil reserves.  EIA</w:t>
      </w:r>
      <w:r>
        <w:rPr>
          <w:iCs/>
        </w:rPr>
        <w:t>’s proved reserves</w:t>
      </w:r>
      <w:r w:rsidRPr="003E3129">
        <w:rPr>
          <w:iCs/>
        </w:rPr>
        <w:t xml:space="preserve"> data series </w:t>
      </w:r>
      <w:r>
        <w:rPr>
          <w:iCs/>
        </w:rPr>
        <w:t xml:space="preserve">is </w:t>
      </w:r>
      <w:r w:rsidRPr="003E3129">
        <w:rPr>
          <w:iCs/>
        </w:rPr>
        <w:t xml:space="preserve">widely used in the petroleum industry by consultants and the trade press. </w:t>
      </w:r>
    </w:p>
    <w:p w:rsidR="00042019" w:rsidRPr="006B3643" w:rsidP="00042019" w14:paraId="1CC8A978" w14:textId="2B0E46A5">
      <w:pPr>
        <w:rPr>
          <w:iCs/>
        </w:rPr>
      </w:pPr>
      <w:r w:rsidRPr="006B3643">
        <w:rPr>
          <w:iCs/>
        </w:rPr>
        <w:t xml:space="preserve">The data series from these surveys </w:t>
      </w:r>
      <w:r w:rsidRPr="006B3643" w:rsidR="00B21F5C">
        <w:rPr>
          <w:iCs/>
        </w:rPr>
        <w:t>provides</w:t>
      </w:r>
      <w:r w:rsidRPr="006B3643">
        <w:rPr>
          <w:iCs/>
        </w:rPr>
        <w:t xml:space="preserve"> additional benefits, such as:</w:t>
      </w:r>
    </w:p>
    <w:p w:rsidR="00042019" w:rsidRPr="006B3643" w:rsidP="007E5E6C" w14:paraId="591A1FE8" w14:textId="616C1E0A">
      <w:pPr>
        <w:numPr>
          <w:ilvl w:val="0"/>
          <w:numId w:val="24"/>
        </w:numPr>
        <w:rPr>
          <w:iCs/>
        </w:rPr>
      </w:pPr>
      <w:r w:rsidRPr="006B3643">
        <w:rPr>
          <w:iCs/>
        </w:rPr>
        <w:t>Fulfilling EIA's mission to provide credible, reliable, and timely energy information</w:t>
      </w:r>
    </w:p>
    <w:p w:rsidR="00042019" w:rsidRPr="006B3643" w:rsidP="007E5E6C" w14:paraId="5A46F3C7" w14:textId="13493602">
      <w:pPr>
        <w:numPr>
          <w:ilvl w:val="0"/>
          <w:numId w:val="24"/>
        </w:numPr>
        <w:rPr>
          <w:iCs/>
        </w:rPr>
      </w:pPr>
      <w:r w:rsidRPr="006B3643">
        <w:rPr>
          <w:iCs/>
        </w:rPr>
        <w:t>Providing a database for forecasting, policy making, planning and analysis activities</w:t>
      </w:r>
    </w:p>
    <w:p w:rsidR="00042019" w:rsidRPr="006B3643" w:rsidP="007E5E6C" w14:paraId="6F02F3BB" w14:textId="7AA9B2BB">
      <w:pPr>
        <w:numPr>
          <w:ilvl w:val="0"/>
          <w:numId w:val="24"/>
        </w:numPr>
        <w:rPr>
          <w:iCs/>
        </w:rPr>
      </w:pPr>
      <w:r w:rsidRPr="006B3643">
        <w:rPr>
          <w:iCs/>
        </w:rPr>
        <w:t>Serving as an official data bank available to Congress</w:t>
      </w:r>
      <w:r>
        <w:rPr>
          <w:iCs/>
        </w:rPr>
        <w:t>,</w:t>
      </w:r>
      <w:r w:rsidRPr="006B3643">
        <w:rPr>
          <w:iCs/>
        </w:rPr>
        <w:t xml:space="preserve"> other government agencies</w:t>
      </w:r>
      <w:r>
        <w:rPr>
          <w:iCs/>
        </w:rPr>
        <w:t>, and the public</w:t>
      </w:r>
      <w:r w:rsidRPr="006B3643">
        <w:rPr>
          <w:iCs/>
        </w:rPr>
        <w:t xml:space="preserve"> on the proved reserves of crude oil, natural gas, and natural gas liquids in the United States</w:t>
      </w:r>
    </w:p>
    <w:p w:rsidR="00042019" w:rsidRPr="00A41763" w:rsidP="007E5E6C" w14:paraId="5F4D2FFD" w14:textId="5B3A9F20">
      <w:pPr>
        <w:numPr>
          <w:ilvl w:val="0"/>
          <w:numId w:val="24"/>
        </w:numPr>
      </w:pPr>
      <w:r w:rsidRPr="006B3643">
        <w:rPr>
          <w:iCs/>
        </w:rPr>
        <w:t>Providing a source of data for other government agencies, business firms, trade associations,</w:t>
      </w:r>
      <w:r>
        <w:rPr>
          <w:iCs/>
        </w:rPr>
        <w:t xml:space="preserve"> financial institutions, academia,</w:t>
      </w:r>
      <w:r w:rsidRPr="006B3643">
        <w:rPr>
          <w:iCs/>
        </w:rPr>
        <w:t xml:space="preserve"> and private research and consulting organizations for analysis, projections, and monitoring purposes.</w:t>
      </w:r>
      <w:r w:rsidRPr="00A41763">
        <w:rPr>
          <w:i/>
          <w:iCs/>
        </w:rPr>
        <w:t xml:space="preserve"> </w:t>
      </w:r>
    </w:p>
    <w:p w:rsidR="007E5E6C" w:rsidP="00F43F66" w14:paraId="0BB71C5D" w14:textId="77777777">
      <w:pPr>
        <w:pStyle w:val="Heading2"/>
        <w:rPr>
          <w:noProof/>
        </w:rPr>
      </w:pPr>
    </w:p>
    <w:p w:rsidR="002542D4" w:rsidRPr="00BB64D7" w:rsidP="00F43F66" w14:paraId="757FEC63" w14:textId="4D63E0E2">
      <w:pPr>
        <w:pStyle w:val="Heading2"/>
        <w:rPr>
          <w:noProof/>
        </w:rPr>
      </w:pPr>
      <w:bookmarkStart w:id="8" w:name="_Toc194474951"/>
      <w:r w:rsidRPr="00BB64D7">
        <w:rPr>
          <w:noProof/>
        </w:rPr>
        <w:t>A.3. Use of Technology</w:t>
      </w:r>
      <w:bookmarkEnd w:id="7"/>
      <w:bookmarkEnd w:id="8"/>
    </w:p>
    <w:p w:rsidR="007E5E6C" w:rsidRPr="00540BB5" w:rsidP="007E5E6C" w14:paraId="06E0E7DE" w14:textId="5F55B2DD">
      <w:pPr>
        <w:rPr>
          <w:bCs/>
        </w:rPr>
      </w:pPr>
      <w:r>
        <w:rPr>
          <w:bCs/>
        </w:rPr>
        <w:t>T</w:t>
      </w:r>
      <w:r w:rsidRPr="00540BB5">
        <w:rPr>
          <w:bCs/>
        </w:rPr>
        <w:t xml:space="preserve">o reduce respondent burden, </w:t>
      </w:r>
      <w:r w:rsidR="00E97BFC">
        <w:rPr>
          <w:bCs/>
        </w:rPr>
        <w:t>EIA requires that r</w:t>
      </w:r>
      <w:r w:rsidRPr="00E97BFC" w:rsidR="00E97BFC">
        <w:rPr>
          <w:bCs/>
        </w:rPr>
        <w:t xml:space="preserve">espondents use </w:t>
      </w:r>
      <w:r w:rsidR="00E97BFC">
        <w:rPr>
          <w:bCs/>
        </w:rPr>
        <w:t>our</w:t>
      </w:r>
      <w:r w:rsidRPr="00E97BFC" w:rsidR="00E97BFC">
        <w:rPr>
          <w:bCs/>
        </w:rPr>
        <w:t xml:space="preserve"> Secure File Transfer system to submit their data</w:t>
      </w:r>
      <w:r w:rsidRPr="00540BB5">
        <w:rPr>
          <w:bCs/>
        </w:rPr>
        <w:t xml:space="preserve"> for Forms EIA-23L and EIA-64A.</w:t>
      </w:r>
      <w:r w:rsidR="00E97BFC">
        <w:rPr>
          <w:bCs/>
        </w:rPr>
        <w:t xml:space="preserve"> </w:t>
      </w:r>
      <w:r w:rsidRPr="00E97BFC" w:rsidR="00E97BFC">
        <w:rPr>
          <w:bCs/>
        </w:rPr>
        <w:t xml:space="preserve">With this Internet-based option, EIA uses security protocols to protect the information against unauthorized access during transmission. </w:t>
      </w:r>
      <w:r w:rsidRPr="00540BB5" w:rsidR="00E97BFC">
        <w:rPr>
          <w:bCs/>
        </w:rPr>
        <w:t xml:space="preserve">EIA provides </w:t>
      </w:r>
      <w:r w:rsidR="00E97BFC">
        <w:rPr>
          <w:bCs/>
        </w:rPr>
        <w:t xml:space="preserve">a </w:t>
      </w:r>
      <w:r w:rsidRPr="00540BB5" w:rsidR="00E97BFC">
        <w:rPr>
          <w:bCs/>
        </w:rPr>
        <w:t xml:space="preserve">spreadsheet version of </w:t>
      </w:r>
      <w:r w:rsidR="00E97BFC">
        <w:rPr>
          <w:bCs/>
        </w:rPr>
        <w:t xml:space="preserve">Forms EIA-23L and EIA-64A on its </w:t>
      </w:r>
      <w:hyperlink r:id="rId22" w:history="1">
        <w:r w:rsidRPr="003C2E82" w:rsidR="00E97BFC">
          <w:rPr>
            <w:rStyle w:val="Hyperlink"/>
            <w:color w:val="auto"/>
          </w:rPr>
          <w:t>website</w:t>
        </w:r>
      </w:hyperlink>
      <w:r w:rsidRPr="008B3975" w:rsidR="00E97BFC">
        <w:t>.</w:t>
      </w:r>
      <w:r w:rsidRPr="008B3975" w:rsidR="00E97BFC">
        <w:rPr>
          <w:bCs/>
        </w:rPr>
        <w:t xml:space="preserve"> </w:t>
      </w:r>
      <w:r>
        <w:rPr>
          <w:bCs/>
        </w:rPr>
        <w:t xml:space="preserve">Respondents </w:t>
      </w:r>
      <w:r w:rsidRPr="00540BB5">
        <w:rPr>
          <w:bCs/>
        </w:rPr>
        <w:t xml:space="preserve">may complete the </w:t>
      </w:r>
      <w:r>
        <w:rPr>
          <w:bCs/>
        </w:rPr>
        <w:t>forms</w:t>
      </w:r>
      <w:r w:rsidRPr="00540BB5">
        <w:rPr>
          <w:bCs/>
        </w:rPr>
        <w:t xml:space="preserve"> using the</w:t>
      </w:r>
      <w:r>
        <w:rPr>
          <w:bCs/>
        </w:rPr>
        <w:t xml:space="preserve">ir own automated system or manually and submit the form using EIA’s Secure File Transfer website. </w:t>
      </w:r>
      <w:r w:rsidRPr="00E97BFC" w:rsidR="00E97BFC">
        <w:rPr>
          <w:bCs/>
        </w:rPr>
        <w:t>EIA does not accept email, fax, or paper forms.</w:t>
      </w:r>
    </w:p>
    <w:p w:rsidR="002542D4" w:rsidRPr="002542D4" w:rsidP="002542D4" w14:paraId="3833E32C" w14:textId="77777777">
      <w:pPr>
        <w:rPr>
          <w:noProof/>
        </w:rPr>
      </w:pPr>
    </w:p>
    <w:p w:rsidR="002542D4" w:rsidRPr="00BB64D7" w:rsidP="00F43F66" w14:paraId="399EE77A" w14:textId="77777777">
      <w:pPr>
        <w:pStyle w:val="Heading2"/>
        <w:rPr>
          <w:noProof/>
        </w:rPr>
      </w:pPr>
      <w:bookmarkStart w:id="9" w:name="_Toc492634204"/>
      <w:bookmarkStart w:id="10" w:name="_Toc194474952"/>
      <w:r w:rsidRPr="00BB64D7">
        <w:rPr>
          <w:noProof/>
        </w:rPr>
        <w:t>A.4. Efforts to Identify Duplication</w:t>
      </w:r>
      <w:bookmarkEnd w:id="9"/>
      <w:bookmarkEnd w:id="10"/>
    </w:p>
    <w:p w:rsidR="009D1428" w:rsidRPr="003E3129" w:rsidP="009D1428" w14:paraId="36BFB9D4" w14:textId="53CDC339">
      <w:pPr>
        <w:rPr>
          <w:iCs/>
        </w:rPr>
      </w:pPr>
      <w:r w:rsidRPr="003E3129">
        <w:rPr>
          <w:iCs/>
        </w:rPr>
        <w:t>The OGRS data collections do not unnecessarily duplicate other information collected by EIA. Also, EIA</w:t>
      </w:r>
      <w:r w:rsidRPr="003E3129">
        <w:rPr>
          <w:i/>
          <w:iCs/>
        </w:rPr>
        <w:t xml:space="preserve"> </w:t>
      </w:r>
      <w:r w:rsidRPr="003E3129">
        <w:rPr>
          <w:iCs/>
        </w:rPr>
        <w:t>staff is very familiar with U.S. oil and natural gas proved reserves data, and there are not any independent, reliable, and accurate data that can serve as a substitute for the</w:t>
      </w:r>
      <w:r>
        <w:rPr>
          <w:iCs/>
        </w:rPr>
        <w:t xml:space="preserve"> information collected on Forms EIA-23L and EIA-64A</w:t>
      </w:r>
      <w:r w:rsidRPr="003E3129">
        <w:rPr>
          <w:iCs/>
        </w:rPr>
        <w:t>.</w:t>
      </w:r>
    </w:p>
    <w:p w:rsidR="009D1428" w:rsidRPr="003E3129" w:rsidP="009D1428" w14:paraId="7448D114" w14:textId="5EF97D90">
      <w:pPr>
        <w:rPr>
          <w:iCs/>
        </w:rPr>
      </w:pPr>
      <w:r w:rsidRPr="003E3129">
        <w:rPr>
          <w:iCs/>
        </w:rPr>
        <w:t>Several sources collect production of natural gas and oil from the same respondents, but this data cannot replace the collection of production on the EIA-23</w:t>
      </w:r>
      <w:r>
        <w:rPr>
          <w:iCs/>
        </w:rPr>
        <w:t>L</w:t>
      </w:r>
      <w:r w:rsidRPr="003E3129">
        <w:rPr>
          <w:iCs/>
        </w:rPr>
        <w:t xml:space="preserve"> because it is critical that the production numbers collected reflect production from the reported reserves (See Supporting Statement Part B). Matching reserves numbers reported on the EIA-23</w:t>
      </w:r>
      <w:r>
        <w:rPr>
          <w:iCs/>
        </w:rPr>
        <w:t>L</w:t>
      </w:r>
      <w:r w:rsidRPr="003E3129">
        <w:rPr>
          <w:iCs/>
        </w:rPr>
        <w:t xml:space="preserve"> to production numbers collected from another source would be invalid </w:t>
      </w:r>
      <w:r>
        <w:rPr>
          <w:iCs/>
        </w:rPr>
        <w:t>because of</w:t>
      </w:r>
      <w:r w:rsidRPr="003E3129">
        <w:rPr>
          <w:iCs/>
        </w:rPr>
        <w:t xml:space="preserve"> changes in operator holdings and estimates over time.  </w:t>
      </w:r>
    </w:p>
    <w:p w:rsidR="009D1428" w:rsidRPr="003E3129" w:rsidP="009D1428" w14:paraId="2889EF04" w14:textId="38A9E425">
      <w:pPr>
        <w:rPr>
          <w:iCs/>
        </w:rPr>
      </w:pPr>
      <w:r w:rsidRPr="003E3129">
        <w:rPr>
          <w:iCs/>
        </w:rPr>
        <w:t xml:space="preserve">Information from state, federal, or commercial listings of oil and gas well operators has failed to provide the information that the OGRS data collections provide. </w:t>
      </w:r>
      <w:r w:rsidRPr="003E3129" w:rsidR="00F1031B">
        <w:rPr>
          <w:iCs/>
        </w:rPr>
        <w:t>Currently</w:t>
      </w:r>
      <w:r w:rsidRPr="003E3129">
        <w:rPr>
          <w:iCs/>
        </w:rPr>
        <w:t>, state agencies do not collect proved reserves information from oil and gas well operators.</w:t>
      </w:r>
    </w:p>
    <w:p w:rsidR="009D1428" w:rsidRPr="003E3129" w:rsidP="009D1428" w14:paraId="4EA344F1" w14:textId="19898AC5">
      <w:pPr>
        <w:rPr>
          <w:iCs/>
        </w:rPr>
      </w:pPr>
      <w:r w:rsidRPr="003E3129">
        <w:rPr>
          <w:iCs/>
        </w:rPr>
        <w:t xml:space="preserve">The Department of the Interior (DOI) and Bureau of Land Management (BLM) do not collect proved reserves information – their data collection is on acreage of land leased, drilling permits issued, and production from leases on federal land. The DOI Bureau of Ocean Energy Management (BOEM) collects proved reserves and water depth information on developments in the Federal Offshore </w:t>
      </w:r>
      <w:r w:rsidRPr="003E3129" w:rsidR="00427C42">
        <w:rPr>
          <w:iCs/>
        </w:rPr>
        <w:t>region but</w:t>
      </w:r>
      <w:r w:rsidRPr="003E3129">
        <w:rPr>
          <w:iCs/>
        </w:rPr>
        <w:t xml:space="preserve"> </w:t>
      </w:r>
      <w:r>
        <w:rPr>
          <w:iCs/>
        </w:rPr>
        <w:t>publishes its own reports one year later than EIA</w:t>
      </w:r>
      <w:r w:rsidRPr="003E3129">
        <w:rPr>
          <w:iCs/>
        </w:rPr>
        <w:t xml:space="preserve">. Because of the limited geographic coverage and the delay in releasing reserves data, the DOI information is not an acceptable alternative to the Form EIA-23L </w:t>
      </w:r>
      <w:r>
        <w:rPr>
          <w:iCs/>
        </w:rPr>
        <w:t>report</w:t>
      </w:r>
      <w:r w:rsidRPr="003E3129">
        <w:rPr>
          <w:iCs/>
        </w:rPr>
        <w:t>.</w:t>
      </w:r>
    </w:p>
    <w:p w:rsidR="009D1428" w:rsidRPr="003E3129" w:rsidP="009D1428" w14:paraId="6898BF3E" w14:textId="376B0FB8">
      <w:pPr>
        <w:rPr>
          <w:iCs/>
        </w:rPr>
      </w:pPr>
      <w:r w:rsidRPr="003E3129">
        <w:rPr>
          <w:iCs/>
        </w:rPr>
        <w:t xml:space="preserve">Oil and gas </w:t>
      </w:r>
      <w:r w:rsidRPr="00233DF9">
        <w:rPr>
          <w:iCs/>
        </w:rPr>
        <w:t>well</w:t>
      </w:r>
      <w:r w:rsidRPr="003E3129">
        <w:rPr>
          <w:iCs/>
        </w:rPr>
        <w:t xml:space="preserve"> operators who are </w:t>
      </w:r>
      <w:r w:rsidRPr="003E3129" w:rsidR="00427C42">
        <w:rPr>
          <w:iCs/>
        </w:rPr>
        <w:t>publicly</w:t>
      </w:r>
      <w:r>
        <w:rPr>
          <w:iCs/>
        </w:rPr>
        <w:t xml:space="preserve"> </w:t>
      </w:r>
      <w:r w:rsidRPr="003E3129">
        <w:rPr>
          <w:iCs/>
        </w:rPr>
        <w:t xml:space="preserve">owned companies are required to file their estimate of proved reserves with the Securities and Exchange Commission (SEC). However, these SEC estimates of proved reserves are not sufficient to replace EIA’s estimates for the entire </w:t>
      </w:r>
      <w:r w:rsidR="004D447E">
        <w:rPr>
          <w:iCs/>
        </w:rPr>
        <w:t>country</w:t>
      </w:r>
      <w:r w:rsidRPr="003E3129">
        <w:rPr>
          <w:iCs/>
        </w:rPr>
        <w:t xml:space="preserve">, because only </w:t>
      </w:r>
      <w:r w:rsidRPr="003E3129" w:rsidR="00427C42">
        <w:rPr>
          <w:iCs/>
        </w:rPr>
        <w:t>publicly</w:t>
      </w:r>
      <w:r>
        <w:rPr>
          <w:iCs/>
        </w:rPr>
        <w:t xml:space="preserve"> </w:t>
      </w:r>
      <w:r w:rsidRPr="003E3129">
        <w:rPr>
          <w:iCs/>
        </w:rPr>
        <w:t>held companies file with the SEC (though many operators in the U.S. are privately</w:t>
      </w:r>
      <w:r>
        <w:rPr>
          <w:iCs/>
        </w:rPr>
        <w:t xml:space="preserve"> </w:t>
      </w:r>
      <w:r w:rsidRPr="003E3129">
        <w:rPr>
          <w:iCs/>
        </w:rPr>
        <w:t>owned), and the companies report to the SEC only the percentage of the reserves they own, which can be an amount significantly less than the total volume of reserves within a field.</w:t>
      </w:r>
    </w:p>
    <w:p w:rsidR="009D1428" w:rsidRPr="00A41763" w:rsidP="009D1428" w14:paraId="46EDAABA" w14:textId="7394BD23">
      <w:r w:rsidRPr="003E3129">
        <w:rPr>
          <w:iCs/>
        </w:rPr>
        <w:t xml:space="preserve">EIA has determined that other sources of proved oil and gas reserve data cannot replace or approximate the information provided by the OGRS data collections, because of differences in classifying the data, </w:t>
      </w:r>
      <w:r w:rsidRPr="003E3129">
        <w:rPr>
          <w:iCs/>
        </w:rPr>
        <w:t>inconsistent data quality, incomplete and infrequent reporting, and data unavailability.</w:t>
      </w:r>
      <w:r>
        <w:rPr>
          <w:iCs/>
        </w:rPr>
        <w:t xml:space="preserve"> </w:t>
      </w:r>
      <w:r w:rsidRPr="003E3129">
        <w:rPr>
          <w:iCs/>
        </w:rPr>
        <w:t xml:space="preserve">Form EIA-64A is the only source of natural gas liquids production data </w:t>
      </w:r>
      <w:r>
        <w:rPr>
          <w:iCs/>
        </w:rPr>
        <w:t xml:space="preserve">by area of origin </w:t>
      </w:r>
      <w:r w:rsidRPr="003E3129">
        <w:rPr>
          <w:iCs/>
        </w:rPr>
        <w:t>known to EIA.</w:t>
      </w:r>
    </w:p>
    <w:p w:rsidR="002542D4" w:rsidRPr="002542D4" w:rsidP="002542D4" w14:paraId="2AB7FC13" w14:textId="77777777">
      <w:pPr>
        <w:rPr>
          <w:noProof/>
        </w:rPr>
      </w:pPr>
    </w:p>
    <w:p w:rsidR="002542D4" w:rsidRPr="00BB64D7" w:rsidP="00F43F66" w14:paraId="6F4E2377" w14:textId="77777777">
      <w:pPr>
        <w:pStyle w:val="Heading2"/>
        <w:rPr>
          <w:noProof/>
        </w:rPr>
      </w:pPr>
      <w:bookmarkStart w:id="11" w:name="_Toc492634205"/>
      <w:bookmarkStart w:id="12" w:name="_Toc194474953"/>
      <w:r w:rsidRPr="00BB64D7">
        <w:rPr>
          <w:noProof/>
        </w:rPr>
        <w:t>A.5. Provisions for Reducing Burden on Small Businesses</w:t>
      </w:r>
      <w:bookmarkEnd w:id="11"/>
      <w:bookmarkEnd w:id="12"/>
      <w:r w:rsidRPr="00BB64D7">
        <w:rPr>
          <w:noProof/>
        </w:rPr>
        <w:t xml:space="preserve"> </w:t>
      </w:r>
    </w:p>
    <w:p w:rsidR="002542D4" w:rsidP="002542D4" w14:paraId="11D69B40" w14:textId="38A4494E">
      <w:pPr>
        <w:rPr>
          <w:noProof/>
        </w:rPr>
      </w:pPr>
      <w:r w:rsidRPr="009D1428">
        <w:rPr>
          <w:noProof/>
        </w:rPr>
        <w:t>The largest respondents to the Form EIA-23L will have wells in more than half a dozen states across the country, while the smallest respondents will have wells in only one state. </w:t>
      </w:r>
      <w:r w:rsidRPr="3E305368" w:rsidR="0825D60B">
        <w:rPr>
          <w:rFonts w:cs="Calibri"/>
          <w:noProof/>
        </w:rPr>
        <w:t xml:space="preserve"> EIA selects the largest producers to report in the sample </w:t>
      </w:r>
      <w:r w:rsidR="00547E39">
        <w:rPr>
          <w:rFonts w:cs="Calibri"/>
          <w:noProof/>
        </w:rPr>
        <w:t xml:space="preserve">frame </w:t>
      </w:r>
      <w:r w:rsidRPr="3E305368" w:rsidR="0825D60B">
        <w:rPr>
          <w:rFonts w:cs="Calibri"/>
          <w:noProof/>
        </w:rPr>
        <w:t>for Form EIA-23L and minimizes the reporting burden for small operators.</w:t>
      </w:r>
    </w:p>
    <w:p w:rsidR="009D1428" w:rsidRPr="009D1428" w:rsidP="002542D4" w14:paraId="752B1D98" w14:textId="77777777">
      <w:pPr>
        <w:rPr>
          <w:noProof/>
        </w:rPr>
      </w:pPr>
    </w:p>
    <w:p w:rsidR="002542D4" w:rsidRPr="00BB64D7" w:rsidP="00F43F66" w14:paraId="710E9347" w14:textId="77777777">
      <w:pPr>
        <w:pStyle w:val="Heading2"/>
        <w:rPr>
          <w:noProof/>
        </w:rPr>
      </w:pPr>
      <w:bookmarkStart w:id="13" w:name="_Toc492634206"/>
      <w:bookmarkStart w:id="14" w:name="_Toc194474954"/>
      <w:r w:rsidRPr="00BB64D7">
        <w:rPr>
          <w:noProof/>
        </w:rPr>
        <w:t>A.6. Consequences of Less-Frequent Reporting</w:t>
      </w:r>
      <w:bookmarkEnd w:id="13"/>
      <w:bookmarkEnd w:id="14"/>
    </w:p>
    <w:p w:rsidR="009D1428" w:rsidRPr="00A41763" w:rsidP="009D1428" w14:paraId="4D755C26" w14:textId="77777777">
      <w:r w:rsidRPr="000F4C1F">
        <w:t>Less frequent reporting from survey respondents would not permit EIA to meet its mandate of providing timely, reliable information on oil and gas reserves.</w:t>
      </w:r>
    </w:p>
    <w:p w:rsidR="002542D4" w:rsidRPr="002542D4" w:rsidP="002542D4" w14:paraId="443A9ACC" w14:textId="77777777">
      <w:pPr>
        <w:rPr>
          <w:noProof/>
        </w:rPr>
      </w:pPr>
    </w:p>
    <w:p w:rsidR="002542D4" w:rsidRPr="00BB64D7" w:rsidP="00F43F66" w14:paraId="17514BD2" w14:textId="77777777">
      <w:pPr>
        <w:pStyle w:val="Heading2"/>
        <w:rPr>
          <w:noProof/>
        </w:rPr>
      </w:pPr>
      <w:bookmarkStart w:id="15" w:name="_Toc492634207"/>
      <w:bookmarkStart w:id="16" w:name="_Toc194474955"/>
      <w:r w:rsidRPr="00BB64D7">
        <w:rPr>
          <w:noProof/>
        </w:rPr>
        <w:t>A.7. Compliance with 5 CFR 1320.5</w:t>
      </w:r>
      <w:bookmarkEnd w:id="15"/>
      <w:bookmarkEnd w:id="16"/>
    </w:p>
    <w:p w:rsidR="009D1428" w:rsidP="009D1428" w14:paraId="10F2804A" w14:textId="4DB0EB06">
      <w:pPr>
        <w:rPr>
          <w:b/>
          <w:bCs/>
        </w:rPr>
      </w:pPr>
      <w:r w:rsidRPr="000F4C1F">
        <w:rPr>
          <w:iCs/>
        </w:rPr>
        <w:t xml:space="preserve">The data being collected </w:t>
      </w:r>
      <w:r w:rsidR="00BA5266">
        <w:rPr>
          <w:iCs/>
        </w:rPr>
        <w:t>is</w:t>
      </w:r>
      <w:r w:rsidR="00AB43B8">
        <w:rPr>
          <w:iCs/>
        </w:rPr>
        <w:t xml:space="preserve"> </w:t>
      </w:r>
      <w:r w:rsidRPr="000F4C1F">
        <w:rPr>
          <w:iCs/>
        </w:rPr>
        <w:t>consistent with the guidelines in 5 C.F.R. 1320.</w:t>
      </w:r>
      <w:r w:rsidR="004F1BD8">
        <w:rPr>
          <w:iCs/>
        </w:rPr>
        <w:t>5</w:t>
      </w:r>
      <w:r w:rsidRPr="000F4C1F">
        <w:rPr>
          <w:iCs/>
        </w:rPr>
        <w:t>, to reduce the public’s paperwork burden.</w:t>
      </w:r>
    </w:p>
    <w:p w:rsidR="002542D4" w:rsidRPr="002542D4" w:rsidP="002542D4" w14:paraId="114F1848" w14:textId="77777777">
      <w:pPr>
        <w:rPr>
          <w:b/>
          <w:bCs/>
          <w:noProof/>
        </w:rPr>
      </w:pPr>
    </w:p>
    <w:p w:rsidR="002542D4" w:rsidRPr="00BB64D7" w:rsidP="00F43F66" w14:paraId="22632FCA" w14:textId="77777777">
      <w:pPr>
        <w:pStyle w:val="Heading2"/>
        <w:rPr>
          <w:noProof/>
        </w:rPr>
      </w:pPr>
      <w:bookmarkStart w:id="17" w:name="_Toc492634208"/>
      <w:bookmarkStart w:id="18" w:name="_Toc194474956"/>
      <w:r w:rsidRPr="00BB64D7">
        <w:rPr>
          <w:noProof/>
        </w:rPr>
        <w:t>A.8. Summary of Consultations Outside of the Agency</w:t>
      </w:r>
      <w:bookmarkEnd w:id="17"/>
      <w:bookmarkEnd w:id="18"/>
    </w:p>
    <w:p w:rsidR="005025B1" w:rsidP="005025B1" w14:paraId="5DEE6C1D" w14:textId="0F92235B">
      <w:r>
        <w:t xml:space="preserve">On </w:t>
      </w:r>
      <w:r w:rsidR="00ED4FA9">
        <w:t>May 30</w:t>
      </w:r>
      <w:r>
        <w:t>, 2025, EIA published a Federal Register Notice (</w:t>
      </w:r>
      <w:r w:rsidRPr="007E2F96">
        <w:t xml:space="preserve">Volume </w:t>
      </w:r>
      <w:r w:rsidRPr="007E2F96" w:rsidR="00BD4E05">
        <w:t>90</w:t>
      </w:r>
      <w:r w:rsidRPr="007E2F96">
        <w:t xml:space="preserve">, Number </w:t>
      </w:r>
      <w:r w:rsidRPr="007E2F96" w:rsidR="00BD4E05">
        <w:t>103</w:t>
      </w:r>
      <w:r w:rsidRPr="007E2F96">
        <w:t xml:space="preserve">, page </w:t>
      </w:r>
      <w:r w:rsidR="00BD4E05">
        <w:t>23046</w:t>
      </w:r>
      <w:r>
        <w:t xml:space="preserve">) inviting public comments on the proposed extension of the survey forms.  In addition, EIA placed a copy of the notice on EIA’s website.  </w:t>
      </w:r>
      <w:r w:rsidRPr="00257B4B">
        <w:t xml:space="preserve">EIA </w:t>
      </w:r>
      <w:r w:rsidRPr="00257B4B" w:rsidR="00251083">
        <w:t xml:space="preserve">did not </w:t>
      </w:r>
      <w:r w:rsidRPr="00257B4B">
        <w:t xml:space="preserve">receive </w:t>
      </w:r>
      <w:r w:rsidRPr="00257B4B" w:rsidR="00251083">
        <w:t>any</w:t>
      </w:r>
      <w:r w:rsidRPr="00257B4B">
        <w:t xml:space="preserve"> public comments in response to the 60 Day FRN.</w:t>
      </w:r>
    </w:p>
    <w:p w:rsidR="00257B4B" w:rsidRPr="00257B4B" w:rsidP="00257B4B" w14:paraId="2CE2D3AD" w14:textId="4AE48D2B">
      <w:pPr>
        <w:rPr>
          <w:rFonts w:cs="Calibri"/>
        </w:rPr>
      </w:pPr>
      <w:r w:rsidRPr="00257B4B">
        <w:rPr>
          <w:rFonts w:cs="Calibri"/>
        </w:rPr>
        <w:t xml:space="preserve">EIA performed cognitive testing for the Form EIA-64A to evaluate the addition of two questions from the suspended Form EIA-757A (part of EIA’s Natural Gas data collection package OMB No. 1905-0175) regarding total capacity and average heat content, the addition of a new question about ethane content, and associated burden changes. EIA also performed sensitivity testing for </w:t>
      </w:r>
      <w:r w:rsidRPr="00257B4B" w:rsidR="00BA5266">
        <w:rPr>
          <w:rFonts w:cs="Calibri"/>
        </w:rPr>
        <w:t>Form</w:t>
      </w:r>
      <w:r w:rsidRPr="00257B4B">
        <w:rPr>
          <w:rFonts w:cs="Calibri"/>
        </w:rPr>
        <w:t xml:space="preserve"> EIA-64A to evaluate potential disclosure of data at a plant-level instead of an aggregated state-level. However, given current resource constraints, EIA is not proposing any changes in the data collections at this time. </w:t>
      </w:r>
    </w:p>
    <w:p w:rsidR="00257B4B" w:rsidP="00257B4B" w14:paraId="14DF4BF9" w14:textId="77777777">
      <w:pPr>
        <w:rPr>
          <w:rFonts w:cs="Calibri"/>
        </w:rPr>
      </w:pPr>
      <w:r w:rsidRPr="00257B4B">
        <w:rPr>
          <w:rFonts w:cs="Calibri"/>
        </w:rPr>
        <w:t>The cognitive testing performed on Form EIA-64A respondents revealed some uncertainty about the current instructions and definitions. EIA is proposing minor instruction clarifications for both Forms EIA-23L and EIA-64A.</w:t>
      </w:r>
    </w:p>
    <w:p w:rsidR="0069198F" w:rsidRPr="00257B4B" w:rsidP="00257B4B" w14:paraId="7970EB4F" w14:textId="77777777">
      <w:pPr>
        <w:rPr>
          <w:rFonts w:cs="Calibri"/>
        </w:rPr>
      </w:pPr>
    </w:p>
    <w:p w:rsidR="002542D4" w:rsidRPr="00BB64D7" w:rsidP="00F43F66" w14:paraId="17EE5905" w14:textId="690A8FAA">
      <w:pPr>
        <w:pStyle w:val="Heading2"/>
        <w:rPr>
          <w:noProof/>
        </w:rPr>
      </w:pPr>
      <w:bookmarkStart w:id="19" w:name="_Toc492634209"/>
      <w:bookmarkStart w:id="20" w:name="_Toc194474957"/>
      <w:r w:rsidRPr="0836A9E7">
        <w:rPr>
          <w:noProof/>
        </w:rPr>
        <w:t>A.9. Payments or Gifts to Respondents</w:t>
      </w:r>
      <w:bookmarkEnd w:id="19"/>
      <w:bookmarkEnd w:id="20"/>
      <w:r w:rsidRPr="0836A9E7">
        <w:rPr>
          <w:noProof/>
        </w:rPr>
        <w:t xml:space="preserve"> </w:t>
      </w:r>
    </w:p>
    <w:p w:rsidR="00D6241C" w:rsidRPr="000F4C1F" w:rsidP="00D6241C" w14:paraId="065FE5A1" w14:textId="1BE8BD30">
      <w:pPr>
        <w:rPr>
          <w:iCs/>
        </w:rPr>
      </w:pPr>
      <w:r>
        <w:rPr>
          <w:iCs/>
        </w:rPr>
        <w:t>EIA will not provide p</w:t>
      </w:r>
      <w:r w:rsidRPr="000F4C1F">
        <w:rPr>
          <w:iCs/>
        </w:rPr>
        <w:t xml:space="preserve">ayments or gifts </w:t>
      </w:r>
      <w:r>
        <w:rPr>
          <w:iCs/>
        </w:rPr>
        <w:t>to</w:t>
      </w:r>
      <w:r w:rsidRPr="000F4C1F">
        <w:rPr>
          <w:iCs/>
        </w:rPr>
        <w:t xml:space="preserve"> respondents as incentives to report data to EIA.</w:t>
      </w:r>
    </w:p>
    <w:p w:rsidR="002542D4" w:rsidRPr="002542D4" w:rsidP="002542D4" w14:paraId="0CE567B3" w14:textId="77777777">
      <w:pPr>
        <w:rPr>
          <w:b/>
          <w:bCs/>
          <w:noProof/>
        </w:rPr>
      </w:pPr>
    </w:p>
    <w:p w:rsidR="002542D4" w:rsidRPr="00BB64D7" w:rsidP="00F43F66" w14:paraId="57C7F1CD" w14:textId="77777777">
      <w:pPr>
        <w:pStyle w:val="Heading2"/>
        <w:rPr>
          <w:noProof/>
        </w:rPr>
      </w:pPr>
      <w:bookmarkStart w:id="21" w:name="_Toc492634210"/>
      <w:bookmarkStart w:id="22" w:name="_Toc194474958"/>
      <w:r w:rsidRPr="00BB64D7">
        <w:rPr>
          <w:noProof/>
        </w:rPr>
        <w:t>A.10. Provisions for Protection of Information</w:t>
      </w:r>
      <w:bookmarkEnd w:id="21"/>
      <w:bookmarkEnd w:id="22"/>
      <w:r w:rsidRPr="00BB64D7">
        <w:rPr>
          <w:noProof/>
        </w:rPr>
        <w:t xml:space="preserve"> </w:t>
      </w:r>
    </w:p>
    <w:p w:rsidR="00D6241C" w:rsidRPr="00D6241C" w:rsidP="00D6241C" w14:paraId="717B65DC" w14:textId="1FB3EF31">
      <w:pPr>
        <w:pStyle w:val="Heading3"/>
      </w:pPr>
      <w:bookmarkStart w:id="23" w:name="_Toc194474959"/>
      <w:r>
        <w:t xml:space="preserve">A.10.1. </w:t>
      </w:r>
      <w:r w:rsidRPr="00D6241C">
        <w:t>Form EIA-23L</w:t>
      </w:r>
      <w:bookmarkEnd w:id="23"/>
    </w:p>
    <w:p w:rsidR="00D6241C" w:rsidRPr="000F4C1F" w:rsidP="00D6241C" w14:paraId="25FF9EB6" w14:textId="44EBE07D">
      <w:pPr>
        <w:rPr>
          <w:b/>
          <w:bCs/>
        </w:rPr>
      </w:pPr>
      <w:r w:rsidRPr="000F4C1F">
        <w:rPr>
          <w:bCs/>
        </w:rPr>
        <w:t xml:space="preserve">The annual data on the production of crude oil, lease condensate, and natural gas reported on Form EIA-23L are considered public information. </w:t>
      </w:r>
      <w:r w:rsidR="008614D0">
        <w:rPr>
          <w:bCs/>
        </w:rPr>
        <w:t>EIA may release t</w:t>
      </w:r>
      <w:r w:rsidRPr="000F4C1F">
        <w:rPr>
          <w:bCs/>
        </w:rPr>
        <w:t xml:space="preserve">hese data elements in company-identifiable form and </w:t>
      </w:r>
      <w:r w:rsidR="008614D0">
        <w:rPr>
          <w:bCs/>
        </w:rPr>
        <w:t xml:space="preserve">not </w:t>
      </w:r>
      <w:r w:rsidRPr="000F4C1F">
        <w:rPr>
          <w:bCs/>
        </w:rPr>
        <w:t>protect</w:t>
      </w:r>
      <w:r w:rsidR="008614D0">
        <w:rPr>
          <w:bCs/>
        </w:rPr>
        <w:t xml:space="preserve"> them</w:t>
      </w:r>
      <w:r w:rsidRPr="000F4C1F">
        <w:rPr>
          <w:bCs/>
        </w:rPr>
        <w:t xml:space="preserve"> from disclosure in identifiable form when releasing statistical aggregate information. </w:t>
      </w:r>
      <w:r w:rsidR="00023D98">
        <w:rPr>
          <w:bCs/>
        </w:rPr>
        <w:t>EIA will protect and not disclose to the public a</w:t>
      </w:r>
      <w:r w:rsidRPr="000F4C1F">
        <w:rPr>
          <w:bCs/>
        </w:rPr>
        <w:t>ll other information reported on Form EIA-23L, to the extent that the information satisfies the criteria for exemption under the Freedom of Information Act (FOIA), 5 U.S.C. §552, the DOE regulations, 10 C.F.R. §1004.11, implementing the FOIA, and the Trade Secrets Act, 18 U.S.C. §1905.</w:t>
      </w:r>
    </w:p>
    <w:p w:rsidR="00D6241C" w:rsidRPr="000F4C1F" w:rsidP="00D6241C" w14:paraId="5A787446" w14:textId="535C9154">
      <w:pPr>
        <w:rPr>
          <w:b/>
          <w:bCs/>
        </w:rPr>
      </w:pPr>
      <w:r w:rsidRPr="000F4C1F">
        <w:rPr>
          <w:bCs/>
        </w:rPr>
        <w:t xml:space="preserve">The Federal Energy Administration Act requires EIA to provide company-specific data to other federal agencies when requested for official use. </w:t>
      </w:r>
      <w:r w:rsidR="00023D98">
        <w:rPr>
          <w:bCs/>
        </w:rPr>
        <w:t xml:space="preserve">EIA </w:t>
      </w:r>
      <w:r w:rsidRPr="000F4C1F">
        <w:rPr>
          <w:bCs/>
        </w:rPr>
        <w:t>may also ma</w:t>
      </w:r>
      <w:r w:rsidR="00023D98">
        <w:rPr>
          <w:bCs/>
        </w:rPr>
        <w:t>k</w:t>
      </w:r>
      <w:r w:rsidRPr="000F4C1F">
        <w:rPr>
          <w:bCs/>
        </w:rPr>
        <w:t xml:space="preserve">e </w:t>
      </w:r>
      <w:r w:rsidR="00023D98">
        <w:rPr>
          <w:bCs/>
        </w:rPr>
        <w:t>t</w:t>
      </w:r>
      <w:r w:rsidRPr="000F4C1F" w:rsidR="00023D98">
        <w:rPr>
          <w:bCs/>
        </w:rPr>
        <w:t xml:space="preserve">he information reported </w:t>
      </w:r>
      <w:r w:rsidRPr="000F4C1F" w:rsidR="00AB43B8">
        <w:rPr>
          <w:bCs/>
        </w:rPr>
        <w:t>on Form</w:t>
      </w:r>
      <w:r w:rsidRPr="000F4C1F" w:rsidR="00023D98">
        <w:rPr>
          <w:bCs/>
        </w:rPr>
        <w:t xml:space="preserve"> EIA-23L </w:t>
      </w:r>
      <w:r w:rsidRPr="000F4C1F">
        <w:rPr>
          <w:bCs/>
        </w:rPr>
        <w:t>available, upon request, to another component of the Department of Energy (DOE); to any Committee of Congress, to the Government Accountability Office, or to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D6241C" w:rsidRPr="000F4C1F" w:rsidP="00D6241C" w14:paraId="5A117832" w14:textId="071B57E3">
      <w:pPr>
        <w:rPr>
          <w:b/>
          <w:bCs/>
        </w:rPr>
      </w:pPr>
      <w:r>
        <w:rPr>
          <w:bCs/>
        </w:rPr>
        <w:t>EIA applies d</w:t>
      </w:r>
      <w:r w:rsidRPr="000F4C1F">
        <w:rPr>
          <w:bCs/>
        </w:rPr>
        <w:t>isclosure limitation procedures to the protected statistical data published from Form EIA-23L survey information to ensure that the risk of disclosure of identifiable information is very small.</w:t>
      </w:r>
    </w:p>
    <w:p w:rsidR="00D6241C" w:rsidRPr="000F4C1F" w:rsidP="00D6241C" w14:paraId="6B3CFD0A" w14:textId="1DDB0C04">
      <w:pPr>
        <w:rPr>
          <w:b/>
          <w:bCs/>
        </w:rPr>
      </w:pPr>
      <w:r>
        <w:rPr>
          <w:bCs/>
        </w:rPr>
        <w:t>EIA may provide c</w:t>
      </w:r>
      <w:r w:rsidRPr="000F4C1F">
        <w:rPr>
          <w:bCs/>
        </w:rPr>
        <w:t>onfidential information collected on Form EIA-23L to United States Department of the Interior offices (BOEM and the United States Geological Survey [USGS]) for statistical purposes, only, in conducting their resource estimation activities.</w:t>
      </w:r>
    </w:p>
    <w:p w:rsidR="00D6241C" w:rsidRPr="008614D0" w:rsidP="008614D0" w14:paraId="1DC45189" w14:textId="7E061E72">
      <w:pPr>
        <w:pStyle w:val="Heading3"/>
      </w:pPr>
      <w:bookmarkStart w:id="24" w:name="_Toc194474960"/>
      <w:r>
        <w:t xml:space="preserve">A.10.2. </w:t>
      </w:r>
      <w:r w:rsidRPr="008614D0">
        <w:t>Form EIA-64A</w:t>
      </w:r>
      <w:bookmarkEnd w:id="24"/>
    </w:p>
    <w:p w:rsidR="00627EA3" w:rsidP="00D6241C" w14:paraId="0D45F9AA" w14:textId="446FFBA5">
      <w:pPr>
        <w:rPr>
          <w:bCs/>
        </w:rPr>
      </w:pPr>
      <w:r w:rsidRPr="00627EA3">
        <w:rPr>
          <w:bCs/>
        </w:rPr>
        <w:t>The data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D6241C" w:rsidRPr="000F4C1F" w:rsidP="00D6241C" w14:paraId="249036E7" w14:textId="4F7BE4B6">
      <w:pPr>
        <w:rPr>
          <w:b/>
          <w:bCs/>
        </w:rPr>
      </w:pPr>
      <w:r w:rsidRPr="000F4C1F">
        <w:rPr>
          <w:bCs/>
        </w:rPr>
        <w:t xml:space="preserve">The Federal Energy Administration Act requires EIA to provide company-specific data to other federal agencies when requested for official use. </w:t>
      </w:r>
      <w:r w:rsidR="00023D98">
        <w:rPr>
          <w:bCs/>
        </w:rPr>
        <w:t xml:space="preserve">EIA </w:t>
      </w:r>
      <w:r w:rsidRPr="000F4C1F" w:rsidR="00023D98">
        <w:rPr>
          <w:bCs/>
        </w:rPr>
        <w:t xml:space="preserve">may also </w:t>
      </w:r>
      <w:r w:rsidR="00023D98">
        <w:rPr>
          <w:bCs/>
        </w:rPr>
        <w:t xml:space="preserve">make the </w:t>
      </w:r>
      <w:r w:rsidRPr="000F4C1F">
        <w:rPr>
          <w:bCs/>
        </w:rPr>
        <w:t xml:space="preserve">information reported on </w:t>
      </w:r>
      <w:r>
        <w:rPr>
          <w:bCs/>
        </w:rPr>
        <w:t>Form EIA-64A</w:t>
      </w:r>
      <w:r w:rsidRPr="000F4C1F">
        <w:rPr>
          <w:bCs/>
        </w:rPr>
        <w:t xml:space="preserve"> available, upon request, to another component of the Department of Energy (DOE); to any Committee of Congress, the Government Accountability Office, or to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023D98" w:rsidRPr="000F4C1F" w:rsidP="00023D98" w14:paraId="767BA55F" w14:textId="2E9C4E11">
      <w:pPr>
        <w:rPr>
          <w:b/>
          <w:bCs/>
        </w:rPr>
      </w:pPr>
      <w:r>
        <w:rPr>
          <w:bCs/>
        </w:rPr>
        <w:t>EIA applies d</w:t>
      </w:r>
      <w:r w:rsidRPr="000F4C1F">
        <w:rPr>
          <w:bCs/>
        </w:rPr>
        <w:t>isclosure limitation procedures to the protected statistical data published from Form EIA-</w:t>
      </w:r>
      <w:r>
        <w:rPr>
          <w:bCs/>
        </w:rPr>
        <w:t>64A</w:t>
      </w:r>
      <w:r w:rsidRPr="000F4C1F">
        <w:rPr>
          <w:bCs/>
        </w:rPr>
        <w:t xml:space="preserve"> survey information to ensure that the risk of disclosure of identifiable information is very small.</w:t>
      </w:r>
    </w:p>
    <w:p w:rsidR="00023D98" w:rsidRPr="000F4C1F" w:rsidP="00023D98" w14:paraId="68E7D952" w14:textId="4CC15A0A">
      <w:pPr>
        <w:rPr>
          <w:b/>
          <w:bCs/>
        </w:rPr>
      </w:pPr>
      <w:r>
        <w:rPr>
          <w:bCs/>
        </w:rPr>
        <w:t>EIA may provide c</w:t>
      </w:r>
      <w:r w:rsidRPr="000F4C1F">
        <w:rPr>
          <w:bCs/>
        </w:rPr>
        <w:t>onfidential information collected on Form EIA-</w:t>
      </w:r>
      <w:r>
        <w:rPr>
          <w:bCs/>
        </w:rPr>
        <w:t>64A</w:t>
      </w:r>
      <w:r w:rsidRPr="000F4C1F">
        <w:rPr>
          <w:bCs/>
        </w:rPr>
        <w:t xml:space="preserve"> to United States Department of the Interior offices (BOEM and the United States Geological Survey [USGS]) for statistical purposes, only, in conducting their resource estimation activities.</w:t>
      </w:r>
    </w:p>
    <w:p w:rsidR="002542D4" w:rsidRPr="002542D4" w:rsidP="002542D4" w14:paraId="6845FBEE" w14:textId="77777777">
      <w:pPr>
        <w:rPr>
          <w:b/>
          <w:bCs/>
          <w:noProof/>
        </w:rPr>
      </w:pPr>
    </w:p>
    <w:p w:rsidR="002542D4" w:rsidRPr="00BB64D7" w:rsidP="00F43F66" w14:paraId="5FDEBD7D" w14:textId="77777777">
      <w:pPr>
        <w:pStyle w:val="Heading2"/>
        <w:rPr>
          <w:noProof/>
        </w:rPr>
      </w:pPr>
      <w:bookmarkStart w:id="25" w:name="_Toc492634211"/>
      <w:bookmarkStart w:id="26" w:name="_Toc194474961"/>
      <w:r w:rsidRPr="00BB64D7">
        <w:rPr>
          <w:noProof/>
        </w:rPr>
        <w:t>A.11. Justification for Sensitive Questions</w:t>
      </w:r>
      <w:bookmarkEnd w:id="25"/>
      <w:bookmarkEnd w:id="26"/>
      <w:r w:rsidRPr="00BB64D7">
        <w:rPr>
          <w:noProof/>
        </w:rPr>
        <w:t xml:space="preserve"> </w:t>
      </w:r>
    </w:p>
    <w:p w:rsidR="00023D98" w:rsidP="00023D98" w14:paraId="3CEEEE8C" w14:textId="77777777">
      <w:pPr>
        <w:rPr>
          <w:b/>
          <w:bCs/>
        </w:rPr>
      </w:pPr>
      <w:r w:rsidRPr="000F4C1F">
        <w:t>There are not any questions of a sensitive nature in the OGRS data collections.</w:t>
      </w:r>
    </w:p>
    <w:p w:rsidR="002542D4" w:rsidRPr="002542D4" w:rsidP="002542D4" w14:paraId="569C7FC1" w14:textId="77777777">
      <w:pPr>
        <w:rPr>
          <w:b/>
          <w:bCs/>
          <w:noProof/>
        </w:rPr>
      </w:pPr>
    </w:p>
    <w:p w:rsidR="002542D4" w:rsidRPr="00BB64D7" w:rsidP="00F43F66" w14:paraId="4CDDF59D" w14:textId="77777777">
      <w:pPr>
        <w:pStyle w:val="Heading2"/>
        <w:rPr>
          <w:noProof/>
        </w:rPr>
      </w:pPr>
      <w:bookmarkStart w:id="27" w:name="_Toc492634212"/>
      <w:bookmarkStart w:id="28" w:name="_Toc194474962"/>
      <w:r w:rsidRPr="00BB64D7">
        <w:rPr>
          <w:noProof/>
        </w:rPr>
        <w:t>A.12. Estimate of Respondent Burden Hours and Cost</w:t>
      </w:r>
      <w:bookmarkEnd w:id="27"/>
      <w:bookmarkEnd w:id="28"/>
      <w:r w:rsidRPr="00BB64D7">
        <w:rPr>
          <w:noProof/>
        </w:rPr>
        <w:t xml:space="preserve"> </w:t>
      </w:r>
    </w:p>
    <w:p w:rsidR="00DF0BEC" w:rsidRPr="002542D4" w:rsidP="00DF0BEC" w14:paraId="69EA3077" w14:textId="7895F943">
      <w:pPr>
        <w:rPr>
          <w:noProof/>
        </w:rPr>
      </w:pPr>
      <w:r w:rsidRPr="00F45C5B">
        <w:rPr>
          <w:bCs/>
        </w:rPr>
        <w:t>Table</w:t>
      </w:r>
      <w:r>
        <w:rPr>
          <w:bCs/>
        </w:rPr>
        <w:t xml:space="preserve"> A.1.</w:t>
      </w:r>
      <w:r w:rsidRPr="00F45C5B">
        <w:rPr>
          <w:bCs/>
        </w:rPr>
        <w:t xml:space="preserve"> </w:t>
      </w:r>
      <w:r w:rsidRPr="00F45C5B">
        <w:rPr>
          <w:bCs/>
        </w:rPr>
        <w:t>below</w:t>
      </w:r>
      <w:r w:rsidRPr="00F45C5B">
        <w:rPr>
          <w:bCs/>
        </w:rPr>
        <w:t xml:space="preserve"> shows the burden hours calculated for the proposed OGRS surveys package.</w:t>
      </w:r>
    </w:p>
    <w:p w:rsidR="002542D4" w:rsidRPr="002542D4" w:rsidP="002542D4" w14:paraId="63947FF9" w14:textId="37E4A0E7">
      <w:pPr>
        <w:rPr>
          <w:b/>
          <w:bCs/>
          <w:noProof/>
        </w:rPr>
      </w:pPr>
      <w:r w:rsidRPr="00875722">
        <w:rPr>
          <w:noProof/>
        </w:rPr>
        <w:drawing>
          <wp:inline distT="0" distB="0" distL="0" distR="0">
            <wp:extent cx="5800725" cy="2505075"/>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0725" cy="2505075"/>
                    </a:xfrm>
                    <a:prstGeom prst="rect">
                      <a:avLst/>
                    </a:prstGeom>
                    <a:noFill/>
                    <a:ln>
                      <a:noFill/>
                    </a:ln>
                  </pic:spPr>
                </pic:pic>
              </a:graphicData>
            </a:graphic>
          </wp:inline>
        </w:drawing>
      </w:r>
    </w:p>
    <w:p w:rsidR="0089601F" w:rsidP="00F43F66" w14:paraId="63C85A39" w14:textId="77777777">
      <w:pPr>
        <w:pStyle w:val="Heading2"/>
        <w:rPr>
          <w:noProof/>
        </w:rPr>
      </w:pPr>
      <w:bookmarkStart w:id="29" w:name="_Toc492634213"/>
    </w:p>
    <w:p w:rsidR="002542D4" w:rsidRPr="00BB64D7" w:rsidP="00F43F66" w14:paraId="52FE5AC8" w14:textId="66C30CA1">
      <w:pPr>
        <w:pStyle w:val="Heading2"/>
        <w:rPr>
          <w:noProof/>
        </w:rPr>
      </w:pPr>
      <w:bookmarkStart w:id="30" w:name="_Toc194474963"/>
      <w:r w:rsidRPr="00BB64D7">
        <w:rPr>
          <w:noProof/>
        </w:rPr>
        <w:t>A.13. Annual Cost to the Federal Government</w:t>
      </w:r>
      <w:bookmarkEnd w:id="29"/>
      <w:bookmarkEnd w:id="30"/>
    </w:p>
    <w:p w:rsidR="0089601F" w:rsidP="0089601F" w14:paraId="4B1DA833" w14:textId="53F420E8">
      <w:pPr>
        <w:rPr>
          <w:iCs/>
        </w:rPr>
      </w:pPr>
      <w:r w:rsidRPr="002F599D">
        <w:rPr>
          <w:iCs/>
        </w:rPr>
        <w:t>The annual costs of the OGRS data collections to EIA, including personnel, for development</w:t>
      </w:r>
      <w:r>
        <w:rPr>
          <w:iCs/>
        </w:rPr>
        <w:t xml:space="preserve"> and </w:t>
      </w:r>
      <w:r w:rsidRPr="002F599D">
        <w:rPr>
          <w:iCs/>
        </w:rPr>
        <w:t xml:space="preserve">maintenance, collection, processing, analysis, and publication, are estimated to be </w:t>
      </w:r>
      <w:r w:rsidRPr="00957C38">
        <w:rPr>
          <w:iCs/>
        </w:rPr>
        <w:t>$</w:t>
      </w:r>
      <w:r w:rsidRPr="00957C38" w:rsidR="0079387B">
        <w:rPr>
          <w:iCs/>
        </w:rPr>
        <w:t>2,006,</w:t>
      </w:r>
      <w:r w:rsidRPr="00957C38" w:rsidR="006E422B">
        <w:rPr>
          <w:iCs/>
        </w:rPr>
        <w:t>165</w:t>
      </w:r>
      <w:r w:rsidRPr="00957C38">
        <w:rPr>
          <w:iCs/>
        </w:rPr>
        <w:t>.</w:t>
      </w:r>
    </w:p>
    <w:p w:rsidR="0089601F" w:rsidP="0089601F" w14:paraId="6A1B9E20" w14:textId="77777777">
      <w:pPr>
        <w:rPr>
          <w:iCs/>
        </w:rPr>
      </w:pPr>
    </w:p>
    <w:p w:rsidR="002542D4" w:rsidP="00F43F66" w14:paraId="337D0D41" w14:textId="77777777">
      <w:pPr>
        <w:pStyle w:val="Heading2"/>
        <w:rPr>
          <w:noProof/>
        </w:rPr>
      </w:pPr>
      <w:bookmarkStart w:id="31" w:name="_Toc492634214"/>
      <w:bookmarkStart w:id="32" w:name="_Toc194474964"/>
      <w:r w:rsidRPr="00BB64D7">
        <w:rPr>
          <w:noProof/>
        </w:rPr>
        <w:t>A.14. Changes in Burden</w:t>
      </w:r>
      <w:bookmarkEnd w:id="31"/>
      <w:bookmarkEnd w:id="32"/>
      <w:r w:rsidRPr="00BB64D7">
        <w:rPr>
          <w:noProof/>
        </w:rPr>
        <w:t xml:space="preserve"> </w:t>
      </w:r>
    </w:p>
    <w:p w:rsidR="0089601F" w:rsidRPr="002542D4" w:rsidP="0089601F" w14:paraId="2902DC6C" w14:textId="30140C81">
      <w:pPr>
        <w:rPr>
          <w:noProof/>
        </w:rPr>
      </w:pPr>
      <w:r>
        <w:rPr>
          <w:bCs/>
        </w:rPr>
        <w:t>T</w:t>
      </w:r>
      <w:r w:rsidR="0027144E">
        <w:rPr>
          <w:bCs/>
        </w:rPr>
        <w:t xml:space="preserve">able A2 </w:t>
      </w:r>
      <w:r w:rsidR="00F1031B">
        <w:rPr>
          <w:bCs/>
        </w:rPr>
        <w:t xml:space="preserve">below </w:t>
      </w:r>
      <w:r w:rsidR="0027144E">
        <w:rPr>
          <w:bCs/>
        </w:rPr>
        <w:t>shows that t</w:t>
      </w:r>
      <w:r>
        <w:rPr>
          <w:bCs/>
        </w:rPr>
        <w:t>he number</w:t>
      </w:r>
      <w:r w:rsidR="007D14FF">
        <w:rPr>
          <w:bCs/>
        </w:rPr>
        <w:t xml:space="preserve"> of </w:t>
      </w:r>
      <w:r w:rsidR="003B646E">
        <w:rPr>
          <w:bCs/>
        </w:rPr>
        <w:t xml:space="preserve">the total </w:t>
      </w:r>
      <w:r w:rsidR="00AC2150">
        <w:rPr>
          <w:bCs/>
        </w:rPr>
        <w:t xml:space="preserve">requested </w:t>
      </w:r>
      <w:r w:rsidR="007D14FF">
        <w:rPr>
          <w:bCs/>
        </w:rPr>
        <w:t xml:space="preserve">annual burden hours </w:t>
      </w:r>
      <w:r w:rsidR="00AC2150">
        <w:rPr>
          <w:bCs/>
        </w:rPr>
        <w:t xml:space="preserve">need to be </w:t>
      </w:r>
      <w:r w:rsidR="00373503">
        <w:rPr>
          <w:bCs/>
        </w:rPr>
        <w:t>decreased by 3,332</w:t>
      </w:r>
      <w:r w:rsidR="0027144E">
        <w:rPr>
          <w:bCs/>
        </w:rPr>
        <w:t xml:space="preserve"> </w:t>
      </w:r>
      <w:r w:rsidR="00907753">
        <w:rPr>
          <w:bCs/>
        </w:rPr>
        <w:t>as</w:t>
      </w:r>
      <w:r w:rsidR="00D674BB">
        <w:rPr>
          <w:bCs/>
        </w:rPr>
        <w:t xml:space="preserve"> t</w:t>
      </w:r>
      <w:r w:rsidR="00E320C8">
        <w:rPr>
          <w:bCs/>
        </w:rPr>
        <w:t xml:space="preserve">he number of respondents to EIA-23L </w:t>
      </w:r>
      <w:r w:rsidR="00F41991">
        <w:rPr>
          <w:bCs/>
        </w:rPr>
        <w:t xml:space="preserve">has decreased from </w:t>
      </w:r>
      <w:r w:rsidR="00C5247D">
        <w:rPr>
          <w:bCs/>
        </w:rPr>
        <w:t xml:space="preserve">500 </w:t>
      </w:r>
      <w:r w:rsidR="001B01E6">
        <w:rPr>
          <w:bCs/>
        </w:rPr>
        <w:t>to 420</w:t>
      </w:r>
      <w:r w:rsidR="008E74FB">
        <w:rPr>
          <w:bCs/>
        </w:rPr>
        <w:t xml:space="preserve"> </w:t>
      </w:r>
      <w:r w:rsidR="00587FCC">
        <w:rPr>
          <w:bCs/>
        </w:rPr>
        <w:t>operators</w:t>
      </w:r>
      <w:r w:rsidR="008E74FB">
        <w:rPr>
          <w:bCs/>
        </w:rPr>
        <w:t xml:space="preserve">, while the number of respondents </w:t>
      </w:r>
      <w:r w:rsidR="00AA4120">
        <w:rPr>
          <w:bCs/>
        </w:rPr>
        <w:t>to</w:t>
      </w:r>
      <w:r w:rsidR="008E74FB">
        <w:rPr>
          <w:bCs/>
        </w:rPr>
        <w:t xml:space="preserve"> EIA-64A has decreased </w:t>
      </w:r>
      <w:r w:rsidR="00F6618B">
        <w:rPr>
          <w:bCs/>
        </w:rPr>
        <w:t>from 600 to 458.</w:t>
      </w:r>
    </w:p>
    <w:p w:rsidR="008C1B69" w14:paraId="103A0CCD" w14:textId="77777777">
      <w:pPr>
        <w:spacing w:after="0" w:line="240" w:lineRule="auto"/>
        <w:rPr>
          <w:b/>
          <w:bCs/>
          <w:noProof/>
        </w:rPr>
        <w:sectPr w:rsidSect="00CC4116">
          <w:headerReference w:type="even" r:id="rId24"/>
          <w:footerReference w:type="even" r:id="rId25"/>
          <w:headerReference w:type="first" r:id="rId26"/>
          <w:footerReference w:type="first" r:id="rId27"/>
          <w:footnotePr>
            <w:pos w:val="beneathText"/>
          </w:footnotePr>
          <w:pgSz w:w="12240" w:h="15840"/>
          <w:pgMar w:top="1440" w:right="1440" w:bottom="1440" w:left="1440" w:header="720" w:footer="720" w:gutter="0"/>
          <w:cols w:space="720"/>
          <w:docGrid w:linePitch="360"/>
        </w:sectPr>
      </w:pPr>
    </w:p>
    <w:p w:rsidR="00CC4116" w14:paraId="2881E7B0" w14:textId="41E12E5E">
      <w:pPr>
        <w:spacing w:after="0" w:line="240" w:lineRule="auto"/>
        <w:rPr>
          <w:b/>
          <w:bCs/>
          <w:noProof/>
        </w:rPr>
      </w:pPr>
    </w:p>
    <w:p w:rsidR="007C3F8D" w:rsidRPr="00A871BE" w:rsidP="00A871BE" w14:paraId="2D6FEADD" w14:textId="3AB2DE2B">
      <w:pPr>
        <w:jc w:val="center"/>
        <w:rPr>
          <w:b/>
          <w:bCs/>
          <w:noProof/>
          <w:color w:val="00B0F0"/>
        </w:rPr>
      </w:pPr>
      <w:r w:rsidRPr="00121C0C">
        <w:rPr>
          <w:b/>
          <w:bCs/>
          <w:noProof/>
          <w:color w:val="0070C0"/>
          <w:sz w:val="24"/>
          <w:szCs w:val="24"/>
        </w:rPr>
        <w:t>Table A2. Changes in Burden</w:t>
      </w:r>
      <w:r w:rsidR="00A722CC">
        <w:rPr>
          <w:noProof/>
        </w:rPr>
        <w:drawing>
          <wp:inline distT="0" distB="0" distL="0" distR="0">
            <wp:extent cx="8229600" cy="2221138"/>
            <wp:effectExtent l="0" t="0" r="0" b="8255"/>
            <wp:docPr id="166345242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52422" name="Picture 1" descr="Table&#10;&#10;AI-generated content may be incorrect."/>
                    <pic:cNvPicPr/>
                  </pic:nvPicPr>
                  <pic:blipFill>
                    <a:blip xmlns:r="http://schemas.openxmlformats.org/officeDocument/2006/relationships" r:embed="rId28"/>
                    <a:stretch>
                      <a:fillRect/>
                    </a:stretch>
                  </pic:blipFill>
                  <pic:spPr>
                    <a:xfrm>
                      <a:off x="0" y="0"/>
                      <a:ext cx="8229600" cy="2221138"/>
                    </a:xfrm>
                    <a:prstGeom prst="rect">
                      <a:avLst/>
                    </a:prstGeom>
                  </pic:spPr>
                </pic:pic>
              </a:graphicData>
            </a:graphic>
          </wp:inline>
        </w:drawing>
      </w:r>
    </w:p>
    <w:p w:rsidR="008C1B69" w14:paraId="33EB0ABE" w14:textId="77777777">
      <w:pPr>
        <w:spacing w:after="0" w:line="240" w:lineRule="auto"/>
        <w:rPr>
          <w:b/>
          <w:bCs/>
          <w:noProof/>
        </w:rPr>
        <w:sectPr w:rsidSect="008C1B69">
          <w:footnotePr>
            <w:pos w:val="beneathText"/>
          </w:footnotePr>
          <w:pgSz w:w="15840" w:h="12240" w:orient="landscape"/>
          <w:pgMar w:top="1440" w:right="1440" w:bottom="1440" w:left="1440" w:header="720" w:footer="720" w:gutter="0"/>
          <w:cols w:space="720"/>
          <w:docGrid w:linePitch="360"/>
        </w:sectPr>
      </w:pPr>
    </w:p>
    <w:p w:rsidR="002542D4" w:rsidRPr="00BB64D7" w:rsidP="00F43F66" w14:paraId="305515D2" w14:textId="50B17757">
      <w:pPr>
        <w:pStyle w:val="Heading2"/>
        <w:rPr>
          <w:noProof/>
        </w:rPr>
      </w:pPr>
      <w:bookmarkStart w:id="33" w:name="_Toc492634215"/>
      <w:bookmarkStart w:id="34" w:name="_Toc194474965"/>
      <w:r w:rsidRPr="00BB64D7">
        <w:rPr>
          <w:noProof/>
        </w:rPr>
        <w:t>A.15. Reasons for Changes in Burden</w:t>
      </w:r>
      <w:bookmarkEnd w:id="33"/>
      <w:bookmarkEnd w:id="34"/>
    </w:p>
    <w:p w:rsidR="002542D4" w:rsidP="002542D4" w14:paraId="682A6206" w14:textId="2E647120">
      <w:pPr>
        <w:rPr>
          <w:bCs/>
        </w:rPr>
      </w:pPr>
      <w:r>
        <w:rPr>
          <w:bCs/>
        </w:rPr>
        <w:t>EIA does not expect any changes in burden</w:t>
      </w:r>
      <w:r w:rsidR="00DA2279">
        <w:rPr>
          <w:bCs/>
        </w:rPr>
        <w:t xml:space="preserve"> hour</w:t>
      </w:r>
      <w:r w:rsidR="001937E3">
        <w:rPr>
          <w:bCs/>
        </w:rPr>
        <w:t>s per response</w:t>
      </w:r>
      <w:r>
        <w:rPr>
          <w:bCs/>
        </w:rPr>
        <w:t xml:space="preserve"> for this data collection. </w:t>
      </w:r>
      <w:r w:rsidR="00AE7959">
        <w:rPr>
          <w:bCs/>
        </w:rPr>
        <w:t xml:space="preserve">However, the </w:t>
      </w:r>
      <w:r w:rsidR="00645DB8">
        <w:rPr>
          <w:bCs/>
        </w:rPr>
        <w:t xml:space="preserve">annual </w:t>
      </w:r>
      <w:r w:rsidR="00AE7959">
        <w:rPr>
          <w:bCs/>
        </w:rPr>
        <w:t>number of respondents</w:t>
      </w:r>
      <w:r w:rsidR="00D13912">
        <w:rPr>
          <w:bCs/>
        </w:rPr>
        <w:t xml:space="preserve"> has decreased</w:t>
      </w:r>
      <w:r w:rsidR="00BA12B1">
        <w:rPr>
          <w:bCs/>
        </w:rPr>
        <w:t xml:space="preserve"> in</w:t>
      </w:r>
      <w:r w:rsidR="009071CD">
        <w:rPr>
          <w:bCs/>
        </w:rPr>
        <w:t xml:space="preserve"> </w:t>
      </w:r>
      <w:r w:rsidR="00BA12B1">
        <w:rPr>
          <w:bCs/>
        </w:rPr>
        <w:t>EIA-</w:t>
      </w:r>
      <w:r w:rsidR="00457D6B">
        <w:rPr>
          <w:bCs/>
        </w:rPr>
        <w:t xml:space="preserve">23L </w:t>
      </w:r>
      <w:r w:rsidR="008B3D8B">
        <w:rPr>
          <w:bCs/>
        </w:rPr>
        <w:t>because</w:t>
      </w:r>
      <w:r w:rsidR="00277337">
        <w:rPr>
          <w:bCs/>
        </w:rPr>
        <w:t xml:space="preserve"> </w:t>
      </w:r>
      <w:r w:rsidR="00A03F58">
        <w:rPr>
          <w:bCs/>
        </w:rPr>
        <w:t xml:space="preserve">we </w:t>
      </w:r>
      <w:r w:rsidR="00C33CD5">
        <w:rPr>
          <w:bCs/>
        </w:rPr>
        <w:t xml:space="preserve">are </w:t>
      </w:r>
      <w:r w:rsidR="009071CD">
        <w:rPr>
          <w:bCs/>
        </w:rPr>
        <w:t xml:space="preserve">able to </w:t>
      </w:r>
      <w:r w:rsidR="00C33CD5">
        <w:rPr>
          <w:bCs/>
        </w:rPr>
        <w:t xml:space="preserve">cover more than 90% of </w:t>
      </w:r>
      <w:r w:rsidR="005D7F05">
        <w:rPr>
          <w:bCs/>
        </w:rPr>
        <w:t xml:space="preserve">total </w:t>
      </w:r>
      <w:r w:rsidR="00C33CD5">
        <w:rPr>
          <w:bCs/>
        </w:rPr>
        <w:t xml:space="preserve">production for both crude oil and </w:t>
      </w:r>
      <w:r w:rsidR="003F0C57">
        <w:rPr>
          <w:bCs/>
        </w:rPr>
        <w:t xml:space="preserve">natural </w:t>
      </w:r>
      <w:r w:rsidR="00C33CD5">
        <w:rPr>
          <w:bCs/>
        </w:rPr>
        <w:t xml:space="preserve">gas from </w:t>
      </w:r>
      <w:r w:rsidR="009071CD">
        <w:rPr>
          <w:bCs/>
        </w:rPr>
        <w:t xml:space="preserve">a sample of </w:t>
      </w:r>
      <w:r w:rsidR="00C33CD5">
        <w:rPr>
          <w:bCs/>
        </w:rPr>
        <w:t>420 respondents</w:t>
      </w:r>
      <w:r w:rsidR="00277337">
        <w:rPr>
          <w:bCs/>
        </w:rPr>
        <w:t>.</w:t>
      </w:r>
      <w:r w:rsidR="009D3BA9">
        <w:rPr>
          <w:bCs/>
        </w:rPr>
        <w:t xml:space="preserve"> </w:t>
      </w:r>
      <w:r w:rsidR="0030765C">
        <w:rPr>
          <w:bCs/>
        </w:rPr>
        <w:t>The</w:t>
      </w:r>
      <w:r w:rsidR="00457D6B">
        <w:rPr>
          <w:bCs/>
        </w:rPr>
        <w:t xml:space="preserve"> </w:t>
      </w:r>
      <w:r w:rsidR="00FD0C6C">
        <w:rPr>
          <w:bCs/>
        </w:rPr>
        <w:t>EIA-64A is a census, where the number</w:t>
      </w:r>
      <w:r w:rsidR="0006165D">
        <w:rPr>
          <w:bCs/>
        </w:rPr>
        <w:t xml:space="preserve"> of natural gas</w:t>
      </w:r>
      <w:r w:rsidR="00FD0C6C">
        <w:rPr>
          <w:bCs/>
        </w:rPr>
        <w:t xml:space="preserve"> processing plants </w:t>
      </w:r>
      <w:r w:rsidR="0006165D">
        <w:rPr>
          <w:bCs/>
        </w:rPr>
        <w:t xml:space="preserve">has decreased </w:t>
      </w:r>
      <w:r w:rsidR="00FD0883">
        <w:rPr>
          <w:bCs/>
        </w:rPr>
        <w:t xml:space="preserve">to </w:t>
      </w:r>
      <w:r w:rsidR="00344ADB">
        <w:rPr>
          <w:bCs/>
        </w:rPr>
        <w:t xml:space="preserve">458 </w:t>
      </w:r>
      <w:r w:rsidR="003F60FF">
        <w:rPr>
          <w:bCs/>
        </w:rPr>
        <w:t xml:space="preserve">from 600 </w:t>
      </w:r>
      <w:r w:rsidR="00BD382D">
        <w:rPr>
          <w:bCs/>
        </w:rPr>
        <w:t>because of</w:t>
      </w:r>
      <w:r w:rsidR="0006165D">
        <w:rPr>
          <w:bCs/>
        </w:rPr>
        <w:t xml:space="preserve"> </w:t>
      </w:r>
      <w:r w:rsidR="00DE6B8E">
        <w:rPr>
          <w:bCs/>
        </w:rPr>
        <w:t xml:space="preserve">divestitures and </w:t>
      </w:r>
      <w:r w:rsidR="0006165D">
        <w:rPr>
          <w:bCs/>
        </w:rPr>
        <w:t>mergers and acquisitions</w:t>
      </w:r>
      <w:r w:rsidR="00663F7D">
        <w:rPr>
          <w:bCs/>
        </w:rPr>
        <w:t>.</w:t>
      </w:r>
    </w:p>
    <w:p w:rsidR="002542D4" w:rsidRPr="00BB64D7" w:rsidP="00F43F66" w14:paraId="3CFF5E4A" w14:textId="77777777">
      <w:pPr>
        <w:pStyle w:val="Heading2"/>
        <w:rPr>
          <w:noProof/>
        </w:rPr>
      </w:pPr>
      <w:bookmarkStart w:id="35" w:name="_Toc492634216"/>
      <w:bookmarkStart w:id="36" w:name="_Toc194474966"/>
      <w:r w:rsidRPr="00BB64D7">
        <w:rPr>
          <w:noProof/>
        </w:rPr>
        <w:t>A.16. Collection, Tabulation, and Publication Plans</w:t>
      </w:r>
      <w:bookmarkEnd w:id="35"/>
      <w:bookmarkEnd w:id="36"/>
      <w:r w:rsidRPr="00BB64D7">
        <w:rPr>
          <w:noProof/>
        </w:rPr>
        <w:t xml:space="preserve"> </w:t>
      </w:r>
    </w:p>
    <w:p w:rsidR="00D02839" w:rsidRPr="002F599D" w:rsidP="00D02839" w14:paraId="6F0BC77B" w14:textId="77777777">
      <w:pPr>
        <w:rPr>
          <w:b/>
          <w:bCs/>
          <w:iCs/>
        </w:rPr>
      </w:pPr>
      <w:r w:rsidRPr="002F599D">
        <w:rPr>
          <w:iCs/>
        </w:rPr>
        <w:t>Plans to tabulate and publish data collected by the OGRS surveys are as follows:</w:t>
      </w:r>
    </w:p>
    <w:p w:rsidR="00D02839" w:rsidRPr="002F599D" w:rsidP="00D02839" w14:paraId="31F0B40B" w14:textId="77777777">
      <w:pPr>
        <w:tabs>
          <w:tab w:val="left" w:pos="5760"/>
        </w:tabs>
        <w:rPr>
          <w:b/>
          <w:iCs/>
        </w:rPr>
      </w:pPr>
      <w:r w:rsidRPr="002F599D">
        <w:rPr>
          <w:b/>
          <w:iCs/>
        </w:rPr>
        <w:t>Approximate Time Survey Forms are Initially Made Available:</w:t>
      </w:r>
    </w:p>
    <w:p w:rsidR="00D02839" w:rsidRPr="002F599D" w:rsidP="00D02839" w14:paraId="7A37D54C" w14:textId="77777777">
      <w:pPr>
        <w:pBdr>
          <w:bottom w:val="single" w:sz="4" w:space="1" w:color="auto"/>
        </w:pBdr>
        <w:tabs>
          <w:tab w:val="left" w:pos="5760"/>
        </w:tabs>
        <w:spacing w:after="120"/>
        <w:rPr>
          <w:b/>
          <w:iCs/>
        </w:rPr>
      </w:pPr>
      <w:r w:rsidRPr="002F599D">
        <w:rPr>
          <w:b/>
          <w:iCs/>
        </w:rPr>
        <w:t>Item</w:t>
      </w:r>
      <w:r>
        <w:tab/>
      </w:r>
      <w:r w:rsidRPr="002F599D">
        <w:rPr>
          <w:b/>
          <w:iCs/>
        </w:rPr>
        <w:t>Date:</w:t>
      </w:r>
    </w:p>
    <w:p w:rsidR="00D02839" w:rsidRPr="002F599D" w:rsidP="00D02839" w14:paraId="4AFEB381" w14:textId="77777777">
      <w:pPr>
        <w:tabs>
          <w:tab w:val="left" w:pos="5760"/>
        </w:tabs>
        <w:rPr>
          <w:iCs/>
        </w:rPr>
      </w:pPr>
      <w:r w:rsidRPr="002F599D">
        <w:rPr>
          <w:iCs/>
        </w:rPr>
        <w:t>EIA 64A</w:t>
      </w:r>
      <w:r w:rsidRPr="002F599D">
        <w:rPr>
          <w:iCs/>
        </w:rPr>
        <w:tab/>
        <w:t>February</w:t>
      </w:r>
    </w:p>
    <w:p w:rsidR="00D02839" w:rsidRPr="002F599D" w:rsidP="00D02839" w14:paraId="28392F1C" w14:textId="77777777">
      <w:pPr>
        <w:tabs>
          <w:tab w:val="left" w:pos="5760"/>
        </w:tabs>
        <w:rPr>
          <w:iCs/>
        </w:rPr>
      </w:pPr>
      <w:r w:rsidRPr="002F599D">
        <w:rPr>
          <w:iCs/>
        </w:rPr>
        <w:t>EIA 23L (</w:t>
      </w:r>
      <w:r>
        <w:rPr>
          <w:iCs/>
        </w:rPr>
        <w:t>State/state subdivision</w:t>
      </w:r>
      <w:r w:rsidRPr="002F599D">
        <w:rPr>
          <w:iCs/>
        </w:rPr>
        <w:t>-level version)</w:t>
      </w:r>
      <w:r w:rsidRPr="002F599D">
        <w:rPr>
          <w:iCs/>
        </w:rPr>
        <w:tab/>
        <w:t xml:space="preserve">February  </w:t>
      </w:r>
    </w:p>
    <w:p w:rsidR="00D02839" w:rsidRPr="002F599D" w:rsidP="00D02839" w14:paraId="34D11772" w14:textId="77777777">
      <w:pPr>
        <w:tabs>
          <w:tab w:val="left" w:pos="5760"/>
        </w:tabs>
        <w:rPr>
          <w:b/>
          <w:iCs/>
        </w:rPr>
      </w:pPr>
      <w:r>
        <w:rPr>
          <w:b/>
          <w:iCs/>
        </w:rPr>
        <w:t>Due Date f</w:t>
      </w:r>
      <w:r w:rsidRPr="002F599D">
        <w:rPr>
          <w:b/>
          <w:iCs/>
        </w:rPr>
        <w:t>or Response:</w:t>
      </w:r>
    </w:p>
    <w:p w:rsidR="00D02839" w:rsidRPr="002F599D" w:rsidP="00D02839" w14:paraId="547D34D3" w14:textId="77777777">
      <w:pPr>
        <w:pBdr>
          <w:bottom w:val="single" w:sz="4" w:space="1" w:color="auto"/>
        </w:pBdr>
        <w:tabs>
          <w:tab w:val="left" w:pos="5760"/>
        </w:tabs>
        <w:spacing w:after="120"/>
        <w:rPr>
          <w:b/>
          <w:iCs/>
        </w:rPr>
      </w:pPr>
      <w:r w:rsidRPr="002F599D">
        <w:rPr>
          <w:b/>
          <w:iCs/>
        </w:rPr>
        <w:t>Item</w:t>
      </w:r>
      <w:r w:rsidRPr="002F599D">
        <w:rPr>
          <w:b/>
          <w:iCs/>
        </w:rPr>
        <w:tab/>
        <w:t>Date:</w:t>
      </w:r>
    </w:p>
    <w:p w:rsidR="00D02839" w:rsidRPr="002F599D" w:rsidP="00D02839" w14:paraId="62605645" w14:textId="77777777">
      <w:pPr>
        <w:tabs>
          <w:tab w:val="left" w:pos="5760"/>
        </w:tabs>
        <w:rPr>
          <w:iCs/>
        </w:rPr>
      </w:pPr>
      <w:r w:rsidRPr="002F599D">
        <w:rPr>
          <w:iCs/>
        </w:rPr>
        <w:t>EIA 64A</w:t>
      </w:r>
      <w:r w:rsidRPr="002F599D">
        <w:rPr>
          <w:iCs/>
        </w:rPr>
        <w:tab/>
        <w:t>April</w:t>
      </w:r>
    </w:p>
    <w:p w:rsidR="00D02839" w:rsidRPr="002F599D" w:rsidP="00D02839" w14:paraId="24DA8A2E" w14:textId="77777777">
      <w:pPr>
        <w:tabs>
          <w:tab w:val="left" w:pos="5760"/>
        </w:tabs>
        <w:rPr>
          <w:iCs/>
        </w:rPr>
      </w:pPr>
      <w:r w:rsidRPr="002F599D">
        <w:rPr>
          <w:iCs/>
        </w:rPr>
        <w:t>EIA 23L (</w:t>
      </w:r>
      <w:r>
        <w:rPr>
          <w:iCs/>
        </w:rPr>
        <w:t>State/state subdivision</w:t>
      </w:r>
      <w:r w:rsidRPr="002F599D">
        <w:rPr>
          <w:iCs/>
        </w:rPr>
        <w:t>-level version)</w:t>
      </w:r>
      <w:r w:rsidRPr="002F599D">
        <w:rPr>
          <w:iCs/>
        </w:rPr>
        <w:tab/>
        <w:t>April</w:t>
      </w:r>
    </w:p>
    <w:p w:rsidR="00D02839" w:rsidRPr="002F599D" w:rsidP="00D02839" w14:paraId="6EF3DCE0" w14:textId="77777777">
      <w:pPr>
        <w:tabs>
          <w:tab w:val="left" w:pos="5760"/>
        </w:tabs>
        <w:rPr>
          <w:bCs/>
          <w:iCs/>
          <w:u w:val="single"/>
        </w:rPr>
      </w:pPr>
      <w:r w:rsidRPr="002F599D">
        <w:rPr>
          <w:iCs/>
        </w:rPr>
        <w:t>Final data for tabulation (EIA-64A)</w:t>
      </w:r>
      <w:r w:rsidRPr="002F599D">
        <w:rPr>
          <w:iCs/>
        </w:rPr>
        <w:tab/>
        <w:t xml:space="preserve">June </w:t>
      </w:r>
    </w:p>
    <w:p w:rsidR="00D02839" w:rsidRPr="002F599D" w:rsidP="00D02839" w14:paraId="1C6D793C" w14:textId="77777777">
      <w:pPr>
        <w:tabs>
          <w:tab w:val="left" w:pos="5760"/>
        </w:tabs>
        <w:rPr>
          <w:b/>
          <w:bCs/>
          <w:iCs/>
        </w:rPr>
      </w:pPr>
      <w:r w:rsidRPr="002F599D">
        <w:rPr>
          <w:iCs/>
        </w:rPr>
        <w:t>Final data for tabulation (EIA-23)</w:t>
      </w:r>
      <w:r w:rsidRPr="002F599D">
        <w:rPr>
          <w:iCs/>
        </w:rPr>
        <w:tab/>
        <w:t xml:space="preserve">September </w:t>
      </w:r>
    </w:p>
    <w:p w:rsidR="00D02839" w:rsidRPr="002F599D" w:rsidP="00D02839" w14:paraId="2ED0B004" w14:textId="77777777">
      <w:pPr>
        <w:tabs>
          <w:tab w:val="left" w:pos="5760"/>
        </w:tabs>
        <w:rPr>
          <w:b/>
          <w:iCs/>
        </w:rPr>
      </w:pPr>
      <w:r w:rsidRPr="002F599D">
        <w:rPr>
          <w:b/>
          <w:iCs/>
        </w:rPr>
        <w:t>Publication Schedule:</w:t>
      </w:r>
    </w:p>
    <w:p w:rsidR="00D02839" w:rsidRPr="002F599D" w:rsidP="00D02839" w14:paraId="16FD4C4B" w14:textId="77777777">
      <w:pPr>
        <w:pBdr>
          <w:bottom w:val="single" w:sz="4" w:space="1" w:color="auto"/>
        </w:pBdr>
        <w:tabs>
          <w:tab w:val="left" w:pos="5760"/>
        </w:tabs>
        <w:spacing w:after="120"/>
        <w:rPr>
          <w:b/>
          <w:iCs/>
        </w:rPr>
      </w:pPr>
      <w:r w:rsidRPr="002F599D">
        <w:rPr>
          <w:b/>
          <w:iCs/>
        </w:rPr>
        <w:t>Item</w:t>
      </w:r>
      <w:r w:rsidRPr="002F599D">
        <w:rPr>
          <w:b/>
          <w:iCs/>
        </w:rPr>
        <w:tab/>
        <w:t>Date:</w:t>
      </w:r>
    </w:p>
    <w:p w:rsidR="00D02839" w:rsidRPr="002F599D" w:rsidP="00D02839" w14:paraId="0E648DA0" w14:textId="77777777">
      <w:pPr>
        <w:tabs>
          <w:tab w:val="left" w:pos="5760"/>
        </w:tabs>
        <w:rPr>
          <w:b/>
          <w:bCs/>
          <w:iCs/>
        </w:rPr>
      </w:pPr>
      <w:r w:rsidRPr="002F599D">
        <w:rPr>
          <w:iCs/>
        </w:rPr>
        <w:t>Reserves Report</w:t>
      </w:r>
      <w:r w:rsidRPr="002F599D">
        <w:rPr>
          <w:iCs/>
        </w:rPr>
        <w:tab/>
      </w:r>
      <w:r>
        <w:rPr>
          <w:iCs/>
        </w:rPr>
        <w:t>November</w:t>
      </w:r>
      <w:r w:rsidRPr="002F599D">
        <w:rPr>
          <w:iCs/>
        </w:rPr>
        <w:t xml:space="preserve"> 3</w:t>
      </w:r>
      <w:r>
        <w:rPr>
          <w:iCs/>
        </w:rPr>
        <w:t>0</w:t>
      </w:r>
    </w:p>
    <w:p w:rsidR="00D02839" w:rsidRPr="00A41763" w:rsidP="00D02839" w14:paraId="4299E554" w14:textId="77777777">
      <w:r w:rsidRPr="002F599D">
        <w:rPr>
          <w:iCs/>
        </w:rPr>
        <w:t>Supporting materials</w:t>
      </w:r>
      <w:r w:rsidRPr="002F599D">
        <w:rPr>
          <w:iCs/>
        </w:rPr>
        <w:tab/>
      </w:r>
      <w:r>
        <w:rPr>
          <w:iCs/>
        </w:rPr>
        <w:tab/>
      </w:r>
      <w:r>
        <w:rPr>
          <w:iCs/>
        </w:rPr>
        <w:tab/>
      </w:r>
      <w:r>
        <w:rPr>
          <w:iCs/>
        </w:rPr>
        <w:tab/>
      </w:r>
      <w:r>
        <w:rPr>
          <w:iCs/>
        </w:rPr>
        <w:tab/>
      </w:r>
      <w:r>
        <w:rPr>
          <w:iCs/>
        </w:rPr>
        <w:tab/>
        <w:t>December</w:t>
      </w:r>
    </w:p>
    <w:p w:rsidR="001E558E" w:rsidP="00F43F66" w14:paraId="1DE41464" w14:textId="77777777">
      <w:pPr>
        <w:pStyle w:val="Heading2"/>
        <w:rPr>
          <w:noProof/>
        </w:rPr>
      </w:pPr>
      <w:bookmarkStart w:id="37" w:name="_Toc492634217"/>
      <w:bookmarkStart w:id="38" w:name="_Toc194474967"/>
    </w:p>
    <w:p w:rsidR="002542D4" w:rsidRPr="00BB64D7" w:rsidP="00F43F66" w14:paraId="5EF4C3D0" w14:textId="08541CDE">
      <w:pPr>
        <w:pStyle w:val="Heading2"/>
        <w:rPr>
          <w:noProof/>
        </w:rPr>
      </w:pPr>
      <w:r w:rsidRPr="00BB64D7">
        <w:rPr>
          <w:noProof/>
        </w:rPr>
        <w:t>A.17. OMB Number and Expiration Date</w:t>
      </w:r>
      <w:bookmarkEnd w:id="37"/>
      <w:bookmarkEnd w:id="38"/>
      <w:r w:rsidRPr="00BB64D7">
        <w:rPr>
          <w:noProof/>
        </w:rPr>
        <w:t xml:space="preserve"> </w:t>
      </w:r>
    </w:p>
    <w:p w:rsidR="001E558E" w:rsidP="00D02839" w14:paraId="308D1C45" w14:textId="30619054">
      <w:pPr>
        <w:rPr>
          <w:iCs/>
        </w:rPr>
      </w:pPr>
      <w:r>
        <w:rPr>
          <w:iCs/>
        </w:rPr>
        <w:t>EIA will display t</w:t>
      </w:r>
      <w:r w:rsidRPr="000F4C1F" w:rsidR="00D02839">
        <w:rPr>
          <w:iCs/>
        </w:rPr>
        <w:t xml:space="preserve">he OMB approval expiration date and OMB number on </w:t>
      </w:r>
      <w:r w:rsidRPr="000F4C1F" w:rsidR="00E97341">
        <w:rPr>
          <w:iCs/>
        </w:rPr>
        <w:t>all</w:t>
      </w:r>
      <w:r w:rsidRPr="000F4C1F" w:rsidR="00D02839">
        <w:rPr>
          <w:iCs/>
        </w:rPr>
        <w:t xml:space="preserve"> the Oil and Gas Reserves System survey forms (Forms EIA-23L and EIA-64A).</w:t>
      </w:r>
    </w:p>
    <w:p w:rsidR="000476B8" w:rsidP="00D02839" w14:paraId="2AC08817" w14:textId="77777777">
      <w:pPr>
        <w:rPr>
          <w:b/>
          <w:bCs/>
        </w:rPr>
      </w:pPr>
    </w:p>
    <w:p w:rsidR="002542D4" w:rsidRPr="00BB64D7" w:rsidP="00F43F66" w14:paraId="120883CA" w14:textId="77777777">
      <w:pPr>
        <w:pStyle w:val="Heading2"/>
        <w:rPr>
          <w:noProof/>
        </w:rPr>
      </w:pPr>
      <w:bookmarkStart w:id="39" w:name="_Toc492634218"/>
      <w:bookmarkStart w:id="40" w:name="_Toc194474968"/>
      <w:r w:rsidRPr="00BB64D7">
        <w:rPr>
          <w:noProof/>
        </w:rPr>
        <w:t>A.18. Certification Statement</w:t>
      </w:r>
      <w:bookmarkEnd w:id="39"/>
      <w:bookmarkEnd w:id="40"/>
      <w:r w:rsidRPr="00BB64D7">
        <w:rPr>
          <w:noProof/>
        </w:rPr>
        <w:t xml:space="preserve"> </w:t>
      </w:r>
    </w:p>
    <w:p w:rsidR="00612A58" w:rsidP="00D02839" w14:paraId="0AD167A6" w14:textId="3FF944F3">
      <w:pPr>
        <w:rPr>
          <w:noProof/>
        </w:rPr>
      </w:pPr>
      <w:r w:rsidRPr="00554B60">
        <w:rPr>
          <w:bCs/>
        </w:rPr>
        <w:t xml:space="preserve">There are no exceptions to the certification statement identified in Item 19 of OMB Form 83-I. </w:t>
      </w:r>
    </w:p>
    <w:sectPr w:rsidSect="008C1B69">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64C81144" w14:textId="654C77CD">
    <w:pPr>
      <w:pStyle w:val="Footer"/>
    </w:pPr>
    <w:r w:rsidRPr="00CB180D">
      <w:t xml:space="preserve">U.S. Energy Information Administration   |   </w:t>
    </w:r>
    <w:r w:rsidR="0074454A">
      <w:t>Oil and Gas Reserves System Surveys</w:t>
    </w:r>
    <w:r>
      <w:tab/>
    </w:r>
    <w:r>
      <w:fldChar w:fldCharType="begin"/>
    </w:r>
    <w:r>
      <w:instrText xml:space="preserve"> PAGE   \* MERGEFORMAT </w:instrText>
    </w:r>
    <w:r>
      <w:fldChar w:fldCharType="separate"/>
    </w:r>
    <w:r w:rsidR="00385B7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51144F9"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628FF4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EECFA9F"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4576E4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012FD1E"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D68B182"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646EA8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3775C20D"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52F6D4E1"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050D6A82"/>
    <w:multiLevelType w:val="multilevel"/>
    <w:tmpl w:val="A69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51B0391"/>
    <w:multiLevelType w:val="multilevel"/>
    <w:tmpl w:val="127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6AC1D62"/>
    <w:multiLevelType w:val="multilevel"/>
    <w:tmpl w:val="C720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7957CCD"/>
    <w:multiLevelType w:val="multilevel"/>
    <w:tmpl w:val="563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EDD66AD"/>
    <w:multiLevelType w:val="hybridMultilevel"/>
    <w:tmpl w:val="4CD4B58E"/>
    <w:lvl w:ilvl="0">
      <w:start w:val="1"/>
      <w:numFmt w:val="decimal"/>
      <w:pStyle w:val="ListParagraph"/>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E5181C"/>
    <w:multiLevelType w:val="multilevel"/>
    <w:tmpl w:val="B69ADCF2"/>
    <w:numStyleLink w:val="EIAbullets"/>
  </w:abstractNum>
  <w:abstractNum w:abstractNumId="14">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7E6225"/>
    <w:multiLevelType w:val="multilevel"/>
    <w:tmpl w:val="B69ADCF2"/>
    <w:numStyleLink w:val="EIAbullets"/>
  </w:abstractNum>
  <w:abstractNum w:abstractNumId="17">
    <w:nsid w:val="25542FAE"/>
    <w:multiLevelType w:val="multilevel"/>
    <w:tmpl w:val="A046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5F61002"/>
    <w:multiLevelType w:val="multilevel"/>
    <w:tmpl w:val="A32672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20">
    <w:nsid w:val="2ABE687B"/>
    <w:multiLevelType w:val="multilevel"/>
    <w:tmpl w:val="0E7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BEB0F8F"/>
    <w:multiLevelType w:val="multilevel"/>
    <w:tmpl w:val="1A3E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863F7D"/>
    <w:multiLevelType w:val="hybridMultilevel"/>
    <w:tmpl w:val="9676CFFA"/>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C61E01"/>
    <w:multiLevelType w:val="multilevel"/>
    <w:tmpl w:val="832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70F00B4"/>
    <w:multiLevelType w:val="multilevel"/>
    <w:tmpl w:val="4A7E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8861E46"/>
    <w:multiLevelType w:val="multilevel"/>
    <w:tmpl w:val="B69ADCF2"/>
    <w:numStyleLink w:val="EIAbullets"/>
  </w:abstractNum>
  <w:abstractNum w:abstractNumId="26">
    <w:nsid w:val="39286216"/>
    <w:multiLevelType w:val="hybridMultilevel"/>
    <w:tmpl w:val="7BB080AE"/>
    <w:lvl w:ilvl="0">
      <w:start w:val="1"/>
      <w:numFmt w:val="bullet"/>
      <w:lvlText w:val=""/>
      <w:lvlJc w:val="left"/>
      <w:pPr>
        <w:tabs>
          <w:tab w:val="num" w:pos="720"/>
        </w:tabs>
        <w:ind w:left="720" w:hanging="360"/>
      </w:pPr>
      <w:rPr>
        <w:rFonts w:ascii="Symbol" w:hAnsi="Symbol" w:hint="default"/>
        <w:color w:val="auto"/>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BA2386"/>
    <w:multiLevelType w:val="multilevel"/>
    <w:tmpl w:val="B69ADCF2"/>
    <w:numStyleLink w:val="EIAbullets"/>
  </w:abstractNum>
  <w:abstractNum w:abstractNumId="29">
    <w:nsid w:val="4C0D4429"/>
    <w:multiLevelType w:val="hybridMultilevel"/>
    <w:tmpl w:val="1708E6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EBF29EA"/>
    <w:multiLevelType w:val="multilevel"/>
    <w:tmpl w:val="B69ADCF2"/>
    <w:numStyleLink w:val="EIAbullets"/>
  </w:abstractNum>
  <w:abstractNum w:abstractNumId="31">
    <w:nsid w:val="505771F9"/>
    <w:multiLevelType w:val="multilevel"/>
    <w:tmpl w:val="74E6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9167B2F"/>
    <w:multiLevelType w:val="multilevel"/>
    <w:tmpl w:val="2D9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06B2F2D"/>
    <w:multiLevelType w:val="multilevel"/>
    <w:tmpl w:val="357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06D01FD"/>
    <w:multiLevelType w:val="multilevel"/>
    <w:tmpl w:val="D8B4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2B2CBD"/>
    <w:multiLevelType w:val="multilevel"/>
    <w:tmpl w:val="B69ADCF2"/>
    <w:numStyleLink w:val="EIAbullets"/>
  </w:abstractNum>
  <w:abstractNum w:abstractNumId="36">
    <w:nsid w:val="63E752FF"/>
    <w:multiLevelType w:val="multilevel"/>
    <w:tmpl w:val="984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40">
    <w:nsid w:val="70967798"/>
    <w:multiLevelType w:val="multilevel"/>
    <w:tmpl w:val="867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B177DF3"/>
    <w:multiLevelType w:val="multilevel"/>
    <w:tmpl w:val="6150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B704145"/>
    <w:multiLevelType w:val="multilevel"/>
    <w:tmpl w:val="5126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345472"/>
    <w:multiLevelType w:val="multilevel"/>
    <w:tmpl w:val="E46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169918">
    <w:abstractNumId w:val="3"/>
  </w:num>
  <w:num w:numId="2" w16cid:durableId="899753668">
    <w:abstractNumId w:val="6"/>
  </w:num>
  <w:num w:numId="3" w16cid:durableId="2023506151">
    <w:abstractNumId w:val="4"/>
  </w:num>
  <w:num w:numId="4" w16cid:durableId="434907973">
    <w:abstractNumId w:val="2"/>
  </w:num>
  <w:num w:numId="5" w16cid:durableId="795415281">
    <w:abstractNumId w:val="1"/>
  </w:num>
  <w:num w:numId="6" w16cid:durableId="1397899446">
    <w:abstractNumId w:val="0"/>
  </w:num>
  <w:num w:numId="7" w16cid:durableId="1505121962">
    <w:abstractNumId w:val="39"/>
  </w:num>
  <w:num w:numId="8" w16cid:durableId="283459991">
    <w:abstractNumId w:val="19"/>
  </w:num>
  <w:num w:numId="9" w16cid:durableId="246772854">
    <w:abstractNumId w:val="28"/>
  </w:num>
  <w:num w:numId="10" w16cid:durableId="742416408">
    <w:abstractNumId w:val="13"/>
  </w:num>
  <w:num w:numId="11" w16cid:durableId="1081759420">
    <w:abstractNumId w:val="14"/>
  </w:num>
  <w:num w:numId="12" w16cid:durableId="675691143">
    <w:abstractNumId w:val="16"/>
  </w:num>
  <w:num w:numId="13" w16cid:durableId="44112695">
    <w:abstractNumId w:val="25"/>
  </w:num>
  <w:num w:numId="14" w16cid:durableId="901063432">
    <w:abstractNumId w:val="15"/>
  </w:num>
  <w:num w:numId="15" w16cid:durableId="793136532">
    <w:abstractNumId w:val="7"/>
  </w:num>
  <w:num w:numId="16" w16cid:durableId="1825858208">
    <w:abstractNumId w:val="38"/>
  </w:num>
  <w:num w:numId="17" w16cid:durableId="1437483813">
    <w:abstractNumId w:val="30"/>
  </w:num>
  <w:num w:numId="18" w16cid:durableId="693307152">
    <w:abstractNumId w:val="27"/>
  </w:num>
  <w:num w:numId="19" w16cid:durableId="804544228">
    <w:abstractNumId w:val="35"/>
  </w:num>
  <w:num w:numId="20" w16cid:durableId="430467211">
    <w:abstractNumId w:val="5"/>
  </w:num>
  <w:num w:numId="21" w16cid:durableId="894007908">
    <w:abstractNumId w:val="37"/>
  </w:num>
  <w:num w:numId="22" w16cid:durableId="1108695592">
    <w:abstractNumId w:val="26"/>
  </w:num>
  <w:num w:numId="23" w16cid:durableId="508570161">
    <w:abstractNumId w:val="29"/>
  </w:num>
  <w:num w:numId="24" w16cid:durableId="1019351904">
    <w:abstractNumId w:val="22"/>
  </w:num>
  <w:num w:numId="25" w16cid:durableId="366683908">
    <w:abstractNumId w:val="12"/>
  </w:num>
  <w:num w:numId="26" w16cid:durableId="1743482491">
    <w:abstractNumId w:val="33"/>
  </w:num>
  <w:num w:numId="27" w16cid:durableId="483163178">
    <w:abstractNumId w:val="32"/>
  </w:num>
  <w:num w:numId="28" w16cid:durableId="36205836">
    <w:abstractNumId w:val="24"/>
  </w:num>
  <w:num w:numId="29" w16cid:durableId="580681177">
    <w:abstractNumId w:val="17"/>
  </w:num>
  <w:num w:numId="30" w16cid:durableId="174272563">
    <w:abstractNumId w:val="18"/>
  </w:num>
  <w:num w:numId="31" w16cid:durableId="1269393756">
    <w:abstractNumId w:val="21"/>
  </w:num>
  <w:num w:numId="32" w16cid:durableId="179856744">
    <w:abstractNumId w:val="34"/>
  </w:num>
  <w:num w:numId="33" w16cid:durableId="1113399936">
    <w:abstractNumId w:val="41"/>
  </w:num>
  <w:num w:numId="34" w16cid:durableId="909383118">
    <w:abstractNumId w:val="20"/>
  </w:num>
  <w:num w:numId="35" w16cid:durableId="1881356888">
    <w:abstractNumId w:val="8"/>
  </w:num>
  <w:num w:numId="36" w16cid:durableId="518201089">
    <w:abstractNumId w:val="31"/>
  </w:num>
  <w:num w:numId="37" w16cid:durableId="2064669274">
    <w:abstractNumId w:val="42"/>
  </w:num>
  <w:num w:numId="38" w16cid:durableId="1232084799">
    <w:abstractNumId w:val="36"/>
  </w:num>
  <w:num w:numId="39" w16cid:durableId="1493134741">
    <w:abstractNumId w:val="10"/>
  </w:num>
  <w:num w:numId="40" w16cid:durableId="238103607">
    <w:abstractNumId w:val="23"/>
  </w:num>
  <w:num w:numId="41" w16cid:durableId="43647689">
    <w:abstractNumId w:val="9"/>
  </w:num>
  <w:num w:numId="42" w16cid:durableId="824397191">
    <w:abstractNumId w:val="11"/>
  </w:num>
  <w:num w:numId="43" w16cid:durableId="1190725493">
    <w:abstractNumId w:val="40"/>
  </w:num>
  <w:num w:numId="44" w16cid:durableId="1763644435">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4A"/>
    <w:rsid w:val="0000019D"/>
    <w:rsid w:val="000008B5"/>
    <w:rsid w:val="0000220F"/>
    <w:rsid w:val="0000333D"/>
    <w:rsid w:val="0000364C"/>
    <w:rsid w:val="00004135"/>
    <w:rsid w:val="000041A1"/>
    <w:rsid w:val="000053BB"/>
    <w:rsid w:val="00011B3F"/>
    <w:rsid w:val="00013373"/>
    <w:rsid w:val="000142E5"/>
    <w:rsid w:val="00015DA7"/>
    <w:rsid w:val="00016FAA"/>
    <w:rsid w:val="00017554"/>
    <w:rsid w:val="00017E03"/>
    <w:rsid w:val="00023D98"/>
    <w:rsid w:val="000248CE"/>
    <w:rsid w:val="00034A4B"/>
    <w:rsid w:val="00034E87"/>
    <w:rsid w:val="00040135"/>
    <w:rsid w:val="00041909"/>
    <w:rsid w:val="00042019"/>
    <w:rsid w:val="00046593"/>
    <w:rsid w:val="000476B8"/>
    <w:rsid w:val="00047C08"/>
    <w:rsid w:val="000556B6"/>
    <w:rsid w:val="00055769"/>
    <w:rsid w:val="00056EC3"/>
    <w:rsid w:val="00057D11"/>
    <w:rsid w:val="00060EB8"/>
    <w:rsid w:val="0006165D"/>
    <w:rsid w:val="000621DC"/>
    <w:rsid w:val="00062CFE"/>
    <w:rsid w:val="00063FA9"/>
    <w:rsid w:val="00064675"/>
    <w:rsid w:val="0007129A"/>
    <w:rsid w:val="0007760A"/>
    <w:rsid w:val="000806EC"/>
    <w:rsid w:val="00082CDE"/>
    <w:rsid w:val="00082FB2"/>
    <w:rsid w:val="000831C4"/>
    <w:rsid w:val="000844CA"/>
    <w:rsid w:val="00085E32"/>
    <w:rsid w:val="0008669B"/>
    <w:rsid w:val="000910A2"/>
    <w:rsid w:val="00091CC7"/>
    <w:rsid w:val="000A1B33"/>
    <w:rsid w:val="000B0D1F"/>
    <w:rsid w:val="000B3FBE"/>
    <w:rsid w:val="000C4381"/>
    <w:rsid w:val="000C5311"/>
    <w:rsid w:val="000C5D4E"/>
    <w:rsid w:val="000C6AF8"/>
    <w:rsid w:val="000C6B18"/>
    <w:rsid w:val="000C6BE2"/>
    <w:rsid w:val="000C7F74"/>
    <w:rsid w:val="000D5BFF"/>
    <w:rsid w:val="000D798D"/>
    <w:rsid w:val="000D7E51"/>
    <w:rsid w:val="000E2CA7"/>
    <w:rsid w:val="000F040A"/>
    <w:rsid w:val="000F2183"/>
    <w:rsid w:val="000F25F3"/>
    <w:rsid w:val="000F4C1F"/>
    <w:rsid w:val="001022FE"/>
    <w:rsid w:val="001034E8"/>
    <w:rsid w:val="00112A69"/>
    <w:rsid w:val="0011541D"/>
    <w:rsid w:val="00116AAC"/>
    <w:rsid w:val="00121488"/>
    <w:rsid w:val="00121C0C"/>
    <w:rsid w:val="00126963"/>
    <w:rsid w:val="0012758F"/>
    <w:rsid w:val="0012770D"/>
    <w:rsid w:val="00132F4A"/>
    <w:rsid w:val="00140D25"/>
    <w:rsid w:val="001420E5"/>
    <w:rsid w:val="00144095"/>
    <w:rsid w:val="001444B0"/>
    <w:rsid w:val="00145ED1"/>
    <w:rsid w:val="00153FF9"/>
    <w:rsid w:val="00160925"/>
    <w:rsid w:val="00160A8B"/>
    <w:rsid w:val="00160D58"/>
    <w:rsid w:val="00167425"/>
    <w:rsid w:val="00175361"/>
    <w:rsid w:val="001807A3"/>
    <w:rsid w:val="001937E3"/>
    <w:rsid w:val="001947D5"/>
    <w:rsid w:val="00195D4C"/>
    <w:rsid w:val="001A1E1B"/>
    <w:rsid w:val="001A211B"/>
    <w:rsid w:val="001A6E1E"/>
    <w:rsid w:val="001B01E6"/>
    <w:rsid w:val="001B0953"/>
    <w:rsid w:val="001B0E69"/>
    <w:rsid w:val="001C5338"/>
    <w:rsid w:val="001D03A8"/>
    <w:rsid w:val="001D1CF4"/>
    <w:rsid w:val="001D2E96"/>
    <w:rsid w:val="001D49DA"/>
    <w:rsid w:val="001E558E"/>
    <w:rsid w:val="001E774B"/>
    <w:rsid w:val="001E77F8"/>
    <w:rsid w:val="001F3A8F"/>
    <w:rsid w:val="002008B4"/>
    <w:rsid w:val="00201F24"/>
    <w:rsid w:val="00206143"/>
    <w:rsid w:val="00206D5A"/>
    <w:rsid w:val="00207990"/>
    <w:rsid w:val="002127CE"/>
    <w:rsid w:val="00213285"/>
    <w:rsid w:val="00215842"/>
    <w:rsid w:val="002207DF"/>
    <w:rsid w:val="00221AC2"/>
    <w:rsid w:val="00224002"/>
    <w:rsid w:val="00227E4B"/>
    <w:rsid w:val="0023015A"/>
    <w:rsid w:val="00230EFD"/>
    <w:rsid w:val="00233DF9"/>
    <w:rsid w:val="00236E99"/>
    <w:rsid w:val="0023708A"/>
    <w:rsid w:val="00240B49"/>
    <w:rsid w:val="002457C1"/>
    <w:rsid w:val="0025022D"/>
    <w:rsid w:val="00251083"/>
    <w:rsid w:val="00251089"/>
    <w:rsid w:val="002530BB"/>
    <w:rsid w:val="00253A7F"/>
    <w:rsid w:val="00253E1A"/>
    <w:rsid w:val="002542D4"/>
    <w:rsid w:val="002554BB"/>
    <w:rsid w:val="002556F3"/>
    <w:rsid w:val="002562C2"/>
    <w:rsid w:val="002567DB"/>
    <w:rsid w:val="00257B4B"/>
    <w:rsid w:val="00260EDF"/>
    <w:rsid w:val="00264148"/>
    <w:rsid w:val="00266873"/>
    <w:rsid w:val="00266A3C"/>
    <w:rsid w:val="00267A8E"/>
    <w:rsid w:val="00267F39"/>
    <w:rsid w:val="0027144E"/>
    <w:rsid w:val="00274179"/>
    <w:rsid w:val="002750E2"/>
    <w:rsid w:val="00276D29"/>
    <w:rsid w:val="00277337"/>
    <w:rsid w:val="00290A94"/>
    <w:rsid w:val="00292268"/>
    <w:rsid w:val="002943D0"/>
    <w:rsid w:val="002970A2"/>
    <w:rsid w:val="002B0FD2"/>
    <w:rsid w:val="002B1D64"/>
    <w:rsid w:val="002B5EC9"/>
    <w:rsid w:val="002C314C"/>
    <w:rsid w:val="002C378C"/>
    <w:rsid w:val="002C441F"/>
    <w:rsid w:val="002D2EDF"/>
    <w:rsid w:val="002D4C2A"/>
    <w:rsid w:val="002D4FE9"/>
    <w:rsid w:val="002E18F8"/>
    <w:rsid w:val="002E3FD5"/>
    <w:rsid w:val="002E7A38"/>
    <w:rsid w:val="002F599D"/>
    <w:rsid w:val="00306516"/>
    <w:rsid w:val="0030765C"/>
    <w:rsid w:val="00313D14"/>
    <w:rsid w:val="00314A0B"/>
    <w:rsid w:val="0031545B"/>
    <w:rsid w:val="00325B66"/>
    <w:rsid w:val="00325C96"/>
    <w:rsid w:val="00325E81"/>
    <w:rsid w:val="00330D13"/>
    <w:rsid w:val="003352D7"/>
    <w:rsid w:val="003374AB"/>
    <w:rsid w:val="00344ADB"/>
    <w:rsid w:val="003469CB"/>
    <w:rsid w:val="00346BDC"/>
    <w:rsid w:val="00350C8B"/>
    <w:rsid w:val="00354385"/>
    <w:rsid w:val="00357396"/>
    <w:rsid w:val="00361736"/>
    <w:rsid w:val="0036229F"/>
    <w:rsid w:val="00363331"/>
    <w:rsid w:val="00371E14"/>
    <w:rsid w:val="00373208"/>
    <w:rsid w:val="00373503"/>
    <w:rsid w:val="00383DB3"/>
    <w:rsid w:val="00384F67"/>
    <w:rsid w:val="003854B2"/>
    <w:rsid w:val="00385AE6"/>
    <w:rsid w:val="00385B7A"/>
    <w:rsid w:val="0038724D"/>
    <w:rsid w:val="003876F7"/>
    <w:rsid w:val="00387C8D"/>
    <w:rsid w:val="00390502"/>
    <w:rsid w:val="00392DD0"/>
    <w:rsid w:val="003949B6"/>
    <w:rsid w:val="00396BCB"/>
    <w:rsid w:val="00397825"/>
    <w:rsid w:val="003A1073"/>
    <w:rsid w:val="003A10F3"/>
    <w:rsid w:val="003A3906"/>
    <w:rsid w:val="003A6C47"/>
    <w:rsid w:val="003B03A4"/>
    <w:rsid w:val="003B3BA4"/>
    <w:rsid w:val="003B646E"/>
    <w:rsid w:val="003C03EA"/>
    <w:rsid w:val="003C2E82"/>
    <w:rsid w:val="003C6570"/>
    <w:rsid w:val="003C690C"/>
    <w:rsid w:val="003C6DB2"/>
    <w:rsid w:val="003D509A"/>
    <w:rsid w:val="003D5173"/>
    <w:rsid w:val="003E0B91"/>
    <w:rsid w:val="003E3129"/>
    <w:rsid w:val="003E3BDD"/>
    <w:rsid w:val="003E40FA"/>
    <w:rsid w:val="003F0C57"/>
    <w:rsid w:val="003F24ED"/>
    <w:rsid w:val="003F3866"/>
    <w:rsid w:val="003F529E"/>
    <w:rsid w:val="003F57C0"/>
    <w:rsid w:val="003F60FF"/>
    <w:rsid w:val="004020B2"/>
    <w:rsid w:val="004162D4"/>
    <w:rsid w:val="0042252A"/>
    <w:rsid w:val="00424A4D"/>
    <w:rsid w:val="004257F0"/>
    <w:rsid w:val="0042608E"/>
    <w:rsid w:val="00426481"/>
    <w:rsid w:val="00427C42"/>
    <w:rsid w:val="00431CD7"/>
    <w:rsid w:val="00432966"/>
    <w:rsid w:val="004334CA"/>
    <w:rsid w:val="00433C96"/>
    <w:rsid w:val="00435A9B"/>
    <w:rsid w:val="0043712F"/>
    <w:rsid w:val="00437F6C"/>
    <w:rsid w:val="00443397"/>
    <w:rsid w:val="00444D35"/>
    <w:rsid w:val="0045522A"/>
    <w:rsid w:val="0045608E"/>
    <w:rsid w:val="0045662F"/>
    <w:rsid w:val="00457D6B"/>
    <w:rsid w:val="00466959"/>
    <w:rsid w:val="00466C75"/>
    <w:rsid w:val="0047784B"/>
    <w:rsid w:val="004854EE"/>
    <w:rsid w:val="0049284E"/>
    <w:rsid w:val="004946F0"/>
    <w:rsid w:val="004957CD"/>
    <w:rsid w:val="00497C2A"/>
    <w:rsid w:val="004A1B0A"/>
    <w:rsid w:val="004A262B"/>
    <w:rsid w:val="004A729E"/>
    <w:rsid w:val="004B058E"/>
    <w:rsid w:val="004B1075"/>
    <w:rsid w:val="004B552A"/>
    <w:rsid w:val="004B5DB1"/>
    <w:rsid w:val="004C0879"/>
    <w:rsid w:val="004C14D5"/>
    <w:rsid w:val="004C277B"/>
    <w:rsid w:val="004C2873"/>
    <w:rsid w:val="004D020B"/>
    <w:rsid w:val="004D05FB"/>
    <w:rsid w:val="004D0F05"/>
    <w:rsid w:val="004D1E8D"/>
    <w:rsid w:val="004D236B"/>
    <w:rsid w:val="004D29C7"/>
    <w:rsid w:val="004D447E"/>
    <w:rsid w:val="004E00E6"/>
    <w:rsid w:val="004E5446"/>
    <w:rsid w:val="004E6204"/>
    <w:rsid w:val="004F1BD8"/>
    <w:rsid w:val="004F23C5"/>
    <w:rsid w:val="004F36FE"/>
    <w:rsid w:val="004F77AC"/>
    <w:rsid w:val="005025B1"/>
    <w:rsid w:val="00504119"/>
    <w:rsid w:val="005051AB"/>
    <w:rsid w:val="005052DE"/>
    <w:rsid w:val="00505571"/>
    <w:rsid w:val="00505828"/>
    <w:rsid w:val="005065CF"/>
    <w:rsid w:val="00506BB4"/>
    <w:rsid w:val="0050705F"/>
    <w:rsid w:val="00514A25"/>
    <w:rsid w:val="00516C8C"/>
    <w:rsid w:val="005170D3"/>
    <w:rsid w:val="00517367"/>
    <w:rsid w:val="00523952"/>
    <w:rsid w:val="0052493A"/>
    <w:rsid w:val="00524A83"/>
    <w:rsid w:val="00535CAF"/>
    <w:rsid w:val="00536054"/>
    <w:rsid w:val="0053654B"/>
    <w:rsid w:val="005369ED"/>
    <w:rsid w:val="00536CE1"/>
    <w:rsid w:val="00537C90"/>
    <w:rsid w:val="00540BB5"/>
    <w:rsid w:val="00540CC5"/>
    <w:rsid w:val="0054180D"/>
    <w:rsid w:val="0054274A"/>
    <w:rsid w:val="0054708E"/>
    <w:rsid w:val="00547B53"/>
    <w:rsid w:val="00547E39"/>
    <w:rsid w:val="00552509"/>
    <w:rsid w:val="005546C8"/>
    <w:rsid w:val="00554B60"/>
    <w:rsid w:val="00557236"/>
    <w:rsid w:val="00561817"/>
    <w:rsid w:val="00562CC3"/>
    <w:rsid w:val="00563592"/>
    <w:rsid w:val="00564CAF"/>
    <w:rsid w:val="00571D8F"/>
    <w:rsid w:val="0057367D"/>
    <w:rsid w:val="00573E55"/>
    <w:rsid w:val="00583585"/>
    <w:rsid w:val="00583B87"/>
    <w:rsid w:val="00585BE3"/>
    <w:rsid w:val="005863CA"/>
    <w:rsid w:val="00586AE0"/>
    <w:rsid w:val="00587FCC"/>
    <w:rsid w:val="00590293"/>
    <w:rsid w:val="0059212D"/>
    <w:rsid w:val="00593892"/>
    <w:rsid w:val="005A12BB"/>
    <w:rsid w:val="005B29AD"/>
    <w:rsid w:val="005B2B58"/>
    <w:rsid w:val="005B4863"/>
    <w:rsid w:val="005B5577"/>
    <w:rsid w:val="005B75B3"/>
    <w:rsid w:val="005C00FA"/>
    <w:rsid w:val="005C2D89"/>
    <w:rsid w:val="005C485B"/>
    <w:rsid w:val="005D0454"/>
    <w:rsid w:val="005D39D7"/>
    <w:rsid w:val="005D5956"/>
    <w:rsid w:val="005D602C"/>
    <w:rsid w:val="005D6F63"/>
    <w:rsid w:val="005D7F05"/>
    <w:rsid w:val="005E044B"/>
    <w:rsid w:val="005E379B"/>
    <w:rsid w:val="005F108A"/>
    <w:rsid w:val="005F4848"/>
    <w:rsid w:val="005F55C3"/>
    <w:rsid w:val="005F778C"/>
    <w:rsid w:val="00611D11"/>
    <w:rsid w:val="00612A58"/>
    <w:rsid w:val="0062008C"/>
    <w:rsid w:val="00620797"/>
    <w:rsid w:val="00626494"/>
    <w:rsid w:val="0062674D"/>
    <w:rsid w:val="00627EA3"/>
    <w:rsid w:val="00630A99"/>
    <w:rsid w:val="00633C82"/>
    <w:rsid w:val="00636E85"/>
    <w:rsid w:val="00641DE2"/>
    <w:rsid w:val="00643384"/>
    <w:rsid w:val="006442E3"/>
    <w:rsid w:val="00644D95"/>
    <w:rsid w:val="0064549E"/>
    <w:rsid w:val="00645DB8"/>
    <w:rsid w:val="006501E8"/>
    <w:rsid w:val="00652A5A"/>
    <w:rsid w:val="00652F00"/>
    <w:rsid w:val="0065406F"/>
    <w:rsid w:val="00655345"/>
    <w:rsid w:val="00661771"/>
    <w:rsid w:val="006621BE"/>
    <w:rsid w:val="00663EC4"/>
    <w:rsid w:val="00663F7D"/>
    <w:rsid w:val="00666179"/>
    <w:rsid w:val="00677C5F"/>
    <w:rsid w:val="00686953"/>
    <w:rsid w:val="0069198F"/>
    <w:rsid w:val="00692590"/>
    <w:rsid w:val="00693D15"/>
    <w:rsid w:val="00693DCC"/>
    <w:rsid w:val="006A0646"/>
    <w:rsid w:val="006A0BC7"/>
    <w:rsid w:val="006A0EB0"/>
    <w:rsid w:val="006A2AA7"/>
    <w:rsid w:val="006A6190"/>
    <w:rsid w:val="006A64B2"/>
    <w:rsid w:val="006A73EE"/>
    <w:rsid w:val="006B0EC8"/>
    <w:rsid w:val="006B3643"/>
    <w:rsid w:val="006B565F"/>
    <w:rsid w:val="006C0062"/>
    <w:rsid w:val="006C097E"/>
    <w:rsid w:val="006C2DC3"/>
    <w:rsid w:val="006C312B"/>
    <w:rsid w:val="006C3242"/>
    <w:rsid w:val="006D0439"/>
    <w:rsid w:val="006D2663"/>
    <w:rsid w:val="006D29C6"/>
    <w:rsid w:val="006D466F"/>
    <w:rsid w:val="006E170C"/>
    <w:rsid w:val="006E422B"/>
    <w:rsid w:val="006E77D6"/>
    <w:rsid w:val="006F0F69"/>
    <w:rsid w:val="0070029F"/>
    <w:rsid w:val="00705819"/>
    <w:rsid w:val="007073FB"/>
    <w:rsid w:val="00711CEA"/>
    <w:rsid w:val="00725453"/>
    <w:rsid w:val="00730614"/>
    <w:rsid w:val="0073657C"/>
    <w:rsid w:val="00737591"/>
    <w:rsid w:val="0074049F"/>
    <w:rsid w:val="00742305"/>
    <w:rsid w:val="007438F2"/>
    <w:rsid w:val="0074454A"/>
    <w:rsid w:val="00746019"/>
    <w:rsid w:val="007502EA"/>
    <w:rsid w:val="00752786"/>
    <w:rsid w:val="0075401A"/>
    <w:rsid w:val="00755C3D"/>
    <w:rsid w:val="007576EF"/>
    <w:rsid w:val="00760677"/>
    <w:rsid w:val="007609B3"/>
    <w:rsid w:val="00761C12"/>
    <w:rsid w:val="00764D29"/>
    <w:rsid w:val="00767A3E"/>
    <w:rsid w:val="00773402"/>
    <w:rsid w:val="00776CF4"/>
    <w:rsid w:val="00783DF5"/>
    <w:rsid w:val="00784F89"/>
    <w:rsid w:val="00785087"/>
    <w:rsid w:val="00785ADD"/>
    <w:rsid w:val="00786336"/>
    <w:rsid w:val="007931C4"/>
    <w:rsid w:val="0079387B"/>
    <w:rsid w:val="007A0679"/>
    <w:rsid w:val="007A1F9B"/>
    <w:rsid w:val="007A4264"/>
    <w:rsid w:val="007A4378"/>
    <w:rsid w:val="007A7E48"/>
    <w:rsid w:val="007B6FA1"/>
    <w:rsid w:val="007C17C1"/>
    <w:rsid w:val="007C1889"/>
    <w:rsid w:val="007C2C68"/>
    <w:rsid w:val="007C3F8D"/>
    <w:rsid w:val="007C5CE9"/>
    <w:rsid w:val="007D14FF"/>
    <w:rsid w:val="007D39CC"/>
    <w:rsid w:val="007D418E"/>
    <w:rsid w:val="007D6AAF"/>
    <w:rsid w:val="007E0774"/>
    <w:rsid w:val="007E2F96"/>
    <w:rsid w:val="007E37FC"/>
    <w:rsid w:val="007E5A11"/>
    <w:rsid w:val="007E5E6C"/>
    <w:rsid w:val="007E73E6"/>
    <w:rsid w:val="007E7B61"/>
    <w:rsid w:val="007F015D"/>
    <w:rsid w:val="007F1954"/>
    <w:rsid w:val="007F21D7"/>
    <w:rsid w:val="007F2BB7"/>
    <w:rsid w:val="007F5C2C"/>
    <w:rsid w:val="007F7A8D"/>
    <w:rsid w:val="008009EF"/>
    <w:rsid w:val="0080167F"/>
    <w:rsid w:val="008057F8"/>
    <w:rsid w:val="00805A22"/>
    <w:rsid w:val="00812DDE"/>
    <w:rsid w:val="008307E1"/>
    <w:rsid w:val="00832B29"/>
    <w:rsid w:val="0083463E"/>
    <w:rsid w:val="00834E3E"/>
    <w:rsid w:val="00842360"/>
    <w:rsid w:val="0084458F"/>
    <w:rsid w:val="008530CD"/>
    <w:rsid w:val="00856079"/>
    <w:rsid w:val="008614D0"/>
    <w:rsid w:val="00865430"/>
    <w:rsid w:val="00867160"/>
    <w:rsid w:val="0087205B"/>
    <w:rsid w:val="00874FB8"/>
    <w:rsid w:val="0087796C"/>
    <w:rsid w:val="00883697"/>
    <w:rsid w:val="00891CF0"/>
    <w:rsid w:val="00895598"/>
    <w:rsid w:val="00895669"/>
    <w:rsid w:val="0089601F"/>
    <w:rsid w:val="00897946"/>
    <w:rsid w:val="008A1E17"/>
    <w:rsid w:val="008A3276"/>
    <w:rsid w:val="008A3447"/>
    <w:rsid w:val="008B3975"/>
    <w:rsid w:val="008B3D8B"/>
    <w:rsid w:val="008C0413"/>
    <w:rsid w:val="008C1B69"/>
    <w:rsid w:val="008C2883"/>
    <w:rsid w:val="008C4DAD"/>
    <w:rsid w:val="008C645C"/>
    <w:rsid w:val="008D3773"/>
    <w:rsid w:val="008D4C05"/>
    <w:rsid w:val="008E038D"/>
    <w:rsid w:val="008E4BF2"/>
    <w:rsid w:val="008E4FA4"/>
    <w:rsid w:val="008E74FB"/>
    <w:rsid w:val="008F08A7"/>
    <w:rsid w:val="008F0C41"/>
    <w:rsid w:val="008F2AAF"/>
    <w:rsid w:val="008F4CBD"/>
    <w:rsid w:val="009017AD"/>
    <w:rsid w:val="00901BED"/>
    <w:rsid w:val="00905735"/>
    <w:rsid w:val="009071CD"/>
    <w:rsid w:val="00907274"/>
    <w:rsid w:val="00907753"/>
    <w:rsid w:val="00911112"/>
    <w:rsid w:val="009131B9"/>
    <w:rsid w:val="009201DE"/>
    <w:rsid w:val="00923026"/>
    <w:rsid w:val="00935379"/>
    <w:rsid w:val="00935805"/>
    <w:rsid w:val="009368F3"/>
    <w:rsid w:val="00937840"/>
    <w:rsid w:val="009407D0"/>
    <w:rsid w:val="009460FE"/>
    <w:rsid w:val="00947C42"/>
    <w:rsid w:val="00950489"/>
    <w:rsid w:val="00956208"/>
    <w:rsid w:val="00957C38"/>
    <w:rsid w:val="00957DE9"/>
    <w:rsid w:val="00965A44"/>
    <w:rsid w:val="00967D7C"/>
    <w:rsid w:val="009757AD"/>
    <w:rsid w:val="00980B6A"/>
    <w:rsid w:val="009818F9"/>
    <w:rsid w:val="0098211F"/>
    <w:rsid w:val="0098618F"/>
    <w:rsid w:val="00987523"/>
    <w:rsid w:val="00987C32"/>
    <w:rsid w:val="00991646"/>
    <w:rsid w:val="00991FE2"/>
    <w:rsid w:val="00993EBA"/>
    <w:rsid w:val="0099448B"/>
    <w:rsid w:val="0099723C"/>
    <w:rsid w:val="00997347"/>
    <w:rsid w:val="009A009A"/>
    <w:rsid w:val="009B19CE"/>
    <w:rsid w:val="009B1B6C"/>
    <w:rsid w:val="009B3532"/>
    <w:rsid w:val="009C202F"/>
    <w:rsid w:val="009C24FC"/>
    <w:rsid w:val="009C77F7"/>
    <w:rsid w:val="009D1428"/>
    <w:rsid w:val="009D2670"/>
    <w:rsid w:val="009D3ABF"/>
    <w:rsid w:val="009D3BA9"/>
    <w:rsid w:val="009D4BBD"/>
    <w:rsid w:val="009E1CA5"/>
    <w:rsid w:val="009E2FFE"/>
    <w:rsid w:val="009E5ABC"/>
    <w:rsid w:val="009E5B9C"/>
    <w:rsid w:val="009F1DC2"/>
    <w:rsid w:val="009F61F7"/>
    <w:rsid w:val="009F747A"/>
    <w:rsid w:val="00A00D71"/>
    <w:rsid w:val="00A00EDF"/>
    <w:rsid w:val="00A03F58"/>
    <w:rsid w:val="00A05A74"/>
    <w:rsid w:val="00A06629"/>
    <w:rsid w:val="00A15571"/>
    <w:rsid w:val="00A25BE5"/>
    <w:rsid w:val="00A26A17"/>
    <w:rsid w:val="00A30169"/>
    <w:rsid w:val="00A312A3"/>
    <w:rsid w:val="00A33D9F"/>
    <w:rsid w:val="00A37229"/>
    <w:rsid w:val="00A3779D"/>
    <w:rsid w:val="00A41763"/>
    <w:rsid w:val="00A418C9"/>
    <w:rsid w:val="00A51DF1"/>
    <w:rsid w:val="00A52EC6"/>
    <w:rsid w:val="00A52FE5"/>
    <w:rsid w:val="00A5390C"/>
    <w:rsid w:val="00A648C3"/>
    <w:rsid w:val="00A722CC"/>
    <w:rsid w:val="00A74C9B"/>
    <w:rsid w:val="00A871BE"/>
    <w:rsid w:val="00A871C0"/>
    <w:rsid w:val="00A92BCB"/>
    <w:rsid w:val="00A93478"/>
    <w:rsid w:val="00A958F9"/>
    <w:rsid w:val="00A97FE7"/>
    <w:rsid w:val="00AA054F"/>
    <w:rsid w:val="00AA37C3"/>
    <w:rsid w:val="00AA4120"/>
    <w:rsid w:val="00AA46CA"/>
    <w:rsid w:val="00AA483F"/>
    <w:rsid w:val="00AA7EFA"/>
    <w:rsid w:val="00AB1504"/>
    <w:rsid w:val="00AB43B8"/>
    <w:rsid w:val="00AB5431"/>
    <w:rsid w:val="00AB61B3"/>
    <w:rsid w:val="00AB6733"/>
    <w:rsid w:val="00AC2150"/>
    <w:rsid w:val="00AC323A"/>
    <w:rsid w:val="00AD023C"/>
    <w:rsid w:val="00AD16FD"/>
    <w:rsid w:val="00AD2C87"/>
    <w:rsid w:val="00AD6244"/>
    <w:rsid w:val="00AD6357"/>
    <w:rsid w:val="00AD683F"/>
    <w:rsid w:val="00AD7F81"/>
    <w:rsid w:val="00AE4CA9"/>
    <w:rsid w:val="00AE7959"/>
    <w:rsid w:val="00AF2CBF"/>
    <w:rsid w:val="00AF367D"/>
    <w:rsid w:val="00AF45FD"/>
    <w:rsid w:val="00AF7734"/>
    <w:rsid w:val="00B01714"/>
    <w:rsid w:val="00B03991"/>
    <w:rsid w:val="00B039AE"/>
    <w:rsid w:val="00B07AC9"/>
    <w:rsid w:val="00B13CE0"/>
    <w:rsid w:val="00B21AF9"/>
    <w:rsid w:val="00B21F5C"/>
    <w:rsid w:val="00B31520"/>
    <w:rsid w:val="00B332C3"/>
    <w:rsid w:val="00B35E2A"/>
    <w:rsid w:val="00B37F3C"/>
    <w:rsid w:val="00B4075E"/>
    <w:rsid w:val="00B41D7A"/>
    <w:rsid w:val="00B4263D"/>
    <w:rsid w:val="00B54D8B"/>
    <w:rsid w:val="00B55315"/>
    <w:rsid w:val="00B56D6E"/>
    <w:rsid w:val="00B56F49"/>
    <w:rsid w:val="00B62CAF"/>
    <w:rsid w:val="00B63FDB"/>
    <w:rsid w:val="00B671F4"/>
    <w:rsid w:val="00B7442A"/>
    <w:rsid w:val="00B779C1"/>
    <w:rsid w:val="00B80706"/>
    <w:rsid w:val="00B83EB4"/>
    <w:rsid w:val="00B844D8"/>
    <w:rsid w:val="00B86E0F"/>
    <w:rsid w:val="00B90A31"/>
    <w:rsid w:val="00B956DF"/>
    <w:rsid w:val="00B97002"/>
    <w:rsid w:val="00B97824"/>
    <w:rsid w:val="00BA12B1"/>
    <w:rsid w:val="00BA2926"/>
    <w:rsid w:val="00BA5266"/>
    <w:rsid w:val="00BA72AC"/>
    <w:rsid w:val="00BA7E4A"/>
    <w:rsid w:val="00BB2F70"/>
    <w:rsid w:val="00BB4973"/>
    <w:rsid w:val="00BB64D7"/>
    <w:rsid w:val="00BB6CF4"/>
    <w:rsid w:val="00BC14C3"/>
    <w:rsid w:val="00BC1ABE"/>
    <w:rsid w:val="00BC3249"/>
    <w:rsid w:val="00BD27BD"/>
    <w:rsid w:val="00BD2E69"/>
    <w:rsid w:val="00BD2F20"/>
    <w:rsid w:val="00BD382D"/>
    <w:rsid w:val="00BD3D86"/>
    <w:rsid w:val="00BD4E05"/>
    <w:rsid w:val="00BD4F62"/>
    <w:rsid w:val="00BE4AFD"/>
    <w:rsid w:val="00BE50F1"/>
    <w:rsid w:val="00BF30FF"/>
    <w:rsid w:val="00BF3AE3"/>
    <w:rsid w:val="00C00590"/>
    <w:rsid w:val="00C04647"/>
    <w:rsid w:val="00C074F1"/>
    <w:rsid w:val="00C07959"/>
    <w:rsid w:val="00C12551"/>
    <w:rsid w:val="00C211CD"/>
    <w:rsid w:val="00C24FBF"/>
    <w:rsid w:val="00C25328"/>
    <w:rsid w:val="00C33CD5"/>
    <w:rsid w:val="00C345F6"/>
    <w:rsid w:val="00C3744D"/>
    <w:rsid w:val="00C43A84"/>
    <w:rsid w:val="00C43D02"/>
    <w:rsid w:val="00C503B9"/>
    <w:rsid w:val="00C5247D"/>
    <w:rsid w:val="00C61359"/>
    <w:rsid w:val="00C64137"/>
    <w:rsid w:val="00C658E4"/>
    <w:rsid w:val="00C65981"/>
    <w:rsid w:val="00C676B1"/>
    <w:rsid w:val="00C67751"/>
    <w:rsid w:val="00C71E29"/>
    <w:rsid w:val="00C7266E"/>
    <w:rsid w:val="00C746F9"/>
    <w:rsid w:val="00C754F1"/>
    <w:rsid w:val="00C75C5A"/>
    <w:rsid w:val="00C76C66"/>
    <w:rsid w:val="00C771C7"/>
    <w:rsid w:val="00C82DF9"/>
    <w:rsid w:val="00C841E5"/>
    <w:rsid w:val="00C8568D"/>
    <w:rsid w:val="00C87190"/>
    <w:rsid w:val="00C9047C"/>
    <w:rsid w:val="00C97EC2"/>
    <w:rsid w:val="00CA0B94"/>
    <w:rsid w:val="00CA1564"/>
    <w:rsid w:val="00CA2A61"/>
    <w:rsid w:val="00CA7C8A"/>
    <w:rsid w:val="00CB180D"/>
    <w:rsid w:val="00CB34B0"/>
    <w:rsid w:val="00CB3823"/>
    <w:rsid w:val="00CB4153"/>
    <w:rsid w:val="00CB44E8"/>
    <w:rsid w:val="00CB7978"/>
    <w:rsid w:val="00CC1D12"/>
    <w:rsid w:val="00CC40C4"/>
    <w:rsid w:val="00CC4116"/>
    <w:rsid w:val="00CE2CF6"/>
    <w:rsid w:val="00CE42E9"/>
    <w:rsid w:val="00CE690D"/>
    <w:rsid w:val="00CE6E85"/>
    <w:rsid w:val="00CF760E"/>
    <w:rsid w:val="00CF76C5"/>
    <w:rsid w:val="00D001E4"/>
    <w:rsid w:val="00D00AA8"/>
    <w:rsid w:val="00D02778"/>
    <w:rsid w:val="00D02839"/>
    <w:rsid w:val="00D045E9"/>
    <w:rsid w:val="00D0494D"/>
    <w:rsid w:val="00D06EF5"/>
    <w:rsid w:val="00D12615"/>
    <w:rsid w:val="00D13912"/>
    <w:rsid w:val="00D13C24"/>
    <w:rsid w:val="00D25C58"/>
    <w:rsid w:val="00D300F4"/>
    <w:rsid w:val="00D322B0"/>
    <w:rsid w:val="00D32DF3"/>
    <w:rsid w:val="00D3344B"/>
    <w:rsid w:val="00D40175"/>
    <w:rsid w:val="00D46369"/>
    <w:rsid w:val="00D513E7"/>
    <w:rsid w:val="00D51B00"/>
    <w:rsid w:val="00D53D6D"/>
    <w:rsid w:val="00D55243"/>
    <w:rsid w:val="00D570E4"/>
    <w:rsid w:val="00D6110E"/>
    <w:rsid w:val="00D61BA0"/>
    <w:rsid w:val="00D6241C"/>
    <w:rsid w:val="00D62F90"/>
    <w:rsid w:val="00D63E74"/>
    <w:rsid w:val="00D66ADB"/>
    <w:rsid w:val="00D674BB"/>
    <w:rsid w:val="00D710F8"/>
    <w:rsid w:val="00D715C4"/>
    <w:rsid w:val="00D736C5"/>
    <w:rsid w:val="00D77436"/>
    <w:rsid w:val="00D83FE2"/>
    <w:rsid w:val="00D87114"/>
    <w:rsid w:val="00D928FD"/>
    <w:rsid w:val="00D95272"/>
    <w:rsid w:val="00D954B4"/>
    <w:rsid w:val="00D96D3C"/>
    <w:rsid w:val="00DA2279"/>
    <w:rsid w:val="00DA242F"/>
    <w:rsid w:val="00DA3ED3"/>
    <w:rsid w:val="00DA6A55"/>
    <w:rsid w:val="00DB084E"/>
    <w:rsid w:val="00DB4173"/>
    <w:rsid w:val="00DC64ED"/>
    <w:rsid w:val="00DC79E3"/>
    <w:rsid w:val="00DD7D44"/>
    <w:rsid w:val="00DE0DC5"/>
    <w:rsid w:val="00DE2D54"/>
    <w:rsid w:val="00DE6003"/>
    <w:rsid w:val="00DE6B8E"/>
    <w:rsid w:val="00DE7811"/>
    <w:rsid w:val="00DE7A1C"/>
    <w:rsid w:val="00DF0BEC"/>
    <w:rsid w:val="00DF4F40"/>
    <w:rsid w:val="00E02BB0"/>
    <w:rsid w:val="00E039A7"/>
    <w:rsid w:val="00E03CE6"/>
    <w:rsid w:val="00E04947"/>
    <w:rsid w:val="00E04AA7"/>
    <w:rsid w:val="00E04C16"/>
    <w:rsid w:val="00E054DF"/>
    <w:rsid w:val="00E13716"/>
    <w:rsid w:val="00E1631C"/>
    <w:rsid w:val="00E17762"/>
    <w:rsid w:val="00E21D3A"/>
    <w:rsid w:val="00E266FF"/>
    <w:rsid w:val="00E27661"/>
    <w:rsid w:val="00E320C8"/>
    <w:rsid w:val="00E354D4"/>
    <w:rsid w:val="00E47DB3"/>
    <w:rsid w:val="00E51F8B"/>
    <w:rsid w:val="00E5242A"/>
    <w:rsid w:val="00E53398"/>
    <w:rsid w:val="00E5636B"/>
    <w:rsid w:val="00E66AE2"/>
    <w:rsid w:val="00E7046D"/>
    <w:rsid w:val="00E74DA4"/>
    <w:rsid w:val="00E81B29"/>
    <w:rsid w:val="00E81B89"/>
    <w:rsid w:val="00E8616B"/>
    <w:rsid w:val="00E87488"/>
    <w:rsid w:val="00E91432"/>
    <w:rsid w:val="00E91B5A"/>
    <w:rsid w:val="00E93BED"/>
    <w:rsid w:val="00E97341"/>
    <w:rsid w:val="00E97BFC"/>
    <w:rsid w:val="00EA0526"/>
    <w:rsid w:val="00EA75F2"/>
    <w:rsid w:val="00EA779A"/>
    <w:rsid w:val="00EB2CA6"/>
    <w:rsid w:val="00EB54F5"/>
    <w:rsid w:val="00EB6F5A"/>
    <w:rsid w:val="00EC364B"/>
    <w:rsid w:val="00EC3FF0"/>
    <w:rsid w:val="00EC49DA"/>
    <w:rsid w:val="00EC7D4A"/>
    <w:rsid w:val="00ED218D"/>
    <w:rsid w:val="00ED2D61"/>
    <w:rsid w:val="00ED4FA9"/>
    <w:rsid w:val="00ED6E45"/>
    <w:rsid w:val="00ED79A3"/>
    <w:rsid w:val="00EE43E4"/>
    <w:rsid w:val="00EE4BED"/>
    <w:rsid w:val="00EE657C"/>
    <w:rsid w:val="00EF13CF"/>
    <w:rsid w:val="00EF572C"/>
    <w:rsid w:val="00EF6BF6"/>
    <w:rsid w:val="00F001EA"/>
    <w:rsid w:val="00F00D54"/>
    <w:rsid w:val="00F07A2E"/>
    <w:rsid w:val="00F1031B"/>
    <w:rsid w:val="00F139AF"/>
    <w:rsid w:val="00F16B90"/>
    <w:rsid w:val="00F17E63"/>
    <w:rsid w:val="00F3408A"/>
    <w:rsid w:val="00F34F19"/>
    <w:rsid w:val="00F41991"/>
    <w:rsid w:val="00F43F66"/>
    <w:rsid w:val="00F44A21"/>
    <w:rsid w:val="00F45C5B"/>
    <w:rsid w:val="00F4615E"/>
    <w:rsid w:val="00F520CF"/>
    <w:rsid w:val="00F53384"/>
    <w:rsid w:val="00F575F0"/>
    <w:rsid w:val="00F6618B"/>
    <w:rsid w:val="00F6664C"/>
    <w:rsid w:val="00F71295"/>
    <w:rsid w:val="00F73109"/>
    <w:rsid w:val="00F739E8"/>
    <w:rsid w:val="00F774E6"/>
    <w:rsid w:val="00F80AF1"/>
    <w:rsid w:val="00F8298C"/>
    <w:rsid w:val="00F841D0"/>
    <w:rsid w:val="00F86C6C"/>
    <w:rsid w:val="00F90245"/>
    <w:rsid w:val="00F920D9"/>
    <w:rsid w:val="00F9459F"/>
    <w:rsid w:val="00F94781"/>
    <w:rsid w:val="00F9692B"/>
    <w:rsid w:val="00FA4A84"/>
    <w:rsid w:val="00FA5388"/>
    <w:rsid w:val="00FA540C"/>
    <w:rsid w:val="00FA7281"/>
    <w:rsid w:val="00FB08E3"/>
    <w:rsid w:val="00FC1DF9"/>
    <w:rsid w:val="00FC41E0"/>
    <w:rsid w:val="00FC6FF6"/>
    <w:rsid w:val="00FD0883"/>
    <w:rsid w:val="00FD0C6C"/>
    <w:rsid w:val="00FD2DC1"/>
    <w:rsid w:val="00FD397B"/>
    <w:rsid w:val="00FD4B01"/>
    <w:rsid w:val="00FD7CDC"/>
    <w:rsid w:val="00FE22D2"/>
    <w:rsid w:val="00FE2C76"/>
    <w:rsid w:val="00FE58E0"/>
    <w:rsid w:val="00FE6200"/>
    <w:rsid w:val="00FE74D0"/>
    <w:rsid w:val="00FF368D"/>
    <w:rsid w:val="00FF618E"/>
    <w:rsid w:val="01D547C8"/>
    <w:rsid w:val="020110D0"/>
    <w:rsid w:val="052CFECB"/>
    <w:rsid w:val="0765CAC0"/>
    <w:rsid w:val="0825D60B"/>
    <w:rsid w:val="0836A9E7"/>
    <w:rsid w:val="1B033160"/>
    <w:rsid w:val="1C67D75D"/>
    <w:rsid w:val="1DBA24E6"/>
    <w:rsid w:val="21B0CCF0"/>
    <w:rsid w:val="2475B905"/>
    <w:rsid w:val="275A643C"/>
    <w:rsid w:val="29DD26A0"/>
    <w:rsid w:val="2A387EE1"/>
    <w:rsid w:val="2D73C3C2"/>
    <w:rsid w:val="2F8A4172"/>
    <w:rsid w:val="36370449"/>
    <w:rsid w:val="3E305368"/>
    <w:rsid w:val="3E81552E"/>
    <w:rsid w:val="45A0697A"/>
    <w:rsid w:val="4A6B56E1"/>
    <w:rsid w:val="4A9AA789"/>
    <w:rsid w:val="567C5AC4"/>
    <w:rsid w:val="58259171"/>
    <w:rsid w:val="5DEB7E71"/>
    <w:rsid w:val="5F25B512"/>
    <w:rsid w:val="62046CD7"/>
    <w:rsid w:val="67326FCB"/>
    <w:rsid w:val="6B198EB6"/>
    <w:rsid w:val="6DA39D8E"/>
    <w:rsid w:val="6EC31656"/>
    <w:rsid w:val="70DA3F6F"/>
    <w:rsid w:val="71D080D2"/>
    <w:rsid w:val="7340004B"/>
    <w:rsid w:val="76CF31F4"/>
    <w:rsid w:val="78CCB7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A417ED"/>
  <w15:docId w15:val="{C6993052-1A87-4192-B7EE-31F729C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D6241C"/>
    <w:pPr>
      <w:outlineLvl w:val="2"/>
    </w:pPr>
    <w:rPr>
      <w:rFonts w:cs="Calibri"/>
      <w:bCs/>
      <w:iCs/>
      <w:sz w:val="24"/>
    </w:rPr>
  </w:style>
  <w:style w:type="paragraph" w:styleId="Heading4">
    <w:name w:val="heading 4"/>
    <w:basedOn w:val="Heading3"/>
    <w:next w:val="Normal"/>
    <w:link w:val="Heading4Char"/>
    <w:autoRedefine/>
    <w:uiPriority w:val="1"/>
    <w:qFormat/>
    <w:rsid w:val="005F55C3"/>
    <w:pPr>
      <w:numPr>
        <w:ilvl w:val="3"/>
      </w:numPr>
      <w:outlineLvl w:val="3"/>
    </w:pPr>
    <w:rPr>
      <w:bCs w:val="0"/>
      <w:i/>
      <w:iCs w:val="0"/>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D6241C"/>
    <w:rPr>
      <w:rFonts w:eastAsia="Times New Roman" w:cs="Calibri"/>
      <w:b/>
      <w:bCs/>
      <w:iCs/>
      <w:color w:val="1396D8"/>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A06629"/>
    <w:pPr>
      <w:numPr>
        <w:numId w:val="25"/>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llowedHyperlink">
    <w:name w:val="FollowedHyperlink"/>
    <w:basedOn w:val="DefaultParagraphFont"/>
    <w:uiPriority w:val="99"/>
    <w:semiHidden/>
    <w:unhideWhenUsed/>
    <w:locked/>
    <w:rsid w:val="00042019"/>
    <w:rPr>
      <w:color w:val="96607D" w:themeColor="followedHyperlink"/>
      <w:u w:val="single"/>
    </w:rPr>
  </w:style>
  <w:style w:type="character" w:styleId="UnresolvedMention">
    <w:name w:val="Unresolved Mention"/>
    <w:basedOn w:val="DefaultParagraphFont"/>
    <w:uiPriority w:val="99"/>
    <w:semiHidden/>
    <w:unhideWhenUsed/>
    <w:rsid w:val="00042019"/>
    <w:rPr>
      <w:color w:val="605E5C"/>
      <w:shd w:val="clear" w:color="auto" w:fill="E1DFDD"/>
    </w:rPr>
  </w:style>
  <w:style w:type="paragraph" w:styleId="Revision">
    <w:name w:val="Revision"/>
    <w:hidden/>
    <w:uiPriority w:val="99"/>
    <w:semiHidden/>
    <w:rsid w:val="00064675"/>
    <w:rPr>
      <w:sz w:val="22"/>
      <w:szCs w:val="22"/>
    </w:rPr>
  </w:style>
  <w:style w:type="paragraph" w:customStyle="1" w:styleId="paragraph">
    <w:name w:val="paragraph"/>
    <w:basedOn w:val="Normal"/>
    <w:rsid w:val="004F23C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F23C5"/>
  </w:style>
  <w:style w:type="character" w:customStyle="1" w:styleId="eop">
    <w:name w:val="eop"/>
    <w:basedOn w:val="DefaultParagraphFont"/>
    <w:rsid w:val="004F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eia.doe.gov/oil_gas/natural_gas/data_publications/crude_oil_natural_gas_reserves/cr.html" TargetMode="External" /><Relationship Id="rId15" Type="http://schemas.openxmlformats.org/officeDocument/2006/relationships/hyperlink" Target="http://www.eia.gov/naturalgas/monthly" TargetMode="External" /><Relationship Id="rId16" Type="http://schemas.openxmlformats.org/officeDocument/2006/relationships/hyperlink" Target="https://www.eia.gov/naturalgas/annual/" TargetMode="External" /><Relationship Id="rId17" Type="http://schemas.openxmlformats.org/officeDocument/2006/relationships/hyperlink" Target="http://www.eia.gov/emeu/aer/contents.html" TargetMode="External" /><Relationship Id="rId18" Type="http://schemas.openxmlformats.org/officeDocument/2006/relationships/hyperlink" Target="https://www.eia.gov/outlooks/aeo/" TargetMode="External" /><Relationship Id="rId19" Type="http://schemas.openxmlformats.org/officeDocument/2006/relationships/hyperlink" Target="http://www.eia.gov/forecasts/steo/" TargetMode="External" /><Relationship Id="rId2" Type="http://schemas.openxmlformats.org/officeDocument/2006/relationships/webSettings" Target="webSettings.xml" /><Relationship Id="rId20" Type="http://schemas.openxmlformats.org/officeDocument/2006/relationships/hyperlink" Target="http://www.eia.gov" TargetMode="External" /><Relationship Id="rId21" Type="http://schemas.openxmlformats.org/officeDocument/2006/relationships/hyperlink" Target="https://www.ogj.com/" TargetMode="External" /><Relationship Id="rId22" Type="http://schemas.openxmlformats.org/officeDocument/2006/relationships/hyperlink" Target="https://www.eia.gov/Survey/index.php" TargetMode="External" /><Relationship Id="rId23" Type="http://schemas.openxmlformats.org/officeDocument/2006/relationships/image" Target="media/image3.png" /><Relationship Id="rId24" Type="http://schemas.openxmlformats.org/officeDocument/2006/relationships/header" Target="header1.xml" /><Relationship Id="rId25" Type="http://schemas.openxmlformats.org/officeDocument/2006/relationships/footer" Target="footer4.xml" /><Relationship Id="rId26" Type="http://schemas.openxmlformats.org/officeDocument/2006/relationships/header" Target="header2.xml" /><Relationship Id="rId27" Type="http://schemas.openxmlformats.org/officeDocument/2006/relationships/footer" Target="footer5.xml" /><Relationship Id="rId28" Type="http://schemas.openxmlformats.org/officeDocument/2006/relationships/image" Target="media/image4.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sr\Downloads\Supporting%20Statement%20A%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2809a3e963200a1c91afeaf5d2d036ad">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15469710d1e556c4a9a8f70ee6f5bc9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D599C5-2D58-482D-BA1B-97F51BA142B9}">
  <ds:schemaRefs>
    <ds:schemaRef ds:uri="http://schemas.microsoft.com/office/2006/documentManagement/types"/>
    <ds:schemaRef ds:uri="http://purl.org/dc/elements/1.1/"/>
    <ds:schemaRef ds:uri="http://schemas.microsoft.com/office/2006/metadata/properties"/>
    <ds:schemaRef ds:uri="d588c4e7-d2ae-4a4b-9907-42eca676916f"/>
    <ds:schemaRef ds:uri="http://schemas.openxmlformats.org/package/2006/metadata/core-properties"/>
    <ds:schemaRef ds:uri="0ecc70da-eab6-411d-8058-deb5dffcc27c"/>
    <ds:schemaRef ds:uri="http://purl.org/dc/terms/"/>
    <ds:schemaRef ds:uri="http://www.w3.org/XML/1998/namespace"/>
    <ds:schemaRef ds:uri="http://schemas.microsoft.com/office/infopath/2007/PartnerControls"/>
    <ds:schemaRef ds:uri="f600328b-9bc1-49f4-ac38-a13ae9074617"/>
    <ds:schemaRef ds:uri="http://purl.org/dc/dcmitype/"/>
  </ds:schemaRefs>
</ds:datastoreItem>
</file>

<file path=customXml/itemProps3.xml><?xml version="1.0" encoding="utf-8"?>
<ds:datastoreItem xmlns:ds="http://schemas.openxmlformats.org/officeDocument/2006/customXml" ds:itemID="{BC4553F1-6314-4B74-83B9-2B99CF4F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F744D-D746-4EA8-8454-EA6D0E89491A}">
  <ds:schemaRefs>
    <ds:schemaRef ds:uri="http://schemas.microsoft.com/sharepoint/v3/contenttype/forms"/>
  </ds:schemaRefs>
</ds:datastoreItem>
</file>

<file path=customXml/itemProps5.xml><?xml version="1.0" encoding="utf-8"?>
<ds:datastoreItem xmlns:ds="http://schemas.openxmlformats.org/officeDocument/2006/customXml" ds:itemID="{EB2A863B-66FF-4EFC-9A7F-E7C93993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A Template.DOT</Template>
  <TotalTime>2</TotalTime>
  <Pages>13</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Berry, Rosalyn</dc:creator>
  <cp:lastModifiedBy>Berry, Rosalyn</cp:lastModifiedBy>
  <cp:revision>2</cp:revision>
  <cp:lastPrinted>2011-12-13T02:42:00Z</cp:lastPrinted>
  <dcterms:created xsi:type="dcterms:W3CDTF">2025-09-03T19:03:00Z</dcterms:created>
  <dcterms:modified xsi:type="dcterms:W3CDTF">2025-09-03T19:03:00Z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