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5E96" w:rsidP="00C5773A" w14:paraId="1D2820EA" w14:textId="77777777">
      <w:pPr>
        <w:pStyle w:val="Title"/>
        <w:spacing w:after="120"/>
        <w:jc w:val="both"/>
        <w:rPr>
          <w:sz w:val="24"/>
          <w:szCs w:val="24"/>
        </w:rPr>
      </w:pPr>
    </w:p>
    <w:p w:rsidR="006A2218" w:rsidRPr="00596A43" w:rsidP="00C5773A" w14:paraId="44FF1A5E" w14:textId="77777777">
      <w:pPr>
        <w:pStyle w:val="Title"/>
        <w:spacing w:after="120"/>
        <w:jc w:val="both"/>
        <w:rPr>
          <w:sz w:val="24"/>
          <w:szCs w:val="24"/>
        </w:rPr>
      </w:pPr>
    </w:p>
    <w:p w:rsidR="00EB5E96" w:rsidRPr="00596A43" w:rsidP="00C5773A" w14:paraId="278379FD" w14:textId="77777777">
      <w:pPr>
        <w:pStyle w:val="Title"/>
        <w:spacing w:after="120"/>
        <w:rPr>
          <w:sz w:val="24"/>
          <w:szCs w:val="24"/>
        </w:rPr>
      </w:pPr>
      <w:r w:rsidRPr="00596A43">
        <w:rPr>
          <w:sz w:val="24"/>
          <w:szCs w:val="24"/>
        </w:rPr>
        <w:t>Supporting Statement for Paperwork Reduction Act Submissions</w:t>
      </w:r>
    </w:p>
    <w:p w:rsidR="00370F66" w:rsidRPr="00C5773A" w:rsidP="00C5773A" w14:paraId="033EB2D6" w14:textId="13286C07">
      <w:pPr>
        <w:pStyle w:val="Title"/>
        <w:spacing w:after="120"/>
        <w:rPr>
          <w:sz w:val="24"/>
          <w:szCs w:val="24"/>
        </w:rPr>
      </w:pPr>
      <w:r w:rsidRPr="00C5773A">
        <w:rPr>
          <w:sz w:val="24"/>
          <w:szCs w:val="24"/>
        </w:rPr>
        <w:t>Title:</w:t>
      </w:r>
      <w:r w:rsidRPr="00C5773A" w:rsidR="003F1520">
        <w:rPr>
          <w:sz w:val="24"/>
          <w:szCs w:val="24"/>
        </w:rPr>
        <w:t xml:space="preserve"> </w:t>
      </w:r>
      <w:r w:rsidRPr="00C5773A" w:rsidR="00C73C53">
        <w:rPr>
          <w:sz w:val="24"/>
          <w:szCs w:val="24"/>
        </w:rPr>
        <w:t>SAFECOM Nationwide Survey</w:t>
      </w:r>
      <w:r w:rsidRPr="00C5773A" w:rsidR="007170B0">
        <w:rPr>
          <w:sz w:val="24"/>
          <w:szCs w:val="24"/>
        </w:rPr>
        <w:t>s</w:t>
      </w:r>
      <w:r w:rsidRPr="00C5773A">
        <w:rPr>
          <w:sz w:val="24"/>
          <w:szCs w:val="24"/>
        </w:rPr>
        <w:t xml:space="preserve"> Generic Clearance </w:t>
      </w:r>
    </w:p>
    <w:p w:rsidR="00EB5E96" w:rsidRPr="00C5773A" w:rsidP="00C5773A" w14:paraId="1BD8AED6" w14:textId="70781850">
      <w:pPr>
        <w:pStyle w:val="Title"/>
        <w:spacing w:after="120"/>
        <w:rPr>
          <w:sz w:val="24"/>
          <w:szCs w:val="24"/>
        </w:rPr>
      </w:pPr>
      <w:r w:rsidRPr="00C5773A">
        <w:rPr>
          <w:sz w:val="24"/>
          <w:szCs w:val="24"/>
        </w:rPr>
        <w:t xml:space="preserve">OMB Control Number: </w:t>
      </w:r>
      <w:r w:rsidRPr="00C5773A" w:rsidR="000A6FC5">
        <w:rPr>
          <w:sz w:val="24"/>
          <w:szCs w:val="24"/>
        </w:rPr>
        <w:t>1670-</w:t>
      </w:r>
      <w:r w:rsidR="0046744D">
        <w:rPr>
          <w:sz w:val="24"/>
          <w:szCs w:val="24"/>
        </w:rPr>
        <w:t>0048</w:t>
      </w:r>
    </w:p>
    <w:p w:rsidR="009F06EB" w:rsidRPr="00C5773A" w:rsidP="00C5773A" w14:paraId="49FC04AF" w14:textId="77777777">
      <w:pPr>
        <w:pStyle w:val="Title"/>
        <w:spacing w:after="120"/>
        <w:rPr>
          <w:sz w:val="24"/>
          <w:szCs w:val="24"/>
        </w:rPr>
      </w:pPr>
      <w:r w:rsidRPr="00C5773A">
        <w:rPr>
          <w:sz w:val="24"/>
          <w:szCs w:val="24"/>
        </w:rPr>
        <w:t>Supporting Statement A</w:t>
      </w:r>
    </w:p>
    <w:p w:rsidR="00EB5E96" w:rsidRPr="00596A43" w:rsidP="000C4293" w14:paraId="67B73662" w14:textId="77777777">
      <w:pPr>
        <w:pStyle w:val="Heading1"/>
        <w:jc w:val="both"/>
        <w:rPr>
          <w:sz w:val="24"/>
          <w:szCs w:val="24"/>
        </w:rPr>
      </w:pPr>
      <w:r w:rsidRPr="00596A43">
        <w:rPr>
          <w:sz w:val="24"/>
          <w:szCs w:val="24"/>
        </w:rPr>
        <w:t>A.  Justification</w:t>
      </w:r>
    </w:p>
    <w:p w:rsidR="006D6E63" w:rsidP="006D6E63" w14:paraId="0A19FE76" w14:textId="77777777">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6D6E63">
        <w:rPr>
          <w:rFonts w:ascii="Times" w:hAnsi="Times"/>
          <w:color w:val="000000"/>
          <w:sz w:val="27"/>
          <w:szCs w:val="27"/>
        </w:rPr>
        <w:t xml:space="preserve"> </w:t>
      </w:r>
    </w:p>
    <w:p w:rsidR="00EB5E96" w:rsidP="742C2D33" w14:paraId="28E76C1A" w14:textId="4CB54E35">
      <w:pPr>
        <w:suppressAutoHyphens/>
        <w:spacing w:before="60"/>
        <w:jc w:val="both"/>
        <w:rPr>
          <w:color w:val="000000" w:themeColor="text1"/>
        </w:rPr>
      </w:pPr>
      <w:r w:rsidRPr="1B73C884">
        <w:rPr>
          <w:color w:val="000000" w:themeColor="text1"/>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07DF5" w:rsidRPr="00D73BBC" w:rsidP="742C2D33" w14:paraId="660483D2" w14:textId="77777777">
      <w:pPr>
        <w:suppressAutoHyphens/>
        <w:spacing w:before="60"/>
        <w:jc w:val="both"/>
        <w:rPr>
          <w:i/>
          <w:spacing w:val="-3"/>
          <w:sz w:val="20"/>
          <w:szCs w:val="20"/>
        </w:rPr>
      </w:pPr>
    </w:p>
    <w:p w:rsidR="00996984" w:rsidP="1B73C884" w14:paraId="65A3EF44" w14:textId="1B15015A">
      <w:pPr>
        <w:suppressAutoHyphens/>
        <w:spacing w:after="120"/>
        <w:jc w:val="both"/>
      </w:pPr>
      <w:bookmarkStart w:id="0" w:name="_Hlk31982346"/>
      <w:r>
        <w:t xml:space="preserve">In 2006, Congress </w:t>
      </w:r>
      <w:r w:rsidR="000472D5">
        <w:t xml:space="preserve">amended </w:t>
      </w:r>
      <w:r w:rsidR="00777326">
        <w:t xml:space="preserve">the Homeland Security Act </w:t>
      </w:r>
      <w:r w:rsidR="000472D5">
        <w:t xml:space="preserve">and </w:t>
      </w:r>
      <w:r>
        <w:t xml:space="preserve">passed </w:t>
      </w:r>
      <w:r w:rsidR="00262798">
        <w:t xml:space="preserve">the Post-Katrina Emergency Management Reform Act </w:t>
      </w:r>
      <w:r w:rsidR="00261F39">
        <w:t>of 2006</w:t>
      </w:r>
      <w:r w:rsidR="00436B58">
        <w:t xml:space="preserve"> (</w:t>
      </w:r>
      <w:r>
        <w:t>Public Law 109-29</w:t>
      </w:r>
      <w:r w:rsidR="00B5123C">
        <w:t>5</w:t>
      </w:r>
      <w:r w:rsidR="00436B58">
        <w:t>)</w:t>
      </w:r>
      <w:r>
        <w:t>, which included SEC. 671. EMERGENCY COMMUNICATIONS</w:t>
      </w:r>
      <w:r w:rsidR="00A76645">
        <w:t>,</w:t>
      </w:r>
      <w:r>
        <w:t xml:space="preserve"> also known as the ‘21st Century Emergency Communications Act of 2006’. The legislation established the D</w:t>
      </w:r>
      <w:r w:rsidR="005201D5">
        <w:t>epartment of Homeland Security (D</w:t>
      </w:r>
      <w:r>
        <w:t>HS</w:t>
      </w:r>
      <w:r w:rsidR="005201D5">
        <w:t>)</w:t>
      </w:r>
      <w:r>
        <w:t xml:space="preserve"> Office of Emergency Communications, which was re-designated </w:t>
      </w:r>
      <w:r w:rsidR="005201D5">
        <w:t xml:space="preserve">in 2018 </w:t>
      </w:r>
      <w:r>
        <w:t>as the Emergency Communications Division (ECD) within the Cybersecurity and Infrastructure Security Agency (CISA), to lead the development and implementation of a comprehensive approach to advancing national interoperable communications capabilities.</w:t>
      </w:r>
      <w:r w:rsidR="003D6624">
        <w:t xml:space="preserve"> </w:t>
      </w:r>
      <w:r w:rsidRPr="1B73C884" w:rsidR="003D6624">
        <w:rPr>
          <w:i/>
          <w:iCs/>
        </w:rPr>
        <w:t>See</w:t>
      </w:r>
      <w:r w:rsidR="003D6624">
        <w:t xml:space="preserve"> 6 U.S.C. </w:t>
      </w:r>
      <w:r w:rsidR="00946736">
        <w:t xml:space="preserve">§ </w:t>
      </w:r>
      <w:r w:rsidR="003D6624">
        <w:t>571.</w:t>
      </w:r>
    </w:p>
    <w:p w:rsidR="00996984" w:rsidP="1B73C884" w14:paraId="09B1EF49" w14:textId="77777777">
      <w:pPr>
        <w:suppressAutoHyphens/>
        <w:spacing w:after="120"/>
        <w:jc w:val="both"/>
      </w:pPr>
      <w:r>
        <w:t>The following responsibilities were established:</w:t>
      </w:r>
    </w:p>
    <w:p w:rsidR="00996984" w:rsidP="00DE5954" w14:paraId="3FAFEB7B" w14:textId="37403344">
      <w:pPr>
        <w:tabs>
          <w:tab w:val="left" w:pos="-720"/>
        </w:tabs>
        <w:suppressAutoHyphens/>
        <w:spacing w:after="120"/>
        <w:jc w:val="both"/>
      </w:pPr>
      <w:r w:rsidRPr="006C21D0">
        <w:t>6 U.S.C</w:t>
      </w:r>
      <w:r>
        <w:t>.</w:t>
      </w:r>
      <w:r w:rsidRPr="006C21D0">
        <w:t xml:space="preserve"> §</w:t>
      </w:r>
      <w:r w:rsidR="0098188E">
        <w:t xml:space="preserve"> </w:t>
      </w:r>
      <w:r w:rsidRPr="006C21D0">
        <w:t>571</w:t>
      </w:r>
      <w:r>
        <w:t>(c) requires</w:t>
      </w:r>
      <w:r w:rsidR="005201D5">
        <w:t xml:space="preserve"> the DHS Secretary</w:t>
      </w:r>
      <w:r w:rsidRPr="005201D5" w:rsidR="005201D5">
        <w:t xml:space="preserve"> through the ECD Assistant Director</w:t>
      </w:r>
      <w:r w:rsidR="005201D5">
        <w:t xml:space="preserve"> to</w:t>
      </w:r>
      <w:r>
        <w:t>:</w:t>
      </w:r>
    </w:p>
    <w:p w:rsidR="00996984" w:rsidP="1B73C884" w14:paraId="52703E78" w14:textId="76E5C23A">
      <w:pPr>
        <w:suppressAutoHyphens/>
        <w:spacing w:after="120"/>
        <w:jc w:val="both"/>
      </w:pPr>
      <w:r>
        <w:t>(4) conduct extensive, nationwide outreach to support and promote the ability of emergency response providers and relevant government officials to continue to communicate in the event of natural disasters, acts of terrorism, and other man-made disasters</w:t>
      </w:r>
      <w:r w:rsidR="005201D5">
        <w:t>;</w:t>
      </w:r>
      <w:r>
        <w:t xml:space="preserve"> </w:t>
      </w:r>
    </w:p>
    <w:p w:rsidR="00996984" w:rsidP="1B73C884" w14:paraId="3719671F" w14:textId="77777777">
      <w:pPr>
        <w:suppressAutoHyphens/>
        <w:spacing w:after="120"/>
        <w:jc w:val="both"/>
      </w:pPr>
      <w:r>
        <w:t xml:space="preserve">(13) develop and update periodically, as appropriate, a National Emergency Communications Plan under section 572 of this title; </w:t>
      </w:r>
    </w:p>
    <w:p w:rsidR="00996984" w:rsidP="1B73C884" w14:paraId="6495EED2" w14:textId="1290A92A">
      <w:pPr>
        <w:suppressAutoHyphens/>
        <w:spacing w:after="120"/>
        <w:jc w:val="both"/>
      </w:pPr>
      <w:r>
        <w:t>(14) perform such other duties of the Department necessary to support and promote the ability of emergency response providers and relevant government officials to continue to communicate in the event of natural disasters, acts of terrorism, and other man-made disasters;</w:t>
      </w:r>
      <w:r w:rsidR="00D63356">
        <w:t xml:space="preserve"> and</w:t>
      </w:r>
      <w:r>
        <w:t xml:space="preserve"> </w:t>
      </w:r>
    </w:p>
    <w:p w:rsidR="00996984" w:rsidRPr="006C21D0" w:rsidP="1B73C884" w14:paraId="4C189C66" w14:textId="675923ED">
      <w:pPr>
        <w:suppressAutoHyphens/>
        <w:spacing w:after="120"/>
        <w:jc w:val="both"/>
      </w:pPr>
      <w:r>
        <w:t>(15) perform other duties of the Department necessary to achieve the goal of and maintain and enhance interoperable emergency communications capabilities</w:t>
      </w:r>
    </w:p>
    <w:p w:rsidR="00AE384D" w:rsidP="00DE5954" w14:paraId="4EAACD75" w14:textId="334E68DC">
      <w:pPr>
        <w:tabs>
          <w:tab w:val="left" w:pos="-720"/>
        </w:tabs>
        <w:suppressAutoHyphens/>
        <w:spacing w:after="120"/>
        <w:jc w:val="both"/>
        <w:rPr>
          <w:color w:val="000000"/>
        </w:rPr>
      </w:pPr>
      <w:r>
        <w:t xml:space="preserve">Further, </w:t>
      </w:r>
      <w:r w:rsidRPr="006C21D0" w:rsidR="009916A5">
        <w:t>6</w:t>
      </w:r>
      <w:r w:rsidR="009916A5">
        <w:t xml:space="preserve"> </w:t>
      </w:r>
      <w:r w:rsidRPr="006C21D0" w:rsidR="009916A5">
        <w:t>U.S</w:t>
      </w:r>
      <w:r w:rsidR="009916A5">
        <w:t>.</w:t>
      </w:r>
      <w:r w:rsidRPr="006C21D0" w:rsidR="009916A5">
        <w:t>C</w:t>
      </w:r>
      <w:r w:rsidR="009916A5">
        <w:t xml:space="preserve">. </w:t>
      </w:r>
      <w:r w:rsidRPr="006C21D0" w:rsidR="009916A5">
        <w:rPr>
          <w:color w:val="000000"/>
        </w:rPr>
        <w:t>§</w:t>
      </w:r>
      <w:r w:rsidR="009916A5">
        <w:rPr>
          <w:color w:val="000000"/>
        </w:rPr>
        <w:t xml:space="preserve"> </w:t>
      </w:r>
      <w:r w:rsidRPr="006C21D0" w:rsidR="009916A5">
        <w:rPr>
          <w:color w:val="000000"/>
        </w:rPr>
        <w:t>57</w:t>
      </w:r>
      <w:r w:rsidR="009916A5">
        <w:rPr>
          <w:color w:val="000000"/>
        </w:rPr>
        <w:t>2</w:t>
      </w:r>
      <w:r w:rsidRPr="0087347B" w:rsidR="009916A5">
        <w:rPr>
          <w:color w:val="000000"/>
        </w:rPr>
        <w:t>(a)</w:t>
      </w:r>
      <w:r w:rsidR="009916A5">
        <w:rPr>
          <w:color w:val="000000"/>
        </w:rPr>
        <w:t xml:space="preserve"> requires the Secretary </w:t>
      </w:r>
      <w:r w:rsidRPr="0087347B" w:rsidR="009916A5">
        <w:rPr>
          <w:color w:val="000000"/>
        </w:rPr>
        <w:t xml:space="preserve">in cooperation with State, local, and tribal governments, Federal departments and agencies, emergency response providers, and the private sector, </w:t>
      </w:r>
      <w:r w:rsidR="00C241F7">
        <w:rPr>
          <w:color w:val="000000"/>
        </w:rPr>
        <w:t xml:space="preserve">to </w:t>
      </w:r>
      <w:r w:rsidRPr="0087347B" w:rsidR="009916A5">
        <w:rPr>
          <w:color w:val="000000"/>
        </w:rPr>
        <w:t>develop not later than 180 days after the completion of the baseline assessment under section 573 of this title, and periodically update, a National Emergency Communications Plan</w:t>
      </w:r>
      <w:r w:rsidR="009916A5">
        <w:rPr>
          <w:color w:val="000000"/>
        </w:rPr>
        <w:t>.</w:t>
      </w:r>
    </w:p>
    <w:p w:rsidR="00996984" w:rsidP="00DE5954" w14:paraId="71BDE42B" w14:textId="54174E0E">
      <w:pPr>
        <w:tabs>
          <w:tab w:val="left" w:pos="-720"/>
        </w:tabs>
        <w:suppressAutoHyphens/>
        <w:spacing w:after="120"/>
        <w:jc w:val="both"/>
        <w:rPr>
          <w:color w:val="000000"/>
        </w:rPr>
      </w:pPr>
      <w:r>
        <w:t xml:space="preserve">Lastly, </w:t>
      </w:r>
      <w:r w:rsidRPr="006C21D0">
        <w:t>6</w:t>
      </w:r>
      <w:r>
        <w:t xml:space="preserve"> </w:t>
      </w:r>
      <w:r w:rsidRPr="006C21D0">
        <w:t>U.S</w:t>
      </w:r>
      <w:r>
        <w:t>.</w:t>
      </w:r>
      <w:r w:rsidRPr="006C21D0">
        <w:t>C</w:t>
      </w:r>
      <w:r>
        <w:t xml:space="preserve">. </w:t>
      </w:r>
      <w:r w:rsidRPr="006C21D0">
        <w:rPr>
          <w:color w:val="000000"/>
        </w:rPr>
        <w:t>§</w:t>
      </w:r>
      <w:r>
        <w:rPr>
          <w:color w:val="000000"/>
        </w:rPr>
        <w:t xml:space="preserve"> </w:t>
      </w:r>
      <w:r w:rsidRPr="006C21D0">
        <w:rPr>
          <w:color w:val="000000"/>
        </w:rPr>
        <w:t>573</w:t>
      </w:r>
      <w:r w:rsidR="00413E48">
        <w:rPr>
          <w:color w:val="000000"/>
        </w:rPr>
        <w:t>(a)</w:t>
      </w:r>
      <w:r w:rsidRPr="006C21D0">
        <w:rPr>
          <w:color w:val="000000"/>
        </w:rPr>
        <w:t xml:space="preserve"> requires</w:t>
      </w:r>
      <w:r>
        <w:rPr>
          <w:color w:val="000000"/>
        </w:rPr>
        <w:t xml:space="preserve"> </w:t>
      </w:r>
      <w:r w:rsidRPr="006C21D0">
        <w:rPr>
          <w:color w:val="000000"/>
        </w:rPr>
        <w:t xml:space="preserve">the </w:t>
      </w:r>
      <w:r>
        <w:rPr>
          <w:color w:val="000000"/>
        </w:rPr>
        <w:t>DHS Secretary</w:t>
      </w:r>
      <w:r w:rsidR="00866D13">
        <w:rPr>
          <w:color w:val="000000"/>
        </w:rPr>
        <w:t xml:space="preserve">, through the Executive Assistant Director for the Emergency Communications Division, </w:t>
      </w:r>
      <w:r>
        <w:rPr>
          <w:color w:val="000000"/>
        </w:rPr>
        <w:t xml:space="preserve"> to </w:t>
      </w:r>
      <w:r w:rsidRPr="006C21D0">
        <w:rPr>
          <w:color w:val="000000"/>
        </w:rPr>
        <w:t>conduct a</w:t>
      </w:r>
      <w:r>
        <w:rPr>
          <w:color w:val="000000"/>
        </w:rPr>
        <w:t>n</w:t>
      </w:r>
      <w:r w:rsidRPr="006C21D0">
        <w:rPr>
          <w:color w:val="000000"/>
        </w:rPr>
        <w:t xml:space="preserve"> assessment</w:t>
      </w:r>
      <w:r>
        <w:rPr>
          <w:color w:val="000000"/>
        </w:rPr>
        <w:t xml:space="preserve"> of </w:t>
      </w:r>
      <w:r w:rsidRPr="00D73578">
        <w:rPr>
          <w:color w:val="000000"/>
        </w:rPr>
        <w:t xml:space="preserve">Federal, State, local, and tribal governments </w:t>
      </w:r>
      <w:r w:rsidR="001C43DF">
        <w:rPr>
          <w:color w:val="000000"/>
        </w:rPr>
        <w:t xml:space="preserve">at least every five years </w:t>
      </w:r>
      <w:r>
        <w:rPr>
          <w:color w:val="000000"/>
        </w:rPr>
        <w:t xml:space="preserve">that </w:t>
      </w:r>
      <w:r w:rsidR="00DD0FF4">
        <w:rPr>
          <w:color w:val="000000"/>
        </w:rPr>
        <w:t xml:space="preserve">(1) </w:t>
      </w:r>
      <w:r>
        <w:rPr>
          <w:color w:val="000000"/>
        </w:rPr>
        <w:t xml:space="preserve">defines the range of capabilities needed by emergency response providers and relevant government officials, </w:t>
      </w:r>
      <w:r w:rsidR="00DD0FF4">
        <w:rPr>
          <w:color w:val="000000"/>
        </w:rPr>
        <w:t xml:space="preserve">(3) </w:t>
      </w:r>
      <w:r>
        <w:rPr>
          <w:color w:val="000000"/>
        </w:rPr>
        <w:t>a</w:t>
      </w:r>
      <w:r w:rsidRPr="00D73578">
        <w:rPr>
          <w:color w:val="000000"/>
        </w:rPr>
        <w:t xml:space="preserve">ssesses the current available </w:t>
      </w:r>
      <w:r w:rsidRPr="00D73578">
        <w:rPr>
          <w:color w:val="000000"/>
        </w:rPr>
        <w:t xml:space="preserve">capabilities to meet such communications needs; </w:t>
      </w:r>
      <w:r w:rsidR="00DD0FF4">
        <w:rPr>
          <w:color w:val="000000"/>
        </w:rPr>
        <w:t xml:space="preserve">(4) </w:t>
      </w:r>
      <w:r w:rsidRPr="00D73578">
        <w:rPr>
          <w:color w:val="000000"/>
        </w:rPr>
        <w:t>identif</w:t>
      </w:r>
      <w:r w:rsidR="00DD0FF4">
        <w:rPr>
          <w:color w:val="000000"/>
        </w:rPr>
        <w:t>ies</w:t>
      </w:r>
      <w:r w:rsidRPr="00D73578">
        <w:rPr>
          <w:color w:val="000000"/>
        </w:rPr>
        <w:t xml:space="preserve"> </w:t>
      </w:r>
      <w:r>
        <w:rPr>
          <w:color w:val="000000"/>
        </w:rPr>
        <w:t xml:space="preserve">the </w:t>
      </w:r>
      <w:r w:rsidRPr="00D73578">
        <w:rPr>
          <w:color w:val="000000"/>
        </w:rPr>
        <w:t>gap between such current capabilities and defined requirements</w:t>
      </w:r>
      <w:r w:rsidRPr="006C21D0">
        <w:rPr>
          <w:color w:val="000000"/>
        </w:rPr>
        <w:t xml:space="preserve">. </w:t>
      </w:r>
    </w:p>
    <w:p w:rsidR="001C60CB" w:rsidP="1B73C884" w14:paraId="32F4728A" w14:textId="40128B6C">
      <w:pPr>
        <w:suppressAutoHyphens/>
        <w:spacing w:after="120"/>
        <w:jc w:val="both"/>
        <w:rPr>
          <w:color w:val="000000" w:themeColor="text1"/>
        </w:rPr>
      </w:pPr>
      <w:r>
        <w:t>T</w:t>
      </w:r>
      <w:r w:rsidRPr="1B73C884">
        <w:rPr>
          <w:color w:val="000000" w:themeColor="text1"/>
        </w:rPr>
        <w:t xml:space="preserve">hese authorities in addition to DHS responsibilities through Executive Order 13618 in the area of national security/emergency providers’ communications require a continuous examination of </w:t>
      </w:r>
      <w:r w:rsidRPr="1B73C884" w:rsidR="005201D5">
        <w:rPr>
          <w:color w:val="000000" w:themeColor="text1"/>
        </w:rPr>
        <w:t xml:space="preserve">nationwide </w:t>
      </w:r>
      <w:r w:rsidRPr="1B73C884">
        <w:rPr>
          <w:color w:val="000000" w:themeColor="text1"/>
        </w:rPr>
        <w:t xml:space="preserve">emergency communications capabilities. </w:t>
      </w:r>
      <w:r w:rsidRPr="1B73C884" w:rsidR="006C21D0">
        <w:rPr>
          <w:color w:val="000000" w:themeColor="text1"/>
        </w:rPr>
        <w:t xml:space="preserve"> </w:t>
      </w:r>
    </w:p>
    <w:p w:rsidR="008F66A0" w:rsidP="1B73C884" w14:paraId="5A950460" w14:textId="77777777">
      <w:pPr>
        <w:suppressAutoHyphens/>
        <w:spacing w:after="120"/>
        <w:jc w:val="both"/>
        <w:rPr>
          <w:color w:val="000000"/>
        </w:rPr>
      </w:pPr>
    </w:p>
    <w:bookmarkEnd w:id="0"/>
    <w:p w:rsidR="006D6E63" w:rsidRPr="009E62A8" w:rsidP="1B73C884" w14:paraId="6797A739" w14:textId="77777777">
      <w:pPr>
        <w:suppressAutoHyphens/>
        <w:jc w:val="both"/>
      </w:pPr>
      <w:r w:rsidRPr="1B73C884">
        <w:rPr>
          <w:color w:val="2B579A"/>
          <w:highlight w:val="yellow"/>
        </w:rPr>
        <w:fldChar w:fldCharType="begin"/>
      </w:r>
      <w:r w:rsidRPr="1B73C884">
        <w:rPr>
          <w:highlight w:val="yellow"/>
        </w:rPr>
        <w:instrText>ADVANCE \R 0.95</w:instrText>
      </w:r>
      <w:r w:rsidRPr="1B73C884">
        <w:rPr>
          <w:color w:val="2B579A"/>
          <w:highlight w:val="yellow"/>
        </w:rPr>
        <w:fldChar w:fldCharType="end"/>
      </w:r>
      <w:r>
        <w:t xml:space="preserve">2.  Indicate how, by whom, and for what purpose the information is to be used.  Except for a new collection, indicate the actual use the agency has made of the information received from the current collection. </w:t>
      </w:r>
    </w:p>
    <w:p w:rsidR="00C07DF5" w:rsidRPr="009E62A8" w:rsidP="1B73C884" w14:paraId="21C1290B" w14:textId="77777777">
      <w:pPr>
        <w:suppressAutoHyphens/>
        <w:jc w:val="both"/>
      </w:pPr>
    </w:p>
    <w:p w:rsidR="008E64D3" w:rsidP="2C54D83D" w14:paraId="5DD3BD37" w14:textId="31AEEA15">
      <w:pPr>
        <w:suppressAutoHyphens/>
        <w:spacing w:after="120"/>
        <w:jc w:val="both"/>
        <w:rPr>
          <w:color w:val="FF0000"/>
        </w:rPr>
      </w:pPr>
      <w:r>
        <w:t>To meet the statutory requirements</w:t>
      </w:r>
      <w:r w:rsidR="005201D5">
        <w:t xml:space="preserve"> of</w:t>
      </w:r>
      <w:r w:rsidR="00D63356">
        <w:t xml:space="preserve"> </w:t>
      </w:r>
      <w:r w:rsidR="005201D5">
        <w:t>6 U.S.C. §573</w:t>
      </w:r>
      <w:r>
        <w:t xml:space="preserve">, </w:t>
      </w:r>
      <w:r w:rsidR="003216FA">
        <w:t>ECD</w:t>
      </w:r>
      <w:r w:rsidR="005201D5">
        <w:t xml:space="preserve"> </w:t>
      </w:r>
      <w:r w:rsidR="00780D7B">
        <w:t>conduct</w:t>
      </w:r>
      <w:r w:rsidR="544A07D6">
        <w:t>s</w:t>
      </w:r>
      <w:r w:rsidR="00780D7B">
        <w:t xml:space="preserve"> the SAFECOM Nationwide Survey</w:t>
      </w:r>
      <w:r w:rsidR="00ED23AB">
        <w:t xml:space="preserve"> (</w:t>
      </w:r>
      <w:r w:rsidR="00357083">
        <w:t>SNS</w:t>
      </w:r>
      <w:r w:rsidR="00ED23AB">
        <w:t>)</w:t>
      </w:r>
      <w:r>
        <w:t xml:space="preserve"> </w:t>
      </w:r>
      <w:r w:rsidR="00DE1C71">
        <w:t>not less than</w:t>
      </w:r>
      <w:r w:rsidR="001E4C1E">
        <w:t xml:space="preserve"> </w:t>
      </w:r>
      <w:r>
        <w:t>every 5 year</w:t>
      </w:r>
      <w:r w:rsidR="001873C2">
        <w:t>s</w:t>
      </w:r>
      <w:r>
        <w:t xml:space="preserve"> </w:t>
      </w:r>
      <w:r w:rsidR="005201D5">
        <w:t xml:space="preserve">to assess </w:t>
      </w:r>
      <w:r w:rsidR="001E4C1E">
        <w:t>nationwide emergency communications operability, interoperability, continuity, and security capabilities at all levels of government</w:t>
      </w:r>
      <w:r w:rsidR="00E36F21">
        <w:t xml:space="preserve">. </w:t>
      </w:r>
      <w:r w:rsidR="5AEE0EBB">
        <w:t>Responses for the most recent iteration of the SNS were collected from May to October of 2023.</w:t>
      </w:r>
    </w:p>
    <w:p w:rsidR="00B14F17" w:rsidP="2C54D83D" w14:paraId="2E57821B" w14:textId="77777777">
      <w:pPr>
        <w:suppressAutoHyphens/>
        <w:jc w:val="both"/>
        <w:rPr>
          <w:u w:val="single"/>
        </w:rPr>
      </w:pPr>
      <w:r w:rsidRPr="06BD3766">
        <w:rPr>
          <w:u w:val="single"/>
        </w:rPr>
        <w:t>SAFECOM Nationwide Survey:</w:t>
      </w:r>
    </w:p>
    <w:p w:rsidR="00AA3F82" w:rsidP="2C54D83D" w14:paraId="1498729E" w14:textId="61FA3203">
      <w:pPr>
        <w:suppressAutoHyphens/>
        <w:spacing w:after="120"/>
        <w:jc w:val="both"/>
      </w:pPr>
      <w:r>
        <w:t xml:space="preserve">CISA </w:t>
      </w:r>
      <w:r w:rsidR="0072676B">
        <w:t>ECD conduct</w:t>
      </w:r>
      <w:r w:rsidR="001E4C1E">
        <w:t>s</w:t>
      </w:r>
      <w:r w:rsidR="0072676B">
        <w:t xml:space="preserve"> </w:t>
      </w:r>
      <w:r w:rsidR="002B275E">
        <w:t xml:space="preserve">a survey entitled </w:t>
      </w:r>
      <w:r w:rsidR="0072676B">
        <w:t>the SAFECOM Nationwide Survey,</w:t>
      </w:r>
      <w:r w:rsidR="0068783C">
        <w:t xml:space="preserve"> hereinafter referred to as the SNS</w:t>
      </w:r>
      <w:r w:rsidR="00780D7B">
        <w:t>.</w:t>
      </w:r>
      <w:r w:rsidR="002B275E">
        <w:t xml:space="preserve"> </w:t>
      </w:r>
      <w:r w:rsidR="00382C40">
        <w:t xml:space="preserve">The purpose </w:t>
      </w:r>
      <w:r w:rsidR="00780D7B">
        <w:t xml:space="preserve">of the </w:t>
      </w:r>
      <w:r w:rsidR="00ED23AB">
        <w:t>SNS</w:t>
      </w:r>
      <w:r w:rsidR="00780D7B">
        <w:t xml:space="preserve"> </w:t>
      </w:r>
      <w:r w:rsidR="00382C40">
        <w:t xml:space="preserve">is to gather information </w:t>
      </w:r>
      <w:r w:rsidR="1246CD15">
        <w:t>from organizations with an operational role in emergency communications</w:t>
      </w:r>
      <w:r w:rsidR="00EF003E">
        <w:t xml:space="preserve"> to</w:t>
      </w:r>
      <w:r w:rsidR="00382C40">
        <w:t xml:space="preserve"> assess available </w:t>
      </w:r>
      <w:r w:rsidR="002B275E">
        <w:t xml:space="preserve">emergency communications </w:t>
      </w:r>
      <w:r w:rsidR="00382C40">
        <w:t>capabilities</w:t>
      </w:r>
      <w:r w:rsidR="002B275E">
        <w:t xml:space="preserve"> and</w:t>
      </w:r>
      <w:r w:rsidR="00382C40">
        <w:t xml:space="preserve"> identify gaps and needs for emergency response providers to effectively communicate during all types of natural or man-made hazards. </w:t>
      </w:r>
      <w:r>
        <w:t xml:space="preserve">CISA </w:t>
      </w:r>
      <w:r w:rsidR="0068783C">
        <w:t>ECD</w:t>
      </w:r>
      <w:r w:rsidR="00780D7B">
        <w:t xml:space="preserve"> </w:t>
      </w:r>
      <w:r w:rsidR="009221D9">
        <w:t>use</w:t>
      </w:r>
      <w:r w:rsidR="036668CC">
        <w:t>s</w:t>
      </w:r>
      <w:r w:rsidR="009221D9">
        <w:t xml:space="preserve"> </w:t>
      </w:r>
      <w:r w:rsidR="00780D7B">
        <w:t>th</w:t>
      </w:r>
      <w:r w:rsidR="3C9D92CA">
        <w:t>is</w:t>
      </w:r>
      <w:r w:rsidR="00780D7B">
        <w:t xml:space="preserve"> information </w:t>
      </w:r>
      <w:r w:rsidR="00A326A8">
        <w:t xml:space="preserve">to complete a statutorily mandated assessment </w:t>
      </w:r>
      <w:r w:rsidR="00780D7B">
        <w:t>and share the data with all stakeholders</w:t>
      </w:r>
      <w:r w:rsidR="002B275E">
        <w:t xml:space="preserve"> that have a role in emergency communications</w:t>
      </w:r>
      <w:r w:rsidR="00780D7B">
        <w:t xml:space="preserve">. </w:t>
      </w:r>
      <w:r w:rsidR="00382C40">
        <w:t>In order to asc</w:t>
      </w:r>
      <w:r w:rsidR="00D371F6">
        <w:t xml:space="preserve">ertain this </w:t>
      </w:r>
      <w:r w:rsidR="00780D7B">
        <w:t>information,</w:t>
      </w:r>
      <w:r w:rsidR="00D371F6">
        <w:t xml:space="preserve"> the SNS</w:t>
      </w:r>
      <w:r w:rsidR="00382C40">
        <w:t xml:space="preserve"> </w:t>
      </w:r>
      <w:r w:rsidR="001E4C1E">
        <w:t xml:space="preserve">is comprised of a battery of instruments designed and distributed to </w:t>
      </w:r>
      <w:r w:rsidR="002B275E">
        <w:t>emergency response disciplines</w:t>
      </w:r>
      <w:r w:rsidR="00CA571B">
        <w:t xml:space="preserve"> at </w:t>
      </w:r>
      <w:r w:rsidR="001E4C1E">
        <w:t>the</w:t>
      </w:r>
      <w:r w:rsidR="002B275E">
        <w:t xml:space="preserve"> f</w:t>
      </w:r>
      <w:r w:rsidR="00382C40">
        <w:t xml:space="preserve">ederal, </w:t>
      </w:r>
      <w:r w:rsidR="002B275E">
        <w:t>s</w:t>
      </w:r>
      <w:r w:rsidR="00382C40">
        <w:t>tate</w:t>
      </w:r>
      <w:r w:rsidR="00ED23AB">
        <w:t>/</w:t>
      </w:r>
      <w:r w:rsidR="002B275E">
        <w:t>t</w:t>
      </w:r>
      <w:r w:rsidR="00CA571B">
        <w:t>erritorial</w:t>
      </w:r>
      <w:r w:rsidR="00D371F6">
        <w:t xml:space="preserve">, </w:t>
      </w:r>
      <w:r w:rsidR="002B275E">
        <w:t>t</w:t>
      </w:r>
      <w:r w:rsidR="00D371F6">
        <w:t>ribal, and local</w:t>
      </w:r>
      <w:r w:rsidR="001E4C1E">
        <w:t xml:space="preserve"> (county and municipal) levels of government, as well as the private sector</w:t>
      </w:r>
      <w:r w:rsidR="00D371F6">
        <w:t xml:space="preserve">. </w:t>
      </w:r>
      <w:r w:rsidR="00327083">
        <w:t xml:space="preserve">Methods of administration (questionnaire or interview) and distribution (online web form distributed via email or print forms distributed by mail) </w:t>
      </w:r>
      <w:r w:rsidR="63E6DAFC">
        <w:t>are</w:t>
      </w:r>
      <w:r w:rsidR="00327083">
        <w:t xml:space="preserve"> used as appropriate to meet the needs and preferences of various segments of the target population. </w:t>
      </w:r>
      <w:r w:rsidR="00382C40">
        <w:t xml:space="preserve">The </w:t>
      </w:r>
      <w:r w:rsidR="00ED23AB">
        <w:t xml:space="preserve">SNS </w:t>
      </w:r>
      <w:r w:rsidR="00271CA7">
        <w:t>solicit</w:t>
      </w:r>
      <w:r w:rsidR="700FAEDA">
        <w:t>s</w:t>
      </w:r>
      <w:r w:rsidR="00271CA7">
        <w:t xml:space="preserve"> responses </w:t>
      </w:r>
      <w:r w:rsidR="00382C40">
        <w:t xml:space="preserve">regarding </w:t>
      </w:r>
      <w:r w:rsidR="00271CA7">
        <w:t xml:space="preserve">issues affecting </w:t>
      </w:r>
      <w:r w:rsidR="001E4C1E">
        <w:t>emergency communications</w:t>
      </w:r>
      <w:r w:rsidR="00271CA7">
        <w:t xml:space="preserve"> </w:t>
      </w:r>
      <w:r w:rsidR="00382C40">
        <w:t xml:space="preserve">to determine a jurisdiction’s level of </w:t>
      </w:r>
      <w:r w:rsidR="23723303">
        <w:t xml:space="preserve">communications </w:t>
      </w:r>
      <w:r w:rsidR="00382C40">
        <w:t>operability, interoperability</w:t>
      </w:r>
      <w:r w:rsidR="001E4C1E">
        <w:t xml:space="preserve">, </w:t>
      </w:r>
      <w:r w:rsidR="00382C40">
        <w:t>continuity</w:t>
      </w:r>
      <w:r w:rsidR="001E4C1E">
        <w:t>, and security</w:t>
      </w:r>
      <w:r w:rsidR="00382C40">
        <w:t xml:space="preserve">. </w:t>
      </w:r>
      <w:r>
        <w:t xml:space="preserve">CISA </w:t>
      </w:r>
      <w:r w:rsidR="00271CA7">
        <w:t xml:space="preserve">ECD </w:t>
      </w:r>
      <w:r w:rsidR="005D0344">
        <w:t>analyze</w:t>
      </w:r>
      <w:r w:rsidR="593D48B8">
        <w:t>s</w:t>
      </w:r>
      <w:r w:rsidR="005D0344">
        <w:t xml:space="preserve"> the</w:t>
      </w:r>
      <w:r w:rsidR="00271CA7">
        <w:t xml:space="preserve"> data collected from this general survey to identify major gaps and themes affecting emergency communications across levels of government. </w:t>
      </w:r>
      <w:r w:rsidR="00ED23AB">
        <w:t>T</w:t>
      </w:r>
      <w:r w:rsidR="00271CA7">
        <w:t xml:space="preserve">his </w:t>
      </w:r>
      <w:r w:rsidR="005D0344">
        <w:t>analysis inform</w:t>
      </w:r>
      <w:r w:rsidR="16FE55C9">
        <w:t>s</w:t>
      </w:r>
      <w:r w:rsidR="005D0344">
        <w:t xml:space="preserve"> the</w:t>
      </w:r>
      <w:r w:rsidR="00271CA7">
        <w:t xml:space="preserve"> develop</w:t>
      </w:r>
      <w:r w:rsidR="005D0344">
        <w:t>ment of</w:t>
      </w:r>
      <w:r w:rsidR="00271CA7">
        <w:t xml:space="preserve"> supplemental surveys</w:t>
      </w:r>
      <w:r w:rsidR="007F058A">
        <w:t xml:space="preserve"> and information collections</w:t>
      </w:r>
      <w:r w:rsidR="00271CA7">
        <w:t xml:space="preserve"> tailored to specific needs </w:t>
      </w:r>
      <w:r w:rsidR="005D0344">
        <w:t xml:space="preserve">across the </w:t>
      </w:r>
      <w:r w:rsidR="001E4C1E">
        <w:t>emergency response</w:t>
      </w:r>
      <w:r w:rsidR="005D0344">
        <w:t xml:space="preserve"> community</w:t>
      </w:r>
      <w:r w:rsidR="00B14F17">
        <w:t>, as well as future iterations of the Nationwide Baseline Communications Assessment (NCBA)</w:t>
      </w:r>
      <w:r w:rsidR="001E4C1E">
        <w:t>, Biennial Progress Report (BPR),</w:t>
      </w:r>
      <w:r w:rsidR="00B14F17">
        <w:t xml:space="preserve"> National Emergency Communications Plan (NECP)</w:t>
      </w:r>
      <w:r w:rsidR="001E4C1E">
        <w:t xml:space="preserve">, and other products and initiatives that enable ECD to carry out its </w:t>
      </w:r>
      <w:r w:rsidR="00281C90">
        <w:t xml:space="preserve">statutory </w:t>
      </w:r>
      <w:r w:rsidR="001E4C1E">
        <w:t>responsibilities at 6 U.S.C. §571(c)</w:t>
      </w:r>
      <w:r w:rsidR="005D0344">
        <w:t xml:space="preserve">. </w:t>
      </w:r>
    </w:p>
    <w:p w:rsidR="00193F84" w:rsidRPr="00880DCA" w:rsidP="00DE5954" w14:paraId="1FC9248C" w14:textId="3CD612DD">
      <w:pPr>
        <w:tabs>
          <w:tab w:val="left" w:pos="-720"/>
        </w:tabs>
        <w:suppressAutoHyphens/>
        <w:jc w:val="both"/>
        <w:rPr>
          <w:u w:val="single"/>
        </w:rPr>
      </w:pPr>
      <w:r w:rsidRPr="00880DCA">
        <w:rPr>
          <w:u w:val="single"/>
        </w:rPr>
        <w:t xml:space="preserve">SAFECOM </w:t>
      </w:r>
      <w:r>
        <w:rPr>
          <w:u w:val="single"/>
        </w:rPr>
        <w:t>Supplemental</w:t>
      </w:r>
      <w:r w:rsidRPr="00880DCA">
        <w:rPr>
          <w:u w:val="single"/>
        </w:rPr>
        <w:t xml:space="preserve"> Survey</w:t>
      </w:r>
      <w:r>
        <w:rPr>
          <w:u w:val="single"/>
        </w:rPr>
        <w:t>s:</w:t>
      </w:r>
    </w:p>
    <w:p w:rsidR="007B274B" w:rsidP="1D9CF657" w14:paraId="09EB25ED" w14:textId="68654A97">
      <w:pPr>
        <w:suppressAutoHyphens/>
        <w:spacing w:after="120"/>
        <w:jc w:val="both"/>
      </w:pPr>
      <w:r>
        <w:t xml:space="preserve">CISA </w:t>
      </w:r>
      <w:r w:rsidR="008F213E">
        <w:t xml:space="preserve">ECD </w:t>
      </w:r>
      <w:r w:rsidR="007F30A5">
        <w:t xml:space="preserve">also </w:t>
      </w:r>
      <w:r w:rsidR="008F213E">
        <w:t>conduct</w:t>
      </w:r>
      <w:r w:rsidR="27438CE6">
        <w:t>s</w:t>
      </w:r>
      <w:r w:rsidR="008F213E">
        <w:t xml:space="preserve"> SAFECOM </w:t>
      </w:r>
      <w:r w:rsidR="002B275E">
        <w:t>s</w:t>
      </w:r>
      <w:r w:rsidR="008F213E">
        <w:t>upplemental survey</w:t>
      </w:r>
      <w:r w:rsidR="00B838E8">
        <w:t>s</w:t>
      </w:r>
      <w:r w:rsidR="008F213E">
        <w:t>.</w:t>
      </w:r>
      <w:r w:rsidR="00302D0B">
        <w:t xml:space="preserve"> </w:t>
      </w:r>
      <w:r w:rsidR="25D3CC89">
        <w:t>Supplemental</w:t>
      </w:r>
      <w:r w:rsidR="000717CF">
        <w:t xml:space="preserve"> instruments consist of </w:t>
      </w:r>
      <w:r w:rsidR="00B7629E">
        <w:t>web- and paper-based</w:t>
      </w:r>
      <w:r w:rsidR="00ED23AB">
        <w:t xml:space="preserve"> surveys</w:t>
      </w:r>
      <w:r w:rsidR="000717CF">
        <w:t>, as well as other information collection methods such as focus groups and interviews</w:t>
      </w:r>
      <w:r w:rsidR="00B7629E">
        <w:t>.</w:t>
      </w:r>
      <w:r w:rsidR="008F213E">
        <w:t xml:space="preserve"> </w:t>
      </w:r>
      <w:r w:rsidR="00586D0E">
        <w:t xml:space="preserve">CISA </w:t>
      </w:r>
      <w:r w:rsidR="008F213E">
        <w:t>ECD use</w:t>
      </w:r>
      <w:r w:rsidR="36FFCF4E">
        <w:t>s</w:t>
      </w:r>
      <w:r w:rsidR="008F213E">
        <w:t xml:space="preserve"> information</w:t>
      </w:r>
      <w:r w:rsidR="002674B4">
        <w:t xml:space="preserve"> collected </w:t>
      </w:r>
      <w:r w:rsidR="00ED23AB">
        <w:t xml:space="preserve">in the supplemental surveys </w:t>
      </w:r>
      <w:r w:rsidR="002674B4">
        <w:t>to complete statutorily mandated requirements</w:t>
      </w:r>
      <w:r w:rsidR="00586D0E">
        <w:t xml:space="preserve"> (6 U.S.C. §571(c), </w:t>
      </w:r>
      <w:r w:rsidRPr="1B73C884" w:rsidR="00586D0E">
        <w:rPr>
          <w:color w:val="000000" w:themeColor="text1"/>
        </w:rPr>
        <w:t>572(a), and 573)</w:t>
      </w:r>
      <w:r w:rsidR="00586D0E">
        <w:t xml:space="preserve"> </w:t>
      </w:r>
      <w:r w:rsidR="002674B4">
        <w:t xml:space="preserve">and </w:t>
      </w:r>
      <w:r w:rsidR="009221D9">
        <w:t xml:space="preserve">will </w:t>
      </w:r>
      <w:r w:rsidR="002674B4">
        <w:t xml:space="preserve">share the data with </w:t>
      </w:r>
      <w:r w:rsidR="71522830">
        <w:t xml:space="preserve">participating </w:t>
      </w:r>
      <w:r w:rsidR="002674B4">
        <w:t>stakeholders</w:t>
      </w:r>
      <w:r w:rsidR="002B275E">
        <w:t xml:space="preserve"> </w:t>
      </w:r>
      <w:r w:rsidR="651480ED">
        <w:t>as appropriate</w:t>
      </w:r>
      <w:r w:rsidR="002674B4">
        <w:t xml:space="preserve">. </w:t>
      </w:r>
      <w:r w:rsidR="00ED23AB">
        <w:t>T</w:t>
      </w:r>
      <w:r w:rsidR="002674B4">
        <w:t xml:space="preserve">he SAFECOM supplemental surveys deploy </w:t>
      </w:r>
      <w:r w:rsidR="00D70E8A">
        <w:t>topic</w:t>
      </w:r>
      <w:r w:rsidR="002B275E">
        <w:t>-</w:t>
      </w:r>
      <w:r w:rsidR="00D70E8A">
        <w:t>specific</w:t>
      </w:r>
      <w:r w:rsidR="00AE384D">
        <w:t xml:space="preserve"> or </w:t>
      </w:r>
      <w:r w:rsidR="00D70E8A">
        <w:t>target</w:t>
      </w:r>
      <w:r w:rsidR="00AE384D">
        <w:t>ed</w:t>
      </w:r>
      <w:r w:rsidR="00D70E8A">
        <w:t xml:space="preserve"> </w:t>
      </w:r>
      <w:r w:rsidR="002674B4">
        <w:t>surveys</w:t>
      </w:r>
      <w:r w:rsidR="00ED23AB">
        <w:t xml:space="preserve"> </w:t>
      </w:r>
      <w:r w:rsidR="002B275E">
        <w:t xml:space="preserve">to various emergency response disciplines at </w:t>
      </w:r>
      <w:r w:rsidR="00327083">
        <w:t xml:space="preserve">the </w:t>
      </w:r>
      <w:r w:rsidR="002B275E">
        <w:t>federal, state, territorial, tribal, and local</w:t>
      </w:r>
      <w:r w:rsidR="00327083">
        <w:t xml:space="preserve"> levels of government,</w:t>
      </w:r>
      <w:r w:rsidR="004A3D47">
        <w:t xml:space="preserve"> </w:t>
      </w:r>
      <w:r w:rsidR="00ED23AB">
        <w:t>as appropriate</w:t>
      </w:r>
      <w:r w:rsidR="00327083">
        <w:t>, as well as the private sector</w:t>
      </w:r>
      <w:r w:rsidR="002674B4">
        <w:t xml:space="preserve">. </w:t>
      </w:r>
      <w:r w:rsidR="004A3D47">
        <w:t>T</w:t>
      </w:r>
      <w:r w:rsidR="002674B4">
        <w:t xml:space="preserve">he </w:t>
      </w:r>
      <w:r w:rsidR="004A3D47">
        <w:t xml:space="preserve">instruments </w:t>
      </w:r>
      <w:r w:rsidR="002674B4">
        <w:t>solicit responses regarding</w:t>
      </w:r>
      <w:r w:rsidR="00D70E8A">
        <w:t xml:space="preserve"> targeted </w:t>
      </w:r>
      <w:r w:rsidR="002674B4">
        <w:t xml:space="preserve">issues affecting </w:t>
      </w:r>
      <w:r w:rsidR="004A3D47">
        <w:t>specific segments of the emergency response community</w:t>
      </w:r>
      <w:r w:rsidR="00B00979">
        <w:t>.</w:t>
      </w:r>
      <w:r w:rsidR="00D70E8A">
        <w:t xml:space="preserve"> </w:t>
      </w:r>
      <w:r w:rsidR="00586D0E">
        <w:t xml:space="preserve">CISA </w:t>
      </w:r>
      <w:r w:rsidR="002674B4">
        <w:t>ECD analyze</w:t>
      </w:r>
      <w:r w:rsidR="7E3BCEB4">
        <w:t>s</w:t>
      </w:r>
      <w:r w:rsidR="002674B4">
        <w:t xml:space="preserve"> the data collected from th</w:t>
      </w:r>
      <w:r w:rsidR="00D70E8A">
        <w:t>ese</w:t>
      </w:r>
      <w:r w:rsidR="002674B4">
        <w:t xml:space="preserve"> </w:t>
      </w:r>
      <w:r w:rsidR="00D70E8A">
        <w:t xml:space="preserve">supplemental </w:t>
      </w:r>
      <w:r w:rsidR="002674B4">
        <w:t>survey</w:t>
      </w:r>
      <w:r w:rsidR="00D70E8A">
        <w:t>s</w:t>
      </w:r>
      <w:r w:rsidR="002674B4">
        <w:t xml:space="preserve"> to identify </w:t>
      </w:r>
      <w:r w:rsidR="00465BDD">
        <w:t>changing requirements</w:t>
      </w:r>
      <w:r>
        <w:t xml:space="preserve">, </w:t>
      </w:r>
      <w:r w:rsidR="00465BDD">
        <w:t xml:space="preserve">mitigate risks, </w:t>
      </w:r>
      <w:r>
        <w:t xml:space="preserve">and </w:t>
      </w:r>
      <w:r w:rsidR="00ED23AB">
        <w:t xml:space="preserve">help further </w:t>
      </w:r>
      <w:r>
        <w:t xml:space="preserve">inform the </w:t>
      </w:r>
      <w:r w:rsidR="00586D0E">
        <w:t>data</w:t>
      </w:r>
      <w:r w:rsidRPr="1B73C884" w:rsidR="00586D0E">
        <w:rPr>
          <w:rStyle w:val="CommentReference"/>
        </w:rPr>
        <w:t xml:space="preserve"> </w:t>
      </w:r>
      <w:r w:rsidR="00586D0E">
        <w:t>collected</w:t>
      </w:r>
      <w:r>
        <w:t xml:space="preserve"> from the </w:t>
      </w:r>
      <w:r w:rsidR="00ED23AB">
        <w:t>SNS</w:t>
      </w:r>
      <w:r>
        <w:t>.</w:t>
      </w:r>
    </w:p>
    <w:p w:rsidR="008F66A0" w:rsidRPr="00596A43" w:rsidP="1D9CF657" w14:paraId="688BAD80" w14:textId="77777777">
      <w:pPr>
        <w:suppressAutoHyphens/>
        <w:spacing w:after="120"/>
        <w:jc w:val="both"/>
      </w:pPr>
    </w:p>
    <w:p w:rsidR="00C07DF5" w:rsidP="1B73C884" w14:paraId="5620DEEB" w14:textId="77777777">
      <w:pPr>
        <w:suppressAutoHyphens/>
        <w:jc w:val="both"/>
      </w:pPr>
      <w:r w:rsidRPr="1B73C884">
        <w:rPr>
          <w:color w:val="2B579A"/>
        </w:rPr>
        <w:fldChar w:fldCharType="begin"/>
      </w:r>
      <w:r>
        <w:instrText>ADVANCE \R 0.95</w:instrText>
      </w:r>
      <w:r w:rsidRPr="1B73C884">
        <w:rPr>
          <w:color w:val="2B579A"/>
        </w:rPr>
        <w:fldChar w:fldCharType="end"/>
      </w:r>
      <w: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0455F1">
        <w:t xml:space="preserve">. </w:t>
      </w:r>
      <w:r>
        <w:t>Also describe any consideration of using information technology to reduce burden.</w:t>
      </w:r>
    </w:p>
    <w:p w:rsidR="00EB5E96" w:rsidRPr="00596A43" w:rsidP="1B73C884" w14:paraId="226151FB" w14:textId="7FC8D1AD">
      <w:pPr>
        <w:suppressAutoHyphens/>
        <w:jc w:val="both"/>
      </w:pPr>
      <w:r>
        <w:tab/>
      </w:r>
    </w:p>
    <w:p w:rsidR="003216FA" w:rsidP="58F2887F" w14:paraId="3A631584" w14:textId="37441EAF">
      <w:pPr>
        <w:suppressAutoHyphens/>
        <w:spacing w:after="120"/>
        <w:jc w:val="both"/>
      </w:pPr>
      <w:r>
        <w:t xml:space="preserve">For both the SNS and the supplemental surveys, </w:t>
      </w:r>
      <w:r w:rsidR="009916A5">
        <w:t xml:space="preserve">ECD </w:t>
      </w:r>
      <w:r w:rsidR="009221D9">
        <w:t>use</w:t>
      </w:r>
      <w:r w:rsidR="555E0706">
        <w:t>s</w:t>
      </w:r>
      <w:r w:rsidR="009221D9">
        <w:t xml:space="preserve"> </w:t>
      </w:r>
      <w:r w:rsidR="1C9E4350">
        <w:t>multiple data collection techniques to encourage respondents to select a response method that best supports their needs. Many members of the target audience—emergency response providers—work long hours, are frequently interrupted by emergency events, and have variable schedules. To support this operational env</w:t>
      </w:r>
      <w:r w:rsidR="504C087E">
        <w:t>ironment, CISA ECD provide</w:t>
      </w:r>
      <w:r w:rsidR="265F55F9">
        <w:t>s</w:t>
      </w:r>
      <w:r w:rsidR="504C087E">
        <w:t xml:space="preserve"> electronic web-based questionnaires using commercial software, such as Qualtrics. </w:t>
      </w:r>
      <w:r w:rsidR="31C78697">
        <w:t xml:space="preserve">When information is collected via online platforms, respondent internet protocol (IP) addresses </w:t>
      </w:r>
      <w:r w:rsidR="1F32CE44">
        <w:t>are</w:t>
      </w:r>
      <w:r w:rsidR="31C78697">
        <w:t xml:space="preserve"> collected automatically as response metadata. CISA ECD uses this information to ensure that all responses are unique (one response per responding agency</w:t>
      </w:r>
      <w:r w:rsidR="003A669B">
        <w:t>, not individual persons</w:t>
      </w:r>
      <w:r w:rsidR="31C78697">
        <w:t>) and valid (all responses are submitted by valid organizations located within the geographic Unite</w:t>
      </w:r>
      <w:r w:rsidR="79B3B375">
        <w:t xml:space="preserve">d States and its territories). </w:t>
      </w:r>
      <w:r w:rsidR="504C087E">
        <w:t>ECD also distr</w:t>
      </w:r>
      <w:r w:rsidR="254C5C65">
        <w:t>ibute</w:t>
      </w:r>
      <w:r w:rsidR="48F3E647">
        <w:t>s</w:t>
      </w:r>
      <w:r w:rsidR="254C5C65">
        <w:t xml:space="preserve"> printed survey questionnaire</w:t>
      </w:r>
      <w:r w:rsidR="01A04247">
        <w:t>s to invited participants and conduct</w:t>
      </w:r>
      <w:r w:rsidR="7D7A9115">
        <w:t>s</w:t>
      </w:r>
      <w:r w:rsidR="01A04247">
        <w:t xml:space="preserve"> </w:t>
      </w:r>
      <w:r w:rsidR="2D5F4707">
        <w:t>direct interviews with some members of the target population (e.g., state officials, federal representatives, tribal leaders) as appropriate.</w:t>
      </w:r>
      <w:r w:rsidR="254C5C65">
        <w:t xml:space="preserve"> </w:t>
      </w:r>
    </w:p>
    <w:p w:rsidR="00DC6E79" w:rsidP="2C54D83D" w14:paraId="6206EEAC" w14:textId="477667C5">
      <w:pPr>
        <w:suppressAutoHyphens/>
        <w:spacing w:after="120"/>
        <w:jc w:val="both"/>
      </w:pPr>
      <w:r>
        <w:t>CISA ECD</w:t>
      </w:r>
      <w:r w:rsidR="009916A5">
        <w:t xml:space="preserve"> </w:t>
      </w:r>
      <w:r w:rsidR="00982EAD">
        <w:t>utilize</w:t>
      </w:r>
      <w:r w:rsidR="61F13DFC">
        <w:t>s</w:t>
      </w:r>
      <w:r w:rsidR="00982EAD">
        <w:t xml:space="preserve"> </w:t>
      </w:r>
      <w:r w:rsidR="004A3D47">
        <w:t xml:space="preserve">a variety of </w:t>
      </w:r>
      <w:r w:rsidR="003216FA">
        <w:t>submission methods</w:t>
      </w:r>
      <w:r w:rsidR="00982EAD">
        <w:t xml:space="preserve"> for both the SNS and the supplemental surveys</w:t>
      </w:r>
      <w:r w:rsidR="00E93D7C">
        <w:t>.</w:t>
      </w:r>
      <w:r w:rsidR="009916A5">
        <w:t xml:space="preserve"> </w:t>
      </w:r>
      <w:r w:rsidR="001E7F1D">
        <w:t xml:space="preserve">For </w:t>
      </w:r>
      <w:r w:rsidR="004A3D47">
        <w:t>questionnaires</w:t>
      </w:r>
      <w:r w:rsidR="001E7F1D">
        <w:t>, alternate forms include a</w:t>
      </w:r>
      <w:r w:rsidR="004A3D47">
        <w:t xml:space="preserve"> </w:t>
      </w:r>
      <w:r w:rsidR="00A916CF">
        <w:t xml:space="preserve">PDF-fillable form </w:t>
      </w:r>
      <w:r w:rsidR="00E93D7C">
        <w:t xml:space="preserve">which can be returned via email </w:t>
      </w:r>
      <w:r w:rsidR="001E7F1D">
        <w:t>and a paper copy mailed directly to the respondent(s) requesting a hard copy. The paper copy can be returned either via a prepaid envelope, scanned and emailed</w:t>
      </w:r>
      <w:r w:rsidR="009916A5">
        <w:t>,</w:t>
      </w:r>
      <w:r w:rsidR="001E7F1D">
        <w:t xml:space="preserve"> and/or faxed to CISA ECD. </w:t>
      </w:r>
      <w:r w:rsidR="00E93D7C">
        <w:t xml:space="preserve"> </w:t>
      </w:r>
      <w:r w:rsidR="001E7F1D">
        <w:t xml:space="preserve">For </w:t>
      </w:r>
      <w:r w:rsidR="004A3D47">
        <w:t>interviews</w:t>
      </w:r>
      <w:r w:rsidR="001E7F1D">
        <w:t xml:space="preserve">, </w:t>
      </w:r>
      <w:r w:rsidR="004A3D47">
        <w:t>responses may be collected in-person or virtually, and individually or collectively during conference, working group, or focus group sessions</w:t>
      </w:r>
      <w:r w:rsidR="003216FA">
        <w:t xml:space="preserve">. </w:t>
      </w:r>
    </w:p>
    <w:p w:rsidR="008F66A0" w:rsidP="2C54D83D" w14:paraId="58E0138D" w14:textId="77777777">
      <w:pPr>
        <w:suppressAutoHyphens/>
        <w:spacing w:after="120"/>
        <w:jc w:val="both"/>
      </w:pPr>
    </w:p>
    <w:p w:rsidR="00EB5E96" w:rsidRPr="00596A43" w:rsidP="1B73C884" w14:paraId="5D0AC8AC" w14:textId="77777777">
      <w:pPr>
        <w:suppressAutoHyphens/>
        <w:jc w:val="both"/>
      </w:pPr>
      <w:r w:rsidRPr="1B73C884">
        <w:rPr>
          <w:color w:val="2B579A"/>
        </w:rPr>
        <w:fldChar w:fldCharType="begin"/>
      </w:r>
      <w:r>
        <w:instrText>ADVANCE \R 0.95</w:instrText>
      </w:r>
      <w:r w:rsidRPr="1B73C884">
        <w:rPr>
          <w:color w:val="2B579A"/>
        </w:rPr>
        <w:fldChar w:fldCharType="end"/>
      </w:r>
      <w:r>
        <w:t xml:space="preserve">4.  Describe efforts to identify duplication.   Show specifically why any similar information already available cannot be used or modified for use for the purposes described in Item 2 above. </w:t>
      </w:r>
    </w:p>
    <w:p w:rsidR="00C07DF5" w:rsidP="1B73C884" w14:paraId="2C8B828E" w14:textId="77777777">
      <w:pPr>
        <w:spacing w:after="120" w:line="259" w:lineRule="auto"/>
        <w:jc w:val="both"/>
        <w:rPr>
          <w:i/>
          <w:sz w:val="20"/>
          <w:szCs w:val="20"/>
        </w:rPr>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p>
    <w:p w:rsidR="005778EE" w:rsidP="1B73C884" w14:paraId="15610106" w14:textId="77777777">
      <w:pPr>
        <w:spacing w:after="120" w:line="259" w:lineRule="auto"/>
        <w:jc w:val="both"/>
      </w:pPr>
      <w:r>
        <w:t xml:space="preserve">A search of reginfo.gov revealed </w:t>
      </w:r>
      <w:r w:rsidR="0EC46D51">
        <w:t xml:space="preserve">two </w:t>
      </w:r>
      <w:r>
        <w:t>other interoperability surveys</w:t>
      </w:r>
      <w:r w:rsidR="4842BC7F">
        <w:t xml:space="preserve"> not related to previous iterations of the SNS</w:t>
      </w:r>
      <w:r>
        <w:t xml:space="preserve">. </w:t>
      </w:r>
      <w:r w:rsidR="01EBDA97">
        <w:t xml:space="preserve">The first was conducted by DHS Science and Technology (S&amp;T) and expired in 2007. The second was conducted by the Department of Justice (DOJ) and expired in 2010. Neither of these collections </w:t>
      </w:r>
      <w:r w:rsidR="1CAAAAE5">
        <w:t>can enable a current assessment of emergency communications capability needs and gaps to satisfy periodic assessment requirements at 6 U.S</w:t>
      </w:r>
      <w:r w:rsidR="4D9FA6E7">
        <w:t xml:space="preserve">.C. §573. </w:t>
      </w:r>
      <w:r>
        <w:t xml:space="preserve"> </w:t>
      </w:r>
    </w:p>
    <w:p w:rsidR="005778EE" w:rsidP="1B73C884" w14:paraId="66C9E6F8" w14:textId="77777777">
      <w:pPr>
        <w:spacing w:after="120" w:line="259" w:lineRule="auto"/>
        <w:jc w:val="both"/>
      </w:pPr>
    </w:p>
    <w:p w:rsidR="00EB5E96" w:rsidRPr="00596A43" w:rsidP="1B73C884" w14:paraId="64F65A2A" w14:textId="20F80AFA">
      <w:pPr>
        <w:spacing w:after="120" w:line="259" w:lineRule="auto"/>
        <w:jc w:val="both"/>
      </w:pPr>
      <w:r w:rsidRPr="1B73C884">
        <w:rPr>
          <w:color w:val="2B579A"/>
        </w:rPr>
        <w:fldChar w:fldCharType="begin"/>
      </w:r>
      <w:r>
        <w:instrText>ADVANCE \R 0.95</w:instrText>
      </w:r>
      <w:r w:rsidRPr="1B73C884">
        <w:rPr>
          <w:color w:val="2B579A"/>
        </w:rPr>
        <w:fldChar w:fldCharType="end"/>
      </w:r>
      <w:r>
        <w:t>5. If the collection of information impacts small businesses or other small entities (Item 5 of OMB Form 83-I), describe any methods used to minimize.</w:t>
      </w:r>
      <w:r>
        <w:tab/>
      </w:r>
    </w:p>
    <w:p w:rsidR="00D73BBC" w:rsidP="2C54D83D" w14:paraId="5EE49218" w14:textId="77777777">
      <w:pPr>
        <w:suppressAutoHyphens/>
        <w:spacing w:after="120"/>
        <w:jc w:val="both"/>
        <w:rPr>
          <w:i/>
          <w:sz w:val="20"/>
          <w:szCs w:val="20"/>
        </w:rPr>
      </w:pPr>
    </w:p>
    <w:p w:rsidR="00EB5E96" w:rsidP="2C54D83D" w14:paraId="20F199F4" w14:textId="72F5E87A">
      <w:pPr>
        <w:suppressAutoHyphens/>
        <w:spacing w:after="120"/>
        <w:jc w:val="both"/>
        <w:rPr>
          <w:spacing w:val="-3"/>
        </w:rPr>
      </w:pPr>
      <w:r>
        <w:rPr>
          <w:spacing w:val="-3"/>
        </w:rPr>
        <w:t xml:space="preserve">This collection </w:t>
      </w:r>
      <w:r w:rsidR="00272047">
        <w:rPr>
          <w:spacing w:val="-3"/>
        </w:rPr>
        <w:t xml:space="preserve">will impact </w:t>
      </w:r>
      <w:r w:rsidR="002F776A">
        <w:rPr>
          <w:spacing w:val="-3"/>
        </w:rPr>
        <w:t xml:space="preserve">small entities, including </w:t>
      </w:r>
      <w:r w:rsidR="000717CF">
        <w:rPr>
          <w:spacing w:val="-3"/>
        </w:rPr>
        <w:t xml:space="preserve">some </w:t>
      </w:r>
      <w:r w:rsidR="00272047">
        <w:rPr>
          <w:spacing w:val="-3"/>
        </w:rPr>
        <w:t xml:space="preserve">local and tribal </w:t>
      </w:r>
      <w:r w:rsidR="000717CF">
        <w:rPr>
          <w:spacing w:val="-3"/>
        </w:rPr>
        <w:t>public safety organizations</w:t>
      </w:r>
      <w:r>
        <w:rPr>
          <w:spacing w:val="-3"/>
        </w:rPr>
        <w:t xml:space="preserve">. </w:t>
      </w:r>
      <w:r w:rsidR="08AF4D43">
        <w:rPr>
          <w:spacing w:val="-3"/>
        </w:rPr>
        <w:t>Use of multimodal submission methods and conservative question design to collect only relevant and available information will minimize this burden.</w:t>
      </w:r>
      <w:r>
        <w:rPr>
          <w:spacing w:val="-3"/>
        </w:rPr>
        <w:t xml:space="preserve"> </w:t>
      </w:r>
    </w:p>
    <w:p w:rsidR="005778EE" w:rsidP="2C54D83D" w14:paraId="72EFF03F" w14:textId="77777777">
      <w:pPr>
        <w:suppressAutoHyphens/>
        <w:spacing w:after="120"/>
        <w:jc w:val="both"/>
      </w:pPr>
    </w:p>
    <w:p w:rsidR="00EB5E96" w:rsidRPr="00596A43" w:rsidP="1B73C884" w14:paraId="3335D1B6" w14:textId="77777777">
      <w:pPr>
        <w:suppressAutoHyphens/>
        <w:jc w:val="both"/>
      </w:pPr>
      <w:r w:rsidRPr="1B73C884">
        <w:rPr>
          <w:color w:val="2B579A"/>
        </w:rPr>
        <w:fldChar w:fldCharType="begin"/>
      </w:r>
      <w:r>
        <w:instrText>ADVANCE \R 0.95</w:instrText>
      </w:r>
      <w:r w:rsidRPr="1B73C884">
        <w:rPr>
          <w:color w:val="2B579A"/>
        </w:rPr>
        <w:fldChar w:fldCharType="end"/>
      </w:r>
      <w:r>
        <w:t>6.  Describe the consequence to Federal/</w:t>
      </w:r>
      <w:r w:rsidR="00460234">
        <w:t>DHS</w:t>
      </w:r>
      <w:r>
        <w:t xml:space="preserve"> program or policy activities if the collection of information is not conducted, or is conducted less frequently, as well as any technical or legal obstacles to reducing burden.</w:t>
      </w:r>
    </w:p>
    <w:p w:rsidR="00AA3F82" w:rsidP="2C54D83D" w14:paraId="42F3670C" w14:textId="4EF77841">
      <w:pPr>
        <w:suppressAutoHyphens/>
        <w:spacing w:after="120"/>
        <w:jc w:val="both"/>
        <w:rPr>
          <w:spacing w:val="-3"/>
        </w:rPr>
      </w:pPr>
      <w:r>
        <w:rPr>
          <w:spacing w:val="-3"/>
        </w:rPr>
        <w:t>W</w:t>
      </w:r>
      <w:r w:rsidRPr="00AE29DD">
        <w:rPr>
          <w:spacing w:val="-3"/>
        </w:rPr>
        <w:t>ithout a survey, ECD cannot obtain the range of information needed to carry out statutory responsibilities.</w:t>
      </w:r>
      <w:r w:rsidR="002B41B2">
        <w:rPr>
          <w:spacing w:val="-3"/>
        </w:rPr>
        <w:t xml:space="preserve"> </w:t>
      </w:r>
      <w:r w:rsidR="00F86DC0">
        <w:rPr>
          <w:spacing w:val="-3"/>
        </w:rPr>
        <w:t xml:space="preserve">The collection of data from the </w:t>
      </w:r>
      <w:r w:rsidR="00903E13">
        <w:rPr>
          <w:spacing w:val="-3"/>
        </w:rPr>
        <w:t xml:space="preserve">SNS and the supplemental </w:t>
      </w:r>
      <w:r w:rsidR="00F86DC0">
        <w:rPr>
          <w:spacing w:val="-3"/>
        </w:rPr>
        <w:t xml:space="preserve">surveys </w:t>
      </w:r>
      <w:r w:rsidR="48F5D64B">
        <w:rPr>
          <w:spacing w:val="-3"/>
        </w:rPr>
        <w:t>enables other elements of ECD’s statutory mission, including development of the NECP, Nationwide Communications Baseline Assessment report (NCBA), Biennial Progress Report (BPR) stakeholder engagement with FSLTT and private industry partners to promote and attain emergency co</w:t>
      </w:r>
      <w:r w:rsidR="1CE8387A">
        <w:rPr>
          <w:spacing w:val="-3"/>
        </w:rPr>
        <w:t>mmunications interoperability and continuity nationwide</w:t>
      </w:r>
      <w:r w:rsidR="004A3D47">
        <w:rPr>
          <w:spacing w:val="-3"/>
        </w:rPr>
        <w:t xml:space="preserve">, and other ECD responsibilities enumerated at 6 U.S.C. </w:t>
      </w:r>
      <w:r w:rsidRPr="006C21D0" w:rsidR="004A3D47">
        <w:t>§</w:t>
      </w:r>
      <w:r w:rsidR="004B25CC">
        <w:t xml:space="preserve"> </w:t>
      </w:r>
      <w:r w:rsidRPr="006C21D0" w:rsidR="004A3D47">
        <w:t>571</w:t>
      </w:r>
      <w:r w:rsidR="004A3D47">
        <w:t>(c)</w:t>
      </w:r>
      <w:r w:rsidR="1CE8387A">
        <w:rPr>
          <w:spacing w:val="-3"/>
        </w:rPr>
        <w:t>.</w:t>
      </w:r>
    </w:p>
    <w:p w:rsidR="005778EE" w:rsidP="2C54D83D" w14:paraId="537CEB73" w14:textId="77777777">
      <w:pPr>
        <w:suppressAutoHyphens/>
        <w:spacing w:after="120"/>
        <w:jc w:val="both"/>
      </w:pPr>
    </w:p>
    <w:p w:rsidR="00EB5E96" w:rsidRPr="00596A43" w:rsidP="1B73C884" w14:paraId="3ABB717B" w14:textId="77777777">
      <w:pPr>
        <w:suppressAutoHyphens/>
        <w:spacing w:after="120"/>
        <w:jc w:val="both"/>
      </w:pPr>
      <w:r w:rsidRPr="1B73C884">
        <w:rPr>
          <w:color w:val="2B579A"/>
        </w:rPr>
        <w:fldChar w:fldCharType="begin"/>
      </w:r>
      <w:r>
        <w:instrText>ADVANCE \R 0.95</w:instrText>
      </w:r>
      <w:r w:rsidRPr="1B73C884">
        <w:rPr>
          <w:color w:val="2B579A"/>
        </w:rPr>
        <w:fldChar w:fldCharType="end"/>
      </w:r>
      <w:r>
        <w:t>7.  Explain any special circumstances that would cause an information collection to be conducted in a manner:</w:t>
      </w:r>
    </w:p>
    <w:p w:rsidR="00EB5E96" w:rsidRPr="00596A43" w:rsidP="00AE41B7" w14:paraId="6A56555F" w14:textId="77777777">
      <w:pPr>
        <w:shd w:val="clear" w:color="auto" w:fill="C0C0C0"/>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(a) Requiring respondents to report information to the agency more often than quarterly.</w:t>
      </w:r>
    </w:p>
    <w:p w:rsidR="00EB5E96" w:rsidRPr="00596A43" w:rsidP="00AE41B7" w14:paraId="0D161FE4" w14:textId="77777777">
      <w:pPr>
        <w:shd w:val="clear" w:color="auto" w:fill="C0C0C0"/>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(b) Requiring respondents to prepare a written response to a collection of information in fewer than 30 days after receipt of it.</w:t>
      </w:r>
    </w:p>
    <w:p w:rsidR="00EB5E96" w:rsidRPr="00596A43" w:rsidP="1B73C884" w14:paraId="24D22367" w14:textId="77777777">
      <w:pPr>
        <w:suppressAutoHyphens/>
        <w:jc w:val="both"/>
      </w:pPr>
      <w:r w:rsidRPr="1B73C884">
        <w:rPr>
          <w:color w:val="2B579A"/>
        </w:rPr>
        <w:fldChar w:fldCharType="begin"/>
      </w:r>
      <w:r>
        <w:instrText>ADVANCE \R 0.95</w:instrText>
      </w:r>
      <w:r w:rsidRPr="1B73C884">
        <w:rPr>
          <w:color w:val="2B579A"/>
        </w:rPr>
        <w:fldChar w:fldCharType="end"/>
      </w:r>
      <w:r>
        <w:t>(c) Requiring respondents to submit more than an original and two copies of any document.</w:t>
      </w:r>
    </w:p>
    <w:p w:rsidR="00EB5E96" w:rsidRPr="00596A43" w:rsidP="1B73C884" w14:paraId="2CA4FB63" w14:textId="77777777">
      <w:pPr>
        <w:shd w:val="clear" w:color="auto" w:fill="C0C0C0"/>
        <w:suppressAutoHyphens/>
        <w:jc w:val="both"/>
      </w:pPr>
      <w:r w:rsidRPr="1B73C884">
        <w:rPr>
          <w:color w:val="2B579A"/>
        </w:rPr>
        <w:fldChar w:fldCharType="begin"/>
      </w:r>
      <w:r>
        <w:instrText>ADVANCE \R 0.95</w:instrText>
      </w:r>
      <w:r w:rsidRPr="1B73C884">
        <w:rPr>
          <w:color w:val="2B579A"/>
        </w:rPr>
        <w:fldChar w:fldCharType="end"/>
      </w:r>
      <w:r>
        <w:t>(d) Requiring respondents to retain records, other than health, medical, government contract, grant-in-aid, or tax records for more than three years.</w:t>
      </w:r>
    </w:p>
    <w:p w:rsidR="00EB5E96" w:rsidRPr="00596A43" w:rsidP="00AE41B7" w14:paraId="504CDE0E" w14:textId="77777777">
      <w:pPr>
        <w:shd w:val="clear" w:color="auto" w:fill="C0C0C0"/>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(e) In connection with a statistical survey, that is not designed to produce valid and reliable results that can be generalized to the universe of study.</w:t>
      </w:r>
    </w:p>
    <w:p w:rsidR="00EB5E96" w:rsidRPr="00596A43" w:rsidP="00AE41B7" w14:paraId="2FEF97CD" w14:textId="77777777">
      <w:pPr>
        <w:shd w:val="clear" w:color="auto" w:fill="C0C0C0"/>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rsidR="00AE41B7">
        <w:t>(</w:t>
      </w:r>
      <w:r w:rsidRPr="00596A43">
        <w:t>f) Requiring the use of a statistical data classification that has not been reviewed and approved by OMB.</w:t>
      </w:r>
    </w:p>
    <w:p w:rsidR="00EB5E96" w:rsidRPr="00596A43" w:rsidP="1B73C884" w14:paraId="159F6FB6" w14:textId="77777777">
      <w:pPr>
        <w:shd w:val="clear" w:color="auto" w:fill="C0C0C0"/>
        <w:suppressAutoHyphens/>
        <w:jc w:val="both"/>
      </w:pPr>
      <w:r w:rsidRPr="1B73C884">
        <w:rPr>
          <w:color w:val="2B579A"/>
        </w:rPr>
        <w:fldChar w:fldCharType="begin"/>
      </w:r>
      <w:r>
        <w:instrText>ADVANCE \R 0.95</w:instrText>
      </w:r>
      <w:r w:rsidRPr="1B73C884">
        <w:rPr>
          <w:color w:val="2B579A"/>
        </w:rPr>
        <w:fldChar w:fldCharType="end"/>
      </w:r>
      <w: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EB5E96" w:rsidRPr="00596A43" w:rsidP="1B73C884" w14:paraId="208D6399" w14:textId="77777777">
      <w:pPr>
        <w:shd w:val="clear" w:color="auto" w:fill="C0C0C0"/>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rPr>
          <w:shd w:val="clear" w:color="auto" w:fill="C0C0C0"/>
        </w:rPr>
        <w:t>(h) Requiring respondents to submit proprietary trade secret, or other confidential information unless the agency can demonstrate that it has instituted procedures to protect the information’s confidentiality to the extent permitted by law.</w:t>
      </w:r>
    </w:p>
    <w:p w:rsidR="00B204A5" w:rsidRPr="006B75CF" w:rsidP="1B73C884" w14:paraId="1292A8D2" w14:textId="0FC5BCB4">
      <w:pPr>
        <w:numPr>
          <w:ilvl w:val="0"/>
          <w:numId w:val="27"/>
        </w:numPr>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903E13">
        <w:rPr>
          <w:spacing w:val="-3"/>
        </w:rPr>
        <w:t xml:space="preserve">The special circumstances contained in item 7 </w:t>
      </w:r>
      <w:r w:rsidR="4DEBA702">
        <w:rPr>
          <w:spacing w:val="-3"/>
        </w:rPr>
        <w:t xml:space="preserve">a. </w:t>
      </w:r>
      <w:r w:rsidRPr="00903E13">
        <w:rPr>
          <w:spacing w:val="-3"/>
        </w:rPr>
        <w:t>of the Supporting Statement are not applicable to this information collection</w:t>
      </w:r>
      <w:r w:rsidR="4DEBA702">
        <w:rPr>
          <w:spacing w:val="-3"/>
        </w:rPr>
        <w:t>.</w:t>
      </w:r>
    </w:p>
    <w:p w:rsidR="6570A080" w:rsidP="0409B854" w14:paraId="6430E317" w14:textId="64750639">
      <w:pPr>
        <w:numPr>
          <w:ilvl w:val="0"/>
          <w:numId w:val="27"/>
        </w:numPr>
        <w:jc w:val="both"/>
      </w:pPr>
      <w:r>
        <w:t>The special circumstances contained in item 7 b. of the Supporting Statement are not applicable to this information collection.</w:t>
      </w:r>
    </w:p>
    <w:p w:rsidR="00B204A5" w:rsidRPr="006B75CF" w:rsidP="1B73C884" w14:paraId="3E5DBA00" w14:textId="3061A42D">
      <w:pPr>
        <w:numPr>
          <w:ilvl w:val="0"/>
          <w:numId w:val="27"/>
        </w:numPr>
        <w:suppressAutoHyphens/>
        <w:jc w:val="both"/>
      </w:pPr>
      <w:r w:rsidRPr="00903E13">
        <w:rPr>
          <w:spacing w:val="-3"/>
        </w:rPr>
        <w:t xml:space="preserve">The special circumstances contained in item 7 </w:t>
      </w:r>
      <w:r>
        <w:rPr>
          <w:spacing w:val="-3"/>
        </w:rPr>
        <w:t xml:space="preserve">c. </w:t>
      </w:r>
      <w:r w:rsidRPr="00903E13">
        <w:rPr>
          <w:spacing w:val="-3"/>
        </w:rPr>
        <w:t>of the Supporting Statement are not applicable to this information collection</w:t>
      </w:r>
      <w:r>
        <w:rPr>
          <w:spacing w:val="-3"/>
        </w:rPr>
        <w:t>.</w:t>
      </w:r>
    </w:p>
    <w:p w:rsidR="00B204A5" w:rsidRPr="006B75CF" w:rsidP="1B73C884" w14:paraId="2CB57282" w14:textId="2CE42A3D">
      <w:pPr>
        <w:numPr>
          <w:ilvl w:val="0"/>
          <w:numId w:val="27"/>
        </w:numPr>
        <w:suppressAutoHyphens/>
        <w:jc w:val="both"/>
      </w:pPr>
      <w:r w:rsidRPr="00903E13">
        <w:rPr>
          <w:spacing w:val="-3"/>
        </w:rPr>
        <w:t xml:space="preserve">The special circumstances contained in item 7 </w:t>
      </w:r>
      <w:r>
        <w:rPr>
          <w:spacing w:val="-3"/>
        </w:rPr>
        <w:t xml:space="preserve">d. </w:t>
      </w:r>
      <w:r w:rsidRPr="00903E13">
        <w:rPr>
          <w:spacing w:val="-3"/>
        </w:rPr>
        <w:t>of the Supporting Statement are not applicable to this information collection</w:t>
      </w:r>
      <w:r>
        <w:rPr>
          <w:spacing w:val="-3"/>
        </w:rPr>
        <w:t>.</w:t>
      </w:r>
    </w:p>
    <w:p w:rsidR="00B204A5" w:rsidRPr="006B75CF" w:rsidP="1B73C884" w14:paraId="47F6BD44" w14:textId="48354279">
      <w:pPr>
        <w:numPr>
          <w:ilvl w:val="0"/>
          <w:numId w:val="27"/>
        </w:numPr>
        <w:suppressAutoHyphens/>
        <w:jc w:val="both"/>
      </w:pPr>
      <w:r w:rsidRPr="00903E13">
        <w:rPr>
          <w:spacing w:val="-3"/>
        </w:rPr>
        <w:t xml:space="preserve">The special circumstances contained in item 7 </w:t>
      </w:r>
      <w:r>
        <w:rPr>
          <w:spacing w:val="-3"/>
        </w:rPr>
        <w:t xml:space="preserve">e. </w:t>
      </w:r>
      <w:r w:rsidRPr="00903E13">
        <w:rPr>
          <w:spacing w:val="-3"/>
        </w:rPr>
        <w:t>of the Supporting Statement are not applicable to this information collection</w:t>
      </w:r>
      <w:r>
        <w:rPr>
          <w:spacing w:val="-3"/>
        </w:rPr>
        <w:t>.</w:t>
      </w:r>
    </w:p>
    <w:p w:rsidR="00B204A5" w:rsidRPr="006B75CF" w:rsidP="1B73C884" w14:paraId="5FC7C3F3" w14:textId="3E43ED68">
      <w:pPr>
        <w:numPr>
          <w:ilvl w:val="0"/>
          <w:numId w:val="27"/>
        </w:numPr>
        <w:suppressAutoHyphens/>
        <w:jc w:val="both"/>
      </w:pPr>
      <w:r w:rsidRPr="00903E13">
        <w:rPr>
          <w:spacing w:val="-3"/>
        </w:rPr>
        <w:t xml:space="preserve">The special circumstances contained in item 7 </w:t>
      </w:r>
      <w:r>
        <w:rPr>
          <w:spacing w:val="-3"/>
        </w:rPr>
        <w:t xml:space="preserve">f. </w:t>
      </w:r>
      <w:r w:rsidRPr="00903E13">
        <w:rPr>
          <w:spacing w:val="-3"/>
        </w:rPr>
        <w:t>of the Supporting Statement are not applicable to this information collection</w:t>
      </w:r>
      <w:r>
        <w:rPr>
          <w:spacing w:val="-3"/>
        </w:rPr>
        <w:t>.</w:t>
      </w:r>
    </w:p>
    <w:p w:rsidR="00B204A5" w:rsidRPr="00596554" w:rsidP="2C54D83D" w14:paraId="0DB530D9" w14:textId="19F4FB0C">
      <w:pPr>
        <w:numPr>
          <w:ilvl w:val="0"/>
          <w:numId w:val="27"/>
        </w:numPr>
        <w:suppressAutoHyphens/>
        <w:jc w:val="both"/>
      </w:pPr>
      <w:r w:rsidRPr="00596554">
        <w:rPr>
          <w:spacing w:val="-3"/>
        </w:rPr>
        <w:t xml:space="preserve">Providing and fulfilling data privacy pledges are a key element in building respondent trust in data collections and ensuring adequate response rates to meet assessment needs. </w:t>
      </w:r>
      <w:r w:rsidRPr="00596554" w:rsidR="494865E2">
        <w:rPr>
          <w:spacing w:val="-3"/>
        </w:rPr>
        <w:t>CISA ECD has partnered with CISA OCIO to understand and formalize information security requirements for survey response datasets that define deidentification, anonymization, and aggregation requirements as these pertain to information sharing</w:t>
      </w:r>
      <w:r w:rsidRPr="00596554" w:rsidR="009916A5">
        <w:rPr>
          <w:spacing w:val="-3"/>
        </w:rPr>
        <w:t>.</w:t>
      </w:r>
      <w:r w:rsidRPr="00596554" w:rsidR="628079F5">
        <w:rPr>
          <w:spacing w:val="-3"/>
        </w:rPr>
        <w:t xml:space="preserve"> Confidentiality pledges provided to SNS respondents will clearly specify what type of information may be shared with partners (e.g., deidentified row-level response data or aggregate response information only). No </w:t>
      </w:r>
      <w:r w:rsidRPr="00596554" w:rsidR="6F92A731">
        <w:rPr>
          <w:spacing w:val="-3"/>
        </w:rPr>
        <w:t>row-level</w:t>
      </w:r>
      <w:r w:rsidRPr="00596554" w:rsidR="009916A5">
        <w:rPr>
          <w:spacing w:val="-3"/>
        </w:rPr>
        <w:t xml:space="preserve"> </w:t>
      </w:r>
      <w:r w:rsidRPr="00596554" w:rsidR="06E97604">
        <w:rPr>
          <w:spacing w:val="-3"/>
        </w:rPr>
        <w:t xml:space="preserve">response data sharing requirements exist in legislative requirements that would prevent ECD from fulfilling this pledge. </w:t>
      </w:r>
    </w:p>
    <w:p w:rsidR="008147A1" w:rsidRPr="005778EE" w:rsidP="1B73C884" w14:paraId="0B31F1B9" w14:textId="3A66A0EF">
      <w:pPr>
        <w:numPr>
          <w:ilvl w:val="0"/>
          <w:numId w:val="27"/>
        </w:numPr>
        <w:suppressAutoHyphens/>
        <w:spacing w:after="120"/>
        <w:jc w:val="both"/>
      </w:pPr>
      <w:r w:rsidRPr="00596554">
        <w:rPr>
          <w:spacing w:val="-3"/>
        </w:rPr>
        <w:t xml:space="preserve">This collection will not require responders to submit proprietary trade secrets and other confidential information. </w:t>
      </w:r>
    </w:p>
    <w:p w:rsidR="005778EE" w:rsidP="005778EE" w14:paraId="7ABDBF4D" w14:textId="77777777">
      <w:pPr>
        <w:suppressAutoHyphens/>
        <w:spacing w:after="120"/>
        <w:ind w:left="720"/>
        <w:jc w:val="both"/>
      </w:pPr>
    </w:p>
    <w:p w:rsidR="00EB5E96" w:rsidRPr="00FE192B" w:rsidP="004C21F8" w14:paraId="16130E11" w14:textId="77777777">
      <w:pPr>
        <w:shd w:val="pct25" w:color="auto" w:fill="auto"/>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FE192B">
        <w:t xml:space="preserve">8.  Federal Register Notice: </w:t>
      </w:r>
    </w:p>
    <w:p w:rsidR="00EB5E96" w:rsidRPr="00FE192B" w:rsidP="1B73C884" w14:paraId="740F5D11" w14:textId="77777777">
      <w:pPr>
        <w:shd w:val="clear" w:color="auto" w:fill="C0C0C0"/>
        <w:suppressAutoHyphens/>
        <w:spacing w:after="120"/>
        <w:jc w:val="both"/>
      </w:pPr>
      <w:r w:rsidRPr="1B73C884">
        <w:rPr>
          <w:color w:val="2B579A"/>
        </w:rPr>
        <w:fldChar w:fldCharType="begin"/>
      </w:r>
      <w:r>
        <w:instrText>ADVANCE \R 0.95</w:instrText>
      </w:r>
      <w:r w:rsidRPr="1B73C884">
        <w:rPr>
          <w:color w:val="2B579A"/>
        </w:rPr>
        <w:fldChar w:fldCharType="end"/>
      </w:r>
      <w:r w:rsidRPr="1B73C884">
        <w:rPr>
          <w:color w:val="2B579A"/>
        </w:rPr>
        <w:fldChar w:fldCharType="begin"/>
      </w:r>
      <w:r>
        <w:instrText>ADVANCE \R 0.95</w:instrText>
      </w:r>
      <w:r w:rsidRPr="1B73C884">
        <w:rPr>
          <w:color w:val="2B579A"/>
        </w:rPr>
        <w:fldChar w:fldCharType="end"/>
      </w:r>
      <w:r>
        <w:t>a.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B5E96" w:rsidRPr="002B569C" w:rsidP="1B73C884" w14:paraId="0C724C8A" w14:textId="77777777">
      <w:pPr>
        <w:suppressAutoHyphens/>
        <w:spacing w:after="120"/>
        <w:jc w:val="both"/>
      </w:pPr>
      <w:r w:rsidRPr="1B73C884">
        <w:rPr>
          <w:color w:val="2B579A"/>
          <w:highlight w:val="yellow"/>
        </w:rPr>
        <w:fldChar w:fldCharType="begin"/>
      </w:r>
      <w:r w:rsidRPr="1B73C884">
        <w:rPr>
          <w:highlight w:val="yellow"/>
        </w:rPr>
        <w:instrText>ADVANCE \R 0.95</w:instrText>
      </w:r>
      <w:r w:rsidRPr="1B73C884">
        <w:rPr>
          <w:color w:val="2B579A"/>
          <w:highlight w:val="yellow"/>
        </w:rPr>
        <w:fldChar w:fldCharType="end"/>
      </w:r>
      <w:r w:rsidRPr="1B73C884">
        <w:rPr>
          <w:color w:val="2B579A"/>
          <w:highlight w:val="yellow"/>
        </w:rPr>
        <w:fldChar w:fldCharType="begin"/>
      </w:r>
      <w:r w:rsidRPr="1B73C884">
        <w:rPr>
          <w:highlight w:val="yellow"/>
        </w:rPr>
        <w:instrText>ADVANCE \R 0.95</w:instrText>
      </w:r>
      <w:r w:rsidRPr="1B73C884">
        <w:rPr>
          <w:color w:val="2B579A"/>
          <w:highlight w:val="yellow"/>
        </w:rPr>
        <w:fldChar w:fldCharType="end"/>
      </w:r>
      <w:r>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2B569C" w:rsidRPr="008147A1" w:rsidP="1B73C884" w14:paraId="2A543C37" w14:textId="5B4951E0">
      <w:pPr>
        <w:suppressAutoHyphens/>
        <w:spacing w:after="120"/>
        <w:jc w:val="both"/>
        <w:rPr>
          <w:highlight w:val="yellow"/>
        </w:rPr>
      </w:pPr>
      <w:r w:rsidRPr="1B73C884">
        <w:rPr>
          <w:color w:val="2B579A"/>
        </w:rPr>
        <w:fldChar w:fldCharType="begin"/>
      </w:r>
      <w:r>
        <w:instrText>ADVANCE \R 0.95</w:instrText>
      </w:r>
      <w:r w:rsidRPr="1B73C884">
        <w:rPr>
          <w:color w:val="2B579A"/>
        </w:rPr>
        <w:fldChar w:fldCharType="end"/>
      </w:r>
      <w:r>
        <w:t xml:space="preserve">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rsidR="001A740B" w:rsidRPr="00D73BBC" w:rsidP="742C2D33" w14:paraId="48094CD7" w14:textId="584BF61B">
      <w:pPr>
        <w:suppressAutoHyphens/>
        <w:spacing w:before="60"/>
        <w:jc w:val="both"/>
        <w:rPr>
          <w:i/>
          <w:spacing w:val="-3"/>
          <w:sz w:val="20"/>
          <w:szCs w:val="20"/>
        </w:rPr>
      </w:pPr>
      <w:r w:rsidRPr="008147A1">
        <w:rPr>
          <w:color w:val="2B579A"/>
          <w:highlight w:val="yellow"/>
          <w:shd w:val="clear" w:color="auto" w:fill="E6E6E6"/>
        </w:rPr>
        <w:fldChar w:fldCharType="begin"/>
      </w:r>
      <w:r w:rsidRPr="008147A1">
        <w:rPr>
          <w:highlight w:val="yellow"/>
        </w:rPr>
        <w:instrText>ADVANCE \R 0.95</w:instrText>
      </w:r>
      <w:r w:rsidRPr="008147A1">
        <w:rPr>
          <w:color w:val="2B579A"/>
          <w:highlight w:val="yellow"/>
          <w:shd w:val="clear" w:color="auto" w:fill="E6E6E6"/>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9"/>
        <w:gridCol w:w="2246"/>
        <w:gridCol w:w="1016"/>
        <w:gridCol w:w="1604"/>
        <w:gridCol w:w="1065"/>
        <w:gridCol w:w="1369"/>
      </w:tblGrid>
      <w:tr w14:paraId="0547B1A7" w14:textId="77777777" w:rsidTr="00F31BB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99" w:type="dxa"/>
            <w:shd w:val="clear" w:color="auto" w:fill="000000"/>
          </w:tcPr>
          <w:p w:rsidR="00F31BB4" w:rsidRPr="00FE192B" w:rsidP="00D3411B" w14:paraId="02D1FB26" w14:textId="77777777">
            <w:pPr>
              <w:tabs>
                <w:tab w:val="left" w:pos="-720"/>
              </w:tabs>
              <w:suppressAutoHyphens/>
              <w:jc w:val="both"/>
            </w:pPr>
          </w:p>
        </w:tc>
        <w:tc>
          <w:tcPr>
            <w:tcW w:w="2246" w:type="dxa"/>
            <w:shd w:val="clear" w:color="auto" w:fill="BFBFBF"/>
          </w:tcPr>
          <w:p w:rsidR="00F31BB4" w:rsidRPr="00FE192B" w:rsidP="00D3411B" w14:paraId="4C9C8D01" w14:textId="77777777">
            <w:pPr>
              <w:tabs>
                <w:tab w:val="left" w:pos="-720"/>
              </w:tabs>
              <w:suppressAutoHyphens/>
              <w:jc w:val="center"/>
              <w:rPr>
                <w:b/>
              </w:rPr>
            </w:pPr>
            <w:r w:rsidRPr="00FE192B">
              <w:rPr>
                <w:b/>
              </w:rPr>
              <w:t>Date of Publication</w:t>
            </w:r>
          </w:p>
        </w:tc>
        <w:tc>
          <w:tcPr>
            <w:tcW w:w="379" w:type="dxa"/>
            <w:shd w:val="clear" w:color="auto" w:fill="BFBFBF"/>
            <w:vAlign w:val="center"/>
          </w:tcPr>
          <w:p w:rsidR="00F31BB4" w:rsidRPr="00FE192B" w:rsidP="00D3411B" w14:paraId="2CDA3065" w14:textId="1393A166">
            <w:pPr>
              <w:tabs>
                <w:tab w:val="left" w:pos="-720"/>
              </w:tabs>
              <w:suppressAutoHyphens/>
              <w:jc w:val="center"/>
              <w:rPr>
                <w:b/>
              </w:rPr>
            </w:pPr>
            <w:r w:rsidRPr="00FE192B">
              <w:rPr>
                <w:b/>
              </w:rPr>
              <w:t>Volume #</w:t>
            </w:r>
          </w:p>
        </w:tc>
        <w:tc>
          <w:tcPr>
            <w:tcW w:w="1604" w:type="dxa"/>
            <w:shd w:val="clear" w:color="auto" w:fill="BFBFBF"/>
            <w:vAlign w:val="center"/>
          </w:tcPr>
          <w:p w:rsidR="00F31BB4" w:rsidRPr="00FE192B" w:rsidP="00D3411B" w14:paraId="497F4BC9" w14:textId="77777777">
            <w:pPr>
              <w:tabs>
                <w:tab w:val="left" w:pos="-720"/>
              </w:tabs>
              <w:suppressAutoHyphens/>
              <w:jc w:val="center"/>
              <w:rPr>
                <w:b/>
              </w:rPr>
            </w:pPr>
            <w:r w:rsidRPr="00FE192B">
              <w:rPr>
                <w:b/>
              </w:rPr>
              <w:t>Number #</w:t>
            </w:r>
          </w:p>
        </w:tc>
        <w:tc>
          <w:tcPr>
            <w:tcW w:w="1065" w:type="dxa"/>
            <w:shd w:val="clear" w:color="auto" w:fill="BFBFBF"/>
            <w:vAlign w:val="center"/>
          </w:tcPr>
          <w:p w:rsidR="00F31BB4" w:rsidRPr="00FE192B" w:rsidP="00D3411B" w14:paraId="338B4798" w14:textId="77777777">
            <w:pPr>
              <w:tabs>
                <w:tab w:val="left" w:pos="-720"/>
              </w:tabs>
              <w:suppressAutoHyphens/>
              <w:jc w:val="center"/>
              <w:rPr>
                <w:b/>
              </w:rPr>
            </w:pPr>
            <w:r w:rsidRPr="00FE192B">
              <w:rPr>
                <w:b/>
              </w:rPr>
              <w:t>Page #</w:t>
            </w:r>
          </w:p>
        </w:tc>
        <w:tc>
          <w:tcPr>
            <w:tcW w:w="1369" w:type="dxa"/>
            <w:shd w:val="clear" w:color="auto" w:fill="BFBFBF"/>
          </w:tcPr>
          <w:p w:rsidR="00F31BB4" w:rsidRPr="00FE192B" w:rsidP="00D3411B" w14:paraId="01466970" w14:textId="77777777">
            <w:pPr>
              <w:tabs>
                <w:tab w:val="left" w:pos="-720"/>
              </w:tabs>
              <w:suppressAutoHyphens/>
              <w:jc w:val="center"/>
              <w:rPr>
                <w:b/>
              </w:rPr>
            </w:pPr>
            <w:r w:rsidRPr="00FE192B">
              <w:rPr>
                <w:b/>
              </w:rPr>
              <w:t>Comments Addressed</w:t>
            </w:r>
          </w:p>
        </w:tc>
      </w:tr>
      <w:tr w14:paraId="37901893" w14:textId="77777777" w:rsidTr="00F31BB4">
        <w:tblPrEx>
          <w:tblW w:w="0" w:type="auto"/>
          <w:tblLook w:val="04A0"/>
        </w:tblPrEx>
        <w:tc>
          <w:tcPr>
            <w:tcW w:w="1799" w:type="dxa"/>
          </w:tcPr>
          <w:p w:rsidR="00F31BB4" w:rsidRPr="00FE192B" w:rsidP="00D3411B" w14:paraId="2A76FD7B" w14:textId="5F66671A">
            <w:pPr>
              <w:tabs>
                <w:tab w:val="left" w:pos="-720"/>
              </w:tabs>
              <w:suppressAutoHyphens/>
              <w:rPr>
                <w:i/>
              </w:rPr>
            </w:pPr>
            <w:r w:rsidRPr="00FE192B">
              <w:rPr>
                <w:i/>
              </w:rPr>
              <w:t>60</w:t>
            </w:r>
            <w:r>
              <w:rPr>
                <w:i/>
              </w:rPr>
              <w:t>-</w:t>
            </w:r>
            <w:r w:rsidRPr="00FE192B">
              <w:rPr>
                <w:i/>
              </w:rPr>
              <w:t>Day Federal Register Notice:</w:t>
            </w:r>
          </w:p>
        </w:tc>
        <w:tc>
          <w:tcPr>
            <w:tcW w:w="2246" w:type="dxa"/>
          </w:tcPr>
          <w:p w:rsidR="00F31BB4" w:rsidRPr="00767509" w:rsidP="00712253" w14:paraId="31E7244B" w14:textId="35C95C9A">
            <w:pPr>
              <w:tabs>
                <w:tab w:val="left" w:pos="-720"/>
              </w:tabs>
              <w:suppressAutoHyphens/>
              <w:jc w:val="center"/>
            </w:pPr>
            <w:r>
              <w:t>8/25/2025</w:t>
            </w:r>
          </w:p>
        </w:tc>
        <w:tc>
          <w:tcPr>
            <w:tcW w:w="379" w:type="dxa"/>
          </w:tcPr>
          <w:p w:rsidR="00F31BB4" w:rsidRPr="00767509" w:rsidP="00064C91" w14:paraId="0B682C2D" w14:textId="0A579DD1">
            <w:pPr>
              <w:tabs>
                <w:tab w:val="left" w:pos="-720"/>
              </w:tabs>
              <w:suppressAutoHyphens/>
              <w:jc w:val="center"/>
            </w:pPr>
            <w:r>
              <w:t>90</w:t>
            </w:r>
          </w:p>
        </w:tc>
        <w:tc>
          <w:tcPr>
            <w:tcW w:w="1604" w:type="dxa"/>
          </w:tcPr>
          <w:p w:rsidR="00F31BB4" w:rsidRPr="00767509" w:rsidP="00064C91" w14:paraId="36736ACA" w14:textId="53067795">
            <w:pPr>
              <w:tabs>
                <w:tab w:val="left" w:pos="-720"/>
              </w:tabs>
              <w:suppressAutoHyphens/>
              <w:jc w:val="center"/>
            </w:pPr>
            <w:r>
              <w:t>162</w:t>
            </w:r>
          </w:p>
        </w:tc>
        <w:tc>
          <w:tcPr>
            <w:tcW w:w="1065" w:type="dxa"/>
          </w:tcPr>
          <w:p w:rsidR="00F31BB4" w:rsidRPr="00767509" w:rsidP="00064C91" w14:paraId="04D49E91" w14:textId="63D97C48">
            <w:pPr>
              <w:tabs>
                <w:tab w:val="left" w:pos="-720"/>
              </w:tabs>
              <w:suppressAutoHyphens/>
              <w:jc w:val="center"/>
            </w:pPr>
            <w:r>
              <w:t>41400-41402</w:t>
            </w:r>
          </w:p>
        </w:tc>
        <w:tc>
          <w:tcPr>
            <w:tcW w:w="1369" w:type="dxa"/>
          </w:tcPr>
          <w:p w:rsidR="00F31BB4" w:rsidRPr="00767509" w:rsidP="00064C91" w14:paraId="6BD3CDEE" w14:textId="5B031BAC">
            <w:pPr>
              <w:tabs>
                <w:tab w:val="left" w:pos="-720"/>
              </w:tabs>
              <w:suppressAutoHyphens/>
              <w:jc w:val="center"/>
            </w:pPr>
            <w:r>
              <w:t>0</w:t>
            </w:r>
          </w:p>
        </w:tc>
      </w:tr>
      <w:tr w14:paraId="08C957E4" w14:textId="77777777" w:rsidTr="00F31BB4">
        <w:tblPrEx>
          <w:tblW w:w="0" w:type="auto"/>
          <w:tblLook w:val="04A0"/>
        </w:tblPrEx>
        <w:tc>
          <w:tcPr>
            <w:tcW w:w="1799" w:type="dxa"/>
          </w:tcPr>
          <w:p w:rsidR="00F31BB4" w:rsidRPr="00FE192B" w:rsidP="001567A1" w14:paraId="2E0B95A5" w14:textId="768E37EB">
            <w:pPr>
              <w:tabs>
                <w:tab w:val="left" w:pos="-720"/>
              </w:tabs>
              <w:suppressAutoHyphens/>
            </w:pPr>
            <w:r w:rsidRPr="00FE192B">
              <w:rPr>
                <w:i/>
              </w:rPr>
              <w:t>30-Day Federal Register Notice</w:t>
            </w:r>
            <w:r>
              <w:rPr>
                <w:i/>
              </w:rPr>
              <w:t>:</w:t>
            </w:r>
          </w:p>
        </w:tc>
        <w:tc>
          <w:tcPr>
            <w:tcW w:w="2246" w:type="dxa"/>
          </w:tcPr>
          <w:p w:rsidR="00F31BB4" w:rsidRPr="00767509" w:rsidP="00712253" w14:paraId="0D78B768" w14:textId="016CB742">
            <w:pPr>
              <w:tabs>
                <w:tab w:val="left" w:pos="-720"/>
              </w:tabs>
              <w:suppressAutoHyphens/>
              <w:jc w:val="center"/>
            </w:pPr>
            <w:r>
              <w:t>11/28/2025</w:t>
            </w:r>
          </w:p>
        </w:tc>
        <w:tc>
          <w:tcPr>
            <w:tcW w:w="379" w:type="dxa"/>
          </w:tcPr>
          <w:p w:rsidR="00F31BB4" w:rsidRPr="00767509" w:rsidP="00064C91" w14:paraId="6B20C9CD" w14:textId="388F8E2A">
            <w:pPr>
              <w:tabs>
                <w:tab w:val="left" w:pos="-720"/>
              </w:tabs>
              <w:suppressAutoHyphens/>
              <w:jc w:val="center"/>
            </w:pPr>
            <w:r>
              <w:t>90</w:t>
            </w:r>
          </w:p>
        </w:tc>
        <w:tc>
          <w:tcPr>
            <w:tcW w:w="1604" w:type="dxa"/>
          </w:tcPr>
          <w:p w:rsidR="00F31BB4" w:rsidRPr="00767509" w:rsidP="00064C91" w14:paraId="63EAA014" w14:textId="7DDB28DC">
            <w:pPr>
              <w:tabs>
                <w:tab w:val="left" w:pos="-720"/>
              </w:tabs>
              <w:suppressAutoHyphens/>
              <w:jc w:val="center"/>
            </w:pPr>
            <w:r>
              <w:t>227</w:t>
            </w:r>
          </w:p>
        </w:tc>
        <w:tc>
          <w:tcPr>
            <w:tcW w:w="1065" w:type="dxa"/>
          </w:tcPr>
          <w:p w:rsidR="00F31BB4" w:rsidRPr="00767509" w:rsidP="00064C91" w14:paraId="3B0BFA9B" w14:textId="24F2BF1D">
            <w:pPr>
              <w:tabs>
                <w:tab w:val="left" w:pos="-720"/>
              </w:tabs>
              <w:suppressAutoHyphens/>
              <w:jc w:val="center"/>
            </w:pPr>
            <w:r w:rsidRPr="00A96F1A">
              <w:t>54732-54733</w:t>
            </w:r>
          </w:p>
        </w:tc>
        <w:tc>
          <w:tcPr>
            <w:tcW w:w="1369" w:type="dxa"/>
          </w:tcPr>
          <w:p w:rsidR="00F31BB4" w:rsidRPr="00767509" w:rsidP="00064C91" w14:paraId="5599CFE5" w14:textId="0F9A7AB4">
            <w:pPr>
              <w:tabs>
                <w:tab w:val="left" w:pos="-720"/>
              </w:tabs>
              <w:suppressAutoHyphens/>
              <w:jc w:val="center"/>
            </w:pPr>
            <w:r>
              <w:t>0</w:t>
            </w:r>
          </w:p>
        </w:tc>
      </w:tr>
    </w:tbl>
    <w:p w:rsidR="00B67664" w:rsidP="000C4293" w14:paraId="2F3D752F" w14:textId="77777777">
      <w:pPr>
        <w:tabs>
          <w:tab w:val="left" w:pos="-720"/>
        </w:tabs>
        <w:suppressAutoHyphens/>
        <w:jc w:val="both"/>
      </w:pPr>
    </w:p>
    <w:p w:rsidR="00FB503F" w:rsidP="1B73C884" w14:paraId="2E49A2CB" w14:textId="33722750">
      <w:pPr>
        <w:suppressAutoHyphens/>
        <w:spacing w:after="120"/>
        <w:jc w:val="both"/>
      </w:pPr>
      <w:r>
        <w:t>ECD will work with the SAFECOM organization, with which it has a statutory role; the National Council of Statewide Interoperability Coordinators (NCSWIC), and other relevant stakeholder associations</w:t>
      </w:r>
      <w:r w:rsidR="00607931">
        <w:t xml:space="preserve"> to develop the SNS and any supplemental surveys</w:t>
      </w:r>
      <w:r>
        <w:t>.  ECD will utilize regular SAFECOM and NCSWIC meetings, which it hosts, and other available opportunities for this purpose.</w:t>
      </w:r>
    </w:p>
    <w:p w:rsidR="005778EE" w:rsidP="1B73C884" w14:paraId="6688B024" w14:textId="77777777">
      <w:pPr>
        <w:suppressAutoHyphens/>
        <w:spacing w:after="120"/>
        <w:jc w:val="both"/>
      </w:pPr>
    </w:p>
    <w:p w:rsidR="00EB5E96" w:rsidRPr="00596A43" w:rsidP="2E82B73B" w14:paraId="21847416" w14:textId="694946AE">
      <w:pPr>
        <w:suppressAutoHyphens/>
      </w:pPr>
      <w:r w:rsidRPr="1B73C884">
        <w:rPr>
          <w:color w:val="2B579A"/>
        </w:rPr>
        <w:fldChar w:fldCharType="begin"/>
      </w:r>
      <w:r>
        <w:instrText>ADVANCE \R 0.95</w:instrText>
      </w:r>
      <w:r w:rsidRPr="1B73C884">
        <w:rPr>
          <w:color w:val="2B579A"/>
        </w:rPr>
        <w:fldChar w:fldCharType="end"/>
      </w:r>
      <w:r>
        <w:t>9. Explain any decision to provide any payment or gift to respondents, other than remuneration of contractors or grantees.</w:t>
      </w:r>
    </w:p>
    <w:p w:rsidR="00D73BBC" w:rsidRPr="00D73BBC" w:rsidP="742C2D33" w14:paraId="7773F85D" w14:textId="4BAD4AE8">
      <w:pPr>
        <w:suppressAutoHyphens/>
        <w:spacing w:before="60"/>
        <w:jc w:val="both"/>
        <w:rPr>
          <w:i/>
          <w:spacing w:val="-3"/>
          <w:sz w:val="20"/>
          <w:szCs w:val="20"/>
        </w:rPr>
      </w:pPr>
    </w:p>
    <w:p w:rsidR="006235FF" w:rsidP="00DE5954" w14:paraId="643C3F6A" w14:textId="2BBB4AC5">
      <w:pPr>
        <w:tabs>
          <w:tab w:val="left" w:pos="-720"/>
        </w:tabs>
        <w:suppressAutoHyphens/>
        <w:spacing w:after="120"/>
        <w:jc w:val="both"/>
      </w:pPr>
      <w:r w:rsidRPr="001C4E52">
        <w:t xml:space="preserve">There is no offer of monetary or material value for this information collection. </w:t>
      </w:r>
    </w:p>
    <w:p w:rsidR="005778EE" w:rsidRPr="00596A43" w:rsidP="00DE5954" w14:paraId="5F08DA89" w14:textId="77777777">
      <w:pPr>
        <w:tabs>
          <w:tab w:val="left" w:pos="-720"/>
        </w:tabs>
        <w:suppressAutoHyphens/>
        <w:spacing w:after="120"/>
        <w:jc w:val="both"/>
      </w:pPr>
    </w:p>
    <w:p w:rsidR="00EB5E96" w:rsidRPr="00596A43" w:rsidP="1B73C884" w14:paraId="7659A543" w14:textId="3B29617F">
      <w:pPr>
        <w:suppressAutoHyphens/>
        <w:jc w:val="both"/>
      </w:pPr>
      <w:r w:rsidRPr="1B73C884">
        <w:rPr>
          <w:color w:val="2B579A"/>
        </w:rPr>
        <w:fldChar w:fldCharType="begin"/>
      </w:r>
      <w:r>
        <w:instrText>ADVANCE \R 0.95</w:instrText>
      </w:r>
      <w:r w:rsidRPr="1B73C884">
        <w:rPr>
          <w:color w:val="2B579A"/>
        </w:rPr>
        <w:fldChar w:fldCharType="end"/>
      </w:r>
      <w:r>
        <w:t xml:space="preserve">10. Describe any assurance of confidentiality provided to respondents and the basis for the assurance in statute, regulation, or agency policy.  </w:t>
      </w:r>
    </w:p>
    <w:p w:rsidR="00D73BBC" w:rsidRPr="00FE192B" w:rsidP="742C2D33" w14:paraId="14F90C31" w14:textId="17B4B706">
      <w:pPr>
        <w:suppressAutoHyphens/>
        <w:spacing w:before="60"/>
        <w:jc w:val="both"/>
        <w:rPr>
          <w:i/>
          <w:spacing w:val="-3"/>
          <w:sz w:val="20"/>
          <w:szCs w:val="20"/>
          <w:highlight w:val="yellow"/>
        </w:rPr>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p>
    <w:p w:rsidR="00F628C3" w:rsidP="00DE5954" w14:paraId="3155803B" w14:textId="0B73E429">
      <w:pPr>
        <w:spacing w:after="120"/>
        <w:rPr>
          <w:color w:val="000000"/>
        </w:rPr>
      </w:pPr>
      <w:r w:rsidRPr="1B73C884">
        <w:rPr>
          <w:color w:val="000000" w:themeColor="text1"/>
        </w:rPr>
        <w:t xml:space="preserve">There are no assurances of confidentiality provided to the respondents for this information collection. This collection is not privacy sensitive, since there is no Personally Identifiable Information (PII) collected or retrieved. Therefore, this collection is not impacted by the Privacy Act and does not require a Privacy Impact Assessment (PIA) or System of Records Notice (SORN). </w:t>
      </w:r>
    </w:p>
    <w:p w:rsidR="001709D4" w:rsidP="00DE5954" w14:paraId="35767A6F" w14:textId="3E125472">
      <w:pPr>
        <w:spacing w:after="120"/>
        <w:rPr>
          <w:spacing w:val="-3"/>
        </w:rPr>
      </w:pPr>
      <w:r w:rsidRPr="001C4E52">
        <w:rPr>
          <w:spacing w:val="-3"/>
        </w:rPr>
        <w:t>No questions will be asked that may jeopardize the pri</w:t>
      </w:r>
      <w:r>
        <w:rPr>
          <w:spacing w:val="-3"/>
        </w:rPr>
        <w:t xml:space="preserve">vacy of any respondent. </w:t>
      </w:r>
      <w:r w:rsidRPr="001C4E52" w:rsidR="1DE36014">
        <w:rPr>
          <w:spacing w:val="-3"/>
        </w:rPr>
        <w:t>Respondents will be instructed not to provide PII in response to any question on the instrument, and any PII received will be removed from the results as part of data cleaning, preventing it from ever being included in analysis and archival datasets</w:t>
      </w:r>
      <w:r w:rsidRPr="001C4E52">
        <w:rPr>
          <w:spacing w:val="-3"/>
        </w:rPr>
        <w:t>.  Therefore, this collection is not impacted by the Privacy Act.</w:t>
      </w:r>
    </w:p>
    <w:p w:rsidR="005778EE" w:rsidP="00DE5954" w14:paraId="57CDF3F2" w14:textId="77777777">
      <w:pPr>
        <w:spacing w:after="120"/>
        <w:rPr>
          <w:color w:val="000000"/>
        </w:rPr>
      </w:pPr>
    </w:p>
    <w:p w:rsidR="00EB5E96" w:rsidRPr="00596A43" w:rsidP="1B73C884" w14:paraId="43510B82" w14:textId="13D4FAE7">
      <w:pPr>
        <w:suppressAutoHyphens/>
        <w:jc w:val="both"/>
      </w:pPr>
      <w: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D73BBC" w:rsidRPr="00D73BBC" w:rsidP="742C2D33" w14:paraId="278BD496" w14:textId="25C9E5D5">
      <w:pPr>
        <w:suppressAutoHyphens/>
        <w:spacing w:before="60"/>
        <w:jc w:val="both"/>
        <w:rPr>
          <w:i/>
          <w:spacing w:val="-3"/>
          <w:sz w:val="20"/>
          <w:szCs w:val="20"/>
        </w:rPr>
      </w:pPr>
    </w:p>
    <w:p w:rsidR="006235FF" w:rsidP="00DE5954" w14:paraId="25257B0F" w14:textId="2842F4EF">
      <w:pPr>
        <w:shd w:val="clear" w:color="auto" w:fill="FFFFFF"/>
        <w:tabs>
          <w:tab w:val="left" w:pos="-720"/>
        </w:tabs>
        <w:suppressAutoHyphens/>
        <w:spacing w:after="120"/>
        <w:jc w:val="both"/>
      </w:pPr>
      <w:r w:rsidRPr="001709D4">
        <w:t>There are no questions of a sensitive nature.</w:t>
      </w:r>
      <w:r w:rsidRPr="001C4E52">
        <w:t xml:space="preserve"> </w:t>
      </w:r>
    </w:p>
    <w:p w:rsidR="005778EE" w:rsidRPr="00596A43" w:rsidP="00DE5954" w14:paraId="1E14F0C8" w14:textId="77777777">
      <w:pPr>
        <w:shd w:val="clear" w:color="auto" w:fill="FFFFFF"/>
        <w:tabs>
          <w:tab w:val="left" w:pos="-720"/>
        </w:tabs>
        <w:suppressAutoHyphens/>
        <w:spacing w:after="120"/>
        <w:jc w:val="both"/>
      </w:pPr>
    </w:p>
    <w:p w:rsidR="00EB5E96" w:rsidRPr="00596A43" w:rsidP="1B73C884" w14:paraId="463C2AF0" w14:textId="0DAD8232">
      <w:pPr>
        <w:shd w:val="clear" w:color="auto" w:fill="FFFFFF" w:themeFill="background1"/>
        <w:suppressAutoHyphens/>
        <w:spacing w:after="120"/>
        <w:jc w:val="both"/>
      </w:pPr>
      <w:r w:rsidRPr="1B73C884">
        <w:rPr>
          <w:color w:val="2B579A"/>
        </w:rPr>
        <w:fldChar w:fldCharType="begin"/>
      </w:r>
      <w:r>
        <w:instrText>ADVANCE \R 0.95</w:instrText>
      </w:r>
      <w:r w:rsidRPr="1B73C884">
        <w:rPr>
          <w:color w:val="2B579A"/>
        </w:rPr>
        <w:fldChar w:fldCharType="end"/>
      </w:r>
      <w:r w:rsidRPr="1B73C884">
        <w:rPr>
          <w:color w:val="2B579A"/>
        </w:rPr>
        <w:fldChar w:fldCharType="begin"/>
      </w:r>
      <w:r>
        <w:instrText>ADVANCE \R 0.95</w:instrText>
      </w:r>
      <w:r w:rsidRPr="1B73C884">
        <w:rPr>
          <w:color w:val="2B579A"/>
        </w:rPr>
        <w:fldChar w:fldCharType="end"/>
      </w:r>
      <w:r>
        <w:t>12. Provide estimates of the hour burden of the collection of information.  The statement should:</w:t>
      </w:r>
      <w:r w:rsidRPr="1B73C884">
        <w:rPr>
          <w:color w:val="2B579A"/>
        </w:rPr>
        <w:fldChar w:fldCharType="begin"/>
      </w:r>
      <w:r>
        <w:instrText>ADVANCE \R 0.95</w:instrText>
      </w:r>
      <w:r w:rsidRPr="1B73C884">
        <w:rPr>
          <w:color w:val="2B579A"/>
        </w:rPr>
        <w:fldChar w:fldCharType="end"/>
      </w:r>
    </w:p>
    <w:p w:rsidR="00EB5E96" w:rsidRPr="00596A43" w:rsidP="7F6A3EFC" w14:paraId="0D480F49" w14:textId="05C93B3D">
      <w:pPr>
        <w:suppressAutoHyphens/>
        <w:jc w:val="both"/>
      </w:pPr>
      <w:r w:rsidRPr="1B73C884">
        <w:rPr>
          <w:color w:val="2B579A"/>
        </w:rPr>
        <w:fldChar w:fldCharType="begin"/>
      </w:r>
      <w:r>
        <w:instrText>ADVANCE \R 0.95</w:instrText>
      </w:r>
      <w:r w:rsidRPr="1B73C884">
        <w:rPr>
          <w:color w:val="2B579A"/>
        </w:rPr>
        <w:fldChar w:fldCharType="end"/>
      </w:r>
      <w:r w:rsidR="00C170EE">
        <w:t xml:space="preserve">a. </w:t>
      </w:r>
      <w: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B5E96" w:rsidRPr="00596A43" w:rsidP="000C4293" w14:paraId="207F0BAF" w14:textId="77777777">
      <w:pPr>
        <w:pStyle w:val="BodyText3"/>
        <w:jc w:val="both"/>
        <w:rPr>
          <w:sz w:val="24"/>
          <w:szCs w:val="24"/>
        </w:rPr>
      </w:pPr>
      <w:r w:rsidRPr="00596A43">
        <w:rPr>
          <w:color w:val="2B579A"/>
          <w:sz w:val="24"/>
          <w:szCs w:val="24"/>
          <w:shd w:val="clear" w:color="auto" w:fill="E6E6E6"/>
        </w:rPr>
        <w:fldChar w:fldCharType="begin"/>
      </w:r>
      <w:r w:rsidRPr="00596A43">
        <w:rPr>
          <w:sz w:val="24"/>
          <w:szCs w:val="24"/>
        </w:rPr>
        <w:instrText>ADVANCE \R 0.95</w:instrText>
      </w:r>
      <w:r w:rsidRPr="00596A43">
        <w:rPr>
          <w:color w:val="2B579A"/>
          <w:sz w:val="24"/>
          <w:szCs w:val="24"/>
          <w:shd w:val="clear" w:color="auto" w:fill="E6E6E6"/>
        </w:rPr>
        <w:fldChar w:fldCharType="end"/>
      </w:r>
      <w:r w:rsidRPr="00596A43">
        <w:rPr>
          <w:sz w:val="24"/>
          <w:szCs w:val="24"/>
        </w:rPr>
        <w:t>b.  If this request for approval covers more than one form, provide separate hour burden estimates for each form and aggregate the hour burdens in Item 13 of OMB Form 83-I.</w:t>
      </w:r>
    </w:p>
    <w:p w:rsidR="00EB5E96" w:rsidRPr="00596A43" w:rsidP="1D9CF657" w14:paraId="44EFF9D6" w14:textId="6A5BD680">
      <w:pPr>
        <w:suppressAutoHyphens/>
        <w:jc w:val="both"/>
      </w:pPr>
      <w:r>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1B4DF3" w:rsidRPr="00D73BBC" w:rsidP="742C2D33" w14:paraId="45506899" w14:textId="04F34CDD">
      <w:pPr>
        <w:suppressAutoHyphens/>
        <w:spacing w:before="60"/>
        <w:jc w:val="both"/>
        <w:rPr>
          <w:i/>
          <w:spacing w:val="-3"/>
          <w:sz w:val="20"/>
          <w:szCs w:val="20"/>
        </w:rPr>
      </w:pPr>
    </w:p>
    <w:p w:rsidR="00CC6D19" w:rsidRPr="00635165" w:rsidP="1D9CF657" w14:paraId="28D7A52A" w14:textId="340FE4DD">
      <w:pPr>
        <w:pStyle w:val="ListParagraph"/>
        <w:suppressAutoHyphens/>
        <w:spacing w:after="120"/>
        <w:ind w:left="0"/>
        <w:jc w:val="both"/>
      </w:pPr>
      <w:r>
        <w:t>ECD is required by statu</w:t>
      </w:r>
      <w:r w:rsidR="00545A5E">
        <w:t>t</w:t>
      </w:r>
      <w:r>
        <w:t>e (</w:t>
      </w:r>
      <w:r w:rsidR="004142E0">
        <w:t xml:space="preserve">6 U.S.C. </w:t>
      </w:r>
      <w:r w:rsidRPr="1B73C884" w:rsidR="004142E0">
        <w:rPr>
          <w:color w:val="000000" w:themeColor="text1"/>
        </w:rPr>
        <w:t>§ 573</w:t>
      </w:r>
      <w:r w:rsidRPr="1B73C884" w:rsidR="00322331">
        <w:rPr>
          <w:color w:val="000000" w:themeColor="text1"/>
        </w:rPr>
        <w:t>(a)</w:t>
      </w:r>
      <w:r w:rsidRPr="1B73C884">
        <w:rPr>
          <w:color w:val="000000" w:themeColor="text1"/>
        </w:rPr>
        <w:t>)</w:t>
      </w:r>
      <w:r>
        <w:t xml:space="preserve"> to conduct an assessment on </w:t>
      </w:r>
      <w:r w:rsidR="001E7F1D">
        <w:t xml:space="preserve">federal, </w:t>
      </w:r>
      <w:r w:rsidR="002168E4">
        <w:t>s</w:t>
      </w:r>
      <w:r>
        <w:t xml:space="preserve">tate, local, and tribal governments that defines the emergency communications needs for emergency response providers and relevant government officials. </w:t>
      </w:r>
      <w:r w:rsidR="00322331">
        <w:t xml:space="preserve">ECD estimates this population to include </w:t>
      </w:r>
      <w:r w:rsidR="00322331">
        <w:t xml:space="preserve">approximately </w:t>
      </w:r>
      <w:r w:rsidR="00E16F84">
        <w:t>10</w:t>
      </w:r>
      <w:r w:rsidR="002D7A11">
        <w:t>3,311</w:t>
      </w:r>
      <w:r w:rsidR="00322331">
        <w:t xml:space="preserve"> organizations with an operational role in emergency communications, including</w:t>
      </w:r>
    </w:p>
    <w:p w:rsidR="001E7F1D" w:rsidP="1D9CF657" w14:paraId="1FD9DB8D" w14:textId="32DE995E">
      <w:pPr>
        <w:pStyle w:val="ListParagraph"/>
        <w:numPr>
          <w:ilvl w:val="1"/>
          <w:numId w:val="33"/>
        </w:numPr>
        <w:suppressAutoHyphens/>
        <w:spacing w:after="120"/>
        <w:ind w:left="720"/>
        <w:jc w:val="both"/>
      </w:pPr>
      <w:r>
        <w:t>Federal: 14 Emergency Communications Preparedness Center member departments and agencies</w:t>
      </w:r>
      <w:r>
        <w:rPr>
          <w:rStyle w:val="FootnoteReference"/>
        </w:rPr>
        <w:footnoteReference w:id="3"/>
      </w:r>
      <w:r w:rsidR="008516E0">
        <w:t>;</w:t>
      </w:r>
    </w:p>
    <w:p w:rsidR="008516E0" w14:paraId="674D11BF" w14:textId="096DDF4C">
      <w:pPr>
        <w:pStyle w:val="ListParagraph"/>
        <w:numPr>
          <w:ilvl w:val="1"/>
          <w:numId w:val="33"/>
        </w:numPr>
        <w:spacing w:after="120" w:line="259" w:lineRule="auto"/>
        <w:ind w:left="720"/>
        <w:jc w:val="both"/>
      </w:pPr>
      <w:r>
        <w:t>State: 56 states and territories, including the District of Columbia;</w:t>
      </w:r>
    </w:p>
    <w:p w:rsidR="008516E0" w14:paraId="73CA2B92" w14:textId="67D254FC">
      <w:pPr>
        <w:pStyle w:val="ListParagraph"/>
        <w:numPr>
          <w:ilvl w:val="1"/>
          <w:numId w:val="33"/>
        </w:numPr>
        <w:spacing w:after="120" w:line="259" w:lineRule="auto"/>
        <w:ind w:left="720"/>
        <w:jc w:val="both"/>
      </w:pPr>
      <w:r>
        <w:t xml:space="preserve">Tribal: 574 federally </w:t>
      </w:r>
      <w:r w:rsidR="009916A5">
        <w:t xml:space="preserve">recognized </w:t>
      </w:r>
      <w:r>
        <w:t>tribal nations</w:t>
      </w:r>
      <w:r>
        <w:rPr>
          <w:rStyle w:val="FootnoteReference"/>
        </w:rPr>
        <w:footnoteReference w:id="4"/>
      </w:r>
      <w:r w:rsidR="67D55295">
        <w:t>;</w:t>
      </w:r>
      <w:r w:rsidR="009916A5">
        <w:t xml:space="preserve"> </w:t>
      </w:r>
      <w:r>
        <w:t>and</w:t>
      </w:r>
    </w:p>
    <w:p w:rsidR="008516E0" w:rsidP="00CA6898" w14:paraId="1668FBCD" w14:textId="469448FA">
      <w:pPr>
        <w:pStyle w:val="ListParagraph"/>
        <w:numPr>
          <w:ilvl w:val="1"/>
          <w:numId w:val="33"/>
        </w:numPr>
        <w:spacing w:after="120" w:line="259" w:lineRule="auto"/>
        <w:ind w:left="720"/>
        <w:jc w:val="both"/>
      </w:pPr>
      <w:r>
        <w:t>Local Emergency Services Sector</w:t>
      </w:r>
      <w:r w:rsidR="00EA1666">
        <w:t xml:space="preserve"> (ESS)</w:t>
      </w:r>
      <w:r>
        <w:t xml:space="preserve">: </w:t>
      </w:r>
      <w:r w:rsidR="00DD7A80">
        <w:t>102,667</w:t>
      </w:r>
      <w:r>
        <w:t xml:space="preserve"> m</w:t>
      </w:r>
      <w:r w:rsidR="2914858A">
        <w:t xml:space="preserve">unicipal and county emergency services </w:t>
      </w:r>
      <w:r>
        <w:t xml:space="preserve">sector </w:t>
      </w:r>
      <w:r w:rsidR="2914858A">
        <w:t>organizations</w:t>
      </w:r>
      <w:r w:rsidR="2C9F5083">
        <w:t xml:space="preserve">, including </w:t>
      </w:r>
      <w:r w:rsidR="009916A5">
        <w:t>law enforcement</w:t>
      </w:r>
      <w:r w:rsidR="00DD7A80">
        <w:t xml:space="preserve"> (17,709)</w:t>
      </w:r>
      <w:r w:rsidR="009916A5">
        <w:t>, fire</w:t>
      </w:r>
      <w:r w:rsidR="00DD7A80">
        <w:t xml:space="preserve"> and rescue (29,888)</w:t>
      </w:r>
      <w:r w:rsidR="009916A5">
        <w:t>, emergency medical service</w:t>
      </w:r>
      <w:r w:rsidR="00DD7A80">
        <w:t xml:space="preserve"> (21,280)</w:t>
      </w:r>
      <w:r w:rsidR="009916A5">
        <w:t xml:space="preserve">, </w:t>
      </w:r>
      <w:r w:rsidR="00DD7A80">
        <w:t>emergency communications center/public safety answering point (ECC/PSAP)(4,600)</w:t>
      </w:r>
      <w:r>
        <w:rPr>
          <w:rStyle w:val="FootnoteReference"/>
        </w:rPr>
        <w:footnoteReference w:id="5"/>
      </w:r>
      <w:r w:rsidR="009916A5">
        <w:t>,</w:t>
      </w:r>
      <w:r w:rsidR="007051A1">
        <w:t xml:space="preserve"> emergency management</w:t>
      </w:r>
      <w:r w:rsidR="00DD7A80">
        <w:t xml:space="preserve"> (9,790)</w:t>
      </w:r>
      <w:r>
        <w:t>, and public works</w:t>
      </w:r>
      <w:r w:rsidR="00DD7A80">
        <w:t xml:space="preserve"> (19,400)</w:t>
      </w:r>
      <w:r>
        <w:rPr>
          <w:rStyle w:val="FootnoteReference"/>
        </w:rPr>
        <w:footnoteReference w:id="6"/>
      </w:r>
      <w:r w:rsidR="00852C5E">
        <w:t>;</w:t>
      </w:r>
    </w:p>
    <w:p w:rsidR="00C92A56" w:rsidP="1B73C884" w14:paraId="7E59B485" w14:textId="1CD0916E">
      <w:pPr>
        <w:pStyle w:val="ListParagraph"/>
        <w:numPr>
          <w:ilvl w:val="1"/>
          <w:numId w:val="33"/>
        </w:numPr>
        <w:suppressAutoHyphens/>
        <w:spacing w:after="120" w:line="259" w:lineRule="auto"/>
        <w:ind w:left="720"/>
        <w:jc w:val="both"/>
      </w:pPr>
      <w:r>
        <w:t xml:space="preserve">Based on response trends from previous iterations of the SNS, CISA ECD anticipates 100% participation among federal and state respondents and roughly 10% participation among tribal and local respondents. </w:t>
      </w:r>
      <w:r w:rsidR="00322331">
        <w:t xml:space="preserve">The population for supplemental surveys is not known at this time. </w:t>
      </w:r>
      <w:r w:rsidR="00BC6766">
        <w:t>S</w:t>
      </w:r>
      <w:r w:rsidR="005156D8">
        <w:t>upplemental</w:t>
      </w:r>
      <w:r w:rsidR="009916A5">
        <w:t xml:space="preserve"> surveys will be conducted on an as-needed basis to obtain additional information on a specific gap identified in the SNS. Supplemental Surveys will </w:t>
      </w:r>
      <w:r w:rsidR="00BC6766">
        <w:t xml:space="preserve">also be utilized to collect information regarding emergency communications capabilities from private sector emergency response providers in critical infrastructure roles which are not yet identified. CISA ECD anticipates </w:t>
      </w:r>
      <w:r w:rsidR="00322331">
        <w:t xml:space="preserve">narrowly targeted subpopulations for these supplemental surveys with fewer than </w:t>
      </w:r>
      <w:r w:rsidR="4E3329F3">
        <w:t>10,000</w:t>
      </w:r>
      <w:r w:rsidR="00322331">
        <w:t xml:space="preserve"> </w:t>
      </w:r>
      <w:r w:rsidR="0A9DAE55">
        <w:t xml:space="preserve">responses across all supplemental surveys. </w:t>
      </w:r>
    </w:p>
    <w:p w:rsidR="00215307" w:rsidRPr="00B77E4A" w:rsidP="10D970B3" w14:paraId="0CFD1B0A" w14:textId="62833584">
      <w:pPr>
        <w:suppressAutoHyphens/>
        <w:jc w:val="both"/>
        <w:rPr>
          <w:b/>
          <w:bCs/>
        </w:rPr>
      </w:pPr>
      <w:r w:rsidRPr="1B73C884">
        <w:rPr>
          <w:b/>
          <w:bCs/>
        </w:rPr>
        <w:t xml:space="preserve">Anticipated </w:t>
      </w:r>
      <w:r w:rsidRPr="1B73C884" w:rsidR="00B77E4A">
        <w:rPr>
          <w:b/>
          <w:bCs/>
        </w:rPr>
        <w:t xml:space="preserve">Number </w:t>
      </w:r>
      <w:r w:rsidRPr="1B73C884">
        <w:rPr>
          <w:b/>
          <w:bCs/>
        </w:rPr>
        <w:t xml:space="preserve">of </w:t>
      </w:r>
      <w:r w:rsidRPr="1B73C884" w:rsidR="00B77E4A">
        <w:rPr>
          <w:b/>
          <w:bCs/>
        </w:rPr>
        <w:t>Respondents Per Collection</w:t>
      </w:r>
      <w:r w:rsidRPr="1B73C884">
        <w:rPr>
          <w:b/>
          <w:bCs/>
        </w:rPr>
        <w:t>:</w:t>
      </w:r>
      <w:r>
        <w:tab/>
      </w:r>
    </w:p>
    <w:tbl>
      <w:tblPr>
        <w:tblStyle w:val="TableGrid"/>
        <w:tblW w:w="9360" w:type="dxa"/>
        <w:tblInd w:w="-5" w:type="dxa"/>
        <w:tblLook w:val="04A0"/>
      </w:tblPr>
      <w:tblGrid>
        <w:gridCol w:w="3837"/>
        <w:gridCol w:w="5523"/>
      </w:tblGrid>
      <w:tr w14:paraId="432CE1FA" w14:textId="77777777" w:rsidTr="2982046C">
        <w:tblPrEx>
          <w:tblW w:w="9360" w:type="dxa"/>
          <w:tblInd w:w="-5" w:type="dxa"/>
          <w:tblLook w:val="04A0"/>
        </w:tblPrEx>
        <w:trPr>
          <w:trHeight w:val="300"/>
        </w:trPr>
        <w:tc>
          <w:tcPr>
            <w:tcW w:w="3685" w:type="dxa"/>
          </w:tcPr>
          <w:p w:rsidR="00215307" w:rsidRPr="00C733C0" w:rsidP="00215307" w14:paraId="6503106B" w14:textId="77777777">
            <w:pPr>
              <w:pStyle w:val="ListParagraph"/>
              <w:tabs>
                <w:tab w:val="left" w:pos="-720"/>
              </w:tabs>
              <w:suppressAutoHyphens/>
              <w:ind w:left="0"/>
              <w:jc w:val="both"/>
              <w:rPr>
                <w:b/>
              </w:rPr>
            </w:pPr>
            <w:r w:rsidRPr="58F2887F">
              <w:rPr>
                <w:b/>
                <w:bCs/>
              </w:rPr>
              <w:t>Level of Government</w:t>
            </w:r>
          </w:p>
        </w:tc>
        <w:tc>
          <w:tcPr>
            <w:tcW w:w="5305" w:type="dxa"/>
          </w:tcPr>
          <w:p w:rsidR="00215307" w:rsidRPr="00C733C0" w:rsidP="1D9CF657" w14:paraId="4199C525" w14:textId="3271D200">
            <w:pPr>
              <w:pStyle w:val="ListParagraph"/>
              <w:suppressAutoHyphens/>
              <w:ind w:left="0"/>
              <w:jc w:val="both"/>
              <w:rPr>
                <w:b/>
                <w:bCs/>
              </w:rPr>
            </w:pPr>
            <w:r w:rsidRPr="19FDA424">
              <w:rPr>
                <w:b/>
                <w:bCs/>
              </w:rPr>
              <w:t>Size</w:t>
            </w:r>
            <w:r>
              <w:rPr>
                <w:b/>
                <w:bCs/>
              </w:rPr>
              <w:t xml:space="preserve"> of</w:t>
            </w:r>
            <w:r w:rsidRPr="1D9CF657" w:rsidR="00BE35AC">
              <w:rPr>
                <w:b/>
                <w:bCs/>
              </w:rPr>
              <w:t xml:space="preserve"> </w:t>
            </w:r>
            <w:r w:rsidRPr="78A71375" w:rsidR="00217A99">
              <w:rPr>
                <w:b/>
                <w:bCs/>
              </w:rPr>
              <w:t>Population Times Expected Response Rate</w:t>
            </w:r>
          </w:p>
        </w:tc>
      </w:tr>
      <w:tr w14:paraId="446217D1" w14:textId="77777777" w:rsidTr="2982046C">
        <w:tblPrEx>
          <w:tblW w:w="9360" w:type="dxa"/>
          <w:tblInd w:w="-5" w:type="dxa"/>
          <w:tblLook w:val="04A0"/>
        </w:tblPrEx>
        <w:trPr>
          <w:trHeight w:val="300"/>
        </w:trPr>
        <w:tc>
          <w:tcPr>
            <w:tcW w:w="3685" w:type="dxa"/>
          </w:tcPr>
          <w:p w:rsidR="001E7F1D" w:rsidRPr="00AD0194" w:rsidP="00215307" w14:paraId="2684399E" w14:textId="03957327">
            <w:pPr>
              <w:pStyle w:val="ListParagraph"/>
              <w:tabs>
                <w:tab w:val="left" w:pos="-720"/>
              </w:tabs>
              <w:suppressAutoHyphens/>
              <w:ind w:left="0"/>
              <w:jc w:val="both"/>
            </w:pPr>
            <w:r>
              <w:t>Federal</w:t>
            </w:r>
          </w:p>
        </w:tc>
        <w:tc>
          <w:tcPr>
            <w:tcW w:w="5305" w:type="dxa"/>
          </w:tcPr>
          <w:p w:rsidR="001E7F1D" w:rsidRPr="00AD0194" w:rsidP="1D9CF657" w14:paraId="39A32F80" w14:textId="2A996058">
            <w:pPr>
              <w:pStyle w:val="ListParagraph"/>
              <w:suppressAutoHyphens/>
              <w:ind w:left="0"/>
              <w:jc w:val="both"/>
            </w:pPr>
            <w:r>
              <w:t>14 x 100% = 14</w:t>
            </w:r>
          </w:p>
        </w:tc>
      </w:tr>
      <w:tr w14:paraId="2605640F" w14:textId="77777777" w:rsidTr="2982046C">
        <w:tblPrEx>
          <w:tblW w:w="9360" w:type="dxa"/>
          <w:tblInd w:w="-5" w:type="dxa"/>
          <w:tblLook w:val="04A0"/>
        </w:tblPrEx>
        <w:trPr>
          <w:trHeight w:val="300"/>
        </w:trPr>
        <w:tc>
          <w:tcPr>
            <w:tcW w:w="3685" w:type="dxa"/>
          </w:tcPr>
          <w:p w:rsidR="00215307" w:rsidRPr="00AD0194" w:rsidP="1D9CF657" w14:paraId="2BE5FCE0" w14:textId="313F7950">
            <w:pPr>
              <w:pStyle w:val="ListParagraph"/>
              <w:suppressAutoHyphens/>
              <w:ind w:left="0"/>
              <w:jc w:val="both"/>
            </w:pPr>
            <w:r>
              <w:t>State/Territori</w:t>
            </w:r>
            <w:r w:rsidR="00EA1666">
              <w:t>al</w:t>
            </w:r>
          </w:p>
        </w:tc>
        <w:tc>
          <w:tcPr>
            <w:tcW w:w="5305" w:type="dxa"/>
          </w:tcPr>
          <w:p w:rsidR="00215307" w:rsidRPr="00AD0194" w:rsidP="1D9CF657" w14:paraId="3122FB09" w14:textId="2677EAC4">
            <w:pPr>
              <w:pStyle w:val="ListParagraph"/>
              <w:suppressAutoHyphens/>
              <w:ind w:left="0"/>
              <w:jc w:val="both"/>
            </w:pPr>
            <w:r>
              <w:t>56 x 100% = 56</w:t>
            </w:r>
          </w:p>
        </w:tc>
      </w:tr>
      <w:tr w14:paraId="4BC22B6B" w14:textId="77777777" w:rsidTr="2982046C">
        <w:tblPrEx>
          <w:tblW w:w="9360" w:type="dxa"/>
          <w:tblInd w:w="-5" w:type="dxa"/>
          <w:tblLook w:val="04A0"/>
        </w:tblPrEx>
        <w:trPr>
          <w:trHeight w:val="300"/>
        </w:trPr>
        <w:tc>
          <w:tcPr>
            <w:tcW w:w="3685" w:type="dxa"/>
          </w:tcPr>
          <w:p w:rsidR="00215307" w:rsidRPr="00AD0194" w:rsidP="1D9CF657" w14:paraId="37DC5A7B" w14:textId="630A2DAD">
            <w:pPr>
              <w:pStyle w:val="ListParagraph"/>
              <w:suppressAutoHyphens/>
              <w:ind w:left="0"/>
              <w:jc w:val="both"/>
            </w:pPr>
            <w:r w:rsidRPr="00AD0194">
              <w:t>Tribal</w:t>
            </w:r>
          </w:p>
        </w:tc>
        <w:tc>
          <w:tcPr>
            <w:tcW w:w="5305" w:type="dxa"/>
          </w:tcPr>
          <w:p w:rsidR="00215307" w:rsidRPr="00AD0194" w:rsidP="1D9CF657" w14:paraId="1B880205" w14:textId="7432146E">
            <w:pPr>
              <w:pStyle w:val="ListParagraph"/>
              <w:suppressAutoHyphens/>
              <w:ind w:left="0"/>
              <w:jc w:val="both"/>
            </w:pPr>
            <w:r w:rsidRPr="00AD0194">
              <w:t>5</w:t>
            </w:r>
            <w:r w:rsidRPr="00AD0194" w:rsidR="00A86041">
              <w:t>74</w:t>
            </w:r>
            <w:r w:rsidR="00EA1666">
              <w:t xml:space="preserve"> x 10% = 57</w:t>
            </w:r>
          </w:p>
        </w:tc>
      </w:tr>
      <w:tr w14:paraId="0AB7E100" w14:textId="77777777" w:rsidTr="2982046C">
        <w:tblPrEx>
          <w:tblW w:w="9360" w:type="dxa"/>
          <w:tblInd w:w="-5" w:type="dxa"/>
          <w:tblLook w:val="04A0"/>
        </w:tblPrEx>
        <w:trPr>
          <w:trHeight w:val="300"/>
        </w:trPr>
        <w:tc>
          <w:tcPr>
            <w:tcW w:w="3685" w:type="dxa"/>
          </w:tcPr>
          <w:p w:rsidR="00215307" w:rsidRPr="00AD0194" w:rsidP="1D9CF657" w14:paraId="73088B26" w14:textId="4938F5F8">
            <w:pPr>
              <w:pStyle w:val="ListParagraph"/>
              <w:suppressAutoHyphens/>
              <w:ind w:left="0"/>
              <w:jc w:val="both"/>
            </w:pPr>
            <w:r w:rsidRPr="00AD0194">
              <w:t>Local</w:t>
            </w:r>
            <w:r w:rsidR="00EA1666">
              <w:t xml:space="preserve"> ESS (municipal and county)</w:t>
            </w:r>
          </w:p>
        </w:tc>
        <w:tc>
          <w:tcPr>
            <w:tcW w:w="5305" w:type="dxa"/>
          </w:tcPr>
          <w:p w:rsidR="00215307" w:rsidRPr="00AD0194" w:rsidP="58F2887F" w14:paraId="29CF247F" w14:textId="1E37B4B0">
            <w:pPr>
              <w:pStyle w:val="ListParagraph"/>
              <w:suppressAutoHyphens/>
              <w:ind w:left="0"/>
              <w:jc w:val="both"/>
            </w:pPr>
            <w:r>
              <w:t>10</w:t>
            </w:r>
            <w:r w:rsidR="002D506B">
              <w:t>2,667</w:t>
            </w:r>
            <w:r w:rsidR="00EA1666">
              <w:t xml:space="preserve"> x 10% = </w:t>
            </w:r>
            <w:r>
              <w:t>10,</w:t>
            </w:r>
            <w:r w:rsidR="715AB5A4">
              <w:t>267</w:t>
            </w:r>
          </w:p>
        </w:tc>
      </w:tr>
      <w:tr w14:paraId="3E32DF86" w14:textId="77777777" w:rsidTr="2982046C">
        <w:tblPrEx>
          <w:tblW w:w="9360" w:type="dxa"/>
          <w:tblInd w:w="-5" w:type="dxa"/>
          <w:tblLook w:val="04A0"/>
        </w:tblPrEx>
        <w:trPr>
          <w:trHeight w:val="300"/>
        </w:trPr>
        <w:tc>
          <w:tcPr>
            <w:tcW w:w="3685" w:type="dxa"/>
          </w:tcPr>
          <w:p w:rsidR="00231806" w:rsidRPr="00AD0194" w:rsidP="00215307" w14:paraId="38A1B8A8" w14:textId="645CC2BD">
            <w:pPr>
              <w:pStyle w:val="ListParagraph"/>
              <w:tabs>
                <w:tab w:val="left" w:pos="-720"/>
              </w:tabs>
              <w:suppressAutoHyphens/>
              <w:ind w:left="0"/>
              <w:jc w:val="both"/>
            </w:pPr>
            <w:r w:rsidRPr="00AD0194">
              <w:t>Supplemental Surveys</w:t>
            </w:r>
          </w:p>
        </w:tc>
        <w:tc>
          <w:tcPr>
            <w:tcW w:w="5305" w:type="dxa"/>
          </w:tcPr>
          <w:p w:rsidR="00231806" w:rsidRPr="00AD0194" w:rsidP="2982046C" w14:paraId="2F35CE2A" w14:textId="38F03363">
            <w:pPr>
              <w:pStyle w:val="ListParagraph"/>
              <w:suppressAutoHyphens/>
              <w:ind w:left="0"/>
              <w:jc w:val="both"/>
            </w:pPr>
            <w:r>
              <w:t>1</w:t>
            </w:r>
            <w:r w:rsidR="006450EE">
              <w:t>0,000</w:t>
            </w:r>
          </w:p>
        </w:tc>
      </w:tr>
      <w:tr w14:paraId="1D86A0B6" w14:textId="77777777" w:rsidTr="2982046C">
        <w:tblPrEx>
          <w:tblW w:w="9360" w:type="dxa"/>
          <w:tblInd w:w="-5" w:type="dxa"/>
          <w:tblLook w:val="04A0"/>
        </w:tblPrEx>
        <w:trPr>
          <w:trHeight w:val="300"/>
        </w:trPr>
        <w:tc>
          <w:tcPr>
            <w:tcW w:w="3685" w:type="dxa"/>
          </w:tcPr>
          <w:p w:rsidR="001B4DF3" w:rsidRPr="00AD0194" w:rsidP="00215307" w14:paraId="4B3F6DB4" w14:textId="77777777">
            <w:pPr>
              <w:pStyle w:val="ListParagraph"/>
              <w:tabs>
                <w:tab w:val="left" w:pos="-720"/>
              </w:tabs>
              <w:suppressAutoHyphens/>
              <w:ind w:left="0"/>
              <w:jc w:val="both"/>
              <w:rPr>
                <w:b/>
              </w:rPr>
            </w:pPr>
            <w:r w:rsidRPr="00AD0194">
              <w:rPr>
                <w:b/>
              </w:rPr>
              <w:t>Total</w:t>
            </w:r>
          </w:p>
        </w:tc>
        <w:tc>
          <w:tcPr>
            <w:tcW w:w="5305" w:type="dxa"/>
          </w:tcPr>
          <w:p w:rsidR="001B4DF3" w:rsidRPr="00AD0194" w:rsidP="58F2887F" w14:paraId="5B606EC7" w14:textId="5B7D70F3">
            <w:pPr>
              <w:pStyle w:val="ListParagraph"/>
              <w:suppressAutoHyphens/>
              <w:ind w:left="0"/>
              <w:jc w:val="both"/>
              <w:rPr>
                <w:b/>
                <w:bCs/>
              </w:rPr>
            </w:pPr>
            <w:r w:rsidRPr="10D970B3">
              <w:rPr>
                <w:b/>
                <w:bCs/>
              </w:rPr>
              <w:t>20,</w:t>
            </w:r>
            <w:r w:rsidRPr="6A9F8BE8" w:rsidR="19C53E1C">
              <w:rPr>
                <w:b/>
                <w:bCs/>
              </w:rPr>
              <w:t>394</w:t>
            </w:r>
          </w:p>
        </w:tc>
      </w:tr>
    </w:tbl>
    <w:p w:rsidR="00215307" w:rsidP="00217A99" w14:paraId="50D0267B" w14:textId="77777777">
      <w:pPr>
        <w:tabs>
          <w:tab w:val="left" w:pos="-720"/>
        </w:tabs>
        <w:suppressAutoHyphens/>
        <w:jc w:val="both"/>
      </w:pPr>
    </w:p>
    <w:p w:rsidR="00B77E4A" w:rsidP="78A71375" w14:paraId="18D21124" w14:textId="4F23B036">
      <w:pPr>
        <w:spacing w:after="120" w:line="259" w:lineRule="auto"/>
      </w:pPr>
      <w:r>
        <w:t xml:space="preserve">CISA ECD is required to perform its nationwide assessment not less than every 5 years. To provide adequate information on </w:t>
      </w:r>
      <w:r w:rsidR="00A9017E">
        <w:t xml:space="preserve">nationwide communications capabilities and gaps to support emergency communications stakeholders and enable CISA ECD to execute its other responsibilities at 6 U.S.C. </w:t>
      </w:r>
      <w:r w:rsidRPr="1B73C884" w:rsidR="00A9017E">
        <w:rPr>
          <w:color w:val="000000" w:themeColor="text1"/>
        </w:rPr>
        <w:t>§</w:t>
      </w:r>
      <w:r w:rsidRPr="1B73C884" w:rsidR="00A64FD7">
        <w:rPr>
          <w:color w:val="000000" w:themeColor="text1"/>
        </w:rPr>
        <w:t xml:space="preserve">§ </w:t>
      </w:r>
      <w:r w:rsidRPr="1B73C884" w:rsidR="00A9017E">
        <w:rPr>
          <w:color w:val="000000" w:themeColor="text1"/>
        </w:rPr>
        <w:t>57</w:t>
      </w:r>
      <w:r w:rsidRPr="1B73C884" w:rsidR="00FF781F">
        <w:rPr>
          <w:color w:val="000000" w:themeColor="text1"/>
        </w:rPr>
        <w:t>1</w:t>
      </w:r>
      <w:r w:rsidRPr="1B73C884" w:rsidR="00A9017E">
        <w:rPr>
          <w:color w:val="000000" w:themeColor="text1"/>
        </w:rPr>
        <w:t>(c)</w:t>
      </w:r>
      <w:r w:rsidR="00A9017E">
        <w:t>,</w:t>
      </w:r>
      <w:r w:rsidR="00FF781F">
        <w:t xml:space="preserve"> </w:t>
      </w:r>
      <w:r w:rsidRPr="1B73C884" w:rsidR="00FF781F">
        <w:rPr>
          <w:color w:val="000000" w:themeColor="text1"/>
        </w:rPr>
        <w:t>572, and 576(c),</w:t>
      </w:r>
      <w:r w:rsidR="00A9017E">
        <w:t xml:space="preserve"> CISA ECD </w:t>
      </w:r>
      <w:r w:rsidR="006D2DCF">
        <w:t>undertake</w:t>
      </w:r>
      <w:r w:rsidR="00A64FD7">
        <w:t>s</w:t>
      </w:r>
      <w:r w:rsidR="006D2DCF">
        <w:t xml:space="preserve"> assessments of some portions of the target population more frequently than once per 5 years.</w:t>
      </w:r>
    </w:p>
    <w:p w:rsidR="00B77E4A" w:rsidRPr="00E65E38" w:rsidP="00C80DE9" w14:paraId="02CC4143" w14:textId="5C6CAE5C">
      <w:pPr>
        <w:suppressAutoHyphens/>
        <w:jc w:val="both"/>
        <w:rPr>
          <w:b/>
          <w:bCs/>
        </w:rPr>
      </w:pPr>
      <w:r w:rsidRPr="1B73C884">
        <w:rPr>
          <w:b/>
          <w:bCs/>
        </w:rPr>
        <w:t>Annualized Number of Respondents:</w:t>
      </w:r>
    </w:p>
    <w:tbl>
      <w:tblPr>
        <w:tblStyle w:val="TableGrid"/>
        <w:tblW w:w="9360" w:type="dxa"/>
        <w:tblInd w:w="-5" w:type="dxa"/>
        <w:tblLook w:val="04A0"/>
      </w:tblPr>
      <w:tblGrid>
        <w:gridCol w:w="3837"/>
        <w:gridCol w:w="5523"/>
      </w:tblGrid>
      <w:tr w14:paraId="4710CD12" w14:textId="77777777" w:rsidTr="00C80DE9">
        <w:tblPrEx>
          <w:tblW w:w="9360" w:type="dxa"/>
          <w:tblInd w:w="-5" w:type="dxa"/>
          <w:tblLook w:val="04A0"/>
        </w:tblPrEx>
        <w:trPr>
          <w:trHeight w:val="300"/>
        </w:trPr>
        <w:tc>
          <w:tcPr>
            <w:tcW w:w="3837" w:type="dxa"/>
          </w:tcPr>
          <w:p w:rsidR="00B77E4A" w:rsidRPr="00C733C0" w:rsidP="10D970B3" w14:paraId="70F048FB" w14:textId="77777777">
            <w:pPr>
              <w:pStyle w:val="ListParagraph"/>
              <w:suppressAutoHyphens/>
              <w:ind w:left="0"/>
              <w:jc w:val="both"/>
              <w:rPr>
                <w:b/>
                <w:bCs/>
              </w:rPr>
            </w:pPr>
            <w:r w:rsidRPr="10D970B3">
              <w:rPr>
                <w:b/>
                <w:bCs/>
              </w:rPr>
              <w:t>Level of Government</w:t>
            </w:r>
          </w:p>
        </w:tc>
        <w:tc>
          <w:tcPr>
            <w:tcW w:w="5523" w:type="dxa"/>
          </w:tcPr>
          <w:p w:rsidR="00B77E4A" w:rsidRPr="00C733C0" w:rsidP="0039228D" w14:paraId="4D2CB461" w14:textId="5EEAEBC8">
            <w:pPr>
              <w:pStyle w:val="ListParagraph"/>
              <w:suppressAutoHyphens/>
              <w:ind w:left="0"/>
              <w:jc w:val="both"/>
              <w:rPr>
                <w:b/>
                <w:bCs/>
              </w:rPr>
            </w:pPr>
            <w:r w:rsidRPr="10D970B3">
              <w:rPr>
                <w:b/>
                <w:bCs/>
              </w:rPr>
              <w:t>Anticipated Number of Respondents Per Collection Times Number of Collections Per Year</w:t>
            </w:r>
          </w:p>
        </w:tc>
      </w:tr>
      <w:tr w14:paraId="625DCF36" w14:textId="77777777" w:rsidTr="00C80DE9">
        <w:tblPrEx>
          <w:tblW w:w="9360" w:type="dxa"/>
          <w:tblInd w:w="-5" w:type="dxa"/>
          <w:tblLook w:val="04A0"/>
        </w:tblPrEx>
        <w:trPr>
          <w:trHeight w:val="300"/>
        </w:trPr>
        <w:tc>
          <w:tcPr>
            <w:tcW w:w="3837" w:type="dxa"/>
          </w:tcPr>
          <w:p w:rsidR="00B77E4A" w:rsidRPr="00AD0194" w:rsidP="10D970B3" w14:paraId="6A981197" w14:textId="77777777">
            <w:pPr>
              <w:pStyle w:val="ListParagraph"/>
              <w:suppressAutoHyphens/>
              <w:ind w:left="0"/>
              <w:jc w:val="both"/>
            </w:pPr>
            <w:r>
              <w:t>Federal</w:t>
            </w:r>
          </w:p>
        </w:tc>
        <w:tc>
          <w:tcPr>
            <w:tcW w:w="5523" w:type="dxa"/>
          </w:tcPr>
          <w:p w:rsidR="00B77E4A" w:rsidRPr="00AD0194" w:rsidP="0039228D" w14:paraId="66E7B6D4" w14:textId="4120A019">
            <w:pPr>
              <w:pStyle w:val="ListParagraph"/>
              <w:suppressAutoHyphens/>
              <w:ind w:left="0"/>
              <w:jc w:val="both"/>
            </w:pPr>
            <w:r>
              <w:t>14 x 1 = 14</w:t>
            </w:r>
          </w:p>
        </w:tc>
      </w:tr>
      <w:tr w14:paraId="1216C58F" w14:textId="77777777" w:rsidTr="00C80DE9">
        <w:tblPrEx>
          <w:tblW w:w="9360" w:type="dxa"/>
          <w:tblInd w:w="-5" w:type="dxa"/>
          <w:tblLook w:val="04A0"/>
        </w:tblPrEx>
        <w:trPr>
          <w:trHeight w:val="300"/>
        </w:trPr>
        <w:tc>
          <w:tcPr>
            <w:tcW w:w="3837" w:type="dxa"/>
          </w:tcPr>
          <w:p w:rsidR="00B77E4A" w:rsidRPr="00AD0194" w:rsidP="0039228D" w14:paraId="43E32F8C" w14:textId="77777777">
            <w:pPr>
              <w:pStyle w:val="ListParagraph"/>
              <w:suppressAutoHyphens/>
              <w:ind w:left="0"/>
              <w:jc w:val="both"/>
            </w:pPr>
            <w:r>
              <w:t>State/Territorial</w:t>
            </w:r>
          </w:p>
        </w:tc>
        <w:tc>
          <w:tcPr>
            <w:tcW w:w="5523" w:type="dxa"/>
          </w:tcPr>
          <w:p w:rsidR="00B77E4A" w:rsidRPr="00AD0194" w:rsidP="0039228D" w14:paraId="7DA3DB08" w14:textId="3D834322">
            <w:pPr>
              <w:pStyle w:val="ListParagraph"/>
              <w:suppressAutoHyphens/>
              <w:ind w:left="0"/>
              <w:jc w:val="both"/>
            </w:pPr>
            <w:r>
              <w:t>56 x 1 = 56</w:t>
            </w:r>
          </w:p>
        </w:tc>
      </w:tr>
      <w:tr w14:paraId="4B55B95D" w14:textId="77777777" w:rsidTr="00C80DE9">
        <w:tblPrEx>
          <w:tblW w:w="9360" w:type="dxa"/>
          <w:tblInd w:w="-5" w:type="dxa"/>
          <w:tblLook w:val="04A0"/>
        </w:tblPrEx>
        <w:trPr>
          <w:trHeight w:val="300"/>
        </w:trPr>
        <w:tc>
          <w:tcPr>
            <w:tcW w:w="3837" w:type="dxa"/>
          </w:tcPr>
          <w:p w:rsidR="00B77E4A" w:rsidRPr="00AD0194" w:rsidP="0039228D" w14:paraId="0EA5B7F9" w14:textId="77777777">
            <w:pPr>
              <w:pStyle w:val="ListParagraph"/>
              <w:suppressAutoHyphens/>
              <w:ind w:left="0"/>
              <w:jc w:val="both"/>
            </w:pPr>
            <w:r>
              <w:t>Tribal</w:t>
            </w:r>
          </w:p>
        </w:tc>
        <w:tc>
          <w:tcPr>
            <w:tcW w:w="5523" w:type="dxa"/>
          </w:tcPr>
          <w:p w:rsidR="00B77E4A" w:rsidRPr="00AD0194" w:rsidP="0039228D" w14:paraId="068F87B4" w14:textId="1AE6F345">
            <w:pPr>
              <w:pStyle w:val="ListParagraph"/>
              <w:suppressAutoHyphens/>
              <w:ind w:left="0"/>
              <w:jc w:val="both"/>
            </w:pPr>
            <w:r>
              <w:t>57 x (1/5) = 11</w:t>
            </w:r>
          </w:p>
        </w:tc>
      </w:tr>
      <w:tr w14:paraId="7C6F86FD" w14:textId="77777777" w:rsidTr="00C80DE9">
        <w:tblPrEx>
          <w:tblW w:w="9360" w:type="dxa"/>
          <w:tblInd w:w="-5" w:type="dxa"/>
          <w:tblLook w:val="04A0"/>
        </w:tblPrEx>
        <w:trPr>
          <w:trHeight w:val="300"/>
        </w:trPr>
        <w:tc>
          <w:tcPr>
            <w:tcW w:w="3837" w:type="dxa"/>
          </w:tcPr>
          <w:p w:rsidR="00B77E4A" w:rsidRPr="00AD0194" w:rsidP="0039228D" w14:paraId="32B50EBC" w14:textId="77777777">
            <w:pPr>
              <w:pStyle w:val="ListParagraph"/>
              <w:suppressAutoHyphens/>
              <w:ind w:left="0"/>
              <w:jc w:val="both"/>
            </w:pPr>
            <w:r>
              <w:t>Local ESS (municipal and county)</w:t>
            </w:r>
          </w:p>
        </w:tc>
        <w:tc>
          <w:tcPr>
            <w:tcW w:w="5523" w:type="dxa"/>
          </w:tcPr>
          <w:p w:rsidR="00B77E4A" w:rsidRPr="00AD0194" w:rsidP="0039228D" w14:paraId="670315FD" w14:textId="07BBA5F3">
            <w:pPr>
              <w:pStyle w:val="ListParagraph"/>
              <w:suppressAutoHyphens/>
              <w:ind w:left="0"/>
              <w:jc w:val="both"/>
            </w:pPr>
            <w:r>
              <w:t>10,</w:t>
            </w:r>
            <w:r w:rsidR="6D30686D">
              <w:t>267</w:t>
            </w:r>
            <w:r>
              <w:t xml:space="preserve"> x (1/2) = 5,1</w:t>
            </w:r>
            <w:r w:rsidR="665ABE3C">
              <w:t>34</w:t>
            </w:r>
          </w:p>
        </w:tc>
      </w:tr>
      <w:tr w14:paraId="388E3FE3" w14:textId="77777777" w:rsidTr="00C80DE9">
        <w:tblPrEx>
          <w:tblW w:w="9360" w:type="dxa"/>
          <w:tblInd w:w="-5" w:type="dxa"/>
          <w:tblLook w:val="04A0"/>
        </w:tblPrEx>
        <w:trPr>
          <w:trHeight w:val="300"/>
        </w:trPr>
        <w:tc>
          <w:tcPr>
            <w:tcW w:w="3837" w:type="dxa"/>
          </w:tcPr>
          <w:p w:rsidR="00B77E4A" w:rsidRPr="00AD0194" w:rsidP="10D970B3" w14:paraId="5D9A9052" w14:textId="77777777">
            <w:pPr>
              <w:pStyle w:val="ListParagraph"/>
              <w:suppressAutoHyphens/>
              <w:ind w:left="0"/>
              <w:jc w:val="both"/>
            </w:pPr>
            <w:r>
              <w:t>Supplemental Surveys</w:t>
            </w:r>
          </w:p>
        </w:tc>
        <w:tc>
          <w:tcPr>
            <w:tcW w:w="5523" w:type="dxa"/>
          </w:tcPr>
          <w:p w:rsidR="00B77E4A" w:rsidRPr="00AD0194" w:rsidP="10D970B3" w14:paraId="0D9F6FBC" w14:textId="5AE7516F">
            <w:pPr>
              <w:pStyle w:val="ListParagraph"/>
              <w:suppressAutoHyphens/>
              <w:ind w:left="0"/>
              <w:jc w:val="both"/>
            </w:pPr>
            <w:r>
              <w:t>10,000 x (1/5) = 2000</w:t>
            </w:r>
          </w:p>
        </w:tc>
      </w:tr>
      <w:tr w14:paraId="6AFBBCF3" w14:textId="77777777" w:rsidTr="00C80DE9">
        <w:tblPrEx>
          <w:tblW w:w="9360" w:type="dxa"/>
          <w:tblInd w:w="-5" w:type="dxa"/>
          <w:tblLook w:val="04A0"/>
        </w:tblPrEx>
        <w:trPr>
          <w:trHeight w:val="300"/>
        </w:trPr>
        <w:tc>
          <w:tcPr>
            <w:tcW w:w="3837" w:type="dxa"/>
          </w:tcPr>
          <w:p w:rsidR="00B77E4A" w:rsidRPr="00AD0194" w:rsidP="10D970B3" w14:paraId="4435B0F8" w14:textId="77777777">
            <w:pPr>
              <w:pStyle w:val="ListParagraph"/>
              <w:suppressAutoHyphens/>
              <w:ind w:left="0"/>
              <w:jc w:val="both"/>
              <w:rPr>
                <w:b/>
                <w:bCs/>
              </w:rPr>
            </w:pPr>
            <w:r w:rsidRPr="10D970B3">
              <w:rPr>
                <w:b/>
                <w:bCs/>
              </w:rPr>
              <w:t>Total</w:t>
            </w:r>
          </w:p>
        </w:tc>
        <w:tc>
          <w:tcPr>
            <w:tcW w:w="5523" w:type="dxa"/>
          </w:tcPr>
          <w:p w:rsidR="00B77E4A" w:rsidRPr="00AD0194" w:rsidP="0039228D" w14:paraId="5AD2FB33" w14:textId="790F979E">
            <w:pPr>
              <w:pStyle w:val="ListParagraph"/>
              <w:suppressAutoHyphens/>
              <w:ind w:left="0"/>
              <w:jc w:val="both"/>
              <w:rPr>
                <w:b/>
                <w:bCs/>
              </w:rPr>
            </w:pPr>
            <w:r w:rsidRPr="10D970B3">
              <w:rPr>
                <w:b/>
                <w:bCs/>
              </w:rPr>
              <w:t>7,</w:t>
            </w:r>
            <w:r w:rsidRPr="6A9F8BE8">
              <w:rPr>
                <w:b/>
                <w:bCs/>
              </w:rPr>
              <w:t>2</w:t>
            </w:r>
            <w:r w:rsidRPr="6A9F8BE8" w:rsidR="34A13B92">
              <w:rPr>
                <w:b/>
                <w:bCs/>
              </w:rPr>
              <w:t>15</w:t>
            </w:r>
          </w:p>
        </w:tc>
      </w:tr>
    </w:tbl>
    <w:p w:rsidR="00B77E4A" w:rsidP="78A71375" w14:paraId="784A79E9" w14:textId="77777777">
      <w:pPr>
        <w:spacing w:after="120" w:line="259" w:lineRule="auto"/>
      </w:pPr>
    </w:p>
    <w:p w:rsidR="00217A99" w:rsidP="10D970B3" w14:paraId="27275FF9" w14:textId="67B1FAFF">
      <w:pPr>
        <w:suppressAutoHyphens/>
        <w:jc w:val="both"/>
      </w:pPr>
      <w:r>
        <w:t xml:space="preserve">CISA ECD estimates that questionnaire forms, which will be the primary method of data collection for tribal and local ESS respondents and supplemental surveys, will take approximately 30 minutes to complete. Interviews, which will be the primary method of data collection for federal and state respondents, are expected to take approximately 60 minutes to complete. </w:t>
      </w:r>
    </w:p>
    <w:p w:rsidR="00FF781F" w:rsidP="10D970B3" w14:paraId="08180AC2" w14:textId="77777777">
      <w:pPr>
        <w:suppressAutoHyphens/>
        <w:jc w:val="both"/>
      </w:pPr>
    </w:p>
    <w:p w:rsidR="00FF781F" w:rsidRPr="00E65E38" w:rsidP="00FF781F" w14:paraId="2445057C" w14:textId="3AD9553B">
      <w:pPr>
        <w:suppressAutoHyphens/>
        <w:ind w:left="-360"/>
        <w:jc w:val="both"/>
        <w:rPr>
          <w:b/>
          <w:bCs/>
        </w:rPr>
      </w:pPr>
      <w:r w:rsidRPr="1B73C884">
        <w:rPr>
          <w:b/>
          <w:bCs/>
        </w:rPr>
        <w:t>Annualized Burden Hours:</w:t>
      </w:r>
      <w:r>
        <w:tab/>
      </w:r>
    </w:p>
    <w:tbl>
      <w:tblPr>
        <w:tblStyle w:val="TableGrid"/>
        <w:tblW w:w="9360" w:type="dxa"/>
        <w:tblInd w:w="-95" w:type="dxa"/>
        <w:tblLook w:val="04A0"/>
      </w:tblPr>
      <w:tblGrid>
        <w:gridCol w:w="3837"/>
        <w:gridCol w:w="5523"/>
      </w:tblGrid>
      <w:tr w14:paraId="7AF1C069" w14:textId="77777777" w:rsidTr="00C80DE9">
        <w:tblPrEx>
          <w:tblW w:w="9360" w:type="dxa"/>
          <w:tblInd w:w="-95" w:type="dxa"/>
          <w:tblLook w:val="04A0"/>
        </w:tblPrEx>
        <w:trPr>
          <w:trHeight w:val="300"/>
        </w:trPr>
        <w:tc>
          <w:tcPr>
            <w:tcW w:w="3685" w:type="dxa"/>
          </w:tcPr>
          <w:p w:rsidR="00FF781F" w:rsidRPr="00C733C0" w:rsidP="10D970B3" w14:paraId="06F01E19" w14:textId="77777777">
            <w:pPr>
              <w:pStyle w:val="ListParagraph"/>
              <w:suppressAutoHyphens/>
              <w:ind w:left="0"/>
              <w:jc w:val="both"/>
              <w:rPr>
                <w:b/>
                <w:bCs/>
              </w:rPr>
            </w:pPr>
            <w:r w:rsidRPr="10D970B3">
              <w:rPr>
                <w:b/>
                <w:bCs/>
              </w:rPr>
              <w:t>Level of Government</w:t>
            </w:r>
          </w:p>
        </w:tc>
        <w:tc>
          <w:tcPr>
            <w:tcW w:w="5305" w:type="dxa"/>
          </w:tcPr>
          <w:p w:rsidR="00FF781F" w:rsidRPr="00C733C0" w:rsidP="0039228D" w14:paraId="44BF5376" w14:textId="2D3E3593">
            <w:pPr>
              <w:pStyle w:val="ListParagraph"/>
              <w:suppressAutoHyphens/>
              <w:ind w:left="0"/>
              <w:jc w:val="both"/>
              <w:rPr>
                <w:b/>
                <w:bCs/>
              </w:rPr>
            </w:pPr>
            <w:r w:rsidRPr="10D970B3">
              <w:rPr>
                <w:b/>
                <w:bCs/>
              </w:rPr>
              <w:t>Annualized Number of Respondents Times Hourly Burden</w:t>
            </w:r>
          </w:p>
        </w:tc>
      </w:tr>
      <w:tr w14:paraId="3BD6CF39" w14:textId="77777777" w:rsidTr="00C80DE9">
        <w:tblPrEx>
          <w:tblW w:w="9360" w:type="dxa"/>
          <w:tblInd w:w="-95" w:type="dxa"/>
          <w:tblLook w:val="04A0"/>
        </w:tblPrEx>
        <w:trPr>
          <w:trHeight w:val="300"/>
        </w:trPr>
        <w:tc>
          <w:tcPr>
            <w:tcW w:w="3685" w:type="dxa"/>
          </w:tcPr>
          <w:p w:rsidR="00FF781F" w:rsidRPr="00AD0194" w:rsidP="10D970B3" w14:paraId="276F8797" w14:textId="77777777">
            <w:pPr>
              <w:pStyle w:val="ListParagraph"/>
              <w:suppressAutoHyphens/>
              <w:ind w:left="0"/>
              <w:jc w:val="both"/>
            </w:pPr>
            <w:r>
              <w:t>Federal</w:t>
            </w:r>
          </w:p>
        </w:tc>
        <w:tc>
          <w:tcPr>
            <w:tcW w:w="5305" w:type="dxa"/>
          </w:tcPr>
          <w:p w:rsidR="00FF781F" w:rsidRPr="00AD0194" w:rsidP="0039228D" w14:paraId="7CB160AD" w14:textId="77777777">
            <w:pPr>
              <w:pStyle w:val="ListParagraph"/>
              <w:suppressAutoHyphens/>
              <w:ind w:left="0"/>
              <w:jc w:val="both"/>
            </w:pPr>
            <w:r>
              <w:t>14 x 1 = 14</w:t>
            </w:r>
          </w:p>
        </w:tc>
      </w:tr>
      <w:tr w14:paraId="4EED7ABC" w14:textId="77777777" w:rsidTr="00C80DE9">
        <w:tblPrEx>
          <w:tblW w:w="9360" w:type="dxa"/>
          <w:tblInd w:w="-95" w:type="dxa"/>
          <w:tblLook w:val="04A0"/>
        </w:tblPrEx>
        <w:trPr>
          <w:trHeight w:val="300"/>
        </w:trPr>
        <w:tc>
          <w:tcPr>
            <w:tcW w:w="3685" w:type="dxa"/>
          </w:tcPr>
          <w:p w:rsidR="00FF781F" w:rsidRPr="00AD0194" w:rsidP="0039228D" w14:paraId="3AD899A5" w14:textId="77777777">
            <w:pPr>
              <w:pStyle w:val="ListParagraph"/>
              <w:suppressAutoHyphens/>
              <w:ind w:left="0"/>
              <w:jc w:val="both"/>
            </w:pPr>
            <w:r>
              <w:t>State/Territorial</w:t>
            </w:r>
          </w:p>
        </w:tc>
        <w:tc>
          <w:tcPr>
            <w:tcW w:w="5305" w:type="dxa"/>
          </w:tcPr>
          <w:p w:rsidR="00FF781F" w:rsidRPr="00AD0194" w:rsidP="0039228D" w14:paraId="228B23EA" w14:textId="77777777">
            <w:pPr>
              <w:pStyle w:val="ListParagraph"/>
              <w:suppressAutoHyphens/>
              <w:ind w:left="0"/>
              <w:jc w:val="both"/>
            </w:pPr>
            <w:r>
              <w:t>56 x 1 = 56</w:t>
            </w:r>
          </w:p>
        </w:tc>
      </w:tr>
      <w:tr w14:paraId="5F8262FE" w14:textId="77777777" w:rsidTr="00C80DE9">
        <w:tblPrEx>
          <w:tblW w:w="9360" w:type="dxa"/>
          <w:tblInd w:w="-95" w:type="dxa"/>
          <w:tblLook w:val="04A0"/>
        </w:tblPrEx>
        <w:trPr>
          <w:trHeight w:val="300"/>
        </w:trPr>
        <w:tc>
          <w:tcPr>
            <w:tcW w:w="3685" w:type="dxa"/>
          </w:tcPr>
          <w:p w:rsidR="00FF781F" w:rsidRPr="00AD0194" w:rsidP="0039228D" w14:paraId="078A5704" w14:textId="77777777">
            <w:pPr>
              <w:pStyle w:val="ListParagraph"/>
              <w:suppressAutoHyphens/>
              <w:ind w:left="0"/>
              <w:jc w:val="both"/>
            </w:pPr>
            <w:r>
              <w:t>Tribal</w:t>
            </w:r>
          </w:p>
        </w:tc>
        <w:tc>
          <w:tcPr>
            <w:tcW w:w="5305" w:type="dxa"/>
          </w:tcPr>
          <w:p w:rsidR="00FF781F" w:rsidRPr="00AD0194" w:rsidP="0039228D" w14:paraId="6138EA53" w14:textId="2740A43C">
            <w:pPr>
              <w:pStyle w:val="ListParagraph"/>
              <w:suppressAutoHyphens/>
              <w:ind w:left="0"/>
              <w:jc w:val="both"/>
            </w:pPr>
            <w:r>
              <w:t>11 x 0.5 = 6</w:t>
            </w:r>
          </w:p>
        </w:tc>
      </w:tr>
      <w:tr w14:paraId="7DF555CF" w14:textId="77777777" w:rsidTr="00C80DE9">
        <w:tblPrEx>
          <w:tblW w:w="9360" w:type="dxa"/>
          <w:tblInd w:w="-95" w:type="dxa"/>
          <w:tblLook w:val="04A0"/>
        </w:tblPrEx>
        <w:trPr>
          <w:trHeight w:val="300"/>
        </w:trPr>
        <w:tc>
          <w:tcPr>
            <w:tcW w:w="3685" w:type="dxa"/>
          </w:tcPr>
          <w:p w:rsidR="00FF781F" w:rsidRPr="00AD0194" w:rsidP="0039228D" w14:paraId="281C993E" w14:textId="77777777">
            <w:pPr>
              <w:pStyle w:val="ListParagraph"/>
              <w:suppressAutoHyphens/>
              <w:ind w:left="0"/>
              <w:jc w:val="both"/>
            </w:pPr>
            <w:r>
              <w:t>Local ESS (municipal and county)</w:t>
            </w:r>
          </w:p>
        </w:tc>
        <w:tc>
          <w:tcPr>
            <w:tcW w:w="5305" w:type="dxa"/>
          </w:tcPr>
          <w:p w:rsidR="00FF781F" w:rsidRPr="00AD0194" w:rsidP="0039228D" w14:paraId="6C2FB9BC" w14:textId="66EC171F">
            <w:pPr>
              <w:pStyle w:val="ListParagraph"/>
              <w:suppressAutoHyphens/>
              <w:ind w:left="0"/>
              <w:jc w:val="both"/>
            </w:pPr>
            <w:r>
              <w:t>5</w:t>
            </w:r>
            <w:r w:rsidR="002D7A11">
              <w:t>,1</w:t>
            </w:r>
            <w:r w:rsidR="4B07DEE1">
              <w:t>34</w:t>
            </w:r>
            <w:r>
              <w:t xml:space="preserve"> x 0.5 = </w:t>
            </w:r>
            <w:r w:rsidR="002D7A11">
              <w:t>2,5</w:t>
            </w:r>
            <w:r w:rsidR="36DFB315">
              <w:t>67</w:t>
            </w:r>
          </w:p>
        </w:tc>
      </w:tr>
      <w:tr w14:paraId="486C8D3B" w14:textId="77777777" w:rsidTr="00C80DE9">
        <w:tblPrEx>
          <w:tblW w:w="9360" w:type="dxa"/>
          <w:tblInd w:w="-95" w:type="dxa"/>
          <w:tblLook w:val="04A0"/>
        </w:tblPrEx>
        <w:trPr>
          <w:trHeight w:val="300"/>
        </w:trPr>
        <w:tc>
          <w:tcPr>
            <w:tcW w:w="3685" w:type="dxa"/>
          </w:tcPr>
          <w:p w:rsidR="00FF781F" w:rsidRPr="00AD0194" w:rsidP="10D970B3" w14:paraId="47E9D16C" w14:textId="77777777">
            <w:pPr>
              <w:pStyle w:val="ListParagraph"/>
              <w:suppressAutoHyphens/>
              <w:ind w:left="0"/>
              <w:jc w:val="both"/>
            </w:pPr>
            <w:r>
              <w:t>Supplemental Surveys</w:t>
            </w:r>
          </w:p>
        </w:tc>
        <w:tc>
          <w:tcPr>
            <w:tcW w:w="5305" w:type="dxa"/>
          </w:tcPr>
          <w:p w:rsidR="00FF781F" w:rsidRPr="00AD0194" w:rsidP="10D970B3" w14:paraId="7013F360" w14:textId="1FCAADEE">
            <w:pPr>
              <w:pStyle w:val="ListParagraph"/>
              <w:suppressAutoHyphens/>
              <w:ind w:left="0"/>
              <w:jc w:val="both"/>
            </w:pPr>
            <w:r>
              <w:t>2</w:t>
            </w:r>
            <w:r w:rsidR="002D7A11">
              <w:t>,</w:t>
            </w:r>
            <w:r>
              <w:t>000 x 0.5 = 1000</w:t>
            </w:r>
          </w:p>
        </w:tc>
      </w:tr>
      <w:tr w14:paraId="2A7063B5" w14:textId="77777777" w:rsidTr="00C80DE9">
        <w:tblPrEx>
          <w:tblW w:w="9360" w:type="dxa"/>
          <w:tblInd w:w="-95" w:type="dxa"/>
          <w:tblLook w:val="04A0"/>
        </w:tblPrEx>
        <w:trPr>
          <w:trHeight w:val="300"/>
        </w:trPr>
        <w:tc>
          <w:tcPr>
            <w:tcW w:w="3685" w:type="dxa"/>
          </w:tcPr>
          <w:p w:rsidR="00FF781F" w:rsidRPr="00AD0194" w:rsidP="10D970B3" w14:paraId="0772E4E2" w14:textId="77777777">
            <w:pPr>
              <w:pStyle w:val="ListParagraph"/>
              <w:suppressAutoHyphens/>
              <w:ind w:left="0"/>
              <w:jc w:val="both"/>
              <w:rPr>
                <w:b/>
                <w:bCs/>
              </w:rPr>
            </w:pPr>
            <w:r w:rsidRPr="10D970B3">
              <w:rPr>
                <w:b/>
                <w:bCs/>
              </w:rPr>
              <w:t>Total</w:t>
            </w:r>
          </w:p>
        </w:tc>
        <w:tc>
          <w:tcPr>
            <w:tcW w:w="5305" w:type="dxa"/>
          </w:tcPr>
          <w:p w:rsidR="00FF781F" w:rsidRPr="00AD0194" w:rsidP="0039228D" w14:paraId="5DC35A69" w14:textId="47FBAB75">
            <w:pPr>
              <w:pStyle w:val="ListParagraph"/>
              <w:suppressAutoHyphens/>
              <w:ind w:left="0"/>
              <w:jc w:val="both"/>
              <w:rPr>
                <w:b/>
                <w:bCs/>
              </w:rPr>
            </w:pPr>
            <w:r w:rsidRPr="10D970B3">
              <w:rPr>
                <w:b/>
                <w:bCs/>
              </w:rPr>
              <w:t>3,</w:t>
            </w:r>
            <w:r w:rsidRPr="6A9F8BE8">
              <w:rPr>
                <w:b/>
                <w:bCs/>
              </w:rPr>
              <w:t>6</w:t>
            </w:r>
            <w:r w:rsidRPr="6A9F8BE8" w:rsidR="68E50D20">
              <w:rPr>
                <w:b/>
                <w:bCs/>
              </w:rPr>
              <w:t>43</w:t>
            </w:r>
          </w:p>
        </w:tc>
      </w:tr>
    </w:tbl>
    <w:p w:rsidR="00FF781F" w:rsidP="10D970B3" w14:paraId="42387456" w14:textId="77777777">
      <w:pPr>
        <w:suppressAutoHyphens/>
        <w:jc w:val="both"/>
      </w:pPr>
    </w:p>
    <w:p w:rsidR="00A92AA3" w:rsidRPr="00635165" w:rsidP="00C80DE9" w14:paraId="22D43AB5" w14:textId="01CDB592">
      <w:pPr>
        <w:suppressAutoHyphens/>
        <w:spacing w:after="120"/>
        <w:jc w:val="both"/>
      </w:pPr>
      <w:r>
        <w:t xml:space="preserve">To compute the cost of this hourly burden, CISA ECD multiplies burden by the fully loaded hourly wage rate for each respondent </w:t>
      </w:r>
      <w:r w:rsidRPr="00635165" w:rsidR="00DE1C71">
        <w:t>discipline</w:t>
      </w:r>
      <w:r w:rsidRPr="10D970B3">
        <w:t xml:space="preserve">. To compute the fully loaded hourly wage rate for each </w:t>
      </w:r>
      <w:r w:rsidRPr="10D970B3" w:rsidR="00DE1C71">
        <w:t>discipline</w:t>
      </w:r>
      <w:r w:rsidRPr="10D970B3">
        <w:t>, the mean hourly wage rate is multiplied by a benefit multiplier:</w:t>
      </w:r>
      <w:r w:rsidRPr="00635165">
        <w:rPr>
          <w:b/>
        </w:rPr>
        <w:t xml:space="preserve"> </w:t>
      </w:r>
      <w:r w:rsidRPr="10D970B3" w:rsidR="009916A5">
        <w:rPr>
          <w:b/>
          <w:bCs/>
        </w:rPr>
        <w:t>(</w:t>
      </w:r>
      <w:r w:rsidRPr="10D970B3" w:rsidR="00DB459B">
        <w:rPr>
          <w:b/>
          <w:bCs/>
        </w:rPr>
        <w:t>Mean Hourly Wage Rate) x (Benefit Multiplier)</w:t>
      </w:r>
      <w:r w:rsidR="00DE1C71">
        <w:t>. CISA’s Emergency Services Sector Profile</w:t>
      </w:r>
      <w:r>
        <w:rPr>
          <w:rStyle w:val="FootnoteReference"/>
        </w:rPr>
        <w:footnoteReference w:id="7"/>
      </w:r>
      <w:r w:rsidR="00DE1C71">
        <w:t xml:space="preserve"> provides the following sector decomposition by discipline.</w:t>
      </w:r>
      <w:r w:rsidRPr="10D970B3" w:rsidR="00DB459B">
        <w:rPr>
          <w:b/>
          <w:bCs/>
        </w:rPr>
        <w:t xml:space="preserve"> </w:t>
      </w:r>
    </w:p>
    <w:p w:rsidR="00FE7C4C" w:rsidP="10D970B3" w14:paraId="44C18C05" w14:textId="5C44FE8A">
      <w:pPr>
        <w:suppressAutoHyphens/>
        <w:spacing w:after="120"/>
        <w:jc w:val="both"/>
      </w:pPr>
    </w:p>
    <w:tbl>
      <w:tblPr>
        <w:tblStyle w:val="TableGrid"/>
        <w:tblW w:w="9360" w:type="dxa"/>
        <w:jc w:val="center"/>
        <w:tblLook w:val="04A0"/>
      </w:tblPr>
      <w:tblGrid>
        <w:gridCol w:w="3275"/>
        <w:gridCol w:w="3033"/>
        <w:gridCol w:w="3052"/>
      </w:tblGrid>
      <w:tr w14:paraId="036F2226" w14:textId="70D1CF08" w:rsidTr="00C80DE9">
        <w:tblPrEx>
          <w:tblW w:w="9360" w:type="dxa"/>
          <w:jc w:val="center"/>
          <w:tblLook w:val="04A0"/>
        </w:tblPrEx>
        <w:trPr>
          <w:jc w:val="center"/>
        </w:trPr>
        <w:tc>
          <w:tcPr>
            <w:tcW w:w="4854" w:type="dxa"/>
          </w:tcPr>
          <w:p w:rsidR="00194EDF" w:rsidRPr="00AD0194" w:rsidP="007C21FC" w14:paraId="0611D274" w14:textId="77777777">
            <w:pPr>
              <w:tabs>
                <w:tab w:val="left" w:pos="-720"/>
              </w:tabs>
              <w:suppressAutoHyphens/>
              <w:jc w:val="both"/>
              <w:rPr>
                <w:b/>
              </w:rPr>
            </w:pPr>
            <w:r w:rsidRPr="00AD0194">
              <w:rPr>
                <w:b/>
              </w:rPr>
              <w:t>Discipline</w:t>
            </w:r>
          </w:p>
        </w:tc>
        <w:tc>
          <w:tcPr>
            <w:tcW w:w="4506" w:type="dxa"/>
            <w:vAlign w:val="center"/>
          </w:tcPr>
          <w:p w:rsidR="00194EDF" w:rsidRPr="00AD0194" w:rsidP="00C80DE9" w14:paraId="74C34D08" w14:textId="77777777">
            <w:pPr>
              <w:tabs>
                <w:tab w:val="left" w:pos="-720"/>
              </w:tabs>
              <w:suppressAutoHyphens/>
              <w:rPr>
                <w:b/>
              </w:rPr>
            </w:pPr>
            <w:r w:rsidRPr="00AD0194">
              <w:rPr>
                <w:b/>
              </w:rPr>
              <w:t>Percentage of Population</w:t>
            </w:r>
          </w:p>
        </w:tc>
        <w:tc>
          <w:tcPr>
            <w:tcW w:w="4506" w:type="dxa"/>
          </w:tcPr>
          <w:p w:rsidR="00194EDF" w:rsidRPr="00AD0194" w:rsidP="10D970B3" w14:paraId="3C004AAF" w14:textId="56EBA090">
            <w:pPr>
              <w:suppressAutoHyphens/>
              <w:rPr>
                <w:b/>
                <w:bCs/>
              </w:rPr>
            </w:pPr>
            <w:r w:rsidRPr="10D970B3">
              <w:rPr>
                <w:b/>
                <w:bCs/>
              </w:rPr>
              <w:t>Annualized Responses</w:t>
            </w:r>
          </w:p>
        </w:tc>
      </w:tr>
      <w:tr w14:paraId="12CA20F7" w14:textId="0234D9D4" w:rsidTr="00C80DE9">
        <w:tblPrEx>
          <w:tblW w:w="9360" w:type="dxa"/>
          <w:jc w:val="center"/>
          <w:tblLook w:val="04A0"/>
        </w:tblPrEx>
        <w:trPr>
          <w:jc w:val="center"/>
        </w:trPr>
        <w:tc>
          <w:tcPr>
            <w:tcW w:w="4854" w:type="dxa"/>
          </w:tcPr>
          <w:p w:rsidR="00194EDF" w:rsidRPr="00AD0194" w:rsidP="10D970B3" w14:paraId="597DB131" w14:textId="1D19CB6C">
            <w:pPr>
              <w:suppressAutoHyphens/>
              <w:jc w:val="both"/>
            </w:pPr>
            <w:r>
              <w:t>Fire and Rescue</w:t>
            </w:r>
          </w:p>
        </w:tc>
        <w:tc>
          <w:tcPr>
            <w:tcW w:w="4506" w:type="dxa"/>
            <w:vAlign w:val="center"/>
          </w:tcPr>
          <w:p w:rsidR="00194EDF" w:rsidRPr="00AD0194" w:rsidP="10D970B3" w14:paraId="46039724" w14:textId="036115E9">
            <w:pPr>
              <w:suppressAutoHyphens/>
            </w:pPr>
            <w:r>
              <w:t>29,888 / 102,667 = 29.1%</w:t>
            </w:r>
          </w:p>
        </w:tc>
        <w:tc>
          <w:tcPr>
            <w:tcW w:w="4506" w:type="dxa"/>
          </w:tcPr>
          <w:p w:rsidR="00194EDF" w:rsidP="10D970B3" w14:paraId="409556B5" w14:textId="2805A68B">
            <w:pPr>
              <w:suppressAutoHyphens/>
            </w:pPr>
            <w:r>
              <w:t>7,</w:t>
            </w:r>
            <w:r w:rsidR="68D744A8">
              <w:t>2</w:t>
            </w:r>
            <w:r w:rsidR="3AE2ED0A">
              <w:t>15</w:t>
            </w:r>
            <w:r>
              <w:t xml:space="preserve"> x 29.1% = 2,</w:t>
            </w:r>
            <w:r w:rsidR="68D744A8">
              <w:t>10</w:t>
            </w:r>
            <w:r w:rsidR="49E3D57E">
              <w:t>0</w:t>
            </w:r>
          </w:p>
        </w:tc>
      </w:tr>
      <w:tr w14:paraId="2F15C854" w14:textId="1D99304D" w:rsidTr="00C80DE9">
        <w:tblPrEx>
          <w:tblW w:w="9360" w:type="dxa"/>
          <w:jc w:val="center"/>
          <w:tblLook w:val="04A0"/>
        </w:tblPrEx>
        <w:trPr>
          <w:jc w:val="center"/>
        </w:trPr>
        <w:tc>
          <w:tcPr>
            <w:tcW w:w="4854" w:type="dxa"/>
          </w:tcPr>
          <w:p w:rsidR="00194EDF" w:rsidRPr="00AD0194" w:rsidP="10D970B3" w14:paraId="6F5F51E2" w14:textId="08D630C2">
            <w:pPr>
              <w:suppressAutoHyphens/>
              <w:jc w:val="both"/>
            </w:pPr>
            <w:r>
              <w:t>Law Enforcement</w:t>
            </w:r>
          </w:p>
        </w:tc>
        <w:tc>
          <w:tcPr>
            <w:tcW w:w="4506" w:type="dxa"/>
            <w:vAlign w:val="center"/>
          </w:tcPr>
          <w:p w:rsidR="00194EDF" w:rsidRPr="00AD0194" w:rsidP="10D970B3" w14:paraId="36D5471C" w14:textId="2EDBEFB4">
            <w:pPr>
              <w:suppressAutoHyphens/>
            </w:pPr>
            <w:r>
              <w:t>17,709 / 102,667 = 17.2%</w:t>
            </w:r>
          </w:p>
        </w:tc>
        <w:tc>
          <w:tcPr>
            <w:tcW w:w="4506" w:type="dxa"/>
          </w:tcPr>
          <w:p w:rsidR="00194EDF" w:rsidP="10D970B3" w14:paraId="18DEBB63" w14:textId="1F3C933D">
            <w:pPr>
              <w:suppressAutoHyphens/>
            </w:pPr>
            <w:r>
              <w:t>7,</w:t>
            </w:r>
            <w:r w:rsidR="522246FD">
              <w:t>2</w:t>
            </w:r>
            <w:r w:rsidR="4D89B7A3">
              <w:t>15</w:t>
            </w:r>
            <w:r>
              <w:t xml:space="preserve"> x 17.2% = 1,</w:t>
            </w:r>
            <w:r w:rsidR="522246FD">
              <w:t>24</w:t>
            </w:r>
            <w:r w:rsidR="4B7BFB3B">
              <w:t>5</w:t>
            </w:r>
          </w:p>
        </w:tc>
      </w:tr>
      <w:tr w14:paraId="26A05EFE" w14:textId="0943BC90" w:rsidTr="00C80DE9">
        <w:tblPrEx>
          <w:tblW w:w="9360" w:type="dxa"/>
          <w:jc w:val="center"/>
          <w:tblLook w:val="04A0"/>
        </w:tblPrEx>
        <w:trPr>
          <w:jc w:val="center"/>
        </w:trPr>
        <w:tc>
          <w:tcPr>
            <w:tcW w:w="4854" w:type="dxa"/>
          </w:tcPr>
          <w:p w:rsidR="00194EDF" w:rsidRPr="00AD0194" w:rsidP="007C21FC" w14:paraId="71B2F91B" w14:textId="77777777">
            <w:pPr>
              <w:tabs>
                <w:tab w:val="left" w:pos="-720"/>
              </w:tabs>
              <w:suppressAutoHyphens/>
              <w:jc w:val="both"/>
            </w:pPr>
            <w:r w:rsidRPr="00AD0194">
              <w:t>Emergency Medical Services</w:t>
            </w:r>
          </w:p>
        </w:tc>
        <w:tc>
          <w:tcPr>
            <w:tcW w:w="4506" w:type="dxa"/>
            <w:vAlign w:val="center"/>
          </w:tcPr>
          <w:p w:rsidR="00194EDF" w:rsidRPr="00AD0194" w:rsidP="10D970B3" w14:paraId="7A0B82A8" w14:textId="417666FF">
            <w:pPr>
              <w:suppressAutoHyphens/>
            </w:pPr>
            <w:r>
              <w:t>21,280 / 102,667 = 20.7%</w:t>
            </w:r>
          </w:p>
        </w:tc>
        <w:tc>
          <w:tcPr>
            <w:tcW w:w="4506" w:type="dxa"/>
          </w:tcPr>
          <w:p w:rsidR="00194EDF" w:rsidP="10D970B3" w14:paraId="06A5A939" w14:textId="3BA18EFF">
            <w:pPr>
              <w:suppressAutoHyphens/>
            </w:pPr>
            <w:r>
              <w:t>7,</w:t>
            </w:r>
            <w:r w:rsidR="522246FD">
              <w:t>2</w:t>
            </w:r>
            <w:r w:rsidR="68AD3B51">
              <w:t>15</w:t>
            </w:r>
            <w:r>
              <w:t xml:space="preserve"> x 20.7% = 1,</w:t>
            </w:r>
            <w:r w:rsidR="10965B7B">
              <w:t>49</w:t>
            </w:r>
            <w:r w:rsidR="6F34B1DF">
              <w:t>5</w:t>
            </w:r>
          </w:p>
        </w:tc>
      </w:tr>
      <w:tr w14:paraId="08502AA5" w14:textId="499E8889" w:rsidTr="00C80DE9">
        <w:tblPrEx>
          <w:tblW w:w="9360" w:type="dxa"/>
          <w:jc w:val="center"/>
          <w:tblLook w:val="04A0"/>
        </w:tblPrEx>
        <w:trPr>
          <w:trHeight w:val="300"/>
          <w:jc w:val="center"/>
        </w:trPr>
        <w:tc>
          <w:tcPr>
            <w:tcW w:w="4854" w:type="dxa"/>
          </w:tcPr>
          <w:p w:rsidR="00194EDF" w:rsidRPr="00AD0194" w:rsidP="10D970B3" w14:paraId="2A28D8BF" w14:textId="38AFC580">
            <w:pPr>
              <w:suppressAutoHyphens/>
              <w:jc w:val="both"/>
            </w:pPr>
            <w:r>
              <w:t>Public Works</w:t>
            </w:r>
          </w:p>
        </w:tc>
        <w:tc>
          <w:tcPr>
            <w:tcW w:w="4506" w:type="dxa"/>
            <w:vAlign w:val="center"/>
          </w:tcPr>
          <w:p w:rsidR="00194EDF" w:rsidRPr="00AD0194" w:rsidP="10D970B3" w14:paraId="7C0FE1A3" w14:textId="32582DF4">
            <w:pPr>
              <w:suppressAutoHyphens/>
            </w:pPr>
            <w:r>
              <w:t>19,400 / 102,667 = 18.9%</w:t>
            </w:r>
          </w:p>
        </w:tc>
        <w:tc>
          <w:tcPr>
            <w:tcW w:w="4506" w:type="dxa"/>
          </w:tcPr>
          <w:p w:rsidR="00194EDF" w:rsidP="10D970B3" w14:paraId="61E8D825" w14:textId="0F49462D">
            <w:pPr>
              <w:suppressAutoHyphens/>
            </w:pPr>
            <w:r>
              <w:t>7,</w:t>
            </w:r>
            <w:r w:rsidR="522246FD">
              <w:t>2</w:t>
            </w:r>
            <w:r w:rsidR="79C53FFC">
              <w:t>15</w:t>
            </w:r>
            <w:r>
              <w:t xml:space="preserve"> x 18.9% = 1,</w:t>
            </w:r>
            <w:r w:rsidR="522246FD">
              <w:t>3</w:t>
            </w:r>
            <w:r w:rsidR="7D4FBF26">
              <w:t>6</w:t>
            </w:r>
            <w:r w:rsidR="5DEC996E">
              <w:t>3</w:t>
            </w:r>
          </w:p>
        </w:tc>
      </w:tr>
      <w:tr w14:paraId="51E6135C" w14:textId="18A3D2FD" w:rsidTr="00C80DE9">
        <w:tblPrEx>
          <w:tblW w:w="9360" w:type="dxa"/>
          <w:jc w:val="center"/>
          <w:tblLook w:val="04A0"/>
        </w:tblPrEx>
        <w:trPr>
          <w:jc w:val="center"/>
        </w:trPr>
        <w:tc>
          <w:tcPr>
            <w:tcW w:w="4854" w:type="dxa"/>
          </w:tcPr>
          <w:p w:rsidR="00194EDF" w:rsidRPr="00AD0194" w:rsidP="10D970B3" w14:paraId="716908C4" w14:textId="5F520F23">
            <w:pPr>
              <w:suppressAutoHyphens/>
              <w:jc w:val="both"/>
            </w:pPr>
            <w:r>
              <w:t>ECC/PSAP</w:t>
            </w:r>
          </w:p>
        </w:tc>
        <w:tc>
          <w:tcPr>
            <w:tcW w:w="4506" w:type="dxa"/>
            <w:vAlign w:val="center"/>
          </w:tcPr>
          <w:p w:rsidR="00194EDF" w:rsidRPr="00AD0194" w:rsidP="10D970B3" w14:paraId="658246E1" w14:textId="6BA6D565">
            <w:pPr>
              <w:suppressAutoHyphens/>
            </w:pPr>
            <w:r>
              <w:t>4,600 / 102,667 = 4.5%</w:t>
            </w:r>
          </w:p>
        </w:tc>
        <w:tc>
          <w:tcPr>
            <w:tcW w:w="4506" w:type="dxa"/>
          </w:tcPr>
          <w:p w:rsidR="00194EDF" w:rsidP="10D970B3" w14:paraId="5FE1E0A4" w14:textId="3477BF7B">
            <w:pPr>
              <w:suppressAutoHyphens/>
            </w:pPr>
            <w:r>
              <w:t>7,</w:t>
            </w:r>
            <w:r w:rsidR="522246FD">
              <w:t>2</w:t>
            </w:r>
            <w:r w:rsidR="6128CB8B">
              <w:t>15</w:t>
            </w:r>
            <w:r>
              <w:t xml:space="preserve"> x 4.5% = </w:t>
            </w:r>
            <w:r w:rsidR="522246FD">
              <w:t>32</w:t>
            </w:r>
            <w:r w:rsidR="3813ECEF">
              <w:t>3</w:t>
            </w:r>
          </w:p>
        </w:tc>
      </w:tr>
      <w:tr w14:paraId="4A519BBC" w14:textId="6420E65C" w:rsidTr="00C80DE9">
        <w:tblPrEx>
          <w:tblW w:w="9360" w:type="dxa"/>
          <w:jc w:val="center"/>
          <w:tblLook w:val="04A0"/>
        </w:tblPrEx>
        <w:trPr>
          <w:jc w:val="center"/>
        </w:trPr>
        <w:tc>
          <w:tcPr>
            <w:tcW w:w="4854" w:type="dxa"/>
          </w:tcPr>
          <w:p w:rsidR="00194EDF" w:rsidRPr="00AD0194" w:rsidP="007C21FC" w14:paraId="25C1F25C" w14:textId="0EA5ED0F">
            <w:pPr>
              <w:tabs>
                <w:tab w:val="left" w:pos="-720"/>
              </w:tabs>
              <w:suppressAutoHyphens/>
              <w:jc w:val="both"/>
            </w:pPr>
            <w:r w:rsidRPr="00AD0194">
              <w:t>Emergency Management</w:t>
            </w:r>
          </w:p>
        </w:tc>
        <w:tc>
          <w:tcPr>
            <w:tcW w:w="4506" w:type="dxa"/>
            <w:vAlign w:val="center"/>
          </w:tcPr>
          <w:p w:rsidR="00194EDF" w:rsidRPr="00AD0194" w:rsidP="10D970B3" w14:paraId="1C7B895E" w14:textId="54DBB868">
            <w:pPr>
              <w:suppressAutoHyphens/>
            </w:pPr>
            <w:r>
              <w:t>9,790 / 102,667 = 9.5%</w:t>
            </w:r>
          </w:p>
        </w:tc>
        <w:tc>
          <w:tcPr>
            <w:tcW w:w="4506" w:type="dxa"/>
          </w:tcPr>
          <w:p w:rsidR="00194EDF" w:rsidP="10D970B3" w14:paraId="5D32342F" w14:textId="70F9A095">
            <w:pPr>
              <w:suppressAutoHyphens/>
            </w:pPr>
            <w:r>
              <w:t>7,</w:t>
            </w:r>
            <w:r w:rsidR="522246FD">
              <w:t>2</w:t>
            </w:r>
            <w:r w:rsidR="029BD2AA">
              <w:t>15</w:t>
            </w:r>
            <w:r>
              <w:t xml:space="preserve"> x 9.5% = 688</w:t>
            </w:r>
          </w:p>
        </w:tc>
      </w:tr>
    </w:tbl>
    <w:p w:rsidR="000414FE" w:rsidRPr="00747EA2" w:rsidP="178246B2" w14:paraId="0281804D" w14:textId="5346D886">
      <w:pPr>
        <w:suppressAutoHyphens/>
        <w:spacing w:before="120" w:after="120"/>
        <w:jc w:val="both"/>
      </w:pPr>
      <w:r w:rsidRPr="00747EA2">
        <w:t>For the purposes of th</w:t>
      </w:r>
      <w:r w:rsidRPr="00747EA2" w:rsidR="00896C54">
        <w:t>ese</w:t>
      </w:r>
      <w:r w:rsidRPr="00747EA2">
        <w:t xml:space="preserve"> calculation</w:t>
      </w:r>
      <w:r w:rsidRPr="00747EA2" w:rsidR="00896C54">
        <w:t>s</w:t>
      </w:r>
      <w:r w:rsidRPr="00747EA2">
        <w:t>, DHS is using</w:t>
      </w:r>
      <w:r w:rsidRPr="00747EA2" w:rsidR="00904A45">
        <w:t xml:space="preserve"> </w:t>
      </w:r>
      <w:r w:rsidRPr="00747EA2" w:rsidR="00896C54">
        <w:t xml:space="preserve">data from the Bureau of Labor Statistics </w:t>
      </w:r>
      <w:r w:rsidRPr="00747EA2" w:rsidR="00CC762E">
        <w:t xml:space="preserve">(BLS) </w:t>
      </w:r>
      <w:r w:rsidR="001530EE">
        <w:t>May 2024 Occupational and Wage Statistics Tables’</w:t>
      </w:r>
      <w:r w:rsidRPr="00747EA2" w:rsidR="00896C54">
        <w:t xml:space="preserve"> </w:t>
      </w:r>
      <w:r w:rsidRPr="00747EA2" w:rsidR="003C41F7">
        <w:t>M</w:t>
      </w:r>
      <w:r w:rsidRPr="00747EA2" w:rsidR="00904A45">
        <w:t xml:space="preserve">ean </w:t>
      </w:r>
      <w:r w:rsidRPr="00747EA2" w:rsidR="003C41F7">
        <w:t>Hourly W</w:t>
      </w:r>
      <w:r w:rsidRPr="00747EA2" w:rsidR="00896C54">
        <w:t>age rate</w:t>
      </w:r>
      <w:r w:rsidRPr="00747EA2" w:rsidR="00C506BE">
        <w:t xml:space="preserve"> for each discipline</w:t>
      </w:r>
      <w:r w:rsidRPr="00747EA2" w:rsidR="00904A45">
        <w:t>.</w:t>
      </w:r>
      <w:r>
        <w:rPr>
          <w:rStyle w:val="FootnoteReference"/>
        </w:rPr>
        <w:footnoteReference w:id="8"/>
      </w:r>
      <w:r w:rsidRPr="00747EA2" w:rsidR="00904A45">
        <w:t xml:space="preserve"> </w:t>
      </w:r>
      <w:r w:rsidRPr="00747EA2" w:rsidR="00DB459B">
        <w:t xml:space="preserve">The Benefit Multiplier was designated as </w:t>
      </w:r>
      <w:r w:rsidR="00F44D84">
        <w:t>1</w:t>
      </w:r>
      <w:r w:rsidRPr="00747EA2" w:rsidR="34F30A1E">
        <w:t>.6235</w:t>
      </w:r>
      <w:r w:rsidRPr="00747EA2" w:rsidR="00DB459B">
        <w:t xml:space="preserve"> for each discipline</w:t>
      </w:r>
      <w:r w:rsidR="00F44D84">
        <w:t xml:space="preserve">, calculated using the </w:t>
      </w:r>
      <w:r w:rsidR="487B7E0C">
        <w:t>June 2025</w:t>
      </w:r>
      <w:r w:rsidR="00481900">
        <w:t xml:space="preserve"> </w:t>
      </w:r>
      <w:r w:rsidRPr="00747EA2" w:rsidR="00AE5D88">
        <w:t xml:space="preserve">BLS Economic News Release </w:t>
      </w:r>
      <w:r w:rsidR="00F44D84">
        <w:t xml:space="preserve">for </w:t>
      </w:r>
      <w:r w:rsidR="22A511CA">
        <w:t>Employer Costs for Employee Compensation</w:t>
      </w:r>
      <w:r w:rsidRPr="00747EA2" w:rsidR="000C59CD">
        <w:t>.</w:t>
      </w:r>
      <w:r>
        <w:rPr>
          <w:rStyle w:val="FootnoteReference"/>
        </w:rPr>
        <w:footnoteReference w:id="9"/>
      </w:r>
      <w:r w:rsidRPr="00747EA2" w:rsidR="000C59CD">
        <w:t xml:space="preserve"> </w:t>
      </w:r>
      <w:r w:rsidR="6B58B7F0">
        <w:t>The load factor is estimated by dividing Total Compensation ($</w:t>
      </w:r>
      <w:r w:rsidR="53FB1A69">
        <w:t>6</w:t>
      </w:r>
      <w:r w:rsidR="6B58B7F0">
        <w:t>4</w:t>
      </w:r>
      <w:r w:rsidR="53FB1A69">
        <w:t>.00</w:t>
      </w:r>
      <w:r w:rsidR="6B58B7F0">
        <w:t>) by Salaries</w:t>
      </w:r>
      <w:r w:rsidR="00F44D84">
        <w:t xml:space="preserve"> and </w:t>
      </w:r>
      <w:r w:rsidR="6B58B7F0">
        <w:t>Wages ($32.</w:t>
      </w:r>
      <w:r w:rsidR="7DEAE101">
        <w:t>4</w:t>
      </w:r>
      <w:r w:rsidR="6B58B7F0">
        <w:t>2) = 1.</w:t>
      </w:r>
      <w:r w:rsidR="21880182">
        <w:t>6235.</w:t>
      </w:r>
    </w:p>
    <w:p w:rsidR="009850BA" w:rsidRPr="00747EA2" w:rsidP="10D970B3" w14:paraId="3D23AF36" w14:textId="5C7AFB37">
      <w:pPr>
        <w:suppressAutoHyphens/>
        <w:spacing w:before="120" w:after="120"/>
        <w:jc w:val="both"/>
      </w:pPr>
      <w:r w:rsidRPr="00747EA2">
        <w:t xml:space="preserve">  </w:t>
      </w:r>
    </w:p>
    <w:p w:rsidR="003B68FA" w:rsidRPr="00970E18" w:rsidP="001F2FEE" w14:paraId="794CB2F1" w14:textId="1910366F">
      <w:pPr>
        <w:pStyle w:val="Heading1"/>
        <w:jc w:val="center"/>
        <w:rPr>
          <w:sz w:val="24"/>
          <w:szCs w:val="18"/>
        </w:rPr>
      </w:pPr>
      <w:bookmarkStart w:id="1" w:name="_Table_A.12:_Estimated"/>
      <w:bookmarkEnd w:id="1"/>
      <w:r w:rsidRPr="00970E18">
        <w:rPr>
          <w:sz w:val="24"/>
          <w:szCs w:val="18"/>
        </w:rPr>
        <w:t>Table A.1: Estimated Annualized Burden Hours and Costs</w:t>
      </w:r>
    </w:p>
    <w:tbl>
      <w:tblPr>
        <w:tblW w:w="9378" w:type="dxa"/>
        <w:tblInd w:w="85" w:type="dxa"/>
        <w:tblLayout w:type="fixed"/>
        <w:tblLook w:val="04A0"/>
      </w:tblPr>
      <w:tblGrid>
        <w:gridCol w:w="1440"/>
        <w:gridCol w:w="1350"/>
        <w:gridCol w:w="1404"/>
        <w:gridCol w:w="1296"/>
        <w:gridCol w:w="1296"/>
        <w:gridCol w:w="1296"/>
        <w:gridCol w:w="1296"/>
      </w:tblGrid>
      <w:tr w14:paraId="3C21F34A" w14:textId="77777777" w:rsidTr="6863B825">
        <w:tblPrEx>
          <w:tblW w:w="9378" w:type="dxa"/>
          <w:tblInd w:w="85" w:type="dxa"/>
          <w:tblLayout w:type="fixed"/>
          <w:tblLook w:val="04A0"/>
        </w:tblPrEx>
        <w:trPr>
          <w:trHeight w:val="1020"/>
        </w:trPr>
        <w:tc>
          <w:tcPr>
            <w:tcW w:w="1440" w:type="dxa"/>
            <w:tcBorders>
              <w:top w:val="single" w:sz="4" w:space="0" w:color="auto"/>
              <w:left w:val="single" w:sz="4" w:space="0" w:color="auto"/>
              <w:bottom w:val="single" w:sz="4" w:space="0" w:color="auto"/>
              <w:right w:val="single" w:sz="4" w:space="0" w:color="auto"/>
            </w:tcBorders>
            <w:vAlign w:val="center"/>
            <w:hideMark/>
          </w:tcPr>
          <w:p w:rsidR="00C472C4" w:rsidRPr="00747EA2" w:rsidP="00AF0B75" w14:paraId="38A2E72D" w14:textId="77777777">
            <w:pPr>
              <w:jc w:val="center"/>
              <w:rPr>
                <w:b/>
                <w:bCs/>
                <w:color w:val="000000"/>
                <w:sz w:val="20"/>
                <w:szCs w:val="20"/>
              </w:rPr>
            </w:pPr>
            <w:r w:rsidRPr="00747EA2">
              <w:rPr>
                <w:b/>
                <w:bCs/>
                <w:color w:val="000000"/>
                <w:sz w:val="20"/>
                <w:szCs w:val="20"/>
              </w:rPr>
              <w:t xml:space="preserve">Type of </w:t>
            </w:r>
          </w:p>
          <w:p w:rsidR="00AF0B75" w:rsidRPr="00747EA2" w:rsidP="00AF0B75" w14:paraId="6FC22095" w14:textId="587FC484">
            <w:pPr>
              <w:jc w:val="center"/>
              <w:rPr>
                <w:b/>
                <w:bCs/>
                <w:color w:val="000000"/>
                <w:sz w:val="20"/>
                <w:szCs w:val="20"/>
              </w:rPr>
            </w:pPr>
            <w:r w:rsidRPr="00747EA2">
              <w:rPr>
                <w:b/>
                <w:bCs/>
                <w:color w:val="000000"/>
                <w:sz w:val="20"/>
                <w:szCs w:val="20"/>
              </w:rPr>
              <w:t>Respondent</w:t>
            </w:r>
          </w:p>
        </w:tc>
        <w:tc>
          <w:tcPr>
            <w:tcW w:w="1350" w:type="dxa"/>
            <w:tcBorders>
              <w:top w:val="single" w:sz="4" w:space="0" w:color="auto"/>
              <w:left w:val="nil"/>
              <w:bottom w:val="single" w:sz="4" w:space="0" w:color="auto"/>
              <w:right w:val="single" w:sz="4" w:space="0" w:color="auto"/>
            </w:tcBorders>
            <w:vAlign w:val="center"/>
            <w:hideMark/>
          </w:tcPr>
          <w:p w:rsidR="00AF0B75" w:rsidRPr="00747EA2" w:rsidP="00AF0B75" w14:paraId="0568DC95" w14:textId="7336ED93">
            <w:pPr>
              <w:jc w:val="center"/>
              <w:rPr>
                <w:b/>
                <w:bCs/>
                <w:color w:val="000000"/>
                <w:sz w:val="20"/>
                <w:szCs w:val="20"/>
              </w:rPr>
            </w:pPr>
            <w:r w:rsidRPr="10D970B3">
              <w:rPr>
                <w:b/>
                <w:bCs/>
                <w:color w:val="000000" w:themeColor="text1"/>
                <w:sz w:val="20"/>
                <w:szCs w:val="20"/>
              </w:rPr>
              <w:t xml:space="preserve">Annualized </w:t>
            </w:r>
            <w:r w:rsidRPr="10D970B3" w:rsidR="009916A5">
              <w:rPr>
                <w:b/>
                <w:bCs/>
                <w:color w:val="000000" w:themeColor="text1"/>
                <w:sz w:val="20"/>
                <w:szCs w:val="20"/>
              </w:rPr>
              <w:t>Number of Respondents</w:t>
            </w:r>
          </w:p>
        </w:tc>
        <w:tc>
          <w:tcPr>
            <w:tcW w:w="1404" w:type="dxa"/>
            <w:tcBorders>
              <w:top w:val="single" w:sz="4" w:space="0" w:color="auto"/>
              <w:left w:val="nil"/>
              <w:bottom w:val="single" w:sz="4" w:space="0" w:color="auto"/>
              <w:right w:val="single" w:sz="4" w:space="0" w:color="auto"/>
            </w:tcBorders>
            <w:vAlign w:val="center"/>
            <w:hideMark/>
          </w:tcPr>
          <w:p w:rsidR="007F3C66" w:rsidRPr="00747EA2" w:rsidP="00AF0B75" w14:paraId="49977F67" w14:textId="77777777">
            <w:pPr>
              <w:jc w:val="center"/>
              <w:rPr>
                <w:b/>
                <w:bCs/>
                <w:color w:val="000000"/>
                <w:sz w:val="20"/>
                <w:szCs w:val="20"/>
              </w:rPr>
            </w:pPr>
            <w:r w:rsidRPr="00747EA2">
              <w:rPr>
                <w:b/>
                <w:bCs/>
                <w:color w:val="000000"/>
                <w:sz w:val="20"/>
                <w:szCs w:val="20"/>
              </w:rPr>
              <w:t xml:space="preserve">Responses per </w:t>
            </w:r>
          </w:p>
          <w:p w:rsidR="00AF0B75" w:rsidRPr="00747EA2" w:rsidP="00AF0B75" w14:paraId="22E2FBB3" w14:textId="625748FA">
            <w:pPr>
              <w:jc w:val="center"/>
              <w:rPr>
                <w:b/>
                <w:bCs/>
                <w:color w:val="000000"/>
                <w:sz w:val="20"/>
                <w:szCs w:val="20"/>
              </w:rPr>
            </w:pPr>
            <w:r w:rsidRPr="00747EA2">
              <w:rPr>
                <w:b/>
                <w:bCs/>
                <w:color w:val="000000"/>
                <w:sz w:val="20"/>
                <w:szCs w:val="20"/>
              </w:rPr>
              <w:t>Respondent</w:t>
            </w:r>
          </w:p>
        </w:tc>
        <w:tc>
          <w:tcPr>
            <w:tcW w:w="1296" w:type="dxa"/>
            <w:tcBorders>
              <w:top w:val="single" w:sz="4" w:space="0" w:color="auto"/>
              <w:left w:val="nil"/>
              <w:bottom w:val="single" w:sz="4" w:space="0" w:color="auto"/>
              <w:right w:val="single" w:sz="4" w:space="0" w:color="auto"/>
            </w:tcBorders>
            <w:vAlign w:val="center"/>
            <w:hideMark/>
          </w:tcPr>
          <w:p w:rsidR="00AF0B75" w:rsidRPr="00747EA2" w:rsidP="00AF0B75" w14:paraId="78DEC503" w14:textId="77777777">
            <w:pPr>
              <w:jc w:val="center"/>
              <w:rPr>
                <w:b/>
                <w:bCs/>
                <w:color w:val="000000"/>
                <w:sz w:val="20"/>
                <w:szCs w:val="20"/>
              </w:rPr>
            </w:pPr>
            <w:r w:rsidRPr="00747EA2">
              <w:rPr>
                <w:b/>
                <w:bCs/>
                <w:color w:val="000000"/>
                <w:sz w:val="20"/>
                <w:szCs w:val="20"/>
              </w:rPr>
              <w:t xml:space="preserve">Average Burden per Response </w:t>
            </w:r>
            <w:r w:rsidRPr="00747EA2">
              <w:rPr>
                <w:b/>
                <w:bCs/>
                <w:color w:val="000000"/>
                <w:sz w:val="20"/>
                <w:szCs w:val="20"/>
              </w:rPr>
              <w:br/>
              <w:t>(in hours)</w:t>
            </w:r>
          </w:p>
        </w:tc>
        <w:tc>
          <w:tcPr>
            <w:tcW w:w="1296" w:type="dxa"/>
            <w:tcBorders>
              <w:top w:val="single" w:sz="4" w:space="0" w:color="auto"/>
              <w:left w:val="nil"/>
              <w:bottom w:val="single" w:sz="4" w:space="0" w:color="auto"/>
              <w:right w:val="single" w:sz="4" w:space="0" w:color="auto"/>
            </w:tcBorders>
            <w:vAlign w:val="center"/>
            <w:hideMark/>
          </w:tcPr>
          <w:p w:rsidR="007F3C66" w:rsidRPr="00747EA2" w:rsidP="00AF0B75" w14:paraId="78A11A1A" w14:textId="6B9961C2">
            <w:pPr>
              <w:jc w:val="center"/>
              <w:rPr>
                <w:b/>
                <w:bCs/>
                <w:color w:val="000000"/>
                <w:sz w:val="20"/>
                <w:szCs w:val="20"/>
              </w:rPr>
            </w:pPr>
            <w:r w:rsidRPr="00747EA2">
              <w:rPr>
                <w:b/>
                <w:bCs/>
                <w:color w:val="000000"/>
                <w:sz w:val="20"/>
                <w:szCs w:val="20"/>
              </w:rPr>
              <w:t>Total</w:t>
            </w:r>
          </w:p>
          <w:p w:rsidR="00AF0B75" w:rsidRPr="00747EA2" w:rsidP="00AF0B75" w14:paraId="1538ECC5" w14:textId="0E0F3641">
            <w:pPr>
              <w:jc w:val="center"/>
              <w:rPr>
                <w:b/>
                <w:bCs/>
                <w:color w:val="000000"/>
                <w:sz w:val="20"/>
                <w:szCs w:val="20"/>
              </w:rPr>
            </w:pPr>
            <w:r w:rsidRPr="00747EA2">
              <w:rPr>
                <w:b/>
                <w:bCs/>
                <w:color w:val="000000"/>
                <w:sz w:val="20"/>
                <w:szCs w:val="20"/>
              </w:rPr>
              <w:t xml:space="preserve">Annual Burden </w:t>
            </w:r>
            <w:r w:rsidRPr="00747EA2">
              <w:rPr>
                <w:b/>
                <w:bCs/>
                <w:color w:val="000000"/>
                <w:sz w:val="20"/>
                <w:szCs w:val="20"/>
              </w:rPr>
              <w:br/>
              <w:t>(in hours)</w:t>
            </w:r>
          </w:p>
        </w:tc>
        <w:tc>
          <w:tcPr>
            <w:tcW w:w="1296" w:type="dxa"/>
            <w:tcBorders>
              <w:top w:val="single" w:sz="4" w:space="0" w:color="auto"/>
              <w:left w:val="nil"/>
              <w:bottom w:val="single" w:sz="4" w:space="0" w:color="auto"/>
              <w:right w:val="single" w:sz="4" w:space="0" w:color="auto"/>
            </w:tcBorders>
            <w:vAlign w:val="center"/>
            <w:hideMark/>
          </w:tcPr>
          <w:p w:rsidR="00AF0B75" w:rsidRPr="00747EA2" w:rsidP="00AF0B75" w14:paraId="43DFEB9A" w14:textId="77777777">
            <w:pPr>
              <w:jc w:val="center"/>
              <w:rPr>
                <w:b/>
                <w:bCs/>
                <w:color w:val="000000"/>
                <w:sz w:val="20"/>
                <w:szCs w:val="20"/>
              </w:rPr>
            </w:pPr>
            <w:r w:rsidRPr="00747EA2">
              <w:rPr>
                <w:b/>
                <w:bCs/>
                <w:color w:val="000000"/>
                <w:sz w:val="20"/>
                <w:szCs w:val="20"/>
              </w:rPr>
              <w:t>Average Hourly Wage Rate</w:t>
            </w:r>
          </w:p>
        </w:tc>
        <w:tc>
          <w:tcPr>
            <w:tcW w:w="1296" w:type="dxa"/>
            <w:tcBorders>
              <w:top w:val="single" w:sz="4" w:space="0" w:color="auto"/>
              <w:left w:val="nil"/>
              <w:bottom w:val="single" w:sz="4" w:space="0" w:color="auto"/>
              <w:right w:val="single" w:sz="4" w:space="0" w:color="auto"/>
            </w:tcBorders>
            <w:vAlign w:val="center"/>
            <w:hideMark/>
          </w:tcPr>
          <w:p w:rsidR="00AF0B75" w:rsidRPr="00AF0B75" w:rsidP="00AF0B75" w14:paraId="005E48F8" w14:textId="77777777">
            <w:pPr>
              <w:jc w:val="center"/>
              <w:rPr>
                <w:b/>
                <w:bCs/>
                <w:color w:val="000000"/>
                <w:sz w:val="20"/>
                <w:szCs w:val="20"/>
              </w:rPr>
            </w:pPr>
            <w:r w:rsidRPr="00747EA2">
              <w:rPr>
                <w:b/>
                <w:bCs/>
                <w:color w:val="000000"/>
                <w:sz w:val="20"/>
                <w:szCs w:val="20"/>
              </w:rPr>
              <w:t>Total Cost</w:t>
            </w:r>
          </w:p>
        </w:tc>
      </w:tr>
      <w:tr w14:paraId="5F973907" w14:textId="77777777" w:rsidTr="6863B825">
        <w:tblPrEx>
          <w:tblW w:w="9378" w:type="dxa"/>
          <w:tblInd w:w="85" w:type="dxa"/>
          <w:tblLayout w:type="fixed"/>
          <w:tblLook w:val="04A0"/>
        </w:tblPrEx>
        <w:trPr>
          <w:trHeight w:val="260"/>
        </w:trPr>
        <w:tc>
          <w:tcPr>
            <w:tcW w:w="1440" w:type="dxa"/>
            <w:tcBorders>
              <w:top w:val="nil"/>
              <w:left w:val="single" w:sz="4" w:space="0" w:color="auto"/>
              <w:bottom w:val="single" w:sz="4" w:space="0" w:color="auto"/>
              <w:right w:val="single" w:sz="4" w:space="0" w:color="auto"/>
            </w:tcBorders>
            <w:vAlign w:val="center"/>
            <w:hideMark/>
          </w:tcPr>
          <w:p w:rsidR="00E35C09" w:rsidRPr="00AF0B75" w:rsidP="1F47A379" w14:paraId="47C21AA7" w14:textId="371D5595">
            <w:pPr>
              <w:jc w:val="center"/>
              <w:rPr>
                <w:color w:val="000000" w:themeColor="text1"/>
                <w:sz w:val="20"/>
                <w:szCs w:val="20"/>
              </w:rPr>
            </w:pPr>
            <w:r w:rsidRPr="1F47A379">
              <w:rPr>
                <w:color w:val="000000" w:themeColor="text1"/>
                <w:sz w:val="20"/>
                <w:szCs w:val="20"/>
              </w:rPr>
              <w:t>Fire and Rescue</w:t>
            </w:r>
          </w:p>
          <w:p w:rsidR="00E35C09" w:rsidRPr="00AF0B75" w:rsidP="10D970B3" w14:paraId="7D7F2344" w14:textId="7CBE564D">
            <w:pPr>
              <w:jc w:val="center"/>
              <w:rPr>
                <w:color w:val="000000"/>
                <w:sz w:val="20"/>
                <w:szCs w:val="20"/>
              </w:rPr>
            </w:pPr>
            <w:r w:rsidRPr="1F47A379">
              <w:rPr>
                <w:color w:val="000000" w:themeColor="text1"/>
                <w:sz w:val="20"/>
                <w:szCs w:val="20"/>
              </w:rPr>
              <w:t>(33-2011)</w:t>
            </w:r>
          </w:p>
        </w:tc>
        <w:tc>
          <w:tcPr>
            <w:tcW w:w="1350" w:type="dxa"/>
            <w:tcBorders>
              <w:top w:val="nil"/>
              <w:left w:val="nil"/>
              <w:bottom w:val="single" w:sz="4" w:space="0" w:color="auto"/>
              <w:right w:val="single" w:sz="4" w:space="0" w:color="auto"/>
            </w:tcBorders>
            <w:noWrap/>
            <w:vAlign w:val="center"/>
            <w:hideMark/>
          </w:tcPr>
          <w:p w:rsidR="00E35C09" w:rsidRPr="00AF0B75" w:rsidP="00E35C09" w14:paraId="1178D793" w14:textId="7237E038">
            <w:pPr>
              <w:spacing w:line="259" w:lineRule="auto"/>
              <w:jc w:val="center"/>
              <w:rPr>
                <w:color w:val="000000" w:themeColor="text1"/>
                <w:sz w:val="20"/>
                <w:szCs w:val="20"/>
              </w:rPr>
            </w:pPr>
            <w:r w:rsidRPr="10D970B3">
              <w:rPr>
                <w:color w:val="000000" w:themeColor="text1"/>
                <w:sz w:val="20"/>
                <w:szCs w:val="20"/>
              </w:rPr>
              <w:t>2,</w:t>
            </w:r>
            <w:r w:rsidRPr="6A9F8BE8" w:rsidR="68D744A8">
              <w:rPr>
                <w:color w:val="000000" w:themeColor="text1"/>
                <w:sz w:val="20"/>
                <w:szCs w:val="20"/>
              </w:rPr>
              <w:t>10</w:t>
            </w:r>
            <w:r w:rsidRPr="6A9F8BE8" w:rsidR="47FB9ABD">
              <w:rPr>
                <w:color w:val="000000" w:themeColor="text1"/>
                <w:sz w:val="20"/>
                <w:szCs w:val="20"/>
              </w:rPr>
              <w:t>0</w:t>
            </w:r>
          </w:p>
        </w:tc>
        <w:tc>
          <w:tcPr>
            <w:tcW w:w="1404" w:type="dxa"/>
            <w:tcBorders>
              <w:top w:val="nil"/>
              <w:left w:val="nil"/>
              <w:bottom w:val="single" w:sz="4" w:space="0" w:color="auto"/>
              <w:right w:val="single" w:sz="4" w:space="0" w:color="auto"/>
            </w:tcBorders>
            <w:noWrap/>
            <w:vAlign w:val="center"/>
            <w:hideMark/>
          </w:tcPr>
          <w:p w:rsidR="00E35C09" w:rsidRPr="00AF0B75" w:rsidP="00E35C09" w14:paraId="63F2DD38" w14:textId="6D4691BE">
            <w:pPr>
              <w:jc w:val="center"/>
              <w:rPr>
                <w:color w:val="000000"/>
                <w:sz w:val="20"/>
                <w:szCs w:val="20"/>
              </w:rPr>
            </w:pPr>
            <w:r>
              <w:rPr>
                <w:color w:val="000000"/>
                <w:sz w:val="20"/>
                <w:szCs w:val="20"/>
              </w:rPr>
              <w:t>1</w:t>
            </w:r>
          </w:p>
        </w:tc>
        <w:tc>
          <w:tcPr>
            <w:tcW w:w="1296" w:type="dxa"/>
            <w:tcBorders>
              <w:top w:val="nil"/>
              <w:left w:val="nil"/>
              <w:bottom w:val="single" w:sz="4" w:space="0" w:color="auto"/>
              <w:right w:val="single" w:sz="4" w:space="0" w:color="auto"/>
            </w:tcBorders>
            <w:noWrap/>
            <w:vAlign w:val="center"/>
            <w:hideMark/>
          </w:tcPr>
          <w:p w:rsidR="00E35C09" w:rsidRPr="00AF0B75" w:rsidP="00E35C09" w14:paraId="771D9DBC" w14:textId="30AEE900">
            <w:pPr>
              <w:jc w:val="center"/>
              <w:rPr>
                <w:color w:val="000000"/>
                <w:sz w:val="20"/>
                <w:szCs w:val="20"/>
              </w:rPr>
            </w:pPr>
            <w:r>
              <w:rPr>
                <w:color w:val="000000"/>
                <w:sz w:val="20"/>
                <w:szCs w:val="20"/>
              </w:rPr>
              <w:t>0.5</w:t>
            </w:r>
          </w:p>
        </w:tc>
        <w:tc>
          <w:tcPr>
            <w:tcW w:w="1296" w:type="dxa"/>
            <w:tcBorders>
              <w:top w:val="single" w:sz="4" w:space="0" w:color="auto"/>
              <w:left w:val="single" w:sz="4" w:space="0" w:color="auto"/>
              <w:bottom w:val="single" w:sz="4" w:space="0" w:color="auto"/>
              <w:right w:val="single" w:sz="4" w:space="0" w:color="auto"/>
            </w:tcBorders>
            <w:noWrap/>
            <w:vAlign w:val="center"/>
          </w:tcPr>
          <w:p w:rsidR="00E35C09" w:rsidRPr="006778D2" w:rsidP="00E35C09" w14:paraId="463920D2" w14:textId="40295E9D">
            <w:pPr>
              <w:jc w:val="center"/>
              <w:rPr>
                <w:color w:val="000000"/>
                <w:sz w:val="20"/>
                <w:szCs w:val="20"/>
              </w:rPr>
            </w:pPr>
            <w:r w:rsidRPr="10D970B3">
              <w:rPr>
                <w:color w:val="000000" w:themeColor="text1"/>
                <w:sz w:val="20"/>
                <w:szCs w:val="20"/>
              </w:rPr>
              <w:t>1,</w:t>
            </w:r>
            <w:r w:rsidRPr="6A9F8BE8" w:rsidR="68D744A8">
              <w:rPr>
                <w:color w:val="000000" w:themeColor="text1"/>
                <w:sz w:val="20"/>
                <w:szCs w:val="20"/>
              </w:rPr>
              <w:t>05</w:t>
            </w:r>
            <w:r w:rsidRPr="6A9F8BE8" w:rsidR="7B41539A">
              <w:rPr>
                <w:color w:val="000000" w:themeColor="text1"/>
                <w:sz w:val="20"/>
                <w:szCs w:val="20"/>
              </w:rPr>
              <w:t>0</w:t>
            </w:r>
          </w:p>
        </w:tc>
        <w:tc>
          <w:tcPr>
            <w:tcW w:w="1296" w:type="dxa"/>
            <w:tcBorders>
              <w:top w:val="single" w:sz="4" w:space="0" w:color="auto"/>
              <w:left w:val="nil"/>
              <w:bottom w:val="single" w:sz="4" w:space="0" w:color="auto"/>
              <w:right w:val="single" w:sz="4" w:space="0" w:color="auto"/>
            </w:tcBorders>
            <w:noWrap/>
            <w:vAlign w:val="center"/>
            <w:hideMark/>
          </w:tcPr>
          <w:p w:rsidR="00E35C09" w:rsidRPr="00B55108" w:rsidP="00E35C09" w14:paraId="18ACE4F2" w14:textId="7367391E">
            <w:pPr>
              <w:jc w:val="center"/>
              <w:rPr>
                <w:color w:val="000000"/>
                <w:sz w:val="20"/>
                <w:szCs w:val="20"/>
              </w:rPr>
            </w:pPr>
            <w:r w:rsidRPr="10D970B3">
              <w:rPr>
                <w:color w:val="000000" w:themeColor="text1"/>
                <w:sz w:val="20"/>
                <w:szCs w:val="20"/>
              </w:rPr>
              <w:t>$</w:t>
            </w:r>
            <w:r w:rsidRPr="10D970B3" w:rsidR="001530EE">
              <w:rPr>
                <w:color w:val="000000" w:themeColor="text1"/>
                <w:sz w:val="20"/>
                <w:szCs w:val="20"/>
              </w:rPr>
              <w:t xml:space="preserve">30.72 </w:t>
            </w:r>
            <w:r w:rsidRPr="1F47A379" w:rsidR="522535D9">
              <w:rPr>
                <w:color w:val="000000" w:themeColor="text1"/>
                <w:sz w:val="20"/>
                <w:szCs w:val="20"/>
              </w:rPr>
              <w:t>x 1.6235 = $</w:t>
            </w:r>
            <w:r w:rsidRPr="10D970B3" w:rsidR="001530EE">
              <w:rPr>
                <w:color w:val="000000" w:themeColor="text1"/>
                <w:sz w:val="20"/>
                <w:szCs w:val="20"/>
              </w:rPr>
              <w:t>49.</w:t>
            </w:r>
            <w:r w:rsidRPr="1F47A379" w:rsidR="522535D9">
              <w:rPr>
                <w:color w:val="000000" w:themeColor="text1"/>
                <w:sz w:val="20"/>
                <w:szCs w:val="20"/>
              </w:rPr>
              <w:t>88</w:t>
            </w:r>
            <w:r>
              <w:br/>
            </w:r>
          </w:p>
        </w:tc>
        <w:tc>
          <w:tcPr>
            <w:tcW w:w="1296" w:type="dxa"/>
            <w:tcBorders>
              <w:top w:val="single" w:sz="4" w:space="0" w:color="auto"/>
              <w:left w:val="nil"/>
              <w:bottom w:val="single" w:sz="4" w:space="0" w:color="auto"/>
              <w:right w:val="single" w:sz="4" w:space="0" w:color="auto"/>
            </w:tcBorders>
            <w:noWrap/>
            <w:vAlign w:val="center"/>
          </w:tcPr>
          <w:p w:rsidR="08564887" w:rsidP="1F47A379" w14:paraId="2B7C98BA" w14:textId="46620780">
            <w:pPr>
              <w:jc w:val="center"/>
              <w:rPr>
                <w:color w:val="000000" w:themeColor="text1"/>
                <w:sz w:val="20"/>
                <w:szCs w:val="20"/>
              </w:rPr>
            </w:pPr>
            <w:r w:rsidRPr="10D970B3">
              <w:rPr>
                <w:color w:val="000000" w:themeColor="text1"/>
                <w:sz w:val="20"/>
                <w:szCs w:val="20"/>
              </w:rPr>
              <w:t>$</w:t>
            </w:r>
            <w:r w:rsidRPr="10D970B3" w:rsidR="001530EE">
              <w:rPr>
                <w:color w:val="000000" w:themeColor="text1"/>
                <w:sz w:val="20"/>
                <w:szCs w:val="20"/>
              </w:rPr>
              <w:t>52,</w:t>
            </w:r>
            <w:r w:rsidRPr="1F47A379">
              <w:rPr>
                <w:color w:val="000000" w:themeColor="text1"/>
                <w:sz w:val="20"/>
                <w:szCs w:val="20"/>
              </w:rPr>
              <w:t>378.96</w:t>
            </w:r>
          </w:p>
          <w:p w:rsidR="00E35C09" w:rsidRPr="00445EE7" w:rsidP="00E35C09" w14:paraId="3BD7C46C" w14:textId="1ADB54E2">
            <w:pPr>
              <w:jc w:val="center"/>
              <w:rPr>
                <w:color w:val="000000"/>
                <w:sz w:val="20"/>
                <w:szCs w:val="20"/>
              </w:rPr>
            </w:pPr>
          </w:p>
        </w:tc>
      </w:tr>
      <w:tr w14:paraId="0CB59C2A" w14:textId="77777777" w:rsidTr="6863B825">
        <w:tblPrEx>
          <w:tblW w:w="9378" w:type="dxa"/>
          <w:tblInd w:w="85" w:type="dxa"/>
          <w:tblLayout w:type="fixed"/>
          <w:tblLook w:val="04A0"/>
        </w:tblPrEx>
        <w:trPr>
          <w:trHeight w:val="300"/>
        </w:trPr>
        <w:tc>
          <w:tcPr>
            <w:tcW w:w="1440" w:type="dxa"/>
            <w:tcBorders>
              <w:top w:val="nil"/>
              <w:left w:val="single" w:sz="4" w:space="0" w:color="auto"/>
              <w:bottom w:val="single" w:sz="4" w:space="0" w:color="auto"/>
              <w:right w:val="single" w:sz="4" w:space="0" w:color="auto"/>
            </w:tcBorders>
            <w:vAlign w:val="center"/>
            <w:hideMark/>
          </w:tcPr>
          <w:p w:rsidR="00E35C09" w:rsidRPr="00AF0B75" w:rsidP="1F47A379" w14:paraId="59EA88CA" w14:textId="765D78E3">
            <w:pPr>
              <w:jc w:val="center"/>
              <w:rPr>
                <w:color w:val="000000" w:themeColor="text1"/>
                <w:sz w:val="20"/>
                <w:szCs w:val="20"/>
              </w:rPr>
            </w:pPr>
            <w:r w:rsidRPr="1F47A379">
              <w:rPr>
                <w:color w:val="000000" w:themeColor="text1"/>
                <w:sz w:val="20"/>
                <w:szCs w:val="20"/>
              </w:rPr>
              <w:t>Law Enforcement</w:t>
            </w:r>
          </w:p>
          <w:p w:rsidR="00E35C09" w:rsidRPr="00AF0B75" w:rsidP="10D970B3" w14:paraId="47739A8F" w14:textId="5E60AF61">
            <w:pPr>
              <w:jc w:val="center"/>
              <w:rPr>
                <w:color w:val="000000"/>
                <w:sz w:val="20"/>
                <w:szCs w:val="20"/>
              </w:rPr>
            </w:pPr>
            <w:r w:rsidRPr="1F47A379">
              <w:rPr>
                <w:color w:val="000000" w:themeColor="text1"/>
                <w:sz w:val="20"/>
                <w:szCs w:val="20"/>
              </w:rPr>
              <w:t>(33-3000)</w:t>
            </w:r>
          </w:p>
        </w:tc>
        <w:tc>
          <w:tcPr>
            <w:tcW w:w="1350" w:type="dxa"/>
            <w:tcBorders>
              <w:top w:val="nil"/>
              <w:left w:val="nil"/>
              <w:bottom w:val="single" w:sz="4" w:space="0" w:color="auto"/>
              <w:right w:val="single" w:sz="4" w:space="0" w:color="auto"/>
            </w:tcBorders>
            <w:noWrap/>
            <w:vAlign w:val="center"/>
            <w:hideMark/>
          </w:tcPr>
          <w:p w:rsidR="00E35C09" w:rsidRPr="00AF0B75" w:rsidP="00E35C09" w14:paraId="38FD31B2" w14:textId="6B543006">
            <w:pPr>
              <w:spacing w:line="259" w:lineRule="auto"/>
              <w:jc w:val="center"/>
              <w:rPr>
                <w:color w:val="000000" w:themeColor="text1"/>
                <w:sz w:val="20"/>
                <w:szCs w:val="20"/>
              </w:rPr>
            </w:pPr>
            <w:r w:rsidRPr="10D970B3">
              <w:rPr>
                <w:color w:val="000000" w:themeColor="text1"/>
                <w:sz w:val="20"/>
                <w:szCs w:val="20"/>
              </w:rPr>
              <w:t>1,</w:t>
            </w:r>
            <w:r w:rsidRPr="1F47A379" w:rsidR="522246FD">
              <w:rPr>
                <w:color w:val="000000" w:themeColor="text1"/>
                <w:sz w:val="20"/>
                <w:szCs w:val="20"/>
              </w:rPr>
              <w:t>24</w:t>
            </w:r>
            <w:r w:rsidRPr="1F47A379" w:rsidR="21FBF485">
              <w:rPr>
                <w:color w:val="000000" w:themeColor="text1"/>
                <w:sz w:val="20"/>
                <w:szCs w:val="20"/>
              </w:rPr>
              <w:t>5</w:t>
            </w:r>
          </w:p>
        </w:tc>
        <w:tc>
          <w:tcPr>
            <w:tcW w:w="1404" w:type="dxa"/>
            <w:tcBorders>
              <w:top w:val="nil"/>
              <w:left w:val="nil"/>
              <w:bottom w:val="single" w:sz="4" w:space="0" w:color="auto"/>
              <w:right w:val="single" w:sz="4" w:space="0" w:color="auto"/>
            </w:tcBorders>
            <w:noWrap/>
            <w:vAlign w:val="center"/>
            <w:hideMark/>
          </w:tcPr>
          <w:p w:rsidR="00E35C09" w:rsidRPr="00AF0B75" w:rsidP="00E35C09" w14:paraId="64685A05" w14:textId="08CCFC0C">
            <w:pPr>
              <w:jc w:val="center"/>
              <w:rPr>
                <w:color w:val="000000"/>
                <w:sz w:val="20"/>
                <w:szCs w:val="20"/>
              </w:rPr>
            </w:pPr>
            <w:r>
              <w:rPr>
                <w:color w:val="000000"/>
                <w:sz w:val="20"/>
                <w:szCs w:val="20"/>
              </w:rPr>
              <w:t>1</w:t>
            </w:r>
          </w:p>
        </w:tc>
        <w:tc>
          <w:tcPr>
            <w:tcW w:w="1296" w:type="dxa"/>
            <w:tcBorders>
              <w:top w:val="nil"/>
              <w:left w:val="nil"/>
              <w:bottom w:val="single" w:sz="4" w:space="0" w:color="auto"/>
              <w:right w:val="single" w:sz="4" w:space="0" w:color="auto"/>
            </w:tcBorders>
            <w:noWrap/>
            <w:vAlign w:val="center"/>
            <w:hideMark/>
          </w:tcPr>
          <w:p w:rsidR="00E35C09" w:rsidRPr="00AF0B75" w:rsidP="00E35C09" w14:paraId="12526249" w14:textId="5C0642DB">
            <w:pPr>
              <w:jc w:val="center"/>
              <w:rPr>
                <w:color w:val="000000"/>
                <w:sz w:val="20"/>
                <w:szCs w:val="20"/>
              </w:rPr>
            </w:pPr>
            <w:r>
              <w:rPr>
                <w:color w:val="000000"/>
                <w:sz w:val="20"/>
                <w:szCs w:val="20"/>
              </w:rPr>
              <w:t>0.5</w:t>
            </w:r>
          </w:p>
        </w:tc>
        <w:tc>
          <w:tcPr>
            <w:tcW w:w="1296" w:type="dxa"/>
            <w:tcBorders>
              <w:top w:val="nil"/>
              <w:left w:val="single" w:sz="4" w:space="0" w:color="auto"/>
              <w:bottom w:val="single" w:sz="4" w:space="0" w:color="auto"/>
              <w:right w:val="single" w:sz="4" w:space="0" w:color="auto"/>
            </w:tcBorders>
            <w:noWrap/>
            <w:vAlign w:val="center"/>
          </w:tcPr>
          <w:p w:rsidR="00E35C09" w:rsidRPr="006778D2" w:rsidP="00E35C09" w14:paraId="7D9156A5" w14:textId="17C352CA">
            <w:pPr>
              <w:jc w:val="center"/>
              <w:rPr>
                <w:color w:val="000000"/>
                <w:sz w:val="20"/>
                <w:szCs w:val="20"/>
              </w:rPr>
            </w:pPr>
            <w:r w:rsidRPr="1F47A379">
              <w:rPr>
                <w:color w:val="000000" w:themeColor="text1"/>
                <w:sz w:val="20"/>
                <w:szCs w:val="20"/>
              </w:rPr>
              <w:t>62</w:t>
            </w:r>
            <w:r w:rsidRPr="1F47A379" w:rsidR="3FB3B294">
              <w:rPr>
                <w:color w:val="000000" w:themeColor="text1"/>
                <w:sz w:val="20"/>
                <w:szCs w:val="20"/>
              </w:rPr>
              <w:t>2</w:t>
            </w:r>
          </w:p>
        </w:tc>
        <w:tc>
          <w:tcPr>
            <w:tcW w:w="1296" w:type="dxa"/>
            <w:tcBorders>
              <w:top w:val="nil"/>
              <w:left w:val="nil"/>
              <w:bottom w:val="single" w:sz="4" w:space="0" w:color="auto"/>
              <w:right w:val="single" w:sz="4" w:space="0" w:color="auto"/>
            </w:tcBorders>
            <w:noWrap/>
            <w:vAlign w:val="center"/>
            <w:hideMark/>
          </w:tcPr>
          <w:p w:rsidR="00E35C09" w:rsidRPr="00B55108" w:rsidP="00E35C09" w14:paraId="4BB5E6C3" w14:textId="0337DBAD">
            <w:pPr>
              <w:jc w:val="center"/>
              <w:rPr>
                <w:color w:val="000000"/>
                <w:sz w:val="20"/>
                <w:szCs w:val="20"/>
              </w:rPr>
            </w:pPr>
            <w:r w:rsidRPr="1F47A379">
              <w:rPr>
                <w:color w:val="000000" w:themeColor="text1"/>
                <w:sz w:val="20"/>
                <w:szCs w:val="20"/>
              </w:rPr>
              <w:t>$</w:t>
            </w:r>
            <w:r w:rsidRPr="1F47A379" w:rsidR="001530EE">
              <w:rPr>
                <w:color w:val="000000" w:themeColor="text1"/>
                <w:sz w:val="20"/>
                <w:szCs w:val="20"/>
              </w:rPr>
              <w:t xml:space="preserve">36.32 </w:t>
            </w:r>
            <w:r w:rsidRPr="1F47A379" w:rsidR="7281C7AD">
              <w:rPr>
                <w:color w:val="000000" w:themeColor="text1"/>
                <w:sz w:val="20"/>
                <w:szCs w:val="20"/>
              </w:rPr>
              <w:t>x 1.6235 = $</w:t>
            </w:r>
            <w:r w:rsidRPr="1F47A379" w:rsidR="001530EE">
              <w:rPr>
                <w:color w:val="000000" w:themeColor="text1"/>
                <w:sz w:val="20"/>
                <w:szCs w:val="20"/>
              </w:rPr>
              <w:t>58.</w:t>
            </w:r>
            <w:r w:rsidRPr="1F47A379" w:rsidR="7281C7AD">
              <w:rPr>
                <w:color w:val="000000" w:themeColor="text1"/>
                <w:sz w:val="20"/>
                <w:szCs w:val="20"/>
              </w:rPr>
              <w:t>97</w:t>
            </w:r>
            <w:r>
              <w:br/>
            </w:r>
          </w:p>
        </w:tc>
        <w:tc>
          <w:tcPr>
            <w:tcW w:w="1296" w:type="dxa"/>
            <w:tcBorders>
              <w:top w:val="nil"/>
              <w:left w:val="nil"/>
              <w:bottom w:val="single" w:sz="4" w:space="0" w:color="auto"/>
              <w:right w:val="single" w:sz="4" w:space="0" w:color="auto"/>
            </w:tcBorders>
            <w:noWrap/>
            <w:vAlign w:val="center"/>
          </w:tcPr>
          <w:p w:rsidR="00E35C09" w:rsidRPr="00445EE7" w:rsidP="00E35C09" w14:paraId="1C629332" w14:textId="61826A4F">
            <w:pPr>
              <w:jc w:val="center"/>
              <w:rPr>
                <w:color w:val="000000"/>
                <w:sz w:val="20"/>
                <w:szCs w:val="20"/>
              </w:rPr>
            </w:pPr>
            <w:r w:rsidRPr="1F47A379">
              <w:rPr>
                <w:color w:val="000000" w:themeColor="text1"/>
                <w:sz w:val="20"/>
                <w:szCs w:val="20"/>
              </w:rPr>
              <w:t>$</w:t>
            </w:r>
            <w:r w:rsidRPr="1F47A379" w:rsidR="001530EE">
              <w:rPr>
                <w:color w:val="000000" w:themeColor="text1"/>
                <w:sz w:val="20"/>
                <w:szCs w:val="20"/>
              </w:rPr>
              <w:t>36,</w:t>
            </w:r>
            <w:r w:rsidRPr="1F47A379" w:rsidR="458AD131">
              <w:rPr>
                <w:color w:val="000000" w:themeColor="text1"/>
                <w:sz w:val="20"/>
                <w:szCs w:val="20"/>
              </w:rPr>
              <w:t>692.62</w:t>
            </w:r>
            <w:r>
              <w:br/>
            </w:r>
          </w:p>
        </w:tc>
      </w:tr>
      <w:tr w14:paraId="0B1C5411" w14:textId="77777777" w:rsidTr="6863B825">
        <w:tblPrEx>
          <w:tblW w:w="9378" w:type="dxa"/>
          <w:tblInd w:w="85" w:type="dxa"/>
          <w:tblLayout w:type="fixed"/>
          <w:tblLook w:val="04A0"/>
        </w:tblPrEx>
        <w:trPr>
          <w:trHeight w:val="510"/>
        </w:trPr>
        <w:tc>
          <w:tcPr>
            <w:tcW w:w="1440" w:type="dxa"/>
            <w:tcBorders>
              <w:top w:val="nil"/>
              <w:left w:val="single" w:sz="4" w:space="0" w:color="auto"/>
              <w:bottom w:val="single" w:sz="4" w:space="0" w:color="auto"/>
              <w:right w:val="single" w:sz="4" w:space="0" w:color="auto"/>
            </w:tcBorders>
            <w:vAlign w:val="center"/>
            <w:hideMark/>
          </w:tcPr>
          <w:p w:rsidR="00E35C09" w:rsidP="00E35C09" w14:paraId="6D28FD06" w14:textId="77777777">
            <w:pPr>
              <w:jc w:val="center"/>
              <w:rPr>
                <w:color w:val="000000"/>
                <w:sz w:val="20"/>
                <w:szCs w:val="20"/>
              </w:rPr>
            </w:pPr>
            <w:r w:rsidRPr="00AF0B75">
              <w:rPr>
                <w:color w:val="000000"/>
                <w:sz w:val="20"/>
                <w:szCs w:val="20"/>
              </w:rPr>
              <w:t>Emergency</w:t>
            </w:r>
          </w:p>
          <w:p w:rsidR="00E35C09" w:rsidP="00E35C09" w14:paraId="03C1054C" w14:textId="6CDBF589">
            <w:pPr>
              <w:jc w:val="center"/>
              <w:rPr>
                <w:color w:val="000000"/>
                <w:sz w:val="20"/>
                <w:szCs w:val="20"/>
              </w:rPr>
            </w:pPr>
            <w:r w:rsidRPr="00AF0B75">
              <w:rPr>
                <w:color w:val="000000"/>
                <w:sz w:val="20"/>
                <w:szCs w:val="20"/>
              </w:rPr>
              <w:t xml:space="preserve"> Medical</w:t>
            </w:r>
          </w:p>
          <w:p w:rsidR="00E35C09" w:rsidRPr="00AF0B75" w:rsidP="1F47A379" w14:paraId="5F3D9996" w14:textId="4697EF86">
            <w:pPr>
              <w:jc w:val="center"/>
              <w:rPr>
                <w:color w:val="000000" w:themeColor="text1"/>
                <w:sz w:val="20"/>
                <w:szCs w:val="20"/>
              </w:rPr>
            </w:pPr>
            <w:r w:rsidRPr="1F47A379">
              <w:rPr>
                <w:color w:val="000000" w:themeColor="text1"/>
                <w:sz w:val="20"/>
                <w:szCs w:val="20"/>
              </w:rPr>
              <w:t>Service</w:t>
            </w:r>
            <w:r w:rsidRPr="1F47A379" w:rsidR="00F44D84">
              <w:rPr>
                <w:color w:val="000000" w:themeColor="text1"/>
                <w:sz w:val="20"/>
                <w:szCs w:val="20"/>
              </w:rPr>
              <w:t>s</w:t>
            </w:r>
          </w:p>
          <w:p w:rsidR="00E35C09" w:rsidRPr="00AF0B75" w:rsidP="00E35C09" w14:paraId="2E34B72C" w14:textId="5AA1A4EF">
            <w:pPr>
              <w:jc w:val="center"/>
              <w:rPr>
                <w:color w:val="000000"/>
                <w:sz w:val="20"/>
                <w:szCs w:val="20"/>
              </w:rPr>
            </w:pPr>
            <w:r w:rsidRPr="1F47A379">
              <w:rPr>
                <w:color w:val="000000" w:themeColor="text1"/>
                <w:sz w:val="20"/>
                <w:szCs w:val="20"/>
              </w:rPr>
              <w:t>(29-2040)</w:t>
            </w:r>
          </w:p>
        </w:tc>
        <w:tc>
          <w:tcPr>
            <w:tcW w:w="1350" w:type="dxa"/>
            <w:tcBorders>
              <w:top w:val="nil"/>
              <w:left w:val="nil"/>
              <w:bottom w:val="single" w:sz="4" w:space="0" w:color="auto"/>
              <w:right w:val="single" w:sz="4" w:space="0" w:color="auto"/>
            </w:tcBorders>
            <w:noWrap/>
            <w:vAlign w:val="center"/>
            <w:hideMark/>
          </w:tcPr>
          <w:p w:rsidR="00E35C09" w:rsidRPr="00AF0B75" w:rsidP="00E35C09" w14:paraId="3763EA80" w14:textId="080F1337">
            <w:pPr>
              <w:spacing w:line="259" w:lineRule="auto"/>
              <w:jc w:val="center"/>
              <w:rPr>
                <w:color w:val="000000" w:themeColor="text1"/>
                <w:sz w:val="20"/>
                <w:szCs w:val="20"/>
              </w:rPr>
            </w:pPr>
            <w:r>
              <w:rPr>
                <w:color w:val="000000" w:themeColor="text1"/>
                <w:sz w:val="20"/>
                <w:szCs w:val="20"/>
              </w:rPr>
              <w:t>1,</w:t>
            </w:r>
            <w:r w:rsidRPr="1F47A379" w:rsidR="4B1373FD">
              <w:rPr>
                <w:color w:val="000000" w:themeColor="text1"/>
                <w:sz w:val="20"/>
                <w:szCs w:val="20"/>
              </w:rPr>
              <w:t>49</w:t>
            </w:r>
            <w:r w:rsidRPr="1F47A379" w:rsidR="60530479">
              <w:rPr>
                <w:color w:val="000000" w:themeColor="text1"/>
                <w:sz w:val="20"/>
                <w:szCs w:val="20"/>
              </w:rPr>
              <w:t>5</w:t>
            </w:r>
          </w:p>
        </w:tc>
        <w:tc>
          <w:tcPr>
            <w:tcW w:w="1404" w:type="dxa"/>
            <w:tcBorders>
              <w:top w:val="nil"/>
              <w:left w:val="nil"/>
              <w:bottom w:val="single" w:sz="4" w:space="0" w:color="auto"/>
              <w:right w:val="single" w:sz="4" w:space="0" w:color="auto"/>
            </w:tcBorders>
            <w:noWrap/>
            <w:vAlign w:val="center"/>
            <w:hideMark/>
          </w:tcPr>
          <w:p w:rsidR="00E35C09" w:rsidRPr="00AF0B75" w:rsidP="00E35C09" w14:paraId="0F281056" w14:textId="56842D67">
            <w:pPr>
              <w:jc w:val="center"/>
              <w:rPr>
                <w:color w:val="000000"/>
                <w:sz w:val="20"/>
                <w:szCs w:val="20"/>
              </w:rPr>
            </w:pPr>
            <w:r>
              <w:rPr>
                <w:color w:val="000000"/>
                <w:sz w:val="20"/>
                <w:szCs w:val="20"/>
              </w:rPr>
              <w:t>1</w:t>
            </w:r>
          </w:p>
        </w:tc>
        <w:tc>
          <w:tcPr>
            <w:tcW w:w="1296" w:type="dxa"/>
            <w:tcBorders>
              <w:top w:val="nil"/>
              <w:left w:val="nil"/>
              <w:bottom w:val="single" w:sz="4" w:space="0" w:color="auto"/>
              <w:right w:val="single" w:sz="4" w:space="0" w:color="auto"/>
            </w:tcBorders>
            <w:noWrap/>
            <w:vAlign w:val="center"/>
            <w:hideMark/>
          </w:tcPr>
          <w:p w:rsidR="00E35C09" w:rsidRPr="00AF0B75" w:rsidP="00E35C09" w14:paraId="0F0772EF" w14:textId="3DE8A780">
            <w:pPr>
              <w:jc w:val="center"/>
              <w:rPr>
                <w:color w:val="000000"/>
                <w:sz w:val="20"/>
                <w:szCs w:val="20"/>
              </w:rPr>
            </w:pPr>
            <w:r>
              <w:rPr>
                <w:color w:val="000000"/>
                <w:sz w:val="20"/>
                <w:szCs w:val="20"/>
              </w:rPr>
              <w:t>0.5</w:t>
            </w:r>
          </w:p>
        </w:tc>
        <w:tc>
          <w:tcPr>
            <w:tcW w:w="1296" w:type="dxa"/>
            <w:tcBorders>
              <w:top w:val="nil"/>
              <w:left w:val="single" w:sz="4" w:space="0" w:color="auto"/>
              <w:bottom w:val="single" w:sz="4" w:space="0" w:color="auto"/>
              <w:right w:val="single" w:sz="4" w:space="0" w:color="auto"/>
            </w:tcBorders>
            <w:noWrap/>
            <w:vAlign w:val="center"/>
          </w:tcPr>
          <w:p w:rsidR="00E35C09" w:rsidRPr="006778D2" w:rsidP="00E35C09" w14:paraId="2BD0FD70" w14:textId="4560E9FD">
            <w:pPr>
              <w:spacing w:line="259" w:lineRule="auto"/>
              <w:jc w:val="center"/>
              <w:rPr>
                <w:sz w:val="20"/>
                <w:szCs w:val="20"/>
              </w:rPr>
            </w:pPr>
            <w:r w:rsidRPr="1F47A379">
              <w:rPr>
                <w:color w:val="000000" w:themeColor="text1"/>
                <w:sz w:val="20"/>
                <w:szCs w:val="20"/>
              </w:rPr>
              <w:t>7</w:t>
            </w:r>
            <w:r w:rsidRPr="1F47A379" w:rsidR="482980FB">
              <w:rPr>
                <w:color w:val="000000" w:themeColor="text1"/>
                <w:sz w:val="20"/>
                <w:szCs w:val="20"/>
              </w:rPr>
              <w:t>4</w:t>
            </w:r>
            <w:r w:rsidRPr="1F47A379" w:rsidR="43A00758">
              <w:rPr>
                <w:color w:val="000000" w:themeColor="text1"/>
                <w:sz w:val="20"/>
                <w:szCs w:val="20"/>
              </w:rPr>
              <w:t>8</w:t>
            </w:r>
          </w:p>
        </w:tc>
        <w:tc>
          <w:tcPr>
            <w:tcW w:w="1296" w:type="dxa"/>
            <w:tcBorders>
              <w:top w:val="nil"/>
              <w:left w:val="nil"/>
              <w:bottom w:val="single" w:sz="4" w:space="0" w:color="auto"/>
              <w:right w:val="single" w:sz="4" w:space="0" w:color="auto"/>
            </w:tcBorders>
            <w:noWrap/>
            <w:vAlign w:val="center"/>
            <w:hideMark/>
          </w:tcPr>
          <w:p w:rsidR="00E35C09" w:rsidRPr="00B55108" w:rsidP="00E35C09" w14:paraId="0B977786" w14:textId="425D2D55">
            <w:pPr>
              <w:jc w:val="center"/>
              <w:rPr>
                <w:color w:val="000000"/>
                <w:sz w:val="20"/>
                <w:szCs w:val="20"/>
              </w:rPr>
            </w:pPr>
            <w:r w:rsidRPr="1F47A379">
              <w:rPr>
                <w:color w:val="000000" w:themeColor="text1"/>
                <w:sz w:val="20"/>
                <w:szCs w:val="20"/>
              </w:rPr>
              <w:t>$</w:t>
            </w:r>
            <w:r w:rsidRPr="1F47A379" w:rsidR="001530EE">
              <w:rPr>
                <w:color w:val="000000" w:themeColor="text1"/>
                <w:sz w:val="20"/>
                <w:szCs w:val="20"/>
              </w:rPr>
              <w:t xml:space="preserve">24.26 </w:t>
            </w:r>
            <w:r w:rsidRPr="1F47A379" w:rsidR="20EC91F7">
              <w:rPr>
                <w:color w:val="000000" w:themeColor="text1"/>
                <w:sz w:val="20"/>
                <w:szCs w:val="20"/>
              </w:rPr>
              <w:t>x 1.6235 = $</w:t>
            </w:r>
            <w:r w:rsidRPr="1F47A379" w:rsidR="001530EE">
              <w:rPr>
                <w:color w:val="000000" w:themeColor="text1"/>
                <w:sz w:val="20"/>
                <w:szCs w:val="20"/>
              </w:rPr>
              <w:t>39.</w:t>
            </w:r>
            <w:r w:rsidRPr="1F47A379" w:rsidR="20EC91F7">
              <w:rPr>
                <w:color w:val="000000" w:themeColor="text1"/>
                <w:sz w:val="20"/>
                <w:szCs w:val="20"/>
              </w:rPr>
              <w:t>39</w:t>
            </w:r>
            <w:r>
              <w:br/>
            </w:r>
          </w:p>
        </w:tc>
        <w:tc>
          <w:tcPr>
            <w:tcW w:w="1296" w:type="dxa"/>
            <w:tcBorders>
              <w:top w:val="nil"/>
              <w:left w:val="nil"/>
              <w:bottom w:val="single" w:sz="4" w:space="0" w:color="auto"/>
              <w:right w:val="single" w:sz="4" w:space="0" w:color="auto"/>
            </w:tcBorders>
            <w:noWrap/>
            <w:vAlign w:val="center"/>
          </w:tcPr>
          <w:p w:rsidR="00E35C09" w:rsidRPr="00445EE7" w:rsidP="00E35C09" w14:paraId="4CD10E3F" w14:textId="53E7DFD0">
            <w:pPr>
              <w:jc w:val="center"/>
              <w:rPr>
                <w:color w:val="000000"/>
                <w:sz w:val="20"/>
                <w:szCs w:val="20"/>
              </w:rPr>
            </w:pPr>
            <w:r w:rsidRPr="1F47A379">
              <w:rPr>
                <w:color w:val="000000" w:themeColor="text1"/>
                <w:sz w:val="20"/>
                <w:szCs w:val="20"/>
              </w:rPr>
              <w:t>$</w:t>
            </w:r>
            <w:r w:rsidRPr="1F47A379" w:rsidR="001530EE">
              <w:rPr>
                <w:color w:val="000000" w:themeColor="text1"/>
                <w:sz w:val="20"/>
                <w:szCs w:val="20"/>
              </w:rPr>
              <w:t>29,</w:t>
            </w:r>
            <w:r w:rsidRPr="1F47A379" w:rsidR="27C0746E">
              <w:rPr>
                <w:color w:val="000000" w:themeColor="text1"/>
                <w:sz w:val="20"/>
                <w:szCs w:val="20"/>
              </w:rPr>
              <w:t>451.08</w:t>
            </w:r>
            <w:r>
              <w:br/>
            </w:r>
          </w:p>
        </w:tc>
      </w:tr>
      <w:tr w14:paraId="245BF181" w14:textId="77777777" w:rsidTr="6863B825">
        <w:tblPrEx>
          <w:tblW w:w="9378" w:type="dxa"/>
          <w:tblInd w:w="85" w:type="dxa"/>
          <w:tblLayout w:type="fixed"/>
          <w:tblLook w:val="04A0"/>
        </w:tblPrEx>
        <w:trPr>
          <w:trHeight w:val="510"/>
        </w:trPr>
        <w:tc>
          <w:tcPr>
            <w:tcW w:w="1440" w:type="dxa"/>
            <w:tcBorders>
              <w:top w:val="nil"/>
              <w:left w:val="single" w:sz="4" w:space="0" w:color="auto"/>
              <w:bottom w:val="single" w:sz="4" w:space="0" w:color="auto"/>
              <w:right w:val="single" w:sz="4" w:space="0" w:color="auto"/>
            </w:tcBorders>
            <w:vAlign w:val="center"/>
          </w:tcPr>
          <w:p w:rsidR="00F44D84" w:rsidRPr="00AF0B75" w:rsidP="1F47A379" w14:paraId="6A4C6AB7" w14:textId="2073C154">
            <w:pPr>
              <w:jc w:val="center"/>
              <w:rPr>
                <w:color w:val="000000" w:themeColor="text1"/>
                <w:sz w:val="20"/>
                <w:szCs w:val="20"/>
              </w:rPr>
            </w:pPr>
            <w:r>
              <w:rPr>
                <w:color w:val="000000"/>
                <w:sz w:val="20"/>
                <w:szCs w:val="20"/>
              </w:rPr>
              <w:t>Public Works</w:t>
            </w:r>
          </w:p>
          <w:p w:rsidR="00F44D84" w:rsidRPr="00AF0B75" w:rsidP="00E35C09" w14:paraId="49F42AD7" w14:textId="6035171D">
            <w:pPr>
              <w:jc w:val="center"/>
              <w:rPr>
                <w:color w:val="000000"/>
                <w:sz w:val="20"/>
                <w:szCs w:val="20"/>
              </w:rPr>
            </w:pPr>
            <w:r>
              <w:rPr>
                <w:color w:val="000000"/>
                <w:sz w:val="20"/>
                <w:szCs w:val="20"/>
              </w:rPr>
              <w:t>(49-9071)</w:t>
            </w:r>
            <w:r>
              <w:rPr>
                <w:rStyle w:val="FootnoteReference"/>
                <w:color w:val="000000"/>
                <w:sz w:val="20"/>
                <w:szCs w:val="20"/>
              </w:rPr>
              <w:footnoteReference w:id="10"/>
            </w:r>
          </w:p>
        </w:tc>
        <w:tc>
          <w:tcPr>
            <w:tcW w:w="1350" w:type="dxa"/>
            <w:tcBorders>
              <w:top w:val="nil"/>
              <w:left w:val="nil"/>
              <w:bottom w:val="single" w:sz="4" w:space="0" w:color="auto"/>
              <w:right w:val="single" w:sz="4" w:space="0" w:color="auto"/>
            </w:tcBorders>
            <w:noWrap/>
            <w:vAlign w:val="center"/>
          </w:tcPr>
          <w:p w:rsidR="00F44D84" w:rsidRPr="58F2887F" w:rsidP="00E35C09" w14:paraId="371C5957" w14:textId="61C19562">
            <w:pPr>
              <w:spacing w:line="259" w:lineRule="auto"/>
              <w:jc w:val="center"/>
              <w:rPr>
                <w:color w:val="000000" w:themeColor="text1"/>
                <w:sz w:val="20"/>
                <w:szCs w:val="20"/>
              </w:rPr>
            </w:pPr>
            <w:r>
              <w:rPr>
                <w:color w:val="000000" w:themeColor="text1"/>
                <w:sz w:val="20"/>
                <w:szCs w:val="20"/>
              </w:rPr>
              <w:t>1,</w:t>
            </w:r>
            <w:r w:rsidRPr="1F47A379" w:rsidR="30D863BF">
              <w:rPr>
                <w:color w:val="000000" w:themeColor="text1"/>
                <w:sz w:val="20"/>
                <w:szCs w:val="20"/>
              </w:rPr>
              <w:t>3</w:t>
            </w:r>
            <w:r w:rsidRPr="1F47A379" w:rsidR="778929F5">
              <w:rPr>
                <w:color w:val="000000" w:themeColor="text1"/>
                <w:sz w:val="20"/>
                <w:szCs w:val="20"/>
              </w:rPr>
              <w:t>6</w:t>
            </w:r>
            <w:r w:rsidRPr="1F47A379" w:rsidR="20D867C5">
              <w:rPr>
                <w:color w:val="000000" w:themeColor="text1"/>
                <w:sz w:val="20"/>
                <w:szCs w:val="20"/>
              </w:rPr>
              <w:t>3</w:t>
            </w:r>
          </w:p>
        </w:tc>
        <w:tc>
          <w:tcPr>
            <w:tcW w:w="1404" w:type="dxa"/>
            <w:tcBorders>
              <w:top w:val="nil"/>
              <w:left w:val="nil"/>
              <w:bottom w:val="single" w:sz="4" w:space="0" w:color="auto"/>
              <w:right w:val="single" w:sz="4" w:space="0" w:color="auto"/>
            </w:tcBorders>
            <w:noWrap/>
            <w:vAlign w:val="center"/>
          </w:tcPr>
          <w:p w:rsidR="00F44D84" w:rsidP="00E35C09" w14:paraId="559C3346" w14:textId="2583278C">
            <w:pPr>
              <w:jc w:val="center"/>
              <w:rPr>
                <w:color w:val="000000"/>
                <w:sz w:val="20"/>
                <w:szCs w:val="20"/>
              </w:rPr>
            </w:pPr>
            <w:r>
              <w:rPr>
                <w:color w:val="000000"/>
                <w:sz w:val="20"/>
                <w:szCs w:val="20"/>
              </w:rPr>
              <w:t>1</w:t>
            </w:r>
          </w:p>
        </w:tc>
        <w:tc>
          <w:tcPr>
            <w:tcW w:w="1296" w:type="dxa"/>
            <w:tcBorders>
              <w:top w:val="nil"/>
              <w:left w:val="nil"/>
              <w:bottom w:val="single" w:sz="4" w:space="0" w:color="auto"/>
              <w:right w:val="single" w:sz="4" w:space="0" w:color="auto"/>
            </w:tcBorders>
            <w:noWrap/>
            <w:vAlign w:val="center"/>
          </w:tcPr>
          <w:p w:rsidR="00F44D84" w:rsidP="00E35C09" w14:paraId="6467E802" w14:textId="1915B69F">
            <w:pPr>
              <w:jc w:val="center"/>
              <w:rPr>
                <w:color w:val="000000"/>
                <w:sz w:val="20"/>
                <w:szCs w:val="20"/>
              </w:rPr>
            </w:pPr>
            <w:r>
              <w:rPr>
                <w:color w:val="000000"/>
                <w:sz w:val="20"/>
                <w:szCs w:val="20"/>
              </w:rPr>
              <w:t>0.5</w:t>
            </w:r>
          </w:p>
        </w:tc>
        <w:tc>
          <w:tcPr>
            <w:tcW w:w="1296" w:type="dxa"/>
            <w:tcBorders>
              <w:top w:val="nil"/>
              <w:left w:val="single" w:sz="4" w:space="0" w:color="auto"/>
              <w:bottom w:val="single" w:sz="4" w:space="0" w:color="auto"/>
              <w:right w:val="single" w:sz="4" w:space="0" w:color="auto"/>
            </w:tcBorders>
            <w:noWrap/>
            <w:vAlign w:val="center"/>
          </w:tcPr>
          <w:p w:rsidR="00F44D84" w:rsidRPr="006778D2" w:rsidP="00E35C09" w14:paraId="013C7DEE" w14:textId="61ADB7D2">
            <w:pPr>
              <w:spacing w:line="259" w:lineRule="auto"/>
              <w:jc w:val="center"/>
              <w:rPr>
                <w:color w:val="000000" w:themeColor="text1"/>
                <w:sz w:val="20"/>
                <w:szCs w:val="20"/>
              </w:rPr>
            </w:pPr>
            <w:r w:rsidRPr="6A9F8BE8">
              <w:rPr>
                <w:color w:val="000000" w:themeColor="text1"/>
                <w:sz w:val="20"/>
                <w:szCs w:val="20"/>
              </w:rPr>
              <w:t>68</w:t>
            </w:r>
            <w:r w:rsidRPr="6A9F8BE8" w:rsidR="4E76C68D">
              <w:rPr>
                <w:color w:val="000000" w:themeColor="text1"/>
                <w:sz w:val="20"/>
                <w:szCs w:val="20"/>
              </w:rPr>
              <w:t>2</w:t>
            </w:r>
          </w:p>
        </w:tc>
        <w:tc>
          <w:tcPr>
            <w:tcW w:w="1296" w:type="dxa"/>
            <w:tcBorders>
              <w:top w:val="nil"/>
              <w:left w:val="nil"/>
              <w:bottom w:val="single" w:sz="4" w:space="0" w:color="auto"/>
              <w:right w:val="single" w:sz="4" w:space="0" w:color="auto"/>
            </w:tcBorders>
            <w:noWrap/>
            <w:vAlign w:val="center"/>
          </w:tcPr>
          <w:p w:rsidR="00F44D84" w:rsidRPr="00445EE7" w:rsidP="00E35C09" w14:paraId="08B7C7D7" w14:textId="6489FF28">
            <w:pPr>
              <w:jc w:val="center"/>
              <w:rPr>
                <w:color w:val="000000"/>
                <w:sz w:val="20"/>
                <w:szCs w:val="20"/>
              </w:rPr>
            </w:pPr>
            <w:r w:rsidRPr="1F47A379">
              <w:rPr>
                <w:color w:val="000000" w:themeColor="text1"/>
                <w:sz w:val="20"/>
                <w:szCs w:val="20"/>
              </w:rPr>
              <w:t xml:space="preserve">$25.21 </w:t>
            </w:r>
            <w:r w:rsidRPr="1F47A379" w:rsidR="7762BB56">
              <w:rPr>
                <w:color w:val="000000" w:themeColor="text1"/>
                <w:sz w:val="20"/>
                <w:szCs w:val="20"/>
              </w:rPr>
              <w:t>x 1.6235 = $</w:t>
            </w:r>
            <w:r w:rsidRPr="1F47A379">
              <w:rPr>
                <w:color w:val="000000" w:themeColor="text1"/>
                <w:sz w:val="20"/>
                <w:szCs w:val="20"/>
              </w:rPr>
              <w:t>40.</w:t>
            </w:r>
            <w:r w:rsidRPr="1F47A379" w:rsidR="7762BB56">
              <w:rPr>
                <w:color w:val="000000" w:themeColor="text1"/>
                <w:sz w:val="20"/>
                <w:szCs w:val="20"/>
              </w:rPr>
              <w:t>93</w:t>
            </w:r>
            <w:r>
              <w:br/>
            </w:r>
          </w:p>
        </w:tc>
        <w:tc>
          <w:tcPr>
            <w:tcW w:w="1296" w:type="dxa"/>
            <w:tcBorders>
              <w:top w:val="nil"/>
              <w:left w:val="nil"/>
              <w:bottom w:val="single" w:sz="4" w:space="0" w:color="auto"/>
              <w:right w:val="single" w:sz="4" w:space="0" w:color="auto"/>
            </w:tcBorders>
            <w:noWrap/>
            <w:vAlign w:val="center"/>
          </w:tcPr>
          <w:p w:rsidR="00F44D84" w:rsidRPr="00445EE7" w:rsidP="00E35C09" w14:paraId="0D7A3550" w14:textId="5231FF91">
            <w:pPr>
              <w:jc w:val="center"/>
              <w:rPr>
                <w:color w:val="000000"/>
                <w:sz w:val="20"/>
                <w:szCs w:val="20"/>
              </w:rPr>
            </w:pPr>
            <w:r w:rsidRPr="1F47A379">
              <w:rPr>
                <w:color w:val="000000" w:themeColor="text1"/>
                <w:sz w:val="20"/>
                <w:szCs w:val="20"/>
              </w:rPr>
              <w:t>$27,</w:t>
            </w:r>
            <w:r w:rsidRPr="1F47A379" w:rsidR="223D7179">
              <w:rPr>
                <w:color w:val="000000" w:themeColor="text1"/>
                <w:sz w:val="20"/>
                <w:szCs w:val="20"/>
              </w:rPr>
              <w:t>900.59</w:t>
            </w:r>
            <w:r>
              <w:br/>
            </w:r>
          </w:p>
        </w:tc>
      </w:tr>
      <w:tr w14:paraId="65A75405" w14:textId="77777777" w:rsidTr="6863B825">
        <w:tblPrEx>
          <w:tblW w:w="9378" w:type="dxa"/>
          <w:tblInd w:w="85" w:type="dxa"/>
          <w:tblLayout w:type="fixed"/>
          <w:tblLook w:val="04A0"/>
        </w:tblPrEx>
        <w:trPr>
          <w:trHeight w:val="510"/>
        </w:trPr>
        <w:tc>
          <w:tcPr>
            <w:tcW w:w="1440" w:type="dxa"/>
            <w:tcBorders>
              <w:top w:val="nil"/>
              <w:left w:val="single" w:sz="4" w:space="0" w:color="auto"/>
              <w:bottom w:val="single" w:sz="4" w:space="0" w:color="auto"/>
              <w:right w:val="single" w:sz="4" w:space="0" w:color="auto"/>
            </w:tcBorders>
            <w:vAlign w:val="center"/>
            <w:hideMark/>
          </w:tcPr>
          <w:p w:rsidR="00E35C09" w:rsidRPr="00AF0B75" w:rsidP="1F47A379" w14:paraId="54881B0A" w14:textId="506ECCC8">
            <w:pPr>
              <w:jc w:val="center"/>
              <w:rPr>
                <w:color w:val="000000" w:themeColor="text1"/>
                <w:sz w:val="20"/>
                <w:szCs w:val="20"/>
              </w:rPr>
            </w:pPr>
            <w:hyperlink r:id="rId10" w:anchor="RANGE!_ftn4" w:history="1">
              <w:r w:rsidRPr="1F47A379">
                <w:rPr>
                  <w:color w:val="000000" w:themeColor="text1"/>
                  <w:sz w:val="20"/>
                  <w:szCs w:val="20"/>
                </w:rPr>
                <w:t>ECC/PSAP</w:t>
              </w:r>
            </w:hyperlink>
          </w:p>
          <w:p w:rsidR="00E35C09" w:rsidRPr="00AF0B75" w:rsidP="6863B825" w14:paraId="58D1C719" w14:textId="67019397">
            <w:pPr>
              <w:jc w:val="center"/>
              <w:rPr>
                <w:color w:val="000000"/>
                <w:sz w:val="20"/>
                <w:szCs w:val="20"/>
              </w:rPr>
            </w:pPr>
            <w:r w:rsidRPr="1F47A379">
              <w:rPr>
                <w:color w:val="000000" w:themeColor="text1"/>
                <w:sz w:val="20"/>
                <w:szCs w:val="20"/>
              </w:rPr>
              <w:t>(43-5031)</w:t>
            </w:r>
          </w:p>
        </w:tc>
        <w:tc>
          <w:tcPr>
            <w:tcW w:w="1350" w:type="dxa"/>
            <w:tcBorders>
              <w:top w:val="nil"/>
              <w:left w:val="nil"/>
              <w:bottom w:val="single" w:sz="4" w:space="0" w:color="auto"/>
              <w:right w:val="single" w:sz="4" w:space="0" w:color="auto"/>
            </w:tcBorders>
            <w:noWrap/>
            <w:vAlign w:val="center"/>
            <w:hideMark/>
          </w:tcPr>
          <w:p w:rsidR="00E35C09" w:rsidRPr="00AF0B75" w:rsidP="00E35C09" w14:paraId="02CFE965" w14:textId="6326466C">
            <w:pPr>
              <w:spacing w:line="259" w:lineRule="auto"/>
              <w:jc w:val="center"/>
              <w:rPr>
                <w:color w:val="000000" w:themeColor="text1"/>
                <w:sz w:val="20"/>
                <w:szCs w:val="20"/>
              </w:rPr>
            </w:pPr>
            <w:r w:rsidRPr="1F47A379">
              <w:rPr>
                <w:color w:val="000000" w:themeColor="text1"/>
                <w:sz w:val="20"/>
                <w:szCs w:val="20"/>
              </w:rPr>
              <w:t>32</w:t>
            </w:r>
            <w:r w:rsidRPr="1F47A379" w:rsidR="4FEC78D4">
              <w:rPr>
                <w:color w:val="000000" w:themeColor="text1"/>
                <w:sz w:val="20"/>
                <w:szCs w:val="20"/>
              </w:rPr>
              <w:t>3</w:t>
            </w:r>
          </w:p>
        </w:tc>
        <w:tc>
          <w:tcPr>
            <w:tcW w:w="1404" w:type="dxa"/>
            <w:tcBorders>
              <w:top w:val="nil"/>
              <w:left w:val="nil"/>
              <w:bottom w:val="single" w:sz="4" w:space="0" w:color="auto"/>
              <w:right w:val="single" w:sz="4" w:space="0" w:color="auto"/>
            </w:tcBorders>
            <w:noWrap/>
            <w:vAlign w:val="center"/>
            <w:hideMark/>
          </w:tcPr>
          <w:p w:rsidR="00E35C09" w:rsidRPr="00AF0B75" w:rsidP="00E35C09" w14:paraId="7D397CF6" w14:textId="04509DB3">
            <w:pPr>
              <w:jc w:val="center"/>
              <w:rPr>
                <w:color w:val="000000"/>
                <w:sz w:val="20"/>
                <w:szCs w:val="20"/>
              </w:rPr>
            </w:pPr>
            <w:r>
              <w:rPr>
                <w:color w:val="000000"/>
                <w:sz w:val="20"/>
                <w:szCs w:val="20"/>
              </w:rPr>
              <w:t>1</w:t>
            </w:r>
          </w:p>
        </w:tc>
        <w:tc>
          <w:tcPr>
            <w:tcW w:w="1296" w:type="dxa"/>
            <w:tcBorders>
              <w:top w:val="nil"/>
              <w:left w:val="nil"/>
              <w:bottom w:val="single" w:sz="4" w:space="0" w:color="auto"/>
              <w:right w:val="single" w:sz="4" w:space="0" w:color="auto"/>
            </w:tcBorders>
            <w:noWrap/>
            <w:vAlign w:val="center"/>
            <w:hideMark/>
          </w:tcPr>
          <w:p w:rsidR="00E35C09" w:rsidRPr="00AF0B75" w:rsidP="00E35C09" w14:paraId="217BEF32" w14:textId="603AFD8B">
            <w:pPr>
              <w:jc w:val="center"/>
              <w:rPr>
                <w:color w:val="000000"/>
                <w:sz w:val="20"/>
                <w:szCs w:val="20"/>
              </w:rPr>
            </w:pPr>
            <w:r>
              <w:rPr>
                <w:color w:val="000000"/>
                <w:sz w:val="20"/>
                <w:szCs w:val="20"/>
              </w:rPr>
              <w:t>0.5</w:t>
            </w:r>
          </w:p>
        </w:tc>
        <w:tc>
          <w:tcPr>
            <w:tcW w:w="1296" w:type="dxa"/>
            <w:tcBorders>
              <w:top w:val="nil"/>
              <w:left w:val="single" w:sz="4" w:space="0" w:color="auto"/>
              <w:bottom w:val="single" w:sz="4" w:space="0" w:color="auto"/>
              <w:right w:val="single" w:sz="4" w:space="0" w:color="auto"/>
            </w:tcBorders>
            <w:noWrap/>
            <w:vAlign w:val="center"/>
          </w:tcPr>
          <w:p w:rsidR="00E35C09" w:rsidRPr="006778D2" w:rsidP="00E35C09" w14:paraId="2A940517" w14:textId="4E689AE3">
            <w:pPr>
              <w:spacing w:line="259" w:lineRule="auto"/>
              <w:jc w:val="center"/>
              <w:rPr>
                <w:sz w:val="20"/>
                <w:szCs w:val="20"/>
              </w:rPr>
            </w:pPr>
            <w:r w:rsidRPr="1F47A379">
              <w:rPr>
                <w:color w:val="000000" w:themeColor="text1"/>
                <w:sz w:val="20"/>
                <w:szCs w:val="20"/>
              </w:rPr>
              <w:t>16</w:t>
            </w:r>
            <w:r w:rsidRPr="1F47A379" w:rsidR="66EC6E0B">
              <w:rPr>
                <w:color w:val="000000" w:themeColor="text1"/>
                <w:sz w:val="20"/>
                <w:szCs w:val="20"/>
              </w:rPr>
              <w:t>2</w:t>
            </w:r>
          </w:p>
        </w:tc>
        <w:tc>
          <w:tcPr>
            <w:tcW w:w="1296" w:type="dxa"/>
            <w:tcBorders>
              <w:top w:val="nil"/>
              <w:left w:val="nil"/>
              <w:bottom w:val="single" w:sz="4" w:space="0" w:color="auto"/>
              <w:right w:val="single" w:sz="4" w:space="0" w:color="auto"/>
            </w:tcBorders>
            <w:noWrap/>
            <w:vAlign w:val="center"/>
            <w:hideMark/>
          </w:tcPr>
          <w:p w:rsidR="00E35C09" w:rsidRPr="00B55108" w:rsidP="00E35C09" w14:paraId="0B94187A" w14:textId="2C6527E5">
            <w:pPr>
              <w:jc w:val="center"/>
              <w:rPr>
                <w:color w:val="000000"/>
                <w:sz w:val="20"/>
                <w:szCs w:val="20"/>
              </w:rPr>
            </w:pPr>
            <w:r w:rsidRPr="1F47A379">
              <w:rPr>
                <w:color w:val="000000" w:themeColor="text1"/>
                <w:sz w:val="20"/>
                <w:szCs w:val="20"/>
              </w:rPr>
              <w:t>$</w:t>
            </w:r>
            <w:r w:rsidRPr="1F47A379" w:rsidR="001530EE">
              <w:rPr>
                <w:color w:val="000000" w:themeColor="text1"/>
                <w:sz w:val="20"/>
                <w:szCs w:val="20"/>
              </w:rPr>
              <w:t xml:space="preserve">26.35 </w:t>
            </w:r>
            <w:r w:rsidRPr="1F47A379" w:rsidR="7231A525">
              <w:rPr>
                <w:color w:val="000000" w:themeColor="text1"/>
                <w:sz w:val="20"/>
                <w:szCs w:val="20"/>
              </w:rPr>
              <w:t>x 1.6235 = $</w:t>
            </w:r>
            <w:r w:rsidRPr="1F47A379" w:rsidR="001530EE">
              <w:rPr>
                <w:color w:val="000000" w:themeColor="text1"/>
                <w:sz w:val="20"/>
                <w:szCs w:val="20"/>
              </w:rPr>
              <w:t>42.</w:t>
            </w:r>
            <w:r w:rsidRPr="1F47A379" w:rsidR="7231A525">
              <w:rPr>
                <w:color w:val="000000" w:themeColor="text1"/>
                <w:sz w:val="20"/>
                <w:szCs w:val="20"/>
              </w:rPr>
              <w:t>78</w:t>
            </w:r>
            <w:r>
              <w:br/>
            </w:r>
          </w:p>
        </w:tc>
        <w:tc>
          <w:tcPr>
            <w:tcW w:w="1296" w:type="dxa"/>
            <w:tcBorders>
              <w:top w:val="nil"/>
              <w:left w:val="nil"/>
              <w:bottom w:val="single" w:sz="4" w:space="0" w:color="auto"/>
              <w:right w:val="single" w:sz="4" w:space="0" w:color="auto"/>
            </w:tcBorders>
            <w:noWrap/>
            <w:vAlign w:val="center"/>
          </w:tcPr>
          <w:p w:rsidR="00E35C09" w:rsidRPr="00445EE7" w:rsidP="00E35C09" w14:paraId="4B7BC0FC" w14:textId="0663E2EF">
            <w:pPr>
              <w:jc w:val="center"/>
              <w:rPr>
                <w:color w:val="000000"/>
                <w:sz w:val="20"/>
                <w:szCs w:val="20"/>
              </w:rPr>
            </w:pPr>
            <w:r w:rsidRPr="1F47A379">
              <w:rPr>
                <w:color w:val="000000" w:themeColor="text1"/>
                <w:sz w:val="20"/>
                <w:szCs w:val="20"/>
              </w:rPr>
              <w:t>$6,914.76</w:t>
            </w:r>
            <w:r w:rsidR="009916A5">
              <w:br/>
            </w:r>
          </w:p>
        </w:tc>
      </w:tr>
      <w:tr w14:paraId="06B855FE" w14:textId="77777777" w:rsidTr="6863B825">
        <w:tblPrEx>
          <w:tblW w:w="9378" w:type="dxa"/>
          <w:tblInd w:w="85" w:type="dxa"/>
          <w:tblLayout w:type="fixed"/>
          <w:tblLook w:val="04A0"/>
        </w:tblPrEx>
        <w:trPr>
          <w:trHeight w:val="510"/>
        </w:trPr>
        <w:tc>
          <w:tcPr>
            <w:tcW w:w="1440" w:type="dxa"/>
            <w:tcBorders>
              <w:top w:val="nil"/>
              <w:left w:val="single" w:sz="4" w:space="0" w:color="auto"/>
              <w:bottom w:val="single" w:sz="4" w:space="0" w:color="auto"/>
              <w:right w:val="single" w:sz="4" w:space="0" w:color="auto"/>
            </w:tcBorders>
            <w:vAlign w:val="center"/>
          </w:tcPr>
          <w:p w:rsidR="00E35C09" w:rsidP="00E35C09" w14:paraId="60D4CCCF" w14:textId="77777777">
            <w:pPr>
              <w:jc w:val="center"/>
              <w:rPr>
                <w:color w:val="000000"/>
                <w:sz w:val="20"/>
                <w:szCs w:val="20"/>
              </w:rPr>
            </w:pPr>
            <w:r>
              <w:rPr>
                <w:color w:val="000000"/>
                <w:sz w:val="20"/>
                <w:szCs w:val="20"/>
              </w:rPr>
              <w:t xml:space="preserve">Emergency </w:t>
            </w:r>
          </w:p>
          <w:p w:rsidR="00E35C09" w:rsidRPr="00AF0B75" w:rsidP="1F47A379" w14:paraId="43B016FE" w14:textId="4ED153D1">
            <w:pPr>
              <w:jc w:val="center"/>
              <w:rPr>
                <w:color w:val="000000" w:themeColor="text1"/>
                <w:sz w:val="20"/>
                <w:szCs w:val="20"/>
              </w:rPr>
            </w:pPr>
            <w:r w:rsidRPr="1F47A379">
              <w:rPr>
                <w:color w:val="000000" w:themeColor="text1"/>
                <w:sz w:val="20"/>
                <w:szCs w:val="20"/>
              </w:rPr>
              <w:t>Management</w:t>
            </w:r>
          </w:p>
          <w:p w:rsidR="00E35C09" w:rsidRPr="00AF0B75" w:rsidP="6863B825" w14:paraId="733E4218" w14:textId="65C0A484">
            <w:pPr>
              <w:jc w:val="center"/>
              <w:rPr>
                <w:color w:val="000000"/>
                <w:sz w:val="20"/>
                <w:szCs w:val="20"/>
              </w:rPr>
            </w:pPr>
            <w:r w:rsidRPr="1F47A379">
              <w:rPr>
                <w:color w:val="000000" w:themeColor="text1"/>
                <w:sz w:val="20"/>
                <w:szCs w:val="20"/>
              </w:rPr>
              <w:t>(11-9161)</w:t>
            </w:r>
          </w:p>
        </w:tc>
        <w:tc>
          <w:tcPr>
            <w:tcW w:w="1350" w:type="dxa"/>
            <w:tcBorders>
              <w:top w:val="nil"/>
              <w:left w:val="nil"/>
              <w:bottom w:val="single" w:sz="4" w:space="0" w:color="auto"/>
              <w:right w:val="single" w:sz="4" w:space="0" w:color="auto"/>
            </w:tcBorders>
            <w:noWrap/>
            <w:vAlign w:val="center"/>
          </w:tcPr>
          <w:p w:rsidR="00E35C09" w:rsidP="00E35C09" w14:paraId="367A8C07" w14:textId="4105B035">
            <w:pPr>
              <w:spacing w:line="259" w:lineRule="auto"/>
              <w:jc w:val="center"/>
              <w:rPr>
                <w:color w:val="000000" w:themeColor="text1"/>
                <w:sz w:val="20"/>
                <w:szCs w:val="20"/>
              </w:rPr>
            </w:pPr>
            <w:r>
              <w:rPr>
                <w:color w:val="000000" w:themeColor="text1"/>
                <w:sz w:val="20"/>
                <w:szCs w:val="20"/>
              </w:rPr>
              <w:t>688</w:t>
            </w:r>
          </w:p>
        </w:tc>
        <w:tc>
          <w:tcPr>
            <w:tcW w:w="1404" w:type="dxa"/>
            <w:tcBorders>
              <w:top w:val="nil"/>
              <w:left w:val="nil"/>
              <w:bottom w:val="single" w:sz="4" w:space="0" w:color="auto"/>
              <w:right w:val="single" w:sz="4" w:space="0" w:color="auto"/>
            </w:tcBorders>
            <w:noWrap/>
            <w:vAlign w:val="center"/>
          </w:tcPr>
          <w:p w:rsidR="00E35C09" w:rsidP="00E35C09" w14:paraId="165AC562" w14:textId="57ACF528">
            <w:pPr>
              <w:jc w:val="center"/>
              <w:rPr>
                <w:color w:val="000000"/>
                <w:sz w:val="20"/>
                <w:szCs w:val="20"/>
              </w:rPr>
            </w:pPr>
            <w:r>
              <w:rPr>
                <w:color w:val="000000"/>
                <w:sz w:val="20"/>
                <w:szCs w:val="20"/>
              </w:rPr>
              <w:t>1</w:t>
            </w:r>
          </w:p>
        </w:tc>
        <w:tc>
          <w:tcPr>
            <w:tcW w:w="1296" w:type="dxa"/>
            <w:tcBorders>
              <w:top w:val="nil"/>
              <w:left w:val="nil"/>
              <w:bottom w:val="single" w:sz="4" w:space="0" w:color="auto"/>
              <w:right w:val="single" w:sz="4" w:space="0" w:color="auto"/>
            </w:tcBorders>
            <w:noWrap/>
            <w:vAlign w:val="center"/>
          </w:tcPr>
          <w:p w:rsidR="00E35C09" w:rsidP="00E35C09" w14:paraId="3352F61A" w14:textId="2145F446">
            <w:pPr>
              <w:jc w:val="center"/>
              <w:rPr>
                <w:color w:val="000000"/>
                <w:sz w:val="20"/>
                <w:szCs w:val="20"/>
              </w:rPr>
            </w:pPr>
            <w:r>
              <w:rPr>
                <w:color w:val="000000"/>
                <w:sz w:val="20"/>
                <w:szCs w:val="20"/>
              </w:rPr>
              <w:t>0.5</w:t>
            </w:r>
          </w:p>
        </w:tc>
        <w:tc>
          <w:tcPr>
            <w:tcW w:w="1296" w:type="dxa"/>
            <w:tcBorders>
              <w:top w:val="nil"/>
              <w:left w:val="single" w:sz="4" w:space="0" w:color="auto"/>
              <w:bottom w:val="single" w:sz="4" w:space="0" w:color="auto"/>
              <w:right w:val="single" w:sz="4" w:space="0" w:color="auto"/>
            </w:tcBorders>
            <w:noWrap/>
            <w:vAlign w:val="center"/>
          </w:tcPr>
          <w:p w:rsidR="00E35C09" w:rsidRPr="006778D2" w:rsidP="00E35C09" w14:paraId="10B81173" w14:textId="1245C2BD">
            <w:pPr>
              <w:jc w:val="center"/>
              <w:rPr>
                <w:color w:val="000000"/>
                <w:sz w:val="20"/>
                <w:szCs w:val="20"/>
              </w:rPr>
            </w:pPr>
            <w:r>
              <w:rPr>
                <w:color w:val="000000" w:themeColor="text1"/>
                <w:sz w:val="20"/>
                <w:szCs w:val="20"/>
              </w:rPr>
              <w:t>344</w:t>
            </w:r>
          </w:p>
        </w:tc>
        <w:tc>
          <w:tcPr>
            <w:tcW w:w="1296" w:type="dxa"/>
            <w:tcBorders>
              <w:top w:val="nil"/>
              <w:left w:val="nil"/>
              <w:bottom w:val="single" w:sz="4" w:space="0" w:color="auto"/>
              <w:right w:val="single" w:sz="4" w:space="0" w:color="auto"/>
            </w:tcBorders>
            <w:noWrap/>
            <w:vAlign w:val="center"/>
          </w:tcPr>
          <w:p w:rsidR="00E35C09" w:rsidRPr="00B55108" w:rsidP="00E35C09" w14:paraId="00821FA1" w14:textId="50E497C0">
            <w:pPr>
              <w:jc w:val="center"/>
              <w:rPr>
                <w:color w:val="000000"/>
                <w:sz w:val="20"/>
                <w:szCs w:val="20"/>
              </w:rPr>
            </w:pPr>
            <w:r w:rsidRPr="1F47A379">
              <w:rPr>
                <w:color w:val="000000" w:themeColor="text1"/>
                <w:sz w:val="20"/>
                <w:szCs w:val="20"/>
              </w:rPr>
              <w:t>$</w:t>
            </w:r>
            <w:r w:rsidRPr="1F47A379" w:rsidR="00577F12">
              <w:rPr>
                <w:color w:val="000000" w:themeColor="text1"/>
                <w:sz w:val="20"/>
                <w:szCs w:val="20"/>
              </w:rPr>
              <w:t xml:space="preserve">46.97 </w:t>
            </w:r>
            <w:r w:rsidRPr="1F47A379" w:rsidR="40F76CD0">
              <w:rPr>
                <w:color w:val="000000" w:themeColor="text1"/>
                <w:sz w:val="20"/>
                <w:szCs w:val="20"/>
              </w:rPr>
              <w:t>x 1.6235 = $</w:t>
            </w:r>
            <w:r w:rsidRPr="1F47A379" w:rsidR="00577F12">
              <w:rPr>
                <w:color w:val="000000" w:themeColor="text1"/>
                <w:sz w:val="20"/>
                <w:szCs w:val="20"/>
              </w:rPr>
              <w:t>76.</w:t>
            </w:r>
            <w:r w:rsidRPr="1F47A379" w:rsidR="40F76CD0">
              <w:rPr>
                <w:color w:val="000000" w:themeColor="text1"/>
                <w:sz w:val="20"/>
                <w:szCs w:val="20"/>
              </w:rPr>
              <w:t>26</w:t>
            </w:r>
            <w:r>
              <w:br/>
            </w:r>
          </w:p>
        </w:tc>
        <w:tc>
          <w:tcPr>
            <w:tcW w:w="1296" w:type="dxa"/>
            <w:tcBorders>
              <w:top w:val="nil"/>
              <w:left w:val="nil"/>
              <w:bottom w:val="single" w:sz="4" w:space="0" w:color="auto"/>
              <w:right w:val="single" w:sz="4" w:space="0" w:color="auto"/>
            </w:tcBorders>
            <w:noWrap/>
            <w:vAlign w:val="center"/>
          </w:tcPr>
          <w:p w:rsidR="00E35C09" w:rsidRPr="00445EE7" w:rsidP="00E35C09" w14:paraId="1B041578" w14:textId="6A1D3E0B">
            <w:pPr>
              <w:jc w:val="center"/>
              <w:rPr>
                <w:sz w:val="20"/>
                <w:szCs w:val="20"/>
              </w:rPr>
            </w:pPr>
            <w:r w:rsidRPr="00445EE7">
              <w:rPr>
                <w:sz w:val="20"/>
                <w:szCs w:val="20"/>
              </w:rPr>
              <w:t>$</w:t>
            </w:r>
            <w:r w:rsidR="00577F12">
              <w:rPr>
                <w:sz w:val="20"/>
                <w:szCs w:val="20"/>
              </w:rPr>
              <w:t>26,</w:t>
            </w:r>
            <w:r w:rsidRPr="1F47A379" w:rsidR="18278D75">
              <w:rPr>
                <w:sz w:val="20"/>
                <w:szCs w:val="20"/>
              </w:rPr>
              <w:t>232.64</w:t>
            </w:r>
            <w:r>
              <w:br/>
            </w:r>
          </w:p>
        </w:tc>
      </w:tr>
      <w:tr w14:paraId="28C7AA54" w14:textId="77777777" w:rsidTr="6863B825">
        <w:tblPrEx>
          <w:tblW w:w="9378" w:type="dxa"/>
          <w:tblInd w:w="85" w:type="dxa"/>
          <w:tblLayout w:type="fixed"/>
          <w:tblLook w:val="04A0"/>
        </w:tblPrEx>
        <w:trPr>
          <w:trHeight w:val="300"/>
        </w:trPr>
        <w:tc>
          <w:tcPr>
            <w:tcW w:w="1440" w:type="dxa"/>
            <w:tcBorders>
              <w:top w:val="nil"/>
              <w:left w:val="single" w:sz="4" w:space="0" w:color="auto"/>
              <w:bottom w:val="single" w:sz="4" w:space="0" w:color="auto"/>
              <w:right w:val="single" w:sz="4" w:space="0" w:color="auto"/>
            </w:tcBorders>
            <w:noWrap/>
            <w:vAlign w:val="center"/>
            <w:hideMark/>
          </w:tcPr>
          <w:p w:rsidR="00E35C09" w:rsidRPr="00AF0B75" w:rsidP="00E35C09" w14:paraId="5F4F20CD" w14:textId="77777777">
            <w:pPr>
              <w:jc w:val="center"/>
              <w:rPr>
                <w:b/>
                <w:bCs/>
                <w:color w:val="000000"/>
                <w:sz w:val="20"/>
                <w:szCs w:val="20"/>
              </w:rPr>
            </w:pPr>
            <w:r w:rsidRPr="1F44845E">
              <w:rPr>
                <w:b/>
                <w:bCs/>
                <w:color w:val="000000" w:themeColor="text1"/>
                <w:sz w:val="20"/>
                <w:szCs w:val="20"/>
              </w:rPr>
              <w:t>Totals</w:t>
            </w:r>
          </w:p>
        </w:tc>
        <w:tc>
          <w:tcPr>
            <w:tcW w:w="1350" w:type="dxa"/>
            <w:tcBorders>
              <w:top w:val="nil"/>
              <w:left w:val="nil"/>
              <w:bottom w:val="single" w:sz="4" w:space="0" w:color="auto"/>
              <w:right w:val="single" w:sz="4" w:space="0" w:color="auto"/>
            </w:tcBorders>
            <w:noWrap/>
            <w:vAlign w:val="center"/>
            <w:hideMark/>
          </w:tcPr>
          <w:p w:rsidR="00E35C09" w:rsidRPr="00AF0B75" w:rsidP="00E35C09" w14:paraId="79AA4245" w14:textId="7EE227A0">
            <w:pPr>
              <w:spacing w:line="259" w:lineRule="auto"/>
              <w:jc w:val="center"/>
            </w:pPr>
            <w:r>
              <w:rPr>
                <w:b/>
                <w:bCs/>
                <w:color w:val="000000" w:themeColor="text1"/>
                <w:sz w:val="20"/>
                <w:szCs w:val="20"/>
              </w:rPr>
              <w:t>7,</w:t>
            </w:r>
            <w:r w:rsidRPr="1F47A379" w:rsidR="30D863BF">
              <w:rPr>
                <w:b/>
                <w:bCs/>
                <w:color w:val="000000" w:themeColor="text1"/>
                <w:sz w:val="20"/>
                <w:szCs w:val="20"/>
              </w:rPr>
              <w:t>2</w:t>
            </w:r>
            <w:r w:rsidRPr="1F47A379" w:rsidR="5C2FE7E9">
              <w:rPr>
                <w:b/>
                <w:bCs/>
                <w:color w:val="000000" w:themeColor="text1"/>
                <w:sz w:val="20"/>
                <w:szCs w:val="20"/>
              </w:rPr>
              <w:t>1</w:t>
            </w:r>
            <w:r w:rsidRPr="1F47A379" w:rsidR="4F77477B">
              <w:rPr>
                <w:b/>
                <w:bCs/>
                <w:color w:val="000000" w:themeColor="text1"/>
                <w:sz w:val="20"/>
                <w:szCs w:val="20"/>
              </w:rPr>
              <w:t>5</w:t>
            </w:r>
          </w:p>
        </w:tc>
        <w:tc>
          <w:tcPr>
            <w:tcW w:w="1404" w:type="dxa"/>
            <w:tcBorders>
              <w:top w:val="nil"/>
              <w:left w:val="nil"/>
              <w:bottom w:val="single" w:sz="4" w:space="0" w:color="auto"/>
              <w:right w:val="single" w:sz="4" w:space="0" w:color="auto"/>
            </w:tcBorders>
            <w:noWrap/>
            <w:vAlign w:val="center"/>
            <w:hideMark/>
          </w:tcPr>
          <w:p w:rsidR="00E35C09" w:rsidRPr="00AF0B75" w:rsidP="00E35C09" w14:paraId="13BD3D31" w14:textId="4FD7DC6E">
            <w:pPr>
              <w:jc w:val="center"/>
              <w:rPr>
                <w:color w:val="000000"/>
                <w:sz w:val="20"/>
                <w:szCs w:val="20"/>
              </w:rPr>
            </w:pPr>
            <w:r>
              <w:rPr>
                <w:color w:val="000000"/>
                <w:sz w:val="20"/>
                <w:szCs w:val="20"/>
              </w:rPr>
              <w:t> </w:t>
            </w:r>
          </w:p>
        </w:tc>
        <w:tc>
          <w:tcPr>
            <w:tcW w:w="1296" w:type="dxa"/>
            <w:tcBorders>
              <w:top w:val="nil"/>
              <w:left w:val="nil"/>
              <w:bottom w:val="single" w:sz="4" w:space="0" w:color="auto"/>
              <w:right w:val="single" w:sz="4" w:space="0" w:color="auto"/>
            </w:tcBorders>
            <w:noWrap/>
            <w:vAlign w:val="center"/>
            <w:hideMark/>
          </w:tcPr>
          <w:p w:rsidR="00E35C09" w:rsidRPr="00AF0B75" w:rsidP="00E35C09" w14:paraId="5DE13879" w14:textId="0003168A">
            <w:pPr>
              <w:jc w:val="center"/>
              <w:rPr>
                <w:color w:val="000000"/>
                <w:sz w:val="20"/>
                <w:szCs w:val="20"/>
              </w:rPr>
            </w:pPr>
            <w:r>
              <w:rPr>
                <w:color w:val="000000"/>
                <w:sz w:val="20"/>
                <w:szCs w:val="20"/>
              </w:rPr>
              <w:t> </w:t>
            </w:r>
          </w:p>
        </w:tc>
        <w:tc>
          <w:tcPr>
            <w:tcW w:w="1296" w:type="dxa"/>
            <w:tcBorders>
              <w:top w:val="nil"/>
              <w:left w:val="single" w:sz="4" w:space="0" w:color="auto"/>
              <w:bottom w:val="single" w:sz="4" w:space="0" w:color="auto"/>
              <w:right w:val="single" w:sz="4" w:space="0" w:color="auto"/>
            </w:tcBorders>
            <w:noWrap/>
            <w:vAlign w:val="center"/>
          </w:tcPr>
          <w:p w:rsidR="00E35C09" w:rsidRPr="00445EE7" w:rsidP="00E35C09" w14:paraId="24405239" w14:textId="45171A17">
            <w:pPr>
              <w:spacing w:line="259" w:lineRule="auto"/>
              <w:jc w:val="center"/>
              <w:rPr>
                <w:b/>
                <w:color w:val="000000" w:themeColor="text1"/>
                <w:sz w:val="20"/>
                <w:szCs w:val="20"/>
              </w:rPr>
            </w:pPr>
            <w:r w:rsidRPr="1F47A379">
              <w:rPr>
                <w:b/>
                <w:color w:val="000000" w:themeColor="text1"/>
                <w:sz w:val="20"/>
                <w:szCs w:val="20"/>
              </w:rPr>
              <w:t>3,</w:t>
            </w:r>
            <w:r w:rsidRPr="1F47A379" w:rsidR="29B27081">
              <w:rPr>
                <w:b/>
                <w:bCs/>
                <w:color w:val="000000" w:themeColor="text1"/>
                <w:sz w:val="20"/>
                <w:szCs w:val="20"/>
              </w:rPr>
              <w:t>6</w:t>
            </w:r>
            <w:r w:rsidRPr="1F47A379" w:rsidR="65C72DC4">
              <w:rPr>
                <w:b/>
                <w:bCs/>
                <w:color w:val="000000" w:themeColor="text1"/>
                <w:sz w:val="20"/>
                <w:szCs w:val="20"/>
              </w:rPr>
              <w:t>0</w:t>
            </w:r>
            <w:r w:rsidRPr="1F47A379" w:rsidR="0F51BB4C">
              <w:rPr>
                <w:b/>
                <w:bCs/>
                <w:color w:val="000000" w:themeColor="text1"/>
                <w:sz w:val="20"/>
                <w:szCs w:val="20"/>
              </w:rPr>
              <w:t>8</w:t>
            </w:r>
          </w:p>
        </w:tc>
        <w:tc>
          <w:tcPr>
            <w:tcW w:w="1296" w:type="dxa"/>
            <w:tcBorders>
              <w:top w:val="nil"/>
              <w:left w:val="nil"/>
              <w:bottom w:val="single" w:sz="4" w:space="0" w:color="auto"/>
              <w:right w:val="single" w:sz="4" w:space="0" w:color="auto"/>
            </w:tcBorders>
            <w:noWrap/>
            <w:vAlign w:val="center"/>
            <w:hideMark/>
          </w:tcPr>
          <w:p w:rsidR="00E35C09" w:rsidRPr="006778D2" w:rsidP="00E35C09" w14:paraId="529F2D7F" w14:textId="23AF1823">
            <w:pPr>
              <w:jc w:val="center"/>
              <w:rPr>
                <w:b/>
                <w:bCs/>
                <w:color w:val="000000"/>
                <w:sz w:val="20"/>
                <w:szCs w:val="20"/>
              </w:rPr>
            </w:pPr>
            <w:r w:rsidRPr="00445EE7">
              <w:rPr>
                <w:b/>
                <w:bCs/>
                <w:color w:val="000000"/>
                <w:sz w:val="20"/>
                <w:szCs w:val="20"/>
              </w:rPr>
              <w:t> </w:t>
            </w:r>
          </w:p>
        </w:tc>
        <w:tc>
          <w:tcPr>
            <w:tcW w:w="1296" w:type="dxa"/>
            <w:tcBorders>
              <w:top w:val="nil"/>
              <w:left w:val="nil"/>
              <w:bottom w:val="single" w:sz="4" w:space="0" w:color="auto"/>
              <w:right w:val="single" w:sz="4" w:space="0" w:color="auto"/>
            </w:tcBorders>
            <w:noWrap/>
            <w:vAlign w:val="center"/>
            <w:hideMark/>
          </w:tcPr>
          <w:p w:rsidR="00E35C09" w:rsidRPr="00445EE7" w:rsidP="6863B825" w14:paraId="3FA14458" w14:textId="2DCCB321">
            <w:pPr>
              <w:jc w:val="center"/>
              <w:rPr>
                <w:b/>
                <w:bCs/>
                <w:sz w:val="20"/>
                <w:szCs w:val="20"/>
              </w:rPr>
            </w:pPr>
            <w:r w:rsidRPr="6863B825">
              <w:rPr>
                <w:b/>
                <w:bCs/>
                <w:sz w:val="20"/>
                <w:szCs w:val="20"/>
              </w:rPr>
              <w:t>$</w:t>
            </w:r>
            <w:r w:rsidRPr="6863B825" w:rsidR="00577F12">
              <w:rPr>
                <w:b/>
                <w:bCs/>
                <w:sz w:val="20"/>
                <w:szCs w:val="20"/>
              </w:rPr>
              <w:t>179,</w:t>
            </w:r>
            <w:r w:rsidRPr="1F47A379" w:rsidR="1C10FDAB">
              <w:rPr>
                <w:b/>
                <w:bCs/>
                <w:sz w:val="20"/>
                <w:szCs w:val="20"/>
              </w:rPr>
              <w:t>570.66</w:t>
            </w:r>
            <w:r>
              <w:br/>
            </w:r>
          </w:p>
        </w:tc>
      </w:tr>
    </w:tbl>
    <w:p w:rsidR="00AF0B75" w:rsidP="00AF0B75" w14:paraId="3E6938A1" w14:textId="65AE4031">
      <w:pPr>
        <w:rPr>
          <w:highlight w:val="yellow"/>
        </w:rPr>
      </w:pPr>
    </w:p>
    <w:p w:rsidR="005778EE" w:rsidP="00AF0B75" w14:paraId="34630F5D" w14:textId="77777777">
      <w:pPr>
        <w:rPr>
          <w:highlight w:val="yellow"/>
        </w:rPr>
      </w:pPr>
    </w:p>
    <w:p w:rsidR="00EB5E96" w:rsidRPr="00FE192B" w:rsidP="1B73C884" w14:paraId="55CE7A13" w14:textId="77777777">
      <w:pPr>
        <w:suppressAutoHyphens/>
        <w:jc w:val="both"/>
      </w:pPr>
      <w:r w:rsidRPr="1B73C884">
        <w:rPr>
          <w:color w:val="2B579A"/>
          <w:highlight w:val="yellow"/>
        </w:rPr>
        <w:fldChar w:fldCharType="begin"/>
      </w:r>
      <w:r w:rsidRPr="1B73C884">
        <w:rPr>
          <w:highlight w:val="yellow"/>
        </w:rPr>
        <w:instrText>ADVANCE \R 0.95</w:instrText>
      </w:r>
      <w:r w:rsidRPr="1B73C884">
        <w:rPr>
          <w:color w:val="2B579A"/>
          <w:highlight w:val="yellow"/>
        </w:rPr>
        <w:fldChar w:fldCharType="end"/>
      </w:r>
      <w:r>
        <w:t>13.   Provide an estimate of the total annual cost burden to respondents or record</w:t>
      </w:r>
      <w:r w:rsidR="00D93841">
        <w:t xml:space="preserve"> </w:t>
      </w:r>
      <w:r>
        <w:t>keepers resulting from the collection of information.  (Do not include the cost of any hour burden shown in Items 12 and 14.)</w:t>
      </w:r>
    </w:p>
    <w:p w:rsidR="00EB5E96" w:rsidRPr="00FE192B" w:rsidP="000C4293" w14:paraId="6D2E0FFA" w14:textId="77777777">
      <w:pPr>
        <w:shd w:val="pct25" w:color="auto" w:fill="auto"/>
        <w:tabs>
          <w:tab w:val="left" w:pos="-720"/>
        </w:tabs>
        <w:suppressAutoHyphens/>
        <w:jc w:val="both"/>
      </w:pPr>
    </w:p>
    <w:p w:rsidR="00EB5E96" w:rsidRPr="00FE192B" w:rsidP="000C4293" w14:paraId="1B27EB4D" w14:textId="45693861">
      <w:pPr>
        <w:pStyle w:val="BodyText3"/>
        <w:tabs>
          <w:tab w:val="clear" w:pos="720"/>
          <w:tab w:val="left" w:pos="810"/>
        </w:tabs>
        <w:jc w:val="both"/>
        <w:rPr>
          <w:sz w:val="24"/>
          <w:szCs w:val="24"/>
        </w:rPr>
      </w:pPr>
      <w:r w:rsidRPr="1B73C884">
        <w:rPr>
          <w:sz w:val="24"/>
          <w:szCs w:val="24"/>
        </w:rPr>
        <w:t>The cost estimate should be split into two components:</w:t>
      </w:r>
      <w:r w:rsidRPr="1B73C884" w:rsidR="00D63356">
        <w:rPr>
          <w:sz w:val="24"/>
          <w:szCs w:val="24"/>
        </w:rPr>
        <w:t xml:space="preserve"> </w:t>
      </w:r>
      <w:r w:rsidRPr="1B73C884">
        <w:rPr>
          <w:sz w:val="24"/>
          <w:szCs w:val="24"/>
        </w:rPr>
        <w:t xml:space="preserve">(1)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w:t>
      </w:r>
      <w:r w:rsidRPr="1B73C884">
        <w:rPr>
          <w:sz w:val="24"/>
          <w:szCs w:val="24"/>
        </w:rPr>
        <w:t>information such as purchasing computers and software; monitoring, sampling, drilling and testing equipment; and record storage facilities.</w:t>
      </w:r>
    </w:p>
    <w:p w:rsidR="00EB5E96" w:rsidRPr="00FE192B" w:rsidP="000C4293" w14:paraId="657A97A7" w14:textId="77777777">
      <w:pPr>
        <w:shd w:val="pct25" w:color="auto" w:fill="FFFFFF"/>
        <w:tabs>
          <w:tab w:val="left" w:pos="-720"/>
        </w:tabs>
        <w:suppressAutoHyphens/>
        <w:jc w:val="both"/>
      </w:pPr>
      <w:r w:rsidRPr="00FE192B">
        <w:rPr>
          <w:color w:val="2B579A"/>
          <w:shd w:val="clear" w:color="auto" w:fill="E6E6E6"/>
        </w:rPr>
        <w:fldChar w:fldCharType="begin"/>
      </w:r>
      <w:r w:rsidRPr="00FE192B">
        <w:instrText>ADVANCE \R 0.95</w:instrText>
      </w:r>
      <w:r w:rsidRPr="00FE192B">
        <w:rPr>
          <w:color w:val="2B579A"/>
          <w:shd w:val="clear" w:color="auto" w:fill="E6E6E6"/>
        </w:rPr>
        <w:fldChar w:fldCharType="end"/>
      </w:r>
    </w:p>
    <w:p w:rsidR="00EB5E96" w:rsidRPr="00FE192B" w:rsidP="1B73C884" w14:paraId="2B18C1BA" w14:textId="040849A3">
      <w:pPr>
        <w:shd w:val="clear" w:color="auto" w:fill="FFFFFF" w:themeFill="background1"/>
        <w:suppressAutoHyphens/>
        <w:jc w:val="both"/>
      </w:pPr>
      <w: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B5E96" w:rsidRPr="00FE192B" w:rsidP="000C4293" w14:paraId="6FCCD129" w14:textId="77777777">
      <w:pPr>
        <w:shd w:val="pct25" w:color="auto" w:fill="FFFFFF"/>
        <w:tabs>
          <w:tab w:val="left" w:pos="-720"/>
        </w:tabs>
        <w:suppressAutoHyphens/>
        <w:jc w:val="both"/>
      </w:pPr>
    </w:p>
    <w:p w:rsidR="00EB5E96" w:rsidRPr="00596A43" w:rsidP="58F2887F" w14:paraId="1F8114DF" w14:textId="71249F37">
      <w:pPr>
        <w:shd w:val="clear" w:color="auto" w:fill="FFFFFF" w:themeFill="background1"/>
        <w:suppressAutoHyphens/>
        <w:jc w:val="both"/>
      </w:pPr>
      <w:r>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D73BBC" w:rsidP="742C2D33" w14:paraId="4A5C8575" w14:textId="1CB101FC">
      <w:pPr>
        <w:suppressAutoHyphens/>
        <w:spacing w:before="60"/>
        <w:jc w:val="both"/>
        <w:rPr>
          <w:i/>
          <w:spacing w:val="-3"/>
          <w:sz w:val="20"/>
          <w:szCs w:val="20"/>
        </w:rPr>
      </w:pPr>
    </w:p>
    <w:p w:rsidR="00202517" w:rsidP="06BD3766" w14:paraId="63DB44C2" w14:textId="00BDE290">
      <w:pPr>
        <w:shd w:val="clear" w:color="auto" w:fill="FFFFFF" w:themeFill="background1"/>
        <w:suppressAutoHyphens/>
        <w:spacing w:after="120"/>
        <w:jc w:val="both"/>
        <w:rPr>
          <w:spacing w:val="-3"/>
        </w:rPr>
      </w:pPr>
      <w:r w:rsidRPr="001C4E52">
        <w:rPr>
          <w:spacing w:val="-3"/>
        </w:rPr>
        <w:t xml:space="preserve">There </w:t>
      </w:r>
      <w:r w:rsidRPr="001C4E52" w:rsidR="00E83193">
        <w:rPr>
          <w:spacing w:val="-3"/>
        </w:rPr>
        <w:t>are</w:t>
      </w:r>
      <w:r w:rsidRPr="001C4E52">
        <w:rPr>
          <w:spacing w:val="-3"/>
        </w:rPr>
        <w:t xml:space="preserve"> no recordkeeping, capital, start-up, or maintenance costs assoc</w:t>
      </w:r>
      <w:r w:rsidR="002E6FB7">
        <w:rPr>
          <w:spacing w:val="-3"/>
        </w:rPr>
        <w:t>iated with this information col</w:t>
      </w:r>
      <w:r w:rsidRPr="001C4E52">
        <w:rPr>
          <w:spacing w:val="-3"/>
        </w:rPr>
        <w:t xml:space="preserve">lection. </w:t>
      </w:r>
    </w:p>
    <w:p w:rsidR="005778EE" w:rsidRPr="00C5773A" w:rsidP="06BD3766" w14:paraId="63484090" w14:textId="77777777">
      <w:pPr>
        <w:shd w:val="clear" w:color="auto" w:fill="FFFFFF" w:themeFill="background1"/>
        <w:suppressAutoHyphens/>
        <w:spacing w:after="120"/>
        <w:jc w:val="both"/>
      </w:pPr>
    </w:p>
    <w:p w:rsidR="00EB5E96" w:rsidRPr="00A6683E" w:rsidP="1B73C884" w14:paraId="6DE9BDAF" w14:textId="77777777">
      <w:pPr>
        <w:suppressAutoHyphens/>
        <w:jc w:val="both"/>
      </w:pPr>
      <w:r w:rsidRPr="1B73C884">
        <w:rPr>
          <w:color w:val="2B579A"/>
        </w:rPr>
        <w:fldChar w:fldCharType="begin"/>
      </w:r>
      <w:r>
        <w:instrText>ADVANCE \R 0.95</w:instrText>
      </w:r>
      <w:r w:rsidRPr="1B73C884">
        <w:rPr>
          <w:color w:val="2B579A"/>
        </w:rPr>
        <w:fldChar w:fldCharType="end"/>
      </w:r>
      <w:r>
        <w:t xml:space="preserve">14.  Provide estimates of annualized cost to the Federal Government.  </w:t>
      </w:r>
      <w:r w:rsidR="008924F0">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t xml:space="preserve">You may also aggregate cost estimates for Items 12, 13, and 14 in a single table.  </w:t>
      </w:r>
    </w:p>
    <w:p w:rsidR="00D73BBC" w:rsidRPr="00A6683E" w:rsidP="00FE7C4C" w14:paraId="2AE05EC3" w14:textId="75674C45">
      <w:pPr>
        <w:suppressAutoHyphens/>
        <w:spacing w:before="60"/>
        <w:jc w:val="both"/>
        <w:rPr>
          <w:i/>
          <w:spacing w:val="-3"/>
          <w:sz w:val="20"/>
          <w:szCs w:val="20"/>
        </w:rPr>
      </w:pPr>
      <w:r w:rsidRPr="00A6683E">
        <w:rPr>
          <w:color w:val="2B579A"/>
          <w:shd w:val="clear" w:color="auto" w:fill="E6E6E6"/>
        </w:rPr>
        <w:fldChar w:fldCharType="begin"/>
      </w:r>
      <w:r w:rsidRPr="00A6683E">
        <w:instrText>ADVANCE \R 0.95</w:instrText>
      </w:r>
      <w:r w:rsidRPr="00A6683E">
        <w:rPr>
          <w:color w:val="2B579A"/>
          <w:shd w:val="clear" w:color="auto" w:fill="E6E6E6"/>
        </w:rPr>
        <w:fldChar w:fldCharType="end"/>
      </w:r>
    </w:p>
    <w:p w:rsidR="00407163" w:rsidP="002150CF" w14:paraId="0AC6FF1E" w14:textId="73C9E163">
      <w:pPr>
        <w:autoSpaceDE w:val="0"/>
        <w:autoSpaceDN w:val="0"/>
        <w:spacing w:after="120"/>
        <w:jc w:val="both"/>
        <w:rPr>
          <w:color w:val="000000" w:themeColor="text1"/>
        </w:rPr>
      </w:pPr>
      <w:r w:rsidRPr="1B73C884">
        <w:rPr>
          <w:color w:val="000000" w:themeColor="text1"/>
        </w:rPr>
        <w:t xml:space="preserve">CISA ECD utilizes 0.75 full-time equivalent (FTE) federal employees to maintain and analyze SNS response data, ranging from </w:t>
      </w:r>
      <w:r w:rsidRPr="1F47A379" w:rsidR="3432F054">
        <w:rPr>
          <w:color w:val="000000" w:themeColor="text1"/>
        </w:rPr>
        <w:t>GS12-04</w:t>
      </w:r>
      <w:r w:rsidRPr="1F47A379" w:rsidR="40225DB0">
        <w:rPr>
          <w:color w:val="000000" w:themeColor="text1"/>
        </w:rPr>
        <w:t xml:space="preserve"> to </w:t>
      </w:r>
      <w:r w:rsidRPr="1B73C884">
        <w:rPr>
          <w:color w:val="000000" w:themeColor="text1"/>
        </w:rPr>
        <w:t xml:space="preserve">GS13-10, depending on personnel availability. Using the Washington, DC locality rate in the </w:t>
      </w:r>
      <w:hyperlink r:id="rId11" w:history="1">
        <w:r w:rsidRPr="1F47A379" w:rsidR="3432F054">
          <w:rPr>
            <w:rStyle w:val="Hyperlink"/>
          </w:rPr>
          <w:t>2025 General Schedule (GS) Salary Table</w:t>
        </w:r>
      </w:hyperlink>
      <w:r w:rsidRPr="1F47A379" w:rsidR="3432F054">
        <w:rPr>
          <w:color w:val="000000" w:themeColor="text1"/>
        </w:rPr>
        <w:t>,</w:t>
      </w:r>
      <w:r w:rsidRPr="1B73C884">
        <w:rPr>
          <w:color w:val="000000" w:themeColor="text1"/>
        </w:rPr>
        <w:t xml:space="preserve"> </w:t>
      </w:r>
      <w:r w:rsidRPr="1F47A379" w:rsidR="2FF9D4AD">
        <w:rPr>
          <w:color w:val="000000" w:themeColor="text1"/>
        </w:rPr>
        <w:t xml:space="preserve"> the hourly wage rate of a GS12-04 employee is $53.45 and the hourly wage rate of a GS13-10 employee is $75.11. The hourly wages are multiplied by the government load factor of 1.6792. The load factor of 1.6792 is estimated by dividing average total compensation for all levels of education in Table 2-3 ($75.90) by average wages for all levels of education in Table 2-1 ($45.20), from the Congressional Budget Office publication </w:t>
      </w:r>
      <w:hyperlink r:id="rId12" w:history="1">
        <w:r w:rsidRPr="1F47A379" w:rsidR="2FF9D4AD">
          <w:rPr>
            <w:rStyle w:val="Hyperlink"/>
          </w:rPr>
          <w:t>Comparing the Compensation of Federal and Private-Sector Employees in 2022</w:t>
        </w:r>
      </w:hyperlink>
      <w:r w:rsidRPr="1F47A379" w:rsidR="2FF9D4AD">
        <w:rPr>
          <w:color w:val="000000" w:themeColor="text1"/>
        </w:rPr>
        <w:t xml:space="preserve">. This results in a loaded hourly wage of $89.75 for the GS12-04 employee and $126.12 for the GS13-10 employee. The total federal cost of this collection is estimated by multiplying the loaded hourly wage by the </w:t>
      </w:r>
      <w:r w:rsidRPr="1F47A379" w:rsidR="675CDF2D">
        <w:rPr>
          <w:color w:val="000000" w:themeColor="text1"/>
        </w:rPr>
        <w:t>1,</w:t>
      </w:r>
      <w:r w:rsidRPr="1F47A379" w:rsidR="2FF9D4AD">
        <w:rPr>
          <w:color w:val="000000" w:themeColor="text1"/>
        </w:rPr>
        <w:t>5</w:t>
      </w:r>
      <w:r w:rsidRPr="1F47A379" w:rsidR="436BDC8C">
        <w:rPr>
          <w:color w:val="000000" w:themeColor="text1"/>
        </w:rPr>
        <w:t>6</w:t>
      </w:r>
      <w:r w:rsidRPr="1F47A379" w:rsidR="2FF9D4AD">
        <w:rPr>
          <w:color w:val="000000" w:themeColor="text1"/>
        </w:rPr>
        <w:t>0 hours necessary (0.</w:t>
      </w:r>
      <w:r w:rsidRPr="1F47A379" w:rsidR="71BD8D1F">
        <w:rPr>
          <w:color w:val="000000" w:themeColor="text1"/>
        </w:rPr>
        <w:t>7</w:t>
      </w:r>
      <w:r w:rsidRPr="1F47A379" w:rsidR="2FF9D4AD">
        <w:rPr>
          <w:color w:val="000000" w:themeColor="text1"/>
        </w:rPr>
        <w:t xml:space="preserve">5 FTE or </w:t>
      </w:r>
      <w:r w:rsidRPr="1F47A379" w:rsidR="18503C7F">
        <w:rPr>
          <w:color w:val="000000" w:themeColor="text1"/>
        </w:rPr>
        <w:t>7</w:t>
      </w:r>
      <w:r w:rsidRPr="1F47A379" w:rsidR="2FF9D4AD">
        <w:rPr>
          <w:color w:val="000000" w:themeColor="text1"/>
        </w:rPr>
        <w:t xml:space="preserve">5% of annual time) to review the submitted forms. For the GS12-04 employee: $89.75 x </w:t>
      </w:r>
      <w:r w:rsidRPr="1F47A379" w:rsidR="4D2EE0A2">
        <w:rPr>
          <w:color w:val="000000" w:themeColor="text1"/>
        </w:rPr>
        <w:t>1,</w:t>
      </w:r>
      <w:r w:rsidRPr="1F47A379" w:rsidR="2FF9D4AD">
        <w:rPr>
          <w:color w:val="000000" w:themeColor="text1"/>
        </w:rPr>
        <w:t>5</w:t>
      </w:r>
      <w:r w:rsidRPr="1F47A379" w:rsidR="159F9DE1">
        <w:rPr>
          <w:color w:val="000000" w:themeColor="text1"/>
        </w:rPr>
        <w:t>6</w:t>
      </w:r>
      <w:r w:rsidRPr="1F47A379" w:rsidR="2FF9D4AD">
        <w:rPr>
          <w:color w:val="000000" w:themeColor="text1"/>
        </w:rPr>
        <w:t>0 hours = $</w:t>
      </w:r>
      <w:r w:rsidRPr="1F47A379" w:rsidR="04D8C80E">
        <w:rPr>
          <w:color w:val="000000" w:themeColor="text1"/>
        </w:rPr>
        <w:t>1</w:t>
      </w:r>
      <w:r w:rsidRPr="1F47A379" w:rsidR="2FF9D4AD">
        <w:rPr>
          <w:color w:val="000000" w:themeColor="text1"/>
        </w:rPr>
        <w:t>4</w:t>
      </w:r>
      <w:r w:rsidRPr="1F47A379" w:rsidR="04D8C80E">
        <w:rPr>
          <w:color w:val="000000" w:themeColor="text1"/>
        </w:rPr>
        <w:t>0</w:t>
      </w:r>
      <w:r w:rsidRPr="1F47A379" w:rsidR="2FF9D4AD">
        <w:rPr>
          <w:color w:val="000000" w:themeColor="text1"/>
        </w:rPr>
        <w:t>,</w:t>
      </w:r>
      <w:r w:rsidRPr="1F47A379" w:rsidR="03BAA34E">
        <w:rPr>
          <w:color w:val="000000" w:themeColor="text1"/>
        </w:rPr>
        <w:t>015</w:t>
      </w:r>
      <w:r w:rsidRPr="1F47A379" w:rsidR="2FF9D4AD">
        <w:rPr>
          <w:color w:val="000000" w:themeColor="text1"/>
        </w:rPr>
        <w:t>.</w:t>
      </w:r>
      <w:r w:rsidRPr="1F47A379" w:rsidR="1A15A9A5">
        <w:rPr>
          <w:color w:val="000000" w:themeColor="text1"/>
        </w:rPr>
        <w:t>35</w:t>
      </w:r>
      <w:r w:rsidRPr="1F47A379" w:rsidR="2FF9D4AD">
        <w:rPr>
          <w:color w:val="000000" w:themeColor="text1"/>
        </w:rPr>
        <w:t xml:space="preserve">. For the GS13-10 employee: $126.12 x </w:t>
      </w:r>
      <w:r w:rsidRPr="1F47A379" w:rsidR="4F0ED595">
        <w:rPr>
          <w:color w:val="000000" w:themeColor="text1"/>
        </w:rPr>
        <w:t>1,</w:t>
      </w:r>
      <w:r w:rsidRPr="1F47A379" w:rsidR="2FF9D4AD">
        <w:rPr>
          <w:color w:val="000000" w:themeColor="text1"/>
        </w:rPr>
        <w:t>5</w:t>
      </w:r>
      <w:r w:rsidRPr="1F47A379" w:rsidR="21D17B61">
        <w:rPr>
          <w:color w:val="000000" w:themeColor="text1"/>
        </w:rPr>
        <w:t>6</w:t>
      </w:r>
      <w:r w:rsidRPr="1F47A379" w:rsidR="2FF9D4AD">
        <w:rPr>
          <w:color w:val="000000" w:themeColor="text1"/>
        </w:rPr>
        <w:t>0 hours = $</w:t>
      </w:r>
      <w:r w:rsidRPr="1F47A379" w:rsidR="0D4F43CA">
        <w:rPr>
          <w:color w:val="000000" w:themeColor="text1"/>
        </w:rPr>
        <w:t>19</w:t>
      </w:r>
      <w:r w:rsidRPr="1F47A379" w:rsidR="2FF9D4AD">
        <w:rPr>
          <w:color w:val="000000" w:themeColor="text1"/>
        </w:rPr>
        <w:t>6,</w:t>
      </w:r>
      <w:r w:rsidRPr="1F47A379" w:rsidR="2C858080">
        <w:rPr>
          <w:color w:val="000000" w:themeColor="text1"/>
        </w:rPr>
        <w:t>7</w:t>
      </w:r>
      <w:r w:rsidRPr="1F47A379" w:rsidR="2FF9D4AD">
        <w:rPr>
          <w:color w:val="000000" w:themeColor="text1"/>
        </w:rPr>
        <w:t>5</w:t>
      </w:r>
      <w:r w:rsidRPr="1F47A379" w:rsidR="378AED57">
        <w:rPr>
          <w:color w:val="000000" w:themeColor="text1"/>
        </w:rPr>
        <w:t>4</w:t>
      </w:r>
      <w:r w:rsidRPr="1F47A379" w:rsidR="2FF9D4AD">
        <w:rPr>
          <w:color w:val="000000" w:themeColor="text1"/>
        </w:rPr>
        <w:t>.9</w:t>
      </w:r>
      <w:r w:rsidRPr="1F47A379" w:rsidR="5A6A6044">
        <w:rPr>
          <w:color w:val="000000" w:themeColor="text1"/>
        </w:rPr>
        <w:t>7</w:t>
      </w:r>
      <w:r w:rsidRPr="1F47A379" w:rsidR="2FF9D4AD">
        <w:rPr>
          <w:color w:val="000000" w:themeColor="text1"/>
        </w:rPr>
        <w:t>. Therefore, the estimated cost range is $</w:t>
      </w:r>
      <w:r w:rsidRPr="1F47A379" w:rsidR="62115D88">
        <w:rPr>
          <w:color w:val="000000" w:themeColor="text1"/>
        </w:rPr>
        <w:t>140,015.35 to $196,754.97</w:t>
      </w:r>
      <w:r w:rsidRPr="1F47A379" w:rsidR="2FF9D4AD">
        <w:rPr>
          <w:color w:val="000000" w:themeColor="text1"/>
        </w:rPr>
        <w:t>.</w:t>
      </w:r>
    </w:p>
    <w:p w:rsidR="00350E84" w:rsidP="00407163" w14:paraId="3EEDFFCE" w14:textId="0F902311">
      <w:pPr>
        <w:autoSpaceDE w:val="0"/>
        <w:autoSpaceDN w:val="0"/>
        <w:spacing w:after="120"/>
        <w:jc w:val="both"/>
        <w:rPr>
          <w:color w:val="000000" w:themeColor="text1"/>
        </w:rPr>
      </w:pPr>
      <w:r w:rsidRPr="1B73C884">
        <w:rPr>
          <w:color w:val="000000" w:themeColor="text1"/>
        </w:rPr>
        <w:t>CISA ECD will utilize existing enterprise licenses for Qualtrics to support web-based survey tool design and data collection. These enterprise licenses “float” within the agency and are assigned as needed to work units performing survey collections and analysis. They do not present a separate direct cost to the Federal Government.</w:t>
      </w:r>
      <w:r w:rsidRPr="1B73C884" w:rsidR="00025DA3">
        <w:rPr>
          <w:color w:val="000000" w:themeColor="text1"/>
        </w:rPr>
        <w:t xml:space="preserve"> </w:t>
      </w:r>
    </w:p>
    <w:p w:rsidR="00407163" w:rsidRPr="002F7F7E" w:rsidP="002150CF" w14:paraId="714B5ED2" w14:textId="1E3AB93A">
      <w:pPr>
        <w:autoSpaceDE w:val="0"/>
        <w:autoSpaceDN w:val="0"/>
        <w:spacing w:after="120"/>
        <w:jc w:val="both"/>
        <w:rPr>
          <w:b/>
          <w:bCs/>
          <w:color w:val="000000"/>
          <w:sz w:val="20"/>
          <w:szCs w:val="20"/>
        </w:rPr>
      </w:pPr>
      <w:r w:rsidRPr="1B73C884">
        <w:rPr>
          <w:color w:val="000000" w:themeColor="text1"/>
        </w:rPr>
        <w:t>CISA ECD will utilize Governing Printing Office (GPO) and United States Postal Service (USPS) to create and deliver physical invitation</w:t>
      </w:r>
      <w:r w:rsidRPr="1B73C884" w:rsidR="007900EA">
        <w:rPr>
          <w:color w:val="000000" w:themeColor="text1"/>
        </w:rPr>
        <w:t>s</w:t>
      </w:r>
      <w:r w:rsidRPr="1B73C884">
        <w:rPr>
          <w:color w:val="000000" w:themeColor="text1"/>
        </w:rPr>
        <w:t xml:space="preserve"> </w:t>
      </w:r>
      <w:r w:rsidRPr="1B73C884" w:rsidR="007900EA">
        <w:rPr>
          <w:color w:val="000000" w:themeColor="text1"/>
        </w:rPr>
        <w:t>to participate in the SNS</w:t>
      </w:r>
      <w:r w:rsidRPr="1B73C884">
        <w:rPr>
          <w:color w:val="000000" w:themeColor="text1"/>
        </w:rPr>
        <w:t xml:space="preserve"> to local and tribal organizations. </w:t>
      </w:r>
      <w:r w:rsidRPr="1B73C884" w:rsidR="007900EA">
        <w:rPr>
          <w:color w:val="000000" w:themeColor="text1"/>
        </w:rPr>
        <w:t>CISA ECD anticipates approximately $28,500 in direct print ($0.02 per invitation) and postage ($0.55 per invitation) costs for 50,000 annualized invitations sent.</w:t>
      </w:r>
    </w:p>
    <w:p w:rsidR="0F320E9C" w:rsidP="0F320E9C" w14:paraId="17293495" w14:textId="5CB6E108">
      <w:pPr>
        <w:spacing w:after="120"/>
        <w:rPr>
          <w:color w:val="000000" w:themeColor="text1"/>
        </w:rPr>
      </w:pPr>
    </w:p>
    <w:p w:rsidR="00C5773A" w:rsidP="00FE7C4C" w14:paraId="46DDA019" w14:textId="2FA5BF1B">
      <w:pPr>
        <w:autoSpaceDE w:val="0"/>
        <w:autoSpaceDN w:val="0"/>
        <w:spacing w:after="120"/>
      </w:pPr>
      <w:r w:rsidRPr="19FDA424">
        <w:rPr>
          <w:color w:val="000000" w:themeColor="text1"/>
        </w:rPr>
        <w:t xml:space="preserve">Total </w:t>
      </w:r>
      <w:r w:rsidRPr="19FDA424" w:rsidR="00350E84">
        <w:rPr>
          <w:color w:val="000000" w:themeColor="text1"/>
        </w:rPr>
        <w:t xml:space="preserve">Estimated </w:t>
      </w:r>
      <w:r w:rsidRPr="19FDA424" w:rsidR="009850BA">
        <w:rPr>
          <w:color w:val="000000" w:themeColor="text1"/>
        </w:rPr>
        <w:t xml:space="preserve">Annual </w:t>
      </w:r>
      <w:r w:rsidRPr="19FDA424">
        <w:rPr>
          <w:color w:val="000000" w:themeColor="text1"/>
        </w:rPr>
        <w:t xml:space="preserve">Cost to the Government </w:t>
      </w:r>
      <w:r w:rsidRPr="00C9421C">
        <w:t xml:space="preserve">= </w:t>
      </w:r>
      <w:r w:rsidRPr="00C9421C" w:rsidR="00064F61">
        <w:t>$</w:t>
      </w:r>
      <w:r w:rsidR="7B60C356">
        <w:t>168,515.35</w:t>
      </w:r>
      <w:r w:rsidRPr="00B832BF" w:rsidR="001F2FEE">
        <w:t>.</w:t>
      </w:r>
      <w:r w:rsidR="001F2FEE">
        <w:t xml:space="preserve"> </w:t>
      </w:r>
    </w:p>
    <w:p w:rsidR="00EB5E96" w:rsidRPr="00596A43" w:rsidP="000C4293" w14:paraId="5353418D" w14:textId="77777777">
      <w:pPr>
        <w:suppressAutoHyphens/>
        <w:jc w:val="both"/>
      </w:pPr>
      <w:bookmarkStart w:id="2" w:name="_Table_A.14:_Annual"/>
      <w:bookmarkEnd w:id="2"/>
    </w:p>
    <w:p w:rsidR="00EB5E96" w:rsidRPr="00596A43" w:rsidP="1B73C884" w14:paraId="3C06A83F" w14:textId="77777777">
      <w:pPr>
        <w:suppressAutoHyphens/>
        <w:jc w:val="both"/>
      </w:pPr>
      <w:r w:rsidRPr="1B73C884">
        <w:rPr>
          <w:color w:val="2B579A"/>
        </w:rPr>
        <w:fldChar w:fldCharType="begin"/>
      </w:r>
      <w:r>
        <w:instrText>ADVANCE \R 0.95</w:instrText>
      </w:r>
      <w:r w:rsidRPr="1B73C884">
        <w:rPr>
          <w:color w:val="2B579A"/>
        </w:rPr>
        <w:fldChar w:fldCharType="end"/>
      </w:r>
      <w:r>
        <w:t xml:space="preserve">15.  Explain the reasons for any program changes or adjustments reported in Items 13 or 14 of the OMB Form 83-I.  Changes in hour burden, i.e., program changes or adjustments made to annual reporting and recordkeeping </w:t>
      </w:r>
      <w:r w:rsidRPr="1B73C884">
        <w:rPr>
          <w:b/>
          <w:bCs/>
        </w:rPr>
        <w:t>hour</w:t>
      </w:r>
      <w:r>
        <w:t xml:space="preserve"> and </w:t>
      </w:r>
      <w:r w:rsidRPr="1B73C884">
        <w:rPr>
          <w:b/>
          <w:bCs/>
        </w:rPr>
        <w:t>cost</w:t>
      </w:r>
      <w:r>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7900EA" w:rsidP="2C54D83D" w14:paraId="1DBA15A5" w14:textId="77F065B6">
      <w:pPr>
        <w:suppressAutoHyphens/>
        <w:spacing w:before="60" w:after="120"/>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Pr>
          <w:spacing w:val="-3"/>
        </w:rPr>
        <w:t xml:space="preserve">This updated form reflects program changes in the scope, frequency, distribution, and target population of the SNS. </w:t>
      </w:r>
      <w:r w:rsidR="008117B1">
        <w:rPr>
          <w:spacing w:val="-3"/>
        </w:rPr>
        <w:t>The new</w:t>
      </w:r>
      <w:r>
        <w:rPr>
          <w:spacing w:val="-3"/>
        </w:rPr>
        <w:t xml:space="preserve"> estimated costs of performing the SNS are substantially similar to previous estimates despite these program changes. Changes and their impacts on </w:t>
      </w:r>
      <w:r w:rsidR="008117B1">
        <w:rPr>
          <w:spacing w:val="-3"/>
        </w:rPr>
        <w:t>the hour</w:t>
      </w:r>
      <w:r>
        <w:rPr>
          <w:spacing w:val="-3"/>
        </w:rPr>
        <w:t xml:space="preserve"> and cost burden are described below.</w:t>
      </w:r>
    </w:p>
    <w:p w:rsidR="007900EA" w:rsidP="00A94BD8" w14:paraId="295F665A" w14:textId="40DCB464">
      <w:pPr>
        <w:pStyle w:val="ListParagraph"/>
        <w:numPr>
          <w:ilvl w:val="0"/>
          <w:numId w:val="40"/>
        </w:numPr>
        <w:suppressAutoHyphens/>
        <w:spacing w:before="60" w:after="120"/>
        <w:jc w:val="both"/>
        <w:rPr>
          <w:spacing w:val="-3"/>
        </w:rPr>
      </w:pPr>
      <w:r>
        <w:rPr>
          <w:spacing w:val="-3"/>
        </w:rPr>
        <w:t>Expand target population to include Public Works: increased hourly burden by adding new respondents</w:t>
      </w:r>
      <w:r w:rsidR="008809A7">
        <w:rPr>
          <w:spacing w:val="-3"/>
        </w:rPr>
        <w:t>. This change is made to provide complete coverage of the Emergency Services Sector, the sector responsible for most primary delivery of emergency response services.</w:t>
      </w:r>
    </w:p>
    <w:p w:rsidR="007900EA" w:rsidP="00A94BD8" w14:paraId="04C2146A" w14:textId="7759D0A4">
      <w:pPr>
        <w:pStyle w:val="ListParagraph"/>
        <w:numPr>
          <w:ilvl w:val="0"/>
          <w:numId w:val="40"/>
        </w:numPr>
        <w:suppressAutoHyphens/>
        <w:spacing w:before="60" w:after="120"/>
        <w:jc w:val="both"/>
      </w:pPr>
      <w:r>
        <w:rPr>
          <w:spacing w:val="-3"/>
        </w:rPr>
        <w:t xml:space="preserve">Increase frequency of local (municipal and county) survey from once each 5 years to once each 2 years: increased hourly burden by collecting responses more frequently. This change is made to enhance the granularity of nationwide emergency communications capability trends, especially for </w:t>
      </w:r>
      <w:r w:rsidR="00C35605">
        <w:rPr>
          <w:spacing w:val="-3"/>
        </w:rPr>
        <w:t>rapidly evolving</w:t>
      </w:r>
      <w:r>
        <w:rPr>
          <w:spacing w:val="-3"/>
        </w:rPr>
        <w:t xml:space="preserve"> topics like cybersecurity and technology.</w:t>
      </w:r>
    </w:p>
    <w:p w:rsidR="008809A7" w:rsidP="00A94BD8" w14:paraId="5F46E5CE" w14:textId="102A2F6A">
      <w:pPr>
        <w:pStyle w:val="ListParagraph"/>
        <w:numPr>
          <w:ilvl w:val="0"/>
          <w:numId w:val="40"/>
        </w:numPr>
        <w:suppressAutoHyphens/>
        <w:spacing w:before="60" w:after="120"/>
        <w:jc w:val="both"/>
        <w:rPr>
          <w:spacing w:val="-3"/>
        </w:rPr>
      </w:pPr>
      <w:r>
        <w:rPr>
          <w:spacing w:val="-3"/>
        </w:rPr>
        <w:t>Increase physical print mailings: increased direct Federal Government costs by sending more physical mail invitations to participant organizations. This change is made to improve response rates to the SNS caused by email delivery failures.</w:t>
      </w:r>
    </w:p>
    <w:p w:rsidR="008809A7" w:rsidP="00A94BD8" w14:paraId="26692D44" w14:textId="16C749D3">
      <w:pPr>
        <w:pStyle w:val="ListParagraph"/>
        <w:numPr>
          <w:ilvl w:val="0"/>
          <w:numId w:val="40"/>
        </w:numPr>
        <w:suppressAutoHyphens/>
        <w:spacing w:before="60" w:after="120"/>
        <w:jc w:val="both"/>
      </w:pPr>
      <w:r>
        <w:rPr>
          <w:spacing w:val="-3"/>
        </w:rPr>
        <w:t>Decreased anticipated response rates in burden calculation. This change is made to more accurately reflect true response rates and therefore true respondent burden, based on response trends observed in the most recent iteration of the SNS, executed May to October 2023.</w:t>
      </w:r>
      <w:r w:rsidR="00D34BC9">
        <w:rPr>
          <w:spacing w:val="-3"/>
        </w:rPr>
        <w:t xml:space="preserve"> This change results in a significant net decrease on </w:t>
      </w:r>
      <w:r w:rsidR="00002B59">
        <w:rPr>
          <w:spacing w:val="-3"/>
        </w:rPr>
        <w:t>the estimated</w:t>
      </w:r>
      <w:r w:rsidR="00D34BC9">
        <w:rPr>
          <w:spacing w:val="-3"/>
        </w:rPr>
        <w:t xml:space="preserve"> annualized burden.</w:t>
      </w:r>
    </w:p>
    <w:p w:rsidR="003250FB" w:rsidP="002D7D6C" w14:paraId="5541A868" w14:textId="77777777">
      <w:pPr>
        <w:pStyle w:val="ListParagraph"/>
        <w:numPr>
          <w:ilvl w:val="0"/>
          <w:numId w:val="40"/>
        </w:numPr>
        <w:suppressAutoHyphens/>
        <w:spacing w:before="60" w:after="120"/>
        <w:jc w:val="both"/>
      </w:pPr>
      <w:r>
        <w:rPr>
          <w:spacing w:val="-3"/>
        </w:rPr>
        <w:t xml:space="preserve">Decreased target population at State and Federal level of government and increase collection frequency from once each 5 years to annually. This change is made to reflect an updated distribution plan for State and Federal participants </w:t>
      </w:r>
      <w:r w:rsidR="00A94BD8">
        <w:rPr>
          <w:spacing w:val="-3"/>
        </w:rPr>
        <w:t>utilizing in-person or virtual interviews with Emergency Communications Preparedness Center (ECPC) member department &amp; agency representatives and Statewide Interoperability Coordinators (SWICs). This method of collecting SNS responses enhances the quality and comprehensiveness of response data and provides more useful programmatic information for federal and state respondents. This change results in a net decrease in respondent burden by significantly reducing the number of responses completed at the state level.</w:t>
      </w:r>
    </w:p>
    <w:p w:rsidR="000D646D" w:rsidP="002D7D6C" w14:paraId="639E4D83" w14:textId="014528FA">
      <w:pPr>
        <w:pStyle w:val="ListParagraph"/>
        <w:numPr>
          <w:ilvl w:val="0"/>
          <w:numId w:val="40"/>
        </w:numPr>
        <w:suppressAutoHyphens/>
        <w:spacing w:before="60" w:after="120"/>
        <w:jc w:val="both"/>
      </w:pPr>
      <w:r w:rsidRPr="00AE534E">
        <w:rPr>
          <w:spacing w:val="-3"/>
        </w:rPr>
        <w:t xml:space="preserve">Decreased number of CISA ECD federal employees estimated to support SNS distribution, data management, and data analysis. This change is made to reflect transformation of the ECD workforce and to more accurately reflect the way in which survey administration is performed (namely, that distribution, collection, record keeping, and analysis effort is not performed on </w:t>
      </w:r>
      <w:r w:rsidRPr="00AE534E">
        <w:rPr>
          <w:spacing w:val="-3"/>
        </w:rPr>
        <w:t xml:space="preserve">a per-response basis but rather represents an ongoing work assignment). This change results in a decrease in estimated direct costs to the Federal Government, driven mostly by a decrease in the GS level of assigned federal employees. </w:t>
      </w:r>
    </w:p>
    <w:p w:rsidR="003250FB" w:rsidRPr="00AE534E" w:rsidP="002D7D6C" w14:paraId="26EE7A15" w14:textId="77777777">
      <w:pPr>
        <w:pStyle w:val="ListParagraph"/>
        <w:numPr>
          <w:ilvl w:val="0"/>
          <w:numId w:val="40"/>
        </w:numPr>
        <w:suppressAutoHyphens/>
        <w:spacing w:before="60" w:after="120"/>
        <w:jc w:val="both"/>
        <w:rPr>
          <w:spacing w:val="-3"/>
        </w:rPr>
      </w:pPr>
      <w:r>
        <w:rPr>
          <w:b/>
          <w:bCs/>
          <w:spacing w:val="-3"/>
        </w:rPr>
        <w:t xml:space="preserve">Net impacts of program changes: </w:t>
      </w:r>
    </w:p>
    <w:p w:rsidR="003250FB" w:rsidRPr="00AE534E" w:rsidP="6863B825" w14:paraId="10282811" w14:textId="2AAA2415">
      <w:pPr>
        <w:pStyle w:val="ListParagraph"/>
        <w:numPr>
          <w:ilvl w:val="1"/>
          <w:numId w:val="40"/>
        </w:numPr>
        <w:suppressAutoHyphens/>
        <w:spacing w:before="60" w:after="120"/>
        <w:jc w:val="both"/>
        <w:rPr>
          <w:b/>
          <w:bCs/>
          <w:spacing w:val="-3"/>
        </w:rPr>
      </w:pPr>
      <w:r>
        <w:rPr>
          <w:b/>
          <w:bCs/>
          <w:spacing w:val="-3"/>
        </w:rPr>
        <w:t>Decreased Estimated Annualized Burden Hours and Costs by $28,</w:t>
      </w:r>
      <w:r w:rsidR="178320A2">
        <w:rPr>
          <w:b/>
          <w:bCs/>
          <w:spacing w:val="-3"/>
        </w:rPr>
        <w:t>328.59</w:t>
      </w:r>
      <w:r>
        <w:rPr>
          <w:b/>
          <w:bCs/>
          <w:spacing w:val="-3"/>
        </w:rPr>
        <w:t xml:space="preserve"> (</w:t>
      </w:r>
      <w:r w:rsidR="2E444D74">
        <w:rPr>
          <w:b/>
          <w:bCs/>
          <w:spacing w:val="-3"/>
        </w:rPr>
        <w:t xml:space="preserve">from </w:t>
      </w:r>
      <w:r>
        <w:rPr>
          <w:b/>
          <w:bCs/>
          <w:spacing w:val="-3"/>
        </w:rPr>
        <w:t>$207,899.25 to $179,</w:t>
      </w:r>
      <w:r w:rsidR="6DDF2CC3">
        <w:rPr>
          <w:b/>
          <w:bCs/>
          <w:spacing w:val="-3"/>
        </w:rPr>
        <w:t>570.66</w:t>
      </w:r>
      <w:r>
        <w:rPr>
          <w:b/>
          <w:bCs/>
          <w:spacing w:val="-3"/>
        </w:rPr>
        <w:t>)</w:t>
      </w:r>
    </w:p>
    <w:p w:rsidR="003250FB" w:rsidP="6863B825" w14:paraId="68E96BCF" w14:textId="453B1390">
      <w:pPr>
        <w:pStyle w:val="ListParagraph"/>
        <w:numPr>
          <w:ilvl w:val="1"/>
          <w:numId w:val="40"/>
        </w:numPr>
        <w:suppressAutoHyphens/>
        <w:spacing w:before="60" w:after="120"/>
        <w:jc w:val="both"/>
        <w:rPr>
          <w:b/>
          <w:bCs/>
          <w:spacing w:val="-3"/>
        </w:rPr>
      </w:pPr>
      <w:r>
        <w:rPr>
          <w:b/>
          <w:bCs/>
          <w:spacing w:val="-3"/>
        </w:rPr>
        <w:t>Decreased Estimated Costs to Federal Government by up to $</w:t>
      </w:r>
      <w:r w:rsidR="3B06D182">
        <w:rPr>
          <w:b/>
          <w:bCs/>
          <w:spacing w:val="-3"/>
        </w:rPr>
        <w:t>108,036.41</w:t>
      </w:r>
      <w:r>
        <w:rPr>
          <w:b/>
          <w:bCs/>
          <w:spacing w:val="-3"/>
        </w:rPr>
        <w:t xml:space="preserve"> (</w:t>
      </w:r>
      <w:r w:rsidR="593F88E0">
        <w:rPr>
          <w:b/>
          <w:bCs/>
          <w:spacing w:val="-3"/>
        </w:rPr>
        <w:t xml:space="preserve">from </w:t>
      </w:r>
      <w:r>
        <w:rPr>
          <w:b/>
          <w:bCs/>
          <w:spacing w:val="-3"/>
        </w:rPr>
        <w:t>$276,551.76 to $</w:t>
      </w:r>
      <w:r w:rsidR="30326F8D">
        <w:rPr>
          <w:b/>
          <w:bCs/>
          <w:spacing w:val="-3"/>
        </w:rPr>
        <w:t>168,515.35</w:t>
      </w:r>
      <w:r>
        <w:rPr>
          <w:b/>
          <w:bCs/>
          <w:spacing w:val="-3"/>
        </w:rPr>
        <w:t>, with variation based on GS level of assigned federal employee)</w:t>
      </w:r>
    </w:p>
    <w:p w:rsidR="005778EE" w:rsidRPr="00AE534E" w:rsidP="005778EE" w14:paraId="727E7506" w14:textId="77777777">
      <w:pPr>
        <w:pStyle w:val="ListParagraph"/>
        <w:suppressAutoHyphens/>
        <w:spacing w:before="60" w:after="120"/>
        <w:ind w:left="1440"/>
        <w:jc w:val="both"/>
        <w:rPr>
          <w:b/>
          <w:bCs/>
          <w:spacing w:val="-3"/>
        </w:rPr>
      </w:pPr>
    </w:p>
    <w:p w:rsidR="003250FB" w:rsidRPr="00AE534E" w:rsidP="6863B825" w14:paraId="484AEF9C" w14:textId="01CDAE2A">
      <w:pPr>
        <w:suppressAutoHyphens/>
        <w:spacing w:before="60" w:after="120"/>
        <w:jc w:val="both"/>
      </w:pPr>
      <w:r w:rsidRPr="1B73C884">
        <w:rPr>
          <w:color w:val="2B579A"/>
        </w:rPr>
        <w:fldChar w:fldCharType="begin"/>
      </w:r>
      <w:r>
        <w:instrText>ADVANCE \R 0.95</w:instrText>
      </w:r>
      <w:r w:rsidRPr="1B73C884">
        <w:rPr>
          <w:color w:val="2B579A"/>
        </w:rPr>
        <w:fldChar w:fldCharType="end"/>
      </w:r>
      <w: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FE7C4C" w:rsidRPr="00D73BBC" w:rsidP="742C2D33" w14:paraId="4A9CA030" w14:textId="066A548E">
      <w:pPr>
        <w:suppressAutoHyphens/>
        <w:spacing w:before="60"/>
        <w:jc w:val="both"/>
        <w:rPr>
          <w:i/>
          <w:spacing w:val="-3"/>
          <w:sz w:val="20"/>
          <w:szCs w:val="20"/>
        </w:rPr>
      </w:pPr>
      <w:r w:rsidRPr="00551BE0">
        <w:rPr>
          <w:color w:val="2B579A"/>
          <w:shd w:val="clear" w:color="auto" w:fill="E6E6E6"/>
        </w:rPr>
        <w:fldChar w:fldCharType="begin"/>
      </w:r>
      <w:r w:rsidRPr="00551BE0">
        <w:instrText>ADVANCE \R 0.95</w:instrText>
      </w:r>
      <w:r w:rsidRPr="00551BE0">
        <w:rPr>
          <w:color w:val="2B579A"/>
          <w:shd w:val="clear" w:color="auto" w:fill="E6E6E6"/>
        </w:rPr>
        <w:fldChar w:fldCharType="end"/>
      </w:r>
      <w:r w:rsidRPr="742C2D33">
        <w:rPr>
          <w:i/>
          <w:spacing w:val="-3"/>
          <w:sz w:val="20"/>
          <w:szCs w:val="20"/>
        </w:rPr>
        <w:t xml:space="preserve"> </w:t>
      </w:r>
    </w:p>
    <w:p w:rsidR="00EB5E96" w:rsidP="00C5773A" w14:paraId="1A6FCAD2" w14:textId="3FB16213">
      <w:pPr>
        <w:suppressAutoHyphens/>
        <w:spacing w:after="120"/>
        <w:jc w:val="both"/>
        <w:rPr>
          <w:spacing w:val="-3"/>
        </w:rPr>
      </w:pPr>
      <w:r w:rsidRPr="00551BE0">
        <w:rPr>
          <w:spacing w:val="-3"/>
        </w:rPr>
        <w:t>If appropriate for public distribution (e.g., no sensitive information when aggregated, etc.</w:t>
      </w:r>
      <w:r w:rsidRPr="00551BE0" w:rsidR="005C3DA9">
        <w:rPr>
          <w:spacing w:val="-3"/>
        </w:rPr>
        <w:t>),</w:t>
      </w:r>
      <w:r w:rsidR="005C3DA9">
        <w:rPr>
          <w:spacing w:val="-3"/>
        </w:rPr>
        <w:t xml:space="preserve"> </w:t>
      </w:r>
      <w:r w:rsidR="003250FB">
        <w:rPr>
          <w:spacing w:val="-3"/>
        </w:rPr>
        <w:t xml:space="preserve">CISA </w:t>
      </w:r>
      <w:r w:rsidR="005C3DA9">
        <w:rPr>
          <w:spacing w:val="-3"/>
        </w:rPr>
        <w:t>ECD</w:t>
      </w:r>
      <w:r w:rsidRPr="00551BE0">
        <w:rPr>
          <w:spacing w:val="-3"/>
        </w:rPr>
        <w:t xml:space="preserve"> will publish its reports resulting from collection through its website and, </w:t>
      </w:r>
      <w:r w:rsidR="008725FE">
        <w:rPr>
          <w:spacing w:val="-3"/>
        </w:rPr>
        <w:t xml:space="preserve">if </w:t>
      </w:r>
      <w:r w:rsidRPr="00551BE0">
        <w:rPr>
          <w:spacing w:val="-3"/>
        </w:rPr>
        <w:t>required, through direct distribution to Congress through the DHS Office of Legislative Aff</w:t>
      </w:r>
      <w:r w:rsidRPr="00551BE0" w:rsidR="00551BE0">
        <w:rPr>
          <w:spacing w:val="-3"/>
        </w:rPr>
        <w:t xml:space="preserve">airs.  </w:t>
      </w:r>
      <w:r w:rsidR="003250FB">
        <w:rPr>
          <w:spacing w:val="-3"/>
        </w:rPr>
        <w:t xml:space="preserve">CISA </w:t>
      </w:r>
      <w:r w:rsidR="00764F75">
        <w:rPr>
          <w:spacing w:val="-3"/>
        </w:rPr>
        <w:t>ECD</w:t>
      </w:r>
      <w:r w:rsidRPr="00551BE0" w:rsidR="00551BE0">
        <w:rPr>
          <w:spacing w:val="-3"/>
        </w:rPr>
        <w:t xml:space="preserve"> </w:t>
      </w:r>
      <w:r w:rsidR="003250FB">
        <w:rPr>
          <w:spacing w:val="-3"/>
        </w:rPr>
        <w:t>does not intend to utilize complex or unusual techniques to analyze SNS data. Qualitative information will be characterized using standard techniques for calculating population proportions and standard errors</w:t>
      </w:r>
      <w:r w:rsidR="002D7D6C">
        <w:rPr>
          <w:spacing w:val="-3"/>
        </w:rPr>
        <w:t xml:space="preserve">. Quantitative findings will be derived from qualitative findings using standard techniques for operationalizing qualitative data. </w:t>
      </w:r>
    </w:p>
    <w:p w:rsidR="005778EE" w:rsidRPr="00C5773A" w:rsidP="00C5773A" w14:paraId="1AB87965" w14:textId="77777777">
      <w:pPr>
        <w:suppressAutoHyphens/>
        <w:spacing w:after="120"/>
        <w:jc w:val="both"/>
      </w:pPr>
    </w:p>
    <w:p w:rsidR="00EB5E96" w:rsidRPr="00596A43" w:rsidP="1B73C884" w14:paraId="4DC49B2D" w14:textId="77777777">
      <w:pPr>
        <w:suppressAutoHyphens/>
        <w:jc w:val="both"/>
      </w:pPr>
      <w:r w:rsidRPr="1B73C884">
        <w:rPr>
          <w:color w:val="2B579A"/>
        </w:rPr>
        <w:fldChar w:fldCharType="begin"/>
      </w:r>
      <w:r>
        <w:instrText>ADVANCE \R 0.95</w:instrText>
      </w:r>
      <w:r w:rsidRPr="1B73C884">
        <w:rPr>
          <w:color w:val="2B579A"/>
        </w:rPr>
        <w:fldChar w:fldCharType="end"/>
      </w:r>
      <w:r>
        <w:t>17.  If seeking approval to not display the expiration date for OMB approval of the information collection, explain reasons that display would be inappropriate.</w:t>
      </w:r>
    </w:p>
    <w:p w:rsidR="00D73BBC" w:rsidRPr="00D73BBC" w:rsidP="742C2D33" w14:paraId="36499A32" w14:textId="383A8BE0">
      <w:pPr>
        <w:suppressAutoHyphens/>
        <w:spacing w:before="60"/>
        <w:jc w:val="both"/>
        <w:rPr>
          <w:i/>
          <w:spacing w:val="-3"/>
          <w:sz w:val="20"/>
          <w:szCs w:val="20"/>
        </w:rPr>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p>
    <w:p w:rsidR="001571CF" w:rsidP="1B73C884" w14:paraId="4FCC7EC3" w14:textId="15A34ED3">
      <w:pPr>
        <w:suppressAutoHyphens/>
        <w:spacing w:after="120"/>
        <w:jc w:val="both"/>
      </w:pPr>
      <w:r>
        <w:t xml:space="preserve">CISA </w:t>
      </w:r>
      <w:r w:rsidR="001C4E52">
        <w:t xml:space="preserve">will display the expiration date for OMB approval of this information collection. </w:t>
      </w:r>
    </w:p>
    <w:p w:rsidR="005778EE" w:rsidRPr="00596A43" w:rsidP="1B73C884" w14:paraId="5E84FD23" w14:textId="77777777">
      <w:pPr>
        <w:suppressAutoHyphens/>
        <w:spacing w:after="120"/>
        <w:jc w:val="both"/>
      </w:pPr>
    </w:p>
    <w:p w:rsidR="0077056F" w:rsidRPr="00596A43" w:rsidP="1B73C884" w14:paraId="7327EBB5" w14:textId="77777777">
      <w:pPr>
        <w:suppressAutoHyphens/>
        <w:jc w:val="both"/>
      </w:pPr>
      <w:r w:rsidRPr="1B73C884">
        <w:rPr>
          <w:color w:val="2B579A"/>
        </w:rPr>
        <w:fldChar w:fldCharType="begin"/>
      </w:r>
      <w:r>
        <w:instrText>ADVANCE \R 0.95</w:instrText>
      </w:r>
      <w:r w:rsidRPr="1B73C884">
        <w:rPr>
          <w:color w:val="2B579A"/>
        </w:rPr>
        <w:fldChar w:fldCharType="end"/>
      </w:r>
      <w:r>
        <w:t>18.  Explain each exception to the certification statement identified in Item 19 “Certification for Paperwork Reduction Act Submissions,” of OMB Form 83-I.</w:t>
      </w:r>
    </w:p>
    <w:p w:rsidR="00D73BBC" w:rsidRPr="00D73BBC" w:rsidP="742C2D33" w14:paraId="24C533B9" w14:textId="3914E45F">
      <w:pPr>
        <w:suppressAutoHyphens/>
        <w:spacing w:before="60"/>
        <w:jc w:val="both"/>
        <w:rPr>
          <w:i/>
          <w:spacing w:val="-3"/>
          <w:sz w:val="20"/>
          <w:szCs w:val="20"/>
        </w:rPr>
      </w:pPr>
    </w:p>
    <w:p w:rsidR="00AA5BDD" w:rsidP="0077056F" w14:paraId="3C5DFA80" w14:textId="3513B910">
      <w:pPr>
        <w:tabs>
          <w:tab w:val="left" w:pos="-720"/>
        </w:tabs>
        <w:suppressAutoHyphens/>
        <w:jc w:val="both"/>
      </w:pPr>
      <w:r>
        <w:t xml:space="preserve">CISA </w:t>
      </w:r>
      <w:r w:rsidRPr="001C4E52" w:rsidR="001C4E52">
        <w:t xml:space="preserve">does not request an exception to the certification of this information collection. </w:t>
      </w:r>
    </w:p>
    <w:p w:rsidR="00AA5BDD" w:rsidP="0077056F" w14:paraId="7C5FE679" w14:textId="77777777">
      <w:pPr>
        <w:tabs>
          <w:tab w:val="left" w:pos="-720"/>
        </w:tabs>
        <w:suppressAutoHyphens/>
        <w:jc w:val="both"/>
      </w:pPr>
    </w:p>
    <w:p w:rsidR="00AA5BDD" w:rsidRPr="00596A43" w:rsidP="00AA5BDD" w14:paraId="0619B855" w14:textId="77777777">
      <w:pPr>
        <w:tabs>
          <w:tab w:val="left" w:pos="-720"/>
        </w:tabs>
        <w:suppressAutoHyphens/>
      </w:pPr>
      <w:bookmarkStart w:id="3" w:name="c_1"/>
      <w:bookmarkStart w:id="4" w:name="c_2"/>
      <w:bookmarkStart w:id="5" w:name="c_3"/>
      <w:bookmarkStart w:id="6" w:name="c_4"/>
      <w:bookmarkStart w:id="7" w:name="c_5"/>
      <w:bookmarkStart w:id="8" w:name="c_6"/>
      <w:bookmarkStart w:id="9" w:name="c_7"/>
      <w:bookmarkStart w:id="10" w:name="c_8"/>
      <w:bookmarkStart w:id="11" w:name="c_9"/>
      <w:bookmarkStart w:id="12" w:name="c_10"/>
      <w:bookmarkStart w:id="13" w:name="c_11"/>
      <w:bookmarkStart w:id="14" w:name="c_12"/>
      <w:bookmarkStart w:id="15" w:name="c_13"/>
      <w:bookmarkStart w:id="16" w:name="c_14"/>
      <w:bookmarkStart w:id="17" w:name="c_15"/>
      <w:bookmarkStart w:id="18" w:name="a_1"/>
      <w:bookmarkStart w:id="19" w:name="a_2"/>
      <w:bookmarkStart w:id="20" w:name="a_3"/>
      <w:bookmarkStart w:id="21" w:name="a_4"/>
      <w:bookmarkStart w:id="22" w:name="a_5"/>
      <w:bookmarkStart w:id="23" w:name="a_5_A"/>
      <w:bookmarkStart w:id="24" w:name="a_5_A_i"/>
      <w:bookmarkStart w:id="25" w:name="a_5_A_ii"/>
      <w:bookmarkStart w:id="26" w:name="a_5_A_iii"/>
      <w:bookmarkStart w:id="27" w:name="a_5_B"/>
      <w:bookmarkStart w:id="28" w:name="b"/>
      <w:bookmarkStart w:id="29" w:name="c"/>
      <w:bookmarkStart w:id="30" w:name="d"/>
      <w:bookmarkStart w:id="31" w:name="d_1"/>
      <w:bookmarkStart w:id="32" w:name="d_2"/>
      <w:bookmarkStart w:id="33" w:name="d_3"/>
      <w:bookmarkStart w:id="34" w:name="d_3_A"/>
      <w:bookmarkStart w:id="35" w:name="d_3_B"/>
      <w:bookmarkStart w:id="36" w:name="d_4"/>
      <w:bookmarkStart w:id="37" w:name="d_4_A"/>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5C52BD" w:rsidRPr="00596A43" w14:paraId="25A911C7" w14:textId="77777777">
      <w:pPr>
        <w:tabs>
          <w:tab w:val="left" w:pos="-720"/>
        </w:tabs>
        <w:suppressAutoHyphens/>
      </w:pPr>
    </w:p>
    <w:sectPr w:rsidSect="00460234">
      <w:footerReference w:type="even" r:id="rId13"/>
      <w:footerReference w:type="default" r:id="rId14"/>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5C09" w:rsidP="00DB0532" w14:paraId="0762DED5"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35C09" w:rsidP="00DC6E79" w14:paraId="770B45D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5C09" w:rsidP="00DB0532" w14:paraId="5F7BAC7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35C09" w:rsidP="00DC6E79" w14:paraId="26949E63" w14:textId="77777777">
    <w:pPr>
      <w:pStyle w:val="Footer"/>
      <w:tabs>
        <w:tab w:val="clear" w:pos="8640"/>
        <w:tab w:val="right" w:pos="93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4BEA" w14:paraId="0F941357" w14:textId="77777777">
      <w:r>
        <w:separator/>
      </w:r>
    </w:p>
  </w:footnote>
  <w:footnote w:type="continuationSeparator" w:id="1">
    <w:p w:rsidR="00E84BEA" w14:paraId="0031A643" w14:textId="77777777">
      <w:r>
        <w:continuationSeparator/>
      </w:r>
    </w:p>
  </w:footnote>
  <w:footnote w:type="continuationNotice" w:id="2">
    <w:p w:rsidR="00E84BEA" w14:paraId="79DE0FEB" w14:textId="77777777"/>
  </w:footnote>
  <w:footnote w:id="3">
    <w:p w:rsidR="00322331" w:rsidRPr="00262798" w14:paraId="20AE6CF0" w14:textId="5E5F8ECE">
      <w:pPr>
        <w:pStyle w:val="FootnoteText"/>
        <w:rPr>
          <w:lang w:val="fr-CA"/>
        </w:rPr>
      </w:pPr>
      <w:r>
        <w:rPr>
          <w:rStyle w:val="FootnoteReference"/>
        </w:rPr>
        <w:footnoteRef/>
      </w:r>
      <w:r w:rsidRPr="00262798">
        <w:rPr>
          <w:lang w:val="fr-CA"/>
        </w:rPr>
        <w:t xml:space="preserve"> </w:t>
      </w:r>
      <w:r w:rsidRPr="00262798">
        <w:rPr>
          <w:sz w:val="16"/>
          <w:szCs w:val="16"/>
          <w:lang w:val="fr-CA"/>
        </w:rPr>
        <w:t>Source:</w:t>
      </w:r>
      <w:r w:rsidRPr="00262798">
        <w:rPr>
          <w:lang w:val="fr-CA"/>
        </w:rPr>
        <w:t xml:space="preserve"> </w:t>
      </w:r>
      <w:hyperlink r:id="rId1" w:history="1">
        <w:r w:rsidRPr="00262798" w:rsidR="009C0BF7">
          <w:rPr>
            <w:rStyle w:val="Hyperlink"/>
            <w:sz w:val="16"/>
            <w:szCs w:val="16"/>
            <w:lang w:val="fr-CA"/>
          </w:rPr>
          <w:t>https://www.cisa.gov/resources-tools/programs/emergency-communications-preparedness-center-ecpc</w:t>
        </w:r>
      </w:hyperlink>
      <w:r w:rsidRPr="00262798" w:rsidR="009C0BF7">
        <w:rPr>
          <w:sz w:val="16"/>
          <w:szCs w:val="16"/>
          <w:lang w:val="fr-CA"/>
        </w:rPr>
        <w:t xml:space="preserve"> </w:t>
      </w:r>
    </w:p>
  </w:footnote>
  <w:footnote w:id="4">
    <w:p w:rsidR="00322331" w:rsidRPr="00E83193" w:rsidP="00322331" w14:paraId="1C9A335F" w14:textId="2BEC4D58">
      <w:pPr>
        <w:pStyle w:val="FootnoteText"/>
        <w:rPr>
          <w:rStyle w:val="Hyperlink"/>
        </w:rPr>
      </w:pPr>
      <w:r>
        <w:rPr>
          <w:rStyle w:val="FootnoteReference"/>
        </w:rPr>
        <w:footnoteRef/>
      </w:r>
      <w:r w:rsidR="1D9CF657">
        <w:t xml:space="preserve"> </w:t>
      </w:r>
      <w:r w:rsidRPr="009407B6" w:rsidR="1D9CF657">
        <w:rPr>
          <w:sz w:val="16"/>
          <w:szCs w:val="16"/>
        </w:rPr>
        <w:t>Source: U.S. Department of Interior. Bureau of Indian Affairs</w:t>
      </w:r>
    </w:p>
  </w:footnote>
  <w:footnote w:id="5">
    <w:p w:rsidR="00DD7A80" w14:paraId="5127E21F" w14:textId="3BB07494">
      <w:pPr>
        <w:pStyle w:val="FootnoteText"/>
      </w:pPr>
      <w:r>
        <w:rPr>
          <w:rStyle w:val="FootnoteReference"/>
        </w:rPr>
        <w:footnoteRef/>
      </w:r>
      <w:r>
        <w:t xml:space="preserve"> </w:t>
      </w:r>
      <w:r w:rsidRPr="00C80DE9">
        <w:rPr>
          <w:sz w:val="16"/>
          <w:szCs w:val="16"/>
        </w:rPr>
        <w:t>This value includes regionally consolidated ECC/PSAP and dispatch centers</w:t>
      </w:r>
      <w:r>
        <w:rPr>
          <w:sz w:val="16"/>
          <w:szCs w:val="16"/>
        </w:rPr>
        <w:t>.</w:t>
      </w:r>
    </w:p>
  </w:footnote>
  <w:footnote w:id="6">
    <w:p w:rsidR="00852C5E" w14:paraId="62F91852" w14:textId="67C31E22">
      <w:pPr>
        <w:pStyle w:val="FootnoteText"/>
      </w:pPr>
      <w:r>
        <w:rPr>
          <w:rStyle w:val="FootnoteReference"/>
        </w:rPr>
        <w:footnoteRef/>
      </w:r>
      <w:r>
        <w:t xml:space="preserve"> </w:t>
      </w:r>
      <w:r w:rsidRPr="00DE1C71">
        <w:rPr>
          <w:sz w:val="16"/>
          <w:szCs w:val="16"/>
        </w:rPr>
        <w:t xml:space="preserve">Source: </w:t>
      </w:r>
      <w:r w:rsidR="009C0BF7">
        <w:rPr>
          <w:sz w:val="16"/>
          <w:szCs w:val="16"/>
        </w:rPr>
        <w:t xml:space="preserve">Other than ECC/PSAP </w:t>
      </w:r>
      <w:hyperlink r:id="rId2" w:history="1">
        <w:r w:rsidRPr="00EF6352" w:rsidR="009C0BF7">
          <w:rPr>
            <w:rStyle w:val="Hyperlink"/>
            <w:sz w:val="16"/>
            <w:szCs w:val="16"/>
          </w:rPr>
          <w:t>https://www.cisa.gov/sites/default/files/publications/NPPD_emergency-services-sector-profile-v3.pdf</w:t>
        </w:r>
      </w:hyperlink>
      <w:r w:rsidR="009C0BF7">
        <w:rPr>
          <w:sz w:val="16"/>
          <w:szCs w:val="16"/>
        </w:rPr>
        <w:t xml:space="preserve">. ECC/PSAP </w:t>
      </w:r>
      <w:r w:rsidRPr="00E16F84" w:rsidR="00E16F84">
        <w:rPr>
          <w:sz w:val="16"/>
          <w:szCs w:val="16"/>
        </w:rPr>
        <w:t>https://www.safetysource.com/index.cfm</w:t>
      </w:r>
    </w:p>
  </w:footnote>
  <w:footnote w:id="7">
    <w:p w:rsidR="00DE1C71" w14:paraId="4BBB47F4" w14:textId="4C409FBF">
      <w:pPr>
        <w:pStyle w:val="FootnoteText"/>
      </w:pPr>
      <w:r>
        <w:rPr>
          <w:rStyle w:val="FootnoteReference"/>
        </w:rPr>
        <w:footnoteRef/>
      </w:r>
      <w:r>
        <w:t xml:space="preserve"> </w:t>
      </w:r>
      <w:r w:rsidRPr="00DE1C71">
        <w:rPr>
          <w:sz w:val="16"/>
          <w:szCs w:val="16"/>
        </w:rPr>
        <w:t>Source: https://www.cisa.gov/sites/default/files/publications/NPPD_emergency-services-sector-profile-v3.pdf</w:t>
      </w:r>
    </w:p>
  </w:footnote>
  <w:footnote w:id="8">
    <w:p w:rsidR="00437478" w:rsidRPr="00437478" w14:paraId="7748E365" w14:textId="202EE87A">
      <w:pPr>
        <w:pStyle w:val="FootnoteText"/>
      </w:pPr>
      <w:r>
        <w:rPr>
          <w:rStyle w:val="FootnoteReference"/>
        </w:rPr>
        <w:footnoteRef/>
      </w:r>
      <w:r>
        <w:t xml:space="preserve"> </w:t>
      </w:r>
      <w:r w:rsidRPr="00C80DE9">
        <w:rPr>
          <w:sz w:val="16"/>
          <w:szCs w:val="16"/>
        </w:rPr>
        <w:t xml:space="preserve">Source: Bureau of Labor Statistics. </w:t>
      </w:r>
      <w:r w:rsidRPr="00C80DE9">
        <w:rPr>
          <w:i/>
          <w:iCs/>
          <w:sz w:val="16"/>
          <w:szCs w:val="16"/>
        </w:rPr>
        <w:t>Occupational Employment and Wage Statistics (OWES) Tables.</w:t>
      </w:r>
      <w:r w:rsidRPr="00C80DE9">
        <w:rPr>
          <w:sz w:val="16"/>
          <w:szCs w:val="16"/>
        </w:rPr>
        <w:t xml:space="preserve"> https://www.bls.gov/oes/tables.htm</w:t>
      </w:r>
    </w:p>
  </w:footnote>
  <w:footnote w:id="9">
    <w:p w:rsidR="00E35C09" w14:paraId="3D18761D" w14:textId="77777777">
      <w:pPr>
        <w:pStyle w:val="FootnoteText"/>
      </w:pPr>
      <w:r>
        <w:rPr>
          <w:rStyle w:val="FootnoteReference"/>
        </w:rPr>
        <w:footnoteRef/>
      </w:r>
      <w:r>
        <w:t xml:space="preserve"> </w:t>
      </w:r>
      <w:r w:rsidRPr="00481900">
        <w:rPr>
          <w:sz w:val="16"/>
          <w:szCs w:val="16"/>
        </w:rPr>
        <w:t xml:space="preserve">Source: Bureau of Labor Statistics. </w:t>
      </w:r>
      <w:r w:rsidR="00F44D84">
        <w:rPr>
          <w:i/>
          <w:iCs/>
          <w:sz w:val="16"/>
          <w:szCs w:val="16"/>
        </w:rPr>
        <w:t xml:space="preserve">Table 3: State and local government workers by occupational and industry group. </w:t>
      </w:r>
      <w:r w:rsidRPr="1F47A379" w:rsidR="1F47A379">
        <w:rPr>
          <w:i/>
          <w:iCs/>
          <w:sz w:val="16"/>
          <w:szCs w:val="16"/>
        </w:rPr>
        <w:t xml:space="preserve">https://www.bls.gov/news.release/archives/ecec_06132025.htm </w:t>
      </w:r>
    </w:p>
  </w:footnote>
  <w:footnote w:id="10">
    <w:p w:rsidR="00D25EF4" w14:paraId="0092197B" w14:textId="6B5A11E8">
      <w:pPr>
        <w:pStyle w:val="FootnoteText"/>
      </w:pPr>
      <w:r>
        <w:rPr>
          <w:rStyle w:val="FootnoteReference"/>
        </w:rPr>
        <w:footnoteRef/>
      </w:r>
      <w:r>
        <w:t xml:space="preserve"> </w:t>
      </w:r>
      <w:r w:rsidRPr="00C80DE9">
        <w:rPr>
          <w:sz w:val="16"/>
          <w:szCs w:val="16"/>
        </w:rPr>
        <w:t>Wage rate information for “Maintenance and Repair Workers, General” were used to represent this subsector.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A9FCC440"/>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start w:val="0"/>
      <w:numFmt w:val="decimal"/>
      <w:lvlText w:val="*"/>
      <w:lvlJc w:val="left"/>
    </w:lvl>
  </w:abstractNum>
  <w:abstractNum w:abstractNumId="2">
    <w:nsid w:val="01EA149A"/>
    <w:multiLevelType w:val="hybridMultilevel"/>
    <w:tmpl w:val="397837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37358F"/>
    <w:multiLevelType w:val="hybridMultilevel"/>
    <w:tmpl w:val="A694F816"/>
    <w:lvl w:ilvl="0">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val="0"/>
        <w:i w:val="0"/>
        <w:sz w:val="24"/>
        <w:szCs w:val="24"/>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F264650"/>
    <w:multiLevelType w:val="hybridMultilevel"/>
    <w:tmpl w:val="6B946BF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5B44D2A"/>
    <w:multiLevelType w:val="hybridMultilevel"/>
    <w:tmpl w:val="1D20D8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77E671F"/>
    <w:multiLevelType w:val="hybridMultilevel"/>
    <w:tmpl w:val="B96CDE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9340D0A"/>
    <w:multiLevelType w:val="hybridMultilevel"/>
    <w:tmpl w:val="E278B4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10">
    <w:nsid w:val="25F5680A"/>
    <w:multiLevelType w:val="hybridMultilevel"/>
    <w:tmpl w:val="020A7072"/>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2">
    <w:nsid w:val="26F008E4"/>
    <w:multiLevelType w:val="hybridMultilevel"/>
    <w:tmpl w:val="6CD6D4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8347DFE"/>
    <w:multiLevelType w:val="hybridMultilevel"/>
    <w:tmpl w:val="5D4457CE"/>
    <w:lvl w:ilvl="0">
      <w:start w:val="1"/>
      <w:numFmt w:val="lowerLetter"/>
      <w:lvlText w:val="(%1)"/>
      <w:lvlJc w:val="left"/>
      <w:pPr>
        <w:ind w:left="720" w:hanging="360"/>
      </w:pPr>
      <w:rPr>
        <w:rFonts w:hint="default"/>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5">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nsid w:val="3BF27ACB"/>
    <w:multiLevelType w:val="hybridMultilevel"/>
    <w:tmpl w:val="4046428C"/>
    <w:lvl w:ilvl="0">
      <w:start w:val="1"/>
      <w:numFmt w:val="lowerLetter"/>
      <w:lvlText w:val="%1."/>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8">
    <w:nsid w:val="40A82AB2"/>
    <w:multiLevelType w:val="hybridMultilevel"/>
    <w:tmpl w:val="EB6C4D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0">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21">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2">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3">
    <w:nsid w:val="4B890193"/>
    <w:multiLevelType w:val="hybridMultilevel"/>
    <w:tmpl w:val="28FEEAC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5">
    <w:nsid w:val="50F62E7A"/>
    <w:multiLevelType w:val="hybridMultilevel"/>
    <w:tmpl w:val="85D008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46E58A3"/>
    <w:multiLevelType w:val="hybridMultilevel"/>
    <w:tmpl w:val="DE060FC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8">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9">
    <w:nsid w:val="5A8B5546"/>
    <w:multiLevelType w:val="hybridMultilevel"/>
    <w:tmpl w:val="D1A8C5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1">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32">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33">
    <w:nsid w:val="5FF0447F"/>
    <w:multiLevelType w:val="hybridMultilevel"/>
    <w:tmpl w:val="071625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1611B35"/>
    <w:multiLevelType w:val="hybridMultilevel"/>
    <w:tmpl w:val="E142632C"/>
    <w:lvl w:ilvl="0">
      <w:start w:val="32"/>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36">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7">
    <w:nsid w:val="7AF149F3"/>
    <w:multiLevelType w:val="hybridMultilevel"/>
    <w:tmpl w:val="1FE614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9">
    <w:nsid w:val="7DAF7669"/>
    <w:multiLevelType w:val="hybridMultilevel"/>
    <w:tmpl w:val="E96EB3F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2608213">
    <w:abstractNumId w:val="9"/>
  </w:num>
  <w:num w:numId="2" w16cid:durableId="586421953">
    <w:abstractNumId w:val="27"/>
  </w:num>
  <w:num w:numId="3" w16cid:durableId="1510409580">
    <w:abstractNumId w:val="31"/>
  </w:num>
  <w:num w:numId="4" w16cid:durableId="1292975968">
    <w:abstractNumId w:val="17"/>
  </w:num>
  <w:num w:numId="5" w16cid:durableId="1782880">
    <w:abstractNumId w:val="20"/>
  </w:num>
  <w:num w:numId="6" w16cid:durableId="1986622960">
    <w:abstractNumId w:val="28"/>
  </w:num>
  <w:num w:numId="7" w16cid:durableId="2822058">
    <w:abstractNumId w:val="30"/>
  </w:num>
  <w:num w:numId="8" w16cid:durableId="1315839558">
    <w:abstractNumId w:val="22"/>
  </w:num>
  <w:num w:numId="9" w16cid:durableId="195971397">
    <w:abstractNumId w:val="14"/>
  </w:num>
  <w:num w:numId="10" w16cid:durableId="1656494500">
    <w:abstractNumId w:val="36"/>
  </w:num>
  <w:num w:numId="11" w16cid:durableId="1033464070">
    <w:abstractNumId w:val="19"/>
  </w:num>
  <w:num w:numId="12" w16cid:durableId="1565607713">
    <w:abstractNumId w:val="11"/>
  </w:num>
  <w:num w:numId="13" w16cid:durableId="1890728210">
    <w:abstractNumId w:val="38"/>
  </w:num>
  <w:num w:numId="14" w16cid:durableId="459423055">
    <w:abstractNumId w:val="8"/>
  </w:num>
  <w:num w:numId="15" w16cid:durableId="1886403028">
    <w:abstractNumId w:val="21"/>
  </w:num>
  <w:num w:numId="16" w16cid:durableId="883100095">
    <w:abstractNumId w:val="15"/>
  </w:num>
  <w:num w:numId="17" w16cid:durableId="746196230">
    <w:abstractNumId w:val="35"/>
  </w:num>
  <w:num w:numId="18" w16cid:durableId="500973405">
    <w:abstractNumId w:val="1"/>
    <w:lvlOverride w:ilvl="0">
      <w:lvl w:ilvl="0">
        <w:start w:val="1"/>
        <w:numFmt w:val="bullet"/>
        <w:lvlText w:val=""/>
        <w:legacy w:legacy="1" w:legacySpace="0" w:legacyIndent="360"/>
        <w:lvlJc w:val="left"/>
        <w:pPr>
          <w:ind w:left="2880" w:hanging="360"/>
        </w:pPr>
        <w:rPr>
          <w:rFonts w:ascii="Symbol" w:hAnsi="Symbol" w:hint="default"/>
        </w:rPr>
      </w:lvl>
    </w:lvlOverride>
  </w:num>
  <w:num w:numId="19" w16cid:durableId="1426418898">
    <w:abstractNumId w:val="24"/>
  </w:num>
  <w:num w:numId="20" w16cid:durableId="1182662716">
    <w:abstractNumId w:val="32"/>
  </w:num>
  <w:num w:numId="21" w16cid:durableId="1564219300">
    <w:abstractNumId w:val="23"/>
  </w:num>
  <w:num w:numId="22" w16cid:durableId="1498035978">
    <w:abstractNumId w:val="18"/>
  </w:num>
  <w:num w:numId="23" w16cid:durableId="1879051245">
    <w:abstractNumId w:val="6"/>
  </w:num>
  <w:num w:numId="24" w16cid:durableId="242229889">
    <w:abstractNumId w:val="4"/>
  </w:num>
  <w:num w:numId="25" w16cid:durableId="2118982198">
    <w:abstractNumId w:val="3"/>
  </w:num>
  <w:num w:numId="26" w16cid:durableId="1812596940">
    <w:abstractNumId w:val="0"/>
  </w:num>
  <w:num w:numId="27" w16cid:durableId="1394044472">
    <w:abstractNumId w:val="26"/>
  </w:num>
  <w:num w:numId="28" w16cid:durableId="1884056062">
    <w:abstractNumId w:val="2"/>
  </w:num>
  <w:num w:numId="29" w16cid:durableId="982348070">
    <w:abstractNumId w:val="37"/>
  </w:num>
  <w:num w:numId="30" w16cid:durableId="331223973">
    <w:abstractNumId w:val="34"/>
  </w:num>
  <w:num w:numId="31" w16cid:durableId="1058241469">
    <w:abstractNumId w:val="12"/>
  </w:num>
  <w:num w:numId="32" w16cid:durableId="638069255">
    <w:abstractNumId w:val="7"/>
  </w:num>
  <w:num w:numId="33" w16cid:durableId="1983189333">
    <w:abstractNumId w:val="16"/>
  </w:num>
  <w:num w:numId="34" w16cid:durableId="398987866">
    <w:abstractNumId w:val="39"/>
  </w:num>
  <w:num w:numId="35" w16cid:durableId="503713067">
    <w:abstractNumId w:val="29"/>
  </w:num>
  <w:num w:numId="36" w16cid:durableId="665520714">
    <w:abstractNumId w:val="25"/>
  </w:num>
  <w:num w:numId="37" w16cid:durableId="1962106631">
    <w:abstractNumId w:val="5"/>
  </w:num>
  <w:num w:numId="38" w16cid:durableId="1162627685">
    <w:abstractNumId w:val="33"/>
  </w:num>
  <w:num w:numId="39" w16cid:durableId="1185171048">
    <w:abstractNumId w:val="13"/>
  </w:num>
  <w:num w:numId="40" w16cid:durableId="17824575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autoHyphenatio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D6"/>
    <w:rsid w:val="00002B59"/>
    <w:rsid w:val="000036E2"/>
    <w:rsid w:val="000042D7"/>
    <w:rsid w:val="0000537B"/>
    <w:rsid w:val="00005DDB"/>
    <w:rsid w:val="00006B26"/>
    <w:rsid w:val="00007D6C"/>
    <w:rsid w:val="00007FFB"/>
    <w:rsid w:val="00011DF8"/>
    <w:rsid w:val="00012FBC"/>
    <w:rsid w:val="0001412B"/>
    <w:rsid w:val="00014F23"/>
    <w:rsid w:val="00016FA6"/>
    <w:rsid w:val="00023396"/>
    <w:rsid w:val="00025DA3"/>
    <w:rsid w:val="000319C5"/>
    <w:rsid w:val="0003204F"/>
    <w:rsid w:val="000320B6"/>
    <w:rsid w:val="000329AC"/>
    <w:rsid w:val="000335C8"/>
    <w:rsid w:val="00033671"/>
    <w:rsid w:val="0003662F"/>
    <w:rsid w:val="0003796A"/>
    <w:rsid w:val="000414FE"/>
    <w:rsid w:val="00042924"/>
    <w:rsid w:val="00042CBF"/>
    <w:rsid w:val="000455F1"/>
    <w:rsid w:val="00047173"/>
    <w:rsid w:val="000472D5"/>
    <w:rsid w:val="00047605"/>
    <w:rsid w:val="000478FA"/>
    <w:rsid w:val="00050DB4"/>
    <w:rsid w:val="00051756"/>
    <w:rsid w:val="00051FDA"/>
    <w:rsid w:val="00052866"/>
    <w:rsid w:val="000534C7"/>
    <w:rsid w:val="00053577"/>
    <w:rsid w:val="00053802"/>
    <w:rsid w:val="00053AFC"/>
    <w:rsid w:val="00055A1D"/>
    <w:rsid w:val="000606BF"/>
    <w:rsid w:val="0006135E"/>
    <w:rsid w:val="00061FFC"/>
    <w:rsid w:val="000620C3"/>
    <w:rsid w:val="00064C91"/>
    <w:rsid w:val="00064F61"/>
    <w:rsid w:val="00070108"/>
    <w:rsid w:val="000708ED"/>
    <w:rsid w:val="000717CF"/>
    <w:rsid w:val="000718FD"/>
    <w:rsid w:val="00076596"/>
    <w:rsid w:val="00076EAF"/>
    <w:rsid w:val="00076EF2"/>
    <w:rsid w:val="0008025B"/>
    <w:rsid w:val="000812E6"/>
    <w:rsid w:val="0008212C"/>
    <w:rsid w:val="00083F5D"/>
    <w:rsid w:val="00084F53"/>
    <w:rsid w:val="00086253"/>
    <w:rsid w:val="00086C53"/>
    <w:rsid w:val="00087107"/>
    <w:rsid w:val="00090D9A"/>
    <w:rsid w:val="00091A7B"/>
    <w:rsid w:val="00092FF5"/>
    <w:rsid w:val="00094D90"/>
    <w:rsid w:val="000A1CFB"/>
    <w:rsid w:val="000A4447"/>
    <w:rsid w:val="000A4F68"/>
    <w:rsid w:val="000A6FC5"/>
    <w:rsid w:val="000B38A8"/>
    <w:rsid w:val="000B3FBB"/>
    <w:rsid w:val="000B66F6"/>
    <w:rsid w:val="000B6F16"/>
    <w:rsid w:val="000C12F3"/>
    <w:rsid w:val="000C246D"/>
    <w:rsid w:val="000C29DB"/>
    <w:rsid w:val="000C4293"/>
    <w:rsid w:val="000C59CD"/>
    <w:rsid w:val="000C6D67"/>
    <w:rsid w:val="000C7832"/>
    <w:rsid w:val="000D1B7C"/>
    <w:rsid w:val="000D26F2"/>
    <w:rsid w:val="000D355C"/>
    <w:rsid w:val="000D4148"/>
    <w:rsid w:val="000D439D"/>
    <w:rsid w:val="000D55A2"/>
    <w:rsid w:val="000D646D"/>
    <w:rsid w:val="000D7B28"/>
    <w:rsid w:val="000E1C6D"/>
    <w:rsid w:val="000E21A4"/>
    <w:rsid w:val="000E2A48"/>
    <w:rsid w:val="000E6D0B"/>
    <w:rsid w:val="000E7B5C"/>
    <w:rsid w:val="000F0FFF"/>
    <w:rsid w:val="000F38F3"/>
    <w:rsid w:val="000F5A7C"/>
    <w:rsid w:val="000F7843"/>
    <w:rsid w:val="0010533E"/>
    <w:rsid w:val="001073ED"/>
    <w:rsid w:val="00110C1D"/>
    <w:rsid w:val="0011210E"/>
    <w:rsid w:val="00112564"/>
    <w:rsid w:val="0011304B"/>
    <w:rsid w:val="001137C6"/>
    <w:rsid w:val="00113FEF"/>
    <w:rsid w:val="001160A9"/>
    <w:rsid w:val="00116314"/>
    <w:rsid w:val="00125484"/>
    <w:rsid w:val="001257F3"/>
    <w:rsid w:val="00126A5F"/>
    <w:rsid w:val="00127796"/>
    <w:rsid w:val="001279EB"/>
    <w:rsid w:val="00131EC9"/>
    <w:rsid w:val="0013506B"/>
    <w:rsid w:val="00140882"/>
    <w:rsid w:val="001408DE"/>
    <w:rsid w:val="00141549"/>
    <w:rsid w:val="00141C5C"/>
    <w:rsid w:val="00142059"/>
    <w:rsid w:val="0014440A"/>
    <w:rsid w:val="001453BE"/>
    <w:rsid w:val="001456E1"/>
    <w:rsid w:val="001461D1"/>
    <w:rsid w:val="00146FF2"/>
    <w:rsid w:val="00147A92"/>
    <w:rsid w:val="00147EBA"/>
    <w:rsid w:val="00151617"/>
    <w:rsid w:val="001530EE"/>
    <w:rsid w:val="001533FF"/>
    <w:rsid w:val="001541D0"/>
    <w:rsid w:val="001567A1"/>
    <w:rsid w:val="00156DD6"/>
    <w:rsid w:val="001571CF"/>
    <w:rsid w:val="001606F9"/>
    <w:rsid w:val="00160ABA"/>
    <w:rsid w:val="00165CDE"/>
    <w:rsid w:val="00167786"/>
    <w:rsid w:val="00167C1D"/>
    <w:rsid w:val="001709D4"/>
    <w:rsid w:val="0017155D"/>
    <w:rsid w:val="001738A0"/>
    <w:rsid w:val="00174A44"/>
    <w:rsid w:val="00176319"/>
    <w:rsid w:val="0017788F"/>
    <w:rsid w:val="001810B9"/>
    <w:rsid w:val="001816CA"/>
    <w:rsid w:val="00184DDB"/>
    <w:rsid w:val="001873C2"/>
    <w:rsid w:val="00191158"/>
    <w:rsid w:val="00192615"/>
    <w:rsid w:val="00193F84"/>
    <w:rsid w:val="00194A62"/>
    <w:rsid w:val="00194EDF"/>
    <w:rsid w:val="0019602C"/>
    <w:rsid w:val="00196402"/>
    <w:rsid w:val="00197130"/>
    <w:rsid w:val="001975AA"/>
    <w:rsid w:val="001A0131"/>
    <w:rsid w:val="001A199D"/>
    <w:rsid w:val="001A2C95"/>
    <w:rsid w:val="001A319E"/>
    <w:rsid w:val="001A740B"/>
    <w:rsid w:val="001B01E3"/>
    <w:rsid w:val="001B3700"/>
    <w:rsid w:val="001B4CD9"/>
    <w:rsid w:val="001B4DF3"/>
    <w:rsid w:val="001B65D3"/>
    <w:rsid w:val="001B6DF0"/>
    <w:rsid w:val="001B7C2D"/>
    <w:rsid w:val="001B7F69"/>
    <w:rsid w:val="001C0069"/>
    <w:rsid w:val="001C01BA"/>
    <w:rsid w:val="001C0A38"/>
    <w:rsid w:val="001C18B1"/>
    <w:rsid w:val="001C2967"/>
    <w:rsid w:val="001C43DF"/>
    <w:rsid w:val="001C43E5"/>
    <w:rsid w:val="001C4B22"/>
    <w:rsid w:val="001C4CC1"/>
    <w:rsid w:val="001C4E52"/>
    <w:rsid w:val="001C504E"/>
    <w:rsid w:val="001C60CB"/>
    <w:rsid w:val="001C6419"/>
    <w:rsid w:val="001C7503"/>
    <w:rsid w:val="001D078A"/>
    <w:rsid w:val="001D0E00"/>
    <w:rsid w:val="001D3D44"/>
    <w:rsid w:val="001D56D8"/>
    <w:rsid w:val="001D5729"/>
    <w:rsid w:val="001E3CC2"/>
    <w:rsid w:val="001E4B66"/>
    <w:rsid w:val="001E4C1E"/>
    <w:rsid w:val="001E7DA3"/>
    <w:rsid w:val="001E7F1D"/>
    <w:rsid w:val="001F0FA4"/>
    <w:rsid w:val="001F1EAC"/>
    <w:rsid w:val="001F2FEE"/>
    <w:rsid w:val="001F4BF9"/>
    <w:rsid w:val="00202517"/>
    <w:rsid w:val="002030D4"/>
    <w:rsid w:val="002030E6"/>
    <w:rsid w:val="00204F46"/>
    <w:rsid w:val="0020527E"/>
    <w:rsid w:val="002058D6"/>
    <w:rsid w:val="00205D6C"/>
    <w:rsid w:val="00206631"/>
    <w:rsid w:val="00207D70"/>
    <w:rsid w:val="002150CF"/>
    <w:rsid w:val="00215307"/>
    <w:rsid w:val="0021666F"/>
    <w:rsid w:val="002166F0"/>
    <w:rsid w:val="002168E4"/>
    <w:rsid w:val="0021701D"/>
    <w:rsid w:val="00217A99"/>
    <w:rsid w:val="00220A11"/>
    <w:rsid w:val="00220A97"/>
    <w:rsid w:val="00221CE0"/>
    <w:rsid w:val="00221D0B"/>
    <w:rsid w:val="00222489"/>
    <w:rsid w:val="00222735"/>
    <w:rsid w:val="00222B57"/>
    <w:rsid w:val="00222D50"/>
    <w:rsid w:val="0022399E"/>
    <w:rsid w:val="00223FCB"/>
    <w:rsid w:val="00224C3C"/>
    <w:rsid w:val="00225567"/>
    <w:rsid w:val="00225E61"/>
    <w:rsid w:val="00231806"/>
    <w:rsid w:val="00231F5B"/>
    <w:rsid w:val="00233B55"/>
    <w:rsid w:val="00235123"/>
    <w:rsid w:val="00235A8E"/>
    <w:rsid w:val="002366B4"/>
    <w:rsid w:val="00237711"/>
    <w:rsid w:val="002400C2"/>
    <w:rsid w:val="002406F5"/>
    <w:rsid w:val="00241419"/>
    <w:rsid w:val="00241C95"/>
    <w:rsid w:val="00243369"/>
    <w:rsid w:val="0024342A"/>
    <w:rsid w:val="002461A7"/>
    <w:rsid w:val="00246E7C"/>
    <w:rsid w:val="00247E7C"/>
    <w:rsid w:val="00251725"/>
    <w:rsid w:val="002519D7"/>
    <w:rsid w:val="0025294B"/>
    <w:rsid w:val="00253158"/>
    <w:rsid w:val="0025325A"/>
    <w:rsid w:val="002552DF"/>
    <w:rsid w:val="0025555B"/>
    <w:rsid w:val="00255734"/>
    <w:rsid w:val="00255D16"/>
    <w:rsid w:val="00256769"/>
    <w:rsid w:val="002611D4"/>
    <w:rsid w:val="00261C46"/>
    <w:rsid w:val="00261F39"/>
    <w:rsid w:val="00262798"/>
    <w:rsid w:val="00264251"/>
    <w:rsid w:val="00264743"/>
    <w:rsid w:val="00265E31"/>
    <w:rsid w:val="002674B4"/>
    <w:rsid w:val="00271CA7"/>
    <w:rsid w:val="00272047"/>
    <w:rsid w:val="00272CF0"/>
    <w:rsid w:val="00276CB6"/>
    <w:rsid w:val="0028120A"/>
    <w:rsid w:val="00281BEC"/>
    <w:rsid w:val="00281C90"/>
    <w:rsid w:val="0028280D"/>
    <w:rsid w:val="002839D8"/>
    <w:rsid w:val="0029038F"/>
    <w:rsid w:val="00290AAB"/>
    <w:rsid w:val="0029703B"/>
    <w:rsid w:val="00297C37"/>
    <w:rsid w:val="00299B0F"/>
    <w:rsid w:val="002A256D"/>
    <w:rsid w:val="002A55EB"/>
    <w:rsid w:val="002A67DB"/>
    <w:rsid w:val="002A6906"/>
    <w:rsid w:val="002A6C67"/>
    <w:rsid w:val="002A7031"/>
    <w:rsid w:val="002A7DC3"/>
    <w:rsid w:val="002B01F8"/>
    <w:rsid w:val="002B05A6"/>
    <w:rsid w:val="002B0649"/>
    <w:rsid w:val="002B0891"/>
    <w:rsid w:val="002B1786"/>
    <w:rsid w:val="002B275E"/>
    <w:rsid w:val="002B3142"/>
    <w:rsid w:val="002B41B2"/>
    <w:rsid w:val="002B4BF6"/>
    <w:rsid w:val="002B569C"/>
    <w:rsid w:val="002B7528"/>
    <w:rsid w:val="002C05B0"/>
    <w:rsid w:val="002C05CB"/>
    <w:rsid w:val="002C18EE"/>
    <w:rsid w:val="002C4806"/>
    <w:rsid w:val="002D0839"/>
    <w:rsid w:val="002D123C"/>
    <w:rsid w:val="002D4571"/>
    <w:rsid w:val="002D4708"/>
    <w:rsid w:val="002D506B"/>
    <w:rsid w:val="002D6219"/>
    <w:rsid w:val="002D6656"/>
    <w:rsid w:val="002D7811"/>
    <w:rsid w:val="002D79E3"/>
    <w:rsid w:val="002D7A11"/>
    <w:rsid w:val="002D7D6C"/>
    <w:rsid w:val="002E1350"/>
    <w:rsid w:val="002E158C"/>
    <w:rsid w:val="002E2E63"/>
    <w:rsid w:val="002E5554"/>
    <w:rsid w:val="002E6FB7"/>
    <w:rsid w:val="002F2A01"/>
    <w:rsid w:val="002F776A"/>
    <w:rsid w:val="002F7C36"/>
    <w:rsid w:val="002F7F7E"/>
    <w:rsid w:val="00301F13"/>
    <w:rsid w:val="00302B15"/>
    <w:rsid w:val="00302D0B"/>
    <w:rsid w:val="00304348"/>
    <w:rsid w:val="00306A4D"/>
    <w:rsid w:val="00307774"/>
    <w:rsid w:val="00313347"/>
    <w:rsid w:val="003176D4"/>
    <w:rsid w:val="003216FA"/>
    <w:rsid w:val="00322331"/>
    <w:rsid w:val="003248B5"/>
    <w:rsid w:val="003250FB"/>
    <w:rsid w:val="003251BE"/>
    <w:rsid w:val="003259EE"/>
    <w:rsid w:val="003262E8"/>
    <w:rsid w:val="00326E6D"/>
    <w:rsid w:val="00327083"/>
    <w:rsid w:val="003276AE"/>
    <w:rsid w:val="003279EE"/>
    <w:rsid w:val="00332096"/>
    <w:rsid w:val="00333D1E"/>
    <w:rsid w:val="00337ED2"/>
    <w:rsid w:val="00341049"/>
    <w:rsid w:val="0034148A"/>
    <w:rsid w:val="00341672"/>
    <w:rsid w:val="0034195A"/>
    <w:rsid w:val="00343E04"/>
    <w:rsid w:val="00346AFB"/>
    <w:rsid w:val="003478A9"/>
    <w:rsid w:val="00350B64"/>
    <w:rsid w:val="00350E84"/>
    <w:rsid w:val="0035300A"/>
    <w:rsid w:val="00357083"/>
    <w:rsid w:val="003601DC"/>
    <w:rsid w:val="00361616"/>
    <w:rsid w:val="0036240C"/>
    <w:rsid w:val="003629D5"/>
    <w:rsid w:val="003635E8"/>
    <w:rsid w:val="00364EE8"/>
    <w:rsid w:val="00365056"/>
    <w:rsid w:val="00365A43"/>
    <w:rsid w:val="003670D5"/>
    <w:rsid w:val="00370F66"/>
    <w:rsid w:val="00371CC6"/>
    <w:rsid w:val="00372301"/>
    <w:rsid w:val="003760C5"/>
    <w:rsid w:val="00376255"/>
    <w:rsid w:val="00377D10"/>
    <w:rsid w:val="00381F93"/>
    <w:rsid w:val="00382291"/>
    <w:rsid w:val="00382C40"/>
    <w:rsid w:val="003832EE"/>
    <w:rsid w:val="00383A50"/>
    <w:rsid w:val="00384021"/>
    <w:rsid w:val="0038741F"/>
    <w:rsid w:val="0039064C"/>
    <w:rsid w:val="0039228D"/>
    <w:rsid w:val="0039325E"/>
    <w:rsid w:val="00393519"/>
    <w:rsid w:val="003939EC"/>
    <w:rsid w:val="00394081"/>
    <w:rsid w:val="0039705C"/>
    <w:rsid w:val="003A3B94"/>
    <w:rsid w:val="003A4655"/>
    <w:rsid w:val="003A5388"/>
    <w:rsid w:val="003A669B"/>
    <w:rsid w:val="003A7BAB"/>
    <w:rsid w:val="003B04A2"/>
    <w:rsid w:val="003B191B"/>
    <w:rsid w:val="003B1EE4"/>
    <w:rsid w:val="003B25F3"/>
    <w:rsid w:val="003B3242"/>
    <w:rsid w:val="003B32B1"/>
    <w:rsid w:val="003B5E20"/>
    <w:rsid w:val="003B6520"/>
    <w:rsid w:val="003B68FA"/>
    <w:rsid w:val="003C41F7"/>
    <w:rsid w:val="003C4DEC"/>
    <w:rsid w:val="003C6298"/>
    <w:rsid w:val="003C62E5"/>
    <w:rsid w:val="003C7D5A"/>
    <w:rsid w:val="003D0A38"/>
    <w:rsid w:val="003D1781"/>
    <w:rsid w:val="003D1F31"/>
    <w:rsid w:val="003D2761"/>
    <w:rsid w:val="003D3097"/>
    <w:rsid w:val="003D392E"/>
    <w:rsid w:val="003D3CEA"/>
    <w:rsid w:val="003D41ED"/>
    <w:rsid w:val="003D549D"/>
    <w:rsid w:val="003D64C9"/>
    <w:rsid w:val="003D6624"/>
    <w:rsid w:val="003E0D23"/>
    <w:rsid w:val="003E2046"/>
    <w:rsid w:val="003E2CC1"/>
    <w:rsid w:val="003E4418"/>
    <w:rsid w:val="003E4BD8"/>
    <w:rsid w:val="003E6DD8"/>
    <w:rsid w:val="003E7762"/>
    <w:rsid w:val="003F0CE1"/>
    <w:rsid w:val="003F1520"/>
    <w:rsid w:val="003F5629"/>
    <w:rsid w:val="00400AD2"/>
    <w:rsid w:val="00400FA4"/>
    <w:rsid w:val="00401237"/>
    <w:rsid w:val="00404E9A"/>
    <w:rsid w:val="0040632A"/>
    <w:rsid w:val="00407163"/>
    <w:rsid w:val="004076BD"/>
    <w:rsid w:val="004109A9"/>
    <w:rsid w:val="00411B83"/>
    <w:rsid w:val="00413E48"/>
    <w:rsid w:val="00413E8E"/>
    <w:rsid w:val="004142E0"/>
    <w:rsid w:val="00420155"/>
    <w:rsid w:val="00420A47"/>
    <w:rsid w:val="00421595"/>
    <w:rsid w:val="00424185"/>
    <w:rsid w:val="004307BD"/>
    <w:rsid w:val="00430A9C"/>
    <w:rsid w:val="004311DD"/>
    <w:rsid w:val="0043124F"/>
    <w:rsid w:val="00432CC8"/>
    <w:rsid w:val="00432D3C"/>
    <w:rsid w:val="00432EC8"/>
    <w:rsid w:val="00434930"/>
    <w:rsid w:val="00436B58"/>
    <w:rsid w:val="00436C97"/>
    <w:rsid w:val="00437478"/>
    <w:rsid w:val="004417C4"/>
    <w:rsid w:val="00442C8B"/>
    <w:rsid w:val="00442F08"/>
    <w:rsid w:val="0044491D"/>
    <w:rsid w:val="00445EE7"/>
    <w:rsid w:val="004461B0"/>
    <w:rsid w:val="00447C3A"/>
    <w:rsid w:val="004526A3"/>
    <w:rsid w:val="00453320"/>
    <w:rsid w:val="00454848"/>
    <w:rsid w:val="00457BF7"/>
    <w:rsid w:val="00457DAC"/>
    <w:rsid w:val="00460234"/>
    <w:rsid w:val="004612B7"/>
    <w:rsid w:val="00462C47"/>
    <w:rsid w:val="00463085"/>
    <w:rsid w:val="00465BDD"/>
    <w:rsid w:val="004666AA"/>
    <w:rsid w:val="00467424"/>
    <w:rsid w:val="0046744D"/>
    <w:rsid w:val="00471821"/>
    <w:rsid w:val="00471CAF"/>
    <w:rsid w:val="00474574"/>
    <w:rsid w:val="00474A2D"/>
    <w:rsid w:val="00481363"/>
    <w:rsid w:val="00481767"/>
    <w:rsid w:val="00481900"/>
    <w:rsid w:val="00481F75"/>
    <w:rsid w:val="00482F9B"/>
    <w:rsid w:val="00484B53"/>
    <w:rsid w:val="00485C39"/>
    <w:rsid w:val="00485DDA"/>
    <w:rsid w:val="00487CAF"/>
    <w:rsid w:val="00490699"/>
    <w:rsid w:val="0049286B"/>
    <w:rsid w:val="00492920"/>
    <w:rsid w:val="004942E0"/>
    <w:rsid w:val="004A04FA"/>
    <w:rsid w:val="004A0DE6"/>
    <w:rsid w:val="004A0F4B"/>
    <w:rsid w:val="004A144E"/>
    <w:rsid w:val="004A2A0D"/>
    <w:rsid w:val="004A365A"/>
    <w:rsid w:val="004A3D47"/>
    <w:rsid w:val="004A42B4"/>
    <w:rsid w:val="004A47BE"/>
    <w:rsid w:val="004B1565"/>
    <w:rsid w:val="004B194E"/>
    <w:rsid w:val="004B25CC"/>
    <w:rsid w:val="004B5686"/>
    <w:rsid w:val="004B62D9"/>
    <w:rsid w:val="004B7EC7"/>
    <w:rsid w:val="004C21F8"/>
    <w:rsid w:val="004C74F7"/>
    <w:rsid w:val="004D00F8"/>
    <w:rsid w:val="004D167E"/>
    <w:rsid w:val="004D1E86"/>
    <w:rsid w:val="004D5189"/>
    <w:rsid w:val="004D561F"/>
    <w:rsid w:val="004E070F"/>
    <w:rsid w:val="004E2707"/>
    <w:rsid w:val="004E276A"/>
    <w:rsid w:val="004E3192"/>
    <w:rsid w:val="004E3463"/>
    <w:rsid w:val="004E4032"/>
    <w:rsid w:val="004E55A1"/>
    <w:rsid w:val="004E5C8E"/>
    <w:rsid w:val="004F0382"/>
    <w:rsid w:val="004F0F68"/>
    <w:rsid w:val="004F17A0"/>
    <w:rsid w:val="004F19C6"/>
    <w:rsid w:val="004F1A69"/>
    <w:rsid w:val="004F20E8"/>
    <w:rsid w:val="004F3A0A"/>
    <w:rsid w:val="004F789C"/>
    <w:rsid w:val="005033DB"/>
    <w:rsid w:val="00505508"/>
    <w:rsid w:val="0051005D"/>
    <w:rsid w:val="00512B89"/>
    <w:rsid w:val="005156D8"/>
    <w:rsid w:val="005156DC"/>
    <w:rsid w:val="00515F55"/>
    <w:rsid w:val="005168FD"/>
    <w:rsid w:val="00516C91"/>
    <w:rsid w:val="005201D5"/>
    <w:rsid w:val="005202D4"/>
    <w:rsid w:val="00521F1F"/>
    <w:rsid w:val="00522EAE"/>
    <w:rsid w:val="00523D5C"/>
    <w:rsid w:val="00526CFB"/>
    <w:rsid w:val="0053016A"/>
    <w:rsid w:val="00531E59"/>
    <w:rsid w:val="005359C5"/>
    <w:rsid w:val="005412C8"/>
    <w:rsid w:val="00541595"/>
    <w:rsid w:val="00541821"/>
    <w:rsid w:val="005420D3"/>
    <w:rsid w:val="00544A40"/>
    <w:rsid w:val="00544BB8"/>
    <w:rsid w:val="005450AD"/>
    <w:rsid w:val="00545762"/>
    <w:rsid w:val="00545A5E"/>
    <w:rsid w:val="00547208"/>
    <w:rsid w:val="00550B78"/>
    <w:rsid w:val="00551BE0"/>
    <w:rsid w:val="00551CB1"/>
    <w:rsid w:val="0055323F"/>
    <w:rsid w:val="0055403B"/>
    <w:rsid w:val="0055475C"/>
    <w:rsid w:val="00554D1E"/>
    <w:rsid w:val="005609A5"/>
    <w:rsid w:val="00560AC8"/>
    <w:rsid w:val="00562680"/>
    <w:rsid w:val="00562881"/>
    <w:rsid w:val="005628F9"/>
    <w:rsid w:val="00570408"/>
    <w:rsid w:val="00573B59"/>
    <w:rsid w:val="00575788"/>
    <w:rsid w:val="00575AD3"/>
    <w:rsid w:val="00577242"/>
    <w:rsid w:val="005776B6"/>
    <w:rsid w:val="005778EE"/>
    <w:rsid w:val="00577F12"/>
    <w:rsid w:val="005800C8"/>
    <w:rsid w:val="00580711"/>
    <w:rsid w:val="005817B5"/>
    <w:rsid w:val="00581BFD"/>
    <w:rsid w:val="005842B1"/>
    <w:rsid w:val="005863E7"/>
    <w:rsid w:val="00586D0E"/>
    <w:rsid w:val="0059098F"/>
    <w:rsid w:val="005924FE"/>
    <w:rsid w:val="005932EC"/>
    <w:rsid w:val="00596554"/>
    <w:rsid w:val="0059670D"/>
    <w:rsid w:val="00596A43"/>
    <w:rsid w:val="00596E71"/>
    <w:rsid w:val="005A0C14"/>
    <w:rsid w:val="005A1C82"/>
    <w:rsid w:val="005A1E29"/>
    <w:rsid w:val="005A370A"/>
    <w:rsid w:val="005B1C7B"/>
    <w:rsid w:val="005B3033"/>
    <w:rsid w:val="005B4DC5"/>
    <w:rsid w:val="005B7446"/>
    <w:rsid w:val="005C07A9"/>
    <w:rsid w:val="005C3DA9"/>
    <w:rsid w:val="005C3DCA"/>
    <w:rsid w:val="005C52BD"/>
    <w:rsid w:val="005C7058"/>
    <w:rsid w:val="005C7088"/>
    <w:rsid w:val="005D0344"/>
    <w:rsid w:val="005D05EB"/>
    <w:rsid w:val="005D0717"/>
    <w:rsid w:val="005D1A6C"/>
    <w:rsid w:val="005D1BEF"/>
    <w:rsid w:val="005D42FB"/>
    <w:rsid w:val="005D6EC2"/>
    <w:rsid w:val="005D7040"/>
    <w:rsid w:val="005D74CE"/>
    <w:rsid w:val="005D7769"/>
    <w:rsid w:val="005D781B"/>
    <w:rsid w:val="005E0B8B"/>
    <w:rsid w:val="005E173F"/>
    <w:rsid w:val="005E554F"/>
    <w:rsid w:val="005E7B6A"/>
    <w:rsid w:val="005F6246"/>
    <w:rsid w:val="005F69FA"/>
    <w:rsid w:val="005F6C3A"/>
    <w:rsid w:val="00600B9D"/>
    <w:rsid w:val="00601492"/>
    <w:rsid w:val="0060340E"/>
    <w:rsid w:val="006034CD"/>
    <w:rsid w:val="00603959"/>
    <w:rsid w:val="00603B4A"/>
    <w:rsid w:val="00605A68"/>
    <w:rsid w:val="00605EDE"/>
    <w:rsid w:val="006067BE"/>
    <w:rsid w:val="00607931"/>
    <w:rsid w:val="0061040F"/>
    <w:rsid w:val="00612285"/>
    <w:rsid w:val="00613620"/>
    <w:rsid w:val="00613A16"/>
    <w:rsid w:val="006145D1"/>
    <w:rsid w:val="00615DFD"/>
    <w:rsid w:val="00616FF7"/>
    <w:rsid w:val="0062003B"/>
    <w:rsid w:val="006219F3"/>
    <w:rsid w:val="006235FF"/>
    <w:rsid w:val="00623F84"/>
    <w:rsid w:val="00625391"/>
    <w:rsid w:val="00625D2C"/>
    <w:rsid w:val="00626541"/>
    <w:rsid w:val="006274D4"/>
    <w:rsid w:val="00630C61"/>
    <w:rsid w:val="00635165"/>
    <w:rsid w:val="00640DCD"/>
    <w:rsid w:val="006430C5"/>
    <w:rsid w:val="006450EE"/>
    <w:rsid w:val="00647611"/>
    <w:rsid w:val="00650405"/>
    <w:rsid w:val="0065520D"/>
    <w:rsid w:val="00657687"/>
    <w:rsid w:val="00657CCB"/>
    <w:rsid w:val="00661792"/>
    <w:rsid w:val="00662276"/>
    <w:rsid w:val="0066411F"/>
    <w:rsid w:val="00664206"/>
    <w:rsid w:val="00664282"/>
    <w:rsid w:val="006651B2"/>
    <w:rsid w:val="00665607"/>
    <w:rsid w:val="00672676"/>
    <w:rsid w:val="00672919"/>
    <w:rsid w:val="00674830"/>
    <w:rsid w:val="006749D4"/>
    <w:rsid w:val="0067656D"/>
    <w:rsid w:val="006772A9"/>
    <w:rsid w:val="006778D2"/>
    <w:rsid w:val="0067797D"/>
    <w:rsid w:val="00681F07"/>
    <w:rsid w:val="0068258B"/>
    <w:rsid w:val="0068675F"/>
    <w:rsid w:val="0068783C"/>
    <w:rsid w:val="00687F1A"/>
    <w:rsid w:val="00691F3B"/>
    <w:rsid w:val="0069210F"/>
    <w:rsid w:val="0069316B"/>
    <w:rsid w:val="006935D3"/>
    <w:rsid w:val="00695B0A"/>
    <w:rsid w:val="006A0B1C"/>
    <w:rsid w:val="006A0DE7"/>
    <w:rsid w:val="006A1205"/>
    <w:rsid w:val="006A128B"/>
    <w:rsid w:val="006A13D4"/>
    <w:rsid w:val="006A1534"/>
    <w:rsid w:val="006A2218"/>
    <w:rsid w:val="006A2758"/>
    <w:rsid w:val="006A3873"/>
    <w:rsid w:val="006A38CF"/>
    <w:rsid w:val="006A6761"/>
    <w:rsid w:val="006A7FF1"/>
    <w:rsid w:val="006B4994"/>
    <w:rsid w:val="006B7003"/>
    <w:rsid w:val="006B75CF"/>
    <w:rsid w:val="006B7DCA"/>
    <w:rsid w:val="006C0C9C"/>
    <w:rsid w:val="006C21D0"/>
    <w:rsid w:val="006C7EF3"/>
    <w:rsid w:val="006D0D20"/>
    <w:rsid w:val="006D0E62"/>
    <w:rsid w:val="006D2C26"/>
    <w:rsid w:val="006D2DCF"/>
    <w:rsid w:val="006D2F36"/>
    <w:rsid w:val="006D56CC"/>
    <w:rsid w:val="006D5CCE"/>
    <w:rsid w:val="006D5EC3"/>
    <w:rsid w:val="006D6097"/>
    <w:rsid w:val="006D6E63"/>
    <w:rsid w:val="006D785E"/>
    <w:rsid w:val="006D7A16"/>
    <w:rsid w:val="006E0002"/>
    <w:rsid w:val="006E13BF"/>
    <w:rsid w:val="006E2395"/>
    <w:rsid w:val="006E32D9"/>
    <w:rsid w:val="006E6A48"/>
    <w:rsid w:val="006E7127"/>
    <w:rsid w:val="006F18E5"/>
    <w:rsid w:val="006F3380"/>
    <w:rsid w:val="006F43BD"/>
    <w:rsid w:val="006F4E50"/>
    <w:rsid w:val="006F559E"/>
    <w:rsid w:val="007051A1"/>
    <w:rsid w:val="007063A1"/>
    <w:rsid w:val="00706D63"/>
    <w:rsid w:val="007110A3"/>
    <w:rsid w:val="007113EC"/>
    <w:rsid w:val="00712253"/>
    <w:rsid w:val="007128CA"/>
    <w:rsid w:val="007149D6"/>
    <w:rsid w:val="00714F61"/>
    <w:rsid w:val="00716614"/>
    <w:rsid w:val="007168A4"/>
    <w:rsid w:val="007170B0"/>
    <w:rsid w:val="00720170"/>
    <w:rsid w:val="00723916"/>
    <w:rsid w:val="007253CD"/>
    <w:rsid w:val="00725D64"/>
    <w:rsid w:val="0072676B"/>
    <w:rsid w:val="007274A3"/>
    <w:rsid w:val="007277A8"/>
    <w:rsid w:val="00730443"/>
    <w:rsid w:val="00730C5C"/>
    <w:rsid w:val="00731E5C"/>
    <w:rsid w:val="007344A5"/>
    <w:rsid w:val="0073531D"/>
    <w:rsid w:val="0073638E"/>
    <w:rsid w:val="007373BC"/>
    <w:rsid w:val="00741B83"/>
    <w:rsid w:val="00742F2D"/>
    <w:rsid w:val="007443F3"/>
    <w:rsid w:val="00744AD2"/>
    <w:rsid w:val="00745C87"/>
    <w:rsid w:val="00745FAC"/>
    <w:rsid w:val="007466D8"/>
    <w:rsid w:val="00746A10"/>
    <w:rsid w:val="00747EA2"/>
    <w:rsid w:val="00752D76"/>
    <w:rsid w:val="0075316F"/>
    <w:rsid w:val="007551FF"/>
    <w:rsid w:val="0075533A"/>
    <w:rsid w:val="0075612C"/>
    <w:rsid w:val="00756250"/>
    <w:rsid w:val="00756593"/>
    <w:rsid w:val="0075728F"/>
    <w:rsid w:val="0075765C"/>
    <w:rsid w:val="00760FBE"/>
    <w:rsid w:val="00762CCC"/>
    <w:rsid w:val="00764F75"/>
    <w:rsid w:val="007671B5"/>
    <w:rsid w:val="00767509"/>
    <w:rsid w:val="0077056F"/>
    <w:rsid w:val="00771D2B"/>
    <w:rsid w:val="00771FB9"/>
    <w:rsid w:val="0077262E"/>
    <w:rsid w:val="00776FAB"/>
    <w:rsid w:val="00777326"/>
    <w:rsid w:val="00780D7B"/>
    <w:rsid w:val="007846DE"/>
    <w:rsid w:val="00786C13"/>
    <w:rsid w:val="00787A13"/>
    <w:rsid w:val="007900EA"/>
    <w:rsid w:val="0079027E"/>
    <w:rsid w:val="0079139D"/>
    <w:rsid w:val="007937FF"/>
    <w:rsid w:val="007960F6"/>
    <w:rsid w:val="0079791B"/>
    <w:rsid w:val="007A01D8"/>
    <w:rsid w:val="007B183B"/>
    <w:rsid w:val="007B2708"/>
    <w:rsid w:val="007B274B"/>
    <w:rsid w:val="007C1BDA"/>
    <w:rsid w:val="007C21FC"/>
    <w:rsid w:val="007C434D"/>
    <w:rsid w:val="007C58A8"/>
    <w:rsid w:val="007C7623"/>
    <w:rsid w:val="007C7CA5"/>
    <w:rsid w:val="007D0399"/>
    <w:rsid w:val="007D06E4"/>
    <w:rsid w:val="007D0F4F"/>
    <w:rsid w:val="007D1DD2"/>
    <w:rsid w:val="007D2FCE"/>
    <w:rsid w:val="007D3211"/>
    <w:rsid w:val="007D3FCE"/>
    <w:rsid w:val="007D5CD7"/>
    <w:rsid w:val="007D6BF5"/>
    <w:rsid w:val="007E1535"/>
    <w:rsid w:val="007E456C"/>
    <w:rsid w:val="007E4684"/>
    <w:rsid w:val="007E4DEF"/>
    <w:rsid w:val="007E6ADF"/>
    <w:rsid w:val="007E6E68"/>
    <w:rsid w:val="007F058A"/>
    <w:rsid w:val="007F0CCA"/>
    <w:rsid w:val="007F24C5"/>
    <w:rsid w:val="007F30A5"/>
    <w:rsid w:val="007F3C66"/>
    <w:rsid w:val="007F61EC"/>
    <w:rsid w:val="007F6289"/>
    <w:rsid w:val="007F6AD9"/>
    <w:rsid w:val="007F79EE"/>
    <w:rsid w:val="00801649"/>
    <w:rsid w:val="00803649"/>
    <w:rsid w:val="00806058"/>
    <w:rsid w:val="00806D5B"/>
    <w:rsid w:val="00807277"/>
    <w:rsid w:val="00807CED"/>
    <w:rsid w:val="00807FF4"/>
    <w:rsid w:val="008117B1"/>
    <w:rsid w:val="00811833"/>
    <w:rsid w:val="008123CF"/>
    <w:rsid w:val="008147A1"/>
    <w:rsid w:val="00817337"/>
    <w:rsid w:val="00817694"/>
    <w:rsid w:val="00823EAD"/>
    <w:rsid w:val="00826647"/>
    <w:rsid w:val="0082762D"/>
    <w:rsid w:val="00827A8B"/>
    <w:rsid w:val="00833AC6"/>
    <w:rsid w:val="0083448D"/>
    <w:rsid w:val="008354F6"/>
    <w:rsid w:val="008356CC"/>
    <w:rsid w:val="00836CC3"/>
    <w:rsid w:val="00840159"/>
    <w:rsid w:val="00840338"/>
    <w:rsid w:val="008419A6"/>
    <w:rsid w:val="00843EDC"/>
    <w:rsid w:val="00844F16"/>
    <w:rsid w:val="008500FB"/>
    <w:rsid w:val="008516E0"/>
    <w:rsid w:val="00851BF1"/>
    <w:rsid w:val="00852C5E"/>
    <w:rsid w:val="00854F6F"/>
    <w:rsid w:val="008604A2"/>
    <w:rsid w:val="008635BF"/>
    <w:rsid w:val="0086651D"/>
    <w:rsid w:val="00866621"/>
    <w:rsid w:val="008666F0"/>
    <w:rsid w:val="00866D13"/>
    <w:rsid w:val="008719E8"/>
    <w:rsid w:val="008725FE"/>
    <w:rsid w:val="008732A9"/>
    <w:rsid w:val="0087345B"/>
    <w:rsid w:val="0087347B"/>
    <w:rsid w:val="00874427"/>
    <w:rsid w:val="00874DD8"/>
    <w:rsid w:val="00875586"/>
    <w:rsid w:val="008768E1"/>
    <w:rsid w:val="008804CB"/>
    <w:rsid w:val="008809A7"/>
    <w:rsid w:val="00880DCA"/>
    <w:rsid w:val="00881C47"/>
    <w:rsid w:val="00887178"/>
    <w:rsid w:val="008924F0"/>
    <w:rsid w:val="00895254"/>
    <w:rsid w:val="00896C54"/>
    <w:rsid w:val="008A0C9A"/>
    <w:rsid w:val="008A1614"/>
    <w:rsid w:val="008A165F"/>
    <w:rsid w:val="008A221D"/>
    <w:rsid w:val="008A333F"/>
    <w:rsid w:val="008A520D"/>
    <w:rsid w:val="008A561A"/>
    <w:rsid w:val="008A5CE5"/>
    <w:rsid w:val="008A62EB"/>
    <w:rsid w:val="008A698A"/>
    <w:rsid w:val="008A76A3"/>
    <w:rsid w:val="008A7B16"/>
    <w:rsid w:val="008B11C4"/>
    <w:rsid w:val="008B1A1B"/>
    <w:rsid w:val="008B2739"/>
    <w:rsid w:val="008B2AC5"/>
    <w:rsid w:val="008B31AF"/>
    <w:rsid w:val="008B41CC"/>
    <w:rsid w:val="008B5A64"/>
    <w:rsid w:val="008B5B43"/>
    <w:rsid w:val="008B73E0"/>
    <w:rsid w:val="008B7403"/>
    <w:rsid w:val="008B7F05"/>
    <w:rsid w:val="008C03A6"/>
    <w:rsid w:val="008C27C3"/>
    <w:rsid w:val="008C2873"/>
    <w:rsid w:val="008C2ADE"/>
    <w:rsid w:val="008C3D0D"/>
    <w:rsid w:val="008D1993"/>
    <w:rsid w:val="008D61ED"/>
    <w:rsid w:val="008D744F"/>
    <w:rsid w:val="008E0E8B"/>
    <w:rsid w:val="008E1F99"/>
    <w:rsid w:val="008E4152"/>
    <w:rsid w:val="008E4FF1"/>
    <w:rsid w:val="008E64D3"/>
    <w:rsid w:val="008F213E"/>
    <w:rsid w:val="008F2F44"/>
    <w:rsid w:val="008F4069"/>
    <w:rsid w:val="008F4CCA"/>
    <w:rsid w:val="008F4CD8"/>
    <w:rsid w:val="008F50C7"/>
    <w:rsid w:val="008F55A9"/>
    <w:rsid w:val="008F66A0"/>
    <w:rsid w:val="00903E13"/>
    <w:rsid w:val="00904A45"/>
    <w:rsid w:val="00906E1F"/>
    <w:rsid w:val="00907A09"/>
    <w:rsid w:val="00910E98"/>
    <w:rsid w:val="00913A27"/>
    <w:rsid w:val="00917603"/>
    <w:rsid w:val="00917E6F"/>
    <w:rsid w:val="00920771"/>
    <w:rsid w:val="009221D9"/>
    <w:rsid w:val="00924C84"/>
    <w:rsid w:val="00927255"/>
    <w:rsid w:val="009279C8"/>
    <w:rsid w:val="00933E17"/>
    <w:rsid w:val="0093542A"/>
    <w:rsid w:val="00937141"/>
    <w:rsid w:val="00937C07"/>
    <w:rsid w:val="009407B6"/>
    <w:rsid w:val="00942617"/>
    <w:rsid w:val="0094389A"/>
    <w:rsid w:val="0094440C"/>
    <w:rsid w:val="00944494"/>
    <w:rsid w:val="00944850"/>
    <w:rsid w:val="00946736"/>
    <w:rsid w:val="009479BB"/>
    <w:rsid w:val="00947C23"/>
    <w:rsid w:val="009501B2"/>
    <w:rsid w:val="009501DD"/>
    <w:rsid w:val="00951E0B"/>
    <w:rsid w:val="009539A8"/>
    <w:rsid w:val="00957E7F"/>
    <w:rsid w:val="00961FD6"/>
    <w:rsid w:val="009632EC"/>
    <w:rsid w:val="0096453F"/>
    <w:rsid w:val="00965B54"/>
    <w:rsid w:val="00966D8B"/>
    <w:rsid w:val="0096736F"/>
    <w:rsid w:val="00970E18"/>
    <w:rsid w:val="009719A6"/>
    <w:rsid w:val="00973C73"/>
    <w:rsid w:val="009748AF"/>
    <w:rsid w:val="00974D91"/>
    <w:rsid w:val="009752E7"/>
    <w:rsid w:val="0098045C"/>
    <w:rsid w:val="0098188E"/>
    <w:rsid w:val="0098240B"/>
    <w:rsid w:val="00982DDE"/>
    <w:rsid w:val="00982EAD"/>
    <w:rsid w:val="009850BA"/>
    <w:rsid w:val="009916A5"/>
    <w:rsid w:val="00991D67"/>
    <w:rsid w:val="00992C6F"/>
    <w:rsid w:val="00993814"/>
    <w:rsid w:val="00993866"/>
    <w:rsid w:val="00993F06"/>
    <w:rsid w:val="00995211"/>
    <w:rsid w:val="009958B1"/>
    <w:rsid w:val="00996984"/>
    <w:rsid w:val="00996ECB"/>
    <w:rsid w:val="00997F97"/>
    <w:rsid w:val="009A00CC"/>
    <w:rsid w:val="009A2410"/>
    <w:rsid w:val="009A3450"/>
    <w:rsid w:val="009A37C6"/>
    <w:rsid w:val="009A41C6"/>
    <w:rsid w:val="009A45C4"/>
    <w:rsid w:val="009A60C2"/>
    <w:rsid w:val="009A7B24"/>
    <w:rsid w:val="009B0074"/>
    <w:rsid w:val="009B08FB"/>
    <w:rsid w:val="009B39F7"/>
    <w:rsid w:val="009B45D6"/>
    <w:rsid w:val="009B4A68"/>
    <w:rsid w:val="009B5578"/>
    <w:rsid w:val="009C0B64"/>
    <w:rsid w:val="009C0BF7"/>
    <w:rsid w:val="009C1BF7"/>
    <w:rsid w:val="009C4719"/>
    <w:rsid w:val="009C5EF0"/>
    <w:rsid w:val="009C6D7C"/>
    <w:rsid w:val="009C7784"/>
    <w:rsid w:val="009D0D4B"/>
    <w:rsid w:val="009D0EDC"/>
    <w:rsid w:val="009D128B"/>
    <w:rsid w:val="009D2810"/>
    <w:rsid w:val="009E0423"/>
    <w:rsid w:val="009E04FE"/>
    <w:rsid w:val="009E0500"/>
    <w:rsid w:val="009E0F57"/>
    <w:rsid w:val="009E131A"/>
    <w:rsid w:val="009E1BC8"/>
    <w:rsid w:val="009E3F23"/>
    <w:rsid w:val="009E4B75"/>
    <w:rsid w:val="009E62A8"/>
    <w:rsid w:val="009F06EB"/>
    <w:rsid w:val="009F0DB1"/>
    <w:rsid w:val="009F3F9E"/>
    <w:rsid w:val="009F3FB5"/>
    <w:rsid w:val="009F4973"/>
    <w:rsid w:val="009F4AFA"/>
    <w:rsid w:val="009F5C5B"/>
    <w:rsid w:val="009F5E5D"/>
    <w:rsid w:val="009F6D76"/>
    <w:rsid w:val="009F746D"/>
    <w:rsid w:val="00A00007"/>
    <w:rsid w:val="00A01589"/>
    <w:rsid w:val="00A04594"/>
    <w:rsid w:val="00A05144"/>
    <w:rsid w:val="00A06136"/>
    <w:rsid w:val="00A0781B"/>
    <w:rsid w:val="00A126C6"/>
    <w:rsid w:val="00A13AAE"/>
    <w:rsid w:val="00A15798"/>
    <w:rsid w:val="00A16194"/>
    <w:rsid w:val="00A178A5"/>
    <w:rsid w:val="00A25DFB"/>
    <w:rsid w:val="00A26123"/>
    <w:rsid w:val="00A325DB"/>
    <w:rsid w:val="00A326A8"/>
    <w:rsid w:val="00A330B1"/>
    <w:rsid w:val="00A34334"/>
    <w:rsid w:val="00A35A28"/>
    <w:rsid w:val="00A40D6E"/>
    <w:rsid w:val="00A42A18"/>
    <w:rsid w:val="00A45637"/>
    <w:rsid w:val="00A45B54"/>
    <w:rsid w:val="00A46CB2"/>
    <w:rsid w:val="00A476E8"/>
    <w:rsid w:val="00A47BE4"/>
    <w:rsid w:val="00A47E17"/>
    <w:rsid w:val="00A50719"/>
    <w:rsid w:val="00A521C6"/>
    <w:rsid w:val="00A57E49"/>
    <w:rsid w:val="00A60CFF"/>
    <w:rsid w:val="00A6410E"/>
    <w:rsid w:val="00A64189"/>
    <w:rsid w:val="00A648CD"/>
    <w:rsid w:val="00A64FD7"/>
    <w:rsid w:val="00A6683E"/>
    <w:rsid w:val="00A7225F"/>
    <w:rsid w:val="00A73353"/>
    <w:rsid w:val="00A76645"/>
    <w:rsid w:val="00A76887"/>
    <w:rsid w:val="00A7730A"/>
    <w:rsid w:val="00A778DA"/>
    <w:rsid w:val="00A80AC5"/>
    <w:rsid w:val="00A82024"/>
    <w:rsid w:val="00A82275"/>
    <w:rsid w:val="00A83843"/>
    <w:rsid w:val="00A85A85"/>
    <w:rsid w:val="00A86041"/>
    <w:rsid w:val="00A878F2"/>
    <w:rsid w:val="00A9017E"/>
    <w:rsid w:val="00A90E91"/>
    <w:rsid w:val="00A916CF"/>
    <w:rsid w:val="00A917A2"/>
    <w:rsid w:val="00A92A69"/>
    <w:rsid w:val="00A92AA3"/>
    <w:rsid w:val="00A93082"/>
    <w:rsid w:val="00A935D6"/>
    <w:rsid w:val="00A9386D"/>
    <w:rsid w:val="00A9415E"/>
    <w:rsid w:val="00A94BD8"/>
    <w:rsid w:val="00A960C7"/>
    <w:rsid w:val="00A96F1A"/>
    <w:rsid w:val="00AA3F82"/>
    <w:rsid w:val="00AA5BDD"/>
    <w:rsid w:val="00AA6080"/>
    <w:rsid w:val="00AA6813"/>
    <w:rsid w:val="00AA693D"/>
    <w:rsid w:val="00AB2E3D"/>
    <w:rsid w:val="00AB38B3"/>
    <w:rsid w:val="00AB511F"/>
    <w:rsid w:val="00AB5663"/>
    <w:rsid w:val="00AB71B7"/>
    <w:rsid w:val="00AC0EF9"/>
    <w:rsid w:val="00AC1640"/>
    <w:rsid w:val="00AC2260"/>
    <w:rsid w:val="00AC2AC4"/>
    <w:rsid w:val="00AC466F"/>
    <w:rsid w:val="00AC4D76"/>
    <w:rsid w:val="00AC6C4D"/>
    <w:rsid w:val="00AC768B"/>
    <w:rsid w:val="00AD00AE"/>
    <w:rsid w:val="00AD0194"/>
    <w:rsid w:val="00AD2B23"/>
    <w:rsid w:val="00AD438A"/>
    <w:rsid w:val="00AD69D5"/>
    <w:rsid w:val="00AE0D1F"/>
    <w:rsid w:val="00AE19A6"/>
    <w:rsid w:val="00AE259F"/>
    <w:rsid w:val="00AE29DD"/>
    <w:rsid w:val="00AE2D1A"/>
    <w:rsid w:val="00AE384D"/>
    <w:rsid w:val="00AE41B7"/>
    <w:rsid w:val="00AE534E"/>
    <w:rsid w:val="00AE56E1"/>
    <w:rsid w:val="00AE5D88"/>
    <w:rsid w:val="00AF0B75"/>
    <w:rsid w:val="00AF4838"/>
    <w:rsid w:val="00AF4918"/>
    <w:rsid w:val="00B00979"/>
    <w:rsid w:val="00B01E06"/>
    <w:rsid w:val="00B02152"/>
    <w:rsid w:val="00B075EA"/>
    <w:rsid w:val="00B139CF"/>
    <w:rsid w:val="00B14F17"/>
    <w:rsid w:val="00B15276"/>
    <w:rsid w:val="00B16E25"/>
    <w:rsid w:val="00B17D05"/>
    <w:rsid w:val="00B204A5"/>
    <w:rsid w:val="00B24071"/>
    <w:rsid w:val="00B2431C"/>
    <w:rsid w:val="00B317A5"/>
    <w:rsid w:val="00B35A9A"/>
    <w:rsid w:val="00B410FE"/>
    <w:rsid w:val="00B41D08"/>
    <w:rsid w:val="00B4714F"/>
    <w:rsid w:val="00B5123C"/>
    <w:rsid w:val="00B51513"/>
    <w:rsid w:val="00B52BA3"/>
    <w:rsid w:val="00B54185"/>
    <w:rsid w:val="00B55108"/>
    <w:rsid w:val="00B57157"/>
    <w:rsid w:val="00B609B8"/>
    <w:rsid w:val="00B61C2C"/>
    <w:rsid w:val="00B64258"/>
    <w:rsid w:val="00B66F9F"/>
    <w:rsid w:val="00B67664"/>
    <w:rsid w:val="00B71F1F"/>
    <w:rsid w:val="00B737D1"/>
    <w:rsid w:val="00B73C52"/>
    <w:rsid w:val="00B7477D"/>
    <w:rsid w:val="00B7629E"/>
    <w:rsid w:val="00B77E4A"/>
    <w:rsid w:val="00B82BDE"/>
    <w:rsid w:val="00B831D2"/>
    <w:rsid w:val="00B832BF"/>
    <w:rsid w:val="00B838E8"/>
    <w:rsid w:val="00B83BE5"/>
    <w:rsid w:val="00B83F57"/>
    <w:rsid w:val="00B844B0"/>
    <w:rsid w:val="00B85DAF"/>
    <w:rsid w:val="00B87313"/>
    <w:rsid w:val="00B91395"/>
    <w:rsid w:val="00B91E58"/>
    <w:rsid w:val="00B9544B"/>
    <w:rsid w:val="00B95571"/>
    <w:rsid w:val="00B963D6"/>
    <w:rsid w:val="00B97A5D"/>
    <w:rsid w:val="00BA11D1"/>
    <w:rsid w:val="00BA2768"/>
    <w:rsid w:val="00BA4A44"/>
    <w:rsid w:val="00BA5E98"/>
    <w:rsid w:val="00BA7E35"/>
    <w:rsid w:val="00BB053C"/>
    <w:rsid w:val="00BB1122"/>
    <w:rsid w:val="00BB1447"/>
    <w:rsid w:val="00BB25E1"/>
    <w:rsid w:val="00BB3FD2"/>
    <w:rsid w:val="00BB50D6"/>
    <w:rsid w:val="00BB7487"/>
    <w:rsid w:val="00BC0228"/>
    <w:rsid w:val="00BC1F43"/>
    <w:rsid w:val="00BC2C43"/>
    <w:rsid w:val="00BC4084"/>
    <w:rsid w:val="00BC4542"/>
    <w:rsid w:val="00BC6766"/>
    <w:rsid w:val="00BD0F83"/>
    <w:rsid w:val="00BD26B9"/>
    <w:rsid w:val="00BD577C"/>
    <w:rsid w:val="00BD5A82"/>
    <w:rsid w:val="00BD5CB1"/>
    <w:rsid w:val="00BE09F8"/>
    <w:rsid w:val="00BE1288"/>
    <w:rsid w:val="00BE19A6"/>
    <w:rsid w:val="00BE220F"/>
    <w:rsid w:val="00BE27D8"/>
    <w:rsid w:val="00BE3577"/>
    <w:rsid w:val="00BE35AC"/>
    <w:rsid w:val="00BE4B9B"/>
    <w:rsid w:val="00BE7F4B"/>
    <w:rsid w:val="00BF020B"/>
    <w:rsid w:val="00BF02A9"/>
    <w:rsid w:val="00BF1222"/>
    <w:rsid w:val="00BF1853"/>
    <w:rsid w:val="00BF262F"/>
    <w:rsid w:val="00BF45A5"/>
    <w:rsid w:val="00BF57F1"/>
    <w:rsid w:val="00BF5B5B"/>
    <w:rsid w:val="00BF6A38"/>
    <w:rsid w:val="00C034E2"/>
    <w:rsid w:val="00C07DF5"/>
    <w:rsid w:val="00C1081C"/>
    <w:rsid w:val="00C10ACB"/>
    <w:rsid w:val="00C10B3D"/>
    <w:rsid w:val="00C11435"/>
    <w:rsid w:val="00C12DC4"/>
    <w:rsid w:val="00C15B9D"/>
    <w:rsid w:val="00C170EE"/>
    <w:rsid w:val="00C20D87"/>
    <w:rsid w:val="00C234A4"/>
    <w:rsid w:val="00C241F7"/>
    <w:rsid w:val="00C245E0"/>
    <w:rsid w:val="00C278BE"/>
    <w:rsid w:val="00C32564"/>
    <w:rsid w:val="00C3419E"/>
    <w:rsid w:val="00C35605"/>
    <w:rsid w:val="00C4332C"/>
    <w:rsid w:val="00C44227"/>
    <w:rsid w:val="00C443A2"/>
    <w:rsid w:val="00C472C4"/>
    <w:rsid w:val="00C506BE"/>
    <w:rsid w:val="00C520DC"/>
    <w:rsid w:val="00C535E0"/>
    <w:rsid w:val="00C55248"/>
    <w:rsid w:val="00C5773A"/>
    <w:rsid w:val="00C624AD"/>
    <w:rsid w:val="00C62770"/>
    <w:rsid w:val="00C62A95"/>
    <w:rsid w:val="00C64C87"/>
    <w:rsid w:val="00C64CE1"/>
    <w:rsid w:val="00C70E30"/>
    <w:rsid w:val="00C733C0"/>
    <w:rsid w:val="00C739AB"/>
    <w:rsid w:val="00C73C53"/>
    <w:rsid w:val="00C7422C"/>
    <w:rsid w:val="00C75797"/>
    <w:rsid w:val="00C75E57"/>
    <w:rsid w:val="00C75FE7"/>
    <w:rsid w:val="00C77539"/>
    <w:rsid w:val="00C80DE9"/>
    <w:rsid w:val="00C8193B"/>
    <w:rsid w:val="00C8381A"/>
    <w:rsid w:val="00C84C04"/>
    <w:rsid w:val="00C90584"/>
    <w:rsid w:val="00C92A56"/>
    <w:rsid w:val="00C93108"/>
    <w:rsid w:val="00C9421C"/>
    <w:rsid w:val="00CA1444"/>
    <w:rsid w:val="00CA24B1"/>
    <w:rsid w:val="00CA2B1C"/>
    <w:rsid w:val="00CA3C5E"/>
    <w:rsid w:val="00CA51E1"/>
    <w:rsid w:val="00CA543D"/>
    <w:rsid w:val="00CA571B"/>
    <w:rsid w:val="00CA5CB2"/>
    <w:rsid w:val="00CA6898"/>
    <w:rsid w:val="00CA7AF8"/>
    <w:rsid w:val="00CB064A"/>
    <w:rsid w:val="00CB0D26"/>
    <w:rsid w:val="00CB0E51"/>
    <w:rsid w:val="00CB1782"/>
    <w:rsid w:val="00CB18DA"/>
    <w:rsid w:val="00CB298B"/>
    <w:rsid w:val="00CB2CB6"/>
    <w:rsid w:val="00CB4ECC"/>
    <w:rsid w:val="00CB5FCB"/>
    <w:rsid w:val="00CB6507"/>
    <w:rsid w:val="00CC2136"/>
    <w:rsid w:val="00CC28F7"/>
    <w:rsid w:val="00CC3CAE"/>
    <w:rsid w:val="00CC4155"/>
    <w:rsid w:val="00CC446A"/>
    <w:rsid w:val="00CC5528"/>
    <w:rsid w:val="00CC5E2F"/>
    <w:rsid w:val="00CC6442"/>
    <w:rsid w:val="00CC6D19"/>
    <w:rsid w:val="00CC762E"/>
    <w:rsid w:val="00CD2DFE"/>
    <w:rsid w:val="00CD2EB8"/>
    <w:rsid w:val="00CD4244"/>
    <w:rsid w:val="00CD4575"/>
    <w:rsid w:val="00CD5FED"/>
    <w:rsid w:val="00CE3D0D"/>
    <w:rsid w:val="00CE4CD1"/>
    <w:rsid w:val="00CF27E0"/>
    <w:rsid w:val="00CF45CF"/>
    <w:rsid w:val="00D006B0"/>
    <w:rsid w:val="00D04334"/>
    <w:rsid w:val="00D04C05"/>
    <w:rsid w:val="00D073DD"/>
    <w:rsid w:val="00D1024C"/>
    <w:rsid w:val="00D12F08"/>
    <w:rsid w:val="00D13A88"/>
    <w:rsid w:val="00D174F1"/>
    <w:rsid w:val="00D20D16"/>
    <w:rsid w:val="00D21C63"/>
    <w:rsid w:val="00D22E40"/>
    <w:rsid w:val="00D22F59"/>
    <w:rsid w:val="00D25EF4"/>
    <w:rsid w:val="00D314A0"/>
    <w:rsid w:val="00D33A49"/>
    <w:rsid w:val="00D3411B"/>
    <w:rsid w:val="00D34BC9"/>
    <w:rsid w:val="00D352CA"/>
    <w:rsid w:val="00D368E8"/>
    <w:rsid w:val="00D371F6"/>
    <w:rsid w:val="00D40B20"/>
    <w:rsid w:val="00D40C84"/>
    <w:rsid w:val="00D42E87"/>
    <w:rsid w:val="00D45D45"/>
    <w:rsid w:val="00D55964"/>
    <w:rsid w:val="00D55AFC"/>
    <w:rsid w:val="00D60180"/>
    <w:rsid w:val="00D63356"/>
    <w:rsid w:val="00D642C5"/>
    <w:rsid w:val="00D647CA"/>
    <w:rsid w:val="00D67B0D"/>
    <w:rsid w:val="00D70E8A"/>
    <w:rsid w:val="00D71A59"/>
    <w:rsid w:val="00D7293E"/>
    <w:rsid w:val="00D72E95"/>
    <w:rsid w:val="00D73578"/>
    <w:rsid w:val="00D73BBC"/>
    <w:rsid w:val="00D82962"/>
    <w:rsid w:val="00D865B3"/>
    <w:rsid w:val="00D866FF"/>
    <w:rsid w:val="00D903B4"/>
    <w:rsid w:val="00D906F7"/>
    <w:rsid w:val="00D90F23"/>
    <w:rsid w:val="00D91274"/>
    <w:rsid w:val="00D93841"/>
    <w:rsid w:val="00D9440C"/>
    <w:rsid w:val="00D953C6"/>
    <w:rsid w:val="00D95543"/>
    <w:rsid w:val="00D9646A"/>
    <w:rsid w:val="00DA0968"/>
    <w:rsid w:val="00DA11DB"/>
    <w:rsid w:val="00DA1434"/>
    <w:rsid w:val="00DA2272"/>
    <w:rsid w:val="00DA6F96"/>
    <w:rsid w:val="00DA70AB"/>
    <w:rsid w:val="00DB0532"/>
    <w:rsid w:val="00DB271A"/>
    <w:rsid w:val="00DB459B"/>
    <w:rsid w:val="00DB6BCE"/>
    <w:rsid w:val="00DC6E79"/>
    <w:rsid w:val="00DC781C"/>
    <w:rsid w:val="00DD0FF4"/>
    <w:rsid w:val="00DD2BA2"/>
    <w:rsid w:val="00DD300E"/>
    <w:rsid w:val="00DD39A8"/>
    <w:rsid w:val="00DD4ECD"/>
    <w:rsid w:val="00DD5513"/>
    <w:rsid w:val="00DD6682"/>
    <w:rsid w:val="00DD7A80"/>
    <w:rsid w:val="00DE11DB"/>
    <w:rsid w:val="00DE1C71"/>
    <w:rsid w:val="00DE3B3F"/>
    <w:rsid w:val="00DE466F"/>
    <w:rsid w:val="00DE4B43"/>
    <w:rsid w:val="00DE5954"/>
    <w:rsid w:val="00DE79CC"/>
    <w:rsid w:val="00DE7DBE"/>
    <w:rsid w:val="00DF0687"/>
    <w:rsid w:val="00DF3D4A"/>
    <w:rsid w:val="00DF4FEE"/>
    <w:rsid w:val="00DF6880"/>
    <w:rsid w:val="00DF6FD6"/>
    <w:rsid w:val="00E028E3"/>
    <w:rsid w:val="00E02AE1"/>
    <w:rsid w:val="00E04512"/>
    <w:rsid w:val="00E12104"/>
    <w:rsid w:val="00E13A7F"/>
    <w:rsid w:val="00E149D7"/>
    <w:rsid w:val="00E16F84"/>
    <w:rsid w:val="00E17D76"/>
    <w:rsid w:val="00E2481E"/>
    <w:rsid w:val="00E25DBB"/>
    <w:rsid w:val="00E271E7"/>
    <w:rsid w:val="00E307F7"/>
    <w:rsid w:val="00E318F9"/>
    <w:rsid w:val="00E35694"/>
    <w:rsid w:val="00E35C09"/>
    <w:rsid w:val="00E36CF8"/>
    <w:rsid w:val="00E36F21"/>
    <w:rsid w:val="00E4037F"/>
    <w:rsid w:val="00E40954"/>
    <w:rsid w:val="00E4187F"/>
    <w:rsid w:val="00E46B1A"/>
    <w:rsid w:val="00E47239"/>
    <w:rsid w:val="00E476EF"/>
    <w:rsid w:val="00E520D8"/>
    <w:rsid w:val="00E52887"/>
    <w:rsid w:val="00E53EF0"/>
    <w:rsid w:val="00E573CC"/>
    <w:rsid w:val="00E60F4D"/>
    <w:rsid w:val="00E65E38"/>
    <w:rsid w:val="00E67E2C"/>
    <w:rsid w:val="00E70014"/>
    <w:rsid w:val="00E75177"/>
    <w:rsid w:val="00E757F4"/>
    <w:rsid w:val="00E81FFF"/>
    <w:rsid w:val="00E83193"/>
    <w:rsid w:val="00E84BEA"/>
    <w:rsid w:val="00E8658C"/>
    <w:rsid w:val="00E91E77"/>
    <w:rsid w:val="00E921A2"/>
    <w:rsid w:val="00E9259B"/>
    <w:rsid w:val="00E93D7C"/>
    <w:rsid w:val="00E9768A"/>
    <w:rsid w:val="00EA0118"/>
    <w:rsid w:val="00EA1666"/>
    <w:rsid w:val="00EA59D9"/>
    <w:rsid w:val="00EA68DA"/>
    <w:rsid w:val="00EA6DEF"/>
    <w:rsid w:val="00EB5E96"/>
    <w:rsid w:val="00EB67F9"/>
    <w:rsid w:val="00EC3659"/>
    <w:rsid w:val="00EC57E5"/>
    <w:rsid w:val="00ED1E82"/>
    <w:rsid w:val="00ED23AB"/>
    <w:rsid w:val="00EE0854"/>
    <w:rsid w:val="00EE1178"/>
    <w:rsid w:val="00EE294D"/>
    <w:rsid w:val="00EE3F8E"/>
    <w:rsid w:val="00EE42EE"/>
    <w:rsid w:val="00EF003E"/>
    <w:rsid w:val="00EF01A7"/>
    <w:rsid w:val="00EF0D34"/>
    <w:rsid w:val="00EF18CF"/>
    <w:rsid w:val="00EF5925"/>
    <w:rsid w:val="00EF5DF0"/>
    <w:rsid w:val="00EF6352"/>
    <w:rsid w:val="00EF73D7"/>
    <w:rsid w:val="00F00034"/>
    <w:rsid w:val="00F049F5"/>
    <w:rsid w:val="00F05391"/>
    <w:rsid w:val="00F06078"/>
    <w:rsid w:val="00F105FC"/>
    <w:rsid w:val="00F10D3D"/>
    <w:rsid w:val="00F12FE3"/>
    <w:rsid w:val="00F15304"/>
    <w:rsid w:val="00F175CB"/>
    <w:rsid w:val="00F20D09"/>
    <w:rsid w:val="00F221A1"/>
    <w:rsid w:val="00F244EB"/>
    <w:rsid w:val="00F25F8D"/>
    <w:rsid w:val="00F26551"/>
    <w:rsid w:val="00F31BB4"/>
    <w:rsid w:val="00F33B1A"/>
    <w:rsid w:val="00F34CC6"/>
    <w:rsid w:val="00F37F32"/>
    <w:rsid w:val="00F40C5B"/>
    <w:rsid w:val="00F415B7"/>
    <w:rsid w:val="00F41EBE"/>
    <w:rsid w:val="00F42AFB"/>
    <w:rsid w:val="00F4411A"/>
    <w:rsid w:val="00F4444D"/>
    <w:rsid w:val="00F44D84"/>
    <w:rsid w:val="00F45173"/>
    <w:rsid w:val="00F459E0"/>
    <w:rsid w:val="00F52358"/>
    <w:rsid w:val="00F52D4E"/>
    <w:rsid w:val="00F54FA6"/>
    <w:rsid w:val="00F561C9"/>
    <w:rsid w:val="00F57B33"/>
    <w:rsid w:val="00F60267"/>
    <w:rsid w:val="00F61ABE"/>
    <w:rsid w:val="00F628C3"/>
    <w:rsid w:val="00F66CB9"/>
    <w:rsid w:val="00F71330"/>
    <w:rsid w:val="00F716E7"/>
    <w:rsid w:val="00F720A6"/>
    <w:rsid w:val="00F72B26"/>
    <w:rsid w:val="00F73C54"/>
    <w:rsid w:val="00F74D4C"/>
    <w:rsid w:val="00F75050"/>
    <w:rsid w:val="00F7779A"/>
    <w:rsid w:val="00F86150"/>
    <w:rsid w:val="00F869A8"/>
    <w:rsid w:val="00F86DC0"/>
    <w:rsid w:val="00F87F17"/>
    <w:rsid w:val="00F930EE"/>
    <w:rsid w:val="00F94225"/>
    <w:rsid w:val="00FA2355"/>
    <w:rsid w:val="00FA6A35"/>
    <w:rsid w:val="00FA770F"/>
    <w:rsid w:val="00FB02F9"/>
    <w:rsid w:val="00FB1B7F"/>
    <w:rsid w:val="00FB5019"/>
    <w:rsid w:val="00FB503F"/>
    <w:rsid w:val="00FB64C9"/>
    <w:rsid w:val="00FC2556"/>
    <w:rsid w:val="00FC56BD"/>
    <w:rsid w:val="00FC595A"/>
    <w:rsid w:val="00FC7405"/>
    <w:rsid w:val="00FD2181"/>
    <w:rsid w:val="00FD2846"/>
    <w:rsid w:val="00FE0355"/>
    <w:rsid w:val="00FE192B"/>
    <w:rsid w:val="00FE36E9"/>
    <w:rsid w:val="00FE5940"/>
    <w:rsid w:val="00FE7C4C"/>
    <w:rsid w:val="00FF1073"/>
    <w:rsid w:val="00FF1A39"/>
    <w:rsid w:val="00FF38EE"/>
    <w:rsid w:val="00FF39AE"/>
    <w:rsid w:val="00FF781F"/>
    <w:rsid w:val="01A04247"/>
    <w:rsid w:val="01B5B7DF"/>
    <w:rsid w:val="01BAC27F"/>
    <w:rsid w:val="01DA729F"/>
    <w:rsid w:val="01EBDA97"/>
    <w:rsid w:val="0202EFDE"/>
    <w:rsid w:val="02331A6A"/>
    <w:rsid w:val="029BD2AA"/>
    <w:rsid w:val="02E621B6"/>
    <w:rsid w:val="036668CC"/>
    <w:rsid w:val="038AB441"/>
    <w:rsid w:val="03BAA34E"/>
    <w:rsid w:val="03C026FA"/>
    <w:rsid w:val="0409B854"/>
    <w:rsid w:val="0424FC30"/>
    <w:rsid w:val="0484314C"/>
    <w:rsid w:val="04BC2A1D"/>
    <w:rsid w:val="04D8C80E"/>
    <w:rsid w:val="04E00DF6"/>
    <w:rsid w:val="0526B3D4"/>
    <w:rsid w:val="053E2122"/>
    <w:rsid w:val="058649BF"/>
    <w:rsid w:val="05C60216"/>
    <w:rsid w:val="06BD3766"/>
    <w:rsid w:val="06E97604"/>
    <w:rsid w:val="07852CB1"/>
    <w:rsid w:val="085603FB"/>
    <w:rsid w:val="08564887"/>
    <w:rsid w:val="08AF4D43"/>
    <w:rsid w:val="0996DF8A"/>
    <w:rsid w:val="0A9DAE55"/>
    <w:rsid w:val="0ABCF9B2"/>
    <w:rsid w:val="0AD4A02A"/>
    <w:rsid w:val="0B380475"/>
    <w:rsid w:val="0B84CF39"/>
    <w:rsid w:val="0B8B1436"/>
    <w:rsid w:val="0CCE0BF0"/>
    <w:rsid w:val="0CDD010D"/>
    <w:rsid w:val="0CFDB534"/>
    <w:rsid w:val="0D09AA57"/>
    <w:rsid w:val="0D2E00DA"/>
    <w:rsid w:val="0D4F43CA"/>
    <w:rsid w:val="0D8388D1"/>
    <w:rsid w:val="0EA33500"/>
    <w:rsid w:val="0EC46D51"/>
    <w:rsid w:val="0ECAA534"/>
    <w:rsid w:val="0EFC6157"/>
    <w:rsid w:val="0F320E9C"/>
    <w:rsid w:val="0F51BB4C"/>
    <w:rsid w:val="0F8B538E"/>
    <w:rsid w:val="1094DBBF"/>
    <w:rsid w:val="10965B7B"/>
    <w:rsid w:val="109A446F"/>
    <w:rsid w:val="10B1DE97"/>
    <w:rsid w:val="10D970B3"/>
    <w:rsid w:val="110AF2E3"/>
    <w:rsid w:val="11CC3E9E"/>
    <w:rsid w:val="123336B5"/>
    <w:rsid w:val="1246CD15"/>
    <w:rsid w:val="12D6F987"/>
    <w:rsid w:val="12FAE08E"/>
    <w:rsid w:val="139D76AE"/>
    <w:rsid w:val="141EEFA1"/>
    <w:rsid w:val="142912FC"/>
    <w:rsid w:val="1435AB1A"/>
    <w:rsid w:val="14B049C5"/>
    <w:rsid w:val="14C1E4FD"/>
    <w:rsid w:val="152EB17A"/>
    <w:rsid w:val="159F9DE1"/>
    <w:rsid w:val="15EEFB7B"/>
    <w:rsid w:val="165D9D6C"/>
    <w:rsid w:val="16FE55C9"/>
    <w:rsid w:val="178246B2"/>
    <w:rsid w:val="178320A2"/>
    <w:rsid w:val="18278D75"/>
    <w:rsid w:val="18503C7F"/>
    <w:rsid w:val="1855FD45"/>
    <w:rsid w:val="1864DC79"/>
    <w:rsid w:val="18DA6CBD"/>
    <w:rsid w:val="194309AE"/>
    <w:rsid w:val="19AD7FA3"/>
    <w:rsid w:val="19C53E1C"/>
    <w:rsid w:val="19FDA424"/>
    <w:rsid w:val="1A15A9A5"/>
    <w:rsid w:val="1A556604"/>
    <w:rsid w:val="1A72567C"/>
    <w:rsid w:val="1AC456C6"/>
    <w:rsid w:val="1AF92A92"/>
    <w:rsid w:val="1B422B6D"/>
    <w:rsid w:val="1B634654"/>
    <w:rsid w:val="1B73C884"/>
    <w:rsid w:val="1C10FDAB"/>
    <w:rsid w:val="1C1D12C7"/>
    <w:rsid w:val="1C424827"/>
    <w:rsid w:val="1C9E4350"/>
    <w:rsid w:val="1CAAAAE5"/>
    <w:rsid w:val="1CD6AD69"/>
    <w:rsid w:val="1CE8387A"/>
    <w:rsid w:val="1CF5CB65"/>
    <w:rsid w:val="1D0B9FE1"/>
    <w:rsid w:val="1D4C3B91"/>
    <w:rsid w:val="1D62B0D0"/>
    <w:rsid w:val="1D9CF657"/>
    <w:rsid w:val="1DC0D9B9"/>
    <w:rsid w:val="1DE36014"/>
    <w:rsid w:val="1E30CB54"/>
    <w:rsid w:val="1EAB372A"/>
    <w:rsid w:val="1ED1A937"/>
    <w:rsid w:val="1F32CE44"/>
    <w:rsid w:val="1F44845E"/>
    <w:rsid w:val="1F47A379"/>
    <w:rsid w:val="20D867C5"/>
    <w:rsid w:val="20EC91F7"/>
    <w:rsid w:val="2109B613"/>
    <w:rsid w:val="2180CA28"/>
    <w:rsid w:val="21842040"/>
    <w:rsid w:val="21880182"/>
    <w:rsid w:val="21D17B61"/>
    <w:rsid w:val="21FBF485"/>
    <w:rsid w:val="223D7179"/>
    <w:rsid w:val="2298D005"/>
    <w:rsid w:val="22A511CA"/>
    <w:rsid w:val="23723303"/>
    <w:rsid w:val="241A279C"/>
    <w:rsid w:val="24976A1F"/>
    <w:rsid w:val="2505C751"/>
    <w:rsid w:val="254C5C65"/>
    <w:rsid w:val="25AB0EAF"/>
    <w:rsid w:val="25D3CC89"/>
    <w:rsid w:val="261D3F48"/>
    <w:rsid w:val="265F55F9"/>
    <w:rsid w:val="26872211"/>
    <w:rsid w:val="26CBB271"/>
    <w:rsid w:val="27438CE6"/>
    <w:rsid w:val="27C0746E"/>
    <w:rsid w:val="2805CB02"/>
    <w:rsid w:val="285465B2"/>
    <w:rsid w:val="28B143D9"/>
    <w:rsid w:val="28D39AD8"/>
    <w:rsid w:val="2914858A"/>
    <w:rsid w:val="294C1F09"/>
    <w:rsid w:val="2982046C"/>
    <w:rsid w:val="29ABB399"/>
    <w:rsid w:val="29B27081"/>
    <w:rsid w:val="29FB0DF9"/>
    <w:rsid w:val="2B07022D"/>
    <w:rsid w:val="2B1F6958"/>
    <w:rsid w:val="2B64B907"/>
    <w:rsid w:val="2BB5BF8D"/>
    <w:rsid w:val="2BC938B1"/>
    <w:rsid w:val="2C31991A"/>
    <w:rsid w:val="2C49739C"/>
    <w:rsid w:val="2C54D83D"/>
    <w:rsid w:val="2C858080"/>
    <w:rsid w:val="2C930CF8"/>
    <w:rsid w:val="2C9F5083"/>
    <w:rsid w:val="2CDDC93E"/>
    <w:rsid w:val="2D58AC70"/>
    <w:rsid w:val="2D5F4707"/>
    <w:rsid w:val="2E444D74"/>
    <w:rsid w:val="2E6B4F8F"/>
    <w:rsid w:val="2E82B73B"/>
    <w:rsid w:val="2EA4B360"/>
    <w:rsid w:val="2EE109BA"/>
    <w:rsid w:val="2F15EFEF"/>
    <w:rsid w:val="2FF9D4AD"/>
    <w:rsid w:val="30326F8D"/>
    <w:rsid w:val="304A7EFD"/>
    <w:rsid w:val="30B14020"/>
    <w:rsid w:val="30D863BF"/>
    <w:rsid w:val="315959AE"/>
    <w:rsid w:val="319EC8C3"/>
    <w:rsid w:val="31C78697"/>
    <w:rsid w:val="3239A086"/>
    <w:rsid w:val="329E2BFD"/>
    <w:rsid w:val="32CFBE61"/>
    <w:rsid w:val="333E8879"/>
    <w:rsid w:val="33BF5075"/>
    <w:rsid w:val="3432F054"/>
    <w:rsid w:val="34A13B92"/>
    <w:rsid w:val="34E5B7C2"/>
    <w:rsid w:val="34F30A1E"/>
    <w:rsid w:val="3510A14E"/>
    <w:rsid w:val="351E7075"/>
    <w:rsid w:val="3523A8D2"/>
    <w:rsid w:val="35AE967E"/>
    <w:rsid w:val="3607B608"/>
    <w:rsid w:val="36856980"/>
    <w:rsid w:val="36C3A14F"/>
    <w:rsid w:val="36DA6D34"/>
    <w:rsid w:val="36DFB315"/>
    <w:rsid w:val="36FFCF4E"/>
    <w:rsid w:val="37258BC6"/>
    <w:rsid w:val="373FC3A6"/>
    <w:rsid w:val="378AED57"/>
    <w:rsid w:val="37B26AD2"/>
    <w:rsid w:val="37DB22F7"/>
    <w:rsid w:val="3813ECEF"/>
    <w:rsid w:val="384884BE"/>
    <w:rsid w:val="38E5C0BB"/>
    <w:rsid w:val="390D6D81"/>
    <w:rsid w:val="399F6ED7"/>
    <w:rsid w:val="39B53744"/>
    <w:rsid w:val="3AA445B4"/>
    <w:rsid w:val="3AE2ED0A"/>
    <w:rsid w:val="3B06D182"/>
    <w:rsid w:val="3B1055E8"/>
    <w:rsid w:val="3B7E2D4E"/>
    <w:rsid w:val="3BE1ED2C"/>
    <w:rsid w:val="3C9D92CA"/>
    <w:rsid w:val="3CC423EF"/>
    <w:rsid w:val="3E099653"/>
    <w:rsid w:val="3E4EF141"/>
    <w:rsid w:val="3EB67F03"/>
    <w:rsid w:val="3F2B30FD"/>
    <w:rsid w:val="3F9CED0A"/>
    <w:rsid w:val="3FAE5038"/>
    <w:rsid w:val="3FB3B294"/>
    <w:rsid w:val="40225DB0"/>
    <w:rsid w:val="4097431E"/>
    <w:rsid w:val="40F76CD0"/>
    <w:rsid w:val="40F9264E"/>
    <w:rsid w:val="41285C64"/>
    <w:rsid w:val="41B640D2"/>
    <w:rsid w:val="41BD8B13"/>
    <w:rsid w:val="41CE5917"/>
    <w:rsid w:val="41FE247F"/>
    <w:rsid w:val="420DA31F"/>
    <w:rsid w:val="4269ADC6"/>
    <w:rsid w:val="430769C1"/>
    <w:rsid w:val="436BDC8C"/>
    <w:rsid w:val="43A00758"/>
    <w:rsid w:val="450B0AE6"/>
    <w:rsid w:val="453E5813"/>
    <w:rsid w:val="455072A3"/>
    <w:rsid w:val="458AD131"/>
    <w:rsid w:val="45E586B3"/>
    <w:rsid w:val="4636F931"/>
    <w:rsid w:val="46E11442"/>
    <w:rsid w:val="46EBD6C4"/>
    <w:rsid w:val="46F9F8EB"/>
    <w:rsid w:val="475DB454"/>
    <w:rsid w:val="47FB9ABD"/>
    <w:rsid w:val="482980FB"/>
    <w:rsid w:val="4842BC7F"/>
    <w:rsid w:val="485681E8"/>
    <w:rsid w:val="487B7E0C"/>
    <w:rsid w:val="489E72E1"/>
    <w:rsid w:val="48F3E647"/>
    <w:rsid w:val="48F5D64B"/>
    <w:rsid w:val="4909BF0B"/>
    <w:rsid w:val="494865E2"/>
    <w:rsid w:val="494AE49D"/>
    <w:rsid w:val="494FAB2A"/>
    <w:rsid w:val="49B9B107"/>
    <w:rsid w:val="49E3D57E"/>
    <w:rsid w:val="4A896DC2"/>
    <w:rsid w:val="4A98E5D2"/>
    <w:rsid w:val="4AE5A6C3"/>
    <w:rsid w:val="4B07DEE1"/>
    <w:rsid w:val="4B1373FD"/>
    <w:rsid w:val="4B1DE5FA"/>
    <w:rsid w:val="4B4E5A37"/>
    <w:rsid w:val="4B7BFB3B"/>
    <w:rsid w:val="4B7F21D3"/>
    <w:rsid w:val="4C153F07"/>
    <w:rsid w:val="4D21DB74"/>
    <w:rsid w:val="4D2EE0A2"/>
    <w:rsid w:val="4D45594B"/>
    <w:rsid w:val="4D49FCD2"/>
    <w:rsid w:val="4D89B7A3"/>
    <w:rsid w:val="4D9FA6E7"/>
    <w:rsid w:val="4DEBA702"/>
    <w:rsid w:val="4E3329F3"/>
    <w:rsid w:val="4E4418B9"/>
    <w:rsid w:val="4E76C68D"/>
    <w:rsid w:val="4F0ED595"/>
    <w:rsid w:val="4F20C717"/>
    <w:rsid w:val="4F663CD1"/>
    <w:rsid w:val="4F77477B"/>
    <w:rsid w:val="4FD22D6D"/>
    <w:rsid w:val="4FE9BA98"/>
    <w:rsid w:val="4FEC78D4"/>
    <w:rsid w:val="504C087E"/>
    <w:rsid w:val="508FD2FF"/>
    <w:rsid w:val="50BC97AD"/>
    <w:rsid w:val="522246FD"/>
    <w:rsid w:val="522535D9"/>
    <w:rsid w:val="5228963B"/>
    <w:rsid w:val="525ADB4F"/>
    <w:rsid w:val="52F8A75F"/>
    <w:rsid w:val="5354214E"/>
    <w:rsid w:val="536CD790"/>
    <w:rsid w:val="53C9EEC5"/>
    <w:rsid w:val="53FB1A69"/>
    <w:rsid w:val="544A07D6"/>
    <w:rsid w:val="54D3CAE3"/>
    <w:rsid w:val="54FC90D7"/>
    <w:rsid w:val="555E0706"/>
    <w:rsid w:val="5594DBE2"/>
    <w:rsid w:val="55979837"/>
    <w:rsid w:val="55995A05"/>
    <w:rsid w:val="55EE39A9"/>
    <w:rsid w:val="568C088B"/>
    <w:rsid w:val="578B9892"/>
    <w:rsid w:val="58C4D495"/>
    <w:rsid w:val="58F2887F"/>
    <w:rsid w:val="591BD687"/>
    <w:rsid w:val="593D48B8"/>
    <w:rsid w:val="593F88E0"/>
    <w:rsid w:val="596CCD98"/>
    <w:rsid w:val="59C6FC85"/>
    <w:rsid w:val="5A3833A3"/>
    <w:rsid w:val="5A6A6044"/>
    <w:rsid w:val="5AEE0EBB"/>
    <w:rsid w:val="5B8213FD"/>
    <w:rsid w:val="5B9B9D4B"/>
    <w:rsid w:val="5BC668A3"/>
    <w:rsid w:val="5C04D378"/>
    <w:rsid w:val="5C2FE7E9"/>
    <w:rsid w:val="5C5B22D2"/>
    <w:rsid w:val="5D0E4970"/>
    <w:rsid w:val="5D80B592"/>
    <w:rsid w:val="5DC49B3A"/>
    <w:rsid w:val="5DC89979"/>
    <w:rsid w:val="5DDEF6AA"/>
    <w:rsid w:val="5DEC996E"/>
    <w:rsid w:val="5E0EC421"/>
    <w:rsid w:val="5E44CA70"/>
    <w:rsid w:val="5F4C9EB0"/>
    <w:rsid w:val="5F827994"/>
    <w:rsid w:val="6011053B"/>
    <w:rsid w:val="603F0C86"/>
    <w:rsid w:val="60530479"/>
    <w:rsid w:val="60675290"/>
    <w:rsid w:val="6128CB8B"/>
    <w:rsid w:val="61C6E9B2"/>
    <w:rsid w:val="61F13DFC"/>
    <w:rsid w:val="62115D88"/>
    <w:rsid w:val="628079F5"/>
    <w:rsid w:val="62851B59"/>
    <w:rsid w:val="634401E8"/>
    <w:rsid w:val="63723048"/>
    <w:rsid w:val="63779D1A"/>
    <w:rsid w:val="63B63BC1"/>
    <w:rsid w:val="63BB4CB2"/>
    <w:rsid w:val="63E6DAFC"/>
    <w:rsid w:val="6475D77E"/>
    <w:rsid w:val="6480DD90"/>
    <w:rsid w:val="651480ED"/>
    <w:rsid w:val="6570A080"/>
    <w:rsid w:val="65A39143"/>
    <w:rsid w:val="65C72DC4"/>
    <w:rsid w:val="65D4AFF9"/>
    <w:rsid w:val="6608300F"/>
    <w:rsid w:val="660F20A5"/>
    <w:rsid w:val="6624724B"/>
    <w:rsid w:val="6641063E"/>
    <w:rsid w:val="665ABE3C"/>
    <w:rsid w:val="66EC6E0B"/>
    <w:rsid w:val="670C10D9"/>
    <w:rsid w:val="671B8FCA"/>
    <w:rsid w:val="67565767"/>
    <w:rsid w:val="675CDF2D"/>
    <w:rsid w:val="67C85CBD"/>
    <w:rsid w:val="67D55295"/>
    <w:rsid w:val="680F62C2"/>
    <w:rsid w:val="6863B825"/>
    <w:rsid w:val="6871B9F6"/>
    <w:rsid w:val="68AD3B51"/>
    <w:rsid w:val="68D744A8"/>
    <w:rsid w:val="68E50D20"/>
    <w:rsid w:val="692FCF4E"/>
    <w:rsid w:val="69E64366"/>
    <w:rsid w:val="6A9F8BE8"/>
    <w:rsid w:val="6B58B7F0"/>
    <w:rsid w:val="6B8FB97F"/>
    <w:rsid w:val="6BB58C85"/>
    <w:rsid w:val="6C4A2302"/>
    <w:rsid w:val="6CF5A2DB"/>
    <w:rsid w:val="6D2A428B"/>
    <w:rsid w:val="6D30686D"/>
    <w:rsid w:val="6D61BD45"/>
    <w:rsid w:val="6DDF2CC3"/>
    <w:rsid w:val="6DF805BB"/>
    <w:rsid w:val="6F00AE14"/>
    <w:rsid w:val="6F34B1DF"/>
    <w:rsid w:val="6F60D1BA"/>
    <w:rsid w:val="6F6F1179"/>
    <w:rsid w:val="6F7B8535"/>
    <w:rsid w:val="6F92A731"/>
    <w:rsid w:val="700FAEDA"/>
    <w:rsid w:val="707D3ABF"/>
    <w:rsid w:val="70B4C886"/>
    <w:rsid w:val="70EF9A79"/>
    <w:rsid w:val="71522830"/>
    <w:rsid w:val="715AB5A4"/>
    <w:rsid w:val="71BD8D1F"/>
    <w:rsid w:val="7231A525"/>
    <w:rsid w:val="724E6145"/>
    <w:rsid w:val="72716EDD"/>
    <w:rsid w:val="7281C7AD"/>
    <w:rsid w:val="72CBF833"/>
    <w:rsid w:val="72DBA040"/>
    <w:rsid w:val="733D81FE"/>
    <w:rsid w:val="735E3A9A"/>
    <w:rsid w:val="7393DC62"/>
    <w:rsid w:val="73A59323"/>
    <w:rsid w:val="742C2D33"/>
    <w:rsid w:val="744E2C0F"/>
    <w:rsid w:val="7625F1FE"/>
    <w:rsid w:val="768AB259"/>
    <w:rsid w:val="76D98F7F"/>
    <w:rsid w:val="775E893C"/>
    <w:rsid w:val="7762BB56"/>
    <w:rsid w:val="776AB0CE"/>
    <w:rsid w:val="778929F5"/>
    <w:rsid w:val="77DA34C3"/>
    <w:rsid w:val="781EA582"/>
    <w:rsid w:val="782D351C"/>
    <w:rsid w:val="78A71375"/>
    <w:rsid w:val="79757213"/>
    <w:rsid w:val="79B19ED0"/>
    <w:rsid w:val="79B3B375"/>
    <w:rsid w:val="79C53FFC"/>
    <w:rsid w:val="7A39280D"/>
    <w:rsid w:val="7AEA29B5"/>
    <w:rsid w:val="7AFEAAE2"/>
    <w:rsid w:val="7B1B89DE"/>
    <w:rsid w:val="7B28ADBF"/>
    <w:rsid w:val="7B41539A"/>
    <w:rsid w:val="7B60C356"/>
    <w:rsid w:val="7CC314D6"/>
    <w:rsid w:val="7CDD12CF"/>
    <w:rsid w:val="7CF93832"/>
    <w:rsid w:val="7D4FBF26"/>
    <w:rsid w:val="7D7A9115"/>
    <w:rsid w:val="7DEAE101"/>
    <w:rsid w:val="7E3BCEB4"/>
    <w:rsid w:val="7E5AC01D"/>
    <w:rsid w:val="7EECD0EC"/>
    <w:rsid w:val="7EF2D812"/>
    <w:rsid w:val="7F6A3EF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DA246CF"/>
  <w15:docId w15:val="{D8687E20-C1F9-42F6-A09C-B1368FABC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uiPriority w:val="99"/>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semiHidden/>
    <w:rsid w:val="008F2F44"/>
    <w:rPr>
      <w:sz w:val="16"/>
      <w:szCs w:val="16"/>
    </w:rPr>
  </w:style>
  <w:style w:type="paragraph" w:styleId="CommentText">
    <w:name w:val="annotation text"/>
    <w:basedOn w:val="Normal"/>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F7843"/>
    <w:rPr>
      <w:sz w:val="20"/>
      <w:szCs w:val="20"/>
    </w:rPr>
  </w:style>
  <w:style w:type="character" w:customStyle="1" w:styleId="FootnoteTextChar">
    <w:name w:val="Footnote Text Char"/>
    <w:basedOn w:val="DefaultParagraphFont"/>
    <w:link w:val="FootnoteText"/>
    <w:rsid w:val="000F7843"/>
  </w:style>
  <w:style w:type="character" w:styleId="FootnoteReference">
    <w:name w:val="footnote reference"/>
    <w:aliases w:val="Number"/>
    <w:uiPriority w:val="99"/>
    <w:qFormat/>
    <w:rsid w:val="000F7843"/>
    <w:rPr>
      <w:vertAlign w:val="superscript"/>
    </w:rPr>
  </w:style>
  <w:style w:type="character" w:styleId="FollowedHyperlink">
    <w:name w:val="FollowedHyperlink"/>
    <w:rsid w:val="00EE1178"/>
    <w:rPr>
      <w:color w:val="954F72"/>
      <w:u w:val="single"/>
    </w:rPr>
  </w:style>
  <w:style w:type="paragraph" w:styleId="ListParagraph">
    <w:name w:val="List Paragraph"/>
    <w:basedOn w:val="Normal"/>
    <w:uiPriority w:val="34"/>
    <w:qFormat/>
    <w:rsid w:val="00AD00AE"/>
    <w:pPr>
      <w:ind w:left="720"/>
      <w:contextualSpacing/>
    </w:pPr>
  </w:style>
  <w:style w:type="paragraph" w:styleId="Revision">
    <w:name w:val="Revision"/>
    <w:hidden/>
    <w:uiPriority w:val="99"/>
    <w:semiHidden/>
    <w:rsid w:val="00691F3B"/>
    <w:rPr>
      <w:sz w:val="24"/>
      <w:szCs w:val="24"/>
    </w:rPr>
  </w:style>
  <w:style w:type="character" w:customStyle="1" w:styleId="Mention1">
    <w:name w:val="Mention1"/>
    <w:basedOn w:val="DefaultParagraphFont"/>
    <w:uiPriority w:val="99"/>
    <w:semiHidden/>
    <w:unhideWhenUsed/>
    <w:rsid w:val="00E93D7C"/>
    <w:rPr>
      <w:color w:val="2B579A"/>
      <w:shd w:val="clear" w:color="auto" w:fill="E6E6E6"/>
    </w:rPr>
  </w:style>
  <w:style w:type="character" w:styleId="UnresolvedMention">
    <w:name w:val="Unresolved Mention"/>
    <w:basedOn w:val="DefaultParagraphFont"/>
    <w:uiPriority w:val="99"/>
    <w:unhideWhenUsed/>
    <w:rsid w:val="0068783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HTMLPreformatted">
    <w:name w:val="HTML Preformatted"/>
    <w:basedOn w:val="Normal"/>
    <w:link w:val="HTMLPreformattedChar"/>
    <w:semiHidden/>
    <w:unhideWhenUsed/>
    <w:rsid w:val="00481900"/>
    <w:rPr>
      <w:rFonts w:ascii="Consolas" w:hAnsi="Consolas"/>
      <w:sz w:val="20"/>
      <w:szCs w:val="20"/>
    </w:rPr>
  </w:style>
  <w:style w:type="character" w:customStyle="1" w:styleId="HTMLPreformattedChar">
    <w:name w:val="HTML Preformatted Char"/>
    <w:basedOn w:val="DefaultParagraphFont"/>
    <w:link w:val="HTMLPreformatted"/>
    <w:semiHidden/>
    <w:rsid w:val="00481900"/>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C:UsersMichael.PickfordAppDataLocalMicrosoftWindowsINetCacheContent.MSOB2681863.xlsx" TargetMode="External" /><Relationship Id="rId11" Type="http://schemas.openxmlformats.org/officeDocument/2006/relationships/hyperlink" Target="https://www.opm.gov/policy-data-oversight/pay-leave/salaries-wages/salary-tables/25Tables/html/DCB_h.aspx" TargetMode="External" /><Relationship Id="rId12" Type="http://schemas.openxmlformats.org/officeDocument/2006/relationships/hyperlink" Target="https://www.cbo.gov/publication/59970"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isa.gov/resources-tools/programs/emergency-communications-preparedness-center-ecpc" TargetMode="External" /><Relationship Id="rId2" Type="http://schemas.openxmlformats.org/officeDocument/2006/relationships/hyperlink" Target="https://www.cisa.gov/sites/default/files/publications/NPPD_emergency-services-sector-profile-v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B7900C0853CA4D9D3217D28B9813A4" ma:contentTypeVersion="55" ma:contentTypeDescription="Create a new document." ma:contentTypeScope="" ma:versionID="98e9509b99869750bf2d98832037a2a5">
  <xsd:schema xmlns:xsd="http://www.w3.org/2001/XMLSchema" xmlns:xs="http://www.w3.org/2001/XMLSchema" xmlns:p="http://schemas.microsoft.com/office/2006/metadata/properties" xmlns:ns2="0365e8e0-2345-4973-891d-4581a45146a3" xmlns:ns3="62532c0b-70c3-4b20-bbee-eed89be391f3" targetNamespace="http://schemas.microsoft.com/office/2006/metadata/properties" ma:root="true" ma:fieldsID="067cdf2adf3f688af9bef26029d70a76" ns2:_="" ns3:_="">
    <xsd:import namespace="0365e8e0-2345-4973-891d-4581a45146a3"/>
    <xsd:import namespace="62532c0b-70c3-4b20-bbee-eed89be391f3"/>
    <xsd:element name="properties">
      <xsd:complexType>
        <xsd:sequence>
          <xsd:element name="documentManagement">
            <xsd:complexType>
              <xsd:all>
                <xsd:element ref="ns2:Entity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5e8e0-2345-4973-891d-4581a45146a3" elementFormDefault="qualified">
    <xsd:import namespace="http://schemas.microsoft.com/office/2006/documentManagement/types"/>
    <xsd:import namespace="http://schemas.microsoft.com/office/infopath/2007/PartnerControls"/>
    <xsd:element name="EntityID" ma:index="8" nillable="true" ma:displayName="Entity ID" ma:internalName="EntityID" ma:readOnly="false">
      <xsd:simpleType>
        <xsd:restriction base="dms:Text">
          <xsd:maxLength value="255"/>
        </xsd:restriction>
      </xsd:simpleType>
    </xsd:element>
    <xsd:element name="TaxCatchAll" ma:index="15" nillable="true" ma:displayName="Taxonomy Catch All Column" ma:hidden="true" ma:list="{780d972e-a8b8-4b38-b461-a4abc01a4b78}" ma:internalName="TaxCatchAll" ma:showField="CatchAllData" ma:web="0365e8e0-2345-4973-891d-4581a45146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532c0b-70c3-4b20-bbee-eed89be391f3"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9b6b14-b2e9-4229-8a92-3cede8e5973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532c0b-70c3-4b20-bbee-eed89be391f3">
      <Terms xmlns="http://schemas.microsoft.com/office/infopath/2007/PartnerControls"/>
    </lcf76f155ced4ddcb4097134ff3c332f>
    <TaxCatchAll xmlns="0365e8e0-2345-4973-891d-4581a45146a3" xsi:nil="true"/>
    <EntityID xmlns="0365e8e0-2345-4973-891d-4581a45146a3">b07aa288-c5c3-f011-bbd3-001dd8062c20</Entity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D67467C-2B13-4203-8302-4D07753E2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5e8e0-2345-4973-891d-4581a45146a3"/>
    <ds:schemaRef ds:uri="62532c0b-70c3-4b20-bbee-eed89be39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82C66A-E238-47B8-ACB5-F4459AF250E1}">
  <ds:schemaRefs>
    <ds:schemaRef ds:uri="http://schemas.microsoft.com/office/2006/metadata/longProperties"/>
  </ds:schemaRefs>
</ds:datastoreItem>
</file>

<file path=customXml/itemProps3.xml><?xml version="1.0" encoding="utf-8"?>
<ds:datastoreItem xmlns:ds="http://schemas.openxmlformats.org/officeDocument/2006/customXml" ds:itemID="{AD76D526-F759-4E14-B18C-93138FD85788}">
  <ds:schemaRefs>
    <ds:schemaRef ds:uri="http://schemas.microsoft.com/office/2006/metadata/properties"/>
    <ds:schemaRef ds:uri="http://schemas.microsoft.com/office/infopath/2007/PartnerControls"/>
    <ds:schemaRef ds:uri="62532c0b-70c3-4b20-bbee-eed89be391f3"/>
    <ds:schemaRef ds:uri="0365e8e0-2345-4973-891d-4581a45146a3"/>
  </ds:schemaRefs>
</ds:datastoreItem>
</file>

<file path=customXml/itemProps4.xml><?xml version="1.0" encoding="utf-8"?>
<ds:datastoreItem xmlns:ds="http://schemas.openxmlformats.org/officeDocument/2006/customXml" ds:itemID="{CC842E29-4052-41C3-AECF-2D955C66720A}">
  <ds:schemaRefs>
    <ds:schemaRef ds:uri="http://schemas.microsoft.com/sharepoint/v3/contenttype/forms"/>
  </ds:schemaRefs>
</ds:datastoreItem>
</file>

<file path=customXml/itemProps5.xml><?xml version="1.0" encoding="utf-8"?>
<ds:datastoreItem xmlns:ds="http://schemas.openxmlformats.org/officeDocument/2006/customXml" ds:itemID="{A66DCD50-76FA-4CF0-9B7D-20EDA6A5B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5148</Words>
  <Characters>29707</Characters>
  <Application>Microsoft Office Word</Application>
  <DocSecurity>0</DocSecurity>
  <Lines>660</Lines>
  <Paragraphs>303</Paragraphs>
  <ScaleCrop>false</ScaleCrop>
  <Company/>
  <LinksUpToDate>false</LinksUpToDate>
  <CharactersWithSpaces>34552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Thomsen, Benjamin</cp:lastModifiedBy>
  <cp:revision>24</cp:revision>
  <dcterms:created xsi:type="dcterms:W3CDTF">2025-04-24T12:14:00Z</dcterms:created>
  <dcterms:modified xsi:type="dcterms:W3CDTF">2025-12-01T17:02:00Z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0x0101007CB7900C0853CA4D9D3217D28B9813A4</vt:lpwstr>
  </property>
  <property fmtid="{D5CDD505-2E9C-101B-9397-08002B2CF9AE}" pid="3" name="docLang">
    <vt:lpwstr>en</vt:lpwstr>
  </property>
  <property fmtid="{D5CDD505-2E9C-101B-9397-08002B2CF9AE}" pid="4" name="MediaServiceImageTags">
    <vt:lpwstr/>
  </property>
  <property fmtid="{D5CDD505-2E9C-101B-9397-08002B2CF9AE}" pid="5" name="MSIP_Label_a2eef23d-2e95-4428-9a3c-2526d95b164a_ActionId">
    <vt:lpwstr>4b2d27a1-61a6-4822-9ea6-c7a7fde5b71b</vt:lpwstr>
  </property>
  <property fmtid="{D5CDD505-2E9C-101B-9397-08002B2CF9AE}" pid="6" name="MSIP_Label_a2eef23d-2e95-4428-9a3c-2526d95b164a_ContentBits">
    <vt:lpwstr>0</vt:lpwstr>
  </property>
  <property fmtid="{D5CDD505-2E9C-101B-9397-08002B2CF9AE}" pid="7" name="MSIP_Label_a2eef23d-2e95-4428-9a3c-2526d95b164a_Enabled">
    <vt:lpwstr>true</vt:lpwstr>
  </property>
  <property fmtid="{D5CDD505-2E9C-101B-9397-08002B2CF9AE}" pid="8" name="MSIP_Label_a2eef23d-2e95-4428-9a3c-2526d95b164a_Method">
    <vt:lpwstr>Standard</vt:lpwstr>
  </property>
  <property fmtid="{D5CDD505-2E9C-101B-9397-08002B2CF9AE}" pid="9" name="MSIP_Label_a2eef23d-2e95-4428-9a3c-2526d95b164a_Name">
    <vt:lpwstr>For Official Use Only (FOUO)</vt:lpwstr>
  </property>
  <property fmtid="{D5CDD505-2E9C-101B-9397-08002B2CF9AE}" pid="10" name="MSIP_Label_a2eef23d-2e95-4428-9a3c-2526d95b164a_SetDate">
    <vt:lpwstr>2022-02-08T14:46:10Z</vt:lpwstr>
  </property>
  <property fmtid="{D5CDD505-2E9C-101B-9397-08002B2CF9AE}" pid="11" name="MSIP_Label_a2eef23d-2e95-4428-9a3c-2526d95b164a_SiteId">
    <vt:lpwstr>3ccde76c-946d-4a12-bb7a-fc9d0842354a</vt:lpwstr>
  </property>
  <property fmtid="{D5CDD505-2E9C-101B-9397-08002B2CF9AE}" pid="12" name="_ExtendedDescription">
    <vt:lpwstr/>
  </property>
</Properties>
</file>