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10EC" w:rsidRPr="0033794C" w:rsidP="0033794C" w14:paraId="380AB904" w14:textId="77777777">
      <w:pPr>
        <w:pStyle w:val="Heading1"/>
        <w:tabs>
          <w:tab w:val="clear" w:pos="4824"/>
        </w:tabs>
        <w:jc w:val="center"/>
        <w:rPr>
          <w:rFonts w:cs="Arial"/>
        </w:rPr>
      </w:pPr>
      <w:r w:rsidRPr="0033794C">
        <w:rPr>
          <w:rFonts w:cs="Arial"/>
        </w:rPr>
        <w:t>Supporting Statement</w:t>
      </w:r>
    </w:p>
    <w:p w:rsidR="00AA3E01" w:rsidRPr="00AA3E01" w:rsidP="00AA3E01" w14:paraId="0E6895CA" w14:textId="77777777">
      <w:pPr>
        <w:jc w:val="center"/>
        <w:rPr>
          <w:rFonts w:ascii="Arial" w:hAnsi="Arial"/>
          <w:b/>
          <w:sz w:val="22"/>
          <w:szCs w:val="22"/>
        </w:rPr>
      </w:pPr>
      <w:r w:rsidRPr="00AA3E01">
        <w:rPr>
          <w:rFonts w:ascii="Arial" w:hAnsi="Arial"/>
          <w:b/>
          <w:sz w:val="22"/>
          <w:szCs w:val="22"/>
        </w:rPr>
        <w:t>Accreditation of Commercial Testing Laboratories and Approval of Commercial Gaugers</w:t>
      </w:r>
    </w:p>
    <w:p w:rsidR="005E10EC" w:rsidRPr="0033794C" w:rsidP="00AA3E01" w14:paraId="5D4716DC" w14:textId="77777777">
      <w:pPr>
        <w:ind w:right="720"/>
        <w:jc w:val="center"/>
        <w:rPr>
          <w:rFonts w:ascii="Arial" w:hAnsi="Arial" w:cs="Arial"/>
          <w:b/>
        </w:rPr>
      </w:pPr>
      <w:r>
        <w:rPr>
          <w:rFonts w:ascii="Arial" w:hAnsi="Arial" w:cs="Arial"/>
          <w:b/>
        </w:rPr>
        <w:t xml:space="preserve">      </w:t>
      </w:r>
      <w:r w:rsidRPr="0033794C">
        <w:rPr>
          <w:rFonts w:ascii="Arial" w:hAnsi="Arial" w:cs="Arial"/>
          <w:b/>
        </w:rPr>
        <w:t>1651-0053</w:t>
      </w:r>
    </w:p>
    <w:p w:rsidR="005E10EC" w:rsidRPr="0033794C" w:rsidP="0033794C" w14:paraId="0B44E3C5" w14:textId="77777777">
      <w:pPr>
        <w:ind w:right="720"/>
        <w:rPr>
          <w:rFonts w:ascii="Arial" w:hAnsi="Arial" w:cs="Arial"/>
        </w:rPr>
      </w:pPr>
    </w:p>
    <w:p w:rsidR="005E10EC" w:rsidRPr="0033794C" w:rsidP="0033794C" w14:paraId="6CE2BAFB" w14:textId="77777777">
      <w:pPr>
        <w:jc w:val="both"/>
        <w:rPr>
          <w:rFonts w:ascii="Arial" w:hAnsi="Arial" w:cs="Arial"/>
          <w:b/>
          <w:sz w:val="28"/>
        </w:rPr>
      </w:pPr>
      <w:r w:rsidRPr="0033794C">
        <w:rPr>
          <w:rFonts w:ascii="Arial" w:hAnsi="Arial" w:cs="Arial"/>
          <w:b/>
          <w:sz w:val="28"/>
        </w:rPr>
        <w:t>A.</w:t>
      </w:r>
      <w:r w:rsidRPr="0033794C">
        <w:rPr>
          <w:rFonts w:ascii="Arial" w:hAnsi="Arial" w:cs="Arial"/>
          <w:b/>
          <w:sz w:val="28"/>
        </w:rPr>
        <w:tab/>
        <w:t>Justification</w:t>
      </w:r>
      <w:r w:rsidR="00E14B88">
        <w:rPr>
          <w:rFonts w:ascii="Arial" w:hAnsi="Arial" w:cs="Arial"/>
          <w:b/>
          <w:sz w:val="28"/>
        </w:rPr>
        <w:t xml:space="preserve"> </w:t>
      </w:r>
      <w:r w:rsidR="006C0D6B">
        <w:rPr>
          <w:rFonts w:ascii="Arial" w:hAnsi="Arial" w:cs="Arial"/>
          <w:b/>
          <w:sz w:val="28"/>
        </w:rPr>
        <w:t xml:space="preserve"> </w:t>
      </w:r>
    </w:p>
    <w:p w:rsidR="005E10EC" w:rsidRPr="0033794C" w:rsidP="0033794C" w14:paraId="512C14C9" w14:textId="77777777">
      <w:pPr>
        <w:pStyle w:val="Heading1"/>
        <w:tabs>
          <w:tab w:val="clear" w:pos="4824"/>
        </w:tabs>
        <w:jc w:val="both"/>
        <w:rPr>
          <w:rFonts w:cs="Arial"/>
        </w:rPr>
      </w:pPr>
    </w:p>
    <w:p w:rsidR="005E10EC" w:rsidRPr="00DC417F" w:rsidP="0033794C" w14:paraId="2326488D" w14:textId="77777777">
      <w:pPr>
        <w:numPr>
          <w:ilvl w:val="0"/>
          <w:numId w:val="11"/>
        </w:numPr>
        <w:tabs>
          <w:tab w:val="clear" w:pos="720"/>
        </w:tabs>
        <w:ind w:hanging="720"/>
        <w:jc w:val="both"/>
        <w:rPr>
          <w:rFonts w:ascii="Arial" w:hAnsi="Arial" w:cs="Arial"/>
          <w:b/>
          <w:bCs/>
          <w:szCs w:val="24"/>
        </w:rPr>
      </w:pPr>
      <w:r w:rsidRPr="00DC417F">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DC417F" w:rsidR="00431903">
        <w:rPr>
          <w:rFonts w:ascii="Arial" w:hAnsi="Arial" w:cs="Arial"/>
          <w:b/>
          <w:bCs/>
          <w:szCs w:val="24"/>
        </w:rPr>
        <w:t>t</w:t>
      </w:r>
      <w:r w:rsidRPr="00DC417F">
        <w:rPr>
          <w:rFonts w:ascii="Arial" w:hAnsi="Arial" w:cs="Arial"/>
          <w:b/>
          <w:bCs/>
          <w:szCs w:val="24"/>
        </w:rPr>
        <w:t>e and regulation mandating or authorizing the collection of information.</w:t>
      </w:r>
    </w:p>
    <w:p w:rsidR="005E10EC" w:rsidRPr="0033794C" w:rsidP="0033794C" w14:paraId="0EBA016C" w14:textId="77777777">
      <w:pPr>
        <w:ind w:left="720"/>
        <w:jc w:val="both"/>
        <w:rPr>
          <w:rFonts w:ascii="Arial" w:hAnsi="Arial" w:cs="Arial"/>
          <w:szCs w:val="24"/>
        </w:rPr>
      </w:pPr>
    </w:p>
    <w:p w:rsidR="00F65C14" w:rsidP="00EB4B01" w14:paraId="10D5488E" w14:textId="2DF88564">
      <w:pPr>
        <w:ind w:left="720"/>
        <w:rPr>
          <w:rFonts w:ascii="Arial" w:hAnsi="Arial" w:cs="Arial"/>
        </w:rPr>
      </w:pPr>
      <w:r w:rsidRPr="0033794C">
        <w:rPr>
          <w:rFonts w:ascii="Arial" w:hAnsi="Arial" w:cs="Arial"/>
        </w:rPr>
        <w:t>Commercial laboratories seeking</w:t>
      </w:r>
      <w:r>
        <w:rPr>
          <w:rFonts w:ascii="Arial" w:hAnsi="Arial" w:cs="Arial"/>
        </w:rPr>
        <w:t xml:space="preserve"> </w:t>
      </w:r>
      <w:r w:rsidR="00170AC1">
        <w:rPr>
          <w:rFonts w:ascii="Arial" w:hAnsi="Arial" w:cs="Arial"/>
        </w:rPr>
        <w:t xml:space="preserve">to become a </w:t>
      </w:r>
      <w:r w:rsidRPr="0033794C" w:rsidR="00170AC1">
        <w:rPr>
          <w:rFonts w:ascii="Arial" w:hAnsi="Arial" w:cs="Arial"/>
        </w:rPr>
        <w:t>C</w:t>
      </w:r>
      <w:r w:rsidR="00170AC1">
        <w:rPr>
          <w:rFonts w:ascii="Arial" w:hAnsi="Arial" w:cs="Arial"/>
        </w:rPr>
        <w:t xml:space="preserve">ustoms and Border Protection (CBP) Accredited Laboratory and commercial </w:t>
      </w:r>
      <w:r w:rsidR="00373063">
        <w:rPr>
          <w:rFonts w:ascii="Arial" w:hAnsi="Arial" w:cs="Arial"/>
        </w:rPr>
        <w:t>gauger</w:t>
      </w:r>
      <w:r w:rsidR="00170AC1">
        <w:rPr>
          <w:rFonts w:ascii="Arial" w:hAnsi="Arial" w:cs="Arial"/>
        </w:rPr>
        <w:t xml:space="preserve">s seeking to become a CBP Approved Gauger </w:t>
      </w:r>
      <w:r>
        <w:rPr>
          <w:rFonts w:ascii="Arial" w:hAnsi="Arial" w:cs="Arial"/>
        </w:rPr>
        <w:t xml:space="preserve">must </w:t>
      </w:r>
      <w:r w:rsidR="00170AC1">
        <w:rPr>
          <w:rFonts w:ascii="Arial" w:hAnsi="Arial" w:cs="Arial"/>
        </w:rPr>
        <w:t>submit</w:t>
      </w:r>
      <w:r w:rsidRPr="0033794C" w:rsidR="00170AC1">
        <w:rPr>
          <w:rFonts w:ascii="Arial" w:hAnsi="Arial" w:cs="Arial"/>
        </w:rPr>
        <w:t xml:space="preserve"> </w:t>
      </w:r>
      <w:r w:rsidRPr="0033794C">
        <w:rPr>
          <w:rFonts w:ascii="Arial" w:hAnsi="Arial" w:cs="Arial"/>
        </w:rPr>
        <w:t xml:space="preserve">the information specified in 19 CFR 151.12 </w:t>
      </w:r>
      <w:r w:rsidR="00170AC1">
        <w:rPr>
          <w:rFonts w:ascii="Arial" w:hAnsi="Arial" w:cs="Arial"/>
        </w:rPr>
        <w:t>and 19 CFR 151.13, respectively,</w:t>
      </w:r>
      <w:r w:rsidRPr="0033794C" w:rsidR="00170AC1">
        <w:rPr>
          <w:rFonts w:ascii="Arial" w:hAnsi="Arial" w:cs="Arial"/>
        </w:rPr>
        <w:t xml:space="preserve"> </w:t>
      </w:r>
      <w:r w:rsidR="00170AC1">
        <w:rPr>
          <w:rFonts w:ascii="Arial" w:hAnsi="Arial" w:cs="Arial"/>
        </w:rPr>
        <w:t>to</w:t>
      </w:r>
      <w:r w:rsidR="006075C5">
        <w:rPr>
          <w:rFonts w:ascii="Arial" w:hAnsi="Arial" w:cs="Arial"/>
        </w:rPr>
        <w:t xml:space="preserve"> </w:t>
      </w:r>
      <w:r w:rsidR="00B70314">
        <w:rPr>
          <w:rFonts w:ascii="Arial" w:hAnsi="Arial" w:cs="Arial"/>
        </w:rPr>
        <w:t>CBP</w:t>
      </w:r>
      <w:r w:rsidR="006075C5">
        <w:rPr>
          <w:rFonts w:ascii="Arial" w:hAnsi="Arial" w:cs="Arial"/>
        </w:rPr>
        <w:t xml:space="preserve"> on CBP Form 6478. </w:t>
      </w:r>
      <w:r w:rsidRPr="0033794C">
        <w:rPr>
          <w:rFonts w:ascii="Arial" w:hAnsi="Arial" w:cs="Arial"/>
        </w:rPr>
        <w:t xml:space="preserve">After the initial </w:t>
      </w:r>
      <w:r w:rsidR="006075C5">
        <w:rPr>
          <w:rFonts w:ascii="Arial" w:hAnsi="Arial" w:cs="Arial"/>
        </w:rPr>
        <w:t xml:space="preserve">accreditation </w:t>
      </w:r>
      <w:r>
        <w:rPr>
          <w:rFonts w:ascii="Arial" w:hAnsi="Arial" w:cs="Arial"/>
        </w:rPr>
        <w:t xml:space="preserve">and/or </w:t>
      </w:r>
      <w:r w:rsidRPr="0033794C">
        <w:rPr>
          <w:rFonts w:ascii="Arial" w:hAnsi="Arial" w:cs="Arial"/>
        </w:rPr>
        <w:t>a</w:t>
      </w:r>
      <w:r w:rsidR="006075C5">
        <w:rPr>
          <w:rFonts w:ascii="Arial" w:hAnsi="Arial" w:cs="Arial"/>
        </w:rPr>
        <w:t>pproval</w:t>
      </w:r>
      <w:r w:rsidRPr="0033794C">
        <w:rPr>
          <w:rFonts w:ascii="Arial" w:hAnsi="Arial" w:cs="Arial"/>
        </w:rPr>
        <w:t xml:space="preserve">, a private company may </w:t>
      </w:r>
      <w:r w:rsidR="006075C5">
        <w:rPr>
          <w:rFonts w:ascii="Arial" w:hAnsi="Arial" w:cs="Arial"/>
        </w:rPr>
        <w:t xml:space="preserve">apply to include additional facilities under </w:t>
      </w:r>
      <w:r w:rsidRPr="0033794C">
        <w:rPr>
          <w:rFonts w:ascii="Arial" w:hAnsi="Arial" w:cs="Arial"/>
        </w:rPr>
        <w:t xml:space="preserve">its </w:t>
      </w:r>
      <w:r w:rsidR="006075C5">
        <w:rPr>
          <w:rFonts w:ascii="Arial" w:hAnsi="Arial" w:cs="Arial"/>
        </w:rPr>
        <w:t xml:space="preserve">accreditation </w:t>
      </w:r>
      <w:r>
        <w:rPr>
          <w:rFonts w:ascii="Arial" w:hAnsi="Arial" w:cs="Arial"/>
        </w:rPr>
        <w:t xml:space="preserve">and/or </w:t>
      </w:r>
      <w:r w:rsidRPr="0033794C">
        <w:rPr>
          <w:rFonts w:ascii="Arial" w:hAnsi="Arial" w:cs="Arial"/>
        </w:rPr>
        <w:t>a</w:t>
      </w:r>
      <w:r w:rsidR="006075C5">
        <w:rPr>
          <w:rFonts w:ascii="Arial" w:hAnsi="Arial" w:cs="Arial"/>
        </w:rPr>
        <w:t>pproval</w:t>
      </w:r>
      <w:r w:rsidRPr="0033794C">
        <w:rPr>
          <w:rFonts w:ascii="Arial" w:hAnsi="Arial" w:cs="Arial"/>
        </w:rPr>
        <w:t xml:space="preserve"> by submitting a formal written request </w:t>
      </w:r>
      <w:r w:rsidR="00E66DC2">
        <w:rPr>
          <w:rFonts w:ascii="Arial" w:hAnsi="Arial" w:cs="Arial"/>
        </w:rPr>
        <w:t>to CBP.</w:t>
      </w:r>
      <w:r w:rsidR="00B70314">
        <w:rPr>
          <w:rFonts w:ascii="Arial" w:hAnsi="Arial" w:cs="Arial"/>
        </w:rPr>
        <w:t xml:space="preserve">  This application process is authorized by </w:t>
      </w:r>
      <w:r w:rsidRPr="0033794C" w:rsidR="005E10EC">
        <w:rPr>
          <w:rFonts w:ascii="Arial" w:hAnsi="Arial" w:cs="Arial"/>
        </w:rPr>
        <w:t xml:space="preserve">Section 613 of Public Law 103-182 (NAFTA Implementation Act), codified at 19 U.S.C. 1499, </w:t>
      </w:r>
      <w:r w:rsidR="00B70314">
        <w:rPr>
          <w:rFonts w:ascii="Arial" w:hAnsi="Arial" w:cs="Arial"/>
        </w:rPr>
        <w:t xml:space="preserve">which </w:t>
      </w:r>
      <w:r w:rsidRPr="0033794C" w:rsidR="005E10EC">
        <w:rPr>
          <w:rFonts w:ascii="Arial" w:hAnsi="Arial" w:cs="Arial"/>
        </w:rPr>
        <w:t xml:space="preserve">directs CBP to establish a procedure to accredit privately owned testing laboratories.  </w:t>
      </w:r>
      <w:r w:rsidRPr="00CA7E60" w:rsidR="00CA7E60">
        <w:rPr>
          <w:rFonts w:ascii="Arial" w:hAnsi="Arial" w:cs="Arial"/>
        </w:rPr>
        <w:t>Th</w:t>
      </w:r>
      <w:r w:rsidR="0078509D">
        <w:rPr>
          <w:rFonts w:ascii="Arial" w:hAnsi="Arial" w:cs="Arial"/>
        </w:rPr>
        <w:t xml:space="preserve">e information collected is </w:t>
      </w:r>
      <w:r w:rsidRPr="00CA7E60" w:rsidR="00CA7E60">
        <w:rPr>
          <w:rFonts w:ascii="Arial" w:hAnsi="Arial" w:cs="Arial"/>
        </w:rPr>
        <w:t>used by</w:t>
      </w:r>
      <w:r w:rsidR="00DF4FF7">
        <w:rPr>
          <w:rFonts w:ascii="Arial" w:hAnsi="Arial" w:cs="Arial"/>
        </w:rPr>
        <w:t xml:space="preserve"> CBP in deciding whether to approve</w:t>
      </w:r>
      <w:r w:rsidRPr="00CA7E60" w:rsidR="00CA7E60">
        <w:rPr>
          <w:rFonts w:ascii="Arial" w:hAnsi="Arial" w:cs="Arial"/>
        </w:rPr>
        <w:t xml:space="preserve"> individuals or businesses </w:t>
      </w:r>
      <w:r w:rsidR="00DF4FF7">
        <w:rPr>
          <w:rFonts w:ascii="Arial" w:hAnsi="Arial" w:cs="Arial"/>
        </w:rPr>
        <w:t xml:space="preserve">desiring </w:t>
      </w:r>
      <w:r w:rsidRPr="00CA7E60" w:rsidR="00CA7E60">
        <w:rPr>
          <w:rFonts w:ascii="Arial" w:hAnsi="Arial" w:cs="Arial"/>
        </w:rPr>
        <w:t xml:space="preserve">to measure bulk products or </w:t>
      </w:r>
      <w:r w:rsidR="00DF4FF7">
        <w:rPr>
          <w:rFonts w:ascii="Arial" w:hAnsi="Arial" w:cs="Arial"/>
        </w:rPr>
        <w:t xml:space="preserve">to </w:t>
      </w:r>
      <w:r w:rsidRPr="00CA7E60" w:rsidR="00CA7E60">
        <w:rPr>
          <w:rFonts w:ascii="Arial" w:hAnsi="Arial" w:cs="Arial"/>
        </w:rPr>
        <w:t>analyze importations</w:t>
      </w:r>
      <w:r w:rsidR="00563D32">
        <w:rPr>
          <w:rFonts w:ascii="Arial" w:hAnsi="Arial" w:cs="Arial"/>
        </w:rPr>
        <w:t xml:space="preserve">.  </w:t>
      </w:r>
      <w:r w:rsidR="00E66DC2">
        <w:rPr>
          <w:rFonts w:ascii="Arial" w:hAnsi="Arial" w:cs="Arial"/>
        </w:rPr>
        <w:t>Instructions for completing these applications are accessible at:</w:t>
      </w:r>
    </w:p>
    <w:p w:rsidR="00E47F3B" w:rsidP="00EB4B01" w14:paraId="595756AF" w14:textId="77777777">
      <w:pPr>
        <w:ind w:left="720"/>
        <w:rPr>
          <w:rFonts w:ascii="Arial" w:hAnsi="Arial" w:cs="Arial"/>
        </w:rPr>
      </w:pPr>
      <w:hyperlink r:id="rId9" w:history="1">
        <w:r w:rsidRPr="007C4968">
          <w:rPr>
            <w:rStyle w:val="Hyperlink"/>
            <w:rFonts w:ascii="Arial" w:hAnsi="Arial" w:cs="Arial"/>
          </w:rPr>
          <w:t>http://www.cbp.gov/about/labs-scientific/commercial-gaugers-and-laboratories</w:t>
        </w:r>
      </w:hyperlink>
      <w:r w:rsidR="004A72AE">
        <w:rPr>
          <w:rFonts w:ascii="Arial" w:hAnsi="Arial" w:cs="Arial"/>
        </w:rPr>
        <w:t xml:space="preserve">.  </w:t>
      </w:r>
    </w:p>
    <w:p w:rsidR="00E47F3B" w:rsidP="00EB4B01" w14:paraId="0F8FFCEA" w14:textId="77777777">
      <w:pPr>
        <w:ind w:left="720"/>
        <w:rPr>
          <w:rFonts w:ascii="Arial" w:hAnsi="Arial" w:cs="Arial"/>
        </w:rPr>
      </w:pPr>
    </w:p>
    <w:p w:rsidR="004E53C7" w:rsidP="00EB4B01" w14:paraId="614D2B87" w14:textId="06A553E4">
      <w:pPr>
        <w:ind w:left="720"/>
        <w:rPr>
          <w:rFonts w:ascii="Arial" w:hAnsi="Arial" w:cs="Arial"/>
        </w:rPr>
      </w:pPr>
      <w:r>
        <w:rPr>
          <w:rFonts w:ascii="Arial" w:hAnsi="Arial" w:cs="Arial"/>
        </w:rPr>
        <w:t>CBP Form 6478 is accessible at:</w:t>
      </w:r>
      <w:r w:rsidRPr="004D074F" w:rsidR="004D074F">
        <w:t xml:space="preserve"> </w:t>
      </w:r>
      <w:hyperlink r:id="rId10" w:history="1">
        <w:r w:rsidRPr="00CD7B2D">
          <w:rPr>
            <w:rStyle w:val="Hyperlink"/>
            <w:rFonts w:ascii="Arial" w:hAnsi="Arial" w:cs="Arial"/>
          </w:rPr>
          <w:t>http://www.cbp.gov/sites/default/files/documents/CBP%20Form%206478_0.pdf</w:t>
        </w:r>
      </w:hyperlink>
      <w:r>
        <w:rPr>
          <w:rFonts w:ascii="Arial" w:hAnsi="Arial" w:cs="Arial"/>
        </w:rPr>
        <w:t>.</w:t>
      </w:r>
    </w:p>
    <w:p w:rsidR="005E10EC" w:rsidRPr="0033794C" w:rsidP="0033794C" w14:paraId="688BBFDE" w14:textId="77777777">
      <w:pPr>
        <w:ind w:left="720"/>
        <w:jc w:val="both"/>
        <w:rPr>
          <w:rFonts w:ascii="Arial" w:hAnsi="Arial" w:cs="Arial"/>
          <w:szCs w:val="24"/>
        </w:rPr>
      </w:pPr>
    </w:p>
    <w:p w:rsidR="005E10EC" w:rsidRPr="0033794C" w:rsidP="0033794C" w14:paraId="544CA215" w14:textId="77777777">
      <w:pPr>
        <w:ind w:left="720" w:hanging="720"/>
        <w:jc w:val="both"/>
        <w:rPr>
          <w:rFonts w:ascii="Arial" w:hAnsi="Arial" w:cs="Arial"/>
          <w:szCs w:val="24"/>
        </w:rPr>
      </w:pPr>
      <w:r w:rsidRPr="0033794C">
        <w:rPr>
          <w:rFonts w:ascii="Arial" w:hAnsi="Arial" w:cs="Arial"/>
          <w:b/>
          <w:bCs/>
          <w:szCs w:val="24"/>
        </w:rPr>
        <w:t>2.</w:t>
      </w:r>
      <w:r w:rsidRPr="0033794C">
        <w:rPr>
          <w:rFonts w:ascii="Arial" w:hAnsi="Arial" w:cs="Arial"/>
          <w:szCs w:val="24"/>
        </w:rPr>
        <w:tab/>
      </w:r>
      <w:r w:rsidRPr="00DC417F">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C417F">
        <w:rPr>
          <w:rFonts w:ascii="Arial" w:hAnsi="Arial" w:cs="Arial"/>
          <w:szCs w:val="24"/>
        </w:rPr>
        <w:t>.</w:t>
      </w:r>
    </w:p>
    <w:p w:rsidR="005E10EC" w:rsidRPr="0033794C" w:rsidP="0033794C" w14:paraId="1AF2D1D4" w14:textId="77777777">
      <w:pPr>
        <w:jc w:val="both"/>
        <w:rPr>
          <w:rFonts w:ascii="Arial" w:hAnsi="Arial" w:cs="Arial"/>
          <w:szCs w:val="24"/>
        </w:rPr>
      </w:pPr>
      <w:r w:rsidRPr="0033794C">
        <w:rPr>
          <w:rFonts w:ascii="Arial" w:hAnsi="Arial" w:cs="Arial"/>
          <w:szCs w:val="24"/>
        </w:rPr>
        <w:tab/>
      </w:r>
    </w:p>
    <w:p w:rsidR="00210F81" w:rsidP="00210F81" w14:paraId="70686F74" w14:textId="32221E7A">
      <w:pPr>
        <w:ind w:left="720"/>
        <w:rPr>
          <w:rFonts w:ascii="Arial" w:hAnsi="Arial" w:cs="Arial"/>
        </w:rPr>
      </w:pPr>
      <w:r w:rsidRPr="00CA7E60">
        <w:rPr>
          <w:rFonts w:ascii="Arial" w:hAnsi="Arial" w:cs="Arial"/>
        </w:rPr>
        <w:t>Th</w:t>
      </w:r>
      <w:r>
        <w:rPr>
          <w:rFonts w:ascii="Arial" w:hAnsi="Arial" w:cs="Arial"/>
        </w:rPr>
        <w:t xml:space="preserve">is collection of information is </w:t>
      </w:r>
      <w:r w:rsidRPr="00CA7E60">
        <w:rPr>
          <w:rFonts w:ascii="Arial" w:hAnsi="Arial" w:cs="Arial"/>
        </w:rPr>
        <w:t>used by</w:t>
      </w:r>
      <w:r>
        <w:rPr>
          <w:rFonts w:ascii="Arial" w:hAnsi="Arial" w:cs="Arial"/>
        </w:rPr>
        <w:t xml:space="preserve"> CBP in </w:t>
      </w:r>
      <w:r w:rsidR="006075C5">
        <w:rPr>
          <w:rFonts w:ascii="Arial" w:hAnsi="Arial" w:cs="Arial"/>
        </w:rPr>
        <w:t>assess</w:t>
      </w:r>
      <w:r w:rsidR="00373063">
        <w:rPr>
          <w:rFonts w:ascii="Arial" w:hAnsi="Arial" w:cs="Arial"/>
        </w:rPr>
        <w:t>ing</w:t>
      </w:r>
      <w:r w:rsidR="006075C5">
        <w:rPr>
          <w:rFonts w:ascii="Arial" w:hAnsi="Arial" w:cs="Arial"/>
        </w:rPr>
        <w:t xml:space="preserve"> </w:t>
      </w:r>
      <w:r>
        <w:rPr>
          <w:rFonts w:ascii="Arial" w:hAnsi="Arial" w:cs="Arial"/>
        </w:rPr>
        <w:t xml:space="preserve">whether to </w:t>
      </w:r>
      <w:r w:rsidR="006075C5">
        <w:rPr>
          <w:rFonts w:ascii="Arial" w:hAnsi="Arial" w:cs="Arial"/>
        </w:rPr>
        <w:t xml:space="preserve">or not to </w:t>
      </w:r>
      <w:r>
        <w:rPr>
          <w:rFonts w:ascii="Arial" w:hAnsi="Arial" w:cs="Arial"/>
        </w:rPr>
        <w:t>approve</w:t>
      </w:r>
      <w:r w:rsidRPr="00CA7E60">
        <w:rPr>
          <w:rFonts w:ascii="Arial" w:hAnsi="Arial" w:cs="Arial"/>
        </w:rPr>
        <w:t xml:space="preserve"> individuals or businesses </w:t>
      </w:r>
      <w:r>
        <w:rPr>
          <w:rFonts w:ascii="Arial" w:hAnsi="Arial" w:cs="Arial"/>
        </w:rPr>
        <w:t xml:space="preserve">desiring </w:t>
      </w:r>
      <w:r w:rsidRPr="00CA7E60">
        <w:rPr>
          <w:rFonts w:ascii="Arial" w:hAnsi="Arial" w:cs="Arial"/>
        </w:rPr>
        <w:t xml:space="preserve">to measure bulk products or </w:t>
      </w:r>
      <w:r>
        <w:rPr>
          <w:rFonts w:ascii="Arial" w:hAnsi="Arial" w:cs="Arial"/>
        </w:rPr>
        <w:t xml:space="preserve">to </w:t>
      </w:r>
      <w:r w:rsidRPr="00CA7E60">
        <w:rPr>
          <w:rFonts w:ascii="Arial" w:hAnsi="Arial" w:cs="Arial"/>
        </w:rPr>
        <w:t>analyze importations</w:t>
      </w:r>
      <w:r w:rsidR="00B07516">
        <w:rPr>
          <w:rFonts w:ascii="Arial" w:hAnsi="Arial" w:cs="Arial"/>
        </w:rPr>
        <w:t xml:space="preserve"> for customs purposes</w:t>
      </w:r>
      <w:r>
        <w:rPr>
          <w:rFonts w:ascii="Arial" w:hAnsi="Arial" w:cs="Arial"/>
        </w:rPr>
        <w:t xml:space="preserve">.  </w:t>
      </w:r>
    </w:p>
    <w:p w:rsidR="005E10EC" w:rsidRPr="0033794C" w:rsidP="0033794C" w14:paraId="7188B33E" w14:textId="77777777">
      <w:pPr>
        <w:ind w:left="720" w:hanging="720"/>
        <w:jc w:val="both"/>
        <w:rPr>
          <w:rFonts w:ascii="Arial" w:hAnsi="Arial" w:cs="Arial"/>
        </w:rPr>
      </w:pPr>
    </w:p>
    <w:p w:rsidR="005E10EC" w:rsidRPr="0033794C" w:rsidP="0033794C" w14:paraId="24514657" w14:textId="77777777">
      <w:pPr>
        <w:ind w:left="720" w:hanging="720"/>
        <w:jc w:val="both"/>
        <w:rPr>
          <w:rFonts w:ascii="Arial" w:hAnsi="Arial" w:cs="Arial"/>
          <w:szCs w:val="24"/>
        </w:rPr>
      </w:pPr>
      <w:r w:rsidRPr="0033794C">
        <w:rPr>
          <w:rFonts w:ascii="Arial" w:hAnsi="Arial" w:cs="Arial"/>
          <w:b/>
          <w:bCs/>
          <w:szCs w:val="24"/>
        </w:rPr>
        <w:t>3.</w:t>
      </w:r>
      <w:r w:rsidRPr="0033794C">
        <w:rPr>
          <w:rFonts w:ascii="Arial" w:hAnsi="Arial" w:cs="Arial"/>
          <w:szCs w:val="24"/>
        </w:rPr>
        <w:tab/>
      </w:r>
      <w:r w:rsidRPr="00DC417F">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C417F">
        <w:rPr>
          <w:rFonts w:ascii="Arial" w:hAnsi="Arial" w:cs="Arial"/>
          <w:szCs w:val="24"/>
        </w:rPr>
        <w:t>.</w:t>
      </w:r>
      <w:r w:rsidRPr="0033794C">
        <w:rPr>
          <w:rFonts w:ascii="Arial" w:hAnsi="Arial" w:cs="Arial"/>
          <w:szCs w:val="24"/>
        </w:rPr>
        <w:t xml:space="preserve">  </w:t>
      </w:r>
    </w:p>
    <w:p w:rsidR="00AB3F82" w:rsidP="0033794C" w14:paraId="5D0431F9" w14:textId="77777777">
      <w:pPr>
        <w:ind w:left="720" w:right="720" w:hanging="720"/>
        <w:jc w:val="both"/>
        <w:rPr>
          <w:rFonts w:ascii="Arial" w:hAnsi="Arial" w:cs="Arial"/>
          <w:szCs w:val="24"/>
        </w:rPr>
      </w:pPr>
      <w:r w:rsidRPr="0033794C">
        <w:rPr>
          <w:rFonts w:ascii="Arial" w:hAnsi="Arial" w:cs="Arial"/>
          <w:szCs w:val="24"/>
        </w:rPr>
        <w:tab/>
      </w:r>
    </w:p>
    <w:p w:rsidR="00DA4B37" w:rsidRPr="00FF477B" w:rsidP="00AB3F82" w14:paraId="04FE0A68" w14:textId="0050047D">
      <w:pPr>
        <w:ind w:left="720" w:right="720"/>
        <w:jc w:val="both"/>
        <w:rPr>
          <w:rStyle w:val="Hyperlink"/>
          <w:rFonts w:ascii="Arial" w:hAnsi="Arial" w:cs="Arial"/>
          <w:color w:val="auto"/>
          <w:u w:val="none"/>
        </w:rPr>
      </w:pPr>
      <w:r w:rsidRPr="00FF477B">
        <w:rPr>
          <w:rStyle w:val="Hyperlink"/>
          <w:rFonts w:ascii="Arial" w:hAnsi="Arial" w:cs="Arial"/>
          <w:color w:val="auto"/>
          <w:u w:val="none"/>
        </w:rPr>
        <w:t xml:space="preserve">A supplemental application that was submitted electronically was used from </w:t>
      </w:r>
      <w:r w:rsidRPr="00FF477B">
        <w:rPr>
          <w:rStyle w:val="Hyperlink"/>
          <w:rFonts w:ascii="Arial" w:hAnsi="Arial" w:cs="Arial"/>
          <w:color w:val="auto"/>
          <w:u w:val="none"/>
        </w:rPr>
        <w:t>2021-2025, but it did not assist with our review in the application process.</w:t>
      </w:r>
    </w:p>
    <w:p w:rsidR="00EC4590" w:rsidP="00AB3F82" w14:paraId="08A88774" w14:textId="77777777">
      <w:pPr>
        <w:ind w:left="720" w:right="720"/>
        <w:jc w:val="both"/>
        <w:rPr>
          <w:rFonts w:ascii="Arial" w:hAnsi="Arial" w:cs="Arial"/>
        </w:rPr>
      </w:pPr>
    </w:p>
    <w:p w:rsidR="00EC4590" w:rsidP="00AB3F82" w14:paraId="5C4431AB" w14:textId="77777777">
      <w:pPr>
        <w:ind w:left="720" w:right="720"/>
        <w:jc w:val="both"/>
        <w:rPr>
          <w:rFonts w:ascii="Arial" w:hAnsi="Arial" w:cs="Arial"/>
        </w:rPr>
      </w:pPr>
    </w:p>
    <w:p w:rsidR="00C96E9A" w:rsidP="00AB3F82" w14:paraId="20E1EF4E" w14:textId="77777777">
      <w:pPr>
        <w:ind w:left="720" w:right="720"/>
        <w:jc w:val="both"/>
        <w:rPr>
          <w:rFonts w:ascii="Arial" w:hAnsi="Arial" w:cs="Arial"/>
        </w:rPr>
      </w:pPr>
    </w:p>
    <w:p w:rsidR="005E10EC" w:rsidRPr="0033794C" w:rsidP="0033794C" w14:paraId="16A64DAB" w14:textId="77777777">
      <w:pPr>
        <w:ind w:left="720" w:hanging="720"/>
        <w:jc w:val="both"/>
        <w:rPr>
          <w:rFonts w:ascii="Arial" w:hAnsi="Arial" w:cs="Arial"/>
          <w:b/>
          <w:bCs/>
          <w:szCs w:val="24"/>
        </w:rPr>
      </w:pPr>
      <w:r>
        <w:rPr>
          <w:rFonts w:ascii="Arial" w:hAnsi="Arial" w:cs="Arial"/>
          <w:b/>
          <w:bCs/>
          <w:szCs w:val="24"/>
        </w:rPr>
        <w:t>4</w:t>
      </w:r>
      <w:r w:rsidRPr="0033794C">
        <w:rPr>
          <w:rFonts w:ascii="Arial" w:hAnsi="Arial" w:cs="Arial"/>
          <w:b/>
          <w:bCs/>
          <w:szCs w:val="24"/>
        </w:rPr>
        <w:t>.</w:t>
      </w:r>
      <w:r w:rsidRPr="0033794C">
        <w:rPr>
          <w:rFonts w:ascii="Arial" w:hAnsi="Arial" w:cs="Arial"/>
          <w:szCs w:val="24"/>
        </w:rPr>
        <w:tab/>
      </w:r>
      <w:r w:rsidRPr="0033794C">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5E10EC" w:rsidRPr="0033794C" w:rsidP="0033794C" w14:paraId="04FE53CB" w14:textId="77777777">
      <w:pPr>
        <w:ind w:left="720" w:hanging="720"/>
        <w:jc w:val="both"/>
        <w:rPr>
          <w:rFonts w:ascii="Arial" w:hAnsi="Arial" w:cs="Arial"/>
          <w:szCs w:val="24"/>
        </w:rPr>
      </w:pPr>
    </w:p>
    <w:p w:rsidR="005E10EC" w:rsidRPr="0033794C" w:rsidP="0033794C" w14:paraId="2BE14ED7" w14:textId="77777777">
      <w:pPr>
        <w:ind w:left="720" w:hanging="720"/>
        <w:jc w:val="both"/>
        <w:rPr>
          <w:rFonts w:ascii="Arial" w:hAnsi="Arial" w:cs="Arial"/>
          <w:szCs w:val="24"/>
        </w:rPr>
      </w:pPr>
      <w:r w:rsidRPr="0033794C">
        <w:rPr>
          <w:rFonts w:ascii="Arial" w:hAnsi="Arial" w:cs="Arial"/>
          <w:szCs w:val="24"/>
        </w:rPr>
        <w:tab/>
        <w:t>This information is not duplicated in any other place or any other form.</w:t>
      </w:r>
    </w:p>
    <w:p w:rsidR="0033794C" w:rsidP="0033794C" w14:paraId="7D9A5B81" w14:textId="77777777">
      <w:pPr>
        <w:ind w:left="720" w:hanging="720"/>
        <w:jc w:val="both"/>
        <w:rPr>
          <w:rFonts w:ascii="Arial" w:hAnsi="Arial" w:cs="Arial"/>
          <w:b/>
          <w:bCs/>
          <w:szCs w:val="24"/>
        </w:rPr>
      </w:pPr>
    </w:p>
    <w:p w:rsidR="005E10EC" w:rsidRPr="0033794C" w:rsidP="0033794C" w14:paraId="25B5560E" w14:textId="77777777">
      <w:pPr>
        <w:ind w:left="720" w:hanging="720"/>
        <w:jc w:val="both"/>
        <w:rPr>
          <w:rFonts w:ascii="Arial" w:hAnsi="Arial" w:cs="Arial"/>
          <w:b/>
          <w:bCs/>
          <w:szCs w:val="24"/>
        </w:rPr>
      </w:pPr>
      <w:r w:rsidRPr="0033794C">
        <w:rPr>
          <w:rFonts w:ascii="Arial" w:hAnsi="Arial" w:cs="Arial"/>
          <w:b/>
          <w:bCs/>
          <w:szCs w:val="24"/>
        </w:rPr>
        <w:t>5.</w:t>
      </w:r>
      <w:r w:rsidRPr="0033794C">
        <w:rPr>
          <w:rFonts w:ascii="Arial" w:hAnsi="Arial" w:cs="Arial"/>
          <w:szCs w:val="24"/>
        </w:rPr>
        <w:tab/>
      </w:r>
      <w:r w:rsidRPr="0033794C">
        <w:rPr>
          <w:rFonts w:ascii="Arial" w:hAnsi="Arial" w:cs="Arial"/>
          <w:b/>
          <w:bCs/>
          <w:szCs w:val="24"/>
        </w:rPr>
        <w:t xml:space="preserve">If the collection of information impacts small businesses or other small entities, describe any methods used to minimize burden.  </w:t>
      </w:r>
    </w:p>
    <w:p w:rsidR="005E10EC" w:rsidRPr="0033794C" w:rsidP="0033794C" w14:paraId="38B32A08" w14:textId="77777777">
      <w:pPr>
        <w:ind w:left="720" w:hanging="720"/>
        <w:jc w:val="both"/>
        <w:rPr>
          <w:rFonts w:ascii="Arial" w:hAnsi="Arial" w:cs="Arial"/>
          <w:szCs w:val="24"/>
        </w:rPr>
      </w:pPr>
    </w:p>
    <w:p w:rsidR="005E10EC" w:rsidRPr="0033794C" w:rsidP="0033794C" w14:paraId="4C6051AB" w14:textId="77777777">
      <w:pPr>
        <w:pStyle w:val="BodyTextIndent"/>
        <w:tabs>
          <w:tab w:val="clear" w:pos="-1440"/>
        </w:tabs>
        <w:rPr>
          <w:rFonts w:cs="Arial"/>
          <w:szCs w:val="24"/>
        </w:rPr>
      </w:pPr>
      <w:r w:rsidRPr="0033794C">
        <w:rPr>
          <w:rFonts w:cs="Arial"/>
          <w:szCs w:val="24"/>
        </w:rPr>
        <w:tab/>
      </w:r>
      <w:r w:rsidRPr="0033794C">
        <w:rPr>
          <w:rFonts w:cs="Arial"/>
        </w:rPr>
        <w:t xml:space="preserve">This information collection does not have an impact on small businesses or other small entities.  </w:t>
      </w:r>
    </w:p>
    <w:p w:rsidR="0033794C" w:rsidP="0033794C" w14:paraId="2629E204" w14:textId="77777777">
      <w:pPr>
        <w:pStyle w:val="BodyTextIndent"/>
        <w:tabs>
          <w:tab w:val="clear" w:pos="-1440"/>
        </w:tabs>
        <w:rPr>
          <w:rFonts w:cs="Arial"/>
          <w:b/>
        </w:rPr>
      </w:pPr>
    </w:p>
    <w:p w:rsidR="005E10EC" w:rsidRPr="0033794C" w:rsidP="0033794C" w14:paraId="2FD08593" w14:textId="77777777">
      <w:pPr>
        <w:pStyle w:val="BodyTextIndent"/>
        <w:tabs>
          <w:tab w:val="clear" w:pos="-1440"/>
        </w:tabs>
        <w:rPr>
          <w:rFonts w:cs="Arial"/>
          <w:b/>
        </w:rPr>
      </w:pPr>
      <w:r w:rsidRPr="0033794C">
        <w:rPr>
          <w:rFonts w:cs="Arial"/>
          <w:b/>
        </w:rPr>
        <w:t>6.</w:t>
      </w:r>
      <w:r w:rsidR="0033794C">
        <w:rPr>
          <w:rFonts w:cs="Arial"/>
          <w:b/>
        </w:rPr>
        <w:tab/>
      </w:r>
      <w:r w:rsidRPr="008A1844">
        <w:rPr>
          <w:rFonts w:cs="Arial"/>
          <w:b/>
        </w:rPr>
        <w:t>Describe consequences to Federal program or policy activities if the collection is not conducted or is conducted less frequently.</w:t>
      </w:r>
    </w:p>
    <w:p w:rsidR="004F7C2F" w:rsidRPr="0033794C" w:rsidP="0033794C" w14:paraId="6DA1353C" w14:textId="77777777">
      <w:pPr>
        <w:ind w:left="720" w:right="720"/>
        <w:jc w:val="both"/>
        <w:rPr>
          <w:rFonts w:ascii="Arial" w:hAnsi="Arial" w:cs="Arial"/>
        </w:rPr>
      </w:pPr>
    </w:p>
    <w:p w:rsidR="005E10EC" w:rsidP="0033794C" w14:paraId="5C844105" w14:textId="77777777">
      <w:pPr>
        <w:ind w:left="720"/>
        <w:jc w:val="both"/>
        <w:rPr>
          <w:rFonts w:ascii="Arial" w:hAnsi="Arial" w:cs="Arial"/>
        </w:rPr>
      </w:pPr>
      <w:r w:rsidRPr="0033794C">
        <w:rPr>
          <w:rFonts w:ascii="Arial" w:hAnsi="Arial" w:cs="Arial"/>
        </w:rPr>
        <w:t xml:space="preserve">The collection of the information is critical in establishing the applicant's credentials so CBP can decide whether the applicant is qualified to test and analyze importations.    </w:t>
      </w:r>
    </w:p>
    <w:p w:rsidR="00B8187E" w:rsidRPr="0033794C" w:rsidP="0033794C" w14:paraId="58BF5154" w14:textId="77777777">
      <w:pPr>
        <w:ind w:left="720"/>
        <w:jc w:val="both"/>
        <w:rPr>
          <w:rFonts w:ascii="Arial" w:hAnsi="Arial" w:cs="Arial"/>
          <w:b/>
          <w:bCs/>
          <w:szCs w:val="24"/>
        </w:rPr>
      </w:pPr>
    </w:p>
    <w:p w:rsidR="005E10EC" w:rsidRPr="0033794C" w:rsidP="0033794C" w14:paraId="3E9FEEAA" w14:textId="77777777">
      <w:pPr>
        <w:ind w:left="720" w:hanging="720"/>
        <w:jc w:val="both"/>
        <w:rPr>
          <w:rFonts w:ascii="Arial" w:hAnsi="Arial" w:cs="Arial"/>
        </w:rPr>
      </w:pPr>
      <w:r w:rsidRPr="0033794C">
        <w:rPr>
          <w:rFonts w:ascii="Arial" w:hAnsi="Arial" w:cs="Arial"/>
          <w:b/>
          <w:bCs/>
          <w:szCs w:val="24"/>
        </w:rPr>
        <w:t>7.</w:t>
      </w:r>
      <w:r w:rsidRPr="0033794C">
        <w:rPr>
          <w:rFonts w:ascii="Arial" w:hAnsi="Arial" w:cs="Arial"/>
          <w:szCs w:val="24"/>
        </w:rPr>
        <w:tab/>
      </w:r>
      <w:r w:rsidRPr="0033794C">
        <w:rPr>
          <w:rFonts w:ascii="Arial" w:hAnsi="Arial" w:cs="Arial"/>
          <w:b/>
          <w:bCs/>
          <w:szCs w:val="24"/>
        </w:rPr>
        <w:t>Explain any special circumstances</w:t>
      </w:r>
      <w:r w:rsidR="00B8187E">
        <w:rPr>
          <w:rFonts w:ascii="Arial" w:hAnsi="Arial" w:cs="Arial"/>
          <w:b/>
          <w:bCs/>
          <w:szCs w:val="24"/>
        </w:rPr>
        <w:t>.</w:t>
      </w:r>
    </w:p>
    <w:p w:rsidR="005E10EC" w:rsidRPr="0033794C" w:rsidP="0033794C" w14:paraId="1893BFDC" w14:textId="77777777">
      <w:pPr>
        <w:ind w:left="720" w:hanging="720"/>
        <w:jc w:val="both"/>
        <w:rPr>
          <w:rFonts w:ascii="Arial" w:hAnsi="Arial" w:cs="Arial"/>
          <w:szCs w:val="24"/>
        </w:rPr>
      </w:pPr>
    </w:p>
    <w:p w:rsidR="005E10EC" w:rsidRPr="0033794C" w:rsidP="0033794C" w14:paraId="77341510" w14:textId="77777777">
      <w:pPr>
        <w:ind w:left="720" w:hanging="720"/>
        <w:jc w:val="both"/>
        <w:rPr>
          <w:rFonts w:ascii="Arial" w:hAnsi="Arial" w:cs="Arial"/>
          <w:szCs w:val="24"/>
        </w:rPr>
      </w:pPr>
      <w:r w:rsidRPr="0033794C">
        <w:rPr>
          <w:rFonts w:ascii="Arial" w:hAnsi="Arial" w:cs="Arial"/>
          <w:szCs w:val="24"/>
        </w:rPr>
        <w:tab/>
        <w:t>This information is collected in a manner consistent with the guidelines of 5 CFR 1320.5(d)(2).</w:t>
      </w:r>
    </w:p>
    <w:p w:rsidR="005E10EC" w:rsidRPr="0033794C" w:rsidP="0033794C" w14:paraId="24190538" w14:textId="77777777">
      <w:pPr>
        <w:ind w:left="720" w:hanging="720"/>
        <w:jc w:val="both"/>
        <w:rPr>
          <w:rFonts w:ascii="Arial" w:hAnsi="Arial" w:cs="Arial"/>
          <w:szCs w:val="24"/>
        </w:rPr>
      </w:pPr>
    </w:p>
    <w:p w:rsidR="005E10EC" w:rsidRPr="0033794C" w:rsidP="0033794C" w14:paraId="6EE9F94D" w14:textId="77777777">
      <w:pPr>
        <w:ind w:left="720" w:hanging="720"/>
        <w:jc w:val="both"/>
        <w:rPr>
          <w:rFonts w:ascii="Arial" w:hAnsi="Arial" w:cs="Arial"/>
          <w:b/>
          <w:bCs/>
          <w:szCs w:val="24"/>
        </w:rPr>
      </w:pPr>
      <w:r w:rsidRPr="0033794C">
        <w:rPr>
          <w:rFonts w:ascii="Arial" w:hAnsi="Arial" w:cs="Arial"/>
          <w:b/>
          <w:bCs/>
          <w:szCs w:val="24"/>
        </w:rPr>
        <w:t>8.</w:t>
      </w:r>
      <w:r w:rsidRPr="0033794C">
        <w:rPr>
          <w:rFonts w:ascii="Arial" w:hAnsi="Arial" w:cs="Arial"/>
          <w:b/>
          <w:bCs/>
          <w:szCs w:val="24"/>
        </w:rPr>
        <w:tab/>
      </w:r>
      <w:r w:rsidRPr="00667861">
        <w:rPr>
          <w:rFonts w:ascii="Arial" w:hAnsi="Arial" w:cs="Arial"/>
          <w:b/>
          <w:bCs/>
          <w:szCs w:val="24"/>
        </w:rPr>
        <w:t xml:space="preserve">If applicable, provide a copy and identify the date </w:t>
      </w:r>
      <w:r w:rsidRPr="00667861" w:rsidR="0033794C">
        <w:rPr>
          <w:rFonts w:ascii="Arial" w:hAnsi="Arial" w:cs="Arial"/>
          <w:b/>
          <w:bCs/>
          <w:szCs w:val="24"/>
        </w:rPr>
        <w:t>and page number of publication</w:t>
      </w:r>
      <w:r w:rsidRPr="00667861">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10EC" w:rsidRPr="0033794C" w:rsidP="0033794C" w14:paraId="210DF583" w14:textId="77777777">
      <w:pPr>
        <w:ind w:left="720" w:hanging="360"/>
        <w:jc w:val="both"/>
        <w:rPr>
          <w:rFonts w:ascii="Arial" w:hAnsi="Arial" w:cs="Arial"/>
        </w:rPr>
      </w:pPr>
      <w:r w:rsidRPr="0033794C">
        <w:rPr>
          <w:rFonts w:ascii="Arial" w:hAnsi="Arial" w:cs="Arial"/>
        </w:rPr>
        <w:tab/>
      </w:r>
    </w:p>
    <w:p w:rsidR="005E10EC" w:rsidRPr="0033794C" w:rsidP="0033794C" w14:paraId="2F9063DB" w14:textId="6AFA0B38">
      <w:pPr>
        <w:ind w:left="720" w:hanging="360"/>
        <w:jc w:val="both"/>
        <w:rPr>
          <w:rFonts w:ascii="Arial" w:hAnsi="Arial" w:cs="Arial"/>
        </w:rPr>
      </w:pPr>
      <w:r w:rsidRPr="0033794C">
        <w:rPr>
          <w:rFonts w:ascii="Arial" w:hAnsi="Arial" w:cs="Arial"/>
        </w:rPr>
        <w:tab/>
      </w:r>
      <w:r w:rsidRPr="0043580A">
        <w:rPr>
          <w:rFonts w:ascii="Arial" w:hAnsi="Arial" w:cs="Arial"/>
        </w:rPr>
        <w:t>Public comments were solicited through two Federal Register notices</w:t>
      </w:r>
      <w:r w:rsidR="007B2660">
        <w:rPr>
          <w:rFonts w:ascii="Arial" w:hAnsi="Arial" w:cs="Arial"/>
        </w:rPr>
        <w:t xml:space="preserve">. A </w:t>
      </w:r>
      <w:r w:rsidR="007B2660">
        <w:rPr>
          <w:rFonts w:ascii="Arial" w:hAnsi="Arial" w:cs="Arial"/>
        </w:rPr>
        <w:t>60 day</w:t>
      </w:r>
      <w:r w:rsidR="007B2660">
        <w:rPr>
          <w:rFonts w:ascii="Arial" w:hAnsi="Arial" w:cs="Arial"/>
        </w:rPr>
        <w:t xml:space="preserve"> notice</w:t>
      </w:r>
      <w:r w:rsidRPr="0043580A">
        <w:rPr>
          <w:rFonts w:ascii="Arial" w:hAnsi="Arial" w:cs="Arial"/>
        </w:rPr>
        <w:t xml:space="preserve"> published on </w:t>
      </w:r>
      <w:r w:rsidRPr="00FF477B" w:rsidR="00DC417F">
        <w:rPr>
          <w:rFonts w:ascii="Arial" w:hAnsi="Arial" w:cs="Arial"/>
        </w:rPr>
        <w:t>September</w:t>
      </w:r>
      <w:r w:rsidRPr="00FF477B" w:rsidR="0043580A">
        <w:rPr>
          <w:rFonts w:ascii="Arial" w:hAnsi="Arial" w:cs="Arial"/>
        </w:rPr>
        <w:t xml:space="preserve"> </w:t>
      </w:r>
      <w:r w:rsidRPr="00FF477B" w:rsidR="00DC417F">
        <w:rPr>
          <w:rFonts w:ascii="Arial" w:hAnsi="Arial" w:cs="Arial"/>
        </w:rPr>
        <w:t>12</w:t>
      </w:r>
      <w:r w:rsidRPr="00FF477B" w:rsidR="0043580A">
        <w:rPr>
          <w:rFonts w:ascii="Arial" w:hAnsi="Arial" w:cs="Arial"/>
        </w:rPr>
        <w:t>, 20</w:t>
      </w:r>
      <w:r w:rsidRPr="00FF477B" w:rsidR="00230F55">
        <w:rPr>
          <w:rFonts w:ascii="Arial" w:hAnsi="Arial" w:cs="Arial"/>
        </w:rPr>
        <w:t>2</w:t>
      </w:r>
      <w:r w:rsidRPr="00FF477B" w:rsidR="00DC417F">
        <w:rPr>
          <w:rFonts w:ascii="Arial" w:hAnsi="Arial" w:cs="Arial"/>
        </w:rPr>
        <w:t>5</w:t>
      </w:r>
      <w:r w:rsidRPr="00FF477B">
        <w:rPr>
          <w:rFonts w:ascii="Arial" w:hAnsi="Arial" w:cs="Arial"/>
        </w:rPr>
        <w:t xml:space="preserve"> (</w:t>
      </w:r>
      <w:r w:rsidRPr="00FF477B" w:rsidR="00DC417F">
        <w:rPr>
          <w:rFonts w:ascii="Arial" w:hAnsi="Arial" w:cs="Arial"/>
        </w:rPr>
        <w:t>90</w:t>
      </w:r>
      <w:r w:rsidRPr="00FF477B" w:rsidR="0043580A">
        <w:rPr>
          <w:rFonts w:ascii="Arial" w:hAnsi="Arial" w:cs="Arial"/>
        </w:rPr>
        <w:t xml:space="preserve"> FR </w:t>
      </w:r>
      <w:r w:rsidRPr="00FF477B" w:rsidR="00DC417F">
        <w:rPr>
          <w:rFonts w:ascii="Arial" w:hAnsi="Arial" w:cs="Arial"/>
        </w:rPr>
        <w:t>44206</w:t>
      </w:r>
      <w:r w:rsidRPr="00DC417F">
        <w:rPr>
          <w:rFonts w:ascii="Arial" w:hAnsi="Arial" w:cs="Arial"/>
        </w:rPr>
        <w:t>) and</w:t>
      </w:r>
      <w:r w:rsidRPr="00DC417F" w:rsidR="007B2660">
        <w:rPr>
          <w:rFonts w:ascii="Arial" w:hAnsi="Arial" w:cs="Arial"/>
        </w:rPr>
        <w:t xml:space="preserve"> a </w:t>
      </w:r>
      <w:r w:rsidRPr="00DC417F" w:rsidR="007B2660">
        <w:rPr>
          <w:rFonts w:ascii="Arial" w:hAnsi="Arial" w:cs="Arial"/>
        </w:rPr>
        <w:t>30 day</w:t>
      </w:r>
      <w:r w:rsidRPr="00DC417F" w:rsidR="007B2660">
        <w:rPr>
          <w:rFonts w:ascii="Arial" w:hAnsi="Arial" w:cs="Arial"/>
        </w:rPr>
        <w:t xml:space="preserve"> notice</w:t>
      </w:r>
      <w:r w:rsidRPr="00DC417F">
        <w:rPr>
          <w:rFonts w:ascii="Arial" w:hAnsi="Arial" w:cs="Arial"/>
        </w:rPr>
        <w:t xml:space="preserve"> on </w:t>
      </w:r>
      <w:r w:rsidRPr="00FF477B" w:rsidR="002C63F0">
        <w:rPr>
          <w:rFonts w:ascii="Arial" w:hAnsi="Arial" w:cs="Arial"/>
        </w:rPr>
        <w:t xml:space="preserve">November </w:t>
      </w:r>
      <w:r w:rsidRPr="00FF477B" w:rsidR="00DC417F">
        <w:rPr>
          <w:rFonts w:ascii="Arial" w:hAnsi="Arial" w:cs="Arial"/>
        </w:rPr>
        <w:t>26</w:t>
      </w:r>
      <w:r w:rsidRPr="00FF477B" w:rsidR="0043580A">
        <w:rPr>
          <w:rFonts w:ascii="Arial" w:hAnsi="Arial" w:cs="Arial"/>
        </w:rPr>
        <w:t>, 20</w:t>
      </w:r>
      <w:r w:rsidRPr="00FF477B" w:rsidR="00230F55">
        <w:rPr>
          <w:rFonts w:ascii="Arial" w:hAnsi="Arial" w:cs="Arial"/>
        </w:rPr>
        <w:t>2</w:t>
      </w:r>
      <w:r w:rsidRPr="00FF477B" w:rsidR="00DC417F">
        <w:rPr>
          <w:rFonts w:ascii="Arial" w:hAnsi="Arial" w:cs="Arial"/>
        </w:rPr>
        <w:t>5</w:t>
      </w:r>
      <w:r w:rsidRPr="00FF477B" w:rsidR="0033794C">
        <w:rPr>
          <w:rFonts w:ascii="Arial" w:hAnsi="Arial" w:cs="Arial"/>
        </w:rPr>
        <w:t xml:space="preserve"> (</w:t>
      </w:r>
      <w:r w:rsidRPr="00FF477B" w:rsidR="00DC417F">
        <w:rPr>
          <w:rFonts w:ascii="Arial" w:hAnsi="Arial" w:cs="Arial"/>
        </w:rPr>
        <w:t>90</w:t>
      </w:r>
      <w:r w:rsidRPr="00FF477B" w:rsidR="0043580A">
        <w:rPr>
          <w:rFonts w:ascii="Arial" w:hAnsi="Arial" w:cs="Arial"/>
        </w:rPr>
        <w:t xml:space="preserve"> FR </w:t>
      </w:r>
      <w:r w:rsidRPr="00FF477B" w:rsidR="00DC417F">
        <w:rPr>
          <w:rFonts w:ascii="Arial" w:hAnsi="Arial" w:cs="Arial"/>
        </w:rPr>
        <w:t>54347</w:t>
      </w:r>
      <w:r w:rsidRPr="00FF477B" w:rsidR="002C63F0">
        <w:rPr>
          <w:rFonts w:ascii="Arial" w:hAnsi="Arial" w:cs="Arial"/>
        </w:rPr>
        <w:t>)</w:t>
      </w:r>
      <w:r w:rsidRPr="00DC417F" w:rsidR="00EC4590">
        <w:rPr>
          <w:rFonts w:ascii="Arial" w:hAnsi="Arial" w:cs="Arial"/>
        </w:rPr>
        <w:t xml:space="preserve"> </w:t>
      </w:r>
      <w:r w:rsidRPr="00DC417F" w:rsidR="00302AF6">
        <w:rPr>
          <w:rFonts w:ascii="Arial" w:hAnsi="Arial" w:cs="Arial"/>
        </w:rPr>
        <w:t>on which no</w:t>
      </w:r>
      <w:r w:rsidRPr="00DC417F" w:rsidR="00FF33E3">
        <w:rPr>
          <w:rFonts w:ascii="Arial" w:hAnsi="Arial" w:cs="Arial"/>
        </w:rPr>
        <w:t xml:space="preserve"> comments have been</w:t>
      </w:r>
      <w:r w:rsidRPr="00DC417F">
        <w:rPr>
          <w:rFonts w:ascii="Arial" w:hAnsi="Arial" w:cs="Arial"/>
        </w:rPr>
        <w:t xml:space="preserve"> received.</w:t>
      </w:r>
      <w:r w:rsidRPr="0033794C">
        <w:rPr>
          <w:rFonts w:ascii="Arial" w:hAnsi="Arial" w:cs="Arial"/>
        </w:rPr>
        <w:t xml:space="preserve">  </w:t>
      </w:r>
    </w:p>
    <w:p w:rsidR="005E10EC" w:rsidRPr="0033794C" w:rsidP="0033794C" w14:paraId="5153840D" w14:textId="77777777">
      <w:pPr>
        <w:ind w:left="720" w:hanging="600"/>
        <w:jc w:val="both"/>
        <w:rPr>
          <w:rFonts w:ascii="Arial" w:hAnsi="Arial" w:cs="Arial"/>
          <w:b/>
          <w:bCs/>
          <w:szCs w:val="24"/>
        </w:rPr>
      </w:pPr>
    </w:p>
    <w:p w:rsidR="005E10EC" w:rsidRPr="0033794C" w:rsidP="0033794C" w14:paraId="0BFDC91B" w14:textId="77777777">
      <w:pPr>
        <w:ind w:left="720" w:hanging="720"/>
        <w:jc w:val="both"/>
        <w:rPr>
          <w:rFonts w:ascii="Arial" w:hAnsi="Arial" w:cs="Arial"/>
          <w:b/>
          <w:bCs/>
          <w:szCs w:val="24"/>
        </w:rPr>
      </w:pPr>
      <w:r w:rsidRPr="0033794C">
        <w:rPr>
          <w:rFonts w:ascii="Arial" w:hAnsi="Arial" w:cs="Arial"/>
          <w:b/>
          <w:bCs/>
          <w:szCs w:val="24"/>
        </w:rPr>
        <w:t>9.</w:t>
      </w:r>
      <w:r w:rsidRPr="0033794C">
        <w:rPr>
          <w:rFonts w:ascii="Arial" w:hAnsi="Arial" w:cs="Arial"/>
          <w:szCs w:val="24"/>
        </w:rPr>
        <w:tab/>
      </w:r>
      <w:r w:rsidRPr="0033794C">
        <w:rPr>
          <w:rFonts w:ascii="Arial" w:hAnsi="Arial" w:cs="Arial"/>
          <w:b/>
          <w:bCs/>
          <w:szCs w:val="24"/>
        </w:rPr>
        <w:t>Explain any decision to provide any payment or gift to respondents, other than remuneration of contractors or grantees.</w:t>
      </w:r>
    </w:p>
    <w:p w:rsidR="005E10EC" w:rsidRPr="0033794C" w:rsidP="0033794C" w14:paraId="2218D73E" w14:textId="77777777">
      <w:pPr>
        <w:ind w:left="720" w:hanging="720"/>
        <w:jc w:val="both"/>
        <w:rPr>
          <w:rFonts w:ascii="Arial" w:hAnsi="Arial" w:cs="Arial"/>
          <w:szCs w:val="24"/>
        </w:rPr>
      </w:pPr>
    </w:p>
    <w:p w:rsidR="005E10EC" w:rsidRPr="0033794C" w:rsidP="0033794C" w14:paraId="2E063579" w14:textId="77777777">
      <w:pPr>
        <w:ind w:left="720" w:hanging="720"/>
        <w:jc w:val="both"/>
        <w:rPr>
          <w:rFonts w:ascii="Arial" w:hAnsi="Arial" w:cs="Arial"/>
          <w:szCs w:val="24"/>
        </w:rPr>
      </w:pPr>
      <w:r w:rsidRPr="0033794C">
        <w:rPr>
          <w:rFonts w:ascii="Arial" w:hAnsi="Arial" w:cs="Arial"/>
          <w:szCs w:val="24"/>
        </w:rPr>
        <w:tab/>
        <w:t>There is no offer of a monetary or material value for this information collection.</w:t>
      </w:r>
    </w:p>
    <w:p w:rsidR="00A75588" w:rsidP="0033794C" w14:paraId="3F3E3587" w14:textId="77777777">
      <w:pPr>
        <w:ind w:left="720" w:hanging="720"/>
        <w:jc w:val="both"/>
        <w:rPr>
          <w:rFonts w:ascii="Arial" w:hAnsi="Arial" w:cs="Arial"/>
          <w:b/>
          <w:bCs/>
          <w:szCs w:val="24"/>
        </w:rPr>
      </w:pPr>
    </w:p>
    <w:p w:rsidR="005E10EC" w:rsidRPr="0033794C" w:rsidP="0033794C" w14:paraId="50985C53" w14:textId="77777777">
      <w:pPr>
        <w:ind w:left="720" w:hanging="720"/>
        <w:jc w:val="both"/>
        <w:rPr>
          <w:rFonts w:ascii="Arial" w:hAnsi="Arial" w:cs="Arial"/>
          <w:b/>
          <w:bCs/>
          <w:szCs w:val="24"/>
        </w:rPr>
      </w:pPr>
      <w:r w:rsidRPr="0033794C">
        <w:rPr>
          <w:rFonts w:ascii="Arial" w:hAnsi="Arial" w:cs="Arial"/>
          <w:b/>
          <w:bCs/>
          <w:szCs w:val="24"/>
        </w:rPr>
        <w:t>10.</w:t>
      </w:r>
      <w:r w:rsidRPr="0033794C">
        <w:rPr>
          <w:rFonts w:ascii="Arial" w:hAnsi="Arial" w:cs="Arial"/>
          <w:szCs w:val="24"/>
        </w:rPr>
        <w:tab/>
      </w:r>
      <w:r w:rsidRPr="00DC417F">
        <w:rPr>
          <w:rFonts w:ascii="Arial" w:hAnsi="Arial" w:cs="Arial"/>
          <w:b/>
          <w:bCs/>
          <w:szCs w:val="24"/>
        </w:rPr>
        <w:t>Describe any assurance of confidentiality provided to respondents and the basis for the assurance in statute, regulation, or agency policy.</w:t>
      </w:r>
    </w:p>
    <w:p w:rsidR="0030023C" w:rsidRPr="00C47181" w:rsidP="0030023C" w14:paraId="001AC5A8" w14:textId="77777777">
      <w:pPr>
        <w:ind w:left="720" w:hanging="720"/>
        <w:jc w:val="both"/>
        <w:rPr>
          <w:rFonts w:ascii="Arial" w:hAnsi="Arial"/>
          <w:szCs w:val="24"/>
        </w:rPr>
      </w:pPr>
      <w:r w:rsidRPr="0033794C">
        <w:rPr>
          <w:rFonts w:ascii="Arial" w:hAnsi="Arial" w:cs="Arial"/>
          <w:szCs w:val="24"/>
        </w:rPr>
        <w:tab/>
      </w:r>
      <w:r w:rsidR="008425A2">
        <w:rPr>
          <w:rFonts w:ascii="Arial" w:hAnsi="Arial" w:cs="Arial"/>
          <w:bCs/>
          <w:szCs w:val="24"/>
        </w:rPr>
        <w:tab/>
      </w:r>
      <w:r w:rsidRPr="00C47181">
        <w:rPr>
          <w:rFonts w:ascii="Arial" w:hAnsi="Arial"/>
          <w:szCs w:val="24"/>
        </w:rPr>
        <w:tab/>
      </w:r>
    </w:p>
    <w:p w:rsidR="0030023C" w:rsidP="0030023C" w14:paraId="1E1D67EB" w14:textId="652CEDC0">
      <w:pPr>
        <w:ind w:left="720"/>
        <w:rPr>
          <w:rFonts w:ascii="Arial" w:hAnsi="Arial" w:cs="Arial"/>
          <w:snapToGrid/>
          <w:sz w:val="22"/>
          <w:lang w:val="en"/>
        </w:rPr>
      </w:pPr>
      <w:r>
        <w:rPr>
          <w:rFonts w:ascii="Arial" w:hAnsi="Arial" w:cs="Arial"/>
          <w:snapToGrid/>
          <w:szCs w:val="24"/>
        </w:rPr>
        <w:t>No assurances of confidentiality are provided to respondents.</w:t>
      </w:r>
      <w:r w:rsidR="00DD3786">
        <w:rPr>
          <w:rFonts w:ascii="Arial" w:hAnsi="Arial" w:cs="Arial"/>
          <w:snapToGrid/>
          <w:szCs w:val="24"/>
        </w:rPr>
        <w:t xml:space="preserve"> Page 4 of the application (Privacy Act Statement) details CBP’s use of the information on the application.</w:t>
      </w:r>
      <w:r>
        <w:rPr>
          <w:rFonts w:ascii="Arial" w:hAnsi="Arial" w:cs="Arial"/>
          <w:lang w:val="en"/>
        </w:rPr>
        <w:t> </w:t>
      </w:r>
    </w:p>
    <w:p w:rsidR="005E10EC" w:rsidRPr="0033794C" w:rsidP="008425A2" w14:paraId="69286A74" w14:textId="77777777">
      <w:pPr>
        <w:tabs>
          <w:tab w:val="left" w:pos="-1440"/>
        </w:tabs>
        <w:ind w:left="720" w:hanging="720"/>
        <w:jc w:val="both"/>
        <w:rPr>
          <w:rFonts w:ascii="Arial" w:hAnsi="Arial" w:cs="Arial"/>
          <w:b/>
          <w:bCs/>
          <w:szCs w:val="24"/>
        </w:rPr>
      </w:pPr>
      <w:r w:rsidRPr="0033794C">
        <w:rPr>
          <w:rFonts w:ascii="Arial" w:hAnsi="Arial" w:cs="Arial"/>
          <w:b/>
          <w:bCs/>
          <w:szCs w:val="24"/>
        </w:rPr>
        <w:tab/>
      </w:r>
      <w:r w:rsidRPr="0033794C">
        <w:rPr>
          <w:rFonts w:ascii="Arial" w:hAnsi="Arial" w:cs="Arial"/>
          <w:b/>
          <w:bCs/>
          <w:szCs w:val="24"/>
        </w:rPr>
        <w:tab/>
      </w:r>
      <w:r w:rsidRPr="0033794C">
        <w:rPr>
          <w:rFonts w:ascii="Arial" w:hAnsi="Arial" w:cs="Arial"/>
          <w:b/>
          <w:bCs/>
          <w:szCs w:val="24"/>
        </w:rPr>
        <w:tab/>
      </w:r>
      <w:r w:rsidRPr="0033794C">
        <w:rPr>
          <w:rFonts w:ascii="Arial" w:hAnsi="Arial" w:cs="Arial"/>
          <w:b/>
          <w:bCs/>
          <w:szCs w:val="24"/>
        </w:rPr>
        <w:tab/>
      </w:r>
      <w:r w:rsidRPr="0033794C">
        <w:rPr>
          <w:rFonts w:ascii="Arial" w:hAnsi="Arial" w:cs="Arial"/>
          <w:b/>
          <w:bCs/>
          <w:szCs w:val="24"/>
        </w:rPr>
        <w:tab/>
      </w:r>
    </w:p>
    <w:p w:rsidR="005E10EC" w:rsidRPr="0033794C" w:rsidP="0033794C" w14:paraId="4E88C253" w14:textId="77777777">
      <w:pPr>
        <w:ind w:left="720" w:hanging="720"/>
        <w:jc w:val="both"/>
        <w:rPr>
          <w:rFonts w:ascii="Arial" w:hAnsi="Arial" w:cs="Arial"/>
          <w:b/>
          <w:bCs/>
          <w:szCs w:val="24"/>
        </w:rPr>
      </w:pPr>
      <w:r w:rsidRPr="0033794C">
        <w:rPr>
          <w:rFonts w:ascii="Arial" w:hAnsi="Arial" w:cs="Arial"/>
          <w:b/>
          <w:bCs/>
          <w:szCs w:val="24"/>
        </w:rPr>
        <w:t>11.</w:t>
      </w:r>
      <w:r w:rsidRPr="0033794C">
        <w:rPr>
          <w:rFonts w:ascii="Arial" w:hAnsi="Arial" w:cs="Arial"/>
          <w:szCs w:val="24"/>
        </w:rPr>
        <w:tab/>
      </w:r>
      <w:r w:rsidRPr="0033794C">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10EC" w:rsidRPr="0033794C" w:rsidP="0033794C" w14:paraId="6F93D05A" w14:textId="77777777">
      <w:pPr>
        <w:ind w:left="720" w:hanging="720"/>
        <w:jc w:val="both"/>
        <w:rPr>
          <w:rFonts w:ascii="Arial" w:hAnsi="Arial" w:cs="Arial"/>
          <w:szCs w:val="24"/>
        </w:rPr>
      </w:pPr>
      <w:r w:rsidRPr="0033794C">
        <w:rPr>
          <w:rFonts w:ascii="Arial" w:hAnsi="Arial" w:cs="Arial"/>
          <w:szCs w:val="24"/>
        </w:rPr>
        <w:tab/>
      </w:r>
    </w:p>
    <w:p w:rsidR="005E10EC" w:rsidRPr="0033794C" w:rsidP="0033794C" w14:paraId="14AD039C" w14:textId="77777777">
      <w:pPr>
        <w:ind w:left="720" w:hanging="720"/>
        <w:jc w:val="both"/>
        <w:rPr>
          <w:rFonts w:ascii="Arial" w:hAnsi="Arial" w:cs="Arial"/>
          <w:szCs w:val="24"/>
        </w:rPr>
      </w:pPr>
      <w:r w:rsidRPr="0033794C">
        <w:rPr>
          <w:rFonts w:ascii="Arial" w:hAnsi="Arial" w:cs="Arial"/>
          <w:szCs w:val="24"/>
        </w:rPr>
        <w:tab/>
        <w:t>There are no questions of a sensitive nature.</w:t>
      </w:r>
    </w:p>
    <w:p w:rsidR="005E10EC" w:rsidRPr="0033794C" w:rsidP="0033794C" w14:paraId="4C703556" w14:textId="77777777">
      <w:pPr>
        <w:ind w:left="720" w:hanging="720"/>
        <w:jc w:val="both"/>
        <w:rPr>
          <w:rFonts w:ascii="Arial" w:hAnsi="Arial" w:cs="Arial"/>
          <w:szCs w:val="24"/>
        </w:rPr>
      </w:pPr>
    </w:p>
    <w:p w:rsidR="005E10EC" w:rsidRPr="0033794C" w:rsidP="0033794C" w14:paraId="07BB10E4" w14:textId="77777777">
      <w:pPr>
        <w:jc w:val="both"/>
        <w:rPr>
          <w:rFonts w:ascii="Arial" w:hAnsi="Arial" w:cs="Arial"/>
          <w:szCs w:val="24"/>
        </w:rPr>
      </w:pPr>
      <w:r w:rsidRPr="0033794C">
        <w:rPr>
          <w:rFonts w:ascii="Arial" w:hAnsi="Arial" w:cs="Arial"/>
          <w:b/>
          <w:bCs/>
          <w:szCs w:val="24"/>
        </w:rPr>
        <w:t>12</w:t>
      </w:r>
      <w:r w:rsidRPr="0033794C">
        <w:rPr>
          <w:rFonts w:ascii="Arial" w:hAnsi="Arial" w:cs="Arial"/>
          <w:b/>
          <w:bCs/>
          <w:szCs w:val="24"/>
        </w:rPr>
        <w:t xml:space="preserve">. </w:t>
      </w:r>
      <w:r w:rsidRPr="0033794C">
        <w:rPr>
          <w:rFonts w:ascii="Arial" w:hAnsi="Arial" w:cs="Arial"/>
          <w:b/>
          <w:bCs/>
          <w:szCs w:val="24"/>
        </w:rPr>
        <w:tab/>
      </w:r>
      <w:r w:rsidRPr="00EC4590">
        <w:rPr>
          <w:rFonts w:ascii="Arial" w:hAnsi="Arial" w:cs="Arial"/>
          <w:b/>
          <w:bCs/>
          <w:szCs w:val="24"/>
        </w:rPr>
        <w:t>Provide</w:t>
      </w:r>
      <w:r w:rsidRPr="00EC4590">
        <w:rPr>
          <w:rFonts w:ascii="Arial" w:hAnsi="Arial" w:cs="Arial"/>
          <w:b/>
          <w:bCs/>
          <w:szCs w:val="24"/>
        </w:rPr>
        <w:t xml:space="preserve"> estimates of the hour burden of the collection of information.</w:t>
      </w:r>
      <w:r w:rsidRPr="0033794C">
        <w:rPr>
          <w:rFonts w:ascii="Arial" w:hAnsi="Arial" w:cs="Arial"/>
          <w:szCs w:val="24"/>
        </w:rPr>
        <w:tab/>
      </w:r>
    </w:p>
    <w:p w:rsidR="00A5392E" w:rsidP="002941B1" w14:paraId="2E83BCD7" w14:textId="77777777">
      <w:pPr>
        <w:ind w:left="720" w:hanging="720"/>
        <w:jc w:val="both"/>
        <w:rPr>
          <w:rFonts w:ascii="Arial" w:hAnsi="Arial" w:cs="Arial"/>
          <w:b/>
          <w:bCs/>
          <w:color w:val="C0C0C0"/>
          <w:szCs w:val="24"/>
        </w:rPr>
      </w:pPr>
      <w:r w:rsidRPr="0033794C">
        <w:rPr>
          <w:rFonts w:ascii="Arial" w:hAnsi="Arial" w:cs="Arial"/>
        </w:rPr>
        <w:tab/>
      </w:r>
    </w:p>
    <w:p w:rsidR="00B60689" w:rsidP="0033794C" w14:paraId="0EF05EEC" w14:textId="77777777">
      <w:pPr>
        <w:jc w:val="both"/>
        <w:rPr>
          <w:rFonts w:ascii="Arial" w:hAnsi="Arial" w:cs="Arial"/>
          <w:b/>
          <w:bCs/>
          <w:color w:val="C0C0C0"/>
          <w:szCs w:val="24"/>
        </w:rPr>
      </w:pPr>
      <w:r>
        <w:rPr>
          <w:rFonts w:ascii="Arial" w:hAnsi="Arial" w:cs="Arial"/>
          <w:b/>
          <w:bCs/>
          <w:color w:val="C0C0C0"/>
          <w:szCs w:val="24"/>
        </w:rPr>
        <w:t xml:space="preserve">   </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260"/>
        <w:gridCol w:w="1890"/>
        <w:gridCol w:w="1710"/>
        <w:gridCol w:w="1530"/>
        <w:gridCol w:w="1530"/>
      </w:tblGrid>
      <w:tr w14:paraId="489AB9CA" w14:textId="77777777" w:rsidTr="008379C7">
        <w:tblPrEx>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241"/>
        </w:trPr>
        <w:tc>
          <w:tcPr>
            <w:tcW w:w="1530" w:type="dxa"/>
          </w:tcPr>
          <w:p w:rsidR="00B60689" w:rsidRPr="0095263B" w:rsidP="003D4F3D" w14:paraId="36763CE8" w14:textId="77777777">
            <w:pPr>
              <w:pStyle w:val="Style"/>
              <w:ind w:left="0" w:firstLine="0"/>
              <w:jc w:val="both"/>
              <w:rPr>
                <w:rFonts w:ascii="Arial" w:hAnsi="Arial" w:cs="Arial"/>
                <w:b/>
                <w:sz w:val="20"/>
              </w:rPr>
            </w:pPr>
            <w:r w:rsidRPr="0095263B">
              <w:rPr>
                <w:rFonts w:ascii="Arial" w:hAnsi="Arial" w:cs="Arial"/>
                <w:b/>
                <w:sz w:val="18"/>
                <w:szCs w:val="18"/>
              </w:rPr>
              <w:t>INFORMATION COLLECTION</w:t>
            </w:r>
          </w:p>
        </w:tc>
        <w:tc>
          <w:tcPr>
            <w:tcW w:w="1260" w:type="dxa"/>
          </w:tcPr>
          <w:p w:rsidR="00B60689" w:rsidRPr="0095263B" w:rsidP="003D4F3D" w14:paraId="710B5A75" w14:textId="77777777">
            <w:pPr>
              <w:pStyle w:val="Style"/>
              <w:ind w:left="0" w:firstLine="0"/>
              <w:jc w:val="center"/>
              <w:rPr>
                <w:rFonts w:ascii="Arial" w:hAnsi="Arial" w:cs="Arial"/>
              </w:rPr>
            </w:pPr>
            <w:r w:rsidRPr="0095263B">
              <w:rPr>
                <w:rFonts w:ascii="Arial" w:hAnsi="Arial" w:cs="Arial"/>
                <w:b/>
                <w:sz w:val="20"/>
              </w:rPr>
              <w:t>TOTAL ANNUAL BURDEN HOURS</w:t>
            </w:r>
          </w:p>
          <w:p w:rsidR="00B60689" w:rsidRPr="0095263B" w:rsidP="00B60689" w14:paraId="5B9A33F6" w14:textId="77777777">
            <w:pPr>
              <w:pStyle w:val="Style"/>
              <w:ind w:left="0" w:firstLine="0"/>
              <w:rPr>
                <w:rFonts w:ascii="Arial" w:hAnsi="Arial" w:cs="Arial"/>
                <w:b/>
              </w:rPr>
            </w:pPr>
            <w:r w:rsidRPr="0095263B">
              <w:rPr>
                <w:rFonts w:ascii="Arial" w:hAnsi="Arial" w:cs="Arial"/>
                <w:b/>
              </w:rPr>
              <w:t xml:space="preserve">  </w:t>
            </w:r>
          </w:p>
        </w:tc>
        <w:tc>
          <w:tcPr>
            <w:tcW w:w="1890" w:type="dxa"/>
          </w:tcPr>
          <w:p w:rsidR="00B60689" w:rsidRPr="0095263B" w:rsidP="00B60689" w14:paraId="45C84F24" w14:textId="77777777">
            <w:pPr>
              <w:pStyle w:val="Style"/>
              <w:ind w:left="0" w:firstLine="0"/>
              <w:jc w:val="both"/>
              <w:rPr>
                <w:rFonts w:ascii="Arial" w:hAnsi="Arial" w:cs="Arial"/>
                <w:b/>
                <w:sz w:val="20"/>
              </w:rPr>
            </w:pPr>
            <w:r>
              <w:rPr>
                <w:rFonts w:ascii="Arial" w:hAnsi="Arial" w:cs="Arial"/>
                <w:b/>
                <w:sz w:val="20"/>
              </w:rPr>
              <w:t xml:space="preserve"> </w:t>
            </w:r>
            <w:r w:rsidRPr="0095263B">
              <w:rPr>
                <w:rFonts w:ascii="Arial" w:hAnsi="Arial" w:cs="Arial"/>
                <w:b/>
                <w:sz w:val="20"/>
              </w:rPr>
              <w:t>NO. OF</w:t>
            </w:r>
          </w:p>
          <w:p w:rsidR="00B60689" w:rsidRPr="0095263B" w:rsidP="00B60689" w14:paraId="3090EBB3" w14:textId="77777777">
            <w:pPr>
              <w:pStyle w:val="Style"/>
              <w:ind w:left="0" w:firstLine="0"/>
              <w:jc w:val="center"/>
              <w:rPr>
                <w:rFonts w:ascii="Arial" w:hAnsi="Arial" w:cs="Arial"/>
              </w:rPr>
            </w:pPr>
            <w:r w:rsidRPr="0095263B">
              <w:rPr>
                <w:rFonts w:ascii="Arial" w:hAnsi="Arial" w:cs="Arial"/>
                <w:b/>
                <w:sz w:val="20"/>
              </w:rPr>
              <w:t>RESPONDENTS</w:t>
            </w:r>
          </w:p>
        </w:tc>
        <w:tc>
          <w:tcPr>
            <w:tcW w:w="1710" w:type="dxa"/>
          </w:tcPr>
          <w:p w:rsidR="00B60689" w:rsidRPr="0095263B" w:rsidP="003D4F3D" w14:paraId="42AF00C7" w14:textId="77777777">
            <w:pPr>
              <w:pStyle w:val="Style"/>
              <w:ind w:left="0" w:firstLine="0"/>
              <w:jc w:val="center"/>
              <w:rPr>
                <w:rFonts w:ascii="Arial" w:hAnsi="Arial" w:cs="Arial"/>
              </w:rPr>
            </w:pPr>
            <w:r w:rsidRPr="0095263B">
              <w:rPr>
                <w:rFonts w:ascii="Arial" w:hAnsi="Arial" w:cs="Arial"/>
                <w:b/>
                <w:sz w:val="20"/>
              </w:rPr>
              <w:t>NO. OF RESPONSES PER RESPONDENT</w:t>
            </w:r>
          </w:p>
        </w:tc>
        <w:tc>
          <w:tcPr>
            <w:tcW w:w="1530" w:type="dxa"/>
          </w:tcPr>
          <w:p w:rsidR="00B60689" w:rsidRPr="0095263B" w:rsidP="00B60689" w14:paraId="4EBDA876" w14:textId="77777777">
            <w:pPr>
              <w:pStyle w:val="Style"/>
              <w:ind w:left="0" w:firstLine="0"/>
              <w:jc w:val="both"/>
              <w:rPr>
                <w:rFonts w:ascii="Arial" w:hAnsi="Arial" w:cs="Arial"/>
                <w:b/>
                <w:sz w:val="20"/>
              </w:rPr>
            </w:pPr>
            <w:r w:rsidRPr="0095263B">
              <w:rPr>
                <w:rFonts w:ascii="Arial" w:hAnsi="Arial" w:cs="Arial"/>
                <w:b/>
                <w:sz w:val="20"/>
              </w:rPr>
              <w:t>TOTAL</w:t>
            </w:r>
            <w:r>
              <w:rPr>
                <w:rFonts w:ascii="Arial" w:hAnsi="Arial" w:cs="Arial"/>
                <w:b/>
                <w:sz w:val="20"/>
              </w:rPr>
              <w:t xml:space="preserve"> ANNUAL</w:t>
            </w:r>
          </w:p>
          <w:p w:rsidR="00B60689" w:rsidRPr="0095263B" w:rsidP="00B60689" w14:paraId="5CF48C5C" w14:textId="77777777">
            <w:pPr>
              <w:pStyle w:val="Style"/>
              <w:ind w:left="0" w:firstLine="0"/>
              <w:jc w:val="center"/>
              <w:rPr>
                <w:rFonts w:ascii="Arial" w:hAnsi="Arial" w:cs="Arial"/>
                <w:b/>
              </w:rPr>
            </w:pPr>
            <w:r w:rsidRPr="0095263B">
              <w:rPr>
                <w:rFonts w:ascii="Arial" w:hAnsi="Arial" w:cs="Arial"/>
                <w:b/>
                <w:sz w:val="20"/>
              </w:rPr>
              <w:t>RESPONSES</w:t>
            </w:r>
          </w:p>
          <w:p w:rsidR="00B60689" w:rsidP="003D4F3D" w14:paraId="2CB988EE" w14:textId="77777777">
            <w:pPr>
              <w:pStyle w:val="Style"/>
              <w:ind w:left="0" w:firstLine="0"/>
              <w:jc w:val="center"/>
              <w:rPr>
                <w:rFonts w:ascii="Arial" w:hAnsi="Arial" w:cs="Arial"/>
                <w:b/>
              </w:rPr>
            </w:pPr>
          </w:p>
          <w:p w:rsidR="00B60689" w:rsidP="003D4F3D" w14:paraId="64C6CE54" w14:textId="77777777">
            <w:pPr>
              <w:pStyle w:val="Style"/>
              <w:ind w:left="0" w:firstLine="0"/>
              <w:jc w:val="center"/>
              <w:rPr>
                <w:rFonts w:ascii="Arial" w:hAnsi="Arial" w:cs="Arial"/>
                <w:b/>
              </w:rPr>
            </w:pPr>
          </w:p>
          <w:p w:rsidR="00B60689" w:rsidRPr="0095263B" w:rsidP="003D4F3D" w14:paraId="39E64B60" w14:textId="77777777">
            <w:pPr>
              <w:pStyle w:val="Style"/>
              <w:ind w:left="0" w:firstLine="0"/>
              <w:jc w:val="center"/>
              <w:rPr>
                <w:rFonts w:ascii="Arial" w:hAnsi="Arial" w:cs="Arial"/>
                <w:b/>
              </w:rPr>
            </w:pPr>
          </w:p>
        </w:tc>
        <w:tc>
          <w:tcPr>
            <w:tcW w:w="1530" w:type="dxa"/>
          </w:tcPr>
          <w:p w:rsidR="00B60689" w:rsidRPr="0095263B" w:rsidP="00B60689" w14:paraId="52E67A11" w14:textId="77777777">
            <w:pPr>
              <w:pStyle w:val="Style"/>
              <w:ind w:left="0" w:firstLine="0"/>
              <w:jc w:val="both"/>
              <w:rPr>
                <w:rFonts w:ascii="Arial" w:hAnsi="Arial" w:cs="Arial"/>
                <w:b/>
                <w:sz w:val="22"/>
                <w:szCs w:val="22"/>
              </w:rPr>
            </w:pPr>
            <w:r w:rsidRPr="0095263B">
              <w:rPr>
                <w:rFonts w:ascii="Arial" w:hAnsi="Arial" w:cs="Arial"/>
                <w:b/>
                <w:sz w:val="22"/>
                <w:szCs w:val="22"/>
              </w:rPr>
              <w:t>TIME PER</w:t>
            </w:r>
          </w:p>
          <w:p w:rsidR="00B60689" w:rsidP="00B60689" w14:paraId="6EE5AFFF" w14:textId="77777777">
            <w:pPr>
              <w:pStyle w:val="Style"/>
              <w:ind w:left="0" w:firstLine="0"/>
              <w:jc w:val="center"/>
              <w:rPr>
                <w:rFonts w:ascii="Arial" w:hAnsi="Arial" w:cs="Arial"/>
                <w:b/>
                <w:sz w:val="22"/>
                <w:szCs w:val="22"/>
              </w:rPr>
            </w:pPr>
            <w:r w:rsidRPr="0095263B">
              <w:rPr>
                <w:rFonts w:ascii="Arial" w:hAnsi="Arial" w:cs="Arial"/>
                <w:b/>
                <w:sz w:val="22"/>
                <w:szCs w:val="22"/>
              </w:rPr>
              <w:t>RESPONSE</w:t>
            </w:r>
          </w:p>
          <w:p w:rsidR="00624407" w:rsidRPr="0095263B" w:rsidP="00B60689" w14:paraId="7C9DB0F6" w14:textId="77777777">
            <w:pPr>
              <w:pStyle w:val="Style"/>
              <w:ind w:left="0" w:firstLine="0"/>
              <w:jc w:val="center"/>
              <w:rPr>
                <w:rFonts w:ascii="Arial" w:hAnsi="Arial" w:cs="Arial"/>
                <w:sz w:val="22"/>
                <w:szCs w:val="22"/>
              </w:rPr>
            </w:pPr>
          </w:p>
        </w:tc>
      </w:tr>
      <w:tr w14:paraId="5CE9BA1C" w14:textId="77777777" w:rsidTr="003D4F3D">
        <w:tblPrEx>
          <w:tblW w:w="9450" w:type="dxa"/>
          <w:tblInd w:w="468" w:type="dxa"/>
          <w:tblLayout w:type="fixed"/>
          <w:tblLook w:val="01E0"/>
        </w:tblPrEx>
        <w:tc>
          <w:tcPr>
            <w:tcW w:w="1530" w:type="dxa"/>
          </w:tcPr>
          <w:p w:rsidR="00B60689" w:rsidP="003D4F3D" w14:paraId="72D64DED" w14:textId="77777777">
            <w:pPr>
              <w:pStyle w:val="Style"/>
              <w:ind w:left="0" w:firstLine="0"/>
              <w:jc w:val="both"/>
              <w:rPr>
                <w:rFonts w:ascii="Arial" w:hAnsi="Arial" w:cs="Arial"/>
                <w:b/>
                <w:sz w:val="20"/>
              </w:rPr>
            </w:pPr>
          </w:p>
          <w:p w:rsidR="00B60689" w:rsidRPr="0095263B" w:rsidP="003D4F3D" w14:paraId="22786B3F" w14:textId="4DF6FF00">
            <w:pPr>
              <w:pStyle w:val="Style"/>
              <w:ind w:left="0" w:firstLine="0"/>
              <w:jc w:val="both"/>
              <w:rPr>
                <w:rFonts w:ascii="Arial" w:hAnsi="Arial" w:cs="Arial"/>
                <w:b/>
                <w:sz w:val="20"/>
              </w:rPr>
            </w:pPr>
            <w:r>
              <w:rPr>
                <w:rFonts w:ascii="Arial" w:hAnsi="Arial" w:cs="Arial"/>
                <w:b/>
                <w:sz w:val="20"/>
              </w:rPr>
              <w:t>Application</w:t>
            </w:r>
          </w:p>
        </w:tc>
        <w:tc>
          <w:tcPr>
            <w:tcW w:w="1260" w:type="dxa"/>
          </w:tcPr>
          <w:p w:rsidR="00B60689" w:rsidP="003D4F3D" w14:paraId="00B703F7" w14:textId="77777777">
            <w:pPr>
              <w:pStyle w:val="Style"/>
              <w:ind w:left="0" w:firstLine="0"/>
              <w:jc w:val="center"/>
              <w:rPr>
                <w:rFonts w:ascii="Arial" w:hAnsi="Arial" w:cs="Arial"/>
              </w:rPr>
            </w:pPr>
          </w:p>
          <w:p w:rsidR="00913273" w:rsidRPr="0095263B" w:rsidP="003D4F3D" w14:paraId="081FD76D" w14:textId="07A9CB2D">
            <w:pPr>
              <w:pStyle w:val="Style"/>
              <w:ind w:left="0" w:firstLine="0"/>
              <w:jc w:val="center"/>
              <w:rPr>
                <w:rFonts w:ascii="Arial" w:hAnsi="Arial" w:cs="Arial"/>
              </w:rPr>
            </w:pPr>
            <w:r>
              <w:rPr>
                <w:rFonts w:ascii="Arial" w:hAnsi="Arial" w:cs="Arial"/>
              </w:rPr>
              <w:t>5</w:t>
            </w:r>
          </w:p>
        </w:tc>
        <w:tc>
          <w:tcPr>
            <w:tcW w:w="1890" w:type="dxa"/>
          </w:tcPr>
          <w:p w:rsidR="00B60689" w:rsidP="003D4F3D" w14:paraId="48982905" w14:textId="77777777">
            <w:pPr>
              <w:pStyle w:val="Style"/>
              <w:ind w:left="0" w:firstLine="0"/>
              <w:jc w:val="center"/>
              <w:rPr>
                <w:rFonts w:ascii="Arial" w:hAnsi="Arial" w:cs="Arial"/>
              </w:rPr>
            </w:pPr>
          </w:p>
          <w:p w:rsidR="00B60689" w:rsidRPr="0095263B" w:rsidP="003D4F3D" w14:paraId="106A818B" w14:textId="17E42A75">
            <w:pPr>
              <w:pStyle w:val="Style"/>
              <w:ind w:left="0" w:firstLine="0"/>
              <w:jc w:val="center"/>
              <w:rPr>
                <w:rFonts w:ascii="Arial" w:hAnsi="Arial" w:cs="Arial"/>
              </w:rPr>
            </w:pPr>
            <w:r>
              <w:rPr>
                <w:rFonts w:ascii="Arial" w:hAnsi="Arial" w:cs="Arial"/>
              </w:rPr>
              <w:t>4</w:t>
            </w:r>
          </w:p>
        </w:tc>
        <w:tc>
          <w:tcPr>
            <w:tcW w:w="1710" w:type="dxa"/>
          </w:tcPr>
          <w:p w:rsidR="00B60689" w:rsidP="003D4F3D" w14:paraId="60F86FAF" w14:textId="77777777">
            <w:pPr>
              <w:pStyle w:val="Style"/>
              <w:ind w:left="0" w:firstLine="0"/>
              <w:jc w:val="center"/>
              <w:rPr>
                <w:rFonts w:ascii="Arial" w:hAnsi="Arial" w:cs="Arial"/>
              </w:rPr>
            </w:pPr>
          </w:p>
          <w:p w:rsidR="00B60689" w:rsidRPr="0095263B" w:rsidP="003D4F3D" w14:paraId="35E183A3" w14:textId="77777777">
            <w:pPr>
              <w:pStyle w:val="Style"/>
              <w:ind w:left="0" w:firstLine="0"/>
              <w:jc w:val="center"/>
              <w:rPr>
                <w:rFonts w:ascii="Arial" w:hAnsi="Arial" w:cs="Arial"/>
              </w:rPr>
            </w:pPr>
            <w:r>
              <w:rPr>
                <w:rFonts w:ascii="Arial" w:hAnsi="Arial" w:cs="Arial"/>
              </w:rPr>
              <w:t>1</w:t>
            </w:r>
          </w:p>
        </w:tc>
        <w:tc>
          <w:tcPr>
            <w:tcW w:w="1530" w:type="dxa"/>
          </w:tcPr>
          <w:p w:rsidR="00B60689" w:rsidP="003D4F3D" w14:paraId="2783CFBF" w14:textId="77777777">
            <w:pPr>
              <w:pStyle w:val="Style"/>
              <w:ind w:left="0" w:firstLine="0"/>
              <w:jc w:val="center"/>
              <w:rPr>
                <w:rFonts w:ascii="Arial" w:hAnsi="Arial" w:cs="Arial"/>
                <w:b/>
              </w:rPr>
            </w:pPr>
          </w:p>
          <w:p w:rsidR="00B60689" w:rsidRPr="004A2422" w:rsidP="003D4F3D" w14:paraId="06C58976" w14:textId="273D8B52">
            <w:pPr>
              <w:pStyle w:val="Style"/>
              <w:ind w:left="0" w:firstLine="0"/>
              <w:jc w:val="center"/>
              <w:rPr>
                <w:rFonts w:ascii="Arial" w:hAnsi="Arial" w:cs="Arial"/>
              </w:rPr>
            </w:pPr>
            <w:r>
              <w:rPr>
                <w:rFonts w:ascii="Arial" w:hAnsi="Arial" w:cs="Arial"/>
              </w:rPr>
              <w:t>4</w:t>
            </w:r>
          </w:p>
        </w:tc>
        <w:tc>
          <w:tcPr>
            <w:tcW w:w="1530" w:type="dxa"/>
          </w:tcPr>
          <w:p w:rsidR="00B60689" w:rsidP="003D4F3D" w14:paraId="63373ABF" w14:textId="77777777">
            <w:pPr>
              <w:pStyle w:val="Style"/>
              <w:ind w:left="0" w:firstLine="0"/>
              <w:jc w:val="center"/>
              <w:rPr>
                <w:rFonts w:ascii="Arial" w:hAnsi="Arial" w:cs="Arial"/>
                <w:sz w:val="22"/>
                <w:szCs w:val="22"/>
              </w:rPr>
            </w:pPr>
          </w:p>
          <w:p w:rsidR="00B60689" w:rsidP="003D4F3D" w14:paraId="58D5AB25" w14:textId="77777777">
            <w:pPr>
              <w:pStyle w:val="Style"/>
              <w:ind w:left="0" w:firstLine="0"/>
              <w:jc w:val="center"/>
              <w:rPr>
                <w:rFonts w:ascii="Arial" w:hAnsi="Arial" w:cs="Arial"/>
                <w:sz w:val="22"/>
                <w:szCs w:val="22"/>
              </w:rPr>
            </w:pPr>
            <w:r>
              <w:rPr>
                <w:rFonts w:ascii="Arial" w:hAnsi="Arial" w:cs="Arial"/>
                <w:sz w:val="22"/>
                <w:szCs w:val="22"/>
              </w:rPr>
              <w:t>75 minutes</w:t>
            </w:r>
          </w:p>
          <w:p w:rsidR="00B60689" w:rsidP="003D4F3D" w14:paraId="18138AA7" w14:textId="77777777">
            <w:pPr>
              <w:pStyle w:val="Style"/>
              <w:ind w:left="0" w:firstLine="0"/>
              <w:jc w:val="center"/>
              <w:rPr>
                <w:rFonts w:ascii="Arial" w:hAnsi="Arial" w:cs="Arial"/>
                <w:sz w:val="22"/>
                <w:szCs w:val="22"/>
              </w:rPr>
            </w:pPr>
            <w:r>
              <w:rPr>
                <w:rFonts w:ascii="Arial" w:hAnsi="Arial" w:cs="Arial"/>
                <w:sz w:val="22"/>
                <w:szCs w:val="22"/>
              </w:rPr>
              <w:t>(1.25 hours)</w:t>
            </w:r>
          </w:p>
          <w:p w:rsidR="00B60689" w:rsidRPr="0095263B" w:rsidP="003D4F3D" w14:paraId="40BAE4D6" w14:textId="77777777">
            <w:pPr>
              <w:pStyle w:val="Style"/>
              <w:ind w:left="0" w:firstLine="0"/>
              <w:jc w:val="center"/>
              <w:rPr>
                <w:rFonts w:ascii="Arial" w:hAnsi="Arial" w:cs="Arial"/>
                <w:sz w:val="22"/>
                <w:szCs w:val="22"/>
              </w:rPr>
            </w:pPr>
          </w:p>
        </w:tc>
      </w:tr>
    </w:tbl>
    <w:p w:rsidR="00B60689" w:rsidP="0033794C" w14:paraId="681105B5" w14:textId="77777777">
      <w:pPr>
        <w:jc w:val="both"/>
        <w:rPr>
          <w:rFonts w:ascii="Arial" w:hAnsi="Arial" w:cs="Arial"/>
          <w:b/>
          <w:bCs/>
          <w:color w:val="C0C0C0"/>
          <w:szCs w:val="24"/>
        </w:rPr>
      </w:pPr>
      <w:r>
        <w:rPr>
          <w:rFonts w:ascii="Arial" w:hAnsi="Arial" w:cs="Arial"/>
          <w:b/>
          <w:bCs/>
          <w:color w:val="C0C0C0"/>
          <w:szCs w:val="24"/>
        </w:rPr>
        <w:t xml:space="preserve">     </w:t>
      </w:r>
    </w:p>
    <w:p w:rsidR="005E10EC" w:rsidRPr="0033794C" w:rsidP="00A062E0" w14:paraId="7014ECE8" w14:textId="77777777">
      <w:pPr>
        <w:ind w:left="720" w:hanging="720"/>
        <w:rPr>
          <w:rFonts w:ascii="Arial" w:hAnsi="Arial" w:cs="Arial"/>
          <w:bCs/>
          <w:szCs w:val="24"/>
        </w:rPr>
      </w:pPr>
      <w:r>
        <w:rPr>
          <w:rFonts w:ascii="Arial" w:hAnsi="Arial" w:cs="Arial"/>
          <w:b/>
          <w:bCs/>
          <w:color w:val="C0C0C0"/>
          <w:szCs w:val="24"/>
        </w:rPr>
        <w:tab/>
      </w:r>
      <w:r w:rsidRPr="0033794C">
        <w:rPr>
          <w:rFonts w:ascii="Arial" w:hAnsi="Arial" w:cs="Arial"/>
          <w:b/>
          <w:bCs/>
          <w:szCs w:val="24"/>
        </w:rPr>
        <w:t>Public Cost</w:t>
      </w:r>
    </w:p>
    <w:p w:rsidR="005E10EC" w:rsidRPr="007319BC" w:rsidP="0033794C" w14:paraId="6DD17FA8" w14:textId="77777777">
      <w:pPr>
        <w:ind w:left="720" w:hanging="720"/>
        <w:jc w:val="both"/>
        <w:rPr>
          <w:rFonts w:ascii="Arial" w:hAnsi="Arial" w:cs="Arial"/>
          <w:b/>
          <w:bCs/>
          <w:color w:val="FF0000"/>
          <w:szCs w:val="24"/>
        </w:rPr>
      </w:pPr>
      <w:r w:rsidRPr="0033794C">
        <w:rPr>
          <w:rFonts w:ascii="Arial" w:hAnsi="Arial" w:cs="Arial"/>
          <w:b/>
          <w:bCs/>
          <w:szCs w:val="24"/>
        </w:rPr>
        <w:tab/>
      </w:r>
    </w:p>
    <w:p w:rsidR="00EC4590" w:rsidP="00EC4590" w14:paraId="5ECA9618" w14:textId="7FFECE53">
      <w:pPr>
        <w:ind w:left="720"/>
        <w:jc w:val="both"/>
        <w:rPr>
          <w:rFonts w:ascii="Arial" w:hAnsi="Arial" w:cs="Arial"/>
        </w:rPr>
      </w:pPr>
      <w:r w:rsidRPr="00EC4590">
        <w:rPr>
          <w:rFonts w:ascii="Arial" w:hAnsi="Arial" w:cs="Arial"/>
        </w:rPr>
        <w:t xml:space="preserve">The estimated cost </w:t>
      </w:r>
      <w:r w:rsidRPr="00EC4590">
        <w:rPr>
          <w:rFonts w:ascii="Arial" w:hAnsi="Arial" w:cs="Arial"/>
        </w:rPr>
        <w:t>to</w:t>
      </w:r>
      <w:r w:rsidRPr="00EC4590">
        <w:rPr>
          <w:rFonts w:ascii="Arial" w:hAnsi="Arial" w:cs="Arial"/>
        </w:rPr>
        <w:t xml:space="preserve"> the respondents is $</w:t>
      </w:r>
      <w:r>
        <w:rPr>
          <w:rFonts w:ascii="Arial" w:hAnsi="Arial" w:cs="Arial"/>
        </w:rPr>
        <w:t>374</w:t>
      </w:r>
      <w:r w:rsidRPr="00EC4590">
        <w:rPr>
          <w:rFonts w:ascii="Arial" w:hAnsi="Arial" w:cs="Arial"/>
        </w:rPr>
        <w:t>.  This is based on the estimated burden hours (</w:t>
      </w:r>
      <w:r>
        <w:rPr>
          <w:rFonts w:ascii="Arial" w:hAnsi="Arial" w:cs="Arial"/>
        </w:rPr>
        <w:t>5</w:t>
      </w:r>
      <w:r w:rsidRPr="00EC4590">
        <w:rPr>
          <w:rFonts w:ascii="Arial" w:hAnsi="Arial" w:cs="Arial"/>
        </w:rPr>
        <w:t>) multiplied by the average loaded hourly wage rate for warehouse operators ($74.88).  CBP calculated this loaded wage rate by first multiplying the Bureau of Labor Statistics’ (BLS) 2024 median hourly wage rate for Transportation, Storage, and Distribution Managers ($49.05), which CBP assumes best represents the wage for warehouse operators, by the ratio of BLS’ Q4 2024 total compensation to wages and salaries for Management, business, and financial occupations (1.4905), the assumed occupational group for warehouse operators, to account for non-salary employee benefits.</w:t>
      </w:r>
      <w:r>
        <w:rPr>
          <w:rFonts w:ascii="Arial" w:hAnsi="Arial" w:cs="Arial"/>
          <w:vertAlign w:val="superscript"/>
        </w:rPr>
        <w:footnoteReference w:id="2"/>
      </w:r>
      <w:r w:rsidRPr="00EC4590">
        <w:rPr>
          <w:rFonts w:ascii="Arial" w:hAnsi="Arial" w:cs="Arial"/>
        </w:rPr>
        <w:t xml:space="preserve">  CBP assumes an annual growth </w:t>
      </w:r>
      <w:r w:rsidRPr="00EC4590">
        <w:rPr>
          <w:rFonts w:ascii="Arial" w:hAnsi="Arial" w:cs="Arial"/>
        </w:rPr>
        <w:t>rate of 2.42% based on the prior year's change in the implicit price deflator, published by the Bureau of Economic Analysis.</w:t>
      </w:r>
      <w:r>
        <w:rPr>
          <w:rFonts w:ascii="Arial" w:hAnsi="Arial" w:cs="Arial"/>
          <w:vertAlign w:val="superscript"/>
        </w:rPr>
        <w:footnoteReference w:id="3"/>
      </w:r>
    </w:p>
    <w:p w:rsidR="00EC4590" w:rsidRPr="00EC4590" w:rsidP="00EC4590" w14:paraId="42198CFA" w14:textId="77777777">
      <w:pPr>
        <w:ind w:left="720"/>
        <w:jc w:val="both"/>
        <w:rPr>
          <w:rFonts w:ascii="Arial" w:hAnsi="Arial" w:cs="Arial"/>
        </w:rPr>
      </w:pPr>
    </w:p>
    <w:p w:rsidR="005E10EC" w:rsidRPr="0033794C" w:rsidP="0033794C" w14:paraId="46AB6D83" w14:textId="77777777">
      <w:pPr>
        <w:ind w:left="720"/>
        <w:jc w:val="both"/>
        <w:rPr>
          <w:rFonts w:ascii="Arial" w:hAnsi="Arial" w:cs="Arial"/>
        </w:rPr>
      </w:pPr>
    </w:p>
    <w:p w:rsidR="005E10EC" w:rsidRPr="0033794C" w:rsidP="0033794C" w14:paraId="39950BAA" w14:textId="77777777">
      <w:pPr>
        <w:ind w:left="720" w:hanging="720"/>
        <w:jc w:val="both"/>
        <w:rPr>
          <w:rFonts w:ascii="Arial" w:hAnsi="Arial" w:cs="Arial"/>
          <w:b/>
          <w:bCs/>
          <w:szCs w:val="24"/>
        </w:rPr>
      </w:pPr>
      <w:r w:rsidRPr="0033794C">
        <w:rPr>
          <w:rFonts w:ascii="Arial" w:hAnsi="Arial" w:cs="Arial"/>
          <w:b/>
          <w:bCs/>
          <w:szCs w:val="24"/>
        </w:rPr>
        <w:t>13.</w:t>
      </w:r>
      <w:r w:rsidRPr="0033794C">
        <w:rPr>
          <w:rFonts w:ascii="Arial" w:hAnsi="Arial" w:cs="Arial"/>
          <w:szCs w:val="24"/>
        </w:rPr>
        <w:tab/>
      </w:r>
      <w:r w:rsidRPr="005A7399">
        <w:rPr>
          <w:rFonts w:ascii="Arial" w:hAnsi="Arial" w:cs="Arial"/>
          <w:b/>
          <w:bCs/>
          <w:szCs w:val="24"/>
        </w:rPr>
        <w:t>Provide an estimate of the total annual cost burden to respondents or record keepers resulting from the collection of information.</w:t>
      </w:r>
      <w:r w:rsidRPr="0033794C">
        <w:rPr>
          <w:rFonts w:ascii="Arial" w:hAnsi="Arial" w:cs="Arial"/>
          <w:szCs w:val="24"/>
        </w:rPr>
        <w:tab/>
      </w:r>
    </w:p>
    <w:p w:rsidR="00BC7FE6" w:rsidP="00297A19" w14:paraId="25ED40C4" w14:textId="77777777">
      <w:pPr>
        <w:ind w:left="660"/>
        <w:jc w:val="both"/>
        <w:rPr>
          <w:rFonts w:ascii="Arial" w:hAnsi="Arial" w:cs="Arial"/>
        </w:rPr>
      </w:pPr>
    </w:p>
    <w:p w:rsidR="00A56E2E" w:rsidP="00C221E7" w14:paraId="3168BAAC" w14:textId="08BCD415">
      <w:pPr>
        <w:ind w:left="660"/>
        <w:jc w:val="both"/>
        <w:rPr>
          <w:rFonts w:ascii="Arial" w:hAnsi="Arial" w:cs="Arial"/>
        </w:rPr>
      </w:pPr>
      <w:r w:rsidRPr="007319BC">
        <w:rPr>
          <w:rFonts w:ascii="Arial" w:hAnsi="Arial" w:cs="Arial"/>
        </w:rPr>
        <w:t xml:space="preserve">There is an application fee </w:t>
      </w:r>
      <w:r w:rsidR="008B3AE6">
        <w:rPr>
          <w:rFonts w:ascii="Arial" w:hAnsi="Arial" w:cs="Arial"/>
        </w:rPr>
        <w:t xml:space="preserve">of $375 </w:t>
      </w:r>
      <w:r w:rsidRPr="007319BC">
        <w:rPr>
          <w:rFonts w:ascii="Arial" w:hAnsi="Arial" w:cs="Arial"/>
        </w:rPr>
        <w:t xml:space="preserve">for </w:t>
      </w:r>
      <w:r w:rsidR="008B3AE6">
        <w:rPr>
          <w:rFonts w:ascii="Arial" w:hAnsi="Arial" w:cs="Arial"/>
        </w:rPr>
        <w:t xml:space="preserve">laboratory </w:t>
      </w:r>
      <w:r w:rsidRPr="007319BC">
        <w:rPr>
          <w:rFonts w:ascii="Arial" w:hAnsi="Arial" w:cs="Arial"/>
        </w:rPr>
        <w:t>accreditation</w:t>
      </w:r>
      <w:r w:rsidR="008B3AE6">
        <w:rPr>
          <w:rFonts w:ascii="Arial" w:hAnsi="Arial" w:cs="Arial"/>
        </w:rPr>
        <w:t xml:space="preserve"> and $200 </w:t>
      </w:r>
      <w:r w:rsidR="008A1844">
        <w:rPr>
          <w:rFonts w:ascii="Arial" w:hAnsi="Arial" w:cs="Arial"/>
        </w:rPr>
        <w:t>for gauger</w:t>
      </w:r>
      <w:r w:rsidR="008B3AE6">
        <w:rPr>
          <w:rFonts w:ascii="Arial" w:hAnsi="Arial" w:cs="Arial"/>
        </w:rPr>
        <w:t xml:space="preserve"> </w:t>
      </w:r>
      <w:r w:rsidRPr="007319BC">
        <w:rPr>
          <w:rFonts w:ascii="Arial" w:hAnsi="Arial" w:cs="Arial"/>
        </w:rPr>
        <w:t xml:space="preserve">approval. </w:t>
      </w:r>
      <w:r w:rsidR="00302D16">
        <w:rPr>
          <w:rFonts w:ascii="Arial" w:hAnsi="Arial" w:cs="Arial"/>
          <w:bCs/>
          <w:szCs w:val="24"/>
        </w:rPr>
        <w:t xml:space="preserve">To simplify the estimate, the assumption was made that the commercial facility is both a lab (19 CFR 151.12) and gauger (151.13). Most (75%) commercial facilities are both a lab and </w:t>
      </w:r>
      <w:r w:rsidR="00B12A1F">
        <w:rPr>
          <w:rFonts w:ascii="Arial" w:hAnsi="Arial" w:cs="Arial"/>
          <w:bCs/>
          <w:szCs w:val="24"/>
        </w:rPr>
        <w:t xml:space="preserve">a </w:t>
      </w:r>
      <w:r w:rsidR="00302D16">
        <w:rPr>
          <w:rFonts w:ascii="Arial" w:hAnsi="Arial" w:cs="Arial"/>
          <w:bCs/>
          <w:szCs w:val="24"/>
        </w:rPr>
        <w:t>gauger.</w:t>
      </w:r>
      <w:r w:rsidR="00F20B72">
        <w:rPr>
          <w:rFonts w:ascii="Arial" w:hAnsi="Arial" w:cs="Arial"/>
          <w:bCs/>
          <w:szCs w:val="24"/>
        </w:rPr>
        <w:t xml:space="preserve"> </w:t>
      </w:r>
      <w:r w:rsidRPr="007319BC">
        <w:rPr>
          <w:rFonts w:ascii="Arial" w:hAnsi="Arial" w:cs="Arial"/>
        </w:rPr>
        <w:t xml:space="preserve">The </w:t>
      </w:r>
      <w:r w:rsidR="008B3AE6">
        <w:rPr>
          <w:rFonts w:ascii="Arial" w:hAnsi="Arial" w:cs="Arial"/>
        </w:rPr>
        <w:t xml:space="preserve">combined </w:t>
      </w:r>
      <w:r w:rsidRPr="007319BC">
        <w:rPr>
          <w:rFonts w:ascii="Arial" w:hAnsi="Arial" w:cs="Arial"/>
        </w:rPr>
        <w:t>fee of $575 multiplied (x) the number of respondents (</w:t>
      </w:r>
      <w:r w:rsidR="001F01D3">
        <w:rPr>
          <w:rFonts w:ascii="Arial" w:hAnsi="Arial" w:cs="Arial"/>
        </w:rPr>
        <w:t>4</w:t>
      </w:r>
      <w:r w:rsidRPr="007319BC">
        <w:rPr>
          <w:rFonts w:ascii="Arial" w:hAnsi="Arial" w:cs="Arial"/>
        </w:rPr>
        <w:t>) = $</w:t>
      </w:r>
      <w:r w:rsidR="001F01D3">
        <w:rPr>
          <w:rFonts w:ascii="Arial" w:hAnsi="Arial" w:cs="Arial"/>
        </w:rPr>
        <w:t>23</w:t>
      </w:r>
      <w:r w:rsidRPr="007319BC" w:rsidR="001F01D3">
        <w:rPr>
          <w:rFonts w:ascii="Arial" w:hAnsi="Arial" w:cs="Arial"/>
        </w:rPr>
        <w:t>00</w:t>
      </w:r>
      <w:r w:rsidRPr="007319BC">
        <w:rPr>
          <w:rFonts w:ascii="Arial" w:hAnsi="Arial" w:cs="Arial"/>
        </w:rPr>
        <w:t>.</w:t>
      </w:r>
    </w:p>
    <w:p w:rsidR="008A1844" w:rsidP="00C221E7" w14:paraId="736C764B" w14:textId="77777777">
      <w:pPr>
        <w:ind w:left="660"/>
        <w:jc w:val="both"/>
        <w:rPr>
          <w:rFonts w:ascii="Arial" w:hAnsi="Arial" w:cs="Arial"/>
        </w:rPr>
      </w:pPr>
    </w:p>
    <w:p w:rsidR="00C221E7" w:rsidP="00C221E7" w14:paraId="19DA6809" w14:textId="4F20F142">
      <w:pPr>
        <w:ind w:left="660"/>
        <w:jc w:val="both"/>
        <w:rPr>
          <w:rFonts w:ascii="Arial" w:hAnsi="Arial" w:cs="Arial"/>
        </w:rPr>
      </w:pPr>
      <w:r>
        <w:rPr>
          <w:rFonts w:ascii="Arial" w:hAnsi="Arial" w:cs="Arial"/>
        </w:rPr>
        <w:t>The total annual cost burden is estimated to be $</w:t>
      </w:r>
      <w:r w:rsidR="001F01D3">
        <w:rPr>
          <w:rFonts w:ascii="Arial" w:hAnsi="Arial" w:cs="Arial"/>
        </w:rPr>
        <w:t>2300</w:t>
      </w:r>
      <w:r>
        <w:rPr>
          <w:rFonts w:ascii="Arial" w:hAnsi="Arial" w:cs="Arial"/>
        </w:rPr>
        <w:t>.</w:t>
      </w:r>
    </w:p>
    <w:p w:rsidR="00EA48CD" w:rsidP="0033794C" w14:paraId="6AD5EA06" w14:textId="77777777">
      <w:pPr>
        <w:ind w:left="720" w:hanging="720"/>
        <w:jc w:val="both"/>
        <w:rPr>
          <w:rFonts w:ascii="Arial" w:hAnsi="Arial" w:cs="Arial"/>
          <w:b/>
          <w:bCs/>
          <w:szCs w:val="24"/>
        </w:rPr>
      </w:pPr>
    </w:p>
    <w:p w:rsidR="005E10EC" w:rsidRPr="0033794C" w:rsidP="0033794C" w14:paraId="2B7FD055" w14:textId="77777777">
      <w:pPr>
        <w:ind w:left="720" w:hanging="720"/>
        <w:jc w:val="both"/>
        <w:rPr>
          <w:rFonts w:ascii="Arial" w:hAnsi="Arial" w:cs="Arial"/>
          <w:b/>
          <w:bCs/>
          <w:szCs w:val="24"/>
        </w:rPr>
      </w:pPr>
      <w:r w:rsidRPr="0033794C">
        <w:rPr>
          <w:rFonts w:ascii="Arial" w:hAnsi="Arial" w:cs="Arial"/>
          <w:b/>
          <w:bCs/>
          <w:szCs w:val="24"/>
        </w:rPr>
        <w:t>14.</w:t>
      </w:r>
      <w:r w:rsidRPr="0033794C">
        <w:rPr>
          <w:rFonts w:ascii="Arial" w:hAnsi="Arial" w:cs="Arial"/>
          <w:b/>
          <w:bCs/>
          <w:szCs w:val="24"/>
        </w:rPr>
        <w:tab/>
      </w:r>
      <w:r w:rsidRPr="002C63F0">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221E7" w:rsidRPr="00E132A8" w:rsidP="00C221E7" w14:paraId="616812EF" w14:textId="77777777">
      <w:pPr>
        <w:ind w:left="720" w:hanging="720"/>
        <w:rPr>
          <w:rFonts w:ascii="Arial" w:hAnsi="Arial" w:cs="Arial"/>
        </w:rPr>
      </w:pPr>
    </w:p>
    <w:p w:rsidR="00EC4590" w:rsidP="00EC4590" w14:paraId="005BB370" w14:textId="5F389519">
      <w:pPr>
        <w:ind w:left="720"/>
        <w:rPr>
          <w:rFonts w:ascii="Arial" w:hAnsi="Arial" w:cs="Arial"/>
        </w:rPr>
      </w:pPr>
      <w:r w:rsidRPr="00EC4590">
        <w:rPr>
          <w:rFonts w:ascii="Arial" w:hAnsi="Arial" w:cs="Arial"/>
        </w:rPr>
        <w:t>The estimated annual cost to the Federal Government associated with the review of th</w:t>
      </w:r>
      <w:r>
        <w:rPr>
          <w:rFonts w:ascii="Arial" w:hAnsi="Arial" w:cs="Arial"/>
        </w:rPr>
        <w:t>is information collection</w:t>
      </w:r>
      <w:r w:rsidRPr="00EC4590">
        <w:rPr>
          <w:rFonts w:ascii="Arial" w:hAnsi="Arial" w:cs="Arial"/>
        </w:rPr>
        <w:t xml:space="preserve"> is $</w:t>
      </w:r>
      <w:r>
        <w:rPr>
          <w:rFonts w:ascii="Arial" w:hAnsi="Arial" w:cs="Arial"/>
        </w:rPr>
        <w:t>673</w:t>
      </w:r>
      <w:r w:rsidRPr="00EC4590">
        <w:rPr>
          <w:rFonts w:ascii="Arial" w:hAnsi="Arial" w:cs="Arial"/>
        </w:rPr>
        <w:t>.  This is based on the number of responses that must be reviewed (</w:t>
      </w:r>
      <w:r>
        <w:rPr>
          <w:rFonts w:ascii="Arial" w:hAnsi="Arial" w:cs="Arial"/>
        </w:rPr>
        <w:t>4</w:t>
      </w:r>
      <w:r w:rsidRPr="00EC4590">
        <w:rPr>
          <w:rFonts w:ascii="Arial" w:hAnsi="Arial" w:cs="Arial"/>
        </w:rPr>
        <w:t>) multiplied by the time burden to review and process each response (</w:t>
      </w:r>
      <w:r>
        <w:rPr>
          <w:rFonts w:ascii="Arial" w:hAnsi="Arial" w:cs="Arial"/>
        </w:rPr>
        <w:t>2</w:t>
      </w:r>
      <w:r w:rsidRPr="00EC4590">
        <w:rPr>
          <w:rFonts w:ascii="Arial" w:hAnsi="Arial" w:cs="Arial"/>
        </w:rPr>
        <w:t xml:space="preserve"> hours) = </w:t>
      </w:r>
      <w:r>
        <w:rPr>
          <w:rFonts w:ascii="Arial" w:hAnsi="Arial" w:cs="Arial"/>
        </w:rPr>
        <w:t>8</w:t>
      </w:r>
      <w:r w:rsidRPr="00EC4590">
        <w:rPr>
          <w:rFonts w:ascii="Arial" w:hAnsi="Arial" w:cs="Arial"/>
        </w:rPr>
        <w:t xml:space="preserve"> hours multiplied by the average hourly loaded rate for a CBP Trade and Revenue employee ($84.17)</w:t>
      </w:r>
      <w:r>
        <w:rPr>
          <w:rFonts w:ascii="Arial" w:hAnsi="Arial" w:cs="Arial"/>
          <w:vertAlign w:val="superscript"/>
        </w:rPr>
        <w:footnoteReference w:id="4"/>
      </w:r>
      <w:r w:rsidRPr="00EC4590">
        <w:rPr>
          <w:rFonts w:ascii="Arial" w:hAnsi="Arial" w:cs="Arial"/>
        </w:rPr>
        <w:t xml:space="preserve"> = $</w:t>
      </w:r>
      <w:r>
        <w:rPr>
          <w:rFonts w:ascii="Arial" w:hAnsi="Arial" w:cs="Arial"/>
        </w:rPr>
        <w:t>673</w:t>
      </w:r>
      <w:r w:rsidRPr="00EC4590">
        <w:rPr>
          <w:rFonts w:ascii="Arial" w:hAnsi="Arial" w:cs="Arial"/>
        </w:rPr>
        <w:t>.</w:t>
      </w:r>
    </w:p>
    <w:p w:rsidR="00EC4590" w:rsidRPr="00EC4590" w:rsidP="00EC4590" w14:paraId="6186C916" w14:textId="77777777">
      <w:pPr>
        <w:ind w:left="720"/>
        <w:rPr>
          <w:rFonts w:ascii="Arial" w:hAnsi="Arial" w:cs="Arial"/>
        </w:rPr>
      </w:pPr>
    </w:p>
    <w:p w:rsidR="005B1B04" w:rsidRPr="005B1B04" w:rsidP="00AB4B5E" w14:paraId="3678F425" w14:textId="1550788F">
      <w:pPr>
        <w:rPr>
          <w:rFonts w:ascii="Arial" w:hAnsi="Arial" w:cs="Arial"/>
        </w:rPr>
      </w:pPr>
    </w:p>
    <w:p w:rsidR="005B1B04" w:rsidRPr="005B1B04" w:rsidP="005B1B04" w14:paraId="593AF892" w14:textId="77777777">
      <w:pPr>
        <w:ind w:left="720"/>
        <w:rPr>
          <w:rFonts w:ascii="Arial" w:hAnsi="Arial" w:cs="Arial"/>
        </w:rPr>
      </w:pPr>
    </w:p>
    <w:p w:rsidR="005B1B04" w:rsidRPr="005B1B04" w:rsidP="005B1B04" w14:paraId="465EDDAB" w14:textId="24689593">
      <w:pPr>
        <w:ind w:left="720"/>
        <w:rPr>
          <w:rFonts w:ascii="Arial" w:hAnsi="Arial" w:cs="Arial"/>
        </w:rPr>
      </w:pPr>
      <w:r>
        <w:rPr>
          <w:rFonts w:ascii="Arial" w:hAnsi="Arial" w:cs="Arial"/>
        </w:rPr>
        <w:t>However, t</w:t>
      </w:r>
      <w:r w:rsidRPr="002C63F0">
        <w:rPr>
          <w:rFonts w:ascii="Arial" w:hAnsi="Arial" w:cs="Arial"/>
        </w:rPr>
        <w:t xml:space="preserve">he </w:t>
      </w:r>
      <w:r>
        <w:rPr>
          <w:rFonts w:ascii="Arial" w:hAnsi="Arial" w:cs="Arial"/>
        </w:rPr>
        <w:t xml:space="preserve">Application </w:t>
      </w:r>
      <w:r w:rsidRPr="002C63F0">
        <w:rPr>
          <w:rFonts w:ascii="Arial" w:hAnsi="Arial" w:cs="Arial"/>
        </w:rPr>
        <w:t>fee</w:t>
      </w:r>
      <w:r>
        <w:rPr>
          <w:rFonts w:ascii="Arial" w:hAnsi="Arial" w:cs="Arial"/>
        </w:rPr>
        <w:t>s</w:t>
      </w:r>
      <w:r w:rsidRPr="002C63F0">
        <w:rPr>
          <w:rFonts w:ascii="Arial" w:hAnsi="Arial" w:cs="Arial"/>
        </w:rPr>
        <w:t xml:space="preserve"> cover the cost to the government.</w:t>
      </w:r>
      <w:r>
        <w:rPr>
          <w:rFonts w:ascii="Arial" w:hAnsi="Arial" w:cs="Arial"/>
        </w:rPr>
        <w:t xml:space="preserve"> </w:t>
      </w:r>
    </w:p>
    <w:p w:rsidR="005B1B04" w:rsidRPr="00E47F3B" w:rsidP="00E47F3B" w14:paraId="46C08EE7" w14:textId="77777777">
      <w:pPr>
        <w:ind w:left="720"/>
        <w:rPr>
          <w:rFonts w:ascii="Arial" w:hAnsi="Arial" w:cs="Arial"/>
        </w:rPr>
      </w:pPr>
    </w:p>
    <w:p w:rsidR="005E10EC" w:rsidRPr="0033794C" w:rsidP="00C221E7" w14:paraId="1038E189" w14:textId="77777777">
      <w:pPr>
        <w:ind w:left="720" w:hanging="720"/>
        <w:rPr>
          <w:rFonts w:ascii="Arial" w:hAnsi="Arial" w:cs="Arial"/>
        </w:rPr>
      </w:pPr>
    </w:p>
    <w:p w:rsidR="005E10EC" w:rsidRPr="0033794C" w:rsidP="0033794C" w14:paraId="7130F65F" w14:textId="77777777">
      <w:pPr>
        <w:ind w:left="720" w:hanging="720"/>
        <w:jc w:val="both"/>
        <w:rPr>
          <w:rFonts w:ascii="Arial" w:hAnsi="Arial" w:cs="Arial"/>
          <w:b/>
          <w:bCs/>
          <w:szCs w:val="24"/>
        </w:rPr>
      </w:pPr>
      <w:r w:rsidRPr="0033794C">
        <w:rPr>
          <w:rFonts w:ascii="Arial" w:hAnsi="Arial" w:cs="Arial"/>
          <w:b/>
        </w:rPr>
        <w:t>15.</w:t>
      </w:r>
      <w:r w:rsidRPr="0033794C">
        <w:rPr>
          <w:rFonts w:ascii="Arial" w:hAnsi="Arial" w:cs="Arial"/>
          <w:b/>
        </w:rPr>
        <w:tab/>
      </w:r>
      <w:r w:rsidRPr="00DC417F">
        <w:rPr>
          <w:rFonts w:ascii="Arial" w:hAnsi="Arial" w:cs="Arial"/>
          <w:b/>
          <w:bCs/>
          <w:szCs w:val="24"/>
        </w:rPr>
        <w:t>Explain the reasons for any program changes or adjustments reported in Items 12 or 13</w:t>
      </w:r>
      <w:r w:rsidRPr="00DC417F" w:rsidR="00044DF7">
        <w:rPr>
          <w:rFonts w:ascii="Arial" w:hAnsi="Arial" w:cs="Arial"/>
          <w:b/>
          <w:bCs/>
          <w:szCs w:val="24"/>
        </w:rPr>
        <w:t xml:space="preserve"> of this Statement</w:t>
      </w:r>
      <w:r w:rsidRPr="00DC417F">
        <w:rPr>
          <w:rFonts w:ascii="Arial" w:hAnsi="Arial" w:cs="Arial"/>
          <w:b/>
          <w:bCs/>
          <w:szCs w:val="24"/>
        </w:rPr>
        <w:t>.</w:t>
      </w:r>
      <w:r w:rsidRPr="0033794C">
        <w:rPr>
          <w:rFonts w:ascii="Arial" w:hAnsi="Arial" w:cs="Arial"/>
          <w:b/>
          <w:bCs/>
          <w:szCs w:val="24"/>
        </w:rPr>
        <w:t xml:space="preserve">  </w:t>
      </w:r>
    </w:p>
    <w:p w:rsidR="005E10EC" w:rsidRPr="0033794C" w:rsidP="0033794C" w14:paraId="7E687DCA" w14:textId="77777777">
      <w:pPr>
        <w:jc w:val="both"/>
        <w:rPr>
          <w:rFonts w:ascii="Arial" w:hAnsi="Arial" w:cs="Arial"/>
          <w:b/>
          <w:bCs/>
          <w:szCs w:val="24"/>
        </w:rPr>
      </w:pPr>
    </w:p>
    <w:p w:rsidR="00497F57" w:rsidRPr="00497F57" w:rsidP="007319BC" w14:paraId="09AEA227" w14:textId="5CEF1BA3">
      <w:pPr>
        <w:ind w:left="720" w:hanging="720"/>
        <w:rPr>
          <w:rFonts w:ascii="Arial" w:hAnsi="Arial" w:cs="Arial"/>
          <w:bCs/>
          <w:szCs w:val="24"/>
        </w:rPr>
      </w:pPr>
      <w:r>
        <w:rPr>
          <w:rFonts w:ascii="Arial" w:hAnsi="Arial" w:cs="Arial"/>
          <w:b/>
          <w:bCs/>
          <w:szCs w:val="24"/>
        </w:rPr>
        <w:tab/>
      </w:r>
      <w:r w:rsidR="00EC4590">
        <w:rPr>
          <w:rFonts w:ascii="Arial" w:hAnsi="Arial" w:cs="Arial"/>
          <w:szCs w:val="24"/>
        </w:rPr>
        <w:t xml:space="preserve">There has been a decrease in the previously reported annual burden; the reduction is due to adjusting numbers to reflect current usage. </w:t>
      </w:r>
    </w:p>
    <w:p w:rsidR="00740085" w:rsidRPr="0033794C" w:rsidP="00497F57" w14:paraId="0B8F57B6" w14:textId="77777777">
      <w:pPr>
        <w:ind w:left="720" w:hanging="720"/>
        <w:rPr>
          <w:rFonts w:ascii="Arial" w:hAnsi="Arial" w:cs="Arial"/>
          <w:b/>
          <w:bCs/>
          <w:szCs w:val="24"/>
        </w:rPr>
      </w:pPr>
      <w:r w:rsidRPr="00740085">
        <w:rPr>
          <w:rFonts w:ascii="Arial" w:hAnsi="Arial" w:cs="Arial"/>
          <w:bCs/>
          <w:szCs w:val="24"/>
        </w:rPr>
        <w:tab/>
      </w:r>
    </w:p>
    <w:p w:rsidR="005E10EC" w:rsidRPr="0033794C" w:rsidP="0033794C" w14:paraId="152494AC" w14:textId="77777777">
      <w:pPr>
        <w:ind w:left="720" w:hanging="720"/>
        <w:jc w:val="both"/>
        <w:rPr>
          <w:rFonts w:ascii="Arial" w:hAnsi="Arial" w:cs="Arial"/>
          <w:szCs w:val="24"/>
        </w:rPr>
      </w:pPr>
      <w:r w:rsidRPr="0033794C">
        <w:rPr>
          <w:rFonts w:ascii="Arial" w:hAnsi="Arial" w:cs="Arial"/>
          <w:b/>
          <w:bCs/>
          <w:szCs w:val="24"/>
        </w:rPr>
        <w:t>16.</w:t>
      </w:r>
      <w:r w:rsidRPr="0033794C">
        <w:rPr>
          <w:rFonts w:ascii="Arial" w:hAnsi="Arial" w:cs="Arial"/>
          <w:szCs w:val="24"/>
        </w:rPr>
        <w:tab/>
      </w:r>
      <w:r w:rsidRPr="0033794C">
        <w:rPr>
          <w:rFonts w:ascii="Arial" w:hAnsi="Arial" w:cs="Arial"/>
          <w:b/>
          <w:bCs/>
          <w:szCs w:val="24"/>
        </w:rPr>
        <w:t xml:space="preserve">For collection of information whose results will be published, outline plans </w:t>
      </w:r>
      <w:r w:rsidRPr="0033794C">
        <w:rPr>
          <w:rFonts w:ascii="Arial" w:hAnsi="Arial" w:cs="Arial"/>
          <w:b/>
          <w:bCs/>
          <w:szCs w:val="24"/>
        </w:rPr>
        <w:t>for tabulation, and publication.</w:t>
      </w:r>
      <w:r w:rsidRPr="0033794C">
        <w:rPr>
          <w:rFonts w:ascii="Arial" w:hAnsi="Arial" w:cs="Arial"/>
          <w:szCs w:val="24"/>
        </w:rPr>
        <w:tab/>
      </w:r>
    </w:p>
    <w:p w:rsidR="005E10EC" w:rsidRPr="0033794C" w:rsidP="0033794C" w14:paraId="37683CC3" w14:textId="77777777">
      <w:pPr>
        <w:jc w:val="both"/>
        <w:rPr>
          <w:rFonts w:ascii="Arial" w:hAnsi="Arial" w:cs="Arial"/>
          <w:szCs w:val="24"/>
        </w:rPr>
      </w:pPr>
    </w:p>
    <w:p w:rsidR="005E10EC" w:rsidRPr="0033794C" w:rsidP="0033794C" w14:paraId="34EFDA1C" w14:textId="77777777">
      <w:pPr>
        <w:ind w:firstLine="720"/>
        <w:jc w:val="both"/>
        <w:rPr>
          <w:rFonts w:ascii="Arial" w:hAnsi="Arial" w:cs="Arial"/>
          <w:szCs w:val="24"/>
        </w:rPr>
      </w:pPr>
      <w:r w:rsidRPr="0033794C">
        <w:rPr>
          <w:rFonts w:ascii="Arial" w:hAnsi="Arial" w:cs="Arial"/>
          <w:szCs w:val="24"/>
        </w:rPr>
        <w:t>This information collection will not be published for statistical purposes.</w:t>
      </w:r>
    </w:p>
    <w:p w:rsidR="004F7C2F" w:rsidRPr="0033794C" w:rsidP="0033794C" w14:paraId="708F32C5" w14:textId="77777777">
      <w:pPr>
        <w:jc w:val="both"/>
        <w:rPr>
          <w:rFonts w:ascii="Arial" w:hAnsi="Arial" w:cs="Arial"/>
          <w:b/>
          <w:bCs/>
          <w:szCs w:val="24"/>
        </w:rPr>
      </w:pPr>
    </w:p>
    <w:p w:rsidR="005E10EC" w:rsidRPr="0033794C" w:rsidP="00ED0BEB" w14:paraId="409B9E29" w14:textId="31371290">
      <w:pPr>
        <w:ind w:left="720" w:hanging="720"/>
        <w:jc w:val="both"/>
        <w:rPr>
          <w:rFonts w:ascii="Arial" w:hAnsi="Arial" w:cs="Arial"/>
          <w:b/>
          <w:bCs/>
          <w:szCs w:val="24"/>
        </w:rPr>
      </w:pPr>
      <w:r w:rsidRPr="0033794C">
        <w:rPr>
          <w:rFonts w:ascii="Arial" w:hAnsi="Arial" w:cs="Arial"/>
          <w:b/>
          <w:bCs/>
          <w:szCs w:val="24"/>
        </w:rPr>
        <w:t>17.</w:t>
      </w:r>
      <w:r w:rsidR="0033794C">
        <w:rPr>
          <w:rFonts w:ascii="Arial" w:hAnsi="Arial" w:cs="Arial"/>
          <w:b/>
          <w:bCs/>
          <w:szCs w:val="24"/>
        </w:rPr>
        <w:tab/>
      </w:r>
      <w:r w:rsidRPr="0033794C">
        <w:rPr>
          <w:rFonts w:ascii="Arial" w:hAnsi="Arial" w:cs="Arial"/>
          <w:b/>
          <w:bCs/>
          <w:szCs w:val="24"/>
        </w:rPr>
        <w:t>If seeking approval to not display the expiration</w:t>
      </w:r>
      <w:r w:rsidR="0033794C">
        <w:rPr>
          <w:rFonts w:ascii="Arial" w:hAnsi="Arial" w:cs="Arial"/>
          <w:b/>
          <w:bCs/>
          <w:szCs w:val="24"/>
        </w:rPr>
        <w:t xml:space="preserve"> date, explain the reasons that</w:t>
      </w:r>
      <w:r w:rsidR="00ED0BEB">
        <w:rPr>
          <w:rFonts w:ascii="Arial" w:hAnsi="Arial" w:cs="Arial"/>
          <w:b/>
          <w:bCs/>
          <w:szCs w:val="24"/>
        </w:rPr>
        <w:t xml:space="preserve"> </w:t>
      </w:r>
      <w:r w:rsidRPr="0033794C">
        <w:rPr>
          <w:rFonts w:ascii="Arial" w:hAnsi="Arial" w:cs="Arial"/>
          <w:b/>
          <w:bCs/>
          <w:szCs w:val="24"/>
        </w:rPr>
        <w:t>displaying the expiration date would be inappropriate.</w:t>
      </w:r>
    </w:p>
    <w:p w:rsidR="005E10EC" w:rsidP="00624407" w14:paraId="2D0F68A2" w14:textId="77777777">
      <w:pPr>
        <w:jc w:val="both"/>
        <w:rPr>
          <w:rFonts w:ascii="Arial" w:hAnsi="Arial" w:cs="Arial"/>
        </w:rPr>
      </w:pPr>
      <w:r w:rsidRPr="0033794C">
        <w:rPr>
          <w:rFonts w:ascii="Arial" w:hAnsi="Arial" w:cs="Arial"/>
          <w:b/>
          <w:bCs/>
        </w:rPr>
        <w:tab/>
      </w:r>
    </w:p>
    <w:p w:rsidR="00624407" w:rsidRPr="001426D5" w:rsidP="00624407" w14:paraId="432DCB3E" w14:textId="77777777">
      <w:pPr>
        <w:ind w:left="720"/>
        <w:jc w:val="both"/>
        <w:rPr>
          <w:rFonts w:ascii="Arial" w:hAnsi="Arial" w:cs="Arial"/>
          <w:b/>
          <w:bCs/>
          <w:szCs w:val="24"/>
        </w:rPr>
      </w:pPr>
      <w:r w:rsidRPr="001426D5">
        <w:rPr>
          <w:rFonts w:ascii="Arial" w:hAnsi="Arial" w:cs="Arial"/>
          <w:bCs/>
        </w:rPr>
        <w:t xml:space="preserve">CBP </w:t>
      </w:r>
      <w:r w:rsidRPr="001426D5">
        <w:rPr>
          <w:rFonts w:ascii="Arial" w:hAnsi="Arial" w:cs="Arial"/>
        </w:rPr>
        <w:t xml:space="preserve">will display the expiration date for OMB approval of this information collection. </w:t>
      </w:r>
    </w:p>
    <w:p w:rsidR="000D33F7" w:rsidP="0033794C" w14:paraId="4EDAF2CC" w14:textId="77777777">
      <w:pPr>
        <w:widowControl/>
        <w:jc w:val="both"/>
        <w:rPr>
          <w:rFonts w:ascii="Arial" w:hAnsi="Arial" w:cs="Arial"/>
          <w:b/>
          <w:bCs/>
          <w:szCs w:val="24"/>
        </w:rPr>
      </w:pPr>
    </w:p>
    <w:p w:rsidR="005E10EC" w:rsidRPr="0033794C" w:rsidP="0033794C" w14:paraId="40A15DD1" w14:textId="77777777">
      <w:pPr>
        <w:widowControl/>
        <w:jc w:val="both"/>
        <w:rPr>
          <w:rFonts w:ascii="Arial" w:hAnsi="Arial" w:cs="Arial"/>
          <w:b/>
          <w:bCs/>
          <w:szCs w:val="24"/>
        </w:rPr>
      </w:pPr>
      <w:r w:rsidRPr="0033794C">
        <w:rPr>
          <w:rFonts w:ascii="Arial" w:hAnsi="Arial" w:cs="Arial"/>
          <w:b/>
          <w:bCs/>
          <w:szCs w:val="24"/>
        </w:rPr>
        <w:t>18.</w:t>
      </w:r>
      <w:r w:rsidR="0033794C">
        <w:rPr>
          <w:rFonts w:ascii="Arial" w:hAnsi="Arial" w:cs="Arial"/>
          <w:b/>
          <w:bCs/>
          <w:szCs w:val="24"/>
        </w:rPr>
        <w:tab/>
      </w:r>
      <w:r w:rsidRPr="0033794C">
        <w:rPr>
          <w:rFonts w:ascii="Arial" w:hAnsi="Arial" w:cs="Arial"/>
          <w:b/>
          <w:bCs/>
          <w:szCs w:val="24"/>
        </w:rPr>
        <w:t xml:space="preserve">“Certification for Paperwork Reduction Act Submissions.” </w:t>
      </w:r>
    </w:p>
    <w:p w:rsidR="006F10E0" w:rsidP="0033794C" w14:paraId="0998EF60" w14:textId="77777777">
      <w:pPr>
        <w:ind w:left="720"/>
        <w:jc w:val="both"/>
        <w:rPr>
          <w:rFonts w:ascii="Arial" w:hAnsi="Arial" w:cs="Arial"/>
          <w:szCs w:val="24"/>
        </w:rPr>
      </w:pPr>
    </w:p>
    <w:p w:rsidR="005E10EC" w:rsidRPr="0033794C" w:rsidP="0033794C" w14:paraId="4B23DE30" w14:textId="77777777">
      <w:pPr>
        <w:ind w:left="720"/>
        <w:jc w:val="both"/>
        <w:rPr>
          <w:rFonts w:ascii="Arial" w:hAnsi="Arial" w:cs="Arial"/>
          <w:szCs w:val="24"/>
        </w:rPr>
      </w:pPr>
      <w:r>
        <w:rPr>
          <w:rFonts w:ascii="Arial" w:hAnsi="Arial" w:cs="Arial"/>
          <w:szCs w:val="24"/>
        </w:rPr>
        <w:t>CBP does not request an</w:t>
      </w:r>
      <w:r w:rsidRPr="0033794C">
        <w:rPr>
          <w:rFonts w:ascii="Arial" w:hAnsi="Arial" w:cs="Arial"/>
          <w:szCs w:val="24"/>
        </w:rPr>
        <w:t xml:space="preserve"> exception to the certification of this information collection.</w:t>
      </w:r>
    </w:p>
    <w:p w:rsidR="005E10EC" w:rsidRPr="0033794C" w:rsidP="0033794C" w14:paraId="3A0FA6A3" w14:textId="77777777">
      <w:pPr>
        <w:ind w:left="720"/>
        <w:jc w:val="both"/>
        <w:rPr>
          <w:rFonts w:ascii="Arial" w:hAnsi="Arial" w:cs="Arial"/>
          <w:szCs w:val="24"/>
        </w:rPr>
      </w:pPr>
    </w:p>
    <w:p w:rsidR="005E10EC" w:rsidRPr="000B4D03" w:rsidP="0033794C" w14:paraId="057894D5" w14:textId="77777777">
      <w:pPr>
        <w:pStyle w:val="Heading1"/>
        <w:tabs>
          <w:tab w:val="clear" w:pos="4824"/>
        </w:tabs>
        <w:ind w:left="720" w:hanging="720"/>
        <w:jc w:val="both"/>
        <w:rPr>
          <w:rFonts w:cs="Arial"/>
          <w:sz w:val="28"/>
          <w:szCs w:val="28"/>
        </w:rPr>
      </w:pPr>
      <w:r w:rsidRPr="000B4D03">
        <w:rPr>
          <w:rFonts w:cs="Arial"/>
          <w:sz w:val="28"/>
          <w:szCs w:val="28"/>
        </w:rPr>
        <w:t>B</w:t>
      </w:r>
      <w:r w:rsidRPr="000B4D03">
        <w:rPr>
          <w:rFonts w:cs="Arial"/>
          <w:b w:val="0"/>
          <w:sz w:val="28"/>
          <w:szCs w:val="28"/>
        </w:rPr>
        <w:t>.</w:t>
      </w:r>
      <w:r w:rsidRPr="000B4D03" w:rsidR="000B4D03">
        <w:rPr>
          <w:rFonts w:cs="Arial"/>
          <w:b w:val="0"/>
          <w:sz w:val="28"/>
          <w:szCs w:val="28"/>
        </w:rPr>
        <w:tab/>
      </w:r>
      <w:r w:rsidRPr="000B4D03">
        <w:rPr>
          <w:rFonts w:cs="Arial"/>
          <w:sz w:val="28"/>
          <w:szCs w:val="28"/>
        </w:rPr>
        <w:t>Collection of Information Employing Statistical Methods</w:t>
      </w:r>
    </w:p>
    <w:p w:rsidR="005E10EC" w:rsidRPr="0033794C" w:rsidP="0033794C" w14:paraId="7DF26C24" w14:textId="77777777">
      <w:pPr>
        <w:jc w:val="both"/>
        <w:rPr>
          <w:rFonts w:ascii="Arial" w:hAnsi="Arial" w:cs="Arial"/>
          <w:szCs w:val="24"/>
        </w:rPr>
      </w:pPr>
    </w:p>
    <w:p w:rsidR="00F04658" w:rsidP="0033794C" w14:paraId="582BAD31" w14:textId="77777777">
      <w:pPr>
        <w:pStyle w:val="BodyTextIndent2"/>
        <w:ind w:left="0" w:firstLine="720"/>
        <w:jc w:val="both"/>
        <w:rPr>
          <w:rFonts w:ascii="Arial" w:hAnsi="Arial" w:cs="Arial"/>
          <w:szCs w:val="24"/>
        </w:rPr>
      </w:pPr>
      <w:r w:rsidRPr="0033794C">
        <w:rPr>
          <w:rFonts w:ascii="Arial" w:hAnsi="Arial" w:cs="Arial"/>
          <w:szCs w:val="24"/>
        </w:rPr>
        <w:t>No st</w:t>
      </w:r>
      <w:r w:rsidR="00877B85">
        <w:rPr>
          <w:rFonts w:ascii="Arial" w:hAnsi="Arial" w:cs="Arial"/>
          <w:szCs w:val="24"/>
        </w:rPr>
        <w:t>atistical methods were employed.</w:t>
      </w:r>
    </w:p>
    <w:sectPr w:rsidSect="0033794C">
      <w:footerReference w:type="default" r:id="rId11"/>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6CA" w:rsidRPr="0033794C" w:rsidP="0033794C" w14:paraId="69EBC15D" w14:textId="77777777">
    <w:pPr>
      <w:pStyle w:val="Footer"/>
      <w:tabs>
        <w:tab w:val="clear" w:pos="4320"/>
        <w:tab w:val="center" w:pos="4680"/>
      </w:tabs>
      <w:rPr>
        <w:rFonts w:ascii="Arial" w:hAnsi="Arial" w:cs="Arial"/>
      </w:rPr>
    </w:pPr>
    <w:r w:rsidRPr="0033794C">
      <w:rPr>
        <w:rFonts w:ascii="Arial" w:hAnsi="Arial" w:cs="Arial"/>
      </w:rPr>
      <w:tab/>
    </w:r>
    <w:r w:rsidRPr="0033794C">
      <w:rPr>
        <w:rStyle w:val="PageNumber"/>
        <w:rFonts w:ascii="Arial" w:hAnsi="Arial" w:cs="Arial"/>
      </w:rPr>
      <w:fldChar w:fldCharType="begin"/>
    </w:r>
    <w:r w:rsidRPr="0033794C">
      <w:rPr>
        <w:rStyle w:val="PageNumber"/>
        <w:rFonts w:ascii="Arial" w:hAnsi="Arial" w:cs="Arial"/>
      </w:rPr>
      <w:instrText xml:space="preserve"> PAGE </w:instrText>
    </w:r>
    <w:r w:rsidRPr="0033794C">
      <w:rPr>
        <w:rStyle w:val="PageNumber"/>
        <w:rFonts w:ascii="Arial" w:hAnsi="Arial" w:cs="Arial"/>
      </w:rPr>
      <w:fldChar w:fldCharType="separate"/>
    </w:r>
    <w:r w:rsidR="00A6786A">
      <w:rPr>
        <w:rStyle w:val="PageNumber"/>
        <w:rFonts w:ascii="Arial" w:hAnsi="Arial" w:cs="Arial"/>
        <w:noProof/>
      </w:rPr>
      <w:t>1</w:t>
    </w:r>
    <w:r w:rsidRPr="0033794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0D48" w14:paraId="3C2D7CAB" w14:textId="77777777">
      <w:r>
        <w:separator/>
      </w:r>
    </w:p>
  </w:footnote>
  <w:footnote w:type="continuationSeparator" w:id="1">
    <w:p w:rsidR="008A0D48" w14:paraId="07D9AF3B" w14:textId="77777777">
      <w:r>
        <w:continuationSeparator/>
      </w:r>
    </w:p>
  </w:footnote>
  <w:footnote w:id="2">
    <w:p w:rsidR="00EC4590" w:rsidP="00EC4590" w14:paraId="1CED01B8" w14:textId="77777777">
      <w:pPr>
        <w:rPr>
          <w:rFonts w:ascii="Times New Roman" w:hAnsi="Times New Roman"/>
          <w:color w:val="000000"/>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sz w:val="18"/>
          <w:szCs w:val="18"/>
        </w:rPr>
        <w:t>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Management, business, and financial occupations ($86.66) divided by the wages and salaries cost per hour worked for the same occupation category ($58.14).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3">
    <w:p w:rsidR="00EC4590" w:rsidP="00EC4590" w14:paraId="4B67B201" w14:textId="77777777">
      <w:pPr>
        <w:rPr>
          <w:rFonts w:ascii="Times New Roman" w:hAnsi="Times New Roman"/>
          <w:color w:val="000000"/>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color w:val="000000" w:themeColor="text1"/>
          <w:sz w:val="18"/>
          <w:szCs w:val="18"/>
        </w:rPr>
        <w:t>To adjust to 2025 dollars</w:t>
      </w:r>
      <w:r>
        <w:rPr>
          <w:rFonts w:ascii="Times New Roman" w:hAnsi="Times New Roman"/>
          <w:color w:val="000000"/>
          <w:sz w:val="18"/>
          <w:szCs w:val="18"/>
        </w:rPr>
        <w:t xml:space="preserve">, multiply by the </w:t>
      </w:r>
      <w:r>
        <w:rPr>
          <w:rFonts w:ascii="Times New Roman" w:hAnsi="Times New Roman"/>
          <w:color w:val="000000" w:themeColor="text1"/>
          <w:sz w:val="18"/>
          <w:szCs w:val="18"/>
        </w:rPr>
        <w:t>2023-2024</w:t>
      </w:r>
      <w:r>
        <w:rPr>
          <w:rFonts w:ascii="Times New Roman" w:hAnsi="Times New Roman"/>
          <w:color w:val="000000"/>
          <w:sz w:val="18"/>
          <w:szCs w:val="18"/>
        </w:rPr>
        <w:t xml:space="preserve"> percent change in the Bureau of Economic Analysis's Implicit Price Deflators for Gross Domestic Product (</w:t>
      </w:r>
      <w:r>
        <w:rPr>
          <w:rFonts w:ascii="Times New Roman" w:hAnsi="Times New Roman"/>
          <w:color w:val="000000" w:themeColor="text1"/>
          <w:sz w:val="18"/>
          <w:szCs w:val="18"/>
        </w:rPr>
        <w:t>125.230/122.273</w:t>
      </w:r>
      <w:r>
        <w:rPr>
          <w:rFonts w:ascii="Times New Roman" w:hAnsi="Times New Roman"/>
          <w:color w:val="000000"/>
          <w:sz w:val="18"/>
          <w:szCs w:val="18"/>
        </w:rPr>
        <w:t xml:space="preserve">-1).  See “Table 1.1.9. Implicit Price Deflators for Gross Domestic Product,” Line 1 Gross Domestic Product, annual.  Bureau of Economic Analysis.  Updated </w:t>
      </w:r>
      <w:r>
        <w:rPr>
          <w:rFonts w:ascii="Times New Roman" w:hAnsi="Times New Roman"/>
          <w:color w:val="000000" w:themeColor="text1"/>
          <w:sz w:val="18"/>
          <w:szCs w:val="18"/>
        </w:rPr>
        <w:t>May 30, 2025</w:t>
      </w:r>
      <w:r>
        <w:rPr>
          <w:rFonts w:ascii="Times New Roman" w:hAnsi="Times New Roman"/>
          <w:color w:val="000000"/>
          <w:sz w:val="18"/>
          <w:szCs w:val="18"/>
        </w:rPr>
        <w:t xml:space="preserve">.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w:t>
      </w:r>
      <w:r>
        <w:rPr>
          <w:rFonts w:ascii="Times New Roman" w:hAnsi="Times New Roman"/>
          <w:color w:val="000000" w:themeColor="text1"/>
          <w:sz w:val="18"/>
          <w:szCs w:val="18"/>
        </w:rPr>
        <w:t>June 17, 2025</w:t>
      </w:r>
      <w:r>
        <w:rPr>
          <w:rFonts w:ascii="Times New Roman" w:hAnsi="Times New Roman"/>
          <w:color w:val="000000"/>
          <w:sz w:val="18"/>
          <w:szCs w:val="18"/>
        </w:rPr>
        <w:t>.</w:t>
      </w:r>
    </w:p>
  </w:footnote>
  <w:footnote w:id="4">
    <w:p w:rsidR="00EC4590" w:rsidP="00EC4590" w14:paraId="58FF8290"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CBP bases this wage on the FY 2024 salary and benefits of the national average of CBP Trade and Revenue positions.  Source: </w:t>
      </w:r>
      <w:r>
        <w:rPr>
          <w:rFonts w:ascii="Times New Roman" w:hAnsi="Times New Roman"/>
          <w:sz w:val="18"/>
          <w:szCs w:val="18"/>
          <w:lang w:val="en"/>
        </w:rPr>
        <w:t>Email correspondence with CBP’s Office of Finance on July 15, 2025</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2A5E09"/>
    <w:multiLevelType w:val="hybridMultilevel"/>
    <w:tmpl w:val="A328E4F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09297E"/>
    <w:multiLevelType w:val="hybridMultilevel"/>
    <w:tmpl w:val="79D2DCD8"/>
    <w:lvl w:ilvl="0">
      <w:start w:val="6"/>
      <w:numFmt w:val="decimal"/>
      <w:lvlText w:val="%1."/>
      <w:lvlJc w:val="left"/>
      <w:pPr>
        <w:tabs>
          <w:tab w:val="num" w:pos="1080"/>
        </w:tabs>
        <w:ind w:left="1080" w:hanging="360"/>
      </w:pPr>
      <w:rPr>
        <w:rFonts w:cs="Arial" w:hint="default"/>
        <w:b/>
      </w:rPr>
    </w:lvl>
    <w:lvl w:ilvl="1">
      <w:start w:val="1"/>
      <w:numFmt w:val="lowerLetter"/>
      <w:lvlText w:val="%2."/>
      <w:lvlJc w:val="left"/>
      <w:pPr>
        <w:tabs>
          <w:tab w:val="num" w:pos="1830"/>
        </w:tabs>
        <w:ind w:left="1830" w:hanging="360"/>
      </w:pPr>
    </w:lvl>
    <w:lvl w:ilvl="2" w:tentative="1">
      <w:start w:val="1"/>
      <w:numFmt w:val="lowerRoman"/>
      <w:lvlText w:val="%3."/>
      <w:lvlJc w:val="right"/>
      <w:pPr>
        <w:tabs>
          <w:tab w:val="num" w:pos="2550"/>
        </w:tabs>
        <w:ind w:left="2550" w:hanging="180"/>
      </w:pPr>
    </w:lvl>
    <w:lvl w:ilvl="3" w:tentative="1">
      <w:start w:val="1"/>
      <w:numFmt w:val="decimal"/>
      <w:lvlText w:val="%4."/>
      <w:lvlJc w:val="left"/>
      <w:pPr>
        <w:tabs>
          <w:tab w:val="num" w:pos="3270"/>
        </w:tabs>
        <w:ind w:left="3270" w:hanging="360"/>
      </w:pPr>
    </w:lvl>
    <w:lvl w:ilvl="4" w:tentative="1">
      <w:start w:val="1"/>
      <w:numFmt w:val="lowerLetter"/>
      <w:lvlText w:val="%5."/>
      <w:lvlJc w:val="left"/>
      <w:pPr>
        <w:tabs>
          <w:tab w:val="num" w:pos="3990"/>
        </w:tabs>
        <w:ind w:left="3990" w:hanging="360"/>
      </w:pPr>
    </w:lvl>
    <w:lvl w:ilvl="5" w:tentative="1">
      <w:start w:val="1"/>
      <w:numFmt w:val="lowerRoman"/>
      <w:lvlText w:val="%6."/>
      <w:lvlJc w:val="right"/>
      <w:pPr>
        <w:tabs>
          <w:tab w:val="num" w:pos="4710"/>
        </w:tabs>
        <w:ind w:left="4710" w:hanging="180"/>
      </w:pPr>
    </w:lvl>
    <w:lvl w:ilvl="6" w:tentative="1">
      <w:start w:val="1"/>
      <w:numFmt w:val="decimal"/>
      <w:lvlText w:val="%7."/>
      <w:lvlJc w:val="left"/>
      <w:pPr>
        <w:tabs>
          <w:tab w:val="num" w:pos="5430"/>
        </w:tabs>
        <w:ind w:left="5430" w:hanging="360"/>
      </w:pPr>
    </w:lvl>
    <w:lvl w:ilvl="7" w:tentative="1">
      <w:start w:val="1"/>
      <w:numFmt w:val="lowerLetter"/>
      <w:lvlText w:val="%8."/>
      <w:lvlJc w:val="left"/>
      <w:pPr>
        <w:tabs>
          <w:tab w:val="num" w:pos="6150"/>
        </w:tabs>
        <w:ind w:left="6150" w:hanging="360"/>
      </w:pPr>
    </w:lvl>
    <w:lvl w:ilvl="8" w:tentative="1">
      <w:start w:val="1"/>
      <w:numFmt w:val="lowerRoman"/>
      <w:lvlText w:val="%9."/>
      <w:lvlJc w:val="right"/>
      <w:pPr>
        <w:tabs>
          <w:tab w:val="num" w:pos="6870"/>
        </w:tabs>
        <w:ind w:left="687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CEC3D5B"/>
    <w:multiLevelType w:val="hybridMultilevel"/>
    <w:tmpl w:val="300EF9E6"/>
    <w:lvl w:ilvl="0">
      <w:start w:val="12"/>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E014707"/>
    <w:multiLevelType w:val="singleLevel"/>
    <w:tmpl w:val="361E914E"/>
    <w:lvl w:ilvl="0">
      <w:start w:val="1515"/>
      <w:numFmt w:val="decimal"/>
      <w:lvlJc w:val="left"/>
      <w:pPr>
        <w:tabs>
          <w:tab w:val="num" w:pos="360"/>
        </w:tabs>
        <w:ind w:left="360" w:hanging="360"/>
      </w:pPr>
      <w:rPr>
        <w:rFonts w:ascii="Times New Roman" w:hAnsi="Times New Roman" w:hint="default"/>
      </w:rPr>
    </w:lvl>
  </w:abstractNum>
  <w:abstractNum w:abstractNumId="6">
    <w:nsid w:val="283D671D"/>
    <w:multiLevelType w:val="singleLevel"/>
    <w:tmpl w:val="198C9998"/>
    <w:lvl w:ilvl="0">
      <w:start w:val="17"/>
      <w:numFmt w:val="decimal"/>
      <w:lvlText w:val="%1."/>
      <w:lvlJc w:val="left"/>
      <w:pPr>
        <w:tabs>
          <w:tab w:val="num" w:pos="720"/>
        </w:tabs>
        <w:ind w:left="720" w:hanging="720"/>
      </w:pPr>
      <w:rPr>
        <w:rFonts w:hint="default"/>
      </w:rPr>
    </w:lvl>
  </w:abstractNum>
  <w:abstractNum w:abstractNumId="7">
    <w:nsid w:val="2C42188E"/>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356F11E9"/>
    <w:multiLevelType w:val="singleLevel"/>
    <w:tmpl w:val="7AD6EA9A"/>
    <w:lvl w:ilvl="0">
      <w:start w:val="6"/>
      <w:numFmt w:val="decimal"/>
      <w:lvlText w:val="%1."/>
      <w:lvlJc w:val="left"/>
      <w:pPr>
        <w:tabs>
          <w:tab w:val="num" w:pos="720"/>
        </w:tabs>
        <w:ind w:left="720" w:hanging="720"/>
      </w:pPr>
      <w:rPr>
        <w:rFonts w:hint="default"/>
      </w:rPr>
    </w:lvl>
  </w:abstractNum>
  <w:abstractNum w:abstractNumId="9">
    <w:nsid w:val="35B93F48"/>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35FD7981"/>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3A1335E3"/>
    <w:multiLevelType w:val="hybridMultilevel"/>
    <w:tmpl w:val="FFDAF9A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DCF3A5D"/>
    <w:multiLevelType w:val="singleLevel"/>
    <w:tmpl w:val="0409000F"/>
    <w:lvl w:ilvl="0">
      <w:start w:val="6"/>
      <w:numFmt w:val="decimal"/>
      <w:lvlText w:val="%1."/>
      <w:lvlJc w:val="left"/>
      <w:pPr>
        <w:tabs>
          <w:tab w:val="num" w:pos="360"/>
        </w:tabs>
        <w:ind w:left="360" w:hanging="360"/>
      </w:pPr>
      <w:rPr>
        <w:rFonts w:hint="default"/>
      </w:rPr>
    </w:lvl>
  </w:abstractNum>
  <w:abstractNum w:abstractNumId="13">
    <w:nsid w:val="5F743B01"/>
    <w:multiLevelType w:val="hybridMultilevel"/>
    <w:tmpl w:val="0804F5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6CE3FE0"/>
    <w:multiLevelType w:val="singleLevel"/>
    <w:tmpl w:val="539E42E2"/>
    <w:lvl w:ilvl="0">
      <w:start w:val="1515"/>
      <w:numFmt w:val="bullet"/>
      <w:lvlText w:val="-"/>
      <w:lvlJc w:val="left"/>
      <w:pPr>
        <w:tabs>
          <w:tab w:val="num" w:pos="3915"/>
        </w:tabs>
        <w:ind w:left="3915" w:hanging="360"/>
      </w:pPr>
      <w:rPr>
        <w:rFonts w:ascii="Times New Roman" w:hAnsi="Times New Roman" w:hint="default"/>
      </w:rPr>
    </w:lvl>
  </w:abstractNum>
  <w:abstractNum w:abstractNumId="1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E107AE8"/>
    <w:multiLevelType w:val="singleLevel"/>
    <w:tmpl w:val="EFA42368"/>
    <w:lvl w:ilvl="0">
      <w:start w:val="12"/>
      <w:numFmt w:val="decimal"/>
      <w:lvlText w:val="%1."/>
      <w:lvlJc w:val="left"/>
      <w:pPr>
        <w:tabs>
          <w:tab w:val="num" w:pos="720"/>
        </w:tabs>
        <w:ind w:left="720" w:hanging="720"/>
      </w:pPr>
      <w:rPr>
        <w:rFonts w:hint="default"/>
      </w:rPr>
    </w:lvl>
  </w:abstractNum>
  <w:num w:numId="1" w16cid:durableId="1629164217">
    <w:abstractNumId w:val="8"/>
  </w:num>
  <w:num w:numId="2" w16cid:durableId="473909178">
    <w:abstractNumId w:val="14"/>
  </w:num>
  <w:num w:numId="3" w16cid:durableId="1234051341">
    <w:abstractNumId w:val="5"/>
  </w:num>
  <w:num w:numId="4" w16cid:durableId="1015308634">
    <w:abstractNumId w:val="12"/>
  </w:num>
  <w:num w:numId="5" w16cid:durableId="1313942735">
    <w:abstractNumId w:val="10"/>
  </w:num>
  <w:num w:numId="6" w16cid:durableId="1718896778">
    <w:abstractNumId w:val="7"/>
  </w:num>
  <w:num w:numId="7" w16cid:durableId="1884754512">
    <w:abstractNumId w:val="9"/>
  </w:num>
  <w:num w:numId="8" w16cid:durableId="73823413">
    <w:abstractNumId w:val="16"/>
  </w:num>
  <w:num w:numId="9" w16cid:durableId="1102651146">
    <w:abstractNumId w:val="0"/>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251305955">
    <w:abstractNumId w:val="6"/>
  </w:num>
  <w:num w:numId="11" w16cid:durableId="1789396744">
    <w:abstractNumId w:val="15"/>
  </w:num>
  <w:num w:numId="12" w16cid:durableId="784693815">
    <w:abstractNumId w:val="2"/>
  </w:num>
  <w:num w:numId="13" w16cid:durableId="736518249">
    <w:abstractNumId w:val="3"/>
  </w:num>
  <w:num w:numId="14" w16cid:durableId="19093543">
    <w:abstractNumId w:val="13"/>
  </w:num>
  <w:num w:numId="15" w16cid:durableId="395789266">
    <w:abstractNumId w:val="1"/>
  </w:num>
  <w:num w:numId="16" w16cid:durableId="235895180">
    <w:abstractNumId w:val="11"/>
  </w:num>
  <w:num w:numId="17" w16cid:durableId="1863586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E1"/>
    <w:rsid w:val="00011DF5"/>
    <w:rsid w:val="00011FCE"/>
    <w:rsid w:val="00044DF7"/>
    <w:rsid w:val="00090A20"/>
    <w:rsid w:val="000A121A"/>
    <w:rsid w:val="000B4D03"/>
    <w:rsid w:val="000C2200"/>
    <w:rsid w:val="000C70CF"/>
    <w:rsid w:val="000D33F7"/>
    <w:rsid w:val="000E1425"/>
    <w:rsid w:val="000F17A1"/>
    <w:rsid w:val="00101A9D"/>
    <w:rsid w:val="00107A50"/>
    <w:rsid w:val="00117FB7"/>
    <w:rsid w:val="001219B1"/>
    <w:rsid w:val="00122302"/>
    <w:rsid w:val="00126B0B"/>
    <w:rsid w:val="001426D5"/>
    <w:rsid w:val="00147519"/>
    <w:rsid w:val="00150405"/>
    <w:rsid w:val="00170AC1"/>
    <w:rsid w:val="00173CEB"/>
    <w:rsid w:val="0017402E"/>
    <w:rsid w:val="001814E7"/>
    <w:rsid w:val="001A6F2E"/>
    <w:rsid w:val="001C285D"/>
    <w:rsid w:val="001C2DA9"/>
    <w:rsid w:val="001C3753"/>
    <w:rsid w:val="001C79F2"/>
    <w:rsid w:val="001E011B"/>
    <w:rsid w:val="001F01D3"/>
    <w:rsid w:val="001F38C4"/>
    <w:rsid w:val="001F5B6E"/>
    <w:rsid w:val="001F6293"/>
    <w:rsid w:val="001F6B0F"/>
    <w:rsid w:val="00205A19"/>
    <w:rsid w:val="00210F81"/>
    <w:rsid w:val="00230F55"/>
    <w:rsid w:val="002320E5"/>
    <w:rsid w:val="00240D9B"/>
    <w:rsid w:val="00286100"/>
    <w:rsid w:val="0028756A"/>
    <w:rsid w:val="002941B1"/>
    <w:rsid w:val="00297A19"/>
    <w:rsid w:val="002B7F89"/>
    <w:rsid w:val="002C63F0"/>
    <w:rsid w:val="002C7458"/>
    <w:rsid w:val="002E017D"/>
    <w:rsid w:val="002E5488"/>
    <w:rsid w:val="0030023C"/>
    <w:rsid w:val="00302AF6"/>
    <w:rsid w:val="00302D16"/>
    <w:rsid w:val="0031561D"/>
    <w:rsid w:val="003170DF"/>
    <w:rsid w:val="00324F1C"/>
    <w:rsid w:val="0033794C"/>
    <w:rsid w:val="00341F3A"/>
    <w:rsid w:val="0034652E"/>
    <w:rsid w:val="00360228"/>
    <w:rsid w:val="003618D4"/>
    <w:rsid w:val="00365FB8"/>
    <w:rsid w:val="00373063"/>
    <w:rsid w:val="003736CA"/>
    <w:rsid w:val="0039090E"/>
    <w:rsid w:val="003923A7"/>
    <w:rsid w:val="003A3252"/>
    <w:rsid w:val="003A4580"/>
    <w:rsid w:val="003B63C3"/>
    <w:rsid w:val="003D4F3D"/>
    <w:rsid w:val="003D5767"/>
    <w:rsid w:val="00402DF7"/>
    <w:rsid w:val="00416EB4"/>
    <w:rsid w:val="00424282"/>
    <w:rsid w:val="00431903"/>
    <w:rsid w:val="004357E7"/>
    <w:rsid w:val="0043580A"/>
    <w:rsid w:val="00435917"/>
    <w:rsid w:val="004455E0"/>
    <w:rsid w:val="004458E2"/>
    <w:rsid w:val="0046266C"/>
    <w:rsid w:val="0047380D"/>
    <w:rsid w:val="00485108"/>
    <w:rsid w:val="00493E6F"/>
    <w:rsid w:val="00497538"/>
    <w:rsid w:val="00497F57"/>
    <w:rsid w:val="004A1830"/>
    <w:rsid w:val="004A2422"/>
    <w:rsid w:val="004A5E80"/>
    <w:rsid w:val="004A72AE"/>
    <w:rsid w:val="004B0D42"/>
    <w:rsid w:val="004B340E"/>
    <w:rsid w:val="004C2644"/>
    <w:rsid w:val="004C2F69"/>
    <w:rsid w:val="004C70F4"/>
    <w:rsid w:val="004D0219"/>
    <w:rsid w:val="004D074F"/>
    <w:rsid w:val="004E53C7"/>
    <w:rsid w:val="004F07D1"/>
    <w:rsid w:val="004F3BAF"/>
    <w:rsid w:val="004F61E1"/>
    <w:rsid w:val="004F6374"/>
    <w:rsid w:val="004F7C2F"/>
    <w:rsid w:val="00522EC0"/>
    <w:rsid w:val="00525D8C"/>
    <w:rsid w:val="005528CC"/>
    <w:rsid w:val="00561B22"/>
    <w:rsid w:val="00563D32"/>
    <w:rsid w:val="00587CCB"/>
    <w:rsid w:val="005A7399"/>
    <w:rsid w:val="005B0F25"/>
    <w:rsid w:val="005B1B04"/>
    <w:rsid w:val="005D7EE8"/>
    <w:rsid w:val="005E10EC"/>
    <w:rsid w:val="005F3309"/>
    <w:rsid w:val="0060152C"/>
    <w:rsid w:val="00603256"/>
    <w:rsid w:val="00604FF3"/>
    <w:rsid w:val="006075C5"/>
    <w:rsid w:val="00616860"/>
    <w:rsid w:val="00616A62"/>
    <w:rsid w:val="00624407"/>
    <w:rsid w:val="00630BBA"/>
    <w:rsid w:val="00633577"/>
    <w:rsid w:val="00633A4F"/>
    <w:rsid w:val="00636B62"/>
    <w:rsid w:val="0065545E"/>
    <w:rsid w:val="00667861"/>
    <w:rsid w:val="00695A31"/>
    <w:rsid w:val="006B54E0"/>
    <w:rsid w:val="006B5B72"/>
    <w:rsid w:val="006B7565"/>
    <w:rsid w:val="006C0D6B"/>
    <w:rsid w:val="006C2FC1"/>
    <w:rsid w:val="006D20A6"/>
    <w:rsid w:val="006D7941"/>
    <w:rsid w:val="006E6906"/>
    <w:rsid w:val="006E706D"/>
    <w:rsid w:val="006F10E0"/>
    <w:rsid w:val="006F6DB9"/>
    <w:rsid w:val="0071312D"/>
    <w:rsid w:val="00714DD2"/>
    <w:rsid w:val="00716FB2"/>
    <w:rsid w:val="007319BC"/>
    <w:rsid w:val="00740085"/>
    <w:rsid w:val="00744B7C"/>
    <w:rsid w:val="007502BD"/>
    <w:rsid w:val="00767765"/>
    <w:rsid w:val="007732C6"/>
    <w:rsid w:val="0077618F"/>
    <w:rsid w:val="007806BE"/>
    <w:rsid w:val="00784D9C"/>
    <w:rsid w:val="0078509D"/>
    <w:rsid w:val="007924E2"/>
    <w:rsid w:val="007A3600"/>
    <w:rsid w:val="007A4963"/>
    <w:rsid w:val="007B2660"/>
    <w:rsid w:val="007C4968"/>
    <w:rsid w:val="007C55D1"/>
    <w:rsid w:val="007D4558"/>
    <w:rsid w:val="007D7A86"/>
    <w:rsid w:val="007F7B42"/>
    <w:rsid w:val="00820265"/>
    <w:rsid w:val="008379C7"/>
    <w:rsid w:val="008425A2"/>
    <w:rsid w:val="00843BCE"/>
    <w:rsid w:val="00854791"/>
    <w:rsid w:val="00864A33"/>
    <w:rsid w:val="00877B85"/>
    <w:rsid w:val="00881B52"/>
    <w:rsid w:val="00883DEE"/>
    <w:rsid w:val="00884C56"/>
    <w:rsid w:val="00885E90"/>
    <w:rsid w:val="00890D1F"/>
    <w:rsid w:val="008A0D48"/>
    <w:rsid w:val="008A1348"/>
    <w:rsid w:val="008A1844"/>
    <w:rsid w:val="008A4235"/>
    <w:rsid w:val="008A7678"/>
    <w:rsid w:val="008B3AE6"/>
    <w:rsid w:val="008B50E4"/>
    <w:rsid w:val="008D4A4A"/>
    <w:rsid w:val="008E1CD5"/>
    <w:rsid w:val="008F0258"/>
    <w:rsid w:val="008F64BD"/>
    <w:rsid w:val="008F6BFC"/>
    <w:rsid w:val="00912339"/>
    <w:rsid w:val="00913273"/>
    <w:rsid w:val="00940797"/>
    <w:rsid w:val="009435A9"/>
    <w:rsid w:val="0095263B"/>
    <w:rsid w:val="00964053"/>
    <w:rsid w:val="00970413"/>
    <w:rsid w:val="00972E0E"/>
    <w:rsid w:val="00974F7E"/>
    <w:rsid w:val="00981563"/>
    <w:rsid w:val="00982BF5"/>
    <w:rsid w:val="009C4923"/>
    <w:rsid w:val="009E4804"/>
    <w:rsid w:val="009F41AF"/>
    <w:rsid w:val="00A062E0"/>
    <w:rsid w:val="00A07F0B"/>
    <w:rsid w:val="00A23306"/>
    <w:rsid w:val="00A234A9"/>
    <w:rsid w:val="00A5392E"/>
    <w:rsid w:val="00A56E2E"/>
    <w:rsid w:val="00A6786A"/>
    <w:rsid w:val="00A75588"/>
    <w:rsid w:val="00A75DCF"/>
    <w:rsid w:val="00A775C4"/>
    <w:rsid w:val="00A90A3A"/>
    <w:rsid w:val="00AA3E01"/>
    <w:rsid w:val="00AB3A8D"/>
    <w:rsid w:val="00AB3F82"/>
    <w:rsid w:val="00AB4B5E"/>
    <w:rsid w:val="00AC48BF"/>
    <w:rsid w:val="00AD7B86"/>
    <w:rsid w:val="00AF4FA9"/>
    <w:rsid w:val="00B07516"/>
    <w:rsid w:val="00B12A1F"/>
    <w:rsid w:val="00B26098"/>
    <w:rsid w:val="00B265D5"/>
    <w:rsid w:val="00B31F85"/>
    <w:rsid w:val="00B40F66"/>
    <w:rsid w:val="00B60689"/>
    <w:rsid w:val="00B612B3"/>
    <w:rsid w:val="00B70314"/>
    <w:rsid w:val="00B7129D"/>
    <w:rsid w:val="00B8139D"/>
    <w:rsid w:val="00B8187E"/>
    <w:rsid w:val="00BA12F3"/>
    <w:rsid w:val="00BB2725"/>
    <w:rsid w:val="00BB4A3E"/>
    <w:rsid w:val="00BC3FCE"/>
    <w:rsid w:val="00BC7FE6"/>
    <w:rsid w:val="00BD6EA7"/>
    <w:rsid w:val="00C12332"/>
    <w:rsid w:val="00C157AD"/>
    <w:rsid w:val="00C221E7"/>
    <w:rsid w:val="00C33E09"/>
    <w:rsid w:val="00C36BDE"/>
    <w:rsid w:val="00C47181"/>
    <w:rsid w:val="00C96E9A"/>
    <w:rsid w:val="00CA0337"/>
    <w:rsid w:val="00CA7E60"/>
    <w:rsid w:val="00CB7987"/>
    <w:rsid w:val="00CC0348"/>
    <w:rsid w:val="00CC0E3A"/>
    <w:rsid w:val="00CD7B2D"/>
    <w:rsid w:val="00CE3EFB"/>
    <w:rsid w:val="00D16EDA"/>
    <w:rsid w:val="00D2453D"/>
    <w:rsid w:val="00D37800"/>
    <w:rsid w:val="00D41379"/>
    <w:rsid w:val="00D4148F"/>
    <w:rsid w:val="00D41D4E"/>
    <w:rsid w:val="00D45E6C"/>
    <w:rsid w:val="00D635E8"/>
    <w:rsid w:val="00D63651"/>
    <w:rsid w:val="00D70973"/>
    <w:rsid w:val="00D80926"/>
    <w:rsid w:val="00D97AB6"/>
    <w:rsid w:val="00DA4B37"/>
    <w:rsid w:val="00DB3C3A"/>
    <w:rsid w:val="00DC1D7F"/>
    <w:rsid w:val="00DC417F"/>
    <w:rsid w:val="00DC5396"/>
    <w:rsid w:val="00DD3786"/>
    <w:rsid w:val="00DF4FF7"/>
    <w:rsid w:val="00E132A8"/>
    <w:rsid w:val="00E14B88"/>
    <w:rsid w:val="00E33990"/>
    <w:rsid w:val="00E451CB"/>
    <w:rsid w:val="00E45D78"/>
    <w:rsid w:val="00E462C7"/>
    <w:rsid w:val="00E47F3B"/>
    <w:rsid w:val="00E50400"/>
    <w:rsid w:val="00E62FD7"/>
    <w:rsid w:val="00E66DC2"/>
    <w:rsid w:val="00E672CE"/>
    <w:rsid w:val="00E67B38"/>
    <w:rsid w:val="00E8304E"/>
    <w:rsid w:val="00EA48CD"/>
    <w:rsid w:val="00EB4B01"/>
    <w:rsid w:val="00EC4590"/>
    <w:rsid w:val="00EC6768"/>
    <w:rsid w:val="00EC7868"/>
    <w:rsid w:val="00ED0BEB"/>
    <w:rsid w:val="00ED7FE7"/>
    <w:rsid w:val="00EE0BE0"/>
    <w:rsid w:val="00EE1CC8"/>
    <w:rsid w:val="00EE6AC8"/>
    <w:rsid w:val="00F014D8"/>
    <w:rsid w:val="00F04658"/>
    <w:rsid w:val="00F20B72"/>
    <w:rsid w:val="00F2256A"/>
    <w:rsid w:val="00F32284"/>
    <w:rsid w:val="00F335DE"/>
    <w:rsid w:val="00F33721"/>
    <w:rsid w:val="00F46895"/>
    <w:rsid w:val="00F54877"/>
    <w:rsid w:val="00F60280"/>
    <w:rsid w:val="00F6089A"/>
    <w:rsid w:val="00F64A9F"/>
    <w:rsid w:val="00F65C14"/>
    <w:rsid w:val="00F810AA"/>
    <w:rsid w:val="00F82DA8"/>
    <w:rsid w:val="00F8385D"/>
    <w:rsid w:val="00F914DA"/>
    <w:rsid w:val="00FC7DE9"/>
    <w:rsid w:val="00FF33E3"/>
    <w:rsid w:val="00FF4492"/>
    <w:rsid w:val="00FF477B"/>
    <w:rsid w:val="00FF65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2DE7AF"/>
  <w15:chartTrackingRefBased/>
  <w15:docId w15:val="{22558A37-4DC1-4681-A377-AA7ECD55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9"/>
      </w:numPr>
      <w:ind w:left="720" w:hanging="720"/>
      <w:outlineLvl w:val="0"/>
    </w:pPr>
    <w:rPr>
      <w:rFonts w:ascii="Arial" w:hAnsi="Arial"/>
    </w:rPr>
  </w:style>
  <w:style w:type="paragraph" w:styleId="BodyTextIndent">
    <w:name w:val="Body Text Indent"/>
    <w:basedOn w:val="Normal"/>
    <w:rsid w:val="005E10EC"/>
    <w:pPr>
      <w:tabs>
        <w:tab w:val="left" w:pos="-1440"/>
      </w:tabs>
      <w:ind w:left="720" w:hanging="720"/>
      <w:jc w:val="both"/>
    </w:pPr>
    <w:rPr>
      <w:rFonts w:ascii="Arial" w:hAnsi="Arial"/>
    </w:rPr>
  </w:style>
  <w:style w:type="paragraph" w:styleId="BodyTextIndent2">
    <w:name w:val="Body Text Indent 2"/>
    <w:basedOn w:val="Normal"/>
    <w:rsid w:val="005E10EC"/>
    <w:pPr>
      <w:spacing w:after="120" w:line="480" w:lineRule="auto"/>
      <w:ind w:left="360"/>
    </w:pPr>
  </w:style>
  <w:style w:type="paragraph" w:customStyle="1" w:styleId="Style">
    <w:name w:val="Style"/>
    <w:basedOn w:val="Normal"/>
    <w:rsid w:val="005E10EC"/>
    <w:pPr>
      <w:ind w:left="1440" w:hanging="720"/>
    </w:pPr>
    <w:rPr>
      <w:rFonts w:ascii="Times New Roman" w:hAnsi="Times New Roman"/>
    </w:rPr>
  </w:style>
  <w:style w:type="table" w:styleId="TableGrid">
    <w:name w:val="Table Grid"/>
    <w:basedOn w:val="TableNormal"/>
    <w:rsid w:val="005E10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3794C"/>
    <w:pPr>
      <w:tabs>
        <w:tab w:val="center" w:pos="4320"/>
        <w:tab w:val="right" w:pos="8640"/>
      </w:tabs>
    </w:pPr>
  </w:style>
  <w:style w:type="paragraph" w:styleId="Footer">
    <w:name w:val="footer"/>
    <w:basedOn w:val="Normal"/>
    <w:rsid w:val="0033794C"/>
    <w:pPr>
      <w:tabs>
        <w:tab w:val="center" w:pos="4320"/>
        <w:tab w:val="right" w:pos="8640"/>
      </w:tabs>
    </w:pPr>
  </w:style>
  <w:style w:type="character" w:styleId="PageNumber">
    <w:name w:val="page number"/>
    <w:basedOn w:val="DefaultParagraphFont"/>
    <w:rsid w:val="0033794C"/>
  </w:style>
  <w:style w:type="character" w:styleId="Hyperlink">
    <w:name w:val="Hyperlink"/>
    <w:rsid w:val="002B7F89"/>
    <w:rPr>
      <w:color w:val="0000FF"/>
      <w:u w:val="single"/>
    </w:rPr>
  </w:style>
  <w:style w:type="character" w:styleId="CommentReference">
    <w:name w:val="annotation reference"/>
    <w:rsid w:val="00150405"/>
    <w:rPr>
      <w:sz w:val="16"/>
      <w:szCs w:val="16"/>
    </w:rPr>
  </w:style>
  <w:style w:type="paragraph" w:styleId="CommentText">
    <w:name w:val="annotation text"/>
    <w:basedOn w:val="Normal"/>
    <w:link w:val="CommentTextChar"/>
    <w:rsid w:val="00150405"/>
    <w:rPr>
      <w:sz w:val="20"/>
    </w:rPr>
  </w:style>
  <w:style w:type="character" w:customStyle="1" w:styleId="CommentTextChar">
    <w:name w:val="Comment Text Char"/>
    <w:link w:val="CommentText"/>
    <w:rsid w:val="00150405"/>
    <w:rPr>
      <w:rFonts w:ascii="Courier" w:hAnsi="Courier"/>
      <w:snapToGrid w:val="0"/>
    </w:rPr>
  </w:style>
  <w:style w:type="paragraph" w:styleId="CommentSubject">
    <w:name w:val="annotation subject"/>
    <w:basedOn w:val="CommentText"/>
    <w:next w:val="CommentText"/>
    <w:link w:val="CommentSubjectChar"/>
    <w:rsid w:val="00150405"/>
    <w:rPr>
      <w:b/>
      <w:bCs/>
    </w:rPr>
  </w:style>
  <w:style w:type="character" w:customStyle="1" w:styleId="CommentSubjectChar">
    <w:name w:val="Comment Subject Char"/>
    <w:link w:val="CommentSubject"/>
    <w:rsid w:val="00150405"/>
    <w:rPr>
      <w:rFonts w:ascii="Courier" w:hAnsi="Courier"/>
      <w:b/>
      <w:bCs/>
      <w:snapToGrid w:val="0"/>
    </w:rPr>
  </w:style>
  <w:style w:type="paragraph" w:styleId="Revision">
    <w:name w:val="Revision"/>
    <w:hidden/>
    <w:uiPriority w:val="99"/>
    <w:semiHidden/>
    <w:rsid w:val="00150405"/>
    <w:rPr>
      <w:rFonts w:ascii="Courier" w:hAnsi="Courier"/>
      <w:snapToGrid w:val="0"/>
      <w:sz w:val="24"/>
    </w:rPr>
  </w:style>
  <w:style w:type="paragraph" w:styleId="BalloonText">
    <w:name w:val="Balloon Text"/>
    <w:basedOn w:val="Normal"/>
    <w:link w:val="BalloonTextChar"/>
    <w:rsid w:val="00150405"/>
    <w:rPr>
      <w:rFonts w:ascii="Segoe UI" w:hAnsi="Segoe UI" w:cs="Segoe UI"/>
      <w:sz w:val="18"/>
      <w:szCs w:val="18"/>
    </w:rPr>
  </w:style>
  <w:style w:type="character" w:customStyle="1" w:styleId="BalloonTextChar">
    <w:name w:val="Balloon Text Char"/>
    <w:link w:val="BalloonText"/>
    <w:rsid w:val="00150405"/>
    <w:rPr>
      <w:rFonts w:ascii="Segoe UI" w:hAnsi="Segoe UI" w:cs="Segoe UI"/>
      <w:snapToGrid w:val="0"/>
      <w:sz w:val="18"/>
      <w:szCs w:val="18"/>
    </w:rPr>
  </w:style>
  <w:style w:type="paragraph" w:styleId="FootnoteText">
    <w:name w:val="footnote text"/>
    <w:basedOn w:val="Normal"/>
    <w:link w:val="FootnoteTextChar"/>
    <w:rsid w:val="00E45D78"/>
    <w:rPr>
      <w:sz w:val="20"/>
    </w:rPr>
  </w:style>
  <w:style w:type="character" w:customStyle="1" w:styleId="FootnoteTextChar">
    <w:name w:val="Footnote Text Char"/>
    <w:link w:val="FootnoteText"/>
    <w:rsid w:val="00E45D78"/>
    <w:rPr>
      <w:rFonts w:ascii="Courier" w:hAnsi="Courier"/>
      <w:snapToGrid w:val="0"/>
    </w:rPr>
  </w:style>
  <w:style w:type="paragraph" w:styleId="EndnoteText">
    <w:name w:val="endnote text"/>
    <w:basedOn w:val="Normal"/>
    <w:link w:val="EndnoteTextChar"/>
    <w:rsid w:val="00EE6AC8"/>
    <w:rPr>
      <w:sz w:val="20"/>
    </w:rPr>
  </w:style>
  <w:style w:type="character" w:customStyle="1" w:styleId="EndnoteTextChar">
    <w:name w:val="Endnote Text Char"/>
    <w:link w:val="EndnoteText"/>
    <w:rsid w:val="00EE6AC8"/>
    <w:rPr>
      <w:rFonts w:ascii="Courier" w:hAnsi="Courier"/>
      <w:snapToGrid w:val="0"/>
    </w:rPr>
  </w:style>
  <w:style w:type="character" w:styleId="EndnoteReference">
    <w:name w:val="endnote reference"/>
    <w:rsid w:val="00EE6AC8"/>
    <w:rPr>
      <w:vertAlign w:val="superscript"/>
    </w:rPr>
  </w:style>
  <w:style w:type="character" w:styleId="FollowedHyperlink">
    <w:name w:val="FollowedHyperlink"/>
    <w:rsid w:val="00324F1C"/>
    <w:rPr>
      <w:color w:val="954F72"/>
      <w:u w:val="single"/>
    </w:rPr>
  </w:style>
  <w:style w:type="character" w:styleId="UnresolvedMention">
    <w:name w:val="Unresolved Mention"/>
    <w:basedOn w:val="DefaultParagraphFont"/>
    <w:uiPriority w:val="99"/>
    <w:semiHidden/>
    <w:unhideWhenUsed/>
    <w:rsid w:val="00767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bp.gov/sites/default/files/documents/CBP%20Form%206478_0.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about/labs-scientific/commercial-gaugers-and-laborator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9A560-46AD-40C6-A7AF-A10F3BC5C5EF}">
  <ds:schemaRefs>
    <ds:schemaRef ds:uri="http://schemas.microsoft.com/office/2006/metadata/properties"/>
    <ds:schemaRef ds:uri="http://schemas.microsoft.com/office/infopath/2007/PartnerControls"/>
    <ds:schemaRef ds:uri="99e4d0a3-2886-48da-9feb-472d1794bc02"/>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259F96FC-BC08-4853-874F-0BE4A1667ACA}">
  <ds:schemaRefs>
    <ds:schemaRef ds:uri="http://schemas.openxmlformats.org/officeDocument/2006/bibliography"/>
  </ds:schemaRefs>
</ds:datastoreItem>
</file>

<file path=customXml/itemProps3.xml><?xml version="1.0" encoding="utf-8"?>
<ds:datastoreItem xmlns:ds="http://schemas.openxmlformats.org/officeDocument/2006/customXml" ds:itemID="{ED1FC994-4BD7-45AF-BC68-AE483052CF72}">
  <ds:schemaRefs>
    <ds:schemaRef ds:uri="http://schemas.microsoft.com/sharepoint/v3/contenttype/forms"/>
  </ds:schemaRefs>
</ds:datastoreItem>
</file>

<file path=customXml/itemProps4.xml><?xml version="1.0" encoding="utf-8"?>
<ds:datastoreItem xmlns:ds="http://schemas.openxmlformats.org/officeDocument/2006/customXml" ds:itemID="{46021AEE-8EF1-4C5C-B59F-EAB855D0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1278</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cp:revision>
  <cp:lastPrinted>2009-10-27T14:17:00Z</cp:lastPrinted>
  <dcterms:created xsi:type="dcterms:W3CDTF">2025-12-04T16:19:00Z</dcterms:created>
  <dcterms:modified xsi:type="dcterms:W3CDTF">2025-12-04T16:19:00Z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