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709A" w:rsidP="00B927EF" w14:paraId="754F1713" w14:textId="77777777">
      <w:pPr>
        <w:pStyle w:val="Title"/>
        <w:tabs>
          <w:tab w:val="left" w:pos="720"/>
        </w:tabs>
        <w:rPr>
          <w:color w:val="000000"/>
        </w:rPr>
      </w:pPr>
      <w:r>
        <w:rPr>
          <w:color w:val="000000"/>
        </w:rPr>
        <w:t>Supporting Statement</w:t>
      </w:r>
    </w:p>
    <w:p w:rsidR="009F1BB4" w14:paraId="6872A895" w14:textId="11BA4FBF">
      <w:pPr>
        <w:jc w:val="center"/>
        <w:rPr>
          <w:b/>
          <w:bCs/>
          <w:color w:val="000000"/>
        </w:rPr>
      </w:pPr>
      <w:r w:rsidRPr="00221C60">
        <w:rPr>
          <w:b/>
          <w:bCs/>
          <w:color w:val="000000"/>
        </w:rPr>
        <w:t>Stress Testing Rules for National Banks and Federal Savings Association</w:t>
      </w:r>
      <w:r>
        <w:rPr>
          <w:b/>
          <w:bCs/>
          <w:color w:val="000000"/>
        </w:rPr>
        <w:t>s</w:t>
      </w:r>
    </w:p>
    <w:p w:rsidR="0051709A" w14:paraId="02359D10" w14:textId="7E1E38B6">
      <w:pPr>
        <w:jc w:val="center"/>
        <w:rPr>
          <w:b/>
          <w:bCs/>
          <w:color w:val="000000"/>
        </w:rPr>
      </w:pPr>
      <w:r>
        <w:rPr>
          <w:b/>
          <w:bCs/>
          <w:color w:val="000000"/>
        </w:rPr>
        <w:t>OMB Control No.</w:t>
      </w:r>
      <w:r>
        <w:rPr>
          <w:b/>
          <w:bCs/>
          <w:color w:val="000000"/>
        </w:rPr>
        <w:t xml:space="preserve"> 1557-</w:t>
      </w:r>
      <w:r w:rsidR="009F7254">
        <w:rPr>
          <w:b/>
          <w:bCs/>
          <w:color w:val="000000"/>
        </w:rPr>
        <w:t>0343</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9F7254" w:rsidRPr="009F7254" w:rsidP="009F7254" w14:paraId="68F28A25" w14:textId="2F26F658">
      <w:pPr>
        <w:rPr>
          <w:color w:val="000000"/>
        </w:rPr>
      </w:pPr>
      <w:r>
        <w:rPr>
          <w:color w:val="000000"/>
        </w:rPr>
        <w:t xml:space="preserve">On </w:t>
      </w:r>
      <w:r w:rsidR="00DC24AA">
        <w:rPr>
          <w:color w:val="000000"/>
        </w:rPr>
        <w:t>October 9</w:t>
      </w:r>
      <w:r>
        <w:rPr>
          <w:color w:val="000000"/>
        </w:rPr>
        <w:t xml:space="preserve">, 2012, the </w:t>
      </w:r>
      <w:r w:rsidR="008E74FE">
        <w:rPr>
          <w:color w:val="000000"/>
        </w:rPr>
        <w:t xml:space="preserve">Office of the </w:t>
      </w:r>
      <w:r>
        <w:rPr>
          <w:color w:val="000000"/>
        </w:rPr>
        <w:t>Compt</w:t>
      </w:r>
      <w:r w:rsidR="009856F6">
        <w:rPr>
          <w:color w:val="000000"/>
        </w:rPr>
        <w:t xml:space="preserve">roller of the Currency </w:t>
      </w:r>
      <w:r w:rsidR="008E74FE">
        <w:rPr>
          <w:color w:val="000000"/>
        </w:rPr>
        <w:t xml:space="preserve">(OCC) </w:t>
      </w:r>
      <w:r w:rsidR="009856F6">
        <w:rPr>
          <w:color w:val="000000"/>
        </w:rPr>
        <w:t xml:space="preserve">issued a Final Rule titled </w:t>
      </w:r>
      <w:r w:rsidR="008E74FE">
        <w:rPr>
          <w:color w:val="000000"/>
        </w:rPr>
        <w:t>“</w:t>
      </w:r>
      <w:r w:rsidR="009856F6">
        <w:rPr>
          <w:color w:val="000000"/>
        </w:rPr>
        <w:t>A</w:t>
      </w:r>
      <w:r w:rsidRPr="009F7254">
        <w:rPr>
          <w:color w:val="000000"/>
        </w:rPr>
        <w:t xml:space="preserve">nnual </w:t>
      </w:r>
      <w:r w:rsidR="009856F6">
        <w:rPr>
          <w:color w:val="000000"/>
        </w:rPr>
        <w:t>S</w:t>
      </w:r>
      <w:r w:rsidRPr="009F7254">
        <w:rPr>
          <w:color w:val="000000"/>
        </w:rPr>
        <w:t xml:space="preserve">tress </w:t>
      </w:r>
      <w:r w:rsidR="009856F6">
        <w:rPr>
          <w:color w:val="000000"/>
        </w:rPr>
        <w:t>T</w:t>
      </w:r>
      <w:r w:rsidRPr="009F7254">
        <w:rPr>
          <w:color w:val="000000"/>
        </w:rPr>
        <w:t>est</w:t>
      </w:r>
      <w:r w:rsidR="008E74FE">
        <w:rPr>
          <w:color w:val="000000"/>
        </w:rPr>
        <w:t>”</w:t>
      </w:r>
      <w:r>
        <w:rPr>
          <w:rStyle w:val="FootnoteReference"/>
          <w:color w:val="000000"/>
        </w:rPr>
        <w:footnoteReference w:id="2"/>
      </w:r>
      <w:r w:rsidRPr="009F7254">
        <w:rPr>
          <w:color w:val="000000"/>
        </w:rPr>
        <w:t xml:space="preserve"> implement</w:t>
      </w:r>
      <w:r w:rsidR="008E5092">
        <w:rPr>
          <w:color w:val="000000"/>
        </w:rPr>
        <w:t>ing</w:t>
      </w:r>
      <w:r w:rsidRPr="009F7254">
        <w:rPr>
          <w:color w:val="000000"/>
        </w:rPr>
        <w:t xml:space="preserve"> Section 165(i) of the Dodd-Frank Wall Street</w:t>
      </w:r>
      <w:r w:rsidR="00A55761">
        <w:rPr>
          <w:color w:val="000000"/>
        </w:rPr>
        <w:t xml:space="preserve"> </w:t>
      </w:r>
      <w:r w:rsidRPr="009F7254">
        <w:rPr>
          <w:color w:val="000000"/>
        </w:rPr>
        <w:t>Reform and Consumer Protection Act</w:t>
      </w:r>
      <w:r>
        <w:rPr>
          <w:rStyle w:val="FootnoteReference"/>
          <w:color w:val="000000"/>
        </w:rPr>
        <w:footnoteReference w:id="3"/>
      </w:r>
      <w:r w:rsidRPr="009F7254">
        <w:rPr>
          <w:color w:val="000000"/>
        </w:rPr>
        <w:t xml:space="preserve"> (</w:t>
      </w:r>
      <w:r w:rsidR="00234958">
        <w:rPr>
          <w:color w:val="000000"/>
        </w:rPr>
        <w:t>“</w:t>
      </w:r>
      <w:r w:rsidRPr="009F7254">
        <w:rPr>
          <w:color w:val="000000"/>
        </w:rPr>
        <w:t>Dodd-Frank Act</w:t>
      </w:r>
      <w:r w:rsidR="00234958">
        <w:rPr>
          <w:color w:val="000000"/>
        </w:rPr>
        <w:t>”</w:t>
      </w:r>
      <w:r w:rsidRPr="009F7254">
        <w:rPr>
          <w:color w:val="000000"/>
        </w:rPr>
        <w:t>)</w:t>
      </w:r>
      <w:r w:rsidR="00305C54">
        <w:rPr>
          <w:color w:val="000000"/>
        </w:rPr>
        <w:t>.</w:t>
      </w:r>
      <w:r w:rsidRPr="009F7254">
        <w:rPr>
          <w:color w:val="000000"/>
        </w:rPr>
        <w:t xml:space="preserve"> </w:t>
      </w:r>
      <w:r w:rsidR="00305C54">
        <w:rPr>
          <w:color w:val="000000"/>
        </w:rPr>
        <w:t>That section</w:t>
      </w:r>
      <w:r w:rsidRPr="009F7254">
        <w:rPr>
          <w:color w:val="000000"/>
        </w:rPr>
        <w:t xml:space="preserve"> requires certain</w:t>
      </w:r>
      <w:r w:rsidR="00A55761">
        <w:rPr>
          <w:color w:val="000000"/>
        </w:rPr>
        <w:t xml:space="preserve"> </w:t>
      </w:r>
      <w:r w:rsidRPr="009F7254">
        <w:rPr>
          <w:color w:val="000000"/>
        </w:rPr>
        <w:t>companies to conduct stress tests. As enacted by the Dodd-Frank Act, national banks and</w:t>
      </w:r>
      <w:r w:rsidR="00A55761">
        <w:rPr>
          <w:color w:val="000000"/>
        </w:rPr>
        <w:t xml:space="preserve"> </w:t>
      </w:r>
      <w:r w:rsidRPr="009F7254">
        <w:rPr>
          <w:color w:val="000000"/>
        </w:rPr>
        <w:t>Federal savings associations with total consolidated assets of more than $10 billion were</w:t>
      </w:r>
      <w:r w:rsidR="00A55761">
        <w:rPr>
          <w:color w:val="000000"/>
        </w:rPr>
        <w:t xml:space="preserve"> </w:t>
      </w:r>
      <w:r w:rsidRPr="009F7254">
        <w:rPr>
          <w:color w:val="000000"/>
        </w:rPr>
        <w:t>required to conduct annual stress tests and comply with reporting and disclosure</w:t>
      </w:r>
      <w:r w:rsidR="00915EEF">
        <w:rPr>
          <w:color w:val="000000"/>
        </w:rPr>
        <w:t xml:space="preserve"> </w:t>
      </w:r>
      <w:r w:rsidRPr="009F7254">
        <w:rPr>
          <w:color w:val="000000"/>
        </w:rPr>
        <w:t>requirements under the rule. The reporting</w:t>
      </w:r>
      <w:r w:rsidR="00A55761">
        <w:rPr>
          <w:color w:val="000000"/>
        </w:rPr>
        <w:t xml:space="preserve"> </w:t>
      </w:r>
      <w:r w:rsidRPr="009F7254">
        <w:rPr>
          <w:color w:val="000000"/>
        </w:rPr>
        <w:t>templates for institutions with total</w:t>
      </w:r>
      <w:r w:rsidR="00A55761">
        <w:rPr>
          <w:color w:val="000000"/>
        </w:rPr>
        <w:t xml:space="preserve"> </w:t>
      </w:r>
      <w:r w:rsidRPr="009F7254">
        <w:rPr>
          <w:color w:val="000000"/>
        </w:rPr>
        <w:t>consolidated assets of over $50 billion were finalized in</w:t>
      </w:r>
      <w:r w:rsidR="006913D0">
        <w:rPr>
          <w:color w:val="000000"/>
        </w:rPr>
        <w:t xml:space="preserve"> </w:t>
      </w:r>
      <w:r w:rsidRPr="009F7254">
        <w:rPr>
          <w:color w:val="000000"/>
        </w:rPr>
        <w:t>2012.</w:t>
      </w:r>
      <w:r>
        <w:rPr>
          <w:rStyle w:val="FootnoteReference"/>
          <w:color w:val="000000"/>
        </w:rPr>
        <w:footnoteReference w:id="4"/>
      </w:r>
    </w:p>
    <w:p w:rsidR="007816B6" w:rsidP="009F7254" w14:paraId="201270FD" w14:textId="77777777">
      <w:pPr>
        <w:rPr>
          <w:color w:val="000000"/>
        </w:rPr>
      </w:pPr>
    </w:p>
    <w:p w:rsidR="009F7254" w:rsidRPr="009F7254" w:rsidP="009F7254" w14:paraId="0DA2A5C8" w14:textId="4E993CD3">
      <w:pPr>
        <w:rPr>
          <w:color w:val="000000"/>
        </w:rPr>
      </w:pPr>
      <w:r w:rsidRPr="009F7254">
        <w:rPr>
          <w:color w:val="000000"/>
        </w:rPr>
        <w:t xml:space="preserve">Section </w:t>
      </w:r>
      <w:r w:rsidR="005768B7">
        <w:rPr>
          <w:color w:val="000000"/>
        </w:rPr>
        <w:t>1</w:t>
      </w:r>
      <w:r w:rsidRPr="009F7254">
        <w:rPr>
          <w:color w:val="000000"/>
        </w:rPr>
        <w:t>65(i)(2) of the Dodd-Frank Act require</w:t>
      </w:r>
      <w:r w:rsidR="00D94E6D">
        <w:rPr>
          <w:color w:val="000000"/>
        </w:rPr>
        <w:t>s</w:t>
      </w:r>
      <w:r w:rsidRPr="009F7254">
        <w:rPr>
          <w:color w:val="000000"/>
        </w:rPr>
        <w:t xml:space="preserve"> certain financial companies, including</w:t>
      </w:r>
      <w:r w:rsidR="00970AEE">
        <w:rPr>
          <w:color w:val="000000"/>
        </w:rPr>
        <w:t xml:space="preserve"> </w:t>
      </w:r>
      <w:r w:rsidRPr="009F7254">
        <w:rPr>
          <w:color w:val="000000"/>
        </w:rPr>
        <w:t>national banks and Federal savings associations, to conduct annual stress t</w:t>
      </w:r>
      <w:r w:rsidR="0054079F">
        <w:rPr>
          <w:color w:val="000000"/>
        </w:rPr>
        <w:t>e</w:t>
      </w:r>
      <w:r w:rsidRPr="009F7254">
        <w:rPr>
          <w:color w:val="000000"/>
        </w:rPr>
        <w:t>sts</w:t>
      </w:r>
      <w:r>
        <w:rPr>
          <w:rStyle w:val="FootnoteReference"/>
          <w:color w:val="000000"/>
        </w:rPr>
        <w:footnoteReference w:id="5"/>
      </w:r>
      <w:r w:rsidRPr="009F7254">
        <w:rPr>
          <w:color w:val="000000"/>
        </w:rPr>
        <w:t xml:space="preserve"> and</w:t>
      </w:r>
      <w:r w:rsidR="00970AEE">
        <w:rPr>
          <w:color w:val="000000"/>
        </w:rPr>
        <w:t xml:space="preserve"> </w:t>
      </w:r>
      <w:r w:rsidRPr="009F7254">
        <w:rPr>
          <w:color w:val="000000"/>
        </w:rPr>
        <w:t>requires the primary financial regulatory ag</w:t>
      </w:r>
      <w:r w:rsidR="0054079F">
        <w:rPr>
          <w:color w:val="000000"/>
        </w:rPr>
        <w:t>e</w:t>
      </w:r>
      <w:r w:rsidRPr="009F7254">
        <w:rPr>
          <w:color w:val="000000"/>
        </w:rPr>
        <w:t>ncy</w:t>
      </w:r>
      <w:r>
        <w:rPr>
          <w:rStyle w:val="FootnoteReference"/>
          <w:color w:val="000000"/>
        </w:rPr>
        <w:footnoteReference w:id="6"/>
      </w:r>
      <w:r w:rsidRPr="009F7254">
        <w:rPr>
          <w:color w:val="000000"/>
        </w:rPr>
        <w:t xml:space="preserve"> of those financial companies to issue</w:t>
      </w:r>
      <w:r w:rsidR="00970AEE">
        <w:rPr>
          <w:color w:val="000000"/>
        </w:rPr>
        <w:t xml:space="preserve"> </w:t>
      </w:r>
      <w:r w:rsidRPr="009F7254">
        <w:rPr>
          <w:color w:val="000000"/>
        </w:rPr>
        <w:t>regulations implementing the stress test requirements.</w:t>
      </w:r>
      <w:r>
        <w:rPr>
          <w:rStyle w:val="FootnoteReference"/>
          <w:color w:val="000000"/>
        </w:rPr>
        <w:footnoteReference w:id="7"/>
      </w:r>
    </w:p>
    <w:p w:rsidR="007816B6" w:rsidP="009F7254" w14:paraId="5C862EA9" w14:textId="77777777">
      <w:pPr>
        <w:rPr>
          <w:color w:val="000000"/>
        </w:rPr>
      </w:pPr>
    </w:p>
    <w:p w:rsidR="009F7254" w:rsidRPr="009F7254" w:rsidP="009F7254" w14:paraId="119338CA" w14:textId="41809EE3">
      <w:pPr>
        <w:rPr>
          <w:color w:val="000000"/>
        </w:rPr>
      </w:pPr>
      <w:r w:rsidRPr="009F7254">
        <w:rPr>
          <w:color w:val="000000"/>
        </w:rPr>
        <w:t xml:space="preserve">Under section </w:t>
      </w:r>
      <w:r w:rsidR="005768B7">
        <w:rPr>
          <w:color w:val="000000"/>
        </w:rPr>
        <w:t>1</w:t>
      </w:r>
      <w:r w:rsidRPr="009F7254">
        <w:rPr>
          <w:color w:val="000000"/>
        </w:rPr>
        <w:t>65(i)(2), a covered institution was required to submit to the Board of</w:t>
      </w:r>
      <w:r w:rsidR="00970AEE">
        <w:rPr>
          <w:color w:val="000000"/>
        </w:rPr>
        <w:t xml:space="preserve"> </w:t>
      </w:r>
      <w:r w:rsidRPr="009F7254">
        <w:rPr>
          <w:color w:val="000000"/>
        </w:rPr>
        <w:t>Governors of the Federal Reserve System (Board) and to its primary financial regulatory</w:t>
      </w:r>
      <w:r w:rsidR="00970AEE">
        <w:rPr>
          <w:color w:val="000000"/>
        </w:rPr>
        <w:t xml:space="preserve"> </w:t>
      </w:r>
      <w:r w:rsidRPr="009F7254">
        <w:rPr>
          <w:color w:val="000000"/>
        </w:rPr>
        <w:t>agency a report at such time, in such form, and containing such information as the</w:t>
      </w:r>
      <w:r w:rsidR="00970AEE">
        <w:rPr>
          <w:color w:val="000000"/>
        </w:rPr>
        <w:t xml:space="preserve"> </w:t>
      </w:r>
      <w:r w:rsidRPr="009F7254">
        <w:rPr>
          <w:color w:val="000000"/>
        </w:rPr>
        <w:t>primary financial regulatory agency may require.</w:t>
      </w:r>
      <w:r>
        <w:rPr>
          <w:rStyle w:val="FootnoteReference"/>
          <w:color w:val="000000"/>
        </w:rPr>
        <w:footnoteReference w:id="8"/>
      </w:r>
    </w:p>
    <w:p w:rsidR="007816B6" w:rsidP="009F7254" w14:paraId="2A488297" w14:textId="77777777">
      <w:pPr>
        <w:rPr>
          <w:color w:val="000000"/>
        </w:rPr>
      </w:pPr>
    </w:p>
    <w:p w:rsidR="0051709A" w:rsidP="009F7254" w14:paraId="50B9559F" w14:textId="31C44B6C">
      <w:pPr>
        <w:rPr>
          <w:color w:val="000000"/>
        </w:rPr>
      </w:pPr>
      <w:r w:rsidRPr="009F7254">
        <w:rPr>
          <w:color w:val="000000"/>
        </w:rPr>
        <w:t>The Economic Growth, Regulatory Relief, and Consumer Protection Act (EGRRCPA),</w:t>
      </w:r>
      <w:r w:rsidR="00803C32">
        <w:rPr>
          <w:color w:val="000000"/>
        </w:rPr>
        <w:t xml:space="preserve"> </w:t>
      </w:r>
      <w:r w:rsidRPr="009F7254">
        <w:rPr>
          <w:color w:val="000000"/>
        </w:rPr>
        <w:t>enacted</w:t>
      </w:r>
      <w:r w:rsidR="00803C32">
        <w:rPr>
          <w:color w:val="000000"/>
        </w:rPr>
        <w:t xml:space="preserve"> </w:t>
      </w:r>
      <w:r w:rsidRPr="009F7254">
        <w:rPr>
          <w:color w:val="000000"/>
        </w:rPr>
        <w:t>on May 24, 2018, amended certain aspects of the company-run stress testing</w:t>
      </w:r>
      <w:r w:rsidR="00803C32">
        <w:rPr>
          <w:color w:val="000000"/>
        </w:rPr>
        <w:t xml:space="preserve"> </w:t>
      </w:r>
      <w:r w:rsidRPr="009F7254">
        <w:rPr>
          <w:color w:val="000000"/>
        </w:rPr>
        <w:t>requirement in section 165(i)(2) of the Dodd-Frank Act.</w:t>
      </w:r>
      <w:r>
        <w:rPr>
          <w:rStyle w:val="FootnoteReference"/>
          <w:color w:val="000000"/>
        </w:rPr>
        <w:footnoteReference w:id="9"/>
      </w:r>
      <w:r w:rsidRPr="009F7254">
        <w:rPr>
          <w:color w:val="000000"/>
        </w:rPr>
        <w:t xml:space="preserve"> Specifically, section 401 of</w:t>
      </w:r>
      <w:r w:rsidR="00803C32">
        <w:rPr>
          <w:color w:val="000000"/>
        </w:rPr>
        <w:t xml:space="preserve"> </w:t>
      </w:r>
      <w:r w:rsidRPr="009F7254">
        <w:rPr>
          <w:color w:val="000000"/>
        </w:rPr>
        <w:t>EGRRCPA raises the minimum asset threshold for financial companies covered by the</w:t>
      </w:r>
      <w:r w:rsidR="00803C32">
        <w:rPr>
          <w:color w:val="000000"/>
        </w:rPr>
        <w:t xml:space="preserve"> </w:t>
      </w:r>
      <w:r w:rsidRPr="009F7254">
        <w:rPr>
          <w:color w:val="000000"/>
        </w:rPr>
        <w:t>company-run stress testing requirement from $10 billion to $250 billion in total</w:t>
      </w:r>
      <w:r w:rsidR="00803C32">
        <w:rPr>
          <w:color w:val="000000"/>
        </w:rPr>
        <w:t xml:space="preserve"> </w:t>
      </w:r>
      <w:r w:rsidRPr="009F7254">
        <w:rPr>
          <w:color w:val="000000"/>
        </w:rPr>
        <w:t xml:space="preserve">consolidated assets; revises the requirement for banks to conduct stress tests </w:t>
      </w:r>
      <w:r w:rsidR="00012A21">
        <w:rPr>
          <w:color w:val="000000"/>
        </w:rPr>
        <w:t>“</w:t>
      </w:r>
      <w:r w:rsidRPr="009F7254">
        <w:rPr>
          <w:color w:val="000000"/>
        </w:rPr>
        <w:t>annually</w:t>
      </w:r>
      <w:r w:rsidR="00FD1F71">
        <w:rPr>
          <w:color w:val="000000"/>
        </w:rPr>
        <w:t>”</w:t>
      </w:r>
      <w:r w:rsidR="00803C32">
        <w:rPr>
          <w:color w:val="000000"/>
        </w:rPr>
        <w:t xml:space="preserve"> </w:t>
      </w:r>
      <w:r w:rsidRPr="009F7254">
        <w:rPr>
          <w:color w:val="000000"/>
        </w:rPr>
        <w:t xml:space="preserve">and instead requires them to conduct stress tests </w:t>
      </w:r>
      <w:r w:rsidR="00FD1F71">
        <w:rPr>
          <w:color w:val="000000"/>
        </w:rPr>
        <w:t>“</w:t>
      </w:r>
      <w:r w:rsidRPr="009F7254">
        <w:rPr>
          <w:color w:val="000000"/>
        </w:rPr>
        <w:t>periodically</w:t>
      </w:r>
      <w:r w:rsidR="00FD1F71">
        <w:rPr>
          <w:color w:val="000000"/>
        </w:rPr>
        <w:t>”</w:t>
      </w:r>
      <w:r w:rsidR="009838C4">
        <w:rPr>
          <w:color w:val="000000"/>
        </w:rPr>
        <w:t>;</w:t>
      </w:r>
      <w:r w:rsidRPr="009F7254">
        <w:rPr>
          <w:color w:val="000000"/>
        </w:rPr>
        <w:t xml:space="preserve"> and no longer requires</w:t>
      </w:r>
      <w:r w:rsidR="00803C32">
        <w:rPr>
          <w:color w:val="000000"/>
        </w:rPr>
        <w:t xml:space="preserve"> </w:t>
      </w:r>
      <w:r w:rsidRPr="009F7254">
        <w:rPr>
          <w:color w:val="000000"/>
        </w:rPr>
        <w:t xml:space="preserve">the OCC to provide an </w:t>
      </w:r>
      <w:r w:rsidR="00B74F76">
        <w:rPr>
          <w:color w:val="000000"/>
        </w:rPr>
        <w:t>“</w:t>
      </w:r>
      <w:r w:rsidRPr="009F7254">
        <w:rPr>
          <w:color w:val="000000"/>
        </w:rPr>
        <w:t>adverse</w:t>
      </w:r>
      <w:r w:rsidR="00B74F76">
        <w:rPr>
          <w:color w:val="000000"/>
        </w:rPr>
        <w:t>”</w:t>
      </w:r>
      <w:r w:rsidRPr="009F7254">
        <w:rPr>
          <w:color w:val="000000"/>
        </w:rPr>
        <w:t xml:space="preserve"> stress-testing scenario, thus reducing the number of</w:t>
      </w:r>
      <w:r w:rsidR="00803C32">
        <w:rPr>
          <w:color w:val="000000"/>
        </w:rPr>
        <w:t xml:space="preserve"> </w:t>
      </w:r>
      <w:r w:rsidRPr="009F7254">
        <w:rPr>
          <w:color w:val="000000"/>
        </w:rPr>
        <w:t>required stress test scenarios from three to two.</w:t>
      </w:r>
    </w:p>
    <w:p w:rsidR="0010137B" w:rsidP="009F7254" w14:paraId="7B8A570D" w14:textId="77777777">
      <w:pPr>
        <w:rPr>
          <w:color w:val="000000"/>
        </w:rPr>
      </w:pPr>
    </w:p>
    <w:p w:rsidR="0060132F" w:rsidP="009F7254" w14:paraId="2AEF3D97" w14:textId="77777777">
      <w:pPr>
        <w:rPr>
          <w:color w:val="000000"/>
        </w:rPr>
      </w:pPr>
    </w:p>
    <w:p w:rsidR="0060132F" w:rsidP="009F7254" w14:paraId="1268C7F6"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D04E1B" w:rsidRPr="00D04E1B" w:rsidP="00D04E1B" w14:paraId="1F7DBB58" w14:textId="14E1E0BB">
      <w:pPr>
        <w:rPr>
          <w:color w:val="000000"/>
        </w:rPr>
      </w:pPr>
      <w:r w:rsidRPr="00D04E1B">
        <w:rPr>
          <w:color w:val="000000"/>
        </w:rPr>
        <w:t>The OCC uses the information to assess the reasonableness of the stress test results and</w:t>
      </w:r>
      <w:r w:rsidR="009B7D51">
        <w:rPr>
          <w:color w:val="000000"/>
        </w:rPr>
        <w:t xml:space="preserve"> </w:t>
      </w:r>
      <w:r w:rsidRPr="00D04E1B">
        <w:rPr>
          <w:color w:val="000000"/>
        </w:rPr>
        <w:t>provide</w:t>
      </w:r>
      <w:r w:rsidR="009B7D51">
        <w:rPr>
          <w:color w:val="000000"/>
        </w:rPr>
        <w:t xml:space="preserve"> </w:t>
      </w:r>
      <w:r w:rsidRPr="00D04E1B">
        <w:rPr>
          <w:color w:val="000000"/>
        </w:rPr>
        <w:t>forward-looking information to the OCC regarding a covered institution</w:t>
      </w:r>
      <w:r w:rsidR="000C6F38">
        <w:rPr>
          <w:color w:val="000000"/>
        </w:rPr>
        <w:t>'</w:t>
      </w:r>
      <w:r w:rsidRPr="00D04E1B">
        <w:rPr>
          <w:color w:val="000000"/>
        </w:rPr>
        <w:t>s capital</w:t>
      </w:r>
      <w:r w:rsidR="009B7D51">
        <w:rPr>
          <w:color w:val="000000"/>
        </w:rPr>
        <w:t xml:space="preserve"> </w:t>
      </w:r>
      <w:r w:rsidRPr="00D04E1B">
        <w:rPr>
          <w:color w:val="000000"/>
        </w:rPr>
        <w:t>adequacy. The OCC also may use the results of the stress tests to determine whether</w:t>
      </w:r>
      <w:r w:rsidR="0060132F">
        <w:rPr>
          <w:color w:val="000000"/>
        </w:rPr>
        <w:t xml:space="preserve"> </w:t>
      </w:r>
      <w:r w:rsidRPr="00D04E1B">
        <w:rPr>
          <w:color w:val="000000"/>
        </w:rPr>
        <w:t>additional analytical techniques and exercises could be appropriate to identify, measure,</w:t>
      </w:r>
      <w:r w:rsidR="0060132F">
        <w:rPr>
          <w:color w:val="000000"/>
        </w:rPr>
        <w:t xml:space="preserve"> </w:t>
      </w:r>
      <w:r w:rsidRPr="00D04E1B">
        <w:rPr>
          <w:color w:val="000000"/>
        </w:rPr>
        <w:t>and monitor risks at the covered institution. The stress test results support ongoing</w:t>
      </w:r>
      <w:r w:rsidR="0060132F">
        <w:rPr>
          <w:color w:val="000000"/>
        </w:rPr>
        <w:t xml:space="preserve"> </w:t>
      </w:r>
      <w:r w:rsidRPr="00D04E1B">
        <w:rPr>
          <w:color w:val="000000"/>
        </w:rPr>
        <w:t>improvement in a covered institution's stress testing practices with respect to its internal</w:t>
      </w:r>
      <w:r w:rsidR="0060132F">
        <w:rPr>
          <w:color w:val="000000"/>
        </w:rPr>
        <w:t xml:space="preserve"> </w:t>
      </w:r>
      <w:r w:rsidRPr="00D04E1B">
        <w:rPr>
          <w:color w:val="000000"/>
        </w:rPr>
        <w:t>assessments of capital adequacy and overall capital planning.</w:t>
      </w:r>
    </w:p>
    <w:p w:rsidR="00D04E1B" w:rsidP="00D04E1B" w14:paraId="47EFE08A" w14:textId="77777777">
      <w:pPr>
        <w:rPr>
          <w:color w:val="000000"/>
        </w:rPr>
      </w:pPr>
    </w:p>
    <w:p w:rsidR="00D04E1B" w:rsidRPr="00D04E1B" w:rsidP="00D04E1B" w14:paraId="3109137E" w14:textId="2EC1FA18">
      <w:pPr>
        <w:rPr>
          <w:color w:val="000000"/>
        </w:rPr>
      </w:pPr>
      <w:r w:rsidRPr="00D04E1B">
        <w:rPr>
          <w:color w:val="000000"/>
        </w:rPr>
        <w:t>Under 12 CFR 46.6(c), each covered institution is required to establish and maintain a</w:t>
      </w:r>
      <w:r w:rsidR="00843847">
        <w:rPr>
          <w:color w:val="000000"/>
        </w:rPr>
        <w:t xml:space="preserve"> </w:t>
      </w:r>
      <w:r w:rsidRPr="00D04E1B">
        <w:rPr>
          <w:color w:val="000000"/>
        </w:rPr>
        <w:t>system of controls, oversight, and documentation, including policies and procedures,</w:t>
      </w:r>
      <w:r w:rsidR="00843847">
        <w:rPr>
          <w:color w:val="000000"/>
        </w:rPr>
        <w:t xml:space="preserve"> </w:t>
      </w:r>
      <w:r w:rsidRPr="00D04E1B">
        <w:rPr>
          <w:color w:val="000000"/>
        </w:rPr>
        <w:t>describing the covered institution's stress test practices and methodologies, and processes</w:t>
      </w:r>
      <w:r w:rsidR="00843847">
        <w:rPr>
          <w:color w:val="000000"/>
        </w:rPr>
        <w:t xml:space="preserve"> </w:t>
      </w:r>
      <w:r w:rsidRPr="00D04E1B">
        <w:rPr>
          <w:color w:val="000000"/>
        </w:rPr>
        <w:t>for validating and updating the covered institution's stress test practices. The board of</w:t>
      </w:r>
      <w:r w:rsidR="00843847">
        <w:rPr>
          <w:color w:val="000000"/>
        </w:rPr>
        <w:t xml:space="preserve"> </w:t>
      </w:r>
      <w:r w:rsidRPr="00D04E1B">
        <w:rPr>
          <w:color w:val="000000"/>
        </w:rPr>
        <w:t>directors of the covered institution must approve and review these policies at least</w:t>
      </w:r>
      <w:r w:rsidR="00843847">
        <w:rPr>
          <w:color w:val="000000"/>
        </w:rPr>
        <w:t xml:space="preserve"> </w:t>
      </w:r>
      <w:r w:rsidRPr="00D04E1B">
        <w:rPr>
          <w:color w:val="000000"/>
        </w:rPr>
        <w:t>annually. Section 46.7(a) requires each covered institution to report the results of their</w:t>
      </w:r>
      <w:r w:rsidR="00843847">
        <w:rPr>
          <w:color w:val="000000"/>
        </w:rPr>
        <w:t xml:space="preserve"> </w:t>
      </w:r>
      <w:r w:rsidRPr="00D04E1B">
        <w:rPr>
          <w:color w:val="000000"/>
        </w:rPr>
        <w:t>stress tests to the OCC annually. Section 46.8(a) requires that a covered institution</w:t>
      </w:r>
      <w:r w:rsidR="00843847">
        <w:rPr>
          <w:color w:val="000000"/>
        </w:rPr>
        <w:t xml:space="preserve"> </w:t>
      </w:r>
      <w:r w:rsidRPr="00D04E1B">
        <w:rPr>
          <w:color w:val="000000"/>
        </w:rPr>
        <w:t>publish a summary of the results of its annual stress tests on its website or in any other</w:t>
      </w:r>
      <w:r w:rsidR="00843847">
        <w:rPr>
          <w:color w:val="000000"/>
        </w:rPr>
        <w:t xml:space="preserve"> </w:t>
      </w:r>
      <w:r w:rsidRPr="00D04E1B">
        <w:rPr>
          <w:color w:val="000000"/>
        </w:rPr>
        <w:t>forum that is reasonably accessible to the public.</w:t>
      </w:r>
    </w:p>
    <w:p w:rsidR="00D04E1B" w:rsidP="00D04E1B" w14:paraId="21A8A995" w14:textId="77777777">
      <w:pPr>
        <w:rPr>
          <w:color w:val="000000"/>
        </w:rPr>
      </w:pPr>
    </w:p>
    <w:p w:rsidR="009A271C" w:rsidRPr="002B738B" w:rsidP="00D04E1B" w14:paraId="2FCE2042" w14:textId="723D0717">
      <w:pPr>
        <w:rPr>
          <w:color w:val="000000"/>
        </w:rPr>
      </w:pPr>
      <w:r w:rsidRPr="00D04E1B">
        <w:rPr>
          <w:color w:val="000000"/>
        </w:rPr>
        <w:t xml:space="preserve">The 2019 increase in the applicability threshold for these </w:t>
      </w:r>
      <w:r w:rsidRPr="00D04E1B" w:rsidR="002B738B">
        <w:rPr>
          <w:color w:val="000000"/>
        </w:rPr>
        <w:t>r</w:t>
      </w:r>
      <w:r w:rsidR="002B738B">
        <w:rPr>
          <w:color w:val="000000"/>
        </w:rPr>
        <w:t>e</w:t>
      </w:r>
      <w:r w:rsidRPr="00D04E1B" w:rsidR="002B738B">
        <w:rPr>
          <w:color w:val="000000"/>
        </w:rPr>
        <w:t>quirements</w:t>
      </w:r>
      <w:r>
        <w:rPr>
          <w:rStyle w:val="FootnoteReference"/>
          <w:color w:val="000000"/>
        </w:rPr>
        <w:footnoteReference w:id="10"/>
      </w:r>
      <w:r w:rsidRPr="00D04E1B">
        <w:rPr>
          <w:color w:val="000000"/>
        </w:rPr>
        <w:t xml:space="preserve"> reduced the</w:t>
      </w:r>
      <w:r w:rsidR="002B738B">
        <w:rPr>
          <w:color w:val="000000"/>
        </w:rPr>
        <w:t xml:space="preserve"> </w:t>
      </w:r>
      <w:r w:rsidRPr="00D04E1B">
        <w:rPr>
          <w:color w:val="000000"/>
        </w:rPr>
        <w:t>estimated number of respondents. In addition, the frequency of these reporting,</w:t>
      </w:r>
      <w:r w:rsidR="002B738B">
        <w:rPr>
          <w:color w:val="000000"/>
        </w:rPr>
        <w:t xml:space="preserve"> </w:t>
      </w:r>
      <w:r w:rsidRPr="00D04E1B">
        <w:rPr>
          <w:color w:val="000000"/>
        </w:rPr>
        <w:t>r</w:t>
      </w:r>
      <w:r>
        <w:rPr>
          <w:color w:val="000000"/>
        </w:rPr>
        <w:t>e</w:t>
      </w:r>
      <w:r w:rsidRPr="00D04E1B">
        <w:rPr>
          <w:color w:val="000000"/>
        </w:rPr>
        <w:t>cordk</w:t>
      </w:r>
      <w:r w:rsidR="0010137B">
        <w:rPr>
          <w:color w:val="000000"/>
        </w:rPr>
        <w:t>e</w:t>
      </w:r>
      <w:r w:rsidRPr="00D04E1B">
        <w:rPr>
          <w:color w:val="000000"/>
        </w:rPr>
        <w:t>eping, and disclosure requirements for some institutions were decreased to</w:t>
      </w:r>
      <w:r w:rsidR="002B738B">
        <w:rPr>
          <w:color w:val="000000"/>
        </w:rPr>
        <w:t xml:space="preserve"> </w:t>
      </w:r>
      <w:r w:rsidRPr="00D04E1B">
        <w:rPr>
          <w:color w:val="000000"/>
        </w:rPr>
        <w:t>biennial.</w:t>
      </w:r>
    </w:p>
    <w:p w:rsidR="0010137B" w:rsidP="007732CA" w14:paraId="3CB9B665" w14:textId="77777777">
      <w:pPr>
        <w:rPr>
          <w:b/>
          <w:bCs/>
          <w:i/>
          <w:iCs/>
          <w:color w:val="000000"/>
        </w:rPr>
      </w:pPr>
    </w:p>
    <w:p w:rsidR="0051709A" w:rsidP="007732CA" w14:paraId="11B85BDF" w14:textId="43EED6F8">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P="00BB31A5" w14:paraId="7C87891A" w14:textId="01298AF6">
      <w:pPr>
        <w:numPr>
          <w:ilvl w:val="2"/>
          <w:numId w:val="0"/>
        </w:numPr>
        <w:tabs>
          <w:tab w:val="num" w:pos="360"/>
        </w:tabs>
        <w:rPr>
          <w:color w:val="000000"/>
        </w:rPr>
      </w:pPr>
      <w:r>
        <w:rPr>
          <w:color w:val="000000"/>
        </w:rPr>
        <w:tab/>
      </w:r>
      <w:r w:rsidR="00BB31A5">
        <w:rPr>
          <w:color w:val="000000"/>
        </w:rPr>
        <w:tab/>
        <w:t>Respondents may use any technology that allows compliance with the collection.</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46DB2240">
      <w:pPr>
        <w:ind w:firstLine="720"/>
        <w:rPr>
          <w:color w:val="000000"/>
        </w:rPr>
      </w:pPr>
      <w:r>
        <w:rPr>
          <w:color w:val="000000"/>
        </w:rPr>
        <w:t>The information is not duplicated elsewhere.</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0D7FC503">
      <w:pPr>
        <w:ind w:firstLine="720"/>
        <w:rPr>
          <w:color w:val="000000"/>
        </w:rPr>
      </w:pPr>
      <w:r>
        <w:rPr>
          <w:color w:val="000000"/>
        </w:rPr>
        <w:t xml:space="preserve">This information collection imposes only the minimum burden necessary to </w:t>
      </w:r>
      <w:r w:rsidR="00BB31A5">
        <w:rPr>
          <w:color w:val="000000"/>
        </w:rPr>
        <w:t>meet the goals of the collection.</w:t>
      </w:r>
    </w:p>
    <w:p w:rsidR="0051709A" w14:paraId="75B9A5FD"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7BADA12E">
      <w:pPr>
        <w:ind w:firstLine="720"/>
        <w:rPr>
          <w:color w:val="000000"/>
        </w:rPr>
      </w:pPr>
      <w:r w:rsidRPr="009275CA">
        <w:rPr>
          <w:color w:val="000000"/>
        </w:rPr>
        <w:t>A less frequent collection would impair the effectiveness of the federal program and thereby impede the agency from fulfilling its responsibilities.</w:t>
      </w:r>
    </w:p>
    <w:p w:rsidR="0051709A" w14:paraId="4CF57B35" w14:textId="77777777">
      <w:pPr>
        <w:rPr>
          <w:color w:val="000000"/>
        </w:rPr>
      </w:pPr>
    </w:p>
    <w:p w:rsidR="002B738B" w14:paraId="56F84CE8" w14:textId="77777777">
      <w:pPr>
        <w:rPr>
          <w:color w:val="000000"/>
        </w:rPr>
      </w:pPr>
    </w:p>
    <w:p w:rsidR="002B738B" w14:paraId="5B4E9882" w14:textId="77777777">
      <w:pPr>
        <w:rPr>
          <w:color w:val="000000"/>
        </w:rPr>
      </w:pPr>
    </w:p>
    <w:p w:rsidR="0051709A" w14:paraId="00848E7A" w14:textId="77777777">
      <w:pPr>
        <w:pStyle w:val="BodyText"/>
        <w:rPr>
          <w:b/>
          <w:bCs/>
          <w:color w:val="000000"/>
        </w:rPr>
      </w:pPr>
      <w:r>
        <w:rPr>
          <w:b/>
          <w:bCs/>
          <w:color w:val="000000"/>
        </w:rPr>
        <w:t>7.  Special circumstances that would cause an information collection to be conducted in a manner inconsistent with 5 CFR Part 1320:</w:t>
      </w:r>
    </w:p>
    <w:p w:rsidR="0051709A" w14:paraId="785A9936" w14:textId="77777777">
      <w:pPr>
        <w:rPr>
          <w:color w:val="000000"/>
        </w:rPr>
      </w:pPr>
    </w:p>
    <w:p w:rsidR="009A271C" w:rsidRPr="000429F8" w:rsidP="000429F8" w14:paraId="46B4A3FB" w14:textId="77777777">
      <w:pPr>
        <w:ind w:firstLine="720"/>
        <w:rPr>
          <w:color w:val="000000"/>
        </w:rPr>
      </w:pPr>
      <w:r>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271250" w:rsidRPr="00271250" w:rsidP="00B955B7" w14:paraId="2FAF2E1B" w14:textId="585AEC93">
      <w:pPr>
        <w:ind w:firstLine="720"/>
        <w:rPr>
          <w:bCs/>
        </w:rPr>
      </w:pPr>
      <w:bookmarkStart w:id="0" w:name="_Hlk160007020"/>
      <w:r>
        <w:rPr>
          <w:bCs/>
        </w:rPr>
        <w:t xml:space="preserve">The OCC issued a 60-day </w:t>
      </w:r>
      <w:r w:rsidRPr="00B32F4C">
        <w:rPr>
          <w:bCs/>
          <w:i/>
        </w:rPr>
        <w:t xml:space="preserve">Federal Register </w:t>
      </w:r>
      <w:r>
        <w:rPr>
          <w:bCs/>
        </w:rPr>
        <w:t xml:space="preserve">notice on </w:t>
      </w:r>
      <w:r w:rsidR="001D450C">
        <w:rPr>
          <w:bCs/>
        </w:rPr>
        <w:t>November 24</w:t>
      </w:r>
      <w:r w:rsidR="00922BA6">
        <w:rPr>
          <w:bCs/>
        </w:rPr>
        <w:t>,</w:t>
      </w:r>
      <w:r w:rsidR="009B1BC5">
        <w:rPr>
          <w:bCs/>
        </w:rPr>
        <w:t xml:space="preserve"> 20</w:t>
      </w:r>
      <w:r w:rsidR="00BB31A5">
        <w:rPr>
          <w:bCs/>
        </w:rPr>
        <w:t>2</w:t>
      </w:r>
      <w:r w:rsidR="00096A66">
        <w:rPr>
          <w:bCs/>
        </w:rPr>
        <w:t>5</w:t>
      </w:r>
      <w:r w:rsidR="009B1BC5">
        <w:rPr>
          <w:bCs/>
        </w:rPr>
        <w:t>,</w:t>
      </w:r>
      <w:r w:rsidR="009E7C2D">
        <w:rPr>
          <w:bCs/>
        </w:rPr>
        <w:t xml:space="preserve"> </w:t>
      </w:r>
      <w:r w:rsidR="001D450C">
        <w:rPr>
          <w:bCs/>
        </w:rPr>
        <w:t>90</w:t>
      </w:r>
      <w:r w:rsidR="009E7C2D">
        <w:rPr>
          <w:bCs/>
        </w:rPr>
        <w:t xml:space="preserve"> FR</w:t>
      </w:r>
      <w:r w:rsidR="001D450C">
        <w:rPr>
          <w:bCs/>
        </w:rPr>
        <w:t xml:space="preserve"> </w:t>
      </w:r>
      <w:r w:rsidR="00DF1A91">
        <w:rPr>
          <w:bCs/>
        </w:rPr>
        <w:t>53059</w:t>
      </w:r>
      <w:r w:rsidR="009B1BC5">
        <w:rPr>
          <w:bCs/>
        </w:rPr>
        <w:t>.</w:t>
      </w:r>
      <w:r w:rsidR="0044411A">
        <w:rPr>
          <w:bCs/>
        </w:rPr>
        <w:t xml:space="preserve">  </w:t>
      </w:r>
      <w:r w:rsidR="00DF1A91">
        <w:rPr>
          <w:bCs/>
        </w:rPr>
        <w:t>No</w:t>
      </w:r>
      <w:r w:rsidR="0044411A">
        <w:rPr>
          <w:bCs/>
        </w:rPr>
        <w:t xml:space="preserve"> comments were received</w:t>
      </w:r>
      <w:r w:rsidR="00DF1A91">
        <w:rPr>
          <w:bCs/>
        </w:rPr>
        <w:t xml:space="preserve">. </w:t>
      </w:r>
    </w:p>
    <w:bookmarkEnd w:id="0"/>
    <w:p w:rsidR="00081F26" w14:paraId="6E889A85" w14:textId="77777777">
      <w:pPr>
        <w:rPr>
          <w:color w:val="000000"/>
        </w:rPr>
      </w:pPr>
    </w:p>
    <w:p w:rsidR="0051709A" w14:paraId="099CE2EC" w14:textId="77777777">
      <w:pPr>
        <w:pStyle w:val="BodyText"/>
        <w:rPr>
          <w:b/>
          <w:bCs/>
          <w:color w:val="000000"/>
        </w:rPr>
      </w:pPr>
      <w:r>
        <w:rPr>
          <w:b/>
          <w:bCs/>
          <w:color w:val="000000"/>
        </w:rPr>
        <w:t>9.  Payment or gift to respondents:</w:t>
      </w:r>
    </w:p>
    <w:p w:rsidR="0051709A" w14:paraId="62BA1BEC" w14:textId="77777777">
      <w:pPr>
        <w:rPr>
          <w:color w:val="000000"/>
        </w:rPr>
      </w:pPr>
    </w:p>
    <w:p w:rsidR="0051709A" w:rsidP="000429F8" w14:paraId="18CE22AD" w14:textId="77777777">
      <w:pPr>
        <w:ind w:firstLine="720"/>
        <w:rPr>
          <w:color w:val="000000"/>
        </w:rPr>
      </w:pPr>
      <w:r>
        <w:rPr>
          <w:color w:val="000000"/>
        </w:rPr>
        <w:t>None.</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77777777">
      <w:pPr>
        <w:ind w:firstLine="720"/>
        <w:rPr>
          <w:color w:val="000000"/>
        </w:rPr>
      </w:pPr>
      <w:r>
        <w:rPr>
          <w:color w:val="000000"/>
        </w:rPr>
        <w:t>None.</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77777777">
      <w:pPr>
        <w:ind w:firstLine="720"/>
        <w:rPr>
          <w:color w:val="000000"/>
        </w:rPr>
      </w:pPr>
      <w:r>
        <w:rPr>
          <w:color w:val="000000"/>
        </w:rPr>
        <w:t>There are no questions of a sensitive nature.</w:t>
      </w:r>
    </w:p>
    <w:p w:rsidR="001C6B5A" w:rsidP="009A271C" w14:paraId="00F6DB41" w14:textId="77777777">
      <w:pPr>
        <w:rPr>
          <w:b/>
          <w:i/>
        </w:rPr>
      </w:pPr>
    </w:p>
    <w:p w:rsidR="0051709A" w:rsidRPr="009A271C" w:rsidP="009A271C" w14:paraId="19460DA7" w14:textId="77777777">
      <w:pPr>
        <w:rPr>
          <w:b/>
          <w:i/>
          <w:color w:val="000000"/>
        </w:rPr>
      </w:pPr>
      <w:r w:rsidRPr="009A271C">
        <w:rPr>
          <w:b/>
          <w:i/>
        </w:rPr>
        <w:t>12.  Burden estimate:</w:t>
      </w:r>
    </w:p>
    <w:p w:rsidR="00BF285A" w14:paraId="2318BABB" w14:textId="0D243B22">
      <w:pPr>
        <w:pStyle w:val="BodyText"/>
        <w:rPr>
          <w:b/>
          <w:bCs/>
          <w:color w:val="000000"/>
        </w:rPr>
      </w:pPr>
    </w:p>
    <w:tbl>
      <w:tblPr>
        <w:tblW w:w="9090" w:type="dxa"/>
        <w:tblInd w:w="265" w:type="dxa"/>
        <w:tblCellMar>
          <w:left w:w="0" w:type="dxa"/>
          <w:right w:w="0" w:type="dxa"/>
        </w:tblCellMar>
        <w:tblLook w:val="04A0"/>
      </w:tblPr>
      <w:tblGrid>
        <w:gridCol w:w="6030"/>
        <w:gridCol w:w="1440"/>
        <w:gridCol w:w="1620"/>
      </w:tblGrid>
      <w:tr w14:paraId="337E3538" w14:textId="77777777" w:rsidTr="001B1B56">
        <w:tblPrEx>
          <w:tblW w:w="9090" w:type="dxa"/>
          <w:tblInd w:w="265" w:type="dxa"/>
          <w:tblCellMar>
            <w:left w:w="0" w:type="dxa"/>
            <w:right w:w="0" w:type="dxa"/>
          </w:tblCellMar>
          <w:tblLook w:val="04A0"/>
        </w:tblPrEx>
        <w:tc>
          <w:tcPr>
            <w:tcW w:w="60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1B56" w:rsidRPr="001B1B56" w:rsidP="001B1B56" w14:paraId="3BBB67D5" w14:textId="77777777">
            <w:pPr>
              <w:pStyle w:val="BodyText"/>
              <w:rPr>
                <w:bCs/>
                <w:color w:val="000000"/>
              </w:rPr>
            </w:pP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1F8B2D39" w14:textId="77777777">
            <w:pPr>
              <w:pStyle w:val="BodyText"/>
              <w:rPr>
                <w:b/>
                <w:bCs/>
                <w:color w:val="000000"/>
              </w:rPr>
            </w:pPr>
            <w:r w:rsidRPr="001B1B56">
              <w:rPr>
                <w:b/>
                <w:bCs/>
                <w:color w:val="000000"/>
              </w:rPr>
              <w:t>Responses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3952AB30" w14:textId="77777777">
            <w:pPr>
              <w:pStyle w:val="BodyText"/>
              <w:rPr>
                <w:b/>
                <w:bCs/>
                <w:color w:val="000000"/>
              </w:rPr>
            </w:pPr>
            <w:r w:rsidRPr="001B1B56">
              <w:rPr>
                <w:b/>
                <w:bCs/>
                <w:color w:val="000000"/>
              </w:rPr>
              <w:t>Hours</w:t>
            </w:r>
          </w:p>
        </w:tc>
      </w:tr>
      <w:tr w14:paraId="49723789"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1B56" w:rsidRPr="001B1B56" w:rsidP="001B1B56" w14:paraId="0BCC6496" w14:textId="77777777">
            <w:pPr>
              <w:pStyle w:val="BodyText"/>
              <w:rPr>
                <w:bCs/>
                <w:color w:val="000000"/>
              </w:rPr>
            </w:pPr>
            <w:r w:rsidRPr="001B1B56">
              <w:rPr>
                <w:bCs/>
                <w:color w:val="000000"/>
              </w:rPr>
              <w:t>Recordkeeping (biennial testing)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3B3B8DA8" w14:textId="1D313A48">
            <w:pPr>
              <w:pStyle w:val="BodyText"/>
              <w:rPr>
                <w:bCs/>
                <w:color w:val="000000"/>
              </w:rPr>
            </w:pPr>
            <w:r w:rsidRPr="001B1B56">
              <w:rPr>
                <w:bCs/>
                <w:color w:val="000000"/>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76B64496" w14:textId="77777777">
            <w:pPr>
              <w:pStyle w:val="BodyText"/>
              <w:rPr>
                <w:bCs/>
                <w:color w:val="000000"/>
              </w:rPr>
            </w:pPr>
            <w:r w:rsidRPr="001B1B56">
              <w:rPr>
                <w:bCs/>
                <w:color w:val="000000"/>
              </w:rPr>
              <w:t>1600 Hours</w:t>
            </w:r>
          </w:p>
        </w:tc>
      </w:tr>
      <w:tr w14:paraId="7805A1D6"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1B56" w:rsidRPr="001B1B56" w:rsidP="001B1B56" w14:paraId="3DC96527" w14:textId="77777777">
            <w:pPr>
              <w:pStyle w:val="BodyText"/>
              <w:rPr>
                <w:bCs/>
                <w:color w:val="000000"/>
              </w:rPr>
            </w:pPr>
            <w:r w:rsidRPr="001B1B56">
              <w:rPr>
                <w:bCs/>
                <w:color w:val="000000"/>
              </w:rPr>
              <w:t>Recordkeeping (annual testing)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723A4F99" w14:textId="77777777">
            <w:pPr>
              <w:pStyle w:val="BodyText"/>
              <w:rPr>
                <w:bCs/>
                <w:color w:val="000000"/>
              </w:rPr>
            </w:pPr>
            <w:r w:rsidRPr="001B1B56">
              <w:rPr>
                <w:bCs/>
                <w:color w:val="000000"/>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420C96E5" w14:textId="77777777">
            <w:pPr>
              <w:pStyle w:val="BodyText"/>
              <w:rPr>
                <w:bCs/>
                <w:color w:val="000000"/>
              </w:rPr>
            </w:pPr>
            <w:r w:rsidRPr="001B1B56">
              <w:rPr>
                <w:bCs/>
                <w:color w:val="000000"/>
              </w:rPr>
              <w:t>2560 Hours</w:t>
            </w:r>
          </w:p>
        </w:tc>
      </w:tr>
      <w:tr w14:paraId="0F577509"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1B56" w:rsidRPr="001B1B56" w:rsidP="001B1B56" w14:paraId="0B1E75FF" w14:textId="77777777">
            <w:pPr>
              <w:pStyle w:val="BodyText"/>
              <w:rPr>
                <w:b/>
                <w:bCs/>
                <w:color w:val="000000"/>
              </w:rPr>
            </w:pPr>
            <w:r w:rsidRPr="001B1B56">
              <w:rPr>
                <w:b/>
                <w:bCs/>
                <w:color w:val="000000"/>
              </w:rPr>
              <w:t xml:space="preserve">Total Recordkeeping: </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2AA176CE" w14:textId="1A61CF3D">
            <w:pPr>
              <w:pStyle w:val="BodyText"/>
              <w:rPr>
                <w:b/>
                <w:bCs/>
                <w:color w:val="000000"/>
              </w:rPr>
            </w:pPr>
            <w:r w:rsidRPr="001B1B56">
              <w:rPr>
                <w:b/>
                <w:bCs/>
                <w:color w:val="000000"/>
              </w:rPr>
              <w:t>                           4160 Hours</w:t>
            </w:r>
          </w:p>
        </w:tc>
      </w:tr>
      <w:tr w14:paraId="287C3055"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1B56" w:rsidRPr="001B1B56" w:rsidP="001B1B56" w14:paraId="29319697" w14:textId="77777777">
            <w:pPr>
              <w:pStyle w:val="BodyText"/>
              <w:rPr>
                <w:bCs/>
                <w:color w:val="000000"/>
              </w:rPr>
            </w:pPr>
            <w:r w:rsidRPr="001B1B56">
              <w:rPr>
                <w:bCs/>
                <w:color w:val="000000"/>
              </w:rPr>
              <w:t>Reporting (biennial testing)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6E6ADACC" w14:textId="7B83BF26">
            <w:pPr>
              <w:pStyle w:val="BodyText"/>
              <w:rPr>
                <w:bCs/>
                <w:color w:val="000000"/>
              </w:rPr>
            </w:pPr>
            <w:r w:rsidRPr="001B1B56">
              <w:rPr>
                <w:bCs/>
                <w:color w:val="000000"/>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1458A9F1" w14:textId="77777777">
            <w:pPr>
              <w:pStyle w:val="BodyText"/>
              <w:rPr>
                <w:bCs/>
                <w:color w:val="000000"/>
              </w:rPr>
            </w:pPr>
            <w:r w:rsidRPr="001B1B56">
              <w:rPr>
                <w:bCs/>
                <w:color w:val="000000"/>
              </w:rPr>
              <w:t>600 Hours</w:t>
            </w:r>
          </w:p>
        </w:tc>
      </w:tr>
      <w:tr w14:paraId="1C194B5F"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1B56" w:rsidRPr="001B1B56" w:rsidP="001B1B56" w14:paraId="3F57060B" w14:textId="77777777">
            <w:pPr>
              <w:pStyle w:val="BodyText"/>
              <w:rPr>
                <w:bCs/>
                <w:color w:val="000000"/>
              </w:rPr>
            </w:pPr>
            <w:r w:rsidRPr="001B1B56">
              <w:rPr>
                <w:bCs/>
                <w:color w:val="000000"/>
              </w:rPr>
              <w:t>Reporting (annual testing)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088FB3AF" w14:textId="77777777">
            <w:pPr>
              <w:pStyle w:val="BodyText"/>
              <w:rPr>
                <w:bCs/>
                <w:color w:val="000000"/>
              </w:rPr>
            </w:pPr>
            <w:r w:rsidRPr="001B1B56">
              <w:rPr>
                <w:bCs/>
                <w:color w:val="000000"/>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0BECF255" w14:textId="77777777">
            <w:pPr>
              <w:pStyle w:val="BodyText"/>
              <w:rPr>
                <w:bCs/>
                <w:color w:val="000000"/>
              </w:rPr>
            </w:pPr>
            <w:r w:rsidRPr="001B1B56">
              <w:rPr>
                <w:bCs/>
                <w:color w:val="000000"/>
              </w:rPr>
              <w:t>960 Hours</w:t>
            </w:r>
          </w:p>
        </w:tc>
      </w:tr>
      <w:tr w14:paraId="5AA56ED3"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1B56" w:rsidRPr="001B1B56" w:rsidP="001B1B56" w14:paraId="116D4099" w14:textId="77777777">
            <w:pPr>
              <w:pStyle w:val="BodyText"/>
              <w:rPr>
                <w:b/>
                <w:bCs/>
                <w:color w:val="000000"/>
              </w:rPr>
            </w:pPr>
            <w:r w:rsidRPr="001B1B56">
              <w:rPr>
                <w:b/>
                <w:bCs/>
                <w:color w:val="000000"/>
              </w:rPr>
              <w:t>Total Reporting:</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2753F331" w14:textId="77777777">
            <w:pPr>
              <w:pStyle w:val="BodyText"/>
              <w:rPr>
                <w:b/>
                <w:bCs/>
                <w:color w:val="000000"/>
              </w:rPr>
            </w:pPr>
            <w:r w:rsidRPr="001B1B56">
              <w:rPr>
                <w:b/>
                <w:bCs/>
                <w:color w:val="000000"/>
              </w:rPr>
              <w:t>                           1560 Hours</w:t>
            </w:r>
          </w:p>
        </w:tc>
      </w:tr>
      <w:tr w14:paraId="17279354"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1B56" w:rsidRPr="001B1B56" w:rsidP="001B1B56" w14:paraId="17996E32" w14:textId="77777777">
            <w:pPr>
              <w:pStyle w:val="BodyText"/>
              <w:rPr>
                <w:bCs/>
                <w:color w:val="000000"/>
              </w:rPr>
            </w:pPr>
            <w:r w:rsidRPr="001B1B56">
              <w:rPr>
                <w:bCs/>
                <w:color w:val="000000"/>
              </w:rPr>
              <w:t>Disclosure (biennial testing)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742529F6" w14:textId="776157EA">
            <w:pPr>
              <w:pStyle w:val="BodyText"/>
              <w:rPr>
                <w:bCs/>
                <w:color w:val="000000"/>
              </w:rPr>
            </w:pPr>
            <w:r w:rsidRPr="001B1B56">
              <w:rPr>
                <w:bCs/>
                <w:color w:val="000000"/>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50C7AC3D" w14:textId="79B85B89">
            <w:pPr>
              <w:pStyle w:val="BodyText"/>
              <w:rPr>
                <w:bCs/>
                <w:color w:val="000000"/>
              </w:rPr>
            </w:pPr>
            <w:r>
              <w:rPr>
                <w:bCs/>
                <w:color w:val="000000"/>
              </w:rPr>
              <w:t xml:space="preserve">400 </w:t>
            </w:r>
            <w:r w:rsidRPr="001B1B56">
              <w:rPr>
                <w:bCs/>
                <w:color w:val="000000"/>
              </w:rPr>
              <w:t>Hours</w:t>
            </w:r>
          </w:p>
        </w:tc>
      </w:tr>
      <w:tr w14:paraId="6A01436B"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1B56" w:rsidRPr="001B1B56" w:rsidP="001B1B56" w14:paraId="644BB7F5" w14:textId="77777777">
            <w:pPr>
              <w:pStyle w:val="BodyText"/>
              <w:rPr>
                <w:bCs/>
                <w:color w:val="000000"/>
              </w:rPr>
            </w:pPr>
            <w:r w:rsidRPr="001B1B56">
              <w:rPr>
                <w:bCs/>
                <w:color w:val="000000"/>
              </w:rPr>
              <w:t>Disclosure (annual testing)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47DD25EB" w14:textId="77777777">
            <w:pPr>
              <w:pStyle w:val="BodyText"/>
              <w:rPr>
                <w:bCs/>
                <w:color w:val="000000"/>
              </w:rPr>
            </w:pPr>
            <w:r w:rsidRPr="001B1B56">
              <w:rPr>
                <w:bCs/>
                <w:color w:val="000000"/>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0A048224" w14:textId="77777777">
            <w:pPr>
              <w:pStyle w:val="BodyText"/>
              <w:rPr>
                <w:bCs/>
                <w:color w:val="000000"/>
              </w:rPr>
            </w:pPr>
            <w:r w:rsidRPr="001B1B56">
              <w:rPr>
                <w:bCs/>
                <w:color w:val="000000"/>
              </w:rPr>
              <w:t>640 Hours</w:t>
            </w:r>
          </w:p>
        </w:tc>
      </w:tr>
      <w:tr w14:paraId="09857F6B"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B1B56" w:rsidRPr="001B1B56" w:rsidP="001B1B56" w14:paraId="4D843D62" w14:textId="77777777">
            <w:pPr>
              <w:pStyle w:val="BodyText"/>
              <w:rPr>
                <w:b/>
                <w:bCs/>
                <w:color w:val="000000"/>
              </w:rPr>
            </w:pPr>
            <w:r w:rsidRPr="001B1B56">
              <w:rPr>
                <w:b/>
                <w:bCs/>
                <w:color w:val="000000"/>
              </w:rPr>
              <w:t>Total Disclosure:</w:t>
            </w:r>
          </w:p>
        </w:tc>
        <w:tc>
          <w:tcPr>
            <w:tcW w:w="3060" w:type="dxa"/>
            <w:gridSpan w:val="2"/>
            <w:tcBorders>
              <w:top w:val="nil"/>
              <w:left w:val="nil"/>
              <w:bottom w:val="single" w:sz="12" w:space="0" w:color="auto"/>
              <w:right w:val="single" w:sz="8" w:space="0" w:color="auto"/>
            </w:tcBorders>
            <w:tcMar>
              <w:top w:w="0" w:type="dxa"/>
              <w:left w:w="108" w:type="dxa"/>
              <w:bottom w:w="0" w:type="dxa"/>
              <w:right w:w="108" w:type="dxa"/>
            </w:tcMar>
            <w:hideMark/>
          </w:tcPr>
          <w:p w:rsidR="001B1B56" w:rsidRPr="001B1B56" w:rsidP="001B1B56" w14:paraId="6533A673" w14:textId="429DC777">
            <w:pPr>
              <w:pStyle w:val="BodyText"/>
              <w:rPr>
                <w:b/>
                <w:bCs/>
                <w:color w:val="000000"/>
              </w:rPr>
            </w:pPr>
            <w:r w:rsidRPr="001B1B56">
              <w:rPr>
                <w:b/>
                <w:bCs/>
                <w:color w:val="000000"/>
              </w:rPr>
              <w:t>                           1040 Hours</w:t>
            </w:r>
          </w:p>
        </w:tc>
      </w:tr>
      <w:tr w14:paraId="066DD8EB"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1B56" w:rsidRPr="001B1B56" w:rsidP="001B1B56" w14:paraId="6175E617" w14:textId="77777777">
            <w:pPr>
              <w:pStyle w:val="BodyText"/>
              <w:rPr>
                <w:bCs/>
                <w:color w:val="000000"/>
              </w:rPr>
            </w:pPr>
            <w:r w:rsidRPr="001B1B56">
              <w:rPr>
                <w:bCs/>
                <w:color w:val="000000"/>
              </w:rPr>
              <w:t>Total Responses</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0308DF5E" w14:textId="3BBEDE49">
            <w:pPr>
              <w:pStyle w:val="BodyText"/>
              <w:rPr>
                <w:bCs/>
                <w:color w:val="000000"/>
              </w:rPr>
            </w:pPr>
            <w:r>
              <w:rPr>
                <w:bCs/>
                <w:color w:val="000000"/>
              </w:rPr>
              <w:t>27</w:t>
            </w:r>
            <w:r w:rsidRPr="001B1B56">
              <w:rPr>
                <w:bCs/>
                <w:color w:val="000000"/>
              </w:rPr>
              <w:t xml:space="preserve"> Responses</w:t>
            </w:r>
          </w:p>
        </w:tc>
      </w:tr>
      <w:tr w14:paraId="0664B845" w14:textId="77777777" w:rsidTr="001B1B56">
        <w:tblPrEx>
          <w:tblW w:w="9090" w:type="dxa"/>
          <w:tblInd w:w="265" w:type="dxa"/>
          <w:tblCellMar>
            <w:left w:w="0" w:type="dxa"/>
            <w:right w:w="0" w:type="dxa"/>
          </w:tblCellMar>
          <w:tblLook w:val="04A0"/>
        </w:tblPrEx>
        <w:tc>
          <w:tcPr>
            <w:tcW w:w="6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1B56" w:rsidRPr="001B1B56" w:rsidP="001B1B56" w14:paraId="3F275297" w14:textId="77777777">
            <w:pPr>
              <w:pStyle w:val="BodyText"/>
              <w:rPr>
                <w:bCs/>
                <w:color w:val="000000"/>
              </w:rPr>
            </w:pPr>
            <w:r w:rsidRPr="001B1B56">
              <w:rPr>
                <w:bCs/>
                <w:color w:val="000000"/>
              </w:rPr>
              <w:t xml:space="preserve">Total Burden Hours: </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B1B56" w:rsidRPr="001B1B56" w:rsidP="001B1B56" w14:paraId="6298438F" w14:textId="77777777">
            <w:pPr>
              <w:pStyle w:val="BodyText"/>
              <w:rPr>
                <w:bCs/>
                <w:color w:val="000000"/>
              </w:rPr>
            </w:pPr>
            <w:r w:rsidRPr="001B1B56">
              <w:rPr>
                <w:bCs/>
                <w:color w:val="000000"/>
              </w:rPr>
              <w:t>6,760 Hours</w:t>
            </w:r>
          </w:p>
        </w:tc>
      </w:tr>
    </w:tbl>
    <w:p w:rsidR="00F81839" w14:paraId="29485513" w14:textId="77777777">
      <w:pPr>
        <w:pStyle w:val="BodyText"/>
        <w:rPr>
          <w:bCs/>
          <w:i w:val="0"/>
          <w:color w:val="000000"/>
        </w:rPr>
      </w:pPr>
    </w:p>
    <w:p w:rsidR="000A4144" w14:paraId="06C06736" w14:textId="77777777">
      <w:pPr>
        <w:pStyle w:val="BodyText"/>
        <w:rPr>
          <w:b/>
          <w:bCs/>
          <w:i w:val="0"/>
          <w:color w:val="000000"/>
        </w:rPr>
      </w:pPr>
      <w:r>
        <w:rPr>
          <w:b/>
          <w:bCs/>
          <w:i w:val="0"/>
          <w:color w:val="000000"/>
        </w:rPr>
        <w:t>Cost of Hour Burden</w:t>
      </w:r>
    </w:p>
    <w:p w:rsidR="000A4144" w14:paraId="1E443CD7" w14:textId="77777777">
      <w:pPr>
        <w:pStyle w:val="BodyText"/>
        <w:rPr>
          <w:b/>
          <w:bCs/>
          <w:i w:val="0"/>
          <w:color w:val="000000"/>
        </w:rPr>
      </w:pPr>
    </w:p>
    <w:p w:rsidR="00F4667D" w:rsidRPr="00376B9A" w:rsidP="00F4667D" w14:paraId="4AB24E58" w14:textId="2508A4B5">
      <w:pPr>
        <w:rPr>
          <w:b/>
          <w:bCs/>
          <w:color w:val="000000"/>
          <w:szCs w:val="24"/>
        </w:rPr>
      </w:pPr>
      <w:r w:rsidRPr="00376B9A">
        <w:rPr>
          <w:b/>
          <w:bCs/>
          <w:color w:val="000000"/>
          <w:szCs w:val="24"/>
        </w:rPr>
        <w:t>6,</w:t>
      </w:r>
      <w:r w:rsidRPr="00376B9A" w:rsidR="00376B9A">
        <w:rPr>
          <w:b/>
          <w:bCs/>
          <w:color w:val="000000"/>
          <w:szCs w:val="24"/>
        </w:rPr>
        <w:t>76</w:t>
      </w:r>
      <w:r w:rsidRPr="00376B9A">
        <w:rPr>
          <w:b/>
          <w:bCs/>
          <w:color w:val="000000"/>
          <w:szCs w:val="24"/>
        </w:rPr>
        <w:t>0</w:t>
      </w:r>
      <w:r w:rsidRPr="00376B9A" w:rsidR="00C6716D">
        <w:rPr>
          <w:b/>
          <w:bCs/>
          <w:color w:val="000000"/>
          <w:szCs w:val="24"/>
        </w:rPr>
        <w:t xml:space="preserve"> hours x $131.10 = $</w:t>
      </w:r>
      <w:r w:rsidRPr="00376B9A" w:rsidR="00376B9A">
        <w:rPr>
          <w:b/>
          <w:bCs/>
          <w:color w:val="000000"/>
          <w:szCs w:val="24"/>
        </w:rPr>
        <w:t>886,236</w:t>
      </w:r>
      <w:r w:rsidRPr="00376B9A">
        <w:rPr>
          <w:b/>
          <w:bCs/>
          <w:color w:val="000000"/>
          <w:szCs w:val="24"/>
        </w:rPr>
        <w:t xml:space="preserve">.00 </w:t>
      </w:r>
    </w:p>
    <w:p w:rsidR="00C6716D" w:rsidRPr="00205AA6" w:rsidP="00C6716D" w14:paraId="227E90D0" w14:textId="54D38FF8">
      <w:pPr>
        <w:rPr>
          <w:rFonts w:ascii="Aptos Narrow" w:hAnsi="Aptos Narrow"/>
          <w:color w:val="000000"/>
          <w:sz w:val="22"/>
          <w:szCs w:val="22"/>
        </w:rPr>
      </w:pPr>
    </w:p>
    <w:p w:rsidR="00C6716D" w:rsidRPr="0030366C" w:rsidP="00C6716D" w14:paraId="740675F2" w14:textId="77777777">
      <w:pPr>
        <w:tabs>
          <w:tab w:val="left" w:pos="-1440"/>
        </w:tabs>
        <w:rPr>
          <w:color w:val="000000"/>
        </w:rPr>
      </w:pPr>
      <w:r w:rsidRPr="0030366C">
        <w:rPr>
          <w:color w:val="000000"/>
        </w:rPr>
        <w:t>To estimate wages the OCC reviewed May 2024 data for wages (by industry and occupation) from the U.S. Bureau of Labor Statistics (BLS) for credit intermediation and related activities (NAICS 5220A1).</w:t>
      </w:r>
      <w:r>
        <w:rPr>
          <w:color w:val="000000"/>
        </w:rPr>
        <w:t xml:space="preserve"> </w:t>
      </w:r>
      <w:r w:rsidRPr="0030366C">
        <w:rPr>
          <w:color w:val="000000"/>
        </w:rPr>
        <w:t xml:space="preserve">To estimate compensation costs associated with the rule, the OCC uses $131.10 per hour, which is based on the average of the 90th percentile for six occupations </w:t>
      </w:r>
      <w:r w:rsidRPr="0030366C">
        <w:rPr>
          <w:color w:val="000000"/>
        </w:rPr>
        <w:t>adjusted for inflation (3.6 percent as of Q1 2025), plus an additional 35.6 percent for benefits (based on the percent of total compensation allocated to benefits as of Q4 2024 for NAICS 522:</w:t>
      </w:r>
      <w:r>
        <w:rPr>
          <w:color w:val="000000"/>
        </w:rPr>
        <w:t xml:space="preserve"> </w:t>
      </w:r>
      <w:r w:rsidRPr="0030366C">
        <w:rPr>
          <w:color w:val="000000"/>
        </w:rPr>
        <w:t xml:space="preserve">credit intermediation </w:t>
      </w:r>
      <w:r>
        <w:rPr>
          <w:color w:val="000000"/>
        </w:rPr>
        <w:t xml:space="preserve">and related activities). </w:t>
      </w:r>
    </w:p>
    <w:p w:rsidR="00C6716D" w:rsidRPr="00C6716D" w:rsidP="006C38DE" w14:paraId="3ACB40B7" w14:textId="77777777">
      <w:pPr>
        <w:tabs>
          <w:tab w:val="left" w:pos="-1440"/>
        </w:tabs>
        <w:rPr>
          <w:strike/>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77777777">
      <w:pPr>
        <w:ind w:firstLine="720"/>
        <w:rPr>
          <w:color w:val="000000"/>
        </w:rPr>
      </w:pPr>
      <w:r>
        <w:rPr>
          <w:color w:val="000000"/>
        </w:rPr>
        <w:t>None.</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352562" w:rsidP="00352562" w14:paraId="2811B890" w14:textId="589606AC">
      <w:pPr>
        <w:ind w:firstLine="720"/>
        <w:rPr>
          <w:color w:val="000000"/>
        </w:rPr>
      </w:pPr>
      <w:r>
        <w:rPr>
          <w:color w:val="000000"/>
        </w:rPr>
        <w:t>+520</w:t>
      </w:r>
      <w:r w:rsidR="004B208B">
        <w:rPr>
          <w:color w:val="000000"/>
        </w:rPr>
        <w:t xml:space="preserve"> hours</w:t>
      </w:r>
    </w:p>
    <w:p w:rsidR="00352562" w14:paraId="771F47D2" w14:textId="4AE22F99">
      <w:pPr>
        <w:rPr>
          <w:color w:val="000000"/>
        </w:rPr>
      </w:pPr>
    </w:p>
    <w:p w:rsidR="000A4144" w14:paraId="21F2FA5A" w14:textId="166A6AD0">
      <w:pPr>
        <w:rPr>
          <w:color w:val="000000"/>
        </w:rPr>
      </w:pPr>
      <w:r>
        <w:rPr>
          <w:color w:val="000000"/>
        </w:rPr>
        <w:t>Current</w:t>
      </w:r>
      <w:r w:rsidR="0051709A">
        <w:rPr>
          <w:color w:val="000000"/>
        </w:rPr>
        <w:t xml:space="preserve"> burden:</w:t>
      </w:r>
      <w:r w:rsidR="0051709A">
        <w:rPr>
          <w:color w:val="000000"/>
        </w:rPr>
        <w:tab/>
      </w:r>
      <w:r w:rsidR="00E31A2E">
        <w:rPr>
          <w:color w:val="000000"/>
        </w:rPr>
        <w:t>6</w:t>
      </w:r>
      <w:r w:rsidR="00FA44C6">
        <w:rPr>
          <w:color w:val="000000"/>
        </w:rPr>
        <w:t>,</w:t>
      </w:r>
      <w:r w:rsidR="00E31A2E">
        <w:rPr>
          <w:color w:val="000000"/>
        </w:rPr>
        <w:t>240</w:t>
      </w:r>
    </w:p>
    <w:p w:rsidR="000A4144" w14:paraId="017B1DAD" w14:textId="77777777">
      <w:pPr>
        <w:rPr>
          <w:color w:val="000000"/>
        </w:rPr>
      </w:pPr>
    </w:p>
    <w:p w:rsidR="000A4144" w14:paraId="6B2E1431" w14:textId="0B905A4C">
      <w:pPr>
        <w:rPr>
          <w:color w:val="000000"/>
        </w:rPr>
      </w:pPr>
      <w:r>
        <w:rPr>
          <w:color w:val="000000"/>
        </w:rPr>
        <w:t>Revised bu</w:t>
      </w:r>
      <w:r w:rsidR="0051709A">
        <w:rPr>
          <w:color w:val="000000"/>
        </w:rPr>
        <w:t>rden:</w:t>
      </w:r>
      <w:r w:rsidR="0051709A">
        <w:rPr>
          <w:color w:val="000000"/>
        </w:rPr>
        <w:tab/>
      </w:r>
      <w:r w:rsidR="00E31A2E">
        <w:rPr>
          <w:color w:val="000000"/>
        </w:rPr>
        <w:t>6</w:t>
      </w:r>
      <w:r w:rsidR="00FA44C6">
        <w:rPr>
          <w:color w:val="000000"/>
        </w:rPr>
        <w:t>,</w:t>
      </w:r>
      <w:r w:rsidR="00E31A2E">
        <w:rPr>
          <w:color w:val="000000"/>
        </w:rPr>
        <w:t>760</w:t>
      </w:r>
    </w:p>
    <w:p w:rsidR="0051709A" w14:paraId="61C98B4B" w14:textId="77777777">
      <w:pPr>
        <w:rPr>
          <w:color w:val="000000"/>
        </w:rPr>
      </w:pPr>
      <w:r>
        <w:rPr>
          <w:color w:val="000000"/>
        </w:rPr>
        <w:tab/>
      </w:r>
      <w:r w:rsidR="00B37BB7">
        <w:rPr>
          <w:color w:val="000000"/>
        </w:rPr>
        <w:t xml:space="preserve"> </w:t>
      </w:r>
    </w:p>
    <w:p w:rsidR="002112CB" w14:paraId="0BF1AC6B" w14:textId="35D9CB3F">
      <w:pPr>
        <w:rPr>
          <w:color w:val="000000"/>
        </w:rPr>
      </w:pPr>
      <w:r>
        <w:rPr>
          <w:color w:val="000000"/>
        </w:rPr>
        <w:t xml:space="preserve">Difference: </w:t>
      </w:r>
      <w:r>
        <w:rPr>
          <w:color w:val="000000"/>
        </w:rPr>
        <w:tab/>
      </w:r>
      <w:r w:rsidR="00061205">
        <w:rPr>
          <w:color w:val="000000"/>
        </w:rPr>
        <w:tab/>
      </w:r>
      <w:r w:rsidR="00E31A2E">
        <w:rPr>
          <w:color w:val="000000"/>
        </w:rPr>
        <w:t>520</w:t>
      </w:r>
    </w:p>
    <w:p w:rsidR="0051709A" w14:paraId="51703520" w14:textId="77777777">
      <w:pPr>
        <w:rPr>
          <w:color w:val="000000"/>
        </w:rPr>
      </w:pPr>
      <w:r>
        <w:rPr>
          <w:color w:val="000000"/>
        </w:rPr>
        <w:tab/>
      </w:r>
      <w:r w:rsidR="00B37BB7">
        <w:rPr>
          <w:color w:val="000000"/>
        </w:rPr>
        <w:t xml:space="preserve"> </w:t>
      </w:r>
    </w:p>
    <w:p w:rsidR="00D331B3" w14:paraId="58B2E590" w14:textId="13441DB4">
      <w:pPr>
        <w:pStyle w:val="Footer"/>
        <w:tabs>
          <w:tab w:val="clear" w:pos="4320"/>
          <w:tab w:val="clear" w:pos="8640"/>
        </w:tabs>
        <w:rPr>
          <w:color w:val="000000"/>
        </w:rPr>
      </w:pPr>
      <w:r>
        <w:rPr>
          <w:color w:val="000000"/>
        </w:rPr>
        <w:t xml:space="preserve">The </w:t>
      </w:r>
      <w:r w:rsidR="00BB31A5">
        <w:rPr>
          <w:color w:val="000000"/>
        </w:rPr>
        <w:t>increase</w:t>
      </w:r>
      <w:r w:rsidR="004B208B">
        <w:rPr>
          <w:color w:val="000000"/>
        </w:rPr>
        <w:t xml:space="preserve"> </w:t>
      </w:r>
      <w:r>
        <w:rPr>
          <w:color w:val="000000"/>
        </w:rPr>
        <w:t xml:space="preserve">in burden is due to </w:t>
      </w:r>
      <w:r w:rsidR="009E321F">
        <w:rPr>
          <w:color w:val="000000"/>
        </w:rPr>
        <w:t>the addition of o</w:t>
      </w:r>
      <w:r w:rsidR="00E31A2E">
        <w:rPr>
          <w:color w:val="000000"/>
        </w:rPr>
        <w:t>ne biennial</w:t>
      </w:r>
      <w:r w:rsidR="004B208B">
        <w:rPr>
          <w:color w:val="000000"/>
        </w:rPr>
        <w:t xml:space="preserve"> </w:t>
      </w:r>
      <w:r w:rsidR="009E321F">
        <w:rPr>
          <w:color w:val="000000"/>
        </w:rPr>
        <w:t xml:space="preserve">respondent. </w:t>
      </w:r>
    </w:p>
    <w:p w:rsidR="00D331B3" w14:paraId="621DB674"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77777777">
      <w:pPr>
        <w:ind w:firstLine="720"/>
        <w:rPr>
          <w:color w:val="000000"/>
        </w:rPr>
      </w:pPr>
      <w:r>
        <w:rPr>
          <w:color w:val="000000"/>
        </w:rPr>
        <w:t>The OCC has no plans to publish the information for statistical purposes.</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5"/>
      <w:footerReference w:type="default" r:id="rId6"/>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0F30" w14:paraId="66A52393" w14:textId="77777777">
      <w:r>
        <w:separator/>
      </w:r>
    </w:p>
  </w:footnote>
  <w:footnote w:type="continuationSeparator" w:id="1">
    <w:p w:rsidR="00050F30" w14:paraId="49757155" w14:textId="77777777">
      <w:r>
        <w:continuationSeparator/>
      </w:r>
    </w:p>
  </w:footnote>
  <w:footnote w:id="2">
    <w:p w:rsidR="007816B6" w14:paraId="355702EA" w14:textId="633BB86F">
      <w:pPr>
        <w:pStyle w:val="FootnoteText"/>
      </w:pPr>
      <w:r>
        <w:rPr>
          <w:rStyle w:val="FootnoteReference"/>
        </w:rPr>
        <w:footnoteRef/>
      </w:r>
      <w:r w:rsidR="00541E62">
        <w:t xml:space="preserve"> </w:t>
      </w:r>
      <w:r w:rsidRPr="00541E62" w:rsidR="00541E62">
        <w:t>77 FR 61238</w:t>
      </w:r>
      <w:r w:rsidR="002956A1">
        <w:t xml:space="preserve"> (</w:t>
      </w:r>
      <w:r w:rsidRPr="00541E62" w:rsidR="002956A1">
        <w:t>October 9, 2012</w:t>
      </w:r>
      <w:r w:rsidR="002956A1">
        <w:t>)</w:t>
      </w:r>
      <w:r w:rsidR="00F94B04">
        <w:t xml:space="preserve"> (codified at 12 CFR Part 46)</w:t>
      </w:r>
      <w:r w:rsidR="00541E62">
        <w:t xml:space="preserve">. </w:t>
      </w:r>
      <w:r>
        <w:t xml:space="preserve"> </w:t>
      </w:r>
    </w:p>
  </w:footnote>
  <w:footnote w:id="3">
    <w:p w:rsidR="00BA0AB7" w:rsidP="005B5D9B" w14:paraId="11604A8A" w14:textId="559E7956">
      <w:pPr>
        <w:pStyle w:val="FootnoteText"/>
      </w:pPr>
      <w:r>
        <w:rPr>
          <w:rStyle w:val="FootnoteReference"/>
        </w:rPr>
        <w:footnoteRef/>
      </w:r>
      <w:r>
        <w:t xml:space="preserve"> </w:t>
      </w:r>
      <w:r w:rsidRPr="005B5D9B" w:rsidR="005B5D9B">
        <w:t>Dodd-Frank Wall Street Reform and Consumer Protection Act, Pub. L. No. 111-203, 124 Stat.</w:t>
      </w:r>
      <w:r w:rsidR="005B5D9B">
        <w:t xml:space="preserve"> </w:t>
      </w:r>
      <w:r w:rsidRPr="005B5D9B" w:rsidR="005B5D9B">
        <w:t>1376 (2010).</w:t>
      </w:r>
    </w:p>
  </w:footnote>
  <w:footnote w:id="4">
    <w:p w:rsidR="00FF7E8F" w14:paraId="4DDAEE83" w14:textId="1E468344">
      <w:pPr>
        <w:pStyle w:val="FootnoteText"/>
      </w:pPr>
      <w:r>
        <w:rPr>
          <w:rStyle w:val="FootnoteReference"/>
        </w:rPr>
        <w:footnoteRef/>
      </w:r>
      <w:r>
        <w:t xml:space="preserve"> </w:t>
      </w:r>
      <w:r w:rsidRPr="004C1FAD" w:rsidR="004C1FAD">
        <w:t>77 FR 49485 (August 16, 2012); 77 FR 66663 (November 6, 2012).</w:t>
      </w:r>
    </w:p>
  </w:footnote>
  <w:footnote w:id="5">
    <w:p w:rsidR="0054079F" w14:paraId="50146B75" w14:textId="058B7B0A">
      <w:pPr>
        <w:pStyle w:val="FootnoteText"/>
      </w:pPr>
      <w:r>
        <w:rPr>
          <w:rStyle w:val="FootnoteReference"/>
        </w:rPr>
        <w:footnoteRef/>
      </w:r>
      <w:r>
        <w:t xml:space="preserve"> </w:t>
      </w:r>
      <w:r w:rsidRPr="00292548" w:rsidR="00292548">
        <w:t>12 USC 5365(i)(2)(A).</w:t>
      </w:r>
    </w:p>
  </w:footnote>
  <w:footnote w:id="6">
    <w:p w:rsidR="0054079F" w14:paraId="25D4C342" w14:textId="61867FAC">
      <w:pPr>
        <w:pStyle w:val="FootnoteText"/>
      </w:pPr>
      <w:r>
        <w:rPr>
          <w:rStyle w:val="FootnoteReference"/>
        </w:rPr>
        <w:footnoteRef/>
      </w:r>
      <w:r>
        <w:t xml:space="preserve"> </w:t>
      </w:r>
      <w:r w:rsidRPr="00292548" w:rsidR="00292548">
        <w:t>12 USC 5301 (12).</w:t>
      </w:r>
    </w:p>
  </w:footnote>
  <w:footnote w:id="7">
    <w:p w:rsidR="0054079F" w14:paraId="36D6305E" w14:textId="372ECD25">
      <w:pPr>
        <w:pStyle w:val="FootnoteText"/>
      </w:pPr>
      <w:r>
        <w:rPr>
          <w:rStyle w:val="FootnoteReference"/>
        </w:rPr>
        <w:footnoteRef/>
      </w:r>
      <w:r>
        <w:t xml:space="preserve"> </w:t>
      </w:r>
      <w:r w:rsidRPr="00CD5C8D" w:rsidR="00CD5C8D">
        <w:t>12 USC 5365(i)(2)(C).</w:t>
      </w:r>
    </w:p>
  </w:footnote>
  <w:footnote w:id="8">
    <w:p w:rsidR="005768B7" w14:paraId="1311A6B9" w14:textId="26BF4F42">
      <w:pPr>
        <w:pStyle w:val="FootnoteText"/>
      </w:pPr>
      <w:r>
        <w:rPr>
          <w:rStyle w:val="FootnoteReference"/>
        </w:rPr>
        <w:footnoteRef/>
      </w:r>
      <w:r>
        <w:t xml:space="preserve"> </w:t>
      </w:r>
      <w:r w:rsidRPr="00CD5C8D" w:rsidR="00CD5C8D">
        <w:t>12 USC 5365(i)(2)(B).</w:t>
      </w:r>
    </w:p>
  </w:footnote>
  <w:footnote w:id="9">
    <w:p w:rsidR="00BE572D" w14:paraId="5B0F6009" w14:textId="1AB6D33D">
      <w:pPr>
        <w:pStyle w:val="FootnoteText"/>
      </w:pPr>
      <w:r>
        <w:rPr>
          <w:rStyle w:val="FootnoteReference"/>
        </w:rPr>
        <w:footnoteRef/>
      </w:r>
      <w:r>
        <w:t xml:space="preserve"> </w:t>
      </w:r>
      <w:r w:rsidRPr="00843245" w:rsidR="00843245">
        <w:t>Pub. L. 115-174, 132 Stat. 1296-1368 (2018).</w:t>
      </w:r>
    </w:p>
  </w:footnote>
  <w:footnote w:id="10">
    <w:p w:rsidR="005C3450" w14:paraId="33A22548" w14:textId="353A19AF">
      <w:pPr>
        <w:pStyle w:val="FootnoteText"/>
      </w:pPr>
      <w:r>
        <w:rPr>
          <w:rStyle w:val="FootnoteReference"/>
        </w:rPr>
        <w:footnoteRef/>
      </w:r>
      <w:r>
        <w:t xml:space="preserve"> </w:t>
      </w:r>
      <w:r w:rsidRPr="005C3450">
        <w:t>84 FR 54472 (October 10,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3"/>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4"/>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2"/>
  </w:num>
  <w:num w:numId="26" w16cid:durableId="1633901390">
    <w:abstractNumId w:val="10"/>
  </w:num>
  <w:num w:numId="27" w16cid:durableId="90232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1166F"/>
    <w:rsid w:val="00012A21"/>
    <w:rsid w:val="0002059E"/>
    <w:rsid w:val="00020AB3"/>
    <w:rsid w:val="00023FD1"/>
    <w:rsid w:val="00025EB8"/>
    <w:rsid w:val="0003174B"/>
    <w:rsid w:val="0003678A"/>
    <w:rsid w:val="000429F8"/>
    <w:rsid w:val="00046658"/>
    <w:rsid w:val="00050F30"/>
    <w:rsid w:val="00056C76"/>
    <w:rsid w:val="00061205"/>
    <w:rsid w:val="000711F4"/>
    <w:rsid w:val="00072C4C"/>
    <w:rsid w:val="000732E2"/>
    <w:rsid w:val="00074BBB"/>
    <w:rsid w:val="000752C9"/>
    <w:rsid w:val="00081F26"/>
    <w:rsid w:val="000903EC"/>
    <w:rsid w:val="00094127"/>
    <w:rsid w:val="00096A66"/>
    <w:rsid w:val="000976C2"/>
    <w:rsid w:val="000A4144"/>
    <w:rsid w:val="000B2636"/>
    <w:rsid w:val="000B42B7"/>
    <w:rsid w:val="000B4387"/>
    <w:rsid w:val="000B70AF"/>
    <w:rsid w:val="000C6F38"/>
    <w:rsid w:val="000D3D3C"/>
    <w:rsid w:val="000D4607"/>
    <w:rsid w:val="000D7EAA"/>
    <w:rsid w:val="0010090B"/>
    <w:rsid w:val="0010137B"/>
    <w:rsid w:val="00112B75"/>
    <w:rsid w:val="00123913"/>
    <w:rsid w:val="00136525"/>
    <w:rsid w:val="0013796A"/>
    <w:rsid w:val="00143F6F"/>
    <w:rsid w:val="00146058"/>
    <w:rsid w:val="001466D8"/>
    <w:rsid w:val="00146794"/>
    <w:rsid w:val="001468A6"/>
    <w:rsid w:val="00153911"/>
    <w:rsid w:val="0015493B"/>
    <w:rsid w:val="00156213"/>
    <w:rsid w:val="00161913"/>
    <w:rsid w:val="00164623"/>
    <w:rsid w:val="00164C9C"/>
    <w:rsid w:val="00167D4B"/>
    <w:rsid w:val="00172F24"/>
    <w:rsid w:val="0017568B"/>
    <w:rsid w:val="00186ED7"/>
    <w:rsid w:val="00186F07"/>
    <w:rsid w:val="001933DE"/>
    <w:rsid w:val="001A034B"/>
    <w:rsid w:val="001A2EDF"/>
    <w:rsid w:val="001B10F5"/>
    <w:rsid w:val="001B1B56"/>
    <w:rsid w:val="001C18AC"/>
    <w:rsid w:val="001C6B5A"/>
    <w:rsid w:val="001C705C"/>
    <w:rsid w:val="001D3BB1"/>
    <w:rsid w:val="001D450C"/>
    <w:rsid w:val="001E3340"/>
    <w:rsid w:val="001E33F3"/>
    <w:rsid w:val="001F6818"/>
    <w:rsid w:val="00203C0F"/>
    <w:rsid w:val="00205AA6"/>
    <w:rsid w:val="002112CB"/>
    <w:rsid w:val="00212527"/>
    <w:rsid w:val="0021595B"/>
    <w:rsid w:val="00221C60"/>
    <w:rsid w:val="00234958"/>
    <w:rsid w:val="00240D95"/>
    <w:rsid w:val="002504FE"/>
    <w:rsid w:val="002557FC"/>
    <w:rsid w:val="00257709"/>
    <w:rsid w:val="0026241C"/>
    <w:rsid w:val="0026750D"/>
    <w:rsid w:val="0026786D"/>
    <w:rsid w:val="00271250"/>
    <w:rsid w:val="002719DA"/>
    <w:rsid w:val="00273626"/>
    <w:rsid w:val="00274CFE"/>
    <w:rsid w:val="0028032E"/>
    <w:rsid w:val="00283A34"/>
    <w:rsid w:val="00292548"/>
    <w:rsid w:val="002956A1"/>
    <w:rsid w:val="00297CC5"/>
    <w:rsid w:val="002A760D"/>
    <w:rsid w:val="002B1BD4"/>
    <w:rsid w:val="002B32B2"/>
    <w:rsid w:val="002B7253"/>
    <w:rsid w:val="002B738B"/>
    <w:rsid w:val="002C7FFE"/>
    <w:rsid w:val="002D27DD"/>
    <w:rsid w:val="002D3094"/>
    <w:rsid w:val="002D6281"/>
    <w:rsid w:val="002E0BE7"/>
    <w:rsid w:val="002F0CDF"/>
    <w:rsid w:val="002F637C"/>
    <w:rsid w:val="003024C3"/>
    <w:rsid w:val="0030366C"/>
    <w:rsid w:val="003058B5"/>
    <w:rsid w:val="00305C54"/>
    <w:rsid w:val="00312DFA"/>
    <w:rsid w:val="003238EC"/>
    <w:rsid w:val="00330F2E"/>
    <w:rsid w:val="00341F49"/>
    <w:rsid w:val="00342908"/>
    <w:rsid w:val="00352562"/>
    <w:rsid w:val="00354EAF"/>
    <w:rsid w:val="00357171"/>
    <w:rsid w:val="003618F7"/>
    <w:rsid w:val="00370630"/>
    <w:rsid w:val="00371B30"/>
    <w:rsid w:val="00375494"/>
    <w:rsid w:val="00376B9A"/>
    <w:rsid w:val="00387640"/>
    <w:rsid w:val="003A5ABE"/>
    <w:rsid w:val="003C0A58"/>
    <w:rsid w:val="003C4DAD"/>
    <w:rsid w:val="003C5162"/>
    <w:rsid w:val="003C5F80"/>
    <w:rsid w:val="003C7D1A"/>
    <w:rsid w:val="003E2687"/>
    <w:rsid w:val="003E3177"/>
    <w:rsid w:val="003E5B66"/>
    <w:rsid w:val="003F2B61"/>
    <w:rsid w:val="003F39F7"/>
    <w:rsid w:val="004024F4"/>
    <w:rsid w:val="004131B6"/>
    <w:rsid w:val="00413F66"/>
    <w:rsid w:val="00414BE1"/>
    <w:rsid w:val="00415ADB"/>
    <w:rsid w:val="00417222"/>
    <w:rsid w:val="0043060F"/>
    <w:rsid w:val="0043160D"/>
    <w:rsid w:val="004335BB"/>
    <w:rsid w:val="00437E07"/>
    <w:rsid w:val="00440403"/>
    <w:rsid w:val="0044411A"/>
    <w:rsid w:val="0044648C"/>
    <w:rsid w:val="00453B8A"/>
    <w:rsid w:val="004542BF"/>
    <w:rsid w:val="0046055A"/>
    <w:rsid w:val="00480411"/>
    <w:rsid w:val="0048405C"/>
    <w:rsid w:val="00491FCD"/>
    <w:rsid w:val="004A33A4"/>
    <w:rsid w:val="004B208B"/>
    <w:rsid w:val="004C1FAD"/>
    <w:rsid w:val="004C53A4"/>
    <w:rsid w:val="004C7D91"/>
    <w:rsid w:val="004D2CFF"/>
    <w:rsid w:val="004D39DE"/>
    <w:rsid w:val="004D7A48"/>
    <w:rsid w:val="004F7F75"/>
    <w:rsid w:val="00500C4B"/>
    <w:rsid w:val="00501CF2"/>
    <w:rsid w:val="005044F1"/>
    <w:rsid w:val="0051709A"/>
    <w:rsid w:val="0054079F"/>
    <w:rsid w:val="00541E62"/>
    <w:rsid w:val="00542EF2"/>
    <w:rsid w:val="00555394"/>
    <w:rsid w:val="005570E6"/>
    <w:rsid w:val="00560223"/>
    <w:rsid w:val="0056185D"/>
    <w:rsid w:val="00562F0F"/>
    <w:rsid w:val="005675AB"/>
    <w:rsid w:val="00575076"/>
    <w:rsid w:val="005768B7"/>
    <w:rsid w:val="00581F66"/>
    <w:rsid w:val="00585ABF"/>
    <w:rsid w:val="00587C23"/>
    <w:rsid w:val="00597EAF"/>
    <w:rsid w:val="005B4717"/>
    <w:rsid w:val="005B5D9B"/>
    <w:rsid w:val="005B6406"/>
    <w:rsid w:val="005C0AE2"/>
    <w:rsid w:val="005C310C"/>
    <w:rsid w:val="005C3450"/>
    <w:rsid w:val="005D2AD2"/>
    <w:rsid w:val="005E4215"/>
    <w:rsid w:val="005E58F7"/>
    <w:rsid w:val="005E7763"/>
    <w:rsid w:val="005F1A23"/>
    <w:rsid w:val="005F440A"/>
    <w:rsid w:val="005F5DEE"/>
    <w:rsid w:val="0060132F"/>
    <w:rsid w:val="00601D88"/>
    <w:rsid w:val="006037C2"/>
    <w:rsid w:val="00606463"/>
    <w:rsid w:val="00611617"/>
    <w:rsid w:val="00621509"/>
    <w:rsid w:val="00624AE6"/>
    <w:rsid w:val="00627925"/>
    <w:rsid w:val="00641631"/>
    <w:rsid w:val="0064178C"/>
    <w:rsid w:val="00657C95"/>
    <w:rsid w:val="00673B11"/>
    <w:rsid w:val="00681826"/>
    <w:rsid w:val="00685C8D"/>
    <w:rsid w:val="0068742D"/>
    <w:rsid w:val="006913D0"/>
    <w:rsid w:val="006A1916"/>
    <w:rsid w:val="006A2208"/>
    <w:rsid w:val="006A2F9F"/>
    <w:rsid w:val="006B40D8"/>
    <w:rsid w:val="006C2548"/>
    <w:rsid w:val="006C3736"/>
    <w:rsid w:val="006C38DE"/>
    <w:rsid w:val="006C53FB"/>
    <w:rsid w:val="006C5BE0"/>
    <w:rsid w:val="006C7C76"/>
    <w:rsid w:val="006D535A"/>
    <w:rsid w:val="006E4703"/>
    <w:rsid w:val="006E5101"/>
    <w:rsid w:val="007149CD"/>
    <w:rsid w:val="00715BC6"/>
    <w:rsid w:val="00716CCA"/>
    <w:rsid w:val="00722148"/>
    <w:rsid w:val="00735F09"/>
    <w:rsid w:val="007501C2"/>
    <w:rsid w:val="00753CFF"/>
    <w:rsid w:val="00756398"/>
    <w:rsid w:val="00756754"/>
    <w:rsid w:val="0076144A"/>
    <w:rsid w:val="007726B9"/>
    <w:rsid w:val="007732CA"/>
    <w:rsid w:val="0077568D"/>
    <w:rsid w:val="007765A6"/>
    <w:rsid w:val="007816B6"/>
    <w:rsid w:val="00785BD8"/>
    <w:rsid w:val="00797F47"/>
    <w:rsid w:val="007A2589"/>
    <w:rsid w:val="007A4323"/>
    <w:rsid w:val="007A4A3A"/>
    <w:rsid w:val="007B6321"/>
    <w:rsid w:val="007B6ADD"/>
    <w:rsid w:val="007D0F85"/>
    <w:rsid w:val="007D4FDD"/>
    <w:rsid w:val="007D7EE6"/>
    <w:rsid w:val="007F0D8B"/>
    <w:rsid w:val="007F33E2"/>
    <w:rsid w:val="00801054"/>
    <w:rsid w:val="00803C32"/>
    <w:rsid w:val="008049C2"/>
    <w:rsid w:val="008069FD"/>
    <w:rsid w:val="008132DF"/>
    <w:rsid w:val="008138EF"/>
    <w:rsid w:val="00814AED"/>
    <w:rsid w:val="00815227"/>
    <w:rsid w:val="00821885"/>
    <w:rsid w:val="008222F0"/>
    <w:rsid w:val="00833799"/>
    <w:rsid w:val="008374DA"/>
    <w:rsid w:val="00843245"/>
    <w:rsid w:val="00843847"/>
    <w:rsid w:val="00847554"/>
    <w:rsid w:val="00862D9B"/>
    <w:rsid w:val="00863893"/>
    <w:rsid w:val="00863A83"/>
    <w:rsid w:val="00874FE5"/>
    <w:rsid w:val="00876806"/>
    <w:rsid w:val="00882761"/>
    <w:rsid w:val="00882FE4"/>
    <w:rsid w:val="00883FA6"/>
    <w:rsid w:val="00890AB7"/>
    <w:rsid w:val="00891902"/>
    <w:rsid w:val="008924FB"/>
    <w:rsid w:val="008958DA"/>
    <w:rsid w:val="00896FB0"/>
    <w:rsid w:val="008A2681"/>
    <w:rsid w:val="008A58AC"/>
    <w:rsid w:val="008A643D"/>
    <w:rsid w:val="008B661A"/>
    <w:rsid w:val="008C10A0"/>
    <w:rsid w:val="008C6440"/>
    <w:rsid w:val="008C70DC"/>
    <w:rsid w:val="008D0847"/>
    <w:rsid w:val="008D6467"/>
    <w:rsid w:val="008E0842"/>
    <w:rsid w:val="008E0FA3"/>
    <w:rsid w:val="008E25ED"/>
    <w:rsid w:val="008E2C30"/>
    <w:rsid w:val="008E5092"/>
    <w:rsid w:val="008E74FE"/>
    <w:rsid w:val="008F021D"/>
    <w:rsid w:val="008F11DE"/>
    <w:rsid w:val="008F5E5F"/>
    <w:rsid w:val="00915EEF"/>
    <w:rsid w:val="009177F7"/>
    <w:rsid w:val="00922BA6"/>
    <w:rsid w:val="00924A92"/>
    <w:rsid w:val="009253F8"/>
    <w:rsid w:val="009275CA"/>
    <w:rsid w:val="00927B27"/>
    <w:rsid w:val="00934C19"/>
    <w:rsid w:val="009360E7"/>
    <w:rsid w:val="0093781D"/>
    <w:rsid w:val="00944FB5"/>
    <w:rsid w:val="00953FEC"/>
    <w:rsid w:val="00960C77"/>
    <w:rsid w:val="00967825"/>
    <w:rsid w:val="00970AEE"/>
    <w:rsid w:val="00975575"/>
    <w:rsid w:val="00975A62"/>
    <w:rsid w:val="00981E48"/>
    <w:rsid w:val="009838C4"/>
    <w:rsid w:val="00983B3B"/>
    <w:rsid w:val="009856F6"/>
    <w:rsid w:val="00995F60"/>
    <w:rsid w:val="00997FD0"/>
    <w:rsid w:val="009A271C"/>
    <w:rsid w:val="009B0F9C"/>
    <w:rsid w:val="009B1BC5"/>
    <w:rsid w:val="009B7D51"/>
    <w:rsid w:val="009C7560"/>
    <w:rsid w:val="009D2B71"/>
    <w:rsid w:val="009D4CBD"/>
    <w:rsid w:val="009E321F"/>
    <w:rsid w:val="009E3C77"/>
    <w:rsid w:val="009E7AC0"/>
    <w:rsid w:val="009E7C2D"/>
    <w:rsid w:val="009F1BB4"/>
    <w:rsid w:val="009F25BF"/>
    <w:rsid w:val="009F2DE2"/>
    <w:rsid w:val="009F4755"/>
    <w:rsid w:val="009F7254"/>
    <w:rsid w:val="00A11956"/>
    <w:rsid w:val="00A121E7"/>
    <w:rsid w:val="00A170ED"/>
    <w:rsid w:val="00A20EF9"/>
    <w:rsid w:val="00A2457F"/>
    <w:rsid w:val="00A30DBC"/>
    <w:rsid w:val="00A34F29"/>
    <w:rsid w:val="00A35623"/>
    <w:rsid w:val="00A367D0"/>
    <w:rsid w:val="00A554C2"/>
    <w:rsid w:val="00A55761"/>
    <w:rsid w:val="00A637EA"/>
    <w:rsid w:val="00A658F6"/>
    <w:rsid w:val="00A70C9F"/>
    <w:rsid w:val="00A72474"/>
    <w:rsid w:val="00A73FE6"/>
    <w:rsid w:val="00A77A45"/>
    <w:rsid w:val="00A87283"/>
    <w:rsid w:val="00A94A4E"/>
    <w:rsid w:val="00A96AEC"/>
    <w:rsid w:val="00AA4733"/>
    <w:rsid w:val="00AA611C"/>
    <w:rsid w:val="00AB12B0"/>
    <w:rsid w:val="00AB7DFA"/>
    <w:rsid w:val="00AC08C7"/>
    <w:rsid w:val="00AC6A28"/>
    <w:rsid w:val="00AD10F2"/>
    <w:rsid w:val="00AD17AA"/>
    <w:rsid w:val="00AD1AD6"/>
    <w:rsid w:val="00AD25F4"/>
    <w:rsid w:val="00AD60CA"/>
    <w:rsid w:val="00AD69A7"/>
    <w:rsid w:val="00AD71D8"/>
    <w:rsid w:val="00AE1CEF"/>
    <w:rsid w:val="00AE31DD"/>
    <w:rsid w:val="00AE3AD6"/>
    <w:rsid w:val="00AE53CE"/>
    <w:rsid w:val="00AF6BA0"/>
    <w:rsid w:val="00B033A7"/>
    <w:rsid w:val="00B12D2C"/>
    <w:rsid w:val="00B16D39"/>
    <w:rsid w:val="00B32F4C"/>
    <w:rsid w:val="00B35C58"/>
    <w:rsid w:val="00B37BB7"/>
    <w:rsid w:val="00B44A77"/>
    <w:rsid w:val="00B4777D"/>
    <w:rsid w:val="00B47E4A"/>
    <w:rsid w:val="00B511E7"/>
    <w:rsid w:val="00B6583D"/>
    <w:rsid w:val="00B7061E"/>
    <w:rsid w:val="00B73245"/>
    <w:rsid w:val="00B74F76"/>
    <w:rsid w:val="00B8002D"/>
    <w:rsid w:val="00B83ECF"/>
    <w:rsid w:val="00B87CB9"/>
    <w:rsid w:val="00B927EF"/>
    <w:rsid w:val="00B92E25"/>
    <w:rsid w:val="00B9494A"/>
    <w:rsid w:val="00B955B7"/>
    <w:rsid w:val="00B97BC7"/>
    <w:rsid w:val="00BA0AB7"/>
    <w:rsid w:val="00BA2266"/>
    <w:rsid w:val="00BA22F0"/>
    <w:rsid w:val="00BA5FBF"/>
    <w:rsid w:val="00BB0C1A"/>
    <w:rsid w:val="00BB31A5"/>
    <w:rsid w:val="00BB37CF"/>
    <w:rsid w:val="00BB48B0"/>
    <w:rsid w:val="00BC21AC"/>
    <w:rsid w:val="00BD7B61"/>
    <w:rsid w:val="00BE008C"/>
    <w:rsid w:val="00BE3459"/>
    <w:rsid w:val="00BE4452"/>
    <w:rsid w:val="00BE572D"/>
    <w:rsid w:val="00BE715F"/>
    <w:rsid w:val="00BF285A"/>
    <w:rsid w:val="00BF40E7"/>
    <w:rsid w:val="00C11863"/>
    <w:rsid w:val="00C145E5"/>
    <w:rsid w:val="00C14FD7"/>
    <w:rsid w:val="00C2172D"/>
    <w:rsid w:val="00C21FEB"/>
    <w:rsid w:val="00C24D32"/>
    <w:rsid w:val="00C25194"/>
    <w:rsid w:val="00C26228"/>
    <w:rsid w:val="00C41073"/>
    <w:rsid w:val="00C45975"/>
    <w:rsid w:val="00C55628"/>
    <w:rsid w:val="00C62776"/>
    <w:rsid w:val="00C663B8"/>
    <w:rsid w:val="00C6716D"/>
    <w:rsid w:val="00C671C1"/>
    <w:rsid w:val="00C73CC3"/>
    <w:rsid w:val="00C8083F"/>
    <w:rsid w:val="00CB173B"/>
    <w:rsid w:val="00CB243B"/>
    <w:rsid w:val="00CC0074"/>
    <w:rsid w:val="00CC39C2"/>
    <w:rsid w:val="00CC74A2"/>
    <w:rsid w:val="00CD5C8D"/>
    <w:rsid w:val="00CE2D31"/>
    <w:rsid w:val="00D00195"/>
    <w:rsid w:val="00D04E1B"/>
    <w:rsid w:val="00D1092B"/>
    <w:rsid w:val="00D10E2E"/>
    <w:rsid w:val="00D12BF6"/>
    <w:rsid w:val="00D14293"/>
    <w:rsid w:val="00D262C4"/>
    <w:rsid w:val="00D331B3"/>
    <w:rsid w:val="00D41A33"/>
    <w:rsid w:val="00D46AA2"/>
    <w:rsid w:val="00D5393B"/>
    <w:rsid w:val="00D541B6"/>
    <w:rsid w:val="00D5448D"/>
    <w:rsid w:val="00D60556"/>
    <w:rsid w:val="00D63F97"/>
    <w:rsid w:val="00D76087"/>
    <w:rsid w:val="00D775EC"/>
    <w:rsid w:val="00D870DF"/>
    <w:rsid w:val="00D90449"/>
    <w:rsid w:val="00D94E6D"/>
    <w:rsid w:val="00DB0C09"/>
    <w:rsid w:val="00DC2367"/>
    <w:rsid w:val="00DC24AA"/>
    <w:rsid w:val="00DC2C68"/>
    <w:rsid w:val="00DC6B5F"/>
    <w:rsid w:val="00DC783A"/>
    <w:rsid w:val="00DD7F67"/>
    <w:rsid w:val="00DE33D8"/>
    <w:rsid w:val="00DF1A91"/>
    <w:rsid w:val="00E16095"/>
    <w:rsid w:val="00E17853"/>
    <w:rsid w:val="00E210B2"/>
    <w:rsid w:val="00E316C6"/>
    <w:rsid w:val="00E31A2E"/>
    <w:rsid w:val="00E42BD9"/>
    <w:rsid w:val="00E43AD9"/>
    <w:rsid w:val="00E43BAD"/>
    <w:rsid w:val="00E43F1C"/>
    <w:rsid w:val="00E4638D"/>
    <w:rsid w:val="00E51026"/>
    <w:rsid w:val="00E56F2F"/>
    <w:rsid w:val="00E6072D"/>
    <w:rsid w:val="00E64BBF"/>
    <w:rsid w:val="00E656DA"/>
    <w:rsid w:val="00E7483E"/>
    <w:rsid w:val="00E7525C"/>
    <w:rsid w:val="00E83FD7"/>
    <w:rsid w:val="00E87542"/>
    <w:rsid w:val="00E940D8"/>
    <w:rsid w:val="00EA0DB6"/>
    <w:rsid w:val="00EA76D1"/>
    <w:rsid w:val="00EB27AA"/>
    <w:rsid w:val="00EB4089"/>
    <w:rsid w:val="00EC49D8"/>
    <w:rsid w:val="00EE6EDD"/>
    <w:rsid w:val="00EF1E84"/>
    <w:rsid w:val="00EF5AF5"/>
    <w:rsid w:val="00EF64FB"/>
    <w:rsid w:val="00F01977"/>
    <w:rsid w:val="00F147EE"/>
    <w:rsid w:val="00F30DC7"/>
    <w:rsid w:val="00F316F0"/>
    <w:rsid w:val="00F40B75"/>
    <w:rsid w:val="00F429D2"/>
    <w:rsid w:val="00F4667D"/>
    <w:rsid w:val="00F5333B"/>
    <w:rsid w:val="00F53BCA"/>
    <w:rsid w:val="00F5492F"/>
    <w:rsid w:val="00F67110"/>
    <w:rsid w:val="00F70DC3"/>
    <w:rsid w:val="00F72B9D"/>
    <w:rsid w:val="00F80FFA"/>
    <w:rsid w:val="00F81839"/>
    <w:rsid w:val="00F83450"/>
    <w:rsid w:val="00F936AC"/>
    <w:rsid w:val="00F94B04"/>
    <w:rsid w:val="00FA44C6"/>
    <w:rsid w:val="00FA59E4"/>
    <w:rsid w:val="00FB4F38"/>
    <w:rsid w:val="00FB5330"/>
    <w:rsid w:val="00FB666D"/>
    <w:rsid w:val="00FC308E"/>
    <w:rsid w:val="00FD0112"/>
    <w:rsid w:val="00FD1F71"/>
    <w:rsid w:val="00FE0D0D"/>
    <w:rsid w:val="00FE2486"/>
    <w:rsid w:val="00FE3939"/>
    <w:rsid w:val="00FF672C"/>
    <w:rsid w:val="00FF7E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link w:val="BodyTextChar"/>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 w:type="character" w:customStyle="1" w:styleId="BodyTextChar">
    <w:name w:val="Body Text Char"/>
    <w:basedOn w:val="DefaultParagraphFont"/>
    <w:link w:val="BodyText"/>
    <w:rsid w:val="00273626"/>
    <w:rPr>
      <w:i/>
      <w:iCs/>
      <w:sz w:val="24"/>
    </w:rPr>
  </w:style>
  <w:style w:type="table" w:styleId="TableGrid">
    <w:name w:val="Table Grid"/>
    <w:basedOn w:val="TableNormal"/>
    <w:rsid w:val="0081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2026-01-26T17:17:00Z</dcterms:created>
  <dcterms:modified xsi:type="dcterms:W3CDTF">2026-02-02T21:00:00Z</dcterms:modified>
</cp:coreProperties>
</file>