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A5DE5" w:rsidP="00886657" w14:paraId="0985EDB0" w14:textId="77777777">
      <w:pPr>
        <w:pStyle w:val="Heading1"/>
        <w:spacing w:before="0"/>
      </w:pPr>
      <w:r>
        <w:t xml:space="preserve">Supporting Statement </w:t>
      </w:r>
    </w:p>
    <w:p w:rsidR="00C37CD8" w:rsidRPr="008112BA" w:rsidP="00886657" w14:paraId="71FC351A" w14:textId="0DFAFD3B">
      <w:pPr>
        <w:pStyle w:val="Heading1"/>
        <w:spacing w:before="0"/>
        <w:rPr>
          <w:color w:val="3366FF"/>
        </w:rPr>
      </w:pPr>
      <w:bookmarkStart w:id="0" w:name="_Hlk110862592"/>
      <w:r w:rsidRPr="008112BA">
        <w:t xml:space="preserve">OMB </w:t>
      </w:r>
      <w:r w:rsidR="00BC5EF3">
        <w:t>15</w:t>
      </w:r>
      <w:r w:rsidR="00CE7A82">
        <w:t>30</w:t>
      </w:r>
      <w:r w:rsidRPr="008112BA">
        <w:t>-</w:t>
      </w:r>
      <w:r w:rsidR="00F01DE4">
        <w:t>0075</w:t>
      </w:r>
    </w:p>
    <w:p w:rsidR="008C325F" w:rsidRPr="00886657" w:rsidP="00886657" w14:paraId="738E212D" w14:textId="52BFE72A">
      <w:pPr>
        <w:pStyle w:val="Subtitle"/>
        <w:rPr>
          <w:rFonts w:ascii="Arial" w:hAnsi="Arial" w:cs="Arial"/>
          <w:color w:val="3366FF"/>
          <w:sz w:val="24"/>
          <w:szCs w:val="24"/>
        </w:rPr>
      </w:pPr>
      <w:r w:rsidRPr="00886657">
        <w:rPr>
          <w:sz w:val="24"/>
          <w:szCs w:val="24"/>
        </w:rPr>
        <w:t>Accounts Receivable Forms for Debt Repayment</w:t>
      </w:r>
      <w:r w:rsidRPr="00886657">
        <w:rPr>
          <w:rFonts w:ascii="Arial" w:hAnsi="Arial" w:cs="Arial"/>
          <w:color w:val="3366FF"/>
          <w:sz w:val="24"/>
          <w:szCs w:val="24"/>
        </w:rPr>
        <w:t xml:space="preserve"> </w:t>
      </w:r>
      <w:bookmarkEnd w:id="0"/>
    </w:p>
    <w:p w:rsidR="00EC10FF" w:rsidP="00BC5EF3" w14:paraId="2E9BA992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rPr>
          <w:rFonts w:ascii="Tahoma" w:hAnsi="Tahoma" w:cs="Tahoma"/>
          <w:sz w:val="22"/>
          <w:szCs w:val="22"/>
        </w:rPr>
      </w:pPr>
    </w:p>
    <w:p w:rsidR="008112BA" w:rsidP="00BC5EF3" w14:paraId="24C50102" w14:textId="77777777">
      <w:pPr>
        <w:numPr>
          <w:ilvl w:val="0"/>
          <w:numId w:val="20"/>
        </w:numPr>
        <w:tabs>
          <w:tab w:val="left" w:pos="540"/>
          <w:tab w:val="clear" w:pos="72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112BA">
        <w:rPr>
          <w:rFonts w:ascii="Arial" w:hAnsi="Arial" w:cs="Arial"/>
          <w:b/>
          <w:bCs/>
          <w:sz w:val="22"/>
          <w:szCs w:val="22"/>
        </w:rPr>
        <w:t>Justification</w:t>
      </w:r>
    </w:p>
    <w:p w:rsidR="008112BA" w:rsidP="00BC5EF3" w14:paraId="34C481B2" w14:textId="77777777">
      <w:pPr>
        <w:tabs>
          <w:tab w:val="left" w:pos="540"/>
        </w:tabs>
        <w:rPr>
          <w:rFonts w:ascii="Arial" w:hAnsi="Arial" w:cs="Arial"/>
          <w:b/>
          <w:bCs/>
          <w:sz w:val="22"/>
          <w:szCs w:val="22"/>
        </w:rPr>
      </w:pPr>
    </w:p>
    <w:p w:rsidR="003D5F94" w:rsidRPr="003D5F94" w:rsidP="003D5F94" w14:paraId="6DE3CB82" w14:textId="77777777">
      <w:pPr>
        <w:rPr>
          <w:rFonts w:ascii="Arial" w:hAnsi="Arial" w:cs="Arial"/>
          <w:b/>
          <w:bCs/>
          <w:sz w:val="22"/>
          <w:szCs w:val="22"/>
        </w:rPr>
      </w:pPr>
      <w:r w:rsidRPr="003D5F94">
        <w:rPr>
          <w:rFonts w:ascii="Arial" w:hAnsi="Arial" w:cs="Arial"/>
          <w:b/>
          <w:bCs/>
          <w:sz w:val="22"/>
          <w:szCs w:val="22"/>
        </w:rPr>
        <w:t>Summary of Changes for renewal in 2025:</w:t>
      </w:r>
    </w:p>
    <w:p w:rsidR="003D5F94" w:rsidRPr="003D5F94" w:rsidP="003D5F94" w14:paraId="570339AE" w14:textId="77777777">
      <w:pPr>
        <w:rPr>
          <w:rFonts w:ascii="Arial" w:hAnsi="Arial" w:cs="Arial"/>
          <w:sz w:val="22"/>
          <w:szCs w:val="22"/>
        </w:rPr>
      </w:pPr>
      <w:r w:rsidRPr="003D5F94">
        <w:rPr>
          <w:rFonts w:ascii="Arial" w:hAnsi="Arial" w:cs="Arial"/>
          <w:sz w:val="22"/>
          <w:szCs w:val="22"/>
        </w:rPr>
        <w:t>Q8: Current Federal Register citation was added.</w:t>
      </w:r>
    </w:p>
    <w:p w:rsidR="003D5F94" w:rsidRPr="003D5F94" w:rsidP="003D5F94" w14:paraId="78D56034" w14:textId="77777777">
      <w:pPr>
        <w:rPr>
          <w:rFonts w:ascii="Arial" w:hAnsi="Arial" w:cs="Arial"/>
          <w:sz w:val="22"/>
          <w:szCs w:val="22"/>
        </w:rPr>
      </w:pPr>
      <w:r w:rsidRPr="003D5F94">
        <w:rPr>
          <w:rFonts w:ascii="Arial" w:hAnsi="Arial" w:cs="Arial"/>
          <w:sz w:val="22"/>
          <w:szCs w:val="22"/>
        </w:rPr>
        <w:t xml:space="preserve">Q12: The estimated Annual Respondent Cost was omitted from </w:t>
      </w:r>
      <w:r w:rsidRPr="003D5F94">
        <w:rPr>
          <w:rFonts w:ascii="Arial" w:hAnsi="Arial" w:cs="Arial"/>
          <w:sz w:val="22"/>
          <w:szCs w:val="22"/>
        </w:rPr>
        <w:t>previous Supporting Statements.</w:t>
      </w:r>
    </w:p>
    <w:p w:rsidR="003D5F94" w:rsidP="003D5F94" w14:paraId="78910117" w14:textId="2CD8979D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3D5F94">
        <w:rPr>
          <w:rFonts w:ascii="Arial" w:hAnsi="Arial" w:cs="Arial"/>
          <w:sz w:val="22"/>
          <w:szCs w:val="22"/>
        </w:rPr>
        <w:t>Q14: The factors used to calculate the cost to the Federal Government were updated in this response</w:t>
      </w:r>
    </w:p>
    <w:p w:rsidR="003D5F94" w:rsidRPr="003D5F94" w:rsidP="003D5F94" w14:paraId="250FBDF7" w14:textId="77777777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</w:rPr>
      </w:pPr>
    </w:p>
    <w:p w:rsidR="00432C2B" w:rsidP="00BC5EF3" w14:paraId="71B04694" w14:textId="77777777">
      <w:pPr>
        <w:pStyle w:val="BodyTextIndent2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Circumstances Making the Collection of Information Necessary.</w:t>
      </w:r>
    </w:p>
    <w:p w:rsidR="00A86B37" w:rsidP="00A86B37" w14:paraId="3FB90E7B" w14:textId="77777777">
      <w:pPr>
        <w:pStyle w:val="BodyTextIndent2"/>
        <w:tabs>
          <w:tab w:val="clear" w:pos="0"/>
          <w:tab w:val="clear" w:pos="361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hanging="540"/>
        <w:rPr>
          <w:rFonts w:ascii="Arial" w:hAnsi="Arial" w:cs="Arial"/>
          <w:b w:val="0"/>
          <w:bCs w:val="0"/>
          <w:sz w:val="22"/>
          <w:szCs w:val="22"/>
        </w:rPr>
      </w:pPr>
      <w:r w:rsidRPr="00432C2B">
        <w:rPr>
          <w:rFonts w:ascii="Arial" w:hAnsi="Arial" w:cs="Arial"/>
          <w:b w:val="0"/>
          <w:bCs w:val="0"/>
          <w:color w:val="3366FF"/>
          <w:sz w:val="22"/>
          <w:szCs w:val="22"/>
        </w:rPr>
        <w:tab/>
      </w:r>
      <w:r w:rsidRPr="00A86B37">
        <w:rPr>
          <w:rFonts w:ascii="Arial" w:hAnsi="Arial" w:cs="Arial"/>
          <w:b w:val="0"/>
          <w:bCs w:val="0"/>
          <w:sz w:val="22"/>
          <w:szCs w:val="22"/>
        </w:rPr>
        <w:t xml:space="preserve">The principal purpose for gathering this </w:t>
      </w:r>
      <w:r w:rsidRPr="00A86B37">
        <w:rPr>
          <w:rFonts w:ascii="Arial" w:hAnsi="Arial" w:cs="Arial"/>
          <w:b w:val="0"/>
          <w:bCs w:val="0"/>
          <w:sz w:val="22"/>
          <w:szCs w:val="22"/>
        </w:rPr>
        <w:t>information is to evaluate a debtor’s ability to pay their debt and to obtain the debtor’s ACH payment information so recurring electronic payments can be set up to pay their debt.</w:t>
      </w:r>
      <w:r>
        <w:rPr>
          <w:rFonts w:ascii="Arial" w:hAnsi="Arial" w:cs="Arial"/>
          <w:b w:val="0"/>
          <w:bCs w:val="0"/>
          <w:color w:val="3366FF"/>
          <w:sz w:val="22"/>
          <w:szCs w:val="22"/>
        </w:rPr>
        <w:t xml:space="preserve"> </w:t>
      </w:r>
      <w:r w:rsidRPr="00B1779E" w:rsidR="00B1779E">
        <w:rPr>
          <w:rFonts w:ascii="Arial" w:hAnsi="Arial" w:cs="Arial"/>
          <w:b w:val="0"/>
          <w:bCs w:val="0"/>
          <w:sz w:val="22"/>
          <w:szCs w:val="22"/>
        </w:rPr>
        <w:t>This information is collected by authority of 31 U.S.C. 32</w:t>
      </w:r>
      <w:r w:rsidR="00F34816">
        <w:rPr>
          <w:rFonts w:ascii="Arial" w:hAnsi="Arial" w:cs="Arial"/>
          <w:b w:val="0"/>
          <w:bCs w:val="0"/>
          <w:sz w:val="22"/>
          <w:szCs w:val="22"/>
        </w:rPr>
        <w:t>1</w:t>
      </w:r>
      <w:r w:rsidRPr="00B1779E" w:rsidR="00B1779E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F34816">
        <w:rPr>
          <w:rFonts w:ascii="Arial" w:hAnsi="Arial" w:cs="Arial"/>
          <w:b w:val="0"/>
          <w:bCs w:val="0"/>
          <w:sz w:val="22"/>
          <w:szCs w:val="22"/>
        </w:rPr>
        <w:t xml:space="preserve">3701 </w:t>
      </w:r>
      <w:r w:rsidRPr="00B1779E" w:rsidR="00B1779E">
        <w:rPr>
          <w:rFonts w:ascii="Arial" w:hAnsi="Arial" w:cs="Arial"/>
          <w:b w:val="0"/>
          <w:bCs w:val="0"/>
          <w:sz w:val="22"/>
          <w:szCs w:val="22"/>
        </w:rPr>
        <w:t>et seq.</w:t>
      </w:r>
      <w:r w:rsidR="00F34816">
        <w:rPr>
          <w:rFonts w:ascii="Arial" w:hAnsi="Arial" w:cs="Arial"/>
          <w:b w:val="0"/>
          <w:bCs w:val="0"/>
          <w:sz w:val="22"/>
          <w:szCs w:val="22"/>
        </w:rPr>
        <w:t xml:space="preserve">, and 31 C.F.R parts 285 and parts 900-904. </w:t>
      </w:r>
      <w:r w:rsidR="00B1779E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04B59" w:rsidP="00A86B37" w14:paraId="4EDC405D" w14:textId="7FC4E603">
      <w:pPr>
        <w:pStyle w:val="BodyTextIndent2"/>
        <w:tabs>
          <w:tab w:val="clear" w:pos="0"/>
          <w:tab w:val="clear" w:pos="361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/>
        <w:rPr>
          <w:rFonts w:ascii="Arial" w:hAnsi="Arial" w:cs="Arial"/>
          <w:b w:val="0"/>
          <w:bCs w:val="0"/>
          <w:sz w:val="22"/>
          <w:szCs w:val="22"/>
        </w:rPr>
      </w:pPr>
      <w:r w:rsidRPr="0043771F">
        <w:rPr>
          <w:rFonts w:ascii="Arial" w:hAnsi="Arial" w:cs="Arial"/>
          <w:b w:val="0"/>
          <w:bCs w:val="0"/>
          <w:sz w:val="22"/>
          <w:szCs w:val="22"/>
        </w:rPr>
        <w:t>Th</w:t>
      </w:r>
      <w:r w:rsidR="00C278CF">
        <w:rPr>
          <w:rFonts w:ascii="Arial" w:hAnsi="Arial" w:cs="Arial"/>
          <w:b w:val="0"/>
          <w:bCs w:val="0"/>
          <w:sz w:val="22"/>
          <w:szCs w:val="22"/>
        </w:rPr>
        <w:t>e</w:t>
      </w:r>
      <w:r w:rsidRPr="004377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A07D1">
        <w:rPr>
          <w:rFonts w:ascii="Arial" w:hAnsi="Arial" w:cs="Arial"/>
          <w:b w:val="0"/>
          <w:bCs w:val="0"/>
          <w:sz w:val="22"/>
          <w:szCs w:val="22"/>
        </w:rPr>
        <w:t xml:space="preserve">Financial Statement of Debtor form </w:t>
      </w:r>
      <w:r w:rsidRPr="0043771F">
        <w:rPr>
          <w:rFonts w:ascii="Arial" w:hAnsi="Arial" w:cs="Arial"/>
          <w:b w:val="0"/>
          <w:bCs w:val="0"/>
          <w:sz w:val="22"/>
          <w:szCs w:val="22"/>
        </w:rPr>
        <w:t>collect</w:t>
      </w:r>
      <w:r w:rsidR="00C278CF">
        <w:rPr>
          <w:rFonts w:ascii="Arial" w:hAnsi="Arial" w:cs="Arial"/>
          <w:b w:val="0"/>
          <w:bCs w:val="0"/>
          <w:sz w:val="22"/>
          <w:szCs w:val="22"/>
        </w:rPr>
        <w:t>s</w:t>
      </w:r>
      <w:r w:rsidR="009A07D1">
        <w:rPr>
          <w:rFonts w:ascii="Arial" w:hAnsi="Arial" w:cs="Arial"/>
          <w:b w:val="0"/>
          <w:bCs w:val="0"/>
          <w:sz w:val="22"/>
          <w:szCs w:val="22"/>
        </w:rPr>
        <w:t xml:space="preserve"> financial information</w:t>
      </w:r>
      <w:r w:rsidRPr="004377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266D9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>
        <w:rPr>
          <w:rFonts w:ascii="Arial" w:hAnsi="Arial" w:cs="Arial"/>
          <w:b w:val="0"/>
          <w:bCs w:val="0"/>
          <w:sz w:val="22"/>
          <w:szCs w:val="22"/>
        </w:rPr>
        <w:t>evaluate repay</w:t>
      </w:r>
      <w:r w:rsidR="009266D9">
        <w:rPr>
          <w:rFonts w:ascii="Arial" w:hAnsi="Arial" w:cs="Arial"/>
          <w:b w:val="0"/>
          <w:bCs w:val="0"/>
          <w:sz w:val="22"/>
          <w:szCs w:val="22"/>
        </w:rPr>
        <w:t>ment ability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B1779E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p w:rsidR="009A07D1" w:rsidRPr="0043771F" w:rsidP="00BC5EF3" w14:paraId="729E06D9" w14:textId="633FD4DE">
      <w:pPr>
        <w:pStyle w:val="BodyTextIndent2"/>
        <w:tabs>
          <w:tab w:val="clear" w:pos="0"/>
          <w:tab w:val="clear" w:pos="361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hanging="54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The</w:t>
      </w:r>
      <w:r w:rsidR="006459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459AD" w:rsidR="006459AD">
        <w:rPr>
          <w:rFonts w:ascii="Arial" w:hAnsi="Arial" w:cs="Arial"/>
          <w:b w:val="0"/>
          <w:bCs w:val="0"/>
          <w:sz w:val="22"/>
          <w:szCs w:val="22"/>
        </w:rPr>
        <w:t>Request for Recurring Electronic Payments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form is provided to a debtor interested in monthly recurring electronic ACH payments.</w:t>
      </w:r>
      <w:r w:rsidR="00B1779E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432C2B" w:rsidP="000356B0" w14:paraId="3379B595" w14:textId="77777777">
      <w:pPr>
        <w:pStyle w:val="BodyTextIndent2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Purpose and Use of the Information Collection.</w:t>
      </w:r>
    </w:p>
    <w:p w:rsidR="008112BA" w:rsidP="00432C2B" w14:paraId="4640D390" w14:textId="52A367FD">
      <w:pPr>
        <w:pStyle w:val="smindent"/>
        <w:tabs>
          <w:tab w:val="left" w:pos="540"/>
        </w:tabs>
        <w:spacing w:before="120" w:beforeAutospacing="0" w:after="120" w:afterAutospacing="0"/>
        <w:ind w:left="540" w:hanging="54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ab/>
      </w:r>
      <w:r w:rsidRPr="00A431DF" w:rsidR="00A431DF">
        <w:rPr>
          <w:rFonts w:ascii="Arial" w:hAnsi="Arial" w:cs="Arial"/>
          <w:bCs/>
          <w:color w:val="auto"/>
          <w:sz w:val="22"/>
          <w:szCs w:val="22"/>
        </w:rPr>
        <w:t>The information on the completed form is used by the Department of the Treasury, Bureau of the Fiscal Service to</w:t>
      </w:r>
      <w:r w:rsidR="00A431DF">
        <w:rPr>
          <w:rFonts w:ascii="Arial" w:hAnsi="Arial" w:cs="Arial"/>
          <w:bCs/>
          <w:color w:val="auto"/>
          <w:sz w:val="22"/>
          <w:szCs w:val="22"/>
        </w:rPr>
        <w:t xml:space="preserve"> evaluate financial status. </w:t>
      </w:r>
      <w:r w:rsidR="00627E7A">
        <w:rPr>
          <w:rFonts w:ascii="Arial" w:hAnsi="Arial" w:cs="Arial"/>
          <w:bCs/>
          <w:color w:val="auto"/>
          <w:sz w:val="22"/>
          <w:szCs w:val="22"/>
        </w:rPr>
        <w:t>If u</w:t>
      </w:r>
      <w:r w:rsidR="00A431DF">
        <w:rPr>
          <w:rFonts w:ascii="Arial" w:hAnsi="Arial" w:cs="Arial"/>
          <w:bCs/>
          <w:color w:val="auto"/>
          <w:sz w:val="22"/>
          <w:szCs w:val="22"/>
        </w:rPr>
        <w:t xml:space="preserve">nable to make the required monthly payment, or </w:t>
      </w:r>
      <w:r w:rsidR="00627E7A">
        <w:rPr>
          <w:rFonts w:ascii="Arial" w:hAnsi="Arial" w:cs="Arial"/>
          <w:bCs/>
          <w:color w:val="auto"/>
          <w:sz w:val="22"/>
          <w:szCs w:val="22"/>
        </w:rPr>
        <w:t>the payment results in a</w:t>
      </w:r>
      <w:r w:rsidR="00A431DF">
        <w:rPr>
          <w:rFonts w:ascii="Arial" w:hAnsi="Arial" w:cs="Arial"/>
          <w:bCs/>
          <w:color w:val="auto"/>
          <w:sz w:val="22"/>
          <w:szCs w:val="22"/>
        </w:rPr>
        <w:t xml:space="preserve"> financial hardship, the Financial Statement of Debtor form</w:t>
      </w:r>
      <w:r w:rsidR="00627E7A">
        <w:rPr>
          <w:rFonts w:ascii="Arial" w:hAnsi="Arial" w:cs="Arial"/>
          <w:bCs/>
          <w:color w:val="auto"/>
          <w:sz w:val="22"/>
          <w:szCs w:val="22"/>
        </w:rPr>
        <w:t xml:space="preserve"> must be completed</w:t>
      </w:r>
      <w:r w:rsidR="00A431DF">
        <w:rPr>
          <w:rFonts w:ascii="Arial" w:hAnsi="Arial" w:cs="Arial"/>
          <w:bCs/>
          <w:color w:val="auto"/>
          <w:sz w:val="22"/>
          <w:szCs w:val="22"/>
        </w:rPr>
        <w:t xml:space="preserve">. Once the completed form is received with backup documentation, </w:t>
      </w:r>
      <w:r w:rsidR="00627E7A">
        <w:rPr>
          <w:rFonts w:ascii="Arial" w:hAnsi="Arial" w:cs="Arial"/>
          <w:bCs/>
          <w:color w:val="auto"/>
          <w:sz w:val="22"/>
          <w:szCs w:val="22"/>
        </w:rPr>
        <w:t>the financials are</w:t>
      </w:r>
      <w:r w:rsidR="00A431DF">
        <w:rPr>
          <w:rFonts w:ascii="Arial" w:hAnsi="Arial" w:cs="Arial"/>
          <w:bCs/>
          <w:color w:val="auto"/>
          <w:sz w:val="22"/>
          <w:szCs w:val="22"/>
        </w:rPr>
        <w:t xml:space="preserve"> evaluate</w:t>
      </w:r>
      <w:r w:rsidR="00627E7A">
        <w:rPr>
          <w:rFonts w:ascii="Arial" w:hAnsi="Arial" w:cs="Arial"/>
          <w:bCs/>
          <w:color w:val="auto"/>
          <w:sz w:val="22"/>
          <w:szCs w:val="22"/>
        </w:rPr>
        <w:t>d</w:t>
      </w:r>
      <w:r w:rsidR="00A431DF">
        <w:rPr>
          <w:rFonts w:ascii="Arial" w:hAnsi="Arial" w:cs="Arial"/>
          <w:bCs/>
          <w:color w:val="auto"/>
          <w:sz w:val="22"/>
          <w:szCs w:val="22"/>
        </w:rPr>
        <w:t xml:space="preserve"> t</w:t>
      </w:r>
      <w:r w:rsidR="00627E7A">
        <w:rPr>
          <w:rFonts w:ascii="Arial" w:hAnsi="Arial" w:cs="Arial"/>
          <w:bCs/>
          <w:color w:val="auto"/>
          <w:sz w:val="22"/>
          <w:szCs w:val="22"/>
        </w:rPr>
        <w:t xml:space="preserve">o </w:t>
      </w:r>
      <w:r w:rsidR="00A431DF">
        <w:rPr>
          <w:rFonts w:ascii="Arial" w:hAnsi="Arial" w:cs="Arial"/>
          <w:bCs/>
          <w:color w:val="auto"/>
          <w:sz w:val="22"/>
          <w:szCs w:val="22"/>
        </w:rPr>
        <w:t>determine a monthly payment</w:t>
      </w:r>
      <w:r w:rsidR="00627E7A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2422A1" w:rsidRPr="00A431DF" w:rsidP="00432C2B" w14:paraId="400102DF" w14:textId="77777777">
      <w:pPr>
        <w:pStyle w:val="smindent"/>
        <w:tabs>
          <w:tab w:val="left" w:pos="540"/>
        </w:tabs>
        <w:spacing w:before="120" w:beforeAutospacing="0" w:after="120" w:afterAutospacing="0"/>
        <w:ind w:left="540" w:hanging="5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Th</w:t>
      </w:r>
      <w:r w:rsidR="002E6675">
        <w:rPr>
          <w:rFonts w:ascii="Arial" w:hAnsi="Arial" w:cs="Arial"/>
          <w:bCs/>
          <w:color w:val="auto"/>
          <w:sz w:val="22"/>
          <w:szCs w:val="22"/>
        </w:rPr>
        <w:t>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422A1">
        <w:rPr>
          <w:rFonts w:ascii="Arial" w:hAnsi="Arial" w:cs="Arial"/>
          <w:bCs/>
          <w:color w:val="auto"/>
          <w:sz w:val="22"/>
          <w:szCs w:val="22"/>
        </w:rPr>
        <w:t>Request for Recurring Electronic Payments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149C3">
        <w:rPr>
          <w:rFonts w:ascii="Arial" w:hAnsi="Arial" w:cs="Arial"/>
          <w:bCs/>
          <w:color w:val="auto"/>
          <w:sz w:val="22"/>
          <w:szCs w:val="22"/>
        </w:rPr>
        <w:t>must be completed to start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recurring monthly payments. Th</w:t>
      </w:r>
      <w:r w:rsidR="00F149C3">
        <w:rPr>
          <w:rFonts w:ascii="Arial" w:hAnsi="Arial" w:cs="Arial"/>
          <w:bCs/>
          <w:color w:val="auto"/>
          <w:sz w:val="22"/>
          <w:szCs w:val="22"/>
        </w:rPr>
        <w:t>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form is formatted to match the system the information will be put in. This makes entering the information into the system easy and quick.</w:t>
      </w:r>
    </w:p>
    <w:p w:rsidR="00432C2B" w:rsidP="00BC5EF3" w14:paraId="01D7EA66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Consideration Given to Information Technology.</w:t>
      </w:r>
    </w:p>
    <w:p w:rsidR="00935E24" w:rsidRPr="00610773" w:rsidP="00987D0B" w14:paraId="4D0A9FCD" w14:textId="3863E405">
      <w:pPr>
        <w:tabs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8418A">
        <w:rPr>
          <w:rFonts w:ascii="Arial" w:hAnsi="Arial" w:cs="Arial"/>
          <w:color w:val="3366FF"/>
          <w:sz w:val="22"/>
          <w:szCs w:val="22"/>
        </w:rPr>
        <w:tab/>
      </w:r>
      <w:r w:rsidR="00A77A7E">
        <w:rPr>
          <w:rFonts w:ascii="Arial" w:hAnsi="Arial" w:cs="Arial"/>
          <w:sz w:val="22"/>
          <w:szCs w:val="22"/>
        </w:rPr>
        <w:t xml:space="preserve">When unable to repay </w:t>
      </w:r>
      <w:r w:rsidR="00C877DE">
        <w:rPr>
          <w:rFonts w:ascii="Arial" w:hAnsi="Arial" w:cs="Arial"/>
          <w:sz w:val="22"/>
          <w:szCs w:val="22"/>
        </w:rPr>
        <w:t xml:space="preserve">a </w:t>
      </w:r>
      <w:r w:rsidR="00A77A7E">
        <w:rPr>
          <w:rFonts w:ascii="Arial" w:hAnsi="Arial" w:cs="Arial"/>
          <w:sz w:val="22"/>
          <w:szCs w:val="22"/>
        </w:rPr>
        <w:t xml:space="preserve">debt in full, </w:t>
      </w:r>
      <w:r w:rsidR="00C877DE">
        <w:rPr>
          <w:rFonts w:ascii="Arial" w:hAnsi="Arial" w:cs="Arial"/>
          <w:sz w:val="22"/>
          <w:szCs w:val="22"/>
        </w:rPr>
        <w:t>or</w:t>
      </w:r>
      <w:r w:rsidR="00A77A7E">
        <w:rPr>
          <w:rFonts w:ascii="Arial" w:hAnsi="Arial" w:cs="Arial"/>
          <w:sz w:val="22"/>
          <w:szCs w:val="22"/>
        </w:rPr>
        <w:t xml:space="preserve"> afford </w:t>
      </w:r>
      <w:r w:rsidR="00F06268">
        <w:rPr>
          <w:rFonts w:ascii="Arial" w:hAnsi="Arial" w:cs="Arial"/>
          <w:sz w:val="22"/>
          <w:szCs w:val="22"/>
        </w:rPr>
        <w:t xml:space="preserve">the required </w:t>
      </w:r>
      <w:r w:rsidR="00A77A7E">
        <w:rPr>
          <w:rFonts w:ascii="Arial" w:hAnsi="Arial" w:cs="Arial"/>
          <w:sz w:val="22"/>
          <w:szCs w:val="22"/>
        </w:rPr>
        <w:t xml:space="preserve">monthly payments, a financial statement must be completed. The financial statement is </w:t>
      </w:r>
      <w:r w:rsidR="00C877DE">
        <w:rPr>
          <w:rFonts w:ascii="Arial" w:hAnsi="Arial" w:cs="Arial"/>
          <w:sz w:val="22"/>
          <w:szCs w:val="22"/>
        </w:rPr>
        <w:t>sent via</w:t>
      </w:r>
      <w:r w:rsidR="00A77A7E">
        <w:rPr>
          <w:rFonts w:ascii="Arial" w:hAnsi="Arial" w:cs="Arial"/>
          <w:sz w:val="22"/>
          <w:szCs w:val="22"/>
        </w:rPr>
        <w:t xml:space="preserve"> email.</w:t>
      </w:r>
      <w:r w:rsidR="00C877DE">
        <w:rPr>
          <w:rFonts w:ascii="Arial" w:hAnsi="Arial" w:cs="Arial"/>
          <w:sz w:val="22"/>
          <w:szCs w:val="22"/>
        </w:rPr>
        <w:t xml:space="preserve"> If unable to send via email, the f</w:t>
      </w:r>
      <w:r w:rsidR="00BF1E31">
        <w:rPr>
          <w:rFonts w:ascii="Arial" w:hAnsi="Arial" w:cs="Arial"/>
          <w:sz w:val="22"/>
          <w:szCs w:val="22"/>
        </w:rPr>
        <w:t>or</w:t>
      </w:r>
      <w:r w:rsidR="00C877DE">
        <w:rPr>
          <w:rFonts w:ascii="Arial" w:hAnsi="Arial" w:cs="Arial"/>
          <w:sz w:val="22"/>
          <w:szCs w:val="22"/>
        </w:rPr>
        <w:t xml:space="preserve">m will be </w:t>
      </w:r>
      <w:r w:rsidRPr="00935E24">
        <w:rPr>
          <w:rFonts w:ascii="Arial" w:hAnsi="Arial" w:cs="Arial"/>
          <w:sz w:val="22"/>
          <w:szCs w:val="22"/>
        </w:rPr>
        <w:t>mailed by Federal Reserve Bank, Minneapolis</w:t>
      </w:r>
      <w:r>
        <w:rPr>
          <w:rFonts w:ascii="Arial" w:hAnsi="Arial" w:cs="Arial"/>
          <w:sz w:val="22"/>
          <w:szCs w:val="22"/>
        </w:rPr>
        <w:t>.</w:t>
      </w:r>
    </w:p>
    <w:p w:rsidR="00432C2B" w:rsidP="00432C2B" w14:paraId="2BA14F9E" w14:textId="77777777">
      <w:pPr>
        <w:numPr>
          <w:ilvl w:val="0"/>
          <w:numId w:val="10"/>
        </w:numPr>
        <w:tabs>
          <w:tab w:val="clear" w:pos="360"/>
          <w:tab w:val="num" w:pos="540"/>
        </w:tabs>
        <w:spacing w:before="120" w:after="120"/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Duplication of Information.</w:t>
      </w:r>
    </w:p>
    <w:p w:rsidR="00890057" w:rsidP="00987D0B" w14:paraId="514296C0" w14:textId="7FEDDD4E">
      <w:pPr>
        <w:tabs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10773" w:rsidR="004C0BA6">
        <w:rPr>
          <w:rFonts w:ascii="Arial" w:hAnsi="Arial" w:cs="Arial"/>
          <w:sz w:val="22"/>
          <w:szCs w:val="22"/>
        </w:rPr>
        <w:t xml:space="preserve">The information requested is used to verify the need for an </w:t>
      </w:r>
      <w:r w:rsidRPr="00610773" w:rsidR="004C0BA6">
        <w:rPr>
          <w:rFonts w:ascii="Arial" w:hAnsi="Arial" w:cs="Arial"/>
          <w:sz w:val="22"/>
          <w:szCs w:val="22"/>
        </w:rPr>
        <w:t>installment</w:t>
      </w:r>
      <w:r w:rsidRPr="00610773" w:rsidR="004C0BA6">
        <w:rPr>
          <w:rFonts w:ascii="Arial" w:hAnsi="Arial" w:cs="Arial"/>
          <w:sz w:val="22"/>
          <w:szCs w:val="22"/>
        </w:rPr>
        <w:t xml:space="preserve"> plan that is due to a financial hardship</w:t>
      </w:r>
      <w:r w:rsidR="004C0BA6">
        <w:rPr>
          <w:rFonts w:ascii="Arial" w:hAnsi="Arial" w:cs="Arial"/>
          <w:sz w:val="22"/>
          <w:szCs w:val="22"/>
        </w:rPr>
        <w:t xml:space="preserve">. </w:t>
      </w:r>
      <w:r w:rsidRPr="00610773" w:rsidR="004C0BA6">
        <w:rPr>
          <w:rFonts w:ascii="Arial" w:hAnsi="Arial" w:cs="Arial"/>
          <w:sz w:val="22"/>
          <w:szCs w:val="22"/>
        </w:rPr>
        <w:t>Th</w:t>
      </w:r>
      <w:r w:rsidR="00594F54">
        <w:rPr>
          <w:rFonts w:ascii="Arial" w:hAnsi="Arial" w:cs="Arial"/>
          <w:sz w:val="22"/>
          <w:szCs w:val="22"/>
        </w:rPr>
        <w:t>e form provides a status of complete financial history. Th</w:t>
      </w:r>
      <w:r w:rsidRPr="00610773" w:rsidR="004C0BA6">
        <w:rPr>
          <w:rFonts w:ascii="Arial" w:hAnsi="Arial" w:cs="Arial"/>
          <w:sz w:val="22"/>
          <w:szCs w:val="22"/>
        </w:rPr>
        <w:t xml:space="preserve">e information collected </w:t>
      </w:r>
      <w:r w:rsidR="005173DB">
        <w:rPr>
          <w:rFonts w:ascii="Arial" w:hAnsi="Arial" w:cs="Arial"/>
          <w:sz w:val="22"/>
          <w:szCs w:val="22"/>
        </w:rPr>
        <w:t xml:space="preserve">is </w:t>
      </w:r>
      <w:r w:rsidR="00F5649C">
        <w:rPr>
          <w:rFonts w:ascii="Arial" w:hAnsi="Arial" w:cs="Arial"/>
          <w:sz w:val="22"/>
          <w:szCs w:val="22"/>
        </w:rPr>
        <w:t>un</w:t>
      </w:r>
      <w:r w:rsidRPr="00610773" w:rsidR="004C0BA6">
        <w:rPr>
          <w:rFonts w:ascii="Arial" w:hAnsi="Arial" w:cs="Arial"/>
          <w:sz w:val="22"/>
          <w:szCs w:val="22"/>
        </w:rPr>
        <w:t>available from other sources.</w:t>
      </w:r>
      <w:r w:rsidRPr="004C0BA6" w:rsidR="004C0BA6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432C2B" w:rsidP="00432C2B" w14:paraId="029E34F9" w14:textId="77777777">
      <w:pPr>
        <w:numPr>
          <w:ilvl w:val="0"/>
          <w:numId w:val="10"/>
        </w:numPr>
        <w:tabs>
          <w:tab w:val="left" w:pos="540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Reducing the Burden on Small Enti</w:t>
      </w:r>
      <w:r>
        <w:rPr>
          <w:rFonts w:ascii="Arial" w:hAnsi="Arial" w:cs="Arial"/>
          <w:b/>
          <w:bCs/>
          <w:sz w:val="22"/>
          <w:szCs w:val="22"/>
        </w:rPr>
        <w:t xml:space="preserve">ties. </w:t>
      </w:r>
    </w:p>
    <w:p w:rsidR="00890057" w:rsidRPr="00676DB7" w:rsidP="00676DB7" w14:paraId="66D89DCE" w14:textId="07B8C807">
      <w:pPr>
        <w:tabs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ab/>
      </w:r>
      <w:r w:rsidR="004B7F6A">
        <w:rPr>
          <w:rFonts w:ascii="Arial" w:hAnsi="Arial" w:cs="Arial"/>
          <w:sz w:val="22"/>
          <w:szCs w:val="22"/>
        </w:rPr>
        <w:t>C</w:t>
      </w:r>
      <w:r w:rsidRPr="00610773" w:rsidR="00D536AB">
        <w:rPr>
          <w:rFonts w:ascii="Arial" w:hAnsi="Arial" w:cs="Arial"/>
          <w:sz w:val="22"/>
          <w:szCs w:val="22"/>
        </w:rPr>
        <w:t>ollection of information does not impact small business or other small entities.</w:t>
      </w:r>
    </w:p>
    <w:p w:rsidR="00BC550A" w:rsidP="00610773" w14:paraId="3E26CC64" w14:textId="10FBAE8A">
      <w:pPr>
        <w:numPr>
          <w:ilvl w:val="0"/>
          <w:numId w:val="10"/>
        </w:numPr>
        <w:tabs>
          <w:tab w:val="left" w:pos="540"/>
        </w:tabs>
        <w:spacing w:before="120" w:after="120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Consequences of Not Conducting Collection.</w:t>
      </w:r>
    </w:p>
    <w:p w:rsidR="00E91296" w:rsidP="00BC5EF3" w14:paraId="717BEC65" w14:textId="773386F5">
      <w:pPr>
        <w:spacing w:before="120" w:after="120"/>
        <w:ind w:left="540"/>
        <w:rPr>
          <w:rFonts w:ascii="Arial" w:hAnsi="Arial" w:cs="Arial"/>
          <w:sz w:val="22"/>
          <w:szCs w:val="22"/>
        </w:rPr>
      </w:pPr>
      <w:r w:rsidRPr="00E91296">
        <w:rPr>
          <w:rFonts w:ascii="Arial" w:hAnsi="Arial" w:cs="Arial"/>
          <w:sz w:val="22"/>
          <w:szCs w:val="22"/>
        </w:rPr>
        <w:t xml:space="preserve">Information requested on the </w:t>
      </w:r>
      <w:r w:rsidR="00D536AB">
        <w:rPr>
          <w:rFonts w:ascii="Arial" w:hAnsi="Arial" w:cs="Arial"/>
          <w:sz w:val="22"/>
          <w:szCs w:val="22"/>
        </w:rPr>
        <w:t>Financial Statement of Debtor form</w:t>
      </w:r>
      <w:r w:rsidRPr="00E91296">
        <w:rPr>
          <w:rFonts w:ascii="Arial" w:hAnsi="Arial" w:cs="Arial"/>
          <w:sz w:val="22"/>
          <w:szCs w:val="22"/>
        </w:rPr>
        <w:t xml:space="preserve"> is voluntary</w:t>
      </w:r>
      <w:r w:rsidR="00CC70A8">
        <w:rPr>
          <w:rFonts w:ascii="Arial" w:hAnsi="Arial" w:cs="Arial"/>
          <w:sz w:val="22"/>
          <w:szCs w:val="22"/>
        </w:rPr>
        <w:t>. T</w:t>
      </w:r>
      <w:r w:rsidRPr="00E91296">
        <w:rPr>
          <w:rFonts w:ascii="Arial" w:hAnsi="Arial" w:cs="Arial"/>
          <w:sz w:val="22"/>
          <w:szCs w:val="22"/>
        </w:rPr>
        <w:t xml:space="preserve">he Bureau of the Fiscal Service </w:t>
      </w:r>
      <w:r>
        <w:rPr>
          <w:rFonts w:ascii="Arial" w:hAnsi="Arial" w:cs="Arial"/>
          <w:sz w:val="22"/>
          <w:szCs w:val="22"/>
        </w:rPr>
        <w:t>would not be able to evaluate</w:t>
      </w:r>
      <w:r w:rsidR="00CC7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financial ability to repay the</w:t>
      </w:r>
      <w:r w:rsidR="00CC7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debt</w:t>
      </w:r>
      <w:r w:rsidR="005173DB">
        <w:rPr>
          <w:rFonts w:ascii="Arial" w:hAnsi="Arial" w:cs="Arial"/>
          <w:sz w:val="22"/>
          <w:szCs w:val="22"/>
        </w:rPr>
        <w:t xml:space="preserve"> without the </w:t>
      </w:r>
      <w:r w:rsidR="005173DB">
        <w:rPr>
          <w:rFonts w:ascii="Arial" w:hAnsi="Arial" w:cs="Arial"/>
          <w:sz w:val="22"/>
          <w:szCs w:val="22"/>
        </w:rPr>
        <w:t>completed</w:t>
      </w:r>
      <w:r w:rsidR="005173DB">
        <w:rPr>
          <w:rFonts w:ascii="Arial" w:hAnsi="Arial" w:cs="Arial"/>
          <w:sz w:val="22"/>
          <w:szCs w:val="22"/>
        </w:rPr>
        <w:t xml:space="preserve"> form</w:t>
      </w:r>
      <w:r>
        <w:rPr>
          <w:rFonts w:ascii="Arial" w:hAnsi="Arial" w:cs="Arial"/>
          <w:sz w:val="22"/>
          <w:szCs w:val="22"/>
        </w:rPr>
        <w:t>.</w:t>
      </w:r>
    </w:p>
    <w:p w:rsidR="00D536AB" w:rsidP="00BC5EF3" w14:paraId="3A28D740" w14:textId="1BCC060A">
      <w:pPr>
        <w:spacing w:before="120" w:after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collected on the Recurring Electronic Payment form is voluntary and sent upon request.</w:t>
      </w:r>
    </w:p>
    <w:p w:rsidR="00432C2B" w:rsidP="00432C2B" w14:paraId="024A4EB4" w14:textId="77777777">
      <w:pPr>
        <w:numPr>
          <w:ilvl w:val="0"/>
          <w:numId w:val="10"/>
        </w:numPr>
        <w:tabs>
          <w:tab w:val="clear" w:pos="360"/>
          <w:tab w:val="num" w:pos="54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Special </w:t>
      </w:r>
      <w:r>
        <w:rPr>
          <w:rFonts w:ascii="Arial" w:hAnsi="Arial" w:cs="Arial"/>
          <w:b/>
          <w:bCs/>
          <w:sz w:val="22"/>
          <w:szCs w:val="22"/>
        </w:rPr>
        <w:t>Circumstances.</w:t>
      </w:r>
    </w:p>
    <w:p w:rsidR="003D1ABD" w:rsidRPr="00BC550A" w:rsidP="00610773" w14:paraId="1E2DC7F3" w14:textId="306115D6">
      <w:pPr>
        <w:tabs>
          <w:tab w:val="num" w:pos="540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3366CC"/>
          <w:sz w:val="22"/>
          <w:szCs w:val="22"/>
        </w:rPr>
        <w:tab/>
      </w:r>
      <w:r w:rsidRPr="00BC550A">
        <w:rPr>
          <w:rFonts w:ascii="Arial" w:hAnsi="Arial" w:cs="Arial"/>
          <w:sz w:val="22"/>
          <w:szCs w:val="22"/>
        </w:rPr>
        <w:t>There are no special circumstances.  The collection of information is conducted in a manner consistent with the guidelines in 5 CFR 1320.6.</w:t>
      </w:r>
    </w:p>
    <w:p w:rsidR="00432C2B" w:rsidP="00F8418A" w14:paraId="5D5C70EB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Consultations with Persons Outside the Agency.</w:t>
      </w:r>
    </w:p>
    <w:p w:rsidR="002D277C" w:rsidRPr="00610773" w:rsidP="00610773" w14:paraId="6A072E7C" w14:textId="563329AD">
      <w:pPr>
        <w:tabs>
          <w:tab w:val="left" w:pos="540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3366CC"/>
          <w:sz w:val="22"/>
          <w:szCs w:val="22"/>
        </w:rPr>
        <w:tab/>
      </w:r>
      <w:r w:rsidRPr="000C27AC" w:rsidR="000C27AC">
        <w:rPr>
          <w:rFonts w:ascii="Arial" w:hAnsi="Arial" w:cs="Arial"/>
          <w:sz w:val="22"/>
          <w:szCs w:val="22"/>
        </w:rPr>
        <w:t xml:space="preserve">The Bureau’s notice was published in the </w:t>
      </w:r>
      <w:r w:rsidRPr="00CF205A" w:rsidR="000C27AC">
        <w:rPr>
          <w:rFonts w:ascii="Arial" w:hAnsi="Arial" w:cs="Arial"/>
          <w:i/>
          <w:iCs/>
          <w:sz w:val="22"/>
          <w:szCs w:val="22"/>
        </w:rPr>
        <w:t>Federal Register</w:t>
      </w:r>
      <w:r w:rsidRPr="000C27AC" w:rsidR="000C27AC">
        <w:rPr>
          <w:rFonts w:ascii="Arial" w:hAnsi="Arial" w:cs="Arial"/>
          <w:sz w:val="22"/>
          <w:szCs w:val="22"/>
        </w:rPr>
        <w:t xml:space="preserve"> on </w:t>
      </w:r>
      <w:r w:rsidR="00C05AB3">
        <w:rPr>
          <w:rFonts w:ascii="Arial" w:hAnsi="Arial" w:cs="Arial"/>
          <w:sz w:val="22"/>
          <w:szCs w:val="22"/>
        </w:rPr>
        <w:t>October</w:t>
      </w:r>
      <w:r w:rsidR="000C27AC">
        <w:rPr>
          <w:rFonts w:ascii="Arial" w:hAnsi="Arial" w:cs="Arial"/>
          <w:sz w:val="22"/>
          <w:szCs w:val="22"/>
        </w:rPr>
        <w:t xml:space="preserve"> 1, 202</w:t>
      </w:r>
      <w:r w:rsidR="00C05AB3">
        <w:rPr>
          <w:rFonts w:ascii="Arial" w:hAnsi="Arial" w:cs="Arial"/>
          <w:sz w:val="22"/>
          <w:szCs w:val="22"/>
        </w:rPr>
        <w:t>5</w:t>
      </w:r>
      <w:r w:rsidRPr="000C27AC" w:rsidR="000C27AC">
        <w:rPr>
          <w:rFonts w:ascii="Arial" w:hAnsi="Arial" w:cs="Arial"/>
          <w:sz w:val="22"/>
          <w:szCs w:val="22"/>
        </w:rPr>
        <w:t xml:space="preserve">, Volume </w:t>
      </w:r>
      <w:r w:rsidR="00C05AB3">
        <w:rPr>
          <w:rFonts w:ascii="Arial" w:hAnsi="Arial" w:cs="Arial"/>
          <w:sz w:val="22"/>
          <w:szCs w:val="22"/>
        </w:rPr>
        <w:t>90</w:t>
      </w:r>
      <w:r w:rsidRPr="000C27AC" w:rsidR="000C27AC">
        <w:rPr>
          <w:rFonts w:ascii="Arial" w:hAnsi="Arial" w:cs="Arial"/>
          <w:sz w:val="22"/>
          <w:szCs w:val="22"/>
        </w:rPr>
        <w:t xml:space="preserve">, Page </w:t>
      </w:r>
      <w:r w:rsidR="00C05AB3">
        <w:rPr>
          <w:rFonts w:ascii="Arial" w:hAnsi="Arial" w:cs="Arial"/>
          <w:sz w:val="22"/>
          <w:szCs w:val="22"/>
        </w:rPr>
        <w:t>47500</w:t>
      </w:r>
      <w:r w:rsidRPr="000C27AC" w:rsidR="000C27AC">
        <w:rPr>
          <w:rFonts w:ascii="Arial" w:hAnsi="Arial" w:cs="Arial"/>
          <w:sz w:val="22"/>
          <w:szCs w:val="22"/>
        </w:rPr>
        <w:t xml:space="preserve">.  </w:t>
      </w:r>
      <w:r w:rsidRPr="00610773" w:rsidR="00417550">
        <w:rPr>
          <w:rFonts w:ascii="Arial" w:hAnsi="Arial" w:cs="Arial"/>
          <w:sz w:val="22"/>
          <w:szCs w:val="22"/>
        </w:rPr>
        <w:t xml:space="preserve">There were no comments received </w:t>
      </w:r>
      <w:r w:rsidR="000C3459">
        <w:rPr>
          <w:rFonts w:ascii="Arial" w:hAnsi="Arial" w:cs="Arial"/>
          <w:sz w:val="22"/>
          <w:szCs w:val="22"/>
        </w:rPr>
        <w:t>from</w:t>
      </w:r>
      <w:r w:rsidRPr="00610773" w:rsidR="00417550">
        <w:rPr>
          <w:rFonts w:ascii="Arial" w:hAnsi="Arial" w:cs="Arial"/>
          <w:sz w:val="22"/>
          <w:szCs w:val="22"/>
        </w:rPr>
        <w:t xml:space="preserve"> this notice. </w:t>
      </w:r>
    </w:p>
    <w:p w:rsidR="00432C2B" w:rsidP="00432C2B" w14:paraId="308F287C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Payment or Gift.</w:t>
      </w:r>
    </w:p>
    <w:p w:rsidR="00890057" w:rsidRPr="00B54C0E" w:rsidP="00B54C0E" w14:paraId="473255D7" w14:textId="24741B46">
      <w:pPr>
        <w:tabs>
          <w:tab w:val="left" w:pos="540"/>
        </w:tabs>
        <w:spacing w:before="120" w:after="120"/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3366CC"/>
          <w:sz w:val="22"/>
          <w:szCs w:val="22"/>
        </w:rPr>
        <w:tab/>
      </w:r>
      <w:r w:rsidRPr="00B54C0E" w:rsidR="00B54C0E">
        <w:rPr>
          <w:rFonts w:ascii="Arial" w:hAnsi="Arial" w:cs="Arial"/>
          <w:sz w:val="22"/>
          <w:szCs w:val="22"/>
        </w:rPr>
        <w:t>There are no payments or gifts made to respondents.</w:t>
      </w:r>
    </w:p>
    <w:p w:rsidR="00432C2B" w:rsidP="00432C2B" w14:paraId="7114029A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Confidentiality.</w:t>
      </w:r>
    </w:p>
    <w:p w:rsidR="00890057" w:rsidRPr="00B54C0E" w:rsidP="00B54C0E" w14:paraId="68246493" w14:textId="336235AB">
      <w:pPr>
        <w:tabs>
          <w:tab w:val="left" w:pos="54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54C0E" w:rsidR="00B54C0E">
        <w:rPr>
          <w:rFonts w:ascii="Arial" w:hAnsi="Arial" w:cs="Arial"/>
          <w:sz w:val="22"/>
          <w:szCs w:val="22"/>
        </w:rPr>
        <w:t>Aside from protections contained in the Privacy Act, there is no guarantee of confidentiality.</w:t>
      </w:r>
    </w:p>
    <w:p w:rsidR="00432C2B" w:rsidP="00432C2B" w14:paraId="57334247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Questions of </w:t>
      </w:r>
      <w:r>
        <w:rPr>
          <w:rFonts w:ascii="Arial" w:hAnsi="Arial" w:cs="Arial"/>
          <w:b/>
          <w:bCs/>
          <w:sz w:val="22"/>
          <w:szCs w:val="22"/>
        </w:rPr>
        <w:t>a Sensitive</w:t>
      </w:r>
      <w:r>
        <w:rPr>
          <w:rFonts w:ascii="Arial" w:hAnsi="Arial" w:cs="Arial"/>
          <w:b/>
          <w:bCs/>
          <w:sz w:val="22"/>
          <w:szCs w:val="22"/>
        </w:rPr>
        <w:t xml:space="preserve"> Nature.</w:t>
      </w:r>
    </w:p>
    <w:p w:rsidR="001E2556" w:rsidRPr="00E5390E" w:rsidP="00610773" w14:paraId="13BE3918" w14:textId="1A70C7FF">
      <w:pPr>
        <w:tabs>
          <w:tab w:val="left" w:pos="540"/>
        </w:tabs>
        <w:spacing w:before="120" w:after="120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3366CC"/>
          <w:sz w:val="22"/>
          <w:szCs w:val="22"/>
        </w:rPr>
        <w:tab/>
      </w:r>
      <w:r w:rsidRPr="00E5390E" w:rsidR="00E5390E">
        <w:rPr>
          <w:rFonts w:ascii="Arial" w:hAnsi="Arial" w:cs="Arial"/>
          <w:bCs/>
          <w:sz w:val="22"/>
          <w:szCs w:val="22"/>
        </w:rPr>
        <w:t>There are no questions of a sensitive nature. Personally identifiable information</w:t>
      </w:r>
      <w:r w:rsidR="000C3459">
        <w:rPr>
          <w:rFonts w:ascii="Arial" w:hAnsi="Arial" w:cs="Arial"/>
          <w:bCs/>
          <w:sz w:val="22"/>
          <w:szCs w:val="22"/>
        </w:rPr>
        <w:t xml:space="preserve"> </w:t>
      </w:r>
      <w:r w:rsidRPr="00E5390E" w:rsidR="00E5390E">
        <w:rPr>
          <w:rFonts w:ascii="Arial" w:hAnsi="Arial" w:cs="Arial"/>
          <w:bCs/>
          <w:sz w:val="22"/>
          <w:szCs w:val="22"/>
        </w:rPr>
        <w:t xml:space="preserve">(PII) collected on this form such as name and social security number </w:t>
      </w:r>
      <w:r w:rsidR="000C3459">
        <w:rPr>
          <w:rFonts w:ascii="Arial" w:hAnsi="Arial" w:cs="Arial"/>
          <w:bCs/>
          <w:sz w:val="22"/>
          <w:szCs w:val="22"/>
        </w:rPr>
        <w:t>are</w:t>
      </w:r>
      <w:r w:rsidR="00FC34AC">
        <w:rPr>
          <w:rFonts w:ascii="Arial" w:hAnsi="Arial" w:cs="Arial"/>
          <w:bCs/>
          <w:sz w:val="22"/>
          <w:szCs w:val="22"/>
        </w:rPr>
        <w:t xml:space="preserve"> for verification of the debtor</w:t>
      </w:r>
      <w:r w:rsidR="00E5390E">
        <w:rPr>
          <w:rFonts w:ascii="Arial" w:hAnsi="Arial" w:cs="Arial"/>
          <w:bCs/>
          <w:sz w:val="22"/>
          <w:szCs w:val="22"/>
        </w:rPr>
        <w:t>.</w:t>
      </w:r>
    </w:p>
    <w:p w:rsidR="00C37CD8" w:rsidRPr="00432C2B" w:rsidP="00610773" w14:paraId="66D1D684" w14:textId="2FDD6B64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bCs/>
          <w:color w:val="3366CC"/>
          <w:sz w:val="22"/>
          <w:szCs w:val="22"/>
        </w:rPr>
      </w:pPr>
      <w:r w:rsidRPr="00432C2B">
        <w:rPr>
          <w:rFonts w:ascii="Arial" w:hAnsi="Arial" w:cs="Arial"/>
          <w:b/>
          <w:color w:val="000000"/>
          <w:sz w:val="22"/>
          <w:szCs w:val="22"/>
        </w:rPr>
        <w:t>Burden of Information Collection.</w:t>
      </w:r>
    </w:p>
    <w:tbl>
      <w:tblPr>
        <w:tblW w:w="8550" w:type="dxa"/>
        <w:tblInd w:w="7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70"/>
        <w:gridCol w:w="1530"/>
        <w:gridCol w:w="1334"/>
        <w:gridCol w:w="1182"/>
        <w:gridCol w:w="1116"/>
        <w:gridCol w:w="1318"/>
      </w:tblGrid>
      <w:tr w14:paraId="31B1746F" w14:textId="77777777" w:rsidTr="00610773">
        <w:tblPrEx>
          <w:tblW w:w="8550" w:type="dxa"/>
          <w:tblInd w:w="7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86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1B1F6FFB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703007">
              <w:rPr>
                <w:b/>
                <w:bCs/>
                <w:kern w:val="36"/>
                <w:sz w:val="22"/>
                <w:szCs w:val="22"/>
              </w:rPr>
              <w:t>Form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2017A47C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703007">
              <w:rPr>
                <w:b/>
                <w:bCs/>
                <w:kern w:val="36"/>
                <w:sz w:val="22"/>
                <w:szCs w:val="22"/>
              </w:rPr>
              <w:t>Number of Respondents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460DFAA5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703007">
              <w:rPr>
                <w:b/>
                <w:bCs/>
                <w:kern w:val="36"/>
                <w:sz w:val="22"/>
                <w:szCs w:val="22"/>
              </w:rPr>
              <w:t>Responses per Respondent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21555E5D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703007">
              <w:rPr>
                <w:b/>
                <w:bCs/>
                <w:kern w:val="36"/>
                <w:sz w:val="22"/>
                <w:szCs w:val="22"/>
              </w:rPr>
              <w:t>Annual Responses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6311E821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703007">
              <w:rPr>
                <w:b/>
                <w:bCs/>
                <w:kern w:val="36"/>
                <w:sz w:val="22"/>
                <w:szCs w:val="22"/>
              </w:rPr>
              <w:t>Time per Response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41032BBB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703007">
              <w:rPr>
                <w:b/>
                <w:bCs/>
                <w:kern w:val="36"/>
                <w:sz w:val="22"/>
                <w:szCs w:val="22"/>
              </w:rPr>
              <w:t>Total Burden Hours</w:t>
            </w:r>
          </w:p>
        </w:tc>
      </w:tr>
      <w:tr w14:paraId="2B639229" w14:textId="77777777" w:rsidTr="00610773">
        <w:tblPrEx>
          <w:tblW w:w="8550" w:type="dxa"/>
          <w:tblInd w:w="7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610773" w14:paraId="7FCC9572" w14:textId="6145EC3A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22"/>
                <w:szCs w:val="22"/>
              </w:rPr>
            </w:pPr>
            <w:r w:rsidRPr="00CC071C">
              <w:rPr>
                <w:rFonts w:eastAsia="Calibri"/>
                <w:sz w:val="22"/>
                <w:szCs w:val="22"/>
              </w:rPr>
              <w:t xml:space="preserve">FS Form </w:t>
            </w:r>
            <w:r w:rsidRPr="00CC071C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 xml:space="preserve">2: </w:t>
            </w:r>
            <w:r w:rsidRPr="00703007">
              <w:rPr>
                <w:rFonts w:eastAsia="Calibri"/>
                <w:sz w:val="22"/>
                <w:szCs w:val="22"/>
              </w:rPr>
              <w:t>Request for Recurring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03007">
              <w:rPr>
                <w:rFonts w:eastAsia="Calibri"/>
                <w:sz w:val="22"/>
                <w:szCs w:val="22"/>
              </w:rPr>
              <w:t>Electronic Payments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668E2F6C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77BE298F" w14:textId="77777777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554D3F4B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0F821344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0.25</w:t>
            </w:r>
          </w:p>
          <w:p w:rsidR="00703007" w:rsidRPr="00703007" w:rsidP="00703007" w14:paraId="0C29C437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(15 minutes)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39592169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1.25</w:t>
            </w:r>
          </w:p>
        </w:tc>
      </w:tr>
      <w:tr w14:paraId="4D52B4E0" w14:textId="77777777" w:rsidTr="00610773">
        <w:tblPrEx>
          <w:tblW w:w="8550" w:type="dxa"/>
          <w:tblInd w:w="7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610773" w14:paraId="25EB00A5" w14:textId="754037BC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22"/>
                <w:szCs w:val="22"/>
              </w:rPr>
            </w:pPr>
            <w:r w:rsidRPr="00CC071C">
              <w:rPr>
                <w:rFonts w:eastAsia="Calibri"/>
                <w:sz w:val="22"/>
                <w:szCs w:val="22"/>
              </w:rPr>
              <w:t xml:space="preserve">FS Form </w:t>
            </w:r>
            <w:r w:rsidRPr="00CC071C">
              <w:rPr>
                <w:rFonts w:eastAsia="Calibri"/>
                <w:sz w:val="22"/>
                <w:szCs w:val="22"/>
              </w:rPr>
              <w:t>123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Pr="00703007">
              <w:rPr>
                <w:rFonts w:eastAsia="Calibri"/>
                <w:sz w:val="22"/>
                <w:szCs w:val="22"/>
              </w:rPr>
              <w:t>Financial Statement of Debtor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438473F0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4B60884B" w14:textId="77777777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5159715F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6F5F3854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0.75</w:t>
            </w:r>
          </w:p>
          <w:p w:rsidR="00703007" w:rsidRPr="00703007" w:rsidP="00703007" w14:paraId="3300E128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sz w:val="22"/>
                <w:szCs w:val="22"/>
              </w:rPr>
              <w:t>(45 minutes)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43CA9213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</w:tr>
      <w:tr w14:paraId="40D6AE45" w14:textId="77777777" w:rsidTr="00610773">
        <w:tblPrEx>
          <w:tblW w:w="8550" w:type="dxa"/>
          <w:tblInd w:w="738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78F1C445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6E039588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1A8C7606" w14:textId="77777777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19988226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0AC5A79A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0300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60 minutes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007" w:rsidRPr="00703007" w:rsidP="00703007" w14:paraId="5BBB7079" w14:textId="77777777">
            <w:pPr>
              <w:widowControl/>
              <w:autoSpaceDE/>
              <w:autoSpaceDN/>
              <w:adjustRightInd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16.25</w:t>
            </w:r>
          </w:p>
        </w:tc>
      </w:tr>
    </w:tbl>
    <w:p w:rsidR="00890057" w:rsidP="00610773" w14:paraId="1B7EB271" w14:textId="1384C2AA">
      <w:pPr>
        <w:tabs>
          <w:tab w:val="left" w:pos="900"/>
        </w:tabs>
        <w:jc w:val="both"/>
        <w:rPr>
          <w:rFonts w:ascii="Arial" w:hAnsi="Arial" w:cs="Arial"/>
          <w:bCs/>
          <w:color w:val="3366CC"/>
          <w:sz w:val="22"/>
          <w:szCs w:val="22"/>
        </w:rPr>
      </w:pPr>
    </w:p>
    <w:tbl>
      <w:tblPr>
        <w:tblW w:w="9327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3"/>
        <w:gridCol w:w="1170"/>
        <w:gridCol w:w="1455"/>
        <w:gridCol w:w="1777"/>
        <w:gridCol w:w="1155"/>
        <w:gridCol w:w="1066"/>
        <w:gridCol w:w="1421"/>
      </w:tblGrid>
      <w:tr w14:paraId="23197F1E" w14:textId="77777777" w:rsidTr="006763D3">
        <w:tblPrEx>
          <w:tblW w:w="9327" w:type="dxa"/>
          <w:tblInd w:w="6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890"/>
        </w:trPr>
        <w:tc>
          <w:tcPr>
            <w:tcW w:w="1283" w:type="dxa"/>
            <w:vAlign w:val="bottom"/>
          </w:tcPr>
          <w:p w:rsidR="00BA39FF" w:rsidRPr="00610773" w:rsidP="00610773" w14:paraId="66904D46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>Form</w:t>
            </w:r>
          </w:p>
        </w:tc>
        <w:tc>
          <w:tcPr>
            <w:tcW w:w="1170" w:type="dxa"/>
            <w:vAlign w:val="bottom"/>
          </w:tcPr>
          <w:p w:rsidR="00BA39FF" w:rsidRPr="00610773" w:rsidP="00610773" w14:paraId="48F1676C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>No. of Respondents</w:t>
            </w:r>
          </w:p>
        </w:tc>
        <w:tc>
          <w:tcPr>
            <w:tcW w:w="1455" w:type="dxa"/>
            <w:vAlign w:val="bottom"/>
          </w:tcPr>
          <w:p w:rsidR="00BA39FF" w:rsidRPr="00610773" w:rsidP="00610773" w14:paraId="701970C6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>Number of Responses per Respondent</w:t>
            </w:r>
          </w:p>
        </w:tc>
        <w:tc>
          <w:tcPr>
            <w:tcW w:w="1777" w:type="dxa"/>
            <w:vAlign w:val="bottom"/>
          </w:tcPr>
          <w:p w:rsidR="00BA39FF" w:rsidRPr="00610773" w:rsidP="00610773" w14:paraId="1B085444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>Average Burden per Response (in hours)</w:t>
            </w:r>
          </w:p>
        </w:tc>
        <w:tc>
          <w:tcPr>
            <w:tcW w:w="1155" w:type="dxa"/>
            <w:vAlign w:val="bottom"/>
          </w:tcPr>
          <w:p w:rsidR="00BA39FF" w:rsidRPr="00610773" w:rsidP="00610773" w14:paraId="299583C1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 xml:space="preserve">Total Annual Burden </w:t>
            </w:r>
            <w:r w:rsidRPr="00610773">
              <w:rPr>
                <w:b/>
                <w:bCs/>
                <w:kern w:val="36"/>
                <w:sz w:val="22"/>
                <w:szCs w:val="22"/>
              </w:rPr>
              <w:t>(in hours)</w:t>
            </w:r>
          </w:p>
        </w:tc>
        <w:tc>
          <w:tcPr>
            <w:tcW w:w="1066" w:type="dxa"/>
            <w:vAlign w:val="bottom"/>
          </w:tcPr>
          <w:p w:rsidR="00BA39FF" w:rsidRPr="00610773" w:rsidP="00610773" w14:paraId="67EC4ECA" w14:textId="7F58F00E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>Average Hourly Wage Rate</w:t>
            </w:r>
            <w:r>
              <w:rPr>
                <w:rStyle w:val="FootnoteReference"/>
                <w:b/>
                <w:bCs/>
                <w:kern w:val="36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421" w:type="dxa"/>
            <w:vAlign w:val="bottom"/>
          </w:tcPr>
          <w:p w:rsidR="00BA39FF" w:rsidRPr="00610773" w:rsidP="00610773" w14:paraId="6F9786C1" w14:textId="77777777">
            <w:pPr>
              <w:keepNext/>
              <w:widowControl/>
              <w:autoSpaceDE/>
              <w:autoSpaceDN/>
              <w:adjustRightInd/>
              <w:spacing w:before="240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610773">
              <w:rPr>
                <w:b/>
                <w:bCs/>
                <w:kern w:val="36"/>
                <w:sz w:val="22"/>
                <w:szCs w:val="22"/>
              </w:rPr>
              <w:t>Total Annual Respondent Cost</w:t>
            </w:r>
          </w:p>
        </w:tc>
      </w:tr>
      <w:tr w14:paraId="04CE1080" w14:textId="77777777" w:rsidTr="00610773">
        <w:tblPrEx>
          <w:tblW w:w="9327" w:type="dxa"/>
          <w:tblInd w:w="625" w:type="dxa"/>
          <w:tblLayout w:type="fixed"/>
          <w:tblLook w:val="01E0"/>
        </w:tblPrEx>
        <w:trPr>
          <w:cantSplit/>
          <w:trHeight w:val="723"/>
        </w:trPr>
        <w:tc>
          <w:tcPr>
            <w:tcW w:w="1283" w:type="dxa"/>
            <w:vAlign w:val="center"/>
          </w:tcPr>
          <w:p w:rsidR="00BA39FF" w:rsidRPr="00BA39FF" w:rsidP="00BA39FF" w14:paraId="242E760C" w14:textId="2EAB6F98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071C">
              <w:rPr>
                <w:rFonts w:eastAsia="Calibri"/>
                <w:sz w:val="22"/>
                <w:szCs w:val="22"/>
              </w:rPr>
              <w:t xml:space="preserve">FS Form </w:t>
            </w:r>
            <w:r w:rsidRPr="00CC071C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 xml:space="preserve">2: </w:t>
            </w:r>
            <w:r w:rsidRPr="00703007">
              <w:rPr>
                <w:rFonts w:ascii="Arial" w:hAnsi="Arial" w:cs="Arial"/>
                <w:bCs/>
                <w:sz w:val="20"/>
                <w:szCs w:val="20"/>
              </w:rPr>
              <w:t>Request for Recurring</w:t>
            </w:r>
            <w:r w:rsidRPr="00BA39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3007">
              <w:rPr>
                <w:rFonts w:ascii="Arial" w:hAnsi="Arial" w:cs="Arial"/>
                <w:bCs/>
                <w:sz w:val="20"/>
                <w:szCs w:val="20"/>
              </w:rPr>
              <w:t>Electronic Payments</w:t>
            </w:r>
          </w:p>
        </w:tc>
        <w:tc>
          <w:tcPr>
            <w:tcW w:w="1170" w:type="dxa"/>
            <w:vAlign w:val="center"/>
          </w:tcPr>
          <w:p w:rsidR="00BA39FF" w:rsidRPr="00BA39FF" w:rsidP="00BA39FF" w14:paraId="25735D2A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39F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center"/>
          </w:tcPr>
          <w:p w:rsidR="00BA39FF" w:rsidRPr="00BA39FF" w:rsidP="00BA39FF" w14:paraId="55C9CD94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39F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BA39FF" w:rsidRPr="00BA39FF" w:rsidP="00610773" w14:paraId="39E07EE2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03007">
              <w:rPr>
                <w:rFonts w:ascii="Arial" w:hAnsi="Arial" w:cs="Arial"/>
                <w:bCs/>
                <w:sz w:val="20"/>
                <w:szCs w:val="20"/>
              </w:rPr>
              <w:t>15 minutes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(0.25 hours)</w:t>
            </w:r>
          </w:p>
        </w:tc>
        <w:tc>
          <w:tcPr>
            <w:tcW w:w="1155" w:type="dxa"/>
            <w:vAlign w:val="center"/>
          </w:tcPr>
          <w:p w:rsidR="00BA39FF" w:rsidRPr="00BA39FF" w:rsidP="00987D0B" w14:paraId="74706EF4" w14:textId="45C3D4AC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vAlign w:val="center"/>
          </w:tcPr>
          <w:p w:rsidR="00BA39FF" w:rsidRPr="00610773" w:rsidP="00BA39FF" w14:paraId="185D7217" w14:textId="66911731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7D0B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330943">
              <w:rPr>
                <w:rFonts w:ascii="Arial" w:hAnsi="Arial" w:cs="Arial"/>
                <w:bCs/>
                <w:sz w:val="20"/>
                <w:szCs w:val="20"/>
              </w:rPr>
              <w:t>46.38</w:t>
            </w:r>
          </w:p>
        </w:tc>
        <w:tc>
          <w:tcPr>
            <w:tcW w:w="1421" w:type="dxa"/>
            <w:vAlign w:val="center"/>
          </w:tcPr>
          <w:p w:rsidR="00BA39FF" w:rsidRPr="00987D0B" w:rsidP="00BA39FF" w14:paraId="53EEA21D" w14:textId="128C8318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0773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330943">
              <w:rPr>
                <w:rFonts w:ascii="Arial" w:hAnsi="Arial" w:cs="Arial"/>
                <w:bCs/>
                <w:sz w:val="20"/>
                <w:szCs w:val="20"/>
              </w:rPr>
              <w:t>231.90</w:t>
            </w:r>
          </w:p>
        </w:tc>
      </w:tr>
      <w:tr w14:paraId="7766EBC0" w14:textId="77777777" w:rsidTr="00610773">
        <w:tblPrEx>
          <w:tblW w:w="9327" w:type="dxa"/>
          <w:tblInd w:w="625" w:type="dxa"/>
          <w:tblLayout w:type="fixed"/>
          <w:tblLook w:val="01E0"/>
        </w:tblPrEx>
        <w:trPr>
          <w:cantSplit/>
          <w:trHeight w:val="723"/>
        </w:trPr>
        <w:tc>
          <w:tcPr>
            <w:tcW w:w="1283" w:type="dxa"/>
            <w:vAlign w:val="center"/>
          </w:tcPr>
          <w:p w:rsidR="00BA39FF" w:rsidRPr="00BA39FF" w:rsidP="00BA39FF" w14:paraId="705BA96E" w14:textId="594C500B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657">
              <w:rPr>
                <w:rFonts w:ascii="Arial" w:hAnsi="Arial" w:cs="Arial"/>
                <w:sz w:val="20"/>
                <w:szCs w:val="20"/>
              </w:rPr>
              <w:t xml:space="preserve">FS Form </w:t>
            </w:r>
            <w:r w:rsidRPr="00886657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8665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03007">
              <w:rPr>
                <w:rFonts w:ascii="Arial" w:hAnsi="Arial" w:cs="Arial"/>
                <w:sz w:val="20"/>
                <w:szCs w:val="20"/>
              </w:rPr>
              <w:t>Financial Statement of Debtor</w:t>
            </w:r>
          </w:p>
        </w:tc>
        <w:tc>
          <w:tcPr>
            <w:tcW w:w="1170" w:type="dxa"/>
            <w:vAlign w:val="center"/>
          </w:tcPr>
          <w:p w:rsidR="00BA39FF" w:rsidRPr="00BA39FF" w:rsidP="00BA39FF" w14:paraId="077FE43D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55" w:type="dxa"/>
            <w:vAlign w:val="center"/>
          </w:tcPr>
          <w:p w:rsidR="00BA39FF" w:rsidRPr="00BA39FF" w:rsidP="00BA39FF" w14:paraId="5063B4A0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BA39FF" w:rsidRPr="00BA39FF" w:rsidP="00610773" w14:paraId="1C154E5F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03007">
              <w:rPr>
                <w:rFonts w:ascii="Arial" w:hAnsi="Arial" w:cs="Arial"/>
                <w:bCs/>
                <w:sz w:val="20"/>
                <w:szCs w:val="20"/>
              </w:rPr>
              <w:t>45 minutes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(0.75 hours)</w:t>
            </w:r>
          </w:p>
        </w:tc>
        <w:tc>
          <w:tcPr>
            <w:tcW w:w="1155" w:type="dxa"/>
            <w:vAlign w:val="center"/>
          </w:tcPr>
          <w:p w:rsidR="00BA39FF" w:rsidRPr="00BA39FF" w:rsidP="00BA39FF" w14:paraId="786C49BB" w14:textId="65527876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066" w:type="dxa"/>
            <w:vAlign w:val="center"/>
          </w:tcPr>
          <w:p w:rsidR="00BA39FF" w:rsidRPr="00610773" w:rsidP="00BA39FF" w14:paraId="6D55861D" w14:textId="2EF688F6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7D0B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330943">
              <w:rPr>
                <w:rFonts w:ascii="Arial" w:hAnsi="Arial" w:cs="Arial"/>
                <w:bCs/>
                <w:sz w:val="20"/>
                <w:szCs w:val="20"/>
              </w:rPr>
              <w:t>46.38</w:t>
            </w:r>
          </w:p>
        </w:tc>
        <w:tc>
          <w:tcPr>
            <w:tcW w:w="1421" w:type="dxa"/>
            <w:vAlign w:val="center"/>
          </w:tcPr>
          <w:p w:rsidR="00BA39FF" w:rsidRPr="00987D0B" w:rsidP="00BA39FF" w14:paraId="0506F80E" w14:textId="0CADC74E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0773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Pr="00610773" w:rsidR="00564E7A">
              <w:rPr>
                <w:rFonts w:ascii="Arial" w:hAnsi="Arial" w:cs="Arial"/>
                <w:bCs/>
                <w:sz w:val="20"/>
                <w:szCs w:val="20"/>
              </w:rPr>
              <w:t>1,</w:t>
            </w:r>
            <w:r w:rsidR="00330943">
              <w:rPr>
                <w:rFonts w:ascii="Arial" w:hAnsi="Arial" w:cs="Arial"/>
                <w:bCs/>
                <w:sz w:val="20"/>
                <w:szCs w:val="20"/>
              </w:rPr>
              <w:t>391.40</w:t>
            </w:r>
          </w:p>
        </w:tc>
      </w:tr>
      <w:tr w14:paraId="6D14059E" w14:textId="77777777" w:rsidTr="00C85E21">
        <w:tblPrEx>
          <w:tblW w:w="9327" w:type="dxa"/>
          <w:tblInd w:w="625" w:type="dxa"/>
          <w:tblLayout w:type="fixed"/>
          <w:tblLook w:val="01E0"/>
        </w:tblPrEx>
        <w:trPr>
          <w:cantSplit/>
          <w:trHeight w:val="723"/>
        </w:trPr>
        <w:tc>
          <w:tcPr>
            <w:tcW w:w="7906" w:type="dxa"/>
            <w:gridSpan w:val="6"/>
            <w:vAlign w:val="center"/>
          </w:tcPr>
          <w:p w:rsidR="00BA39FF" w:rsidRPr="00BA39FF" w:rsidP="00BA39FF" w14:paraId="426F2D92" w14:textId="77777777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A39FF">
              <w:rPr>
                <w:rFonts w:ascii="Arial" w:hAnsi="Arial" w:cs="Arial"/>
                <w:bCs/>
                <w:sz w:val="20"/>
                <w:szCs w:val="20"/>
              </w:rPr>
              <w:t>Total Respondent Cost:</w:t>
            </w:r>
          </w:p>
        </w:tc>
        <w:tc>
          <w:tcPr>
            <w:tcW w:w="1421" w:type="dxa"/>
            <w:vAlign w:val="center"/>
          </w:tcPr>
          <w:p w:rsidR="00BA39FF" w:rsidRPr="00BA39FF" w:rsidP="00BA39FF" w14:paraId="3E340797" w14:textId="5ABB4C7D">
            <w:pPr>
              <w:keepNext/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39FF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5A7F1D">
              <w:rPr>
                <w:rFonts w:ascii="Arial" w:hAnsi="Arial" w:cs="Arial"/>
                <w:bCs/>
                <w:sz w:val="20"/>
                <w:szCs w:val="20"/>
              </w:rPr>
              <w:t>1,</w:t>
            </w:r>
            <w:r w:rsidR="00330943">
              <w:rPr>
                <w:rFonts w:ascii="Arial" w:hAnsi="Arial" w:cs="Arial"/>
                <w:bCs/>
                <w:sz w:val="20"/>
                <w:szCs w:val="20"/>
              </w:rPr>
              <w:t>623.30</w:t>
            </w:r>
          </w:p>
        </w:tc>
      </w:tr>
    </w:tbl>
    <w:p w:rsidR="00BA39FF" w:rsidRPr="00432C2B" w:rsidP="00610773" w14:paraId="34286F77" w14:textId="77777777">
      <w:pPr>
        <w:tabs>
          <w:tab w:val="left" w:pos="900"/>
        </w:tabs>
        <w:ind w:left="540"/>
        <w:jc w:val="both"/>
        <w:rPr>
          <w:rFonts w:ascii="Arial" w:hAnsi="Arial" w:cs="Arial"/>
          <w:bCs/>
          <w:color w:val="3366CC"/>
          <w:sz w:val="22"/>
          <w:szCs w:val="22"/>
        </w:rPr>
      </w:pPr>
    </w:p>
    <w:p w:rsidR="00F064FD" w:rsidP="00432C2B" w14:paraId="0E4905D2" w14:textId="77777777">
      <w:pPr>
        <w:pStyle w:val="BodyTextIndent"/>
        <w:tabs>
          <w:tab w:val="clear" w:pos="0"/>
          <w:tab w:val="left" w:pos="540"/>
          <w:tab w:val="left" w:pos="810"/>
        </w:tabs>
        <w:ind w:left="540" w:hanging="540"/>
        <w:rPr>
          <w:rFonts w:ascii="Arial" w:hAnsi="Arial" w:cs="Arial"/>
          <w:sz w:val="22"/>
          <w:szCs w:val="22"/>
        </w:rPr>
      </w:pPr>
    </w:p>
    <w:p w:rsidR="00F8418A" w:rsidP="00F8418A" w14:paraId="2270F7BF" w14:textId="77777777">
      <w:pPr>
        <w:pStyle w:val="BodyTextIndent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Annual Cost </w:t>
      </w:r>
      <w:r>
        <w:rPr>
          <w:rFonts w:ascii="Arial" w:hAnsi="Arial" w:cs="Arial"/>
          <w:b/>
          <w:bCs/>
          <w:sz w:val="22"/>
          <w:szCs w:val="22"/>
        </w:rPr>
        <w:t>to</w:t>
      </w:r>
      <w:r>
        <w:rPr>
          <w:rFonts w:ascii="Arial" w:hAnsi="Arial" w:cs="Arial"/>
          <w:b/>
          <w:bCs/>
          <w:sz w:val="22"/>
          <w:szCs w:val="22"/>
        </w:rPr>
        <w:t xml:space="preserve"> Respondents.</w:t>
      </w:r>
    </w:p>
    <w:p w:rsidR="00F064FD" w:rsidRPr="00F8418A" w:rsidP="00610773" w14:paraId="580A63BA" w14:textId="74CBCB3F">
      <w:pPr>
        <w:tabs>
          <w:tab w:val="left" w:pos="540"/>
        </w:tabs>
        <w:spacing w:before="120" w:after="120"/>
        <w:ind w:left="540" w:hanging="5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F8418A">
        <w:rPr>
          <w:rFonts w:ascii="Arial" w:hAnsi="Arial" w:cs="Arial"/>
          <w:color w:val="000000"/>
          <w:sz w:val="22"/>
          <w:szCs w:val="22"/>
        </w:rPr>
        <w:t>There are no capital/start-up or ongoing operation/maintenance costs associated with this information collection.</w:t>
      </w:r>
    </w:p>
    <w:p w:rsidR="00F8418A" w:rsidP="00F8418A" w14:paraId="21A0AD0A" w14:textId="77777777">
      <w:pPr>
        <w:numPr>
          <w:ilvl w:val="0"/>
          <w:numId w:val="31"/>
        </w:numPr>
        <w:tabs>
          <w:tab w:val="left" w:pos="540"/>
          <w:tab w:val="clear" w:pos="72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Cost to the Federal Government.</w:t>
      </w:r>
    </w:p>
    <w:p w:rsidR="006717E1" w:rsidRPr="00F8235A" w:rsidP="00F8235A" w14:paraId="6C1EE98E" w14:textId="6C926449">
      <w:pPr>
        <w:tabs>
          <w:tab w:val="left" w:pos="540"/>
        </w:tabs>
        <w:spacing w:before="120" w:after="120"/>
        <w:ind w:left="540" w:hanging="540"/>
        <w:rPr>
          <w:rFonts w:ascii="Arial" w:hAnsi="Arial" w:cs="Arial"/>
          <w:color w:val="000000"/>
          <w:sz w:val="22"/>
          <w:szCs w:val="22"/>
        </w:rPr>
      </w:pPr>
      <w:r>
        <w:tab/>
      </w:r>
      <w:r w:rsidRPr="00F8235A">
        <w:rPr>
          <w:rFonts w:ascii="Arial" w:hAnsi="Arial" w:cs="Arial"/>
          <w:color w:val="000000"/>
          <w:sz w:val="22"/>
          <w:szCs w:val="22"/>
        </w:rPr>
        <w:t>Annualized cost to Federal Government is estimated at $</w:t>
      </w:r>
      <w:r w:rsidRPr="00F8235A" w:rsidR="00753326">
        <w:rPr>
          <w:rFonts w:ascii="Arial" w:hAnsi="Arial" w:cs="Arial"/>
          <w:color w:val="000000"/>
          <w:sz w:val="22"/>
          <w:szCs w:val="22"/>
        </w:rPr>
        <w:t>3,481.00</w:t>
      </w:r>
      <w:r w:rsidRPr="00F8235A">
        <w:rPr>
          <w:rFonts w:ascii="Arial" w:hAnsi="Arial" w:cs="Arial"/>
          <w:color w:val="000000"/>
          <w:sz w:val="22"/>
          <w:szCs w:val="22"/>
        </w:rPr>
        <w:t xml:space="preserve">. The cost is based on the Federal Government </w:t>
      </w:r>
      <w:r w:rsidRPr="00F8235A">
        <w:rPr>
          <w:rFonts w:ascii="Arial" w:hAnsi="Arial" w:cs="Arial"/>
          <w:color w:val="000000"/>
          <w:sz w:val="22"/>
          <w:szCs w:val="22"/>
        </w:rPr>
        <w:t>Fully-loaded</w:t>
      </w:r>
      <w:r w:rsidRPr="00F8235A">
        <w:rPr>
          <w:rFonts w:ascii="Arial" w:hAnsi="Arial" w:cs="Arial"/>
          <w:color w:val="000000"/>
          <w:sz w:val="22"/>
          <w:szCs w:val="22"/>
        </w:rPr>
        <w:t xml:space="preserve"> Labor Rate for the positions listed below. </w:t>
      </w:r>
    </w:p>
    <w:p w:rsidR="00F94664" w:rsidRPr="00A05174" w:rsidP="00610773" w14:paraId="1850ABB4" w14:textId="77777777">
      <w:pPr>
        <w:pStyle w:val="FootnoteText"/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1350"/>
        <w:gridCol w:w="1530"/>
        <w:gridCol w:w="1080"/>
        <w:gridCol w:w="1080"/>
        <w:gridCol w:w="1347"/>
      </w:tblGrid>
      <w:tr w14:paraId="7007FEF3" w14:textId="77777777" w:rsidTr="00610773">
        <w:tblPrEx>
          <w:tblW w:w="90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90"/>
          <w:jc w:val="center"/>
        </w:trPr>
        <w:tc>
          <w:tcPr>
            <w:tcW w:w="2695" w:type="dxa"/>
            <w:tcMar>
              <w:left w:w="29" w:type="dxa"/>
              <w:right w:w="29" w:type="dxa"/>
            </w:tcMar>
            <w:vAlign w:val="center"/>
          </w:tcPr>
          <w:p w:rsidR="006717E1" w:rsidRPr="006717E1" w:rsidP="007A2416" w14:paraId="69D7E231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Labor Category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6717E1" w:rsidRPr="006717E1" w:rsidP="007A2416" w14:paraId="1A0D6EC9" w14:textId="19797E23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Fully-loaded</w:t>
            </w:r>
            <w:r w:rsidRPr="006717E1">
              <w:rPr>
                <w:rFonts w:ascii="Arial" w:eastAsia="Calibri" w:hAnsi="Arial" w:cs="Arial"/>
                <w:sz w:val="20"/>
                <w:szCs w:val="20"/>
              </w:rPr>
              <w:t xml:space="preserve"> Labor Rate/Hour</w:t>
            </w:r>
            <w:r>
              <w:rPr>
                <w:rStyle w:val="FootnoteReference"/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6717E1" w:rsidRPr="006717E1" w:rsidP="007A2416" w14:paraId="105FC799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Avg. Processing Time per Response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6717E1" w:rsidRPr="006717E1" w:rsidP="007A2416" w14:paraId="4579035C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Labor Costs per Response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6717E1" w:rsidRPr="006717E1" w:rsidP="007A2416" w14:paraId="4E82C4E6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Total Responses</w:t>
            </w:r>
          </w:p>
        </w:tc>
        <w:tc>
          <w:tcPr>
            <w:tcW w:w="1347" w:type="dxa"/>
            <w:tcMar>
              <w:left w:w="29" w:type="dxa"/>
              <w:right w:w="29" w:type="dxa"/>
            </w:tcMar>
            <w:vAlign w:val="center"/>
          </w:tcPr>
          <w:p w:rsidR="006717E1" w:rsidRPr="006717E1" w:rsidP="007A2416" w14:paraId="09C89BA7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Total Govt. Labor Costs</w:t>
            </w:r>
          </w:p>
        </w:tc>
      </w:tr>
      <w:tr w14:paraId="20E26B68" w14:textId="77777777" w:rsidTr="00610773">
        <w:tblPrEx>
          <w:tblW w:w="9082" w:type="dxa"/>
          <w:jc w:val="center"/>
          <w:tblLayout w:type="fixed"/>
          <w:tblLook w:val="04A0"/>
        </w:tblPrEx>
        <w:trPr>
          <w:trHeight w:val="683"/>
          <w:jc w:val="center"/>
        </w:trPr>
        <w:tc>
          <w:tcPr>
            <w:tcW w:w="2695" w:type="dxa"/>
            <w:tcMar>
              <w:left w:w="29" w:type="dxa"/>
              <w:right w:w="29" w:type="dxa"/>
            </w:tcMar>
            <w:vAlign w:val="center"/>
          </w:tcPr>
          <w:p w:rsidR="005A7F1D" w:rsidP="00610773" w14:paraId="7DCCB3B3" w14:textId="588B68B9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Financial Systems Analyst</w:t>
            </w:r>
            <w:r w:rsidRPr="006717E1">
              <w:rPr>
                <w:rFonts w:ascii="Arial" w:eastAsia="Calibri" w:hAnsi="Arial" w:cs="Arial"/>
                <w:sz w:val="20"/>
                <w:szCs w:val="20"/>
              </w:rPr>
              <w:t xml:space="preserve"> (GS–</w:t>
            </w: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6717E1">
              <w:rPr>
                <w:rFonts w:ascii="Arial" w:eastAsia="Calibri" w:hAnsi="Arial" w:cs="Arial"/>
                <w:sz w:val="20"/>
                <w:szCs w:val="20"/>
              </w:rPr>
              <w:t xml:space="preserve"> Step </w:t>
            </w:r>
            <w:r w:rsidR="004316DA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717E1">
              <w:rPr>
                <w:rFonts w:ascii="Arial" w:eastAsia="Calibri" w:hAnsi="Arial" w:cs="Arial"/>
                <w:sz w:val="20"/>
                <w:szCs w:val="20"/>
              </w:rPr>
              <w:t xml:space="preserve"> for the locality pay area of P</w:t>
            </w:r>
            <w:r>
              <w:rPr>
                <w:rFonts w:ascii="Arial" w:eastAsia="Calibri" w:hAnsi="Arial" w:cs="Arial"/>
                <w:sz w:val="20"/>
                <w:szCs w:val="20"/>
              </w:rPr>
              <w:t>arkersburg</w:t>
            </w:r>
            <w:r w:rsidR="008F6C5D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8F6C5D" w:rsidRPr="006717E1" w:rsidP="00610773" w14:paraId="3116CAF2" w14:textId="77777777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Recurring Payment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5A7F1D" w:rsidRPr="00610773" w:rsidP="007A2416" w14:paraId="52747590" w14:textId="720A945A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87D0B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316DA">
              <w:rPr>
                <w:rFonts w:ascii="Arial" w:eastAsia="Calibri" w:hAnsi="Arial" w:cs="Arial"/>
                <w:sz w:val="20"/>
                <w:szCs w:val="20"/>
              </w:rPr>
              <w:t>54.10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5A7F1D" w:rsidRPr="006717E1" w:rsidP="007A2416" w14:paraId="58CEF25F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F6C5D">
              <w:rPr>
                <w:rFonts w:ascii="Arial" w:eastAsia="Calibri" w:hAnsi="Arial" w:cs="Arial"/>
                <w:sz w:val="20"/>
                <w:szCs w:val="20"/>
              </w:rPr>
              <w:t>30 minutes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5A7F1D" w:rsidRPr="006717E1" w:rsidP="007A2416" w14:paraId="16351748" w14:textId="408A26F0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316DA">
              <w:rPr>
                <w:rFonts w:ascii="Arial" w:eastAsia="Calibri" w:hAnsi="Arial" w:cs="Arial"/>
                <w:sz w:val="20"/>
                <w:szCs w:val="20"/>
              </w:rPr>
              <w:t>27.05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5A7F1D" w:rsidRPr="006717E1" w:rsidP="007A2416" w14:paraId="0DCAE6CC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1347" w:type="dxa"/>
            <w:tcMar>
              <w:left w:w="29" w:type="dxa"/>
              <w:right w:w="29" w:type="dxa"/>
            </w:tcMar>
            <w:vAlign w:val="center"/>
          </w:tcPr>
          <w:p w:rsidR="005A7F1D" w:rsidRPr="006717E1" w:rsidP="007A2416" w14:paraId="3C04D815" w14:textId="2A98172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717E1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316DA">
              <w:rPr>
                <w:rFonts w:ascii="Arial" w:eastAsia="Calibri" w:hAnsi="Arial" w:cs="Arial"/>
                <w:sz w:val="20"/>
                <w:szCs w:val="20"/>
              </w:rPr>
              <w:t>541.00</w:t>
            </w:r>
          </w:p>
        </w:tc>
      </w:tr>
      <w:tr w14:paraId="797DC903" w14:textId="77777777" w:rsidTr="005A7F1D">
        <w:tblPrEx>
          <w:tblW w:w="9082" w:type="dxa"/>
          <w:jc w:val="center"/>
          <w:tblLayout w:type="fixed"/>
          <w:tblLook w:val="04A0"/>
        </w:tblPrEx>
        <w:trPr>
          <w:trHeight w:val="683"/>
          <w:jc w:val="center"/>
        </w:trPr>
        <w:tc>
          <w:tcPr>
            <w:tcW w:w="2695" w:type="dxa"/>
            <w:tcMar>
              <w:left w:w="29" w:type="dxa"/>
              <w:right w:w="29" w:type="dxa"/>
            </w:tcMar>
            <w:vAlign w:val="center"/>
          </w:tcPr>
          <w:p w:rsidR="008F6C5D" w:rsidRPr="008F6C5D" w:rsidP="00610773" w14:paraId="293F3D17" w14:textId="0B6CC3E9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F6C5D">
              <w:rPr>
                <w:rFonts w:ascii="Arial" w:eastAsia="Calibri" w:hAnsi="Arial" w:cs="Arial"/>
                <w:sz w:val="20"/>
                <w:szCs w:val="20"/>
              </w:rPr>
              <w:t xml:space="preserve">Financial Systems Analyst (GS–9 Step </w:t>
            </w:r>
            <w:r w:rsidR="004316DA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F6C5D">
              <w:rPr>
                <w:rFonts w:ascii="Arial" w:eastAsia="Calibri" w:hAnsi="Arial" w:cs="Arial"/>
                <w:sz w:val="20"/>
                <w:szCs w:val="20"/>
              </w:rPr>
              <w:t xml:space="preserve"> for the locality pay area of Parkersburg)</w:t>
            </w:r>
          </w:p>
          <w:p w:rsidR="008F6C5D" w:rsidP="00610773" w14:paraId="7A1759B1" w14:textId="77777777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Financial Statement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8F6C5D" w:rsidRPr="00610773" w:rsidP="007A2416" w14:paraId="6CD8E04C" w14:textId="55B0C790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0773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316DA">
              <w:rPr>
                <w:rFonts w:ascii="Arial" w:eastAsia="Calibri" w:hAnsi="Arial" w:cs="Arial"/>
                <w:sz w:val="20"/>
                <w:szCs w:val="20"/>
              </w:rPr>
              <w:t>54.10</w:t>
            </w: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8F6C5D" w:rsidP="007A2416" w14:paraId="5721AD55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hour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8F6C5D" w:rsidRPr="006717E1" w:rsidP="007A2416" w14:paraId="42037B1B" w14:textId="63EC3499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01DE4">
              <w:rPr>
                <w:rFonts w:ascii="Arial" w:eastAsia="Calibri" w:hAnsi="Arial" w:cs="Arial"/>
                <w:sz w:val="20"/>
                <w:szCs w:val="20"/>
              </w:rPr>
              <w:t>54.10</w:t>
            </w: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8F6C5D" w:rsidP="007A2416" w14:paraId="1A96A3DC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1347" w:type="dxa"/>
            <w:tcMar>
              <w:left w:w="29" w:type="dxa"/>
              <w:right w:w="29" w:type="dxa"/>
            </w:tcMar>
            <w:vAlign w:val="center"/>
          </w:tcPr>
          <w:p w:rsidR="008F6C5D" w:rsidRPr="006717E1" w:rsidP="007A2416" w14:paraId="2018FBBA" w14:textId="0C6A3F16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731BB1">
              <w:rPr>
                <w:rFonts w:ascii="Arial" w:eastAsia="Calibri" w:hAnsi="Arial" w:cs="Arial"/>
                <w:sz w:val="20"/>
                <w:szCs w:val="20"/>
              </w:rPr>
              <w:t>2,</w:t>
            </w:r>
            <w:r w:rsidR="00F01DE4"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="00731BB1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F01DE4">
              <w:rPr>
                <w:rFonts w:ascii="Arial" w:eastAsia="Calibri" w:hAnsi="Arial" w:cs="Arial"/>
                <w:sz w:val="20"/>
                <w:szCs w:val="20"/>
              </w:rPr>
              <w:t>.0</w:t>
            </w:r>
            <w:r w:rsidR="00731BB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14:paraId="1F3AE139" w14:textId="77777777" w:rsidTr="005A7F1D">
        <w:tblPrEx>
          <w:tblW w:w="9082" w:type="dxa"/>
          <w:jc w:val="center"/>
          <w:tblLayout w:type="fixed"/>
          <w:tblLook w:val="04A0"/>
        </w:tblPrEx>
        <w:trPr>
          <w:trHeight w:val="683"/>
          <w:jc w:val="center"/>
        </w:trPr>
        <w:tc>
          <w:tcPr>
            <w:tcW w:w="2695" w:type="dxa"/>
            <w:tcMar>
              <w:left w:w="29" w:type="dxa"/>
              <w:right w:w="29" w:type="dxa"/>
            </w:tcMar>
            <w:vAlign w:val="center"/>
          </w:tcPr>
          <w:p w:rsidR="00633310" w:rsidRPr="008F6C5D" w:rsidP="008F6C5D" w14:paraId="69956C00" w14:textId="77777777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Total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633310" w:rsidP="007A2416" w14:paraId="245D3C34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Mar>
              <w:left w:w="29" w:type="dxa"/>
              <w:right w:w="29" w:type="dxa"/>
            </w:tcMar>
            <w:vAlign w:val="center"/>
          </w:tcPr>
          <w:p w:rsidR="00633310" w:rsidP="007A2416" w14:paraId="27DB6890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633310" w:rsidRPr="006717E1" w:rsidP="007A2416" w14:paraId="274735B4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29" w:type="dxa"/>
              <w:right w:w="29" w:type="dxa"/>
            </w:tcMar>
            <w:vAlign w:val="center"/>
          </w:tcPr>
          <w:p w:rsidR="00633310" w:rsidP="007A2416" w14:paraId="71E4089D" w14:textId="77777777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7" w:type="dxa"/>
            <w:tcMar>
              <w:left w:w="29" w:type="dxa"/>
              <w:right w:w="29" w:type="dxa"/>
            </w:tcMar>
            <w:vAlign w:val="center"/>
          </w:tcPr>
          <w:p w:rsidR="00633310" w:rsidRPr="006717E1" w:rsidP="007A2416" w14:paraId="542B6126" w14:textId="0493A32E">
            <w:pPr>
              <w:keepNext/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01DE4">
              <w:rPr>
                <w:rFonts w:ascii="Arial" w:eastAsia="Calibri" w:hAnsi="Arial" w:cs="Arial"/>
                <w:sz w:val="20"/>
                <w:szCs w:val="20"/>
              </w:rPr>
              <w:t>2,705</w:t>
            </w:r>
            <w:r w:rsidR="00731BB1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</w:tr>
    </w:tbl>
    <w:p w:rsidR="00EC10FF" w:rsidRPr="00610773" w:rsidP="00610773" w14:paraId="30DF0932" w14:textId="4DB71600">
      <w:pPr>
        <w:pStyle w:val="FootnoteText"/>
      </w:pPr>
      <w:r w:rsidRPr="00F8418A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F8418A" w:rsidP="00F8418A" w14:paraId="7770938F" w14:textId="77777777">
      <w:pPr>
        <w:numPr>
          <w:ilvl w:val="0"/>
          <w:numId w:val="31"/>
        </w:numPr>
        <w:tabs>
          <w:tab w:val="left" w:pos="540"/>
          <w:tab w:val="clear" w:pos="72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Reason for Change.</w:t>
      </w:r>
    </w:p>
    <w:p w:rsidR="006717E1" w:rsidP="006717E1" w14:paraId="0CAFAB12" w14:textId="77777777">
      <w:pPr>
        <w:pStyle w:val="NoSpacing"/>
        <w:ind w:left="540"/>
        <w:rPr>
          <w:rFonts w:ascii="Times New Roman" w:hAnsi="Times New Roman"/>
          <w:sz w:val="24"/>
          <w:szCs w:val="24"/>
        </w:rPr>
      </w:pPr>
      <w:r w:rsidRPr="00AB6A41">
        <w:rPr>
          <w:rFonts w:ascii="Times New Roman" w:hAnsi="Times New Roman"/>
          <w:sz w:val="24"/>
          <w:szCs w:val="24"/>
        </w:rPr>
        <w:t xml:space="preserve">Annualized </w:t>
      </w:r>
      <w:r w:rsidRPr="00AB6A41">
        <w:rPr>
          <w:rFonts w:ascii="Times New Roman" w:hAnsi="Times New Roman"/>
          <w:sz w:val="24"/>
          <w:szCs w:val="24"/>
        </w:rPr>
        <w:t>cost</w:t>
      </w:r>
      <w:r w:rsidRPr="00AB6A41">
        <w:rPr>
          <w:rFonts w:ascii="Times New Roman" w:hAnsi="Times New Roman"/>
          <w:sz w:val="24"/>
          <w:szCs w:val="24"/>
        </w:rPr>
        <w:t xml:space="preserve"> to Federal Government </w:t>
      </w:r>
      <w:r>
        <w:rPr>
          <w:rFonts w:ascii="Times New Roman" w:hAnsi="Times New Roman"/>
          <w:sz w:val="24"/>
          <w:szCs w:val="24"/>
        </w:rPr>
        <w:t xml:space="preserve">reported in Item 14 is increased </w:t>
      </w:r>
      <w:r w:rsidRPr="00AB6A41">
        <w:rPr>
          <w:rFonts w:ascii="Times New Roman" w:hAnsi="Times New Roman"/>
          <w:sz w:val="24"/>
          <w:szCs w:val="24"/>
        </w:rPr>
        <w:t xml:space="preserve">based on the </w:t>
      </w:r>
      <w:r>
        <w:rPr>
          <w:rFonts w:ascii="Times New Roman" w:hAnsi="Times New Roman"/>
          <w:sz w:val="24"/>
          <w:szCs w:val="24"/>
        </w:rPr>
        <w:t xml:space="preserve">current </w:t>
      </w:r>
      <w:r w:rsidRPr="00886445">
        <w:rPr>
          <w:rFonts w:ascii="Times New Roman" w:hAnsi="Times New Roman"/>
          <w:sz w:val="24"/>
          <w:szCs w:val="24"/>
        </w:rPr>
        <w:t xml:space="preserve">Federal </w:t>
      </w:r>
      <w:r w:rsidRPr="00886445">
        <w:rPr>
          <w:rFonts w:ascii="Times New Roman" w:hAnsi="Times New Roman"/>
          <w:sz w:val="24"/>
          <w:szCs w:val="24"/>
        </w:rPr>
        <w:t xml:space="preserve">Government </w:t>
      </w:r>
      <w:r w:rsidRPr="00886445">
        <w:rPr>
          <w:rFonts w:ascii="Times New Roman" w:hAnsi="Times New Roman"/>
          <w:sz w:val="24"/>
          <w:szCs w:val="24"/>
        </w:rPr>
        <w:t>Fully-loaded</w:t>
      </w:r>
      <w:r w:rsidRPr="00886445">
        <w:rPr>
          <w:rFonts w:ascii="Times New Roman" w:hAnsi="Times New Roman"/>
          <w:sz w:val="24"/>
          <w:szCs w:val="24"/>
        </w:rPr>
        <w:t xml:space="preserve"> Labor Rate</w:t>
      </w:r>
      <w:r>
        <w:rPr>
          <w:rFonts w:ascii="Times New Roman" w:hAnsi="Times New Roman"/>
          <w:sz w:val="24"/>
          <w:szCs w:val="24"/>
        </w:rPr>
        <w:t>s.</w:t>
      </w:r>
    </w:p>
    <w:p w:rsidR="00F8418A" w:rsidP="00F8418A" w14:paraId="7690C9A1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Tabulation of Results, Schedule, Analysis Plans.  </w:t>
      </w:r>
    </w:p>
    <w:p w:rsidR="006717E1" w:rsidRPr="00AB6A41" w:rsidP="006717E1" w14:paraId="3A7FD0BB" w14:textId="77777777">
      <w:pPr>
        <w:ind w:firstLine="537"/>
      </w:pPr>
      <w:r>
        <w:t>I</w:t>
      </w:r>
      <w:r w:rsidRPr="00DE0CF9">
        <w:t xml:space="preserve">nformation </w:t>
      </w:r>
      <w:r>
        <w:t xml:space="preserve">collected </w:t>
      </w:r>
      <w:r w:rsidRPr="00DE0CF9">
        <w:t>will not be published for statistical use.</w:t>
      </w:r>
    </w:p>
    <w:p w:rsidR="00F8418A" w:rsidP="006E1A4A" w14:paraId="04165B78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hanging="4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Display of OMB Approval Date.</w:t>
      </w:r>
    </w:p>
    <w:p w:rsidR="006717E1" w:rsidRPr="00AB6A41" w:rsidP="006717E1" w14:paraId="2AD1B8EF" w14:textId="77777777">
      <w:pPr>
        <w:pStyle w:val="NoSpacing"/>
        <w:tabs>
          <w:tab w:val="left" w:pos="540"/>
        </w:tabs>
        <w:ind w:left="535" w:hanging="535" w:hangingChars="2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</w:t>
      </w:r>
      <w:r w:rsidRPr="00AB6A41">
        <w:rPr>
          <w:rFonts w:ascii="Times New Roman" w:hAnsi="Times New Roman"/>
          <w:sz w:val="24"/>
          <w:szCs w:val="24"/>
        </w:rPr>
        <w:t>he public</w:t>
      </w:r>
      <w:r w:rsidRPr="00AB6A41">
        <w:rPr>
          <w:rFonts w:ascii="Times New Roman" w:hAnsi="Times New Roman"/>
          <w:sz w:val="24"/>
          <w:szCs w:val="24"/>
        </w:rPr>
        <w:t xml:space="preserve"> interest will be better served by not printing an expiration date on the form</w:t>
      </w:r>
      <w:r>
        <w:rPr>
          <w:rFonts w:ascii="Times New Roman" w:hAnsi="Times New Roman"/>
          <w:sz w:val="24"/>
          <w:szCs w:val="24"/>
        </w:rPr>
        <w:t>s</w:t>
      </w:r>
      <w:r w:rsidRPr="00AB6A41">
        <w:rPr>
          <w:rFonts w:ascii="Times New Roman" w:hAnsi="Times New Roman"/>
          <w:sz w:val="24"/>
          <w:szCs w:val="24"/>
        </w:rPr>
        <w:t xml:space="preserve">. </w:t>
      </w:r>
    </w:p>
    <w:p w:rsidR="006717E1" w:rsidRPr="00AB6A41" w:rsidP="006717E1" w14:paraId="4AB0606C" w14:textId="77777777">
      <w:pPr>
        <w:pStyle w:val="NoSpacing"/>
        <w:tabs>
          <w:tab w:val="left" w:pos="540"/>
        </w:tabs>
        <w:ind w:left="535" w:hanging="535" w:hangingChars="223"/>
        <w:rPr>
          <w:rFonts w:ascii="Times New Roman" w:hAnsi="Times New Roman"/>
          <w:sz w:val="24"/>
          <w:szCs w:val="24"/>
        </w:rPr>
      </w:pPr>
    </w:p>
    <w:p w:rsidR="006717E1" w:rsidRPr="00AB6A41" w:rsidP="006717E1" w14:paraId="6B6FE087" w14:textId="77777777">
      <w:pPr>
        <w:pStyle w:val="NoSpacing"/>
        <w:tabs>
          <w:tab w:val="left" w:pos="540"/>
        </w:tabs>
        <w:ind w:left="535" w:hanging="535" w:hangingChars="223"/>
        <w:rPr>
          <w:rFonts w:ascii="Times New Roman" w:hAnsi="Times New Roman"/>
          <w:sz w:val="24"/>
          <w:szCs w:val="24"/>
        </w:rPr>
      </w:pPr>
      <w:r w:rsidRPr="00AB6A41">
        <w:rPr>
          <w:rFonts w:ascii="Times New Roman" w:hAnsi="Times New Roman"/>
          <w:sz w:val="24"/>
          <w:szCs w:val="24"/>
        </w:rPr>
        <w:tab/>
        <w:t>Printing the expiration date on the for</w:t>
      </w:r>
      <w:r>
        <w:rPr>
          <w:rFonts w:ascii="Times New Roman" w:hAnsi="Times New Roman"/>
          <w:sz w:val="24"/>
          <w:szCs w:val="24"/>
        </w:rPr>
        <w:t>ms</w:t>
      </w:r>
      <w:r w:rsidRPr="00AB6A41">
        <w:rPr>
          <w:rFonts w:ascii="Times New Roman" w:hAnsi="Times New Roman"/>
          <w:sz w:val="24"/>
          <w:szCs w:val="24"/>
        </w:rPr>
        <w:t xml:space="preserve"> will result in increased costs because of the need to replace inventories that become obsolete by passage of the expiration date each time OMB approval is needed.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A41">
        <w:rPr>
          <w:rFonts w:ascii="Times New Roman" w:hAnsi="Times New Roman"/>
          <w:sz w:val="24"/>
          <w:szCs w:val="24"/>
        </w:rPr>
        <w:t>Without printing the expiration date, supplies of the form could continue to be used.</w:t>
      </w:r>
    </w:p>
    <w:p w:rsidR="006717E1" w:rsidRPr="00AB6A41" w:rsidP="006717E1" w14:paraId="3E059E51" w14:textId="77777777">
      <w:pPr>
        <w:pStyle w:val="NoSpacing"/>
        <w:tabs>
          <w:tab w:val="left" w:pos="540"/>
        </w:tabs>
        <w:ind w:left="535" w:hanging="535" w:hangingChars="223"/>
        <w:rPr>
          <w:rFonts w:ascii="Times New Roman" w:hAnsi="Times New Roman"/>
          <w:sz w:val="24"/>
          <w:szCs w:val="24"/>
        </w:rPr>
      </w:pPr>
    </w:p>
    <w:p w:rsidR="006717E1" w:rsidRPr="00AB6A41" w:rsidP="006717E1" w14:paraId="78976C41" w14:textId="77777777">
      <w:pPr>
        <w:pStyle w:val="NoSpacing"/>
        <w:tabs>
          <w:tab w:val="left" w:pos="540"/>
        </w:tabs>
        <w:ind w:left="535" w:hanging="535" w:hangingChars="223"/>
        <w:rPr>
          <w:rFonts w:ascii="Times New Roman" w:hAnsi="Times New Roman"/>
          <w:sz w:val="24"/>
          <w:szCs w:val="24"/>
        </w:rPr>
      </w:pPr>
      <w:r w:rsidRPr="00AB6A41">
        <w:rPr>
          <w:rFonts w:ascii="Times New Roman" w:hAnsi="Times New Roman"/>
          <w:sz w:val="24"/>
          <w:szCs w:val="24"/>
        </w:rPr>
        <w:tab/>
        <w:t xml:space="preserve">Not printing the expiration date on the form will also avoid confusion among users who may have identical forms with different expiration dates in their possession. </w:t>
      </w:r>
    </w:p>
    <w:p w:rsidR="006717E1" w:rsidRPr="00AB6A41" w:rsidP="006717E1" w14:paraId="6420E9DB" w14:textId="77777777">
      <w:pPr>
        <w:pStyle w:val="NoSpacing"/>
        <w:tabs>
          <w:tab w:val="left" w:pos="540"/>
        </w:tabs>
        <w:ind w:left="535" w:hanging="535" w:hangingChars="223"/>
        <w:rPr>
          <w:rFonts w:ascii="Times New Roman" w:hAnsi="Times New Roman"/>
          <w:sz w:val="24"/>
          <w:szCs w:val="24"/>
        </w:rPr>
      </w:pPr>
    </w:p>
    <w:p w:rsidR="0092689B" w:rsidRPr="00850CCA" w:rsidP="006717E1" w14:paraId="0386A401" w14:textId="249F8DA6">
      <w:pPr>
        <w:spacing w:before="120" w:after="120"/>
        <w:ind w:left="540"/>
        <w:rPr>
          <w:rFonts w:ascii="Arial" w:hAnsi="Arial" w:cs="Arial"/>
          <w:color w:val="3366FF"/>
          <w:sz w:val="22"/>
          <w:szCs w:val="22"/>
        </w:rPr>
      </w:pPr>
      <w:r w:rsidRPr="00AB6A41">
        <w:t xml:space="preserve">For the above reasons, we request authorization to omit printing the expiration date on this form </w:t>
      </w:r>
    </w:p>
    <w:p w:rsidR="00F8418A" w:rsidP="00F8418A" w14:paraId="5F4E7D46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Exceptions to Certification for Paperwork Reduction Act Submission.</w:t>
      </w:r>
    </w:p>
    <w:p w:rsidR="008C3455" w:rsidRPr="00F8235A" w:rsidP="00F8235A" w14:paraId="7492BB28" w14:textId="77777777">
      <w:pPr>
        <w:widowControl/>
        <w:autoSpaceDE/>
        <w:autoSpaceDN/>
        <w:adjustRightInd/>
        <w:ind w:left="360" w:firstLine="180"/>
        <w:rPr>
          <w:rFonts w:eastAsia="Calibri"/>
        </w:rPr>
      </w:pPr>
      <w:r w:rsidRPr="00F8235A">
        <w:rPr>
          <w:rFonts w:eastAsia="Calibri"/>
        </w:rPr>
        <w:t>There are no exceptions to the certification statement.</w:t>
      </w:r>
    </w:p>
    <w:p w:rsidR="008604D2" w:rsidP="008604D2" w14:paraId="215ACA64" w14:textId="26BAD7E6">
      <w:pPr>
        <w:jc w:val="center"/>
        <w:rPr>
          <w:rFonts w:ascii="Arial" w:hAnsi="Arial" w:cs="Arial"/>
          <w:b/>
          <w:bCs/>
          <w:color w:val="3366FF"/>
          <w:sz w:val="22"/>
          <w:szCs w:val="22"/>
        </w:rPr>
      </w:pPr>
    </w:p>
    <w:p w:rsidR="00CF205A" w:rsidP="00F8235A" w14:paraId="68F94E92" w14:textId="3F4823D6">
      <w:pPr>
        <w:rPr>
          <w:rFonts w:ascii="Arial" w:hAnsi="Arial" w:cs="Arial"/>
          <w:b/>
          <w:bCs/>
          <w:color w:val="3366FF"/>
          <w:sz w:val="22"/>
          <w:szCs w:val="22"/>
        </w:rPr>
      </w:pPr>
    </w:p>
    <w:p w:rsidR="008604D2" w:rsidRPr="00850CCA" w:rsidP="006763D3" w14:paraId="0E002AD1" w14:textId="59AEA455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10773">
        <w:rPr>
          <w:rFonts w:eastAsia="Calibri"/>
          <w:b/>
          <w:bCs/>
          <w:szCs w:val="22"/>
        </w:rPr>
        <w:t xml:space="preserve">This collection does not employ statistical methods.  </w:t>
      </w:r>
    </w:p>
    <w:sectPr w:rsidSect="00F8418A">
      <w:footerReference w:type="default" r:id="rId10"/>
      <w:type w:val="continuous"/>
      <w:pgSz w:w="12240" w:h="15840"/>
      <w:pgMar w:top="1440" w:right="1440" w:bottom="1170" w:left="1440" w:header="1080" w:footer="6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AA3" w:rsidRPr="00427A81" w:rsidP="00427A81" w14:paraId="361E5311" w14:textId="77777777">
    <w:pPr>
      <w:tabs>
        <w:tab w:val="right" w:pos="9360"/>
      </w:tabs>
      <w:rPr>
        <w:rFonts w:ascii="Arial Narrow" w:hAnsi="Arial Narrow" w:cs="Arial"/>
        <w:sz w:val="20"/>
        <w:szCs w:val="20"/>
      </w:rPr>
    </w:pPr>
    <w:r w:rsidRPr="00427A81">
      <w:rPr>
        <w:rFonts w:ascii="Arial Narrow" w:hAnsi="Arial Narrow" w:cs="Arial"/>
        <w:sz w:val="20"/>
        <w:szCs w:val="20"/>
      </w:rPr>
      <w:tab/>
    </w:r>
    <w:r w:rsidRPr="00427A81">
      <w:rPr>
        <w:rFonts w:ascii="Arial Narrow" w:hAnsi="Arial Narrow" w:cs="Arial"/>
        <w:sz w:val="20"/>
        <w:szCs w:val="20"/>
      </w:rPr>
      <w:fldChar w:fldCharType="begin"/>
    </w:r>
    <w:r w:rsidRPr="00427A81">
      <w:rPr>
        <w:rFonts w:ascii="Arial Narrow" w:hAnsi="Arial Narrow" w:cs="Arial"/>
        <w:sz w:val="20"/>
        <w:szCs w:val="20"/>
      </w:rPr>
      <w:instrText xml:space="preserve">PAGE </w:instrText>
    </w:r>
    <w:r w:rsidRPr="00427A81">
      <w:rPr>
        <w:rFonts w:ascii="Arial Narrow" w:hAnsi="Arial Narrow" w:cs="Arial"/>
        <w:sz w:val="20"/>
        <w:szCs w:val="20"/>
      </w:rPr>
      <w:fldChar w:fldCharType="separate"/>
    </w:r>
    <w:r w:rsidR="008604D2">
      <w:rPr>
        <w:rFonts w:ascii="Arial Narrow" w:hAnsi="Arial Narrow" w:cs="Arial"/>
        <w:noProof/>
        <w:sz w:val="20"/>
        <w:szCs w:val="20"/>
      </w:rPr>
      <w:t>10</w:t>
    </w:r>
    <w:r w:rsidRPr="00427A81">
      <w:rPr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50832" w14:paraId="14E8D01B" w14:textId="77777777">
      <w:r>
        <w:separator/>
      </w:r>
    </w:p>
  </w:footnote>
  <w:footnote w:type="continuationSeparator" w:id="1">
    <w:p w:rsidR="00450832" w14:paraId="6A2466B4" w14:textId="77777777">
      <w:r>
        <w:continuationSeparator/>
      </w:r>
    </w:p>
  </w:footnote>
  <w:footnote w:id="2">
    <w:p w:rsidR="004316DA" w:rsidRPr="00A05174" w:rsidP="004316DA" w14:paraId="3FAC678D" w14:textId="491565CA">
      <w:pPr>
        <w:pStyle w:val="FootnoteText"/>
      </w:pPr>
      <w:r>
        <w:rPr>
          <w:rStyle w:val="FootnoteReference"/>
        </w:rPr>
        <w:footnoteRef/>
      </w:r>
      <w:r>
        <w:t xml:space="preserve">. </w:t>
      </w:r>
      <w:r w:rsidRPr="00A05174">
        <w:t>It is expected that respondents to this collection could be from any occupation.  The average wage rate for all occupations is $</w:t>
      </w:r>
      <w:r>
        <w:t>32.66</w:t>
      </w:r>
      <w:r w:rsidRPr="00A05174">
        <w:t xml:space="preserve"> according to the May 202</w:t>
      </w:r>
      <w:r>
        <w:t>4</w:t>
      </w:r>
      <w:r w:rsidRPr="00A05174">
        <w:t xml:space="preserve"> National Occupational Employment and Wage Estimates.  </w:t>
      </w:r>
      <w:hyperlink r:id="rId1" w:history="1">
        <w:r w:rsidRPr="00CE18C3">
          <w:rPr>
            <w:rStyle w:val="Hyperlink"/>
          </w:rPr>
          <w:t>https://www.bls.gov/oes/current/oes_nat.htm</w:t>
        </w:r>
      </w:hyperlink>
      <w:r w:rsidRPr="00A05174">
        <w:t xml:space="preserve">   A benefit multiplier of 1.4</w:t>
      </w:r>
      <w:r>
        <w:t>2</w:t>
      </w:r>
      <w:r w:rsidRPr="00A05174">
        <w:t xml:space="preserve"> is used to calculate a </w:t>
      </w:r>
      <w:r w:rsidRPr="00A05174">
        <w:t>fully-loaded</w:t>
      </w:r>
      <w:r w:rsidRPr="00A05174">
        <w:t xml:space="preserve"> wage rate of $</w:t>
      </w:r>
      <w:r>
        <w:t>32.66</w:t>
      </w:r>
      <w:r w:rsidRPr="00A05174">
        <w:t>*1.4</w:t>
      </w:r>
      <w:r>
        <w:t>2</w:t>
      </w:r>
      <w:r w:rsidRPr="00A05174">
        <w:t>=$</w:t>
      </w:r>
      <w:r>
        <w:t>46.38</w:t>
      </w:r>
    </w:p>
    <w:p w:rsidR="004316DA" w:rsidRPr="00A05174" w:rsidP="004316DA" w14:paraId="540D5DF8" w14:textId="77777777">
      <w:pPr>
        <w:pStyle w:val="FootnoteText"/>
      </w:pPr>
    </w:p>
    <w:p w:rsidR="004316DA" w:rsidP="004316DA" w14:paraId="11FE53C8" w14:textId="1FDAD374">
      <w:pPr>
        <w:pStyle w:val="FootnoteText"/>
      </w:pPr>
      <w:r w:rsidRPr="00A05174">
        <w:t xml:space="preserve">Using the BLS Employer Costs for Employee Compensation – </w:t>
      </w:r>
      <w:r>
        <w:t>June</w:t>
      </w:r>
      <w:r w:rsidRPr="00A05174">
        <w:t xml:space="preserve"> 202</w:t>
      </w:r>
      <w:r>
        <w:t>5</w:t>
      </w:r>
      <w:r w:rsidRPr="00A05174">
        <w:t xml:space="preserve"> report </w:t>
      </w:r>
      <w:hyperlink r:id="rId2" w:history="1">
        <w:r w:rsidRPr="00A05174">
          <w:rPr>
            <w:rStyle w:val="Hyperlink"/>
          </w:rPr>
          <w:t>https://www.bls.gov/news.release/pdf/ecec.pdf</w:t>
        </w:r>
      </w:hyperlink>
      <w:r w:rsidRPr="00A05174">
        <w:t>, a benefit multiplier of 1.4</w:t>
      </w:r>
      <w:r>
        <w:t>2</w:t>
      </w:r>
      <w:r w:rsidRPr="00A05174">
        <w:t xml:space="preserve"> was calculated by taking the private industry worker 50</w:t>
      </w:r>
      <w:r w:rsidRPr="00A05174">
        <w:rPr>
          <w:vertAlign w:val="superscript"/>
        </w:rPr>
        <w:t>th</w:t>
      </w:r>
      <w:r w:rsidRPr="00A05174">
        <w:t xml:space="preserve"> (median) wage percentile total compensation rate divided by the wages and salaries rate.  </w:t>
      </w:r>
      <w:r>
        <w:t>$45.65/$32.07=1.42</w:t>
      </w:r>
    </w:p>
    <w:p w:rsidR="004316DA" w:rsidP="004316DA" w14:paraId="5E8901C2" w14:textId="77777777">
      <w:pPr>
        <w:pStyle w:val="FootnoteText"/>
      </w:pPr>
    </w:p>
  </w:footnote>
  <w:footnote w:id="3">
    <w:p w:rsidR="004316DA" w:rsidP="004316DA" w14:paraId="3C2660A1" w14:textId="28B7B32A">
      <w:pPr>
        <w:ind w:left="180"/>
        <w:rPr>
          <w:rFonts w:ascii="Arial" w:hAnsi="Arial" w:cs="Arial"/>
          <w:sz w:val="18"/>
          <w:szCs w:val="18"/>
        </w:rPr>
      </w:pPr>
      <w:r w:rsidRPr="004316DA">
        <w:rPr>
          <w:rStyle w:val="FootnoteReference"/>
          <w:sz w:val="20"/>
          <w:szCs w:val="20"/>
        </w:rPr>
        <w:footnoteRef/>
      </w:r>
      <w:r>
        <w:t xml:space="preserve">. </w:t>
      </w:r>
      <w:r>
        <w:rPr>
          <w:rFonts w:ascii="Arial" w:hAnsi="Arial" w:cs="Arial"/>
          <w:sz w:val="18"/>
          <w:szCs w:val="18"/>
        </w:rPr>
        <w:t xml:space="preserve">Federal Government </w:t>
      </w:r>
      <w:r w:rsidRPr="00E942AE">
        <w:rPr>
          <w:rFonts w:ascii="Arial" w:hAnsi="Arial" w:cs="Arial"/>
          <w:sz w:val="18"/>
          <w:szCs w:val="18"/>
        </w:rPr>
        <w:t>Fully-loaded</w:t>
      </w:r>
      <w:r w:rsidRPr="00E942AE">
        <w:rPr>
          <w:rFonts w:ascii="Arial" w:hAnsi="Arial" w:cs="Arial"/>
          <w:sz w:val="18"/>
          <w:szCs w:val="18"/>
        </w:rPr>
        <w:t xml:space="preserve"> Labor Rate per Hour = Wage rate x </w:t>
      </w:r>
      <w:r>
        <w:rPr>
          <w:rFonts w:ascii="Arial" w:hAnsi="Arial" w:cs="Arial"/>
          <w:sz w:val="18"/>
          <w:szCs w:val="18"/>
        </w:rPr>
        <w:t xml:space="preserve">a factor of </w:t>
      </w:r>
      <w:r w:rsidRPr="00E942AE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>63</w:t>
      </w:r>
      <w:r w:rsidRPr="00E942AE">
        <w:rPr>
          <w:rFonts w:ascii="Arial" w:hAnsi="Arial" w:cs="Arial"/>
          <w:sz w:val="18"/>
          <w:szCs w:val="18"/>
        </w:rPr>
        <w:t xml:space="preserve"> to account for benefit costs.  Per the </w:t>
      </w:r>
      <w:r>
        <w:rPr>
          <w:rFonts w:ascii="Arial" w:hAnsi="Arial" w:cs="Arial"/>
          <w:sz w:val="18"/>
          <w:szCs w:val="18"/>
        </w:rPr>
        <w:t xml:space="preserve">Office of Personnel Management (OPM) wage data, the hourly fully-loaded labor rate for a GS–9, step 5 </w:t>
      </w:r>
      <w:r>
        <w:rPr>
          <w:rFonts w:ascii="Arial" w:hAnsi="Arial" w:cs="Arial"/>
          <w:sz w:val="18"/>
          <w:szCs w:val="18"/>
        </w:rPr>
        <w:t>Federal employee in the Parkersburg, WV (RUS) wage area is $54.10</w:t>
      </w:r>
      <w:r w:rsidRPr="00E942AE">
        <w:rPr>
          <w:rFonts w:ascii="Arial" w:hAnsi="Arial" w:cs="Arial"/>
          <w:sz w:val="18"/>
          <w:szCs w:val="18"/>
        </w:rPr>
        <w:t xml:space="preserve"> ($</w:t>
      </w:r>
      <w:r>
        <w:rPr>
          <w:rFonts w:ascii="Arial" w:hAnsi="Arial" w:cs="Arial"/>
          <w:sz w:val="18"/>
          <w:szCs w:val="18"/>
        </w:rPr>
        <w:t xml:space="preserve">33.19 </w:t>
      </w:r>
      <w:r w:rsidRPr="00E942AE">
        <w:rPr>
          <w:rFonts w:ascii="Arial" w:hAnsi="Arial" w:cs="Arial"/>
          <w:sz w:val="18"/>
          <w:szCs w:val="18"/>
        </w:rPr>
        <w:t>wages plus $</w:t>
      </w:r>
      <w:r>
        <w:rPr>
          <w:rFonts w:ascii="Arial" w:hAnsi="Arial" w:cs="Arial"/>
          <w:sz w:val="18"/>
          <w:szCs w:val="18"/>
        </w:rPr>
        <w:t>20.91</w:t>
      </w:r>
      <w:r w:rsidRPr="00E942AE">
        <w:rPr>
          <w:rFonts w:ascii="Arial" w:hAnsi="Arial" w:cs="Arial"/>
          <w:sz w:val="18"/>
          <w:szCs w:val="18"/>
        </w:rPr>
        <w:t xml:space="preserve"> in benefit costs)</w:t>
      </w:r>
      <w:r>
        <w:rPr>
          <w:rFonts w:ascii="Arial" w:hAnsi="Arial" w:cs="Arial"/>
          <w:sz w:val="18"/>
          <w:szCs w:val="18"/>
        </w:rPr>
        <w:t xml:space="preserve">. </w:t>
      </w:r>
      <w:r w:rsidRPr="00E942AE">
        <w:rPr>
          <w:rFonts w:ascii="Arial" w:hAnsi="Arial" w:cs="Arial"/>
          <w:sz w:val="18"/>
          <w:szCs w:val="18"/>
        </w:rPr>
        <w:t xml:space="preserve">See the </w:t>
      </w:r>
      <w:r>
        <w:rPr>
          <w:rFonts w:ascii="Arial" w:hAnsi="Arial" w:cs="Arial"/>
          <w:sz w:val="18"/>
          <w:szCs w:val="18"/>
        </w:rPr>
        <w:t xml:space="preserve">OPM website at </w:t>
      </w:r>
      <w:hyperlink w:history="1"/>
      <w:r w:rsidRPr="006D209E">
        <w:rPr>
          <w:rFonts w:ascii="Arial" w:hAnsi="Arial" w:cs="Arial"/>
          <w:sz w:val="18"/>
          <w:szCs w:val="18"/>
        </w:rPr>
        <w:t xml:space="preserve"> </w:t>
      </w:r>
      <w:r w:rsidRPr="00AC6E56">
        <w:rPr>
          <w:rFonts w:ascii="Arial" w:hAnsi="Arial" w:cs="Arial"/>
          <w:sz w:val="18"/>
          <w:szCs w:val="18"/>
        </w:rPr>
        <w:t>https://www.opm.gov/policy-data-oversight/pay-leave/salaries-wages/salary-tables/pdf/2025/RUS_h.pdf</w:t>
      </w:r>
    </w:p>
    <w:p w:rsidR="004316DA" w14:paraId="64E8C141" w14:textId="2755CB9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4">
    <w:nsid w:val="0000000E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5">
    <w:nsid w:val="0000000F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6">
    <w:nsid w:val="00000010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7">
    <w:nsid w:val="00C94FAB"/>
    <w:multiLevelType w:val="hybridMultilevel"/>
    <w:tmpl w:val="56741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41E1FC7"/>
    <w:multiLevelType w:val="hybridMultilevel"/>
    <w:tmpl w:val="34A88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856836"/>
    <w:multiLevelType w:val="hybridMultilevel"/>
    <w:tmpl w:val="0818EB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E311DA6"/>
    <w:multiLevelType w:val="hybridMultilevel"/>
    <w:tmpl w:val="4B520F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0122E19"/>
    <w:multiLevelType w:val="hybridMultilevel"/>
    <w:tmpl w:val="BC709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95410D"/>
    <w:multiLevelType w:val="hybridMultilevel"/>
    <w:tmpl w:val="A49C7A8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815FB6"/>
    <w:multiLevelType w:val="hybridMultilevel"/>
    <w:tmpl w:val="2D14AC46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4">
    <w:nsid w:val="27E119F4"/>
    <w:multiLevelType w:val="multilevel"/>
    <w:tmpl w:val="0EC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5A5BE0"/>
    <w:multiLevelType w:val="hybridMultilevel"/>
    <w:tmpl w:val="F6F6D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14F726D"/>
    <w:multiLevelType w:val="hybridMultilevel"/>
    <w:tmpl w:val="540003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307E33"/>
    <w:multiLevelType w:val="hybridMultilevel"/>
    <w:tmpl w:val="77463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2E2407"/>
    <w:multiLevelType w:val="hybridMultilevel"/>
    <w:tmpl w:val="48F67F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96265A"/>
    <w:multiLevelType w:val="hybridMultilevel"/>
    <w:tmpl w:val="085C2160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DB2103A"/>
    <w:multiLevelType w:val="hybridMultilevel"/>
    <w:tmpl w:val="C01ED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CC707B"/>
    <w:multiLevelType w:val="hybridMultilevel"/>
    <w:tmpl w:val="C77683BC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32">
    <w:nsid w:val="3EA32344"/>
    <w:multiLevelType w:val="hybridMultilevel"/>
    <w:tmpl w:val="2E3061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C70789"/>
    <w:multiLevelType w:val="hybridMultilevel"/>
    <w:tmpl w:val="9B266760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A2732C"/>
    <w:multiLevelType w:val="hybridMultilevel"/>
    <w:tmpl w:val="931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C17C63"/>
    <w:multiLevelType w:val="hybridMultilevel"/>
    <w:tmpl w:val="8C4CA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1666997"/>
    <w:multiLevelType w:val="hybridMultilevel"/>
    <w:tmpl w:val="3FCA76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6C53D3"/>
    <w:multiLevelType w:val="hybridMultilevel"/>
    <w:tmpl w:val="F84032A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8">
    <w:nsid w:val="51D362AF"/>
    <w:multiLevelType w:val="hybridMultilevel"/>
    <w:tmpl w:val="502ACA7C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141E62"/>
    <w:multiLevelType w:val="hybridMultilevel"/>
    <w:tmpl w:val="8E98D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FD38FD"/>
    <w:multiLevelType w:val="hybridMultilevel"/>
    <w:tmpl w:val="E4E6F2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6C318D"/>
    <w:multiLevelType w:val="multilevel"/>
    <w:tmpl w:val="456EF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ED18F7"/>
    <w:multiLevelType w:val="hybridMultilevel"/>
    <w:tmpl w:val="BF5CD562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42F58"/>
    <w:multiLevelType w:val="hybridMultilevel"/>
    <w:tmpl w:val="E00011C6"/>
    <w:lvl w:ilvl="0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44">
    <w:nsid w:val="7E3519A8"/>
    <w:multiLevelType w:val="hybridMultilevel"/>
    <w:tmpl w:val="990ABEF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254539">
    <w:abstractNumId w:val="9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38960848">
    <w:abstractNumId w:val="0"/>
    <w:lvlOverride w:ilvl="0">
      <w:lvl w:ilvl="0">
        <w:start w:val="0"/>
        <w:numFmt w:val="bullet"/>
        <w:lvlText w:val="·"/>
        <w:legacy w:legacy="1" w:legacySpace="0" w:legacyIndent="361"/>
        <w:lvlJc w:val="left"/>
        <w:pPr>
          <w:ind w:left="361" w:hanging="361"/>
        </w:pPr>
        <w:rPr>
          <w:rFonts w:ascii="Times New Roman" w:hAnsi="Times New Roman" w:cs="Times New Roman" w:hint="default"/>
        </w:rPr>
      </w:lvl>
    </w:lvlOverride>
  </w:num>
  <w:num w:numId="3" w16cid:durableId="449129925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4" w16cid:durableId="385839996">
    <w:abstractNumId w:val="0"/>
    <w:lvlOverride w:ilvl="0">
      <w:lvl w:ilvl="0">
        <w:start w:val="0"/>
        <w:numFmt w:val="bullet"/>
        <w:lvlText w:val="·"/>
        <w:legacy w:legacy="1" w:legacySpace="0" w:legacyIndent="186"/>
        <w:lvlJc w:val="left"/>
        <w:pPr>
          <w:ind w:left="474" w:hanging="186"/>
        </w:pPr>
        <w:rPr>
          <w:rFonts w:ascii="Times New Roman" w:hAnsi="Times New Roman" w:cs="Times New Roman" w:hint="default"/>
        </w:rPr>
      </w:lvl>
    </w:lvlOverride>
  </w:num>
  <w:num w:numId="5" w16cid:durableId="1936093024">
    <w:abstractNumId w:val="31"/>
  </w:num>
  <w:num w:numId="6" w16cid:durableId="498347678">
    <w:abstractNumId w:val="23"/>
  </w:num>
  <w:num w:numId="7" w16cid:durableId="691305754">
    <w:abstractNumId w:val="35"/>
  </w:num>
  <w:num w:numId="8" w16cid:durableId="1477717950">
    <w:abstractNumId w:val="34"/>
  </w:num>
  <w:num w:numId="9" w16cid:durableId="601108737">
    <w:abstractNumId w:val="25"/>
  </w:num>
  <w:num w:numId="10" w16cid:durableId="860317706">
    <w:abstractNumId w:val="17"/>
  </w:num>
  <w:num w:numId="11" w16cid:durableId="1208641518">
    <w:abstractNumId w:val="21"/>
  </w:num>
  <w:num w:numId="12" w16cid:durableId="1839884072">
    <w:abstractNumId w:val="43"/>
  </w:num>
  <w:num w:numId="13" w16cid:durableId="2030372482">
    <w:abstractNumId w:val="42"/>
  </w:num>
  <w:num w:numId="14" w16cid:durableId="259290915">
    <w:abstractNumId w:val="33"/>
  </w:num>
  <w:num w:numId="15" w16cid:durableId="1929272040">
    <w:abstractNumId w:val="22"/>
  </w:num>
  <w:num w:numId="16" w16cid:durableId="294877352">
    <w:abstractNumId w:val="38"/>
  </w:num>
  <w:num w:numId="17" w16cid:durableId="383649876">
    <w:abstractNumId w:val="24"/>
  </w:num>
  <w:num w:numId="18" w16cid:durableId="1362777354">
    <w:abstractNumId w:val="41"/>
  </w:num>
  <w:num w:numId="19" w16cid:durableId="1253469462">
    <w:abstractNumId w:val="37"/>
  </w:num>
  <w:num w:numId="20" w16cid:durableId="918295911">
    <w:abstractNumId w:val="26"/>
  </w:num>
  <w:num w:numId="21" w16cid:durableId="1510557703">
    <w:abstractNumId w:val="44"/>
  </w:num>
  <w:num w:numId="22" w16cid:durableId="26419841">
    <w:abstractNumId w:val="29"/>
  </w:num>
  <w:num w:numId="23" w16cid:durableId="266276453">
    <w:abstractNumId w:val="18"/>
  </w:num>
  <w:num w:numId="24" w16cid:durableId="1720283485">
    <w:abstractNumId w:val="40"/>
  </w:num>
  <w:num w:numId="25" w16cid:durableId="399332024">
    <w:abstractNumId w:val="30"/>
  </w:num>
  <w:num w:numId="26" w16cid:durableId="718283671">
    <w:abstractNumId w:val="27"/>
  </w:num>
  <w:num w:numId="27" w16cid:durableId="730419563">
    <w:abstractNumId w:val="39"/>
  </w:num>
  <w:num w:numId="28" w16cid:durableId="852262729">
    <w:abstractNumId w:val="36"/>
  </w:num>
  <w:num w:numId="29" w16cid:durableId="1311206215">
    <w:abstractNumId w:val="28"/>
  </w:num>
  <w:num w:numId="30" w16cid:durableId="1050307387">
    <w:abstractNumId w:val="20"/>
  </w:num>
  <w:num w:numId="31" w16cid:durableId="1080444903">
    <w:abstractNumId w:val="19"/>
  </w:num>
  <w:num w:numId="32" w16cid:durableId="8366539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footnotePr>
    <w:footnote w:id="0"/>
    <w:footnote w:id="1"/>
  </w:foot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59"/>
    <w:rsid w:val="00000263"/>
    <w:rsid w:val="000356B0"/>
    <w:rsid w:val="00052C24"/>
    <w:rsid w:val="00063823"/>
    <w:rsid w:val="00064E0F"/>
    <w:rsid w:val="00076BA1"/>
    <w:rsid w:val="000C27AC"/>
    <w:rsid w:val="000C3459"/>
    <w:rsid w:val="000F4DC6"/>
    <w:rsid w:val="000F7D65"/>
    <w:rsid w:val="00122089"/>
    <w:rsid w:val="00145E6F"/>
    <w:rsid w:val="00197F9A"/>
    <w:rsid w:val="001A5517"/>
    <w:rsid w:val="001C0C09"/>
    <w:rsid w:val="001E2556"/>
    <w:rsid w:val="001E2B6D"/>
    <w:rsid w:val="001F3AB3"/>
    <w:rsid w:val="00200A74"/>
    <w:rsid w:val="00206AEB"/>
    <w:rsid w:val="002422A1"/>
    <w:rsid w:val="00250FFD"/>
    <w:rsid w:val="002776CD"/>
    <w:rsid w:val="002C4DA3"/>
    <w:rsid w:val="002D277C"/>
    <w:rsid w:val="002D6743"/>
    <w:rsid w:val="002E6675"/>
    <w:rsid w:val="00330943"/>
    <w:rsid w:val="00372B3C"/>
    <w:rsid w:val="00390744"/>
    <w:rsid w:val="003935B8"/>
    <w:rsid w:val="003A5DE5"/>
    <w:rsid w:val="003D1ABD"/>
    <w:rsid w:val="003D5F94"/>
    <w:rsid w:val="003E743E"/>
    <w:rsid w:val="00404DD9"/>
    <w:rsid w:val="00417550"/>
    <w:rsid w:val="00427A81"/>
    <w:rsid w:val="004316DA"/>
    <w:rsid w:val="00432C2B"/>
    <w:rsid w:val="0043771F"/>
    <w:rsid w:val="00450832"/>
    <w:rsid w:val="00466B49"/>
    <w:rsid w:val="004A213E"/>
    <w:rsid w:val="004B7F6A"/>
    <w:rsid w:val="004C0BA6"/>
    <w:rsid w:val="004C68D1"/>
    <w:rsid w:val="004D39A0"/>
    <w:rsid w:val="004D5A38"/>
    <w:rsid w:val="00504B59"/>
    <w:rsid w:val="005173DB"/>
    <w:rsid w:val="005434E3"/>
    <w:rsid w:val="00561B09"/>
    <w:rsid w:val="00564E7A"/>
    <w:rsid w:val="00565B3C"/>
    <w:rsid w:val="005829ED"/>
    <w:rsid w:val="00585CCA"/>
    <w:rsid w:val="00594F54"/>
    <w:rsid w:val="005979B4"/>
    <w:rsid w:val="005A7F1D"/>
    <w:rsid w:val="005C5FF4"/>
    <w:rsid w:val="005D53A7"/>
    <w:rsid w:val="006048AF"/>
    <w:rsid w:val="00610773"/>
    <w:rsid w:val="00621ED4"/>
    <w:rsid w:val="00627E7A"/>
    <w:rsid w:val="00633310"/>
    <w:rsid w:val="00636E65"/>
    <w:rsid w:val="006445A9"/>
    <w:rsid w:val="006459AD"/>
    <w:rsid w:val="006717E1"/>
    <w:rsid w:val="00675A61"/>
    <w:rsid w:val="006763D3"/>
    <w:rsid w:val="00676DB7"/>
    <w:rsid w:val="006A4DB5"/>
    <w:rsid w:val="006B455B"/>
    <w:rsid w:val="006D209E"/>
    <w:rsid w:val="006E1A4A"/>
    <w:rsid w:val="00703007"/>
    <w:rsid w:val="00723757"/>
    <w:rsid w:val="00731BB1"/>
    <w:rsid w:val="00753326"/>
    <w:rsid w:val="00772076"/>
    <w:rsid w:val="007A2416"/>
    <w:rsid w:val="008112BA"/>
    <w:rsid w:val="00831A68"/>
    <w:rsid w:val="00840F39"/>
    <w:rsid w:val="00850CCA"/>
    <w:rsid w:val="008604D2"/>
    <w:rsid w:val="00862A24"/>
    <w:rsid w:val="00886445"/>
    <w:rsid w:val="00886657"/>
    <w:rsid w:val="00890057"/>
    <w:rsid w:val="008943A4"/>
    <w:rsid w:val="008A2CE2"/>
    <w:rsid w:val="008C325F"/>
    <w:rsid w:val="008C3455"/>
    <w:rsid w:val="008C65F9"/>
    <w:rsid w:val="008F27F5"/>
    <w:rsid w:val="008F6C5D"/>
    <w:rsid w:val="00917427"/>
    <w:rsid w:val="009266D9"/>
    <w:rsid w:val="0092689B"/>
    <w:rsid w:val="00932F4B"/>
    <w:rsid w:val="00935E24"/>
    <w:rsid w:val="00986486"/>
    <w:rsid w:val="00987D0B"/>
    <w:rsid w:val="00991A15"/>
    <w:rsid w:val="009A07D1"/>
    <w:rsid w:val="009A769F"/>
    <w:rsid w:val="00A05174"/>
    <w:rsid w:val="00A325A6"/>
    <w:rsid w:val="00A431DF"/>
    <w:rsid w:val="00A5493A"/>
    <w:rsid w:val="00A555A9"/>
    <w:rsid w:val="00A55BB2"/>
    <w:rsid w:val="00A56739"/>
    <w:rsid w:val="00A5675F"/>
    <w:rsid w:val="00A57A6F"/>
    <w:rsid w:val="00A77A7E"/>
    <w:rsid w:val="00A86B37"/>
    <w:rsid w:val="00A9180D"/>
    <w:rsid w:val="00AA65AC"/>
    <w:rsid w:val="00AB6A41"/>
    <w:rsid w:val="00AC6E56"/>
    <w:rsid w:val="00AD34BA"/>
    <w:rsid w:val="00AD3CB7"/>
    <w:rsid w:val="00AF5E7E"/>
    <w:rsid w:val="00B12439"/>
    <w:rsid w:val="00B1779E"/>
    <w:rsid w:val="00B22415"/>
    <w:rsid w:val="00B408C7"/>
    <w:rsid w:val="00B54C0E"/>
    <w:rsid w:val="00B60FF9"/>
    <w:rsid w:val="00B678D5"/>
    <w:rsid w:val="00BA39FF"/>
    <w:rsid w:val="00BC550A"/>
    <w:rsid w:val="00BC5EF3"/>
    <w:rsid w:val="00BE0092"/>
    <w:rsid w:val="00BF116B"/>
    <w:rsid w:val="00BF1E31"/>
    <w:rsid w:val="00BF370D"/>
    <w:rsid w:val="00C05AB3"/>
    <w:rsid w:val="00C115F5"/>
    <w:rsid w:val="00C13AC4"/>
    <w:rsid w:val="00C16988"/>
    <w:rsid w:val="00C230FB"/>
    <w:rsid w:val="00C278CF"/>
    <w:rsid w:val="00C319AB"/>
    <w:rsid w:val="00C37CD8"/>
    <w:rsid w:val="00C43EA7"/>
    <w:rsid w:val="00C7479E"/>
    <w:rsid w:val="00C80AA3"/>
    <w:rsid w:val="00C85E21"/>
    <w:rsid w:val="00C877DE"/>
    <w:rsid w:val="00CB0A80"/>
    <w:rsid w:val="00CC071C"/>
    <w:rsid w:val="00CC47FD"/>
    <w:rsid w:val="00CC579B"/>
    <w:rsid w:val="00CC70A8"/>
    <w:rsid w:val="00CE18C3"/>
    <w:rsid w:val="00CE3842"/>
    <w:rsid w:val="00CE7A82"/>
    <w:rsid w:val="00CF205A"/>
    <w:rsid w:val="00D100D9"/>
    <w:rsid w:val="00D25FB6"/>
    <w:rsid w:val="00D32EBA"/>
    <w:rsid w:val="00D46B5C"/>
    <w:rsid w:val="00D536AB"/>
    <w:rsid w:val="00D73B89"/>
    <w:rsid w:val="00D802F6"/>
    <w:rsid w:val="00DA5B3D"/>
    <w:rsid w:val="00DB2651"/>
    <w:rsid w:val="00DE0CF9"/>
    <w:rsid w:val="00E42A28"/>
    <w:rsid w:val="00E5390E"/>
    <w:rsid w:val="00E91296"/>
    <w:rsid w:val="00E942AE"/>
    <w:rsid w:val="00EA4C2A"/>
    <w:rsid w:val="00EC10FF"/>
    <w:rsid w:val="00F0077F"/>
    <w:rsid w:val="00F01DE4"/>
    <w:rsid w:val="00F06268"/>
    <w:rsid w:val="00F064FD"/>
    <w:rsid w:val="00F149C3"/>
    <w:rsid w:val="00F34816"/>
    <w:rsid w:val="00F51E0F"/>
    <w:rsid w:val="00F5649C"/>
    <w:rsid w:val="00F736E2"/>
    <w:rsid w:val="00F76B83"/>
    <w:rsid w:val="00F8235A"/>
    <w:rsid w:val="00F8418A"/>
    <w:rsid w:val="00F91E42"/>
    <w:rsid w:val="00F94664"/>
    <w:rsid w:val="00F94966"/>
    <w:rsid w:val="00FB252E"/>
    <w:rsid w:val="00FC34AC"/>
    <w:rsid w:val="00FC6D47"/>
    <w:rsid w:val="00FF3A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330EE82"/>
  <w15:chartTrackingRefBased/>
  <w15:docId w15:val="{004176FB-61D3-4080-A68E-46AF43B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1B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66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Level1">
    <w:name w:val="Level 1"/>
    <w:basedOn w:val="Normal"/>
    <w:pPr>
      <w:numPr>
        <w:numId w:val="1"/>
      </w:numPr>
      <w:ind w:left="474" w:hanging="186"/>
      <w:outlineLvl w:val="0"/>
    </w:pPr>
  </w:style>
  <w:style w:type="paragraph" w:customStyle="1" w:styleId="Level2">
    <w:name w:val="Level 2"/>
    <w:basedOn w:val="Normal"/>
    <w:pPr>
      <w:ind w:left="722" w:hanging="36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</w:style>
  <w:style w:type="paragraph" w:styleId="BodyTextIndent2">
    <w:name w:val="Body Text Indent 2"/>
    <w:basedOn w:val="Normal"/>
    <w:pPr>
      <w:tabs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  <w:rPr>
      <w:b/>
      <w:bCs/>
    </w:rPr>
  </w:style>
  <w:style w:type="paragraph" w:styleId="FootnoteText">
    <w:name w:val="footnote text"/>
    <w:basedOn w:val="Normal"/>
    <w:link w:val="FootnoteTextChar"/>
    <w:rsid w:val="00063823"/>
    <w:rPr>
      <w:sz w:val="20"/>
      <w:szCs w:val="20"/>
    </w:rPr>
  </w:style>
  <w:style w:type="table" w:styleId="TableGrid">
    <w:name w:val="Table Grid"/>
    <w:basedOn w:val="TableNormal"/>
    <w:rsid w:val="0006382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65B3C"/>
    <w:rPr>
      <w:color w:val="0000FF"/>
      <w:u w:val="single"/>
    </w:rPr>
  </w:style>
  <w:style w:type="paragraph" w:styleId="NormalWeb">
    <w:name w:val="Normal (Web)"/>
    <w:basedOn w:val="Normal"/>
    <w:rsid w:val="00565B3C"/>
    <w:pPr>
      <w:widowControl/>
      <w:autoSpaceDE/>
      <w:autoSpaceDN/>
      <w:adjustRightInd/>
      <w:spacing w:before="100" w:beforeAutospacing="1" w:after="100" w:afterAutospacing="1"/>
    </w:pPr>
  </w:style>
  <w:style w:type="character" w:styleId="CommentReference">
    <w:name w:val="annotation reference"/>
    <w:semiHidden/>
    <w:rsid w:val="002776CD"/>
    <w:rPr>
      <w:sz w:val="16"/>
      <w:szCs w:val="16"/>
    </w:rPr>
  </w:style>
  <w:style w:type="paragraph" w:styleId="CommentText">
    <w:name w:val="annotation text"/>
    <w:basedOn w:val="Normal"/>
    <w:semiHidden/>
    <w:rsid w:val="002776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76CD"/>
    <w:rPr>
      <w:b/>
      <w:bCs/>
    </w:rPr>
  </w:style>
  <w:style w:type="paragraph" w:styleId="BalloonText">
    <w:name w:val="Balloon Text"/>
    <w:basedOn w:val="Normal"/>
    <w:semiHidden/>
    <w:rsid w:val="002776CD"/>
    <w:rPr>
      <w:rFonts w:ascii="Tahoma" w:hAnsi="Tahoma" w:cs="Tahoma"/>
      <w:sz w:val="16"/>
      <w:szCs w:val="16"/>
    </w:rPr>
  </w:style>
  <w:style w:type="paragraph" w:customStyle="1" w:styleId="smindent">
    <w:name w:val="smindent"/>
    <w:basedOn w:val="Normal"/>
    <w:rsid w:val="008112BA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rsid w:val="00F94664"/>
  </w:style>
  <w:style w:type="paragraph" w:styleId="NoSpacing">
    <w:name w:val="No Spacing"/>
    <w:uiPriority w:val="99"/>
    <w:qFormat/>
    <w:rsid w:val="006717E1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6717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8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8866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66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current/oes_nat.htm" TargetMode="External" /><Relationship Id="rId2" Type="http://schemas.openxmlformats.org/officeDocument/2006/relationships/hyperlink" Target="https://www.bls.gov/news.release/pdf/ecec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3F26D2CDE024397572385AEE95D13" ma:contentTypeVersion="0" ma:contentTypeDescription="Create a new document." ma:contentTypeScope="" ma:versionID="c3089e2e373f072136ca404861b527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5EFF0-AC2D-42D3-BCAB-923DB2AE6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6D159-CDC9-421F-8966-1CFA8222E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0E273-8D6C-440A-B6CD-507BB1C6BC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B83860-6D50-4A1E-AC08-F877AEADF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7DAAFD-A1C3-4555-A046-6D1B41BD7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USDA Forest Service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PCxx</dc:creator>
  <cp:lastModifiedBy>Clark, Spencer</cp:lastModifiedBy>
  <cp:revision>2</cp:revision>
  <cp:lastPrinted>2011-09-13T11:00:00Z</cp:lastPrinted>
  <dcterms:created xsi:type="dcterms:W3CDTF">2026-02-25T18:05:00Z</dcterms:created>
  <dcterms:modified xsi:type="dcterms:W3CDTF">2026-02-25T18:05:00Z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Vetrano, Caroline (Contractor)</vt:lpwstr>
  </property>
  <property fmtid="{D5CDD505-2E9C-101B-9397-08002B2CF9AE}" pid="3" name="display_urn:schemas-microsoft-com:office:office#Editor">
    <vt:lpwstr>Vetrano, Caroline (Contractor)</vt:lpwstr>
  </property>
  <property fmtid="{D5CDD505-2E9C-101B-9397-08002B2CF9AE}" pid="4" name="Order">
    <vt:lpwstr>200.000000000000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DOPTR-1309503630-31</vt:lpwstr>
  </property>
  <property fmtid="{D5CDD505-2E9C-101B-9397-08002B2CF9AE}" pid="8" name="_dlc_DocIdItemGuid">
    <vt:lpwstr>5cfab967-e34d-4cb8-b7d6-d7381a5af6f8</vt:lpwstr>
  </property>
  <property fmtid="{D5CDD505-2E9C-101B-9397-08002B2CF9AE}" pid="9" name="_dlc_DocIdUrl">
    <vt:lpwstr>https://thegreen.treas.gov/do/ptr/optr/treasuryrecords/PRA-NEW/_layouts/15/DocIdRedir.aspx?ID=DOPTR-1309503630-31, DOPTR-1309503630-31</vt:lpwstr>
  </property>
  <property fmtid="{D5CDD505-2E9C-101B-9397-08002B2CF9AE}" pid="10" name="_SharedFileIndex">
    <vt:lpwstr/>
  </property>
  <property fmtid="{D5CDD505-2E9C-101B-9397-08002B2CF9AE}" pid="11" name="_SourceUrl">
    <vt:lpwstr/>
  </property>
</Properties>
</file>